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/>
        <w:jc w:val="both"/>
        <w:textAlignment w:val="auto"/>
        <w:rPr>
          <w:rFonts w:hint="eastAsia" w:ascii="Times New Roman" w:hAnsi="Times New Roman" w:eastAsia="宋体" w:cs="Times New Roman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《胃肠病学和肝病学杂志》</w:t>
      </w:r>
      <w:bookmarkStart w:id="1" w:name="_GoBack"/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稿约</w:t>
      </w:r>
    </w:p>
    <w:bookmarkEnd w:id="1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/>
        <w:jc w:val="center"/>
        <w:textAlignment w:val="auto"/>
        <w:rPr>
          <w:rFonts w:hint="eastAsia" w:ascii="Times New Roman" w:hAnsi="Times New Roman" w:eastAsia="宋体" w:cs="Times New Roman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/>
          <w:color w:val="000000" w:themeColor="text1"/>
          <w:sz w:val="21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《胃肠病学和肝病学杂志》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Chinese Journal of Gastroenterology and Hepatology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是由郑州大学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主管、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主办，面向国内外公开征稿和发行的消化专业学术期刊，</w:t>
      </w:r>
      <w:r>
        <w:rPr>
          <w:rFonts w:hint="eastAsia" w:ascii="Times New Roman" w:hAnsi="Times New Roman" w:eastAsia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>创刊于1992年，1993年获得正式批准，并荣获“河南省优秀科技期刊二等奖”。1992</w:t>
      </w:r>
      <w:r>
        <w:rPr>
          <w:rFonts w:hint="eastAsia" w:ascii="宋体" w:hAnsi="宋体" w:eastAsia="宋体" w:cs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Times New Roman" w:hAnsi="Times New Roman" w:eastAsia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>2002年为季刊；2003</w:t>
      </w:r>
      <w:r>
        <w:rPr>
          <w:rFonts w:hint="eastAsia" w:ascii="宋体" w:hAnsi="宋体" w:eastAsia="宋体" w:cs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Times New Roman" w:hAnsi="Times New Roman" w:eastAsia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>2007年为双月刊；2008年至今为月刊。2002年至今被中国科技部科技论文统计源期刊（科技部核心期刊）收录</w:t>
      </w:r>
      <w:r>
        <w:rPr>
          <w:rFonts w:hint="eastAsia" w:ascii="Times New Roman" w:hAnsi="Times New Roman" w:eastAsia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14:textFill>
            <w14:solidFill>
              <w14:schemeClr w14:val="tx1"/>
            </w14:solidFill>
          </w14:textFill>
        </w:rPr>
        <w:t>刊宗旨：以提高为主，同时重视普及，努力做到普及与提高并重，遵循“提高指导下的普及和普及基础上的提高”的原则，引导和推动学科的发展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14:textFill>
            <w14:solidFill>
              <w14:schemeClr w14:val="tx1"/>
            </w14:solidFill>
          </w14:textFill>
        </w:rPr>
        <w:t>在办刊过程中注重内容的先进性、可读性、适用性、创新性、导向性、及时性和政策性，努力实现编辑和出版标准化。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/>
          <w:color w:val="000000" w:themeColor="text1"/>
          <w:sz w:val="21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1"/>
          <w:szCs w:val="15"/>
          <w:lang w:eastAsia="zh-CN"/>
          <w14:textFill>
            <w14:solidFill>
              <w14:schemeClr w14:val="tx1"/>
            </w14:solidFill>
          </w14:textFill>
        </w:rPr>
        <w:t>本刊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14:textFill>
            <w14:solidFill>
              <w14:schemeClr w14:val="tx1"/>
            </w14:solidFill>
          </w14:textFill>
        </w:rPr>
        <w:t>所设栏目：指南（专家共识）、述评、专题、论著、短篇论著、个案报道、综述、学术交流和临床病理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14:textFill>
            <w14:solidFill>
              <w14:schemeClr w14:val="tx1"/>
            </w14:solidFill>
          </w14:textFill>
        </w:rPr>
        <w:t>病例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14:textFill>
            <w14:solidFill>
              <w14:schemeClr w14:val="tx1"/>
            </w14:solidFill>
          </w14:textFill>
        </w:rPr>
        <w:t>讨论、医学基础与临床等栏目。刊登内容：消化系统临床与基础研究（重视临床文章，也欢迎基础文章）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14:textFill>
            <w14:solidFill>
              <w14:schemeClr w14:val="tx1"/>
            </w14:solidFill>
          </w14:textFill>
        </w:rPr>
        <w:t>消化系功能性疾病与器质性疾病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14:textFill>
            <w14:solidFill>
              <w14:schemeClr w14:val="tx1"/>
            </w14:solidFill>
          </w14:textFill>
        </w:rPr>
        <w:t>消化系肿瘤，与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:lang w:eastAsia="zh-CN"/>
          <w14:textFill>
            <w14:solidFill>
              <w14:schemeClr w14:val="tx1"/>
            </w14:solidFill>
          </w14:textFill>
        </w:rPr>
        <w:t>消化关系密切的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14:textFill>
            <w14:solidFill>
              <w14:schemeClr w14:val="tx1"/>
            </w14:solidFill>
          </w14:textFill>
        </w:rPr>
        <w:t>病理生理学、分子生物学、遗传学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:lang w:eastAsia="zh-CN"/>
          <w14:textFill>
            <w14:solidFill>
              <w14:schemeClr w14:val="tx1"/>
            </w14:solidFill>
          </w14:textFill>
        </w:rPr>
        <w:t>相关研究</w:t>
      </w:r>
      <w:r>
        <w:rPr>
          <w:rFonts w:hint="eastAsia" w:ascii="Times New Roman" w:hAnsi="Times New Roman" w:eastAsia="宋体"/>
          <w:color w:val="000000" w:themeColor="text1"/>
          <w:sz w:val="21"/>
          <w:szCs w:val="15"/>
          <w14:textFill>
            <w14:solidFill>
              <w14:schemeClr w14:val="tx1"/>
            </w14:solidFill>
          </w14:textFill>
        </w:rPr>
        <w:t>。定位：主要针对高等院校、科研机构和具有科研实力的医院的作者和读者群体。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欢迎先进性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、科学性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设计合理、数据可靠和统计方法正确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、实用性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对于研究、临床或其他方面有较大指导意义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及可读性强的文章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文稿应表达准确，重点突出，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层次清楚，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文字简练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/>
        <w:textAlignment w:val="auto"/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 文题：力求简明、醒目，反映文章主题。中文题目以20个汉字以内为宜，英文标题以12个实词以内为宜。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/>
        <w:textAlignment w:val="auto"/>
        <w:rPr>
          <w:rFonts w:hint="eastAsia" w:ascii="Times New Roman" w:hAnsi="Times New Roman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 摘要：投稿均需要中英文摘要，论著和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短篇论著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要求结构式的中英文摘要，包括：目的、方法、结果、结论。述评、专题、综述等要求非结构式的中英文摘要，即一段对全文高度概括性的文字。英文摘要一般与中文摘要内容相对应，可以略微详细。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 作者姓名和单位：作者和单位标注在文题下方，所有作者姓名均列出，单位或科室不完全一致时，应逐一列出不同作者的不同单位。如：田  翀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，高  青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 xml:space="preserve">2   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重庆市东南医院消化内科，重庆 401336；2. 重庆医科大学附属第一医院消化内科。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英文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作者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标注：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姓前名后，姓大写，名的首字母大写，作者间加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。如：李西安应写为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LI Xi’an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，而李显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贤、先、献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则为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LI Xian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。通讯作者的信息应标注在文章首页的左下角，内容包括：通讯作者姓名、职称、学历、研究方向、联系方式（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E-mail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）等。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 关键词：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个，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请尽量从美国国立医学图书馆的《医学主题词表（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MeSH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）》数据库（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http://www.ncbi.nlm.nih.gov/entrez/query.fcgi?db=mesh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）中选取。如最新版中尚无相应的词，中文译名可参照中国医学科学院信息研究所编译的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《医学主题词注释字顺表》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。未被词表收录的专业术语（自由词），可直接作为关键词使用。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 中图分类号：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中图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分类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号应按新版《中国图书馆分类法》标注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可选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个，主分类号排前，其间用分号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分隔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 图表：图表随文，分别按其在正文中出现的先后次序连续编码，每幅图表应冠有图（表）题。说明性资料应置于图表下方的注释中，并在注释中标明图表中使用的缩略语。表格建议使用三线表（顶线、表头线、底线），表内数据要求同一指标有效位数一致。图片要有良好的清晰度和对比度。大体标本照片在图内应有尺度标记。病理照片要有染色方法和放大倍数。图表中如有引自他刊者，应注明出处。表题和图题用中英文对照标注，中文在上方，英文在下方居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8. 医学名词：应使用全国科学技术名词审定委员会公布的名词。尚未通过审定的学科名词，可选用最新版《医学主题词表（MeSH）》、《医学主题词注释字顺表》、《中医药主题词表》中的主题词。对没有通用译名的名词术语于文内第一次出现时应注明原词。中西药名以最新版本《中华人民共和国药典》和《中国药品通用名称》（均由中国药典委员会编写）为准。确实需要使用商品名时应先注明其通用名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/>
          <w:i w:val="0"/>
          <w:iCs w:val="0"/>
          <w:color w:val="000000" w:themeColor="text1"/>
          <w:sz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9. 统计学符号：按GB3358.1-2009《统计学词汇及符号》的有关规定，一律采用斜体。我刊常用有：</w:t>
      </w:r>
      <w:r>
        <w:rPr>
          <w:rFonts w:ascii="Times New Roman" w:hAnsi="Times New Roman" w:eastAsia="宋体"/>
          <w:i/>
          <w:color w:val="000000" w:themeColor="text1"/>
          <w:position w:val="-6"/>
          <w:sz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13pt;width:11pt;" o:ole="t" filled="f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± </w:t>
      </w:r>
      <w:r>
        <w:rPr>
          <w:rFonts w:ascii="Times New Roman" w:hAnsi="Times New Roman" w:eastAsia="宋体"/>
          <w:i/>
          <w:color w:val="000000" w:themeColor="text1"/>
          <w:sz w:val="21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宋体"/>
          <w:i w:val="0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（均数</w:t>
      </w:r>
      <w:r>
        <w:rPr>
          <w:rFonts w:ascii="Times New Roman" w:hAnsi="Times New Roman" w:eastAsia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>±</w:t>
      </w:r>
      <w:r>
        <w:rPr>
          <w:rFonts w:hint="eastAsia" w:ascii="Times New Roman" w:hAnsi="Times New Roman" w:eastAsia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标准差</w:t>
      </w:r>
      <w:r>
        <w:rPr>
          <w:rFonts w:hint="eastAsia" w:ascii="Times New Roman" w:hAnsi="Times New Roman" w:eastAsia="宋体"/>
          <w:i w:val="0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/>
          <w:i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/>
          <w:i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宋体"/>
          <w:i w:val="0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（中位数）、</w:t>
      </w:r>
      <w:r>
        <w:rPr>
          <w:rFonts w:hint="eastAsia" w:ascii="Times New Roman" w:hAnsi="Times New Roman" w:eastAsia="宋体"/>
          <w:i/>
          <w:iCs w:val="0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eastAsia="宋体"/>
          <w:i w:val="0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检验、</w:t>
      </w:r>
      <w:r>
        <w:rPr>
          <w:rFonts w:ascii="Times New Roman" w:hAnsi="Times New Roman" w:eastAsia="宋体"/>
          <w:i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χ</w:t>
      </w:r>
      <w:r>
        <w:rPr>
          <w:rFonts w:ascii="Times New Roman" w:hAnsi="Times New Roman" w:eastAsia="宋体"/>
          <w:i/>
          <w:iCs/>
          <w:color w:val="000000" w:themeColor="text1"/>
          <w:sz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/>
          <w:i w:val="0"/>
          <w:iCs w:val="0"/>
          <w:color w:val="000000" w:themeColor="text1"/>
          <w:sz w:val="21"/>
          <w:vertAlign w:val="baseline"/>
          <w:lang w:eastAsia="zh-CN"/>
          <w14:textFill>
            <w14:solidFill>
              <w14:schemeClr w14:val="tx1"/>
            </w14:solidFill>
          </w14:textFill>
        </w:rPr>
        <w:t>检验、</w:t>
      </w:r>
      <w:r>
        <w:rPr>
          <w:rFonts w:hint="eastAsia" w:ascii="Times New Roman" w:hAnsi="Times New Roman" w:eastAsia="宋体"/>
          <w:i/>
          <w:iCs/>
          <w:color w:val="000000" w:themeColor="text1"/>
          <w:sz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Times New Roman" w:hAnsi="Times New Roman" w:eastAsia="宋体"/>
          <w:i w:val="0"/>
          <w:iCs w:val="0"/>
          <w:color w:val="000000" w:themeColor="text1"/>
          <w:sz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检验、</w:t>
      </w:r>
      <w:r>
        <w:rPr>
          <w:rFonts w:hint="eastAsia" w:ascii="Times New Roman" w:hAnsi="Times New Roman" w:eastAsia="宋体"/>
          <w:i/>
          <w:iCs/>
          <w:color w:val="000000" w:themeColor="text1"/>
          <w:sz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Times New Roman" w:hAnsi="Times New Roman" w:eastAsia="宋体"/>
          <w:i w:val="0"/>
          <w:iCs w:val="0"/>
          <w:color w:val="000000" w:themeColor="text1"/>
          <w:sz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（相关系数）、</w:t>
      </w:r>
      <w:r>
        <w:rPr>
          <w:rFonts w:hint="eastAsia" w:ascii="Times New Roman" w:hAnsi="Times New Roman" w:eastAsia="宋体"/>
          <w:i/>
          <w:iCs/>
          <w:color w:val="000000" w:themeColor="text1"/>
          <w:sz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Times New Roman" w:hAnsi="Times New Roman" w:eastAsia="宋体"/>
          <w:i w:val="0"/>
          <w:iCs w:val="0"/>
          <w:color w:val="000000" w:themeColor="text1"/>
          <w:sz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值、</w:t>
      </w:r>
      <w:r>
        <w:rPr>
          <w:rFonts w:hint="eastAsia" w:ascii="Times New Roman" w:hAnsi="Times New Roman" w:eastAsia="宋体"/>
          <w:i/>
          <w:iCs/>
          <w:color w:val="000000" w:themeColor="text1"/>
          <w:sz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eastAsia="宋体"/>
          <w:i w:val="0"/>
          <w:iCs w:val="0"/>
          <w:color w:val="000000" w:themeColor="text1"/>
          <w:sz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值等。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/>
          <w:i w:val="0"/>
          <w:iCs w:val="0"/>
          <w:color w:val="000000" w:themeColor="text1"/>
          <w:sz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i w:val="0"/>
          <w:iCs w:val="0"/>
          <w:color w:val="000000" w:themeColor="text1"/>
          <w:sz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10. 计量单位：执行GB 3100~3102-1993《量和单位》中有关量、单位和符号的规定及其书写规则，单位名称和单位符号不可混用。组合单位符号中表示相除的斜线对于1条时，应采用负数幂的形式表示，如：ng/kg/min是错误的，应该写成ng</w:t>
      </w:r>
      <w:r>
        <w:rPr>
          <w:rFonts w:hint="eastAsia" w:ascii="Times New Roman" w:hAnsi="Times New Roman" w:eastAsia="宋体" w:cs="宋体"/>
          <w:i w:val="0"/>
          <w:iCs w:val="0"/>
          <w:color w:val="000000" w:themeColor="text1"/>
          <w:sz w:val="21"/>
          <w:szCs w:val="1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·kg</w:t>
      </w:r>
      <w:r>
        <w:rPr>
          <w:rFonts w:hint="eastAsia" w:ascii="Times New Roman" w:hAnsi="Times New Roman" w:eastAsia="宋体" w:cs="宋体"/>
          <w:i w:val="0"/>
          <w:iCs w:val="0"/>
          <w:color w:val="000000" w:themeColor="text1"/>
          <w:sz w:val="21"/>
          <w:szCs w:val="1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-1</w:t>
      </w:r>
      <w:bookmarkStart w:id="0" w:name="OLE_LINK1"/>
      <w:r>
        <w:rPr>
          <w:rFonts w:hint="eastAsia" w:ascii="Times New Roman" w:hAnsi="Times New Roman" w:eastAsia="宋体" w:cs="宋体"/>
          <w:i w:val="0"/>
          <w:iCs w:val="0"/>
          <w:color w:val="000000" w:themeColor="text1"/>
          <w:sz w:val="21"/>
          <w:szCs w:val="1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·min</w:t>
      </w:r>
      <w:r>
        <w:rPr>
          <w:rFonts w:hint="eastAsia" w:ascii="Times New Roman" w:hAnsi="Times New Roman" w:eastAsia="宋体" w:cs="宋体"/>
          <w:i w:val="0"/>
          <w:iCs w:val="0"/>
          <w:color w:val="000000" w:themeColor="text1"/>
          <w:sz w:val="21"/>
          <w:szCs w:val="1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-1</w:t>
      </w:r>
      <w:bookmarkEnd w:id="0"/>
      <w:r>
        <w:rPr>
          <w:rFonts w:hint="eastAsia" w:ascii="Times New Roman" w:hAnsi="Times New Roman" w:eastAsia="宋体" w:cs="宋体"/>
          <w:i w:val="0"/>
          <w:iCs w:val="0"/>
          <w:color w:val="000000" w:themeColor="text1"/>
          <w:sz w:val="21"/>
          <w:szCs w:val="1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的形式，组合单位中斜线和负数幂不可混用，比如：</w:t>
      </w:r>
      <w:r>
        <w:rPr>
          <w:rFonts w:hint="eastAsia" w:ascii="Times New Roman" w:hAnsi="Times New Roman" w:eastAsia="宋体"/>
          <w:i w:val="0"/>
          <w:iCs w:val="0"/>
          <w:color w:val="000000" w:themeColor="text1"/>
          <w:sz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ng/kg</w:t>
      </w:r>
      <w:r>
        <w:rPr>
          <w:rFonts w:hint="eastAsia" w:ascii="Times New Roman" w:hAnsi="Times New Roman" w:eastAsia="宋体" w:cs="宋体"/>
          <w:i w:val="0"/>
          <w:iCs w:val="0"/>
          <w:color w:val="000000" w:themeColor="text1"/>
          <w:sz w:val="21"/>
          <w:szCs w:val="1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·min</w:t>
      </w:r>
      <w:r>
        <w:rPr>
          <w:rFonts w:hint="eastAsia" w:ascii="Times New Roman" w:hAnsi="Times New Roman" w:eastAsia="宋体" w:cs="宋体"/>
          <w:i w:val="0"/>
          <w:iCs w:val="0"/>
          <w:color w:val="000000" w:themeColor="text1"/>
          <w:sz w:val="21"/>
          <w:szCs w:val="1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Times New Roman" w:hAnsi="Times New Roman" w:eastAsia="宋体" w:cs="宋体"/>
          <w:i w:val="0"/>
          <w:iCs w:val="0"/>
          <w:color w:val="000000" w:themeColor="text1"/>
          <w:sz w:val="21"/>
          <w:szCs w:val="1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是错误的。尽可能使用单位符号，也可以与非物理单位（如：人、次、台等）的汉字构成组合形式的单位，如：次/d。参量及其公差值均需附单位，当参量与其公差的单位相同时，单位可只写1次，即加圆括号将数值组合，置于共同单位符号于全部数值之后，如：15.1 mg/L</w:t>
      </w:r>
      <w:r>
        <w:rPr>
          <w:rFonts w:ascii="Times New Roman" w:hAnsi="Times New Roman" w:eastAsia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± </w:t>
      </w: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3.6 </w:t>
      </w:r>
      <w:r>
        <w:rPr>
          <w:rFonts w:hint="eastAsia" w:ascii="Times New Roman" w:hAnsi="Times New Roman" w:eastAsia="宋体" w:cs="宋体"/>
          <w:i w:val="0"/>
          <w:iCs w:val="0"/>
          <w:color w:val="000000" w:themeColor="text1"/>
          <w:sz w:val="21"/>
          <w:szCs w:val="1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mg/L，可以写成（15.1</w:t>
      </w:r>
      <w:r>
        <w:rPr>
          <w:rFonts w:ascii="Times New Roman" w:hAnsi="Times New Roman" w:eastAsia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± </w:t>
      </w: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3.6</w:t>
      </w:r>
      <w:r>
        <w:rPr>
          <w:rFonts w:hint="eastAsia" w:ascii="Times New Roman" w:hAnsi="Times New Roman" w:eastAsia="宋体" w:cs="宋体"/>
          <w:i w:val="0"/>
          <w:iCs w:val="0"/>
          <w:color w:val="000000" w:themeColor="text1"/>
          <w:sz w:val="21"/>
          <w:szCs w:val="1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）mg/L。但，数字后面是数量级而不是单位时，不能随便简写或扩写，如(25±2)%, 不能写成25±2%，因为这是一个偏差概念，也不能写成25%±2%。量单位用正体表示，但量的符号一律用斜体表示，如吸光度的符号为</w:t>
      </w:r>
      <w:r>
        <w:rPr>
          <w:rFonts w:hint="eastAsia" w:ascii="Times New Roman" w:hAnsi="Times New Roman" w:eastAsia="宋体" w:cs="宋体"/>
          <w:i/>
          <w:iCs/>
          <w:color w:val="000000" w:themeColor="text1"/>
          <w:sz w:val="21"/>
          <w:szCs w:val="1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宋体"/>
          <w:i w:val="0"/>
          <w:iCs w:val="0"/>
          <w:color w:val="000000" w:themeColor="text1"/>
          <w:sz w:val="21"/>
          <w:szCs w:val="1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，那么</w:t>
      </w:r>
      <w:r>
        <w:rPr>
          <w:rFonts w:hint="eastAsia" w:ascii="Times New Roman" w:hAnsi="Times New Roman" w:eastAsia="宋体" w:cs="宋体"/>
          <w:i/>
          <w:iCs/>
          <w:color w:val="000000" w:themeColor="text1"/>
          <w:sz w:val="21"/>
          <w:szCs w:val="1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宋体"/>
          <w:i w:val="0"/>
          <w:iCs w:val="0"/>
          <w:color w:val="000000" w:themeColor="text1"/>
          <w:sz w:val="21"/>
          <w:szCs w:val="1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一定是斜体。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/>
        <w:textAlignment w:val="auto"/>
        <w:rPr>
          <w:rFonts w:hint="eastAsia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11. 数字：执行GB/T15835-2011《出版物上数字用法》。公历世纪、年代、年、月、日、时刻和计数、计量均用阿拉伯数字。小数点前或后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4位数字时，每3位一组，组间空1/4个汉字格，如38456.47858，应写成38 456.478 58。但序数词和年份、页数、部队番号、仪表型号、标准号不分节。百分数的范围和偏差，前一个数字的百分符号不能省略，如：10%～30%，不能写成10～30%。尺寸单位的数值相乘，应写成3 cm</w:t>
      </w:r>
      <w:r>
        <w:rPr>
          <w:rFonts w:hint="default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 cm</w:t>
      </w:r>
      <w:r>
        <w:rPr>
          <w:rFonts w:hint="default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 cm，不能写成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hint="default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 cm或者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 cm</w:t>
      </w:r>
      <w:r>
        <w:rPr>
          <w:rFonts w:hint="eastAsia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/>
        <w:textAlignment w:val="auto"/>
        <w:rPr>
          <w:rFonts w:hint="eastAsia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12. 文字：严格执行《中华人民共和国国家通用语言文字法（2000-10-31）》和新闻出版总署2010年12月24日发布的《关于进一步规范出版物文字使用的通知》，以及1992年新闻出版署、国家语言文字工作委员会发布的《出版物汉字使用管理规定》，以1986年10月国家语言文字工作委员会重新发布的《简化字总表》和1988年3月国家语言文字工作委员会和新闻出版署发布的《现代汉语通用字表》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13. 缩略语：文题尽量不使用缩略语，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中尽量少使用缩略语。已经被公知公认的缩略语可以不加缩略语不加注释直接使用，如：DNA、RNA、HBsAg、PCR等。不常用的、尚未被公知公认的缩略语以及原词过长、在文中多次出现者，若为中文，可于文中第一次出现时写出全称，在圆括号内写出缩写语；若为外文，可于文中第一次出现时，写出中文全称，在圆括号内写出英文全称及其缩略语，如：</w:t>
      </w:r>
      <w:r>
        <w:rPr>
          <w:rFonts w:hint="eastAsia" w:ascii="Times New Roman" w:hAnsi="Times New Roman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幽门螺旋杆菌（Helicobacter pylori，</w:t>
      </w:r>
      <w:r>
        <w:rPr>
          <w:rFonts w:hint="eastAsia" w:ascii="Times New Roman" w:hAnsi="Times New Roman" w:eastAsia="宋体" w:cs="宋体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H.pylori</w:t>
      </w:r>
      <w:r>
        <w:rPr>
          <w:rFonts w:hint="eastAsia" w:ascii="Times New Roman" w:hAnsi="Times New Roman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。不超过</w:t>
      </w:r>
      <w:r>
        <w:rPr>
          <w:rFonts w:hint="eastAsia" w:ascii="Times New Roman" w:hAnsi="Times New Roman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4个汉字的名词不宜使用缩略语。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14. 统计学方法：尽量详细描述，建议补充有关统计研究设计、资料的表达与描述、统计分析方法的选择、统计结果的解释和表达等要求。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15. 医学伦理问题及知情同意：须遵循医学伦理基本原则。当论文的主体是以人为研究对象时，作者应注明其遵循的程序是否符合负责人体试验的委员会（单位性的、地区性的或国家性的）制定的伦理学标准，该委员会的批准文件及受试对象或其亲属的知情同意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16. 参考文献著录格式：执行GB/T7714-2015《信息与文献 参考文献著录规则》。应尽量选择5年以内的文献进行综述。采用顺序编码制著录，依照其在文中出现的先后顺序用阿拉伯数字标出，并将序号置于方括号中，排列于文后。内部刊物、未发表资料、个人通讯等请勿作为文献引用。日文汉字请按照日文规定书写，勿与我国汉字及简化字混淆。同一文献作者不超过3人全部著录，超过3人可以只著录前3人，后加“，等”。作者姓名一律姓氏在前，名字在后，外国人其姓全部著录，字母全大写，名可缩写为首字母，缩写名后省略缩写点。不同姓名之间用“，”隔开，不用“和”、“and”等连词。用汉语拼音书写的人名，姓大写，名可缩写，取每个汉字拼音的首字母，缩写省略点。题名后标注文献类型。引用的中文参考文献，原文中有外文题名信息的，用双语著录，双语著录参考文献时，首先用信息资源的原种著录，然后用外文语种著录。文献类型和电子文献载体标志代码参照GB 3469-1983《文献类型与文献载体代码》。外文期刊名称用缩写，可以采用国际医学期刊编辑委员会推荐的NLM</w:t>
      </w:r>
      <w:r>
        <w:rPr>
          <w:rFonts w:hint="default" w:ascii="Times New Roman" w:hAnsi="Times New Roman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Times New Roman" w:hAnsi="Times New Roman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s Citing Medicine (http://www.ncbi.nlm.nih.gov/books/NBK7256) 中的格式。中文期刊用全名。文献DOI号需著录在该条文献最后。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rPr>
          <w:rFonts w:ascii="Times New Roman" w:hAnsi="Times New Roman" w:eastAsia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="Times New Roman" w:hAnsi="Times New Roman" w:eastAsia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>]  DISTRUTTI E, CIPRIANI S, MENCARELLI A, et al. Probiotics VSL#3 protect against development of visceral pain in murine model of irritable bowel syndrome [J]. PLoS One, 2013, 8(5): e63893.doi: 10.1371/journal.pone.0063893</w:t>
      </w: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10" w:firstLineChars="100"/>
        <w:textAlignment w:val="auto"/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[2] 陆佳, 方秀才. 乳杆菌属治疗肠易激综合征的机制[J]. 胃肠病学和肝病学杂志, 2017, 26(2): 218-221.doi:10.3969/j.issn.1006-5709.2017.02.028.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LU J, FANG X C. Mechanism of Lactobacillus in the treatment of irritable bowel syndrome [J]. Chin J Gastroenterol Hepatol, 2017, 26(2): 218-221.doi:10.3969/j.issn.1006-5709.2017.02.028.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致谢：置于正文后、参考文献前。用于对参与部分工作、提供技术性帮助、提供工作方便、给予指导但尚达不到作者资格者，以及提供资助的团体或个人表示感谢。文字力求简练，评价得当，并应征得被致谢人同意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基金项目：论文涉及的课题如国家或部、省级以上基金或攻关项目，应予以注明。著录于文章第一页左下角。标注格式如下：基金项目：国家自然科学基金（30271296）。并须附基金项目证明复印件。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单位介绍信：来稿需经作者单位审核，并附单位介绍信，介绍信应注明对稿件的审评意见以及无一稿两投、不涉及保密、署明无争议等，并加盖公章。如涉及保密问题，需附有关部门审查同意发表的证明。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审稿：我刊实行以同行审稿为基础的三审制度（编辑初审、专家外审、编委会终审）。审稿过程中保护作者稿件的私密权。对不拟刊用的稿件告知退稿意见，对稿件处理有不同意见者，作者有权申请复议，并提出申诉的文字说明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稿件处理时限：根据《中华人民共和国著作权法》，并结合我刊实际情况，凡接到本刊收稿回执后3个月内未接到稿件处理通知者，则稿件仍在审阅中。作者如欲投他刊，务必事先与编辑部联系，否则将视为一稿多投，作退稿处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著作权事项：作者对来稿的真实性及科学性负责，依照《中华人民共和国著作权法》有关规定，本刊可以对来稿做文字修改、删节。凡有涉及原意的修改，提出并给作者考虑，征得作者的同意。修改稿逾期1个月不返回者，视为自动撤稿。来稿一经接受刊登，视为论文的专有使用权归我刊所有。我刊有权以电子期刊、APP终端、微信等其他方式出版刊登该论文，未经我刊同意，论文的任何部分不得转载他处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版面费事宜：目前，我刊不收审稿费，确认稿件可以刊登，即录用后，需按照录用通知的要求缴纳版面费。版面费的多少按照所占版面收取，稿件中有彩图的，需要另外付彩图印刷工本费。录用后超过2个月不缴费，视为自动退稿，不再接收版面费。为了避免一稿两投，版面费一旦缴纳，视为同意在我刊发表，没有特殊原因，一概不退费。稿件刊登后，快递寄送两本当期杂志和发票给作者，随后再平邮赠送给作者4期杂志作为稿酬。</w:t>
      </w:r>
    </w:p>
    <w:p>
      <w:pPr>
        <w:spacing w:before="100" w:beforeAutospacing="1" w:after="100" w:afterAutospacing="1" w:line="315" w:lineRule="atLeast"/>
        <w:ind w:firstLine="356"/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投稿方式：目前，我刊不接受纸质来稿，稿件可以经我刊投稿系统投稿（</w:t>
      </w:r>
      <w:r>
        <w:rPr>
          <w:rFonts w:hint="eastAsia"/>
          <w:color w:val="000000"/>
          <w:szCs w:val="21"/>
        </w:rPr>
        <w:t>http://wcbx.cbpt.cnki.net</w:t>
      </w: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）或我刊官方邮箱投稿（wcbx@chinajournal.net.cn），并附单位介绍信，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单位介绍信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基金证明或批文复印件可以通过扫描或数码相机拍照后通过邮件发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编辑部。当通过电子邮件发送图片时，请发送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TIF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JPG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BMP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格式的文件</w:t>
      </w:r>
      <w:r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。稿件处理结果将通过我刊官方邮箱反馈给作者。咨询电话：0371-66912916。通讯地址：河南省郑州市二七区大学路40号《胃肠病学和肝病学杂志》编辑部，邮编：450052。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rPr>
          <w:rFonts w:hint="eastAsia" w:ascii="Times New Roman" w:hAnsi="Times New Roman" w:eastAsia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/>
        <w:textAlignment w:val="auto"/>
        <w:rPr>
          <w:rFonts w:hint="eastAsia" w:ascii="Times New Roman" w:hAnsi="Times New Roman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5588"/>
    <w:multiLevelType w:val="singleLevel"/>
    <w:tmpl w:val="5A1E558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1E55BA"/>
    <w:multiLevelType w:val="singleLevel"/>
    <w:tmpl w:val="5A1E55BA"/>
    <w:lvl w:ilvl="0" w:tentative="0">
      <w:start w:val="1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260AD"/>
    <w:rsid w:val="0EEA4C3E"/>
    <w:rsid w:val="119F468C"/>
    <w:rsid w:val="1EF56CAF"/>
    <w:rsid w:val="200044DB"/>
    <w:rsid w:val="295E55AF"/>
    <w:rsid w:val="297968C4"/>
    <w:rsid w:val="2B56127D"/>
    <w:rsid w:val="367E05B0"/>
    <w:rsid w:val="522C3A4B"/>
    <w:rsid w:val="635260AD"/>
    <w:rsid w:val="661E4683"/>
    <w:rsid w:val="70797481"/>
    <w:rsid w:val="78E763BE"/>
    <w:rsid w:val="7BF00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2017-11-23T05:49:00Z</dcterms:created>
  <dc:creator>Administrator</dc:creator>
  <cp:lastModifiedBy>欣宝萌宝妈咪</cp:lastModifiedBy>
  <cp:lastPrinted>2017-11-30T01:32:00Z</cp:lastPrinted>
  <dcterms:modified xsi:type="dcterms:W3CDTF">2019-04-30T07:22:07Z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