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56" w:firstLineChars="696"/>
        <w:rPr>
          <w:rFonts w:hint="eastAsia" w:ascii="宋体" w:hAnsi="宋体" w:eastAsia="宋体" w:cs="Times New Roman"/>
          <w:b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《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财经问题研究</w:t>
      </w:r>
      <w:r>
        <w:rPr>
          <w:rFonts w:hint="eastAsia" w:ascii="宋体" w:hAnsi="宋体" w:eastAsia="宋体" w:cs="Times New Roman"/>
          <w:b/>
          <w:sz w:val="28"/>
          <w:szCs w:val="28"/>
        </w:rPr>
        <w:t>》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征稿启事（</w:t>
      </w:r>
      <w:r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517" w:firstLineChars="245"/>
        <w:textAlignment w:val="auto"/>
        <w:rPr>
          <w:rStyle w:val="8"/>
          <w:rFonts w:cs="Helvetica" w:asciiTheme="minorEastAsia" w:hAnsiTheme="minorEastAsia"/>
          <w:color w:val="3E3E3E"/>
          <w:sz w:val="21"/>
          <w:szCs w:val="21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《财经问题研究》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于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19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9年创刊，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是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辽宁省教育厅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主管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东北财经大学主办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经济管理类学术期刊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。本刊以建设成为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研究阐释党的理论创新成果的坚强阵地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推动加快构建中国特色哲学社会科学的学术高地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为使命，围绕推进中国式现代化过程中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的重大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财经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理论和实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问题，注重反映以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财经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科学为主的社会科学研究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前沿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财经科学领域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理论和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政策研究工作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者提供发表研究成果的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平台和载体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努力推动扎根中国实践、具有时代特色的学术资源发掘、学术方法互鉴、学术领域融通的财经学术共同体建设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《财经问题研究》在财经管理类学术期刊中享有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较高学术影响和美誉度，先后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被评选为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全国中文核心期刊、中国人文社会科学核心期刊、中国经济类核心期刊（1986—1990年）、首届全国百强学报（1999年）、中国期刊方阵</w:t>
      </w:r>
      <w:r>
        <w:rPr>
          <w:rFonts w:hint="eastAsia" w:ascii="宋体" w:hAnsi="宋体" w:eastAsia="宋体" w:cs="宋体"/>
          <w:sz w:val="21"/>
          <w:szCs w:val="21"/>
        </w:rPr>
        <w:t>“双效期刊”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（2001年）、第二届全国双十佳社科学报（2002年）、中文社会科学引文索引（CSSCI）来源期刊、教育部高校哲学社会科学学报名栏期刊（2004年）、国家社会科学基金资助期刊（2012年）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、第一届辽宁省出版政府奖期刊（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21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年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）、中国国际影响力优秀学术期刊（人文社会科学）（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2022年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《财经问题研究》热忱欢迎国内外学者踊跃赐稿，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鼓励和优先刊发扎根当代中国财经实践问题、提出中国标识性学术概念、具有鲜明学术原创性和思想性的优秀研究成果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。本刊有经济观察、理论研究（教育部名栏）、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财税与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、财务与会计等常设栏目，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滚动栏目包括：产业组织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区域经济、农业经济、贸易经济、国际经济、企业经济、公共管理、旅游经济等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来稿以</w:t>
      </w:r>
      <w:r>
        <w:rPr>
          <w:rFonts w:hint="default" w:ascii="Times New Roman" w:hAnsi="Times New Roman" w:cs="Times New Roman" w:eastAsiaTheme="minorEastAsia"/>
          <w:b w:val="0"/>
          <w:sz w:val="21"/>
          <w:szCs w:val="21"/>
        </w:rPr>
        <w:t>15 000—20 000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字为宜。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文章内容应具有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正确政治导向、学术创新创造、方法科学规范等特点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，论点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鲜明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、论据合理、重点突出、层次清楚、结果数据可靠、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表达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简练流畅。详细要求请参照“投稿标准模版”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eastAsia="zh-CN"/>
        </w:rPr>
        <w:t>不符合投稿模板要求的稿件本刊将不予受理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none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本刊实行双向匿名审稿制度，为方便审稿，请将作者姓名、出生年份、性别、籍贯（省、县）、职称、学位、所在城市名、工作单位、通讯地址、邮政编码、联系电话和邮箱等个人信息独立为一页，正文避免出现相关信息。本刊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不接受纸质稿件投稿</w:t>
      </w:r>
      <w:r>
        <w:rPr>
          <w:rStyle w:val="8"/>
          <w:rFonts w:hint="eastAsia" w:asciiTheme="minorEastAsia" w:hAnsiTheme="minorEastAsia" w:cstheme="minorEastAsia"/>
          <w:b w:val="0"/>
          <w:sz w:val="21"/>
          <w:szCs w:val="21"/>
          <w:lang w:val="en-US" w:eastAsia="zh-CN"/>
        </w:rPr>
        <w:t>，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</w:rPr>
        <w:t>作者可以通过《财经问题研究》网上投稿系统投稿，投稿网站：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1"/>
          <w:szCs w:val="21"/>
          <w:u w:val="none"/>
        </w:rPr>
        <w:t>https://cjwt.cbpt.cnki.net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none"/>
        </w:rPr>
        <w:t>。确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none"/>
        </w:rPr>
        <w:t>定编辑部收到稿件两个月后未接到本刊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none"/>
          <w:lang w:eastAsia="zh-CN"/>
        </w:rPr>
        <w:t>用稿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none"/>
        </w:rPr>
        <w:t>通知的可以另投他刊。凡在本刊发表的文章，文责自负，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编辑部有权进行技术性和文字性修改。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none"/>
        </w:rPr>
        <w:t>投寄本刊论文的全部版权一旦发表，该论文所有版权（包括但不限于刊物出版、电子出版、多媒体出版、网络出版等形式）即转为《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none"/>
          <w:lang w:eastAsia="zh-CN"/>
        </w:rPr>
        <w:t>财经问题研究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none"/>
        </w:rPr>
        <w:t>》编辑部所有。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200"/>
        <w:jc w:val="both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</w:rPr>
        <w:t>本刊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不收取版面费等任何费用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，稿酬与审稿费相抵，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</w:rPr>
        <w:t>对荣获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国家级科研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</w:rPr>
        <w:t>成果奖或被《新华文摘》《中国社会科学文摘》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《高等学校文科学术文摘》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人大复印报刊资料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》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</w:rPr>
        <w:t>等转载（摘）</w:t>
      </w:r>
      <w:r>
        <w:rPr>
          <w:rStyle w:val="8"/>
          <w:rFonts w:hint="eastAsia" w:asciiTheme="minorEastAsia" w:hAnsiTheme="minorEastAsia" w:cstheme="minorEastAsia"/>
          <w:b w:val="0"/>
          <w:sz w:val="21"/>
          <w:szCs w:val="21"/>
          <w:lang w:eastAsia="zh-CN"/>
        </w:rPr>
        <w:t>，以及其他高转载、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高被引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</w:rPr>
        <w:t>的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优秀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1"/>
          <w:szCs w:val="21"/>
        </w:rPr>
        <w:t>学术论文予以奖励。</w:t>
      </w:r>
    </w:p>
    <w:p>
      <w:pPr>
        <w:spacing w:line="276" w:lineRule="auto"/>
      </w:pP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0NTlhZmNiZTk1MGUwMjlkODJlYjViZWExMWE3ZGUifQ=="/>
  </w:docVars>
  <w:rsids>
    <w:rsidRoot w:val="00036F2D"/>
    <w:rsid w:val="000265E7"/>
    <w:rsid w:val="000267A1"/>
    <w:rsid w:val="00036C72"/>
    <w:rsid w:val="00036F2D"/>
    <w:rsid w:val="00046F47"/>
    <w:rsid w:val="0006500A"/>
    <w:rsid w:val="000A79AE"/>
    <w:rsid w:val="000D67A1"/>
    <w:rsid w:val="000D735A"/>
    <w:rsid w:val="000E53F7"/>
    <w:rsid w:val="000E6488"/>
    <w:rsid w:val="00116D60"/>
    <w:rsid w:val="00185B10"/>
    <w:rsid w:val="001B2C8A"/>
    <w:rsid w:val="0020549E"/>
    <w:rsid w:val="0023568E"/>
    <w:rsid w:val="002920BC"/>
    <w:rsid w:val="002B5D5F"/>
    <w:rsid w:val="002E6E62"/>
    <w:rsid w:val="00311930"/>
    <w:rsid w:val="003613C4"/>
    <w:rsid w:val="0036437A"/>
    <w:rsid w:val="003A59AF"/>
    <w:rsid w:val="003C350E"/>
    <w:rsid w:val="003D5D5C"/>
    <w:rsid w:val="003E68E7"/>
    <w:rsid w:val="00442B0B"/>
    <w:rsid w:val="00444892"/>
    <w:rsid w:val="004525A1"/>
    <w:rsid w:val="00460080"/>
    <w:rsid w:val="00461A2D"/>
    <w:rsid w:val="004B06A2"/>
    <w:rsid w:val="004E30D8"/>
    <w:rsid w:val="004E3FDF"/>
    <w:rsid w:val="005006E4"/>
    <w:rsid w:val="0053355B"/>
    <w:rsid w:val="0057640E"/>
    <w:rsid w:val="005A3A47"/>
    <w:rsid w:val="005E086A"/>
    <w:rsid w:val="005E5D30"/>
    <w:rsid w:val="006253BA"/>
    <w:rsid w:val="0065346A"/>
    <w:rsid w:val="00686894"/>
    <w:rsid w:val="006A2C4F"/>
    <w:rsid w:val="00725AFB"/>
    <w:rsid w:val="00731CB4"/>
    <w:rsid w:val="007372B5"/>
    <w:rsid w:val="00750FE9"/>
    <w:rsid w:val="007528FE"/>
    <w:rsid w:val="00794CBD"/>
    <w:rsid w:val="007C2AC1"/>
    <w:rsid w:val="008053D6"/>
    <w:rsid w:val="0083100C"/>
    <w:rsid w:val="0085620F"/>
    <w:rsid w:val="008614FF"/>
    <w:rsid w:val="008742A4"/>
    <w:rsid w:val="00886E94"/>
    <w:rsid w:val="0089709B"/>
    <w:rsid w:val="008C56FF"/>
    <w:rsid w:val="00945945"/>
    <w:rsid w:val="009554BF"/>
    <w:rsid w:val="0097089E"/>
    <w:rsid w:val="009E6AB1"/>
    <w:rsid w:val="00A054C3"/>
    <w:rsid w:val="00A50555"/>
    <w:rsid w:val="00A6506F"/>
    <w:rsid w:val="00AE494F"/>
    <w:rsid w:val="00AF7114"/>
    <w:rsid w:val="00B052DF"/>
    <w:rsid w:val="00B14134"/>
    <w:rsid w:val="00B305A3"/>
    <w:rsid w:val="00BB4DF9"/>
    <w:rsid w:val="00BE5E66"/>
    <w:rsid w:val="00C15EE6"/>
    <w:rsid w:val="00C16B91"/>
    <w:rsid w:val="00C447A8"/>
    <w:rsid w:val="00C55D12"/>
    <w:rsid w:val="00CA1E5C"/>
    <w:rsid w:val="00CA201A"/>
    <w:rsid w:val="00CB2FE5"/>
    <w:rsid w:val="00CB3A9D"/>
    <w:rsid w:val="00CE6427"/>
    <w:rsid w:val="00D0396D"/>
    <w:rsid w:val="00D06124"/>
    <w:rsid w:val="00D21265"/>
    <w:rsid w:val="00D228FB"/>
    <w:rsid w:val="00D43A3E"/>
    <w:rsid w:val="00D60EAF"/>
    <w:rsid w:val="00D6501E"/>
    <w:rsid w:val="00D747A1"/>
    <w:rsid w:val="00DB497F"/>
    <w:rsid w:val="00DC363C"/>
    <w:rsid w:val="00E35C2A"/>
    <w:rsid w:val="00E43BE1"/>
    <w:rsid w:val="00E43D05"/>
    <w:rsid w:val="00E5085C"/>
    <w:rsid w:val="00E85F05"/>
    <w:rsid w:val="00ED362C"/>
    <w:rsid w:val="00EE772D"/>
    <w:rsid w:val="00EF72F9"/>
    <w:rsid w:val="00F065DD"/>
    <w:rsid w:val="00F26376"/>
    <w:rsid w:val="00F613C1"/>
    <w:rsid w:val="00FC784A"/>
    <w:rsid w:val="00FD2786"/>
    <w:rsid w:val="00FE6B1A"/>
    <w:rsid w:val="00FF3B69"/>
    <w:rsid w:val="07FA0DDE"/>
    <w:rsid w:val="0B0A5387"/>
    <w:rsid w:val="0F31524E"/>
    <w:rsid w:val="12A1267B"/>
    <w:rsid w:val="1EB22200"/>
    <w:rsid w:val="22D25BD7"/>
    <w:rsid w:val="25DB1478"/>
    <w:rsid w:val="2D4B039D"/>
    <w:rsid w:val="2DF105F1"/>
    <w:rsid w:val="32B658E7"/>
    <w:rsid w:val="36C304B4"/>
    <w:rsid w:val="36C97DC2"/>
    <w:rsid w:val="3DA667C1"/>
    <w:rsid w:val="42942369"/>
    <w:rsid w:val="430A3B9B"/>
    <w:rsid w:val="4EF37BD9"/>
    <w:rsid w:val="4EF71BC0"/>
    <w:rsid w:val="4FD12DB4"/>
    <w:rsid w:val="52AF3AC4"/>
    <w:rsid w:val="65C2742D"/>
    <w:rsid w:val="66540B05"/>
    <w:rsid w:val="78242518"/>
    <w:rsid w:val="7D5D1B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1109</Words>
  <Characters>1181</Characters>
  <Lines>8</Lines>
  <Paragraphs>2</Paragraphs>
  <TotalTime>2</TotalTime>
  <ScaleCrop>false</ScaleCrop>
  <LinksUpToDate>false</LinksUpToDate>
  <CharactersWithSpaces>1183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2022-11-09T01:40:00Z</dcterms:created>
  <dc:creator>Lenovo</dc:creator>
  <cp:lastModifiedBy>靳继东</cp:lastModifiedBy>
  <cp:lastPrinted>2019-11-07T03:00:00Z</cp:lastPrinted>
  <dcterms:modified xsi:type="dcterms:W3CDTF">2023-01-10T02:36:11Z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B7C0E8D42C4A4686AF216AB25D3C948E</vt:lpwstr>
  </property>
</Properties>
</file>