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7B339" w14:textId="77777777" w:rsidR="0087421F" w:rsidRDefault="0087421F">
      <w:pPr>
        <w:spacing w:line="360" w:lineRule="auto"/>
        <w:jc w:val="center"/>
        <w:rPr>
          <w:rFonts w:ascii="华文中宋" w:eastAsia="华文中宋" w:hAnsi="华文中宋" w:hint="eastAsia"/>
          <w:b/>
          <w:bCs/>
          <w:szCs w:val="21"/>
        </w:rPr>
      </w:pPr>
    </w:p>
    <w:p w14:paraId="18836149" w14:textId="77777777" w:rsidR="0087421F" w:rsidRDefault="00000000">
      <w:pPr>
        <w:pStyle w:val="af5"/>
        <w:rPr>
          <w:rFonts w:hint="eastAsia"/>
        </w:rPr>
      </w:pPr>
      <w:bookmarkStart w:id="0" w:name="中文标题_2"/>
      <w:r>
        <w:rPr>
          <w:rFonts w:hAnsi="Times New Roman"/>
          <w:color w:val="000000"/>
        </w:rPr>
        <w:t>成本认知视域下的大学生</w:t>
      </w:r>
      <w:r>
        <w:rPr>
          <w:rFonts w:ascii="宋体" w:eastAsia="宋体" w:hAnsi="宋体"/>
          <w:color w:val="000000"/>
        </w:rPr>
        <w:t>“</w:t>
      </w:r>
      <w:r>
        <w:rPr>
          <w:rFonts w:hAnsi="Times New Roman"/>
          <w:color w:val="000000"/>
        </w:rPr>
        <w:t>躺平</w:t>
      </w:r>
      <w:r>
        <w:rPr>
          <w:rFonts w:ascii="宋体" w:eastAsia="宋体" w:hAnsi="宋体"/>
          <w:color w:val="000000"/>
        </w:rPr>
        <w:t>”</w:t>
      </w:r>
      <w:r>
        <w:rPr>
          <w:rFonts w:hAnsi="Times New Roman"/>
          <w:color w:val="000000"/>
        </w:rPr>
        <w:t>心理剖析</w:t>
      </w:r>
      <w:bookmarkEnd w:id="0"/>
    </w:p>
    <w:p w14:paraId="0337DD41" w14:textId="77777777" w:rsidR="0087421F" w:rsidRDefault="00000000">
      <w:pPr>
        <w:pStyle w:val="af6"/>
        <w:rPr>
          <w:rFonts w:hint="eastAsia"/>
        </w:rPr>
      </w:pPr>
      <w:bookmarkStart w:id="1" w:name="中文作者_4"/>
      <w:proofErr w:type="gramStart"/>
      <w:r>
        <w:rPr>
          <w:rFonts w:hAnsi="Times New Roman"/>
        </w:rPr>
        <w:t>张琳嘉</w:t>
      </w:r>
      <w:proofErr w:type="gramEnd"/>
      <w:r>
        <w:rPr>
          <w:rFonts w:hAnsi="Times New Roman"/>
        </w:rPr>
        <w:t xml:space="preserve">  </w:t>
      </w:r>
      <w:r>
        <w:rPr>
          <w:rFonts w:hAnsi="Times New Roman"/>
        </w:rPr>
        <w:t>姜</w:t>
      </w:r>
      <w:r>
        <w:rPr>
          <w:rFonts w:hAnsi="Times New Roman"/>
        </w:rPr>
        <w:t xml:space="preserve">  </w:t>
      </w:r>
      <w:proofErr w:type="gramStart"/>
      <w:r>
        <w:rPr>
          <w:rFonts w:hAnsi="Times New Roman"/>
        </w:rPr>
        <w:t>怡</w:t>
      </w:r>
      <w:bookmarkEnd w:id="1"/>
      <w:proofErr w:type="gramEnd"/>
    </w:p>
    <w:p w14:paraId="112FAEC7" w14:textId="77777777" w:rsidR="0087421F" w:rsidRDefault="00000000">
      <w:pPr>
        <w:pStyle w:val="af7"/>
        <w:rPr>
          <w:rFonts w:hint="eastAsia"/>
        </w:rPr>
      </w:pPr>
      <w:bookmarkStart w:id="2" w:name="中文作者单位_2"/>
      <w:r>
        <w:rPr>
          <w:rFonts w:cs="仿宋"/>
        </w:rPr>
        <w:t>（华东师范大学）</w:t>
      </w:r>
      <w:bookmarkEnd w:id="2"/>
    </w:p>
    <w:p w14:paraId="6D50C98E" w14:textId="77777777" w:rsidR="0087421F" w:rsidRDefault="0087421F">
      <w:pPr>
        <w:jc w:val="center"/>
        <w:rPr>
          <w:rFonts w:eastAsia="黑体"/>
          <w:szCs w:val="21"/>
        </w:rPr>
      </w:pPr>
    </w:p>
    <w:p w14:paraId="4F514572" w14:textId="77777777" w:rsidR="0087421F" w:rsidRDefault="00000000">
      <w:pPr>
        <w:pStyle w:val="affff6"/>
        <w:ind w:firstLine="360"/>
        <w:rPr>
          <w:rFonts w:hint="eastAsia"/>
        </w:rPr>
      </w:pPr>
      <w:r>
        <w:rPr>
          <w:rStyle w:val="af8"/>
          <w:bCs/>
        </w:rPr>
        <w:t>摘  要</w:t>
      </w:r>
      <w:r>
        <w:rPr>
          <w:rStyle w:val="afe"/>
          <w:rFonts w:hint="eastAsia"/>
          <w:szCs w:val="18"/>
        </w:rPr>
        <w:t>：</w:t>
      </w:r>
      <w:bookmarkStart w:id="3" w:name="中文摘要_2"/>
      <w:r>
        <w:rPr>
          <w:rFonts w:hAnsi="Times New Roman"/>
        </w:rPr>
        <w:t>近年来</w:t>
      </w:r>
      <w:r>
        <w:rPr>
          <w:rFonts w:hAnsi="Times New Roman"/>
        </w:rPr>
        <w:t>“</w:t>
      </w:r>
      <w:r>
        <w:rPr>
          <w:rFonts w:hAnsi="Times New Roman"/>
        </w:rPr>
        <w:t>躺平</w:t>
      </w:r>
      <w:r>
        <w:rPr>
          <w:rFonts w:hAnsi="Times New Roman"/>
        </w:rPr>
        <w:t>”</w:t>
      </w:r>
      <w:r>
        <w:rPr>
          <w:rFonts w:hAnsi="Times New Roman"/>
        </w:rPr>
        <w:t>心态在大学生群体中广泛流行，并且逐步演化成特定的亚文化现象。</w:t>
      </w:r>
      <w:r>
        <w:rPr>
          <w:rFonts w:hAnsi="Times New Roman"/>
        </w:rPr>
        <w:t>“</w:t>
      </w:r>
      <w:r>
        <w:rPr>
          <w:rFonts w:hAnsi="Times New Roman"/>
        </w:rPr>
        <w:t>躺平</w:t>
      </w:r>
      <w:r>
        <w:rPr>
          <w:rFonts w:hAnsi="Times New Roman"/>
        </w:rPr>
        <w:t>”</w:t>
      </w:r>
      <w:r>
        <w:rPr>
          <w:rFonts w:hAnsi="Times New Roman"/>
        </w:rPr>
        <w:t>心态的产生，其根源可能并不在于学生学习能力的不足或对学习价值的忽视，而在于对学习生活产生了过高的成本认知。学习成本认知，即学生对学习可能连带产生的负面结果的主观评估，是诱发学业适应不良的核心因素。对学习成本认知进行精细化剖析，是诠释当代大学生形成诸如</w:t>
      </w:r>
      <w:r>
        <w:rPr>
          <w:rFonts w:hAnsi="Times New Roman"/>
        </w:rPr>
        <w:t>“</w:t>
      </w:r>
      <w:r>
        <w:rPr>
          <w:rFonts w:hAnsi="Times New Roman"/>
        </w:rPr>
        <w:t>躺平</w:t>
      </w:r>
      <w:r>
        <w:rPr>
          <w:rFonts w:hAnsi="Times New Roman"/>
        </w:rPr>
        <w:t>”</w:t>
      </w:r>
      <w:r>
        <w:rPr>
          <w:rFonts w:hAnsi="Times New Roman"/>
        </w:rPr>
        <w:t>等动机缺失现象的关键。本研究旨在明晰学习成本认知的概念框架和理论根源，分析其对大学生学习发展的消极影响，并探讨针对性的干预与教学策略。通过系统梳理，旨在厘清</w:t>
      </w:r>
      <w:r>
        <w:rPr>
          <w:rFonts w:hAnsi="Times New Roman"/>
        </w:rPr>
        <w:t>“</w:t>
      </w:r>
      <w:r>
        <w:rPr>
          <w:rFonts w:hAnsi="Times New Roman"/>
        </w:rPr>
        <w:t>躺平</w:t>
      </w:r>
      <w:r>
        <w:rPr>
          <w:rFonts w:hAnsi="Times New Roman"/>
        </w:rPr>
        <w:t>”</w:t>
      </w:r>
      <w:r>
        <w:rPr>
          <w:rFonts w:hAnsi="Times New Roman"/>
        </w:rPr>
        <w:t>心态的根本动因，为提升本科教育质量提供新的视角和思路。</w:t>
      </w:r>
      <w:bookmarkEnd w:id="3"/>
    </w:p>
    <w:p w14:paraId="7BE1FFCD" w14:textId="77777777" w:rsidR="0087421F" w:rsidRDefault="00000000">
      <w:pPr>
        <w:snapToGrid w:val="0"/>
        <w:ind w:firstLineChars="200" w:firstLine="360"/>
        <w:rPr>
          <w:rFonts w:eastAsia="楷体" w:hAnsi="楷体" w:hint="eastAsia"/>
        </w:rPr>
      </w:pPr>
      <w:r>
        <w:rPr>
          <w:rStyle w:val="af9"/>
          <w:bCs/>
        </w:rPr>
        <w:t>关键词</w:t>
      </w:r>
      <w:r>
        <w:rPr>
          <w:rStyle w:val="af9"/>
          <w:rFonts w:hint="eastAsia"/>
          <w:bCs/>
        </w:rPr>
        <w:t>：</w:t>
      </w:r>
      <w:bookmarkStart w:id="4" w:name="中文关键词_2"/>
      <w:r>
        <w:rPr>
          <w:rStyle w:val="afa"/>
          <w:kern w:val="0"/>
          <w:szCs w:val="20"/>
        </w:rPr>
        <w:t>学习成本认知；大学生；“躺平”；教育干预</w:t>
      </w:r>
      <w:bookmarkEnd w:id="4"/>
    </w:p>
    <w:p w14:paraId="281F5010" w14:textId="77777777" w:rsidR="0087421F" w:rsidRDefault="0087421F">
      <w:pPr>
        <w:jc w:val="center"/>
        <w:rPr>
          <w:rFonts w:eastAsia="黑体"/>
          <w:szCs w:val="21"/>
        </w:rPr>
      </w:pPr>
    </w:p>
    <w:p w14:paraId="544F4190" w14:textId="77777777" w:rsidR="0087421F" w:rsidRDefault="0087421F">
      <w:pPr>
        <w:pStyle w:val="aff1"/>
        <w:ind w:firstLine="420"/>
        <w:sectPr w:rsidR="0087421F" w:rsidSect="00D80F61">
          <w:headerReference w:type="even" r:id="rId9"/>
          <w:headerReference w:type="default" r:id="rId10"/>
          <w:footerReference w:type="even" r:id="rId11"/>
          <w:footerReference w:type="default" r:id="rId12"/>
          <w:headerReference w:type="first" r:id="rId13"/>
          <w:footerReference w:type="first" r:id="rId14"/>
          <w:footnotePr>
            <w:numFmt w:val="decimalEnclosedCircleChinese"/>
            <w:numRestart w:val="eachPage"/>
          </w:footnotePr>
          <w:endnotePr>
            <w:numFmt w:val="decimal"/>
          </w:endnotePr>
          <w:type w:val="continuous"/>
          <w:pgSz w:w="11907" w:h="16160"/>
          <w:pgMar w:top="1418" w:right="1134" w:bottom="1418" w:left="1134" w:header="851" w:footer="992" w:gutter="0"/>
          <w:cols w:space="720"/>
          <w:titlePg/>
          <w:docGrid w:type="linesAndChars" w:linePitch="312"/>
        </w:sectPr>
      </w:pPr>
    </w:p>
    <w:p w14:paraId="7F9323A6" w14:textId="77777777" w:rsidR="0087421F" w:rsidRDefault="00000000">
      <w:pPr>
        <w:pStyle w:val="aff1"/>
        <w:ind w:firstLine="420"/>
        <w:rPr>
          <w:rFonts w:ascii="宋体" w:hAnsi="宋体" w:hint="eastAsia"/>
        </w:rPr>
      </w:pPr>
      <w:bookmarkStart w:id="6" w:name="正文段落_2"/>
      <w:r>
        <w:rPr>
          <w:rFonts w:ascii="宋体" w:hAnsi="宋体"/>
        </w:rPr>
        <w:t>近年来，本科教育质量提升成为我国教育领域的一个重点议题，颇受社会各界关注。</w:t>
      </w:r>
      <w:r>
        <w:t>2018</w:t>
      </w:r>
      <w:r>
        <w:t>年</w:t>
      </w:r>
      <w:r>
        <w:t>9</w:t>
      </w:r>
      <w:r>
        <w:t>月</w:t>
      </w:r>
      <w:r>
        <w:rPr>
          <w:rFonts w:ascii="宋体" w:hAnsi="宋体"/>
        </w:rPr>
        <w:t>，《教育部关于加快建设高水平本科教育 全面提高人才培养能力的意见》在基本原则中提出，“坚持学生中心，全面发展。以促进学生全面发展为中心，既注重‘教得好’，更注重‘学得好’，激发学生学习兴趣和潜能”</w:t>
      </w:r>
      <w:r>
        <w:rPr>
          <w:rFonts w:ascii="宋体" w:hAnsi="宋体"/>
          <w:color w:val="000000"/>
          <w:vertAlign w:val="superscript"/>
        </w:rPr>
        <w:t xml:space="preserve"> </w:t>
      </w:r>
      <w:r>
        <w:rPr>
          <w:rStyle w:val="af4"/>
          <w:rFonts w:ascii="宋体" w:hAnsi="宋体"/>
          <w:kern w:val="0"/>
          <w:sz w:val="20"/>
          <w:szCs w:val="20"/>
        </w:rPr>
        <w:footnoteReference w:id="1"/>
      </w:r>
      <w:r>
        <w:rPr>
          <w:rFonts w:ascii="宋体" w:hAnsi="宋体"/>
        </w:rPr>
        <w:t>。提升本科教育质量是一个涵盖宏观和微观多个层面的复杂问题。在宏观层面，“以学生为中心”的理念已成为高等教育转型的核心，而如何将宏观政策导向具体到促进学生个体学习与发展的实践，是提升教育质量的关键挑战。这不仅需要系统规划和认真执行，还需要深入理解学生的学习心理和成长需求。目前，越来越多大学生出现逃避心理，走向“躺平化”。北京大学教育学院</w:t>
      </w:r>
      <w:r>
        <w:t>2019</w:t>
      </w:r>
      <w:r>
        <w:t>年</w:t>
      </w:r>
      <w:r>
        <w:rPr>
          <w:rFonts w:ascii="宋体" w:hAnsi="宋体"/>
        </w:rPr>
        <w:t>进行的“高校教学质量与学生发展监测”结果显示，</w:t>
      </w:r>
      <w:r>
        <w:t>29.2%</w:t>
      </w:r>
      <w:r>
        <w:rPr>
          <w:rFonts w:ascii="宋体" w:hAnsi="宋体"/>
        </w:rPr>
        <w:t>的本科生缺乏明确的自我发展规划，自主学习的参与度也偏低。华东师范大学</w:t>
      </w:r>
      <w:r>
        <w:t>2020</w:t>
      </w:r>
      <w:r>
        <w:t>年对全国</w:t>
      </w:r>
      <w:r>
        <w:t>38</w:t>
      </w:r>
      <w:r>
        <w:rPr>
          <w:rFonts w:ascii="宋体" w:hAnsi="宋体"/>
        </w:rPr>
        <w:t>所高校本科生的调查显示，学生的内在学习动机和对专业的投入普遍不足，逃课现象普遍</w:t>
      </w:r>
      <w:r>
        <w:rPr>
          <w:rStyle w:val="af4"/>
          <w:rFonts w:ascii="宋体" w:hAnsi="宋体"/>
          <w:kern w:val="0"/>
          <w:sz w:val="20"/>
          <w:szCs w:val="20"/>
        </w:rPr>
        <w:footnoteReference w:id="2"/>
      </w:r>
      <w:r>
        <w:rPr>
          <w:rFonts w:ascii="宋体" w:hAnsi="宋体"/>
        </w:rPr>
        <w:t>。更值得警惕的是，“躺平”心态正在大学生群体中迅速蔓延，形成一种亚文化现象</w:t>
      </w:r>
      <w:r>
        <w:rPr>
          <w:rStyle w:val="af4"/>
          <w:rFonts w:ascii="宋体" w:hAnsi="宋体" w:hint="eastAsia"/>
          <w:kern w:val="0"/>
          <w:sz w:val="20"/>
          <w:szCs w:val="20"/>
        </w:rPr>
        <w:footnoteReference w:id="3"/>
      </w:r>
      <w:r>
        <w:rPr>
          <w:rFonts w:ascii="宋体" w:hAnsi="宋体"/>
        </w:rPr>
        <w:t>。</w:t>
      </w:r>
      <w:bookmarkEnd w:id="6"/>
    </w:p>
    <w:p w14:paraId="4ACB9E8D" w14:textId="77777777" w:rsidR="0087421F" w:rsidRDefault="00000000">
      <w:pPr>
        <w:pStyle w:val="aff1"/>
        <w:ind w:firstLine="420"/>
        <w:rPr>
          <w:rFonts w:ascii="宋体" w:hAnsi="宋体" w:hint="eastAsia"/>
        </w:rPr>
      </w:pPr>
      <w:bookmarkStart w:id="13" w:name="正文段落_4"/>
      <w:r>
        <w:rPr>
          <w:rFonts w:ascii="宋体" w:hAnsi="宋体"/>
        </w:rPr>
        <w:t>“躺平”在本质上反映了一种逃避现实困境的心态。从学习动机的视角来看，这种心理表现为学生形成放弃努力、不再奋斗、主动性下降、能力信念减弱、自我提升欲望降低等回避性动机状态。近年来教育心理学研究表明，学生回避学习并非因为缺少学习能力或者认为学习没有价值，而是由于形成了过高的学习成本认知</w:t>
      </w:r>
      <w:r>
        <w:rPr>
          <w:rStyle w:val="af4"/>
          <w:rFonts w:ascii="宋体" w:hAnsi="宋体" w:hint="eastAsia"/>
          <w:kern w:val="0"/>
          <w:sz w:val="20"/>
          <w:szCs w:val="20"/>
        </w:rPr>
        <w:footnoteReference w:id="4"/>
      </w:r>
      <w:r>
        <w:rPr>
          <w:rFonts w:ascii="宋体" w:hAnsi="宋体"/>
        </w:rPr>
        <w:t>。学习成本认知（</w:t>
      </w:r>
      <w:r>
        <w:t>cost perceptions</w:t>
      </w:r>
      <w:r>
        <w:rPr>
          <w:rFonts w:ascii="宋体" w:hAnsi="宋体"/>
        </w:rPr>
        <w:t>）是指学生对投入学习可能带来的负面后果的主观评估，是</w:t>
      </w:r>
      <w:r>
        <w:rPr>
          <w:rFonts w:ascii="宋体" w:hAnsi="宋体"/>
        </w:rPr>
        <w:lastRenderedPageBreak/>
        <w:t>诱发回避导向行为与学业适应不良的核心要素</w:t>
      </w:r>
      <w:r>
        <w:rPr>
          <w:rStyle w:val="af4"/>
          <w:rFonts w:ascii="宋体" w:hAnsi="宋体" w:hint="eastAsia"/>
          <w:kern w:val="0"/>
          <w:sz w:val="20"/>
          <w:szCs w:val="20"/>
        </w:rPr>
        <w:footnoteReference w:id="5"/>
      </w:r>
      <w:r>
        <w:rPr>
          <w:rFonts w:ascii="宋体" w:hAnsi="宋体"/>
        </w:rPr>
        <w:t>。本科教育质量提升需贯彻“以学生为中心”的理念，支撑学生全面、健康、可持续发展，因此，关注大学生的学习成本认知至关重要。深入理解其特征、影响及干预策略，可以有效地缓解学生的心理压力，应对学习过程中的心理不平衡，防止长期消极心态引发的严重心理问题。这对于解决“躺平”现象、提升本科教育水平和培养高素质人才具有重要的实际意义。</w:t>
      </w:r>
      <w:bookmarkEnd w:id="13"/>
    </w:p>
    <w:p w14:paraId="008E5BD2" w14:textId="77777777" w:rsidR="0087421F" w:rsidRDefault="00000000">
      <w:pPr>
        <w:pStyle w:val="aff2"/>
        <w:spacing w:before="312" w:after="312"/>
      </w:pPr>
      <w:bookmarkStart w:id="16" w:name="一级标题序号_1"/>
      <w:bookmarkStart w:id="17" w:name="一级标题_2"/>
      <w:r>
        <w:t>一、</w:t>
      </w:r>
      <w:bookmarkEnd w:id="16"/>
      <w:r>
        <w:t>学习成本认知的内涵</w:t>
      </w:r>
      <w:bookmarkEnd w:id="17"/>
    </w:p>
    <w:p w14:paraId="70653D89" w14:textId="77777777" w:rsidR="0087421F" w:rsidRDefault="00000000">
      <w:pPr>
        <w:pStyle w:val="aff3"/>
        <w:ind w:firstLine="420"/>
        <w:rPr>
          <w:rFonts w:hint="eastAsia"/>
        </w:rPr>
      </w:pPr>
      <w:bookmarkStart w:id="18" w:name="二级标题序号_2"/>
      <w:bookmarkStart w:id="19" w:name="二级标题_2"/>
      <w:r>
        <w:t>（一）</w:t>
      </w:r>
      <w:bookmarkEnd w:id="18"/>
      <w:r>
        <w:t>学习成本认知的概念界定</w:t>
      </w:r>
      <w:bookmarkEnd w:id="19"/>
    </w:p>
    <w:p w14:paraId="76F69E17" w14:textId="77777777" w:rsidR="0087421F" w:rsidRDefault="00000000">
      <w:pPr>
        <w:pStyle w:val="aff1"/>
        <w:ind w:firstLine="420"/>
        <w:rPr>
          <w:rFonts w:ascii="宋体" w:hAnsi="宋体" w:hint="eastAsia"/>
          <w:spacing w:val="4"/>
        </w:rPr>
      </w:pPr>
      <w:bookmarkStart w:id="20" w:name="正文段落_6"/>
      <w:r>
        <w:rPr>
          <w:rFonts w:ascii="宋体" w:hAnsi="宋体"/>
        </w:rPr>
        <w:t>学习情境下的成本认知</w:t>
      </w:r>
      <w:r>
        <w:rPr>
          <w:rFonts w:ascii="宋体" w:hAnsi="宋体"/>
          <w:spacing w:val="4"/>
        </w:rPr>
        <w:t>概念经历了一个逐渐明晰化的演进过程。最初成本被认为是影响某项学习任务价值的因素，这种影响</w:t>
      </w:r>
      <w:r>
        <w:rPr>
          <w:spacing w:val="4"/>
        </w:rPr>
        <w:t>通过成本收益比（</w:t>
      </w:r>
      <w:r>
        <w:rPr>
          <w:spacing w:val="4"/>
        </w:rPr>
        <w:t>cost-benefit ratio</w:t>
      </w:r>
      <w:r>
        <w:rPr>
          <w:spacing w:val="4"/>
        </w:rPr>
        <w:t>）的形式实现。具体而言，成本既包括为取得任务成功所付出的努力与时间，也包括参与任务所带来的心理压力、焦虑、疲倦以及对失败的恐惧等消极情感</w:t>
      </w:r>
      <w:r>
        <w:rPr>
          <w:rStyle w:val="af4"/>
          <w:spacing w:val="4"/>
          <w:kern w:val="0"/>
          <w:sz w:val="20"/>
          <w:szCs w:val="20"/>
        </w:rPr>
        <w:footnoteReference w:id="6"/>
      </w:r>
      <w:r>
        <w:rPr>
          <w:spacing w:val="4"/>
        </w:rPr>
        <w:t>。</w:t>
      </w:r>
      <w:r>
        <w:rPr>
          <w:spacing w:val="4"/>
        </w:rPr>
        <w:t>Battle</w:t>
      </w:r>
      <w:r>
        <w:rPr>
          <w:spacing w:val="4"/>
        </w:rPr>
        <w:t>和</w:t>
      </w:r>
      <w:r>
        <w:rPr>
          <w:spacing w:val="4"/>
        </w:rPr>
        <w:t>Wigfield</w:t>
      </w:r>
      <w:r>
        <w:rPr>
          <w:spacing w:val="4"/>
        </w:rPr>
        <w:t>将成本认知精炼为对精力损耗、时间损失和失败所造成的心理创伤的感知</w:t>
      </w:r>
      <w:r>
        <w:rPr>
          <w:rStyle w:val="af4"/>
          <w:spacing w:val="4"/>
          <w:kern w:val="0"/>
          <w:sz w:val="20"/>
          <w:szCs w:val="20"/>
        </w:rPr>
        <w:footnoteReference w:id="7"/>
      </w:r>
      <w:r>
        <w:rPr>
          <w:spacing w:val="4"/>
        </w:rPr>
        <w:t>。</w:t>
      </w:r>
      <w:r>
        <w:rPr>
          <w:spacing w:val="4"/>
        </w:rPr>
        <w:t>Luttrell</w:t>
      </w:r>
      <w:r>
        <w:rPr>
          <w:spacing w:val="4"/>
        </w:rPr>
        <w:t>等</w:t>
      </w:r>
      <w:r>
        <w:rPr>
          <w:rFonts w:ascii="宋体" w:hAnsi="宋体"/>
          <w:spacing w:val="4"/>
        </w:rPr>
        <w:t>人将成本认知定义为“对损失的主观估计（</w:t>
      </w:r>
      <w:r>
        <w:rPr>
          <w:spacing w:val="4"/>
        </w:rPr>
        <w:t>subjective estimate of loss</w:t>
      </w:r>
      <w:r>
        <w:rPr>
          <w:rFonts w:ascii="宋体" w:hAnsi="宋体"/>
          <w:spacing w:val="4"/>
        </w:rPr>
        <w:t>）”，强调了成本认知所具备的主观性，是个体对学习所连带的负面结果的主观判断与评估，而非纯客观层面的成本收益比，因此也被称为个人成本（</w:t>
      </w:r>
      <w:r>
        <w:rPr>
          <w:spacing w:val="4"/>
        </w:rPr>
        <w:t>personal cost</w:t>
      </w:r>
      <w:r>
        <w:rPr>
          <w:spacing w:val="4"/>
        </w:rPr>
        <w:t>）</w:t>
      </w:r>
      <w:r>
        <w:rPr>
          <w:rStyle w:val="af4"/>
          <w:spacing w:val="4"/>
          <w:kern w:val="0"/>
          <w:sz w:val="20"/>
          <w:szCs w:val="20"/>
        </w:rPr>
        <w:footnoteReference w:id="8"/>
      </w:r>
      <w:r>
        <w:rPr>
          <w:spacing w:val="4"/>
        </w:rPr>
        <w:t>。</w:t>
      </w:r>
      <w:r>
        <w:rPr>
          <w:spacing w:val="4"/>
        </w:rPr>
        <w:t>Flake</w:t>
      </w:r>
      <w:r>
        <w:rPr>
          <w:rFonts w:ascii="宋体" w:hAnsi="宋体"/>
          <w:spacing w:val="4"/>
        </w:rPr>
        <w:t>等人则将成本认知定义为学生关于“参与一项学习任务需要投入什么和需要放弃什么”的想法</w:t>
      </w:r>
      <w:r>
        <w:rPr>
          <w:rStyle w:val="af4"/>
          <w:rFonts w:ascii="宋体" w:hAnsi="宋体" w:hint="eastAsia"/>
          <w:spacing w:val="4"/>
          <w:kern w:val="0"/>
          <w:sz w:val="20"/>
          <w:szCs w:val="20"/>
        </w:rPr>
        <w:footnoteReference w:id="9"/>
      </w:r>
      <w:r>
        <w:rPr>
          <w:rFonts w:ascii="宋体" w:hAnsi="宋体"/>
          <w:spacing w:val="4"/>
        </w:rPr>
        <w:t>。此外，学者们进一步明确了无论学习任务是成功还是失败，都有可能诱发成本认知</w:t>
      </w:r>
      <w:r>
        <w:rPr>
          <w:rStyle w:val="af4"/>
          <w:rFonts w:ascii="宋体" w:hAnsi="宋体" w:hint="eastAsia"/>
          <w:spacing w:val="4"/>
          <w:kern w:val="0"/>
          <w:sz w:val="20"/>
          <w:szCs w:val="20"/>
        </w:rPr>
        <w:footnoteReference w:id="10"/>
      </w:r>
      <w:r>
        <w:rPr>
          <w:rFonts w:ascii="宋体" w:hAnsi="宋体"/>
          <w:spacing w:val="4"/>
        </w:rPr>
        <w:t>。除了任务失败所连带的尴尬或焦虑等消极情绪体验外，如果取得任务成功所需要过多的时间和精力同样会导致学生产生学习成本认知。</w:t>
      </w:r>
      <w:bookmarkEnd w:id="20"/>
    </w:p>
    <w:p w14:paraId="6E1BBE55" w14:textId="77777777" w:rsidR="0087421F" w:rsidRDefault="00000000">
      <w:pPr>
        <w:pStyle w:val="aff1"/>
        <w:ind w:firstLine="420"/>
        <w:rPr>
          <w:rFonts w:ascii="宋体" w:hAnsi="宋体" w:hint="eastAsia"/>
        </w:rPr>
      </w:pPr>
      <w:bookmarkStart w:id="26" w:name="正文段落_8"/>
      <w:r>
        <w:rPr>
          <w:rFonts w:ascii="宋体" w:hAnsi="宋体"/>
        </w:rPr>
        <w:t>整体而言，学习成本认知所反映的是学生判断某项学习任务或活动是否具有潜在消极影响，是否会带来资源消耗或自我损耗</w:t>
      </w:r>
      <w:r>
        <w:t>（</w:t>
      </w:r>
      <w:r>
        <w:t>ego depletion</w:t>
      </w:r>
      <w:r>
        <w:t>）</w:t>
      </w:r>
      <w:r>
        <w:rPr>
          <w:rFonts w:ascii="宋体" w:hAnsi="宋体"/>
        </w:rPr>
        <w:t>，以及需要付出哪些代价的心理评估。对学习成本认知进行深入剖析，能够更好地理解影响大学生学习发展的各种非智力因素，顺应新时代本科教育重视学生的情感态度和良好心理健康素养培养的诉求。</w:t>
      </w:r>
      <w:bookmarkEnd w:id="26"/>
    </w:p>
    <w:p w14:paraId="3961A4F6" w14:textId="77777777" w:rsidR="0087421F" w:rsidRDefault="00000000">
      <w:pPr>
        <w:pStyle w:val="aff3"/>
        <w:spacing w:line="288" w:lineRule="auto"/>
        <w:ind w:firstLine="420"/>
        <w:rPr>
          <w:rFonts w:hint="eastAsia"/>
        </w:rPr>
      </w:pPr>
      <w:bookmarkStart w:id="27" w:name="二级标题序号_3"/>
      <w:bookmarkStart w:id="28" w:name="二级标题_4"/>
      <w:r>
        <w:t>（二）</w:t>
      </w:r>
      <w:bookmarkEnd w:id="27"/>
      <w:r>
        <w:t>学习成本认知的理论根源</w:t>
      </w:r>
      <w:bookmarkEnd w:id="28"/>
    </w:p>
    <w:p w14:paraId="7202425D" w14:textId="77777777" w:rsidR="0087421F" w:rsidRDefault="00000000">
      <w:pPr>
        <w:pStyle w:val="aff1"/>
        <w:spacing w:line="302" w:lineRule="auto"/>
        <w:ind w:firstLine="420"/>
        <w:rPr>
          <w:rFonts w:ascii="宋体" w:hAnsi="宋体" w:hint="eastAsia"/>
        </w:rPr>
      </w:pPr>
      <w:bookmarkStart w:id="29" w:name="正文段落_10"/>
      <w:r>
        <w:rPr>
          <w:rFonts w:ascii="宋体" w:hAnsi="宋体"/>
        </w:rPr>
        <w:t>学习成本认知这个</w:t>
      </w:r>
      <w:r>
        <w:t>概念来源于</w:t>
      </w:r>
      <w:r>
        <w:t>Eccles</w:t>
      </w:r>
      <w:r>
        <w:t>与</w:t>
      </w:r>
      <w:r>
        <w:t>Wigfield</w:t>
      </w:r>
      <w:r>
        <w:t>创立的情境期望价值理论（</w:t>
      </w:r>
      <w:r>
        <w:t>situated expectancy-value theory, SEVT</w:t>
      </w:r>
      <w:r>
        <w:t>）。不同于阿特金森（</w:t>
      </w:r>
      <w:r>
        <w:t>J.W. Atkinson</w:t>
      </w:r>
      <w:r>
        <w:t>）提出的经典期望价值模型（</w:t>
      </w:r>
      <w:r>
        <w:t>classic expectancy-value model</w:t>
      </w:r>
      <w:r>
        <w:t>），</w:t>
      </w:r>
      <w:r>
        <w:t>SEVT</w:t>
      </w:r>
      <w:r>
        <w:t>更加详细地分析与定义了期望（</w:t>
      </w:r>
      <w:r>
        <w:t>expectancy</w:t>
      </w:r>
      <w:r>
        <w:t>）与价值（</w:t>
      </w:r>
      <w:r>
        <w:t>value</w:t>
      </w:r>
      <w:r>
        <w:t>）这两个核心因素，</w:t>
      </w:r>
      <w:r>
        <w:rPr>
          <w:rFonts w:ascii="宋体" w:hAnsi="宋体"/>
        </w:rPr>
        <w:t>并将它们与更广泛的心理与社会文化因素</w:t>
      </w:r>
      <w:r>
        <w:rPr>
          <w:rFonts w:ascii="宋体" w:hAnsi="宋体"/>
          <w:spacing w:val="4"/>
        </w:rPr>
        <w:t>联系在一起，丰富了整体的理论模型。</w:t>
      </w:r>
      <w:r>
        <w:rPr>
          <w:spacing w:val="4"/>
        </w:rPr>
        <w:t>SEVT</w:t>
      </w:r>
      <w:r>
        <w:rPr>
          <w:rFonts w:ascii="宋体" w:hAnsi="宋体"/>
          <w:spacing w:val="4"/>
        </w:rPr>
        <w:t>在过去三十多年里被广泛应用于教育</w:t>
      </w:r>
      <w:r>
        <w:rPr>
          <w:rFonts w:ascii="宋体" w:hAnsi="宋体"/>
          <w:spacing w:val="4"/>
        </w:rPr>
        <w:lastRenderedPageBreak/>
        <w:t>学和心理学各领域，并因其综合多种理论观点、捕捉个体学习动机的关键组成部分以及广泛的解释力而在众多关于学习发展的理论中脱颖而出，有效地帮助了教育工作者</w:t>
      </w:r>
      <w:r>
        <w:rPr>
          <w:rFonts w:ascii="宋体" w:hAnsi="宋体"/>
        </w:rPr>
        <w:t>更好地了解学生在学习中的选择、坚持与学业表现。</w:t>
      </w:r>
      <w:bookmarkEnd w:id="29"/>
    </w:p>
    <w:p w14:paraId="5BB8D12F" w14:textId="77777777" w:rsidR="0087421F" w:rsidRDefault="00000000">
      <w:pPr>
        <w:pStyle w:val="aff1"/>
        <w:spacing w:line="293" w:lineRule="auto"/>
        <w:ind w:firstLine="420"/>
        <w:rPr>
          <w:rFonts w:ascii="宋体" w:hAnsi="宋体" w:hint="eastAsia"/>
          <w:spacing w:val="4"/>
        </w:rPr>
      </w:pPr>
      <w:bookmarkStart w:id="30" w:name="正文段落_12"/>
      <w:r>
        <w:rPr>
          <w:rFonts w:ascii="宋体" w:hAnsi="宋体"/>
        </w:rPr>
        <w:t>具体而言，</w:t>
      </w:r>
      <w:r>
        <w:t>SEVT</w:t>
      </w:r>
      <w:r>
        <w:t>指</w:t>
      </w:r>
      <w:r>
        <w:rPr>
          <w:rFonts w:ascii="宋体" w:hAnsi="宋体"/>
        </w:rPr>
        <w:t>出学生在开始执行一项任务之前，主要会思考两个核心问题，一是“我是否有能力完成这项任务”，二是“我是否想做这个任务”</w:t>
      </w:r>
      <w:r>
        <w:rPr>
          <w:rStyle w:val="af4"/>
          <w:rFonts w:ascii="宋体" w:hAnsi="宋体" w:hint="eastAsia"/>
          <w:kern w:val="0"/>
          <w:sz w:val="20"/>
          <w:szCs w:val="20"/>
        </w:rPr>
        <w:footnoteReference w:id="11"/>
      </w:r>
      <w:r>
        <w:rPr>
          <w:rFonts w:ascii="宋体" w:hAnsi="宋体"/>
        </w:rPr>
        <w:t>。第一个问题反映了学生对于成功的期望，也可以说是对于自己能力信念的判断。具有较高能力信念的学生更有可能期望并相信他们能够胜任某项任务。第二个问题反映了学生的任务价值观（</w:t>
      </w:r>
      <w:r>
        <w:t>subjective task value, STV</w:t>
      </w:r>
      <w:r>
        <w:rPr>
          <w:rFonts w:ascii="宋体" w:hAnsi="宋体"/>
        </w:rPr>
        <w:t>）。价值观体现的是学生对于学习活动“是否值得去做”的整体信念，这种信念会受到社会公认的标准和个人的内心需求以及自我知觉的影响。</w:t>
      </w:r>
      <w:r>
        <w:t>SEVT</w:t>
      </w:r>
      <w:r>
        <w:rPr>
          <w:rFonts w:ascii="宋体" w:hAnsi="宋体"/>
        </w:rPr>
        <w:t>中的任务价值观特指对某项学习任务整体价值的主观判断和评价。</w:t>
      </w:r>
      <w:r>
        <w:t>Eccles</w:t>
      </w:r>
      <w:r>
        <w:rPr>
          <w:rFonts w:ascii="宋体" w:hAnsi="宋体"/>
        </w:rPr>
        <w:t>等人特别强调了这一术语中的“任务”二字，</w:t>
      </w:r>
      <w:r>
        <w:rPr>
          <w:rFonts w:ascii="宋体" w:hAnsi="宋体"/>
          <w:spacing w:val="4"/>
        </w:rPr>
        <w:t>表示这并不是一种宏观的价值观，而是学生对于学习中具体任务的具体认识和分析。同时，任务价值观也是主观化的，因为不同的人可能会对同一任务赋予不同的价值。比如，学好高等数学对一些大学生来说可能很有价值，但对另一些大学生却可能没有那么重要。研究表明，学生形成的任务价值观是其学业投入、学业选择以及学业成绩的重要预测因素</w:t>
      </w:r>
      <w:r>
        <w:rPr>
          <w:rStyle w:val="af4"/>
          <w:rFonts w:ascii="宋体" w:hAnsi="宋体"/>
          <w:spacing w:val="4"/>
          <w:kern w:val="0"/>
          <w:sz w:val="20"/>
          <w:szCs w:val="20"/>
        </w:rPr>
        <w:footnoteReference w:id="12"/>
      </w:r>
      <w:r>
        <w:rPr>
          <w:rFonts w:ascii="宋体" w:hAnsi="宋体"/>
          <w:spacing w:val="4"/>
        </w:rPr>
        <w:t>。</w:t>
      </w:r>
      <w:bookmarkEnd w:id="30"/>
    </w:p>
    <w:p w14:paraId="5C3DEB63" w14:textId="77777777" w:rsidR="0087421F" w:rsidRDefault="00000000">
      <w:pPr>
        <w:pStyle w:val="aff1"/>
        <w:spacing w:line="293" w:lineRule="auto"/>
        <w:ind w:firstLine="420"/>
        <w:rPr>
          <w:rFonts w:ascii="宋体" w:hAnsi="宋体" w:hint="eastAsia"/>
        </w:rPr>
      </w:pPr>
      <w:bookmarkStart w:id="33" w:name="正文段落_14"/>
      <w:r>
        <w:rPr>
          <w:rFonts w:ascii="宋体" w:hAnsi="宋体"/>
        </w:rPr>
        <w:t>当学生思考“我是否想做这个任务”这个问题的时候，答案有可能是否定的，比如“不想，我觉得参与这项任务我需要付出太多了”。因此，</w:t>
      </w:r>
      <w:r>
        <w:t>SEVT</w:t>
      </w:r>
      <w:r>
        <w:t>还指出学生的任务价值观既包含对任务积极特征的价值认知，也包含对任务消极特征的成本认知。基于此，</w:t>
      </w:r>
      <w:r>
        <w:t>SEVT</w:t>
      </w:r>
      <w:r>
        <w:t>定义了任务价值的四个主要成分，分别是兴趣价值（</w:t>
      </w:r>
      <w:r>
        <w:t>intrinsic value</w:t>
      </w:r>
      <w:r>
        <w:rPr>
          <w:rFonts w:ascii="宋体" w:hAnsi="宋体"/>
        </w:rPr>
        <w:t>）、有用价值</w:t>
      </w:r>
      <w:r>
        <w:t>（</w:t>
      </w:r>
      <w:r>
        <w:t>utility value</w:t>
      </w:r>
      <w:r>
        <w:t>）、成就价值（</w:t>
      </w:r>
      <w:r>
        <w:t>attainment value</w:t>
      </w:r>
      <w:r>
        <w:t>）</w:t>
      </w:r>
      <w:r>
        <w:rPr>
          <w:rFonts w:ascii="宋体" w:hAnsi="宋体"/>
        </w:rPr>
        <w:t>和成本认知。这四种认知的核心区别在于，它们是增强还是削弱了学生感知到的学习整体价值。兴趣价值，又称内在价值，是指学生认为学习本身是令人愉悦的；有用价值是指学生认为学习能帮助自己实现其他短期或长期目标，因此是有用的；成就价值是指学生认为在学习上取得好成绩是对自身的一种肯定。以上三种价值认知被认为具有正</w:t>
      </w:r>
      <w:r>
        <w:t>效价（</w:t>
      </w:r>
      <w:r>
        <w:t>positively-</w:t>
      </w:r>
      <w:proofErr w:type="spellStart"/>
      <w:r>
        <w:t>valenced</w:t>
      </w:r>
      <w:proofErr w:type="spellEnd"/>
      <w:r>
        <w:t>），能够提高学生对学习整体价值的判断。相反，学习成本认知（学习活动所连带的一系列负面因素）被认为具有负效价（</w:t>
      </w:r>
      <w:r>
        <w:t>negatively-</w:t>
      </w:r>
      <w:proofErr w:type="spellStart"/>
      <w:r>
        <w:t>valenced</w:t>
      </w:r>
      <w:proofErr w:type="spellEnd"/>
      <w:r>
        <w:t>），随着成本认知的增</w:t>
      </w:r>
      <w:r>
        <w:rPr>
          <w:rFonts w:ascii="宋体" w:hAnsi="宋体"/>
        </w:rPr>
        <w:t>加，学习的整体价值会降低。如果某项学业任务在学生看来成本太高，比如需要大量投入时间和精力，被迫放弃其他活动，又或者感受到压力、焦虑及对失败的恐惧等消极情绪，那他很有可能就会回避参与这项任务</w:t>
      </w:r>
      <w:r>
        <w:rPr>
          <w:rStyle w:val="af4"/>
          <w:rFonts w:ascii="宋体" w:hAnsi="宋体" w:hint="eastAsia"/>
          <w:kern w:val="0"/>
          <w:sz w:val="20"/>
          <w:szCs w:val="20"/>
        </w:rPr>
        <w:footnoteReference w:id="13"/>
      </w:r>
      <w:r>
        <w:rPr>
          <w:rFonts w:ascii="宋体" w:hAnsi="宋体"/>
        </w:rPr>
        <w:t>。同时，以上四种认知在不同学生的任务价值观中会呈现出不同的组合形态</w:t>
      </w:r>
      <w:r>
        <w:rPr>
          <w:rStyle w:val="af4"/>
          <w:rFonts w:ascii="宋体" w:hAnsi="宋体" w:hint="eastAsia"/>
          <w:kern w:val="0"/>
          <w:sz w:val="20"/>
          <w:szCs w:val="20"/>
        </w:rPr>
        <w:footnoteReference w:id="14"/>
      </w:r>
      <w:r>
        <w:rPr>
          <w:rFonts w:ascii="宋体" w:hAnsi="宋体"/>
        </w:rPr>
        <w:t>。这意味着和其他决策行为相似，学生选择是否参与某项学业任务时会同时权衡任务的积极面和消极面，对其所需付出的成本及其得到的回报做出分析, 并根据最终的任务价值来决定是否参与这项学业任务。尽管学习成本认知一直存在于</w:t>
      </w:r>
      <w:r>
        <w:t>SEVT</w:t>
      </w:r>
      <w:r>
        <w:t>的</w:t>
      </w:r>
      <w:r>
        <w:rPr>
          <w:rFonts w:ascii="宋体" w:hAnsi="宋体"/>
        </w:rPr>
        <w:t>理论框架中，但在早期的关于学生任务价值观的实证研究中，大多只关注了三种积极的价值认知而忽略了成本认知</w:t>
      </w:r>
      <w:r>
        <w:rPr>
          <w:rStyle w:val="af4"/>
          <w:rFonts w:ascii="宋体" w:hAnsi="宋体" w:hint="eastAsia"/>
          <w:kern w:val="0"/>
          <w:sz w:val="20"/>
          <w:szCs w:val="20"/>
        </w:rPr>
        <w:footnoteReference w:id="15"/>
      </w:r>
      <w:r>
        <w:rPr>
          <w:rFonts w:ascii="宋体" w:hAnsi="宋体"/>
        </w:rPr>
        <w:t>。所</w:t>
      </w:r>
      <w:r>
        <w:rPr>
          <w:rFonts w:ascii="宋体" w:hAnsi="宋体"/>
        </w:rPr>
        <w:lastRenderedPageBreak/>
        <w:t>幸学习成本认知在近几年间开始受到重视，相关的实证研究也证明了成本认知是独立于兴趣、有用及成就价值的维度</w:t>
      </w:r>
      <w:r>
        <w:rPr>
          <w:rStyle w:val="af4"/>
          <w:rFonts w:ascii="宋体" w:hAnsi="宋体" w:hint="eastAsia"/>
          <w:kern w:val="0"/>
          <w:sz w:val="20"/>
          <w:szCs w:val="20"/>
        </w:rPr>
        <w:footnoteReference w:id="16"/>
      </w:r>
      <w:r>
        <w:rPr>
          <w:rFonts w:ascii="宋体" w:hAnsi="宋体"/>
        </w:rPr>
        <w:t>，并陆续揭示了其对学习动机和学业发展的重要影响作用</w:t>
      </w:r>
      <w:r>
        <w:rPr>
          <w:rStyle w:val="af4"/>
          <w:rFonts w:ascii="宋体" w:hAnsi="宋体" w:hint="eastAsia"/>
          <w:kern w:val="0"/>
          <w:sz w:val="20"/>
          <w:szCs w:val="20"/>
        </w:rPr>
        <w:footnoteReference w:id="17"/>
      </w:r>
      <w:r>
        <w:rPr>
          <w:rFonts w:ascii="宋体" w:hAnsi="宋体"/>
        </w:rPr>
        <w:t>。</w:t>
      </w:r>
      <w:bookmarkEnd w:id="33"/>
    </w:p>
    <w:p w14:paraId="4E7C23B5" w14:textId="77777777" w:rsidR="0087421F" w:rsidRDefault="00000000">
      <w:pPr>
        <w:pStyle w:val="aff3"/>
        <w:ind w:firstLine="420"/>
        <w:rPr>
          <w:rFonts w:hint="eastAsia"/>
        </w:rPr>
      </w:pPr>
      <w:bookmarkStart w:id="39" w:name="二级标题序号_4"/>
      <w:bookmarkStart w:id="40" w:name="二级标题_6"/>
      <w:r>
        <w:t>（三）</w:t>
      </w:r>
      <w:bookmarkEnd w:id="39"/>
      <w:r>
        <w:t>多维视角：学习成本认知的不同类别</w:t>
      </w:r>
      <w:bookmarkEnd w:id="40"/>
    </w:p>
    <w:p w14:paraId="0B72C26E" w14:textId="77777777" w:rsidR="0087421F" w:rsidRDefault="00000000">
      <w:pPr>
        <w:pStyle w:val="aff1"/>
        <w:spacing w:line="295" w:lineRule="auto"/>
        <w:ind w:firstLine="420"/>
        <w:rPr>
          <w:rFonts w:ascii="宋体" w:hAnsi="宋体" w:hint="eastAsia"/>
        </w:rPr>
      </w:pPr>
      <w:bookmarkStart w:id="41" w:name="正文段落_16"/>
      <w:r>
        <w:rPr>
          <w:rFonts w:ascii="宋体" w:hAnsi="宋体"/>
        </w:rPr>
        <w:t>鉴于学生在决定完成任务时会从多个方面去衡量所需的成本，学习成本认知被视为一个多维概念</w:t>
      </w:r>
      <w:r>
        <w:rPr>
          <w:rStyle w:val="af4"/>
          <w:rFonts w:ascii="宋体" w:hAnsi="宋体"/>
          <w:kern w:val="0"/>
          <w:sz w:val="20"/>
          <w:szCs w:val="20"/>
        </w:rPr>
        <w:footnoteReference w:id="18"/>
      </w:r>
      <w:r>
        <w:rPr>
          <w:rFonts w:ascii="宋体" w:hAnsi="宋体"/>
        </w:rPr>
        <w:t>。</w:t>
      </w:r>
      <w:r>
        <w:t>SEVT</w:t>
      </w:r>
      <w:r>
        <w:t>初期重点描述了三种类别的成本认知，第一种是努力成本（</w:t>
      </w:r>
      <w:r>
        <w:t>effort cost</w:t>
      </w:r>
      <w:r>
        <w:t>），</w:t>
      </w:r>
      <w:r>
        <w:rPr>
          <w:rFonts w:ascii="宋体" w:hAnsi="宋体"/>
        </w:rPr>
        <w:t>即个体会判断成功完成学习任务需要付出多少努力以及是否值得。例如大学生会思考“在专业课上为了获得好成绩需要付出这么多的努力，值得吗？”。当所需努力超过被认为值得的限度时，个体便会感知到努力成本。第二种是机会成本（</w:t>
      </w:r>
      <w:r>
        <w:t>opportunity cost</w:t>
      </w:r>
      <w:r>
        <w:rPr>
          <w:rFonts w:ascii="宋体" w:hAnsi="宋体"/>
        </w:rPr>
        <w:t>），指因为完成学习任务而失去做其他活动的时间或机会。例如对于大学生来说，花时间完成课后论文意味着他们不能打游戏或玩手机。第三种是心理成本（</w:t>
      </w:r>
      <w:r>
        <w:rPr>
          <w:rFonts w:eastAsia="幼圆"/>
        </w:rPr>
        <w:t>psychological cost</w:t>
      </w:r>
      <w:r>
        <w:rPr>
          <w:rFonts w:ascii="宋体" w:hAnsi="宋体"/>
        </w:rPr>
        <w:t>），指在任务中挣扎或因失败而导致的消极心理状态。比如“期末考试让我感到焦虑”、“如果我在期末考试中挂科，别人会不会觉得我很笨”等等。</w:t>
      </w:r>
      <w:bookmarkEnd w:id="41"/>
    </w:p>
    <w:p w14:paraId="4C99AA1C" w14:textId="77777777" w:rsidR="0087421F" w:rsidRDefault="00000000">
      <w:pPr>
        <w:pStyle w:val="aff1"/>
        <w:ind w:firstLine="420"/>
        <w:rPr>
          <w:rFonts w:ascii="宋体" w:hAnsi="宋体" w:hint="eastAsia"/>
        </w:rPr>
      </w:pPr>
      <w:bookmarkStart w:id="43" w:name="正文段落_18"/>
      <w:r>
        <w:rPr>
          <w:rFonts w:ascii="宋体" w:hAnsi="宋体"/>
        </w:rPr>
        <w:t>近年来，研究者们致力于对学习成本认知的类型进行更为清晰地界定，认为心理成本中不仅包括了与完成任务有关的消极情绪，还包括了自我认同威胁所带来的消极感受</w:t>
      </w:r>
      <w:r>
        <w:rPr>
          <w:rStyle w:val="af4"/>
          <w:rFonts w:ascii="宋体" w:hAnsi="宋体"/>
          <w:kern w:val="0"/>
          <w:sz w:val="20"/>
          <w:szCs w:val="20"/>
        </w:rPr>
        <w:footnoteReference w:id="19"/>
      </w:r>
      <w:r>
        <w:rPr>
          <w:rFonts w:ascii="宋体" w:hAnsi="宋体"/>
        </w:rPr>
        <w:t>。尤其是在东亚文化下，以结果为导向的应试教育使学校环境中的竞争尤为激烈，失败与社会比较常常是不可避免的，因此学生很容易感到自我认同受到威胁。因此，心理成本可以更进一步地区分为自我成</w:t>
      </w:r>
      <w:r>
        <w:rPr>
          <w:rFonts w:eastAsia="幼圆"/>
        </w:rPr>
        <w:t>本（</w:t>
      </w:r>
      <w:r>
        <w:rPr>
          <w:rFonts w:eastAsia="幼圆"/>
        </w:rPr>
        <w:t>ego cost</w:t>
      </w:r>
      <w:r>
        <w:rPr>
          <w:rFonts w:eastAsia="幼圆"/>
        </w:rPr>
        <w:t>）与情绪成本（</w:t>
      </w:r>
      <w:r>
        <w:rPr>
          <w:rFonts w:eastAsia="幼圆"/>
        </w:rPr>
        <w:t>emotional cost</w:t>
      </w:r>
      <w:r>
        <w:rPr>
          <w:rFonts w:eastAsia="幼圆"/>
        </w:rPr>
        <w:t>）。</w:t>
      </w:r>
      <w:r>
        <w:rPr>
          <w:rFonts w:ascii="宋体" w:hAnsi="宋体"/>
        </w:rPr>
        <w:t>在学习环境中，自我成本指学生感知到的由于失败或与他人相比表现较差所带来的自我概念受挫等负面心理。情绪成本指学生预期中会面临的消极情绪体验，尤其是对失败的恐惧和学业活动所引发的过度焦虑</w:t>
      </w:r>
      <w:r>
        <w:rPr>
          <w:rStyle w:val="af4"/>
          <w:rFonts w:ascii="宋体" w:hAnsi="宋体" w:hint="eastAsia"/>
          <w:kern w:val="0"/>
          <w:sz w:val="20"/>
          <w:szCs w:val="20"/>
        </w:rPr>
        <w:footnoteReference w:id="20"/>
      </w:r>
      <w:r>
        <w:rPr>
          <w:rFonts w:ascii="宋体" w:hAnsi="宋体"/>
        </w:rPr>
        <w:t>。已有研究证实了学生能在学习情境中感知到努力成本、机会成本、自我成本与情绪成本</w:t>
      </w:r>
      <w:r>
        <w:rPr>
          <w:rStyle w:val="af4"/>
          <w:rFonts w:ascii="宋体" w:hAnsi="宋体" w:hint="eastAsia"/>
          <w:kern w:val="0"/>
          <w:sz w:val="20"/>
          <w:szCs w:val="20"/>
        </w:rPr>
        <w:footnoteReference w:id="21"/>
      </w:r>
      <w:r>
        <w:rPr>
          <w:rFonts w:ascii="宋体" w:hAnsi="宋体"/>
        </w:rPr>
        <w:t>，并且在同一学习环境下，学生可能会同时感知到多种不同的学习成本</w:t>
      </w:r>
      <w:r>
        <w:rPr>
          <w:rStyle w:val="af4"/>
          <w:rFonts w:ascii="宋体" w:hAnsi="宋体" w:hint="eastAsia"/>
          <w:kern w:val="0"/>
          <w:sz w:val="20"/>
          <w:szCs w:val="20"/>
        </w:rPr>
        <w:footnoteReference w:id="22"/>
      </w:r>
      <w:r>
        <w:rPr>
          <w:rFonts w:ascii="宋体" w:hAnsi="宋体"/>
        </w:rPr>
        <w:t>。</w:t>
      </w:r>
      <w:bookmarkEnd w:id="43"/>
    </w:p>
    <w:p w14:paraId="3E1FDE32" w14:textId="77777777" w:rsidR="0087421F" w:rsidRDefault="00000000">
      <w:pPr>
        <w:pStyle w:val="aff2"/>
        <w:spacing w:before="312" w:after="312"/>
      </w:pPr>
      <w:bookmarkStart w:id="48" w:name="一级标题序号_5"/>
      <w:bookmarkStart w:id="49" w:name="一级标题_4"/>
      <w:r>
        <w:t>二、</w:t>
      </w:r>
      <w:bookmarkEnd w:id="48"/>
      <w:r>
        <w:t>学习成本认知的重要影响</w:t>
      </w:r>
      <w:bookmarkEnd w:id="49"/>
    </w:p>
    <w:p w14:paraId="679BFED3" w14:textId="77777777" w:rsidR="0087421F" w:rsidRDefault="00000000">
      <w:pPr>
        <w:pStyle w:val="aff1"/>
        <w:ind w:firstLine="420"/>
        <w:rPr>
          <w:rFonts w:ascii="宋体" w:hAnsi="宋体" w:hint="eastAsia"/>
        </w:rPr>
      </w:pPr>
      <w:bookmarkStart w:id="50" w:name="正文段落_20"/>
      <w:r>
        <w:rPr>
          <w:rFonts w:ascii="宋体" w:hAnsi="宋体"/>
        </w:rPr>
        <w:t>成本认知被视为</w:t>
      </w:r>
      <w:r>
        <w:rPr>
          <w:rFonts w:ascii="宋体" w:hAnsi="宋体" w:hint="eastAsia"/>
        </w:rPr>
        <w:t>导致</w:t>
      </w:r>
      <w:r>
        <w:rPr>
          <w:rFonts w:ascii="宋体" w:hAnsi="宋体"/>
        </w:rPr>
        <w:t>动机减弱的一个关键因素。纵向研究显示，随着学段的上升，学生对学习的成本认知有所增加，甚至成绩越好的学生对学习的成本认知越高</w:t>
      </w:r>
      <w:r>
        <w:rPr>
          <w:rStyle w:val="af4"/>
          <w:rFonts w:ascii="宋体" w:hAnsi="宋体" w:hint="eastAsia"/>
          <w:kern w:val="0"/>
          <w:sz w:val="20"/>
          <w:szCs w:val="20"/>
        </w:rPr>
        <w:footnoteReference w:id="23"/>
      </w:r>
      <w:r>
        <w:rPr>
          <w:rFonts w:ascii="宋体" w:hAnsi="宋体"/>
        </w:rPr>
        <w:t>。即使进入大学，变得更加成熟、独立和责任</w:t>
      </w:r>
      <w:r>
        <w:rPr>
          <w:rFonts w:ascii="宋体" w:hAnsi="宋体"/>
        </w:rPr>
        <w:lastRenderedPageBreak/>
        <w:t>感加强后，学生对学习的成本认知依然存在，并可能在大学的前两年内进一步增长</w:t>
      </w:r>
      <w:r>
        <w:rPr>
          <w:rStyle w:val="af4"/>
          <w:rFonts w:ascii="宋体" w:hAnsi="宋体" w:hint="eastAsia"/>
          <w:kern w:val="0"/>
          <w:sz w:val="20"/>
          <w:szCs w:val="20"/>
        </w:rPr>
        <w:footnoteReference w:id="24"/>
      </w:r>
      <w:r>
        <w:rPr>
          <w:rFonts w:ascii="宋体" w:hAnsi="宋体"/>
        </w:rPr>
        <w:t>。基于此，加深对学习成本认知负面影响的理解和研究，对于减缓其增长趋势并逐步提升大学生的学习动机至关重要。</w:t>
      </w:r>
      <w:bookmarkEnd w:id="50"/>
    </w:p>
    <w:p w14:paraId="668BDC9C" w14:textId="77777777" w:rsidR="0087421F" w:rsidRDefault="00000000">
      <w:pPr>
        <w:pStyle w:val="aff3"/>
        <w:ind w:firstLine="420"/>
        <w:rPr>
          <w:rFonts w:hint="eastAsia"/>
        </w:rPr>
      </w:pPr>
      <w:bookmarkStart w:id="53" w:name="二级标题序号_6"/>
      <w:bookmarkStart w:id="54" w:name="二级标题_8"/>
      <w:r>
        <w:t>（一）</w:t>
      </w:r>
      <w:bookmarkEnd w:id="53"/>
      <w:r>
        <w:t>成本认知诱发回避性动机</w:t>
      </w:r>
      <w:bookmarkEnd w:id="54"/>
    </w:p>
    <w:p w14:paraId="1E9B4575" w14:textId="77777777" w:rsidR="0087421F" w:rsidRDefault="00000000">
      <w:pPr>
        <w:pStyle w:val="aff1"/>
        <w:ind w:firstLine="420"/>
        <w:rPr>
          <w:rFonts w:ascii="宋体" w:hAnsi="宋体" w:hint="eastAsia"/>
        </w:rPr>
      </w:pPr>
      <w:bookmarkStart w:id="55" w:name="正文段落_22"/>
      <w:r>
        <w:rPr>
          <w:rFonts w:ascii="宋体" w:hAnsi="宋体"/>
        </w:rPr>
        <w:t>根据趋向性的差异，学习动机可以区分为趋近和回避两种基本形式。区别</w:t>
      </w:r>
      <w:r>
        <w:t>趋近性动机（</w:t>
      </w:r>
      <w:r>
        <w:t>approach motivation</w:t>
      </w:r>
      <w:r>
        <w:t>）和回避性动机（</w:t>
      </w:r>
      <w:r>
        <w:t>avoidance motivation</w:t>
      </w:r>
      <w:r>
        <w:t>）的核心在于明确诱发动机刺激（</w:t>
      </w:r>
      <w:r>
        <w:t>stimuli</w:t>
      </w:r>
      <w:r>
        <w:t>）的效价（</w:t>
      </w:r>
      <w:r>
        <w:t xml:space="preserve">valence, </w:t>
      </w:r>
      <w:r>
        <w:t>积极或</w:t>
      </w:r>
      <w:r>
        <w:rPr>
          <w:rFonts w:ascii="宋体" w:hAnsi="宋体"/>
        </w:rPr>
        <w:t>消极的属性）。在学习情境中，如果学生认为学习是“有用”、“有趣”、“有吸引力”的，则会形成趋近性动机；反之，如果学生认为学习是“无用”、“枯燥”、“缺少吸引力”的，则会产生回避性动机</w:t>
      </w:r>
      <w:r>
        <w:rPr>
          <w:rStyle w:val="af4"/>
          <w:rFonts w:ascii="宋体" w:hAnsi="宋体" w:hint="eastAsia"/>
          <w:kern w:val="0"/>
          <w:sz w:val="20"/>
          <w:szCs w:val="20"/>
        </w:rPr>
        <w:footnoteReference w:id="25"/>
      </w:r>
      <w:r>
        <w:rPr>
          <w:rFonts w:ascii="宋体" w:hAnsi="宋体"/>
        </w:rPr>
        <w:t>。不同于趋近性动机能够促进学生的学习发展，回避性动机很容易导致学生形成学习效率低下、拖延无序、缺少幸福感等学业适应不良现象</w:t>
      </w:r>
      <w:r>
        <w:rPr>
          <w:rStyle w:val="af4"/>
          <w:rFonts w:ascii="宋体" w:hAnsi="宋体"/>
          <w:kern w:val="0"/>
          <w:sz w:val="20"/>
          <w:szCs w:val="20"/>
        </w:rPr>
        <w:footnoteReference w:id="26"/>
      </w:r>
      <w:r>
        <w:rPr>
          <w:rFonts w:ascii="宋体" w:hAnsi="宋体"/>
        </w:rPr>
        <w:t>。在面对具有挑战性的学业任务时，不同动机性质的学生会采取截然不同的应对策略。趋近性动机的学生会保持积极的心态，通过提升自我等方式面对并克服学业挑战，维持有效的学习行为；相反，回避性动机的学生往往通过转移注意力或远离自我威胁的方式来逃避学习，诱发被动消极的态度和行为，损害学业发展</w:t>
      </w:r>
      <w:r>
        <w:rPr>
          <w:rStyle w:val="af4"/>
          <w:rFonts w:ascii="宋体" w:hAnsi="宋体" w:hint="eastAsia"/>
          <w:kern w:val="0"/>
          <w:sz w:val="20"/>
          <w:szCs w:val="20"/>
        </w:rPr>
        <w:footnoteReference w:id="27"/>
      </w:r>
      <w:r>
        <w:rPr>
          <w:rFonts w:ascii="宋体" w:hAnsi="宋体"/>
        </w:rPr>
        <w:t>。</w:t>
      </w:r>
      <w:bookmarkEnd w:id="55"/>
    </w:p>
    <w:p w14:paraId="45C46BDA" w14:textId="77777777" w:rsidR="0087421F" w:rsidRDefault="00000000">
      <w:pPr>
        <w:pStyle w:val="aff1"/>
        <w:ind w:firstLine="420"/>
        <w:rPr>
          <w:rFonts w:ascii="宋体" w:hAnsi="宋体" w:hint="eastAsia"/>
        </w:rPr>
      </w:pPr>
      <w:bookmarkStart w:id="59" w:name="正文段落_24"/>
      <w:r>
        <w:rPr>
          <w:rFonts w:ascii="宋体" w:hAnsi="宋体"/>
        </w:rPr>
        <w:t>基于不同的理论视角，研究发现了一些回避性动机的诱因，包括低能力信念</w:t>
      </w:r>
      <w:r>
        <w:rPr>
          <w:rStyle w:val="af4"/>
          <w:rFonts w:ascii="宋体" w:hAnsi="宋体" w:hint="eastAsia"/>
          <w:kern w:val="0"/>
          <w:sz w:val="20"/>
          <w:szCs w:val="20"/>
        </w:rPr>
        <w:footnoteReference w:id="28"/>
      </w:r>
      <w:r>
        <w:rPr>
          <w:rFonts w:ascii="宋体" w:hAnsi="宋体"/>
        </w:rPr>
        <w:t>、固定型思维</w:t>
      </w:r>
      <w:r>
        <w:rPr>
          <w:rStyle w:val="af4"/>
          <w:rFonts w:ascii="宋体" w:hAnsi="宋体" w:hint="eastAsia"/>
          <w:kern w:val="0"/>
          <w:sz w:val="20"/>
          <w:szCs w:val="20"/>
        </w:rPr>
        <w:footnoteReference w:id="29"/>
      </w:r>
      <w:r>
        <w:rPr>
          <w:rFonts w:ascii="宋体" w:hAnsi="宋体"/>
        </w:rPr>
        <w:t>、害怕失败与负性评价</w:t>
      </w:r>
      <w:r>
        <w:rPr>
          <w:rStyle w:val="af4"/>
          <w:rFonts w:ascii="宋体" w:hAnsi="宋体" w:hint="eastAsia"/>
          <w:kern w:val="0"/>
          <w:sz w:val="20"/>
          <w:szCs w:val="20"/>
        </w:rPr>
        <w:footnoteReference w:id="30"/>
      </w:r>
      <w:r>
        <w:rPr>
          <w:rFonts w:ascii="宋体" w:hAnsi="宋体"/>
        </w:rPr>
        <w:t>等。最近，学习成本认知逐渐发展成为解释学生回避性动机形成发展的核心要素</w:t>
      </w:r>
      <w:r>
        <w:rPr>
          <w:rStyle w:val="af4"/>
          <w:rFonts w:ascii="宋体" w:hAnsi="宋体"/>
          <w:kern w:val="0"/>
          <w:sz w:val="20"/>
          <w:szCs w:val="20"/>
        </w:rPr>
        <w:footnoteReference w:id="31"/>
      </w:r>
      <w:r>
        <w:rPr>
          <w:rFonts w:ascii="宋体" w:hAnsi="宋体"/>
        </w:rPr>
        <w:t>。学习成本认知作为大学生面对学习可能连带产生的负面结果的主观认知，凸显了回避性动机产生的核心心理机制。换言之，学生产生逃避学习的回避性动机的根本原因，很可能是因为他们非常关注学习过程中所需要的付出和其连带的后果，即感知到了过高的学习成本。特别是在大学环境中，基于中国大学生样本的研究显示，当询问他们在体育活动中不喜欢的方面及原因时，学生们频繁提到成本方面的因素，例如因工作量太大而感受到努力成本等，这些因素降低了他们对体育活动的兴趣并减少了</w:t>
      </w:r>
      <w:r>
        <w:rPr>
          <w:rFonts w:ascii="宋体" w:hAnsi="宋体"/>
          <w:spacing w:val="4"/>
        </w:rPr>
        <w:t>未来参与的意愿</w:t>
      </w:r>
      <w:r>
        <w:rPr>
          <w:rStyle w:val="af4"/>
          <w:rFonts w:ascii="宋体" w:hAnsi="宋体" w:hint="eastAsia"/>
          <w:spacing w:val="4"/>
          <w:kern w:val="0"/>
          <w:sz w:val="20"/>
          <w:szCs w:val="20"/>
        </w:rPr>
        <w:footnoteReference w:id="32"/>
      </w:r>
      <w:r>
        <w:rPr>
          <w:rFonts w:ascii="宋体" w:hAnsi="宋体"/>
          <w:spacing w:val="4"/>
        </w:rPr>
        <w:t>。学生的自述是反映其真实想法最直接、最可靠的信息源，揭示了学习成本认知在诱发回避性动机和行为过程中的重要性。这种关系与成本认知和回避性动机均属于负效价变量的特性相吻合。因此，价值的缺失可能不是导致学生产生回避动机的直接原因，因为价值认知属于正效价变量。从动机形成的角度来看，缺少价值最坏的结果就是没有任何收益，这可能会削弱个体的奋斗意愿，但不足以引发回避性动机。只有当结果明显包含消极要素时，个体才会产生强烈的回避性动机，进而选择放弃努力、逃避压力并“躺平”。基于这些考虑，家长、老师和学校管理者需要意识到，想要真正地让学生投入和享受学习，避免懒学</w:t>
      </w:r>
      <w:proofErr w:type="gramStart"/>
      <w:r>
        <w:rPr>
          <w:rFonts w:ascii="宋体" w:hAnsi="宋体"/>
          <w:spacing w:val="4"/>
        </w:rPr>
        <w:lastRenderedPageBreak/>
        <w:t>怠</w:t>
      </w:r>
      <w:proofErr w:type="gramEnd"/>
      <w:r>
        <w:rPr>
          <w:rFonts w:ascii="宋体" w:hAnsi="宋体"/>
          <w:spacing w:val="4"/>
        </w:rPr>
        <w:t>学，单纯强调学习的重要性和价值是不够的，要同时降低学生对学习成本的感知。通过这种双管齐下的策略，才能更为有效地激发学生的学习动机。</w:t>
      </w:r>
      <w:bookmarkEnd w:id="59"/>
    </w:p>
    <w:p w14:paraId="1B6A5593" w14:textId="77777777" w:rsidR="0087421F" w:rsidRDefault="00000000">
      <w:pPr>
        <w:pStyle w:val="aff3"/>
        <w:ind w:firstLine="420"/>
        <w:rPr>
          <w:rFonts w:hint="eastAsia"/>
        </w:rPr>
      </w:pPr>
      <w:bookmarkStart w:id="65" w:name="二级标题序号_7"/>
      <w:bookmarkStart w:id="66" w:name="二级标题_10"/>
      <w:r>
        <w:t>（二）</w:t>
      </w:r>
      <w:bookmarkEnd w:id="65"/>
      <w:r>
        <w:t>成本认知阻碍学习发展与学业成就</w:t>
      </w:r>
      <w:bookmarkEnd w:id="66"/>
    </w:p>
    <w:p w14:paraId="5961B7E6" w14:textId="77777777" w:rsidR="0087421F" w:rsidRDefault="00000000">
      <w:pPr>
        <w:pStyle w:val="aff1"/>
        <w:ind w:firstLine="420"/>
        <w:rPr>
          <w:rFonts w:ascii="宋体" w:hAnsi="宋体" w:hint="eastAsia"/>
        </w:rPr>
      </w:pPr>
      <w:bookmarkStart w:id="67" w:name="正文段落_26"/>
      <w:r>
        <w:rPr>
          <w:rFonts w:ascii="宋体" w:hAnsi="宋体"/>
        </w:rPr>
        <w:t>学习成本认知会对学生的整体发展及学业表现产生许多不良的影响。一是学生的成本认知会削弱其对学习整体价值的判断。当成本</w:t>
      </w:r>
      <w:proofErr w:type="gramStart"/>
      <w:r>
        <w:rPr>
          <w:rFonts w:ascii="宋体" w:hAnsi="宋体"/>
        </w:rPr>
        <w:t>认知占</w:t>
      </w:r>
      <w:proofErr w:type="gramEnd"/>
      <w:r>
        <w:rPr>
          <w:rFonts w:ascii="宋体" w:hAnsi="宋体"/>
        </w:rPr>
        <w:t>主导时，学生会认为学习需要付出的太多，例如“要在期末考试中获得一个好分数需要付出太多的精力了”、“因为做不完的小组作业，导致我没有时间和朋友们一起玩”等等。在这些情况下，学生很容易在一开始就选择回避学习，进而影响其成长和进步</w:t>
      </w:r>
      <w:r>
        <w:rPr>
          <w:rStyle w:val="af4"/>
          <w:rFonts w:ascii="宋体" w:hAnsi="宋体" w:hint="eastAsia"/>
          <w:kern w:val="0"/>
          <w:sz w:val="20"/>
          <w:szCs w:val="20"/>
        </w:rPr>
        <w:footnoteReference w:id="33"/>
      </w:r>
      <w:r>
        <w:rPr>
          <w:rFonts w:ascii="宋体" w:hAnsi="宋体"/>
        </w:rPr>
        <w:t>。二是成本认知会导致学生出现如过度焦虑、生活作息紊乱、消极拖延和学习疏离等学业适应不良现象</w:t>
      </w:r>
      <w:r>
        <w:rPr>
          <w:rStyle w:val="af4"/>
          <w:rFonts w:ascii="宋体" w:hAnsi="宋体"/>
          <w:kern w:val="0"/>
          <w:sz w:val="20"/>
          <w:szCs w:val="20"/>
        </w:rPr>
        <w:footnoteReference w:id="34"/>
      </w:r>
      <w:r>
        <w:rPr>
          <w:rFonts w:ascii="宋体" w:hAnsi="宋体"/>
        </w:rPr>
        <w:t>。较高的成本认知不仅与学生较低的满意度与课堂参与度密切关联</w:t>
      </w:r>
      <w:r>
        <w:rPr>
          <w:rStyle w:val="af4"/>
          <w:rFonts w:ascii="宋体" w:hAnsi="宋体"/>
          <w:kern w:val="0"/>
          <w:sz w:val="20"/>
          <w:szCs w:val="20"/>
        </w:rPr>
        <w:footnoteReference w:id="35"/>
      </w:r>
      <w:r>
        <w:rPr>
          <w:rFonts w:ascii="宋体" w:hAnsi="宋体"/>
        </w:rPr>
        <w:t>，还会导致学生更倾向于使用背诵、复述等简单低阶的学习策略</w:t>
      </w:r>
      <w:r>
        <w:rPr>
          <w:rStyle w:val="af4"/>
          <w:rFonts w:ascii="宋体" w:hAnsi="宋体"/>
          <w:kern w:val="0"/>
          <w:sz w:val="20"/>
          <w:szCs w:val="20"/>
        </w:rPr>
        <w:footnoteReference w:id="36"/>
      </w:r>
      <w:r>
        <w:rPr>
          <w:rFonts w:ascii="宋体" w:hAnsi="宋体"/>
        </w:rPr>
        <w:t>。此外，过高的成本认知还会影响学生的学习目标设定，让其更容易形成表现回避目标，即想方设法逃脱竞争情境来避免自己表现得比他人更差</w:t>
      </w:r>
      <w:r>
        <w:rPr>
          <w:rStyle w:val="af4"/>
          <w:rFonts w:ascii="宋体" w:hAnsi="宋体" w:hint="eastAsia"/>
          <w:kern w:val="0"/>
          <w:sz w:val="20"/>
          <w:szCs w:val="20"/>
        </w:rPr>
        <w:footnoteReference w:id="37"/>
      </w:r>
      <w:r>
        <w:rPr>
          <w:rFonts w:ascii="宋体" w:hAnsi="宋体"/>
        </w:rPr>
        <w:t>。三是学习成本认知也会损害学生的学业成绩</w:t>
      </w:r>
      <w:r>
        <w:rPr>
          <w:rStyle w:val="af4"/>
          <w:rFonts w:ascii="宋体" w:hAnsi="宋体" w:hint="eastAsia"/>
          <w:kern w:val="0"/>
          <w:sz w:val="20"/>
          <w:szCs w:val="20"/>
        </w:rPr>
        <w:footnoteReference w:id="38"/>
      </w:r>
      <w:r>
        <w:rPr>
          <w:rFonts w:ascii="宋体" w:hAnsi="宋体"/>
        </w:rPr>
        <w:t>。这种影响在数学、语言、生物等不同学科领域中都表现出一致性</w:t>
      </w:r>
      <w:r>
        <w:rPr>
          <w:rStyle w:val="af4"/>
          <w:rFonts w:ascii="宋体" w:hAnsi="宋体" w:hint="eastAsia"/>
          <w:kern w:val="0"/>
          <w:sz w:val="20"/>
          <w:szCs w:val="20"/>
        </w:rPr>
        <w:footnoteReference w:id="39"/>
      </w:r>
      <w:r>
        <w:rPr>
          <w:rFonts w:ascii="宋体" w:hAnsi="宋体"/>
        </w:rPr>
        <w:t>。一项以个体为中心的聚类分析研究揭示，成本认知是划分不同学习动机模式的关键因素之一。相较于低成本认知的学生群体，高成本认知的学生群体的学业成绩普遍较低</w:t>
      </w:r>
      <w:r>
        <w:rPr>
          <w:rStyle w:val="af4"/>
          <w:rFonts w:ascii="宋体" w:hAnsi="宋体"/>
          <w:kern w:val="0"/>
          <w:sz w:val="20"/>
          <w:szCs w:val="20"/>
        </w:rPr>
        <w:footnoteReference w:id="40"/>
      </w:r>
      <w:r>
        <w:rPr>
          <w:rFonts w:ascii="宋体" w:hAnsi="宋体"/>
        </w:rPr>
        <w:t>。最新研究进一步表明，成本认知不仅直接影响大学生的学业成绩，还能调节他们的自我能力信念和学业成绩之间的关系</w:t>
      </w:r>
      <w:r>
        <w:rPr>
          <w:rStyle w:val="af4"/>
          <w:rFonts w:ascii="宋体" w:hAnsi="宋体" w:hint="eastAsia"/>
          <w:kern w:val="0"/>
          <w:sz w:val="20"/>
          <w:szCs w:val="20"/>
        </w:rPr>
        <w:footnoteReference w:id="41"/>
      </w:r>
      <w:r>
        <w:rPr>
          <w:rFonts w:ascii="宋体" w:hAnsi="宋体"/>
        </w:rPr>
        <w:t>。具体来说，当学生的成本认知过高时，他们</w:t>
      </w:r>
      <w:proofErr w:type="gramStart"/>
      <w:r>
        <w:rPr>
          <w:rFonts w:ascii="宋体" w:hAnsi="宋体"/>
        </w:rPr>
        <w:t>即使具有</w:t>
      </w:r>
      <w:proofErr w:type="gramEnd"/>
      <w:r>
        <w:rPr>
          <w:rFonts w:ascii="宋体" w:hAnsi="宋体"/>
        </w:rPr>
        <w:t>较强的能力信念，也难以取得优秀的学业成绩。</w:t>
      </w:r>
      <w:bookmarkEnd w:id="67"/>
    </w:p>
    <w:p w14:paraId="14D8E80C" w14:textId="77777777" w:rsidR="0087421F" w:rsidRDefault="00000000">
      <w:pPr>
        <w:pStyle w:val="aff1"/>
        <w:ind w:firstLine="420"/>
        <w:rPr>
          <w:rFonts w:ascii="宋体" w:hAnsi="宋体" w:hint="eastAsia"/>
        </w:rPr>
      </w:pPr>
      <w:bookmarkStart w:id="77" w:name="正文段落_28"/>
      <w:r>
        <w:rPr>
          <w:rFonts w:ascii="宋体" w:hAnsi="宋体"/>
        </w:rPr>
        <w:t>成本认知还会影响学生的学业选择意愿。比如，过高的学习成本认知会导致大学入学率的降低</w:t>
      </w:r>
      <w:r>
        <w:rPr>
          <w:rStyle w:val="af4"/>
          <w:rFonts w:ascii="宋体" w:hAnsi="宋体" w:hint="eastAsia"/>
          <w:kern w:val="0"/>
          <w:sz w:val="20"/>
          <w:szCs w:val="20"/>
        </w:rPr>
        <w:footnoteReference w:id="42"/>
      </w:r>
      <w:r>
        <w:rPr>
          <w:rFonts w:ascii="宋体" w:hAnsi="宋体"/>
        </w:rPr>
        <w:t>。成本认知在预测攻读研究生意向方面也显示出负面效应，表现为大学生对成本的感知越高，其继续深造攻读研</w:t>
      </w:r>
      <w:r>
        <w:rPr>
          <w:rFonts w:ascii="宋体" w:hAnsi="宋体"/>
        </w:rPr>
        <w:lastRenderedPageBreak/>
        <w:t>究生的倾向越低</w:t>
      </w:r>
      <w:r>
        <w:rPr>
          <w:rStyle w:val="af4"/>
          <w:rFonts w:ascii="宋体" w:hAnsi="宋体" w:hint="eastAsia"/>
          <w:kern w:val="0"/>
          <w:sz w:val="20"/>
          <w:szCs w:val="20"/>
        </w:rPr>
        <w:footnoteReference w:id="43"/>
      </w:r>
      <w:r>
        <w:rPr>
          <w:rFonts w:ascii="宋体" w:hAnsi="宋体"/>
        </w:rPr>
        <w:t>。特别值得关注的是，对于任何国家的高质量发展而言，</w:t>
      </w:r>
      <w:r>
        <w:t>科学（</w:t>
      </w:r>
      <w:r>
        <w:t>Science</w:t>
      </w:r>
      <w:r>
        <w:t>）、技术（</w:t>
      </w:r>
      <w:r>
        <w:t>Technology</w:t>
      </w:r>
      <w:r>
        <w:t>）、工程（</w:t>
      </w:r>
      <w:r>
        <w:t>Engineering</w:t>
      </w:r>
      <w:r>
        <w:t>）和数学（</w:t>
      </w:r>
      <w:r>
        <w:t>Mathematics</w:t>
      </w:r>
      <w:r>
        <w:t>）等</w:t>
      </w:r>
      <w:r>
        <w:t>STEM</w:t>
      </w:r>
      <w:r>
        <w:t>领域的学科尤为关键。然而，成本认知被发现可以正向预测学生对</w:t>
      </w:r>
      <w:r>
        <w:t>STEM</w:t>
      </w:r>
      <w:r>
        <w:rPr>
          <w:rFonts w:ascii="宋体" w:hAnsi="宋体"/>
        </w:rPr>
        <w:t>学科的消极态度和退学倾向。具体而言，随着成本认知的增加，大学生对于继续学</w:t>
      </w:r>
      <w:r>
        <w:t>习</w:t>
      </w:r>
      <w:r>
        <w:t>STEM</w:t>
      </w:r>
      <w:r>
        <w:rPr>
          <w:rFonts w:ascii="宋体" w:hAnsi="宋体"/>
        </w:rPr>
        <w:t>专业的意愿降低，甚至产生退学的想法</w:t>
      </w:r>
      <w:r>
        <w:rPr>
          <w:rStyle w:val="af4"/>
          <w:rFonts w:ascii="宋体" w:hAnsi="宋体" w:hint="eastAsia"/>
          <w:kern w:val="0"/>
          <w:sz w:val="20"/>
          <w:szCs w:val="20"/>
        </w:rPr>
        <w:footnoteReference w:id="44"/>
      </w:r>
      <w:r>
        <w:rPr>
          <w:rFonts w:ascii="宋体" w:hAnsi="宋体"/>
        </w:rPr>
        <w:t>。</w:t>
      </w:r>
      <w:bookmarkEnd w:id="77"/>
    </w:p>
    <w:p w14:paraId="604AC0A4" w14:textId="77777777" w:rsidR="0087421F" w:rsidRDefault="00000000">
      <w:pPr>
        <w:pStyle w:val="aff2"/>
        <w:spacing w:before="312" w:after="312"/>
        <w:rPr>
          <w:spacing w:val="4"/>
        </w:rPr>
      </w:pPr>
      <w:bookmarkStart w:id="81" w:name="一级标题序号_8"/>
      <w:bookmarkStart w:id="82" w:name="一级标题_6"/>
      <w:r>
        <w:rPr>
          <w:spacing w:val="4"/>
        </w:rPr>
        <w:t>三、</w:t>
      </w:r>
      <w:bookmarkEnd w:id="81"/>
      <w:r>
        <w:rPr>
          <w:spacing w:val="4"/>
        </w:rPr>
        <w:t>针对学习成本认知的教育干预与教学启示</w:t>
      </w:r>
      <w:bookmarkEnd w:id="82"/>
    </w:p>
    <w:p w14:paraId="2ECD3AD5" w14:textId="77777777" w:rsidR="0087421F" w:rsidRDefault="00000000">
      <w:pPr>
        <w:pStyle w:val="aff1"/>
        <w:ind w:firstLine="420"/>
        <w:rPr>
          <w:rFonts w:ascii="宋体" w:hAnsi="宋体" w:hint="eastAsia"/>
        </w:rPr>
      </w:pPr>
      <w:bookmarkStart w:id="83" w:name="正文段落_30"/>
      <w:r>
        <w:rPr>
          <w:rFonts w:ascii="宋体" w:hAnsi="宋体"/>
        </w:rPr>
        <w:t>当前，针对大学生“躺平”现象的干预主要侧重于激发其积极信念和培养良好的学习习惯，包括实施奖惩制度、增强学科兴趣、突出课程实用性、明确学习目标和促进自我肯定等策略</w:t>
      </w:r>
      <w:r>
        <w:rPr>
          <w:rStyle w:val="af4"/>
          <w:rFonts w:ascii="宋体" w:hAnsi="宋体" w:hint="eastAsia"/>
          <w:kern w:val="0"/>
          <w:sz w:val="20"/>
          <w:szCs w:val="20"/>
        </w:rPr>
        <w:footnoteReference w:id="45"/>
      </w:r>
      <w:r>
        <w:rPr>
          <w:rFonts w:ascii="宋体" w:hAnsi="宋体"/>
        </w:rPr>
        <w:t>。虽然这些措施都发挥了重要作用，但不容忽视的是，学习成本认知作为一种消极信念，能够从根本上妨碍学生的课堂表现和学业进步，甚至影响他们的未来学业选择</w:t>
      </w:r>
      <w:r>
        <w:rPr>
          <w:rStyle w:val="af4"/>
          <w:rFonts w:ascii="宋体" w:hAnsi="宋体"/>
          <w:kern w:val="0"/>
          <w:sz w:val="20"/>
          <w:szCs w:val="20"/>
        </w:rPr>
        <w:footnoteReference w:id="46"/>
      </w:r>
      <w:r>
        <w:rPr>
          <w:rFonts w:ascii="宋体" w:hAnsi="宋体"/>
        </w:rPr>
        <w:t>。以个体为中心的研究亦表明，即使学生认可学习的积极价值，也可能感受到较高的学习成本</w:t>
      </w:r>
      <w:r>
        <w:rPr>
          <w:rStyle w:val="af4"/>
          <w:rFonts w:ascii="宋体" w:hAnsi="宋体"/>
          <w:kern w:val="0"/>
          <w:sz w:val="20"/>
          <w:szCs w:val="20"/>
        </w:rPr>
        <w:footnoteReference w:id="47"/>
      </w:r>
      <w:r>
        <w:rPr>
          <w:rFonts w:ascii="宋体" w:hAnsi="宋体"/>
        </w:rPr>
        <w:t>。因此，对学习成本认知进行干预可能是更为直接的解决路径，旨在最小化成本，这样不仅可以有效减少学生逃避学习的倾向，还能促进他们的深层认知加工和学习发展</w:t>
      </w:r>
      <w:r>
        <w:rPr>
          <w:rStyle w:val="af4"/>
          <w:rFonts w:ascii="宋体" w:hAnsi="宋体" w:hint="eastAsia"/>
          <w:kern w:val="0"/>
          <w:sz w:val="20"/>
          <w:szCs w:val="20"/>
        </w:rPr>
        <w:footnoteReference w:id="48"/>
      </w:r>
      <w:r>
        <w:rPr>
          <w:rFonts w:ascii="宋体" w:hAnsi="宋体"/>
        </w:rPr>
        <w:t>。</w:t>
      </w:r>
      <w:bookmarkEnd w:id="83"/>
    </w:p>
    <w:p w14:paraId="1256BC66" w14:textId="77777777" w:rsidR="0087421F" w:rsidRDefault="00000000">
      <w:pPr>
        <w:pStyle w:val="aff3"/>
        <w:ind w:firstLine="420"/>
        <w:rPr>
          <w:rFonts w:hint="eastAsia"/>
        </w:rPr>
      </w:pPr>
      <w:bookmarkStart w:id="88" w:name="二级标题序号_9"/>
      <w:bookmarkStart w:id="89" w:name="二级标题_12"/>
      <w:r>
        <w:t>（一）</w:t>
      </w:r>
      <w:bookmarkEnd w:id="88"/>
      <w:r>
        <w:t>针对学习成本认知的干预案例</w:t>
      </w:r>
      <w:bookmarkEnd w:id="89"/>
    </w:p>
    <w:p w14:paraId="24863F51" w14:textId="77777777" w:rsidR="0087421F" w:rsidRDefault="00000000">
      <w:pPr>
        <w:pStyle w:val="aff1"/>
        <w:spacing w:line="293" w:lineRule="auto"/>
        <w:ind w:firstLine="420"/>
        <w:rPr>
          <w:rFonts w:ascii="宋体" w:hAnsi="宋体" w:hint="eastAsia"/>
        </w:rPr>
      </w:pPr>
      <w:bookmarkStart w:id="90" w:name="正文段落_32"/>
      <w:r>
        <w:rPr>
          <w:rFonts w:ascii="宋体" w:hAnsi="宋体"/>
        </w:rPr>
        <w:t>近两年来如何有效地开发针对性的干预措施以帮助学生减少学习成本认知，正引起愈来愈多学者的关注。但学界对于学习成本认知的干预研究仍处于起步阶段，目前仅有两个基于美国大学生样本的实验方案验证了针对学习成本认知的干预效果并提供了一些可行性建议</w:t>
      </w:r>
      <w:r>
        <w:rPr>
          <w:rStyle w:val="af4"/>
          <w:rFonts w:ascii="宋体" w:hAnsi="宋体" w:hint="eastAsia"/>
          <w:kern w:val="0"/>
          <w:sz w:val="20"/>
          <w:szCs w:val="20"/>
        </w:rPr>
        <w:footnoteReference w:id="49"/>
      </w:r>
      <w:r>
        <w:rPr>
          <w:rFonts w:ascii="宋体" w:hAnsi="宋体"/>
        </w:rPr>
        <w:t>。这两个研究的干预策略都是让学生阅读几则“他人语录（</w:t>
      </w:r>
      <w:r>
        <w:t>quotation</w:t>
      </w:r>
      <w:r>
        <w:rPr>
          <w:rFonts w:ascii="宋体" w:hAnsi="宋体"/>
        </w:rPr>
        <w:t>）”，即来自其他同龄人的一段话（实际由研究者代笔编写），话中描述了话语主人公学习专业课时遇到的困难或挑战，以及对这些挑战所作的正向解读，例如“准备考试很辛苦，但我提醒自己这是暂时的”、“兼顾专业课和其他课程的学习是一项挑战，但其</w:t>
      </w:r>
      <w:r>
        <w:rPr>
          <w:rFonts w:ascii="宋体" w:hAnsi="宋体"/>
          <w:spacing w:val="4"/>
        </w:rPr>
        <w:t>他学生也正经历着同样的事情，随着时间的推移，我意识到自己之前可能高估了所需的努力程度”。在学生阅读完所有语录材料后，干预的跟进的措施包括：（</w:t>
      </w:r>
      <w:r>
        <w:rPr>
          <w:spacing w:val="4"/>
        </w:rPr>
        <w:t>1</w:t>
      </w:r>
      <w:r>
        <w:rPr>
          <w:rFonts w:ascii="宋体" w:hAnsi="宋体"/>
          <w:spacing w:val="4"/>
        </w:rPr>
        <w:t>）内化干预材料中提供的信息，回答如“这段话与你自己的经历有多少相似之处”等问题，以及将每段语录按照从最喜欢到最不喜欢的顺序进行排列；（</w:t>
      </w:r>
      <w:r>
        <w:rPr>
          <w:spacing w:val="4"/>
        </w:rPr>
        <w:t>2</w:t>
      </w:r>
      <w:r>
        <w:rPr>
          <w:rFonts w:ascii="宋体" w:hAnsi="宋体"/>
          <w:spacing w:val="4"/>
        </w:rPr>
        <w:t>）“说即是信”练习，即写下一段话作为未来的阅读材料，这段话将以自己的视角去描述本人曾在学习中遇到的挑战</w:t>
      </w:r>
      <w:r>
        <w:rPr>
          <w:rFonts w:ascii="宋体" w:hAnsi="宋体"/>
          <w:spacing w:val="4"/>
        </w:rPr>
        <w:lastRenderedPageBreak/>
        <w:t>以及有效应对措施。</w:t>
      </w:r>
      <w:bookmarkEnd w:id="90"/>
    </w:p>
    <w:p w14:paraId="4D37CAFC" w14:textId="77777777" w:rsidR="0087421F" w:rsidRDefault="00000000">
      <w:pPr>
        <w:pStyle w:val="aff1"/>
        <w:ind w:firstLine="420"/>
        <w:rPr>
          <w:rFonts w:ascii="宋体" w:hAnsi="宋体" w:hint="eastAsia"/>
        </w:rPr>
      </w:pPr>
      <w:bookmarkStart w:id="92" w:name="正文段落_34"/>
      <w:r>
        <w:rPr>
          <w:rFonts w:ascii="宋体" w:hAnsi="宋体"/>
        </w:rPr>
        <w:t>研究结果显示，与对照组相比，实验组学生的平时成绩和期末考试成绩得到显著提升，并且干预措施对于初始分数较低的学生来说影响更大、效果更好。干预措施还有效减少了初始成绩较差学生的学习成本认知，提高了他们的自我能力信念。可见，这种以学习成本认知为核心的干预策略有助于学生从更积极的视角去看待他们所遇到的学业挑战，意识到困难和挑战也是学习的一部分，并且内化学习会随着时间的推移变得更加得心应手的思想，从而使学生减少对于学习的成本认知。此外，当学生发现“学习很难”是一个所有人都会有的感受时，他们就会减少“学习吃力是因为自己能力不足而导致的”这类归因</w:t>
      </w:r>
      <w:r>
        <w:rPr>
          <w:rStyle w:val="af4"/>
          <w:rFonts w:ascii="宋体" w:hAnsi="宋体" w:hint="eastAsia"/>
          <w:kern w:val="0"/>
          <w:sz w:val="20"/>
          <w:szCs w:val="20"/>
        </w:rPr>
        <w:footnoteReference w:id="50"/>
      </w:r>
      <w:r>
        <w:rPr>
          <w:rFonts w:ascii="宋体" w:hAnsi="宋体"/>
        </w:rPr>
        <w:t>，也就不会再认为投入的努力会白费或者显得自己不够聪明，从而更有可能投入更多的努力。</w:t>
      </w:r>
      <w:bookmarkEnd w:id="92"/>
    </w:p>
    <w:p w14:paraId="7073071A" w14:textId="77777777" w:rsidR="0087421F" w:rsidRDefault="00000000">
      <w:pPr>
        <w:pStyle w:val="aff3"/>
        <w:ind w:firstLine="420"/>
        <w:rPr>
          <w:rFonts w:hint="eastAsia"/>
        </w:rPr>
      </w:pPr>
      <w:bookmarkStart w:id="94" w:name="二级标题序号_10"/>
      <w:bookmarkStart w:id="95" w:name="二级标题_14"/>
      <w:r>
        <w:t>（二）</w:t>
      </w:r>
      <w:bookmarkEnd w:id="94"/>
      <w:r>
        <w:t>教学启示与展望</w:t>
      </w:r>
      <w:bookmarkEnd w:id="95"/>
    </w:p>
    <w:p w14:paraId="07E45D52" w14:textId="77777777" w:rsidR="0087421F" w:rsidRDefault="00000000">
      <w:pPr>
        <w:pStyle w:val="aff1"/>
        <w:ind w:firstLine="420"/>
        <w:rPr>
          <w:rFonts w:ascii="宋体" w:hAnsi="宋体" w:hint="eastAsia"/>
        </w:rPr>
      </w:pPr>
      <w:bookmarkStart w:id="96" w:name="正文段落_36"/>
      <w:r>
        <w:rPr>
          <w:rFonts w:ascii="宋体" w:hAnsi="宋体"/>
        </w:rPr>
        <w:t>了解何种因素阻碍了大学生的学习投入并做出相应的干预，是对当前国内本科教育质量提升的积极响应。学习成本认知作为诱发学生回避性动机和学业适应不良的核心因素，对其进行精细化的剖析和干预，可以成为减少大学生“躺平”现象的有效切入点。因此，这一领域应受到教育工作者更广泛地关注。</w:t>
      </w:r>
      <w:bookmarkEnd w:id="96"/>
    </w:p>
    <w:p w14:paraId="5EDCC36A" w14:textId="77777777" w:rsidR="0087421F" w:rsidRDefault="00000000">
      <w:pPr>
        <w:pStyle w:val="aff1"/>
        <w:ind w:firstLine="440"/>
        <w:rPr>
          <w:rFonts w:ascii="宋体" w:hAnsi="宋体" w:hint="eastAsia"/>
          <w:spacing w:val="5"/>
        </w:rPr>
      </w:pPr>
      <w:bookmarkStart w:id="97" w:name="正文段落_38"/>
      <w:r>
        <w:rPr>
          <w:rFonts w:ascii="宋体" w:hAnsi="宋体"/>
          <w:spacing w:val="5"/>
        </w:rPr>
        <w:t>考虑到学习成本认知对学习发展的不利影响，帮助大学生预防和减少成本认知理应与帮助其提升学习兴趣等价值认知一样重要。需要注意的是，学生可能会感知到不同类型的学习成本，所以区分不同类型的学习成本并研究其具体的影响机制就显得尤为重要。精细化的分类区别有助于教育工作者制定有针对性的干预措施，以促进学生的学习表现。例如，许多成绩不是很好的学生很可能会认为无论自己多么努力都没有办法获得满意的成绩，这些学生很可能会觉得在学习上投入精力是一种无谓的付出并因此产生努力成本认知。对于这些学生，可以加强成长型思维的培养以促进学生对努力投入的正向解读</w:t>
      </w:r>
      <w:r>
        <w:rPr>
          <w:rStyle w:val="af4"/>
          <w:rFonts w:ascii="宋体" w:hAnsi="宋体" w:hint="eastAsia"/>
          <w:spacing w:val="5"/>
          <w:kern w:val="0"/>
          <w:sz w:val="20"/>
          <w:szCs w:val="20"/>
        </w:rPr>
        <w:footnoteReference w:id="51"/>
      </w:r>
      <w:r>
        <w:rPr>
          <w:rFonts w:ascii="宋体" w:hAnsi="宋体"/>
          <w:spacing w:val="5"/>
        </w:rPr>
        <w:t>，缓解努力成本认知。此外，当下的学生们生活在一个信息和选择多元化的环境中，他们有非常大的机率会在学习过程中感知到机会成本，因为花费大量的时间学习势必会剥脱他们参与其他有趣活动的机会。因此，为学生创设一个尽量不受外界无关因素干扰的学习环境，有助于减少他们的注意力分散，更好地投入当前的学习活动，以此降低机会成本。再有，自我成本产生的心理机制是学生害怕由失败诱发的自我价值和自我认同威胁。如果学生所在的学习环境过于强调结果性评价与个体间比较，学生就很可能产生自我成本认知。因此，兼顾过程性评价与构建课程过程性评价体系将有助于减少学生的自我成本认知。再比如，通过设计真实性问题情境或是采用互动教学模式等措施来创造一个生动的建构式学习环境，可以减少学生对于课堂的消极情感体验，从而缓解情绪成本认知。</w:t>
      </w:r>
      <w:bookmarkEnd w:id="97"/>
    </w:p>
    <w:p w14:paraId="5641B54A" w14:textId="77777777" w:rsidR="0087421F" w:rsidRDefault="00000000">
      <w:pPr>
        <w:pStyle w:val="aff1"/>
        <w:ind w:firstLine="436"/>
        <w:rPr>
          <w:rFonts w:ascii="宋体" w:hAnsi="宋体" w:hint="eastAsia"/>
          <w:spacing w:val="4"/>
        </w:rPr>
      </w:pPr>
      <w:bookmarkStart w:id="99" w:name="正文段落_40"/>
      <w:r>
        <w:rPr>
          <w:rFonts w:ascii="宋体" w:hAnsi="宋体"/>
          <w:spacing w:val="4"/>
        </w:rPr>
        <w:t>从理论上说得通到实践中行得通，还需要我们大力地推进干预研究的本土化进程。纵观国内外的相关研究，目前围绕学习成本认知的干预研究仍处于起始阶段，资源相对稀缺。尤其是我国的相关干预研究尚未起步，对于上文所提及的基于美国大学生样本的学习成本认知针对性干预案例在中国大学生样本中是否具有可操作性和实际效果，也需要进一步实证探索。好的干预一定不能是简单照搬国外的现成模式，而是要充分了解我国大学生当前学习成本认知的现状，开发出契合我国的教育环境与学生特点的一套行之有效的学习成本认知干预体系。</w:t>
      </w:r>
      <w:bookmarkEnd w:id="99"/>
    </w:p>
    <w:p w14:paraId="31D4B46C" w14:textId="77777777" w:rsidR="0087421F" w:rsidRDefault="00000000">
      <w:pPr>
        <w:pStyle w:val="aff1"/>
        <w:ind w:firstLine="420"/>
        <w:sectPr w:rsidR="0087421F" w:rsidSect="00196981">
          <w:footnotePr>
            <w:numFmt w:val="decimalEnclosedCircleChinese"/>
            <w:numRestart w:val="eachPage"/>
          </w:footnotePr>
          <w:endnotePr>
            <w:numFmt w:val="decimal"/>
          </w:endnotePr>
          <w:type w:val="continuous"/>
          <w:pgSz w:w="11907" w:h="16160"/>
          <w:pgMar w:top="1418" w:right="1134" w:bottom="1418" w:left="1134" w:header="851" w:footer="992" w:gutter="0"/>
          <w:pgNumType w:start="80"/>
          <w:cols w:space="425"/>
          <w:docGrid w:type="linesAndChars" w:linePitch="312"/>
        </w:sectPr>
      </w:pPr>
      <w:bookmarkStart w:id="100" w:name="正文段落_42"/>
      <w:r>
        <w:rPr>
          <w:rFonts w:ascii="宋体" w:hAnsi="宋体"/>
        </w:rPr>
        <w:lastRenderedPageBreak/>
        <w:t>基于学习成本认知干预，我们还应当探寻课程设置和教学改革的新生长点。学生的非认知能力是可教的，而心理学相关的学习科学一旦注入教育实践的躯体，将会产生巨大的能量</w:t>
      </w:r>
      <w:r>
        <w:rPr>
          <w:rStyle w:val="af4"/>
          <w:rFonts w:ascii="宋体" w:hAnsi="宋体" w:hint="eastAsia"/>
          <w:kern w:val="0"/>
          <w:sz w:val="20"/>
          <w:szCs w:val="20"/>
        </w:rPr>
        <w:footnoteReference w:id="52"/>
      </w:r>
      <w:r>
        <w:rPr>
          <w:rFonts w:ascii="宋体" w:hAnsi="宋体"/>
        </w:rPr>
        <w:t>。在遵循以学生为中心和全面发展的教育方针下，本科教育应重视学生学习的全面性和深入性。这意味着要超越仅仅关注教学的优质执行，转向更加重视提升学生的学习体验，激活他们的学习热情和内在潜力。为此，应建立起干预策略资源的共享机制，发展“教科研共同体”，依托简短且有效的心理干预措施去减少学生的不合理信念与消极情感态度。进一步地，可以将基于实证的干预措施整合到现有的心理健康教育课程中，并将其作为教学内容的延伸，纳入“第二课堂”活动，从而落实全面育人，贯彻“以学生发展为本”的基本理念，促进学生的学习可持续性、自我实现与自我成长。</w:t>
      </w:r>
      <w:bookmarkEnd w:id="100"/>
    </w:p>
    <w:p w14:paraId="46C57D8F" w14:textId="77777777" w:rsidR="00196981" w:rsidRDefault="00196981">
      <w:pPr>
        <w:pStyle w:val="afb"/>
        <w:spacing w:before="312"/>
        <w:ind w:left="420" w:right="420"/>
        <w:sectPr w:rsidR="00196981" w:rsidSect="00D80F61">
          <w:footnotePr>
            <w:numFmt w:val="decimalEnclosedCircleChinese"/>
            <w:numRestart w:val="eachPage"/>
          </w:footnotePr>
          <w:endnotePr>
            <w:numFmt w:val="decimal"/>
          </w:endnotePr>
          <w:type w:val="continuous"/>
          <w:pgSz w:w="11907" w:h="16160"/>
          <w:pgMar w:top="1418" w:right="1134" w:bottom="1418" w:left="1134" w:header="851" w:footer="992" w:gutter="0"/>
          <w:cols w:space="420"/>
          <w:docGrid w:type="linesAndChars" w:linePitch="312"/>
        </w:sectPr>
      </w:pPr>
      <w:bookmarkStart w:id="102" w:name="编辑_1"/>
    </w:p>
    <w:p w14:paraId="481A5339" w14:textId="77777777" w:rsidR="0087421F" w:rsidRDefault="00000000">
      <w:pPr>
        <w:pStyle w:val="afb"/>
        <w:spacing w:before="312"/>
        <w:ind w:left="420" w:right="420"/>
      </w:pPr>
      <w:r>
        <w:t xml:space="preserve">Analysis of the "Lying Flat" Mentality </w:t>
      </w:r>
      <w:r>
        <w:rPr>
          <w:rFonts w:hint="eastAsia"/>
        </w:rPr>
        <w:t>a</w:t>
      </w:r>
      <w:r>
        <w:t>mong College Students from the Perspective of Cost Perception</w:t>
      </w:r>
    </w:p>
    <w:p w14:paraId="34F79031" w14:textId="77777777" w:rsidR="0087421F" w:rsidRDefault="00000000">
      <w:pPr>
        <w:pStyle w:val="afc"/>
      </w:pPr>
      <w:bookmarkStart w:id="103" w:name="英文作者_2"/>
      <w:r>
        <w:t>Zhang Linjia   Jiang Yi</w:t>
      </w:r>
      <w:bookmarkEnd w:id="103"/>
    </w:p>
    <w:p w14:paraId="18638384" w14:textId="77777777" w:rsidR="0087421F" w:rsidRDefault="00000000">
      <w:pPr>
        <w:pStyle w:val="affff7"/>
        <w:ind w:firstLine="361"/>
      </w:pPr>
      <w:r>
        <w:rPr>
          <w:rStyle w:val="afe"/>
          <w:szCs w:val="18"/>
        </w:rPr>
        <w:t>Abstract</w:t>
      </w:r>
      <w:r>
        <w:rPr>
          <w:rStyle w:val="afe"/>
          <w:rFonts w:hint="eastAsia"/>
          <w:szCs w:val="18"/>
        </w:rPr>
        <w:t>：</w:t>
      </w:r>
      <w:r>
        <w:t xml:space="preserve">In recent years, the "lying flat" mentality has become widespread among college students, gradually evolving into a specific subcultural phenomenon. The emergence of this mentality may not stem from students’ lack of learning ability or disregard for the value of education, but rather from an elevated perception of the costs associated with academic </w:t>
      </w:r>
      <w:r>
        <w:rPr>
          <w:rFonts w:hint="eastAsia"/>
        </w:rPr>
        <w:t>learning</w:t>
      </w:r>
      <w:r>
        <w:t>. Learning cost perception, which refers to students’ subjective assessment of the potential negative outcomes associated with studying, is a core factor leading to poor academic adaptation. A</w:t>
      </w:r>
      <w:r>
        <w:rPr>
          <w:rFonts w:hint="eastAsia"/>
        </w:rPr>
        <w:t xml:space="preserve">n in-depth </w:t>
      </w:r>
      <w:r>
        <w:t>analysis of learning cost perception is crucial for understanding the motivational deficiencies, such as the "lying flat" phenomenon, among contemporary college students. This study aims to clarify the conceptual framework and theoretical roots of learning cost perception, analyze its negative impact on students’ academic development, and explore targeted interventions and teaching strategies. Through systematic review, the study seeks to elucidate the fundamental causes of the "lying flat" mentality, providing new perspectives and approaches for enhancing the quality of undergraduate education.</w:t>
      </w:r>
    </w:p>
    <w:p w14:paraId="3CB91F04" w14:textId="77777777" w:rsidR="0087421F" w:rsidRDefault="00000000">
      <w:pPr>
        <w:ind w:firstLineChars="200" w:firstLine="361"/>
        <w:rPr>
          <w:kern w:val="0"/>
        </w:rPr>
      </w:pPr>
      <w:r>
        <w:rPr>
          <w:rStyle w:val="aff"/>
          <w:szCs w:val="18"/>
        </w:rPr>
        <w:t>Key words</w:t>
      </w:r>
      <w:r>
        <w:rPr>
          <w:rStyle w:val="aff"/>
          <w:rFonts w:hint="eastAsia"/>
          <w:szCs w:val="18"/>
        </w:rPr>
        <w:t>：</w:t>
      </w:r>
      <w:bookmarkStart w:id="104" w:name="英文关键词_2"/>
      <w:r>
        <w:rPr>
          <w:rStyle w:val="aff0"/>
          <w:szCs w:val="20"/>
        </w:rPr>
        <w:t xml:space="preserve">learning cost </w:t>
      </w:r>
      <w:r>
        <w:rPr>
          <w:rStyle w:val="aff0"/>
          <w:rFonts w:hint="eastAsia"/>
          <w:szCs w:val="20"/>
        </w:rPr>
        <w:t>perception</w:t>
      </w:r>
      <w:r>
        <w:rPr>
          <w:rStyle w:val="aff0"/>
          <w:szCs w:val="20"/>
        </w:rPr>
        <w:t>; college students; "lying flat"; educational intervention</w:t>
      </w:r>
      <w:bookmarkEnd w:id="104"/>
    </w:p>
    <w:bookmarkEnd w:id="102"/>
    <w:p w14:paraId="6A06B8DF" w14:textId="77777777" w:rsidR="0087421F" w:rsidRDefault="0087421F"/>
    <w:p w14:paraId="1EEF29D1" w14:textId="77777777" w:rsidR="0087421F" w:rsidRDefault="0087421F"/>
    <w:p w14:paraId="5823F27E" w14:textId="77777777" w:rsidR="0087421F" w:rsidRDefault="0087421F"/>
    <w:sectPr w:rsidR="0087421F">
      <w:footnotePr>
        <w:numFmt w:val="decimalEnclosedCircleChinese"/>
        <w:numRestart w:val="eachPage"/>
      </w:footnotePr>
      <w:endnotePr>
        <w:numFmt w:val="decimal"/>
      </w:endnotePr>
      <w:type w:val="continuous"/>
      <w:pgSz w:w="11907" w:h="16160"/>
      <w:pgMar w:top="1418" w:right="1134" w:bottom="1418" w:left="1134" w:header="851" w:footer="992" w:gutter="0"/>
      <w:cols w:space="720"/>
      <w:docGrid w:type="linesAndChars" w:linePitch="312"/>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42">
      <wne:acd wne:acdName="acd8"/>
    </wne:keymap>
    <wne:keymap wne:kcmPrimary="0447">
      <wne:acd wne:acdName="acd9"/>
    </wne:keymap>
    <wne:keymap wne:kcmPrimary="044A">
      <wne:acd wne:acdName="acd10"/>
    </wne:keymap>
    <wne:keymap wne:kcmPrimary="0450">
      <wne:acd wne:acdName="acd11"/>
    </wne:keymap>
    <wne:keymap wne:kcmPrimary="0452">
      <wne:acd wne:acdName="acd12"/>
    </wne:keymap>
    <wne:keymap wne:kcmPrimary="045A">
      <wne:acd wne:acdName="acd13"/>
    </wne:keymap>
    <wne:keymap wne:kcmPrimary="0542">
      <wne:acd wne:acdName="acd14"/>
    </wne:keymap>
    <wne:keymap wne:kcmPrimary="0547">
      <wne:acd wne:acdName="acd15"/>
    </wne:keymap>
    <wne:keymap wne:kcmPrimary="0550">
      <wne:acd wne:acdName="acd16"/>
    </wne:keymap>
    <wne:keymap wne:kcmPrimary="0634">
      <wne:acd wne:acdName="acd17"/>
    </wne:keymap>
    <wne:keymap wne:kcmPrimary="0635">
      <wne:acd wne:acdName="acd18"/>
    </wne:keymap>
    <wne:keymap wne:kcmPrimary="0636">
      <wne:acd wne:acdName="acd19"/>
    </wne:keymap>
    <wne:keymap wne:kcmPrimary="0637">
      <wne:acd wne:acdName="acd20"/>
    </wne:keymap>
    <wne:keymap wne:kcmPrimary="0638">
      <wne:acd wne:acdName="acd21"/>
    </wne:keymap>
    <wne:keymap wne:kcmPrimary="0642">
      <wne:acd wne:acdName="acd22"/>
    </wne:keymap>
    <wne:keymap wne:kcmPrimary="0647">
      <wne:acd wne:acdName="acd23"/>
    </wne:keymap>
    <wne:keymap wne:kcmPrimary="064A">
      <wne:acd wne:acdName="acd24"/>
    </wne:keymap>
    <wne:keymap wne:kcmPrimary="0650">
      <wne:acd wne:acdName="acd2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Manifest>
  </wne:toolbars>
  <wne:acds>
    <wne:acd wne:argValue="AgAATqd+B2iYmDdoD18=" wne:acdName="acd0" wne:fciIndexBasedOn="0065"/>
    <wne:acd wne:argValue="AgCMTqd+B2iYmDdoD18=" wne:acdName="acd1" wne:fciIndexBasedOn="0065"/>
    <wne:acd wne:argValue="AgAJTqd+B2iYmDdoD18=" wne:acdName="acd2" wne:fciIndexBasedOn="0065"/>
    <wne:acd wne:argValue="AgAI/y1OCf8HaJiYN2gPXw==" wne:acdName="acd3" wne:fciIndexBasedOn="0065"/>
    <wne:acd wne:argValue="AgAI/y1OCf9cTwWA01kNVDdoD18=" wne:acdName="acd4" wne:fciIndexBasedOn="0065"/>
    <wne:acd wne:argValue="AgAI/y1OCf9cTwWAVVNNTzdoD18=" wne:acdName="acd5" wne:fciIndexBasedOn="0065"/>
    <wne:acd wne:argValue="AgAI/y1OCf9YZIGJN2gPXw==" wne:acdName="acd6" wne:fciIndexBasedOn="0065"/>
    <wne:acd wne:argValue="AgAI/y1OCf9zUS6VzYs3aA9f" wne:acdName="acd7" wne:fciIndexBasedOn="0065"/>
    <wne:acd wne:argValue="AgBoiDxoN2gPXw==" wne:acdName="acd8" wne:fciIndexBasedOn="0065"/>
    <wne:acd wne:argValue="AgBsUQ9fN2gPXw==" wne:acdName="acd9" wne:fciIndexBasedOn="0065"/>
    <wne:acd wne:argValue="AgAI/y1OCf/+VuhsN2gPXw==" wne:acdName="acd10" wne:fciIndexBasedOn="0065"/>
    <wne:acd wne:argValue="AgD+VjdoD18=" wne:acdName="acd11" wne:fciIndexBasedOn="0065"/>
    <wne:acd wne:argValue="AgDCUwOAh2Uuc4VRuVs3aA9f" wne:acdName="acd12" wne:fciIndexBasedOn="0065"/>
    <wne:acd wne:argValue="AgBja4dlN2gPXw==" wne:acdName="acd13" wne:fciIndexBasedOn="0065"/>
    <wne:acd wne:argValue="AgAI/y1OCf9oiJiYN2gPXw==" wne:acdName="acd14" wne:fciIndexBasedOn="0065"/>
    <wne:acd wne:argValue="AgAI/y1OCf9oiOhsN2gPXw==" wne:acdName="acd15" wne:fciIndexBasedOn="0065"/>
    <wne:acd wne:argValue="AgAI/y1OCf/+VpiYN2gPXw==" wne:acdName="acd16" wne:fciIndexBasedOn="0065"/>
    <wne:acd wne:argValue="AgAI//GCCf8HaJiYN2gPXw==" wne:acdName="acd17" wne:fciIndexBasedOn="0065"/>
    <wne:acd wne:argValue="AgAI//GCCf9cTwWA01kNVDdoD18=" wne:acdName="acd18" wne:fciIndexBasedOn="0065"/>
    <wne:acd wne:argValue="AgAI//GCCf9cTwWAVVNNTzdoD18=" wne:acdName="acd19" wne:fciIndexBasedOn="0065"/>
    <wne:acd wne:argValue="AgAI//GCCf9YZIGJN2gPXw==" wne:acdName="acd20" wne:fciIndexBasedOn="0065"/>
    <wne:acd wne:argValue="AgAI//GCCf9zUS6VzYs3aA9f" wne:acdName="acd21" wne:fciIndexBasedOn="0065"/>
    <wne:acd wne:argValue="AgAI//GCCf9oiJiYN2gPXw==" wne:acdName="acd22" wne:fciIndexBasedOn="0065"/>
    <wne:acd wne:argValue="AgAI//GCCf9oiOhsN2gPXw==" wne:acdName="acd23" wne:fciIndexBasedOn="0065"/>
    <wne:acd wne:argValue="AgAI//GCCf/+VuhsN2gPXw==" wne:acdName="acd24" wne:fciIndexBasedOn="0065"/>
    <wne:acd wne:argValue="AgAI//GCCf/+VpiYN2gPXw==" wne:acdName="acd2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C98E2" w14:textId="77777777" w:rsidR="003727B1" w:rsidRDefault="003727B1">
      <w:r>
        <w:separator/>
      </w:r>
    </w:p>
  </w:endnote>
  <w:endnote w:type="continuationSeparator" w:id="0">
    <w:p w14:paraId="4B1F7484" w14:textId="77777777" w:rsidR="003727B1" w:rsidRDefault="0037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98D23" w14:textId="77777777" w:rsidR="0087421F" w:rsidRDefault="0087421F">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0577A" w14:textId="77777777" w:rsidR="0087421F" w:rsidRDefault="0087421F">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4FE43" w14:textId="77777777" w:rsidR="0087421F" w:rsidRDefault="0087421F">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F74A4" w14:textId="77777777" w:rsidR="003727B1" w:rsidRDefault="003727B1">
      <w:r>
        <w:separator/>
      </w:r>
    </w:p>
  </w:footnote>
  <w:footnote w:type="continuationSeparator" w:id="0">
    <w:p w14:paraId="2CC2BE7E" w14:textId="77777777" w:rsidR="003727B1" w:rsidRDefault="003727B1">
      <w:r>
        <w:continuationSeparator/>
      </w:r>
    </w:p>
  </w:footnote>
  <w:footnote w:id="1">
    <w:p w14:paraId="640B7CEF" w14:textId="77777777" w:rsidR="0087421F" w:rsidRDefault="00000000">
      <w:pPr>
        <w:pStyle w:val="a8"/>
        <w:tabs>
          <w:tab w:val="clear" w:pos="4153"/>
          <w:tab w:val="clear" w:pos="8306"/>
        </w:tabs>
        <w:ind w:firstLineChars="0" w:firstLine="0"/>
        <w:rPr>
          <w:rFonts w:eastAsia="宋体"/>
          <w:sz w:val="15"/>
          <w:szCs w:val="15"/>
        </w:rPr>
      </w:pPr>
      <w:bookmarkStart w:id="7" w:name="脚注_怀疑_8"/>
      <w:r>
        <w:rPr>
          <w:rFonts w:ascii="黑体" w:eastAsia="黑体" w:hAnsi="黑体"/>
          <w:bCs/>
          <w:color w:val="000000"/>
        </w:rPr>
        <w:t>收稿日期：</w:t>
      </w:r>
      <w:bookmarkStart w:id="8" w:name="中文收稿日期_带色_1"/>
      <w:r>
        <w:rPr>
          <w:rFonts w:eastAsia="宋体"/>
          <w:color w:val="000000"/>
        </w:rPr>
        <w:t>2024-3-28</w:t>
      </w:r>
      <w:bookmarkEnd w:id="8"/>
      <w:r>
        <w:rPr>
          <w:rStyle w:val="aff5"/>
          <w:color w:val="000000"/>
          <w:szCs w:val="15"/>
        </w:rPr>
        <w:t xml:space="preserve"> </w:t>
      </w:r>
    </w:p>
    <w:p w14:paraId="27C4BED5" w14:textId="77777777" w:rsidR="0087421F" w:rsidRDefault="00000000">
      <w:pPr>
        <w:pStyle w:val="aff6"/>
        <w:rPr>
          <w:szCs w:val="15"/>
        </w:rPr>
      </w:pPr>
      <w:r>
        <w:rPr>
          <w:rFonts w:ascii="黑体" w:eastAsia="黑体" w:hAnsi="黑体"/>
          <w:bCs/>
          <w:color w:val="000000"/>
          <w:szCs w:val="18"/>
        </w:rPr>
        <w:t>基金项目：</w:t>
      </w:r>
      <w:bookmarkStart w:id="9" w:name="中文基金项目_带色_1"/>
      <w:r>
        <w:rPr>
          <w:color w:val="000000"/>
        </w:rPr>
        <w:t>本文系全国教育科学规划课</w:t>
      </w:r>
      <w:r>
        <w:rPr>
          <w:rFonts w:ascii="宋体" w:hAnsi="宋体"/>
          <w:color w:val="000000"/>
        </w:rPr>
        <w:t>题“大学生学习成本认知的形成发展机制与干预策略研究”</w:t>
      </w:r>
      <w:r>
        <w:rPr>
          <w:color w:val="000000"/>
        </w:rPr>
        <w:t>（项目编号：</w:t>
      </w:r>
      <w:r>
        <w:rPr>
          <w:color w:val="000000"/>
        </w:rPr>
        <w:t>BIA220069</w:t>
      </w:r>
      <w:r>
        <w:rPr>
          <w:color w:val="000000"/>
        </w:rPr>
        <w:t>）的阶段性研究成果。</w:t>
      </w:r>
      <w:bookmarkEnd w:id="9"/>
    </w:p>
    <w:p w14:paraId="41D9BB55" w14:textId="77777777" w:rsidR="0087421F" w:rsidRDefault="00000000">
      <w:pPr>
        <w:pStyle w:val="a8"/>
        <w:adjustRightInd w:val="0"/>
        <w:ind w:firstLineChars="0" w:firstLine="0"/>
        <w:rPr>
          <w:rFonts w:eastAsia="宋体"/>
        </w:rPr>
      </w:pPr>
      <w:r>
        <w:rPr>
          <w:rFonts w:ascii="黑体" w:eastAsia="黑体" w:hAnsi="黑体"/>
          <w:bCs/>
          <w:color w:val="000000"/>
        </w:rPr>
        <w:t>作者简介：</w:t>
      </w:r>
      <w:bookmarkStart w:id="10" w:name="中文作者简介_带色_1"/>
      <w:r>
        <w:rPr>
          <w:rFonts w:eastAsia="宋体"/>
          <w:color w:val="000000"/>
          <w:szCs w:val="16"/>
        </w:rPr>
        <w:t>张琳嘉，华东师范大学教育心理学系博士研究生，主要研究方向：学习动机；姜怡，华东师范大学教育心理学系副教授、硕士生导师，博士，主要研究方向：学习动机。</w:t>
      </w:r>
      <w:bookmarkEnd w:id="10"/>
    </w:p>
    <w:p w14:paraId="58F4906E" w14:textId="1FEE5F67" w:rsidR="0087421F" w:rsidRDefault="00000000">
      <w:pPr>
        <w:pStyle w:val="a8"/>
        <w:adjustRightInd w:val="0"/>
        <w:ind w:left="270" w:hangingChars="150" w:hanging="270"/>
      </w:pPr>
      <w:r>
        <w:footnoteRef/>
      </w:r>
      <w:r>
        <w:t>《教育部关于加快建设高水平本科教育</w:t>
      </w:r>
      <w:r w:rsidR="00DF42A6">
        <w:rPr>
          <w:rFonts w:hint="eastAsia"/>
        </w:rPr>
        <w:t xml:space="preserve"> </w:t>
      </w:r>
      <w:r>
        <w:t>全面提高人才培养能力的意见》（</w:t>
      </w:r>
      <w:r>
        <w:t>2018</w:t>
      </w:r>
      <w:r>
        <w:t>年</w:t>
      </w:r>
      <w:r>
        <w:t>9</w:t>
      </w:r>
      <w:r>
        <w:t>月</w:t>
      </w:r>
      <w:r>
        <w:t>17</w:t>
      </w:r>
      <w:r>
        <w:t>日），登录自中华人民共和国教育部（</w:t>
      </w:r>
      <w:r>
        <w:t>http://www.moe.gov.cn/srcsite/A08/s7056/201810/t20181017_351887.html</w:t>
      </w:r>
      <w:r>
        <w:t>）。</w:t>
      </w:r>
      <w:bookmarkEnd w:id="7"/>
    </w:p>
  </w:footnote>
  <w:footnote w:id="2">
    <w:p w14:paraId="3955C306" w14:textId="77777777" w:rsidR="0087421F" w:rsidRDefault="00000000">
      <w:pPr>
        <w:pStyle w:val="a8"/>
        <w:adjustRightInd w:val="0"/>
        <w:ind w:left="270" w:hangingChars="150" w:hanging="270"/>
      </w:pPr>
      <w:bookmarkStart w:id="11" w:name="脚注_怀疑_10"/>
      <w:r>
        <w:footnoteRef/>
      </w:r>
      <w:r>
        <w:t xml:space="preserve"> </w:t>
      </w:r>
      <w:r>
        <w:t>阎光才：《我国本科教与学过程的特征与问题分析》，《中国高教研究》，</w:t>
      </w:r>
      <w:r>
        <w:t>2020</w:t>
      </w:r>
      <w:r>
        <w:t>年第</w:t>
      </w:r>
      <w:r>
        <w:t>5</w:t>
      </w:r>
      <w:r>
        <w:t>期。</w:t>
      </w:r>
      <w:bookmarkEnd w:id="11"/>
    </w:p>
  </w:footnote>
  <w:footnote w:id="3">
    <w:p w14:paraId="2A2788B6" w14:textId="77777777" w:rsidR="0087421F" w:rsidRDefault="00000000">
      <w:pPr>
        <w:pStyle w:val="a8"/>
        <w:adjustRightInd w:val="0"/>
        <w:ind w:left="270" w:hangingChars="150" w:hanging="270"/>
      </w:pPr>
      <w:bookmarkStart w:id="12" w:name="脚注_怀疑_12"/>
      <w:r>
        <w:footnoteRef/>
      </w:r>
      <w:r>
        <w:t xml:space="preserve"> </w:t>
      </w:r>
      <w:r>
        <w:t>宋德孝、别杨</w:t>
      </w:r>
      <w:proofErr w:type="gramStart"/>
      <w:r>
        <w:t>杨</w:t>
      </w:r>
      <w:proofErr w:type="gramEnd"/>
      <w:r>
        <w:t>：《</w:t>
      </w:r>
      <w:r>
        <w:rPr>
          <w:rFonts w:ascii="仿宋" w:hAnsi="仿宋" w:cs="仿宋" w:hint="eastAsia"/>
        </w:rPr>
        <w:t>“</w:t>
      </w:r>
      <w:r>
        <w:t>低欲望躺平主义</w:t>
      </w:r>
      <w:r>
        <w:rPr>
          <w:rFonts w:ascii="仿宋" w:hAnsi="仿宋" w:cs="仿宋" w:hint="eastAsia"/>
        </w:rPr>
        <w:t>”</w:t>
      </w:r>
      <w:r>
        <w:t>的本质、危害及其超越</w:t>
      </w:r>
      <w:r>
        <w:rPr>
          <w:rFonts w:ascii="宋体" w:eastAsia="宋体" w:hAnsi="宋体"/>
        </w:rPr>
        <w:t>——</w:t>
      </w:r>
      <w:r>
        <w:t>基于当代青年多元需求的分析视角》，《中国青年研究》</w:t>
      </w:r>
      <w:r>
        <w:t>, 2022</w:t>
      </w:r>
      <w:r>
        <w:t>年第</w:t>
      </w:r>
      <w:r>
        <w:t>2</w:t>
      </w:r>
      <w:r>
        <w:t>期。</w:t>
      </w:r>
      <w:bookmarkEnd w:id="12"/>
    </w:p>
  </w:footnote>
  <w:footnote w:id="4">
    <w:p w14:paraId="49B46530" w14:textId="77777777" w:rsidR="0087421F" w:rsidRDefault="00000000">
      <w:pPr>
        <w:pStyle w:val="a8"/>
        <w:autoSpaceDE w:val="0"/>
        <w:autoSpaceDN w:val="0"/>
        <w:adjustRightInd w:val="0"/>
        <w:ind w:left="270" w:hangingChars="150" w:hanging="270"/>
      </w:pPr>
      <w:bookmarkStart w:id="14" w:name="脚注_怀疑_14"/>
      <w:r>
        <w:footnoteRef/>
      </w:r>
      <w:r>
        <w:t xml:space="preserve"> Barron K E</w:t>
      </w:r>
      <w:r>
        <w:t>，</w:t>
      </w:r>
      <w:proofErr w:type="spellStart"/>
      <w:r>
        <w:t>Hulleman</w:t>
      </w:r>
      <w:proofErr w:type="spellEnd"/>
      <w:r>
        <w:t xml:space="preserve"> C S.</w:t>
      </w:r>
      <w:r>
        <w:t>，</w:t>
      </w:r>
      <w:r>
        <w:t>“Expectancy-value-cost model of motivation”</w:t>
      </w:r>
      <w:r>
        <w:t>，</w:t>
      </w:r>
      <w:r>
        <w:t>in International encyclopedia of social and behavioral sciences: Motivational psychology</w:t>
      </w:r>
      <w:r>
        <w:t>，</w:t>
      </w:r>
      <w:r>
        <w:t>Elsevier</w:t>
      </w:r>
      <w:r>
        <w:t>，</w:t>
      </w:r>
      <w:r>
        <w:t>2015.</w:t>
      </w:r>
      <w:bookmarkEnd w:id="14"/>
    </w:p>
  </w:footnote>
  <w:footnote w:id="5">
    <w:p w14:paraId="289ACFAF" w14:textId="77777777" w:rsidR="0087421F" w:rsidRDefault="00000000">
      <w:pPr>
        <w:pStyle w:val="a8"/>
        <w:autoSpaceDE w:val="0"/>
        <w:autoSpaceDN w:val="0"/>
        <w:adjustRightInd w:val="0"/>
        <w:ind w:left="270" w:hangingChars="150" w:hanging="270"/>
      </w:pPr>
      <w:bookmarkStart w:id="15" w:name="脚注_怀疑_16"/>
      <w:r>
        <w:footnoteRef/>
      </w:r>
      <w:r>
        <w:t xml:space="preserve"> Eccles J S, Wigfield </w:t>
      </w:r>
      <w:proofErr w:type="gramStart"/>
      <w:r>
        <w:t>A. ,</w:t>
      </w:r>
      <w:proofErr w:type="gramEnd"/>
      <w:r>
        <w:t>“From expectancy-value theory to situated expectancy-value theory: a developmental, social cognitive, and sociocultural perspective on motivation”, Contemporary Educational Psychology</w:t>
      </w:r>
      <w:r>
        <w:t>，</w:t>
      </w:r>
      <w:r>
        <w:t>2020</w:t>
      </w:r>
      <w:r>
        <w:t>，</w:t>
      </w:r>
      <w:r>
        <w:t>61.</w:t>
      </w:r>
      <w:bookmarkEnd w:id="15"/>
    </w:p>
  </w:footnote>
  <w:footnote w:id="6">
    <w:p w14:paraId="561E3FF8" w14:textId="77777777" w:rsidR="0087421F" w:rsidRDefault="00000000">
      <w:pPr>
        <w:pStyle w:val="a8"/>
        <w:autoSpaceDE w:val="0"/>
        <w:autoSpaceDN w:val="0"/>
        <w:adjustRightInd w:val="0"/>
        <w:ind w:left="270" w:hangingChars="150" w:hanging="270"/>
      </w:pPr>
      <w:bookmarkStart w:id="21" w:name="脚注_怀疑_18"/>
      <w:r>
        <w:footnoteRef/>
      </w:r>
      <w:r>
        <w:t xml:space="preserve"> Eccles J S, Adler T F, Futterman R, et al.</w:t>
      </w:r>
      <w:proofErr w:type="gramStart"/>
      <w:r>
        <w:t>，</w:t>
      </w:r>
      <w:r>
        <w:t>“</w:t>
      </w:r>
      <w:proofErr w:type="gramEnd"/>
      <w:r>
        <w:t xml:space="preserve">Expectancies, values and academic </w:t>
      </w:r>
      <w:proofErr w:type="spellStart"/>
      <w:r>
        <w:t>behaviors,Achievement</w:t>
      </w:r>
      <w:proofErr w:type="spellEnd"/>
      <w:r>
        <w:t xml:space="preserve"> and achievement motives”, In J. T. Spence (Ed.), Achievement and achievement motives</w:t>
      </w:r>
      <w:r>
        <w:t>，</w:t>
      </w:r>
      <w:r>
        <w:t>New York: Freeman</w:t>
      </w:r>
      <w:r>
        <w:t>，</w:t>
      </w:r>
      <w:r>
        <w:t>1983.</w:t>
      </w:r>
      <w:bookmarkEnd w:id="21"/>
    </w:p>
  </w:footnote>
  <w:footnote w:id="7">
    <w:p w14:paraId="6188ED4D" w14:textId="77777777" w:rsidR="0087421F" w:rsidRDefault="00000000">
      <w:pPr>
        <w:pStyle w:val="a8"/>
        <w:autoSpaceDE w:val="0"/>
        <w:autoSpaceDN w:val="0"/>
        <w:adjustRightInd w:val="0"/>
        <w:ind w:left="270" w:hangingChars="150" w:hanging="270"/>
      </w:pPr>
      <w:bookmarkStart w:id="22" w:name="脚注_怀疑_20"/>
      <w:r>
        <w:footnoteRef/>
      </w:r>
      <w:r>
        <w:t xml:space="preserve"> Battle A, Wigfield A.</w:t>
      </w:r>
      <w:proofErr w:type="gramStart"/>
      <w:r>
        <w:t>，</w:t>
      </w:r>
      <w:r>
        <w:t>“</w:t>
      </w:r>
      <w:proofErr w:type="gramEnd"/>
      <w:r>
        <w:t>College women’s value orientations toward family, career, and graduate school”</w:t>
      </w:r>
      <w:r>
        <w:t>，</w:t>
      </w:r>
      <w:r>
        <w:t>Journal of Vocational Behavior</w:t>
      </w:r>
      <w:r>
        <w:t>，</w:t>
      </w:r>
      <w:r>
        <w:t>2003</w:t>
      </w:r>
      <w:r>
        <w:t>，</w:t>
      </w:r>
      <w:r>
        <w:t>62(1).</w:t>
      </w:r>
      <w:bookmarkEnd w:id="22"/>
    </w:p>
  </w:footnote>
  <w:footnote w:id="8">
    <w:p w14:paraId="5D048580" w14:textId="77777777" w:rsidR="0087421F" w:rsidRDefault="00000000">
      <w:pPr>
        <w:pStyle w:val="a8"/>
        <w:autoSpaceDE w:val="0"/>
        <w:autoSpaceDN w:val="0"/>
        <w:adjustRightInd w:val="0"/>
        <w:ind w:left="270" w:hangingChars="150" w:hanging="270"/>
      </w:pPr>
      <w:bookmarkStart w:id="23" w:name="脚注_怀疑_22"/>
      <w:r>
        <w:footnoteRef/>
      </w:r>
      <w:r>
        <w:t xml:space="preserve"> Luttrell V R, Callen B W, Allen C S, </w:t>
      </w:r>
      <w:proofErr w:type="gramStart"/>
      <w:r>
        <w:t>et al. ,</w:t>
      </w:r>
      <w:proofErr w:type="gramEnd"/>
      <w:r>
        <w:t xml:space="preserve"> “The mathematics value inventory for general education students: development and initial validation”, Educational and Psychological Measurement, 2010, 70(1).</w:t>
      </w:r>
      <w:bookmarkEnd w:id="23"/>
    </w:p>
  </w:footnote>
  <w:footnote w:id="9">
    <w:p w14:paraId="11827A3C" w14:textId="77777777" w:rsidR="0087421F" w:rsidRDefault="00000000">
      <w:pPr>
        <w:pStyle w:val="a8"/>
        <w:autoSpaceDE w:val="0"/>
        <w:autoSpaceDN w:val="0"/>
        <w:adjustRightInd w:val="0"/>
        <w:ind w:left="270" w:hangingChars="150" w:hanging="270"/>
      </w:pPr>
      <w:bookmarkStart w:id="24" w:name="脚注_怀疑_24"/>
      <w:r>
        <w:footnoteRef/>
      </w:r>
      <w:r>
        <w:t xml:space="preserve"> Flake J K, Barron K E, </w:t>
      </w:r>
      <w:proofErr w:type="spellStart"/>
      <w:r>
        <w:t>Hulleman</w:t>
      </w:r>
      <w:proofErr w:type="spellEnd"/>
      <w:r>
        <w:t xml:space="preserve"> C, </w:t>
      </w:r>
      <w:proofErr w:type="gramStart"/>
      <w:r>
        <w:t>et al. ,</w:t>
      </w:r>
      <w:proofErr w:type="gramEnd"/>
      <w:r>
        <w:t xml:space="preserve">“Measuring cost: the forgotten component of expectancy-value </w:t>
      </w:r>
      <w:proofErr w:type="spellStart"/>
      <w:r>
        <w:t>theory”,Contemporary</w:t>
      </w:r>
      <w:proofErr w:type="spellEnd"/>
      <w:r>
        <w:t xml:space="preserve"> Educational Psychology, 2015</w:t>
      </w:r>
      <w:r>
        <w:t>，</w:t>
      </w:r>
      <w:r>
        <w:t>41.</w:t>
      </w:r>
      <w:bookmarkEnd w:id="24"/>
    </w:p>
  </w:footnote>
  <w:footnote w:id="10">
    <w:p w14:paraId="55981781" w14:textId="77777777" w:rsidR="0087421F" w:rsidRDefault="00000000">
      <w:pPr>
        <w:pStyle w:val="a8"/>
        <w:autoSpaceDE w:val="0"/>
        <w:autoSpaceDN w:val="0"/>
        <w:adjustRightInd w:val="0"/>
        <w:ind w:left="270" w:hangingChars="150" w:hanging="270"/>
      </w:pPr>
      <w:bookmarkStart w:id="25" w:name="脚注_怀疑_26"/>
      <w:r>
        <w:footnoteRef/>
      </w:r>
      <w:r>
        <w:t xml:space="preserve"> Barron K E</w:t>
      </w:r>
      <w:r>
        <w:t>，</w:t>
      </w:r>
      <w:proofErr w:type="spellStart"/>
      <w:r>
        <w:t>Hulleman</w:t>
      </w:r>
      <w:proofErr w:type="spellEnd"/>
      <w:r>
        <w:t xml:space="preserve"> C S.</w:t>
      </w:r>
      <w:r>
        <w:t>，</w:t>
      </w:r>
      <w:r>
        <w:t>“Expectancy-value-cost model of motivation”</w:t>
      </w:r>
      <w:r>
        <w:t>，</w:t>
      </w:r>
      <w:r>
        <w:t>in International encyclopedia of social and behavioral sciences: Motivational psychology</w:t>
      </w:r>
      <w:r>
        <w:t>，</w:t>
      </w:r>
      <w:r>
        <w:t>Elsevier</w:t>
      </w:r>
      <w:r>
        <w:t>，</w:t>
      </w:r>
      <w:r>
        <w:t>2015.</w:t>
      </w:r>
      <w:bookmarkEnd w:id="25"/>
    </w:p>
  </w:footnote>
  <w:footnote w:id="11">
    <w:p w14:paraId="46CA832F" w14:textId="77777777" w:rsidR="0087421F" w:rsidRDefault="00000000">
      <w:pPr>
        <w:pStyle w:val="a8"/>
        <w:autoSpaceDE w:val="0"/>
        <w:autoSpaceDN w:val="0"/>
        <w:adjustRightInd w:val="0"/>
        <w:ind w:left="270" w:hangingChars="150" w:hanging="270"/>
      </w:pPr>
      <w:bookmarkStart w:id="31" w:name="脚注_怀疑_28"/>
      <w:r>
        <w:footnoteRef/>
      </w:r>
      <w:r>
        <w:t xml:space="preserve"> Eccles J S, Adler T F, Futterman R, et al.</w:t>
      </w:r>
      <w:proofErr w:type="gramStart"/>
      <w:r>
        <w:t>，</w:t>
      </w:r>
      <w:r>
        <w:t>“</w:t>
      </w:r>
      <w:proofErr w:type="gramEnd"/>
      <w:r>
        <w:t xml:space="preserve">Expectancies, values and academic </w:t>
      </w:r>
      <w:proofErr w:type="spellStart"/>
      <w:r>
        <w:t>behaviors,Achievement</w:t>
      </w:r>
      <w:proofErr w:type="spellEnd"/>
      <w:r>
        <w:t xml:space="preserve"> and achievement motives”, In J. T. Spence (Ed.), Achievement and achievement motives</w:t>
      </w:r>
      <w:r>
        <w:t>，</w:t>
      </w:r>
      <w:r>
        <w:t>New York: Freeman</w:t>
      </w:r>
      <w:r>
        <w:t>，</w:t>
      </w:r>
      <w:r>
        <w:t>1983.</w:t>
      </w:r>
      <w:bookmarkEnd w:id="31"/>
    </w:p>
  </w:footnote>
  <w:footnote w:id="12">
    <w:p w14:paraId="62177B50" w14:textId="77777777" w:rsidR="0087421F" w:rsidRDefault="00000000">
      <w:pPr>
        <w:pStyle w:val="a8"/>
        <w:adjustRightInd w:val="0"/>
        <w:ind w:left="270" w:hangingChars="150" w:hanging="270"/>
      </w:pPr>
      <w:bookmarkStart w:id="32" w:name="脚注_怀疑_30"/>
      <w:r>
        <w:footnoteRef/>
      </w:r>
      <w:r>
        <w:t xml:space="preserve"> Eccles J S, Wigfield </w:t>
      </w:r>
      <w:proofErr w:type="gramStart"/>
      <w:r>
        <w:t>A. ,</w:t>
      </w:r>
      <w:proofErr w:type="gramEnd"/>
      <w:r>
        <w:t>“From expectancy-value theory to situated expectancy-value theory: a developmental, social cognitive, and sociocultural perspective on motivation”, Contemporary Educational Psychology</w:t>
      </w:r>
      <w:r>
        <w:t>，</w:t>
      </w:r>
      <w:r>
        <w:t>2020</w:t>
      </w:r>
      <w:r>
        <w:t>，</w:t>
      </w:r>
      <w:r>
        <w:t>61.</w:t>
      </w:r>
      <w:bookmarkEnd w:id="32"/>
    </w:p>
  </w:footnote>
  <w:footnote w:id="13">
    <w:p w14:paraId="39E292B7" w14:textId="77777777" w:rsidR="0087421F" w:rsidRDefault="00000000">
      <w:pPr>
        <w:pStyle w:val="a8"/>
        <w:autoSpaceDE w:val="0"/>
        <w:autoSpaceDN w:val="0"/>
        <w:adjustRightInd w:val="0"/>
        <w:ind w:left="270" w:hangingChars="150" w:hanging="270"/>
      </w:pPr>
      <w:bookmarkStart w:id="34" w:name="脚注_怀疑_32"/>
      <w:r>
        <w:footnoteRef/>
      </w:r>
      <w:r>
        <w:t xml:space="preserve"> Barron K E</w:t>
      </w:r>
      <w:r>
        <w:t>，</w:t>
      </w:r>
      <w:proofErr w:type="spellStart"/>
      <w:r>
        <w:t>Hulleman</w:t>
      </w:r>
      <w:proofErr w:type="spellEnd"/>
      <w:r>
        <w:t xml:space="preserve"> C S.</w:t>
      </w:r>
      <w:r>
        <w:t>，</w:t>
      </w:r>
      <w:r>
        <w:t>“Expectancy-value-cost model of motivation”</w:t>
      </w:r>
      <w:r>
        <w:t>，</w:t>
      </w:r>
      <w:r>
        <w:t>in International encyclopedia of social and behavioral sciences: Motivational psychology</w:t>
      </w:r>
      <w:r>
        <w:t>，</w:t>
      </w:r>
      <w:r>
        <w:t>Elsevier</w:t>
      </w:r>
      <w:r>
        <w:t>，</w:t>
      </w:r>
      <w:r>
        <w:t>2015.</w:t>
      </w:r>
      <w:bookmarkEnd w:id="34"/>
    </w:p>
  </w:footnote>
  <w:footnote w:id="14">
    <w:p w14:paraId="44234A7A" w14:textId="77777777" w:rsidR="0087421F" w:rsidRDefault="00000000">
      <w:pPr>
        <w:pStyle w:val="a8"/>
        <w:autoSpaceDE w:val="0"/>
        <w:autoSpaceDN w:val="0"/>
        <w:adjustRightInd w:val="0"/>
        <w:ind w:left="270" w:hangingChars="150" w:hanging="270"/>
      </w:pPr>
      <w:bookmarkStart w:id="35" w:name="脚注_怀疑_34"/>
      <w:r>
        <w:footnoteRef/>
      </w:r>
      <w:r>
        <w:t xml:space="preserve"> Eccles J S</w:t>
      </w:r>
      <w:r>
        <w:t>，</w:t>
      </w:r>
      <w:r>
        <w:t>“Subjective task value and the Eccles et al. , model of achievement-related choices”</w:t>
      </w:r>
      <w:r>
        <w:t>，</w:t>
      </w:r>
      <w:r>
        <w:t>In Andrew J. Elliot &amp; Carol S. Dweck (eds.), Handbook of competence and motivation</w:t>
      </w:r>
      <w:r>
        <w:t>，</w:t>
      </w:r>
      <w:r>
        <w:t>New York: The Guilford Press</w:t>
      </w:r>
      <w:r>
        <w:t>，</w:t>
      </w:r>
      <w:r>
        <w:t>2005.</w:t>
      </w:r>
      <w:bookmarkEnd w:id="35"/>
    </w:p>
  </w:footnote>
  <w:footnote w:id="15">
    <w:p w14:paraId="18ECF58D" w14:textId="77777777" w:rsidR="0087421F" w:rsidRDefault="00000000">
      <w:pPr>
        <w:pStyle w:val="a8"/>
        <w:autoSpaceDE w:val="0"/>
        <w:autoSpaceDN w:val="0"/>
        <w:adjustRightInd w:val="0"/>
        <w:ind w:left="270" w:hangingChars="150" w:hanging="270"/>
      </w:pPr>
      <w:bookmarkStart w:id="36" w:name="脚注_怀疑_36"/>
      <w:r>
        <w:footnoteRef/>
      </w:r>
      <w:r>
        <w:t xml:space="preserve"> Eccles J S, Wigfield </w:t>
      </w:r>
      <w:proofErr w:type="gramStart"/>
      <w:r>
        <w:t>A. ,</w:t>
      </w:r>
      <w:proofErr w:type="gramEnd"/>
      <w:r>
        <w:t>“In the mind of the actor: the structure of adolescents’ achievement task values and expectancy-related beliefs”, Personality and Social Psychology Bulletin, 1995, 21(3).</w:t>
      </w:r>
      <w:bookmarkEnd w:id="36"/>
    </w:p>
  </w:footnote>
  <w:footnote w:id="16">
    <w:p w14:paraId="5594E3C9" w14:textId="77777777" w:rsidR="0087421F" w:rsidRDefault="00000000">
      <w:pPr>
        <w:pStyle w:val="a8"/>
        <w:autoSpaceDE w:val="0"/>
        <w:autoSpaceDN w:val="0"/>
        <w:adjustRightInd w:val="0"/>
        <w:ind w:left="270" w:hangingChars="150" w:hanging="270"/>
      </w:pPr>
      <w:bookmarkStart w:id="37" w:name="脚注_怀疑_38"/>
      <w:r>
        <w:footnoteRef/>
      </w:r>
      <w:r>
        <w:t xml:space="preserve"> </w:t>
      </w:r>
      <w:r>
        <w:t>参见：</w:t>
      </w:r>
      <w:r>
        <w:t xml:space="preserve">Flake J K, Barron K E, </w:t>
      </w:r>
      <w:proofErr w:type="spellStart"/>
      <w:r>
        <w:t>Hulleman</w:t>
      </w:r>
      <w:proofErr w:type="spellEnd"/>
      <w:r>
        <w:t xml:space="preserve"> C, </w:t>
      </w:r>
      <w:proofErr w:type="gramStart"/>
      <w:r>
        <w:t xml:space="preserve">et </w:t>
      </w:r>
      <w:proofErr w:type="spellStart"/>
      <w:r>
        <w:t>al.,“</w:t>
      </w:r>
      <w:proofErr w:type="gramEnd"/>
      <w:r>
        <w:t>Measuring</w:t>
      </w:r>
      <w:proofErr w:type="spellEnd"/>
      <w:r>
        <w:t xml:space="preserve"> cost: the forgotten component of expectancy-value theory”</w:t>
      </w:r>
      <w:r>
        <w:t>，</w:t>
      </w:r>
      <w:r>
        <w:t>Contemporary Educational Psychology, 2015</w:t>
      </w:r>
      <w:r>
        <w:t>，</w:t>
      </w:r>
      <w:r>
        <w:t>41</w:t>
      </w:r>
      <w:r>
        <w:t>；</w:t>
      </w:r>
      <w:r>
        <w:t xml:space="preserve">Gaspard H , Dicke A L , </w:t>
      </w:r>
      <w:proofErr w:type="spellStart"/>
      <w:r>
        <w:t>Flunger</w:t>
      </w:r>
      <w:proofErr w:type="spellEnd"/>
      <w:r>
        <w:t xml:space="preserve"> B ,et al. ,“More value through greater differentiation: gender differences in value beliefs about math”</w:t>
      </w:r>
      <w:r>
        <w:t>，</w:t>
      </w:r>
      <w:r>
        <w:t>Journal of Educational Psychology</w:t>
      </w:r>
      <w:r>
        <w:t>，</w:t>
      </w:r>
      <w:r>
        <w:t>2015, 107(3).</w:t>
      </w:r>
      <w:bookmarkEnd w:id="37"/>
    </w:p>
  </w:footnote>
  <w:footnote w:id="17">
    <w:p w14:paraId="4BF36D63" w14:textId="77777777" w:rsidR="0087421F" w:rsidRDefault="00000000">
      <w:pPr>
        <w:pStyle w:val="a8"/>
        <w:autoSpaceDE w:val="0"/>
        <w:autoSpaceDN w:val="0"/>
        <w:adjustRightInd w:val="0"/>
        <w:ind w:left="270" w:hangingChars="150" w:hanging="270"/>
      </w:pPr>
      <w:bookmarkStart w:id="38" w:name="脚注_怀疑_40"/>
      <w:r>
        <w:footnoteRef/>
      </w:r>
      <w:r>
        <w:t xml:space="preserve"> Wigfield A, Rosenzweig E Q</w:t>
      </w:r>
      <w:r>
        <w:t>，</w:t>
      </w:r>
      <w:r>
        <w:t>Eccles J S. , “Achievement values: interactions, interventions, and future directions”, In A. J. Elliot, C. S. Dweck, &amp; D. S. Yeager (Eds.), Handbook of competence and motivation: Theory and application</w:t>
      </w:r>
      <w:r>
        <w:t>，</w:t>
      </w:r>
      <w:r>
        <w:t>The Guilford Press</w:t>
      </w:r>
      <w:r>
        <w:t>，</w:t>
      </w:r>
      <w:r>
        <w:t>2017.</w:t>
      </w:r>
      <w:bookmarkEnd w:id="38"/>
    </w:p>
  </w:footnote>
  <w:footnote w:id="18">
    <w:p w14:paraId="54B840DC" w14:textId="77777777" w:rsidR="0087421F" w:rsidRDefault="00000000">
      <w:pPr>
        <w:pStyle w:val="a8"/>
        <w:autoSpaceDE w:val="0"/>
        <w:autoSpaceDN w:val="0"/>
        <w:adjustRightInd w:val="0"/>
        <w:ind w:left="270" w:hangingChars="150" w:hanging="270"/>
      </w:pPr>
      <w:bookmarkStart w:id="42" w:name="脚注_怀疑_42"/>
      <w:r>
        <w:footnoteRef/>
      </w:r>
      <w:r>
        <w:t xml:space="preserve"> Eccles J S, Adler T F, Futterman R, et al.</w:t>
      </w:r>
      <w:proofErr w:type="gramStart"/>
      <w:r>
        <w:t>，</w:t>
      </w:r>
      <w:r>
        <w:t>“</w:t>
      </w:r>
      <w:proofErr w:type="gramEnd"/>
      <w:r>
        <w:t xml:space="preserve">Expectancies, values and academic </w:t>
      </w:r>
      <w:proofErr w:type="spellStart"/>
      <w:r>
        <w:t>behaviors,Achievement</w:t>
      </w:r>
      <w:proofErr w:type="spellEnd"/>
      <w:r>
        <w:t xml:space="preserve"> and achievement motives”, In J. T. Spence (Ed.), Achievement and achievement motives</w:t>
      </w:r>
      <w:r>
        <w:t>，</w:t>
      </w:r>
      <w:r>
        <w:t>New York: Freeman</w:t>
      </w:r>
      <w:r>
        <w:t>，</w:t>
      </w:r>
      <w:r>
        <w:t>1983.</w:t>
      </w:r>
      <w:bookmarkEnd w:id="42"/>
    </w:p>
  </w:footnote>
  <w:footnote w:id="19">
    <w:p w14:paraId="3B9D2638" w14:textId="77777777" w:rsidR="0087421F" w:rsidRDefault="00000000">
      <w:pPr>
        <w:pStyle w:val="a8"/>
        <w:adjustRightInd w:val="0"/>
        <w:ind w:left="270" w:hangingChars="150" w:hanging="270"/>
      </w:pPr>
      <w:bookmarkStart w:id="44" w:name="脚注_怀疑_44"/>
      <w:r>
        <w:footnoteRef/>
      </w:r>
      <w:r>
        <w:t xml:space="preserve"> Jiang Y, Kim S, Bong </w:t>
      </w:r>
      <w:proofErr w:type="gramStart"/>
      <w:r>
        <w:t>M. ,</w:t>
      </w:r>
      <w:proofErr w:type="gramEnd"/>
      <w:r>
        <w:t xml:space="preserve"> “The role of cost in adolescent students’ maladaptive academic outcomes”, Journal of School Psychology, 2020, 83.</w:t>
      </w:r>
      <w:bookmarkEnd w:id="44"/>
    </w:p>
  </w:footnote>
  <w:footnote w:id="20">
    <w:p w14:paraId="16CFF435" w14:textId="77777777" w:rsidR="0087421F" w:rsidRDefault="00000000">
      <w:pPr>
        <w:pStyle w:val="a8"/>
        <w:autoSpaceDE w:val="0"/>
        <w:autoSpaceDN w:val="0"/>
        <w:adjustRightInd w:val="0"/>
        <w:ind w:left="270" w:hangingChars="150" w:hanging="270"/>
      </w:pPr>
      <w:bookmarkStart w:id="45" w:name="脚注_怀疑_46"/>
      <w:r>
        <w:footnoteRef/>
      </w:r>
      <w:r>
        <w:t xml:space="preserve"> Gaspard H, Dicke A, </w:t>
      </w:r>
      <w:proofErr w:type="spellStart"/>
      <w:r>
        <w:t>Flunger</w:t>
      </w:r>
      <w:proofErr w:type="spellEnd"/>
      <w:r>
        <w:t xml:space="preserve"> B, </w:t>
      </w:r>
      <w:proofErr w:type="gramStart"/>
      <w:r>
        <w:t>et al. ,</w:t>
      </w:r>
      <w:proofErr w:type="gramEnd"/>
      <w:r>
        <w:t xml:space="preserve"> “More value through greater differentiation: gender differences in value beliefs about math”, Journal of Educational Psychology, 2015, 107(3).</w:t>
      </w:r>
      <w:bookmarkEnd w:id="45"/>
    </w:p>
  </w:footnote>
  <w:footnote w:id="21">
    <w:p w14:paraId="42D86221" w14:textId="5EA6F98B" w:rsidR="0087421F" w:rsidRDefault="00000000">
      <w:pPr>
        <w:pStyle w:val="a8"/>
        <w:autoSpaceDE w:val="0"/>
        <w:autoSpaceDN w:val="0"/>
        <w:adjustRightInd w:val="0"/>
        <w:ind w:left="270" w:hangingChars="150" w:hanging="270"/>
      </w:pPr>
      <w:bookmarkStart w:id="46" w:name="脚注_怀疑_48"/>
      <w:r>
        <w:footnoteRef/>
      </w:r>
      <w:r>
        <w:t xml:space="preserve"> </w:t>
      </w:r>
      <w:r>
        <w:t>参见：</w:t>
      </w:r>
      <w:r w:rsidR="00E920E9" w:rsidRPr="00E920E9">
        <w:t>Gaspard</w:t>
      </w:r>
      <w:r>
        <w:t xml:space="preserve"> H, Dicke A, </w:t>
      </w:r>
      <w:proofErr w:type="spellStart"/>
      <w:r>
        <w:t>Flunger</w:t>
      </w:r>
      <w:proofErr w:type="spellEnd"/>
      <w:r>
        <w:t xml:space="preserve"> B, </w:t>
      </w:r>
      <w:proofErr w:type="gramStart"/>
      <w:r>
        <w:t>et al. ,</w:t>
      </w:r>
      <w:proofErr w:type="gramEnd"/>
      <w:r>
        <w:t xml:space="preserve"> “More value through greater differentiation: gender differences in value beliefs about math”, Journal of Educational Psychology, 2015, 107(3)</w:t>
      </w:r>
      <w:r>
        <w:t>；</w:t>
      </w:r>
      <w:r>
        <w:t>Perez T, Cromley J G, Kaplan A. ,“The role of identity development, values, and costs in college STEM retention”</w:t>
      </w:r>
      <w:r>
        <w:t>，</w:t>
      </w:r>
      <w:r>
        <w:t>Journal of Educational Psychology, 2014, 106(1).</w:t>
      </w:r>
      <w:bookmarkEnd w:id="46"/>
    </w:p>
  </w:footnote>
  <w:footnote w:id="22">
    <w:p w14:paraId="023973C5" w14:textId="77777777" w:rsidR="0087421F" w:rsidRDefault="00000000">
      <w:pPr>
        <w:pStyle w:val="a8"/>
        <w:autoSpaceDE w:val="0"/>
        <w:autoSpaceDN w:val="0"/>
        <w:adjustRightInd w:val="0"/>
        <w:ind w:left="270" w:hangingChars="150" w:hanging="270"/>
      </w:pPr>
      <w:bookmarkStart w:id="47" w:name="脚注_怀疑_50"/>
      <w:r>
        <w:footnoteRef/>
      </w:r>
      <w:r>
        <w:t xml:space="preserve"> Perez T, Wormington S V, Barger M </w:t>
      </w:r>
      <w:proofErr w:type="spellStart"/>
      <w:r>
        <w:t>M</w:t>
      </w:r>
      <w:proofErr w:type="spellEnd"/>
      <w:r>
        <w:t xml:space="preserve">, </w:t>
      </w:r>
      <w:proofErr w:type="gramStart"/>
      <w:r>
        <w:t>et al. ,</w:t>
      </w:r>
      <w:proofErr w:type="gramEnd"/>
      <w:r>
        <w:t>“Science expectancy, value, and cost profiles and their proximal and distal relations to undergraduate science, technology, engineering, and math persistence”</w:t>
      </w:r>
      <w:r>
        <w:t>，</w:t>
      </w:r>
      <w:r>
        <w:t>Science Education, 2019, 103(2).</w:t>
      </w:r>
      <w:bookmarkEnd w:id="47"/>
    </w:p>
  </w:footnote>
  <w:footnote w:id="23">
    <w:p w14:paraId="711AEFA1" w14:textId="77777777" w:rsidR="0087421F" w:rsidRDefault="00000000">
      <w:pPr>
        <w:pStyle w:val="a8"/>
        <w:autoSpaceDE w:val="0"/>
        <w:autoSpaceDN w:val="0"/>
        <w:adjustRightInd w:val="0"/>
        <w:ind w:left="270" w:hangingChars="150" w:hanging="270"/>
      </w:pPr>
      <w:bookmarkStart w:id="51" w:name="脚注_怀疑_52"/>
      <w:r>
        <w:footnoteRef/>
      </w:r>
      <w:r>
        <w:t xml:space="preserve"> Gaspard H, Hafner I, </w:t>
      </w:r>
      <w:proofErr w:type="spellStart"/>
      <w:r>
        <w:t>Parrisius</w:t>
      </w:r>
      <w:proofErr w:type="spellEnd"/>
      <w:r>
        <w:t xml:space="preserve"> C, </w:t>
      </w:r>
      <w:proofErr w:type="gramStart"/>
      <w:r>
        <w:t>et al. ,</w:t>
      </w:r>
      <w:proofErr w:type="gramEnd"/>
      <w:r>
        <w:t>“Assessing task values in five subjects during secondary school: measurement structure and mean level differences across grade level, gender, and academic subject”, Contemporary Educational Psychology, 2017, 48.</w:t>
      </w:r>
      <w:bookmarkEnd w:id="51"/>
    </w:p>
  </w:footnote>
  <w:footnote w:id="24">
    <w:p w14:paraId="3167F3FE" w14:textId="77777777" w:rsidR="0087421F" w:rsidRDefault="00000000">
      <w:pPr>
        <w:pStyle w:val="a8"/>
        <w:autoSpaceDE w:val="0"/>
        <w:autoSpaceDN w:val="0"/>
        <w:adjustRightInd w:val="0"/>
        <w:ind w:left="270" w:hangingChars="150" w:hanging="270"/>
      </w:pPr>
      <w:bookmarkStart w:id="52" w:name="脚注_怀疑_54"/>
      <w:r>
        <w:footnoteRef/>
      </w:r>
      <w:r>
        <w:t xml:space="preserve"> Robinson K A, Lee Y, Bovee E A, </w:t>
      </w:r>
      <w:proofErr w:type="gramStart"/>
      <w:r>
        <w:t>et al. ,</w:t>
      </w:r>
      <w:proofErr w:type="gramEnd"/>
      <w:r>
        <w:t>“Motivation in transition: development and roles of expectancy, task values, and costs in early college engineering”, Journal of Educational Psychology, 2019, 111(6).</w:t>
      </w:r>
      <w:bookmarkEnd w:id="52"/>
    </w:p>
  </w:footnote>
  <w:footnote w:id="25">
    <w:p w14:paraId="7C083574" w14:textId="3F69FD03" w:rsidR="0087421F" w:rsidRDefault="00000000">
      <w:pPr>
        <w:pStyle w:val="a8"/>
        <w:autoSpaceDE w:val="0"/>
        <w:autoSpaceDN w:val="0"/>
        <w:adjustRightInd w:val="0"/>
        <w:ind w:left="270" w:hangingChars="150" w:hanging="270"/>
      </w:pPr>
      <w:bookmarkStart w:id="56" w:name="脚注_怀疑_56"/>
      <w:r>
        <w:footnoteRef/>
      </w:r>
      <w:r>
        <w:t xml:space="preserve"> </w:t>
      </w:r>
      <w:r>
        <w:t>参见：</w:t>
      </w:r>
      <w:r>
        <w:t xml:space="preserve">Atkinson J </w:t>
      </w:r>
      <w:proofErr w:type="gramStart"/>
      <w:r>
        <w:t>W. ,An</w:t>
      </w:r>
      <w:proofErr w:type="gramEnd"/>
      <w:r>
        <w:t xml:space="preserve"> introduction to </w:t>
      </w:r>
      <w:proofErr w:type="spellStart"/>
      <w:r>
        <w:t>motivation,New</w:t>
      </w:r>
      <w:proofErr w:type="spellEnd"/>
      <w:r>
        <w:t xml:space="preserve"> York: Van Nostrand,1964</w:t>
      </w:r>
      <w:r>
        <w:t>；</w:t>
      </w:r>
      <w:r w:rsidR="003400F2" w:rsidRPr="003400F2">
        <w:t>Lewin</w:t>
      </w:r>
      <w:r>
        <w:t xml:space="preserve"> </w:t>
      </w:r>
      <w:proofErr w:type="spellStart"/>
      <w:r>
        <w:t>K.,The</w:t>
      </w:r>
      <w:proofErr w:type="spellEnd"/>
      <w:r>
        <w:t xml:space="preserve"> conceptual representation and the measurement of psychological forces, Durham, NC: Duke University Press, 1938.</w:t>
      </w:r>
      <w:bookmarkEnd w:id="56"/>
    </w:p>
  </w:footnote>
  <w:footnote w:id="26">
    <w:p w14:paraId="61F7AFB4" w14:textId="77777777" w:rsidR="0087421F" w:rsidRDefault="00000000">
      <w:pPr>
        <w:pStyle w:val="a8"/>
        <w:autoSpaceDE w:val="0"/>
        <w:autoSpaceDN w:val="0"/>
        <w:adjustRightInd w:val="0"/>
        <w:ind w:left="270" w:hangingChars="150" w:hanging="270"/>
      </w:pPr>
      <w:bookmarkStart w:id="57" w:name="脚注_怀疑_58"/>
      <w:r>
        <w:footnoteRef/>
      </w:r>
      <w:r>
        <w:t xml:space="preserve"> </w:t>
      </w:r>
      <w:proofErr w:type="spellStart"/>
      <w:r>
        <w:t>Roskes</w:t>
      </w:r>
      <w:proofErr w:type="spellEnd"/>
      <w:r>
        <w:t xml:space="preserve"> M, Elliot A J, De Dreu C K </w:t>
      </w:r>
      <w:proofErr w:type="gramStart"/>
      <w:r>
        <w:t>W. ,</w:t>
      </w:r>
      <w:proofErr w:type="gramEnd"/>
      <w:r>
        <w:t>“Why is avoidance motivation problematic, and what can be done about it”, Current Directions in Psychological Science, 2014, 23(2).</w:t>
      </w:r>
      <w:bookmarkEnd w:id="57"/>
    </w:p>
  </w:footnote>
  <w:footnote w:id="27">
    <w:p w14:paraId="761C834D" w14:textId="572FC0A9" w:rsidR="0087421F" w:rsidRDefault="00000000">
      <w:pPr>
        <w:pStyle w:val="a8"/>
        <w:autoSpaceDE w:val="0"/>
        <w:autoSpaceDN w:val="0"/>
        <w:adjustRightInd w:val="0"/>
        <w:ind w:left="270" w:hangingChars="150" w:hanging="270"/>
      </w:pPr>
      <w:bookmarkStart w:id="58" w:name="脚注_怀疑_60"/>
      <w:r>
        <w:footnoteRef/>
      </w:r>
      <w:r>
        <w:t xml:space="preserve"> Hand</w:t>
      </w:r>
      <w:r w:rsidR="00E61F46">
        <w:rPr>
          <w:rFonts w:hint="eastAsia"/>
        </w:rPr>
        <w:t xml:space="preserve"> </w:t>
      </w:r>
      <w:r w:rsidR="00E61F46" w:rsidRPr="00E61F46">
        <w:t>D</w:t>
      </w:r>
      <w:r>
        <w:t xml:space="preserve">, </w:t>
      </w:r>
      <w:proofErr w:type="spellStart"/>
      <w:r>
        <w:t>Duhachek</w:t>
      </w:r>
      <w:proofErr w:type="spellEnd"/>
      <w:r>
        <w:t xml:space="preserve"> A, Rucker D </w:t>
      </w:r>
      <w:proofErr w:type="spellStart"/>
      <w:proofErr w:type="gramStart"/>
      <w:r>
        <w:t>D</w:t>
      </w:r>
      <w:proofErr w:type="spellEnd"/>
      <w:r>
        <w:t>. ,</w:t>
      </w:r>
      <w:proofErr w:type="gramEnd"/>
      <w:r>
        <w:t>“Distinct threats, common remedies: how consumers cope with psychological threat”, Journal of Consumer Psychology, 2015, 25(4).</w:t>
      </w:r>
      <w:bookmarkEnd w:id="58"/>
    </w:p>
  </w:footnote>
  <w:footnote w:id="28">
    <w:p w14:paraId="3EE604ED" w14:textId="77777777" w:rsidR="0087421F" w:rsidRDefault="00000000">
      <w:pPr>
        <w:pStyle w:val="a8"/>
        <w:autoSpaceDE w:val="0"/>
        <w:autoSpaceDN w:val="0"/>
        <w:adjustRightInd w:val="0"/>
        <w:ind w:left="270" w:hangingChars="150" w:hanging="270"/>
      </w:pPr>
      <w:bookmarkStart w:id="60" w:name="脚注_怀疑_62"/>
      <w:r>
        <w:footnoteRef/>
      </w:r>
      <w:r>
        <w:t xml:space="preserve"> Bandura </w:t>
      </w:r>
      <w:proofErr w:type="gramStart"/>
      <w:r>
        <w:t>A. ,Self</w:t>
      </w:r>
      <w:proofErr w:type="gramEnd"/>
      <w:r>
        <w:t>-efficacy: the exercise of control, New York: Freeman, 1997.</w:t>
      </w:r>
      <w:bookmarkEnd w:id="60"/>
    </w:p>
  </w:footnote>
  <w:footnote w:id="29">
    <w:p w14:paraId="1957DDEE" w14:textId="77777777" w:rsidR="0087421F" w:rsidRDefault="00000000">
      <w:pPr>
        <w:pStyle w:val="a8"/>
        <w:autoSpaceDE w:val="0"/>
        <w:autoSpaceDN w:val="0"/>
        <w:adjustRightInd w:val="0"/>
        <w:ind w:left="270" w:hangingChars="150" w:hanging="270"/>
      </w:pPr>
      <w:bookmarkStart w:id="61" w:name="脚注_怀疑_64"/>
      <w:r>
        <w:footnoteRef/>
      </w:r>
      <w:r>
        <w:t xml:space="preserve"> Dweck C </w:t>
      </w:r>
      <w:proofErr w:type="gramStart"/>
      <w:r>
        <w:t>S. ,</w:t>
      </w:r>
      <w:proofErr w:type="gramEnd"/>
      <w:r>
        <w:t xml:space="preserve"> Mindset The new psychology of success, New York: Random House, 2006.</w:t>
      </w:r>
      <w:bookmarkEnd w:id="61"/>
    </w:p>
  </w:footnote>
  <w:footnote w:id="30">
    <w:p w14:paraId="5AE9A12A" w14:textId="77777777" w:rsidR="0087421F" w:rsidRDefault="00000000">
      <w:pPr>
        <w:pStyle w:val="a8"/>
        <w:autoSpaceDE w:val="0"/>
        <w:autoSpaceDN w:val="0"/>
        <w:adjustRightInd w:val="0"/>
        <w:ind w:left="270" w:hangingChars="150" w:hanging="270"/>
      </w:pPr>
      <w:bookmarkStart w:id="62" w:name="脚注_怀疑_66"/>
      <w:r>
        <w:footnoteRef/>
      </w:r>
      <w:r>
        <w:t xml:space="preserve"> Covington M.</w:t>
      </w:r>
      <w:proofErr w:type="gramStart"/>
      <w:r>
        <w:t>，</w:t>
      </w:r>
      <w:r>
        <w:t>“</w:t>
      </w:r>
      <w:proofErr w:type="gramEnd"/>
      <w:r>
        <w:t>Self-worth theory: Retrospection and prospects”</w:t>
      </w:r>
      <w:r>
        <w:t>，</w:t>
      </w:r>
      <w:r>
        <w:t>In Wentzel, K.</w:t>
      </w:r>
      <w:r>
        <w:t>，</w:t>
      </w:r>
      <w:r>
        <w:t>&amp; Wigfield, A. (Eds.), Handbook of motivation at school</w:t>
      </w:r>
      <w:r>
        <w:t>，</w:t>
      </w:r>
      <w:r>
        <w:t>New York, NY: Routledge</w:t>
      </w:r>
      <w:r>
        <w:t>，</w:t>
      </w:r>
      <w:r>
        <w:t>2009.</w:t>
      </w:r>
      <w:bookmarkEnd w:id="62"/>
    </w:p>
  </w:footnote>
  <w:footnote w:id="31">
    <w:p w14:paraId="4FD8C0D1" w14:textId="77777777" w:rsidR="0087421F" w:rsidRDefault="00000000">
      <w:pPr>
        <w:pStyle w:val="a8"/>
        <w:autoSpaceDE w:val="0"/>
        <w:autoSpaceDN w:val="0"/>
        <w:adjustRightInd w:val="0"/>
        <w:ind w:left="270" w:hangingChars="150" w:hanging="270"/>
      </w:pPr>
      <w:bookmarkStart w:id="63" w:name="脚注_怀疑_68"/>
      <w:r>
        <w:footnoteRef/>
      </w:r>
      <w:r>
        <w:t xml:space="preserve"> Barron K E</w:t>
      </w:r>
      <w:r>
        <w:t>，</w:t>
      </w:r>
      <w:proofErr w:type="spellStart"/>
      <w:r>
        <w:t>Hulleman</w:t>
      </w:r>
      <w:proofErr w:type="spellEnd"/>
      <w:r>
        <w:t xml:space="preserve"> C S.</w:t>
      </w:r>
      <w:r>
        <w:t>，</w:t>
      </w:r>
      <w:r>
        <w:t>“Expectancy-value-cost model of motivation”</w:t>
      </w:r>
      <w:r>
        <w:t>，</w:t>
      </w:r>
      <w:r>
        <w:t>in International encyclopedia of social and behavioral sciences: Motivational psychology</w:t>
      </w:r>
      <w:r>
        <w:t>，</w:t>
      </w:r>
      <w:r>
        <w:t>Elsevier</w:t>
      </w:r>
      <w:r>
        <w:t>，</w:t>
      </w:r>
      <w:r>
        <w:t>2015.</w:t>
      </w:r>
      <w:bookmarkEnd w:id="63"/>
    </w:p>
  </w:footnote>
  <w:footnote w:id="32">
    <w:p w14:paraId="4969F5BB" w14:textId="77777777" w:rsidR="0087421F" w:rsidRDefault="00000000">
      <w:pPr>
        <w:pStyle w:val="a8"/>
        <w:autoSpaceDE w:val="0"/>
        <w:autoSpaceDN w:val="0"/>
        <w:adjustRightInd w:val="0"/>
        <w:ind w:left="270" w:hangingChars="150" w:hanging="270"/>
        <w:rPr>
          <w:lang w:val="en-GB"/>
        </w:rPr>
      </w:pPr>
      <w:bookmarkStart w:id="64" w:name="脚注_怀疑_70"/>
      <w:r>
        <w:footnoteRef/>
      </w:r>
      <w:r>
        <w:t xml:space="preserve"> Chen A, Liu </w:t>
      </w:r>
      <w:proofErr w:type="gramStart"/>
      <w:r>
        <w:t>X. ,</w:t>
      </w:r>
      <w:proofErr w:type="gramEnd"/>
      <w:r>
        <w:t xml:space="preserve">“Task values, cost, and choice decisions in college physical </w:t>
      </w:r>
      <w:proofErr w:type="spellStart"/>
      <w:r>
        <w:t>education”,Journal</w:t>
      </w:r>
      <w:proofErr w:type="spellEnd"/>
      <w:r>
        <w:t xml:space="preserve"> of Teaching in Physical Education, 2009, 28(2).</w:t>
      </w:r>
      <w:bookmarkEnd w:id="64"/>
    </w:p>
  </w:footnote>
  <w:footnote w:id="33">
    <w:p w14:paraId="0104DEAE" w14:textId="77777777" w:rsidR="0087421F" w:rsidRDefault="00000000">
      <w:pPr>
        <w:pStyle w:val="a8"/>
        <w:autoSpaceDE w:val="0"/>
        <w:autoSpaceDN w:val="0"/>
        <w:adjustRightInd w:val="0"/>
        <w:spacing w:line="264" w:lineRule="auto"/>
        <w:ind w:left="270" w:hangingChars="150" w:hanging="270"/>
      </w:pPr>
      <w:bookmarkStart w:id="68" w:name="脚注_怀疑_72"/>
      <w:r>
        <w:footnoteRef/>
      </w:r>
      <w:r>
        <w:t xml:space="preserve"> Wigfield A, Rosenzweig E Q</w:t>
      </w:r>
      <w:r>
        <w:t>，</w:t>
      </w:r>
      <w:r>
        <w:t>Eccles J S. , “Achievement values: interactions, interventions, and future directions”, In A. J. Elliot, C. S. Dweck, &amp; D. S. Yeager (Eds.), Handbook of competence and motivation: Theory and application</w:t>
      </w:r>
      <w:r>
        <w:t>，</w:t>
      </w:r>
      <w:r>
        <w:t>The Guilford Press</w:t>
      </w:r>
      <w:r>
        <w:t>，</w:t>
      </w:r>
      <w:r>
        <w:t>2017.</w:t>
      </w:r>
      <w:bookmarkEnd w:id="68"/>
    </w:p>
  </w:footnote>
  <w:footnote w:id="34">
    <w:p w14:paraId="32DF6139" w14:textId="77777777" w:rsidR="0087421F" w:rsidRDefault="00000000">
      <w:pPr>
        <w:pStyle w:val="a8"/>
        <w:autoSpaceDE w:val="0"/>
        <w:autoSpaceDN w:val="0"/>
        <w:adjustRightInd w:val="0"/>
        <w:spacing w:line="264" w:lineRule="auto"/>
        <w:ind w:left="270" w:hangingChars="150" w:hanging="270"/>
      </w:pPr>
      <w:bookmarkStart w:id="69" w:name="脚注_怀疑_74"/>
      <w:r>
        <w:footnoteRef/>
      </w:r>
      <w:r>
        <w:t xml:space="preserve"> </w:t>
      </w:r>
      <w:r>
        <w:t>参见：</w:t>
      </w:r>
      <w:r>
        <w:t xml:space="preserve">Jiang Y, Kim S, Bong </w:t>
      </w:r>
      <w:proofErr w:type="gramStart"/>
      <w:r>
        <w:t>M. ,</w:t>
      </w:r>
      <w:proofErr w:type="gramEnd"/>
      <w:r>
        <w:t xml:space="preserve"> “The role of cost in adolescent students’ maladaptive academic outcomes”, Journal of School Psychology, 2020, 83; Jiang Y, Rosenzweig E Q, Gaspard H. ,“An expectancy-value-cost approach in predicting adolescent students’ academic motivation and achievement”, Contemporary Educational Psychology, 2018, 54; Song J, Kim S, Bong M. ,“The more interest, the less effort cost perception and effort </w:t>
      </w:r>
      <w:proofErr w:type="spellStart"/>
      <w:r>
        <w:t>avoidance”,Frontiers</w:t>
      </w:r>
      <w:proofErr w:type="spellEnd"/>
      <w:r>
        <w:t xml:space="preserve"> in Psychology, 2019, 10.</w:t>
      </w:r>
      <w:bookmarkEnd w:id="69"/>
    </w:p>
  </w:footnote>
  <w:footnote w:id="35">
    <w:p w14:paraId="3EA1A166" w14:textId="77777777" w:rsidR="0087421F" w:rsidRDefault="00000000">
      <w:pPr>
        <w:pStyle w:val="a8"/>
        <w:autoSpaceDE w:val="0"/>
        <w:autoSpaceDN w:val="0"/>
        <w:adjustRightInd w:val="0"/>
        <w:spacing w:line="264" w:lineRule="auto"/>
        <w:ind w:left="270" w:hangingChars="150" w:hanging="270"/>
      </w:pPr>
      <w:bookmarkStart w:id="70" w:name="脚注_怀疑_76"/>
      <w:r>
        <w:footnoteRef/>
      </w:r>
      <w:r>
        <w:t xml:space="preserve"> Luttrell V R, Callen B W, Allen C S, </w:t>
      </w:r>
      <w:proofErr w:type="gramStart"/>
      <w:r>
        <w:t>et al. ,</w:t>
      </w:r>
      <w:proofErr w:type="gramEnd"/>
      <w:r>
        <w:t xml:space="preserve"> “The mathematics value inventory for general education students: development and initial validation”, Educational and Psychological Measurement, 2010, 70(1).</w:t>
      </w:r>
      <w:bookmarkEnd w:id="70"/>
    </w:p>
  </w:footnote>
  <w:footnote w:id="36">
    <w:p w14:paraId="59B9954A" w14:textId="19FED8CF" w:rsidR="0087421F" w:rsidRDefault="00000000">
      <w:pPr>
        <w:pStyle w:val="a8"/>
        <w:autoSpaceDE w:val="0"/>
        <w:autoSpaceDN w:val="0"/>
        <w:adjustRightInd w:val="0"/>
        <w:spacing w:line="264" w:lineRule="auto"/>
        <w:ind w:left="270" w:hangingChars="150" w:hanging="270"/>
      </w:pPr>
      <w:bookmarkStart w:id="71" w:name="脚注_怀疑_78"/>
      <w:r>
        <w:footnoteRef/>
      </w:r>
      <w:r>
        <w:t xml:space="preserve"> </w:t>
      </w:r>
      <w:r w:rsidR="00AF287E" w:rsidRPr="00AF287E">
        <w:t xml:space="preserve">Berger J, </w:t>
      </w:r>
      <w:proofErr w:type="spellStart"/>
      <w:r w:rsidR="00AF287E" w:rsidRPr="00AF287E">
        <w:t>Karabenick</w:t>
      </w:r>
      <w:proofErr w:type="spellEnd"/>
      <w:proofErr w:type="gramStart"/>
      <w:r>
        <w:t>.,“</w:t>
      </w:r>
      <w:proofErr w:type="gramEnd"/>
      <w:r>
        <w:t>Motivation and students’ use of learning strategies: evidence of unidirectional effects in mathematics classrooms”, Learning and Instruction, 2011, 21(3): 416-428.</w:t>
      </w:r>
      <w:bookmarkEnd w:id="71"/>
    </w:p>
  </w:footnote>
  <w:footnote w:id="37">
    <w:p w14:paraId="3FA12820" w14:textId="77777777" w:rsidR="0087421F" w:rsidRDefault="00000000">
      <w:pPr>
        <w:pStyle w:val="a8"/>
        <w:autoSpaceDE w:val="0"/>
        <w:autoSpaceDN w:val="0"/>
        <w:adjustRightInd w:val="0"/>
        <w:spacing w:line="264" w:lineRule="auto"/>
        <w:ind w:left="270" w:hangingChars="150" w:hanging="270"/>
      </w:pPr>
      <w:bookmarkStart w:id="72" w:name="脚注_怀疑_80"/>
      <w:r>
        <w:footnoteRef/>
      </w:r>
      <w:r>
        <w:t xml:space="preserve"> </w:t>
      </w:r>
      <w:r>
        <w:t>参见：</w:t>
      </w:r>
      <w:r>
        <w:t xml:space="preserve">Jiang Y, Kim S, Bong </w:t>
      </w:r>
      <w:proofErr w:type="gramStart"/>
      <w:r>
        <w:t>M. ,</w:t>
      </w:r>
      <w:proofErr w:type="gramEnd"/>
      <w:r>
        <w:t xml:space="preserve"> “The role of cost in adolescent students’ maladaptive academic outcomes”, Journal of School Psychology, 2020, 83.; Conley A M. ,“Patterns of motivation beliefs: combining achievement goal and expectancy-value </w:t>
      </w:r>
      <w:proofErr w:type="spellStart"/>
      <w:r>
        <w:t>perspectives”,Journal</w:t>
      </w:r>
      <w:proofErr w:type="spellEnd"/>
      <w:r>
        <w:t xml:space="preserve"> of Educational Psychology, 2012, 104(1).</w:t>
      </w:r>
      <w:bookmarkEnd w:id="72"/>
    </w:p>
  </w:footnote>
  <w:footnote w:id="38">
    <w:p w14:paraId="248D3136" w14:textId="77777777" w:rsidR="0087421F" w:rsidRDefault="00000000">
      <w:pPr>
        <w:pStyle w:val="a8"/>
        <w:autoSpaceDE w:val="0"/>
        <w:autoSpaceDN w:val="0"/>
        <w:adjustRightInd w:val="0"/>
        <w:spacing w:line="264" w:lineRule="auto"/>
        <w:ind w:left="270" w:hangingChars="150" w:hanging="270"/>
      </w:pPr>
      <w:bookmarkStart w:id="73" w:name="脚注_怀疑_82"/>
      <w:r>
        <w:footnoteRef/>
      </w:r>
      <w:r>
        <w:t xml:space="preserve"> </w:t>
      </w:r>
      <w:r>
        <w:t>参见：</w:t>
      </w:r>
      <w:r>
        <w:t>Barron K E</w:t>
      </w:r>
      <w:r>
        <w:t>，</w:t>
      </w:r>
      <w:proofErr w:type="spellStart"/>
      <w:r>
        <w:t>Hulleman</w:t>
      </w:r>
      <w:proofErr w:type="spellEnd"/>
      <w:r>
        <w:t xml:space="preserve"> C S.</w:t>
      </w:r>
      <w:r>
        <w:t>，</w:t>
      </w:r>
      <w:r>
        <w:t>“Expectancy-value-cost model of motivation”</w:t>
      </w:r>
      <w:r>
        <w:t>，</w:t>
      </w:r>
      <w:r>
        <w:t>in International encyclopedia of social and behavioral sciences: Motivational psychology</w:t>
      </w:r>
      <w:r>
        <w:t>，</w:t>
      </w:r>
      <w:r>
        <w:t>Elsevier</w:t>
      </w:r>
      <w:r>
        <w:t>，</w:t>
      </w:r>
      <w:r>
        <w:t xml:space="preserve">2015; Jiang Y, Rosenzweig E Q, Gaspard </w:t>
      </w:r>
      <w:proofErr w:type="gramStart"/>
      <w:r>
        <w:t>H. ,</w:t>
      </w:r>
      <w:proofErr w:type="gramEnd"/>
      <w:r>
        <w:t xml:space="preserve">“An expectancy-value-cost approach in predicting adolescent students’ academic motivation and achievement”, Contemporary Educational Psychology, 2018, 54; Johnson M L, Safavian </w:t>
      </w:r>
      <w:proofErr w:type="spellStart"/>
      <w:r>
        <w:t>N.,“What</w:t>
      </w:r>
      <w:proofErr w:type="spellEnd"/>
      <w:r>
        <w:t xml:space="preserve"> is cost and is it always a bad thing? Furthering the discussion concerning college-aged students’ perceived costs for their academic studies”, Journal of Cognitive Education and Psychology, 2016, 15(3).</w:t>
      </w:r>
      <w:bookmarkEnd w:id="73"/>
    </w:p>
  </w:footnote>
  <w:footnote w:id="39">
    <w:p w14:paraId="57A5B96F" w14:textId="77777777" w:rsidR="0087421F" w:rsidRDefault="00000000">
      <w:pPr>
        <w:pStyle w:val="a8"/>
        <w:autoSpaceDE w:val="0"/>
        <w:autoSpaceDN w:val="0"/>
        <w:adjustRightInd w:val="0"/>
        <w:spacing w:line="264" w:lineRule="auto"/>
        <w:ind w:left="270" w:hangingChars="150" w:hanging="270"/>
      </w:pPr>
      <w:bookmarkStart w:id="74" w:name="脚注_怀疑_84"/>
      <w:r>
        <w:footnoteRef/>
      </w:r>
      <w:r>
        <w:t xml:space="preserve"> Gaspard H, Hafner I, </w:t>
      </w:r>
      <w:proofErr w:type="spellStart"/>
      <w:r>
        <w:t>Parrisius</w:t>
      </w:r>
      <w:proofErr w:type="spellEnd"/>
      <w:r>
        <w:t xml:space="preserve"> C, </w:t>
      </w:r>
      <w:proofErr w:type="gramStart"/>
      <w:r>
        <w:t>et al. ,</w:t>
      </w:r>
      <w:proofErr w:type="gramEnd"/>
      <w:r>
        <w:t xml:space="preserve">“Assessing task values in five subjects during secondary school: measurement structure and mean level differences across grade level, gender, and academic </w:t>
      </w:r>
      <w:proofErr w:type="spellStart"/>
      <w:r>
        <w:t>subject”,Contemporary</w:t>
      </w:r>
      <w:proofErr w:type="spellEnd"/>
      <w:r>
        <w:t xml:space="preserve"> Educational Psychology, 2017, 48.</w:t>
      </w:r>
      <w:bookmarkEnd w:id="74"/>
    </w:p>
  </w:footnote>
  <w:footnote w:id="40">
    <w:p w14:paraId="0BC7C8D8" w14:textId="77777777" w:rsidR="0087421F" w:rsidRDefault="00000000">
      <w:pPr>
        <w:pStyle w:val="a8"/>
        <w:autoSpaceDE w:val="0"/>
        <w:autoSpaceDN w:val="0"/>
        <w:adjustRightInd w:val="0"/>
        <w:spacing w:line="264" w:lineRule="auto"/>
        <w:ind w:left="270" w:hangingChars="150" w:hanging="270"/>
      </w:pPr>
      <w:bookmarkStart w:id="75" w:name="脚注_怀疑_86"/>
      <w:r>
        <w:footnoteRef/>
      </w:r>
      <w:r>
        <w:t xml:space="preserve"> Conley A </w:t>
      </w:r>
      <w:proofErr w:type="gramStart"/>
      <w:r>
        <w:t>M. ,</w:t>
      </w:r>
      <w:proofErr w:type="gramEnd"/>
      <w:r>
        <w:t xml:space="preserve">“Patterns of motivation beliefs: combining achievement goal and expectancy-value </w:t>
      </w:r>
      <w:proofErr w:type="spellStart"/>
      <w:r>
        <w:t>perspectives”,Journal</w:t>
      </w:r>
      <w:proofErr w:type="spellEnd"/>
      <w:r>
        <w:t xml:space="preserve"> of Educational Psychology, 2012, 104(1).</w:t>
      </w:r>
      <w:bookmarkEnd w:id="75"/>
    </w:p>
  </w:footnote>
  <w:footnote w:id="41">
    <w:p w14:paraId="0A70C111" w14:textId="77777777" w:rsidR="0087421F" w:rsidRDefault="00000000">
      <w:pPr>
        <w:pStyle w:val="a8"/>
        <w:autoSpaceDE w:val="0"/>
        <w:autoSpaceDN w:val="0"/>
        <w:adjustRightInd w:val="0"/>
        <w:spacing w:line="264" w:lineRule="auto"/>
        <w:ind w:left="270" w:hangingChars="150" w:hanging="270"/>
      </w:pPr>
      <w:bookmarkStart w:id="76" w:name="脚注_怀疑_88"/>
      <w:r>
        <w:footnoteRef/>
      </w:r>
      <w:r>
        <w:t xml:space="preserve"> Perez T, Dai T, Kaplan A, </w:t>
      </w:r>
      <w:proofErr w:type="gramStart"/>
      <w:r>
        <w:t>et al. ,</w:t>
      </w:r>
      <w:proofErr w:type="gramEnd"/>
      <w:r>
        <w:t>“Interrelations among expectancies, task values, and perceived costs in undergraduate biology achievement”, and Individual Differences, 2019, 72.</w:t>
      </w:r>
      <w:bookmarkEnd w:id="76"/>
    </w:p>
  </w:footnote>
  <w:footnote w:id="42">
    <w:p w14:paraId="22AB5E4D" w14:textId="77777777" w:rsidR="0087421F" w:rsidRDefault="00000000">
      <w:pPr>
        <w:pStyle w:val="a8"/>
        <w:autoSpaceDE w:val="0"/>
        <w:autoSpaceDN w:val="0"/>
        <w:adjustRightInd w:val="0"/>
        <w:spacing w:line="264" w:lineRule="auto"/>
        <w:ind w:left="270" w:hangingChars="150" w:hanging="270"/>
      </w:pPr>
      <w:bookmarkStart w:id="78" w:name="脚注_怀疑_90"/>
      <w:r>
        <w:footnoteRef/>
      </w:r>
      <w:r>
        <w:t xml:space="preserve"> Johnson M L, Safavian </w:t>
      </w:r>
      <w:proofErr w:type="gramStart"/>
      <w:r>
        <w:t>N. ,</w:t>
      </w:r>
      <w:proofErr w:type="gramEnd"/>
      <w:r>
        <w:t>“What is cost and is it always a bad thing? Furthering the discussion concerning college-aged students’ perceived costs for their academic studies”, Journal of Cognitive Education and Psychology, 2016, 15(3).</w:t>
      </w:r>
      <w:bookmarkEnd w:id="78"/>
    </w:p>
  </w:footnote>
  <w:footnote w:id="43">
    <w:p w14:paraId="234D817F" w14:textId="77777777" w:rsidR="0087421F" w:rsidRDefault="00000000">
      <w:pPr>
        <w:pStyle w:val="a8"/>
        <w:autoSpaceDE w:val="0"/>
        <w:autoSpaceDN w:val="0"/>
        <w:adjustRightInd w:val="0"/>
        <w:spacing w:line="264" w:lineRule="auto"/>
        <w:ind w:left="270" w:hangingChars="150" w:hanging="270"/>
      </w:pPr>
      <w:bookmarkStart w:id="79" w:name="脚注_怀疑_92"/>
      <w:r>
        <w:footnoteRef/>
      </w:r>
      <w:r>
        <w:t xml:space="preserve"> Battle A, Wigfield </w:t>
      </w:r>
      <w:proofErr w:type="gramStart"/>
      <w:r>
        <w:t>A. ,</w:t>
      </w:r>
      <w:proofErr w:type="gramEnd"/>
      <w:r>
        <w:t xml:space="preserve">“College women’s value orientations toward family, career, and graduate </w:t>
      </w:r>
      <w:proofErr w:type="spellStart"/>
      <w:r>
        <w:t>school”,Journal</w:t>
      </w:r>
      <w:proofErr w:type="spellEnd"/>
      <w:r>
        <w:t xml:space="preserve"> of Vocational Behavior</w:t>
      </w:r>
      <w:r>
        <w:t>，</w:t>
      </w:r>
      <w:r>
        <w:t>2003</w:t>
      </w:r>
      <w:r>
        <w:t>，</w:t>
      </w:r>
      <w:r>
        <w:t>62(1).</w:t>
      </w:r>
      <w:bookmarkEnd w:id="79"/>
    </w:p>
  </w:footnote>
  <w:footnote w:id="44">
    <w:p w14:paraId="6F6DB096" w14:textId="77777777" w:rsidR="0087421F" w:rsidRDefault="00000000">
      <w:pPr>
        <w:pStyle w:val="a8"/>
        <w:autoSpaceDE w:val="0"/>
        <w:autoSpaceDN w:val="0"/>
        <w:adjustRightInd w:val="0"/>
        <w:spacing w:line="264" w:lineRule="auto"/>
        <w:ind w:left="270" w:hangingChars="150" w:hanging="270"/>
      </w:pPr>
      <w:bookmarkStart w:id="80" w:name="脚注_怀疑_94"/>
      <w:r>
        <w:footnoteRef/>
      </w:r>
      <w:r>
        <w:t xml:space="preserve"> Perez T, Cromley J G, Kaplan </w:t>
      </w:r>
      <w:proofErr w:type="gramStart"/>
      <w:r>
        <w:t>A. ,</w:t>
      </w:r>
      <w:proofErr w:type="gramEnd"/>
      <w:r>
        <w:t>“The role of identity development, values, and costs in college STEM retention”</w:t>
      </w:r>
      <w:r>
        <w:t>，</w:t>
      </w:r>
      <w:r>
        <w:t>Journal of Educational Psychology, 2014, 106(1).</w:t>
      </w:r>
      <w:bookmarkEnd w:id="80"/>
    </w:p>
  </w:footnote>
  <w:footnote w:id="45">
    <w:p w14:paraId="5E1C6752" w14:textId="77777777" w:rsidR="0087421F" w:rsidRDefault="00000000">
      <w:pPr>
        <w:pStyle w:val="a8"/>
        <w:autoSpaceDE w:val="0"/>
        <w:autoSpaceDN w:val="0"/>
        <w:adjustRightInd w:val="0"/>
        <w:ind w:left="270" w:hangingChars="150" w:hanging="270"/>
      </w:pPr>
      <w:bookmarkStart w:id="84" w:name="脚注_怀疑_96"/>
      <w:r>
        <w:footnoteRef/>
      </w:r>
      <w:r>
        <w:t xml:space="preserve"> </w:t>
      </w:r>
      <w:r>
        <w:t>参见：</w:t>
      </w:r>
      <w:r>
        <w:t xml:space="preserve">Miyake A, </w:t>
      </w:r>
      <w:proofErr w:type="spellStart"/>
      <w:r>
        <w:t>Kost</w:t>
      </w:r>
      <w:proofErr w:type="spellEnd"/>
      <w:r>
        <w:t xml:space="preserve">-Smith L E, Finkelstein N D, </w:t>
      </w:r>
      <w:proofErr w:type="gramStart"/>
      <w:r>
        <w:t>et al. ,</w:t>
      </w:r>
      <w:proofErr w:type="gramEnd"/>
      <w:r>
        <w:t xml:space="preserve">“Reducing the gender achievement gap in college science: A classroom study of values affirmation”, Science, 2010, 330(6008); </w:t>
      </w:r>
      <w:proofErr w:type="spellStart"/>
      <w:r>
        <w:t>Priniski</w:t>
      </w:r>
      <w:proofErr w:type="spellEnd"/>
      <w:r>
        <w:t xml:space="preserve"> S J, Rosenzweig E Q, Caning E A, et al. ,“The benefits of combining value for the self and others in utility-value interventions”, Journal of Educational Psychology, 2019, 111(8).</w:t>
      </w:r>
      <w:bookmarkEnd w:id="84"/>
    </w:p>
  </w:footnote>
  <w:footnote w:id="46">
    <w:p w14:paraId="02B4A64F" w14:textId="77777777" w:rsidR="0087421F" w:rsidRDefault="00000000">
      <w:pPr>
        <w:pStyle w:val="a8"/>
        <w:autoSpaceDE w:val="0"/>
        <w:autoSpaceDN w:val="0"/>
        <w:adjustRightInd w:val="0"/>
        <w:ind w:left="270" w:hangingChars="150" w:hanging="270"/>
      </w:pPr>
      <w:bookmarkStart w:id="85" w:name="脚注_怀疑_98"/>
      <w:r>
        <w:footnoteRef/>
      </w:r>
      <w:r>
        <w:t xml:space="preserve"> </w:t>
      </w:r>
      <w:r>
        <w:t>参见：</w:t>
      </w:r>
      <w:r>
        <w:t xml:space="preserve">Jiang Y, Rosenzweig E Q, Gaspard </w:t>
      </w:r>
      <w:proofErr w:type="gramStart"/>
      <w:r>
        <w:t>H. ,</w:t>
      </w:r>
      <w:proofErr w:type="gramEnd"/>
      <w:r>
        <w:t>“An expectancy-value-cost approach in predicting adolescent students’ academic motivation and achievement”, Contemporary Educational Psychology, 2018, 54; Jiang Y, Rosenzweig E Q. ,“Using cost to improve predictions of adolescent students’ future choice intentions, avoidance intentions, and course grades in mathematics and English”, Learning and Individual Differences, 2021, 86.</w:t>
      </w:r>
      <w:bookmarkEnd w:id="85"/>
    </w:p>
  </w:footnote>
  <w:footnote w:id="47">
    <w:p w14:paraId="675CDF4B" w14:textId="77777777" w:rsidR="0087421F" w:rsidRDefault="00000000">
      <w:pPr>
        <w:pStyle w:val="a8"/>
        <w:autoSpaceDE w:val="0"/>
        <w:autoSpaceDN w:val="0"/>
        <w:adjustRightInd w:val="0"/>
        <w:ind w:left="270" w:hangingChars="150" w:hanging="270"/>
      </w:pPr>
      <w:bookmarkStart w:id="86" w:name="脚注_怀疑_100"/>
      <w:r>
        <w:footnoteRef/>
      </w:r>
      <w:r>
        <w:t xml:space="preserve"> Conley A </w:t>
      </w:r>
      <w:proofErr w:type="gramStart"/>
      <w:r>
        <w:t>M. ,</w:t>
      </w:r>
      <w:proofErr w:type="gramEnd"/>
      <w:r>
        <w:t>“ Patterns of motivation beliefs: combining achievement goal and expectancy-value perspectives”, Journal of Educational Psychology, 2012, 104(1).</w:t>
      </w:r>
      <w:bookmarkEnd w:id="86"/>
    </w:p>
  </w:footnote>
  <w:footnote w:id="48">
    <w:p w14:paraId="70EF1BBC" w14:textId="77777777" w:rsidR="0087421F" w:rsidRDefault="00000000">
      <w:pPr>
        <w:pStyle w:val="a8"/>
        <w:autoSpaceDE w:val="0"/>
        <w:autoSpaceDN w:val="0"/>
        <w:adjustRightInd w:val="0"/>
        <w:ind w:left="270" w:hangingChars="150" w:hanging="270"/>
      </w:pPr>
      <w:bookmarkStart w:id="87" w:name="脚注_怀疑_102"/>
      <w:r>
        <w:footnoteRef/>
      </w:r>
      <w:r>
        <w:t xml:space="preserve"> Luttrell V </w:t>
      </w:r>
      <w:proofErr w:type="gramStart"/>
      <w:r>
        <w:t>R ,</w:t>
      </w:r>
      <w:proofErr w:type="gramEnd"/>
      <w:r>
        <w:t xml:space="preserve"> Callen B W , Allen C S ,et </w:t>
      </w:r>
      <w:proofErr w:type="spellStart"/>
      <w:r>
        <w:t>al.,“The</w:t>
      </w:r>
      <w:proofErr w:type="spellEnd"/>
      <w:r>
        <w:t xml:space="preserve"> mathematics value inventory for general education students: development and initial validation”, Educational and Psychological Measurement, 2010, 70(1).</w:t>
      </w:r>
      <w:bookmarkEnd w:id="87"/>
    </w:p>
  </w:footnote>
  <w:footnote w:id="49">
    <w:p w14:paraId="2007E3D3" w14:textId="77777777" w:rsidR="0087421F" w:rsidRDefault="00000000">
      <w:pPr>
        <w:pStyle w:val="a8"/>
        <w:autoSpaceDE w:val="0"/>
        <w:autoSpaceDN w:val="0"/>
        <w:adjustRightInd w:val="0"/>
        <w:ind w:left="270" w:hangingChars="150" w:hanging="270"/>
      </w:pPr>
      <w:bookmarkStart w:id="91" w:name="脚注_怀疑_104"/>
      <w:r>
        <w:footnoteRef/>
      </w:r>
      <w:r>
        <w:t xml:space="preserve"> </w:t>
      </w:r>
      <w:r>
        <w:t>参见：</w:t>
      </w:r>
      <w:r>
        <w:t xml:space="preserve">Rosenzweig E </w:t>
      </w:r>
      <w:proofErr w:type="gramStart"/>
      <w:r>
        <w:t>Q ,</w:t>
      </w:r>
      <w:proofErr w:type="gramEnd"/>
      <w:r>
        <w:t xml:space="preserve"> Wigfield A , </w:t>
      </w:r>
      <w:proofErr w:type="spellStart"/>
      <w:r>
        <w:t>Hulleman</w:t>
      </w:r>
      <w:proofErr w:type="spellEnd"/>
      <w:r>
        <w:t xml:space="preserve"> C S . </w:t>
      </w:r>
      <w:proofErr w:type="gramStart"/>
      <w:r>
        <w:t>,“</w:t>
      </w:r>
      <w:proofErr w:type="gramEnd"/>
      <w:r>
        <w:t xml:space="preserve">More useful or not so bad? Examining the effects of utility value and cost reduction interventions in college physics”, Journal of Educational Psychology, 2020, 112(1); Rosenzweig </w:t>
      </w:r>
      <w:proofErr w:type="gramStart"/>
      <w:r>
        <w:t>E ,</w:t>
      </w:r>
      <w:proofErr w:type="gramEnd"/>
      <w:r>
        <w:t xml:space="preserve"> Song Y , Clark </w:t>
      </w:r>
      <w:proofErr w:type="spellStart"/>
      <w:r>
        <w:t>S.,“Mixed</w:t>
      </w:r>
      <w:proofErr w:type="spellEnd"/>
      <w:r>
        <w:t xml:space="preserve"> effects of a randomized trial replication study testing a cost-focused motivational intervention”, Learning and Instruction, 2022, 82.</w:t>
      </w:r>
      <w:bookmarkEnd w:id="91"/>
    </w:p>
  </w:footnote>
  <w:footnote w:id="50">
    <w:p w14:paraId="69BBD81D" w14:textId="77777777" w:rsidR="0087421F" w:rsidRDefault="00000000">
      <w:pPr>
        <w:pStyle w:val="a8"/>
        <w:autoSpaceDE w:val="0"/>
        <w:autoSpaceDN w:val="0"/>
        <w:adjustRightInd w:val="0"/>
        <w:ind w:left="270" w:hangingChars="150" w:hanging="270"/>
      </w:pPr>
      <w:bookmarkStart w:id="93" w:name="脚注_怀疑_106"/>
      <w:r>
        <w:footnoteRef/>
      </w:r>
      <w:r>
        <w:t xml:space="preserve"> </w:t>
      </w:r>
      <w:r>
        <w:t>参见：</w:t>
      </w:r>
      <w:r>
        <w:t xml:space="preserve">Walton G M, Cohen G </w:t>
      </w:r>
      <w:proofErr w:type="gramStart"/>
      <w:r>
        <w:t>L. ,</w:t>
      </w:r>
      <w:proofErr w:type="gramEnd"/>
      <w:r>
        <w:t xml:space="preserve">“A question of belonging: race, social fit, and </w:t>
      </w:r>
      <w:proofErr w:type="spellStart"/>
      <w:r>
        <w:t>achievement”,Journal</w:t>
      </w:r>
      <w:proofErr w:type="spellEnd"/>
      <w:r>
        <w:t xml:space="preserve"> of Personality and Social Psychology, 2007, 92(1); Walton G M, Cohen G L. , “A brief social-belonging intervention improves academic and health outcomes of minority students”, Science, 2011, 331(6023).</w:t>
      </w:r>
      <w:bookmarkEnd w:id="93"/>
    </w:p>
  </w:footnote>
  <w:footnote w:id="51">
    <w:p w14:paraId="665EAECB" w14:textId="77777777" w:rsidR="0087421F" w:rsidRDefault="00000000">
      <w:pPr>
        <w:pStyle w:val="a8"/>
        <w:autoSpaceDE w:val="0"/>
        <w:autoSpaceDN w:val="0"/>
        <w:adjustRightInd w:val="0"/>
        <w:ind w:left="270" w:hangingChars="150" w:hanging="270"/>
      </w:pPr>
      <w:bookmarkStart w:id="98" w:name="脚注_怀疑_108"/>
      <w:r>
        <w:footnoteRef/>
      </w:r>
      <w:r>
        <w:t xml:space="preserve"> Yeager D S, Dweck C </w:t>
      </w:r>
      <w:proofErr w:type="gramStart"/>
      <w:r>
        <w:t>S. ,</w:t>
      </w:r>
      <w:proofErr w:type="gramEnd"/>
      <w:r>
        <w:t>“Mindsets that promote resilience: when students believe that personal characteristics can be developed”, Educational Psychologist, 2012, 47(4).</w:t>
      </w:r>
      <w:bookmarkEnd w:id="98"/>
    </w:p>
  </w:footnote>
  <w:footnote w:id="52">
    <w:p w14:paraId="59648EEA" w14:textId="77777777" w:rsidR="0087421F" w:rsidRDefault="00000000">
      <w:pPr>
        <w:pStyle w:val="a8"/>
        <w:adjustRightInd w:val="0"/>
        <w:ind w:left="270" w:hangingChars="150" w:hanging="270"/>
      </w:pPr>
      <w:bookmarkStart w:id="101" w:name="脚注_怀疑_110"/>
      <w:r>
        <w:footnoteRef/>
      </w:r>
      <w:r>
        <w:t xml:space="preserve"> </w:t>
      </w:r>
      <w:r>
        <w:t>钟启泉：《学力目标与课堂转型</w:t>
      </w:r>
      <w:r>
        <w:rPr>
          <w:rFonts w:ascii="宋体" w:eastAsia="宋体" w:hAnsi="宋体"/>
        </w:rPr>
        <w:t>——</w:t>
      </w:r>
      <w:r>
        <w:t>试析</w:t>
      </w:r>
      <w:r>
        <w:rPr>
          <w:rFonts w:ascii="仿宋" w:hAnsi="仿宋" w:cs="仿宋" w:hint="eastAsia"/>
        </w:rPr>
        <w:t>“</w:t>
      </w:r>
      <w:r>
        <w:t>新课程改革</w:t>
      </w:r>
      <w:r>
        <w:rPr>
          <w:rFonts w:ascii="仿宋" w:hAnsi="仿宋" w:cs="仿宋" w:hint="eastAsia"/>
        </w:rPr>
        <w:t>”</w:t>
      </w:r>
      <w:r>
        <w:t>的认知心理学依据》，《全球教育展望》</w:t>
      </w:r>
      <w:r>
        <w:t>, 2021</w:t>
      </w:r>
      <w:r>
        <w:t>年第</w:t>
      </w:r>
      <w:r>
        <w:t>7</w:t>
      </w:r>
      <w:r>
        <w:t>期。</w:t>
      </w:r>
      <w:bookmarkEnd w:id="10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42DD3" w14:textId="77777777" w:rsidR="0087421F" w:rsidRDefault="0087421F">
    <w:pPr>
      <w:pStyle w:val="aa"/>
      <w:pBdr>
        <w:bottom w:val="none" w:sz="0" w:space="0" w:color="auto"/>
      </w:pBdr>
      <w:tabs>
        <w:tab w:val="clear" w:pos="4153"/>
        <w:tab w:val="clear" w:pos="8306"/>
      </w:tabs>
      <w:rPr>
        <w:sz w:val="11"/>
        <w:szCs w:val="11"/>
      </w:rPr>
    </w:pPr>
  </w:p>
  <w:p w14:paraId="3EEECA39" w14:textId="77777777" w:rsidR="0087421F" w:rsidRDefault="00000000">
    <w:pPr>
      <w:pBdr>
        <w:bottom w:val="single" w:sz="6" w:space="1" w:color="auto"/>
      </w:pBdr>
      <w:tabs>
        <w:tab w:val="center" w:pos="4820"/>
        <w:tab w:val="right" w:pos="9639"/>
      </w:tabs>
      <w:spacing w:line="264" w:lineRule="auto"/>
      <w:jc w:val="lef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88</w:t>
    </w:r>
    <w:r>
      <w:rPr>
        <w:sz w:val="18"/>
        <w:szCs w:val="18"/>
      </w:rPr>
      <w:fldChar w:fldCharType="end"/>
    </w:r>
    <w:r>
      <w:rPr>
        <w:sz w:val="18"/>
        <w:szCs w:val="18"/>
      </w:rPr>
      <w:tab/>
    </w:r>
    <w:r>
      <w:rPr>
        <w:rFonts w:eastAsia="仿宋"/>
        <w:bCs/>
        <w:sz w:val="18"/>
        <w:szCs w:val="18"/>
      </w:rPr>
      <w:t>北京青年研究</w:t>
    </w:r>
    <w:r>
      <w:rPr>
        <w:bCs/>
        <w:sz w:val="18"/>
        <w:szCs w:val="18"/>
      </w:rPr>
      <w:tab/>
    </w:r>
    <w:r>
      <w:rPr>
        <w:rFonts w:eastAsia="仿宋"/>
        <w:sz w:val="18"/>
      </w:rPr>
      <w:t>2024</w:t>
    </w:r>
    <w:r>
      <w:rPr>
        <w:rFonts w:eastAsia="仿宋"/>
        <w:bCs/>
        <w:sz w:val="18"/>
        <w:szCs w:val="18"/>
      </w:rPr>
      <w:t>年</w:t>
    </w:r>
  </w:p>
  <w:p w14:paraId="69D0CCFD" w14:textId="77777777" w:rsidR="0087421F" w:rsidRDefault="0087421F">
    <w:pPr>
      <w:pStyle w:val="aa"/>
      <w:pBdr>
        <w:bottom w:val="none" w:sz="0" w:space="0" w:color="auto"/>
      </w:pBdr>
      <w:tabs>
        <w:tab w:val="clear" w:pos="4153"/>
        <w:tab w:val="clear" w:pos="8306"/>
      </w:tabs>
      <w:rPr>
        <w:sz w:val="11"/>
        <w:szCs w:val="1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15F64" w14:textId="77777777" w:rsidR="0087421F" w:rsidRDefault="0087421F">
    <w:pPr>
      <w:pStyle w:val="aa"/>
      <w:pBdr>
        <w:bottom w:val="none" w:sz="0" w:space="0" w:color="auto"/>
      </w:pBdr>
      <w:tabs>
        <w:tab w:val="clear" w:pos="4153"/>
        <w:tab w:val="clear" w:pos="8306"/>
      </w:tabs>
      <w:rPr>
        <w:sz w:val="11"/>
        <w:szCs w:val="11"/>
      </w:rPr>
    </w:pPr>
  </w:p>
  <w:p w14:paraId="53656DC6" w14:textId="77777777" w:rsidR="0087421F" w:rsidRDefault="00000000">
    <w:pPr>
      <w:pBdr>
        <w:bottom w:val="single" w:sz="6" w:space="1" w:color="auto"/>
      </w:pBdr>
      <w:tabs>
        <w:tab w:val="center" w:pos="4820"/>
        <w:tab w:val="right" w:pos="9639"/>
      </w:tabs>
      <w:spacing w:line="264" w:lineRule="auto"/>
      <w:jc w:val="left"/>
      <w:rPr>
        <w:rFonts w:eastAsia="仿宋"/>
        <w:sz w:val="18"/>
        <w:szCs w:val="18"/>
      </w:rPr>
    </w:pPr>
    <w:r>
      <w:rPr>
        <w:rFonts w:eastAsia="仿宋"/>
        <w:sz w:val="18"/>
        <w:szCs w:val="18"/>
      </w:rPr>
      <w:t>第</w:t>
    </w:r>
    <w:r>
      <w:rPr>
        <w:rFonts w:eastAsia="仿宋"/>
        <w:sz w:val="18"/>
      </w:rPr>
      <w:t>3</w:t>
    </w:r>
    <w:r>
      <w:rPr>
        <w:rFonts w:eastAsia="仿宋"/>
        <w:sz w:val="18"/>
        <w:szCs w:val="18"/>
      </w:rPr>
      <w:t>期</w:t>
    </w:r>
    <w:r>
      <w:rPr>
        <w:rFonts w:eastAsia="仿宋"/>
        <w:sz w:val="18"/>
        <w:szCs w:val="18"/>
      </w:rPr>
      <w:tab/>
    </w:r>
    <w:proofErr w:type="gramStart"/>
    <w:r>
      <w:rPr>
        <w:rFonts w:eastAsia="仿宋"/>
        <w:sz w:val="18"/>
      </w:rPr>
      <w:t>张琳嘉</w:t>
    </w:r>
    <w:r>
      <w:rPr>
        <w:rFonts w:eastAsia="仿宋" w:hint="eastAsia"/>
        <w:sz w:val="18"/>
      </w:rPr>
      <w:t>等</w:t>
    </w:r>
    <w:proofErr w:type="gramEnd"/>
    <w:r>
      <w:rPr>
        <w:rFonts w:eastAsia="仿宋"/>
        <w:sz w:val="18"/>
        <w:szCs w:val="18"/>
      </w:rPr>
      <w:t>：</w:t>
    </w:r>
    <w:r>
      <w:rPr>
        <w:rFonts w:eastAsia="仿宋"/>
        <w:sz w:val="18"/>
      </w:rPr>
      <w:t>成本认知视域下的大学生</w:t>
    </w:r>
    <w:r>
      <w:rPr>
        <w:rFonts w:eastAsia="仿宋"/>
        <w:sz w:val="18"/>
      </w:rPr>
      <w:t>“</w:t>
    </w:r>
    <w:r>
      <w:rPr>
        <w:rFonts w:eastAsia="仿宋"/>
        <w:sz w:val="18"/>
      </w:rPr>
      <w:t>躺平</w:t>
    </w:r>
    <w:r>
      <w:rPr>
        <w:rFonts w:eastAsia="仿宋"/>
        <w:sz w:val="18"/>
      </w:rPr>
      <w:t>”</w:t>
    </w:r>
    <w:r>
      <w:rPr>
        <w:rFonts w:eastAsia="仿宋"/>
        <w:sz w:val="18"/>
      </w:rPr>
      <w:t>心理剖析</w:t>
    </w:r>
    <w:r>
      <w:rPr>
        <w:rFonts w:ascii="仿宋" w:eastAsia="仿宋" w:hAnsi="仿宋"/>
        <w:b/>
        <w:bCs/>
        <w:sz w:val="18"/>
        <w:szCs w:val="18"/>
      </w:rPr>
      <w:tab/>
    </w:r>
    <w:r>
      <w:rPr>
        <w:rFonts w:eastAsia="仿宋"/>
        <w:sz w:val="18"/>
        <w:szCs w:val="18"/>
      </w:rPr>
      <w:fldChar w:fldCharType="begin"/>
    </w:r>
    <w:r>
      <w:rPr>
        <w:rFonts w:eastAsia="仿宋"/>
        <w:sz w:val="18"/>
        <w:szCs w:val="18"/>
      </w:rPr>
      <w:instrText xml:space="preserve"> PAGE </w:instrText>
    </w:r>
    <w:r>
      <w:rPr>
        <w:rFonts w:eastAsia="仿宋"/>
        <w:sz w:val="18"/>
        <w:szCs w:val="18"/>
      </w:rPr>
      <w:fldChar w:fldCharType="separate"/>
    </w:r>
    <w:r>
      <w:rPr>
        <w:rFonts w:eastAsia="仿宋"/>
        <w:sz w:val="18"/>
        <w:szCs w:val="18"/>
      </w:rPr>
      <w:t>87</w:t>
    </w:r>
    <w:r>
      <w:rPr>
        <w:rFonts w:eastAsia="仿宋"/>
        <w:sz w:val="18"/>
        <w:szCs w:val="18"/>
      </w:rPr>
      <w:fldChar w:fldCharType="end"/>
    </w:r>
  </w:p>
  <w:p w14:paraId="753114E0" w14:textId="77777777" w:rsidR="0087421F" w:rsidRDefault="0087421F">
    <w:pPr>
      <w:pStyle w:val="aa"/>
      <w:pBdr>
        <w:bottom w:val="none" w:sz="0" w:space="0" w:color="auto"/>
      </w:pBdr>
      <w:tabs>
        <w:tab w:val="clear" w:pos="4153"/>
        <w:tab w:val="clear" w:pos="8306"/>
      </w:tabs>
      <w:rPr>
        <w:sz w:val="11"/>
        <w:szCs w:val="1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040A" w14:textId="77777777" w:rsidR="0087421F" w:rsidRDefault="00000000">
    <w:pPr>
      <w:pBdr>
        <w:bottom w:val="double" w:sz="4" w:space="1" w:color="auto"/>
      </w:pBdr>
      <w:tabs>
        <w:tab w:val="center" w:pos="4820"/>
        <w:tab w:val="right" w:pos="9639"/>
      </w:tabs>
      <w:jc w:val="left"/>
      <w:rPr>
        <w:rFonts w:ascii="仿宋" w:eastAsia="仿宋" w:hAnsi="仿宋" w:hint="eastAsia"/>
        <w:sz w:val="18"/>
        <w:szCs w:val="18"/>
      </w:rPr>
    </w:pPr>
    <w:bookmarkStart w:id="5" w:name="[（中）栏目]_1"/>
    <w:r>
      <w:rPr>
        <w:rFonts w:eastAsia="仿宋"/>
        <w:b/>
        <w:szCs w:val="21"/>
      </w:rPr>
      <w:t>《北京青年研究》</w:t>
    </w:r>
    <w:r>
      <w:rPr>
        <w:rFonts w:eastAsia="仿宋"/>
        <w:b/>
      </w:rPr>
      <w:t>2024</w:t>
    </w:r>
    <w:r>
      <w:rPr>
        <w:rFonts w:eastAsia="仿宋"/>
        <w:b/>
        <w:szCs w:val="21"/>
      </w:rPr>
      <w:t>年第</w:t>
    </w:r>
    <w:r>
      <w:rPr>
        <w:rFonts w:eastAsia="仿宋"/>
        <w:b/>
      </w:rPr>
      <w:t>3</w:t>
    </w:r>
    <w:r>
      <w:rPr>
        <w:rFonts w:eastAsia="仿宋"/>
        <w:b/>
        <w:szCs w:val="21"/>
      </w:rPr>
      <w:t>期</w:t>
    </w:r>
    <w:r>
      <w:rPr>
        <w:rFonts w:ascii="仿宋" w:eastAsia="仿宋" w:hAnsi="仿宋"/>
        <w:sz w:val="18"/>
        <w:szCs w:val="18"/>
      </w:rPr>
      <w:tab/>
    </w:r>
    <w:r>
      <w:rPr>
        <w:rFonts w:ascii="仿宋" w:eastAsia="仿宋" w:hAnsi="仿宋"/>
        <w:sz w:val="18"/>
        <w:szCs w:val="18"/>
      </w:rPr>
      <w:tab/>
    </w:r>
    <w:bookmarkEnd w:id="5"/>
    <w:r>
      <w:rPr>
        <w:rFonts w:ascii="楷体" w:eastAsia="楷体" w:hAnsi="楷体" w:hint="eastAsia"/>
        <w:sz w:val="24"/>
      </w:rPr>
      <w:t>青年文化与青年运动史</w:t>
    </w:r>
  </w:p>
  <w:p w14:paraId="724EB1E5" w14:textId="77777777" w:rsidR="0087421F" w:rsidRDefault="0087421F">
    <w:pPr>
      <w:pStyle w:val="aa"/>
      <w:pBdr>
        <w:bottom w:val="none" w:sz="0" w:space="0" w:color="auto"/>
      </w:pBdr>
      <w:tabs>
        <w:tab w:val="clear" w:pos="4153"/>
        <w:tab w:val="clear" w:pos="8306"/>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700D6"/>
    <w:multiLevelType w:val="multilevel"/>
    <w:tmpl w:val="29B700D6"/>
    <w:lvl w:ilvl="0">
      <w:start w:val="1"/>
      <w:numFmt w:val="decimal"/>
      <w:pStyle w:val="a"/>
      <w:lvlText w:val="[%1]"/>
      <w:lvlJc w:val="left"/>
      <w:pPr>
        <w:tabs>
          <w:tab w:val="left" w:pos="473"/>
        </w:tabs>
        <w:ind w:left="47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5894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bordersDoNotSurroundHeader/>
  <w:bordersDoNotSurroundFooter/>
  <w:hideSpellingError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420"/>
  <w:evenAndOddHeaders/>
  <w:drawingGridVerticalSpacing w:val="156"/>
  <w:noPunctuationKerning/>
  <w:characterSpacingControl w:val="compressPunctuation"/>
  <w:hdrShapeDefaults>
    <o:shapedefaults v:ext="edit" spidmax="2050"/>
  </w:hdrShapeDefaults>
  <w:footnotePr>
    <w:numFmt w:val="decimalEnclosedCircleChinese"/>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FkNDJmNjA4ZTM3NTU1NjY3NzZkZWI3NGU1NDA2MjIifQ=="/>
  </w:docVars>
  <w:rsids>
    <w:rsidRoot w:val="00760C29"/>
    <w:rsid w:val="0000332D"/>
    <w:rsid w:val="00004124"/>
    <w:rsid w:val="00006CAF"/>
    <w:rsid w:val="0001112B"/>
    <w:rsid w:val="0001197E"/>
    <w:rsid w:val="00014462"/>
    <w:rsid w:val="00015743"/>
    <w:rsid w:val="00017E00"/>
    <w:rsid w:val="000210B7"/>
    <w:rsid w:val="000211A6"/>
    <w:rsid w:val="00023B18"/>
    <w:rsid w:val="000306DB"/>
    <w:rsid w:val="000309E2"/>
    <w:rsid w:val="00030B34"/>
    <w:rsid w:val="0004168C"/>
    <w:rsid w:val="000419CC"/>
    <w:rsid w:val="000423F9"/>
    <w:rsid w:val="00042793"/>
    <w:rsid w:val="00043C7D"/>
    <w:rsid w:val="00045E14"/>
    <w:rsid w:val="00047F6F"/>
    <w:rsid w:val="00052100"/>
    <w:rsid w:val="0005297D"/>
    <w:rsid w:val="000529D3"/>
    <w:rsid w:val="0005534D"/>
    <w:rsid w:val="00055399"/>
    <w:rsid w:val="00055951"/>
    <w:rsid w:val="00062FFF"/>
    <w:rsid w:val="00065AE4"/>
    <w:rsid w:val="00070F5B"/>
    <w:rsid w:val="00071015"/>
    <w:rsid w:val="00071D2F"/>
    <w:rsid w:val="00072458"/>
    <w:rsid w:val="00077718"/>
    <w:rsid w:val="00077F9F"/>
    <w:rsid w:val="0008296D"/>
    <w:rsid w:val="00083893"/>
    <w:rsid w:val="000872BC"/>
    <w:rsid w:val="00090ADF"/>
    <w:rsid w:val="000942E4"/>
    <w:rsid w:val="0009562F"/>
    <w:rsid w:val="00095BE8"/>
    <w:rsid w:val="00096DEA"/>
    <w:rsid w:val="000A2302"/>
    <w:rsid w:val="000A2307"/>
    <w:rsid w:val="000A2B0E"/>
    <w:rsid w:val="000A3FD0"/>
    <w:rsid w:val="000A44CE"/>
    <w:rsid w:val="000A4F21"/>
    <w:rsid w:val="000A5063"/>
    <w:rsid w:val="000B0665"/>
    <w:rsid w:val="000B243A"/>
    <w:rsid w:val="000B28E7"/>
    <w:rsid w:val="000B7F45"/>
    <w:rsid w:val="000C0410"/>
    <w:rsid w:val="000D33F1"/>
    <w:rsid w:val="000D4CD6"/>
    <w:rsid w:val="000D64AE"/>
    <w:rsid w:val="000E2AC4"/>
    <w:rsid w:val="000E2B46"/>
    <w:rsid w:val="000E2DA5"/>
    <w:rsid w:val="000E71E5"/>
    <w:rsid w:val="000F119D"/>
    <w:rsid w:val="000F1223"/>
    <w:rsid w:val="000F68B1"/>
    <w:rsid w:val="000F737E"/>
    <w:rsid w:val="000F7CA9"/>
    <w:rsid w:val="001010E5"/>
    <w:rsid w:val="00101FC2"/>
    <w:rsid w:val="00102468"/>
    <w:rsid w:val="0010260B"/>
    <w:rsid w:val="00102B00"/>
    <w:rsid w:val="00104831"/>
    <w:rsid w:val="0010561A"/>
    <w:rsid w:val="00106CA2"/>
    <w:rsid w:val="001104A2"/>
    <w:rsid w:val="00111C98"/>
    <w:rsid w:val="001125C2"/>
    <w:rsid w:val="00114715"/>
    <w:rsid w:val="00115696"/>
    <w:rsid w:val="00115AFB"/>
    <w:rsid w:val="00116E07"/>
    <w:rsid w:val="001219BB"/>
    <w:rsid w:val="0012452A"/>
    <w:rsid w:val="00130EF5"/>
    <w:rsid w:val="0013490A"/>
    <w:rsid w:val="00135D2C"/>
    <w:rsid w:val="001367B9"/>
    <w:rsid w:val="00136C1A"/>
    <w:rsid w:val="001378AD"/>
    <w:rsid w:val="001409EB"/>
    <w:rsid w:val="001410CC"/>
    <w:rsid w:val="00141C30"/>
    <w:rsid w:val="00143495"/>
    <w:rsid w:val="00143F82"/>
    <w:rsid w:val="0015005B"/>
    <w:rsid w:val="001510EA"/>
    <w:rsid w:val="00151515"/>
    <w:rsid w:val="00152BDF"/>
    <w:rsid w:val="00152F2C"/>
    <w:rsid w:val="0015305F"/>
    <w:rsid w:val="00154284"/>
    <w:rsid w:val="001545C1"/>
    <w:rsid w:val="00154C33"/>
    <w:rsid w:val="001573B3"/>
    <w:rsid w:val="00160FC1"/>
    <w:rsid w:val="001661D7"/>
    <w:rsid w:val="00171C1F"/>
    <w:rsid w:val="0017335C"/>
    <w:rsid w:val="001746DD"/>
    <w:rsid w:val="001831AA"/>
    <w:rsid w:val="0018615D"/>
    <w:rsid w:val="00186C65"/>
    <w:rsid w:val="00186D62"/>
    <w:rsid w:val="001951C2"/>
    <w:rsid w:val="00196981"/>
    <w:rsid w:val="001973AF"/>
    <w:rsid w:val="001A0D12"/>
    <w:rsid w:val="001A1C05"/>
    <w:rsid w:val="001A349E"/>
    <w:rsid w:val="001A3DA4"/>
    <w:rsid w:val="001A4454"/>
    <w:rsid w:val="001A4CDE"/>
    <w:rsid w:val="001A4EE8"/>
    <w:rsid w:val="001B3392"/>
    <w:rsid w:val="001B4CA9"/>
    <w:rsid w:val="001C145B"/>
    <w:rsid w:val="001C19E5"/>
    <w:rsid w:val="001C4D64"/>
    <w:rsid w:val="001C4ECE"/>
    <w:rsid w:val="001C6D6C"/>
    <w:rsid w:val="001D059C"/>
    <w:rsid w:val="001D0FC5"/>
    <w:rsid w:val="001E10D1"/>
    <w:rsid w:val="001E33FF"/>
    <w:rsid w:val="001E5D2B"/>
    <w:rsid w:val="001E6148"/>
    <w:rsid w:val="001E6217"/>
    <w:rsid w:val="001E6FD4"/>
    <w:rsid w:val="001E719A"/>
    <w:rsid w:val="001F2AA3"/>
    <w:rsid w:val="001F71B7"/>
    <w:rsid w:val="00201089"/>
    <w:rsid w:val="00201935"/>
    <w:rsid w:val="00202560"/>
    <w:rsid w:val="00202B73"/>
    <w:rsid w:val="00202E68"/>
    <w:rsid w:val="00202ECF"/>
    <w:rsid w:val="00203CDD"/>
    <w:rsid w:val="00204D17"/>
    <w:rsid w:val="00204DCF"/>
    <w:rsid w:val="0020532C"/>
    <w:rsid w:val="00205FE8"/>
    <w:rsid w:val="00206EFC"/>
    <w:rsid w:val="00207073"/>
    <w:rsid w:val="00207E0C"/>
    <w:rsid w:val="00213384"/>
    <w:rsid w:val="00216455"/>
    <w:rsid w:val="0021711C"/>
    <w:rsid w:val="002205F5"/>
    <w:rsid w:val="002231EE"/>
    <w:rsid w:val="002307EA"/>
    <w:rsid w:val="00235B62"/>
    <w:rsid w:val="002408DD"/>
    <w:rsid w:val="0024176D"/>
    <w:rsid w:val="00245899"/>
    <w:rsid w:val="00245DBB"/>
    <w:rsid w:val="00246AE4"/>
    <w:rsid w:val="00247D2C"/>
    <w:rsid w:val="002501B5"/>
    <w:rsid w:val="00255138"/>
    <w:rsid w:val="00255E98"/>
    <w:rsid w:val="002571B3"/>
    <w:rsid w:val="002572A4"/>
    <w:rsid w:val="002602D7"/>
    <w:rsid w:val="00260619"/>
    <w:rsid w:val="0026166D"/>
    <w:rsid w:val="00265B9A"/>
    <w:rsid w:val="00270FE8"/>
    <w:rsid w:val="00272EBB"/>
    <w:rsid w:val="002760D1"/>
    <w:rsid w:val="00280ECE"/>
    <w:rsid w:val="0028660B"/>
    <w:rsid w:val="002929FD"/>
    <w:rsid w:val="00293AD7"/>
    <w:rsid w:val="0029417D"/>
    <w:rsid w:val="00295A27"/>
    <w:rsid w:val="00297166"/>
    <w:rsid w:val="002A2990"/>
    <w:rsid w:val="002B02D8"/>
    <w:rsid w:val="002B1DF0"/>
    <w:rsid w:val="002B4D7B"/>
    <w:rsid w:val="002B5482"/>
    <w:rsid w:val="002B6997"/>
    <w:rsid w:val="002B6D33"/>
    <w:rsid w:val="002B7A88"/>
    <w:rsid w:val="002C1BAD"/>
    <w:rsid w:val="002C35B8"/>
    <w:rsid w:val="002C3624"/>
    <w:rsid w:val="002C77AE"/>
    <w:rsid w:val="002D0B7E"/>
    <w:rsid w:val="002D1159"/>
    <w:rsid w:val="002D1F11"/>
    <w:rsid w:val="002D2135"/>
    <w:rsid w:val="002D4AC6"/>
    <w:rsid w:val="002D517C"/>
    <w:rsid w:val="002D7892"/>
    <w:rsid w:val="002E15AE"/>
    <w:rsid w:val="002E2021"/>
    <w:rsid w:val="002E22EA"/>
    <w:rsid w:val="002E2F2E"/>
    <w:rsid w:val="002E6630"/>
    <w:rsid w:val="002E7C16"/>
    <w:rsid w:val="002F4248"/>
    <w:rsid w:val="002F45F1"/>
    <w:rsid w:val="002F461F"/>
    <w:rsid w:val="002F4A5B"/>
    <w:rsid w:val="002F561E"/>
    <w:rsid w:val="00303218"/>
    <w:rsid w:val="00303E99"/>
    <w:rsid w:val="003050BA"/>
    <w:rsid w:val="00307D7C"/>
    <w:rsid w:val="00310A97"/>
    <w:rsid w:val="00311143"/>
    <w:rsid w:val="00311715"/>
    <w:rsid w:val="0031328D"/>
    <w:rsid w:val="00317EC9"/>
    <w:rsid w:val="00321559"/>
    <w:rsid w:val="00322197"/>
    <w:rsid w:val="003226DC"/>
    <w:rsid w:val="003233EF"/>
    <w:rsid w:val="003275B9"/>
    <w:rsid w:val="00330D02"/>
    <w:rsid w:val="00332E8D"/>
    <w:rsid w:val="0033327C"/>
    <w:rsid w:val="00335E1D"/>
    <w:rsid w:val="00335F4F"/>
    <w:rsid w:val="00337FEC"/>
    <w:rsid w:val="003400F2"/>
    <w:rsid w:val="003416C7"/>
    <w:rsid w:val="003419B4"/>
    <w:rsid w:val="00341B20"/>
    <w:rsid w:val="0034265E"/>
    <w:rsid w:val="00342876"/>
    <w:rsid w:val="0034348C"/>
    <w:rsid w:val="00344202"/>
    <w:rsid w:val="00346FA3"/>
    <w:rsid w:val="00346FEA"/>
    <w:rsid w:val="00347004"/>
    <w:rsid w:val="003533B4"/>
    <w:rsid w:val="00354CAA"/>
    <w:rsid w:val="00354E3C"/>
    <w:rsid w:val="00355885"/>
    <w:rsid w:val="00356C1B"/>
    <w:rsid w:val="00357E72"/>
    <w:rsid w:val="00361F82"/>
    <w:rsid w:val="003640AB"/>
    <w:rsid w:val="00364659"/>
    <w:rsid w:val="003710DD"/>
    <w:rsid w:val="00371103"/>
    <w:rsid w:val="003727B1"/>
    <w:rsid w:val="00372B1B"/>
    <w:rsid w:val="00372F05"/>
    <w:rsid w:val="00373497"/>
    <w:rsid w:val="00373E7E"/>
    <w:rsid w:val="0037444A"/>
    <w:rsid w:val="003762D7"/>
    <w:rsid w:val="00376688"/>
    <w:rsid w:val="00377054"/>
    <w:rsid w:val="003803DA"/>
    <w:rsid w:val="0038081E"/>
    <w:rsid w:val="00382B63"/>
    <w:rsid w:val="00383979"/>
    <w:rsid w:val="00383D17"/>
    <w:rsid w:val="00383F2B"/>
    <w:rsid w:val="0038459F"/>
    <w:rsid w:val="00385DB4"/>
    <w:rsid w:val="00386EC4"/>
    <w:rsid w:val="00387ABD"/>
    <w:rsid w:val="003909B3"/>
    <w:rsid w:val="0039167C"/>
    <w:rsid w:val="00394D48"/>
    <w:rsid w:val="00396422"/>
    <w:rsid w:val="003A1B14"/>
    <w:rsid w:val="003A24E1"/>
    <w:rsid w:val="003A4336"/>
    <w:rsid w:val="003B022B"/>
    <w:rsid w:val="003B177D"/>
    <w:rsid w:val="003B1EC2"/>
    <w:rsid w:val="003B22BC"/>
    <w:rsid w:val="003B4A19"/>
    <w:rsid w:val="003B5C16"/>
    <w:rsid w:val="003B68B6"/>
    <w:rsid w:val="003C1775"/>
    <w:rsid w:val="003C3D65"/>
    <w:rsid w:val="003C4084"/>
    <w:rsid w:val="003C6816"/>
    <w:rsid w:val="003C7DB3"/>
    <w:rsid w:val="003D02A8"/>
    <w:rsid w:val="003D2901"/>
    <w:rsid w:val="003D2A94"/>
    <w:rsid w:val="003D2CC0"/>
    <w:rsid w:val="003D4EBA"/>
    <w:rsid w:val="003E0DA2"/>
    <w:rsid w:val="003E0DAE"/>
    <w:rsid w:val="003E1950"/>
    <w:rsid w:val="003E1B2F"/>
    <w:rsid w:val="003E630D"/>
    <w:rsid w:val="003E64B1"/>
    <w:rsid w:val="003E663D"/>
    <w:rsid w:val="003E6FC3"/>
    <w:rsid w:val="003E791C"/>
    <w:rsid w:val="003F0CE2"/>
    <w:rsid w:val="003F1C80"/>
    <w:rsid w:val="003F3AB0"/>
    <w:rsid w:val="003F7227"/>
    <w:rsid w:val="004006AC"/>
    <w:rsid w:val="004116CF"/>
    <w:rsid w:val="004118F7"/>
    <w:rsid w:val="00412E58"/>
    <w:rsid w:val="00412FFD"/>
    <w:rsid w:val="0041436F"/>
    <w:rsid w:val="00414404"/>
    <w:rsid w:val="00414D69"/>
    <w:rsid w:val="00421398"/>
    <w:rsid w:val="0042208B"/>
    <w:rsid w:val="00425A1A"/>
    <w:rsid w:val="004305D5"/>
    <w:rsid w:val="00435D18"/>
    <w:rsid w:val="004368A9"/>
    <w:rsid w:val="004400AE"/>
    <w:rsid w:val="004436DA"/>
    <w:rsid w:val="004437AB"/>
    <w:rsid w:val="00443963"/>
    <w:rsid w:val="00446777"/>
    <w:rsid w:val="00446AE4"/>
    <w:rsid w:val="00450722"/>
    <w:rsid w:val="00451832"/>
    <w:rsid w:val="004518A4"/>
    <w:rsid w:val="00455AEC"/>
    <w:rsid w:val="00456620"/>
    <w:rsid w:val="004611F4"/>
    <w:rsid w:val="00462F24"/>
    <w:rsid w:val="00467176"/>
    <w:rsid w:val="004675F0"/>
    <w:rsid w:val="00471B3C"/>
    <w:rsid w:val="004740C1"/>
    <w:rsid w:val="00474452"/>
    <w:rsid w:val="00474894"/>
    <w:rsid w:val="004772CC"/>
    <w:rsid w:val="0047768D"/>
    <w:rsid w:val="004779C8"/>
    <w:rsid w:val="00480717"/>
    <w:rsid w:val="0048628A"/>
    <w:rsid w:val="00490915"/>
    <w:rsid w:val="00493593"/>
    <w:rsid w:val="0049594A"/>
    <w:rsid w:val="00495B85"/>
    <w:rsid w:val="0049628D"/>
    <w:rsid w:val="00496750"/>
    <w:rsid w:val="00497E09"/>
    <w:rsid w:val="004A1008"/>
    <w:rsid w:val="004A25B3"/>
    <w:rsid w:val="004A3F56"/>
    <w:rsid w:val="004B2E13"/>
    <w:rsid w:val="004C00C5"/>
    <w:rsid w:val="004C3BD4"/>
    <w:rsid w:val="004C3CA6"/>
    <w:rsid w:val="004C3EBB"/>
    <w:rsid w:val="004C4BD8"/>
    <w:rsid w:val="004C5E87"/>
    <w:rsid w:val="004C7264"/>
    <w:rsid w:val="004D1BED"/>
    <w:rsid w:val="004D2669"/>
    <w:rsid w:val="004D5946"/>
    <w:rsid w:val="004D7855"/>
    <w:rsid w:val="004E1EFE"/>
    <w:rsid w:val="004E34C3"/>
    <w:rsid w:val="004E3877"/>
    <w:rsid w:val="004E50B5"/>
    <w:rsid w:val="004E6AA6"/>
    <w:rsid w:val="004F2123"/>
    <w:rsid w:val="004F24B3"/>
    <w:rsid w:val="004F2906"/>
    <w:rsid w:val="004F6F43"/>
    <w:rsid w:val="00500D46"/>
    <w:rsid w:val="0050107F"/>
    <w:rsid w:val="00503BA6"/>
    <w:rsid w:val="0050585E"/>
    <w:rsid w:val="00506409"/>
    <w:rsid w:val="00511B1C"/>
    <w:rsid w:val="00514A53"/>
    <w:rsid w:val="0051535B"/>
    <w:rsid w:val="00517F12"/>
    <w:rsid w:val="005206DF"/>
    <w:rsid w:val="0052479E"/>
    <w:rsid w:val="005248A3"/>
    <w:rsid w:val="00524F61"/>
    <w:rsid w:val="005259AE"/>
    <w:rsid w:val="00526D4A"/>
    <w:rsid w:val="005315C5"/>
    <w:rsid w:val="00531784"/>
    <w:rsid w:val="00534E4F"/>
    <w:rsid w:val="00535DA3"/>
    <w:rsid w:val="00543218"/>
    <w:rsid w:val="00543285"/>
    <w:rsid w:val="00544458"/>
    <w:rsid w:val="00544A37"/>
    <w:rsid w:val="005470B1"/>
    <w:rsid w:val="00547BF9"/>
    <w:rsid w:val="00550189"/>
    <w:rsid w:val="00550920"/>
    <w:rsid w:val="0055187B"/>
    <w:rsid w:val="005550AD"/>
    <w:rsid w:val="00560807"/>
    <w:rsid w:val="00560EF6"/>
    <w:rsid w:val="005610FE"/>
    <w:rsid w:val="00562468"/>
    <w:rsid w:val="00562DF6"/>
    <w:rsid w:val="0056367A"/>
    <w:rsid w:val="00564C97"/>
    <w:rsid w:val="00564F11"/>
    <w:rsid w:val="00570E06"/>
    <w:rsid w:val="005719DD"/>
    <w:rsid w:val="00573AED"/>
    <w:rsid w:val="00574386"/>
    <w:rsid w:val="00575274"/>
    <w:rsid w:val="00581EDC"/>
    <w:rsid w:val="00585729"/>
    <w:rsid w:val="005901B4"/>
    <w:rsid w:val="00590541"/>
    <w:rsid w:val="0059207B"/>
    <w:rsid w:val="0059576A"/>
    <w:rsid w:val="005969E3"/>
    <w:rsid w:val="005A1CE5"/>
    <w:rsid w:val="005A2EE6"/>
    <w:rsid w:val="005A3EFB"/>
    <w:rsid w:val="005A4624"/>
    <w:rsid w:val="005A69B2"/>
    <w:rsid w:val="005A7BBB"/>
    <w:rsid w:val="005B46B1"/>
    <w:rsid w:val="005B4B5C"/>
    <w:rsid w:val="005B504C"/>
    <w:rsid w:val="005C5290"/>
    <w:rsid w:val="005C5552"/>
    <w:rsid w:val="005C6A0E"/>
    <w:rsid w:val="005C737A"/>
    <w:rsid w:val="005D119A"/>
    <w:rsid w:val="005D22F9"/>
    <w:rsid w:val="005D2358"/>
    <w:rsid w:val="005D320C"/>
    <w:rsid w:val="005D4C7D"/>
    <w:rsid w:val="005D6832"/>
    <w:rsid w:val="005D781B"/>
    <w:rsid w:val="005E017B"/>
    <w:rsid w:val="005E0DE1"/>
    <w:rsid w:val="005E209E"/>
    <w:rsid w:val="005E3FC8"/>
    <w:rsid w:val="005E4654"/>
    <w:rsid w:val="005E6508"/>
    <w:rsid w:val="005F0601"/>
    <w:rsid w:val="005F6CB2"/>
    <w:rsid w:val="00602119"/>
    <w:rsid w:val="006024A0"/>
    <w:rsid w:val="00604731"/>
    <w:rsid w:val="006048DF"/>
    <w:rsid w:val="00607C31"/>
    <w:rsid w:val="00610E20"/>
    <w:rsid w:val="006111DD"/>
    <w:rsid w:val="00614894"/>
    <w:rsid w:val="00616D6A"/>
    <w:rsid w:val="006204E1"/>
    <w:rsid w:val="00621926"/>
    <w:rsid w:val="006268B7"/>
    <w:rsid w:val="00627C8A"/>
    <w:rsid w:val="006314A6"/>
    <w:rsid w:val="00632316"/>
    <w:rsid w:val="006361A6"/>
    <w:rsid w:val="006367C4"/>
    <w:rsid w:val="00644EE7"/>
    <w:rsid w:val="00645DB4"/>
    <w:rsid w:val="006460CF"/>
    <w:rsid w:val="00646C87"/>
    <w:rsid w:val="00650158"/>
    <w:rsid w:val="00652A91"/>
    <w:rsid w:val="006554CF"/>
    <w:rsid w:val="0066557F"/>
    <w:rsid w:val="00667E95"/>
    <w:rsid w:val="0067786C"/>
    <w:rsid w:val="00682B3B"/>
    <w:rsid w:val="00687BAB"/>
    <w:rsid w:val="00693D10"/>
    <w:rsid w:val="00695492"/>
    <w:rsid w:val="0069549F"/>
    <w:rsid w:val="006A34F8"/>
    <w:rsid w:val="006A3CB1"/>
    <w:rsid w:val="006A3FD3"/>
    <w:rsid w:val="006A7638"/>
    <w:rsid w:val="006A7961"/>
    <w:rsid w:val="006B0203"/>
    <w:rsid w:val="006B10D9"/>
    <w:rsid w:val="006B3D98"/>
    <w:rsid w:val="006C0375"/>
    <w:rsid w:val="006C1233"/>
    <w:rsid w:val="006C176A"/>
    <w:rsid w:val="006C1B8C"/>
    <w:rsid w:val="006C2813"/>
    <w:rsid w:val="006C32BC"/>
    <w:rsid w:val="006C3E1C"/>
    <w:rsid w:val="006C4212"/>
    <w:rsid w:val="006C4F81"/>
    <w:rsid w:val="006C53FC"/>
    <w:rsid w:val="006D07B0"/>
    <w:rsid w:val="006D13CB"/>
    <w:rsid w:val="006D167B"/>
    <w:rsid w:val="006D5200"/>
    <w:rsid w:val="006D5758"/>
    <w:rsid w:val="006D6E58"/>
    <w:rsid w:val="006E0A44"/>
    <w:rsid w:val="006E0D34"/>
    <w:rsid w:val="006E19D6"/>
    <w:rsid w:val="006E2C7B"/>
    <w:rsid w:val="006E3F55"/>
    <w:rsid w:val="006E7985"/>
    <w:rsid w:val="006F025F"/>
    <w:rsid w:val="006F0DF4"/>
    <w:rsid w:val="006F387E"/>
    <w:rsid w:val="006F3FD7"/>
    <w:rsid w:val="006F44EA"/>
    <w:rsid w:val="006F5DCA"/>
    <w:rsid w:val="006F7027"/>
    <w:rsid w:val="00703A43"/>
    <w:rsid w:val="00704083"/>
    <w:rsid w:val="0070461A"/>
    <w:rsid w:val="00704765"/>
    <w:rsid w:val="00704BFA"/>
    <w:rsid w:val="007055E6"/>
    <w:rsid w:val="007064EB"/>
    <w:rsid w:val="007117A1"/>
    <w:rsid w:val="007124AB"/>
    <w:rsid w:val="00712871"/>
    <w:rsid w:val="007143D3"/>
    <w:rsid w:val="00716541"/>
    <w:rsid w:val="00717AF6"/>
    <w:rsid w:val="00720CF2"/>
    <w:rsid w:val="0072105D"/>
    <w:rsid w:val="00723B9A"/>
    <w:rsid w:val="007252A7"/>
    <w:rsid w:val="0072560F"/>
    <w:rsid w:val="0072615D"/>
    <w:rsid w:val="00730A69"/>
    <w:rsid w:val="00732226"/>
    <w:rsid w:val="0073332B"/>
    <w:rsid w:val="0073720C"/>
    <w:rsid w:val="007407A3"/>
    <w:rsid w:val="00740C7C"/>
    <w:rsid w:val="00740E40"/>
    <w:rsid w:val="007437CB"/>
    <w:rsid w:val="007454E1"/>
    <w:rsid w:val="00746091"/>
    <w:rsid w:val="00747194"/>
    <w:rsid w:val="00747435"/>
    <w:rsid w:val="00750728"/>
    <w:rsid w:val="00756542"/>
    <w:rsid w:val="00756EBD"/>
    <w:rsid w:val="007603FE"/>
    <w:rsid w:val="00760C29"/>
    <w:rsid w:val="0076138C"/>
    <w:rsid w:val="00761A9D"/>
    <w:rsid w:val="007620C0"/>
    <w:rsid w:val="00767FFB"/>
    <w:rsid w:val="0077209D"/>
    <w:rsid w:val="007737CD"/>
    <w:rsid w:val="00774CB3"/>
    <w:rsid w:val="00776AB5"/>
    <w:rsid w:val="007775BE"/>
    <w:rsid w:val="0078145F"/>
    <w:rsid w:val="007817BD"/>
    <w:rsid w:val="00782029"/>
    <w:rsid w:val="00783374"/>
    <w:rsid w:val="00783480"/>
    <w:rsid w:val="00785568"/>
    <w:rsid w:val="00787ADF"/>
    <w:rsid w:val="0079223F"/>
    <w:rsid w:val="00792704"/>
    <w:rsid w:val="00793057"/>
    <w:rsid w:val="007933AB"/>
    <w:rsid w:val="00794E5A"/>
    <w:rsid w:val="007A025F"/>
    <w:rsid w:val="007A47A7"/>
    <w:rsid w:val="007A4A89"/>
    <w:rsid w:val="007A520C"/>
    <w:rsid w:val="007A5B32"/>
    <w:rsid w:val="007B2818"/>
    <w:rsid w:val="007B29FB"/>
    <w:rsid w:val="007B4844"/>
    <w:rsid w:val="007C1595"/>
    <w:rsid w:val="007C22CB"/>
    <w:rsid w:val="007C5BEF"/>
    <w:rsid w:val="007C5E5E"/>
    <w:rsid w:val="007C7EC6"/>
    <w:rsid w:val="007D3094"/>
    <w:rsid w:val="007D69DF"/>
    <w:rsid w:val="007D7B50"/>
    <w:rsid w:val="007E0BE7"/>
    <w:rsid w:val="007E305F"/>
    <w:rsid w:val="007E4AE7"/>
    <w:rsid w:val="007E551F"/>
    <w:rsid w:val="007E5589"/>
    <w:rsid w:val="007F0908"/>
    <w:rsid w:val="007F10CC"/>
    <w:rsid w:val="007F3391"/>
    <w:rsid w:val="007F58C2"/>
    <w:rsid w:val="007F6252"/>
    <w:rsid w:val="0080092A"/>
    <w:rsid w:val="00802A08"/>
    <w:rsid w:val="00803A6D"/>
    <w:rsid w:val="00805690"/>
    <w:rsid w:val="00805E90"/>
    <w:rsid w:val="0080711B"/>
    <w:rsid w:val="0082011D"/>
    <w:rsid w:val="008225A6"/>
    <w:rsid w:val="00823A3C"/>
    <w:rsid w:val="008251A9"/>
    <w:rsid w:val="00831531"/>
    <w:rsid w:val="00831F2F"/>
    <w:rsid w:val="00833FA4"/>
    <w:rsid w:val="008350A8"/>
    <w:rsid w:val="00835D8D"/>
    <w:rsid w:val="00837EFE"/>
    <w:rsid w:val="00844329"/>
    <w:rsid w:val="008449AA"/>
    <w:rsid w:val="00844BAA"/>
    <w:rsid w:val="00844BE9"/>
    <w:rsid w:val="00844DE5"/>
    <w:rsid w:val="00845C04"/>
    <w:rsid w:val="00855F04"/>
    <w:rsid w:val="00861D02"/>
    <w:rsid w:val="00863322"/>
    <w:rsid w:val="00863E92"/>
    <w:rsid w:val="008675C9"/>
    <w:rsid w:val="008679F2"/>
    <w:rsid w:val="00870037"/>
    <w:rsid w:val="0087421F"/>
    <w:rsid w:val="00875922"/>
    <w:rsid w:val="00876B3E"/>
    <w:rsid w:val="00881AF5"/>
    <w:rsid w:val="00883B1C"/>
    <w:rsid w:val="0088446E"/>
    <w:rsid w:val="0088514B"/>
    <w:rsid w:val="00887462"/>
    <w:rsid w:val="00890637"/>
    <w:rsid w:val="008915C5"/>
    <w:rsid w:val="008916F4"/>
    <w:rsid w:val="008920F6"/>
    <w:rsid w:val="0089728B"/>
    <w:rsid w:val="00897C5D"/>
    <w:rsid w:val="00897E22"/>
    <w:rsid w:val="008A7538"/>
    <w:rsid w:val="008B5A64"/>
    <w:rsid w:val="008B66CB"/>
    <w:rsid w:val="008C284E"/>
    <w:rsid w:val="008C286B"/>
    <w:rsid w:val="008C565D"/>
    <w:rsid w:val="008C56A4"/>
    <w:rsid w:val="008C63A2"/>
    <w:rsid w:val="008D1874"/>
    <w:rsid w:val="008D2484"/>
    <w:rsid w:val="008D3DC6"/>
    <w:rsid w:val="008D4981"/>
    <w:rsid w:val="008D5E28"/>
    <w:rsid w:val="008D659A"/>
    <w:rsid w:val="008D7381"/>
    <w:rsid w:val="008E139C"/>
    <w:rsid w:val="008F0F53"/>
    <w:rsid w:val="008F3618"/>
    <w:rsid w:val="008F3D32"/>
    <w:rsid w:val="008F74DD"/>
    <w:rsid w:val="00906B95"/>
    <w:rsid w:val="00906F29"/>
    <w:rsid w:val="00907228"/>
    <w:rsid w:val="00907939"/>
    <w:rsid w:val="00910F67"/>
    <w:rsid w:val="00911925"/>
    <w:rsid w:val="009131ED"/>
    <w:rsid w:val="00914A59"/>
    <w:rsid w:val="00915CF3"/>
    <w:rsid w:val="0091740E"/>
    <w:rsid w:val="00917860"/>
    <w:rsid w:val="00920E1E"/>
    <w:rsid w:val="00922007"/>
    <w:rsid w:val="00924DC0"/>
    <w:rsid w:val="00925046"/>
    <w:rsid w:val="009277C8"/>
    <w:rsid w:val="00930C70"/>
    <w:rsid w:val="00930C84"/>
    <w:rsid w:val="009357FF"/>
    <w:rsid w:val="00936BCD"/>
    <w:rsid w:val="00937F8F"/>
    <w:rsid w:val="00940A1C"/>
    <w:rsid w:val="00940B6C"/>
    <w:rsid w:val="00941641"/>
    <w:rsid w:val="00945629"/>
    <w:rsid w:val="009466D8"/>
    <w:rsid w:val="009529A9"/>
    <w:rsid w:val="0095380E"/>
    <w:rsid w:val="00955174"/>
    <w:rsid w:val="00955289"/>
    <w:rsid w:val="00955BBA"/>
    <w:rsid w:val="00960B0C"/>
    <w:rsid w:val="00961BF8"/>
    <w:rsid w:val="009650FC"/>
    <w:rsid w:val="00965225"/>
    <w:rsid w:val="00971881"/>
    <w:rsid w:val="00976389"/>
    <w:rsid w:val="00977175"/>
    <w:rsid w:val="0099251F"/>
    <w:rsid w:val="00992587"/>
    <w:rsid w:val="00994A8F"/>
    <w:rsid w:val="00996553"/>
    <w:rsid w:val="009A008B"/>
    <w:rsid w:val="009A23AE"/>
    <w:rsid w:val="009A5B95"/>
    <w:rsid w:val="009A7357"/>
    <w:rsid w:val="009B3A06"/>
    <w:rsid w:val="009B3A66"/>
    <w:rsid w:val="009B572A"/>
    <w:rsid w:val="009B6E01"/>
    <w:rsid w:val="009B729D"/>
    <w:rsid w:val="009C3944"/>
    <w:rsid w:val="009C5205"/>
    <w:rsid w:val="009D19A3"/>
    <w:rsid w:val="009D1C0A"/>
    <w:rsid w:val="009D1FC3"/>
    <w:rsid w:val="009D7B6F"/>
    <w:rsid w:val="009D7FF0"/>
    <w:rsid w:val="009E0B17"/>
    <w:rsid w:val="009E0D49"/>
    <w:rsid w:val="009E36F4"/>
    <w:rsid w:val="009E4085"/>
    <w:rsid w:val="009E4978"/>
    <w:rsid w:val="009E6FFA"/>
    <w:rsid w:val="009F015B"/>
    <w:rsid w:val="009F26A4"/>
    <w:rsid w:val="009F7276"/>
    <w:rsid w:val="009F7F31"/>
    <w:rsid w:val="00A00CBA"/>
    <w:rsid w:val="00A02373"/>
    <w:rsid w:val="00A03674"/>
    <w:rsid w:val="00A03728"/>
    <w:rsid w:val="00A03915"/>
    <w:rsid w:val="00A04636"/>
    <w:rsid w:val="00A07954"/>
    <w:rsid w:val="00A117D7"/>
    <w:rsid w:val="00A14750"/>
    <w:rsid w:val="00A155BB"/>
    <w:rsid w:val="00A15A4E"/>
    <w:rsid w:val="00A26965"/>
    <w:rsid w:val="00A36CEA"/>
    <w:rsid w:val="00A40CF4"/>
    <w:rsid w:val="00A41DBF"/>
    <w:rsid w:val="00A42F85"/>
    <w:rsid w:val="00A552C6"/>
    <w:rsid w:val="00A55DAE"/>
    <w:rsid w:val="00A577B3"/>
    <w:rsid w:val="00A6274D"/>
    <w:rsid w:val="00A62E55"/>
    <w:rsid w:val="00A669C8"/>
    <w:rsid w:val="00A7052A"/>
    <w:rsid w:val="00A7092D"/>
    <w:rsid w:val="00A72416"/>
    <w:rsid w:val="00A76C13"/>
    <w:rsid w:val="00A81948"/>
    <w:rsid w:val="00A8199F"/>
    <w:rsid w:val="00A82937"/>
    <w:rsid w:val="00A82C10"/>
    <w:rsid w:val="00A84994"/>
    <w:rsid w:val="00A8541C"/>
    <w:rsid w:val="00A8579B"/>
    <w:rsid w:val="00A860C5"/>
    <w:rsid w:val="00A86B75"/>
    <w:rsid w:val="00A90D2C"/>
    <w:rsid w:val="00A92739"/>
    <w:rsid w:val="00A9423F"/>
    <w:rsid w:val="00A94DC3"/>
    <w:rsid w:val="00A964D9"/>
    <w:rsid w:val="00A96E9E"/>
    <w:rsid w:val="00AA266F"/>
    <w:rsid w:val="00AA2AED"/>
    <w:rsid w:val="00AA2CC0"/>
    <w:rsid w:val="00AA3989"/>
    <w:rsid w:val="00AA3D27"/>
    <w:rsid w:val="00AA5087"/>
    <w:rsid w:val="00AA55F7"/>
    <w:rsid w:val="00AB1EDB"/>
    <w:rsid w:val="00AB3102"/>
    <w:rsid w:val="00AB3A07"/>
    <w:rsid w:val="00AB632D"/>
    <w:rsid w:val="00AB7760"/>
    <w:rsid w:val="00AC076B"/>
    <w:rsid w:val="00AC1FE1"/>
    <w:rsid w:val="00AD3EDD"/>
    <w:rsid w:val="00AD4B0D"/>
    <w:rsid w:val="00AD5A84"/>
    <w:rsid w:val="00AE217E"/>
    <w:rsid w:val="00AE2B2C"/>
    <w:rsid w:val="00AE3F7A"/>
    <w:rsid w:val="00AE46C8"/>
    <w:rsid w:val="00AE54BD"/>
    <w:rsid w:val="00AF0C86"/>
    <w:rsid w:val="00AF0F7E"/>
    <w:rsid w:val="00AF287E"/>
    <w:rsid w:val="00AF6261"/>
    <w:rsid w:val="00AF6D42"/>
    <w:rsid w:val="00AF7024"/>
    <w:rsid w:val="00B00890"/>
    <w:rsid w:val="00B01528"/>
    <w:rsid w:val="00B01A3C"/>
    <w:rsid w:val="00B07B88"/>
    <w:rsid w:val="00B11E20"/>
    <w:rsid w:val="00B127EF"/>
    <w:rsid w:val="00B14C23"/>
    <w:rsid w:val="00B21CF2"/>
    <w:rsid w:val="00B27A9F"/>
    <w:rsid w:val="00B27E2E"/>
    <w:rsid w:val="00B30710"/>
    <w:rsid w:val="00B34CAC"/>
    <w:rsid w:val="00B351B9"/>
    <w:rsid w:val="00B40791"/>
    <w:rsid w:val="00B45A2D"/>
    <w:rsid w:val="00B47711"/>
    <w:rsid w:val="00B47D68"/>
    <w:rsid w:val="00B51F6F"/>
    <w:rsid w:val="00B603EF"/>
    <w:rsid w:val="00B61A59"/>
    <w:rsid w:val="00B621BA"/>
    <w:rsid w:val="00B623EE"/>
    <w:rsid w:val="00B6445B"/>
    <w:rsid w:val="00B64DF3"/>
    <w:rsid w:val="00B66D95"/>
    <w:rsid w:val="00B66FA7"/>
    <w:rsid w:val="00B70201"/>
    <w:rsid w:val="00B70CB5"/>
    <w:rsid w:val="00B715D2"/>
    <w:rsid w:val="00B80110"/>
    <w:rsid w:val="00B80F6A"/>
    <w:rsid w:val="00B83787"/>
    <w:rsid w:val="00B83949"/>
    <w:rsid w:val="00B8431F"/>
    <w:rsid w:val="00B86A62"/>
    <w:rsid w:val="00B878AF"/>
    <w:rsid w:val="00B944AA"/>
    <w:rsid w:val="00B9770D"/>
    <w:rsid w:val="00BA073C"/>
    <w:rsid w:val="00BA235E"/>
    <w:rsid w:val="00BA6B7F"/>
    <w:rsid w:val="00BA7721"/>
    <w:rsid w:val="00BB1A93"/>
    <w:rsid w:val="00BB21F7"/>
    <w:rsid w:val="00BB3982"/>
    <w:rsid w:val="00BB6343"/>
    <w:rsid w:val="00BB6909"/>
    <w:rsid w:val="00BC20B5"/>
    <w:rsid w:val="00BC27DE"/>
    <w:rsid w:val="00BC33D1"/>
    <w:rsid w:val="00BC53BF"/>
    <w:rsid w:val="00BC6442"/>
    <w:rsid w:val="00BC7252"/>
    <w:rsid w:val="00BC746F"/>
    <w:rsid w:val="00BD0CCB"/>
    <w:rsid w:val="00BD448D"/>
    <w:rsid w:val="00BD7236"/>
    <w:rsid w:val="00BD72E0"/>
    <w:rsid w:val="00BE0BA7"/>
    <w:rsid w:val="00BE2C06"/>
    <w:rsid w:val="00BE31B8"/>
    <w:rsid w:val="00BE37B5"/>
    <w:rsid w:val="00BE68CB"/>
    <w:rsid w:val="00BE6C43"/>
    <w:rsid w:val="00BE6C5F"/>
    <w:rsid w:val="00BE72C1"/>
    <w:rsid w:val="00BF0487"/>
    <w:rsid w:val="00BF068B"/>
    <w:rsid w:val="00BF0758"/>
    <w:rsid w:val="00BF1910"/>
    <w:rsid w:val="00BF3187"/>
    <w:rsid w:val="00BF34AB"/>
    <w:rsid w:val="00BF3534"/>
    <w:rsid w:val="00BF3A38"/>
    <w:rsid w:val="00BF53BC"/>
    <w:rsid w:val="00BF66A4"/>
    <w:rsid w:val="00C0172B"/>
    <w:rsid w:val="00C058EF"/>
    <w:rsid w:val="00C05FDC"/>
    <w:rsid w:val="00C0651B"/>
    <w:rsid w:val="00C06DD8"/>
    <w:rsid w:val="00C07568"/>
    <w:rsid w:val="00C07F2F"/>
    <w:rsid w:val="00C12764"/>
    <w:rsid w:val="00C22C85"/>
    <w:rsid w:val="00C242C9"/>
    <w:rsid w:val="00C248B1"/>
    <w:rsid w:val="00C31450"/>
    <w:rsid w:val="00C321CB"/>
    <w:rsid w:val="00C35FA7"/>
    <w:rsid w:val="00C3725E"/>
    <w:rsid w:val="00C412E3"/>
    <w:rsid w:val="00C43319"/>
    <w:rsid w:val="00C439FB"/>
    <w:rsid w:val="00C51EFC"/>
    <w:rsid w:val="00C54226"/>
    <w:rsid w:val="00C548B8"/>
    <w:rsid w:val="00C54E31"/>
    <w:rsid w:val="00C6020B"/>
    <w:rsid w:val="00C66917"/>
    <w:rsid w:val="00C70491"/>
    <w:rsid w:val="00C70F3B"/>
    <w:rsid w:val="00C75E4A"/>
    <w:rsid w:val="00C8086A"/>
    <w:rsid w:val="00C80A70"/>
    <w:rsid w:val="00C813A3"/>
    <w:rsid w:val="00C85799"/>
    <w:rsid w:val="00C93FA1"/>
    <w:rsid w:val="00C95B64"/>
    <w:rsid w:val="00CA1D2F"/>
    <w:rsid w:val="00CA2D2C"/>
    <w:rsid w:val="00CA2F03"/>
    <w:rsid w:val="00CA4329"/>
    <w:rsid w:val="00CA7F68"/>
    <w:rsid w:val="00CB16EC"/>
    <w:rsid w:val="00CB3FB5"/>
    <w:rsid w:val="00CB7955"/>
    <w:rsid w:val="00CC7041"/>
    <w:rsid w:val="00CC76CE"/>
    <w:rsid w:val="00CC7AED"/>
    <w:rsid w:val="00CD02FA"/>
    <w:rsid w:val="00CD0C7E"/>
    <w:rsid w:val="00CD143C"/>
    <w:rsid w:val="00CD24F6"/>
    <w:rsid w:val="00CD6449"/>
    <w:rsid w:val="00CE11CC"/>
    <w:rsid w:val="00CE251A"/>
    <w:rsid w:val="00CE362F"/>
    <w:rsid w:val="00CE5D77"/>
    <w:rsid w:val="00CE618B"/>
    <w:rsid w:val="00CF1431"/>
    <w:rsid w:val="00CF5C4F"/>
    <w:rsid w:val="00CF6B0C"/>
    <w:rsid w:val="00CF73B3"/>
    <w:rsid w:val="00CF7DFC"/>
    <w:rsid w:val="00D04CD4"/>
    <w:rsid w:val="00D07E4F"/>
    <w:rsid w:val="00D13EB0"/>
    <w:rsid w:val="00D15465"/>
    <w:rsid w:val="00D16199"/>
    <w:rsid w:val="00D16427"/>
    <w:rsid w:val="00D16818"/>
    <w:rsid w:val="00D16AC0"/>
    <w:rsid w:val="00D22C4D"/>
    <w:rsid w:val="00D24CE2"/>
    <w:rsid w:val="00D27FE8"/>
    <w:rsid w:val="00D31FFE"/>
    <w:rsid w:val="00D3686D"/>
    <w:rsid w:val="00D403B2"/>
    <w:rsid w:val="00D446CA"/>
    <w:rsid w:val="00D5086B"/>
    <w:rsid w:val="00D50941"/>
    <w:rsid w:val="00D52D8C"/>
    <w:rsid w:val="00D57564"/>
    <w:rsid w:val="00D57CAF"/>
    <w:rsid w:val="00D6157F"/>
    <w:rsid w:val="00D629F1"/>
    <w:rsid w:val="00D64808"/>
    <w:rsid w:val="00D64CF3"/>
    <w:rsid w:val="00D654BB"/>
    <w:rsid w:val="00D70225"/>
    <w:rsid w:val="00D708F2"/>
    <w:rsid w:val="00D723FD"/>
    <w:rsid w:val="00D731B0"/>
    <w:rsid w:val="00D73B73"/>
    <w:rsid w:val="00D74831"/>
    <w:rsid w:val="00D767B5"/>
    <w:rsid w:val="00D76D4C"/>
    <w:rsid w:val="00D776AC"/>
    <w:rsid w:val="00D80D03"/>
    <w:rsid w:val="00D80F61"/>
    <w:rsid w:val="00D82D25"/>
    <w:rsid w:val="00D86EF0"/>
    <w:rsid w:val="00D877E4"/>
    <w:rsid w:val="00D910E3"/>
    <w:rsid w:val="00D9624E"/>
    <w:rsid w:val="00D97573"/>
    <w:rsid w:val="00DA0794"/>
    <w:rsid w:val="00DA25B6"/>
    <w:rsid w:val="00DA27C5"/>
    <w:rsid w:val="00DA42AC"/>
    <w:rsid w:val="00DB0439"/>
    <w:rsid w:val="00DB0FE6"/>
    <w:rsid w:val="00DB3EC4"/>
    <w:rsid w:val="00DB3F6E"/>
    <w:rsid w:val="00DB4516"/>
    <w:rsid w:val="00DB5F57"/>
    <w:rsid w:val="00DB6CF0"/>
    <w:rsid w:val="00DC10F2"/>
    <w:rsid w:val="00DC2690"/>
    <w:rsid w:val="00DC5275"/>
    <w:rsid w:val="00DC6474"/>
    <w:rsid w:val="00DC7CEE"/>
    <w:rsid w:val="00DD3F5A"/>
    <w:rsid w:val="00DE0F20"/>
    <w:rsid w:val="00DE0F3F"/>
    <w:rsid w:val="00DE62AF"/>
    <w:rsid w:val="00DF42A6"/>
    <w:rsid w:val="00DF5B13"/>
    <w:rsid w:val="00E01F3F"/>
    <w:rsid w:val="00E04EB9"/>
    <w:rsid w:val="00E05041"/>
    <w:rsid w:val="00E06C17"/>
    <w:rsid w:val="00E11896"/>
    <w:rsid w:val="00E11E02"/>
    <w:rsid w:val="00E13501"/>
    <w:rsid w:val="00E135A7"/>
    <w:rsid w:val="00E160A0"/>
    <w:rsid w:val="00E16921"/>
    <w:rsid w:val="00E212A7"/>
    <w:rsid w:val="00E21659"/>
    <w:rsid w:val="00E347E7"/>
    <w:rsid w:val="00E34D43"/>
    <w:rsid w:val="00E34E0D"/>
    <w:rsid w:val="00E362C9"/>
    <w:rsid w:val="00E36B70"/>
    <w:rsid w:val="00E408BF"/>
    <w:rsid w:val="00E40D62"/>
    <w:rsid w:val="00E4225A"/>
    <w:rsid w:val="00E423A8"/>
    <w:rsid w:val="00E437A6"/>
    <w:rsid w:val="00E469BC"/>
    <w:rsid w:val="00E520F5"/>
    <w:rsid w:val="00E54612"/>
    <w:rsid w:val="00E578AC"/>
    <w:rsid w:val="00E60057"/>
    <w:rsid w:val="00E6033E"/>
    <w:rsid w:val="00E61263"/>
    <w:rsid w:val="00E61F46"/>
    <w:rsid w:val="00E6522A"/>
    <w:rsid w:val="00E73C36"/>
    <w:rsid w:val="00E7498F"/>
    <w:rsid w:val="00E773A3"/>
    <w:rsid w:val="00E7797B"/>
    <w:rsid w:val="00E82099"/>
    <w:rsid w:val="00E84522"/>
    <w:rsid w:val="00E90E1D"/>
    <w:rsid w:val="00E920E9"/>
    <w:rsid w:val="00E92A25"/>
    <w:rsid w:val="00E97DB4"/>
    <w:rsid w:val="00EA07F2"/>
    <w:rsid w:val="00EA0CAD"/>
    <w:rsid w:val="00EA0E21"/>
    <w:rsid w:val="00EA7AA0"/>
    <w:rsid w:val="00EB457E"/>
    <w:rsid w:val="00EB608A"/>
    <w:rsid w:val="00EB6BA5"/>
    <w:rsid w:val="00EC019B"/>
    <w:rsid w:val="00EC2DEB"/>
    <w:rsid w:val="00EC53DA"/>
    <w:rsid w:val="00EC67D9"/>
    <w:rsid w:val="00EC7758"/>
    <w:rsid w:val="00EC7C69"/>
    <w:rsid w:val="00ED0F9E"/>
    <w:rsid w:val="00ED3124"/>
    <w:rsid w:val="00ED32F0"/>
    <w:rsid w:val="00ED4E8C"/>
    <w:rsid w:val="00EE127E"/>
    <w:rsid w:val="00EE3927"/>
    <w:rsid w:val="00EE5F4E"/>
    <w:rsid w:val="00EF2B82"/>
    <w:rsid w:val="00EF302E"/>
    <w:rsid w:val="00EF3BDE"/>
    <w:rsid w:val="00EF3EA2"/>
    <w:rsid w:val="00EF634D"/>
    <w:rsid w:val="00EF692C"/>
    <w:rsid w:val="00EF6B2C"/>
    <w:rsid w:val="00F010E2"/>
    <w:rsid w:val="00F01C1A"/>
    <w:rsid w:val="00F02E6E"/>
    <w:rsid w:val="00F03F21"/>
    <w:rsid w:val="00F0587A"/>
    <w:rsid w:val="00F06EEF"/>
    <w:rsid w:val="00F07FD1"/>
    <w:rsid w:val="00F07FD5"/>
    <w:rsid w:val="00F13014"/>
    <w:rsid w:val="00F14121"/>
    <w:rsid w:val="00F15409"/>
    <w:rsid w:val="00F21050"/>
    <w:rsid w:val="00F22C15"/>
    <w:rsid w:val="00F256AF"/>
    <w:rsid w:val="00F258EC"/>
    <w:rsid w:val="00F26EC3"/>
    <w:rsid w:val="00F309AF"/>
    <w:rsid w:val="00F33A00"/>
    <w:rsid w:val="00F342CB"/>
    <w:rsid w:val="00F34395"/>
    <w:rsid w:val="00F34E23"/>
    <w:rsid w:val="00F3696C"/>
    <w:rsid w:val="00F378E6"/>
    <w:rsid w:val="00F4019C"/>
    <w:rsid w:val="00F40C3E"/>
    <w:rsid w:val="00F4202F"/>
    <w:rsid w:val="00F43C57"/>
    <w:rsid w:val="00F43FFF"/>
    <w:rsid w:val="00F46AEE"/>
    <w:rsid w:val="00F47846"/>
    <w:rsid w:val="00F53866"/>
    <w:rsid w:val="00F54D4E"/>
    <w:rsid w:val="00F56F21"/>
    <w:rsid w:val="00F60541"/>
    <w:rsid w:val="00F62704"/>
    <w:rsid w:val="00F63765"/>
    <w:rsid w:val="00F6411D"/>
    <w:rsid w:val="00F66BAB"/>
    <w:rsid w:val="00F673BC"/>
    <w:rsid w:val="00F67FCC"/>
    <w:rsid w:val="00F71D00"/>
    <w:rsid w:val="00F8381C"/>
    <w:rsid w:val="00F83EE2"/>
    <w:rsid w:val="00F84E93"/>
    <w:rsid w:val="00F856C4"/>
    <w:rsid w:val="00F928AC"/>
    <w:rsid w:val="00F9290D"/>
    <w:rsid w:val="00F92FC8"/>
    <w:rsid w:val="00F954E3"/>
    <w:rsid w:val="00F95B9D"/>
    <w:rsid w:val="00FA01DB"/>
    <w:rsid w:val="00FA23A9"/>
    <w:rsid w:val="00FA3CFF"/>
    <w:rsid w:val="00FA3D90"/>
    <w:rsid w:val="00FA3DDB"/>
    <w:rsid w:val="00FA62B3"/>
    <w:rsid w:val="00FB1D47"/>
    <w:rsid w:val="00FB2085"/>
    <w:rsid w:val="00FB6BB2"/>
    <w:rsid w:val="00FB71E2"/>
    <w:rsid w:val="00FC27F8"/>
    <w:rsid w:val="00FC3F80"/>
    <w:rsid w:val="00FC542B"/>
    <w:rsid w:val="00FC5A4E"/>
    <w:rsid w:val="00FD110D"/>
    <w:rsid w:val="00FD1D64"/>
    <w:rsid w:val="00FD2B49"/>
    <w:rsid w:val="00FD6701"/>
    <w:rsid w:val="00FE1681"/>
    <w:rsid w:val="00FE62AF"/>
    <w:rsid w:val="00FF3787"/>
    <w:rsid w:val="00FF476D"/>
    <w:rsid w:val="00FF4CE4"/>
    <w:rsid w:val="00FF510F"/>
    <w:rsid w:val="041532AF"/>
    <w:rsid w:val="103537C6"/>
    <w:rsid w:val="107F6913"/>
    <w:rsid w:val="1D3407A3"/>
    <w:rsid w:val="221D1711"/>
    <w:rsid w:val="23D71AF9"/>
    <w:rsid w:val="24F47900"/>
    <w:rsid w:val="256C48DC"/>
    <w:rsid w:val="25C13A4C"/>
    <w:rsid w:val="25CD40A6"/>
    <w:rsid w:val="265F7320"/>
    <w:rsid w:val="26A427CC"/>
    <w:rsid w:val="27434DB4"/>
    <w:rsid w:val="28040C15"/>
    <w:rsid w:val="29F762BC"/>
    <w:rsid w:val="2B0C55CA"/>
    <w:rsid w:val="2CD87DED"/>
    <w:rsid w:val="30D84D01"/>
    <w:rsid w:val="34D72AFA"/>
    <w:rsid w:val="35D01B33"/>
    <w:rsid w:val="369530AE"/>
    <w:rsid w:val="3991180D"/>
    <w:rsid w:val="3C4B055C"/>
    <w:rsid w:val="3CD73D9A"/>
    <w:rsid w:val="44D777C8"/>
    <w:rsid w:val="46812423"/>
    <w:rsid w:val="47AE31B1"/>
    <w:rsid w:val="48D92773"/>
    <w:rsid w:val="4BD93EAB"/>
    <w:rsid w:val="4C3C7BD7"/>
    <w:rsid w:val="53A9718A"/>
    <w:rsid w:val="589D2B8C"/>
    <w:rsid w:val="5C8929E3"/>
    <w:rsid w:val="5F061996"/>
    <w:rsid w:val="6375705B"/>
    <w:rsid w:val="63BF45E5"/>
    <w:rsid w:val="63E72823"/>
    <w:rsid w:val="65BB0967"/>
    <w:rsid w:val="66C07F14"/>
    <w:rsid w:val="66D7010C"/>
    <w:rsid w:val="69D17AB0"/>
    <w:rsid w:val="6A660AEF"/>
    <w:rsid w:val="6CED7022"/>
    <w:rsid w:val="79221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3BA9D8"/>
  <w15:docId w15:val="{224BF0CD-1FDF-4241-B6F1-6C804A35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autoRedefine/>
    <w:qFormat/>
    <w:pPr>
      <w:keepNext/>
      <w:keepLines/>
      <w:spacing w:before="340" w:after="330" w:line="578" w:lineRule="auto"/>
      <w:outlineLvl w:val="0"/>
    </w:pPr>
    <w:rPr>
      <w:b/>
      <w:bCs/>
      <w:kern w:val="44"/>
      <w:sz w:val="44"/>
      <w:szCs w:val="44"/>
    </w:rPr>
  </w:style>
  <w:style w:type="paragraph" w:styleId="2">
    <w:name w:val="heading 2"/>
    <w:basedOn w:val="a0"/>
    <w:next w:val="a0"/>
    <w:link w:val="20"/>
    <w:autoRedefine/>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autoRedefine/>
    <w:semiHidden/>
    <w:qFormat/>
    <w:pPr>
      <w:jc w:val="left"/>
    </w:pPr>
  </w:style>
  <w:style w:type="paragraph" w:styleId="a5">
    <w:name w:val="endnote text"/>
    <w:basedOn w:val="a0"/>
    <w:link w:val="a6"/>
    <w:autoRedefine/>
    <w:semiHidden/>
    <w:unhideWhenUsed/>
    <w:qFormat/>
    <w:pPr>
      <w:snapToGrid w:val="0"/>
      <w:jc w:val="left"/>
    </w:pPr>
  </w:style>
  <w:style w:type="paragraph" w:styleId="a7">
    <w:name w:val="Balloon Text"/>
    <w:basedOn w:val="a0"/>
    <w:autoRedefine/>
    <w:semiHidden/>
    <w:qFormat/>
    <w:rPr>
      <w:sz w:val="18"/>
      <w:szCs w:val="18"/>
    </w:rPr>
  </w:style>
  <w:style w:type="paragraph" w:styleId="a8">
    <w:name w:val="footer"/>
    <w:basedOn w:val="a0"/>
    <w:link w:val="a9"/>
    <w:autoRedefine/>
    <w:qFormat/>
    <w:pPr>
      <w:tabs>
        <w:tab w:val="center" w:pos="4153"/>
        <w:tab w:val="right" w:pos="8306"/>
      </w:tabs>
      <w:snapToGrid w:val="0"/>
      <w:ind w:firstLineChars="200" w:firstLine="200"/>
    </w:pPr>
    <w:rPr>
      <w:rFonts w:eastAsia="仿宋"/>
      <w:sz w:val="18"/>
      <w:szCs w:val="18"/>
    </w:rPr>
  </w:style>
  <w:style w:type="paragraph" w:styleId="aa">
    <w:name w:val="header"/>
    <w:basedOn w:val="a0"/>
    <w:link w:val="ab"/>
    <w:autoRedefine/>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0"/>
    <w:autoRedefine/>
    <w:semiHidden/>
    <w:qFormat/>
    <w:pPr>
      <w:snapToGrid w:val="0"/>
      <w:jc w:val="left"/>
    </w:pPr>
    <w:rPr>
      <w:sz w:val="18"/>
      <w:szCs w:val="18"/>
    </w:rPr>
  </w:style>
  <w:style w:type="paragraph" w:styleId="ad">
    <w:name w:val="Normal (Web)"/>
    <w:basedOn w:val="a0"/>
    <w:autoRedefine/>
    <w:uiPriority w:val="99"/>
    <w:unhideWhenUsed/>
    <w:qFormat/>
    <w:pPr>
      <w:spacing w:before="100" w:beforeAutospacing="1" w:after="100" w:afterAutospacing="1"/>
      <w:jc w:val="left"/>
    </w:pPr>
    <w:rPr>
      <w:kern w:val="0"/>
      <w:sz w:val="24"/>
    </w:rPr>
  </w:style>
  <w:style w:type="paragraph" w:styleId="ae">
    <w:name w:val="annotation subject"/>
    <w:basedOn w:val="a4"/>
    <w:next w:val="a4"/>
    <w:autoRedefine/>
    <w:semiHidden/>
    <w:qFormat/>
    <w:rPr>
      <w:b/>
      <w:bCs/>
    </w:rPr>
  </w:style>
  <w:style w:type="table" w:styleId="af">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lassic 1"/>
    <w:basedOn w:val="a2"/>
    <w:autoRedefine/>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af0">
    <w:name w:val="endnote reference"/>
    <w:basedOn w:val="a1"/>
    <w:autoRedefine/>
    <w:semiHidden/>
    <w:unhideWhenUsed/>
    <w:qFormat/>
    <w:rPr>
      <w:vertAlign w:val="superscript"/>
    </w:rPr>
  </w:style>
  <w:style w:type="character" w:styleId="af1">
    <w:name w:val="page number"/>
    <w:basedOn w:val="a1"/>
    <w:autoRedefine/>
    <w:qFormat/>
  </w:style>
  <w:style w:type="character" w:styleId="af2">
    <w:name w:val="Hyperlink"/>
    <w:autoRedefine/>
    <w:qFormat/>
    <w:rPr>
      <w:color w:val="0000FF"/>
      <w:u w:val="single"/>
    </w:rPr>
  </w:style>
  <w:style w:type="character" w:styleId="af3">
    <w:name w:val="annotation reference"/>
    <w:autoRedefine/>
    <w:semiHidden/>
    <w:qFormat/>
    <w:rPr>
      <w:sz w:val="21"/>
      <w:szCs w:val="21"/>
    </w:rPr>
  </w:style>
  <w:style w:type="character" w:styleId="af4">
    <w:name w:val="footnote reference"/>
    <w:autoRedefine/>
    <w:semiHidden/>
    <w:qFormat/>
    <w:rPr>
      <w:vertAlign w:val="superscript"/>
    </w:rPr>
  </w:style>
  <w:style w:type="character" w:customStyle="1" w:styleId="a9">
    <w:name w:val="页脚 字符"/>
    <w:link w:val="a8"/>
    <w:autoRedefine/>
    <w:qFormat/>
    <w:locked/>
    <w:rPr>
      <w:rFonts w:eastAsia="仿宋"/>
      <w:kern w:val="2"/>
      <w:sz w:val="18"/>
      <w:szCs w:val="18"/>
    </w:rPr>
  </w:style>
  <w:style w:type="character" w:customStyle="1" w:styleId="ab">
    <w:name w:val="页眉 字符"/>
    <w:link w:val="aa"/>
    <w:autoRedefine/>
    <w:semiHidden/>
    <w:qFormat/>
    <w:locked/>
    <w:rPr>
      <w:rFonts w:eastAsia="宋体"/>
      <w:kern w:val="2"/>
      <w:sz w:val="18"/>
      <w:szCs w:val="18"/>
      <w:lang w:val="en-US" w:eastAsia="zh-CN" w:bidi="ar-SA"/>
    </w:rPr>
  </w:style>
  <w:style w:type="character" w:customStyle="1" w:styleId="10">
    <w:name w:val="标题 1 字符"/>
    <w:link w:val="1"/>
    <w:autoRedefine/>
    <w:qFormat/>
    <w:rPr>
      <w:b/>
      <w:bCs/>
      <w:kern w:val="44"/>
      <w:sz w:val="44"/>
      <w:szCs w:val="44"/>
    </w:rPr>
  </w:style>
  <w:style w:type="character" w:customStyle="1" w:styleId="CharChar2">
    <w:name w:val="Char Char2"/>
    <w:autoRedefine/>
    <w:qFormat/>
    <w:locked/>
    <w:rPr>
      <w:rFonts w:eastAsia="宋体"/>
      <w:kern w:val="2"/>
      <w:sz w:val="18"/>
      <w:szCs w:val="18"/>
      <w:lang w:val="en-US" w:eastAsia="zh-CN" w:bidi="ar-SA"/>
    </w:rPr>
  </w:style>
  <w:style w:type="character" w:customStyle="1" w:styleId="12">
    <w:name w:val="未处理的提及1"/>
    <w:autoRedefine/>
    <w:uiPriority w:val="99"/>
    <w:unhideWhenUsed/>
    <w:qFormat/>
    <w:rPr>
      <w:color w:val="605E5C"/>
      <w:shd w:val="clear" w:color="auto" w:fill="E1DFDD"/>
    </w:rPr>
  </w:style>
  <w:style w:type="character" w:customStyle="1" w:styleId="20">
    <w:name w:val="标题 2 字符"/>
    <w:link w:val="2"/>
    <w:autoRedefine/>
    <w:qFormat/>
    <w:rPr>
      <w:rFonts w:ascii="Cambria" w:hAnsi="Cambria"/>
      <w:b/>
      <w:bCs/>
      <w:kern w:val="2"/>
      <w:sz w:val="32"/>
      <w:szCs w:val="32"/>
    </w:rPr>
  </w:style>
  <w:style w:type="paragraph" w:customStyle="1" w:styleId="Char">
    <w:name w:val="Char"/>
    <w:basedOn w:val="a0"/>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0"/>
    <w:autoRedefine/>
    <w:qFormat/>
    <w:pPr>
      <w:widowControl/>
    </w:pPr>
    <w:rPr>
      <w:kern w:val="0"/>
      <w:szCs w:val="21"/>
    </w:rPr>
  </w:style>
  <w:style w:type="paragraph" w:customStyle="1" w:styleId="af5">
    <w:name w:val="（中）标题样式"/>
    <w:autoRedefine/>
    <w:qFormat/>
    <w:pPr>
      <w:spacing w:line="360" w:lineRule="auto"/>
      <w:jc w:val="center"/>
    </w:pPr>
    <w:rPr>
      <w:rFonts w:eastAsia="微软雅黑" w:hAnsi="黑体"/>
      <w:kern w:val="2"/>
      <w:sz w:val="36"/>
      <w:szCs w:val="36"/>
    </w:rPr>
  </w:style>
  <w:style w:type="paragraph" w:customStyle="1" w:styleId="af6">
    <w:name w:val="（中）作者姓名样式"/>
    <w:autoRedefine/>
    <w:qFormat/>
    <w:pPr>
      <w:adjustRightInd w:val="0"/>
      <w:spacing w:line="360" w:lineRule="auto"/>
      <w:jc w:val="center"/>
    </w:pPr>
    <w:rPr>
      <w:rFonts w:eastAsia="楷体" w:hAnsi="华文楷体"/>
      <w:kern w:val="2"/>
      <w:sz w:val="28"/>
      <w:szCs w:val="21"/>
    </w:rPr>
  </w:style>
  <w:style w:type="paragraph" w:customStyle="1" w:styleId="af7">
    <w:name w:val="（中）作者单位样式"/>
    <w:autoRedefine/>
    <w:qFormat/>
    <w:pPr>
      <w:adjustRightInd w:val="0"/>
      <w:jc w:val="center"/>
    </w:pPr>
    <w:rPr>
      <w:rFonts w:ascii="仿宋" w:eastAsia="楷体" w:hAnsi="仿宋"/>
      <w:kern w:val="2"/>
      <w:sz w:val="21"/>
      <w:szCs w:val="18"/>
    </w:rPr>
  </w:style>
  <w:style w:type="character" w:customStyle="1" w:styleId="af8">
    <w:name w:val="中文摘要特征词样式"/>
    <w:basedOn w:val="a1"/>
    <w:autoRedefine/>
    <w:qFormat/>
    <w:rPr>
      <w:rFonts w:ascii="黑体" w:eastAsia="黑体" w:hAnsi="黑体"/>
      <w:sz w:val="18"/>
    </w:rPr>
  </w:style>
  <w:style w:type="character" w:customStyle="1" w:styleId="af9">
    <w:name w:val="中文关键词特征词样式"/>
    <w:basedOn w:val="a1"/>
    <w:autoRedefine/>
    <w:qFormat/>
    <w:rPr>
      <w:rFonts w:ascii="黑体" w:eastAsia="黑体" w:hAnsi="黑体"/>
      <w:sz w:val="18"/>
    </w:rPr>
  </w:style>
  <w:style w:type="character" w:customStyle="1" w:styleId="afa">
    <w:name w:val="（中）关键词样式"/>
    <w:autoRedefine/>
    <w:qFormat/>
    <w:rPr>
      <w:rFonts w:eastAsia="楷体" w:hAnsi="楷体"/>
      <w:sz w:val="18"/>
    </w:rPr>
  </w:style>
  <w:style w:type="paragraph" w:customStyle="1" w:styleId="afb">
    <w:name w:val="（英）标题样式"/>
    <w:autoRedefine/>
    <w:qFormat/>
    <w:pPr>
      <w:spacing w:beforeLines="100" w:before="100" w:line="360" w:lineRule="exact"/>
      <w:ind w:leftChars="200" w:left="200" w:rightChars="200" w:right="200"/>
      <w:jc w:val="center"/>
      <w:outlineLvl w:val="0"/>
    </w:pPr>
    <w:rPr>
      <w:b/>
      <w:kern w:val="2"/>
      <w:sz w:val="28"/>
      <w:szCs w:val="24"/>
    </w:rPr>
  </w:style>
  <w:style w:type="paragraph" w:customStyle="1" w:styleId="afc">
    <w:name w:val="（英）作者姓名样式"/>
    <w:autoRedefine/>
    <w:qFormat/>
    <w:pPr>
      <w:jc w:val="center"/>
    </w:pPr>
    <w:rPr>
      <w:spacing w:val="-4"/>
      <w:kern w:val="2"/>
      <w:sz w:val="21"/>
      <w:szCs w:val="21"/>
    </w:rPr>
  </w:style>
  <w:style w:type="paragraph" w:customStyle="1" w:styleId="afd">
    <w:name w:val="（英）作者单位样式"/>
    <w:autoRedefine/>
    <w:qFormat/>
    <w:pPr>
      <w:jc w:val="center"/>
    </w:pPr>
    <w:rPr>
      <w:kern w:val="2"/>
      <w:sz w:val="21"/>
      <w:szCs w:val="24"/>
    </w:rPr>
  </w:style>
  <w:style w:type="character" w:customStyle="1" w:styleId="afe">
    <w:name w:val="英文摘要特征词样式"/>
    <w:basedOn w:val="a1"/>
    <w:autoRedefine/>
    <w:qFormat/>
    <w:rPr>
      <w:b/>
      <w:sz w:val="18"/>
    </w:rPr>
  </w:style>
  <w:style w:type="character" w:customStyle="1" w:styleId="aff">
    <w:name w:val="英文关键词特征词样式"/>
    <w:basedOn w:val="a1"/>
    <w:autoRedefine/>
    <w:qFormat/>
    <w:rPr>
      <w:b/>
      <w:sz w:val="18"/>
    </w:rPr>
  </w:style>
  <w:style w:type="character" w:customStyle="1" w:styleId="aff0">
    <w:name w:val="（英）关键词样式"/>
    <w:basedOn w:val="a1"/>
    <w:autoRedefine/>
    <w:qFormat/>
    <w:rPr>
      <w:rFonts w:ascii="Times New Roman" w:eastAsia="宋体" w:hAnsi="Times New Roman"/>
      <w:kern w:val="0"/>
      <w:sz w:val="18"/>
    </w:rPr>
  </w:style>
  <w:style w:type="paragraph" w:customStyle="1" w:styleId="aff1">
    <w:name w:val="正文样式"/>
    <w:basedOn w:val="a0"/>
    <w:autoRedefine/>
    <w:qFormat/>
    <w:pPr>
      <w:autoSpaceDE w:val="0"/>
      <w:autoSpaceDN w:val="0"/>
      <w:spacing w:line="288" w:lineRule="auto"/>
      <w:ind w:firstLineChars="200" w:firstLine="200"/>
    </w:pPr>
  </w:style>
  <w:style w:type="paragraph" w:customStyle="1" w:styleId="aff2">
    <w:name w:val="一级标题样式"/>
    <w:pPr>
      <w:adjustRightInd w:val="0"/>
      <w:snapToGrid w:val="0"/>
      <w:spacing w:beforeLines="100" w:before="100" w:afterLines="100" w:after="100"/>
      <w:jc w:val="center"/>
    </w:pPr>
    <w:rPr>
      <w:rFonts w:eastAsia="幼圆"/>
      <w:b/>
      <w:kern w:val="2"/>
      <w:sz w:val="24"/>
      <w:szCs w:val="24"/>
    </w:rPr>
  </w:style>
  <w:style w:type="paragraph" w:customStyle="1" w:styleId="aff3">
    <w:name w:val="二级标题样式"/>
    <w:pPr>
      <w:spacing w:line="300" w:lineRule="auto"/>
      <w:ind w:firstLineChars="200" w:firstLine="200"/>
      <w:jc w:val="both"/>
    </w:pPr>
    <w:rPr>
      <w:rFonts w:ascii="黑体" w:eastAsia="黑体" w:hAnsi="黑体"/>
      <w:kern w:val="2"/>
      <w:sz w:val="21"/>
      <w:szCs w:val="24"/>
    </w:rPr>
  </w:style>
  <w:style w:type="paragraph" w:customStyle="1" w:styleId="aff4">
    <w:name w:val="三级标题样式"/>
    <w:pPr>
      <w:spacing w:line="300" w:lineRule="auto"/>
      <w:ind w:firstLineChars="200" w:firstLine="200"/>
      <w:jc w:val="both"/>
    </w:pPr>
    <w:rPr>
      <w:rFonts w:ascii="楷体" w:eastAsia="楷体" w:hAnsi="楷体"/>
      <w:kern w:val="2"/>
      <w:sz w:val="21"/>
      <w:szCs w:val="24"/>
    </w:rPr>
  </w:style>
  <w:style w:type="character" w:customStyle="1" w:styleId="aff5">
    <w:name w:val="（中）收稿日期样式"/>
    <w:basedOn w:val="a1"/>
    <w:rPr>
      <w:rFonts w:ascii="Times New Roman" w:eastAsia="宋体" w:hAnsi="Times New Roman"/>
      <w:sz w:val="18"/>
      <w:szCs w:val="16"/>
    </w:rPr>
  </w:style>
  <w:style w:type="paragraph" w:customStyle="1" w:styleId="aff6">
    <w:name w:val="（中）基金项目样式"/>
    <w:basedOn w:val="a8"/>
    <w:qFormat/>
    <w:pPr>
      <w:tabs>
        <w:tab w:val="clear" w:pos="4153"/>
        <w:tab w:val="clear" w:pos="8306"/>
      </w:tabs>
      <w:ind w:firstLineChars="0" w:firstLine="0"/>
    </w:pPr>
    <w:rPr>
      <w:rFonts w:eastAsia="宋体"/>
      <w:szCs w:val="16"/>
    </w:rPr>
  </w:style>
  <w:style w:type="paragraph" w:customStyle="1" w:styleId="aff7">
    <w:name w:val="（中）作者简介样式"/>
    <w:basedOn w:val="a8"/>
    <w:qFormat/>
    <w:pPr>
      <w:tabs>
        <w:tab w:val="clear" w:pos="4153"/>
        <w:tab w:val="clear" w:pos="8306"/>
      </w:tabs>
      <w:ind w:firstLineChars="0" w:firstLine="0"/>
    </w:pPr>
    <w:rPr>
      <w:rFonts w:eastAsia="宋体"/>
      <w:szCs w:val="16"/>
    </w:rPr>
  </w:style>
  <w:style w:type="character" w:customStyle="1" w:styleId="aff8">
    <w:name w:val="（中）栏目样式"/>
    <w:basedOn w:val="a1"/>
    <w:rPr>
      <w:rFonts w:eastAsia="宋体"/>
      <w:b/>
      <w:sz w:val="21"/>
    </w:rPr>
  </w:style>
  <w:style w:type="character" w:customStyle="1" w:styleId="aff9">
    <w:name w:val="中图分类号样式"/>
    <w:basedOn w:val="a1"/>
    <w:uiPriority w:val="1"/>
    <w:qFormat/>
    <w:rPr>
      <w:rFonts w:ascii="Times New Roman" w:eastAsia="黑体" w:hAnsi="Times New Roman"/>
      <w:sz w:val="18"/>
    </w:rPr>
  </w:style>
  <w:style w:type="character" w:customStyle="1" w:styleId="affa">
    <w:name w:val="文献标志码样式"/>
    <w:basedOn w:val="a1"/>
    <w:uiPriority w:val="1"/>
    <w:qFormat/>
    <w:rPr>
      <w:rFonts w:ascii="Times New Roman" w:eastAsia="黑体" w:hAnsi="Times New Roman"/>
      <w:sz w:val="18"/>
    </w:rPr>
  </w:style>
  <w:style w:type="paragraph" w:customStyle="1" w:styleId="affb">
    <w:name w:val="文章编号样式"/>
    <w:basedOn w:val="DOI"/>
    <w:qFormat/>
    <w:pPr>
      <w:ind w:leftChars="150" w:left="150" w:rightChars="150" w:right="150"/>
    </w:pPr>
    <w:rPr>
      <w:rFonts w:eastAsia="黑体"/>
    </w:rPr>
  </w:style>
  <w:style w:type="paragraph" w:customStyle="1" w:styleId="DOI">
    <w:name w:val="DOI样式"/>
    <w:qFormat/>
    <w:pPr>
      <w:jc w:val="both"/>
    </w:pPr>
    <w:rPr>
      <w:kern w:val="2"/>
      <w:sz w:val="18"/>
      <w:szCs w:val="18"/>
    </w:rPr>
  </w:style>
  <w:style w:type="paragraph" w:customStyle="1" w:styleId="affc">
    <w:name w:val="（中）图题样式"/>
    <w:qFormat/>
    <w:pPr>
      <w:spacing w:afterLines="50" w:after="50"/>
      <w:jc w:val="center"/>
    </w:pPr>
    <w:rPr>
      <w:rFonts w:eastAsia="黑体"/>
      <w:kern w:val="2"/>
      <w:sz w:val="18"/>
      <w:szCs w:val="18"/>
    </w:rPr>
  </w:style>
  <w:style w:type="paragraph" w:customStyle="1" w:styleId="affd">
    <w:name w:val="（英）图题样式"/>
    <w:link w:val="Char0"/>
    <w:qFormat/>
    <w:pPr>
      <w:spacing w:afterLines="30" w:after="30"/>
      <w:jc w:val="center"/>
    </w:pPr>
    <w:rPr>
      <w:b/>
      <w:kern w:val="2"/>
      <w:sz w:val="18"/>
      <w:szCs w:val="18"/>
    </w:rPr>
  </w:style>
  <w:style w:type="paragraph" w:customStyle="1" w:styleId="affe">
    <w:name w:val="（中）表题样式"/>
    <w:link w:val="Char1"/>
    <w:qFormat/>
    <w:pPr>
      <w:spacing w:beforeLines="50" w:before="50"/>
      <w:jc w:val="center"/>
    </w:pPr>
    <w:rPr>
      <w:rFonts w:eastAsia="黑体"/>
      <w:kern w:val="2"/>
      <w:sz w:val="18"/>
      <w:szCs w:val="18"/>
    </w:rPr>
  </w:style>
  <w:style w:type="paragraph" w:customStyle="1" w:styleId="afff">
    <w:name w:val="（英）表题样式"/>
    <w:qFormat/>
    <w:pPr>
      <w:jc w:val="center"/>
    </w:pPr>
    <w:rPr>
      <w:b/>
      <w:kern w:val="2"/>
      <w:sz w:val="18"/>
      <w:szCs w:val="18"/>
    </w:rPr>
  </w:style>
  <w:style w:type="paragraph" w:customStyle="1" w:styleId="afff0">
    <w:name w:val="表格样式"/>
    <w:qFormat/>
    <w:pPr>
      <w:jc w:val="both"/>
    </w:pPr>
    <w:rPr>
      <w:kern w:val="2"/>
      <w:sz w:val="18"/>
      <w:szCs w:val="21"/>
    </w:rPr>
  </w:style>
  <w:style w:type="paragraph" w:customStyle="1" w:styleId="afff1">
    <w:name w:val="（中）表注样式"/>
    <w:basedOn w:val="a0"/>
    <w:qFormat/>
    <w:pPr>
      <w:ind w:firstLineChars="200" w:firstLine="200"/>
    </w:pPr>
    <w:rPr>
      <w:rFonts w:hAnsi="宋体"/>
      <w:sz w:val="18"/>
      <w:szCs w:val="15"/>
    </w:rPr>
  </w:style>
  <w:style w:type="paragraph" w:customStyle="1" w:styleId="afff2">
    <w:name w:val="（英）表注样式"/>
    <w:basedOn w:val="afff1"/>
    <w:qFormat/>
  </w:style>
  <w:style w:type="paragraph" w:customStyle="1" w:styleId="afff3">
    <w:name w:val="（英）图注样式"/>
    <w:basedOn w:val="afff2"/>
    <w:qFormat/>
    <w:pPr>
      <w:jc w:val="center"/>
    </w:pPr>
  </w:style>
  <w:style w:type="paragraph" w:customStyle="1" w:styleId="afff4">
    <w:name w:val="（中）图注样式"/>
    <w:qFormat/>
    <w:pPr>
      <w:jc w:val="center"/>
    </w:pPr>
    <w:rPr>
      <w:rFonts w:hAnsi="宋体"/>
      <w:kern w:val="2"/>
      <w:sz w:val="18"/>
      <w:szCs w:val="15"/>
    </w:rPr>
  </w:style>
  <w:style w:type="paragraph" w:customStyle="1" w:styleId="afff5">
    <w:name w:val="参考文献样式"/>
    <w:basedOn w:val="a0"/>
    <w:pPr>
      <w:adjustRightInd w:val="0"/>
      <w:snapToGrid w:val="0"/>
      <w:spacing w:beforeLines="120" w:before="120"/>
      <w:jc w:val="left"/>
    </w:pPr>
    <w:rPr>
      <w:rFonts w:eastAsia="黑体"/>
      <w:sz w:val="24"/>
    </w:rPr>
  </w:style>
  <w:style w:type="paragraph" w:customStyle="1" w:styleId="a">
    <w:name w:val="参考文献内容样式"/>
    <w:basedOn w:val="a0"/>
    <w:qFormat/>
    <w:pPr>
      <w:numPr>
        <w:numId w:val="1"/>
      </w:numPr>
      <w:tabs>
        <w:tab w:val="clear" w:pos="473"/>
        <w:tab w:val="left" w:pos="420"/>
      </w:tabs>
      <w:ind w:left="200" w:hangingChars="200" w:hanging="200"/>
    </w:pPr>
    <w:rPr>
      <w:sz w:val="18"/>
      <w:szCs w:val="18"/>
    </w:rPr>
  </w:style>
  <w:style w:type="paragraph" w:customStyle="1" w:styleId="afff6">
    <w:name w:val="（中）通信作者样式"/>
    <w:basedOn w:val="a8"/>
    <w:qFormat/>
    <w:pPr>
      <w:tabs>
        <w:tab w:val="clear" w:pos="4153"/>
        <w:tab w:val="clear" w:pos="8306"/>
      </w:tabs>
      <w:adjustRightInd w:val="0"/>
      <w:ind w:leftChars="150" w:left="650" w:hangingChars="500" w:hanging="500"/>
    </w:pPr>
    <w:rPr>
      <w:sz w:val="15"/>
      <w:szCs w:val="16"/>
    </w:rPr>
  </w:style>
  <w:style w:type="paragraph" w:customStyle="1" w:styleId="afff7">
    <w:name w:val="公式样式"/>
    <w:basedOn w:val="a0"/>
    <w:qFormat/>
    <w:pPr>
      <w:tabs>
        <w:tab w:val="center" w:pos="2268"/>
        <w:tab w:val="right" w:pos="4536"/>
      </w:tabs>
      <w:ind w:left="420" w:firstLineChars="200" w:firstLine="420"/>
      <w:jc w:val="right"/>
    </w:pPr>
  </w:style>
  <w:style w:type="paragraph" w:customStyle="1" w:styleId="afff8">
    <w:name w:val="引用样式"/>
    <w:qFormat/>
    <w:pPr>
      <w:jc w:val="both"/>
    </w:pPr>
    <w:rPr>
      <w:rFonts w:eastAsia="楷体"/>
      <w:kern w:val="2"/>
      <w:sz w:val="21"/>
      <w:szCs w:val="18"/>
    </w:rPr>
  </w:style>
  <w:style w:type="paragraph" w:customStyle="1" w:styleId="CITE">
    <w:name w:val="CITE样式"/>
    <w:qFormat/>
    <w:pPr>
      <w:ind w:leftChars="150" w:left="150" w:rightChars="150" w:right="150"/>
      <w:jc w:val="both"/>
    </w:pPr>
    <w:rPr>
      <w:kern w:val="2"/>
      <w:sz w:val="21"/>
      <w:szCs w:val="18"/>
    </w:rPr>
  </w:style>
  <w:style w:type="paragraph" w:customStyle="1" w:styleId="afff9">
    <w:name w:val="（中）副标题样式"/>
    <w:basedOn w:val="a0"/>
    <w:qFormat/>
    <w:pPr>
      <w:spacing w:line="276" w:lineRule="auto"/>
      <w:jc w:val="center"/>
    </w:pPr>
    <w:rPr>
      <w:sz w:val="28"/>
      <w:szCs w:val="21"/>
    </w:rPr>
  </w:style>
  <w:style w:type="paragraph" w:customStyle="1" w:styleId="afffa">
    <w:name w:val="（英）副标题样式"/>
    <w:basedOn w:val="afff9"/>
    <w:qFormat/>
    <w:rPr>
      <w:sz w:val="21"/>
    </w:rPr>
  </w:style>
  <w:style w:type="paragraph" w:customStyle="1" w:styleId="afffb">
    <w:name w:val="致谢样式"/>
    <w:qFormat/>
    <w:pPr>
      <w:jc w:val="both"/>
    </w:pPr>
    <w:rPr>
      <w:b/>
      <w:kern w:val="2"/>
      <w:sz w:val="18"/>
      <w:szCs w:val="18"/>
    </w:rPr>
  </w:style>
  <w:style w:type="paragraph" w:customStyle="1" w:styleId="afffc">
    <w:name w:val="编辑样式"/>
    <w:qFormat/>
    <w:pPr>
      <w:spacing w:beforeLines="100" w:before="100"/>
      <w:jc w:val="right"/>
    </w:pPr>
    <w:rPr>
      <w:rFonts w:eastAsia="楷体"/>
      <w:kern w:val="2"/>
      <w:sz w:val="24"/>
      <w:szCs w:val="18"/>
    </w:rPr>
  </w:style>
  <w:style w:type="table" w:customStyle="1" w:styleId="21">
    <w:name w:val="无格式表格 21"/>
    <w:basedOn w:val="a2"/>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fd">
    <w:name w:val="中文表序样式"/>
    <w:basedOn w:val="affe"/>
    <w:link w:val="Char2"/>
  </w:style>
  <w:style w:type="character" w:customStyle="1" w:styleId="afffe">
    <w:name w:val="英文表序样式"/>
    <w:uiPriority w:val="1"/>
    <w:qFormat/>
    <w:rPr>
      <w:rFonts w:ascii="Times New Roman" w:eastAsia="宋体" w:hAnsi="Times New Roman"/>
      <w:b/>
      <w:sz w:val="18"/>
    </w:rPr>
  </w:style>
  <w:style w:type="character" w:customStyle="1" w:styleId="Char1">
    <w:name w:val="（中）表题样式 Char"/>
    <w:basedOn w:val="a1"/>
    <w:link w:val="affe"/>
    <w:rPr>
      <w:rFonts w:eastAsia="黑体"/>
      <w:kern w:val="2"/>
      <w:sz w:val="18"/>
      <w:szCs w:val="18"/>
    </w:rPr>
  </w:style>
  <w:style w:type="character" w:customStyle="1" w:styleId="Char2">
    <w:name w:val="中文表序样式 Char"/>
    <w:basedOn w:val="Char1"/>
    <w:link w:val="afffd"/>
    <w:rPr>
      <w:rFonts w:eastAsia="黑体"/>
      <w:kern w:val="2"/>
      <w:sz w:val="18"/>
      <w:szCs w:val="18"/>
    </w:rPr>
  </w:style>
  <w:style w:type="paragraph" w:customStyle="1" w:styleId="affff">
    <w:name w:val="中文图序样式"/>
    <w:basedOn w:val="affc"/>
    <w:qFormat/>
  </w:style>
  <w:style w:type="paragraph" w:customStyle="1" w:styleId="affff0">
    <w:name w:val="英文图序样式"/>
    <w:basedOn w:val="affd"/>
    <w:link w:val="affff1"/>
    <w:qFormat/>
  </w:style>
  <w:style w:type="paragraph" w:customStyle="1" w:styleId="affff2">
    <w:name w:val="图样式"/>
    <w:qFormat/>
    <w:pPr>
      <w:jc w:val="center"/>
    </w:pPr>
    <w:rPr>
      <w:b/>
      <w:kern w:val="2"/>
      <w:sz w:val="18"/>
      <w:szCs w:val="18"/>
    </w:rPr>
  </w:style>
  <w:style w:type="paragraph" w:customStyle="1" w:styleId="MTDisplayEquation">
    <w:name w:val="MTDisplayEquation"/>
    <w:basedOn w:val="affd"/>
    <w:next w:val="a0"/>
    <w:link w:val="MTDisplayEquationChar"/>
    <w:pPr>
      <w:tabs>
        <w:tab w:val="center" w:pos="4820"/>
        <w:tab w:val="right" w:pos="9640"/>
      </w:tabs>
    </w:pPr>
  </w:style>
  <w:style w:type="character" w:customStyle="1" w:styleId="Char0">
    <w:name w:val="（英）图题样式 Char"/>
    <w:basedOn w:val="a1"/>
    <w:link w:val="affd"/>
    <w:rPr>
      <w:b/>
      <w:kern w:val="2"/>
      <w:sz w:val="18"/>
      <w:szCs w:val="18"/>
    </w:rPr>
  </w:style>
  <w:style w:type="character" w:customStyle="1" w:styleId="MTDisplayEquationChar">
    <w:name w:val="MTDisplayEquation Char"/>
    <w:basedOn w:val="Char0"/>
    <w:link w:val="MTDisplayEquation"/>
    <w:rPr>
      <w:rFonts w:eastAsia="黑体"/>
      <w:b/>
      <w:kern w:val="2"/>
      <w:sz w:val="18"/>
      <w:szCs w:val="18"/>
    </w:rPr>
  </w:style>
  <w:style w:type="paragraph" w:customStyle="1" w:styleId="affff3">
    <w:name w:val="参考文献中英文对照样式"/>
    <w:pPr>
      <w:widowControl w:val="0"/>
      <w:ind w:left="200" w:hangingChars="200" w:hanging="200"/>
      <w:jc w:val="both"/>
    </w:pPr>
    <w:rPr>
      <w:rFonts w:eastAsia="Times New Roman"/>
      <w:kern w:val="2"/>
      <w:sz w:val="18"/>
    </w:rPr>
  </w:style>
  <w:style w:type="character" w:customStyle="1" w:styleId="affff4">
    <w:name w:val="（中）修回日期样式"/>
    <w:basedOn w:val="aff5"/>
    <w:uiPriority w:val="1"/>
    <w:qFormat/>
    <w:rPr>
      <w:rFonts w:ascii="Times New Roman" w:eastAsiaTheme="minorEastAsia" w:hAnsi="Times New Roman"/>
      <w:sz w:val="15"/>
      <w:szCs w:val="16"/>
    </w:rPr>
  </w:style>
  <w:style w:type="table" w:customStyle="1" w:styleId="affff5">
    <w:name w:val="三线表样式"/>
    <w:uiPriority w:val="99"/>
    <w:pPr>
      <w:adjustRightInd w:val="0"/>
      <w:snapToGrid w:val="0"/>
      <w:jc w:val="center"/>
    </w:pPr>
    <w:rPr>
      <w:sz w:val="18"/>
    </w:rPr>
    <w:tblPr>
      <w:tblBorders>
        <w:top w:val="single" w:sz="4" w:space="0" w:color="auto"/>
        <w:bottom w:val="single" w:sz="6" w:space="0" w:color="auto"/>
      </w:tblBorders>
      <w:tblCellMar>
        <w:top w:w="0" w:type="dxa"/>
        <w:left w:w="0" w:type="dxa"/>
        <w:bottom w:w="0" w:type="dxa"/>
        <w:right w:w="0" w:type="dxa"/>
      </w:tblCellMar>
    </w:tblPr>
    <w:tcPr>
      <w:vAlign w:val="center"/>
    </w:tcPr>
    <w:tblStylePr w:type="firstRow">
      <w:rPr>
        <w:b/>
      </w:rPr>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affff1">
    <w:name w:val="英文图序样式 字符"/>
    <w:basedOn w:val="Char0"/>
    <w:link w:val="affff0"/>
    <w:rPr>
      <w:rFonts w:eastAsia="黑体"/>
      <w:b/>
      <w:kern w:val="2"/>
      <w:sz w:val="18"/>
      <w:szCs w:val="18"/>
    </w:rPr>
  </w:style>
  <w:style w:type="table" w:customStyle="1" w:styleId="110">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网格表 1 浅色 - 着色 11"/>
    <w:basedOn w:val="a2"/>
    <w:uiPriority w:val="46"/>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21">
    <w:name w:val="网格表 1 浅色 - 着色 21"/>
    <w:basedOn w:val="a2"/>
    <w:uiPriority w:val="46"/>
    <w:tblPr>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31">
    <w:name w:val="网格表 1 浅色 - 着色 31"/>
    <w:basedOn w:val="a2"/>
    <w:uiPriority w:val="46"/>
    <w:tblP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1-41">
    <w:name w:val="网格表 1 浅色 - 着色 41"/>
    <w:basedOn w:val="a2"/>
    <w:uiPriority w:val="46"/>
    <w:tblPr>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customStyle="1" w:styleId="affff6">
    <w:name w:val="（中）摘要样式"/>
    <w:pPr>
      <w:widowControl w:val="0"/>
      <w:ind w:firstLineChars="200" w:firstLine="200"/>
      <w:jc w:val="both"/>
    </w:pPr>
    <w:rPr>
      <w:rFonts w:eastAsia="楷体" w:hAnsi="楷体"/>
      <w:sz w:val="18"/>
    </w:rPr>
  </w:style>
  <w:style w:type="paragraph" w:customStyle="1" w:styleId="affff7">
    <w:name w:val="（英）摘要样式"/>
    <w:pPr>
      <w:widowControl w:val="0"/>
      <w:ind w:firstLineChars="200" w:firstLine="200"/>
      <w:jc w:val="both"/>
    </w:pPr>
    <w:rPr>
      <w:sz w:val="18"/>
    </w:rPr>
  </w:style>
  <w:style w:type="character" w:customStyle="1" w:styleId="a6">
    <w:name w:val="尾注文本 字符"/>
    <w:basedOn w:val="a1"/>
    <w:link w:val="a5"/>
    <w:semiHidden/>
    <w:rPr>
      <w:kern w:val="2"/>
      <w:sz w:val="21"/>
      <w:szCs w:val="24"/>
    </w:rPr>
  </w:style>
  <w:style w:type="paragraph" w:styleId="affff8">
    <w:name w:val="List Paragraph"/>
    <w:basedOn w:val="a0"/>
    <w:autoRedefine/>
    <w:uiPriority w:val="34"/>
    <w:qFormat/>
    <w:pPr>
      <w:spacing w:line="360" w:lineRule="auto"/>
      <w:ind w:firstLineChars="200" w:firstLine="420"/>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6544E-6CDD-4080-BB12-EFCB9CD40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1528</Words>
  <Characters>8712</Characters>
  <Application>Microsoft Office Word</Application>
  <DocSecurity>0</DocSecurity>
  <Lines>72</Lines>
  <Paragraphs>20</Paragraphs>
  <ScaleCrop>false</ScaleCrop>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排版要求：</dc:title>
  <dc:creator>lenovo</dc:creator>
  <cp:lastModifiedBy>wolf gao</cp:lastModifiedBy>
  <cp:revision>3</cp:revision>
  <cp:lastPrinted>2021-01-26T02:16:00Z</cp:lastPrinted>
  <dcterms:created xsi:type="dcterms:W3CDTF">2024-09-25T07:32:00Z</dcterms:created>
  <dcterms:modified xsi:type="dcterms:W3CDTF">2024-09-25T07:36:00Z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1051714</vt:i4>
  </property>
  <property fmtid="{D5CDD505-2E9C-101B-9397-08002B2CF9AE}" pid="3" name="KSOProductBuildVer">
    <vt:lpwstr>2052-12.1.0.16729</vt:lpwstr>
  </property>
  <property fmtid="{D5CDD505-2E9C-101B-9397-08002B2CF9AE}" pid="4" name="MTWinEqns">
    <vt:bool>true</vt:bool>
  </property>
  <property fmtid="{D5CDD505-2E9C-101B-9397-08002B2CF9AE}" pid="5" name="ICV">
    <vt:lpwstr>0ED93272666E4028913B2DD743748CB5_12</vt:lpwstr>
  </property>
</Properties>
</file>