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A7356" w14:textId="03C871EE" w:rsidR="00132DCB" w:rsidRPr="00AC79C8" w:rsidRDefault="00ED00BD" w:rsidP="00AC79C8">
      <w:pPr>
        <w:spacing w:line="400" w:lineRule="exact"/>
        <w:jc w:val="center"/>
        <w:rPr>
          <w:rFonts w:ascii="华文中宋" w:eastAsia="华文中宋" w:hAnsi="华文中宋" w:hint="eastAsia"/>
          <w:b/>
          <w:bCs/>
          <w:sz w:val="36"/>
          <w:szCs w:val="36"/>
        </w:rPr>
      </w:pPr>
      <w:r w:rsidRPr="00AC79C8">
        <w:rPr>
          <w:rFonts w:ascii="华文中宋" w:eastAsia="华文中宋" w:hAnsi="华文中宋"/>
          <w:b/>
          <w:bCs/>
          <w:sz w:val="36"/>
          <w:szCs w:val="36"/>
        </w:rPr>
        <w:t>《</w:t>
      </w:r>
      <w:r w:rsidRPr="00AC79C8">
        <w:rPr>
          <w:rFonts w:ascii="华文中宋" w:eastAsia="华文中宋" w:hAnsi="华文中宋" w:hint="eastAsia"/>
          <w:b/>
          <w:bCs/>
          <w:sz w:val="36"/>
          <w:szCs w:val="36"/>
        </w:rPr>
        <w:t>中国城镇化研究</w:t>
      </w:r>
      <w:r w:rsidRPr="00AC79C8">
        <w:rPr>
          <w:rFonts w:ascii="华文中宋" w:eastAsia="华文中宋" w:hAnsi="华文中宋"/>
          <w:b/>
          <w:bCs/>
          <w:sz w:val="36"/>
          <w:szCs w:val="36"/>
        </w:rPr>
        <w:t>》学术出版伦理规范</w:t>
      </w:r>
    </w:p>
    <w:p w14:paraId="30E54368" w14:textId="77777777" w:rsid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1DCA680F" w14:textId="246E2745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为加强学术诚信建设，规范论文撰写、编审及出版流程，提升刊物出版水平，特制定《中国城镇化研究》出版伦理规范。</w:t>
      </w:r>
    </w:p>
    <w:p w14:paraId="7906C15E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 w:rsidRPr="00AC79C8">
        <w:rPr>
          <w:rFonts w:ascii="黑体" w:eastAsia="黑体" w:hAnsi="黑体" w:hint="eastAsia"/>
          <w:sz w:val="28"/>
          <w:szCs w:val="28"/>
        </w:rPr>
        <w:t>一、作者伦理</w:t>
      </w:r>
    </w:p>
    <w:p w14:paraId="13351CA7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1.稿件内容表述科学、准确，文责自负。</w:t>
      </w:r>
    </w:p>
    <w:p w14:paraId="7798DC8D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2.保证稿件为原创作品，无重复发表、抄袭、剽窃、数据伪造等学术不端行为，稿件内容不含涉密信息。</w:t>
      </w:r>
    </w:p>
    <w:p w14:paraId="3E51FBAB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3.遵守本刊关于AIGC的使用规范。</w:t>
      </w:r>
    </w:p>
    <w:p w14:paraId="6A309F11" w14:textId="49762E94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4.保证稿件未一稿多投，不涉及保密问题，无署名争议等。</w:t>
      </w:r>
    </w:p>
    <w:p w14:paraId="6653481C" w14:textId="49868A58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5.所有署名作者均符合期刊关于作者资格的要求，不可随意增减、修改作者。</w:t>
      </w:r>
    </w:p>
    <w:p w14:paraId="24023A75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6.对他人的研究成果给予客观评价，并在稿件中正确标引。</w:t>
      </w:r>
    </w:p>
    <w:p w14:paraId="04895DA5" w14:textId="0A21B0C1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7.在稿件中写明与该研究有关的资助信息，不可写与该研究无关的其他资助信息。</w:t>
      </w:r>
    </w:p>
    <w:p w14:paraId="24DA2CD4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8.不准提供虚假同行评审人信息。</w:t>
      </w:r>
    </w:p>
    <w:p w14:paraId="60F68918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9.尊重审稿专家的意见，如有异议，可以向编辑部提出申诉。</w:t>
      </w:r>
    </w:p>
    <w:p w14:paraId="6CF653E1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 w:rsidRPr="00AC79C8">
        <w:rPr>
          <w:rFonts w:ascii="黑体" w:eastAsia="黑体" w:hAnsi="黑体" w:hint="eastAsia"/>
          <w:sz w:val="28"/>
          <w:szCs w:val="28"/>
        </w:rPr>
        <w:t>二、审稿专家伦理</w:t>
      </w:r>
    </w:p>
    <w:p w14:paraId="40FCC9BC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1.及时评审稿件并给出具体审稿意见，如果因故不能按时完成评审，应及时告知编辑部。</w:t>
      </w:r>
    </w:p>
    <w:p w14:paraId="3CD419D3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2.对稿件的评价科学、准确，不能有无礼、贬低、人身攻击的评语出现。</w:t>
      </w:r>
    </w:p>
    <w:p w14:paraId="2FEF760A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3.尊重作者的研究成果，对稿件内容保密，并且不能违规使用作者的研究成果。</w:t>
      </w:r>
    </w:p>
    <w:p w14:paraId="109034ED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4.与作者、组织等存在竞争、合作或其他关联利益冲突时，主动回避评审该稿件。</w:t>
      </w:r>
    </w:p>
    <w:p w14:paraId="074B3308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 w:rsidRPr="00AC79C8">
        <w:rPr>
          <w:rFonts w:ascii="黑体" w:eastAsia="黑体" w:hAnsi="黑体" w:hint="eastAsia"/>
          <w:sz w:val="28"/>
          <w:szCs w:val="28"/>
        </w:rPr>
        <w:t>三、编辑伦理</w:t>
      </w:r>
    </w:p>
    <w:p w14:paraId="6AF15F98" w14:textId="55E5D116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1.编辑出版过程中，注重出版规范。</w:t>
      </w:r>
    </w:p>
    <w:p w14:paraId="48ED3212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2.编辑应遵守保密原则，对作者、审稿专家的信息保密，对作者的研究内容保密。</w:t>
      </w:r>
    </w:p>
    <w:p w14:paraId="4EA6AD16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3.编辑不得受利益驱使干预同行评价，努力保证同行专家的独立评审，以确保同行评议的公平公正。</w:t>
      </w:r>
    </w:p>
    <w:p w14:paraId="6B4B08F2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4.编辑应尽可能给作者提供详尽的修改意见或退稿理由。</w:t>
      </w:r>
    </w:p>
    <w:p w14:paraId="38A31198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5.尊重审稿专家的意见，如作者有异议，允许作者提出申诉</w:t>
      </w:r>
    </w:p>
    <w:p w14:paraId="62E6BA6D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黑体" w:eastAsia="黑体" w:hAnsi="黑体" w:hint="eastAsia"/>
          <w:sz w:val="28"/>
          <w:szCs w:val="28"/>
        </w:rPr>
      </w:pPr>
      <w:r w:rsidRPr="00AC79C8">
        <w:rPr>
          <w:rFonts w:ascii="黑体" w:eastAsia="黑体" w:hAnsi="黑体" w:hint="eastAsia"/>
          <w:sz w:val="28"/>
          <w:szCs w:val="28"/>
        </w:rPr>
        <w:lastRenderedPageBreak/>
        <w:t>四、出版者伦理</w:t>
      </w:r>
    </w:p>
    <w:p w14:paraId="488AC901" w14:textId="6C93135A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1.本刊遵循首发的原则，只报道原创研究成果。</w:t>
      </w:r>
    </w:p>
    <w:p w14:paraId="0F4E0A4D" w14:textId="77777777" w:rsidR="00AC79C8" w:rsidRP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2.对已经定稿录用的稿件，若发现存在学术不端行为，本刊有权退稿，并通告作者单位和相关期刊。</w:t>
      </w:r>
    </w:p>
    <w:p w14:paraId="059B1786" w14:textId="3FEDE4C5" w:rsidR="00AC79C8" w:rsidRDefault="00AC79C8" w:rsidP="00AC79C8">
      <w:pPr>
        <w:spacing w:line="400" w:lineRule="exact"/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AC79C8">
        <w:rPr>
          <w:rFonts w:ascii="仿宋" w:eastAsia="仿宋" w:hAnsi="仿宋" w:hint="eastAsia"/>
          <w:sz w:val="28"/>
          <w:szCs w:val="28"/>
        </w:rPr>
        <w:t>3.对已经发表的论文，若发现存在学术不端行为，本刊将作撤稿处理，刊登撤稿声明。</w:t>
      </w:r>
    </w:p>
    <w:sectPr w:rsidR="00AC7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0BD"/>
    <w:rsid w:val="00132DCB"/>
    <w:rsid w:val="004623D2"/>
    <w:rsid w:val="005615A5"/>
    <w:rsid w:val="008A17A7"/>
    <w:rsid w:val="00925030"/>
    <w:rsid w:val="00AC79C8"/>
    <w:rsid w:val="00BE3164"/>
    <w:rsid w:val="00ED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ED258"/>
  <w15:chartTrackingRefBased/>
  <w15:docId w15:val="{9802BBCC-B386-4D88-A9B1-434C3BAAC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00B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00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00B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00BD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00BD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00BD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00BD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00BD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00BD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00B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D00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D00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D00BD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D00BD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D00BD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D00BD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D00BD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D00BD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D00B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D00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D00B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D00B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D00B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D00B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D00B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D00B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D00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D00B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D00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667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翔 张</dc:creator>
  <cp:keywords/>
  <dc:description/>
  <cp:lastModifiedBy>翔 张</cp:lastModifiedBy>
  <cp:revision>2</cp:revision>
  <dcterms:created xsi:type="dcterms:W3CDTF">2026-07-22T09:46:00Z</dcterms:created>
  <dcterms:modified xsi:type="dcterms:W3CDTF">2026-07-22T09:46:00Z</dcterms:modified>
</cp:coreProperties>
</file>