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65E8">
      <w:pPr>
        <w:jc w:val="both"/>
        <w:rPr>
          <w:rFonts w:hint="default" w:ascii="宋体" w:hAnsi="宋体" w:eastAsia="宋体" w:cs="Times New Roman"/>
          <w:b/>
          <w:bCs/>
          <w:sz w:val="32"/>
          <w:szCs w:val="32"/>
          <w:lang w:val="en-US" w:eastAsia="zh-CN"/>
        </w:rPr>
      </w:pPr>
      <w:bookmarkStart w:id="0" w:name="_Hlk224569574"/>
      <w:bookmarkStart w:id="1" w:name="_Hlk224734739"/>
      <w:r>
        <w:rPr>
          <w:rFonts w:hint="eastAsia" w:ascii="宋体" w:hAnsi="宋体" w:eastAsia="宋体" w:cs="Times New Roman"/>
          <w:b/>
          <w:bCs/>
          <w:sz w:val="32"/>
          <w:szCs w:val="32"/>
          <w:lang w:val="en-US" w:eastAsia="zh-CN"/>
        </w:rPr>
        <w:t>理论类文章长摘要模板</w:t>
      </w:r>
    </w:p>
    <w:bookmarkEnd w:id="0"/>
    <w:p w14:paraId="722BFC38">
      <w:pPr>
        <w:jc w:val="center"/>
        <w:rPr>
          <w:rFonts w:ascii="宋体" w:hAnsi="宋体" w:eastAsia="宋体" w:cs="Times New Roman"/>
          <w:b/>
          <w:bCs/>
          <w:sz w:val="24"/>
          <w:szCs w:val="24"/>
        </w:rPr>
      </w:pPr>
      <w:r>
        <w:rPr>
          <w:rFonts w:hint="eastAsia" w:ascii="宋体" w:hAnsi="宋体" w:eastAsia="宋体" w:cs="Times New Roman"/>
          <w:b/>
          <w:bCs/>
          <w:sz w:val="32"/>
          <w:szCs w:val="32"/>
        </w:rPr>
        <w:t>充分发挥新消费引领作用：</w:t>
      </w:r>
      <w:r>
        <w:rPr>
          <w:rFonts w:ascii="宋体" w:hAnsi="宋体" w:eastAsia="宋体" w:cs="Times New Roman"/>
          <w:b/>
          <w:bCs/>
          <w:sz w:val="32"/>
          <w:szCs w:val="32"/>
        </w:rPr>
        <w:br w:type="textWrapping" w:clear="all"/>
      </w:r>
      <w:r>
        <w:rPr>
          <w:rFonts w:hint="eastAsia" w:ascii="宋体" w:hAnsi="宋体" w:eastAsia="宋体" w:cs="Times New Roman"/>
          <w:b/>
          <w:bCs/>
          <w:sz w:val="32"/>
          <w:szCs w:val="32"/>
        </w:rPr>
        <w:t>“十四五”回顾与“十五五”展望</w:t>
      </w:r>
    </w:p>
    <w:p w14:paraId="6FAE4373">
      <w:pPr>
        <w:jc w:val="center"/>
        <w:rPr>
          <w:rFonts w:ascii="黑体" w:hAnsi="黑体" w:eastAsia="黑体"/>
          <w:szCs w:val="21"/>
        </w:rPr>
      </w:pPr>
      <w:r>
        <w:rPr>
          <w:rFonts w:hint="eastAsia" w:ascii="宋体" w:hAnsi="宋体" w:eastAsia="宋体" w:cs="Times New Roman"/>
          <w:szCs w:val="24"/>
        </w:rPr>
        <w:t>毛中根</w:t>
      </w:r>
      <w:r>
        <w:rPr>
          <w:rFonts w:hint="eastAsia" w:ascii="宋体" w:hAnsi="宋体" w:eastAsia="宋体" w:cs="Times New Roman"/>
          <w:szCs w:val="24"/>
          <w:lang w:eastAsia="zh-CN"/>
        </w:rPr>
        <w:t>，</w:t>
      </w:r>
      <w:r>
        <w:rPr>
          <w:rFonts w:hint="eastAsia" w:ascii="宋体" w:hAnsi="宋体" w:eastAsia="宋体" w:cs="Times New Roman"/>
          <w:szCs w:val="24"/>
        </w:rPr>
        <w:t>苏</w:t>
      </w:r>
      <w:r>
        <w:rPr>
          <w:rFonts w:hint="eastAsia" w:ascii="宋体" w:hAnsi="宋体" w:eastAsia="宋体" w:cs="Times New Roman"/>
          <w:szCs w:val="24"/>
          <w:lang w:val="en-US" w:eastAsia="zh-CN"/>
        </w:rPr>
        <w:t xml:space="preserve">  </w:t>
      </w:r>
      <w:r>
        <w:rPr>
          <w:rFonts w:hint="eastAsia" w:ascii="宋体" w:hAnsi="宋体" w:eastAsia="宋体" w:cs="Times New Roman"/>
          <w:szCs w:val="24"/>
        </w:rPr>
        <w:t>虹</w:t>
      </w:r>
    </w:p>
    <w:p w14:paraId="53AD7243">
      <w:pPr>
        <w:jc w:val="center"/>
      </w:pPr>
      <w:r>
        <w:rPr>
          <w:rFonts w:hint="eastAsia" w:ascii="Times New Roman" w:hAnsi="Times New Roman" w:eastAsia="宋体" w:cs="Times New Roman"/>
          <w:sz w:val="18"/>
          <w:szCs w:val="18"/>
        </w:rPr>
        <w:t>（</w:t>
      </w:r>
      <w:r>
        <w:rPr>
          <w:rFonts w:hint="eastAsia" w:ascii="宋体" w:hAnsi="宋体" w:eastAsia="宋体" w:cs="Times New Roman"/>
          <w:sz w:val="18"/>
          <w:szCs w:val="18"/>
        </w:rPr>
        <w:t>西南财经大学 中国西部经济研究院</w:t>
      </w:r>
      <w:r>
        <w:rPr>
          <w:rFonts w:hint="eastAsia" w:ascii="Times New Roman" w:hAnsi="Times New Roman" w:eastAsia="宋体" w:cs="Times New Roman"/>
          <w:sz w:val="18"/>
          <w:szCs w:val="18"/>
        </w:rPr>
        <w:t xml:space="preserve">，四川  成都  </w:t>
      </w:r>
      <w:r>
        <w:rPr>
          <w:rFonts w:hint="eastAsia" w:ascii="宋体" w:hAnsi="宋体" w:eastAsia="宋体" w:cs="Times New Roman"/>
          <w:sz w:val="18"/>
          <w:szCs w:val="18"/>
        </w:rPr>
        <w:t>611130</w:t>
      </w:r>
      <w:r>
        <w:rPr>
          <w:rFonts w:hint="eastAsia" w:ascii="Times New Roman" w:hAnsi="Times New Roman" w:eastAsia="宋体" w:cs="Times New Roman"/>
          <w:sz w:val="18"/>
          <w:szCs w:val="18"/>
        </w:rPr>
        <w:t>）</w:t>
      </w:r>
    </w:p>
    <w:p w14:paraId="75B9AD57">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宋体" w:hAnsi="宋体" w:eastAsia="宋体" w:cs="宋体"/>
          <w:sz w:val="21"/>
          <w:szCs w:val="21"/>
        </w:rPr>
      </w:pPr>
      <w:r>
        <w:rPr>
          <w:rFonts w:hint="eastAsia" w:ascii="宋体" w:hAnsi="宋体" w:eastAsia="宋体" w:cs="宋体"/>
          <w:b/>
          <w:sz w:val="21"/>
          <w:szCs w:val="21"/>
        </w:rPr>
        <w:t>摘  要</w:t>
      </w:r>
      <w:r>
        <w:rPr>
          <w:rFonts w:hint="eastAsia" w:ascii="宋体" w:hAnsi="宋体" w:eastAsia="宋体" w:cs="宋体"/>
          <w:color w:val="000000"/>
          <w:sz w:val="21"/>
          <w:szCs w:val="21"/>
        </w:rPr>
        <w:t>：</w:t>
      </w:r>
      <w:r>
        <w:rPr>
          <w:rFonts w:hint="eastAsia" w:ascii="宋体" w:hAnsi="宋体" w:eastAsia="宋体" w:cs="宋体"/>
          <w:sz w:val="21"/>
          <w:szCs w:val="21"/>
        </w:rPr>
        <w:t>近年来，以网络购物、移动支付、线上线下融合等新业态新模式为特征的新消费迅速发展，已成为扩大内需、带动经济增长的重要引擎。“十四五”时期，中国新消费发展取得显著成效。一是新消费规模持续扩大，数字消费、绿色消费、健康消费等重点新消费领域发展迅猛，成为消费增长亮点。二是农村地区新消费市场快速发展，城乡消费差距持续收窄。三是新消费领域品类丰富、品质升级，智能家居、服务消费等表现活跃。四是新消费软硬环境系统性改善，制度体系持续优化，基础设施能级显著跃升。新消费成为扩大内需的重要组成部分。</w:t>
      </w:r>
    </w:p>
    <w:p w14:paraId="6861C665">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面向“十五五”时期，发展新消费具有重要战略作用。作为畅通国内大循环的必然选择，新消费以新业态催生新需求，以需求升级牵引新供给，通过优化分配与流通效率，推动供需在更高水平上实现动态平衡。作为现代化产业体系建设的方向引领，新消费将智能化、绿色化、服务化的理念深度嵌入产业链条，为中国式现代化夯实物质技术基础。更重要的是，新消费通过提供更优质的产品与服务，创造更便捷的消费场景，让绿色健康的生活方式成为常态，更好满足人民美好生活需要。电商直播、即时零售、智慧养老等新消费业态直接创造就业岗位，新消费带动产业链升级，则间接拓展就业空间，为实现高质量充分就业开辟新路径。在可持续发展层面，新消费以市场需求推动资源集约与技术创新，让绿色低碳从理念落地为日常，成为推动经济社会全面转型的重要手段。</w:t>
      </w:r>
    </w:p>
    <w:p w14:paraId="7B4FA1EF">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然而，潜力释放仍面临三重梗阻。消费主体端，收入增速放缓与超时工作形成“没钱花”与“没空花”的双重挤压，叠加不确定性预期下的预防性储蓄，削弱消费意愿；供给端，传统企业数智化转型迟缓，高品质、个性化产品供给不足，国牌出海仍困于“有产品无品牌”的尴尬；环境端，冷链物流在县域仍有盲点，算法歧视、数据滥用等新型侵权手段挑战监管能力，维权机制尚未与直播电商等新业态完全适配。</w:t>
      </w:r>
    </w:p>
    <w:p w14:paraId="75B66E56">
      <w:pPr>
        <w:keepNext w:val="0"/>
        <w:keepLines w:val="0"/>
        <w:pageBreakBefore w:val="0"/>
        <w:widowControl w:val="0"/>
        <w:kinsoku/>
        <w:wordWrap/>
        <w:overflowPunct/>
        <w:topLinePunct w:val="0"/>
        <w:autoSpaceDE/>
        <w:autoSpaceDN/>
        <w:bidi w:val="0"/>
        <w:adjustRightInd/>
        <w:snapToGrid/>
        <w:spacing w:after="0" w:line="279"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十五五”时期，应着力增强新消费主体消费增长内生动力，通过夯实收入基础、保障消费时间、改善消费预期，缓解消费能力、时间与意愿约束；扩大新消费领域优质产品与服务供给，强化创新驱动、完善标准体系、加强品牌建设，提升供给能力与品质；加强新消费服务保障能力，系统完善消费基础设施网络，建立健全适应新消费的管理制度，全面加强消费者权益保护，进而推动新消费持续健康发展，充分发挥新消费对经济发展的引领作用。</w:t>
      </w:r>
    </w:p>
    <w:p w14:paraId="0E3F8671">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rPr>
        <w:t>关键词</w:t>
      </w:r>
      <w:r>
        <w:rPr>
          <w:rFonts w:hint="eastAsia" w:ascii="宋体" w:hAnsi="宋体" w:eastAsia="宋体" w:cs="宋体"/>
          <w:color w:val="000000"/>
          <w:sz w:val="21"/>
          <w:szCs w:val="21"/>
        </w:rPr>
        <w:t>：</w:t>
      </w:r>
      <w:r>
        <w:rPr>
          <w:rFonts w:hint="eastAsia" w:ascii="宋体" w:hAnsi="宋体" w:eastAsia="宋体" w:cs="宋体"/>
          <w:sz w:val="21"/>
          <w:szCs w:val="21"/>
        </w:rPr>
        <w:t>新消费；扩大内需；国内大循环；现代化产业体系</w:t>
      </w:r>
    </w:p>
    <w:p w14:paraId="1404B3FC">
      <w:pPr>
        <w:rPr>
          <w:rFonts w:ascii="宋体" w:hAnsi="宋体" w:eastAsia="宋体" w:cs="宋体"/>
          <w:szCs w:val="21"/>
        </w:rPr>
      </w:pPr>
    </w:p>
    <w:p w14:paraId="74D5B88B">
      <w:pPr>
        <w:rPr>
          <w:rFonts w:ascii="宋体" w:hAnsi="宋体" w:eastAsia="宋体" w:cs="宋体"/>
          <w:szCs w:val="21"/>
        </w:rPr>
      </w:pPr>
    </w:p>
    <w:p w14:paraId="0A964091">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cs="Times New Roman"/>
          <w:b/>
          <w:bCs/>
          <w:sz w:val="28"/>
          <w:szCs w:val="32"/>
        </w:rPr>
      </w:pPr>
      <w:r>
        <w:rPr>
          <w:rFonts w:ascii="Times New Roman" w:hAnsi="Times New Roman" w:cs="Times New Roman"/>
          <w:b/>
          <w:bCs/>
          <w:sz w:val="28"/>
          <w:szCs w:val="32"/>
        </w:rPr>
        <w:t xml:space="preserve">Leveraging the </w:t>
      </w:r>
      <w:r>
        <w:rPr>
          <w:rFonts w:hint="eastAsia" w:ascii="Times New Roman" w:hAnsi="Times New Roman" w:cs="Times New Roman"/>
          <w:b/>
          <w:bCs/>
          <w:sz w:val="28"/>
          <w:szCs w:val="32"/>
        </w:rPr>
        <w:t>L</w:t>
      </w:r>
      <w:r>
        <w:rPr>
          <w:rFonts w:ascii="Times New Roman" w:hAnsi="Times New Roman" w:cs="Times New Roman"/>
          <w:b/>
          <w:bCs/>
          <w:sz w:val="28"/>
          <w:szCs w:val="32"/>
        </w:rPr>
        <w:t>eading Role of New Consumption: A Review of the 14th Five-Year Plan Period and Prospects for the 15th Five-Year Plan Period</w:t>
      </w:r>
    </w:p>
    <w:p w14:paraId="6E28328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cs="Times New Roman"/>
          <w:szCs w:val="21"/>
        </w:rPr>
      </w:pPr>
      <w:r>
        <w:rPr>
          <w:rFonts w:ascii="Times New Roman" w:hAnsi="Times New Roman" w:cs="Times New Roman"/>
          <w:szCs w:val="21"/>
        </w:rPr>
        <w:t>MAO Zhonggen, SU Hong</w:t>
      </w:r>
    </w:p>
    <w:p w14:paraId="0F6BCB04">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cs="Times New Roman"/>
          <w:b/>
        </w:rPr>
      </w:pPr>
      <w:r>
        <w:rPr>
          <w:rFonts w:ascii="Times New Roman" w:hAnsi="Times New Roman" w:cs="Times New Roman"/>
          <w:vertAlign w:val="superscript"/>
        </w:rPr>
        <w:t xml:space="preserve"> </w:t>
      </w:r>
      <w:r>
        <w:rPr>
          <w:rFonts w:hint="eastAsia" w:ascii="Times New Roman" w:hAnsi="Times New Roman" w:cs="Times New Roman"/>
          <w:sz w:val="18"/>
          <w:szCs w:val="18"/>
        </w:rPr>
        <w:t>(</w:t>
      </w:r>
      <w:r>
        <w:rPr>
          <w:rFonts w:ascii="Times New Roman" w:hAnsi="Times New Roman" w:cs="Times New Roman"/>
          <w:sz w:val="18"/>
          <w:szCs w:val="18"/>
        </w:rPr>
        <w:t>Institute of Western China Economic Research, Southwestern University of Finance and Economics, Chengdu 611130, China)</w:t>
      </w:r>
    </w:p>
    <w:p w14:paraId="488D92BC">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cs="Times New Roman"/>
          <w:sz w:val="18"/>
          <w:szCs w:val="18"/>
        </w:rPr>
      </w:pPr>
      <w:r>
        <w:rPr>
          <w:rFonts w:ascii="Times New Roman" w:hAnsi="Times New Roman" w:eastAsia="等线" w:cs="Times New Roman"/>
          <w:b/>
          <w:bCs/>
          <w:sz w:val="18"/>
          <w:szCs w:val="18"/>
        </w:rPr>
        <w:t>Summary:</w:t>
      </w:r>
      <w:r>
        <w:rPr>
          <w:rFonts w:hint="eastAsia" w:ascii="Times New Roman" w:hAnsi="Times New Roman" w:eastAsia="等线" w:cs="Times New Roman"/>
          <w:b/>
          <w:bCs/>
          <w:sz w:val="18"/>
          <w:szCs w:val="18"/>
        </w:rPr>
        <w:t xml:space="preserve"> </w:t>
      </w:r>
      <w:r>
        <w:rPr>
          <w:rFonts w:ascii="Times New Roman" w:hAnsi="Times New Roman" w:cs="Times New Roman"/>
          <w:sz w:val="18"/>
          <w:szCs w:val="18"/>
        </w:rPr>
        <w:t>In recent years, new consumption</w:t>
      </w:r>
      <w:r>
        <w:rPr>
          <w:rFonts w:hint="eastAsia" w:ascii="Times New Roman" w:hAnsi="Times New Roman" w:cs="Times New Roman"/>
          <w:sz w:val="18"/>
          <w:szCs w:val="18"/>
        </w:rPr>
        <w:t xml:space="preserve">, </w:t>
      </w:r>
      <w:r>
        <w:rPr>
          <w:rFonts w:ascii="Times New Roman" w:hAnsi="Times New Roman" w:cs="Times New Roman"/>
          <w:sz w:val="18"/>
          <w:szCs w:val="18"/>
        </w:rPr>
        <w:t>characterized by new business forms and models</w:t>
      </w:r>
      <w:r>
        <w:rPr>
          <w:rFonts w:hint="eastAsia" w:ascii="Times New Roman" w:hAnsi="Times New Roman" w:cs="Times New Roman"/>
          <w:sz w:val="18"/>
          <w:szCs w:val="18"/>
        </w:rPr>
        <w:t xml:space="preserve">, such as </w:t>
      </w:r>
      <w:r>
        <w:rPr>
          <w:rFonts w:ascii="Times New Roman" w:hAnsi="Times New Roman" w:cs="Times New Roman"/>
          <w:sz w:val="18"/>
          <w:szCs w:val="18"/>
        </w:rPr>
        <w:t>online shopping, mobile payment, and online-offline integration</w:t>
      </w:r>
      <w:r>
        <w:rPr>
          <w:rFonts w:hint="eastAsia" w:ascii="Times New Roman" w:hAnsi="Times New Roman" w:cs="Times New Roman"/>
          <w:sz w:val="18"/>
          <w:szCs w:val="18"/>
        </w:rPr>
        <w:t xml:space="preserve">, </w:t>
      </w:r>
      <w:r>
        <w:rPr>
          <w:rFonts w:ascii="Times New Roman" w:hAnsi="Times New Roman" w:cs="Times New Roman"/>
          <w:sz w:val="18"/>
          <w:szCs w:val="18"/>
        </w:rPr>
        <w:t>has developed rapidly and</w:t>
      </w:r>
      <w:r>
        <w:rPr>
          <w:rFonts w:hint="eastAsia" w:ascii="Times New Roman" w:hAnsi="Times New Roman" w:cs="Times New Roman"/>
          <w:sz w:val="18"/>
          <w:szCs w:val="18"/>
        </w:rPr>
        <w:t xml:space="preserve"> </w:t>
      </w:r>
      <w:r>
        <w:rPr>
          <w:rFonts w:ascii="Times New Roman" w:hAnsi="Times New Roman" w:cs="Times New Roman"/>
          <w:sz w:val="18"/>
          <w:szCs w:val="18"/>
        </w:rPr>
        <w:t>become a key engine for expanding domestic demand and driving economic growth. During the 14th Five-Year Plan period, China’s new consumption sector achieved notable progress. Its scale expanded as digital, green, and health consumption grew rapidly</w:t>
      </w:r>
      <w:r>
        <w:rPr>
          <w:rFonts w:hint="eastAsia" w:ascii="Times New Roman" w:hAnsi="Times New Roman" w:cs="Times New Roman"/>
          <w:sz w:val="18"/>
          <w:szCs w:val="18"/>
        </w:rPr>
        <w:t xml:space="preserve">, </w:t>
      </w:r>
      <w:r>
        <w:rPr>
          <w:rFonts w:ascii="Times New Roman" w:hAnsi="Times New Roman" w:cs="Times New Roman"/>
          <w:sz w:val="18"/>
          <w:szCs w:val="18"/>
        </w:rPr>
        <w:t>becoming highlights of consumption growth. Rural markets developed quickly, narrowing the urban-rural consumption gap. Consumption categories diversified and upgraded, with smart homes and service-oriented consumption showing strong performance. Both the institutional framework and infrastructure supporting new consumption improved significantly.</w:t>
      </w:r>
      <w:r>
        <w:rPr>
          <w:rFonts w:hint="eastAsia" w:ascii="Times New Roman" w:hAnsi="Times New Roman" w:cs="Times New Roman"/>
          <w:sz w:val="18"/>
          <w:szCs w:val="18"/>
        </w:rPr>
        <w:t xml:space="preserve"> </w:t>
      </w:r>
      <w:r>
        <w:rPr>
          <w:rFonts w:ascii="Times New Roman" w:hAnsi="Times New Roman" w:cs="Times New Roman"/>
          <w:sz w:val="18"/>
          <w:szCs w:val="18"/>
        </w:rPr>
        <w:t>As a result, new consumption has become an integral component of efforts to expand domestic demand.</w:t>
      </w:r>
    </w:p>
    <w:p w14:paraId="0C8B9D45">
      <w:pPr>
        <w:keepNext w:val="0"/>
        <w:keepLines w:val="0"/>
        <w:pageBreakBefore w:val="0"/>
        <w:widowControl w:val="0"/>
        <w:kinsoku/>
        <w:wordWrap/>
        <w:overflowPunct/>
        <w:topLinePunct w:val="0"/>
        <w:autoSpaceDE/>
        <w:autoSpaceDN/>
        <w:bidi w:val="0"/>
        <w:adjustRightInd/>
        <w:snapToGrid/>
        <w:spacing w:after="0" w:line="320" w:lineRule="exact"/>
        <w:ind w:firstLine="360" w:firstLineChars="200"/>
        <w:textAlignment w:val="auto"/>
        <w:rPr>
          <w:rFonts w:ascii="Times New Roman" w:hAnsi="Times New Roman" w:cs="Times New Roman"/>
          <w:sz w:val="18"/>
          <w:szCs w:val="18"/>
        </w:rPr>
      </w:pPr>
      <w:r>
        <w:rPr>
          <w:rFonts w:ascii="Times New Roman" w:hAnsi="Times New Roman" w:cs="Times New Roman"/>
          <w:sz w:val="18"/>
          <w:szCs w:val="18"/>
        </w:rPr>
        <w:t xml:space="preserve">Looking toward the 15th Five-Year Plan period, the strategic importance of new consumption is evident. It is essential for unlocking the domestic </w:t>
      </w:r>
      <w:r>
        <w:rPr>
          <w:rFonts w:hint="eastAsia" w:ascii="Times New Roman" w:hAnsi="Times New Roman" w:cs="Times New Roman"/>
          <w:sz w:val="18"/>
          <w:szCs w:val="18"/>
        </w:rPr>
        <w:t>economy</w:t>
      </w:r>
      <w:r>
        <w:rPr>
          <w:rFonts w:ascii="Times New Roman" w:hAnsi="Times New Roman" w:cs="Times New Roman"/>
          <w:sz w:val="18"/>
          <w:szCs w:val="18"/>
        </w:rPr>
        <w:t xml:space="preserve"> by generating new demand through </w:t>
      </w:r>
      <w:r>
        <w:rPr>
          <w:rFonts w:hint="eastAsia" w:ascii="Times New Roman" w:hAnsi="Times New Roman" w:cs="Times New Roman"/>
          <w:sz w:val="18"/>
          <w:szCs w:val="18"/>
        </w:rPr>
        <w:t>new</w:t>
      </w:r>
      <w:r>
        <w:rPr>
          <w:rFonts w:ascii="Times New Roman" w:hAnsi="Times New Roman" w:cs="Times New Roman"/>
          <w:sz w:val="18"/>
          <w:szCs w:val="18"/>
        </w:rPr>
        <w:t xml:space="preserve"> </w:t>
      </w:r>
      <w:r>
        <w:rPr>
          <w:rFonts w:hint="eastAsia" w:ascii="Times New Roman" w:hAnsi="Times New Roman" w:cs="Times New Roman"/>
          <w:sz w:val="18"/>
          <w:szCs w:val="18"/>
        </w:rPr>
        <w:t>business forms</w:t>
      </w:r>
      <w:r>
        <w:rPr>
          <w:rFonts w:ascii="Times New Roman" w:hAnsi="Times New Roman" w:cs="Times New Roman"/>
          <w:sz w:val="18"/>
          <w:szCs w:val="18"/>
        </w:rPr>
        <w:t xml:space="preserve"> and driving supply-side upgrades. By enhancing distribution </w:t>
      </w:r>
      <w:r>
        <w:rPr>
          <w:rFonts w:hint="eastAsia" w:ascii="Times New Roman" w:hAnsi="Times New Roman" w:cs="Times New Roman"/>
          <w:sz w:val="18"/>
          <w:szCs w:val="18"/>
        </w:rPr>
        <w:t xml:space="preserve">and </w:t>
      </w:r>
      <w:r>
        <w:rPr>
          <w:rFonts w:ascii="Times New Roman" w:hAnsi="Times New Roman" w:cs="Times New Roman"/>
          <w:sz w:val="18"/>
          <w:szCs w:val="18"/>
        </w:rPr>
        <w:t>circulation</w:t>
      </w:r>
      <w:r>
        <w:rPr>
          <w:rFonts w:hint="eastAsia" w:ascii="Times New Roman" w:hAnsi="Times New Roman" w:cs="Times New Roman"/>
          <w:sz w:val="18"/>
          <w:szCs w:val="18"/>
        </w:rPr>
        <w:t xml:space="preserve"> </w:t>
      </w:r>
      <w:r>
        <w:rPr>
          <w:rFonts w:ascii="Times New Roman" w:hAnsi="Times New Roman" w:cs="Times New Roman"/>
          <w:sz w:val="18"/>
          <w:szCs w:val="18"/>
        </w:rPr>
        <w:t>efficiency, it fosters a higher-level balance between supply and demand. It also guides the construction of a modern industrial system by embedding intelligence, sustainability, and service orientation into industrial chains, solidifying the material and technological foundation for Chinese modernization. New consumption delivers better products and services, creates convenient scenarios, and normalizes green lifestyles, better meet</w:t>
      </w:r>
      <w:r>
        <w:rPr>
          <w:rFonts w:hint="eastAsia" w:ascii="Times New Roman" w:hAnsi="Times New Roman" w:cs="Times New Roman"/>
          <w:sz w:val="18"/>
          <w:szCs w:val="18"/>
        </w:rPr>
        <w:t>ing the</w:t>
      </w:r>
      <w:r>
        <w:rPr>
          <w:rFonts w:ascii="Times New Roman" w:hAnsi="Times New Roman" w:cs="Times New Roman"/>
          <w:sz w:val="18"/>
          <w:szCs w:val="18"/>
        </w:rPr>
        <w:t xml:space="preserve"> people’s aspirations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for a better life. </w:t>
      </w:r>
      <w:r>
        <w:rPr>
          <w:rFonts w:hint="eastAsia" w:ascii="Times New Roman" w:hAnsi="Times New Roman" w:cs="Times New Roman"/>
          <w:sz w:val="18"/>
          <w:szCs w:val="18"/>
        </w:rPr>
        <w:t>New business</w:t>
      </w:r>
      <w:r>
        <w:rPr>
          <w:rFonts w:ascii="Times New Roman" w:hAnsi="Times New Roman" w:cs="Times New Roman"/>
          <w:sz w:val="18"/>
          <w:szCs w:val="18"/>
        </w:rPr>
        <w:t xml:space="preserve"> forms such as livestreaming e-commerce, instant retail, and smart elderly care directly create jobs, while industrial upgrading </w:t>
      </w:r>
      <w:r>
        <w:rPr>
          <w:rFonts w:hint="eastAsia" w:ascii="Times New Roman" w:hAnsi="Times New Roman" w:cs="Times New Roman"/>
          <w:sz w:val="18"/>
          <w:szCs w:val="18"/>
        </w:rPr>
        <w:t>driven by n</w:t>
      </w:r>
      <w:r>
        <w:rPr>
          <w:rFonts w:ascii="Times New Roman" w:hAnsi="Times New Roman" w:cs="Times New Roman"/>
          <w:sz w:val="18"/>
          <w:szCs w:val="18"/>
        </w:rPr>
        <w:t xml:space="preserve">ew consumption indirectly expands employment, contributing to high-quality and full employment. In terms of sustainability, </w:t>
      </w:r>
      <w:r>
        <w:rPr>
          <w:rFonts w:hint="eastAsia" w:ascii="Times New Roman" w:hAnsi="Times New Roman" w:cs="Times New Roman"/>
          <w:sz w:val="18"/>
          <w:szCs w:val="18"/>
        </w:rPr>
        <w:t>n</w:t>
      </w:r>
      <w:r>
        <w:rPr>
          <w:rFonts w:ascii="Times New Roman" w:hAnsi="Times New Roman" w:cs="Times New Roman"/>
          <w:sz w:val="18"/>
          <w:szCs w:val="18"/>
        </w:rPr>
        <w:t>ew consumption promotes resource efficiency and technological innovation, embedding green practices into daily life and driving economic and social transformation</w:t>
      </w:r>
      <w:r>
        <w:rPr>
          <w:rFonts w:hint="eastAsia" w:ascii="Times New Roman" w:hAnsi="Times New Roman" w:cs="Times New Roman"/>
          <w:sz w:val="18"/>
          <w:szCs w:val="18"/>
        </w:rPr>
        <w:t>.</w:t>
      </w:r>
    </w:p>
    <w:p w14:paraId="4FAE6152">
      <w:pPr>
        <w:keepNext w:val="0"/>
        <w:keepLines w:val="0"/>
        <w:pageBreakBefore w:val="0"/>
        <w:widowControl w:val="0"/>
        <w:kinsoku/>
        <w:wordWrap/>
        <w:overflowPunct/>
        <w:topLinePunct w:val="0"/>
        <w:autoSpaceDE/>
        <w:autoSpaceDN/>
        <w:bidi w:val="0"/>
        <w:adjustRightInd/>
        <w:snapToGrid/>
        <w:spacing w:after="0" w:line="320" w:lineRule="exact"/>
        <w:ind w:firstLine="360" w:firstLineChars="200"/>
        <w:textAlignment w:val="auto"/>
        <w:rPr>
          <w:rFonts w:ascii="Times New Roman" w:hAnsi="Times New Roman" w:cs="Times New Roman"/>
          <w:sz w:val="18"/>
          <w:szCs w:val="18"/>
        </w:rPr>
      </w:pPr>
      <w:r>
        <w:rPr>
          <w:rFonts w:ascii="Times New Roman" w:hAnsi="Times New Roman" w:cs="Times New Roman"/>
          <w:sz w:val="18"/>
          <w:szCs w:val="18"/>
        </w:rPr>
        <w:t>However, several obstacles hinder its potential. On the demand side, slowing income growth, overtime work, and precautionary savings due to uncertain expectations constrain consumption capacity and willingness. On the supply side, traditional enterprises lag in digital transformation, leading to insufficient high-quality</w:t>
      </w:r>
      <w:r>
        <w:rPr>
          <w:rFonts w:hint="eastAsia" w:ascii="Times New Roman" w:hAnsi="Times New Roman" w:cs="Times New Roman"/>
          <w:sz w:val="18"/>
          <w:szCs w:val="18"/>
        </w:rPr>
        <w:t>,</w:t>
      </w:r>
      <w:r>
        <w:rPr>
          <w:rFonts w:ascii="Times New Roman" w:hAnsi="Times New Roman" w:cs="Times New Roman"/>
          <w:sz w:val="18"/>
          <w:szCs w:val="18"/>
        </w:rPr>
        <w:t xml:space="preserve"> personalized</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products, while Chinese brands face the dilemma </w:t>
      </w:r>
      <w:r>
        <w:rPr>
          <w:rFonts w:hint="eastAsia" w:ascii="Times New Roman" w:hAnsi="Times New Roman" w:cs="Times New Roman"/>
          <w:sz w:val="18"/>
          <w:szCs w:val="18"/>
        </w:rPr>
        <w:t xml:space="preserve">of </w:t>
      </w:r>
      <w:r>
        <w:rPr>
          <w:rFonts w:ascii="Times New Roman" w:hAnsi="Times New Roman" w:cs="Times New Roman"/>
          <w:sz w:val="18"/>
          <w:szCs w:val="18"/>
        </w:rPr>
        <w:t xml:space="preserve">“products without brands” globally. On the environmental side, cold chain logistics gaps persist in counties, and new infringements like algorithmic discrimination </w:t>
      </w:r>
      <w:r>
        <w:rPr>
          <w:rFonts w:hint="eastAsia" w:ascii="Times New Roman" w:hAnsi="Times New Roman" w:cs="Times New Roman"/>
          <w:sz w:val="18"/>
          <w:szCs w:val="18"/>
        </w:rPr>
        <w:t xml:space="preserve">and </w:t>
      </w:r>
      <w:r>
        <w:rPr>
          <w:rFonts w:ascii="Times New Roman" w:hAnsi="Times New Roman" w:cs="Times New Roman"/>
          <w:sz w:val="18"/>
          <w:szCs w:val="18"/>
        </w:rPr>
        <w:t>data abuse challenge regulatory capabilities; consumer rights protection mechanisms lag behind new business</w:t>
      </w:r>
      <w:r>
        <w:rPr>
          <w:rFonts w:hint="eastAsia" w:ascii="Times New Roman" w:hAnsi="Times New Roman" w:cs="Times New Roman"/>
          <w:sz w:val="18"/>
          <w:szCs w:val="18"/>
        </w:rPr>
        <w:t xml:space="preserve"> </w:t>
      </w:r>
      <w:r>
        <w:rPr>
          <w:rFonts w:ascii="Times New Roman" w:hAnsi="Times New Roman" w:cs="Times New Roman"/>
          <w:sz w:val="18"/>
          <w:szCs w:val="18"/>
        </w:rPr>
        <w:t>forms like livestreaming e-commerce</w:t>
      </w:r>
      <w:r>
        <w:rPr>
          <w:rFonts w:hint="eastAsia" w:ascii="Times New Roman" w:hAnsi="Times New Roman" w:cs="Times New Roman"/>
          <w:sz w:val="18"/>
          <w:szCs w:val="18"/>
        </w:rPr>
        <w:t>.</w:t>
      </w:r>
    </w:p>
    <w:p w14:paraId="0F1B093C">
      <w:pPr>
        <w:keepNext w:val="0"/>
        <w:keepLines w:val="0"/>
        <w:pageBreakBefore w:val="0"/>
        <w:widowControl w:val="0"/>
        <w:kinsoku/>
        <w:wordWrap/>
        <w:overflowPunct/>
        <w:topLinePunct w:val="0"/>
        <w:autoSpaceDE/>
        <w:autoSpaceDN/>
        <w:bidi w:val="0"/>
        <w:adjustRightInd/>
        <w:snapToGrid/>
        <w:spacing w:after="0" w:line="320" w:lineRule="exact"/>
        <w:ind w:firstLine="360" w:firstLineChars="200"/>
        <w:textAlignment w:val="auto"/>
        <w:rPr>
          <w:rFonts w:ascii="Times New Roman" w:hAnsi="Times New Roman" w:cs="Times New Roman"/>
          <w:sz w:val="18"/>
          <w:szCs w:val="18"/>
        </w:rPr>
      </w:pPr>
      <w:r>
        <w:rPr>
          <w:rFonts w:ascii="Times New Roman" w:hAnsi="Times New Roman" w:cs="Times New Roman"/>
          <w:sz w:val="18"/>
          <w:szCs w:val="18"/>
        </w:rPr>
        <w:t>During the 15th Five-Year Plan period, efforts should focus on boosting endogenous growth momentum. This involves strengthening income foundations, safeguarding leisure time, and improving expectations to alleviate constraints</w:t>
      </w:r>
      <w:r>
        <w:rPr>
          <w:rFonts w:hint="eastAsia" w:ascii="Times New Roman" w:hAnsi="Times New Roman" w:cs="Times New Roman"/>
          <w:sz w:val="18"/>
          <w:szCs w:val="18"/>
        </w:rPr>
        <w:t xml:space="preserve"> on </w:t>
      </w:r>
      <w:r>
        <w:rPr>
          <w:rFonts w:ascii="Times New Roman" w:hAnsi="Times New Roman" w:cs="Times New Roman"/>
          <w:sz w:val="18"/>
          <w:szCs w:val="18"/>
        </w:rPr>
        <w:t>consumption capacity, time, and willingness</w:t>
      </w:r>
      <w:r>
        <w:rPr>
          <w:rFonts w:hint="eastAsia" w:ascii="Times New Roman" w:hAnsi="Times New Roman" w:cs="Times New Roman"/>
          <w:sz w:val="18"/>
          <w:szCs w:val="18"/>
        </w:rPr>
        <w:t xml:space="preserve">. It is crucial to </w:t>
      </w:r>
      <w:r>
        <w:rPr>
          <w:rFonts w:ascii="Times New Roman" w:hAnsi="Times New Roman" w:cs="Times New Roman"/>
          <w:sz w:val="18"/>
          <w:szCs w:val="18"/>
        </w:rPr>
        <w:t>expand the supply of high-quality products and services in the new consumption sector by strengthening innovation-driven development, improving standard systems, and enhancing brand building to boost supply capacity and quality</w:t>
      </w:r>
      <w:r>
        <w:rPr>
          <w:rFonts w:hint="eastAsia" w:ascii="Times New Roman" w:hAnsi="Times New Roman" w:cs="Times New Roman"/>
          <w:sz w:val="18"/>
          <w:szCs w:val="18"/>
        </w:rPr>
        <w:t xml:space="preserve">. </w:t>
      </w:r>
      <w:r>
        <w:rPr>
          <w:rFonts w:ascii="Times New Roman" w:hAnsi="Times New Roman" w:cs="Times New Roman"/>
          <w:sz w:val="18"/>
          <w:szCs w:val="18"/>
        </w:rPr>
        <w:t>Additionally, the service guarantee system must be improved by upgrading infrastructure, refining management systems tailored to new consumption, and strengthening consumer rights protection. These measures will ensure the sustained and healthy development of new consumption, thereby</w:t>
      </w:r>
      <w:r>
        <w:rPr>
          <w:rFonts w:hint="eastAsia" w:ascii="Times New Roman" w:hAnsi="Times New Roman" w:cs="Times New Roman"/>
          <w:sz w:val="18"/>
          <w:szCs w:val="18"/>
        </w:rPr>
        <w:t xml:space="preserve"> </w:t>
      </w:r>
      <w:r>
        <w:rPr>
          <w:rFonts w:ascii="Times New Roman" w:hAnsi="Times New Roman" w:cs="Times New Roman"/>
          <w:sz w:val="18"/>
          <w:szCs w:val="18"/>
        </w:rPr>
        <w:t>fully leveraging its leading role in economic growth.</w:t>
      </w:r>
    </w:p>
    <w:p w14:paraId="349F9860">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宋体" w:cs="Times New Roman"/>
          <w:b/>
          <w:bCs/>
          <w:sz w:val="18"/>
          <w:szCs w:val="18"/>
        </w:rPr>
      </w:pPr>
      <w:r>
        <w:rPr>
          <w:rFonts w:ascii="Times New Roman" w:hAnsi="Times New Roman" w:eastAsia="宋体" w:cs="Times New Roman"/>
          <w:b/>
          <w:bCs/>
          <w:sz w:val="18"/>
          <w:szCs w:val="18"/>
        </w:rPr>
        <w:t xml:space="preserve">Key words: </w:t>
      </w:r>
      <w:r>
        <w:rPr>
          <w:rFonts w:hint="eastAsia" w:ascii="Times New Roman" w:hAnsi="Times New Roman" w:eastAsia="宋体" w:cs="Times New Roman"/>
          <w:sz w:val="18"/>
          <w:szCs w:val="18"/>
        </w:rPr>
        <w:t xml:space="preserve">new consumption; </w:t>
      </w:r>
      <w:r>
        <w:rPr>
          <w:rFonts w:ascii="Times New Roman" w:hAnsi="Times New Roman" w:eastAsia="宋体" w:cs="Times New Roman"/>
          <w:sz w:val="18"/>
          <w:szCs w:val="18"/>
        </w:rPr>
        <w:t>expand</w:t>
      </w:r>
      <w:r>
        <w:rPr>
          <w:rFonts w:hint="eastAsia" w:ascii="Times New Roman" w:hAnsi="Times New Roman" w:eastAsia="宋体" w:cs="Times New Roman"/>
          <w:sz w:val="18"/>
          <w:szCs w:val="18"/>
        </w:rPr>
        <w:t>ing</w:t>
      </w:r>
      <w:r>
        <w:rPr>
          <w:rFonts w:ascii="Times New Roman" w:hAnsi="Times New Roman" w:eastAsia="宋体" w:cs="Times New Roman"/>
          <w:sz w:val="18"/>
          <w:szCs w:val="18"/>
        </w:rPr>
        <w:t xml:space="preserve"> domestic demand</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strong domestic economy; </w:t>
      </w:r>
      <w:r>
        <w:rPr>
          <w:rFonts w:hint="eastAsia" w:ascii="Times New Roman" w:hAnsi="Times New Roman" w:eastAsia="宋体" w:cs="Times New Roman"/>
          <w:sz w:val="18"/>
          <w:szCs w:val="18"/>
        </w:rPr>
        <w:t>m</w:t>
      </w:r>
      <w:r>
        <w:rPr>
          <w:rFonts w:ascii="Times New Roman" w:hAnsi="Times New Roman" w:eastAsia="宋体" w:cs="Times New Roman"/>
          <w:sz w:val="18"/>
          <w:szCs w:val="18"/>
        </w:rPr>
        <w:t>odern industrial system</w:t>
      </w:r>
    </w:p>
    <w:p w14:paraId="2F798FDC">
      <w:pPr>
        <w:rPr>
          <w:rFonts w:hint="eastAsia"/>
        </w:rPr>
      </w:pPr>
      <w:r>
        <w:rPr>
          <w:rFonts w:hint="eastAsia"/>
        </w:rPr>
        <w:t xml:space="preserve"> </w:t>
      </w:r>
    </w:p>
    <w:p w14:paraId="1F0C83EA">
      <w:pPr>
        <w:pStyle w:val="7"/>
        <w:spacing w:after="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实证类文章长摘要模板</w:t>
      </w:r>
    </w:p>
    <w:p w14:paraId="753E9D31">
      <w:pPr>
        <w:pStyle w:val="7"/>
        <w:spacing w:after="0"/>
        <w:jc w:val="both"/>
        <w:rPr>
          <w:rFonts w:hint="default" w:ascii="宋体" w:hAnsi="宋体" w:eastAsia="宋体" w:cs="宋体"/>
          <w:b/>
          <w:bCs/>
          <w:sz w:val="32"/>
          <w:szCs w:val="32"/>
          <w:lang w:val="en-US" w:eastAsia="zh-CN"/>
        </w:rPr>
      </w:pPr>
    </w:p>
    <w:bookmarkEnd w:id="1"/>
    <w:p w14:paraId="79D85D7D">
      <w:pPr>
        <w:pStyle w:val="12"/>
      </w:pPr>
      <w:r>
        <w:rPr>
          <w:rFonts w:hint="eastAsia" w:ascii="宋体" w:eastAsia="宋体" w:cs="宋体"/>
          <w:sz w:val="32"/>
          <w:szCs w:val="32"/>
        </w:rPr>
        <w:t>“人工智能+”如何赋能企业高质量发展？</w:t>
      </w:r>
    </w:p>
    <w:p w14:paraId="23A2DED9">
      <w:pPr>
        <w:widowControl/>
        <w:jc w:val="center"/>
        <w:rPr>
          <w:color w:val="000000"/>
        </w:rPr>
      </w:pPr>
      <w:r>
        <w:rPr>
          <w:rFonts w:hint="eastAsia"/>
          <w:color w:val="000000"/>
          <w:szCs w:val="21"/>
        </w:rPr>
        <w:t>师  博，阮连杰，侯迎信</w:t>
      </w:r>
    </w:p>
    <w:p w14:paraId="727A52A3">
      <w:pPr>
        <w:widowControl/>
        <w:jc w:val="center"/>
      </w:pPr>
      <w:r>
        <w:rPr>
          <w:rFonts w:hint="eastAsia" w:ascii="宋体" w:hAnsi="宋体" w:eastAsia="宋体" w:cs="宋体"/>
          <w:color w:val="000000"/>
          <w:szCs w:val="21"/>
        </w:rPr>
        <w:t>（南京大学 数字经济与管理学院，江苏  苏州  215163）</w:t>
      </w:r>
    </w:p>
    <w:p w14:paraId="3C97CBB1">
      <w:pPr>
        <w:pStyle w:val="13"/>
        <w:keepNext w:val="0"/>
        <w:keepLines w:val="0"/>
        <w:pageBreakBefore w:val="0"/>
        <w:widowControl/>
        <w:kinsoku/>
        <w:wordWrap/>
        <w:overflowPunct/>
        <w:topLinePunct w:val="0"/>
        <w:bidi w:val="0"/>
        <w:adjustRightInd/>
        <w:snapToGrid/>
        <w:spacing w:after="0" w:line="279" w:lineRule="auto"/>
        <w:ind w:firstLine="422"/>
        <w:jc w:val="left"/>
        <w:textAlignment w:val="auto"/>
        <w:rPr>
          <w:rFonts w:hint="eastAsia" w:ascii="宋体" w:hAnsi="宋体" w:eastAsia="宋体" w:cs="宋体"/>
          <w:b/>
          <w:bCs/>
          <w:sz w:val="21"/>
          <w:szCs w:val="21"/>
          <w:lang w:bidi="ar"/>
        </w:rPr>
      </w:pPr>
      <w:r>
        <w:rPr>
          <w:rFonts w:hint="eastAsia" w:ascii="宋体" w:hAnsi="宋体" w:eastAsia="宋体" w:cs="宋体"/>
          <w:b/>
          <w:bCs/>
          <w:sz w:val="21"/>
          <w:szCs w:val="21"/>
          <w:lang w:bidi="ar"/>
        </w:rPr>
        <w:t>梗 概：</w:t>
      </w:r>
      <w:r>
        <w:rPr>
          <w:rFonts w:hint="eastAsia" w:ascii="宋体" w:hAnsi="宋体" w:eastAsia="宋体" w:cs="宋体"/>
          <w:color w:val="000000" w:themeColor="text1"/>
          <w:sz w:val="21"/>
          <w:szCs w:val="21"/>
          <w14:textFill>
            <w14:solidFill>
              <w14:schemeClr w14:val="tx1"/>
            </w14:solidFill>
          </w14:textFill>
        </w:rPr>
        <w:t>伴随着人类社会从数字时代下的第三次工业革命迈向人工智能引领的第四次工业革命，中国经济已由数量型增长全面迈向经济高质量发展。企业是创新的主体，企业高质量发展是宏观经济高质量发展的微观缩影。当前，中国已搭建起较为全面的人工智能产业体系，大模型、智能体和具身智能等领域不断涌现突破式创新，推动企业高质量发展离不开“人工智能+”的关键性引领作用。</w:t>
      </w:r>
      <w:r>
        <w:rPr>
          <w:rFonts w:hint="eastAsia" w:ascii="宋体" w:hAnsi="宋体" w:eastAsia="宋体" w:cs="宋体"/>
          <w:sz w:val="21"/>
          <w:szCs w:val="21"/>
          <w:lang w:bidi="ar"/>
        </w:rPr>
        <w:t>在此背景下，推动</w:t>
      </w:r>
      <w:r>
        <w:rPr>
          <w:rFonts w:hint="eastAsia" w:ascii="宋体" w:hAnsi="宋体" w:eastAsia="宋体" w:cs="宋体"/>
          <w:color w:val="000000" w:themeColor="text1"/>
          <w:sz w:val="21"/>
          <w:szCs w:val="21"/>
          <w14:textFill>
            <w14:solidFill>
              <w14:schemeClr w14:val="tx1"/>
            </w14:solidFill>
          </w14:textFill>
        </w:rPr>
        <w:t>“人工智能+”在企业高质量发展过程中的广泛扩散与深度拓展，逐渐成为政策关注的重点。“人工智能+”能否赋能企业高质量发展，通过何种渠道赋能，</w:t>
      </w:r>
      <w:r>
        <w:rPr>
          <w:rFonts w:hint="eastAsia" w:ascii="宋体" w:hAnsi="宋体" w:eastAsia="宋体" w:cs="宋体"/>
          <w:sz w:val="21"/>
          <w:szCs w:val="21"/>
          <w:lang w:bidi="ar"/>
        </w:rPr>
        <w:t>成为当前亟须探讨的问题。</w:t>
      </w:r>
    </w:p>
    <w:p w14:paraId="6DECB563">
      <w:pPr>
        <w:pStyle w:val="13"/>
        <w:keepNext w:val="0"/>
        <w:keepLines w:val="0"/>
        <w:pageBreakBefore w:val="0"/>
        <w:widowControl/>
        <w:kinsoku/>
        <w:wordWrap/>
        <w:overflowPunct/>
        <w:topLinePunct w:val="0"/>
        <w:bidi w:val="0"/>
        <w:adjustRightInd/>
        <w:snapToGrid/>
        <w:spacing w:after="0" w:line="279" w:lineRule="auto"/>
        <w:ind w:firstLine="42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文基于2012—2023年中国沪深A股上市公司数据，采用双向固定效应模型实证检验“人工智能+”对企业高质量发展的影响及作用机制。研究结果显示：“人工智能+”能够赋能企业高质量发展，该结论在经过一系列内生性检验和稳健性检验后依然成立。异质性分析结果显示，“人工智能+”对大规模企业、高管教育背景多元化、行业竞争度较高、地区产业数字化水平较高地区、制度环境水平较高地区的企业高质量发展的赋能作用更显著。机制分析结果显示，“人工智能+”通过缓解企业融资约束、优化企业创新策略和提升产品竞争力赋能企业高质量发展。进一步分析结果显示，不同底层技术作用下的“人工智能+”均可有效赋能企业高质量发展，是一种全面化系统性赋能；“人工智能+”能够提高企业ESG水平，赋能企业实现生产经营与社会价值“双赢”的高质量发展。</w:t>
      </w:r>
    </w:p>
    <w:p w14:paraId="5F6E4651">
      <w:pPr>
        <w:pStyle w:val="13"/>
        <w:keepNext w:val="0"/>
        <w:keepLines w:val="0"/>
        <w:pageBreakBefore w:val="0"/>
        <w:widowControl/>
        <w:kinsoku/>
        <w:wordWrap/>
        <w:overflowPunct/>
        <w:topLinePunct w:val="0"/>
        <w:bidi w:val="0"/>
        <w:adjustRightInd/>
        <w:snapToGrid/>
        <w:spacing w:after="0" w:line="279"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与现有文献相比，本文的边际贡献主要包括两个方面。一方面，本文基于专利IPC分类信息对企业的“人工智能+”行为进行创新性测度，并从“人工智能+”的融资约束缓释效应、创新策略优化效应和竞争优势强化效应出发，从微观视角探讨并检验“人工智能+”对企业高质量发展的可能作用机制。另一方面，利用人工智能的技术分支将“人工智能+”细化为“人工智能硬件平台技术+”“人工智能通用技术+”“人工智能关键技术+”，考察了不同人工智能底层技术对企业高质量发展的影响。</w:t>
      </w:r>
    </w:p>
    <w:p w14:paraId="2D13EDEC">
      <w:pPr>
        <w:keepNext w:val="0"/>
        <w:keepLines w:val="0"/>
        <w:pageBreakBefore w:val="0"/>
        <w:widowControl/>
        <w:kinsoku/>
        <w:wordWrap/>
        <w:overflowPunct/>
        <w:topLinePunct w:val="0"/>
        <w:bidi w:val="0"/>
        <w:adjustRightInd/>
        <w:snapToGrid/>
        <w:spacing w:after="0" w:line="279"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bidi="ar"/>
        </w:rPr>
        <w:t>关键词：</w:t>
      </w:r>
      <w:r>
        <w:rPr>
          <w:rFonts w:hint="eastAsia" w:ascii="宋体" w:hAnsi="宋体" w:eastAsia="宋体" w:cs="宋体"/>
          <w:sz w:val="21"/>
          <w:szCs w:val="21"/>
          <w:lang w:bidi="ar"/>
        </w:rPr>
        <w:t xml:space="preserve"> </w:t>
      </w:r>
      <w:r>
        <w:rPr>
          <w:rFonts w:hint="eastAsia" w:ascii="宋体" w:hAnsi="宋体" w:eastAsia="宋体" w:cs="宋体"/>
          <w:color w:val="000000" w:themeColor="text1"/>
          <w:sz w:val="21"/>
          <w:szCs w:val="21"/>
          <w14:textFill>
            <w14:solidFill>
              <w14:schemeClr w14:val="tx1"/>
            </w14:solidFill>
          </w14:textFill>
        </w:rPr>
        <w:t>人工智能；高质量发展；企业融资约束；企业创新策略；产品竞争力</w:t>
      </w:r>
    </w:p>
    <w:p w14:paraId="24AE05ED">
      <w:pPr>
        <w:widowControl/>
        <w:ind w:firstLine="440" w:firstLineChars="200"/>
        <w:jc w:val="left"/>
      </w:pPr>
    </w:p>
    <w:p w14:paraId="3DA3A64F">
      <w:pPr>
        <w:widowControl/>
        <w:ind w:firstLine="440" w:firstLineChars="200"/>
        <w:jc w:val="left"/>
      </w:pPr>
    </w:p>
    <w:p w14:paraId="099B1FE7">
      <w:pPr>
        <w:widowControl/>
        <w:ind w:firstLine="440" w:firstLineChars="200"/>
        <w:jc w:val="left"/>
      </w:pPr>
    </w:p>
    <w:p w14:paraId="3C2E7788">
      <w:pPr>
        <w:widowControl/>
        <w:ind w:firstLine="440" w:firstLineChars="200"/>
        <w:jc w:val="left"/>
      </w:pPr>
    </w:p>
    <w:p w14:paraId="2E8D1521">
      <w:pPr>
        <w:widowControl/>
        <w:ind w:firstLine="440" w:firstLineChars="200"/>
        <w:jc w:val="left"/>
      </w:pPr>
    </w:p>
    <w:p w14:paraId="7D62867D">
      <w:pPr>
        <w:widowControl/>
        <w:jc w:val="center"/>
        <w:rPr>
          <w:rFonts w:ascii="Times New Roman" w:hAnsi="Times New Roman" w:cs="Times New Roman"/>
          <w:b/>
          <w:bCs/>
          <w:color w:val="auto"/>
          <w:sz w:val="30"/>
          <w:szCs w:val="30"/>
        </w:rPr>
      </w:pPr>
      <w:r>
        <w:rPr>
          <w:rFonts w:ascii="Times New Roman" w:hAnsi="Times New Roman" w:cs="Times New Roman"/>
          <w:b/>
          <w:bCs/>
          <w:color w:val="auto"/>
          <w:sz w:val="30"/>
          <w:szCs w:val="30"/>
        </w:rPr>
        <w:t>How Can “AI+” Empower High-Quality Development of Enterprises?</w:t>
      </w:r>
    </w:p>
    <w:p w14:paraId="2EF7CEC0">
      <w:pPr>
        <w:pStyle w:val="2"/>
        <w:widowControl/>
        <w:spacing w:before="156" w:beforeLines="50" w:after="156" w:afterLines="50"/>
        <w:jc w:val="center"/>
        <w:rPr>
          <w:rFonts w:ascii="Times New Roman" w:hAnsi="Times New Roman" w:cs="Times New Roman"/>
          <w:color w:val="auto"/>
        </w:rPr>
      </w:pPr>
      <w:r>
        <w:rPr>
          <w:rFonts w:ascii="Times New Roman" w:hAnsi="Times New Roman" w:cs="Times New Roman"/>
          <w:color w:val="auto"/>
        </w:rPr>
        <w:t>SHI Bo, RUAN Lian-jie, HOU Ying-xin</w:t>
      </w:r>
    </w:p>
    <w:p w14:paraId="66CA261E">
      <w:pPr>
        <w:pStyle w:val="2"/>
        <w:widowControl/>
        <w:spacing w:beforeAutospacing="1" w:afterAutospacing="1"/>
        <w:jc w:val="center"/>
        <w:rPr>
          <w:rFonts w:ascii="Times New Roman" w:hAnsi="Times New Roman" w:cs="Times New Roman"/>
          <w:color w:val="000000"/>
          <w:sz w:val="18"/>
          <w:szCs w:val="18"/>
        </w:rPr>
      </w:pPr>
      <w:r>
        <w:rPr>
          <w:rFonts w:ascii="Times New Roman" w:hAnsi="Times New Roman" w:cs="Times New Roman"/>
          <w:color w:val="000000"/>
          <w:sz w:val="18"/>
          <w:szCs w:val="18"/>
        </w:rPr>
        <w:t>(School of Digital Economy and Management, Nanjing University, Suzhou 215163, China)</w:t>
      </w:r>
    </w:p>
    <w:p w14:paraId="45B6EB06">
      <w:pPr>
        <w:pStyle w:val="2"/>
        <w:keepNext w:val="0"/>
        <w:keepLines w:val="0"/>
        <w:pageBreakBefore w:val="0"/>
        <w:widowControl/>
        <w:kinsoku/>
        <w:wordWrap/>
        <w:overflowPunct/>
        <w:topLinePunct w:val="0"/>
        <w:autoSpaceDE/>
        <w:autoSpaceDN/>
        <w:bidi w:val="0"/>
        <w:adjustRightInd/>
        <w:snapToGrid/>
        <w:spacing w:after="0" w:line="279" w:lineRule="auto"/>
        <w:textAlignment w:val="auto"/>
        <w:rPr>
          <w:rFonts w:ascii="Times New Roman" w:hAnsi="Times New Roman" w:eastAsia="楷体" w:cs="Times New Roman"/>
          <w:sz w:val="18"/>
          <w:szCs w:val="18"/>
          <w:lang w:bidi="ar"/>
        </w:rPr>
      </w:pPr>
      <w:r>
        <w:rPr>
          <w:rFonts w:ascii="Times New Roman" w:hAnsi="Times New Roman" w:eastAsia="楷体" w:cs="Times New Roman"/>
          <w:b/>
          <w:bCs/>
          <w:sz w:val="18"/>
          <w:szCs w:val="18"/>
          <w:lang w:bidi="ar"/>
        </w:rPr>
        <w:t>Summary:</w:t>
      </w:r>
      <w:r>
        <w:rPr>
          <w:rFonts w:ascii="Times New Roman" w:hAnsi="Times New Roman" w:eastAsia="楷体" w:cs="Times New Roman"/>
          <w:color w:val="FF0000"/>
          <w:sz w:val="18"/>
          <w:szCs w:val="18"/>
          <w:lang w:bidi="ar"/>
        </w:rPr>
        <w:t xml:space="preserve"> </w:t>
      </w:r>
      <w:r>
        <w:rPr>
          <w:rFonts w:ascii="Times New Roman" w:hAnsi="Times New Roman" w:eastAsia="楷体" w:cs="Times New Roman"/>
          <w:sz w:val="18"/>
          <w:szCs w:val="18"/>
          <w:lang w:bidi="ar"/>
        </w:rPr>
        <w:t>As human society transitions from the Third Industrial Revolution in the digital era to the Fourth Industrial Revolution led by artificial intelligence (AI), China</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s economy has fully shifted from quantitative growth to high-quality development. Enterprises serve as the mainstay of innovation, and their high-quality development mirrors the macroeconomic pursuit of quality at the micro level. Currently, China has established a relatively comprehensive AI industrial system, with breakthrough innovations continuously emerging in fields such as large models, intelligent agents, and embodied intelligence. Driving the high-quality development of enterprises is inseparable from the key leading role of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Against this backdrop, promoting the widespread diffusion and deep integration of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in the high-quality development of enterprises has gradually become a policy priority. Whether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can empower the high-quality development of enterprises and through which channels it operates have become urgent questions to explore.</w:t>
      </w:r>
    </w:p>
    <w:p w14:paraId="38C71ADB">
      <w:pPr>
        <w:pStyle w:val="2"/>
        <w:keepNext w:val="0"/>
        <w:keepLines w:val="0"/>
        <w:pageBreakBefore w:val="0"/>
        <w:widowControl/>
        <w:kinsoku/>
        <w:wordWrap/>
        <w:overflowPunct/>
        <w:topLinePunct w:val="0"/>
        <w:autoSpaceDE/>
        <w:autoSpaceDN/>
        <w:bidi w:val="0"/>
        <w:adjustRightInd/>
        <w:snapToGrid/>
        <w:spacing w:after="0" w:line="279" w:lineRule="auto"/>
        <w:ind w:firstLine="360" w:firstLineChars="200"/>
        <w:textAlignment w:val="auto"/>
        <w:rPr>
          <w:rFonts w:ascii="Times New Roman" w:hAnsi="Times New Roman" w:eastAsia="楷体" w:cs="Times New Roman"/>
          <w:sz w:val="18"/>
          <w:szCs w:val="18"/>
          <w:lang w:bidi="ar"/>
        </w:rPr>
      </w:pPr>
      <w:r>
        <w:rPr>
          <w:rFonts w:ascii="Times New Roman" w:hAnsi="Times New Roman" w:eastAsia="楷体" w:cs="Times New Roman"/>
          <w:sz w:val="18"/>
          <w:szCs w:val="18"/>
          <w:lang w:bidi="ar"/>
        </w:rPr>
        <w:t xml:space="preserve">This paper uses the two-way fixed effects model to empirically test the impact of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on the high-quality development of enterprises and its mechanism</w:t>
      </w:r>
      <w:r>
        <w:rPr>
          <w:rFonts w:hint="eastAsia" w:ascii="Times New Roman" w:hAnsi="Times New Roman" w:eastAsia="楷体" w:cs="Times New Roman"/>
          <w:sz w:val="18"/>
          <w:szCs w:val="18"/>
          <w:lang w:bidi="ar"/>
        </w:rPr>
        <w:t>s</w:t>
      </w:r>
      <w:r>
        <w:rPr>
          <w:rFonts w:ascii="Times New Roman" w:hAnsi="Times New Roman" w:eastAsia="楷体" w:cs="Times New Roman"/>
          <w:sz w:val="18"/>
          <w:szCs w:val="18"/>
          <w:lang w:bidi="ar"/>
        </w:rPr>
        <w:t xml:space="preserve">, based on data from Chinese listed </w:t>
      </w:r>
      <w:r>
        <w:rPr>
          <w:rFonts w:ascii="Times New Roman" w:hAnsi="Times New Roman" w:cs="Times New Roman"/>
          <w:sz w:val="18"/>
          <w:szCs w:val="18"/>
        </w:rPr>
        <w:t>enterprises</w:t>
      </w:r>
      <w:r>
        <w:rPr>
          <w:rFonts w:ascii="Times New Roman" w:hAnsi="Times New Roman" w:eastAsia="楷体" w:cs="Times New Roman"/>
          <w:sz w:val="18"/>
          <w:szCs w:val="18"/>
          <w:lang w:bidi="ar"/>
        </w:rPr>
        <w:t xml:space="preserve"> on the Shanghai and Shenzhen A-share markets from 2012 to 2023. The findings show that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can empower the high-quality development of enterprises, and this conclusion remains valid after a series of endogeneity and robustness tests. Heterogeneity analysis indicates that the empowering effect of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is more significant for large enterprises, those with senior executives exhibiting</w:t>
      </w:r>
      <w:r>
        <w:rPr>
          <w:rFonts w:hint="eastAsia" w:ascii="Times New Roman" w:hAnsi="Times New Roman" w:eastAsia="楷体" w:cs="Times New Roman"/>
          <w:sz w:val="18"/>
          <w:szCs w:val="18"/>
          <w:lang w:bidi="ar"/>
        </w:rPr>
        <w:t xml:space="preserve"> </w:t>
      </w:r>
      <w:r>
        <w:rPr>
          <w:rFonts w:ascii="Times New Roman" w:hAnsi="Times New Roman" w:eastAsia="楷体" w:cs="Times New Roman"/>
          <w:sz w:val="18"/>
          <w:szCs w:val="18"/>
          <w:lang w:bidi="ar"/>
        </w:rPr>
        <w:t xml:space="preserve">diversified educational backgrounds, highly competitive industries, regions with high levels of industrial digitization, and regions with sound institutional environments. Mechanism analysis reveals that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empowers the high-quality development of enterprises by alleviating corporate financing constraints, optimizing innovation strategies, and enhancing product competitiveness. Further analysis shows that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driven by different underlying technologies can effectively empower the high-quality development of enterprises in a comprehensive and systematic manner;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can also improve corporate ESG performance, enabling enterprises to achieve high-quality development that balances production operations with social value.</w:t>
      </w:r>
    </w:p>
    <w:p w14:paraId="4B79B1C0">
      <w:pPr>
        <w:pStyle w:val="2"/>
        <w:keepNext w:val="0"/>
        <w:keepLines w:val="0"/>
        <w:pageBreakBefore w:val="0"/>
        <w:widowControl/>
        <w:kinsoku/>
        <w:wordWrap/>
        <w:overflowPunct/>
        <w:topLinePunct w:val="0"/>
        <w:autoSpaceDE/>
        <w:autoSpaceDN/>
        <w:bidi w:val="0"/>
        <w:adjustRightInd/>
        <w:snapToGrid/>
        <w:spacing w:after="0" w:line="279" w:lineRule="auto"/>
        <w:ind w:firstLine="360" w:firstLineChars="200"/>
        <w:textAlignment w:val="auto"/>
        <w:rPr>
          <w:rFonts w:ascii="Times New Roman" w:hAnsi="Times New Roman" w:cs="Times New Roman"/>
          <w:sz w:val="18"/>
          <w:szCs w:val="18"/>
        </w:rPr>
      </w:pPr>
      <w:r>
        <w:rPr>
          <w:rFonts w:ascii="Times New Roman" w:hAnsi="Times New Roman" w:eastAsia="楷体" w:cs="Times New Roman"/>
          <w:sz w:val="18"/>
          <w:szCs w:val="18"/>
          <w:lang w:bidi="ar"/>
        </w:rPr>
        <w:t xml:space="preserve">Compared with existing literature, this paper makes two main marginal contributions. </w:t>
      </w:r>
      <w:r>
        <w:rPr>
          <w:rFonts w:hint="eastAsia" w:ascii="Times New Roman" w:hAnsi="Times New Roman" w:eastAsia="楷体" w:cs="Times New Roman"/>
          <w:sz w:val="18"/>
          <w:szCs w:val="18"/>
          <w:lang w:bidi="ar"/>
        </w:rPr>
        <w:t>I</w:t>
      </w:r>
      <w:r>
        <w:rPr>
          <w:rFonts w:ascii="Times New Roman" w:hAnsi="Times New Roman" w:eastAsia="楷体" w:cs="Times New Roman"/>
          <w:sz w:val="18"/>
          <w:szCs w:val="18"/>
          <w:lang w:bidi="ar"/>
        </w:rPr>
        <w:t xml:space="preserve">t </w:t>
      </w:r>
      <w:r>
        <w:rPr>
          <w:rFonts w:hint="eastAsia" w:ascii="Times New Roman" w:hAnsi="Times New Roman" w:eastAsia="楷体" w:cs="Times New Roman"/>
          <w:sz w:val="18"/>
          <w:szCs w:val="18"/>
          <w:lang w:bidi="ar"/>
        </w:rPr>
        <w:t xml:space="preserve">first </w:t>
      </w:r>
      <w:r>
        <w:rPr>
          <w:rFonts w:ascii="Times New Roman" w:hAnsi="Times New Roman" w:eastAsia="楷体" w:cs="Times New Roman"/>
          <w:sz w:val="18"/>
          <w:szCs w:val="18"/>
          <w:lang w:bidi="ar"/>
        </w:rPr>
        <w:t>innovatively measures enterprises</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behaviors based on patent IPC classification information and explores and tests the possible mechanisms through which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affects the high-quality development of enterprises from the perspectives of its financing constraint mitigation effect, innovation strategy optimization effect, and competitive advantage enhancement effect. </w:t>
      </w:r>
      <w:r>
        <w:rPr>
          <w:rFonts w:hint="eastAsia" w:ascii="Times New Roman" w:hAnsi="Times New Roman" w:eastAsia="楷体" w:cs="Times New Roman"/>
          <w:sz w:val="18"/>
          <w:szCs w:val="18"/>
          <w:lang w:bidi="ar"/>
        </w:rPr>
        <w:t>In addition</w:t>
      </w:r>
      <w:r>
        <w:rPr>
          <w:rFonts w:ascii="Times New Roman" w:hAnsi="Times New Roman" w:eastAsia="楷体" w:cs="Times New Roman"/>
          <w:sz w:val="18"/>
          <w:szCs w:val="18"/>
          <w:lang w:bidi="ar"/>
        </w:rPr>
        <w:t>, it refi</w:t>
      </w:r>
      <w:bookmarkStart w:id="2" w:name="_GoBack"/>
      <w:bookmarkEnd w:id="2"/>
      <w:r>
        <w:rPr>
          <w:rFonts w:ascii="Times New Roman" w:hAnsi="Times New Roman" w:eastAsia="楷体" w:cs="Times New Roman"/>
          <w:sz w:val="18"/>
          <w:szCs w:val="18"/>
          <w:lang w:bidi="ar"/>
        </w:rPr>
        <w:t xml:space="preserve">nes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into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 hardware platform technology+</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 general technology+,</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and </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AI key technology+,</w:t>
      </w:r>
      <w:r>
        <w:rPr>
          <w:rFonts w:ascii="Times New Roman" w:hAnsi="Times New Roman" w:eastAsia="宋体" w:cs="Times New Roman"/>
          <w:sz w:val="18"/>
          <w:szCs w:val="18"/>
          <w:lang w:bidi="ar"/>
        </w:rPr>
        <w:t>”</w:t>
      </w:r>
      <w:r>
        <w:rPr>
          <w:rFonts w:ascii="Times New Roman" w:hAnsi="Times New Roman" w:eastAsia="楷体" w:cs="Times New Roman"/>
          <w:sz w:val="18"/>
          <w:szCs w:val="18"/>
          <w:lang w:bidi="ar"/>
        </w:rPr>
        <w:t xml:space="preserve"> examining the impact of different underlying AI technologies on the high-quality development of enterprises.</w:t>
      </w:r>
    </w:p>
    <w:p w14:paraId="3FB8D64A">
      <w:pPr>
        <w:pStyle w:val="2"/>
        <w:keepNext w:val="0"/>
        <w:keepLines w:val="0"/>
        <w:pageBreakBefore w:val="0"/>
        <w:widowControl/>
        <w:kinsoku/>
        <w:wordWrap/>
        <w:overflowPunct/>
        <w:topLinePunct w:val="0"/>
        <w:autoSpaceDE/>
        <w:autoSpaceDN/>
        <w:bidi w:val="0"/>
        <w:adjustRightInd/>
        <w:snapToGrid/>
        <w:spacing w:after="0" w:line="279" w:lineRule="auto"/>
        <w:textAlignment w:val="auto"/>
      </w:pPr>
      <w:r>
        <w:rPr>
          <w:rStyle w:val="5"/>
          <w:rFonts w:ascii="Times New Roman" w:hAnsi="Times New Roman" w:cs="Times New Roman"/>
          <w:bCs/>
          <w:color w:val="000000"/>
          <w:sz w:val="18"/>
          <w:szCs w:val="18"/>
        </w:rPr>
        <w:t>Key words</w:t>
      </w:r>
      <w:r>
        <w:rPr>
          <w:rStyle w:val="5"/>
          <w:rFonts w:ascii="Times New Roman" w:hAnsi="Times New Roman" w:cs="Times New Roman"/>
          <w:b w:val="0"/>
          <w:color w:val="000000"/>
          <w:sz w:val="18"/>
          <w:szCs w:val="18"/>
        </w:rPr>
        <w:t>:</w:t>
      </w:r>
      <w:r>
        <w:rPr>
          <w:rFonts w:ascii="Times New Roman" w:hAnsi="Times New Roman" w:cs="Times New Roman"/>
          <w:color w:val="000000"/>
          <w:sz w:val="18"/>
          <w:szCs w:val="18"/>
        </w:rPr>
        <w:t> artificial intelligence</w:t>
      </w:r>
      <w:r>
        <w:rPr>
          <w:rFonts w:hint="eastAsia" w:ascii="Times New Roman" w:hAnsi="Times New Roman" w:cs="Times New Roman"/>
          <w:color w:val="000000"/>
          <w:sz w:val="18"/>
          <w:szCs w:val="18"/>
        </w:rPr>
        <w:t xml:space="preserve"> (AI)</w:t>
      </w:r>
      <w:r>
        <w:rPr>
          <w:rFonts w:ascii="Times New Roman" w:hAnsi="Times New Roman" w:cs="Times New Roman"/>
          <w:color w:val="000000"/>
          <w:sz w:val="18"/>
          <w:szCs w:val="18"/>
        </w:rPr>
        <w:t>; high-quality development; financing constraints of enterprises; innovation strategies of enterprises; product competitiveness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HZ">
    <w:panose1 w:val="02010600010101010101"/>
    <w:charset w:val="86"/>
    <w:family w:val="auto"/>
    <w:pitch w:val="default"/>
    <w:sig w:usb0="E00002FF" w:usb1="48CF84DB" w:usb2="04000016" w:usb3="00000000" w:csb0="00040001" w:csb1="00000000"/>
  </w:font>
  <w:font w:name="方正黑体_GBK">
    <w:panose1 w:val="03000509000000000000"/>
    <w:charset w:val="86"/>
    <w:family w:val="auto"/>
    <w:pitch w:val="default"/>
    <w:sig w:usb0="00000001" w:usb1="080E0000" w:usb2="00000000" w:usb3="00000000" w:csb0="00040000" w:csb1="00000000"/>
  </w:font>
  <w:font w:name="NEU-BZ">
    <w:panose1 w:val="02010600010101010101"/>
    <w:charset w:val="86"/>
    <w:family w:val="script"/>
    <w:pitch w:val="default"/>
    <w:sig w:usb0="E00002FF" w:usb1="58CFECFF" w:usb2="05000016" w:usb3="00000008"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3N2QxNmQwNGYyYzM0MjIzYjFjYmU5NmE3YTIyZWYifQ=="/>
  </w:docVars>
  <w:rsids>
    <w:rsidRoot w:val="0DB061DC"/>
    <w:rsid w:val="0DB061DC"/>
    <w:rsid w:val="116756B0"/>
    <w:rsid w:val="3D904691"/>
    <w:rsid w:val="522D29CA"/>
    <w:rsid w:val="6199515B"/>
    <w:rsid w:val="620B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paragraph" w:customStyle="1" w:styleId="6">
    <w:name w:val="专著表标题"/>
    <w:basedOn w:val="1"/>
    <w:next w:val="1"/>
    <w:qFormat/>
    <w:uiPriority w:val="0"/>
    <w:pPr>
      <w:keepNext/>
      <w:keepLines/>
      <w:adjustRightInd w:val="0"/>
      <w:snapToGrid w:val="0"/>
      <w:spacing w:beforeLines="0" w:afterLines="0" w:line="400" w:lineRule="exact"/>
      <w:ind w:firstLine="105" w:firstLineChars="50"/>
      <w:outlineLvl w:val="6"/>
    </w:pPr>
    <w:rPr>
      <w:rFonts w:hint="eastAsia" w:ascii="黑体" w:hAnsi="黑体" w:eastAsia="黑体" w:cs="Times New Roman"/>
      <w:sz w:val="18"/>
      <w:szCs w:val="18"/>
    </w:rPr>
  </w:style>
  <w:style w:type="paragraph" w:customStyle="1" w:styleId="7">
    <w:name w:val="01中文标题"/>
    <w:basedOn w:val="1"/>
    <w:qFormat/>
    <w:uiPriority w:val="0"/>
    <w:pPr>
      <w:widowControl/>
      <w:spacing w:after="336" w:line="240" w:lineRule="auto"/>
      <w:jc w:val="center"/>
      <w:textAlignment w:val="baseline"/>
    </w:pPr>
    <w:rPr>
      <w:rFonts w:ascii="NEU-HZ" w:hAnsi="NEU-HZ" w:eastAsia="方正黑体_GBK"/>
      <w:color w:val="000000"/>
      <w:kern w:val="0"/>
      <w:sz w:val="44"/>
      <w:szCs w:val="44"/>
      <w14:ligatures w14:val="none"/>
    </w:rPr>
  </w:style>
  <w:style w:type="paragraph" w:customStyle="1" w:styleId="8">
    <w:name w:val="02中文作者名称"/>
    <w:basedOn w:val="1"/>
    <w:qFormat/>
    <w:uiPriority w:val="0"/>
    <w:pPr>
      <w:widowControl/>
      <w:spacing w:after="368" w:line="240" w:lineRule="auto"/>
      <w:jc w:val="center"/>
      <w:textAlignment w:val="baseline"/>
    </w:pPr>
    <w:rPr>
      <w:rFonts w:ascii="NEU-BZ" w:hAnsi="NEU-BZ" w:eastAsia="方正仿宋_GBK"/>
      <w:color w:val="000000"/>
      <w:kern w:val="0"/>
      <w:sz w:val="28"/>
      <w:szCs w:val="28"/>
      <w14:ligatures w14:val="none"/>
    </w:rPr>
  </w:style>
  <w:style w:type="paragraph" w:customStyle="1" w:styleId="9">
    <w:name w:val="03中文作者地址"/>
    <w:basedOn w:val="1"/>
    <w:qFormat/>
    <w:uiPriority w:val="0"/>
    <w:pPr>
      <w:widowControl/>
      <w:spacing w:after="0" w:line="240" w:lineRule="auto"/>
      <w:jc w:val="center"/>
      <w:textAlignment w:val="baseline"/>
    </w:pPr>
    <w:rPr>
      <w:rFonts w:ascii="NEU-BZ" w:hAnsi="NEU-BZ" w:eastAsia="方正书宋_GBK"/>
      <w:color w:val="000000"/>
      <w:kern w:val="0"/>
      <w:sz w:val="18"/>
      <w:szCs w:val="18"/>
      <w14:ligatures w14:val="none"/>
    </w:rPr>
  </w:style>
  <w:style w:type="paragraph" w:customStyle="1" w:styleId="10">
    <w:name w:val="41正文"/>
    <w:basedOn w:val="11"/>
    <w:qFormat/>
    <w:uiPriority w:val="0"/>
    <w:pPr>
      <w:ind w:firstLine="200" w:firstLineChars="200"/>
    </w:pPr>
    <w:rPr>
      <w:rFonts w:hint="default"/>
    </w:rPr>
  </w:style>
  <w:style w:type="paragraph" w:customStyle="1" w:styleId="11">
    <w:name w:val="[系统文字]"/>
    <w:qFormat/>
    <w:uiPriority w:val="0"/>
    <w:pPr>
      <w:jc w:val="both"/>
      <w:textAlignment w:val="baseline"/>
    </w:pPr>
    <w:rPr>
      <w:rFonts w:hint="eastAsia" w:ascii="NEU-BZ" w:hAnsi="NEU-BZ" w:eastAsia="方正书宋_GBK" w:cstheme="minorBidi"/>
      <w:color w:val="000000"/>
      <w:sz w:val="21"/>
      <w:szCs w:val="21"/>
      <w:lang w:val="en-US" w:eastAsia="zh-CN" w:bidi="ar-SA"/>
    </w:rPr>
  </w:style>
  <w:style w:type="paragraph" w:customStyle="1" w:styleId="12">
    <w:name w:val="（中）标题样式"/>
    <w:basedOn w:val="1"/>
    <w:qFormat/>
    <w:uiPriority w:val="0"/>
    <w:pPr>
      <w:widowControl/>
      <w:jc w:val="center"/>
    </w:pPr>
    <w:rPr>
      <w:rFonts w:ascii="Times New Roman" w:hAnsi="宋体" w:eastAsia="黑体" w:cs="Times New Roman"/>
      <w:b/>
      <w:sz w:val="36"/>
      <w:szCs w:val="36"/>
    </w:rPr>
  </w:style>
  <w:style w:type="paragraph" w:customStyle="1" w:styleId="13">
    <w:name w:val="正文样式"/>
    <w:basedOn w:val="1"/>
    <w:qFormat/>
    <w:uiPriority w:val="0"/>
    <w:pPr>
      <w:autoSpaceDE w:val="0"/>
      <w:autoSpaceDN w:val="0"/>
      <w:ind w:firstLine="20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2492</Words>
  <Characters>7755</Characters>
  <Lines>0</Lines>
  <Paragraphs>0</Paragraphs>
  <TotalTime>1</TotalTime>
  <ScaleCrop>false</ScaleCrop>
  <LinksUpToDate>false</LinksUpToDate>
  <CharactersWithSpaces>8602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2026-04-27T02:33:00Z</dcterms:created>
  <dc:creator>孙艳</dc:creator>
  <cp:lastModifiedBy>尚培培</cp:lastModifiedBy>
  <dcterms:modified xsi:type="dcterms:W3CDTF">2026-04-27T03:05:39Z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D2CC4605E376436E817B0A094034D6CC</vt:lpwstr>
  </property>
  <property fmtid="{D5CDD505-2E9C-101B-9397-08002B2CF9AE}" pid="4" name="KSOTemplateDocerSaveRecord">
    <vt:lpwstr>eyJoZGlkIjoiMDRhNGY1N2RjM2NmMjI2M2UzZTI3OTQzMzFmYjlkYTUiLCJ1c2VySWQiOiIxNDc5ODkzNjIyIn0=</vt:lpwstr>
  </property>
</Properties>
</file>