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一、要求来稿观点鲜明，论证严谨，行文注释规范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77F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二、来稿字数在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000字左右为宜。查重率应低于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%。敬请作者提供文章题目（中文限20字内，英文全大写）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作者姓名、单位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、摘要、关键词的英译文本。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00～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00字的中英文摘要及3～5个关键词。图表规范、清晰、准确。基金项目类文章务请注明项目名称和项目编号。</w:t>
      </w:r>
    </w:p>
    <w:p w14:paraId="19E3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稿件应附有作者简介（包括姓名、最高学历、单位、职务、职称、研究方向、教育背景、通信地址及联系电话）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D5883A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、来稿需遵守学术道德和学术规范，坚决反对抄袭、剽窃等一切有悖于学术操守的行为，如果有此类行为发生，文责自负。来稿不得涉密。凡在本刊发表的文章，均不代表编辑部观点。 </w:t>
      </w:r>
    </w:p>
    <w:p w14:paraId="5B6986C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本刊对来稿采取双向匿名评审和编委会集体审稿相结合的制度，评审结束后，无论录用与否，编辑部都将及时向作者转达评审意见。本刊有权对来稿作文字修改和技术处理。</w:t>
      </w:r>
    </w:p>
    <w:p w14:paraId="4E8BA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28"/>
          <w:szCs w:val="28"/>
        </w:rPr>
        <w:t>论文录用后，作者需一次性支付论文处理费，辑刊出版后，赠送每篇文章作者当辑出版物2套。</w:t>
      </w:r>
    </w:p>
    <w:p w14:paraId="0E3E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2FA3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高寒高铁职业教育》编辑部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TBjOGVkZGY4ZGVlY2Q1OTExMTE3YTU2OGFiY2IifQ=="/>
  </w:docVars>
  <w:rsids>
    <w:rsidRoot w:val="00000000"/>
    <w:rsid w:val="20AE0F6B"/>
    <w:rsid w:val="2423778D"/>
    <w:rsid w:val="36FE1EA4"/>
    <w:rsid w:val="4F702884"/>
    <w:rsid w:val="5223590C"/>
    <w:rsid w:val="71C5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412</Characters>
  <Lines>0</Lines>
  <Paragraphs>0</Paragraphs>
  <TotalTime>13</TotalTime>
  <ScaleCrop>false</ScaleCrop>
  <LinksUpToDate>false</LinksUpToDate>
  <CharactersWithSpaces>413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2024-09-13T06:26:00Z</dcterms:created>
  <dc:creator>郝</dc:creator>
  <cp:lastModifiedBy>1</cp:lastModifiedBy>
  <dcterms:modified xsi:type="dcterms:W3CDTF">2024-09-13T06:59:13Z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D23963F4916D4474AB2DF74A6EF398FA_12</vt:lpwstr>
  </property>
</Properties>
</file>