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356F8B">
      <w:pPr>
        <w:pStyle w:val="6"/>
        <w:spacing w:before="120" w:beforeLines="50" w:after="0" w:afterLines="0" w:line="300" w:lineRule="auto"/>
        <w:ind w:firstLine="0" w:firstLineChars="0"/>
        <w:jc w:val="left"/>
        <w:rPr>
          <w:rFonts w:eastAsia="黑体" w:cs="Times New Roman"/>
          <w14:ligatures w14:val="none"/>
        </w:rPr>
      </w:pPr>
      <w:bookmarkStart w:id="10" w:name="_GoBack"/>
      <w:bookmarkEnd w:id="10"/>
      <w:r>
        <w:rPr>
          <w:rFonts w:hint="eastAsia" w:ascii="宋体" w:hAnsi="宋体" w:cs="Times New Roman"/>
          <w14:ligatures w14:val="none"/>
        </w:rPr>
        <w:t>中图分类号：</w:t>
      </w:r>
      <w:r>
        <w:rPr>
          <w:rFonts w:hint="eastAsia" w:eastAsia="黑体" w:cs="Times New Roman"/>
          <w14:ligatures w14:val="none"/>
        </w:rPr>
        <w:t>TU.984.12</w:t>
      </w:r>
    </w:p>
    <w:p w14:paraId="7F8A246F">
      <w:pPr>
        <w:pStyle w:val="6"/>
        <w:spacing w:before="120" w:beforeLines="50" w:after="0" w:afterLines="0" w:line="300" w:lineRule="auto"/>
        <w:ind w:firstLine="0" w:firstLineChars="0"/>
        <w:jc w:val="left"/>
        <w:rPr>
          <w:rFonts w:eastAsia="黑体" w:cs="Times New Roman"/>
          <w14:ligatures w14:val="none"/>
        </w:rPr>
      </w:pPr>
      <w:r>
        <w:rPr>
          <w:rFonts w:hint="eastAsia" w:eastAsia="黑体" w:cs="Times New Roman"/>
          <w14:ligatures w14:val="none"/>
        </w:rPr>
        <w:t>DOI：10.19830/j.upi.2025.367</w:t>
      </w:r>
    </w:p>
    <w:p w14:paraId="4C1CB2A0">
      <w:pPr>
        <w:pStyle w:val="6"/>
        <w:spacing w:before="120" w:beforeLines="50" w:after="0" w:afterLines="0" w:line="300" w:lineRule="auto"/>
        <w:ind w:firstLine="0" w:firstLineChars="0"/>
        <w:jc w:val="left"/>
        <w:rPr>
          <w:rFonts w:eastAsia="黑体" w:cs="Times New Roman"/>
          <w14:ligatures w14:val="none"/>
        </w:rPr>
      </w:pPr>
    </w:p>
    <w:p w14:paraId="04A7C260">
      <w:pPr>
        <w:pStyle w:val="6"/>
        <w:spacing w:before="120" w:beforeLines="50" w:after="0" w:afterLines="0" w:line="300" w:lineRule="auto"/>
        <w:ind w:firstLine="0" w:firstLineChars="0"/>
        <w:jc w:val="left"/>
        <w:rPr>
          <w:rFonts w:hint="eastAsia" w:ascii="宋体" w:hAnsi="宋体" w:cs="Times New Roman"/>
          <w14:ligatures w14:val="none"/>
        </w:rPr>
      </w:pPr>
      <w:r>
        <w:rPr>
          <w:rFonts w:ascii="宋体" w:hAnsi="宋体" w:cs="Times New Roman"/>
          <w14:ligatures w14:val="none"/>
        </w:rPr>
        <w:t>实虚生活空间的</w:t>
      </w:r>
      <w:r>
        <w:rPr>
          <w:rFonts w:hint="eastAsia" w:ascii="宋体" w:hAnsi="宋体" w:cs="Times New Roman"/>
          <w14:ligatures w14:val="none"/>
        </w:rPr>
        <w:t>结构特征与形成逻辑——北</w:t>
      </w:r>
      <w:r>
        <w:rPr>
          <w:rFonts w:ascii="宋体" w:hAnsi="宋体" w:cs="Times New Roman"/>
          <w14:ligatures w14:val="none"/>
        </w:rPr>
        <w:t>京市当代</w:t>
      </w:r>
      <w:r>
        <w:rPr>
          <w:rFonts w:hint="eastAsia" w:ascii="宋体" w:hAnsi="宋体" w:cs="Times New Roman"/>
          <w14:ligatures w14:val="none"/>
        </w:rPr>
        <w:t>—</w:t>
      </w:r>
      <w:r>
        <w:rPr>
          <w:rFonts w:ascii="宋体" w:hAnsi="宋体" w:cs="Times New Roman"/>
          <w14:ligatures w14:val="none"/>
        </w:rPr>
        <w:t>怡美社区生活圈的案例研究</w:t>
      </w:r>
    </w:p>
    <w:p w14:paraId="0B787A2A">
      <w:pPr>
        <w:widowControl w:val="0"/>
        <w:spacing w:before="120" w:beforeLines="50" w:after="120" w:afterLines="50" w:line="300" w:lineRule="auto"/>
        <w:ind w:firstLine="0"/>
        <w:jc w:val="both"/>
        <w:rPr>
          <w:kern w:val="2"/>
          <w:sz w:val="21"/>
          <w:szCs w:val="21"/>
          <w:lang w:val="en-US" w:eastAsia="zh-CN"/>
        </w:rPr>
      </w:pPr>
      <w:r>
        <w:rPr>
          <w:kern w:val="2"/>
          <w:sz w:val="21"/>
          <w:szCs w:val="21"/>
          <w:lang w:val="en-US" w:eastAsia="zh-CN"/>
        </w:rPr>
        <w:t>The Structural Characteristics and Formation Logic of the Physical-Virtual Living Space: A Case Study of the Dangdai–Yimei Community Life Circle in Beijing</w:t>
      </w:r>
    </w:p>
    <w:p w14:paraId="53E1A7CA">
      <w:pPr>
        <w:widowControl w:val="0"/>
        <w:spacing w:before="120" w:beforeLines="50" w:after="120" w:afterLines="50" w:line="300" w:lineRule="auto"/>
        <w:ind w:firstLine="0"/>
        <w:jc w:val="both"/>
        <w:rPr>
          <w:kern w:val="2"/>
          <w:sz w:val="21"/>
          <w:szCs w:val="21"/>
          <w:lang w:val="en-US" w:eastAsia="zh-CN"/>
        </w:rPr>
      </w:pPr>
    </w:p>
    <w:p w14:paraId="0A2947F8">
      <w:pPr>
        <w:widowControl w:val="0"/>
        <w:spacing w:before="120" w:beforeLines="50" w:line="300" w:lineRule="auto"/>
        <w:ind w:firstLine="0"/>
        <w:jc w:val="both"/>
        <w:rPr>
          <w:kern w:val="2"/>
          <w:sz w:val="21"/>
          <w:szCs w:val="21"/>
          <w:lang w:val="en-US" w:eastAsia="zh-CN"/>
        </w:rPr>
      </w:pPr>
      <w:r>
        <w:rPr>
          <w:kern w:val="2"/>
          <w:sz w:val="21"/>
          <w:szCs w:val="21"/>
          <w:lang w:val="en-US" w:eastAsia="zh-CN"/>
        </w:rPr>
        <w:t>梁皓朝  柴彦威</w:t>
      </w:r>
      <w:r>
        <w:rPr>
          <w:rFonts w:hint="eastAsia"/>
          <w:kern w:val="2"/>
          <w:sz w:val="21"/>
          <w:szCs w:val="21"/>
          <w:lang w:val="en-US" w:eastAsia="zh-CN"/>
        </w:rPr>
        <w:t xml:space="preserve">  </w:t>
      </w:r>
      <w:r>
        <w:rPr>
          <w:kern w:val="2"/>
          <w:sz w:val="21"/>
          <w:szCs w:val="21"/>
          <w:lang w:val="en-US" w:eastAsia="zh-CN"/>
        </w:rPr>
        <w:t>李春江</w:t>
      </w:r>
    </w:p>
    <w:p w14:paraId="0AD10883">
      <w:pPr>
        <w:widowControl w:val="0"/>
        <w:spacing w:before="120" w:beforeLines="50" w:line="300" w:lineRule="auto"/>
        <w:ind w:firstLine="0"/>
        <w:jc w:val="both"/>
        <w:rPr>
          <w:kern w:val="2"/>
          <w:sz w:val="21"/>
          <w:szCs w:val="21"/>
          <w:lang w:val="en-US" w:eastAsia="zh-CN"/>
        </w:rPr>
      </w:pPr>
      <w:r>
        <w:rPr>
          <w:kern w:val="2"/>
          <w:sz w:val="21"/>
          <w:szCs w:val="21"/>
          <w:lang w:val="en-US" w:eastAsia="zh-CN"/>
        </w:rPr>
        <w:t>LIANG Haochao, CHAI Yanwei</w:t>
      </w:r>
      <w:r>
        <w:rPr>
          <w:rFonts w:hint="eastAsia"/>
          <w:kern w:val="2"/>
          <w:sz w:val="21"/>
          <w:szCs w:val="21"/>
          <w:lang w:val="en-US" w:eastAsia="zh-CN"/>
        </w:rPr>
        <w:t>,</w:t>
      </w:r>
      <w:r>
        <w:rPr>
          <w:kern w:val="2"/>
          <w:sz w:val="21"/>
          <w:szCs w:val="21"/>
          <w:lang w:val="en-US" w:eastAsia="zh-CN"/>
        </w:rPr>
        <w:t xml:space="preserve"> LI Chunjiang</w:t>
      </w:r>
    </w:p>
    <w:p w14:paraId="3D1EAED3">
      <w:pPr>
        <w:widowControl w:val="0"/>
        <w:spacing w:before="120" w:beforeLines="50" w:line="300" w:lineRule="auto"/>
        <w:ind w:firstLine="0"/>
        <w:jc w:val="both"/>
        <w:rPr>
          <w:kern w:val="2"/>
          <w:sz w:val="21"/>
          <w:szCs w:val="21"/>
          <w:lang w:val="en-US" w:eastAsia="zh-CN"/>
        </w:rPr>
      </w:pPr>
    </w:p>
    <w:p w14:paraId="58F09F35">
      <w:pPr>
        <w:widowControl w:val="0"/>
        <w:spacing w:before="120" w:beforeLines="50" w:after="120" w:afterLines="50" w:line="300" w:lineRule="auto"/>
        <w:ind w:firstLine="0"/>
        <w:jc w:val="both"/>
        <w:rPr>
          <w:kern w:val="2"/>
          <w:sz w:val="21"/>
          <w:szCs w:val="21"/>
          <w:lang w:val="en-US" w:eastAsia="zh-CN"/>
        </w:rPr>
      </w:pPr>
      <w:r>
        <w:rPr>
          <w:kern w:val="2"/>
          <w:sz w:val="21"/>
          <w:szCs w:val="21"/>
          <w:lang w:val="en-US" w:eastAsia="zh-CN"/>
        </w:rPr>
        <w:t>摘要：</w:t>
      </w:r>
      <w:r>
        <w:rPr>
          <w:rFonts w:hint="eastAsia"/>
          <w:kern w:val="2"/>
          <w:sz w:val="21"/>
          <w:szCs w:val="21"/>
          <w:lang w:val="en-US" w:eastAsia="zh-CN"/>
        </w:rPr>
        <w:t>随着信息通信技术（</w:t>
      </w:r>
      <w:r>
        <w:rPr>
          <w:kern w:val="2"/>
          <w:sz w:val="21"/>
          <w:szCs w:val="21"/>
          <w:lang w:val="en-US" w:eastAsia="zh-CN"/>
        </w:rPr>
        <w:t>ICTs</w:t>
      </w:r>
      <w:r>
        <w:rPr>
          <w:rFonts w:hint="eastAsia"/>
          <w:kern w:val="2"/>
          <w:sz w:val="21"/>
          <w:szCs w:val="21"/>
          <w:lang w:val="en-US" w:eastAsia="zh-CN"/>
        </w:rPr>
        <w:t>）在人类日常生活中的广泛应用，城市居民日常活动与生活空间正在发生着数字化转型。本文提出包含了实体生活空间、实虚同步生活空间、实虚同在生活空间、实虚混合生活空间等概念的社区生活空间概念体系。以此为基础，采用社区居民日常活动与网络活动日志调查和</w:t>
      </w:r>
      <w:r>
        <w:rPr>
          <w:kern w:val="2"/>
          <w:sz w:val="21"/>
          <w:szCs w:val="21"/>
          <w:lang w:val="en-US" w:eastAsia="zh-CN"/>
        </w:rPr>
        <w:t>GPS</w:t>
      </w:r>
      <w:r>
        <w:rPr>
          <w:rFonts w:hint="eastAsia"/>
          <w:kern w:val="2"/>
          <w:sz w:val="21"/>
          <w:szCs w:val="21"/>
          <w:lang w:val="en-US" w:eastAsia="zh-CN"/>
        </w:rPr>
        <w:t>轨迹数据，以北京市当代—怡美社区生活圈为例，研究上述四类社区生活空间的结构特征及内在联系，并分析实虚混合生活空间的形成逻辑。研究发现，与仅考虑线下活动的社区实体生活空间相比，同时考虑线下线上活动的社区实虚生活空间的空间分布具有明显差异。特别是与实体生活空间相比，购物、休闲、社交的实虚混合生活空间更多分布在家内和社区生活圈外，表明文化休闲、社会交往、物资购置等社区生活圈规划指南中所界定的生活圈功能可能更多被家和社区生活圈外的空间所承担，这对社区生活圈规划提出了挑战。此外，研究发现后台</w:t>
      </w:r>
      <w:r>
        <w:rPr>
          <w:kern w:val="2"/>
          <w:sz w:val="21"/>
          <w:szCs w:val="21"/>
          <w:lang w:val="en-US" w:eastAsia="zh-CN"/>
        </w:rPr>
        <w:t>ICTs</w:t>
      </w:r>
      <w:r>
        <w:rPr>
          <w:rFonts w:hint="eastAsia"/>
          <w:kern w:val="2"/>
          <w:sz w:val="21"/>
          <w:szCs w:val="21"/>
          <w:lang w:val="en-US" w:eastAsia="zh-CN"/>
        </w:rPr>
        <w:t>使用所带来的线上线下活动同步发生对生活空间具有较大影响，尤其体现为上述三类活动的生活空间向社区生活圈外拓展、部分生活空间与对应类型设施无直接联系的特征。本文最后讨论了社区生活空间的实虚混合对社区生活圈规划与治理的启示。</w:t>
      </w:r>
    </w:p>
    <w:p w14:paraId="2002FC2C">
      <w:pPr>
        <w:widowControl w:val="0"/>
        <w:spacing w:before="120" w:beforeLines="50" w:after="120" w:afterLines="50" w:line="300" w:lineRule="auto"/>
        <w:ind w:firstLine="0"/>
        <w:jc w:val="both"/>
        <w:rPr>
          <w:kern w:val="2"/>
          <w:sz w:val="21"/>
          <w:szCs w:val="21"/>
          <w:lang w:val="en-US" w:eastAsia="zh-CN"/>
        </w:rPr>
      </w:pPr>
      <w:r>
        <w:rPr>
          <w:b/>
          <w:bCs/>
          <w:kern w:val="2"/>
          <w:sz w:val="21"/>
          <w:szCs w:val="21"/>
          <w:lang w:val="en-US" w:eastAsia="zh-CN"/>
        </w:rPr>
        <w:t>Abstract</w:t>
      </w:r>
      <w:r>
        <w:rPr>
          <w:kern w:val="2"/>
          <w:sz w:val="21"/>
          <w:szCs w:val="21"/>
          <w:lang w:val="en-US" w:eastAsia="zh-CN"/>
        </w:rPr>
        <w:t xml:space="preserve">: With the widespread application of information and communication technologies (ICTs) in human daily life, urban residents' daily activities and living spaces are undergoing digital transformation. This article proposes a conceptual framework of community living space that includes concepts of physical living space, physical-virtual synchronized living space, physical-virtual collocated living space, and physical-virtual hybrid living space. Based on this, this article drew upon a combined daily and Internet activity diary and GPS survey of community residents in the Beijing Dangdai–Yimei community living circle to study the structural characteristics and internal connections of the four types of community living spaces. We also analyzed the formation logic of the </w:t>
      </w:r>
      <w:r>
        <w:rPr>
          <w:rFonts w:hint="eastAsia"/>
          <w:kern w:val="2"/>
          <w:sz w:val="21"/>
          <w:szCs w:val="21"/>
          <w:lang w:val="en-US" w:eastAsia="zh-CN"/>
        </w:rPr>
        <w:t>p</w:t>
      </w:r>
      <w:r>
        <w:rPr>
          <w:kern w:val="2"/>
          <w:sz w:val="21"/>
          <w:szCs w:val="21"/>
          <w:lang w:val="en-US" w:eastAsia="zh-CN"/>
        </w:rPr>
        <w:t xml:space="preserve">hysical-virtual hybrid living space. Research has found that compared to the community physical living space that only considers offline activities, the spatial distribution of community </w:t>
      </w:r>
      <w:r>
        <w:rPr>
          <w:rFonts w:hint="eastAsia"/>
          <w:kern w:val="2"/>
          <w:sz w:val="21"/>
          <w:szCs w:val="21"/>
          <w:lang w:val="en-US" w:eastAsia="zh-CN"/>
        </w:rPr>
        <w:t>p</w:t>
      </w:r>
      <w:r>
        <w:rPr>
          <w:kern w:val="2"/>
          <w:sz w:val="21"/>
          <w:szCs w:val="21"/>
          <w:lang w:val="en-US" w:eastAsia="zh-CN"/>
        </w:rPr>
        <w:t xml:space="preserve">hysical-virtual living space that consider both offline and online activities has significant differences. Specifically, compared to the physical living space, the </w:t>
      </w:r>
      <w:r>
        <w:rPr>
          <w:rFonts w:hint="eastAsia"/>
          <w:kern w:val="2"/>
          <w:sz w:val="21"/>
          <w:szCs w:val="21"/>
          <w:lang w:val="en-US" w:eastAsia="zh-CN"/>
        </w:rPr>
        <w:t>p</w:t>
      </w:r>
      <w:r>
        <w:rPr>
          <w:kern w:val="2"/>
          <w:sz w:val="21"/>
          <w:szCs w:val="21"/>
          <w:lang w:val="en-US" w:eastAsia="zh-CN"/>
        </w:rPr>
        <w:t xml:space="preserve">hysical-virtual hybrid living space of shopping, leisure, and socializing are more distributed within homes and outside of community life circles, indicating that </w:t>
      </w:r>
      <w:r>
        <w:rPr>
          <w:rFonts w:hint="eastAsia"/>
          <w:kern w:val="2"/>
          <w:sz w:val="21"/>
          <w:szCs w:val="21"/>
          <w:lang w:val="en-US" w:eastAsia="zh-CN"/>
        </w:rPr>
        <w:t>some</w:t>
      </w:r>
      <w:r>
        <w:rPr>
          <w:kern w:val="2"/>
          <w:sz w:val="21"/>
          <w:szCs w:val="21"/>
          <w:lang w:val="en-US" w:eastAsia="zh-CN"/>
        </w:rPr>
        <w:t xml:space="preserve"> functions of community life circles defined by community life circle planning guidelines–such as cultural leisure, social interaction, and material procurement–may be more likely to be undertaken by home and the space outside of the life circle. This would pose a challenge to community life circle planning. In addition, research has found that the synchronous occurrence of online and offline activities brought about using ICTs in the background has a significant impact on the living space, especially reflected in the expansion of the living space of the three types of activities outside the community living circle, and the lack of direct connection between some living spaces and corresponding types of facilities. Finally, this article discusses the implications of the physical-virtual hybrid living space for the planning and governance of community living circles.</w:t>
      </w:r>
    </w:p>
    <w:p w14:paraId="7B8104FC">
      <w:pPr>
        <w:widowControl w:val="0"/>
        <w:spacing w:before="120" w:beforeLines="50" w:after="120" w:afterLines="50" w:line="300" w:lineRule="auto"/>
        <w:ind w:firstLine="0"/>
        <w:jc w:val="both"/>
        <w:rPr>
          <w:kern w:val="2"/>
          <w:sz w:val="21"/>
          <w:szCs w:val="21"/>
          <w:lang w:val="en-US" w:eastAsia="zh-CN"/>
        </w:rPr>
      </w:pPr>
      <w:r>
        <w:rPr>
          <w:kern w:val="2"/>
          <w:sz w:val="21"/>
          <w:szCs w:val="21"/>
          <w:lang w:val="en-US" w:eastAsia="zh-CN"/>
        </w:rPr>
        <w:t>关键词：</w:t>
      </w:r>
      <w:r>
        <w:rPr>
          <w:rFonts w:hint="eastAsia"/>
          <w:kern w:val="2"/>
          <w:sz w:val="21"/>
          <w:szCs w:val="21"/>
          <w:lang w:val="en-US" w:eastAsia="zh-CN"/>
        </w:rPr>
        <w:t>信息通信技术</w:t>
      </w:r>
      <w:r>
        <w:rPr>
          <w:kern w:val="2"/>
          <w:sz w:val="21"/>
          <w:szCs w:val="21"/>
          <w:lang w:val="en-US" w:eastAsia="zh-CN"/>
        </w:rPr>
        <w:t>；生活空间；实虚混合；前后台活动；社区生活圈</w:t>
      </w:r>
    </w:p>
    <w:p w14:paraId="5EE6EB04">
      <w:pPr>
        <w:widowControl w:val="0"/>
        <w:spacing w:before="120" w:beforeLines="50" w:after="120" w:afterLines="50" w:line="300" w:lineRule="auto"/>
        <w:ind w:firstLine="0"/>
        <w:jc w:val="both"/>
        <w:rPr>
          <w:kern w:val="2"/>
          <w:sz w:val="21"/>
          <w:szCs w:val="21"/>
          <w:lang w:val="en-US" w:eastAsia="zh-CN"/>
        </w:rPr>
      </w:pPr>
      <w:r>
        <w:rPr>
          <w:b/>
          <w:bCs/>
          <w:kern w:val="2"/>
          <w:sz w:val="21"/>
          <w:szCs w:val="21"/>
          <w:lang w:val="en-US" w:eastAsia="zh-CN"/>
        </w:rPr>
        <w:t>Keywords</w:t>
      </w:r>
      <w:r>
        <w:rPr>
          <w:kern w:val="2"/>
          <w:sz w:val="21"/>
          <w:szCs w:val="21"/>
          <w:lang w:val="en-US" w:eastAsia="zh-CN"/>
        </w:rPr>
        <w:t>: ICTs; Living Spaces; Physical-Virtual Hybridization; Foreground and Background Activities; Community Life Circle</w:t>
      </w:r>
    </w:p>
    <w:p w14:paraId="7D78DD32">
      <w:pPr>
        <w:widowControl w:val="0"/>
        <w:spacing w:before="120" w:beforeLines="50" w:line="300" w:lineRule="auto"/>
        <w:ind w:firstLine="0"/>
        <w:jc w:val="both"/>
        <w:rPr>
          <w:kern w:val="2"/>
          <w:sz w:val="21"/>
          <w:szCs w:val="21"/>
          <w:lang w:val="en-US" w:eastAsia="zh-CN"/>
        </w:rPr>
      </w:pPr>
    </w:p>
    <w:p w14:paraId="527B6D01">
      <w:pPr>
        <w:widowControl w:val="0"/>
        <w:spacing w:before="120" w:beforeLines="50" w:line="300" w:lineRule="auto"/>
        <w:ind w:firstLine="0"/>
        <w:jc w:val="both"/>
        <w:rPr>
          <w:kern w:val="2"/>
          <w:sz w:val="21"/>
          <w:szCs w:val="21"/>
          <w:lang w:val="en-US" w:eastAsia="zh-CN"/>
        </w:rPr>
      </w:pPr>
      <w:r>
        <w:rPr>
          <w:kern w:val="2"/>
          <w:sz w:val="21"/>
          <w:szCs w:val="21"/>
          <w:lang w:val="en-US" w:eastAsia="zh-CN"/>
        </w:rPr>
        <w:t>作者：梁皓朝，北京大学城市与环境学院，硕士研究生。lianghaochao@stu.pku.edu.cn</w:t>
      </w:r>
    </w:p>
    <w:p w14:paraId="161A3B3B">
      <w:pPr>
        <w:widowControl w:val="0"/>
        <w:spacing w:before="120" w:beforeLines="50" w:line="300" w:lineRule="auto"/>
        <w:ind w:firstLine="0"/>
        <w:jc w:val="both"/>
        <w:rPr>
          <w:kern w:val="2"/>
          <w:sz w:val="21"/>
          <w:szCs w:val="21"/>
          <w:lang w:val="en-US" w:eastAsia="zh-CN"/>
        </w:rPr>
      </w:pPr>
      <w:r>
        <w:rPr>
          <w:kern w:val="2"/>
          <w:sz w:val="21"/>
          <w:szCs w:val="21"/>
          <w:lang w:val="en-US" w:eastAsia="zh-CN"/>
        </w:rPr>
        <w:t>柴彦威，北京大学城市与环境学院，教授，博士生导师。chyw@pku.edu.cn</w:t>
      </w:r>
    </w:p>
    <w:p w14:paraId="38CEFE36">
      <w:pPr>
        <w:widowControl w:val="0"/>
        <w:spacing w:before="120" w:beforeLines="50" w:line="300" w:lineRule="auto"/>
        <w:ind w:firstLine="0"/>
        <w:jc w:val="both"/>
        <w:rPr>
          <w:kern w:val="2"/>
          <w:sz w:val="21"/>
          <w:szCs w:val="21"/>
          <w:lang w:val="en-US" w:eastAsia="zh-CN"/>
        </w:rPr>
      </w:pPr>
      <w:r>
        <w:rPr>
          <w:kern w:val="2"/>
          <w:sz w:val="21"/>
          <w:szCs w:val="21"/>
          <w:lang w:val="en-US" w:eastAsia="zh-CN"/>
        </w:rPr>
        <w:t>李春江（通信作者），多伦多大学地理</w:t>
      </w:r>
      <w:r>
        <w:rPr>
          <w:rFonts w:hint="eastAsia"/>
          <w:kern w:val="2"/>
          <w:sz w:val="21"/>
          <w:szCs w:val="21"/>
          <w:lang w:val="en-US" w:eastAsia="zh-CN"/>
        </w:rPr>
        <w:t>与规划</w:t>
      </w:r>
      <w:r>
        <w:rPr>
          <w:kern w:val="2"/>
          <w:sz w:val="21"/>
          <w:szCs w:val="21"/>
          <w:lang w:val="en-US" w:eastAsia="zh-CN"/>
        </w:rPr>
        <w:t>系，博士后研究员。chunjiang.li@utoronto.ca</w:t>
      </w:r>
    </w:p>
    <w:p w14:paraId="1D917B6F">
      <w:pPr>
        <w:widowControl w:val="0"/>
        <w:spacing w:before="120" w:beforeLines="50" w:line="300" w:lineRule="auto"/>
        <w:ind w:firstLine="0"/>
        <w:jc w:val="both"/>
        <w:rPr>
          <w:kern w:val="2"/>
          <w:sz w:val="21"/>
          <w:szCs w:val="21"/>
          <w:lang w:val="en-US" w:eastAsia="zh-CN"/>
        </w:rPr>
      </w:pPr>
    </w:p>
    <w:p w14:paraId="32E63AC3">
      <w:pPr>
        <w:widowControl w:val="0"/>
        <w:spacing w:before="120" w:beforeLines="50" w:line="300" w:lineRule="auto"/>
        <w:ind w:firstLine="0"/>
        <w:jc w:val="both"/>
        <w:rPr>
          <w:kern w:val="2"/>
          <w:sz w:val="21"/>
          <w:szCs w:val="21"/>
          <w:lang w:val="en-US" w:eastAsia="zh-CN"/>
        </w:rPr>
      </w:pPr>
      <w:r>
        <w:rPr>
          <w:kern w:val="2"/>
          <w:sz w:val="21"/>
          <w:szCs w:val="21"/>
          <w:lang w:val="en-US" w:eastAsia="zh-CN"/>
        </w:rPr>
        <w:t>国家自然科学基金</w:t>
      </w:r>
      <w:r>
        <w:rPr>
          <w:rFonts w:hint="eastAsia"/>
          <w:kern w:val="2"/>
          <w:sz w:val="21"/>
          <w:szCs w:val="21"/>
          <w:lang w:val="en-US" w:eastAsia="zh-CN"/>
        </w:rPr>
        <w:t>面上</w:t>
      </w:r>
      <w:r>
        <w:rPr>
          <w:kern w:val="2"/>
          <w:sz w:val="21"/>
          <w:szCs w:val="21"/>
          <w:lang w:val="en-US" w:eastAsia="zh-CN"/>
        </w:rPr>
        <w:t>项目</w:t>
      </w:r>
      <w:r>
        <w:rPr>
          <w:rFonts w:hint="eastAsia"/>
          <w:kern w:val="2"/>
          <w:sz w:val="21"/>
          <w:szCs w:val="21"/>
          <w:lang w:val="en-US" w:eastAsia="zh-CN"/>
        </w:rPr>
        <w:t>“城市实虚活动系统的理论构建与北京实证研究”（</w:t>
      </w:r>
      <w:r>
        <w:rPr>
          <w:kern w:val="2"/>
          <w:sz w:val="21"/>
          <w:szCs w:val="21"/>
          <w:lang w:val="en-US" w:eastAsia="zh-CN"/>
        </w:rPr>
        <w:t>42271199</w:t>
      </w:r>
      <w:r>
        <w:rPr>
          <w:rFonts w:hint="eastAsia"/>
          <w:kern w:val="2"/>
          <w:sz w:val="21"/>
          <w:szCs w:val="21"/>
          <w:lang w:val="en-US" w:eastAsia="zh-CN"/>
        </w:rPr>
        <w:t>），“</w:t>
      </w:r>
      <w:r>
        <w:rPr>
          <w:rFonts w:hint="eastAsia"/>
          <w:kern w:val="2"/>
          <w:sz w:val="21"/>
          <w:szCs w:val="21"/>
          <w:lang w:eastAsia="zh-CN"/>
        </w:rPr>
        <w:t>城市家庭企划—活动系统的时空间特征与活动空间优化研究</w:t>
      </w:r>
      <w:r>
        <w:rPr>
          <w:rFonts w:hint="eastAsia"/>
          <w:kern w:val="2"/>
          <w:sz w:val="21"/>
          <w:szCs w:val="21"/>
          <w:lang w:val="en-US" w:eastAsia="zh-CN"/>
        </w:rPr>
        <w:t>”</w:t>
      </w:r>
      <w:r>
        <w:rPr>
          <w:rFonts w:hint="eastAsia"/>
          <w:kern w:val="2"/>
          <w:sz w:val="21"/>
          <w:szCs w:val="21"/>
          <w:lang w:eastAsia="zh-CN"/>
        </w:rPr>
        <w:t>（</w:t>
      </w:r>
      <w:r>
        <w:rPr>
          <w:kern w:val="2"/>
          <w:sz w:val="21"/>
          <w:szCs w:val="21"/>
          <w:lang w:eastAsia="zh-CN"/>
        </w:rPr>
        <w:t>42471282</w:t>
      </w:r>
      <w:r>
        <w:rPr>
          <w:rFonts w:hint="eastAsia"/>
          <w:kern w:val="2"/>
          <w:sz w:val="21"/>
          <w:szCs w:val="21"/>
          <w:lang w:eastAsia="zh-CN"/>
        </w:rPr>
        <w:t>）</w:t>
      </w:r>
    </w:p>
    <w:p w14:paraId="0FF6CCAA">
      <w:pPr>
        <w:widowControl w:val="0"/>
        <w:spacing w:before="120" w:beforeLines="50" w:line="300" w:lineRule="auto"/>
        <w:ind w:firstLine="0"/>
        <w:jc w:val="both"/>
        <w:rPr>
          <w:kern w:val="2"/>
          <w:sz w:val="21"/>
          <w:szCs w:val="21"/>
          <w:lang w:val="en-US" w:eastAsia="zh-CN"/>
        </w:rPr>
      </w:pPr>
    </w:p>
    <w:p w14:paraId="31606E73">
      <w:pPr>
        <w:pStyle w:val="6"/>
        <w:spacing w:before="120" w:beforeLines="50" w:line="300" w:lineRule="auto"/>
        <w:rPr>
          <w:rFonts w:cs="Times New Roman"/>
        </w:rPr>
      </w:pPr>
      <w:r>
        <w:rPr>
          <w:rFonts w:cs="Times New Roman"/>
        </w:rPr>
        <w:t>随着信息通信技术（</w:t>
      </w:r>
      <w:r>
        <w:rPr>
          <w:rFonts w:hint="eastAsia" w:cs="Times New Roman"/>
        </w:rPr>
        <w:t>ICTs:</w:t>
      </w:r>
      <w:r>
        <w:rPr>
          <w:rFonts w:cs="Times New Roman"/>
        </w:rPr>
        <w:t xml:space="preserve"> Information and Communications Technologies）的发展及其</w:t>
      </w:r>
      <w:r>
        <w:rPr>
          <w:rFonts w:hint="eastAsia" w:cs="Times New Roman"/>
        </w:rPr>
        <w:t>日益</w:t>
      </w:r>
      <w:r>
        <w:rPr>
          <w:rFonts w:cs="Times New Roman"/>
        </w:rPr>
        <w:t>广泛</w:t>
      </w:r>
      <w:r>
        <w:rPr>
          <w:rFonts w:hint="eastAsia" w:cs="Times New Roman"/>
        </w:rPr>
        <w:t>的</w:t>
      </w:r>
      <w:r>
        <w:rPr>
          <w:rFonts w:cs="Times New Roman"/>
        </w:rPr>
        <w:t>应用，城市居民的日常生活数字化程度</w:t>
      </w:r>
      <w:r>
        <w:rPr>
          <w:rFonts w:hint="eastAsia" w:cs="Times New Roman"/>
        </w:rPr>
        <w:t>不断提高</w:t>
      </w:r>
      <w:r>
        <w:t>[1]</w:t>
      </w:r>
      <w:r>
        <w:rPr>
          <w:rFonts w:hint="eastAsia" w:cs="Times New Roman"/>
        </w:rPr>
        <w:t>，</w:t>
      </w:r>
      <w:r>
        <w:rPr>
          <w:rFonts w:cs="Times New Roman"/>
        </w:rPr>
        <w:t>日常活动与空间的关系发生变化。</w:t>
      </w:r>
      <w:r>
        <w:rPr>
          <w:rFonts w:hint="eastAsia"/>
        </w:rPr>
        <w:t>已有研究将生活空间的变化归纳为不同类型日常活动的实体空间利用特征改变</w:t>
      </w:r>
      <w:r>
        <w:t>[2]</w:t>
      </w:r>
      <w:r>
        <w:rPr>
          <w:rFonts w:hint="eastAsia"/>
        </w:rPr>
        <w:t>。比如，</w:t>
      </w:r>
      <w:r>
        <w:rPr>
          <w:rFonts w:cs="Times New Roman"/>
        </w:rPr>
        <w:t>远程通信</w:t>
      </w:r>
      <w:r>
        <w:rPr>
          <w:rFonts w:hint="eastAsia" w:cs="Times New Roman"/>
        </w:rPr>
        <w:t>的使用</w:t>
      </w:r>
      <w:r>
        <w:rPr>
          <w:rFonts w:cs="Times New Roman"/>
        </w:rPr>
        <w:t>减少</w:t>
      </w:r>
      <w:r>
        <w:rPr>
          <w:rFonts w:hint="eastAsia" w:cs="Times New Roman"/>
        </w:rPr>
        <w:t>了</w:t>
      </w:r>
      <w:r>
        <w:rPr>
          <w:rFonts w:cs="Times New Roman"/>
        </w:rPr>
        <w:t>居民</w:t>
      </w:r>
      <w:r>
        <w:rPr>
          <w:rFonts w:hint="eastAsia" w:cs="Times New Roman"/>
        </w:rPr>
        <w:t>以</w:t>
      </w:r>
      <w:r>
        <w:rPr>
          <w:rFonts w:cs="Times New Roman"/>
        </w:rPr>
        <w:t>获取信息为目的出行</w:t>
      </w:r>
      <w:r>
        <w:rPr>
          <w:rFonts w:hint="eastAsia" w:cs="Times New Roman"/>
        </w:rPr>
        <w:t>，同时</w:t>
      </w:r>
      <w:r>
        <w:rPr>
          <w:rFonts w:cs="Times New Roman"/>
        </w:rPr>
        <w:t>创造了新的出行需求[3]；ICTs技术</w:t>
      </w:r>
      <w:r>
        <w:rPr>
          <w:rFonts w:hint="eastAsia" w:cs="Times New Roman"/>
        </w:rPr>
        <w:t>应用</w:t>
      </w:r>
      <w:r>
        <w:rPr>
          <w:rFonts w:cs="Times New Roman"/>
        </w:rPr>
        <w:t>增加了出行频率、距离</w:t>
      </w:r>
      <w:r>
        <w:rPr>
          <w:rFonts w:hint="eastAsia" w:cs="Times New Roman"/>
        </w:rPr>
        <w:t>和</w:t>
      </w:r>
      <w:r>
        <w:rPr>
          <w:rFonts w:cs="Times New Roman"/>
        </w:rPr>
        <w:t>时间，提高了出行效率</w:t>
      </w:r>
      <w:r>
        <w:rPr>
          <w:rFonts w:hint="eastAsia" w:cs="Times New Roman"/>
        </w:rPr>
        <w:t>和距离</w:t>
      </w:r>
      <w:r>
        <w:rPr>
          <w:rFonts w:cs="Times New Roman"/>
        </w:rPr>
        <w:t>[4]，</w:t>
      </w:r>
      <w:r>
        <w:rPr>
          <w:rFonts w:hint="eastAsia" w:cs="Times New Roman"/>
        </w:rPr>
        <w:t>从而</w:t>
      </w:r>
      <w:r>
        <w:rPr>
          <w:rFonts w:cs="Times New Roman"/>
        </w:rPr>
        <w:t>可能</w:t>
      </w:r>
      <w:r>
        <w:rPr>
          <w:rFonts w:hint="eastAsia" w:cs="Times New Roman"/>
        </w:rPr>
        <w:t>扩展</w:t>
      </w:r>
      <w:r>
        <w:rPr>
          <w:rFonts w:cs="Times New Roman"/>
        </w:rPr>
        <w:t>居民生活空间范围</w:t>
      </w:r>
      <w:r>
        <w:rPr>
          <w:rFonts w:hint="eastAsia" w:cs="Times New Roman"/>
        </w:rPr>
        <w:t>。与此相对，也</w:t>
      </w:r>
      <w:r>
        <w:rPr>
          <w:rFonts w:cs="Times New Roman"/>
        </w:rPr>
        <w:t>有研究</w:t>
      </w:r>
      <w:r>
        <w:rPr>
          <w:rFonts w:hint="eastAsia" w:cs="Times New Roman"/>
        </w:rPr>
        <w:t>发现网</w:t>
      </w:r>
      <w:r>
        <w:rPr>
          <w:rFonts w:cs="Times New Roman"/>
        </w:rPr>
        <w:t>络休闲活动</w:t>
      </w:r>
      <w:r>
        <w:rPr>
          <w:rFonts w:hint="eastAsia" w:cs="Times New Roman"/>
        </w:rPr>
        <w:t>减少了</w:t>
      </w:r>
      <w:r>
        <w:rPr>
          <w:rFonts w:cs="Times New Roman"/>
        </w:rPr>
        <w:t>居民非必要性出行时间[5]，进而</w:t>
      </w:r>
      <w:r>
        <w:rPr>
          <w:rFonts w:hint="eastAsia" w:cs="Times New Roman"/>
        </w:rPr>
        <w:t>缩小了</w:t>
      </w:r>
      <w:r>
        <w:rPr>
          <w:rFonts w:cs="Times New Roman"/>
        </w:rPr>
        <w:t>生活空间范围。</w:t>
      </w:r>
      <w:r>
        <w:rPr>
          <w:rFonts w:hint="eastAsia"/>
        </w:rPr>
        <w:t>此外，</w:t>
      </w:r>
      <w:r>
        <w:rPr>
          <w:rFonts w:hint="eastAsia" w:cs="Times New Roman"/>
        </w:rPr>
        <w:t>网络购物可能减少居民传统日常购物的出行频率和距离，而可能增加多目的出行的频率</w:t>
      </w:r>
      <w:r>
        <w:rPr>
          <w:rFonts w:cs="Times New Roman"/>
        </w:rPr>
        <w:t>[6-7]</w:t>
      </w:r>
      <w:r>
        <w:rPr>
          <w:rFonts w:hint="eastAsia" w:cs="Times New Roman"/>
        </w:rPr>
        <w:t>。可见</w:t>
      </w:r>
      <w:r>
        <w:t>ICTs</w:t>
      </w:r>
      <w:r>
        <w:rPr>
          <w:rFonts w:hint="eastAsia"/>
        </w:rPr>
        <w:t>的使用改变了居民日常生活的出行范围，进而带来生活空间的变化。</w:t>
      </w:r>
      <w:r>
        <w:rPr>
          <w:rFonts w:hint="eastAsia" w:cs="Times New Roman"/>
        </w:rPr>
        <w:t>然而，这些研究通常仅关注线下活动和出行的变化，而对线上活动相关的空间信息（即使用数字媒介技术时的空间位置及活动包含的空间信息）关注有限。</w:t>
      </w:r>
    </w:p>
    <w:p w14:paraId="6F87B2D5">
      <w:pPr>
        <w:pStyle w:val="6"/>
        <w:spacing w:before="120" w:beforeLines="50" w:line="300" w:lineRule="auto"/>
        <w:rPr>
          <w:rFonts w:cs="Times New Roman"/>
        </w:rPr>
      </w:pPr>
      <w:r>
        <w:rPr>
          <w:rFonts w:hint="eastAsia" w:cs="Times New Roman"/>
        </w:rPr>
        <w:t>研究线上活动相关的空间信息对于理解信息时代城市空间的变化极为关键</w:t>
      </w:r>
      <w:r>
        <w:rPr>
          <w:rFonts w:cs="Times New Roman"/>
        </w:rPr>
        <w:t>[8-9]</w:t>
      </w:r>
      <w:r>
        <w:rPr>
          <w:rFonts w:hint="eastAsia" w:cs="Times New Roman"/>
        </w:rPr>
        <w:t>。特别是在线上活动占日常活动的比例不断增加、活动虚实交融趋势愈发显著的背景下</w:t>
      </w:r>
      <w:r>
        <w:rPr>
          <w:rFonts w:cs="Times New Roman"/>
        </w:rPr>
        <w:t>[10]</w:t>
      </w:r>
      <w:r>
        <w:rPr>
          <w:rFonts w:hint="eastAsia" w:cs="Times New Roman"/>
        </w:rPr>
        <w:t>，有必要更新经典的、基于线下活动所提出的生活空间概念</w:t>
      </w:r>
      <w:r>
        <w:rPr>
          <w:rFonts w:cs="Times New Roman"/>
        </w:rPr>
        <w:t>[11]</w:t>
      </w:r>
      <w:r>
        <w:rPr>
          <w:rFonts w:hint="eastAsia" w:cs="Times New Roman"/>
        </w:rPr>
        <w:t>，通过全面考察线上线下活动所涉及的空间范围来研究实虚混合的生活空间</w:t>
      </w:r>
      <w:r>
        <w:rPr>
          <w:rFonts w:cs="Times New Roman"/>
        </w:rPr>
        <w:t>[12]</w:t>
      </w:r>
      <w:r>
        <w:rPr>
          <w:rFonts w:hint="eastAsia" w:cs="Times New Roman"/>
        </w:rPr>
        <w:t>。当前研究通过考察居民线上办公活动在实体空间中的布局，揭示了日常工作空间组织的新变化</w:t>
      </w:r>
      <w:r>
        <w:rPr>
          <w:rFonts w:cs="Times New Roman"/>
        </w:rPr>
        <w:t>[13]。</w:t>
      </w:r>
      <w:r>
        <w:rPr>
          <w:rFonts w:hint="eastAsia" w:cs="Times New Roman"/>
        </w:rPr>
        <w:t>一些</w:t>
      </w:r>
      <w:r>
        <w:rPr>
          <w:rFonts w:cs="Times New Roman"/>
        </w:rPr>
        <w:t>研究借助手机信令数据</w:t>
      </w:r>
      <w:r>
        <w:rPr>
          <w:rFonts w:hint="eastAsia" w:cs="Times New Roman"/>
        </w:rPr>
        <w:t>探索各类型线上活动的空间结构</w:t>
      </w:r>
      <w:r>
        <w:rPr>
          <w:rFonts w:cs="Times New Roman"/>
        </w:rPr>
        <w:t>[14-15]。</w:t>
      </w:r>
      <w:r>
        <w:rPr>
          <w:rFonts w:hint="eastAsia" w:cs="Times New Roman"/>
        </w:rPr>
        <w:t>尽管已有研究发现线上活动空间与线下活动存在差异，但这些研究忽视了日常活动的实虚结合特征，未能将线下、线上活动的生活空间联合起来进行分析；同时，这些研究也未能关注社区生活圈的数字化转型。</w:t>
      </w:r>
    </w:p>
    <w:p w14:paraId="6419A351">
      <w:pPr>
        <w:pStyle w:val="6"/>
        <w:spacing w:before="120" w:beforeLines="50" w:line="300" w:lineRule="auto"/>
        <w:rPr>
          <w:rFonts w:cs="Times New Roman"/>
        </w:rPr>
      </w:pPr>
      <w:r>
        <w:rPr>
          <w:rFonts w:hint="eastAsia" w:cs="Times New Roman"/>
        </w:rPr>
        <w:t>在城市居民各类生活空间中，社区作为基础的</w:t>
      </w:r>
      <w:r>
        <w:rPr>
          <w:rFonts w:cs="Times New Roman"/>
        </w:rPr>
        <w:t>生活空间</w:t>
      </w:r>
      <w:r>
        <w:rPr>
          <w:rFonts w:hint="eastAsia" w:cs="Times New Roman"/>
        </w:rPr>
        <w:t>单元，</w:t>
      </w:r>
      <w:r>
        <w:rPr>
          <w:rFonts w:cs="Times New Roman"/>
        </w:rPr>
        <w:t>与居民生活质量、居住满意度、社会融合等议题密切相关[16-17]。基础生活空间与社区中各类设施资源的集合构成社区生活圈[17-18]。</w:t>
      </w:r>
      <w:r>
        <w:rPr>
          <w:rFonts w:hint="eastAsia" w:cs="Times New Roman"/>
        </w:rPr>
        <w:t>伴随居民日常生活的数字化转向，社区生活圈数字化程度提高</w:t>
      </w:r>
      <w:r>
        <w:rPr>
          <w:rFonts w:cs="Times New Roman"/>
        </w:rPr>
        <w:t>[19]</w:t>
      </w:r>
      <w:r>
        <w:rPr>
          <w:rFonts w:hint="eastAsia" w:cs="Times New Roman"/>
        </w:rPr>
        <w:t>。</w:t>
      </w:r>
      <w:r>
        <w:rPr>
          <w:rFonts w:cs="Times New Roman"/>
        </w:rPr>
        <w:t>已有研究通过调查社区线上</w:t>
      </w:r>
      <w:r>
        <w:rPr>
          <w:rFonts w:hint="eastAsia" w:cs="Times New Roman"/>
        </w:rPr>
        <w:t>线</w:t>
      </w:r>
      <w:r>
        <w:rPr>
          <w:rFonts w:cs="Times New Roman"/>
        </w:rPr>
        <w:t>下各类型服务的供需特征，在规划层面上</w:t>
      </w:r>
      <w:r>
        <w:rPr>
          <w:rFonts w:hint="eastAsia" w:cs="Times New Roman"/>
        </w:rPr>
        <w:t>提出</w:t>
      </w:r>
      <w:r>
        <w:rPr>
          <w:rFonts w:cs="Times New Roman"/>
        </w:rPr>
        <w:t>数字社区生活圈的服务平台搭建、</w:t>
      </w:r>
      <w:r>
        <w:rPr>
          <w:rFonts w:hint="eastAsia" w:cs="Times New Roman"/>
        </w:rPr>
        <w:t>配套</w:t>
      </w:r>
      <w:r>
        <w:rPr>
          <w:rFonts w:cs="Times New Roman"/>
        </w:rPr>
        <w:t>设施布局等建议[20-22]。</w:t>
      </w:r>
      <w:r>
        <w:rPr>
          <w:rFonts w:hint="eastAsia" w:cs="Times New Roman"/>
        </w:rPr>
        <w:t>然而，尽管</w:t>
      </w:r>
      <w:r>
        <w:rPr>
          <w:rFonts w:cs="Times New Roman"/>
        </w:rPr>
        <w:t>社区生活圈与生活空间概念密切相关，当前</w:t>
      </w:r>
      <w:r>
        <w:rPr>
          <w:rFonts w:hint="eastAsia" w:cs="Times New Roman"/>
        </w:rPr>
        <w:t>却</w:t>
      </w:r>
      <w:r>
        <w:rPr>
          <w:rFonts w:cs="Times New Roman"/>
        </w:rPr>
        <w:t>少有研究从居民的日常活动与生活空间出发，</w:t>
      </w:r>
      <w:r>
        <w:rPr>
          <w:rFonts w:hint="eastAsia" w:cs="Times New Roman"/>
        </w:rPr>
        <w:t>探</w:t>
      </w:r>
      <w:r>
        <w:rPr>
          <w:rFonts w:cs="Times New Roman"/>
        </w:rPr>
        <w:t>讨</w:t>
      </w:r>
      <w:r>
        <w:rPr>
          <w:rFonts w:hint="eastAsia" w:cs="Times New Roman"/>
        </w:rPr>
        <w:t>数字化转型背景下社区居民在生活圈中</w:t>
      </w:r>
      <w:r>
        <w:rPr>
          <w:rFonts w:cs="Times New Roman"/>
        </w:rPr>
        <w:t>空间利用的特征与变化。</w:t>
      </w:r>
    </w:p>
    <w:p w14:paraId="673FC6C1">
      <w:pPr>
        <w:pStyle w:val="6"/>
        <w:spacing w:before="120" w:beforeLines="50" w:after="0" w:afterLines="0" w:line="300" w:lineRule="auto"/>
        <w:rPr>
          <w:rFonts w:cs="Times New Roman"/>
        </w:rPr>
      </w:pPr>
      <w:bookmarkStart w:id="0" w:name="_Hlk198996936"/>
      <w:r>
        <w:rPr>
          <w:rFonts w:hint="eastAsia" w:cs="Times New Roman"/>
        </w:rPr>
        <w:t>综上所述，本文旨在构建实虚混合生活空间的概念体系，并采用社区居民日常活动与网络活动调查数据，对社区实虚生活空间的结构特征与形成逻辑进行说明，以期为数字社区生活圈规划提供一定参考。</w:t>
      </w:r>
    </w:p>
    <w:bookmarkEnd w:id="0"/>
    <w:p w14:paraId="2EB946E0">
      <w:pPr>
        <w:pStyle w:val="2"/>
      </w:pPr>
      <w:r>
        <w:t xml:space="preserve">1  </w:t>
      </w:r>
      <w:bookmarkStart w:id="1" w:name="_Hlk199102340"/>
      <w:r>
        <w:rPr>
          <w:rFonts w:hint="eastAsia"/>
        </w:rPr>
        <w:t>实虚生活空间</w:t>
      </w:r>
      <w:bookmarkEnd w:id="1"/>
      <w:r>
        <w:rPr>
          <w:rFonts w:hint="eastAsia"/>
        </w:rPr>
        <w:t>分析框架</w:t>
      </w:r>
    </w:p>
    <w:p w14:paraId="582990F5">
      <w:pPr>
        <w:pStyle w:val="6"/>
        <w:spacing w:before="120" w:beforeLines="50" w:after="0" w:afterLines="0" w:line="300" w:lineRule="auto"/>
        <w:rPr>
          <w:rFonts w:cs="Times New Roman"/>
        </w:rPr>
      </w:pPr>
      <w:r>
        <w:rPr>
          <w:rFonts w:hint="eastAsia" w:cs="Times New Roman"/>
        </w:rPr>
        <w:t>为阐明社区居民开展各类型线上线下活动所形成的实虚混合生活空间的特征及其与社区生活圈的关系，本节尝试厘清实虚混合生活空间的概念内涵及其形成逻辑，并在此基础上构建分析框架。</w:t>
      </w:r>
    </w:p>
    <w:p w14:paraId="6F4ED07E">
      <w:pPr>
        <w:pStyle w:val="4"/>
      </w:pPr>
      <w:r>
        <w:t xml:space="preserve">1.1 </w:t>
      </w:r>
      <w:r>
        <w:rPr>
          <w:rFonts w:hint="eastAsia"/>
        </w:rPr>
        <w:t xml:space="preserve"> 生活空间的实虚混合化</w:t>
      </w:r>
    </w:p>
    <w:p w14:paraId="6694B226">
      <w:pPr>
        <w:pStyle w:val="6"/>
        <w:spacing w:before="120" w:beforeLines="50" w:line="300" w:lineRule="auto"/>
        <w:rPr>
          <w:rFonts w:cs="Times New Roman"/>
        </w:rPr>
      </w:pPr>
      <w:r>
        <w:rPr>
          <w:rFonts w:cs="Times New Roman"/>
        </w:rPr>
        <w:t>生活空间是人们为了维持日常生活而</w:t>
      </w:r>
      <w:r>
        <w:rPr>
          <w:rFonts w:hint="eastAsia" w:cs="Times New Roman"/>
        </w:rPr>
        <w:t>进行</w:t>
      </w:r>
      <w:r>
        <w:rPr>
          <w:rFonts w:cs="Times New Roman"/>
        </w:rPr>
        <w:t>的诸多</w:t>
      </w:r>
      <w:r>
        <w:rPr>
          <w:rFonts w:hint="eastAsia" w:cs="Times New Roman"/>
        </w:rPr>
        <w:t>活</w:t>
      </w:r>
      <w:r>
        <w:rPr>
          <w:rFonts w:cs="Times New Roman"/>
        </w:rPr>
        <w:t>动所构成的空间范围[23]</w:t>
      </w:r>
      <w:r>
        <w:rPr>
          <w:rFonts w:hint="eastAsia" w:cs="Times New Roman"/>
        </w:rPr>
        <w:t>，是</w:t>
      </w:r>
      <w:r>
        <w:rPr>
          <w:rFonts w:cs="Times New Roman"/>
        </w:rPr>
        <w:t>构成人们日常生活中各种活动类型及社会关系在空间上的总投影[24]</w:t>
      </w:r>
      <w:r>
        <w:rPr>
          <w:rFonts w:hint="eastAsia" w:cs="Times New Roman"/>
        </w:rPr>
        <w:t>。在</w:t>
      </w:r>
      <w:r>
        <w:rPr>
          <w:rFonts w:cs="Times New Roman"/>
        </w:rPr>
        <w:t>ICTs</w:t>
      </w:r>
      <w:r>
        <w:rPr>
          <w:rFonts w:hint="eastAsia" w:cs="Times New Roman"/>
        </w:rPr>
        <w:t>广泛应用前，城市居民的日常活动与特定空间之间存在相对简单的对应关系</w:t>
      </w:r>
      <w:r>
        <w:rPr>
          <w:rFonts w:cs="Times New Roman"/>
        </w:rPr>
        <w:t>[11]</w:t>
      </w:r>
      <w:r>
        <w:rPr>
          <w:rFonts w:hint="eastAsia" w:cs="Times New Roman"/>
        </w:rPr>
        <w:t>。据此，研究通常根据居民活动性质划分不同生活空间类型</w:t>
      </w:r>
      <w:r>
        <w:rPr>
          <w:rFonts w:cs="Times New Roman"/>
        </w:rPr>
        <w:t>[24]</w:t>
      </w:r>
      <w:r>
        <w:rPr>
          <w:rFonts w:hint="eastAsia" w:cs="Times New Roman"/>
        </w:rPr>
        <w:t>，并将相应的地理空间作为生活空间的测度。相关研究通常采用访谈、问卷、活动日志等调查方式，利用</w:t>
      </w:r>
      <w:r>
        <w:rPr>
          <w:rFonts w:cs="Times New Roman"/>
        </w:rPr>
        <w:t>GPS</w:t>
      </w:r>
      <w:r>
        <w:rPr>
          <w:rFonts w:hint="eastAsia" w:cs="Times New Roman"/>
        </w:rPr>
        <w:t>、手机信令等时空行为数据获取居民日常活动的空间位置，进而分析生活空间特征和结构模式</w:t>
      </w:r>
      <w:r>
        <w:rPr>
          <w:rFonts w:cs="Times New Roman"/>
        </w:rPr>
        <w:t>[25-34]</w:t>
      </w:r>
      <w:r>
        <w:rPr>
          <w:rFonts w:hint="eastAsia" w:cs="Times New Roman"/>
        </w:rPr>
        <w:t>。</w:t>
      </w:r>
    </w:p>
    <w:p w14:paraId="5B1DC9E1">
      <w:pPr>
        <w:pStyle w:val="6"/>
        <w:spacing w:before="120" w:beforeLines="50" w:line="300" w:lineRule="auto"/>
        <w:rPr>
          <w:rFonts w:cs="Times New Roman"/>
        </w:rPr>
      </w:pPr>
      <w:r>
        <w:rPr>
          <w:rFonts w:hint="eastAsia" w:cs="Times New Roman"/>
        </w:rPr>
        <w:t>随着</w:t>
      </w:r>
      <w:r>
        <w:rPr>
          <w:rFonts w:cs="Times New Roman"/>
        </w:rPr>
        <w:t>ICTs</w:t>
      </w:r>
      <w:r>
        <w:rPr>
          <w:rFonts w:hint="eastAsia" w:cs="Times New Roman"/>
        </w:rPr>
        <w:t>的发展，尤其是移动</w:t>
      </w:r>
      <w:r>
        <w:rPr>
          <w:rFonts w:cs="Times New Roman"/>
        </w:rPr>
        <w:t>ICTs</w:t>
      </w:r>
      <w:r>
        <w:rPr>
          <w:rFonts w:hint="eastAsia" w:cs="Times New Roman"/>
        </w:rPr>
        <w:t>技术的广泛应用，日常活动受到固定空间位置的限制得以放宽，这显著改变了居民日常活动的时空间特征</w:t>
      </w:r>
      <w:r>
        <w:rPr>
          <w:rFonts w:cs="Times New Roman"/>
        </w:rPr>
        <w:t>[35]</w:t>
      </w:r>
      <w:r>
        <w:rPr>
          <w:rFonts w:hint="eastAsia" w:cs="Times New Roman"/>
        </w:rPr>
        <w:t>。一方面，单一</w:t>
      </w:r>
      <w:r>
        <w:rPr>
          <w:rFonts w:cs="Times New Roman"/>
        </w:rPr>
        <w:t>活动</w:t>
      </w:r>
      <w:r>
        <w:rPr>
          <w:rFonts w:hint="eastAsia" w:cs="Times New Roman"/>
        </w:rPr>
        <w:t>在I</w:t>
      </w:r>
      <w:r>
        <w:rPr>
          <w:rFonts w:cs="Times New Roman"/>
        </w:rPr>
        <w:t>CTs</w:t>
      </w:r>
      <w:r>
        <w:rPr>
          <w:rFonts w:hint="eastAsia" w:cs="Times New Roman"/>
        </w:rPr>
        <w:t>影响下可能</w:t>
      </w:r>
      <w:r>
        <w:rPr>
          <w:rFonts w:cs="Times New Roman"/>
        </w:rPr>
        <w:t>被划分为多个子活动，并在时空中广泛且非连续分布[36-38]</w:t>
      </w:r>
      <w:r>
        <w:rPr>
          <w:rFonts w:hint="eastAsia" w:cs="Times New Roman"/>
        </w:rPr>
        <w:t>。另一方面，居民同时开展2个及以上活动的多任务特征更为显著</w:t>
      </w:r>
      <w:r>
        <w:rPr>
          <w:rFonts w:cs="Times New Roman"/>
        </w:rPr>
        <w:t>[39-40]</w:t>
      </w:r>
      <w:r>
        <w:rPr>
          <w:rFonts w:hint="eastAsia" w:cs="Times New Roman"/>
        </w:rPr>
        <w:t>。这些日常活动的变化映射至实体生活空间中，使生活空间向实虚混合化发展：生活空间呈现多样化、复合化、破碎化、移动化、体验化等特征，同时生活空间的范围亦发生变化</w:t>
      </w:r>
      <w:r>
        <w:rPr>
          <w:rFonts w:cs="Times New Roman"/>
        </w:rPr>
        <w:t>[11]</w:t>
      </w:r>
      <w:r>
        <w:rPr>
          <w:rFonts w:hint="eastAsia" w:cs="Times New Roman"/>
        </w:rPr>
        <w:t>。然而，已有研究尚未厘清日常活动的线上线下结合对生活空间实虚混合化的影响机制，暂未形成综合线下与线上活动的生活空间概念框架。为此，本文提出实虚混合生活空间概念，从线上与线下活动组合形式的角度切入，具体探讨实虚混合生活空间结构特征与形成机制，从而深化对信息时代人类社会发展变化特征的认识。</w:t>
      </w:r>
    </w:p>
    <w:p w14:paraId="49961D8D">
      <w:pPr>
        <w:pStyle w:val="4"/>
      </w:pPr>
      <w:r>
        <w:t xml:space="preserve">1.2 </w:t>
      </w:r>
      <w:r>
        <w:rPr>
          <w:rFonts w:hint="eastAsia"/>
        </w:rPr>
        <w:t xml:space="preserve"> 生活空间的实虚混合形式</w:t>
      </w:r>
    </w:p>
    <w:p w14:paraId="5BC5C3B5">
      <w:pPr>
        <w:pStyle w:val="6"/>
        <w:spacing w:before="120" w:beforeLines="50" w:after="0" w:afterLines="0" w:line="300" w:lineRule="auto"/>
        <w:rPr>
          <w:rFonts w:cs="Times New Roman"/>
        </w:rPr>
      </w:pPr>
      <w:r>
        <w:rPr>
          <w:rFonts w:hint="eastAsia" w:cs="Times New Roman"/>
        </w:rPr>
        <w:t>考察实虚混合生活空间的组成逻辑，需先厘清日常活动的线上线下结合特征。</w:t>
      </w:r>
      <w:r>
        <w:rPr>
          <w:rFonts w:cs="Times New Roman"/>
        </w:rPr>
        <w:t>根据是否使用ICTs</w:t>
      </w:r>
      <w:r>
        <w:rPr>
          <w:rFonts w:hint="eastAsia" w:cs="Times New Roman"/>
        </w:rPr>
        <w:t>，</w:t>
      </w:r>
      <w:r>
        <w:rPr>
          <w:rFonts w:cs="Times New Roman"/>
        </w:rPr>
        <w:t>居民</w:t>
      </w:r>
      <w:r>
        <w:rPr>
          <w:rFonts w:hint="eastAsia" w:cs="Times New Roman"/>
        </w:rPr>
        <w:t>日常</w:t>
      </w:r>
      <w:r>
        <w:rPr>
          <w:rFonts w:cs="Times New Roman"/>
        </w:rPr>
        <w:t>活动</w:t>
      </w:r>
      <w:r>
        <w:rPr>
          <w:rFonts w:hint="eastAsia" w:cs="Times New Roman"/>
        </w:rPr>
        <w:t>可</w:t>
      </w:r>
      <w:r>
        <w:rPr>
          <w:rFonts w:cs="Times New Roman"/>
        </w:rPr>
        <w:t>划分为线上活动与线下活动，其中线下活动囊括所有不含ICTs使用的活动，线上活动指使用ICTs</w:t>
      </w:r>
      <w:r>
        <w:rPr>
          <w:rFonts w:hint="eastAsia" w:cs="Times New Roman"/>
        </w:rPr>
        <w:t>开展</w:t>
      </w:r>
      <w:r>
        <w:rPr>
          <w:rFonts w:cs="Times New Roman"/>
        </w:rPr>
        <w:t>的活动。</w:t>
      </w:r>
      <w:r>
        <w:rPr>
          <w:rFonts w:hint="eastAsia" w:cs="Times New Roman"/>
        </w:rPr>
        <w:t>进一步参考图林（</w:t>
      </w:r>
      <w:r>
        <w:rPr>
          <w:rFonts w:cs="Times New Roman"/>
        </w:rPr>
        <w:t>Eva Thulin</w:t>
      </w:r>
      <w:r>
        <w:rPr>
          <w:rFonts w:hint="eastAsia" w:cs="Times New Roman"/>
        </w:rPr>
        <w:t>）基于时间地理学提出的前台活动与后台活动概念对线上活动情境进行再分类：前台活动是个体投入注意力开展的主要活动，可以是线下或线上；后台活动则是与前台活动同步发生但服务于不同目的的线上活动</w:t>
      </w:r>
      <w:r>
        <w:rPr>
          <w:rFonts w:cs="Times New Roman"/>
        </w:rPr>
        <w:t>[41]</w:t>
      </w:r>
      <w:r>
        <w:rPr>
          <w:rFonts w:hint="eastAsia" w:cs="Times New Roman"/>
        </w:rPr>
        <w:t>。前台活动与后台活动有效地刻画了</w:t>
      </w:r>
      <w:r>
        <w:rPr>
          <w:rFonts w:cs="Times New Roman"/>
        </w:rPr>
        <w:t>ICTs</w:t>
      </w:r>
      <w:r>
        <w:rPr>
          <w:rFonts w:hint="eastAsia" w:cs="Times New Roman"/>
        </w:rPr>
        <w:t>使用促进活动多任务化的现实</w:t>
      </w:r>
      <w:r>
        <w:rPr>
          <w:rFonts w:cs="Times New Roman"/>
        </w:rPr>
        <w:t>[40]</w:t>
      </w:r>
      <w:r>
        <w:rPr>
          <w:rFonts w:hint="eastAsia" w:cs="Times New Roman"/>
        </w:rPr>
        <w:t>。据此，本研究将所有线上活动再划分为前台线上活动与后台线上活动。</w:t>
      </w:r>
    </w:p>
    <w:p w14:paraId="042EBD4C">
      <w:pPr>
        <w:pStyle w:val="6"/>
        <w:spacing w:before="120" w:beforeLines="50" w:after="0" w:afterLines="0" w:line="300" w:lineRule="auto"/>
        <w:rPr>
          <w:rFonts w:cs="Times New Roman"/>
        </w:rPr>
      </w:pPr>
      <w:r>
        <w:rPr>
          <w:rFonts w:hint="eastAsia" w:cs="Times New Roman"/>
        </w:rPr>
        <w:t>由此，日常生活中的线上与线下活动有三种组织形式：（1）线下活动与前台线上活动。在此情境中，线下活动与线上活动均处于“前台”，但不同时发生。比如在家里查看孩子班主任的微信消息，然后去菜市场买菜。（2）线下活动与同时开展的后台线上活动。此情境中线上活动与线下活动同时发生，但线上活动位于“后台”。比如在买菜的同时继续和班主任微信联络。（3）线下活动与线上活动完全结合。此情境在包含前两种类型的基础上，涵盖前台和后台都是线上活动的活动组织形式。比如，在家里和班主任沟通小孩情况，并且在买菜过程中继续与班主任联络。事实上，</w:t>
      </w:r>
      <w:r>
        <w:rPr>
          <w:rFonts w:cs="Times New Roman"/>
        </w:rPr>
        <w:t>ICTs</w:t>
      </w:r>
      <w:r>
        <w:rPr>
          <w:rFonts w:hint="eastAsia" w:cs="Times New Roman"/>
        </w:rPr>
        <w:t>使用已融入居民日常生活的各个方面</w:t>
      </w:r>
      <w:r>
        <w:rPr>
          <w:rFonts w:cs="Times New Roman"/>
        </w:rPr>
        <w:t>[42]</w:t>
      </w:r>
      <w:r>
        <w:rPr>
          <w:rFonts w:hint="eastAsia" w:cs="Times New Roman"/>
        </w:rPr>
        <w:t>，因此情境3是当前人类日常活动线上线下组织的真实形式，即居民日常生活会在不同类型的前台线下与线上活动中接入位于后台的线上活动。</w:t>
      </w:r>
    </w:p>
    <w:p w14:paraId="13F260C8">
      <w:pPr>
        <w:pStyle w:val="6"/>
        <w:spacing w:before="120" w:beforeLines="50" w:after="0" w:afterLines="0" w:line="300" w:lineRule="auto"/>
        <w:rPr>
          <w:rFonts w:cs="Times New Roman"/>
        </w:rPr>
      </w:pPr>
      <w:r>
        <w:rPr>
          <w:rFonts w:hint="eastAsia" w:cs="Times New Roman"/>
        </w:rPr>
        <w:t>在上述活动分类的基础上，本研究根据不同活动组合对实虚生活空间进行定义：（</w:t>
      </w:r>
      <w:r>
        <w:rPr>
          <w:rFonts w:cs="Times New Roman"/>
        </w:rPr>
        <w:t>1</w:t>
      </w:r>
      <w:r>
        <w:rPr>
          <w:rFonts w:hint="eastAsia" w:cs="Times New Roman"/>
        </w:rPr>
        <w:t>）实体生活空间，指所有线下活动所涉及的空间范围，即经典的生活空间概念。（</w:t>
      </w:r>
      <w:r>
        <w:rPr>
          <w:rFonts w:cs="Times New Roman"/>
        </w:rPr>
        <w:t>2</w:t>
      </w:r>
      <w:r>
        <w:rPr>
          <w:rFonts w:hint="eastAsia" w:cs="Times New Roman"/>
        </w:rPr>
        <w:t>）实虚同在生活空间，指所有线下活动与前台线上活动（即所有前台活动）涉及的空间范围，是前台线上活动在实体生活空间出现后形成的，对应上述第一种活动组织形式。（</w:t>
      </w:r>
      <w:r>
        <w:rPr>
          <w:rFonts w:cs="Times New Roman"/>
        </w:rPr>
        <w:t>3</w:t>
      </w:r>
      <w:r>
        <w:rPr>
          <w:rFonts w:hint="eastAsia" w:cs="Times New Roman"/>
        </w:rPr>
        <w:t>）实虚同步生活空间，指前台线下活动与同时开展的后台线上活动涉及的空间范围，是后台线上活动在实体生活空间出现后形成的，对应上述第二种活动组织形式。（</w:t>
      </w:r>
      <w:r>
        <w:rPr>
          <w:rFonts w:cs="Times New Roman"/>
        </w:rPr>
        <w:t>4</w:t>
      </w:r>
      <w:r>
        <w:rPr>
          <w:rFonts w:hint="eastAsia" w:cs="Times New Roman"/>
        </w:rPr>
        <w:t>）实虚混合生活空间，指所有线上线下、前台后台活动所涉及的空间范围，对应上述第三种活动组织形式。相对应地，实虚混合生活空间应是数字化转型背景下城市居民生活空间的真实反映（图1）。</w:t>
      </w:r>
    </w:p>
    <w:p w14:paraId="7C9BA703">
      <w:pPr>
        <w:pStyle w:val="6"/>
        <w:spacing w:before="120" w:beforeLines="50" w:after="0" w:afterLines="0" w:line="300" w:lineRule="auto"/>
        <w:ind w:firstLine="0" w:firstLineChars="0"/>
        <w:jc w:val="left"/>
        <w:rPr>
          <w:rFonts w:cs="Times New Roman"/>
        </w:rPr>
      </w:pPr>
      <w:r>
        <w:rPr>
          <w:rFonts w:cs="Times New Roman"/>
        </w:rPr>
        <w:drawing>
          <wp:inline distT="0" distB="0" distL="0" distR="0">
            <wp:extent cx="3713480" cy="2401570"/>
            <wp:effectExtent l="0" t="0" r="1270" b="0"/>
            <wp:docPr id="1352745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45154" name="图片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3719928" cy="2405906"/>
                    </a:xfrm>
                    <a:prstGeom prst="rect">
                      <a:avLst/>
                    </a:prstGeom>
                    <a:noFill/>
                    <a:ln>
                      <a:noFill/>
                    </a:ln>
                  </pic:spPr>
                </pic:pic>
              </a:graphicData>
            </a:graphic>
          </wp:inline>
        </w:drawing>
      </w:r>
    </w:p>
    <w:p w14:paraId="33E41ABD">
      <w:pPr>
        <w:pStyle w:val="6"/>
        <w:spacing w:before="120" w:beforeLines="50" w:after="0" w:afterLines="0" w:line="300" w:lineRule="auto"/>
        <w:ind w:firstLine="0" w:firstLineChars="0"/>
        <w:jc w:val="left"/>
        <w:rPr>
          <w:rFonts w:cs="Times New Roman"/>
        </w:rPr>
      </w:pPr>
      <w:r>
        <w:rPr>
          <w:rFonts w:hint="eastAsia" w:cs="Times New Roman"/>
        </w:rPr>
        <w:t>图</w:t>
      </w:r>
      <w:r>
        <w:rPr>
          <w:rFonts w:cs="Times New Roman"/>
        </w:rPr>
        <w:t xml:space="preserve">1  </w:t>
      </w:r>
      <w:r>
        <w:rPr>
          <w:rFonts w:hint="eastAsia" w:cs="Times New Roman"/>
        </w:rPr>
        <w:t>社区生活圈实虚生活空间的概念框架</w:t>
      </w:r>
    </w:p>
    <w:p w14:paraId="4DDEB0A4">
      <w:pPr>
        <w:pStyle w:val="6"/>
        <w:spacing w:before="120" w:beforeLines="50" w:after="0" w:afterLines="0" w:line="300" w:lineRule="auto"/>
        <w:rPr>
          <w:rFonts w:cs="Times New Roman"/>
        </w:rPr>
      </w:pPr>
      <w:r>
        <w:rPr>
          <w:rFonts w:hint="eastAsia" w:cs="Times New Roman"/>
        </w:rPr>
        <w:t>以购物活动为例，实体购物空间指的是线下购物场所，比如超市。实虚同在购物空间指的是线下购物和前台网购所涉及的空间范围，比如超市和家。实虚同步购物空间指的是线下购物和与其他活动同步开展的网购（即后台购物）所涉及的空间范围，比如超市和公园（边散步边网购）。最后，实虚混合购物空间指的是所有与购物有关的空间，比如线下购物的超市、前台网购的家和后台购物的公园。下文将采用调查数据对该框架进行说明。</w:t>
      </w:r>
    </w:p>
    <w:p w14:paraId="065B8383">
      <w:pPr>
        <w:pStyle w:val="2"/>
        <w:rPr>
          <w:b/>
          <w:bCs/>
        </w:rPr>
      </w:pPr>
      <w:r>
        <w:t>2  研究案例与数据来源</w:t>
      </w:r>
    </w:p>
    <w:p w14:paraId="4F874C07">
      <w:pPr>
        <w:pStyle w:val="4"/>
        <w:rPr>
          <w:b/>
          <w:iCs/>
        </w:rPr>
      </w:pPr>
      <w:r>
        <w:t>2.1  研究案例区域：北京市</w:t>
      </w:r>
      <w:r>
        <w:rPr>
          <w:shd w:val="clear" w:color="auto" w:fill="FFFFFF"/>
        </w:rPr>
        <w:t>当代</w:t>
      </w:r>
      <w:r>
        <w:rPr>
          <w:rFonts w:hint="eastAsia"/>
          <w:shd w:val="clear" w:color="auto" w:fill="FFFFFF"/>
        </w:rPr>
        <w:t>—</w:t>
      </w:r>
      <w:r>
        <w:rPr>
          <w:shd w:val="clear" w:color="auto" w:fill="FFFFFF"/>
        </w:rPr>
        <w:t>怡美</w:t>
      </w:r>
      <w:r>
        <w:t>社区生活圈</w:t>
      </w:r>
    </w:p>
    <w:p w14:paraId="3D837A2E">
      <w:pPr>
        <w:pStyle w:val="6"/>
        <w:spacing w:before="120" w:beforeLines="50" w:after="0" w:afterLines="0" w:line="300" w:lineRule="auto"/>
        <w:rPr>
          <w:rFonts w:cs="Times New Roman"/>
        </w:rPr>
      </w:pPr>
      <w:r>
        <w:rPr>
          <w:rFonts w:cs="Times New Roman"/>
        </w:rPr>
        <w:t>本研究以北京市清河街道当代城市家园</w:t>
      </w:r>
      <w:r>
        <w:rPr>
          <w:rFonts w:hint="eastAsia" w:cs="Times New Roman"/>
        </w:rPr>
        <w:t>社区和</w:t>
      </w:r>
      <w:r>
        <w:rPr>
          <w:rFonts w:cs="Times New Roman"/>
        </w:rPr>
        <w:t>怡美家园社区作为</w:t>
      </w:r>
      <w:r>
        <w:rPr>
          <w:rFonts w:hint="eastAsia" w:cs="Times New Roman"/>
        </w:rPr>
        <w:t>研究</w:t>
      </w:r>
      <w:r>
        <w:rPr>
          <w:rFonts w:cs="Times New Roman"/>
        </w:rPr>
        <w:t>案例。清河街道位于北京市海淀区东北部，靠近上地信息产业基地、中关村软件园</w:t>
      </w:r>
      <w:r>
        <w:rPr>
          <w:rFonts w:hint="eastAsia" w:cs="Times New Roman"/>
        </w:rPr>
        <w:t>，居民日常生活的数字化程度较高</w:t>
      </w:r>
      <w:r>
        <w:rPr>
          <w:rFonts w:cs="Times New Roman"/>
        </w:rPr>
        <w:t>。</w:t>
      </w:r>
      <w:bookmarkStart w:id="2" w:name="_Hlk198755353"/>
      <w:r>
        <w:rPr>
          <w:rFonts w:hint="eastAsia" w:cs="Times New Roman"/>
        </w:rPr>
        <w:t>已有研究</w:t>
      </w:r>
      <w:r>
        <w:rPr>
          <w:rFonts w:cs="Times New Roman"/>
        </w:rPr>
        <w:t>通过分别测算</w:t>
      </w:r>
      <w:r>
        <w:rPr>
          <w:rFonts w:hint="eastAsia" w:cs="Times New Roman"/>
        </w:rPr>
        <w:t>这两个社区的</w:t>
      </w:r>
      <w:r>
        <w:rPr>
          <w:rFonts w:cs="Times New Roman"/>
        </w:rPr>
        <w:t>居民15分钟步行可达范围以及共享度</w:t>
      </w:r>
      <w:r>
        <w:rPr>
          <w:rFonts w:hint="eastAsia" w:cs="Times New Roman"/>
        </w:rPr>
        <w:t>，</w:t>
      </w:r>
      <w:r>
        <w:rPr>
          <w:rFonts w:cs="Times New Roman"/>
        </w:rPr>
        <w:t>论证了</w:t>
      </w:r>
      <w:r>
        <w:rPr>
          <w:rFonts w:hint="eastAsia" w:cs="Times New Roman"/>
        </w:rPr>
        <w:t>他们</w:t>
      </w:r>
      <w:r>
        <w:rPr>
          <w:rFonts w:cs="Times New Roman"/>
        </w:rPr>
        <w:t>共享同一生活圈[43]</w:t>
      </w:r>
      <w:r>
        <w:rPr>
          <w:rFonts w:hint="eastAsia" w:cs="Times New Roman"/>
        </w:rPr>
        <w:t>。本研究采用该</w:t>
      </w:r>
      <w:r>
        <w:rPr>
          <w:rFonts w:hint="eastAsia" w:cs="Times New Roman"/>
          <w:shd w:val="clear" w:color="auto" w:fill="FFFFFF"/>
        </w:rPr>
        <w:t>范围作为</w:t>
      </w:r>
      <w:r>
        <w:rPr>
          <w:rFonts w:hint="eastAsia" w:cs="Times New Roman"/>
        </w:rPr>
        <w:t>案例社区（下称“</w:t>
      </w:r>
      <w:r>
        <w:rPr>
          <w:shd w:val="clear" w:color="auto" w:fill="FFFFFF"/>
        </w:rPr>
        <w:t>当代</w:t>
      </w:r>
      <w:r>
        <w:rPr>
          <w:rFonts w:hint="eastAsia"/>
          <w:shd w:val="clear" w:color="auto" w:fill="FFFFFF"/>
        </w:rPr>
        <w:t>—</w:t>
      </w:r>
      <w:r>
        <w:rPr>
          <w:shd w:val="clear" w:color="auto" w:fill="FFFFFF"/>
        </w:rPr>
        <w:t>怡美</w:t>
      </w:r>
      <w:r>
        <w:t>社区</w:t>
      </w:r>
      <w:r>
        <w:rPr>
          <w:rFonts w:hint="eastAsia"/>
        </w:rPr>
        <w:t>”</w:t>
      </w:r>
      <w:r>
        <w:rPr>
          <w:rFonts w:hint="eastAsia" w:cs="Times New Roman"/>
        </w:rPr>
        <w:t>）生活圈</w:t>
      </w:r>
      <w:bookmarkEnd w:id="2"/>
      <w:r>
        <w:rPr>
          <w:rFonts w:hint="eastAsia" w:cs="Times New Roman"/>
        </w:rPr>
        <w:t>（图</w:t>
      </w:r>
      <w:r>
        <w:rPr>
          <w:rFonts w:cs="Times New Roman"/>
        </w:rPr>
        <w:t>2</w:t>
      </w:r>
      <w:r>
        <w:rPr>
          <w:rFonts w:hint="eastAsia" w:cs="Times New Roman"/>
        </w:rPr>
        <w:t>），下文的</w:t>
      </w:r>
      <w:r>
        <w:rPr>
          <w:rFonts w:cs="Times New Roman"/>
        </w:rPr>
        <w:t>调查数据也</w:t>
      </w:r>
      <w:r>
        <w:rPr>
          <w:rFonts w:hint="eastAsia" w:cs="Times New Roman"/>
        </w:rPr>
        <w:t>将</w:t>
      </w:r>
      <w:r>
        <w:rPr>
          <w:rFonts w:cs="Times New Roman"/>
        </w:rPr>
        <w:t>指出两社区居民存在设施共用的情况。</w:t>
      </w:r>
    </w:p>
    <w:p w14:paraId="0D316F30">
      <w:pPr>
        <w:pStyle w:val="6"/>
        <w:spacing w:before="120" w:beforeLines="50" w:after="0" w:afterLines="0" w:line="300" w:lineRule="auto"/>
        <w:ind w:firstLine="0" w:firstLineChars="0"/>
        <w:jc w:val="center"/>
        <w:rPr>
          <w:rFonts w:cs="Times New Roman"/>
        </w:rPr>
      </w:pPr>
      <w:r>
        <w:rPr>
          <w:rFonts w:hint="eastAsia" w:cs="Times New Roman"/>
          <w14:ligatures w14:val="none"/>
        </w:rPr>
        <w:drawing>
          <wp:inline distT="0" distB="0" distL="0" distR="0">
            <wp:extent cx="5274310" cy="3728720"/>
            <wp:effectExtent l="0" t="0" r="254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cstate="print"/>
                    <a:stretch>
                      <a:fillRect/>
                    </a:stretch>
                  </pic:blipFill>
                  <pic:spPr>
                    <a:xfrm>
                      <a:off x="0" y="0"/>
                      <a:ext cx="5274310" cy="3729344"/>
                    </a:xfrm>
                    <a:prstGeom prst="rect">
                      <a:avLst/>
                    </a:prstGeom>
                  </pic:spPr>
                </pic:pic>
              </a:graphicData>
            </a:graphic>
          </wp:inline>
        </w:drawing>
      </w:r>
    </w:p>
    <w:p w14:paraId="0B8CA63A">
      <w:pPr>
        <w:pStyle w:val="6"/>
        <w:spacing w:before="120" w:beforeLines="50" w:after="0" w:afterLines="0" w:line="300" w:lineRule="auto"/>
        <w:ind w:firstLine="0" w:firstLineChars="0"/>
        <w:jc w:val="left"/>
        <w:rPr>
          <w:rFonts w:cs="Times New Roman"/>
        </w:rPr>
      </w:pPr>
      <w:r>
        <w:rPr>
          <w:rFonts w:hint="eastAsia" w:cs="Times New Roman"/>
        </w:rPr>
        <w:t>图</w:t>
      </w:r>
      <w:r>
        <w:rPr>
          <w:rFonts w:cs="Times New Roman"/>
        </w:rPr>
        <w:t xml:space="preserve">2  </w:t>
      </w:r>
      <w:r>
        <w:rPr>
          <w:rFonts w:hint="eastAsia" w:cs="Times New Roman"/>
        </w:rPr>
        <w:t>研究案例区域</w:t>
      </w:r>
    </w:p>
    <w:p w14:paraId="7E0C0AE0">
      <w:pPr>
        <w:pStyle w:val="4"/>
      </w:pPr>
      <w:r>
        <w:t>2.2  研究数据：</w:t>
      </w:r>
      <w:r>
        <w:rPr>
          <w:rFonts w:hint="eastAsia"/>
        </w:rPr>
        <w:t>日常活动与网络活动日志调查与</w:t>
      </w:r>
      <w:r>
        <w:t>GPS轨迹</w:t>
      </w:r>
    </w:p>
    <w:p w14:paraId="6C459F79">
      <w:pPr>
        <w:pStyle w:val="6"/>
        <w:spacing w:before="120" w:beforeLines="50" w:after="0" w:afterLines="0" w:line="300" w:lineRule="auto"/>
        <w:rPr>
          <w:rFonts w:cs="Times New Roman"/>
        </w:rPr>
      </w:pPr>
      <w:r>
        <w:rPr>
          <w:rFonts w:cs="Times New Roman"/>
        </w:rPr>
        <w:t>本研究数据来自北京大学行为地理研究团队于2021年10</w:t>
      </w:r>
      <w:r>
        <w:rPr>
          <w:rFonts w:hint="eastAsia" w:cs="Times New Roman"/>
        </w:rPr>
        <w:t>—</w:t>
      </w:r>
      <w:r>
        <w:rPr>
          <w:rFonts w:cs="Times New Roman"/>
        </w:rPr>
        <w:t>12月</w:t>
      </w:r>
      <w:r>
        <w:rPr>
          <w:rFonts w:hint="eastAsia" w:cs="Times New Roman"/>
        </w:rPr>
        <w:t>在</w:t>
      </w:r>
      <w:r>
        <w:rPr>
          <w:rFonts w:cs="Times New Roman"/>
        </w:rPr>
        <w:t>北京市海淀区清河街道开展</w:t>
      </w:r>
      <w:r>
        <w:rPr>
          <w:rFonts w:hint="eastAsia" w:cs="Times New Roman"/>
        </w:rPr>
        <w:t>的“清河街道社区居民日常活动与网络活动调查”。</w:t>
      </w:r>
      <w:r>
        <w:rPr>
          <w:rFonts w:cs="Times New Roman"/>
        </w:rPr>
        <w:t>调查内容包括个人和家庭属性表、连续的一个工作日与休息日活动日志</w:t>
      </w:r>
      <w:r>
        <w:rPr>
          <w:rFonts w:hint="eastAsia" w:cs="Times New Roman"/>
        </w:rPr>
        <w:t>和</w:t>
      </w:r>
      <w:r>
        <w:rPr>
          <w:rFonts w:cs="Times New Roman"/>
        </w:rPr>
        <w:t>网络活动日志以及居民GPS轨迹数据。调查团队在当代城市家园和怡美家园社区居委会的支持下，通过招募形式获取居民样本开展调查。每轮调查时</w:t>
      </w:r>
      <w:r>
        <w:rPr>
          <w:rFonts w:hint="eastAsia" w:cs="Times New Roman"/>
        </w:rPr>
        <w:t>段</w:t>
      </w:r>
      <w:r>
        <w:rPr>
          <w:rFonts w:cs="Times New Roman"/>
        </w:rPr>
        <w:t>为周日0点至周一24点（连续48小时）。</w:t>
      </w:r>
    </w:p>
    <w:p w14:paraId="12A25152">
      <w:pPr>
        <w:pStyle w:val="6"/>
        <w:spacing w:before="120" w:beforeLines="50" w:after="0" w:afterLines="0" w:line="300" w:lineRule="auto"/>
        <w:rPr>
          <w:rFonts w:cs="Times New Roman"/>
        </w:rPr>
      </w:pPr>
      <w:r>
        <w:rPr>
          <w:rFonts w:cs="Times New Roman"/>
        </w:rPr>
        <w:t>本研究选取调查中居住在当代</w:t>
      </w:r>
      <w:r>
        <w:rPr>
          <w:rFonts w:hint="eastAsia" w:cs="Times New Roman"/>
        </w:rPr>
        <w:t>—</w:t>
      </w:r>
      <w:r>
        <w:rPr>
          <w:rFonts w:cs="Times New Roman"/>
        </w:rPr>
        <w:t>怡美社区共144个居民作为研究样本（表1）。总体而言，样本</w:t>
      </w:r>
      <w:r>
        <w:rPr>
          <w:rFonts w:hint="eastAsia" w:cs="Times New Roman"/>
        </w:rPr>
        <w:t>中</w:t>
      </w:r>
      <w:r>
        <w:rPr>
          <w:rFonts w:cs="Times New Roman"/>
        </w:rPr>
        <w:t>女性居民比例略高，约占59%；70%以上的居民拥有大专</w:t>
      </w:r>
      <w:r>
        <w:rPr>
          <w:rFonts w:hint="eastAsia" w:cs="Times New Roman"/>
        </w:rPr>
        <w:t>/</w:t>
      </w:r>
      <w:r>
        <w:rPr>
          <w:rFonts w:cs="Times New Roman"/>
        </w:rPr>
        <w:t>本科及以上学历；工作与非工作状态人口比例接近，有助于综合反映就业与非就业状态下居民的日常生活空间状况。约76%的居民认为自己能熟练使用互联网，为本研究关注ICTs使用下居民日常生活空间特征提供了可行性。调查内容中，活动日志收集了被调查者连续的一个休息日与工作日每项活动起止时间、</w:t>
      </w:r>
      <w:r>
        <w:rPr>
          <w:rFonts w:hint="eastAsia" w:cs="Times New Roman"/>
        </w:rPr>
        <w:t>地点</w:t>
      </w:r>
      <w:r>
        <w:rPr>
          <w:rFonts w:cs="Times New Roman"/>
        </w:rPr>
        <w:t>类型、活动类型、同伴、满意度评价和活动弹性评价等</w:t>
      </w:r>
      <w:r>
        <w:rPr>
          <w:rFonts w:hint="eastAsia" w:cs="Times New Roman"/>
        </w:rPr>
        <w:t>；</w:t>
      </w:r>
      <w:r>
        <w:rPr>
          <w:rFonts w:cs="Times New Roman"/>
        </w:rPr>
        <w:t>网络活动日志包括起止时间、活动内容、应用程序或网站、（媒介在场）同伴、满意度、同时开展的其他活动及相关网站等信息。此外，调查要求居民样本随身佩戴GPS设备，并保证GPS设备一直处于开机运行状态。</w:t>
      </w:r>
      <w:r>
        <w:rPr>
          <w:rFonts w:hint="eastAsia" w:cs="Times New Roman"/>
        </w:rPr>
        <w:t>本研究中使用数据的独特性与创新性在于如下两个方面：第一，通过整合活动日志与网络活动日志可有效区分居民的线下活动与线上活动、前台活动与后台活动；第二，调查记录了所有线上线下活动的位置信息（包括地点类型与</w:t>
      </w:r>
      <w:r>
        <w:rPr>
          <w:rFonts w:cs="Times New Roman"/>
        </w:rPr>
        <w:t>GPS</w:t>
      </w:r>
      <w:r>
        <w:rPr>
          <w:rFonts w:hint="eastAsia" w:cs="Times New Roman"/>
        </w:rPr>
        <w:t>轨迹），为分析实虚混合的生活空间提供可能。</w:t>
      </w:r>
    </w:p>
    <w:p w14:paraId="04108384">
      <w:pPr>
        <w:pStyle w:val="6"/>
        <w:spacing w:before="120" w:beforeLines="50" w:after="0" w:afterLines="0"/>
        <w:ind w:firstLine="0" w:firstLineChars="0"/>
        <w:jc w:val="left"/>
        <w:rPr>
          <w:rFonts w:cs="Times New Roman"/>
        </w:rPr>
      </w:pPr>
      <w:r>
        <w:rPr>
          <w:rFonts w:cs="Times New Roman"/>
        </w:rPr>
        <w:t xml:space="preserve">表1  </w:t>
      </w:r>
      <w:r>
        <w:rPr>
          <w:shd w:val="clear" w:color="auto" w:fill="FFFFFF"/>
        </w:rPr>
        <w:t>当代</w:t>
      </w:r>
      <w:r>
        <w:rPr>
          <w:rFonts w:hint="eastAsia"/>
          <w:shd w:val="clear" w:color="auto" w:fill="FFFFFF"/>
        </w:rPr>
        <w:t>—</w:t>
      </w:r>
      <w:r>
        <w:rPr>
          <w:shd w:val="clear" w:color="auto" w:fill="FFFFFF"/>
        </w:rPr>
        <w:t>怡美</w:t>
      </w:r>
      <w:r>
        <w:t>社区</w:t>
      </w:r>
      <w:r>
        <w:rPr>
          <w:rFonts w:hint="eastAsia"/>
        </w:rPr>
        <w:t>居民</w:t>
      </w:r>
      <w:r>
        <w:rPr>
          <w:rFonts w:cs="Times New Roman"/>
        </w:rPr>
        <w:t>样本</w:t>
      </w:r>
      <w:r>
        <w:rPr>
          <w:rFonts w:hint="eastAsia" w:cs="Times New Roman"/>
        </w:rPr>
        <w:t>的</w:t>
      </w:r>
      <w:r>
        <w:rPr>
          <w:rFonts w:cs="Times New Roman"/>
        </w:rPr>
        <w:t>社会经济属性结构</w:t>
      </w:r>
    </w:p>
    <w:tbl>
      <w:tblPr>
        <w:tblStyle w:val="20"/>
        <w:tblW w:w="0" w:type="auto"/>
        <w:tblInd w:w="0" w:type="dxa"/>
        <w:tblLayout w:type="autofit"/>
        <w:tblCellMar>
          <w:top w:w="15" w:type="dxa"/>
          <w:left w:w="15" w:type="dxa"/>
          <w:bottom w:w="15" w:type="dxa"/>
          <w:right w:w="15" w:type="dxa"/>
        </w:tblCellMar>
      </w:tblPr>
      <w:tblGrid>
        <w:gridCol w:w="2370"/>
        <w:gridCol w:w="2550"/>
        <w:gridCol w:w="573"/>
        <w:gridCol w:w="753"/>
      </w:tblGrid>
      <w:tr w14:paraId="0A19E736">
        <w:tblPrEx>
          <w:tblCellMar>
            <w:top w:w="15" w:type="dxa"/>
            <w:left w:w="15" w:type="dxa"/>
            <w:bottom w:w="15" w:type="dxa"/>
            <w:right w:w="15" w:type="dxa"/>
          </w:tblCellMar>
        </w:tblPrEx>
        <w:trPr>
          <w:trHeight w:val="270" w:hRule="atLeast"/>
        </w:trPr>
        <w:tc>
          <w:tcPr>
            <w:tcW w:w="0" w:type="auto"/>
            <w:tcBorders>
              <w:top w:val="single" w:color="auto" w:sz="4" w:space="0"/>
              <w:bottom w:val="single" w:color="auto" w:sz="4" w:space="0"/>
            </w:tcBorders>
            <w:noWrap/>
            <w:vAlign w:val="center"/>
          </w:tcPr>
          <w:p w14:paraId="0FE775ED">
            <w:pPr>
              <w:spacing w:before="0" w:line="240" w:lineRule="auto"/>
              <w:ind w:firstLine="0"/>
              <w:jc w:val="center"/>
              <w:rPr>
                <w:b/>
                <w:bCs/>
                <w:sz w:val="18"/>
                <w:szCs w:val="18"/>
                <w:lang w:val="en-US" w:eastAsia="zh-CN"/>
              </w:rPr>
            </w:pPr>
            <w:r>
              <w:rPr>
                <w:b/>
                <w:bCs/>
                <w:sz w:val="18"/>
                <w:szCs w:val="18"/>
                <w:lang w:val="en-US" w:eastAsia="zh-CN"/>
              </w:rPr>
              <w:t>属性</w:t>
            </w:r>
          </w:p>
        </w:tc>
        <w:tc>
          <w:tcPr>
            <w:tcW w:w="0" w:type="auto"/>
            <w:tcBorders>
              <w:top w:val="single" w:color="auto" w:sz="4" w:space="0"/>
              <w:bottom w:val="single" w:color="auto" w:sz="4" w:space="0"/>
            </w:tcBorders>
            <w:noWrap/>
            <w:vAlign w:val="center"/>
          </w:tcPr>
          <w:p w14:paraId="3DA3C1B7">
            <w:pPr>
              <w:spacing w:before="0" w:line="240" w:lineRule="auto"/>
              <w:ind w:firstLine="0"/>
              <w:jc w:val="center"/>
              <w:rPr>
                <w:b/>
                <w:bCs/>
                <w:sz w:val="18"/>
                <w:szCs w:val="18"/>
                <w:lang w:val="en-US" w:eastAsia="zh-CN"/>
              </w:rPr>
            </w:pPr>
            <w:r>
              <w:rPr>
                <w:b/>
                <w:bCs/>
                <w:sz w:val="18"/>
                <w:szCs w:val="18"/>
                <w:lang w:val="en-US" w:eastAsia="zh-CN"/>
              </w:rPr>
              <w:t>类别</w:t>
            </w:r>
          </w:p>
        </w:tc>
        <w:tc>
          <w:tcPr>
            <w:tcW w:w="0" w:type="auto"/>
            <w:tcBorders>
              <w:top w:val="single" w:color="auto" w:sz="4" w:space="0"/>
              <w:bottom w:val="single" w:color="auto" w:sz="4" w:space="0"/>
            </w:tcBorders>
            <w:noWrap/>
            <w:vAlign w:val="center"/>
          </w:tcPr>
          <w:p w14:paraId="4E4B614C">
            <w:pPr>
              <w:spacing w:before="0" w:line="240" w:lineRule="auto"/>
              <w:ind w:firstLine="0"/>
              <w:jc w:val="center"/>
              <w:rPr>
                <w:b/>
                <w:bCs/>
                <w:sz w:val="18"/>
                <w:szCs w:val="18"/>
                <w:lang w:val="en-US" w:eastAsia="zh-CN"/>
              </w:rPr>
            </w:pPr>
            <w:r>
              <w:rPr>
                <w:b/>
                <w:bCs/>
                <w:sz w:val="18"/>
                <w:szCs w:val="18"/>
                <w:lang w:val="en-US" w:eastAsia="zh-CN"/>
              </w:rPr>
              <w:t>样本数</w:t>
            </w:r>
          </w:p>
        </w:tc>
        <w:tc>
          <w:tcPr>
            <w:tcW w:w="0" w:type="auto"/>
            <w:tcBorders>
              <w:top w:val="single" w:color="auto" w:sz="4" w:space="0"/>
              <w:bottom w:val="single" w:color="auto" w:sz="4" w:space="0"/>
            </w:tcBorders>
            <w:noWrap/>
            <w:vAlign w:val="center"/>
          </w:tcPr>
          <w:p w14:paraId="3CE075F4">
            <w:pPr>
              <w:spacing w:before="0" w:line="240" w:lineRule="auto"/>
              <w:ind w:firstLine="0"/>
              <w:jc w:val="center"/>
              <w:rPr>
                <w:b/>
                <w:bCs/>
                <w:sz w:val="18"/>
                <w:szCs w:val="18"/>
                <w:lang w:val="en-US" w:eastAsia="zh-CN"/>
              </w:rPr>
            </w:pPr>
            <w:r>
              <w:rPr>
                <w:b/>
                <w:bCs/>
                <w:sz w:val="18"/>
                <w:szCs w:val="18"/>
                <w:lang w:val="en-US" w:eastAsia="zh-CN"/>
              </w:rPr>
              <w:t>占比</w:t>
            </w:r>
            <w:r>
              <w:rPr>
                <w:rFonts w:hint="eastAsia"/>
                <w:b/>
                <w:bCs/>
                <w:sz w:val="18"/>
                <w:szCs w:val="18"/>
                <w:lang w:val="en-US" w:eastAsia="zh-CN"/>
              </w:rPr>
              <w:t>／</w:t>
            </w:r>
            <w:r>
              <w:rPr>
                <w:b/>
                <w:bCs/>
                <w:sz w:val="18"/>
                <w:szCs w:val="18"/>
                <w:lang w:val="en-US" w:eastAsia="zh-CN"/>
              </w:rPr>
              <w:t>%</w:t>
            </w:r>
          </w:p>
        </w:tc>
      </w:tr>
      <w:tr w14:paraId="6A214414">
        <w:tblPrEx>
          <w:tblCellMar>
            <w:top w:w="15" w:type="dxa"/>
            <w:left w:w="15" w:type="dxa"/>
            <w:bottom w:w="15" w:type="dxa"/>
            <w:right w:w="15" w:type="dxa"/>
          </w:tblCellMar>
        </w:tblPrEx>
        <w:trPr>
          <w:trHeight w:val="270" w:hRule="atLeast"/>
        </w:trPr>
        <w:tc>
          <w:tcPr>
            <w:tcW w:w="0" w:type="auto"/>
            <w:vMerge w:val="restart"/>
            <w:tcBorders>
              <w:top w:val="single" w:color="auto" w:sz="4" w:space="0"/>
            </w:tcBorders>
            <w:noWrap/>
            <w:vAlign w:val="center"/>
          </w:tcPr>
          <w:p w14:paraId="1EC7C6BB">
            <w:pPr>
              <w:spacing w:before="0" w:line="240" w:lineRule="auto"/>
              <w:ind w:firstLine="0"/>
              <w:rPr>
                <w:sz w:val="18"/>
                <w:szCs w:val="18"/>
                <w:lang w:val="en-US" w:eastAsia="zh-CN"/>
              </w:rPr>
            </w:pPr>
            <w:r>
              <w:rPr>
                <w:sz w:val="18"/>
                <w:szCs w:val="18"/>
                <w:lang w:val="en-US" w:eastAsia="zh-CN"/>
              </w:rPr>
              <w:t>性别</w:t>
            </w:r>
          </w:p>
        </w:tc>
        <w:tc>
          <w:tcPr>
            <w:tcW w:w="0" w:type="auto"/>
            <w:tcBorders>
              <w:top w:val="single" w:color="auto" w:sz="4" w:space="0"/>
            </w:tcBorders>
            <w:noWrap/>
          </w:tcPr>
          <w:p w14:paraId="711FABAD">
            <w:pPr>
              <w:spacing w:before="0" w:line="240" w:lineRule="auto"/>
              <w:ind w:firstLine="0"/>
              <w:rPr>
                <w:sz w:val="18"/>
                <w:szCs w:val="18"/>
                <w:lang w:val="en-US" w:eastAsia="zh-CN"/>
              </w:rPr>
            </w:pPr>
            <w:r>
              <w:rPr>
                <w:sz w:val="18"/>
                <w:szCs w:val="18"/>
                <w:lang w:val="en-US" w:eastAsia="zh-CN"/>
              </w:rPr>
              <w:t>男</w:t>
            </w:r>
          </w:p>
        </w:tc>
        <w:tc>
          <w:tcPr>
            <w:tcW w:w="0" w:type="auto"/>
            <w:tcBorders>
              <w:top w:val="single" w:color="auto" w:sz="4" w:space="0"/>
            </w:tcBorders>
            <w:noWrap/>
          </w:tcPr>
          <w:p w14:paraId="670A1171">
            <w:pPr>
              <w:spacing w:before="0" w:line="240" w:lineRule="auto"/>
              <w:ind w:firstLine="0"/>
              <w:jc w:val="center"/>
              <w:rPr>
                <w:sz w:val="18"/>
                <w:szCs w:val="18"/>
                <w:lang w:val="en-US" w:eastAsia="zh-CN"/>
              </w:rPr>
            </w:pPr>
            <w:r>
              <w:rPr>
                <w:sz w:val="18"/>
                <w:szCs w:val="18"/>
                <w:lang w:val="en-US" w:eastAsia="zh-CN"/>
              </w:rPr>
              <w:t>59</w:t>
            </w:r>
          </w:p>
        </w:tc>
        <w:tc>
          <w:tcPr>
            <w:tcW w:w="0" w:type="auto"/>
            <w:tcBorders>
              <w:top w:val="single" w:color="auto" w:sz="4" w:space="0"/>
            </w:tcBorders>
            <w:noWrap/>
          </w:tcPr>
          <w:p w14:paraId="084C1729">
            <w:pPr>
              <w:spacing w:before="0" w:line="240" w:lineRule="auto"/>
              <w:ind w:firstLine="0"/>
              <w:jc w:val="center"/>
              <w:rPr>
                <w:sz w:val="18"/>
                <w:szCs w:val="18"/>
                <w:lang w:val="en-US" w:eastAsia="zh-CN"/>
              </w:rPr>
            </w:pPr>
            <w:r>
              <w:rPr>
                <w:sz w:val="18"/>
                <w:szCs w:val="18"/>
                <w:lang w:val="en-US" w:eastAsia="zh-CN"/>
              </w:rPr>
              <w:t>40.97</w:t>
            </w:r>
          </w:p>
        </w:tc>
      </w:tr>
      <w:tr w14:paraId="1A7B6FF7">
        <w:tblPrEx>
          <w:tblCellMar>
            <w:top w:w="15" w:type="dxa"/>
            <w:left w:w="15" w:type="dxa"/>
            <w:bottom w:w="15" w:type="dxa"/>
            <w:right w:w="15" w:type="dxa"/>
          </w:tblCellMar>
        </w:tblPrEx>
        <w:trPr>
          <w:trHeight w:val="270" w:hRule="atLeast"/>
        </w:trPr>
        <w:tc>
          <w:tcPr>
            <w:tcW w:w="0" w:type="auto"/>
            <w:vMerge w:val="continue"/>
            <w:tcBorders>
              <w:bottom w:val="single" w:color="auto" w:sz="4" w:space="0"/>
            </w:tcBorders>
            <w:noWrap/>
            <w:vAlign w:val="center"/>
          </w:tcPr>
          <w:p w14:paraId="193D9859">
            <w:pPr>
              <w:spacing w:before="0" w:line="240" w:lineRule="auto"/>
              <w:ind w:firstLine="0"/>
              <w:rPr>
                <w:sz w:val="18"/>
                <w:szCs w:val="18"/>
                <w:lang w:val="en-US" w:eastAsia="zh-CN"/>
              </w:rPr>
            </w:pPr>
          </w:p>
        </w:tc>
        <w:tc>
          <w:tcPr>
            <w:tcW w:w="0" w:type="auto"/>
            <w:tcBorders>
              <w:bottom w:val="single" w:color="auto" w:sz="4" w:space="0"/>
            </w:tcBorders>
            <w:noWrap/>
          </w:tcPr>
          <w:p w14:paraId="6B0A4314">
            <w:pPr>
              <w:spacing w:before="0" w:line="240" w:lineRule="auto"/>
              <w:ind w:firstLine="0"/>
              <w:rPr>
                <w:sz w:val="18"/>
                <w:szCs w:val="18"/>
                <w:lang w:val="en-US" w:eastAsia="zh-CN"/>
              </w:rPr>
            </w:pPr>
            <w:r>
              <w:rPr>
                <w:sz w:val="18"/>
                <w:szCs w:val="18"/>
                <w:lang w:val="en-US" w:eastAsia="zh-CN"/>
              </w:rPr>
              <w:t>女</w:t>
            </w:r>
          </w:p>
        </w:tc>
        <w:tc>
          <w:tcPr>
            <w:tcW w:w="0" w:type="auto"/>
            <w:tcBorders>
              <w:bottom w:val="single" w:color="auto" w:sz="4" w:space="0"/>
            </w:tcBorders>
            <w:noWrap/>
          </w:tcPr>
          <w:p w14:paraId="03BC51AD">
            <w:pPr>
              <w:spacing w:before="0" w:line="240" w:lineRule="auto"/>
              <w:ind w:firstLine="0"/>
              <w:jc w:val="center"/>
              <w:rPr>
                <w:sz w:val="18"/>
                <w:szCs w:val="18"/>
                <w:lang w:val="en-US" w:eastAsia="zh-CN"/>
              </w:rPr>
            </w:pPr>
            <w:r>
              <w:rPr>
                <w:sz w:val="18"/>
                <w:szCs w:val="18"/>
                <w:lang w:val="en-US" w:eastAsia="zh-CN"/>
              </w:rPr>
              <w:t>85</w:t>
            </w:r>
          </w:p>
        </w:tc>
        <w:tc>
          <w:tcPr>
            <w:tcW w:w="0" w:type="auto"/>
            <w:tcBorders>
              <w:bottom w:val="single" w:color="auto" w:sz="4" w:space="0"/>
            </w:tcBorders>
            <w:noWrap/>
          </w:tcPr>
          <w:p w14:paraId="6A96139D">
            <w:pPr>
              <w:spacing w:before="0" w:line="240" w:lineRule="auto"/>
              <w:ind w:firstLine="0"/>
              <w:jc w:val="center"/>
              <w:rPr>
                <w:sz w:val="18"/>
                <w:szCs w:val="18"/>
                <w:lang w:val="en-US" w:eastAsia="zh-CN"/>
              </w:rPr>
            </w:pPr>
            <w:r>
              <w:rPr>
                <w:sz w:val="18"/>
                <w:szCs w:val="18"/>
                <w:lang w:val="en-US" w:eastAsia="zh-CN"/>
              </w:rPr>
              <w:t>59.03</w:t>
            </w:r>
          </w:p>
        </w:tc>
      </w:tr>
      <w:tr w14:paraId="723BD253">
        <w:tblPrEx>
          <w:tblCellMar>
            <w:top w:w="15" w:type="dxa"/>
            <w:left w:w="15" w:type="dxa"/>
            <w:bottom w:w="15" w:type="dxa"/>
            <w:right w:w="15" w:type="dxa"/>
          </w:tblCellMar>
        </w:tblPrEx>
        <w:trPr>
          <w:trHeight w:val="270" w:hRule="atLeast"/>
        </w:trPr>
        <w:tc>
          <w:tcPr>
            <w:tcW w:w="0" w:type="auto"/>
            <w:vMerge w:val="restart"/>
            <w:tcBorders>
              <w:top w:val="single" w:color="auto" w:sz="4" w:space="0"/>
            </w:tcBorders>
            <w:noWrap/>
            <w:vAlign w:val="center"/>
          </w:tcPr>
          <w:p w14:paraId="0C8308DC">
            <w:pPr>
              <w:spacing w:before="0" w:line="240" w:lineRule="auto"/>
              <w:ind w:firstLine="0"/>
              <w:rPr>
                <w:sz w:val="18"/>
                <w:szCs w:val="18"/>
                <w:lang w:val="en-US" w:eastAsia="zh-CN"/>
              </w:rPr>
            </w:pPr>
            <w:r>
              <w:rPr>
                <w:sz w:val="18"/>
                <w:szCs w:val="18"/>
                <w:lang w:val="en-US" w:eastAsia="zh-CN"/>
              </w:rPr>
              <w:t>年龄（岁）</w:t>
            </w:r>
          </w:p>
        </w:tc>
        <w:tc>
          <w:tcPr>
            <w:tcW w:w="0" w:type="auto"/>
            <w:tcBorders>
              <w:top w:val="single" w:color="auto" w:sz="4" w:space="0"/>
            </w:tcBorders>
            <w:noWrap/>
          </w:tcPr>
          <w:p w14:paraId="19F7A742">
            <w:pPr>
              <w:spacing w:before="0" w:line="240" w:lineRule="auto"/>
              <w:ind w:firstLine="0"/>
              <w:rPr>
                <w:sz w:val="18"/>
                <w:szCs w:val="18"/>
                <w:lang w:val="en-US" w:eastAsia="zh-CN"/>
              </w:rPr>
            </w:pPr>
            <w:r>
              <w:rPr>
                <w:rFonts w:hint="eastAsia"/>
                <w:sz w:val="18"/>
                <w:szCs w:val="18"/>
                <w:lang w:val="en-US" w:eastAsia="zh-CN"/>
              </w:rPr>
              <w:t>≤</w:t>
            </w:r>
            <w:r>
              <w:rPr>
                <w:sz w:val="18"/>
                <w:szCs w:val="18"/>
                <w:lang w:val="en-US" w:eastAsia="zh-CN"/>
              </w:rPr>
              <w:t>30</w:t>
            </w:r>
          </w:p>
        </w:tc>
        <w:tc>
          <w:tcPr>
            <w:tcW w:w="0" w:type="auto"/>
            <w:tcBorders>
              <w:top w:val="single" w:color="auto" w:sz="4" w:space="0"/>
            </w:tcBorders>
            <w:noWrap/>
          </w:tcPr>
          <w:p w14:paraId="4CD83F74">
            <w:pPr>
              <w:spacing w:before="0" w:line="240" w:lineRule="auto"/>
              <w:ind w:firstLine="0"/>
              <w:jc w:val="center"/>
              <w:rPr>
                <w:sz w:val="18"/>
                <w:szCs w:val="18"/>
                <w:lang w:val="en-US" w:eastAsia="zh-CN"/>
              </w:rPr>
            </w:pPr>
            <w:r>
              <w:rPr>
                <w:sz w:val="18"/>
                <w:szCs w:val="18"/>
                <w:lang w:val="en-US" w:eastAsia="zh-CN"/>
              </w:rPr>
              <w:t>5</w:t>
            </w:r>
          </w:p>
        </w:tc>
        <w:tc>
          <w:tcPr>
            <w:tcW w:w="0" w:type="auto"/>
            <w:tcBorders>
              <w:top w:val="single" w:color="auto" w:sz="4" w:space="0"/>
            </w:tcBorders>
            <w:noWrap/>
          </w:tcPr>
          <w:p w14:paraId="1F0732FD">
            <w:pPr>
              <w:spacing w:before="0" w:line="240" w:lineRule="auto"/>
              <w:ind w:firstLine="0"/>
              <w:jc w:val="center"/>
              <w:rPr>
                <w:sz w:val="18"/>
                <w:szCs w:val="18"/>
                <w:lang w:val="en-US" w:eastAsia="zh-CN"/>
              </w:rPr>
            </w:pPr>
            <w:r>
              <w:rPr>
                <w:sz w:val="18"/>
                <w:szCs w:val="18"/>
                <w:lang w:val="en-US" w:eastAsia="zh-CN"/>
              </w:rPr>
              <w:t>3.47</w:t>
            </w:r>
          </w:p>
        </w:tc>
      </w:tr>
      <w:tr w14:paraId="6602D1E3">
        <w:tblPrEx>
          <w:tblCellMar>
            <w:top w:w="15" w:type="dxa"/>
            <w:left w:w="15" w:type="dxa"/>
            <w:bottom w:w="15" w:type="dxa"/>
            <w:right w:w="15" w:type="dxa"/>
          </w:tblCellMar>
        </w:tblPrEx>
        <w:trPr>
          <w:trHeight w:val="270" w:hRule="atLeast"/>
        </w:trPr>
        <w:tc>
          <w:tcPr>
            <w:tcW w:w="0" w:type="auto"/>
            <w:vMerge w:val="continue"/>
            <w:noWrap/>
            <w:vAlign w:val="center"/>
          </w:tcPr>
          <w:p w14:paraId="7C009FC0">
            <w:pPr>
              <w:spacing w:before="0" w:line="240" w:lineRule="auto"/>
              <w:ind w:firstLine="0"/>
              <w:rPr>
                <w:sz w:val="18"/>
                <w:szCs w:val="18"/>
                <w:lang w:val="en-US" w:eastAsia="zh-CN"/>
              </w:rPr>
            </w:pPr>
          </w:p>
        </w:tc>
        <w:tc>
          <w:tcPr>
            <w:tcW w:w="0" w:type="auto"/>
            <w:noWrap/>
          </w:tcPr>
          <w:p w14:paraId="3EFD94A4">
            <w:pPr>
              <w:spacing w:before="0" w:line="240" w:lineRule="auto"/>
              <w:ind w:firstLine="0"/>
              <w:rPr>
                <w:sz w:val="18"/>
                <w:szCs w:val="18"/>
                <w:lang w:val="en-US" w:eastAsia="zh-CN"/>
              </w:rPr>
            </w:pPr>
            <w:r>
              <w:rPr>
                <w:sz w:val="18"/>
                <w:szCs w:val="18"/>
                <w:lang w:val="en-US" w:eastAsia="zh-CN"/>
              </w:rPr>
              <w:t>31</w:t>
            </w:r>
            <w:r>
              <w:rPr>
                <w:rFonts w:hint="eastAsia"/>
                <w:sz w:val="18"/>
                <w:szCs w:val="18"/>
                <w:lang w:val="en-US" w:eastAsia="zh-CN"/>
              </w:rPr>
              <w:t>~</w:t>
            </w:r>
            <w:r>
              <w:rPr>
                <w:sz w:val="18"/>
                <w:szCs w:val="18"/>
                <w:lang w:val="en-US" w:eastAsia="zh-CN"/>
              </w:rPr>
              <w:t>40</w:t>
            </w:r>
          </w:p>
        </w:tc>
        <w:tc>
          <w:tcPr>
            <w:tcW w:w="0" w:type="auto"/>
            <w:noWrap/>
          </w:tcPr>
          <w:p w14:paraId="213C3637">
            <w:pPr>
              <w:spacing w:before="0" w:line="240" w:lineRule="auto"/>
              <w:ind w:firstLine="0"/>
              <w:jc w:val="center"/>
              <w:rPr>
                <w:sz w:val="18"/>
                <w:szCs w:val="18"/>
                <w:lang w:val="en-US" w:eastAsia="zh-CN"/>
              </w:rPr>
            </w:pPr>
            <w:r>
              <w:rPr>
                <w:sz w:val="18"/>
                <w:szCs w:val="18"/>
                <w:lang w:val="en-US" w:eastAsia="zh-CN"/>
              </w:rPr>
              <w:t>36</w:t>
            </w:r>
          </w:p>
        </w:tc>
        <w:tc>
          <w:tcPr>
            <w:tcW w:w="0" w:type="auto"/>
            <w:noWrap/>
          </w:tcPr>
          <w:p w14:paraId="1DF89F45">
            <w:pPr>
              <w:spacing w:before="0" w:line="240" w:lineRule="auto"/>
              <w:ind w:firstLine="0"/>
              <w:jc w:val="center"/>
              <w:rPr>
                <w:sz w:val="18"/>
                <w:szCs w:val="18"/>
                <w:lang w:val="en-US" w:eastAsia="zh-CN"/>
              </w:rPr>
            </w:pPr>
            <w:r>
              <w:rPr>
                <w:sz w:val="18"/>
                <w:szCs w:val="18"/>
                <w:lang w:val="en-US" w:eastAsia="zh-CN"/>
              </w:rPr>
              <w:t>25.00</w:t>
            </w:r>
          </w:p>
        </w:tc>
      </w:tr>
      <w:tr w14:paraId="438B7B43">
        <w:tblPrEx>
          <w:tblCellMar>
            <w:top w:w="15" w:type="dxa"/>
            <w:left w:w="15" w:type="dxa"/>
            <w:bottom w:w="15" w:type="dxa"/>
            <w:right w:w="15" w:type="dxa"/>
          </w:tblCellMar>
        </w:tblPrEx>
        <w:trPr>
          <w:trHeight w:val="270" w:hRule="atLeast"/>
        </w:trPr>
        <w:tc>
          <w:tcPr>
            <w:tcW w:w="0" w:type="auto"/>
            <w:vMerge w:val="continue"/>
            <w:noWrap/>
            <w:vAlign w:val="center"/>
          </w:tcPr>
          <w:p w14:paraId="153AD7AC">
            <w:pPr>
              <w:spacing w:before="0" w:line="240" w:lineRule="auto"/>
              <w:ind w:firstLine="0"/>
              <w:rPr>
                <w:sz w:val="18"/>
                <w:szCs w:val="18"/>
                <w:lang w:val="en-US" w:eastAsia="zh-CN"/>
              </w:rPr>
            </w:pPr>
          </w:p>
        </w:tc>
        <w:tc>
          <w:tcPr>
            <w:tcW w:w="0" w:type="auto"/>
            <w:noWrap/>
          </w:tcPr>
          <w:p w14:paraId="0D708BAC">
            <w:pPr>
              <w:spacing w:before="0" w:line="240" w:lineRule="auto"/>
              <w:ind w:firstLine="0"/>
              <w:rPr>
                <w:sz w:val="18"/>
                <w:szCs w:val="18"/>
                <w:lang w:val="en-US" w:eastAsia="zh-CN"/>
              </w:rPr>
            </w:pPr>
            <w:r>
              <w:rPr>
                <w:sz w:val="18"/>
                <w:szCs w:val="18"/>
                <w:lang w:val="en-US" w:eastAsia="zh-CN"/>
              </w:rPr>
              <w:t>41</w:t>
            </w:r>
            <w:r>
              <w:rPr>
                <w:rFonts w:hint="eastAsia"/>
                <w:sz w:val="18"/>
                <w:szCs w:val="18"/>
                <w:lang w:val="en-US" w:eastAsia="zh-CN"/>
              </w:rPr>
              <w:t>~</w:t>
            </w:r>
            <w:r>
              <w:rPr>
                <w:sz w:val="18"/>
                <w:szCs w:val="18"/>
                <w:lang w:val="en-US" w:eastAsia="zh-CN"/>
              </w:rPr>
              <w:t>50</w:t>
            </w:r>
          </w:p>
        </w:tc>
        <w:tc>
          <w:tcPr>
            <w:tcW w:w="0" w:type="auto"/>
            <w:noWrap/>
          </w:tcPr>
          <w:p w14:paraId="31AB0314">
            <w:pPr>
              <w:spacing w:before="0" w:line="240" w:lineRule="auto"/>
              <w:ind w:firstLine="0"/>
              <w:jc w:val="center"/>
              <w:rPr>
                <w:sz w:val="18"/>
                <w:szCs w:val="18"/>
                <w:lang w:val="en-US" w:eastAsia="zh-CN"/>
              </w:rPr>
            </w:pPr>
            <w:r>
              <w:rPr>
                <w:sz w:val="18"/>
                <w:szCs w:val="18"/>
                <w:lang w:val="en-US" w:eastAsia="zh-CN"/>
              </w:rPr>
              <w:t>30</w:t>
            </w:r>
          </w:p>
        </w:tc>
        <w:tc>
          <w:tcPr>
            <w:tcW w:w="0" w:type="auto"/>
            <w:noWrap/>
          </w:tcPr>
          <w:p w14:paraId="08A1D595">
            <w:pPr>
              <w:spacing w:before="0" w:line="240" w:lineRule="auto"/>
              <w:ind w:firstLine="0"/>
              <w:jc w:val="center"/>
              <w:rPr>
                <w:sz w:val="18"/>
                <w:szCs w:val="18"/>
                <w:lang w:val="en-US" w:eastAsia="zh-CN"/>
              </w:rPr>
            </w:pPr>
            <w:r>
              <w:rPr>
                <w:sz w:val="18"/>
                <w:szCs w:val="18"/>
                <w:lang w:val="en-US" w:eastAsia="zh-CN"/>
              </w:rPr>
              <w:t>20.83</w:t>
            </w:r>
          </w:p>
        </w:tc>
      </w:tr>
      <w:tr w14:paraId="260EB435">
        <w:tblPrEx>
          <w:tblCellMar>
            <w:top w:w="15" w:type="dxa"/>
            <w:left w:w="15" w:type="dxa"/>
            <w:bottom w:w="15" w:type="dxa"/>
            <w:right w:w="15" w:type="dxa"/>
          </w:tblCellMar>
        </w:tblPrEx>
        <w:trPr>
          <w:trHeight w:val="270" w:hRule="atLeast"/>
        </w:trPr>
        <w:tc>
          <w:tcPr>
            <w:tcW w:w="0" w:type="auto"/>
            <w:vMerge w:val="continue"/>
            <w:noWrap/>
            <w:vAlign w:val="center"/>
          </w:tcPr>
          <w:p w14:paraId="590493C7">
            <w:pPr>
              <w:spacing w:before="0" w:line="240" w:lineRule="auto"/>
              <w:ind w:firstLine="0"/>
              <w:rPr>
                <w:sz w:val="18"/>
                <w:szCs w:val="18"/>
                <w:lang w:val="en-US" w:eastAsia="zh-CN"/>
              </w:rPr>
            </w:pPr>
          </w:p>
        </w:tc>
        <w:tc>
          <w:tcPr>
            <w:tcW w:w="0" w:type="auto"/>
            <w:noWrap/>
          </w:tcPr>
          <w:p w14:paraId="1FA61C5A">
            <w:pPr>
              <w:spacing w:before="0" w:line="240" w:lineRule="auto"/>
              <w:ind w:firstLine="0"/>
              <w:rPr>
                <w:sz w:val="18"/>
                <w:szCs w:val="18"/>
                <w:lang w:val="en-US" w:eastAsia="zh-CN"/>
              </w:rPr>
            </w:pPr>
            <w:r>
              <w:rPr>
                <w:sz w:val="18"/>
                <w:szCs w:val="18"/>
                <w:lang w:val="en-US" w:eastAsia="zh-CN"/>
              </w:rPr>
              <w:t>51</w:t>
            </w:r>
            <w:r>
              <w:rPr>
                <w:rFonts w:hint="eastAsia"/>
                <w:sz w:val="18"/>
                <w:szCs w:val="18"/>
                <w:lang w:val="en-US" w:eastAsia="zh-CN"/>
              </w:rPr>
              <w:t>~</w:t>
            </w:r>
            <w:r>
              <w:rPr>
                <w:sz w:val="18"/>
                <w:szCs w:val="18"/>
                <w:lang w:val="en-US" w:eastAsia="zh-CN"/>
              </w:rPr>
              <w:t>60</w:t>
            </w:r>
          </w:p>
        </w:tc>
        <w:tc>
          <w:tcPr>
            <w:tcW w:w="0" w:type="auto"/>
            <w:noWrap/>
          </w:tcPr>
          <w:p w14:paraId="429A611E">
            <w:pPr>
              <w:spacing w:before="0" w:line="240" w:lineRule="auto"/>
              <w:ind w:firstLine="0"/>
              <w:jc w:val="center"/>
              <w:rPr>
                <w:sz w:val="18"/>
                <w:szCs w:val="18"/>
                <w:lang w:val="en-US" w:eastAsia="zh-CN"/>
              </w:rPr>
            </w:pPr>
            <w:r>
              <w:rPr>
                <w:sz w:val="18"/>
                <w:szCs w:val="18"/>
                <w:lang w:val="en-US" w:eastAsia="zh-CN"/>
              </w:rPr>
              <w:t>21</w:t>
            </w:r>
          </w:p>
        </w:tc>
        <w:tc>
          <w:tcPr>
            <w:tcW w:w="0" w:type="auto"/>
            <w:noWrap/>
          </w:tcPr>
          <w:p w14:paraId="378C8D1F">
            <w:pPr>
              <w:spacing w:before="0" w:line="240" w:lineRule="auto"/>
              <w:ind w:firstLine="0"/>
              <w:jc w:val="center"/>
              <w:rPr>
                <w:sz w:val="18"/>
                <w:szCs w:val="18"/>
                <w:lang w:val="en-US" w:eastAsia="zh-CN"/>
              </w:rPr>
            </w:pPr>
            <w:r>
              <w:rPr>
                <w:sz w:val="18"/>
                <w:szCs w:val="18"/>
                <w:lang w:val="en-US" w:eastAsia="zh-CN"/>
              </w:rPr>
              <w:t>14.58</w:t>
            </w:r>
          </w:p>
        </w:tc>
      </w:tr>
      <w:tr w14:paraId="6F15E5F0">
        <w:tblPrEx>
          <w:tblCellMar>
            <w:top w:w="15" w:type="dxa"/>
            <w:left w:w="15" w:type="dxa"/>
            <w:bottom w:w="15" w:type="dxa"/>
            <w:right w:w="15" w:type="dxa"/>
          </w:tblCellMar>
        </w:tblPrEx>
        <w:trPr>
          <w:trHeight w:val="270" w:hRule="atLeast"/>
        </w:trPr>
        <w:tc>
          <w:tcPr>
            <w:tcW w:w="0" w:type="auto"/>
            <w:vMerge w:val="continue"/>
            <w:tcBorders>
              <w:bottom w:val="single" w:color="auto" w:sz="4" w:space="0"/>
            </w:tcBorders>
            <w:noWrap/>
            <w:vAlign w:val="center"/>
          </w:tcPr>
          <w:p w14:paraId="1D2415D8">
            <w:pPr>
              <w:spacing w:before="0" w:line="240" w:lineRule="auto"/>
              <w:ind w:firstLine="0"/>
              <w:rPr>
                <w:sz w:val="18"/>
                <w:szCs w:val="18"/>
                <w:lang w:val="en-US" w:eastAsia="zh-CN"/>
              </w:rPr>
            </w:pPr>
          </w:p>
        </w:tc>
        <w:tc>
          <w:tcPr>
            <w:tcW w:w="0" w:type="auto"/>
            <w:tcBorders>
              <w:bottom w:val="single" w:color="auto" w:sz="4" w:space="0"/>
            </w:tcBorders>
            <w:noWrap/>
          </w:tcPr>
          <w:p w14:paraId="0C66C8FA">
            <w:pPr>
              <w:spacing w:before="0" w:line="240" w:lineRule="auto"/>
              <w:ind w:firstLine="0"/>
              <w:rPr>
                <w:sz w:val="18"/>
                <w:szCs w:val="18"/>
                <w:lang w:val="en-US" w:eastAsia="zh-CN"/>
              </w:rPr>
            </w:pPr>
            <w:r>
              <w:rPr>
                <w:sz w:val="18"/>
                <w:szCs w:val="18"/>
                <w:lang w:val="en-US" w:eastAsia="zh-CN"/>
              </w:rPr>
              <w:t>&gt;60</w:t>
            </w:r>
          </w:p>
        </w:tc>
        <w:tc>
          <w:tcPr>
            <w:tcW w:w="0" w:type="auto"/>
            <w:tcBorders>
              <w:bottom w:val="single" w:color="auto" w:sz="4" w:space="0"/>
            </w:tcBorders>
            <w:noWrap/>
          </w:tcPr>
          <w:p w14:paraId="5E38D990">
            <w:pPr>
              <w:spacing w:before="0" w:line="240" w:lineRule="auto"/>
              <w:ind w:firstLine="0"/>
              <w:jc w:val="center"/>
              <w:rPr>
                <w:sz w:val="18"/>
                <w:szCs w:val="18"/>
                <w:lang w:val="en-US" w:eastAsia="zh-CN"/>
              </w:rPr>
            </w:pPr>
            <w:r>
              <w:rPr>
                <w:sz w:val="18"/>
                <w:szCs w:val="18"/>
                <w:lang w:val="en-US" w:eastAsia="zh-CN"/>
              </w:rPr>
              <w:t>52</w:t>
            </w:r>
          </w:p>
        </w:tc>
        <w:tc>
          <w:tcPr>
            <w:tcW w:w="0" w:type="auto"/>
            <w:tcBorders>
              <w:bottom w:val="single" w:color="auto" w:sz="4" w:space="0"/>
            </w:tcBorders>
            <w:noWrap/>
          </w:tcPr>
          <w:p w14:paraId="45FF52BD">
            <w:pPr>
              <w:spacing w:before="0" w:line="240" w:lineRule="auto"/>
              <w:ind w:firstLine="0"/>
              <w:jc w:val="center"/>
              <w:rPr>
                <w:sz w:val="18"/>
                <w:szCs w:val="18"/>
                <w:lang w:val="en-US" w:eastAsia="zh-CN"/>
              </w:rPr>
            </w:pPr>
            <w:r>
              <w:rPr>
                <w:sz w:val="18"/>
                <w:szCs w:val="18"/>
                <w:lang w:val="en-US" w:eastAsia="zh-CN"/>
              </w:rPr>
              <w:t>36.11</w:t>
            </w:r>
          </w:p>
        </w:tc>
      </w:tr>
      <w:tr w14:paraId="63BBB775">
        <w:tblPrEx>
          <w:tblCellMar>
            <w:top w:w="15" w:type="dxa"/>
            <w:left w:w="15" w:type="dxa"/>
            <w:bottom w:w="15" w:type="dxa"/>
            <w:right w:w="15" w:type="dxa"/>
          </w:tblCellMar>
        </w:tblPrEx>
        <w:trPr>
          <w:trHeight w:val="270" w:hRule="atLeast"/>
        </w:trPr>
        <w:tc>
          <w:tcPr>
            <w:tcW w:w="0" w:type="auto"/>
            <w:vMerge w:val="restart"/>
            <w:tcBorders>
              <w:top w:val="single" w:color="auto" w:sz="4" w:space="0"/>
            </w:tcBorders>
            <w:noWrap/>
            <w:vAlign w:val="center"/>
          </w:tcPr>
          <w:p w14:paraId="36231AC1">
            <w:pPr>
              <w:spacing w:before="0" w:line="240" w:lineRule="auto"/>
              <w:ind w:firstLine="0"/>
              <w:rPr>
                <w:sz w:val="18"/>
                <w:szCs w:val="18"/>
                <w:lang w:val="en-US" w:eastAsia="zh-CN"/>
              </w:rPr>
            </w:pPr>
            <w:r>
              <w:rPr>
                <w:sz w:val="18"/>
                <w:szCs w:val="18"/>
                <w:lang w:val="en-US" w:eastAsia="zh-CN"/>
              </w:rPr>
              <w:t>受教育程度</w:t>
            </w:r>
          </w:p>
        </w:tc>
        <w:tc>
          <w:tcPr>
            <w:tcW w:w="0" w:type="auto"/>
            <w:tcBorders>
              <w:top w:val="single" w:color="auto" w:sz="4" w:space="0"/>
            </w:tcBorders>
            <w:noWrap/>
          </w:tcPr>
          <w:p w14:paraId="7BC62D9C">
            <w:pPr>
              <w:spacing w:before="0" w:line="240" w:lineRule="auto"/>
              <w:ind w:firstLine="0"/>
              <w:rPr>
                <w:sz w:val="18"/>
                <w:szCs w:val="18"/>
                <w:lang w:val="en-US" w:eastAsia="zh-CN"/>
              </w:rPr>
            </w:pPr>
            <w:r>
              <w:rPr>
                <w:sz w:val="18"/>
                <w:szCs w:val="18"/>
                <w:lang w:val="en-US" w:eastAsia="zh-CN"/>
              </w:rPr>
              <w:t>高中（含中专、职高）及以下</w:t>
            </w:r>
          </w:p>
        </w:tc>
        <w:tc>
          <w:tcPr>
            <w:tcW w:w="0" w:type="auto"/>
            <w:tcBorders>
              <w:top w:val="single" w:color="auto" w:sz="4" w:space="0"/>
            </w:tcBorders>
            <w:noWrap/>
          </w:tcPr>
          <w:p w14:paraId="7CD0AF28">
            <w:pPr>
              <w:spacing w:before="0" w:line="240" w:lineRule="auto"/>
              <w:ind w:firstLine="0"/>
              <w:jc w:val="center"/>
              <w:rPr>
                <w:sz w:val="18"/>
                <w:szCs w:val="18"/>
                <w:lang w:val="en-US" w:eastAsia="zh-CN"/>
              </w:rPr>
            </w:pPr>
            <w:r>
              <w:rPr>
                <w:sz w:val="18"/>
                <w:szCs w:val="18"/>
                <w:lang w:val="en-US" w:eastAsia="zh-CN"/>
              </w:rPr>
              <w:t>37</w:t>
            </w:r>
          </w:p>
        </w:tc>
        <w:tc>
          <w:tcPr>
            <w:tcW w:w="0" w:type="auto"/>
            <w:tcBorders>
              <w:top w:val="single" w:color="auto" w:sz="4" w:space="0"/>
            </w:tcBorders>
            <w:noWrap/>
          </w:tcPr>
          <w:p w14:paraId="6CDC8A8A">
            <w:pPr>
              <w:spacing w:before="0" w:line="240" w:lineRule="auto"/>
              <w:ind w:firstLine="0"/>
              <w:jc w:val="center"/>
              <w:rPr>
                <w:sz w:val="18"/>
                <w:szCs w:val="18"/>
                <w:lang w:val="en-US" w:eastAsia="zh-CN"/>
              </w:rPr>
            </w:pPr>
            <w:r>
              <w:rPr>
                <w:sz w:val="18"/>
                <w:szCs w:val="18"/>
                <w:lang w:val="en-US" w:eastAsia="zh-CN"/>
              </w:rPr>
              <w:t>25.69</w:t>
            </w:r>
          </w:p>
        </w:tc>
      </w:tr>
      <w:tr w14:paraId="31B10F0E">
        <w:tblPrEx>
          <w:tblCellMar>
            <w:top w:w="15" w:type="dxa"/>
            <w:left w:w="15" w:type="dxa"/>
            <w:bottom w:w="15" w:type="dxa"/>
            <w:right w:w="15" w:type="dxa"/>
          </w:tblCellMar>
        </w:tblPrEx>
        <w:trPr>
          <w:trHeight w:val="270" w:hRule="atLeast"/>
        </w:trPr>
        <w:tc>
          <w:tcPr>
            <w:tcW w:w="0" w:type="auto"/>
            <w:vMerge w:val="continue"/>
            <w:noWrap/>
            <w:vAlign w:val="center"/>
          </w:tcPr>
          <w:p w14:paraId="3379EFED">
            <w:pPr>
              <w:spacing w:before="0" w:line="240" w:lineRule="auto"/>
              <w:ind w:firstLine="0"/>
              <w:rPr>
                <w:sz w:val="18"/>
                <w:szCs w:val="18"/>
                <w:lang w:val="en-US" w:eastAsia="zh-CN"/>
              </w:rPr>
            </w:pPr>
          </w:p>
        </w:tc>
        <w:tc>
          <w:tcPr>
            <w:tcW w:w="0" w:type="auto"/>
            <w:noWrap/>
          </w:tcPr>
          <w:p w14:paraId="67F62A91">
            <w:pPr>
              <w:spacing w:before="0" w:line="240" w:lineRule="auto"/>
              <w:ind w:firstLine="0"/>
              <w:rPr>
                <w:sz w:val="18"/>
                <w:szCs w:val="18"/>
                <w:lang w:val="en-US" w:eastAsia="zh-CN"/>
              </w:rPr>
            </w:pPr>
            <w:r>
              <w:rPr>
                <w:sz w:val="18"/>
                <w:szCs w:val="18"/>
                <w:lang w:val="en-US" w:eastAsia="zh-CN"/>
              </w:rPr>
              <w:t>大学本科及大专</w:t>
            </w:r>
          </w:p>
        </w:tc>
        <w:tc>
          <w:tcPr>
            <w:tcW w:w="0" w:type="auto"/>
            <w:noWrap/>
          </w:tcPr>
          <w:p w14:paraId="69CBE3DA">
            <w:pPr>
              <w:spacing w:before="0" w:line="240" w:lineRule="auto"/>
              <w:ind w:firstLine="0"/>
              <w:jc w:val="center"/>
              <w:rPr>
                <w:sz w:val="18"/>
                <w:szCs w:val="18"/>
                <w:lang w:val="en-US" w:eastAsia="zh-CN"/>
              </w:rPr>
            </w:pPr>
            <w:r>
              <w:rPr>
                <w:sz w:val="18"/>
                <w:szCs w:val="18"/>
                <w:lang w:val="en-US" w:eastAsia="zh-CN"/>
              </w:rPr>
              <w:t>63</w:t>
            </w:r>
          </w:p>
        </w:tc>
        <w:tc>
          <w:tcPr>
            <w:tcW w:w="0" w:type="auto"/>
            <w:noWrap/>
          </w:tcPr>
          <w:p w14:paraId="4DF1009B">
            <w:pPr>
              <w:spacing w:before="0" w:line="240" w:lineRule="auto"/>
              <w:ind w:firstLine="0"/>
              <w:jc w:val="center"/>
              <w:rPr>
                <w:sz w:val="18"/>
                <w:szCs w:val="18"/>
                <w:lang w:val="en-US" w:eastAsia="zh-CN"/>
              </w:rPr>
            </w:pPr>
            <w:r>
              <w:rPr>
                <w:sz w:val="18"/>
                <w:szCs w:val="18"/>
                <w:lang w:val="en-US" w:eastAsia="zh-CN"/>
              </w:rPr>
              <w:t>43.75</w:t>
            </w:r>
          </w:p>
        </w:tc>
      </w:tr>
      <w:tr w14:paraId="7408286F">
        <w:tblPrEx>
          <w:tblCellMar>
            <w:top w:w="15" w:type="dxa"/>
            <w:left w:w="15" w:type="dxa"/>
            <w:bottom w:w="15" w:type="dxa"/>
            <w:right w:w="15" w:type="dxa"/>
          </w:tblCellMar>
        </w:tblPrEx>
        <w:trPr>
          <w:trHeight w:val="270" w:hRule="atLeast"/>
        </w:trPr>
        <w:tc>
          <w:tcPr>
            <w:tcW w:w="0" w:type="auto"/>
            <w:vMerge w:val="continue"/>
            <w:tcBorders>
              <w:bottom w:val="single" w:color="auto" w:sz="4" w:space="0"/>
            </w:tcBorders>
            <w:noWrap/>
            <w:vAlign w:val="center"/>
          </w:tcPr>
          <w:p w14:paraId="709B5045">
            <w:pPr>
              <w:spacing w:before="0" w:line="240" w:lineRule="auto"/>
              <w:ind w:firstLine="0"/>
              <w:rPr>
                <w:sz w:val="18"/>
                <w:szCs w:val="18"/>
                <w:lang w:val="en-US" w:eastAsia="zh-CN"/>
              </w:rPr>
            </w:pPr>
          </w:p>
        </w:tc>
        <w:tc>
          <w:tcPr>
            <w:tcW w:w="0" w:type="auto"/>
            <w:tcBorders>
              <w:bottom w:val="single" w:color="auto" w:sz="4" w:space="0"/>
            </w:tcBorders>
            <w:noWrap/>
          </w:tcPr>
          <w:p w14:paraId="11634C26">
            <w:pPr>
              <w:spacing w:before="0" w:line="240" w:lineRule="auto"/>
              <w:ind w:firstLine="0"/>
              <w:rPr>
                <w:sz w:val="18"/>
                <w:szCs w:val="18"/>
                <w:lang w:val="en-US" w:eastAsia="zh-CN"/>
              </w:rPr>
            </w:pPr>
            <w:r>
              <w:rPr>
                <w:sz w:val="18"/>
                <w:szCs w:val="18"/>
                <w:lang w:val="en-US" w:eastAsia="zh-CN"/>
              </w:rPr>
              <w:t>本科以上</w:t>
            </w:r>
          </w:p>
        </w:tc>
        <w:tc>
          <w:tcPr>
            <w:tcW w:w="0" w:type="auto"/>
            <w:tcBorders>
              <w:bottom w:val="single" w:color="auto" w:sz="4" w:space="0"/>
            </w:tcBorders>
            <w:noWrap/>
          </w:tcPr>
          <w:p w14:paraId="296D02A1">
            <w:pPr>
              <w:spacing w:before="0" w:line="240" w:lineRule="auto"/>
              <w:ind w:firstLine="0"/>
              <w:jc w:val="center"/>
              <w:rPr>
                <w:sz w:val="18"/>
                <w:szCs w:val="18"/>
                <w:lang w:val="en-US" w:eastAsia="zh-CN"/>
              </w:rPr>
            </w:pPr>
            <w:r>
              <w:rPr>
                <w:sz w:val="18"/>
                <w:szCs w:val="18"/>
                <w:lang w:val="en-US" w:eastAsia="zh-CN"/>
              </w:rPr>
              <w:t>44</w:t>
            </w:r>
          </w:p>
        </w:tc>
        <w:tc>
          <w:tcPr>
            <w:tcW w:w="0" w:type="auto"/>
            <w:tcBorders>
              <w:bottom w:val="single" w:color="auto" w:sz="4" w:space="0"/>
            </w:tcBorders>
            <w:noWrap/>
          </w:tcPr>
          <w:p w14:paraId="560AB680">
            <w:pPr>
              <w:spacing w:before="0" w:line="240" w:lineRule="auto"/>
              <w:ind w:firstLine="0"/>
              <w:jc w:val="center"/>
              <w:rPr>
                <w:sz w:val="18"/>
                <w:szCs w:val="18"/>
                <w:lang w:val="en-US" w:eastAsia="zh-CN"/>
              </w:rPr>
            </w:pPr>
            <w:r>
              <w:rPr>
                <w:sz w:val="18"/>
                <w:szCs w:val="18"/>
                <w:lang w:val="en-US" w:eastAsia="zh-CN"/>
              </w:rPr>
              <w:t>30.56</w:t>
            </w:r>
          </w:p>
        </w:tc>
      </w:tr>
      <w:tr w14:paraId="4B3FB33A">
        <w:tblPrEx>
          <w:tblCellMar>
            <w:top w:w="15" w:type="dxa"/>
            <w:left w:w="15" w:type="dxa"/>
            <w:bottom w:w="15" w:type="dxa"/>
            <w:right w:w="15" w:type="dxa"/>
          </w:tblCellMar>
        </w:tblPrEx>
        <w:trPr>
          <w:trHeight w:val="270" w:hRule="atLeast"/>
        </w:trPr>
        <w:tc>
          <w:tcPr>
            <w:tcW w:w="0" w:type="auto"/>
            <w:vMerge w:val="restart"/>
            <w:tcBorders>
              <w:top w:val="single" w:color="auto" w:sz="4" w:space="0"/>
            </w:tcBorders>
            <w:noWrap/>
            <w:vAlign w:val="center"/>
          </w:tcPr>
          <w:p w14:paraId="780425A7">
            <w:pPr>
              <w:spacing w:before="0" w:line="240" w:lineRule="auto"/>
              <w:ind w:firstLine="0"/>
              <w:rPr>
                <w:sz w:val="18"/>
                <w:szCs w:val="18"/>
                <w:lang w:val="en-US" w:eastAsia="zh-CN"/>
              </w:rPr>
            </w:pPr>
            <w:r>
              <w:rPr>
                <w:sz w:val="18"/>
                <w:szCs w:val="18"/>
                <w:lang w:val="en-US" w:eastAsia="zh-CN"/>
              </w:rPr>
              <w:t>是否已婚</w:t>
            </w:r>
          </w:p>
        </w:tc>
        <w:tc>
          <w:tcPr>
            <w:tcW w:w="0" w:type="auto"/>
            <w:tcBorders>
              <w:top w:val="single" w:color="auto" w:sz="4" w:space="0"/>
            </w:tcBorders>
            <w:noWrap/>
          </w:tcPr>
          <w:p w14:paraId="52257745">
            <w:pPr>
              <w:spacing w:before="0" w:line="240" w:lineRule="auto"/>
              <w:ind w:firstLine="0"/>
              <w:rPr>
                <w:sz w:val="18"/>
                <w:szCs w:val="18"/>
                <w:lang w:val="en-US" w:eastAsia="zh-CN"/>
              </w:rPr>
            </w:pPr>
            <w:r>
              <w:rPr>
                <w:sz w:val="18"/>
                <w:szCs w:val="18"/>
                <w:lang w:val="en-US" w:eastAsia="zh-CN"/>
              </w:rPr>
              <w:t>是</w:t>
            </w:r>
          </w:p>
        </w:tc>
        <w:tc>
          <w:tcPr>
            <w:tcW w:w="0" w:type="auto"/>
            <w:tcBorders>
              <w:top w:val="single" w:color="auto" w:sz="4" w:space="0"/>
            </w:tcBorders>
            <w:noWrap/>
          </w:tcPr>
          <w:p w14:paraId="025D78CC">
            <w:pPr>
              <w:spacing w:before="0" w:line="240" w:lineRule="auto"/>
              <w:ind w:firstLine="0"/>
              <w:jc w:val="center"/>
              <w:rPr>
                <w:sz w:val="18"/>
                <w:szCs w:val="18"/>
                <w:lang w:val="en-US" w:eastAsia="zh-CN"/>
              </w:rPr>
            </w:pPr>
            <w:r>
              <w:rPr>
                <w:sz w:val="18"/>
                <w:szCs w:val="18"/>
                <w:lang w:val="en-US" w:eastAsia="zh-CN"/>
              </w:rPr>
              <w:t>136</w:t>
            </w:r>
          </w:p>
        </w:tc>
        <w:tc>
          <w:tcPr>
            <w:tcW w:w="0" w:type="auto"/>
            <w:tcBorders>
              <w:top w:val="single" w:color="auto" w:sz="4" w:space="0"/>
            </w:tcBorders>
            <w:noWrap/>
          </w:tcPr>
          <w:p w14:paraId="56EFDEB5">
            <w:pPr>
              <w:spacing w:before="0" w:line="240" w:lineRule="auto"/>
              <w:ind w:firstLine="0"/>
              <w:jc w:val="center"/>
              <w:rPr>
                <w:sz w:val="18"/>
                <w:szCs w:val="18"/>
                <w:lang w:val="en-US" w:eastAsia="zh-CN"/>
              </w:rPr>
            </w:pPr>
            <w:r>
              <w:rPr>
                <w:sz w:val="18"/>
                <w:szCs w:val="18"/>
                <w:lang w:val="en-US" w:eastAsia="zh-CN"/>
              </w:rPr>
              <w:t>94.44</w:t>
            </w:r>
          </w:p>
        </w:tc>
      </w:tr>
      <w:tr w14:paraId="5D51147E">
        <w:tblPrEx>
          <w:tblCellMar>
            <w:top w:w="15" w:type="dxa"/>
            <w:left w:w="15" w:type="dxa"/>
            <w:bottom w:w="15" w:type="dxa"/>
            <w:right w:w="15" w:type="dxa"/>
          </w:tblCellMar>
        </w:tblPrEx>
        <w:trPr>
          <w:trHeight w:val="270" w:hRule="atLeast"/>
        </w:trPr>
        <w:tc>
          <w:tcPr>
            <w:tcW w:w="0" w:type="auto"/>
            <w:vMerge w:val="continue"/>
            <w:tcBorders>
              <w:bottom w:val="single" w:color="auto" w:sz="4" w:space="0"/>
            </w:tcBorders>
            <w:noWrap/>
            <w:vAlign w:val="center"/>
          </w:tcPr>
          <w:p w14:paraId="65CB9102">
            <w:pPr>
              <w:spacing w:before="0" w:line="240" w:lineRule="auto"/>
              <w:ind w:firstLine="0"/>
              <w:rPr>
                <w:sz w:val="18"/>
                <w:szCs w:val="18"/>
                <w:lang w:val="en-US" w:eastAsia="zh-CN"/>
              </w:rPr>
            </w:pPr>
          </w:p>
        </w:tc>
        <w:tc>
          <w:tcPr>
            <w:tcW w:w="0" w:type="auto"/>
            <w:tcBorders>
              <w:bottom w:val="single" w:color="auto" w:sz="4" w:space="0"/>
            </w:tcBorders>
            <w:noWrap/>
          </w:tcPr>
          <w:p w14:paraId="4D86EADE">
            <w:pPr>
              <w:spacing w:before="0" w:line="240" w:lineRule="auto"/>
              <w:ind w:firstLine="0"/>
              <w:rPr>
                <w:sz w:val="18"/>
                <w:szCs w:val="18"/>
                <w:lang w:val="en-US" w:eastAsia="zh-CN"/>
              </w:rPr>
            </w:pPr>
            <w:r>
              <w:rPr>
                <w:sz w:val="18"/>
                <w:szCs w:val="18"/>
                <w:lang w:val="en-US" w:eastAsia="zh-CN"/>
              </w:rPr>
              <w:t>否（包括未婚、离婚、丧偶）</w:t>
            </w:r>
          </w:p>
        </w:tc>
        <w:tc>
          <w:tcPr>
            <w:tcW w:w="0" w:type="auto"/>
            <w:tcBorders>
              <w:bottom w:val="single" w:color="auto" w:sz="4" w:space="0"/>
            </w:tcBorders>
            <w:noWrap/>
          </w:tcPr>
          <w:p w14:paraId="4BED2B20">
            <w:pPr>
              <w:spacing w:before="0" w:line="240" w:lineRule="auto"/>
              <w:ind w:firstLine="0"/>
              <w:jc w:val="center"/>
              <w:rPr>
                <w:sz w:val="18"/>
                <w:szCs w:val="18"/>
                <w:lang w:val="en-US" w:eastAsia="zh-CN"/>
              </w:rPr>
            </w:pPr>
            <w:r>
              <w:rPr>
                <w:sz w:val="18"/>
                <w:szCs w:val="18"/>
                <w:lang w:val="en-US" w:eastAsia="zh-CN"/>
              </w:rPr>
              <w:t>8</w:t>
            </w:r>
          </w:p>
        </w:tc>
        <w:tc>
          <w:tcPr>
            <w:tcW w:w="0" w:type="auto"/>
            <w:tcBorders>
              <w:bottom w:val="single" w:color="auto" w:sz="4" w:space="0"/>
            </w:tcBorders>
            <w:noWrap/>
          </w:tcPr>
          <w:p w14:paraId="649C5AB7">
            <w:pPr>
              <w:spacing w:before="0" w:line="240" w:lineRule="auto"/>
              <w:ind w:firstLine="0"/>
              <w:jc w:val="center"/>
              <w:rPr>
                <w:sz w:val="18"/>
                <w:szCs w:val="18"/>
                <w:lang w:val="en-US" w:eastAsia="zh-CN"/>
              </w:rPr>
            </w:pPr>
            <w:r>
              <w:rPr>
                <w:sz w:val="18"/>
                <w:szCs w:val="18"/>
                <w:lang w:val="en-US" w:eastAsia="zh-CN"/>
              </w:rPr>
              <w:t>5.56</w:t>
            </w:r>
          </w:p>
        </w:tc>
      </w:tr>
      <w:tr w14:paraId="279C55BE">
        <w:tblPrEx>
          <w:tblCellMar>
            <w:top w:w="15" w:type="dxa"/>
            <w:left w:w="15" w:type="dxa"/>
            <w:bottom w:w="15" w:type="dxa"/>
            <w:right w:w="15" w:type="dxa"/>
          </w:tblCellMar>
        </w:tblPrEx>
        <w:trPr>
          <w:trHeight w:val="270" w:hRule="atLeast"/>
        </w:trPr>
        <w:tc>
          <w:tcPr>
            <w:tcW w:w="0" w:type="auto"/>
            <w:vMerge w:val="restart"/>
            <w:tcBorders>
              <w:top w:val="single" w:color="auto" w:sz="4" w:space="0"/>
            </w:tcBorders>
            <w:noWrap/>
            <w:vAlign w:val="center"/>
          </w:tcPr>
          <w:p w14:paraId="0A8C02D7">
            <w:pPr>
              <w:spacing w:before="0" w:line="240" w:lineRule="auto"/>
              <w:ind w:firstLine="0"/>
              <w:rPr>
                <w:sz w:val="18"/>
                <w:szCs w:val="18"/>
                <w:lang w:val="en-US" w:eastAsia="zh-CN"/>
              </w:rPr>
            </w:pPr>
            <w:r>
              <w:rPr>
                <w:sz w:val="18"/>
                <w:szCs w:val="18"/>
                <w:lang w:val="en-US" w:eastAsia="zh-CN"/>
              </w:rPr>
              <w:t>个人月收入</w:t>
            </w:r>
            <w:r>
              <w:rPr>
                <w:rFonts w:hint="eastAsia"/>
                <w:sz w:val="18"/>
                <w:szCs w:val="18"/>
                <w:lang w:val="en-US" w:eastAsia="zh-CN"/>
              </w:rPr>
              <w:t>／</w:t>
            </w:r>
            <w:r>
              <w:rPr>
                <w:sz w:val="18"/>
                <w:szCs w:val="18"/>
                <w:lang w:val="en-US" w:eastAsia="zh-CN"/>
              </w:rPr>
              <w:t>元</w:t>
            </w:r>
          </w:p>
        </w:tc>
        <w:tc>
          <w:tcPr>
            <w:tcW w:w="0" w:type="auto"/>
            <w:tcBorders>
              <w:top w:val="single" w:color="auto" w:sz="4" w:space="0"/>
            </w:tcBorders>
            <w:noWrap/>
          </w:tcPr>
          <w:p w14:paraId="38559626">
            <w:pPr>
              <w:spacing w:before="0" w:line="240" w:lineRule="auto"/>
              <w:ind w:firstLine="0"/>
              <w:rPr>
                <w:sz w:val="18"/>
                <w:szCs w:val="18"/>
                <w:lang w:val="en-US" w:eastAsia="zh-CN"/>
              </w:rPr>
            </w:pPr>
            <w:r>
              <w:rPr>
                <w:sz w:val="18"/>
                <w:szCs w:val="18"/>
                <w:lang w:val="en-US" w:eastAsia="zh-CN"/>
              </w:rPr>
              <w:t>4</w:t>
            </w:r>
            <w:r>
              <w:rPr>
                <w:rFonts w:hint="eastAsia"/>
                <w:sz w:val="18"/>
                <w:szCs w:val="18"/>
                <w:lang w:val="en-US" w:eastAsia="zh-CN"/>
              </w:rPr>
              <w:t xml:space="preserve"> </w:t>
            </w:r>
            <w:r>
              <w:rPr>
                <w:sz w:val="18"/>
                <w:szCs w:val="18"/>
                <w:lang w:val="en-US" w:eastAsia="zh-CN"/>
              </w:rPr>
              <w:t>000以下</w:t>
            </w:r>
          </w:p>
        </w:tc>
        <w:tc>
          <w:tcPr>
            <w:tcW w:w="0" w:type="auto"/>
            <w:tcBorders>
              <w:top w:val="single" w:color="auto" w:sz="4" w:space="0"/>
            </w:tcBorders>
            <w:noWrap/>
          </w:tcPr>
          <w:p w14:paraId="466DF171">
            <w:pPr>
              <w:spacing w:before="0" w:line="240" w:lineRule="auto"/>
              <w:ind w:firstLine="0"/>
              <w:jc w:val="center"/>
              <w:rPr>
                <w:sz w:val="18"/>
                <w:szCs w:val="18"/>
                <w:lang w:val="en-US" w:eastAsia="zh-CN"/>
              </w:rPr>
            </w:pPr>
            <w:r>
              <w:rPr>
                <w:sz w:val="18"/>
                <w:szCs w:val="18"/>
                <w:lang w:val="en-US" w:eastAsia="zh-CN"/>
              </w:rPr>
              <w:t>27</w:t>
            </w:r>
          </w:p>
        </w:tc>
        <w:tc>
          <w:tcPr>
            <w:tcW w:w="0" w:type="auto"/>
            <w:tcBorders>
              <w:top w:val="single" w:color="auto" w:sz="4" w:space="0"/>
            </w:tcBorders>
            <w:noWrap/>
          </w:tcPr>
          <w:p w14:paraId="02D45A64">
            <w:pPr>
              <w:spacing w:before="0" w:line="240" w:lineRule="auto"/>
              <w:ind w:firstLine="0"/>
              <w:jc w:val="center"/>
              <w:rPr>
                <w:sz w:val="18"/>
                <w:szCs w:val="18"/>
                <w:lang w:val="en-US" w:eastAsia="zh-CN"/>
              </w:rPr>
            </w:pPr>
            <w:r>
              <w:rPr>
                <w:sz w:val="18"/>
                <w:szCs w:val="18"/>
                <w:lang w:val="en-US" w:eastAsia="zh-CN"/>
              </w:rPr>
              <w:t>18.75</w:t>
            </w:r>
          </w:p>
        </w:tc>
      </w:tr>
      <w:tr w14:paraId="152DE31B">
        <w:tblPrEx>
          <w:tblCellMar>
            <w:top w:w="15" w:type="dxa"/>
            <w:left w:w="15" w:type="dxa"/>
            <w:bottom w:w="15" w:type="dxa"/>
            <w:right w:w="15" w:type="dxa"/>
          </w:tblCellMar>
        </w:tblPrEx>
        <w:trPr>
          <w:trHeight w:val="270" w:hRule="atLeast"/>
        </w:trPr>
        <w:tc>
          <w:tcPr>
            <w:tcW w:w="0" w:type="auto"/>
            <w:vMerge w:val="continue"/>
            <w:noWrap/>
            <w:vAlign w:val="center"/>
          </w:tcPr>
          <w:p w14:paraId="33922255">
            <w:pPr>
              <w:spacing w:before="0" w:line="240" w:lineRule="auto"/>
              <w:ind w:firstLine="0"/>
              <w:rPr>
                <w:sz w:val="18"/>
                <w:szCs w:val="18"/>
                <w:lang w:val="en-US" w:eastAsia="zh-CN"/>
              </w:rPr>
            </w:pPr>
          </w:p>
        </w:tc>
        <w:tc>
          <w:tcPr>
            <w:tcW w:w="0" w:type="auto"/>
            <w:noWrap/>
          </w:tcPr>
          <w:p w14:paraId="083BEC3A">
            <w:pPr>
              <w:spacing w:before="0" w:line="240" w:lineRule="auto"/>
              <w:ind w:firstLine="0"/>
              <w:rPr>
                <w:sz w:val="18"/>
                <w:szCs w:val="18"/>
                <w:lang w:val="en-US" w:eastAsia="zh-CN"/>
              </w:rPr>
            </w:pPr>
            <w:r>
              <w:rPr>
                <w:sz w:val="18"/>
                <w:szCs w:val="18"/>
                <w:lang w:val="en-US" w:eastAsia="zh-CN"/>
              </w:rPr>
              <w:t>4</w:t>
            </w:r>
            <w:r>
              <w:rPr>
                <w:rFonts w:hint="eastAsia"/>
                <w:sz w:val="18"/>
                <w:szCs w:val="18"/>
                <w:lang w:val="en-US" w:eastAsia="zh-CN"/>
              </w:rPr>
              <w:t xml:space="preserve"> </w:t>
            </w:r>
            <w:r>
              <w:rPr>
                <w:sz w:val="18"/>
                <w:szCs w:val="18"/>
                <w:lang w:val="en-US" w:eastAsia="zh-CN"/>
              </w:rPr>
              <w:t>000</w:t>
            </w:r>
            <w:r>
              <w:rPr>
                <w:rFonts w:hint="eastAsia"/>
                <w:sz w:val="18"/>
                <w:szCs w:val="18"/>
                <w:lang w:val="en-US" w:eastAsia="zh-CN"/>
              </w:rPr>
              <w:t>~</w:t>
            </w:r>
            <w:r>
              <w:rPr>
                <w:sz w:val="18"/>
                <w:szCs w:val="18"/>
                <w:lang w:val="en-US" w:eastAsia="zh-CN"/>
              </w:rPr>
              <w:t>10</w:t>
            </w:r>
            <w:r>
              <w:rPr>
                <w:rFonts w:hint="eastAsia"/>
                <w:sz w:val="18"/>
                <w:szCs w:val="18"/>
                <w:lang w:val="en-US" w:eastAsia="zh-CN"/>
              </w:rPr>
              <w:t xml:space="preserve"> </w:t>
            </w:r>
            <w:r>
              <w:rPr>
                <w:sz w:val="18"/>
                <w:szCs w:val="18"/>
                <w:lang w:val="en-US" w:eastAsia="zh-CN"/>
              </w:rPr>
              <w:t>000</w:t>
            </w:r>
          </w:p>
        </w:tc>
        <w:tc>
          <w:tcPr>
            <w:tcW w:w="0" w:type="auto"/>
            <w:noWrap/>
          </w:tcPr>
          <w:p w14:paraId="7DE21C46">
            <w:pPr>
              <w:spacing w:before="0" w:line="240" w:lineRule="auto"/>
              <w:ind w:firstLine="0"/>
              <w:jc w:val="center"/>
              <w:rPr>
                <w:sz w:val="18"/>
                <w:szCs w:val="18"/>
                <w:lang w:val="en-US" w:eastAsia="zh-CN"/>
              </w:rPr>
            </w:pPr>
            <w:r>
              <w:rPr>
                <w:sz w:val="18"/>
                <w:szCs w:val="18"/>
                <w:lang w:val="en-US" w:eastAsia="zh-CN"/>
              </w:rPr>
              <w:t>48</w:t>
            </w:r>
          </w:p>
        </w:tc>
        <w:tc>
          <w:tcPr>
            <w:tcW w:w="0" w:type="auto"/>
            <w:noWrap/>
          </w:tcPr>
          <w:p w14:paraId="666393E7">
            <w:pPr>
              <w:spacing w:before="0" w:line="240" w:lineRule="auto"/>
              <w:ind w:firstLine="0"/>
              <w:jc w:val="center"/>
              <w:rPr>
                <w:sz w:val="18"/>
                <w:szCs w:val="18"/>
                <w:lang w:val="en-US" w:eastAsia="zh-CN"/>
              </w:rPr>
            </w:pPr>
            <w:r>
              <w:rPr>
                <w:sz w:val="18"/>
                <w:szCs w:val="18"/>
                <w:lang w:val="en-US" w:eastAsia="zh-CN"/>
              </w:rPr>
              <w:t>33.33</w:t>
            </w:r>
          </w:p>
        </w:tc>
      </w:tr>
      <w:tr w14:paraId="3970CF2E">
        <w:tblPrEx>
          <w:tblCellMar>
            <w:top w:w="15" w:type="dxa"/>
            <w:left w:w="15" w:type="dxa"/>
            <w:bottom w:w="15" w:type="dxa"/>
            <w:right w:w="15" w:type="dxa"/>
          </w:tblCellMar>
        </w:tblPrEx>
        <w:trPr>
          <w:trHeight w:val="270" w:hRule="atLeast"/>
        </w:trPr>
        <w:tc>
          <w:tcPr>
            <w:tcW w:w="0" w:type="auto"/>
            <w:vMerge w:val="continue"/>
            <w:noWrap/>
            <w:vAlign w:val="center"/>
          </w:tcPr>
          <w:p w14:paraId="1C6E42A6">
            <w:pPr>
              <w:spacing w:before="0" w:line="240" w:lineRule="auto"/>
              <w:ind w:firstLine="0"/>
              <w:rPr>
                <w:sz w:val="18"/>
                <w:szCs w:val="18"/>
                <w:lang w:val="en-US" w:eastAsia="zh-CN"/>
              </w:rPr>
            </w:pPr>
          </w:p>
        </w:tc>
        <w:tc>
          <w:tcPr>
            <w:tcW w:w="0" w:type="auto"/>
            <w:noWrap/>
          </w:tcPr>
          <w:p w14:paraId="4CFFAADA">
            <w:pPr>
              <w:spacing w:before="0" w:line="240" w:lineRule="auto"/>
              <w:ind w:firstLine="0"/>
              <w:rPr>
                <w:sz w:val="18"/>
                <w:szCs w:val="18"/>
                <w:lang w:val="en-US" w:eastAsia="zh-CN"/>
              </w:rPr>
            </w:pPr>
            <w:r>
              <w:rPr>
                <w:sz w:val="18"/>
                <w:szCs w:val="18"/>
                <w:lang w:val="en-US" w:eastAsia="zh-CN"/>
              </w:rPr>
              <w:t>10</w:t>
            </w:r>
            <w:r>
              <w:rPr>
                <w:rFonts w:hint="eastAsia"/>
                <w:sz w:val="18"/>
                <w:szCs w:val="18"/>
                <w:lang w:val="en-US" w:eastAsia="zh-CN"/>
              </w:rPr>
              <w:t xml:space="preserve"> </w:t>
            </w:r>
            <w:r>
              <w:rPr>
                <w:sz w:val="18"/>
                <w:szCs w:val="18"/>
                <w:lang w:val="en-US" w:eastAsia="zh-CN"/>
              </w:rPr>
              <w:t>000以上</w:t>
            </w:r>
          </w:p>
        </w:tc>
        <w:tc>
          <w:tcPr>
            <w:tcW w:w="0" w:type="auto"/>
            <w:noWrap/>
          </w:tcPr>
          <w:p w14:paraId="074A5127">
            <w:pPr>
              <w:spacing w:before="0" w:line="240" w:lineRule="auto"/>
              <w:ind w:firstLine="0"/>
              <w:jc w:val="center"/>
              <w:rPr>
                <w:sz w:val="18"/>
                <w:szCs w:val="18"/>
                <w:lang w:val="en-US" w:eastAsia="zh-CN"/>
              </w:rPr>
            </w:pPr>
            <w:r>
              <w:rPr>
                <w:sz w:val="18"/>
                <w:szCs w:val="18"/>
                <w:lang w:val="en-US" w:eastAsia="zh-CN"/>
              </w:rPr>
              <w:t>66</w:t>
            </w:r>
          </w:p>
        </w:tc>
        <w:tc>
          <w:tcPr>
            <w:tcW w:w="0" w:type="auto"/>
            <w:noWrap/>
          </w:tcPr>
          <w:p w14:paraId="4918047B">
            <w:pPr>
              <w:spacing w:before="0" w:line="240" w:lineRule="auto"/>
              <w:ind w:firstLine="0"/>
              <w:jc w:val="center"/>
              <w:rPr>
                <w:sz w:val="18"/>
                <w:szCs w:val="18"/>
                <w:lang w:val="en-US" w:eastAsia="zh-CN"/>
              </w:rPr>
            </w:pPr>
            <w:r>
              <w:rPr>
                <w:sz w:val="18"/>
                <w:szCs w:val="18"/>
                <w:lang w:val="en-US" w:eastAsia="zh-CN"/>
              </w:rPr>
              <w:t>45.83</w:t>
            </w:r>
          </w:p>
        </w:tc>
      </w:tr>
      <w:tr w14:paraId="69B7F8C3">
        <w:tblPrEx>
          <w:tblCellMar>
            <w:top w:w="15" w:type="dxa"/>
            <w:left w:w="15" w:type="dxa"/>
            <w:bottom w:w="15" w:type="dxa"/>
            <w:right w:w="15" w:type="dxa"/>
          </w:tblCellMar>
        </w:tblPrEx>
        <w:trPr>
          <w:trHeight w:val="270" w:hRule="atLeast"/>
        </w:trPr>
        <w:tc>
          <w:tcPr>
            <w:tcW w:w="0" w:type="auto"/>
            <w:vMerge w:val="continue"/>
            <w:tcBorders>
              <w:bottom w:val="single" w:color="auto" w:sz="4" w:space="0"/>
            </w:tcBorders>
            <w:noWrap/>
            <w:vAlign w:val="center"/>
          </w:tcPr>
          <w:p w14:paraId="37C8F226">
            <w:pPr>
              <w:spacing w:before="0" w:line="240" w:lineRule="auto"/>
              <w:ind w:firstLine="0"/>
              <w:rPr>
                <w:sz w:val="18"/>
                <w:szCs w:val="18"/>
                <w:lang w:val="en-US" w:eastAsia="zh-CN"/>
              </w:rPr>
            </w:pPr>
          </w:p>
        </w:tc>
        <w:tc>
          <w:tcPr>
            <w:tcW w:w="0" w:type="auto"/>
            <w:tcBorders>
              <w:bottom w:val="single" w:color="auto" w:sz="4" w:space="0"/>
            </w:tcBorders>
            <w:noWrap/>
          </w:tcPr>
          <w:p w14:paraId="32FE7EDC">
            <w:pPr>
              <w:spacing w:before="0" w:line="240" w:lineRule="auto"/>
              <w:ind w:firstLine="0"/>
              <w:rPr>
                <w:sz w:val="18"/>
                <w:szCs w:val="18"/>
                <w:lang w:val="en-US" w:eastAsia="zh-CN"/>
              </w:rPr>
            </w:pPr>
            <w:r>
              <w:rPr>
                <w:sz w:val="18"/>
                <w:szCs w:val="18"/>
                <w:lang w:val="en-US" w:eastAsia="zh-CN"/>
              </w:rPr>
              <w:t>不便透露或不适用</w:t>
            </w:r>
          </w:p>
        </w:tc>
        <w:tc>
          <w:tcPr>
            <w:tcW w:w="0" w:type="auto"/>
            <w:tcBorders>
              <w:bottom w:val="single" w:color="auto" w:sz="4" w:space="0"/>
            </w:tcBorders>
            <w:noWrap/>
          </w:tcPr>
          <w:p w14:paraId="68559CB4">
            <w:pPr>
              <w:spacing w:before="0" w:line="240" w:lineRule="auto"/>
              <w:ind w:firstLine="0"/>
              <w:jc w:val="center"/>
              <w:rPr>
                <w:sz w:val="18"/>
                <w:szCs w:val="18"/>
                <w:lang w:val="en-US" w:eastAsia="zh-CN"/>
              </w:rPr>
            </w:pPr>
            <w:r>
              <w:rPr>
                <w:sz w:val="18"/>
                <w:szCs w:val="18"/>
                <w:lang w:val="en-US" w:eastAsia="zh-CN"/>
              </w:rPr>
              <w:t>3</w:t>
            </w:r>
          </w:p>
        </w:tc>
        <w:tc>
          <w:tcPr>
            <w:tcW w:w="0" w:type="auto"/>
            <w:tcBorders>
              <w:bottom w:val="single" w:color="auto" w:sz="4" w:space="0"/>
            </w:tcBorders>
            <w:noWrap/>
          </w:tcPr>
          <w:p w14:paraId="37699CFA">
            <w:pPr>
              <w:spacing w:before="0" w:line="240" w:lineRule="auto"/>
              <w:ind w:firstLine="0"/>
              <w:jc w:val="center"/>
              <w:rPr>
                <w:sz w:val="18"/>
                <w:szCs w:val="18"/>
                <w:lang w:val="en-US" w:eastAsia="zh-CN"/>
              </w:rPr>
            </w:pPr>
            <w:r>
              <w:rPr>
                <w:sz w:val="18"/>
                <w:szCs w:val="18"/>
                <w:lang w:val="en-US" w:eastAsia="zh-CN"/>
              </w:rPr>
              <w:t>2.08</w:t>
            </w:r>
          </w:p>
        </w:tc>
      </w:tr>
      <w:tr w14:paraId="49556254">
        <w:tblPrEx>
          <w:tblCellMar>
            <w:top w:w="15" w:type="dxa"/>
            <w:left w:w="15" w:type="dxa"/>
            <w:bottom w:w="15" w:type="dxa"/>
            <w:right w:w="15" w:type="dxa"/>
          </w:tblCellMar>
        </w:tblPrEx>
        <w:trPr>
          <w:trHeight w:val="270" w:hRule="atLeast"/>
        </w:trPr>
        <w:tc>
          <w:tcPr>
            <w:tcW w:w="0" w:type="auto"/>
            <w:vMerge w:val="restart"/>
            <w:tcBorders>
              <w:top w:val="single" w:color="auto" w:sz="4" w:space="0"/>
            </w:tcBorders>
            <w:noWrap/>
            <w:vAlign w:val="center"/>
          </w:tcPr>
          <w:p w14:paraId="51CF37CA">
            <w:pPr>
              <w:spacing w:before="0" w:line="240" w:lineRule="auto"/>
              <w:ind w:firstLine="0"/>
              <w:rPr>
                <w:sz w:val="18"/>
                <w:szCs w:val="18"/>
                <w:lang w:val="en-US" w:eastAsia="zh-CN"/>
              </w:rPr>
            </w:pPr>
            <w:r>
              <w:rPr>
                <w:sz w:val="18"/>
                <w:szCs w:val="18"/>
                <w:lang w:val="en-US" w:eastAsia="zh-CN"/>
              </w:rPr>
              <w:t>就业状态</w:t>
            </w:r>
          </w:p>
        </w:tc>
        <w:tc>
          <w:tcPr>
            <w:tcW w:w="0" w:type="auto"/>
            <w:tcBorders>
              <w:top w:val="single" w:color="auto" w:sz="4" w:space="0"/>
            </w:tcBorders>
            <w:noWrap/>
          </w:tcPr>
          <w:p w14:paraId="159C3041">
            <w:pPr>
              <w:spacing w:before="0" w:line="240" w:lineRule="auto"/>
              <w:ind w:firstLine="0"/>
              <w:rPr>
                <w:sz w:val="18"/>
                <w:szCs w:val="18"/>
                <w:lang w:val="en-US" w:eastAsia="zh-CN"/>
              </w:rPr>
            </w:pPr>
            <w:r>
              <w:rPr>
                <w:sz w:val="18"/>
                <w:szCs w:val="18"/>
                <w:lang w:val="en-US" w:eastAsia="zh-CN"/>
              </w:rPr>
              <w:t>工作（包括全职与兼职）与学生</w:t>
            </w:r>
          </w:p>
        </w:tc>
        <w:tc>
          <w:tcPr>
            <w:tcW w:w="0" w:type="auto"/>
            <w:tcBorders>
              <w:top w:val="single" w:color="auto" w:sz="4" w:space="0"/>
            </w:tcBorders>
            <w:noWrap/>
          </w:tcPr>
          <w:p w14:paraId="23F3E85C">
            <w:pPr>
              <w:spacing w:before="0" w:line="240" w:lineRule="auto"/>
              <w:ind w:firstLine="0"/>
              <w:jc w:val="center"/>
              <w:rPr>
                <w:sz w:val="18"/>
                <w:szCs w:val="18"/>
                <w:lang w:val="en-US" w:eastAsia="zh-CN"/>
              </w:rPr>
            </w:pPr>
            <w:r>
              <w:rPr>
                <w:sz w:val="18"/>
                <w:szCs w:val="18"/>
                <w:lang w:val="en-US" w:eastAsia="zh-CN"/>
              </w:rPr>
              <w:t>77</w:t>
            </w:r>
          </w:p>
        </w:tc>
        <w:tc>
          <w:tcPr>
            <w:tcW w:w="0" w:type="auto"/>
            <w:tcBorders>
              <w:top w:val="single" w:color="auto" w:sz="4" w:space="0"/>
            </w:tcBorders>
            <w:noWrap/>
          </w:tcPr>
          <w:p w14:paraId="5F25D47B">
            <w:pPr>
              <w:spacing w:before="0" w:line="240" w:lineRule="auto"/>
              <w:ind w:firstLine="0"/>
              <w:jc w:val="center"/>
              <w:rPr>
                <w:sz w:val="18"/>
                <w:szCs w:val="18"/>
                <w:lang w:val="en-US" w:eastAsia="zh-CN"/>
              </w:rPr>
            </w:pPr>
            <w:r>
              <w:rPr>
                <w:sz w:val="18"/>
                <w:szCs w:val="18"/>
                <w:lang w:val="en-US" w:eastAsia="zh-CN"/>
              </w:rPr>
              <w:t>53.47</w:t>
            </w:r>
          </w:p>
        </w:tc>
      </w:tr>
      <w:tr w14:paraId="3ADB22B5">
        <w:tblPrEx>
          <w:tblCellMar>
            <w:top w:w="15" w:type="dxa"/>
            <w:left w:w="15" w:type="dxa"/>
            <w:bottom w:w="15" w:type="dxa"/>
            <w:right w:w="15" w:type="dxa"/>
          </w:tblCellMar>
        </w:tblPrEx>
        <w:trPr>
          <w:trHeight w:val="270" w:hRule="atLeast"/>
        </w:trPr>
        <w:tc>
          <w:tcPr>
            <w:tcW w:w="0" w:type="auto"/>
            <w:vMerge w:val="continue"/>
            <w:tcBorders>
              <w:bottom w:val="single" w:color="auto" w:sz="4" w:space="0"/>
            </w:tcBorders>
            <w:noWrap/>
            <w:vAlign w:val="center"/>
          </w:tcPr>
          <w:p w14:paraId="6BA9FCB7">
            <w:pPr>
              <w:spacing w:before="0" w:line="240" w:lineRule="auto"/>
              <w:ind w:firstLine="0"/>
              <w:rPr>
                <w:sz w:val="18"/>
                <w:szCs w:val="18"/>
                <w:lang w:val="en-US" w:eastAsia="zh-CN"/>
              </w:rPr>
            </w:pPr>
          </w:p>
        </w:tc>
        <w:tc>
          <w:tcPr>
            <w:tcW w:w="0" w:type="auto"/>
            <w:tcBorders>
              <w:bottom w:val="single" w:color="auto" w:sz="4" w:space="0"/>
            </w:tcBorders>
            <w:noWrap/>
          </w:tcPr>
          <w:p w14:paraId="7350EE44">
            <w:pPr>
              <w:spacing w:before="0" w:line="240" w:lineRule="auto"/>
              <w:ind w:firstLine="0"/>
              <w:rPr>
                <w:sz w:val="18"/>
                <w:szCs w:val="18"/>
                <w:lang w:val="en-US" w:eastAsia="zh-CN"/>
              </w:rPr>
            </w:pPr>
            <w:r>
              <w:rPr>
                <w:sz w:val="18"/>
                <w:szCs w:val="18"/>
                <w:lang w:val="en-US" w:eastAsia="zh-CN"/>
              </w:rPr>
              <w:t>其他（退休、无业）</w:t>
            </w:r>
          </w:p>
        </w:tc>
        <w:tc>
          <w:tcPr>
            <w:tcW w:w="0" w:type="auto"/>
            <w:tcBorders>
              <w:bottom w:val="single" w:color="auto" w:sz="4" w:space="0"/>
            </w:tcBorders>
            <w:noWrap/>
          </w:tcPr>
          <w:p w14:paraId="02D1953A">
            <w:pPr>
              <w:spacing w:before="0" w:line="240" w:lineRule="auto"/>
              <w:ind w:firstLine="0"/>
              <w:jc w:val="center"/>
              <w:rPr>
                <w:sz w:val="18"/>
                <w:szCs w:val="18"/>
                <w:lang w:val="en-US" w:eastAsia="zh-CN"/>
              </w:rPr>
            </w:pPr>
            <w:r>
              <w:rPr>
                <w:sz w:val="18"/>
                <w:szCs w:val="18"/>
                <w:lang w:val="en-US" w:eastAsia="zh-CN"/>
              </w:rPr>
              <w:t>67</w:t>
            </w:r>
          </w:p>
        </w:tc>
        <w:tc>
          <w:tcPr>
            <w:tcW w:w="0" w:type="auto"/>
            <w:tcBorders>
              <w:bottom w:val="single" w:color="auto" w:sz="4" w:space="0"/>
            </w:tcBorders>
            <w:noWrap/>
          </w:tcPr>
          <w:p w14:paraId="3D56828D">
            <w:pPr>
              <w:spacing w:before="0" w:line="240" w:lineRule="auto"/>
              <w:ind w:firstLine="0"/>
              <w:jc w:val="center"/>
              <w:rPr>
                <w:sz w:val="18"/>
                <w:szCs w:val="18"/>
                <w:lang w:val="en-US" w:eastAsia="zh-CN"/>
              </w:rPr>
            </w:pPr>
            <w:r>
              <w:rPr>
                <w:sz w:val="18"/>
                <w:szCs w:val="18"/>
                <w:lang w:val="en-US" w:eastAsia="zh-CN"/>
              </w:rPr>
              <w:t>46.53</w:t>
            </w:r>
          </w:p>
        </w:tc>
      </w:tr>
      <w:tr w14:paraId="1F281306">
        <w:tblPrEx>
          <w:tblCellMar>
            <w:top w:w="15" w:type="dxa"/>
            <w:left w:w="15" w:type="dxa"/>
            <w:bottom w:w="15" w:type="dxa"/>
            <w:right w:w="15" w:type="dxa"/>
          </w:tblCellMar>
        </w:tblPrEx>
        <w:trPr>
          <w:trHeight w:val="270" w:hRule="atLeast"/>
        </w:trPr>
        <w:tc>
          <w:tcPr>
            <w:tcW w:w="0" w:type="auto"/>
            <w:vMerge w:val="restart"/>
            <w:tcBorders>
              <w:top w:val="single" w:color="auto" w:sz="4" w:space="0"/>
            </w:tcBorders>
            <w:noWrap/>
            <w:vAlign w:val="center"/>
          </w:tcPr>
          <w:p w14:paraId="03CF4F2D">
            <w:pPr>
              <w:spacing w:before="0" w:line="240" w:lineRule="auto"/>
              <w:ind w:firstLine="0"/>
              <w:rPr>
                <w:sz w:val="18"/>
                <w:szCs w:val="18"/>
                <w:lang w:val="en-US" w:eastAsia="zh-CN"/>
              </w:rPr>
            </w:pPr>
            <w:r>
              <w:rPr>
                <w:sz w:val="18"/>
                <w:szCs w:val="18"/>
                <w:lang w:val="en-US" w:eastAsia="zh-CN"/>
              </w:rPr>
              <w:t>户口</w:t>
            </w:r>
          </w:p>
        </w:tc>
        <w:tc>
          <w:tcPr>
            <w:tcW w:w="0" w:type="auto"/>
            <w:tcBorders>
              <w:top w:val="single" w:color="auto" w:sz="4" w:space="0"/>
            </w:tcBorders>
            <w:noWrap/>
          </w:tcPr>
          <w:p w14:paraId="431D2785">
            <w:pPr>
              <w:spacing w:before="0" w:line="240" w:lineRule="auto"/>
              <w:ind w:firstLine="0"/>
              <w:rPr>
                <w:sz w:val="18"/>
                <w:szCs w:val="18"/>
                <w:lang w:val="en-US" w:eastAsia="zh-CN"/>
              </w:rPr>
            </w:pPr>
            <w:r>
              <w:rPr>
                <w:sz w:val="18"/>
                <w:szCs w:val="18"/>
                <w:lang w:val="en-US" w:eastAsia="zh-CN"/>
              </w:rPr>
              <w:t>北京户口</w:t>
            </w:r>
          </w:p>
        </w:tc>
        <w:tc>
          <w:tcPr>
            <w:tcW w:w="0" w:type="auto"/>
            <w:tcBorders>
              <w:top w:val="single" w:color="auto" w:sz="4" w:space="0"/>
            </w:tcBorders>
            <w:noWrap/>
          </w:tcPr>
          <w:p w14:paraId="5081FFAB">
            <w:pPr>
              <w:spacing w:before="0" w:line="240" w:lineRule="auto"/>
              <w:ind w:firstLine="0"/>
              <w:jc w:val="center"/>
              <w:rPr>
                <w:sz w:val="18"/>
                <w:szCs w:val="18"/>
                <w:lang w:val="en-US" w:eastAsia="zh-CN"/>
              </w:rPr>
            </w:pPr>
            <w:r>
              <w:rPr>
                <w:sz w:val="18"/>
                <w:szCs w:val="18"/>
                <w:lang w:val="en-US" w:eastAsia="zh-CN"/>
              </w:rPr>
              <w:t>89</w:t>
            </w:r>
          </w:p>
        </w:tc>
        <w:tc>
          <w:tcPr>
            <w:tcW w:w="0" w:type="auto"/>
            <w:tcBorders>
              <w:top w:val="single" w:color="auto" w:sz="4" w:space="0"/>
            </w:tcBorders>
            <w:noWrap/>
          </w:tcPr>
          <w:p w14:paraId="263A219C">
            <w:pPr>
              <w:spacing w:before="0" w:line="240" w:lineRule="auto"/>
              <w:ind w:firstLine="0"/>
              <w:jc w:val="center"/>
              <w:rPr>
                <w:sz w:val="18"/>
                <w:szCs w:val="18"/>
                <w:lang w:val="en-US" w:eastAsia="zh-CN"/>
              </w:rPr>
            </w:pPr>
            <w:r>
              <w:rPr>
                <w:sz w:val="18"/>
                <w:szCs w:val="18"/>
                <w:lang w:val="en-US" w:eastAsia="zh-CN"/>
              </w:rPr>
              <w:t>61.81</w:t>
            </w:r>
          </w:p>
        </w:tc>
      </w:tr>
      <w:tr w14:paraId="01DC45D9">
        <w:tblPrEx>
          <w:tblCellMar>
            <w:top w:w="15" w:type="dxa"/>
            <w:left w:w="15" w:type="dxa"/>
            <w:bottom w:w="15" w:type="dxa"/>
            <w:right w:w="15" w:type="dxa"/>
          </w:tblCellMar>
        </w:tblPrEx>
        <w:trPr>
          <w:trHeight w:val="270" w:hRule="atLeast"/>
        </w:trPr>
        <w:tc>
          <w:tcPr>
            <w:tcW w:w="0" w:type="auto"/>
            <w:vMerge w:val="continue"/>
            <w:tcBorders>
              <w:bottom w:val="single" w:color="auto" w:sz="4" w:space="0"/>
            </w:tcBorders>
            <w:noWrap/>
            <w:vAlign w:val="center"/>
          </w:tcPr>
          <w:p w14:paraId="5F6E8D3E">
            <w:pPr>
              <w:spacing w:before="0" w:line="240" w:lineRule="auto"/>
              <w:ind w:firstLine="0"/>
              <w:rPr>
                <w:sz w:val="18"/>
                <w:szCs w:val="18"/>
                <w:lang w:val="en-US" w:eastAsia="zh-CN"/>
              </w:rPr>
            </w:pPr>
          </w:p>
        </w:tc>
        <w:tc>
          <w:tcPr>
            <w:tcW w:w="0" w:type="auto"/>
            <w:tcBorders>
              <w:bottom w:val="single" w:color="auto" w:sz="4" w:space="0"/>
            </w:tcBorders>
            <w:noWrap/>
          </w:tcPr>
          <w:p w14:paraId="2F2D68FA">
            <w:pPr>
              <w:spacing w:before="0" w:line="240" w:lineRule="auto"/>
              <w:ind w:firstLine="0"/>
              <w:rPr>
                <w:sz w:val="18"/>
                <w:szCs w:val="18"/>
                <w:lang w:val="en-US" w:eastAsia="zh-CN"/>
              </w:rPr>
            </w:pPr>
            <w:r>
              <w:rPr>
                <w:sz w:val="18"/>
                <w:szCs w:val="18"/>
                <w:lang w:val="en-US" w:eastAsia="zh-CN"/>
              </w:rPr>
              <w:t>外地户口</w:t>
            </w:r>
          </w:p>
        </w:tc>
        <w:tc>
          <w:tcPr>
            <w:tcW w:w="0" w:type="auto"/>
            <w:tcBorders>
              <w:bottom w:val="single" w:color="auto" w:sz="4" w:space="0"/>
            </w:tcBorders>
            <w:noWrap/>
          </w:tcPr>
          <w:p w14:paraId="7C211668">
            <w:pPr>
              <w:spacing w:before="0" w:line="240" w:lineRule="auto"/>
              <w:ind w:firstLine="0"/>
              <w:jc w:val="center"/>
              <w:rPr>
                <w:sz w:val="18"/>
                <w:szCs w:val="18"/>
                <w:lang w:val="en-US" w:eastAsia="zh-CN"/>
              </w:rPr>
            </w:pPr>
            <w:r>
              <w:rPr>
                <w:sz w:val="18"/>
                <w:szCs w:val="18"/>
                <w:lang w:val="en-US" w:eastAsia="zh-CN"/>
              </w:rPr>
              <w:t>55</w:t>
            </w:r>
          </w:p>
        </w:tc>
        <w:tc>
          <w:tcPr>
            <w:tcW w:w="0" w:type="auto"/>
            <w:tcBorders>
              <w:bottom w:val="single" w:color="auto" w:sz="4" w:space="0"/>
            </w:tcBorders>
            <w:noWrap/>
          </w:tcPr>
          <w:p w14:paraId="1C65A0F3">
            <w:pPr>
              <w:spacing w:before="0" w:line="240" w:lineRule="auto"/>
              <w:ind w:firstLine="0"/>
              <w:jc w:val="center"/>
              <w:rPr>
                <w:sz w:val="18"/>
                <w:szCs w:val="18"/>
                <w:lang w:val="en-US" w:eastAsia="zh-CN"/>
              </w:rPr>
            </w:pPr>
            <w:r>
              <w:rPr>
                <w:sz w:val="18"/>
                <w:szCs w:val="18"/>
                <w:lang w:val="en-US" w:eastAsia="zh-CN"/>
              </w:rPr>
              <w:t>38.19</w:t>
            </w:r>
          </w:p>
        </w:tc>
      </w:tr>
      <w:tr w14:paraId="175E1303">
        <w:tblPrEx>
          <w:tblCellMar>
            <w:top w:w="15" w:type="dxa"/>
            <w:left w:w="15" w:type="dxa"/>
            <w:bottom w:w="15" w:type="dxa"/>
            <w:right w:w="15" w:type="dxa"/>
          </w:tblCellMar>
        </w:tblPrEx>
        <w:trPr>
          <w:trHeight w:val="270" w:hRule="atLeast"/>
        </w:trPr>
        <w:tc>
          <w:tcPr>
            <w:tcW w:w="0" w:type="auto"/>
            <w:vMerge w:val="restart"/>
            <w:tcBorders>
              <w:top w:val="single" w:color="auto" w:sz="4" w:space="0"/>
            </w:tcBorders>
            <w:noWrap/>
            <w:vAlign w:val="center"/>
          </w:tcPr>
          <w:p w14:paraId="7A7058D1">
            <w:pPr>
              <w:spacing w:before="0" w:line="240" w:lineRule="auto"/>
              <w:ind w:firstLine="0"/>
              <w:rPr>
                <w:sz w:val="18"/>
                <w:szCs w:val="18"/>
                <w:lang w:val="en-US" w:eastAsia="zh-CN"/>
              </w:rPr>
            </w:pPr>
            <w:r>
              <w:rPr>
                <w:sz w:val="18"/>
                <w:szCs w:val="18"/>
                <w:lang w:val="en-US" w:eastAsia="zh-CN"/>
              </w:rPr>
              <w:t>认为自己可以熟练使用互联网</w:t>
            </w:r>
          </w:p>
        </w:tc>
        <w:tc>
          <w:tcPr>
            <w:tcW w:w="0" w:type="auto"/>
            <w:tcBorders>
              <w:top w:val="single" w:color="auto" w:sz="4" w:space="0"/>
            </w:tcBorders>
            <w:noWrap/>
          </w:tcPr>
          <w:p w14:paraId="430C329A">
            <w:pPr>
              <w:spacing w:before="0" w:line="240" w:lineRule="auto"/>
              <w:ind w:firstLine="0"/>
              <w:rPr>
                <w:sz w:val="18"/>
                <w:szCs w:val="18"/>
                <w:lang w:val="en-US" w:eastAsia="zh-CN"/>
              </w:rPr>
            </w:pPr>
            <w:r>
              <w:rPr>
                <w:sz w:val="18"/>
                <w:szCs w:val="18"/>
                <w:lang w:val="en-US" w:eastAsia="zh-CN"/>
              </w:rPr>
              <w:t>是</w:t>
            </w:r>
          </w:p>
        </w:tc>
        <w:tc>
          <w:tcPr>
            <w:tcW w:w="0" w:type="auto"/>
            <w:tcBorders>
              <w:top w:val="single" w:color="auto" w:sz="4" w:space="0"/>
            </w:tcBorders>
            <w:noWrap/>
          </w:tcPr>
          <w:p w14:paraId="45FE2545">
            <w:pPr>
              <w:spacing w:before="0" w:line="240" w:lineRule="auto"/>
              <w:ind w:firstLine="0"/>
              <w:jc w:val="center"/>
              <w:rPr>
                <w:sz w:val="18"/>
                <w:szCs w:val="18"/>
                <w:lang w:val="en-US" w:eastAsia="zh-CN"/>
              </w:rPr>
            </w:pPr>
            <w:r>
              <w:rPr>
                <w:sz w:val="18"/>
                <w:szCs w:val="18"/>
                <w:lang w:val="en-US" w:eastAsia="zh-CN"/>
              </w:rPr>
              <w:t>110</w:t>
            </w:r>
          </w:p>
        </w:tc>
        <w:tc>
          <w:tcPr>
            <w:tcW w:w="0" w:type="auto"/>
            <w:tcBorders>
              <w:top w:val="single" w:color="auto" w:sz="4" w:space="0"/>
            </w:tcBorders>
            <w:noWrap/>
          </w:tcPr>
          <w:p w14:paraId="41E8B46A">
            <w:pPr>
              <w:spacing w:before="0" w:line="240" w:lineRule="auto"/>
              <w:ind w:firstLine="0"/>
              <w:jc w:val="center"/>
              <w:rPr>
                <w:sz w:val="18"/>
                <w:szCs w:val="18"/>
                <w:lang w:val="en-US" w:eastAsia="zh-CN"/>
              </w:rPr>
            </w:pPr>
            <w:r>
              <w:rPr>
                <w:sz w:val="18"/>
                <w:szCs w:val="18"/>
                <w:lang w:val="en-US" w:eastAsia="zh-CN"/>
              </w:rPr>
              <w:t>76.39</w:t>
            </w:r>
          </w:p>
        </w:tc>
      </w:tr>
      <w:tr w14:paraId="5DA4BE0D">
        <w:tblPrEx>
          <w:tblCellMar>
            <w:top w:w="15" w:type="dxa"/>
            <w:left w:w="15" w:type="dxa"/>
            <w:bottom w:w="15" w:type="dxa"/>
            <w:right w:w="15" w:type="dxa"/>
          </w:tblCellMar>
        </w:tblPrEx>
        <w:trPr>
          <w:trHeight w:val="270" w:hRule="atLeast"/>
        </w:trPr>
        <w:tc>
          <w:tcPr>
            <w:tcW w:w="0" w:type="auto"/>
            <w:vMerge w:val="continue"/>
            <w:noWrap/>
          </w:tcPr>
          <w:p w14:paraId="0F0C1F07">
            <w:pPr>
              <w:spacing w:before="0" w:line="240" w:lineRule="auto"/>
              <w:ind w:firstLine="0"/>
              <w:rPr>
                <w:sz w:val="18"/>
                <w:szCs w:val="18"/>
                <w:lang w:val="en-US" w:eastAsia="zh-CN"/>
              </w:rPr>
            </w:pPr>
          </w:p>
        </w:tc>
        <w:tc>
          <w:tcPr>
            <w:tcW w:w="0" w:type="auto"/>
            <w:noWrap/>
          </w:tcPr>
          <w:p w14:paraId="5F0F0737">
            <w:pPr>
              <w:spacing w:before="0" w:line="240" w:lineRule="auto"/>
              <w:ind w:firstLine="0"/>
              <w:rPr>
                <w:sz w:val="18"/>
                <w:szCs w:val="18"/>
                <w:lang w:val="en-US" w:eastAsia="zh-CN"/>
              </w:rPr>
            </w:pPr>
            <w:r>
              <w:rPr>
                <w:sz w:val="18"/>
                <w:szCs w:val="18"/>
                <w:lang w:val="en-US" w:eastAsia="zh-CN"/>
              </w:rPr>
              <w:t>否</w:t>
            </w:r>
          </w:p>
        </w:tc>
        <w:tc>
          <w:tcPr>
            <w:tcW w:w="0" w:type="auto"/>
            <w:noWrap/>
          </w:tcPr>
          <w:p w14:paraId="5E94A13F">
            <w:pPr>
              <w:spacing w:before="0" w:line="240" w:lineRule="auto"/>
              <w:ind w:firstLine="0"/>
              <w:jc w:val="center"/>
              <w:rPr>
                <w:sz w:val="18"/>
                <w:szCs w:val="18"/>
                <w:lang w:val="en-US" w:eastAsia="zh-CN"/>
              </w:rPr>
            </w:pPr>
            <w:r>
              <w:rPr>
                <w:sz w:val="18"/>
                <w:szCs w:val="18"/>
                <w:lang w:val="en-US" w:eastAsia="zh-CN"/>
              </w:rPr>
              <w:t>15</w:t>
            </w:r>
          </w:p>
        </w:tc>
        <w:tc>
          <w:tcPr>
            <w:tcW w:w="0" w:type="auto"/>
            <w:noWrap/>
          </w:tcPr>
          <w:p w14:paraId="06FAC6AE">
            <w:pPr>
              <w:spacing w:before="0" w:line="240" w:lineRule="auto"/>
              <w:ind w:firstLine="0"/>
              <w:jc w:val="center"/>
              <w:rPr>
                <w:sz w:val="18"/>
                <w:szCs w:val="18"/>
                <w:lang w:val="en-US" w:eastAsia="zh-CN"/>
              </w:rPr>
            </w:pPr>
            <w:r>
              <w:rPr>
                <w:sz w:val="18"/>
                <w:szCs w:val="18"/>
                <w:lang w:val="en-US" w:eastAsia="zh-CN"/>
              </w:rPr>
              <w:t>10.42</w:t>
            </w:r>
          </w:p>
        </w:tc>
      </w:tr>
      <w:tr w14:paraId="5D17273F">
        <w:tblPrEx>
          <w:tblCellMar>
            <w:top w:w="15" w:type="dxa"/>
            <w:left w:w="15" w:type="dxa"/>
            <w:bottom w:w="15" w:type="dxa"/>
            <w:right w:w="15" w:type="dxa"/>
          </w:tblCellMar>
        </w:tblPrEx>
        <w:trPr>
          <w:trHeight w:val="270" w:hRule="atLeast"/>
        </w:trPr>
        <w:tc>
          <w:tcPr>
            <w:tcW w:w="0" w:type="auto"/>
            <w:vMerge w:val="continue"/>
            <w:tcBorders>
              <w:bottom w:val="single" w:color="auto" w:sz="4" w:space="0"/>
            </w:tcBorders>
            <w:noWrap/>
          </w:tcPr>
          <w:p w14:paraId="141BE572">
            <w:pPr>
              <w:spacing w:before="0" w:line="240" w:lineRule="auto"/>
              <w:ind w:firstLine="0"/>
              <w:rPr>
                <w:sz w:val="18"/>
                <w:szCs w:val="18"/>
                <w:lang w:val="en-US" w:eastAsia="zh-CN"/>
              </w:rPr>
            </w:pPr>
          </w:p>
        </w:tc>
        <w:tc>
          <w:tcPr>
            <w:tcW w:w="0" w:type="auto"/>
            <w:tcBorders>
              <w:bottom w:val="single" w:color="auto" w:sz="4" w:space="0"/>
            </w:tcBorders>
            <w:noWrap/>
          </w:tcPr>
          <w:p w14:paraId="0D3E0F66">
            <w:pPr>
              <w:spacing w:before="0" w:line="240" w:lineRule="auto"/>
              <w:ind w:firstLine="0"/>
              <w:rPr>
                <w:sz w:val="18"/>
                <w:szCs w:val="18"/>
                <w:lang w:val="en-US" w:eastAsia="zh-CN"/>
              </w:rPr>
            </w:pPr>
            <w:r>
              <w:rPr>
                <w:sz w:val="18"/>
                <w:szCs w:val="18"/>
                <w:lang w:val="en-US" w:eastAsia="zh-CN"/>
              </w:rPr>
              <w:t>不确定</w:t>
            </w:r>
          </w:p>
        </w:tc>
        <w:tc>
          <w:tcPr>
            <w:tcW w:w="0" w:type="auto"/>
            <w:tcBorders>
              <w:bottom w:val="single" w:color="auto" w:sz="4" w:space="0"/>
            </w:tcBorders>
            <w:noWrap/>
          </w:tcPr>
          <w:p w14:paraId="20E16C63">
            <w:pPr>
              <w:spacing w:before="0" w:line="240" w:lineRule="auto"/>
              <w:ind w:firstLine="0"/>
              <w:jc w:val="center"/>
              <w:rPr>
                <w:sz w:val="18"/>
                <w:szCs w:val="18"/>
                <w:lang w:val="en-US" w:eastAsia="zh-CN"/>
              </w:rPr>
            </w:pPr>
            <w:r>
              <w:rPr>
                <w:sz w:val="18"/>
                <w:szCs w:val="18"/>
                <w:lang w:val="en-US" w:eastAsia="zh-CN"/>
              </w:rPr>
              <w:t>18</w:t>
            </w:r>
          </w:p>
        </w:tc>
        <w:tc>
          <w:tcPr>
            <w:tcW w:w="0" w:type="auto"/>
            <w:tcBorders>
              <w:bottom w:val="single" w:color="auto" w:sz="4" w:space="0"/>
            </w:tcBorders>
            <w:noWrap/>
          </w:tcPr>
          <w:p w14:paraId="0307CB84">
            <w:pPr>
              <w:spacing w:before="0" w:line="240" w:lineRule="auto"/>
              <w:ind w:firstLine="0"/>
              <w:jc w:val="center"/>
              <w:rPr>
                <w:sz w:val="18"/>
                <w:szCs w:val="18"/>
                <w:lang w:val="en-US" w:eastAsia="zh-CN"/>
              </w:rPr>
            </w:pPr>
            <w:r>
              <w:rPr>
                <w:sz w:val="18"/>
                <w:szCs w:val="18"/>
                <w:lang w:val="en-US" w:eastAsia="zh-CN"/>
              </w:rPr>
              <w:t>12.50</w:t>
            </w:r>
          </w:p>
        </w:tc>
      </w:tr>
    </w:tbl>
    <w:p w14:paraId="51E2A070">
      <w:pPr>
        <w:pStyle w:val="4"/>
      </w:pPr>
      <w:r>
        <w:t>2.3  研究方法</w:t>
      </w:r>
    </w:p>
    <w:p w14:paraId="633CEDF2">
      <w:pPr>
        <w:pStyle w:val="5"/>
      </w:pPr>
      <w:r>
        <w:rPr>
          <w:rFonts w:hint="eastAsia"/>
        </w:rPr>
        <w:t>2.3.1  基于社区生活圈功能的活动类型划分</w:t>
      </w:r>
    </w:p>
    <w:p w14:paraId="227345F3">
      <w:pPr>
        <w:pStyle w:val="6"/>
        <w:spacing w:before="120" w:beforeLines="50" w:after="0" w:afterLines="0" w:line="300" w:lineRule="auto"/>
        <w:rPr>
          <w:rFonts w:cs="Times New Roman"/>
        </w:rPr>
      </w:pPr>
      <w:r>
        <w:rPr>
          <w:rFonts w:hint="eastAsia" w:cs="Times New Roman"/>
        </w:rPr>
        <w:t>本文在已有研究构建的“企划—活动分类系统”基础上</w:t>
      </w:r>
      <w:r>
        <w:rPr>
          <w:rFonts w:cs="Times New Roman"/>
        </w:rPr>
        <w:t>[44]</w:t>
      </w:r>
      <w:r>
        <w:rPr>
          <w:rFonts w:hint="eastAsia" w:cs="Times New Roman"/>
        </w:rPr>
        <w:t>，依据《</w:t>
      </w:r>
      <w:r>
        <w:rPr>
          <w:rFonts w:cs="Times New Roman"/>
        </w:rPr>
        <w:t>社区生活圈规划技术指南》[45]</w:t>
      </w:r>
      <w:r>
        <w:rPr>
          <w:rFonts w:hint="eastAsia" w:cs="Times New Roman"/>
        </w:rPr>
        <w:t>中界定的</w:t>
      </w:r>
      <w:r>
        <w:rPr>
          <w:rFonts w:cs="Times New Roman"/>
        </w:rPr>
        <w:t>城镇社区生活圈服务</w:t>
      </w:r>
      <w:r>
        <w:rPr>
          <w:rFonts w:hint="eastAsia" w:cs="Times New Roman"/>
        </w:rPr>
        <w:t>功能，</w:t>
      </w:r>
      <w:r>
        <w:rPr>
          <w:rFonts w:cs="Times New Roman"/>
        </w:rPr>
        <w:t>对研究数据活动分类进行匹配与重分类，最终得到9个活动类型（表2）。</w:t>
      </w:r>
    </w:p>
    <w:p w14:paraId="3CBA60A6">
      <w:pPr>
        <w:pStyle w:val="6"/>
        <w:spacing w:before="120" w:beforeLines="50" w:after="0" w:afterLines="0" w:line="300" w:lineRule="auto"/>
        <w:rPr>
          <w:rFonts w:cs="Times New Roman"/>
        </w:rPr>
      </w:pPr>
      <w:r>
        <w:rPr>
          <w:rFonts w:hint="eastAsia" w:cs="Times New Roman"/>
        </w:rPr>
        <w:t>对于每一类活动，根据日常活动日志与网络活动日志识别线下活动、前台线上活动、后台线上活动，并统计各类型活动开展情况，包括活动发生率（</w:t>
      </w:r>
      <w:r>
        <w:rPr>
          <w:rFonts w:cs="Times New Roman"/>
        </w:rPr>
        <w:t>活动发生人数与有效样本量的比值</w:t>
      </w:r>
      <w:r>
        <w:rPr>
          <w:rFonts w:hint="eastAsia" w:cs="Times New Roman"/>
        </w:rPr>
        <w:t>）、活动发生人均频次（</w:t>
      </w:r>
      <w:r>
        <w:rPr>
          <w:rFonts w:cs="Times New Roman"/>
        </w:rPr>
        <w:t>活动条目数与样本中活动发生人数的比值</w:t>
      </w:r>
      <w:r>
        <w:rPr>
          <w:rFonts w:hint="eastAsia" w:cs="Times New Roman"/>
        </w:rPr>
        <w:t>）、活动发生人均时长等特征。结果显示，除前后台线上活动中的健康管理、孩子教育、体育健身等类型以及前台线上活动中的事务办理之外，其余类型活动能够满足研究开展需要（表</w:t>
      </w:r>
      <w:r>
        <w:rPr>
          <w:rFonts w:cs="Times New Roman"/>
        </w:rPr>
        <w:t>2</w:t>
      </w:r>
      <w:r>
        <w:rPr>
          <w:rFonts w:hint="eastAsia" w:cs="Times New Roman"/>
        </w:rPr>
        <w:t>）。</w:t>
      </w:r>
    </w:p>
    <w:p w14:paraId="0B98F055">
      <w:pPr>
        <w:pStyle w:val="6"/>
        <w:spacing w:before="120" w:beforeLines="50" w:line="300" w:lineRule="auto"/>
        <w:ind w:firstLine="0" w:firstLineChars="0"/>
        <w:rPr>
          <w:rFonts w:cs="Times New Roman"/>
        </w:rPr>
      </w:pPr>
      <w:r>
        <w:rPr>
          <w:rFonts w:cs="Times New Roman"/>
        </w:rPr>
        <w:t>表2  基于社区生活圈功能与企划</w:t>
      </w:r>
      <w:r>
        <w:rPr>
          <w:rFonts w:hint="eastAsia" w:cs="Times New Roman"/>
        </w:rPr>
        <w:t>—</w:t>
      </w:r>
      <w:r>
        <w:rPr>
          <w:rFonts w:cs="Times New Roman"/>
        </w:rPr>
        <w:t>活动</w:t>
      </w:r>
      <w:r>
        <w:rPr>
          <w:rFonts w:hint="eastAsia" w:cs="Times New Roman"/>
        </w:rPr>
        <w:t>分类</w:t>
      </w:r>
      <w:r>
        <w:rPr>
          <w:rFonts w:cs="Times New Roman"/>
        </w:rPr>
        <w:t>系统的活动重分类及各活动类型开展情况</w:t>
      </w:r>
    </w:p>
    <w:tbl>
      <w:tblPr>
        <w:tblStyle w:val="27"/>
        <w:tblW w:w="10638" w:type="dxa"/>
        <w:jc w:val="center"/>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8"/>
        <w:gridCol w:w="967"/>
        <w:gridCol w:w="967"/>
        <w:gridCol w:w="967"/>
        <w:gridCol w:w="967"/>
        <w:gridCol w:w="967"/>
        <w:gridCol w:w="967"/>
        <w:gridCol w:w="967"/>
        <w:gridCol w:w="967"/>
        <w:gridCol w:w="967"/>
        <w:gridCol w:w="967"/>
      </w:tblGrid>
      <w:tr w14:paraId="10881710">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dxa"/>
            <w:vMerge w:val="restart"/>
            <w:tcBorders>
              <w:top w:val="single" w:color="000000" w:sz="12" w:space="0"/>
              <w:bottom w:val="single" w:color="auto" w:sz="4" w:space="0"/>
              <w:right w:val="single" w:color="000000" w:sz="6" w:space="0"/>
              <w:insideV w:val="single" w:sz="6" w:space="0"/>
              <w:tl2br w:val="nil"/>
              <w:tr2bl w:val="nil"/>
            </w:tcBorders>
            <w:shd w:val="clear" w:color="auto" w:fill="auto"/>
            <w:noWrap/>
            <w:vAlign w:val="center"/>
          </w:tcPr>
          <w:p w14:paraId="0548AAEC">
            <w:pPr>
              <w:spacing w:before="0" w:line="240" w:lineRule="auto"/>
              <w:ind w:firstLine="0"/>
              <w:jc w:val="center"/>
              <w:rPr>
                <w:b/>
                <w:bCs/>
                <w:i w:val="0"/>
                <w:iCs w:val="0"/>
                <w:sz w:val="18"/>
                <w:szCs w:val="18"/>
                <w:lang w:val="en-US" w:eastAsia="zh-CN"/>
              </w:rPr>
            </w:pPr>
            <w:r>
              <w:rPr>
                <w:b/>
                <w:bCs/>
                <w:i w:val="0"/>
                <w:iCs w:val="0"/>
                <w:sz w:val="18"/>
                <w:szCs w:val="18"/>
                <w:lang w:val="en-US" w:eastAsia="zh-CN"/>
              </w:rPr>
              <w:t>社区生活圈功能</w:t>
            </w:r>
          </w:p>
        </w:tc>
        <w:tc>
          <w:tcPr>
            <w:tcW w:w="0" w:type="dxa"/>
            <w:vMerge w:val="restart"/>
            <w:tcBorders>
              <w:top w:val="single" w:color="000000" w:sz="12" w:space="0"/>
              <w:left w:val="single" w:color="auto" w:sz="4" w:space="0"/>
              <w:bottom w:val="single" w:color="auto" w:sz="4" w:space="0"/>
              <w:right w:val="single" w:color="auto" w:sz="4" w:space="0"/>
              <w:tl2br w:val="nil"/>
              <w:tr2bl w:val="nil"/>
            </w:tcBorders>
            <w:shd w:val="clear" w:color="auto" w:fill="auto"/>
            <w:noWrap/>
            <w:vAlign w:val="center"/>
          </w:tcPr>
          <w:p w14:paraId="4FD1E27F">
            <w:pPr>
              <w:spacing w:before="0" w:line="240" w:lineRule="auto"/>
              <w:ind w:firstLine="0"/>
              <w:jc w:val="center"/>
              <w:rPr>
                <w:b/>
                <w:bCs/>
                <w:i w:val="0"/>
                <w:iCs w:val="0"/>
                <w:sz w:val="18"/>
                <w:szCs w:val="18"/>
                <w:lang w:val="en-US" w:eastAsia="zh-CN"/>
              </w:rPr>
            </w:pPr>
            <w:r>
              <w:rPr>
                <w:b/>
                <w:bCs/>
                <w:i w:val="0"/>
                <w:iCs w:val="0"/>
                <w:sz w:val="18"/>
                <w:szCs w:val="18"/>
                <w:lang w:val="en-US" w:eastAsia="zh-CN"/>
              </w:rPr>
              <w:t>对应活动</w:t>
            </w:r>
            <w:r>
              <w:rPr>
                <w:rFonts w:hint="eastAsia"/>
                <w:b/>
                <w:bCs/>
                <w:i w:val="0"/>
                <w:iCs w:val="0"/>
                <w:sz w:val="18"/>
                <w:szCs w:val="18"/>
                <w:lang w:val="en-US" w:eastAsia="zh-CN"/>
              </w:rPr>
              <w:t>类型</w:t>
            </w:r>
          </w:p>
        </w:tc>
        <w:tc>
          <w:tcPr>
            <w:tcW w:w="0" w:type="dxa"/>
            <w:gridSpan w:val="3"/>
            <w:tcBorders>
              <w:top w:val="single" w:color="000000" w:sz="12" w:space="0"/>
              <w:left w:val="single" w:color="auto" w:sz="4" w:space="0"/>
              <w:bottom w:val="single" w:color="auto" w:sz="4" w:space="0"/>
              <w:right w:val="single" w:color="auto" w:sz="4" w:space="0"/>
              <w:tl2br w:val="nil"/>
              <w:tr2bl w:val="nil"/>
            </w:tcBorders>
            <w:shd w:val="clear" w:color="auto" w:fill="auto"/>
            <w:noWrap/>
            <w:vAlign w:val="center"/>
          </w:tcPr>
          <w:p w14:paraId="41EAF5E8">
            <w:pPr>
              <w:spacing w:before="0" w:line="240" w:lineRule="auto"/>
              <w:ind w:firstLine="0"/>
              <w:jc w:val="center"/>
              <w:rPr>
                <w:b/>
                <w:bCs/>
                <w:i w:val="0"/>
                <w:iCs w:val="0"/>
                <w:sz w:val="18"/>
                <w:szCs w:val="18"/>
                <w:lang w:val="en-US" w:eastAsia="zh-CN"/>
              </w:rPr>
            </w:pPr>
            <w:r>
              <w:rPr>
                <w:b/>
                <w:bCs/>
                <w:i w:val="0"/>
                <w:iCs w:val="0"/>
                <w:sz w:val="18"/>
                <w:szCs w:val="18"/>
                <w:lang w:val="en-US" w:eastAsia="zh-CN"/>
              </w:rPr>
              <w:t>线下活动</w:t>
            </w:r>
          </w:p>
        </w:tc>
        <w:tc>
          <w:tcPr>
            <w:tcW w:w="0" w:type="dxa"/>
            <w:gridSpan w:val="3"/>
            <w:tcBorders>
              <w:top w:val="single" w:color="000000" w:sz="12" w:space="0"/>
              <w:left w:val="single" w:color="auto" w:sz="4" w:space="0"/>
              <w:bottom w:val="single" w:color="auto" w:sz="4" w:space="0"/>
              <w:right w:val="single" w:color="auto" w:sz="4" w:space="0"/>
              <w:tl2br w:val="nil"/>
              <w:tr2bl w:val="nil"/>
            </w:tcBorders>
            <w:shd w:val="clear" w:color="auto" w:fill="auto"/>
            <w:noWrap/>
            <w:vAlign w:val="center"/>
          </w:tcPr>
          <w:p w14:paraId="6DE8A1F7">
            <w:pPr>
              <w:spacing w:before="0" w:line="240" w:lineRule="auto"/>
              <w:ind w:firstLine="0"/>
              <w:jc w:val="center"/>
              <w:rPr>
                <w:b/>
                <w:bCs/>
                <w:i w:val="0"/>
                <w:iCs w:val="0"/>
                <w:sz w:val="18"/>
                <w:szCs w:val="18"/>
                <w:lang w:val="en-US" w:eastAsia="zh-CN"/>
              </w:rPr>
            </w:pPr>
            <w:r>
              <w:rPr>
                <w:b/>
                <w:bCs/>
                <w:i w:val="0"/>
                <w:iCs w:val="0"/>
                <w:sz w:val="18"/>
                <w:szCs w:val="18"/>
                <w:lang w:val="en-US" w:eastAsia="zh-CN"/>
              </w:rPr>
              <w:t>前台线上活动</w:t>
            </w:r>
          </w:p>
        </w:tc>
        <w:tc>
          <w:tcPr>
            <w:tcW w:w="0" w:type="dxa"/>
            <w:gridSpan w:val="3"/>
            <w:tcBorders>
              <w:top w:val="single" w:color="000000" w:sz="12" w:space="0"/>
              <w:left w:val="single" w:color="auto" w:sz="4" w:space="0"/>
              <w:bottom w:val="single" w:color="auto" w:sz="4" w:space="0"/>
              <w:tl2br w:val="nil"/>
              <w:tr2bl w:val="nil"/>
            </w:tcBorders>
            <w:shd w:val="clear" w:color="auto" w:fill="auto"/>
            <w:noWrap/>
            <w:vAlign w:val="center"/>
          </w:tcPr>
          <w:p w14:paraId="109A7506">
            <w:pPr>
              <w:spacing w:before="0" w:line="240" w:lineRule="auto"/>
              <w:ind w:firstLine="0"/>
              <w:jc w:val="center"/>
              <w:rPr>
                <w:b/>
                <w:bCs/>
                <w:i w:val="0"/>
                <w:iCs w:val="0"/>
                <w:sz w:val="18"/>
                <w:szCs w:val="18"/>
                <w:lang w:val="en-US" w:eastAsia="zh-CN"/>
              </w:rPr>
            </w:pPr>
            <w:r>
              <w:rPr>
                <w:b/>
                <w:bCs/>
                <w:i w:val="0"/>
                <w:iCs w:val="0"/>
                <w:sz w:val="18"/>
                <w:szCs w:val="18"/>
                <w:lang w:val="en-US" w:eastAsia="zh-CN"/>
              </w:rPr>
              <w:t>后台线上活动</w:t>
            </w:r>
          </w:p>
        </w:tc>
      </w:tr>
      <w:tr w14:paraId="52545E26">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9" w:hRule="atLeast"/>
          <w:jc w:val="center"/>
        </w:trPr>
        <w:tc>
          <w:tcPr>
            <w:tcW w:w="0" w:type="dxa"/>
            <w:vMerge w:val="continue"/>
            <w:tcBorders>
              <w:top w:val="single" w:color="000000" w:sz="6" w:space="0"/>
              <w:bottom w:val="single" w:color="auto" w:sz="4" w:space="0"/>
              <w:right w:val="single" w:color="000000" w:sz="6" w:space="0"/>
              <w:insideV w:val="single" w:sz="6" w:space="0"/>
              <w:tl2br w:val="nil"/>
              <w:tr2bl w:val="nil"/>
            </w:tcBorders>
            <w:shd w:val="clear" w:color="auto" w:fill="auto"/>
            <w:vAlign w:val="center"/>
          </w:tcPr>
          <w:p w14:paraId="4FE976E9">
            <w:pPr>
              <w:spacing w:before="0" w:line="240" w:lineRule="auto"/>
              <w:ind w:firstLine="0"/>
              <w:rPr>
                <w:b/>
                <w:bCs/>
                <w:sz w:val="18"/>
                <w:szCs w:val="18"/>
                <w:lang w:val="en-US" w:eastAsia="zh-CN"/>
              </w:rPr>
            </w:pPr>
          </w:p>
        </w:tc>
        <w:tc>
          <w:tcPr>
            <w:tcW w:w="0" w:type="dxa"/>
            <w:vMerge w:val="continue"/>
            <w:tcBorders>
              <w:top w:val="single" w:color="000000" w:sz="6" w:space="0"/>
              <w:left w:val="single" w:color="auto" w:sz="4" w:space="0"/>
              <w:bottom w:val="single" w:color="auto" w:sz="4" w:space="0"/>
              <w:right w:val="single" w:color="auto" w:sz="4" w:space="0"/>
            </w:tcBorders>
            <w:shd w:val="clear" w:color="auto" w:fill="auto"/>
            <w:vAlign w:val="center"/>
          </w:tcPr>
          <w:p w14:paraId="4A83A807">
            <w:pPr>
              <w:spacing w:before="0" w:line="240" w:lineRule="auto"/>
              <w:ind w:firstLine="0"/>
              <w:rPr>
                <w:b/>
                <w:bCs/>
                <w:sz w:val="18"/>
                <w:szCs w:val="18"/>
                <w:lang w:val="en-US" w:eastAsia="zh-CN"/>
              </w:rPr>
            </w:pPr>
          </w:p>
        </w:tc>
        <w:tc>
          <w:tcPr>
            <w:tcW w:w="0" w:type="dxa"/>
            <w:tcBorders>
              <w:top w:val="single" w:color="auto" w:sz="4" w:space="0"/>
              <w:left w:val="single" w:color="auto" w:sz="4" w:space="0"/>
              <w:bottom w:val="single" w:color="auto" w:sz="4" w:space="0"/>
            </w:tcBorders>
            <w:shd w:val="clear" w:color="auto" w:fill="auto"/>
            <w:noWrap/>
            <w:vAlign w:val="center"/>
          </w:tcPr>
          <w:p w14:paraId="37D1F726">
            <w:pPr>
              <w:spacing w:before="0" w:line="240" w:lineRule="auto"/>
              <w:ind w:firstLine="0"/>
              <w:jc w:val="center"/>
              <w:rPr>
                <w:sz w:val="18"/>
                <w:szCs w:val="18"/>
                <w:lang w:val="en-US" w:eastAsia="zh-CN"/>
              </w:rPr>
            </w:pPr>
            <w:r>
              <w:rPr>
                <w:sz w:val="18"/>
                <w:szCs w:val="18"/>
                <w:lang w:val="en-US" w:eastAsia="zh-CN"/>
              </w:rPr>
              <w:t>活动发生率</w:t>
            </w:r>
            <w:r>
              <w:rPr>
                <w:rFonts w:hint="eastAsia"/>
                <w:sz w:val="18"/>
                <w:szCs w:val="18"/>
                <w:lang w:val="en-US" w:eastAsia="zh-CN"/>
              </w:rPr>
              <w:t>／</w:t>
            </w:r>
            <w:r>
              <w:rPr>
                <w:sz w:val="18"/>
                <w:szCs w:val="18"/>
                <w:lang w:val="en-US" w:eastAsia="zh-CN"/>
              </w:rPr>
              <w:t>%</w:t>
            </w:r>
          </w:p>
        </w:tc>
        <w:tc>
          <w:tcPr>
            <w:tcW w:w="0" w:type="dxa"/>
            <w:tcBorders>
              <w:top w:val="single" w:color="auto" w:sz="4" w:space="0"/>
              <w:bottom w:val="single" w:color="auto" w:sz="4" w:space="0"/>
            </w:tcBorders>
            <w:shd w:val="clear" w:color="auto" w:fill="auto"/>
            <w:noWrap/>
            <w:vAlign w:val="center"/>
          </w:tcPr>
          <w:p w14:paraId="0D034825">
            <w:pPr>
              <w:spacing w:before="0" w:line="240" w:lineRule="auto"/>
              <w:ind w:firstLine="0"/>
              <w:jc w:val="center"/>
              <w:rPr>
                <w:sz w:val="18"/>
                <w:szCs w:val="18"/>
                <w:lang w:val="en-US" w:eastAsia="zh-CN"/>
              </w:rPr>
            </w:pPr>
            <w:r>
              <w:rPr>
                <w:sz w:val="18"/>
                <w:szCs w:val="18"/>
                <w:lang w:val="en-US" w:eastAsia="zh-CN"/>
              </w:rPr>
              <w:t>活动发生人均频次</w:t>
            </w:r>
            <w:r>
              <w:rPr>
                <w:rFonts w:hint="eastAsia"/>
                <w:sz w:val="18"/>
                <w:szCs w:val="18"/>
                <w:lang w:val="en-US" w:eastAsia="zh-CN"/>
              </w:rPr>
              <w:t>／</w:t>
            </w:r>
            <w:r>
              <w:rPr>
                <w:sz w:val="18"/>
                <w:szCs w:val="18"/>
                <w:lang w:val="en-US" w:eastAsia="zh-CN"/>
              </w:rPr>
              <w:t>次</w:t>
            </w:r>
          </w:p>
        </w:tc>
        <w:tc>
          <w:tcPr>
            <w:tcW w:w="0" w:type="dxa"/>
            <w:tcBorders>
              <w:top w:val="single" w:color="auto" w:sz="4" w:space="0"/>
              <w:bottom w:val="single" w:color="auto" w:sz="4" w:space="0"/>
              <w:right w:val="single" w:color="auto" w:sz="4" w:space="0"/>
            </w:tcBorders>
            <w:shd w:val="clear" w:color="auto" w:fill="auto"/>
            <w:noWrap/>
            <w:vAlign w:val="center"/>
          </w:tcPr>
          <w:p w14:paraId="51F37707">
            <w:pPr>
              <w:spacing w:before="0" w:line="240" w:lineRule="auto"/>
              <w:ind w:firstLine="0"/>
              <w:jc w:val="center"/>
              <w:rPr>
                <w:sz w:val="18"/>
                <w:szCs w:val="18"/>
                <w:lang w:val="en-US" w:eastAsia="zh-CN"/>
              </w:rPr>
            </w:pPr>
            <w:r>
              <w:rPr>
                <w:sz w:val="18"/>
                <w:szCs w:val="18"/>
                <w:lang w:val="en-US" w:eastAsia="zh-CN"/>
              </w:rPr>
              <w:t>活动发生人均时长</w:t>
            </w:r>
            <w:r>
              <w:rPr>
                <w:rFonts w:hint="eastAsia"/>
                <w:sz w:val="18"/>
                <w:szCs w:val="18"/>
                <w:lang w:val="en-US" w:eastAsia="zh-CN"/>
              </w:rPr>
              <w:t>／</w:t>
            </w:r>
            <w:r>
              <w:rPr>
                <w:sz w:val="18"/>
                <w:szCs w:val="18"/>
                <w:lang w:val="en-US" w:eastAsia="zh-CN"/>
              </w:rPr>
              <w:t>h</w:t>
            </w:r>
          </w:p>
        </w:tc>
        <w:tc>
          <w:tcPr>
            <w:tcW w:w="0" w:type="dxa"/>
            <w:tcBorders>
              <w:top w:val="single" w:color="auto" w:sz="4" w:space="0"/>
              <w:left w:val="single" w:color="auto" w:sz="4" w:space="0"/>
              <w:bottom w:val="single" w:color="auto" w:sz="4" w:space="0"/>
            </w:tcBorders>
            <w:shd w:val="clear" w:color="auto" w:fill="auto"/>
            <w:noWrap/>
            <w:vAlign w:val="center"/>
          </w:tcPr>
          <w:p w14:paraId="042A1B3E">
            <w:pPr>
              <w:spacing w:before="0" w:line="240" w:lineRule="auto"/>
              <w:ind w:firstLine="0"/>
              <w:jc w:val="center"/>
              <w:rPr>
                <w:sz w:val="18"/>
                <w:szCs w:val="18"/>
                <w:lang w:val="en-US" w:eastAsia="zh-CN"/>
              </w:rPr>
            </w:pPr>
            <w:r>
              <w:rPr>
                <w:sz w:val="18"/>
                <w:szCs w:val="18"/>
                <w:lang w:val="en-US" w:eastAsia="zh-CN"/>
              </w:rPr>
              <w:t>活动发生率</w:t>
            </w:r>
            <w:r>
              <w:rPr>
                <w:rFonts w:hint="eastAsia"/>
                <w:sz w:val="18"/>
                <w:szCs w:val="18"/>
                <w:lang w:val="en-US" w:eastAsia="zh-CN"/>
              </w:rPr>
              <w:t>／</w:t>
            </w:r>
            <w:r>
              <w:rPr>
                <w:sz w:val="18"/>
                <w:szCs w:val="18"/>
                <w:lang w:val="en-US" w:eastAsia="zh-CN"/>
              </w:rPr>
              <w:t>%</w:t>
            </w:r>
          </w:p>
        </w:tc>
        <w:tc>
          <w:tcPr>
            <w:tcW w:w="0" w:type="dxa"/>
            <w:tcBorders>
              <w:top w:val="single" w:color="auto" w:sz="4" w:space="0"/>
              <w:bottom w:val="single" w:color="auto" w:sz="4" w:space="0"/>
            </w:tcBorders>
            <w:shd w:val="clear" w:color="auto" w:fill="auto"/>
            <w:noWrap/>
            <w:vAlign w:val="center"/>
          </w:tcPr>
          <w:p w14:paraId="5E63C8E0">
            <w:pPr>
              <w:spacing w:before="0" w:line="240" w:lineRule="auto"/>
              <w:ind w:firstLine="0"/>
              <w:jc w:val="center"/>
              <w:rPr>
                <w:sz w:val="18"/>
                <w:szCs w:val="18"/>
                <w:lang w:val="en-US" w:eastAsia="zh-CN"/>
              </w:rPr>
            </w:pPr>
            <w:r>
              <w:rPr>
                <w:sz w:val="18"/>
                <w:szCs w:val="18"/>
                <w:lang w:val="en-US" w:eastAsia="zh-CN"/>
              </w:rPr>
              <w:t>活动发生人均频次</w:t>
            </w:r>
            <w:r>
              <w:rPr>
                <w:rFonts w:hint="eastAsia"/>
                <w:sz w:val="18"/>
                <w:szCs w:val="18"/>
                <w:lang w:val="en-US" w:eastAsia="zh-CN"/>
              </w:rPr>
              <w:t>／</w:t>
            </w:r>
            <w:r>
              <w:rPr>
                <w:sz w:val="18"/>
                <w:szCs w:val="18"/>
                <w:lang w:val="en-US" w:eastAsia="zh-CN"/>
              </w:rPr>
              <w:t>次</w:t>
            </w:r>
          </w:p>
        </w:tc>
        <w:tc>
          <w:tcPr>
            <w:tcW w:w="0" w:type="dxa"/>
            <w:tcBorders>
              <w:top w:val="single" w:color="auto" w:sz="4" w:space="0"/>
              <w:bottom w:val="single" w:color="auto" w:sz="4" w:space="0"/>
              <w:right w:val="single" w:color="auto" w:sz="4" w:space="0"/>
            </w:tcBorders>
            <w:shd w:val="clear" w:color="auto" w:fill="auto"/>
            <w:noWrap/>
            <w:vAlign w:val="center"/>
          </w:tcPr>
          <w:p w14:paraId="351E31C9">
            <w:pPr>
              <w:spacing w:before="0" w:line="240" w:lineRule="auto"/>
              <w:ind w:firstLine="0"/>
              <w:jc w:val="center"/>
              <w:rPr>
                <w:sz w:val="18"/>
                <w:szCs w:val="18"/>
                <w:lang w:val="en-US" w:eastAsia="zh-CN"/>
              </w:rPr>
            </w:pPr>
            <w:r>
              <w:rPr>
                <w:sz w:val="18"/>
                <w:szCs w:val="18"/>
                <w:lang w:val="en-US" w:eastAsia="zh-CN"/>
              </w:rPr>
              <w:t>活动发生人均时长</w:t>
            </w:r>
            <w:r>
              <w:rPr>
                <w:rFonts w:hint="eastAsia"/>
                <w:sz w:val="18"/>
                <w:szCs w:val="18"/>
                <w:lang w:val="en-US" w:eastAsia="zh-CN"/>
              </w:rPr>
              <w:t>／</w:t>
            </w:r>
            <w:r>
              <w:rPr>
                <w:sz w:val="18"/>
                <w:szCs w:val="18"/>
                <w:lang w:val="en-US" w:eastAsia="zh-CN"/>
              </w:rPr>
              <w:t>h</w:t>
            </w:r>
          </w:p>
        </w:tc>
        <w:tc>
          <w:tcPr>
            <w:tcW w:w="0" w:type="dxa"/>
            <w:tcBorders>
              <w:top w:val="single" w:color="auto" w:sz="4" w:space="0"/>
              <w:left w:val="single" w:color="auto" w:sz="4" w:space="0"/>
              <w:bottom w:val="single" w:color="auto" w:sz="4" w:space="0"/>
            </w:tcBorders>
            <w:shd w:val="clear" w:color="auto" w:fill="auto"/>
            <w:noWrap/>
            <w:vAlign w:val="center"/>
          </w:tcPr>
          <w:p w14:paraId="6268C1E3">
            <w:pPr>
              <w:spacing w:before="0" w:line="240" w:lineRule="auto"/>
              <w:ind w:firstLine="0"/>
              <w:jc w:val="center"/>
              <w:rPr>
                <w:sz w:val="18"/>
                <w:szCs w:val="18"/>
                <w:lang w:val="en-US" w:eastAsia="zh-CN"/>
              </w:rPr>
            </w:pPr>
            <w:r>
              <w:rPr>
                <w:sz w:val="18"/>
                <w:szCs w:val="18"/>
                <w:lang w:val="en-US" w:eastAsia="zh-CN"/>
              </w:rPr>
              <w:t>活动发生率</w:t>
            </w:r>
            <w:r>
              <w:rPr>
                <w:rFonts w:hint="eastAsia"/>
                <w:sz w:val="18"/>
                <w:szCs w:val="18"/>
                <w:lang w:val="en-US" w:eastAsia="zh-CN"/>
              </w:rPr>
              <w:t>／</w:t>
            </w:r>
            <w:r>
              <w:rPr>
                <w:sz w:val="18"/>
                <w:szCs w:val="18"/>
                <w:lang w:val="en-US" w:eastAsia="zh-CN"/>
              </w:rPr>
              <w:t>%</w:t>
            </w:r>
          </w:p>
        </w:tc>
        <w:tc>
          <w:tcPr>
            <w:tcW w:w="0" w:type="dxa"/>
            <w:tcBorders>
              <w:top w:val="single" w:color="auto" w:sz="4" w:space="0"/>
              <w:bottom w:val="single" w:color="auto" w:sz="4" w:space="0"/>
            </w:tcBorders>
            <w:shd w:val="clear" w:color="auto" w:fill="auto"/>
            <w:noWrap/>
            <w:vAlign w:val="center"/>
          </w:tcPr>
          <w:p w14:paraId="67E30172">
            <w:pPr>
              <w:spacing w:before="0" w:line="240" w:lineRule="auto"/>
              <w:ind w:firstLine="0"/>
              <w:jc w:val="center"/>
              <w:rPr>
                <w:sz w:val="18"/>
                <w:szCs w:val="18"/>
                <w:lang w:val="en-US" w:eastAsia="zh-CN"/>
              </w:rPr>
            </w:pPr>
            <w:r>
              <w:rPr>
                <w:sz w:val="18"/>
                <w:szCs w:val="18"/>
                <w:lang w:val="en-US" w:eastAsia="zh-CN"/>
              </w:rPr>
              <w:t>活动发生人均频次</w:t>
            </w:r>
            <w:r>
              <w:rPr>
                <w:rFonts w:hint="eastAsia"/>
                <w:sz w:val="18"/>
                <w:szCs w:val="18"/>
                <w:lang w:val="en-US" w:eastAsia="zh-CN"/>
              </w:rPr>
              <w:t>／</w:t>
            </w:r>
            <w:r>
              <w:rPr>
                <w:sz w:val="18"/>
                <w:szCs w:val="18"/>
                <w:lang w:val="en-US" w:eastAsia="zh-CN"/>
              </w:rPr>
              <w:t>次</w:t>
            </w:r>
          </w:p>
        </w:tc>
        <w:tc>
          <w:tcPr>
            <w:tcW w:w="0" w:type="dxa"/>
            <w:tcBorders>
              <w:top w:val="single" w:color="auto" w:sz="4" w:space="0"/>
              <w:bottom w:val="single" w:color="auto" w:sz="4" w:space="0"/>
            </w:tcBorders>
            <w:shd w:val="clear" w:color="auto" w:fill="auto"/>
            <w:noWrap/>
            <w:vAlign w:val="center"/>
          </w:tcPr>
          <w:p w14:paraId="0ABB6668">
            <w:pPr>
              <w:spacing w:before="0" w:line="240" w:lineRule="auto"/>
              <w:ind w:firstLine="0"/>
              <w:jc w:val="center"/>
              <w:rPr>
                <w:sz w:val="18"/>
                <w:szCs w:val="18"/>
                <w:lang w:val="en-US" w:eastAsia="zh-CN"/>
              </w:rPr>
            </w:pPr>
            <w:r>
              <w:rPr>
                <w:sz w:val="18"/>
                <w:szCs w:val="18"/>
                <w:lang w:val="en-US" w:eastAsia="zh-CN"/>
              </w:rPr>
              <w:t>活动发生人均时长</w:t>
            </w:r>
            <w:r>
              <w:rPr>
                <w:rFonts w:hint="eastAsia"/>
                <w:sz w:val="18"/>
                <w:szCs w:val="18"/>
                <w:lang w:val="en-US" w:eastAsia="zh-CN"/>
              </w:rPr>
              <w:t>／</w:t>
            </w:r>
            <w:r>
              <w:rPr>
                <w:sz w:val="18"/>
                <w:szCs w:val="18"/>
                <w:lang w:val="en-US" w:eastAsia="zh-CN"/>
              </w:rPr>
              <w:t>h</w:t>
            </w:r>
          </w:p>
        </w:tc>
      </w:tr>
      <w:tr w14:paraId="2EF32F1A">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dxa"/>
            <w:tcBorders>
              <w:top w:val="single" w:color="auto" w:sz="4" w:space="0"/>
              <w:bottom w:val="single" w:color="auto" w:sz="4" w:space="0"/>
              <w:right w:val="single" w:color="000000" w:sz="6" w:space="0"/>
              <w:insideV w:val="single" w:sz="6" w:space="0"/>
              <w:tl2br w:val="nil"/>
              <w:tr2bl w:val="nil"/>
            </w:tcBorders>
            <w:shd w:val="clear" w:color="auto" w:fill="auto"/>
            <w:noWrap/>
            <w:vAlign w:val="center"/>
          </w:tcPr>
          <w:p w14:paraId="09ACC4C1">
            <w:pPr>
              <w:spacing w:before="0" w:line="240" w:lineRule="auto"/>
              <w:ind w:firstLine="0"/>
              <w:jc w:val="center"/>
              <w:rPr>
                <w:sz w:val="18"/>
                <w:szCs w:val="18"/>
                <w:lang w:val="en-US" w:eastAsia="zh-CN"/>
              </w:rPr>
            </w:pPr>
            <w:r>
              <w:rPr>
                <w:sz w:val="18"/>
                <w:szCs w:val="18"/>
                <w:lang w:val="en-US" w:eastAsia="zh-CN"/>
              </w:rPr>
              <w:t>健康管理</w:t>
            </w:r>
          </w:p>
        </w:tc>
        <w:tc>
          <w:tcPr>
            <w:tcW w:w="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404D7A3">
            <w:pPr>
              <w:spacing w:before="0" w:line="240" w:lineRule="auto"/>
              <w:ind w:firstLine="0"/>
              <w:jc w:val="center"/>
              <w:rPr>
                <w:sz w:val="18"/>
                <w:szCs w:val="18"/>
                <w:lang w:val="en-US" w:eastAsia="zh-CN"/>
              </w:rPr>
            </w:pPr>
            <w:r>
              <w:rPr>
                <w:sz w:val="18"/>
                <w:szCs w:val="18"/>
                <w:lang w:val="en-US" w:eastAsia="zh-CN"/>
              </w:rPr>
              <w:t>健康管理</w:t>
            </w:r>
          </w:p>
        </w:tc>
        <w:tc>
          <w:tcPr>
            <w:tcW w:w="0" w:type="dxa"/>
            <w:vMerge w:val="restart"/>
            <w:tcBorders>
              <w:top w:val="single" w:color="auto" w:sz="4" w:space="0"/>
              <w:left w:val="single" w:color="auto" w:sz="4" w:space="0"/>
              <w:bottom w:val="single" w:color="auto" w:sz="4" w:space="0"/>
            </w:tcBorders>
            <w:shd w:val="clear" w:color="auto" w:fill="auto"/>
            <w:noWrap/>
            <w:vAlign w:val="center"/>
          </w:tcPr>
          <w:p w14:paraId="08D1528C">
            <w:pPr>
              <w:spacing w:before="0" w:line="240" w:lineRule="auto"/>
              <w:ind w:firstLine="0"/>
              <w:jc w:val="center"/>
              <w:rPr>
                <w:sz w:val="18"/>
                <w:szCs w:val="18"/>
                <w:lang w:val="en-US" w:eastAsia="zh-CN"/>
              </w:rPr>
            </w:pPr>
            <w:r>
              <w:rPr>
                <w:sz w:val="18"/>
                <w:szCs w:val="18"/>
                <w:lang w:val="en-US" w:eastAsia="zh-CN"/>
              </w:rPr>
              <w:t>41.67</w:t>
            </w:r>
          </w:p>
        </w:tc>
        <w:tc>
          <w:tcPr>
            <w:tcW w:w="0" w:type="dxa"/>
            <w:vMerge w:val="restart"/>
            <w:tcBorders>
              <w:top w:val="single" w:color="auto" w:sz="4" w:space="0"/>
              <w:bottom w:val="single" w:color="auto" w:sz="4" w:space="0"/>
            </w:tcBorders>
            <w:shd w:val="clear" w:color="auto" w:fill="auto"/>
            <w:noWrap/>
            <w:vAlign w:val="center"/>
          </w:tcPr>
          <w:p w14:paraId="61587F87">
            <w:pPr>
              <w:spacing w:before="0" w:line="240" w:lineRule="auto"/>
              <w:ind w:firstLine="0"/>
              <w:jc w:val="center"/>
              <w:rPr>
                <w:sz w:val="18"/>
                <w:szCs w:val="18"/>
                <w:lang w:val="en-US" w:eastAsia="zh-CN"/>
              </w:rPr>
            </w:pPr>
            <w:r>
              <w:rPr>
                <w:sz w:val="18"/>
                <w:szCs w:val="18"/>
                <w:lang w:val="en-US" w:eastAsia="zh-CN"/>
              </w:rPr>
              <w:t>3.58</w:t>
            </w:r>
          </w:p>
        </w:tc>
        <w:tc>
          <w:tcPr>
            <w:tcW w:w="0" w:type="dxa"/>
            <w:vMerge w:val="restart"/>
            <w:tcBorders>
              <w:top w:val="single" w:color="auto" w:sz="4" w:space="0"/>
              <w:bottom w:val="single" w:color="auto" w:sz="4" w:space="0"/>
              <w:right w:val="single" w:color="auto" w:sz="4" w:space="0"/>
            </w:tcBorders>
            <w:shd w:val="clear" w:color="auto" w:fill="auto"/>
            <w:noWrap/>
            <w:vAlign w:val="center"/>
          </w:tcPr>
          <w:p w14:paraId="1B214080">
            <w:pPr>
              <w:spacing w:before="0" w:line="240" w:lineRule="auto"/>
              <w:ind w:firstLine="0"/>
              <w:jc w:val="center"/>
              <w:rPr>
                <w:sz w:val="18"/>
                <w:szCs w:val="18"/>
                <w:lang w:val="en-US" w:eastAsia="zh-CN"/>
              </w:rPr>
            </w:pPr>
            <w:r>
              <w:rPr>
                <w:sz w:val="18"/>
                <w:szCs w:val="18"/>
                <w:lang w:val="en-US" w:eastAsia="zh-CN"/>
              </w:rPr>
              <w:t>2.05</w:t>
            </w:r>
          </w:p>
        </w:tc>
        <w:tc>
          <w:tcPr>
            <w:tcW w:w="0" w:type="dxa"/>
            <w:vMerge w:val="restart"/>
            <w:tcBorders>
              <w:top w:val="single" w:color="auto" w:sz="4" w:space="0"/>
              <w:left w:val="single" w:color="auto" w:sz="4" w:space="0"/>
              <w:bottom w:val="single" w:color="auto" w:sz="4" w:space="0"/>
            </w:tcBorders>
            <w:shd w:val="clear" w:color="auto" w:fill="auto"/>
            <w:noWrap/>
            <w:vAlign w:val="center"/>
          </w:tcPr>
          <w:p w14:paraId="65B43BE6">
            <w:pPr>
              <w:spacing w:before="0" w:line="240" w:lineRule="auto"/>
              <w:ind w:firstLine="0"/>
              <w:jc w:val="center"/>
              <w:rPr>
                <w:sz w:val="18"/>
                <w:szCs w:val="18"/>
                <w:lang w:val="en-US" w:eastAsia="zh-CN"/>
              </w:rPr>
            </w:pPr>
            <w:r>
              <w:rPr>
                <w:sz w:val="18"/>
                <w:szCs w:val="18"/>
                <w:lang w:val="en-US" w:eastAsia="zh-CN"/>
              </w:rPr>
              <w:t>0.69</w:t>
            </w:r>
          </w:p>
        </w:tc>
        <w:tc>
          <w:tcPr>
            <w:tcW w:w="0" w:type="dxa"/>
            <w:vMerge w:val="restart"/>
            <w:tcBorders>
              <w:top w:val="single" w:color="auto" w:sz="4" w:space="0"/>
              <w:bottom w:val="single" w:color="auto" w:sz="4" w:space="0"/>
            </w:tcBorders>
            <w:shd w:val="clear" w:color="auto" w:fill="auto"/>
            <w:noWrap/>
            <w:vAlign w:val="center"/>
          </w:tcPr>
          <w:p w14:paraId="4E6AD8BF">
            <w:pPr>
              <w:spacing w:before="0" w:line="240" w:lineRule="auto"/>
              <w:ind w:firstLine="0"/>
              <w:jc w:val="center"/>
              <w:rPr>
                <w:sz w:val="18"/>
                <w:szCs w:val="18"/>
                <w:lang w:val="en-US" w:eastAsia="zh-CN"/>
              </w:rPr>
            </w:pPr>
            <w:r>
              <w:rPr>
                <w:sz w:val="18"/>
                <w:szCs w:val="18"/>
                <w:lang w:val="en-US" w:eastAsia="zh-CN"/>
              </w:rPr>
              <w:t>1.00</w:t>
            </w:r>
          </w:p>
        </w:tc>
        <w:tc>
          <w:tcPr>
            <w:tcW w:w="0" w:type="dxa"/>
            <w:vMerge w:val="restart"/>
            <w:tcBorders>
              <w:top w:val="single" w:color="auto" w:sz="4" w:space="0"/>
              <w:bottom w:val="single" w:color="auto" w:sz="4" w:space="0"/>
              <w:right w:val="single" w:color="auto" w:sz="4" w:space="0"/>
            </w:tcBorders>
            <w:shd w:val="clear" w:color="auto" w:fill="auto"/>
            <w:noWrap/>
            <w:vAlign w:val="center"/>
          </w:tcPr>
          <w:p w14:paraId="7409EA54">
            <w:pPr>
              <w:spacing w:before="0" w:line="240" w:lineRule="auto"/>
              <w:ind w:firstLine="0"/>
              <w:jc w:val="center"/>
              <w:rPr>
                <w:sz w:val="18"/>
                <w:szCs w:val="18"/>
                <w:lang w:val="en-US" w:eastAsia="zh-CN"/>
              </w:rPr>
            </w:pPr>
            <w:r>
              <w:rPr>
                <w:sz w:val="18"/>
                <w:szCs w:val="18"/>
                <w:lang w:val="en-US" w:eastAsia="zh-CN"/>
              </w:rPr>
              <w:t>0.08</w:t>
            </w:r>
          </w:p>
        </w:tc>
        <w:tc>
          <w:tcPr>
            <w:tcW w:w="0" w:type="dxa"/>
            <w:vMerge w:val="restart"/>
            <w:tcBorders>
              <w:top w:val="single" w:color="auto" w:sz="4" w:space="0"/>
              <w:left w:val="single" w:color="auto" w:sz="4" w:space="0"/>
              <w:bottom w:val="single" w:color="auto" w:sz="4" w:space="0"/>
            </w:tcBorders>
            <w:shd w:val="clear" w:color="auto" w:fill="auto"/>
            <w:noWrap/>
            <w:vAlign w:val="center"/>
          </w:tcPr>
          <w:p w14:paraId="3B6F9BA4">
            <w:pPr>
              <w:spacing w:before="0" w:line="240" w:lineRule="auto"/>
              <w:ind w:firstLine="0"/>
              <w:jc w:val="center"/>
              <w:rPr>
                <w:sz w:val="18"/>
                <w:szCs w:val="18"/>
                <w:lang w:val="en-US" w:eastAsia="zh-CN"/>
              </w:rPr>
            </w:pPr>
            <w:r>
              <w:rPr>
                <w:sz w:val="18"/>
                <w:szCs w:val="18"/>
                <w:lang w:val="en-US" w:eastAsia="zh-CN"/>
              </w:rPr>
              <w:t>2.08</w:t>
            </w:r>
          </w:p>
        </w:tc>
        <w:tc>
          <w:tcPr>
            <w:tcW w:w="0" w:type="dxa"/>
            <w:vMerge w:val="restart"/>
            <w:tcBorders>
              <w:top w:val="single" w:color="auto" w:sz="4" w:space="0"/>
              <w:bottom w:val="single" w:color="auto" w:sz="4" w:space="0"/>
            </w:tcBorders>
            <w:shd w:val="clear" w:color="auto" w:fill="auto"/>
            <w:noWrap/>
            <w:vAlign w:val="center"/>
          </w:tcPr>
          <w:p w14:paraId="43B2B779">
            <w:pPr>
              <w:spacing w:before="0" w:line="240" w:lineRule="auto"/>
              <w:ind w:firstLine="0"/>
              <w:jc w:val="center"/>
              <w:rPr>
                <w:sz w:val="18"/>
                <w:szCs w:val="18"/>
                <w:lang w:val="en-US" w:eastAsia="zh-CN"/>
              </w:rPr>
            </w:pPr>
            <w:r>
              <w:rPr>
                <w:sz w:val="18"/>
                <w:szCs w:val="18"/>
                <w:lang w:val="en-US" w:eastAsia="zh-CN"/>
              </w:rPr>
              <w:t>3.67</w:t>
            </w:r>
          </w:p>
        </w:tc>
        <w:tc>
          <w:tcPr>
            <w:tcW w:w="0" w:type="dxa"/>
            <w:vMerge w:val="restart"/>
            <w:tcBorders>
              <w:top w:val="single" w:color="auto" w:sz="4" w:space="0"/>
              <w:bottom w:val="single" w:color="auto" w:sz="4" w:space="0"/>
            </w:tcBorders>
            <w:shd w:val="clear" w:color="auto" w:fill="auto"/>
            <w:noWrap/>
            <w:vAlign w:val="center"/>
          </w:tcPr>
          <w:p w14:paraId="3A356F14">
            <w:pPr>
              <w:spacing w:before="0" w:line="240" w:lineRule="auto"/>
              <w:ind w:firstLine="0"/>
              <w:jc w:val="center"/>
              <w:rPr>
                <w:sz w:val="18"/>
                <w:szCs w:val="18"/>
                <w:lang w:val="en-US" w:eastAsia="zh-CN"/>
              </w:rPr>
            </w:pPr>
            <w:r>
              <w:rPr>
                <w:sz w:val="18"/>
                <w:szCs w:val="18"/>
                <w:lang w:val="en-US" w:eastAsia="zh-CN"/>
              </w:rPr>
              <w:t>3.78</w:t>
            </w:r>
          </w:p>
        </w:tc>
      </w:tr>
      <w:tr w14:paraId="585A6677">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dxa"/>
            <w:tcBorders>
              <w:top w:val="single" w:color="auto" w:sz="4" w:space="0"/>
              <w:bottom w:val="single" w:color="auto" w:sz="4" w:space="0"/>
              <w:right w:val="single" w:color="000000" w:sz="6" w:space="0"/>
              <w:insideV w:val="single" w:sz="6" w:space="0"/>
              <w:tl2br w:val="nil"/>
              <w:tr2bl w:val="nil"/>
            </w:tcBorders>
            <w:shd w:val="clear" w:color="auto" w:fill="auto"/>
            <w:noWrap/>
            <w:vAlign w:val="center"/>
          </w:tcPr>
          <w:p w14:paraId="4262D44F">
            <w:pPr>
              <w:spacing w:before="0" w:line="240" w:lineRule="auto"/>
              <w:ind w:firstLine="0"/>
              <w:jc w:val="center"/>
              <w:rPr>
                <w:sz w:val="18"/>
                <w:szCs w:val="18"/>
                <w:lang w:val="en-US" w:eastAsia="zh-CN"/>
              </w:rPr>
            </w:pPr>
            <w:r>
              <w:rPr>
                <w:sz w:val="18"/>
                <w:szCs w:val="18"/>
                <w:lang w:val="en-US" w:eastAsia="zh-CN"/>
              </w:rPr>
              <w:t>为老服务</w:t>
            </w:r>
          </w:p>
        </w:tc>
        <w:tc>
          <w:tcPr>
            <w:tcW w:w="0" w:type="dxa"/>
            <w:vMerge w:val="continue"/>
            <w:tcBorders>
              <w:top w:val="nil"/>
              <w:left w:val="single" w:color="auto" w:sz="4" w:space="0"/>
              <w:bottom w:val="single" w:color="auto" w:sz="4" w:space="0"/>
              <w:right w:val="single" w:color="auto" w:sz="4" w:space="0"/>
            </w:tcBorders>
            <w:shd w:val="clear" w:color="auto" w:fill="auto"/>
            <w:vAlign w:val="center"/>
          </w:tcPr>
          <w:p w14:paraId="6477A8B3">
            <w:pPr>
              <w:spacing w:before="0" w:line="240" w:lineRule="auto"/>
              <w:ind w:firstLine="0"/>
              <w:rPr>
                <w:sz w:val="18"/>
                <w:szCs w:val="18"/>
                <w:lang w:val="en-US" w:eastAsia="zh-CN"/>
              </w:rPr>
            </w:pPr>
          </w:p>
        </w:tc>
        <w:tc>
          <w:tcPr>
            <w:tcW w:w="0" w:type="dxa"/>
            <w:vMerge w:val="continue"/>
            <w:tcBorders>
              <w:top w:val="nil"/>
              <w:left w:val="single" w:color="auto" w:sz="4" w:space="0"/>
              <w:bottom w:val="single" w:color="auto" w:sz="4" w:space="0"/>
            </w:tcBorders>
            <w:shd w:val="clear" w:color="auto" w:fill="auto"/>
            <w:vAlign w:val="center"/>
          </w:tcPr>
          <w:p w14:paraId="5D8FB83D">
            <w:pPr>
              <w:spacing w:before="0" w:line="240" w:lineRule="auto"/>
              <w:ind w:firstLine="0"/>
              <w:rPr>
                <w:sz w:val="18"/>
                <w:szCs w:val="18"/>
                <w:lang w:val="en-US" w:eastAsia="zh-CN"/>
              </w:rPr>
            </w:pPr>
          </w:p>
        </w:tc>
        <w:tc>
          <w:tcPr>
            <w:tcW w:w="0" w:type="dxa"/>
            <w:vMerge w:val="continue"/>
            <w:tcBorders>
              <w:top w:val="nil"/>
              <w:bottom w:val="single" w:color="auto" w:sz="4" w:space="0"/>
            </w:tcBorders>
            <w:shd w:val="clear" w:color="auto" w:fill="auto"/>
            <w:vAlign w:val="center"/>
          </w:tcPr>
          <w:p w14:paraId="6D9BD480">
            <w:pPr>
              <w:spacing w:before="0" w:line="240" w:lineRule="auto"/>
              <w:ind w:firstLine="0"/>
              <w:rPr>
                <w:sz w:val="18"/>
                <w:szCs w:val="18"/>
                <w:lang w:val="en-US" w:eastAsia="zh-CN"/>
              </w:rPr>
            </w:pPr>
          </w:p>
        </w:tc>
        <w:tc>
          <w:tcPr>
            <w:tcW w:w="0" w:type="dxa"/>
            <w:vMerge w:val="continue"/>
            <w:tcBorders>
              <w:top w:val="single" w:color="auto" w:sz="4" w:space="0"/>
              <w:bottom w:val="single" w:color="auto" w:sz="4" w:space="0"/>
              <w:right w:val="single" w:color="auto" w:sz="4" w:space="0"/>
            </w:tcBorders>
            <w:shd w:val="clear" w:color="auto" w:fill="auto"/>
            <w:vAlign w:val="center"/>
          </w:tcPr>
          <w:p w14:paraId="0E341243">
            <w:pPr>
              <w:spacing w:before="0" w:line="240" w:lineRule="auto"/>
              <w:ind w:firstLine="0"/>
              <w:rPr>
                <w:sz w:val="18"/>
                <w:szCs w:val="18"/>
                <w:lang w:val="en-US" w:eastAsia="zh-CN"/>
              </w:rPr>
            </w:pPr>
          </w:p>
        </w:tc>
        <w:tc>
          <w:tcPr>
            <w:tcW w:w="0" w:type="dxa"/>
            <w:vMerge w:val="continue"/>
            <w:tcBorders>
              <w:top w:val="nil"/>
              <w:left w:val="single" w:color="auto" w:sz="4" w:space="0"/>
              <w:bottom w:val="single" w:color="auto" w:sz="4" w:space="0"/>
            </w:tcBorders>
            <w:shd w:val="clear" w:color="auto" w:fill="auto"/>
            <w:vAlign w:val="center"/>
          </w:tcPr>
          <w:p w14:paraId="7EAD4D0F">
            <w:pPr>
              <w:spacing w:before="0" w:line="240" w:lineRule="auto"/>
              <w:ind w:firstLine="0"/>
              <w:rPr>
                <w:sz w:val="18"/>
                <w:szCs w:val="18"/>
                <w:lang w:val="en-US" w:eastAsia="zh-CN"/>
              </w:rPr>
            </w:pPr>
          </w:p>
        </w:tc>
        <w:tc>
          <w:tcPr>
            <w:tcW w:w="0" w:type="dxa"/>
            <w:vMerge w:val="continue"/>
            <w:tcBorders>
              <w:top w:val="nil"/>
              <w:bottom w:val="single" w:color="auto" w:sz="4" w:space="0"/>
            </w:tcBorders>
            <w:shd w:val="clear" w:color="auto" w:fill="auto"/>
            <w:vAlign w:val="center"/>
          </w:tcPr>
          <w:p w14:paraId="5972258B">
            <w:pPr>
              <w:spacing w:before="0" w:line="240" w:lineRule="auto"/>
              <w:ind w:firstLine="0"/>
              <w:rPr>
                <w:sz w:val="18"/>
                <w:szCs w:val="18"/>
                <w:lang w:val="en-US" w:eastAsia="zh-CN"/>
              </w:rPr>
            </w:pPr>
          </w:p>
        </w:tc>
        <w:tc>
          <w:tcPr>
            <w:tcW w:w="0" w:type="dxa"/>
            <w:vMerge w:val="continue"/>
            <w:tcBorders>
              <w:top w:val="single" w:color="auto" w:sz="4" w:space="0"/>
              <w:bottom w:val="single" w:color="auto" w:sz="4" w:space="0"/>
              <w:right w:val="single" w:color="auto" w:sz="4" w:space="0"/>
            </w:tcBorders>
            <w:shd w:val="clear" w:color="auto" w:fill="auto"/>
            <w:vAlign w:val="center"/>
          </w:tcPr>
          <w:p w14:paraId="0B173152">
            <w:pPr>
              <w:spacing w:before="0" w:line="240" w:lineRule="auto"/>
              <w:ind w:firstLine="0"/>
              <w:rPr>
                <w:sz w:val="18"/>
                <w:szCs w:val="18"/>
                <w:lang w:val="en-US" w:eastAsia="zh-CN"/>
              </w:rPr>
            </w:pPr>
          </w:p>
        </w:tc>
        <w:tc>
          <w:tcPr>
            <w:tcW w:w="0" w:type="dxa"/>
            <w:vMerge w:val="continue"/>
            <w:tcBorders>
              <w:top w:val="nil"/>
              <w:left w:val="single" w:color="auto" w:sz="4" w:space="0"/>
              <w:bottom w:val="single" w:color="auto" w:sz="4" w:space="0"/>
            </w:tcBorders>
            <w:shd w:val="clear" w:color="auto" w:fill="auto"/>
            <w:vAlign w:val="center"/>
          </w:tcPr>
          <w:p w14:paraId="13CBD8E1">
            <w:pPr>
              <w:spacing w:before="0" w:line="240" w:lineRule="auto"/>
              <w:ind w:firstLine="0"/>
              <w:rPr>
                <w:sz w:val="18"/>
                <w:szCs w:val="18"/>
                <w:lang w:val="en-US" w:eastAsia="zh-CN"/>
              </w:rPr>
            </w:pPr>
          </w:p>
        </w:tc>
        <w:tc>
          <w:tcPr>
            <w:tcW w:w="0" w:type="dxa"/>
            <w:vMerge w:val="continue"/>
            <w:tcBorders>
              <w:top w:val="nil"/>
              <w:bottom w:val="single" w:color="auto" w:sz="4" w:space="0"/>
            </w:tcBorders>
            <w:shd w:val="clear" w:color="auto" w:fill="auto"/>
            <w:vAlign w:val="center"/>
          </w:tcPr>
          <w:p w14:paraId="0E4BEB29">
            <w:pPr>
              <w:spacing w:before="0" w:line="240" w:lineRule="auto"/>
              <w:ind w:firstLine="0"/>
              <w:rPr>
                <w:sz w:val="18"/>
                <w:szCs w:val="18"/>
                <w:lang w:val="en-US" w:eastAsia="zh-CN"/>
              </w:rPr>
            </w:pPr>
          </w:p>
        </w:tc>
        <w:tc>
          <w:tcPr>
            <w:tcW w:w="0" w:type="dxa"/>
            <w:vMerge w:val="continue"/>
            <w:tcBorders>
              <w:top w:val="nil"/>
              <w:bottom w:val="single" w:color="auto" w:sz="4" w:space="0"/>
            </w:tcBorders>
            <w:shd w:val="clear" w:color="auto" w:fill="auto"/>
            <w:vAlign w:val="center"/>
          </w:tcPr>
          <w:p w14:paraId="118938F2">
            <w:pPr>
              <w:spacing w:before="0" w:line="240" w:lineRule="auto"/>
              <w:ind w:firstLine="0"/>
              <w:rPr>
                <w:sz w:val="18"/>
                <w:szCs w:val="18"/>
                <w:lang w:val="en-US" w:eastAsia="zh-CN"/>
              </w:rPr>
            </w:pPr>
          </w:p>
        </w:tc>
      </w:tr>
      <w:tr w14:paraId="3EE47DD6">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dxa"/>
            <w:tcBorders>
              <w:top w:val="single" w:color="auto" w:sz="4" w:space="0"/>
              <w:bottom w:val="single" w:color="auto" w:sz="4" w:space="0"/>
              <w:right w:val="single" w:color="000000" w:sz="6" w:space="0"/>
              <w:insideV w:val="single" w:sz="6" w:space="0"/>
              <w:tl2br w:val="nil"/>
              <w:tr2bl w:val="nil"/>
            </w:tcBorders>
            <w:shd w:val="clear" w:color="auto" w:fill="auto"/>
            <w:noWrap/>
            <w:vAlign w:val="center"/>
          </w:tcPr>
          <w:p w14:paraId="1F19D92C">
            <w:pPr>
              <w:spacing w:before="0" w:line="240" w:lineRule="auto"/>
              <w:ind w:firstLine="0"/>
              <w:jc w:val="center"/>
              <w:rPr>
                <w:sz w:val="18"/>
                <w:szCs w:val="18"/>
                <w:lang w:val="en-US" w:eastAsia="zh-CN"/>
              </w:rPr>
            </w:pPr>
            <w:r>
              <w:rPr>
                <w:sz w:val="18"/>
                <w:szCs w:val="18"/>
                <w:lang w:val="en-US" w:eastAsia="zh-CN"/>
              </w:rPr>
              <w:t>终身教育</w:t>
            </w:r>
          </w:p>
        </w:tc>
        <w:tc>
          <w:tcPr>
            <w:tcW w:w="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DAD1CB7">
            <w:pPr>
              <w:spacing w:before="0" w:line="240" w:lineRule="auto"/>
              <w:ind w:firstLine="0"/>
              <w:jc w:val="center"/>
              <w:rPr>
                <w:sz w:val="18"/>
                <w:szCs w:val="18"/>
                <w:lang w:val="en-US" w:eastAsia="zh-CN"/>
              </w:rPr>
            </w:pPr>
            <w:r>
              <w:rPr>
                <w:sz w:val="18"/>
                <w:szCs w:val="18"/>
                <w:lang w:val="en-US" w:eastAsia="zh-CN"/>
              </w:rPr>
              <w:t>孩子教育</w:t>
            </w:r>
          </w:p>
        </w:tc>
        <w:tc>
          <w:tcPr>
            <w:tcW w:w="0" w:type="dxa"/>
            <w:tcBorders>
              <w:top w:val="single" w:color="auto" w:sz="4" w:space="0"/>
              <w:left w:val="single" w:color="auto" w:sz="4" w:space="0"/>
              <w:bottom w:val="single" w:color="auto" w:sz="4" w:space="0"/>
            </w:tcBorders>
            <w:shd w:val="clear" w:color="auto" w:fill="auto"/>
            <w:noWrap/>
            <w:vAlign w:val="center"/>
          </w:tcPr>
          <w:p w14:paraId="35336702">
            <w:pPr>
              <w:spacing w:before="0" w:line="240" w:lineRule="auto"/>
              <w:ind w:firstLine="0"/>
              <w:jc w:val="center"/>
              <w:rPr>
                <w:sz w:val="18"/>
                <w:szCs w:val="18"/>
                <w:lang w:val="en-US" w:eastAsia="zh-CN"/>
              </w:rPr>
            </w:pPr>
            <w:r>
              <w:rPr>
                <w:sz w:val="18"/>
                <w:szCs w:val="18"/>
                <w:lang w:val="en-US" w:eastAsia="zh-CN"/>
              </w:rPr>
              <w:t>44.44</w:t>
            </w:r>
          </w:p>
        </w:tc>
        <w:tc>
          <w:tcPr>
            <w:tcW w:w="0" w:type="dxa"/>
            <w:tcBorders>
              <w:top w:val="single" w:color="auto" w:sz="4" w:space="0"/>
              <w:bottom w:val="single" w:color="auto" w:sz="4" w:space="0"/>
            </w:tcBorders>
            <w:shd w:val="clear" w:color="auto" w:fill="auto"/>
            <w:noWrap/>
            <w:vAlign w:val="center"/>
          </w:tcPr>
          <w:p w14:paraId="100378FE">
            <w:pPr>
              <w:spacing w:before="0" w:line="240" w:lineRule="auto"/>
              <w:ind w:firstLine="0"/>
              <w:jc w:val="center"/>
              <w:rPr>
                <w:sz w:val="18"/>
                <w:szCs w:val="18"/>
                <w:lang w:val="en-US" w:eastAsia="zh-CN"/>
              </w:rPr>
            </w:pPr>
            <w:r>
              <w:rPr>
                <w:sz w:val="18"/>
                <w:szCs w:val="18"/>
                <w:lang w:val="en-US" w:eastAsia="zh-CN"/>
              </w:rPr>
              <w:t>3.3</w:t>
            </w:r>
          </w:p>
        </w:tc>
        <w:tc>
          <w:tcPr>
            <w:tcW w:w="0" w:type="dxa"/>
            <w:tcBorders>
              <w:top w:val="single" w:color="auto" w:sz="4" w:space="0"/>
              <w:bottom w:val="single" w:color="auto" w:sz="4" w:space="0"/>
              <w:right w:val="single" w:color="auto" w:sz="4" w:space="0"/>
            </w:tcBorders>
            <w:shd w:val="clear" w:color="auto" w:fill="auto"/>
            <w:noWrap/>
            <w:vAlign w:val="center"/>
          </w:tcPr>
          <w:p w14:paraId="704563C4">
            <w:pPr>
              <w:spacing w:before="0" w:line="240" w:lineRule="auto"/>
              <w:ind w:firstLine="0"/>
              <w:jc w:val="center"/>
              <w:rPr>
                <w:sz w:val="18"/>
                <w:szCs w:val="18"/>
                <w:lang w:val="en-US" w:eastAsia="zh-CN"/>
              </w:rPr>
            </w:pPr>
            <w:r>
              <w:rPr>
                <w:sz w:val="18"/>
                <w:szCs w:val="18"/>
                <w:lang w:val="en-US" w:eastAsia="zh-CN"/>
              </w:rPr>
              <w:t>1.79</w:t>
            </w:r>
          </w:p>
        </w:tc>
        <w:tc>
          <w:tcPr>
            <w:tcW w:w="0" w:type="dxa"/>
            <w:tcBorders>
              <w:top w:val="single" w:color="auto" w:sz="4" w:space="0"/>
              <w:left w:val="single" w:color="auto" w:sz="4" w:space="0"/>
              <w:bottom w:val="single" w:color="auto" w:sz="4" w:space="0"/>
            </w:tcBorders>
            <w:shd w:val="clear" w:color="auto" w:fill="auto"/>
            <w:noWrap/>
            <w:vAlign w:val="center"/>
          </w:tcPr>
          <w:p w14:paraId="31113896">
            <w:pPr>
              <w:spacing w:before="0" w:line="240" w:lineRule="auto"/>
              <w:ind w:firstLine="0"/>
              <w:jc w:val="center"/>
              <w:rPr>
                <w:sz w:val="18"/>
                <w:szCs w:val="18"/>
                <w:lang w:val="en-US" w:eastAsia="zh-CN"/>
              </w:rPr>
            </w:pPr>
            <w:r>
              <w:rPr>
                <w:sz w:val="18"/>
                <w:szCs w:val="18"/>
                <w:lang w:val="en-US" w:eastAsia="zh-CN"/>
              </w:rPr>
              <w:t>5.56</w:t>
            </w:r>
          </w:p>
        </w:tc>
        <w:tc>
          <w:tcPr>
            <w:tcW w:w="0" w:type="dxa"/>
            <w:tcBorders>
              <w:top w:val="single" w:color="auto" w:sz="4" w:space="0"/>
              <w:bottom w:val="single" w:color="auto" w:sz="4" w:space="0"/>
            </w:tcBorders>
            <w:shd w:val="clear" w:color="auto" w:fill="auto"/>
            <w:noWrap/>
            <w:vAlign w:val="center"/>
          </w:tcPr>
          <w:p w14:paraId="7CB498FF">
            <w:pPr>
              <w:spacing w:before="0" w:line="240" w:lineRule="auto"/>
              <w:ind w:firstLine="0"/>
              <w:jc w:val="center"/>
              <w:rPr>
                <w:sz w:val="18"/>
                <w:szCs w:val="18"/>
                <w:lang w:val="en-US" w:eastAsia="zh-CN"/>
              </w:rPr>
            </w:pPr>
            <w:r>
              <w:rPr>
                <w:sz w:val="18"/>
                <w:szCs w:val="18"/>
                <w:lang w:val="en-US" w:eastAsia="zh-CN"/>
              </w:rPr>
              <w:t>2.25</w:t>
            </w:r>
          </w:p>
        </w:tc>
        <w:tc>
          <w:tcPr>
            <w:tcW w:w="0" w:type="dxa"/>
            <w:tcBorders>
              <w:top w:val="single" w:color="auto" w:sz="4" w:space="0"/>
              <w:bottom w:val="single" w:color="auto" w:sz="4" w:space="0"/>
              <w:right w:val="single" w:color="auto" w:sz="4" w:space="0"/>
            </w:tcBorders>
            <w:shd w:val="clear" w:color="auto" w:fill="auto"/>
            <w:noWrap/>
            <w:vAlign w:val="center"/>
          </w:tcPr>
          <w:p w14:paraId="375E6BEB">
            <w:pPr>
              <w:spacing w:before="0" w:line="240" w:lineRule="auto"/>
              <w:ind w:firstLine="0"/>
              <w:jc w:val="center"/>
              <w:rPr>
                <w:sz w:val="18"/>
                <w:szCs w:val="18"/>
                <w:lang w:val="en-US" w:eastAsia="zh-CN"/>
              </w:rPr>
            </w:pPr>
            <w:r>
              <w:rPr>
                <w:sz w:val="18"/>
                <w:szCs w:val="18"/>
                <w:lang w:val="en-US" w:eastAsia="zh-CN"/>
              </w:rPr>
              <w:t>1.05</w:t>
            </w:r>
          </w:p>
        </w:tc>
        <w:tc>
          <w:tcPr>
            <w:tcW w:w="0" w:type="dxa"/>
            <w:tcBorders>
              <w:top w:val="single" w:color="auto" w:sz="4" w:space="0"/>
              <w:left w:val="single" w:color="auto" w:sz="4" w:space="0"/>
              <w:bottom w:val="single" w:color="auto" w:sz="4" w:space="0"/>
            </w:tcBorders>
            <w:shd w:val="clear" w:color="auto" w:fill="auto"/>
            <w:noWrap/>
            <w:vAlign w:val="center"/>
          </w:tcPr>
          <w:p w14:paraId="3C5EE4D2">
            <w:pPr>
              <w:spacing w:before="0" w:line="240" w:lineRule="auto"/>
              <w:ind w:firstLine="0"/>
              <w:jc w:val="center"/>
              <w:rPr>
                <w:sz w:val="18"/>
                <w:szCs w:val="18"/>
                <w:lang w:val="en-US" w:eastAsia="zh-CN"/>
              </w:rPr>
            </w:pPr>
            <w:r>
              <w:rPr>
                <w:sz w:val="18"/>
                <w:szCs w:val="18"/>
                <w:lang w:val="en-US" w:eastAsia="zh-CN"/>
              </w:rPr>
              <w:t>2.78</w:t>
            </w:r>
          </w:p>
        </w:tc>
        <w:tc>
          <w:tcPr>
            <w:tcW w:w="0" w:type="dxa"/>
            <w:tcBorders>
              <w:top w:val="single" w:color="auto" w:sz="4" w:space="0"/>
              <w:bottom w:val="single" w:color="auto" w:sz="4" w:space="0"/>
            </w:tcBorders>
            <w:shd w:val="clear" w:color="auto" w:fill="auto"/>
            <w:noWrap/>
            <w:vAlign w:val="center"/>
          </w:tcPr>
          <w:p w14:paraId="1F7D2CF3">
            <w:pPr>
              <w:spacing w:before="0" w:line="240" w:lineRule="auto"/>
              <w:ind w:firstLine="0"/>
              <w:jc w:val="center"/>
              <w:rPr>
                <w:sz w:val="18"/>
                <w:szCs w:val="18"/>
                <w:lang w:val="en-US" w:eastAsia="zh-CN"/>
              </w:rPr>
            </w:pPr>
            <w:r>
              <w:rPr>
                <w:sz w:val="18"/>
                <w:szCs w:val="18"/>
                <w:lang w:val="en-US" w:eastAsia="zh-CN"/>
              </w:rPr>
              <w:t>10.00</w:t>
            </w:r>
          </w:p>
        </w:tc>
        <w:tc>
          <w:tcPr>
            <w:tcW w:w="0" w:type="dxa"/>
            <w:tcBorders>
              <w:top w:val="single" w:color="auto" w:sz="4" w:space="0"/>
              <w:bottom w:val="single" w:color="auto" w:sz="4" w:space="0"/>
            </w:tcBorders>
            <w:shd w:val="clear" w:color="auto" w:fill="auto"/>
            <w:noWrap/>
            <w:vAlign w:val="center"/>
          </w:tcPr>
          <w:p w14:paraId="203225E5">
            <w:pPr>
              <w:spacing w:before="0" w:line="240" w:lineRule="auto"/>
              <w:ind w:firstLine="0"/>
              <w:jc w:val="center"/>
              <w:rPr>
                <w:sz w:val="18"/>
                <w:szCs w:val="18"/>
                <w:lang w:val="en-US" w:eastAsia="zh-CN"/>
              </w:rPr>
            </w:pPr>
            <w:r>
              <w:rPr>
                <w:sz w:val="18"/>
                <w:szCs w:val="18"/>
                <w:lang w:val="en-US" w:eastAsia="zh-CN"/>
              </w:rPr>
              <w:t>5.39</w:t>
            </w:r>
          </w:p>
        </w:tc>
      </w:tr>
      <w:tr w14:paraId="0F3B0759">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dxa"/>
            <w:vMerge w:val="restart"/>
            <w:tcBorders>
              <w:top w:val="single" w:color="auto" w:sz="4" w:space="0"/>
              <w:bottom w:val="single" w:color="auto" w:sz="4" w:space="0"/>
              <w:right w:val="single" w:color="000000" w:sz="6" w:space="0"/>
              <w:insideV w:val="single" w:sz="6" w:space="0"/>
              <w:tl2br w:val="nil"/>
              <w:tr2bl w:val="nil"/>
            </w:tcBorders>
            <w:shd w:val="clear" w:color="auto" w:fill="auto"/>
            <w:noWrap/>
            <w:vAlign w:val="center"/>
          </w:tcPr>
          <w:p w14:paraId="5EBC44B2">
            <w:pPr>
              <w:spacing w:before="0" w:line="240" w:lineRule="auto"/>
              <w:ind w:firstLine="0"/>
              <w:jc w:val="center"/>
              <w:rPr>
                <w:sz w:val="18"/>
                <w:szCs w:val="18"/>
                <w:lang w:val="en-US" w:eastAsia="zh-CN"/>
              </w:rPr>
            </w:pPr>
            <w:r>
              <w:rPr>
                <w:sz w:val="18"/>
                <w:szCs w:val="18"/>
                <w:lang w:val="en-US" w:eastAsia="zh-CN"/>
              </w:rPr>
              <w:t>文化活动</w:t>
            </w:r>
          </w:p>
        </w:tc>
        <w:tc>
          <w:tcPr>
            <w:tcW w:w="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7A44537">
            <w:pPr>
              <w:spacing w:before="0" w:line="240" w:lineRule="auto"/>
              <w:ind w:firstLine="0"/>
              <w:jc w:val="center"/>
              <w:rPr>
                <w:sz w:val="18"/>
                <w:szCs w:val="18"/>
                <w:lang w:val="en-US" w:eastAsia="zh-CN"/>
              </w:rPr>
            </w:pPr>
            <w:r>
              <w:rPr>
                <w:sz w:val="18"/>
                <w:szCs w:val="18"/>
                <w:lang w:val="en-US" w:eastAsia="zh-CN"/>
              </w:rPr>
              <w:t>文化休闲</w:t>
            </w:r>
          </w:p>
        </w:tc>
        <w:tc>
          <w:tcPr>
            <w:tcW w:w="0" w:type="dxa"/>
            <w:tcBorders>
              <w:top w:val="single" w:color="auto" w:sz="4" w:space="0"/>
              <w:left w:val="single" w:color="auto" w:sz="4" w:space="0"/>
              <w:bottom w:val="single" w:color="auto" w:sz="4" w:space="0"/>
            </w:tcBorders>
            <w:shd w:val="clear" w:color="auto" w:fill="auto"/>
            <w:noWrap/>
            <w:vAlign w:val="center"/>
          </w:tcPr>
          <w:p w14:paraId="7400460A">
            <w:pPr>
              <w:spacing w:before="0" w:line="240" w:lineRule="auto"/>
              <w:ind w:firstLine="0"/>
              <w:jc w:val="center"/>
              <w:rPr>
                <w:sz w:val="18"/>
                <w:szCs w:val="18"/>
                <w:lang w:val="en-US" w:eastAsia="zh-CN"/>
              </w:rPr>
            </w:pPr>
            <w:r>
              <w:rPr>
                <w:sz w:val="18"/>
                <w:szCs w:val="18"/>
                <w:lang w:val="en-US" w:eastAsia="zh-CN"/>
              </w:rPr>
              <w:t>81.25</w:t>
            </w:r>
          </w:p>
        </w:tc>
        <w:tc>
          <w:tcPr>
            <w:tcW w:w="0" w:type="dxa"/>
            <w:tcBorders>
              <w:top w:val="single" w:color="auto" w:sz="4" w:space="0"/>
              <w:bottom w:val="single" w:color="auto" w:sz="4" w:space="0"/>
            </w:tcBorders>
            <w:shd w:val="clear" w:color="auto" w:fill="auto"/>
            <w:noWrap/>
            <w:vAlign w:val="center"/>
          </w:tcPr>
          <w:p w14:paraId="498BDF99">
            <w:pPr>
              <w:spacing w:before="0" w:line="240" w:lineRule="auto"/>
              <w:ind w:firstLine="0"/>
              <w:jc w:val="center"/>
              <w:rPr>
                <w:sz w:val="18"/>
                <w:szCs w:val="18"/>
                <w:lang w:val="en-US" w:eastAsia="zh-CN"/>
              </w:rPr>
            </w:pPr>
            <w:r>
              <w:rPr>
                <w:sz w:val="18"/>
                <w:szCs w:val="18"/>
                <w:lang w:val="en-US" w:eastAsia="zh-CN"/>
              </w:rPr>
              <w:t>4.52</w:t>
            </w:r>
          </w:p>
        </w:tc>
        <w:tc>
          <w:tcPr>
            <w:tcW w:w="0" w:type="dxa"/>
            <w:tcBorders>
              <w:top w:val="single" w:color="auto" w:sz="4" w:space="0"/>
              <w:bottom w:val="single" w:color="auto" w:sz="4" w:space="0"/>
              <w:right w:val="single" w:color="auto" w:sz="4" w:space="0"/>
            </w:tcBorders>
            <w:shd w:val="clear" w:color="auto" w:fill="auto"/>
            <w:noWrap/>
            <w:vAlign w:val="center"/>
          </w:tcPr>
          <w:p w14:paraId="160DD510">
            <w:pPr>
              <w:spacing w:before="0" w:line="240" w:lineRule="auto"/>
              <w:ind w:firstLine="0"/>
              <w:jc w:val="center"/>
              <w:rPr>
                <w:sz w:val="18"/>
                <w:szCs w:val="18"/>
                <w:lang w:val="en-US" w:eastAsia="zh-CN"/>
              </w:rPr>
            </w:pPr>
            <w:r>
              <w:rPr>
                <w:sz w:val="18"/>
                <w:szCs w:val="18"/>
                <w:lang w:val="en-US" w:eastAsia="zh-CN"/>
              </w:rPr>
              <w:t>3.86</w:t>
            </w:r>
          </w:p>
        </w:tc>
        <w:tc>
          <w:tcPr>
            <w:tcW w:w="0" w:type="dxa"/>
            <w:tcBorders>
              <w:top w:val="single" w:color="auto" w:sz="4" w:space="0"/>
              <w:left w:val="single" w:color="auto" w:sz="4" w:space="0"/>
              <w:bottom w:val="single" w:color="auto" w:sz="4" w:space="0"/>
            </w:tcBorders>
            <w:shd w:val="clear" w:color="auto" w:fill="auto"/>
            <w:noWrap/>
            <w:vAlign w:val="center"/>
          </w:tcPr>
          <w:p w14:paraId="2BB3908B">
            <w:pPr>
              <w:spacing w:before="0" w:line="240" w:lineRule="auto"/>
              <w:ind w:firstLine="0"/>
              <w:jc w:val="center"/>
              <w:rPr>
                <w:sz w:val="18"/>
                <w:szCs w:val="18"/>
                <w:lang w:val="en-US" w:eastAsia="zh-CN"/>
              </w:rPr>
            </w:pPr>
            <w:r>
              <w:rPr>
                <w:sz w:val="18"/>
                <w:szCs w:val="18"/>
                <w:lang w:val="en-US" w:eastAsia="zh-CN"/>
              </w:rPr>
              <w:t>84.03</w:t>
            </w:r>
          </w:p>
        </w:tc>
        <w:tc>
          <w:tcPr>
            <w:tcW w:w="0" w:type="dxa"/>
            <w:tcBorders>
              <w:top w:val="single" w:color="auto" w:sz="4" w:space="0"/>
              <w:bottom w:val="single" w:color="auto" w:sz="4" w:space="0"/>
            </w:tcBorders>
            <w:shd w:val="clear" w:color="auto" w:fill="auto"/>
            <w:noWrap/>
            <w:vAlign w:val="center"/>
          </w:tcPr>
          <w:p w14:paraId="22BCF426">
            <w:pPr>
              <w:spacing w:before="0" w:line="240" w:lineRule="auto"/>
              <w:ind w:firstLine="0"/>
              <w:jc w:val="center"/>
              <w:rPr>
                <w:sz w:val="18"/>
                <w:szCs w:val="18"/>
                <w:lang w:val="en-US" w:eastAsia="zh-CN"/>
              </w:rPr>
            </w:pPr>
            <w:r>
              <w:rPr>
                <w:sz w:val="18"/>
                <w:szCs w:val="18"/>
                <w:lang w:val="en-US" w:eastAsia="zh-CN"/>
              </w:rPr>
              <w:t>5.51</w:t>
            </w:r>
          </w:p>
        </w:tc>
        <w:tc>
          <w:tcPr>
            <w:tcW w:w="0" w:type="dxa"/>
            <w:tcBorders>
              <w:top w:val="single" w:color="auto" w:sz="4" w:space="0"/>
              <w:bottom w:val="single" w:color="auto" w:sz="4" w:space="0"/>
              <w:right w:val="single" w:color="auto" w:sz="4" w:space="0"/>
            </w:tcBorders>
            <w:shd w:val="clear" w:color="auto" w:fill="auto"/>
            <w:noWrap/>
            <w:vAlign w:val="center"/>
          </w:tcPr>
          <w:p w14:paraId="45EF0C81">
            <w:pPr>
              <w:spacing w:before="0" w:line="240" w:lineRule="auto"/>
              <w:ind w:firstLine="0"/>
              <w:jc w:val="center"/>
              <w:rPr>
                <w:sz w:val="18"/>
                <w:szCs w:val="18"/>
                <w:lang w:val="en-US" w:eastAsia="zh-CN"/>
              </w:rPr>
            </w:pPr>
            <w:r>
              <w:rPr>
                <w:sz w:val="18"/>
                <w:szCs w:val="18"/>
                <w:lang w:val="en-US" w:eastAsia="zh-CN"/>
              </w:rPr>
              <w:t>4.28</w:t>
            </w:r>
          </w:p>
        </w:tc>
        <w:tc>
          <w:tcPr>
            <w:tcW w:w="0" w:type="dxa"/>
            <w:tcBorders>
              <w:top w:val="single" w:color="auto" w:sz="4" w:space="0"/>
              <w:left w:val="single" w:color="auto" w:sz="4" w:space="0"/>
              <w:bottom w:val="single" w:color="auto" w:sz="4" w:space="0"/>
            </w:tcBorders>
            <w:shd w:val="clear" w:color="auto" w:fill="auto"/>
            <w:noWrap/>
            <w:vAlign w:val="center"/>
          </w:tcPr>
          <w:p w14:paraId="7EBF7B43">
            <w:pPr>
              <w:spacing w:before="0" w:line="240" w:lineRule="auto"/>
              <w:ind w:firstLine="0"/>
              <w:jc w:val="center"/>
              <w:rPr>
                <w:sz w:val="18"/>
                <w:szCs w:val="18"/>
                <w:lang w:val="en-US" w:eastAsia="zh-CN"/>
              </w:rPr>
            </w:pPr>
            <w:r>
              <w:rPr>
                <w:sz w:val="18"/>
                <w:szCs w:val="18"/>
                <w:lang w:val="en-US" w:eastAsia="zh-CN"/>
              </w:rPr>
              <w:t>96.53</w:t>
            </w:r>
          </w:p>
        </w:tc>
        <w:tc>
          <w:tcPr>
            <w:tcW w:w="0" w:type="dxa"/>
            <w:tcBorders>
              <w:top w:val="single" w:color="auto" w:sz="4" w:space="0"/>
              <w:bottom w:val="single" w:color="auto" w:sz="4" w:space="0"/>
            </w:tcBorders>
            <w:shd w:val="clear" w:color="auto" w:fill="auto"/>
            <w:noWrap/>
            <w:vAlign w:val="center"/>
          </w:tcPr>
          <w:p w14:paraId="12E8C7B5">
            <w:pPr>
              <w:spacing w:before="0" w:line="240" w:lineRule="auto"/>
              <w:ind w:firstLine="0"/>
              <w:jc w:val="center"/>
              <w:rPr>
                <w:sz w:val="18"/>
                <w:szCs w:val="18"/>
                <w:lang w:val="en-US" w:eastAsia="zh-CN"/>
              </w:rPr>
            </w:pPr>
            <w:r>
              <w:rPr>
                <w:sz w:val="18"/>
                <w:szCs w:val="18"/>
                <w:lang w:val="en-US" w:eastAsia="zh-CN"/>
              </w:rPr>
              <w:t>15.99</w:t>
            </w:r>
          </w:p>
        </w:tc>
        <w:tc>
          <w:tcPr>
            <w:tcW w:w="0" w:type="dxa"/>
            <w:tcBorders>
              <w:top w:val="single" w:color="auto" w:sz="4" w:space="0"/>
              <w:bottom w:val="single" w:color="auto" w:sz="4" w:space="0"/>
            </w:tcBorders>
            <w:shd w:val="clear" w:color="auto" w:fill="auto"/>
            <w:noWrap/>
            <w:vAlign w:val="center"/>
          </w:tcPr>
          <w:p w14:paraId="074222BB">
            <w:pPr>
              <w:spacing w:before="0" w:line="240" w:lineRule="auto"/>
              <w:ind w:firstLine="0"/>
              <w:jc w:val="center"/>
              <w:rPr>
                <w:sz w:val="18"/>
                <w:szCs w:val="18"/>
                <w:lang w:val="en-US" w:eastAsia="zh-CN"/>
              </w:rPr>
            </w:pPr>
            <w:r>
              <w:rPr>
                <w:sz w:val="18"/>
                <w:szCs w:val="18"/>
                <w:lang w:val="en-US" w:eastAsia="zh-CN"/>
              </w:rPr>
              <w:t>11.58</w:t>
            </w:r>
          </w:p>
        </w:tc>
      </w:tr>
      <w:tr w14:paraId="52E5BEB8">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dxa"/>
            <w:vMerge w:val="continue"/>
            <w:tcBorders>
              <w:top w:val="single" w:color="auto" w:sz="4" w:space="0"/>
              <w:bottom w:val="single" w:color="auto" w:sz="4" w:space="0"/>
              <w:right w:val="single" w:color="000000" w:sz="6" w:space="0"/>
              <w:insideV w:val="single" w:sz="6" w:space="0"/>
              <w:tl2br w:val="nil"/>
              <w:tr2bl w:val="nil"/>
            </w:tcBorders>
            <w:shd w:val="clear" w:color="auto" w:fill="auto"/>
            <w:vAlign w:val="center"/>
          </w:tcPr>
          <w:p w14:paraId="6695A9A3">
            <w:pPr>
              <w:spacing w:before="0" w:line="240" w:lineRule="auto"/>
              <w:ind w:firstLine="0"/>
              <w:rPr>
                <w:sz w:val="18"/>
                <w:szCs w:val="18"/>
                <w:lang w:val="en-US" w:eastAsia="zh-CN"/>
              </w:rPr>
            </w:pPr>
          </w:p>
        </w:tc>
        <w:tc>
          <w:tcPr>
            <w:tcW w:w="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99B6EC">
            <w:pPr>
              <w:spacing w:before="0" w:line="240" w:lineRule="auto"/>
              <w:ind w:firstLine="0"/>
              <w:jc w:val="center"/>
              <w:rPr>
                <w:sz w:val="18"/>
                <w:szCs w:val="18"/>
                <w:lang w:val="en-US" w:eastAsia="zh-CN"/>
              </w:rPr>
            </w:pPr>
            <w:r>
              <w:rPr>
                <w:sz w:val="18"/>
                <w:szCs w:val="18"/>
                <w:lang w:val="en-US" w:eastAsia="zh-CN"/>
              </w:rPr>
              <w:t>社会交往</w:t>
            </w:r>
          </w:p>
        </w:tc>
        <w:tc>
          <w:tcPr>
            <w:tcW w:w="0" w:type="dxa"/>
            <w:tcBorders>
              <w:top w:val="single" w:color="auto" w:sz="4" w:space="0"/>
              <w:left w:val="single" w:color="auto" w:sz="4" w:space="0"/>
              <w:bottom w:val="single" w:color="auto" w:sz="4" w:space="0"/>
            </w:tcBorders>
            <w:shd w:val="clear" w:color="auto" w:fill="auto"/>
            <w:noWrap/>
            <w:vAlign w:val="center"/>
          </w:tcPr>
          <w:p w14:paraId="220B3402">
            <w:pPr>
              <w:spacing w:before="0" w:line="240" w:lineRule="auto"/>
              <w:ind w:firstLine="0"/>
              <w:jc w:val="center"/>
              <w:rPr>
                <w:sz w:val="18"/>
                <w:szCs w:val="18"/>
                <w:lang w:val="en-US" w:eastAsia="zh-CN"/>
              </w:rPr>
            </w:pPr>
            <w:r>
              <w:rPr>
                <w:sz w:val="18"/>
                <w:szCs w:val="18"/>
                <w:lang w:val="en-US" w:eastAsia="zh-CN"/>
              </w:rPr>
              <w:t>45.14</w:t>
            </w:r>
          </w:p>
        </w:tc>
        <w:tc>
          <w:tcPr>
            <w:tcW w:w="0" w:type="dxa"/>
            <w:tcBorders>
              <w:top w:val="single" w:color="auto" w:sz="4" w:space="0"/>
              <w:bottom w:val="single" w:color="auto" w:sz="4" w:space="0"/>
            </w:tcBorders>
            <w:shd w:val="clear" w:color="auto" w:fill="auto"/>
            <w:noWrap/>
            <w:vAlign w:val="center"/>
          </w:tcPr>
          <w:p w14:paraId="22D6F404">
            <w:pPr>
              <w:spacing w:before="0" w:line="240" w:lineRule="auto"/>
              <w:ind w:firstLine="0"/>
              <w:jc w:val="center"/>
              <w:rPr>
                <w:sz w:val="18"/>
                <w:szCs w:val="18"/>
                <w:lang w:val="en-US" w:eastAsia="zh-CN"/>
              </w:rPr>
            </w:pPr>
            <w:r>
              <w:rPr>
                <w:sz w:val="18"/>
                <w:szCs w:val="18"/>
                <w:lang w:val="en-US" w:eastAsia="zh-CN"/>
              </w:rPr>
              <w:t>3.12</w:t>
            </w:r>
          </w:p>
        </w:tc>
        <w:tc>
          <w:tcPr>
            <w:tcW w:w="0" w:type="dxa"/>
            <w:tcBorders>
              <w:top w:val="single" w:color="auto" w:sz="4" w:space="0"/>
              <w:bottom w:val="single" w:color="auto" w:sz="4" w:space="0"/>
              <w:right w:val="single" w:color="auto" w:sz="4" w:space="0"/>
            </w:tcBorders>
            <w:shd w:val="clear" w:color="auto" w:fill="auto"/>
            <w:noWrap/>
            <w:vAlign w:val="center"/>
          </w:tcPr>
          <w:p w14:paraId="2B5BF547">
            <w:pPr>
              <w:spacing w:before="0" w:line="240" w:lineRule="auto"/>
              <w:ind w:firstLine="0"/>
              <w:jc w:val="center"/>
              <w:rPr>
                <w:sz w:val="18"/>
                <w:szCs w:val="18"/>
                <w:lang w:val="en-US" w:eastAsia="zh-CN"/>
              </w:rPr>
            </w:pPr>
            <w:r>
              <w:rPr>
                <w:sz w:val="18"/>
                <w:szCs w:val="18"/>
                <w:lang w:val="en-US" w:eastAsia="zh-CN"/>
              </w:rPr>
              <w:t>2.70</w:t>
            </w:r>
          </w:p>
        </w:tc>
        <w:tc>
          <w:tcPr>
            <w:tcW w:w="0" w:type="dxa"/>
            <w:tcBorders>
              <w:top w:val="single" w:color="auto" w:sz="4" w:space="0"/>
              <w:left w:val="single" w:color="auto" w:sz="4" w:space="0"/>
              <w:bottom w:val="single" w:color="auto" w:sz="4" w:space="0"/>
            </w:tcBorders>
            <w:shd w:val="clear" w:color="auto" w:fill="auto"/>
            <w:noWrap/>
            <w:vAlign w:val="center"/>
          </w:tcPr>
          <w:p w14:paraId="01DD64A3">
            <w:pPr>
              <w:spacing w:before="0" w:line="240" w:lineRule="auto"/>
              <w:ind w:firstLine="0"/>
              <w:jc w:val="center"/>
              <w:rPr>
                <w:sz w:val="18"/>
                <w:szCs w:val="18"/>
                <w:lang w:val="en-US" w:eastAsia="zh-CN"/>
              </w:rPr>
            </w:pPr>
            <w:r>
              <w:rPr>
                <w:sz w:val="18"/>
                <w:szCs w:val="18"/>
                <w:lang w:val="en-US" w:eastAsia="zh-CN"/>
              </w:rPr>
              <w:t>30.56</w:t>
            </w:r>
          </w:p>
        </w:tc>
        <w:tc>
          <w:tcPr>
            <w:tcW w:w="0" w:type="dxa"/>
            <w:tcBorders>
              <w:top w:val="single" w:color="auto" w:sz="4" w:space="0"/>
              <w:bottom w:val="single" w:color="auto" w:sz="4" w:space="0"/>
            </w:tcBorders>
            <w:shd w:val="clear" w:color="auto" w:fill="auto"/>
            <w:noWrap/>
            <w:vAlign w:val="center"/>
          </w:tcPr>
          <w:p w14:paraId="256A6B67">
            <w:pPr>
              <w:spacing w:before="0" w:line="240" w:lineRule="auto"/>
              <w:ind w:firstLine="0"/>
              <w:jc w:val="center"/>
              <w:rPr>
                <w:sz w:val="18"/>
                <w:szCs w:val="18"/>
                <w:lang w:val="en-US" w:eastAsia="zh-CN"/>
              </w:rPr>
            </w:pPr>
            <w:r>
              <w:rPr>
                <w:sz w:val="18"/>
                <w:szCs w:val="18"/>
                <w:lang w:val="en-US" w:eastAsia="zh-CN"/>
              </w:rPr>
              <w:t>2.77</w:t>
            </w:r>
          </w:p>
        </w:tc>
        <w:tc>
          <w:tcPr>
            <w:tcW w:w="0" w:type="dxa"/>
            <w:tcBorders>
              <w:top w:val="single" w:color="auto" w:sz="4" w:space="0"/>
              <w:bottom w:val="single" w:color="auto" w:sz="4" w:space="0"/>
              <w:right w:val="single" w:color="auto" w:sz="4" w:space="0"/>
            </w:tcBorders>
            <w:shd w:val="clear" w:color="auto" w:fill="auto"/>
            <w:noWrap/>
            <w:vAlign w:val="center"/>
          </w:tcPr>
          <w:p w14:paraId="7EA70C02">
            <w:pPr>
              <w:spacing w:before="0" w:line="240" w:lineRule="auto"/>
              <w:ind w:firstLine="0"/>
              <w:jc w:val="center"/>
              <w:rPr>
                <w:sz w:val="18"/>
                <w:szCs w:val="18"/>
                <w:lang w:val="en-US" w:eastAsia="zh-CN"/>
              </w:rPr>
            </w:pPr>
            <w:r>
              <w:rPr>
                <w:sz w:val="18"/>
                <w:szCs w:val="18"/>
                <w:lang w:val="en-US" w:eastAsia="zh-CN"/>
              </w:rPr>
              <w:t>1.44</w:t>
            </w:r>
          </w:p>
        </w:tc>
        <w:tc>
          <w:tcPr>
            <w:tcW w:w="0" w:type="dxa"/>
            <w:tcBorders>
              <w:top w:val="single" w:color="auto" w:sz="4" w:space="0"/>
              <w:left w:val="single" w:color="auto" w:sz="4" w:space="0"/>
              <w:bottom w:val="single" w:color="auto" w:sz="4" w:space="0"/>
            </w:tcBorders>
            <w:shd w:val="clear" w:color="auto" w:fill="auto"/>
            <w:noWrap/>
            <w:vAlign w:val="center"/>
          </w:tcPr>
          <w:p w14:paraId="6984A568">
            <w:pPr>
              <w:spacing w:before="0" w:line="240" w:lineRule="auto"/>
              <w:ind w:firstLine="0"/>
              <w:jc w:val="center"/>
              <w:rPr>
                <w:sz w:val="18"/>
                <w:szCs w:val="18"/>
                <w:lang w:val="en-US" w:eastAsia="zh-CN"/>
              </w:rPr>
            </w:pPr>
            <w:r>
              <w:rPr>
                <w:sz w:val="18"/>
                <w:szCs w:val="18"/>
                <w:lang w:val="en-US" w:eastAsia="zh-CN"/>
              </w:rPr>
              <w:t>80.56</w:t>
            </w:r>
          </w:p>
        </w:tc>
        <w:tc>
          <w:tcPr>
            <w:tcW w:w="0" w:type="dxa"/>
            <w:tcBorders>
              <w:top w:val="single" w:color="auto" w:sz="4" w:space="0"/>
              <w:bottom w:val="single" w:color="auto" w:sz="4" w:space="0"/>
            </w:tcBorders>
            <w:shd w:val="clear" w:color="auto" w:fill="auto"/>
            <w:noWrap/>
            <w:vAlign w:val="center"/>
          </w:tcPr>
          <w:p w14:paraId="20CA6A37">
            <w:pPr>
              <w:spacing w:before="0" w:line="240" w:lineRule="auto"/>
              <w:ind w:firstLine="0"/>
              <w:jc w:val="center"/>
              <w:rPr>
                <w:sz w:val="18"/>
                <w:szCs w:val="18"/>
                <w:lang w:val="en-US" w:eastAsia="zh-CN"/>
              </w:rPr>
            </w:pPr>
            <w:r>
              <w:rPr>
                <w:sz w:val="18"/>
                <w:szCs w:val="18"/>
                <w:lang w:val="en-US" w:eastAsia="zh-CN"/>
              </w:rPr>
              <w:t>13.72</w:t>
            </w:r>
          </w:p>
        </w:tc>
        <w:tc>
          <w:tcPr>
            <w:tcW w:w="0" w:type="dxa"/>
            <w:tcBorders>
              <w:top w:val="single" w:color="auto" w:sz="4" w:space="0"/>
              <w:bottom w:val="single" w:color="auto" w:sz="4" w:space="0"/>
            </w:tcBorders>
            <w:shd w:val="clear" w:color="auto" w:fill="auto"/>
            <w:noWrap/>
            <w:vAlign w:val="center"/>
          </w:tcPr>
          <w:p w14:paraId="105974E2">
            <w:pPr>
              <w:spacing w:before="0" w:line="240" w:lineRule="auto"/>
              <w:ind w:firstLine="0"/>
              <w:jc w:val="center"/>
              <w:rPr>
                <w:sz w:val="18"/>
                <w:szCs w:val="18"/>
                <w:lang w:val="en-US" w:eastAsia="zh-CN"/>
              </w:rPr>
            </w:pPr>
            <w:r>
              <w:rPr>
                <w:sz w:val="18"/>
                <w:szCs w:val="18"/>
                <w:lang w:val="en-US" w:eastAsia="zh-CN"/>
              </w:rPr>
              <w:t>9.07</w:t>
            </w:r>
          </w:p>
        </w:tc>
      </w:tr>
      <w:tr w14:paraId="1B8D2014">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dxa"/>
            <w:tcBorders>
              <w:top w:val="single" w:color="auto" w:sz="4" w:space="0"/>
              <w:bottom w:val="single" w:color="auto" w:sz="4" w:space="0"/>
              <w:right w:val="single" w:color="000000" w:sz="6" w:space="0"/>
              <w:insideV w:val="single" w:sz="6" w:space="0"/>
              <w:tl2br w:val="nil"/>
              <w:tr2bl w:val="nil"/>
            </w:tcBorders>
            <w:shd w:val="clear" w:color="auto" w:fill="auto"/>
            <w:noWrap/>
            <w:vAlign w:val="center"/>
          </w:tcPr>
          <w:p w14:paraId="52D270A9">
            <w:pPr>
              <w:spacing w:before="0" w:line="240" w:lineRule="auto"/>
              <w:ind w:firstLine="0"/>
              <w:jc w:val="center"/>
              <w:rPr>
                <w:sz w:val="18"/>
                <w:szCs w:val="18"/>
                <w:lang w:val="en-US" w:eastAsia="zh-CN"/>
              </w:rPr>
            </w:pPr>
            <w:r>
              <w:rPr>
                <w:sz w:val="18"/>
                <w:szCs w:val="18"/>
                <w:lang w:val="en-US" w:eastAsia="zh-CN"/>
              </w:rPr>
              <w:t>体育健身</w:t>
            </w:r>
          </w:p>
        </w:tc>
        <w:tc>
          <w:tcPr>
            <w:tcW w:w="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38D8BC">
            <w:pPr>
              <w:spacing w:before="0" w:line="240" w:lineRule="auto"/>
              <w:ind w:firstLine="0"/>
              <w:jc w:val="center"/>
              <w:rPr>
                <w:sz w:val="18"/>
                <w:szCs w:val="18"/>
                <w:lang w:val="en-US" w:eastAsia="zh-CN"/>
              </w:rPr>
            </w:pPr>
            <w:r>
              <w:rPr>
                <w:sz w:val="18"/>
                <w:szCs w:val="18"/>
                <w:lang w:val="en-US" w:eastAsia="zh-CN"/>
              </w:rPr>
              <w:t>体育健身</w:t>
            </w:r>
          </w:p>
        </w:tc>
        <w:tc>
          <w:tcPr>
            <w:tcW w:w="0" w:type="dxa"/>
            <w:tcBorders>
              <w:top w:val="single" w:color="auto" w:sz="4" w:space="0"/>
              <w:left w:val="single" w:color="auto" w:sz="4" w:space="0"/>
              <w:bottom w:val="single" w:color="auto" w:sz="4" w:space="0"/>
            </w:tcBorders>
            <w:shd w:val="clear" w:color="auto" w:fill="auto"/>
            <w:noWrap/>
            <w:vAlign w:val="center"/>
          </w:tcPr>
          <w:p w14:paraId="15DFA03B">
            <w:pPr>
              <w:spacing w:before="0" w:line="240" w:lineRule="auto"/>
              <w:ind w:firstLine="0"/>
              <w:jc w:val="center"/>
              <w:rPr>
                <w:sz w:val="18"/>
                <w:szCs w:val="18"/>
                <w:lang w:val="en-US" w:eastAsia="zh-CN"/>
              </w:rPr>
            </w:pPr>
            <w:r>
              <w:rPr>
                <w:sz w:val="18"/>
                <w:szCs w:val="18"/>
                <w:lang w:val="en-US" w:eastAsia="zh-CN"/>
              </w:rPr>
              <w:t>31.94</w:t>
            </w:r>
          </w:p>
        </w:tc>
        <w:tc>
          <w:tcPr>
            <w:tcW w:w="0" w:type="dxa"/>
            <w:tcBorders>
              <w:top w:val="single" w:color="auto" w:sz="4" w:space="0"/>
              <w:bottom w:val="single" w:color="auto" w:sz="4" w:space="0"/>
            </w:tcBorders>
            <w:shd w:val="clear" w:color="auto" w:fill="auto"/>
            <w:noWrap/>
            <w:vAlign w:val="center"/>
          </w:tcPr>
          <w:p w14:paraId="3F12BB8B">
            <w:pPr>
              <w:spacing w:before="0" w:line="240" w:lineRule="auto"/>
              <w:ind w:firstLine="0"/>
              <w:jc w:val="center"/>
              <w:rPr>
                <w:sz w:val="18"/>
                <w:szCs w:val="18"/>
                <w:lang w:val="en-US" w:eastAsia="zh-CN"/>
              </w:rPr>
            </w:pPr>
            <w:r>
              <w:rPr>
                <w:sz w:val="18"/>
                <w:szCs w:val="18"/>
                <w:lang w:val="en-US" w:eastAsia="zh-CN"/>
              </w:rPr>
              <w:t>2.59</w:t>
            </w:r>
          </w:p>
        </w:tc>
        <w:tc>
          <w:tcPr>
            <w:tcW w:w="0" w:type="dxa"/>
            <w:tcBorders>
              <w:top w:val="single" w:color="auto" w:sz="4" w:space="0"/>
              <w:bottom w:val="single" w:color="auto" w:sz="4" w:space="0"/>
              <w:right w:val="single" w:color="auto" w:sz="4" w:space="0"/>
            </w:tcBorders>
            <w:shd w:val="clear" w:color="auto" w:fill="auto"/>
            <w:noWrap/>
            <w:vAlign w:val="center"/>
          </w:tcPr>
          <w:p w14:paraId="4CB1A19B">
            <w:pPr>
              <w:spacing w:before="0" w:line="240" w:lineRule="auto"/>
              <w:ind w:firstLine="0"/>
              <w:jc w:val="center"/>
              <w:rPr>
                <w:sz w:val="18"/>
                <w:szCs w:val="18"/>
                <w:lang w:val="en-US" w:eastAsia="zh-CN"/>
              </w:rPr>
            </w:pPr>
            <w:r>
              <w:rPr>
                <w:sz w:val="18"/>
                <w:szCs w:val="18"/>
                <w:lang w:val="en-US" w:eastAsia="zh-CN"/>
              </w:rPr>
              <w:t>2.15</w:t>
            </w:r>
          </w:p>
        </w:tc>
        <w:tc>
          <w:tcPr>
            <w:tcW w:w="0" w:type="dxa"/>
            <w:tcBorders>
              <w:top w:val="single" w:color="auto" w:sz="4" w:space="0"/>
              <w:left w:val="single" w:color="auto" w:sz="4" w:space="0"/>
              <w:bottom w:val="single" w:color="auto" w:sz="4" w:space="0"/>
            </w:tcBorders>
            <w:shd w:val="clear" w:color="auto" w:fill="auto"/>
            <w:noWrap/>
            <w:vAlign w:val="center"/>
          </w:tcPr>
          <w:p w14:paraId="5591968B">
            <w:pPr>
              <w:spacing w:before="0" w:line="240" w:lineRule="auto"/>
              <w:ind w:firstLine="0"/>
              <w:jc w:val="center"/>
              <w:rPr>
                <w:sz w:val="18"/>
                <w:szCs w:val="18"/>
                <w:lang w:val="en-US" w:eastAsia="zh-CN"/>
              </w:rPr>
            </w:pPr>
            <w:r>
              <w:rPr>
                <w:sz w:val="18"/>
                <w:szCs w:val="18"/>
                <w:lang w:val="en-US" w:eastAsia="zh-CN"/>
              </w:rPr>
              <w:t>1.39</w:t>
            </w:r>
          </w:p>
        </w:tc>
        <w:tc>
          <w:tcPr>
            <w:tcW w:w="0" w:type="dxa"/>
            <w:tcBorders>
              <w:top w:val="single" w:color="auto" w:sz="4" w:space="0"/>
              <w:bottom w:val="single" w:color="auto" w:sz="4" w:space="0"/>
            </w:tcBorders>
            <w:shd w:val="clear" w:color="auto" w:fill="auto"/>
            <w:noWrap/>
            <w:vAlign w:val="center"/>
          </w:tcPr>
          <w:p w14:paraId="4D49272A">
            <w:pPr>
              <w:spacing w:before="0" w:line="240" w:lineRule="auto"/>
              <w:ind w:firstLine="0"/>
              <w:jc w:val="center"/>
              <w:rPr>
                <w:sz w:val="18"/>
                <w:szCs w:val="18"/>
                <w:lang w:val="en-US" w:eastAsia="zh-CN"/>
              </w:rPr>
            </w:pPr>
            <w:r>
              <w:rPr>
                <w:sz w:val="18"/>
                <w:szCs w:val="18"/>
                <w:lang w:val="en-US" w:eastAsia="zh-CN"/>
              </w:rPr>
              <w:t>1.50</w:t>
            </w:r>
          </w:p>
        </w:tc>
        <w:tc>
          <w:tcPr>
            <w:tcW w:w="0" w:type="dxa"/>
            <w:tcBorders>
              <w:top w:val="single" w:color="auto" w:sz="4" w:space="0"/>
              <w:bottom w:val="single" w:color="auto" w:sz="4" w:space="0"/>
              <w:right w:val="single" w:color="auto" w:sz="4" w:space="0"/>
            </w:tcBorders>
            <w:shd w:val="clear" w:color="auto" w:fill="auto"/>
            <w:noWrap/>
            <w:vAlign w:val="center"/>
          </w:tcPr>
          <w:p w14:paraId="0A7059D7">
            <w:pPr>
              <w:spacing w:before="0" w:line="240" w:lineRule="auto"/>
              <w:ind w:firstLine="0"/>
              <w:jc w:val="center"/>
              <w:rPr>
                <w:sz w:val="18"/>
                <w:szCs w:val="18"/>
                <w:lang w:val="en-US" w:eastAsia="zh-CN"/>
              </w:rPr>
            </w:pPr>
            <w:r>
              <w:rPr>
                <w:sz w:val="18"/>
                <w:szCs w:val="18"/>
                <w:lang w:val="en-US" w:eastAsia="zh-CN"/>
              </w:rPr>
              <w:t>0.83</w:t>
            </w:r>
          </w:p>
        </w:tc>
        <w:tc>
          <w:tcPr>
            <w:tcW w:w="0" w:type="dxa"/>
            <w:tcBorders>
              <w:top w:val="single" w:color="auto" w:sz="4" w:space="0"/>
              <w:left w:val="single" w:color="auto" w:sz="4" w:space="0"/>
              <w:bottom w:val="single" w:color="auto" w:sz="4" w:space="0"/>
            </w:tcBorders>
            <w:shd w:val="clear" w:color="auto" w:fill="auto"/>
            <w:noWrap/>
            <w:vAlign w:val="center"/>
          </w:tcPr>
          <w:p w14:paraId="13334FF2">
            <w:pPr>
              <w:spacing w:before="0" w:line="240" w:lineRule="auto"/>
              <w:ind w:firstLine="0"/>
              <w:jc w:val="center"/>
              <w:rPr>
                <w:sz w:val="18"/>
                <w:szCs w:val="18"/>
                <w:lang w:val="en-US" w:eastAsia="zh-CN"/>
              </w:rPr>
            </w:pPr>
            <w:r>
              <w:rPr>
                <w:sz w:val="18"/>
                <w:szCs w:val="18"/>
                <w:lang w:val="en-US" w:eastAsia="zh-CN"/>
              </w:rPr>
              <w:t>2.08</w:t>
            </w:r>
          </w:p>
        </w:tc>
        <w:tc>
          <w:tcPr>
            <w:tcW w:w="0" w:type="dxa"/>
            <w:tcBorders>
              <w:top w:val="single" w:color="auto" w:sz="4" w:space="0"/>
              <w:bottom w:val="single" w:color="auto" w:sz="4" w:space="0"/>
            </w:tcBorders>
            <w:shd w:val="clear" w:color="auto" w:fill="auto"/>
            <w:noWrap/>
            <w:vAlign w:val="center"/>
          </w:tcPr>
          <w:p w14:paraId="328EAB4A">
            <w:pPr>
              <w:spacing w:before="0" w:line="240" w:lineRule="auto"/>
              <w:ind w:firstLine="0"/>
              <w:jc w:val="center"/>
              <w:rPr>
                <w:sz w:val="18"/>
                <w:szCs w:val="18"/>
                <w:lang w:val="en-US" w:eastAsia="zh-CN"/>
              </w:rPr>
            </w:pPr>
            <w:r>
              <w:rPr>
                <w:sz w:val="18"/>
                <w:szCs w:val="18"/>
                <w:lang w:val="en-US" w:eastAsia="zh-CN"/>
              </w:rPr>
              <w:t>5.33</w:t>
            </w:r>
          </w:p>
        </w:tc>
        <w:tc>
          <w:tcPr>
            <w:tcW w:w="0" w:type="dxa"/>
            <w:tcBorders>
              <w:top w:val="single" w:color="auto" w:sz="4" w:space="0"/>
              <w:bottom w:val="single" w:color="auto" w:sz="4" w:space="0"/>
            </w:tcBorders>
            <w:shd w:val="clear" w:color="auto" w:fill="auto"/>
            <w:noWrap/>
            <w:vAlign w:val="center"/>
          </w:tcPr>
          <w:p w14:paraId="264E0E73">
            <w:pPr>
              <w:spacing w:before="0" w:line="240" w:lineRule="auto"/>
              <w:ind w:firstLine="0"/>
              <w:jc w:val="center"/>
              <w:rPr>
                <w:sz w:val="18"/>
                <w:szCs w:val="18"/>
                <w:lang w:val="en-US" w:eastAsia="zh-CN"/>
              </w:rPr>
            </w:pPr>
            <w:r>
              <w:rPr>
                <w:sz w:val="18"/>
                <w:szCs w:val="18"/>
                <w:lang w:val="en-US" w:eastAsia="zh-CN"/>
              </w:rPr>
              <w:t>2.89</w:t>
            </w:r>
          </w:p>
        </w:tc>
      </w:tr>
      <w:tr w14:paraId="5586B4CC">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dxa"/>
            <w:tcBorders>
              <w:top w:val="single" w:color="auto" w:sz="4" w:space="0"/>
              <w:bottom w:val="single" w:color="auto" w:sz="4" w:space="0"/>
              <w:right w:val="single" w:color="000000" w:sz="6" w:space="0"/>
              <w:insideV w:val="single" w:sz="6" w:space="0"/>
              <w:tl2br w:val="nil"/>
              <w:tr2bl w:val="nil"/>
            </w:tcBorders>
            <w:shd w:val="clear" w:color="auto" w:fill="auto"/>
            <w:noWrap/>
            <w:vAlign w:val="center"/>
          </w:tcPr>
          <w:p w14:paraId="101471FD">
            <w:pPr>
              <w:spacing w:before="0" w:line="240" w:lineRule="auto"/>
              <w:ind w:firstLine="0"/>
              <w:jc w:val="center"/>
              <w:rPr>
                <w:sz w:val="18"/>
                <w:szCs w:val="18"/>
                <w:lang w:val="en-US" w:eastAsia="zh-CN"/>
              </w:rPr>
            </w:pPr>
            <w:r>
              <w:rPr>
                <w:sz w:val="18"/>
                <w:szCs w:val="18"/>
                <w:lang w:val="en-US" w:eastAsia="zh-CN"/>
              </w:rPr>
              <w:t>商业服务</w:t>
            </w:r>
          </w:p>
        </w:tc>
        <w:tc>
          <w:tcPr>
            <w:tcW w:w="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65BEC3">
            <w:pPr>
              <w:spacing w:before="0" w:line="240" w:lineRule="auto"/>
              <w:ind w:firstLine="0"/>
              <w:jc w:val="center"/>
              <w:rPr>
                <w:sz w:val="18"/>
                <w:szCs w:val="18"/>
                <w:lang w:val="en-US" w:eastAsia="zh-CN"/>
              </w:rPr>
            </w:pPr>
            <w:r>
              <w:rPr>
                <w:sz w:val="18"/>
                <w:szCs w:val="18"/>
                <w:lang w:val="en-US" w:eastAsia="zh-CN"/>
              </w:rPr>
              <w:t>物资购置</w:t>
            </w:r>
          </w:p>
        </w:tc>
        <w:tc>
          <w:tcPr>
            <w:tcW w:w="0" w:type="dxa"/>
            <w:tcBorders>
              <w:top w:val="single" w:color="auto" w:sz="4" w:space="0"/>
              <w:left w:val="single" w:color="auto" w:sz="4" w:space="0"/>
              <w:bottom w:val="single" w:color="auto" w:sz="4" w:space="0"/>
            </w:tcBorders>
            <w:shd w:val="clear" w:color="auto" w:fill="auto"/>
            <w:noWrap/>
            <w:vAlign w:val="center"/>
          </w:tcPr>
          <w:p w14:paraId="09544677">
            <w:pPr>
              <w:spacing w:before="0" w:line="240" w:lineRule="auto"/>
              <w:ind w:firstLine="0"/>
              <w:jc w:val="center"/>
              <w:rPr>
                <w:sz w:val="18"/>
                <w:szCs w:val="18"/>
                <w:lang w:val="en-US" w:eastAsia="zh-CN"/>
              </w:rPr>
            </w:pPr>
            <w:r>
              <w:rPr>
                <w:sz w:val="18"/>
                <w:szCs w:val="18"/>
                <w:lang w:val="en-US" w:eastAsia="zh-CN"/>
              </w:rPr>
              <w:t>52.08</w:t>
            </w:r>
          </w:p>
        </w:tc>
        <w:tc>
          <w:tcPr>
            <w:tcW w:w="0" w:type="dxa"/>
            <w:tcBorders>
              <w:top w:val="single" w:color="auto" w:sz="4" w:space="0"/>
              <w:bottom w:val="single" w:color="auto" w:sz="4" w:space="0"/>
            </w:tcBorders>
            <w:shd w:val="clear" w:color="auto" w:fill="auto"/>
            <w:noWrap/>
            <w:vAlign w:val="center"/>
          </w:tcPr>
          <w:p w14:paraId="011FEDDE">
            <w:pPr>
              <w:spacing w:before="0" w:line="240" w:lineRule="auto"/>
              <w:ind w:firstLine="0"/>
              <w:jc w:val="center"/>
              <w:rPr>
                <w:sz w:val="18"/>
                <w:szCs w:val="18"/>
                <w:lang w:val="en-US" w:eastAsia="zh-CN"/>
              </w:rPr>
            </w:pPr>
            <w:r>
              <w:rPr>
                <w:sz w:val="18"/>
                <w:szCs w:val="18"/>
                <w:lang w:val="en-US" w:eastAsia="zh-CN"/>
              </w:rPr>
              <w:t>1.85</w:t>
            </w:r>
          </w:p>
        </w:tc>
        <w:tc>
          <w:tcPr>
            <w:tcW w:w="0" w:type="dxa"/>
            <w:tcBorders>
              <w:top w:val="single" w:color="auto" w:sz="4" w:space="0"/>
              <w:bottom w:val="single" w:color="auto" w:sz="4" w:space="0"/>
              <w:right w:val="single" w:color="auto" w:sz="4" w:space="0"/>
            </w:tcBorders>
            <w:shd w:val="clear" w:color="auto" w:fill="auto"/>
            <w:noWrap/>
            <w:vAlign w:val="center"/>
          </w:tcPr>
          <w:p w14:paraId="40F51EB0">
            <w:pPr>
              <w:spacing w:before="0" w:line="240" w:lineRule="auto"/>
              <w:ind w:firstLine="0"/>
              <w:jc w:val="center"/>
              <w:rPr>
                <w:sz w:val="18"/>
                <w:szCs w:val="18"/>
                <w:lang w:val="en-US" w:eastAsia="zh-CN"/>
              </w:rPr>
            </w:pPr>
            <w:r>
              <w:rPr>
                <w:sz w:val="18"/>
                <w:szCs w:val="18"/>
                <w:lang w:val="en-US" w:eastAsia="zh-CN"/>
              </w:rPr>
              <w:t>0.79</w:t>
            </w:r>
          </w:p>
        </w:tc>
        <w:tc>
          <w:tcPr>
            <w:tcW w:w="0" w:type="dxa"/>
            <w:tcBorders>
              <w:top w:val="single" w:color="auto" w:sz="4" w:space="0"/>
              <w:left w:val="single" w:color="auto" w:sz="4" w:space="0"/>
              <w:bottom w:val="single" w:color="auto" w:sz="4" w:space="0"/>
            </w:tcBorders>
            <w:shd w:val="clear" w:color="auto" w:fill="auto"/>
            <w:noWrap/>
            <w:vAlign w:val="center"/>
          </w:tcPr>
          <w:p w14:paraId="16A712E5">
            <w:pPr>
              <w:spacing w:before="0" w:line="240" w:lineRule="auto"/>
              <w:ind w:firstLine="0"/>
              <w:jc w:val="center"/>
              <w:rPr>
                <w:sz w:val="18"/>
                <w:szCs w:val="18"/>
                <w:lang w:val="en-US" w:eastAsia="zh-CN"/>
              </w:rPr>
            </w:pPr>
            <w:r>
              <w:rPr>
                <w:sz w:val="18"/>
                <w:szCs w:val="18"/>
                <w:lang w:val="en-US" w:eastAsia="zh-CN"/>
              </w:rPr>
              <w:t>22.22</w:t>
            </w:r>
          </w:p>
        </w:tc>
        <w:tc>
          <w:tcPr>
            <w:tcW w:w="0" w:type="dxa"/>
            <w:tcBorders>
              <w:top w:val="single" w:color="auto" w:sz="4" w:space="0"/>
              <w:bottom w:val="single" w:color="auto" w:sz="4" w:space="0"/>
            </w:tcBorders>
            <w:shd w:val="clear" w:color="auto" w:fill="auto"/>
            <w:noWrap/>
            <w:vAlign w:val="center"/>
          </w:tcPr>
          <w:p w14:paraId="228C88AD">
            <w:pPr>
              <w:spacing w:before="0" w:line="240" w:lineRule="auto"/>
              <w:ind w:firstLine="0"/>
              <w:jc w:val="center"/>
              <w:rPr>
                <w:sz w:val="18"/>
                <w:szCs w:val="18"/>
                <w:lang w:val="en-US" w:eastAsia="zh-CN"/>
              </w:rPr>
            </w:pPr>
            <w:r>
              <w:rPr>
                <w:sz w:val="18"/>
                <w:szCs w:val="18"/>
                <w:lang w:val="en-US" w:eastAsia="zh-CN"/>
              </w:rPr>
              <w:t>2.84</w:t>
            </w:r>
          </w:p>
        </w:tc>
        <w:tc>
          <w:tcPr>
            <w:tcW w:w="0" w:type="dxa"/>
            <w:tcBorders>
              <w:top w:val="single" w:color="auto" w:sz="4" w:space="0"/>
              <w:bottom w:val="single" w:color="auto" w:sz="4" w:space="0"/>
              <w:right w:val="single" w:color="auto" w:sz="4" w:space="0"/>
            </w:tcBorders>
            <w:shd w:val="clear" w:color="auto" w:fill="auto"/>
            <w:noWrap/>
            <w:vAlign w:val="center"/>
          </w:tcPr>
          <w:p w14:paraId="04641225">
            <w:pPr>
              <w:spacing w:before="0" w:line="240" w:lineRule="auto"/>
              <w:ind w:firstLine="0"/>
              <w:jc w:val="center"/>
              <w:rPr>
                <w:sz w:val="18"/>
                <w:szCs w:val="18"/>
                <w:lang w:val="en-US" w:eastAsia="zh-CN"/>
              </w:rPr>
            </w:pPr>
            <w:r>
              <w:rPr>
                <w:sz w:val="18"/>
                <w:szCs w:val="18"/>
                <w:lang w:val="en-US" w:eastAsia="zh-CN"/>
              </w:rPr>
              <w:t>1.41</w:t>
            </w:r>
          </w:p>
        </w:tc>
        <w:tc>
          <w:tcPr>
            <w:tcW w:w="0" w:type="dxa"/>
            <w:tcBorders>
              <w:top w:val="single" w:color="auto" w:sz="4" w:space="0"/>
              <w:left w:val="single" w:color="auto" w:sz="4" w:space="0"/>
              <w:bottom w:val="single" w:color="auto" w:sz="4" w:space="0"/>
            </w:tcBorders>
            <w:shd w:val="clear" w:color="auto" w:fill="auto"/>
            <w:noWrap/>
            <w:vAlign w:val="center"/>
          </w:tcPr>
          <w:p w14:paraId="0E18B8E3">
            <w:pPr>
              <w:spacing w:before="0" w:line="240" w:lineRule="auto"/>
              <w:ind w:firstLine="0"/>
              <w:jc w:val="center"/>
              <w:rPr>
                <w:sz w:val="18"/>
                <w:szCs w:val="18"/>
                <w:lang w:val="en-US" w:eastAsia="zh-CN"/>
              </w:rPr>
            </w:pPr>
            <w:r>
              <w:rPr>
                <w:sz w:val="18"/>
                <w:szCs w:val="18"/>
                <w:lang w:val="en-US" w:eastAsia="zh-CN"/>
              </w:rPr>
              <w:t>57.64</w:t>
            </w:r>
          </w:p>
        </w:tc>
        <w:tc>
          <w:tcPr>
            <w:tcW w:w="0" w:type="dxa"/>
            <w:tcBorders>
              <w:top w:val="single" w:color="auto" w:sz="4" w:space="0"/>
              <w:bottom w:val="single" w:color="auto" w:sz="4" w:space="0"/>
            </w:tcBorders>
            <w:shd w:val="clear" w:color="auto" w:fill="auto"/>
            <w:noWrap/>
            <w:vAlign w:val="center"/>
          </w:tcPr>
          <w:p w14:paraId="65798CB7">
            <w:pPr>
              <w:spacing w:before="0" w:line="240" w:lineRule="auto"/>
              <w:ind w:firstLine="0"/>
              <w:jc w:val="center"/>
              <w:rPr>
                <w:sz w:val="18"/>
                <w:szCs w:val="18"/>
                <w:lang w:val="en-US" w:eastAsia="zh-CN"/>
              </w:rPr>
            </w:pPr>
            <w:r>
              <w:rPr>
                <w:sz w:val="18"/>
                <w:szCs w:val="18"/>
                <w:lang w:val="en-US" w:eastAsia="zh-CN"/>
              </w:rPr>
              <w:t>7.66</w:t>
            </w:r>
          </w:p>
        </w:tc>
        <w:tc>
          <w:tcPr>
            <w:tcW w:w="0" w:type="dxa"/>
            <w:tcBorders>
              <w:top w:val="single" w:color="auto" w:sz="4" w:space="0"/>
              <w:bottom w:val="single" w:color="auto" w:sz="4" w:space="0"/>
            </w:tcBorders>
            <w:shd w:val="clear" w:color="auto" w:fill="auto"/>
            <w:noWrap/>
            <w:vAlign w:val="center"/>
          </w:tcPr>
          <w:p w14:paraId="031847CA">
            <w:pPr>
              <w:spacing w:before="0" w:line="240" w:lineRule="auto"/>
              <w:ind w:firstLine="0"/>
              <w:jc w:val="center"/>
              <w:rPr>
                <w:sz w:val="18"/>
                <w:szCs w:val="18"/>
                <w:lang w:val="en-US" w:eastAsia="zh-CN"/>
              </w:rPr>
            </w:pPr>
            <w:r>
              <w:rPr>
                <w:sz w:val="18"/>
                <w:szCs w:val="18"/>
                <w:lang w:val="en-US" w:eastAsia="zh-CN"/>
              </w:rPr>
              <w:t>4.77</w:t>
            </w:r>
          </w:p>
        </w:tc>
      </w:tr>
      <w:tr w14:paraId="06E2BF56">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dxa"/>
            <w:tcBorders>
              <w:top w:val="single" w:color="auto" w:sz="4" w:space="0"/>
              <w:bottom w:val="single" w:color="auto" w:sz="4" w:space="0"/>
              <w:right w:val="single" w:color="000000" w:sz="6" w:space="0"/>
              <w:insideV w:val="single" w:sz="6" w:space="0"/>
              <w:tl2br w:val="nil"/>
              <w:tr2bl w:val="nil"/>
            </w:tcBorders>
            <w:shd w:val="clear" w:color="auto" w:fill="auto"/>
            <w:noWrap/>
            <w:vAlign w:val="center"/>
          </w:tcPr>
          <w:p w14:paraId="2BD2DA98">
            <w:pPr>
              <w:spacing w:before="0" w:line="240" w:lineRule="auto"/>
              <w:ind w:firstLine="0"/>
              <w:jc w:val="center"/>
              <w:rPr>
                <w:sz w:val="18"/>
                <w:szCs w:val="18"/>
                <w:lang w:val="en-US" w:eastAsia="zh-CN"/>
              </w:rPr>
            </w:pPr>
            <w:r>
              <w:rPr>
                <w:sz w:val="18"/>
                <w:szCs w:val="18"/>
                <w:lang w:val="en-US" w:eastAsia="zh-CN"/>
              </w:rPr>
              <w:t>行政管理</w:t>
            </w:r>
          </w:p>
        </w:tc>
        <w:tc>
          <w:tcPr>
            <w:tcW w:w="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318B396">
            <w:pPr>
              <w:spacing w:before="0" w:line="240" w:lineRule="auto"/>
              <w:ind w:firstLine="0"/>
              <w:jc w:val="center"/>
              <w:rPr>
                <w:sz w:val="18"/>
                <w:szCs w:val="18"/>
                <w:lang w:val="en-US" w:eastAsia="zh-CN"/>
              </w:rPr>
            </w:pPr>
            <w:r>
              <w:rPr>
                <w:sz w:val="18"/>
                <w:szCs w:val="18"/>
                <w:lang w:val="en-US" w:eastAsia="zh-CN"/>
              </w:rPr>
              <w:t>事务办理</w:t>
            </w:r>
          </w:p>
        </w:tc>
        <w:tc>
          <w:tcPr>
            <w:tcW w:w="0" w:type="dxa"/>
            <w:tcBorders>
              <w:top w:val="single" w:color="auto" w:sz="4" w:space="0"/>
              <w:left w:val="single" w:color="auto" w:sz="4" w:space="0"/>
              <w:bottom w:val="single" w:color="auto" w:sz="4" w:space="0"/>
            </w:tcBorders>
            <w:shd w:val="clear" w:color="auto" w:fill="auto"/>
            <w:noWrap/>
            <w:vAlign w:val="center"/>
          </w:tcPr>
          <w:p w14:paraId="75AE6E6F">
            <w:pPr>
              <w:spacing w:before="0" w:line="240" w:lineRule="auto"/>
              <w:ind w:firstLine="0"/>
              <w:jc w:val="center"/>
              <w:rPr>
                <w:sz w:val="18"/>
                <w:szCs w:val="18"/>
                <w:lang w:val="en-US" w:eastAsia="zh-CN"/>
              </w:rPr>
            </w:pPr>
            <w:r>
              <w:rPr>
                <w:sz w:val="18"/>
                <w:szCs w:val="18"/>
                <w:lang w:val="en-US" w:eastAsia="zh-CN"/>
              </w:rPr>
              <w:t>38.19</w:t>
            </w:r>
          </w:p>
        </w:tc>
        <w:tc>
          <w:tcPr>
            <w:tcW w:w="0" w:type="dxa"/>
            <w:tcBorders>
              <w:top w:val="single" w:color="auto" w:sz="4" w:space="0"/>
              <w:bottom w:val="single" w:color="auto" w:sz="4" w:space="0"/>
            </w:tcBorders>
            <w:shd w:val="clear" w:color="auto" w:fill="auto"/>
            <w:noWrap/>
            <w:vAlign w:val="center"/>
          </w:tcPr>
          <w:p w14:paraId="3FCF9C93">
            <w:pPr>
              <w:spacing w:before="0" w:line="240" w:lineRule="auto"/>
              <w:ind w:firstLine="0"/>
              <w:jc w:val="center"/>
              <w:rPr>
                <w:sz w:val="18"/>
                <w:szCs w:val="18"/>
                <w:lang w:val="en-US" w:eastAsia="zh-CN"/>
              </w:rPr>
            </w:pPr>
            <w:r>
              <w:rPr>
                <w:sz w:val="18"/>
                <w:szCs w:val="18"/>
                <w:lang w:val="en-US" w:eastAsia="zh-CN"/>
              </w:rPr>
              <w:t>1.87</w:t>
            </w:r>
          </w:p>
        </w:tc>
        <w:tc>
          <w:tcPr>
            <w:tcW w:w="0" w:type="dxa"/>
            <w:tcBorders>
              <w:top w:val="single" w:color="auto" w:sz="4" w:space="0"/>
              <w:bottom w:val="single" w:color="auto" w:sz="4" w:space="0"/>
              <w:right w:val="single" w:color="auto" w:sz="4" w:space="0"/>
            </w:tcBorders>
            <w:shd w:val="clear" w:color="auto" w:fill="auto"/>
            <w:noWrap/>
            <w:vAlign w:val="center"/>
          </w:tcPr>
          <w:p w14:paraId="1AB67DCF">
            <w:pPr>
              <w:spacing w:before="0" w:line="240" w:lineRule="auto"/>
              <w:ind w:firstLine="0"/>
              <w:jc w:val="center"/>
              <w:rPr>
                <w:sz w:val="18"/>
                <w:szCs w:val="18"/>
                <w:lang w:val="en-US" w:eastAsia="zh-CN"/>
              </w:rPr>
            </w:pPr>
            <w:r>
              <w:rPr>
                <w:sz w:val="18"/>
                <w:szCs w:val="18"/>
                <w:lang w:val="en-US" w:eastAsia="zh-CN"/>
              </w:rPr>
              <w:t>1.15</w:t>
            </w:r>
          </w:p>
        </w:tc>
        <w:tc>
          <w:tcPr>
            <w:tcW w:w="0" w:type="dxa"/>
            <w:tcBorders>
              <w:top w:val="single" w:color="auto" w:sz="4" w:space="0"/>
              <w:left w:val="single" w:color="auto" w:sz="4" w:space="0"/>
              <w:bottom w:val="single" w:color="auto" w:sz="4" w:space="0"/>
            </w:tcBorders>
            <w:shd w:val="clear" w:color="auto" w:fill="auto"/>
            <w:noWrap/>
            <w:vAlign w:val="center"/>
          </w:tcPr>
          <w:p w14:paraId="66052FD6">
            <w:pPr>
              <w:spacing w:before="0" w:line="240" w:lineRule="auto"/>
              <w:ind w:firstLine="0"/>
              <w:jc w:val="center"/>
              <w:rPr>
                <w:sz w:val="18"/>
                <w:szCs w:val="18"/>
                <w:lang w:val="en-US" w:eastAsia="zh-CN"/>
              </w:rPr>
            </w:pPr>
            <w:r>
              <w:rPr>
                <w:sz w:val="18"/>
                <w:szCs w:val="18"/>
                <w:lang w:val="en-US" w:eastAsia="zh-CN"/>
              </w:rPr>
              <w:t>9.72</w:t>
            </w:r>
          </w:p>
        </w:tc>
        <w:tc>
          <w:tcPr>
            <w:tcW w:w="0" w:type="dxa"/>
            <w:tcBorders>
              <w:top w:val="single" w:color="auto" w:sz="4" w:space="0"/>
              <w:bottom w:val="single" w:color="auto" w:sz="4" w:space="0"/>
            </w:tcBorders>
            <w:shd w:val="clear" w:color="auto" w:fill="auto"/>
            <w:noWrap/>
            <w:vAlign w:val="center"/>
          </w:tcPr>
          <w:p w14:paraId="70090313">
            <w:pPr>
              <w:spacing w:before="0" w:line="240" w:lineRule="auto"/>
              <w:ind w:firstLine="0"/>
              <w:jc w:val="center"/>
              <w:rPr>
                <w:sz w:val="18"/>
                <w:szCs w:val="18"/>
                <w:lang w:val="en-US" w:eastAsia="zh-CN"/>
              </w:rPr>
            </w:pPr>
            <w:r>
              <w:rPr>
                <w:sz w:val="18"/>
                <w:szCs w:val="18"/>
                <w:lang w:val="en-US" w:eastAsia="zh-CN"/>
              </w:rPr>
              <w:t>1.71</w:t>
            </w:r>
          </w:p>
        </w:tc>
        <w:tc>
          <w:tcPr>
            <w:tcW w:w="0" w:type="dxa"/>
            <w:tcBorders>
              <w:top w:val="single" w:color="auto" w:sz="4" w:space="0"/>
              <w:bottom w:val="single" w:color="auto" w:sz="4" w:space="0"/>
              <w:right w:val="single" w:color="auto" w:sz="4" w:space="0"/>
            </w:tcBorders>
            <w:shd w:val="clear" w:color="auto" w:fill="auto"/>
            <w:noWrap/>
            <w:vAlign w:val="center"/>
          </w:tcPr>
          <w:p w14:paraId="24C7E40B">
            <w:pPr>
              <w:spacing w:before="0" w:line="240" w:lineRule="auto"/>
              <w:ind w:firstLine="0"/>
              <w:jc w:val="center"/>
              <w:rPr>
                <w:sz w:val="18"/>
                <w:szCs w:val="18"/>
                <w:lang w:val="en-US" w:eastAsia="zh-CN"/>
              </w:rPr>
            </w:pPr>
            <w:r>
              <w:rPr>
                <w:sz w:val="18"/>
                <w:szCs w:val="18"/>
                <w:lang w:val="en-US" w:eastAsia="zh-CN"/>
              </w:rPr>
              <w:t>1.11</w:t>
            </w:r>
          </w:p>
        </w:tc>
        <w:tc>
          <w:tcPr>
            <w:tcW w:w="0" w:type="dxa"/>
            <w:tcBorders>
              <w:top w:val="single" w:color="auto" w:sz="4" w:space="0"/>
              <w:left w:val="single" w:color="auto" w:sz="4" w:space="0"/>
              <w:bottom w:val="single" w:color="auto" w:sz="4" w:space="0"/>
            </w:tcBorders>
            <w:shd w:val="clear" w:color="auto" w:fill="auto"/>
            <w:noWrap/>
            <w:vAlign w:val="center"/>
          </w:tcPr>
          <w:p w14:paraId="2384424E">
            <w:pPr>
              <w:spacing w:before="0" w:line="240" w:lineRule="auto"/>
              <w:ind w:firstLine="0"/>
              <w:jc w:val="center"/>
              <w:rPr>
                <w:sz w:val="18"/>
                <w:szCs w:val="18"/>
                <w:lang w:val="en-US" w:eastAsia="zh-CN"/>
              </w:rPr>
            </w:pPr>
            <w:r>
              <w:rPr>
                <w:sz w:val="18"/>
                <w:szCs w:val="18"/>
                <w:lang w:val="en-US" w:eastAsia="zh-CN"/>
              </w:rPr>
              <w:t>19.44</w:t>
            </w:r>
          </w:p>
        </w:tc>
        <w:tc>
          <w:tcPr>
            <w:tcW w:w="0" w:type="dxa"/>
            <w:tcBorders>
              <w:top w:val="single" w:color="auto" w:sz="4" w:space="0"/>
              <w:bottom w:val="single" w:color="auto" w:sz="4" w:space="0"/>
            </w:tcBorders>
            <w:shd w:val="clear" w:color="auto" w:fill="auto"/>
            <w:noWrap/>
            <w:vAlign w:val="center"/>
          </w:tcPr>
          <w:p w14:paraId="23F068AE">
            <w:pPr>
              <w:spacing w:before="0" w:line="240" w:lineRule="auto"/>
              <w:ind w:firstLine="0"/>
              <w:jc w:val="center"/>
              <w:rPr>
                <w:sz w:val="18"/>
                <w:szCs w:val="18"/>
                <w:lang w:val="en-US" w:eastAsia="zh-CN"/>
              </w:rPr>
            </w:pPr>
            <w:r>
              <w:rPr>
                <w:sz w:val="18"/>
                <w:szCs w:val="18"/>
                <w:lang w:val="en-US" w:eastAsia="zh-CN"/>
              </w:rPr>
              <w:t>4.86</w:t>
            </w:r>
          </w:p>
        </w:tc>
        <w:tc>
          <w:tcPr>
            <w:tcW w:w="0" w:type="dxa"/>
            <w:tcBorders>
              <w:top w:val="single" w:color="auto" w:sz="4" w:space="0"/>
              <w:bottom w:val="single" w:color="auto" w:sz="4" w:space="0"/>
            </w:tcBorders>
            <w:shd w:val="clear" w:color="auto" w:fill="auto"/>
            <w:noWrap/>
            <w:vAlign w:val="center"/>
          </w:tcPr>
          <w:p w14:paraId="58EC937B">
            <w:pPr>
              <w:spacing w:before="0" w:line="240" w:lineRule="auto"/>
              <w:ind w:firstLine="0"/>
              <w:jc w:val="center"/>
              <w:rPr>
                <w:sz w:val="18"/>
                <w:szCs w:val="18"/>
                <w:lang w:val="en-US" w:eastAsia="zh-CN"/>
              </w:rPr>
            </w:pPr>
            <w:r>
              <w:rPr>
                <w:sz w:val="18"/>
                <w:szCs w:val="18"/>
                <w:lang w:val="en-US" w:eastAsia="zh-CN"/>
              </w:rPr>
              <w:t>2.69</w:t>
            </w:r>
          </w:p>
        </w:tc>
      </w:tr>
      <w:tr w14:paraId="4BF626EB">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 w:hRule="atLeast"/>
          <w:jc w:val="center"/>
        </w:trPr>
        <w:tc>
          <w:tcPr>
            <w:tcW w:w="0" w:type="dxa"/>
            <w:tcBorders>
              <w:top w:val="single" w:color="auto" w:sz="4" w:space="0"/>
              <w:bottom w:val="single" w:color="000000" w:sz="12" w:space="0"/>
              <w:right w:val="single" w:color="000000" w:sz="6" w:space="0"/>
              <w:insideV w:val="single" w:sz="6" w:space="0"/>
              <w:tl2br w:val="nil"/>
              <w:tr2bl w:val="nil"/>
            </w:tcBorders>
            <w:shd w:val="clear" w:color="auto" w:fill="auto"/>
            <w:noWrap/>
            <w:vAlign w:val="center"/>
          </w:tcPr>
          <w:p w14:paraId="43D2FE10">
            <w:pPr>
              <w:spacing w:before="0" w:line="240" w:lineRule="auto"/>
              <w:ind w:firstLine="0"/>
              <w:jc w:val="center"/>
              <w:rPr>
                <w:sz w:val="18"/>
                <w:szCs w:val="18"/>
                <w:lang w:val="en-US" w:eastAsia="zh-CN"/>
              </w:rPr>
            </w:pPr>
            <w:r>
              <w:rPr>
                <w:rFonts w:hint="eastAsia"/>
                <w:sz w:val="18"/>
                <w:szCs w:val="18"/>
                <w:lang w:val="en-US" w:eastAsia="zh-CN"/>
              </w:rPr>
              <w:t>/</w:t>
            </w:r>
          </w:p>
        </w:tc>
        <w:tc>
          <w:tcPr>
            <w:tcW w:w="0" w:type="dxa"/>
            <w:tcBorders>
              <w:top w:val="single" w:color="auto" w:sz="4" w:space="0"/>
              <w:left w:val="single" w:color="auto" w:sz="4" w:space="0"/>
              <w:bottom w:val="single" w:color="000000" w:sz="12" w:space="0"/>
              <w:right w:val="single" w:color="auto" w:sz="4" w:space="0"/>
            </w:tcBorders>
            <w:shd w:val="clear" w:color="auto" w:fill="auto"/>
            <w:noWrap/>
            <w:vAlign w:val="center"/>
          </w:tcPr>
          <w:p w14:paraId="10699205">
            <w:pPr>
              <w:spacing w:before="0" w:line="240" w:lineRule="auto"/>
              <w:ind w:firstLine="0"/>
              <w:jc w:val="center"/>
              <w:rPr>
                <w:sz w:val="18"/>
                <w:szCs w:val="18"/>
                <w:lang w:val="en-US" w:eastAsia="zh-CN"/>
              </w:rPr>
            </w:pPr>
            <w:r>
              <w:rPr>
                <w:sz w:val="18"/>
                <w:szCs w:val="18"/>
                <w:lang w:val="en-US" w:eastAsia="zh-CN"/>
              </w:rPr>
              <w:t>工作</w:t>
            </w:r>
          </w:p>
        </w:tc>
        <w:tc>
          <w:tcPr>
            <w:tcW w:w="0" w:type="dxa"/>
            <w:tcBorders>
              <w:top w:val="single" w:color="auto" w:sz="4" w:space="0"/>
              <w:left w:val="single" w:color="auto" w:sz="4" w:space="0"/>
              <w:bottom w:val="single" w:color="000000" w:sz="12" w:space="0"/>
            </w:tcBorders>
            <w:shd w:val="clear" w:color="auto" w:fill="auto"/>
            <w:noWrap/>
            <w:vAlign w:val="center"/>
          </w:tcPr>
          <w:p w14:paraId="3D137400">
            <w:pPr>
              <w:spacing w:before="0" w:line="240" w:lineRule="auto"/>
              <w:ind w:firstLine="0"/>
              <w:jc w:val="center"/>
              <w:rPr>
                <w:sz w:val="18"/>
                <w:szCs w:val="18"/>
                <w:lang w:val="en-US" w:eastAsia="zh-CN"/>
              </w:rPr>
            </w:pPr>
            <w:r>
              <w:rPr>
                <w:sz w:val="18"/>
                <w:szCs w:val="18"/>
                <w:lang w:val="en-US" w:eastAsia="zh-CN"/>
              </w:rPr>
              <w:t>51.39</w:t>
            </w:r>
          </w:p>
        </w:tc>
        <w:tc>
          <w:tcPr>
            <w:tcW w:w="0" w:type="dxa"/>
            <w:tcBorders>
              <w:top w:val="single" w:color="auto" w:sz="4" w:space="0"/>
              <w:bottom w:val="single" w:color="000000" w:sz="12" w:space="0"/>
            </w:tcBorders>
            <w:shd w:val="clear" w:color="auto" w:fill="auto"/>
            <w:noWrap/>
            <w:vAlign w:val="center"/>
          </w:tcPr>
          <w:p w14:paraId="2E5607F5">
            <w:pPr>
              <w:spacing w:before="0" w:line="240" w:lineRule="auto"/>
              <w:ind w:firstLine="0"/>
              <w:jc w:val="center"/>
              <w:rPr>
                <w:sz w:val="18"/>
                <w:szCs w:val="18"/>
                <w:lang w:val="en-US" w:eastAsia="zh-CN"/>
              </w:rPr>
            </w:pPr>
            <w:r>
              <w:rPr>
                <w:sz w:val="18"/>
                <w:szCs w:val="18"/>
                <w:lang w:val="en-US" w:eastAsia="zh-CN"/>
              </w:rPr>
              <w:t>6.28</w:t>
            </w:r>
          </w:p>
        </w:tc>
        <w:tc>
          <w:tcPr>
            <w:tcW w:w="0" w:type="dxa"/>
            <w:tcBorders>
              <w:top w:val="single" w:color="auto" w:sz="4" w:space="0"/>
              <w:bottom w:val="single" w:color="000000" w:sz="12" w:space="0"/>
              <w:right w:val="single" w:color="auto" w:sz="4" w:space="0"/>
            </w:tcBorders>
            <w:shd w:val="clear" w:color="auto" w:fill="auto"/>
            <w:noWrap/>
            <w:vAlign w:val="center"/>
          </w:tcPr>
          <w:p w14:paraId="357C0152">
            <w:pPr>
              <w:spacing w:before="0" w:line="240" w:lineRule="auto"/>
              <w:ind w:firstLine="0"/>
              <w:jc w:val="center"/>
              <w:rPr>
                <w:sz w:val="18"/>
                <w:szCs w:val="18"/>
                <w:lang w:val="en-US" w:eastAsia="zh-CN"/>
              </w:rPr>
            </w:pPr>
            <w:r>
              <w:rPr>
                <w:sz w:val="18"/>
                <w:szCs w:val="18"/>
                <w:lang w:val="en-US" w:eastAsia="zh-CN"/>
              </w:rPr>
              <w:t>6.40</w:t>
            </w:r>
          </w:p>
        </w:tc>
        <w:tc>
          <w:tcPr>
            <w:tcW w:w="0" w:type="dxa"/>
            <w:tcBorders>
              <w:top w:val="single" w:color="auto" w:sz="4" w:space="0"/>
              <w:left w:val="single" w:color="auto" w:sz="4" w:space="0"/>
              <w:bottom w:val="single" w:color="000000" w:sz="12" w:space="0"/>
            </w:tcBorders>
            <w:shd w:val="clear" w:color="auto" w:fill="auto"/>
            <w:noWrap/>
            <w:vAlign w:val="center"/>
          </w:tcPr>
          <w:p w14:paraId="714B6CEB">
            <w:pPr>
              <w:spacing w:before="0" w:line="240" w:lineRule="auto"/>
              <w:ind w:firstLine="0"/>
              <w:jc w:val="center"/>
              <w:rPr>
                <w:sz w:val="18"/>
                <w:szCs w:val="18"/>
                <w:lang w:val="en-US" w:eastAsia="zh-CN"/>
              </w:rPr>
            </w:pPr>
            <w:r>
              <w:rPr>
                <w:sz w:val="18"/>
                <w:szCs w:val="18"/>
                <w:lang w:val="en-US" w:eastAsia="zh-CN"/>
              </w:rPr>
              <w:t>26.39</w:t>
            </w:r>
          </w:p>
        </w:tc>
        <w:tc>
          <w:tcPr>
            <w:tcW w:w="0" w:type="dxa"/>
            <w:tcBorders>
              <w:top w:val="single" w:color="auto" w:sz="4" w:space="0"/>
              <w:bottom w:val="single" w:color="000000" w:sz="12" w:space="0"/>
            </w:tcBorders>
            <w:shd w:val="clear" w:color="auto" w:fill="auto"/>
            <w:noWrap/>
            <w:vAlign w:val="center"/>
          </w:tcPr>
          <w:p w14:paraId="759E742B">
            <w:pPr>
              <w:spacing w:before="0" w:line="240" w:lineRule="auto"/>
              <w:ind w:firstLine="0"/>
              <w:jc w:val="center"/>
              <w:rPr>
                <w:sz w:val="18"/>
                <w:szCs w:val="18"/>
                <w:lang w:val="en-US" w:eastAsia="zh-CN"/>
              </w:rPr>
            </w:pPr>
            <w:r>
              <w:rPr>
                <w:sz w:val="18"/>
                <w:szCs w:val="18"/>
                <w:lang w:val="en-US" w:eastAsia="zh-CN"/>
              </w:rPr>
              <w:t>3.05</w:t>
            </w:r>
          </w:p>
        </w:tc>
        <w:tc>
          <w:tcPr>
            <w:tcW w:w="0" w:type="dxa"/>
            <w:tcBorders>
              <w:top w:val="single" w:color="auto" w:sz="4" w:space="0"/>
              <w:bottom w:val="single" w:color="000000" w:sz="12" w:space="0"/>
              <w:right w:val="single" w:color="auto" w:sz="4" w:space="0"/>
            </w:tcBorders>
            <w:shd w:val="clear" w:color="auto" w:fill="auto"/>
            <w:noWrap/>
            <w:vAlign w:val="center"/>
          </w:tcPr>
          <w:p w14:paraId="5ADB9F1D">
            <w:pPr>
              <w:spacing w:before="0" w:line="240" w:lineRule="auto"/>
              <w:ind w:firstLine="0"/>
              <w:jc w:val="center"/>
              <w:rPr>
                <w:sz w:val="18"/>
                <w:szCs w:val="18"/>
                <w:lang w:val="en-US" w:eastAsia="zh-CN"/>
              </w:rPr>
            </w:pPr>
            <w:r>
              <w:rPr>
                <w:sz w:val="18"/>
                <w:szCs w:val="18"/>
                <w:lang w:val="en-US" w:eastAsia="zh-CN"/>
              </w:rPr>
              <w:t>3.29</w:t>
            </w:r>
          </w:p>
        </w:tc>
        <w:tc>
          <w:tcPr>
            <w:tcW w:w="0" w:type="dxa"/>
            <w:tcBorders>
              <w:top w:val="single" w:color="auto" w:sz="4" w:space="0"/>
              <w:left w:val="single" w:color="auto" w:sz="4" w:space="0"/>
              <w:bottom w:val="single" w:color="000000" w:sz="12" w:space="0"/>
            </w:tcBorders>
            <w:shd w:val="clear" w:color="auto" w:fill="auto"/>
            <w:noWrap/>
            <w:vAlign w:val="center"/>
          </w:tcPr>
          <w:p w14:paraId="3674015D">
            <w:pPr>
              <w:spacing w:before="0" w:line="240" w:lineRule="auto"/>
              <w:ind w:firstLine="0"/>
              <w:jc w:val="center"/>
              <w:rPr>
                <w:sz w:val="18"/>
                <w:szCs w:val="18"/>
                <w:lang w:val="en-US" w:eastAsia="zh-CN"/>
              </w:rPr>
            </w:pPr>
            <w:r>
              <w:rPr>
                <w:sz w:val="18"/>
                <w:szCs w:val="18"/>
                <w:lang w:val="en-US" w:eastAsia="zh-CN"/>
              </w:rPr>
              <w:t>32.64</w:t>
            </w:r>
          </w:p>
        </w:tc>
        <w:tc>
          <w:tcPr>
            <w:tcW w:w="0" w:type="dxa"/>
            <w:tcBorders>
              <w:top w:val="single" w:color="auto" w:sz="4" w:space="0"/>
              <w:bottom w:val="single" w:color="000000" w:sz="12" w:space="0"/>
            </w:tcBorders>
            <w:shd w:val="clear" w:color="auto" w:fill="auto"/>
            <w:noWrap/>
            <w:vAlign w:val="center"/>
          </w:tcPr>
          <w:p w14:paraId="1B6520DB">
            <w:pPr>
              <w:spacing w:before="0" w:line="240" w:lineRule="auto"/>
              <w:ind w:firstLine="0"/>
              <w:jc w:val="center"/>
              <w:rPr>
                <w:sz w:val="18"/>
                <w:szCs w:val="18"/>
                <w:lang w:val="en-US" w:eastAsia="zh-CN"/>
              </w:rPr>
            </w:pPr>
            <w:r>
              <w:rPr>
                <w:sz w:val="18"/>
                <w:szCs w:val="18"/>
                <w:lang w:val="en-US" w:eastAsia="zh-CN"/>
              </w:rPr>
              <w:t>11.28</w:t>
            </w:r>
          </w:p>
        </w:tc>
        <w:tc>
          <w:tcPr>
            <w:tcW w:w="0" w:type="dxa"/>
            <w:tcBorders>
              <w:top w:val="single" w:color="auto" w:sz="4" w:space="0"/>
              <w:bottom w:val="single" w:color="000000" w:sz="12" w:space="0"/>
            </w:tcBorders>
            <w:shd w:val="clear" w:color="auto" w:fill="auto"/>
            <w:noWrap/>
            <w:vAlign w:val="center"/>
          </w:tcPr>
          <w:p w14:paraId="11AA43C2">
            <w:pPr>
              <w:spacing w:before="0" w:line="240" w:lineRule="auto"/>
              <w:ind w:firstLine="0"/>
              <w:jc w:val="center"/>
              <w:rPr>
                <w:sz w:val="18"/>
                <w:szCs w:val="18"/>
                <w:lang w:val="en-US" w:eastAsia="zh-CN"/>
              </w:rPr>
            </w:pPr>
            <w:r>
              <w:rPr>
                <w:sz w:val="18"/>
                <w:szCs w:val="18"/>
                <w:lang w:val="en-US" w:eastAsia="zh-CN"/>
              </w:rPr>
              <w:t>7.87</w:t>
            </w:r>
          </w:p>
        </w:tc>
      </w:tr>
    </w:tbl>
    <w:p w14:paraId="3AB40EE3">
      <w:pPr>
        <w:pStyle w:val="5"/>
      </w:pPr>
    </w:p>
    <w:p w14:paraId="041F8B9F">
      <w:pPr>
        <w:pStyle w:val="5"/>
      </w:pPr>
      <w:r>
        <w:rPr>
          <w:rFonts w:hint="eastAsia"/>
        </w:rPr>
        <w:t>2.3.2  社区生活圈实虚生活空间特征分析</w:t>
      </w:r>
    </w:p>
    <w:p w14:paraId="61BA454E">
      <w:pPr>
        <w:pStyle w:val="6"/>
        <w:spacing w:before="120" w:beforeLines="50" w:line="300" w:lineRule="auto"/>
        <w:rPr>
          <w:rFonts w:cs="Times New Roman"/>
        </w:rPr>
      </w:pPr>
      <w:r>
        <w:rPr>
          <w:rFonts w:hint="eastAsia" w:cs="Times New Roman"/>
        </w:rPr>
        <w:t>首先，统计各类活动发生的位置累计百分比，分析线上与线下、前台和后台活动开展空间位置的分布情况。空间位置包括家内、家外社区生活圈内（下称“家外圈内”）、社区生活圈外（下称“圈外”）等三类。其次，重点关注社区生活圈及周边城市空间，采用核密度分析各类活动的GPS轨迹，绘制各类型活动的社区实虚生活空间分布图，并结合对应类型活动的设施</w:t>
      </w:r>
      <w:r>
        <w:rPr>
          <w:rFonts w:cs="Times New Roman"/>
        </w:rPr>
        <w:t>POI</w:t>
      </w:r>
      <w:r>
        <w:rPr>
          <w:rFonts w:hint="eastAsia" w:cs="Times New Roman"/>
        </w:rPr>
        <w:t>点</w:t>
      </w:r>
      <w:r>
        <w:rPr>
          <w:rStyle w:val="26"/>
          <w:rFonts w:cs="Times New Roman"/>
          <w:vertAlign w:val="baseline"/>
        </w:rPr>
        <w:footnoteReference w:id="0"/>
      </w:r>
      <w:r>
        <w:rPr>
          <w:rFonts w:hint="eastAsia" w:cs="Times New Roman"/>
        </w:rPr>
        <w:t>，分析生活空间与设施的空间关系。</w:t>
      </w:r>
    </w:p>
    <w:p w14:paraId="00AF6569">
      <w:pPr>
        <w:pStyle w:val="2"/>
        <w:rPr>
          <w:b/>
          <w:bCs/>
        </w:rPr>
      </w:pPr>
      <w:r>
        <w:t xml:space="preserve">3  </w:t>
      </w:r>
      <w:r>
        <w:rPr>
          <w:rFonts w:hint="eastAsia"/>
        </w:rPr>
        <w:t>社区实虚生活空间的结构特征</w:t>
      </w:r>
    </w:p>
    <w:p w14:paraId="73657FE0">
      <w:pPr>
        <w:pStyle w:val="6"/>
        <w:spacing w:before="120" w:beforeLines="50" w:after="0" w:afterLines="0" w:line="300" w:lineRule="auto"/>
      </w:pPr>
      <w:r>
        <w:rPr>
          <w:rFonts w:hint="eastAsia"/>
        </w:rPr>
        <w:t>本节探讨各类型生活空间的结构特征，包括线下活动形成的实体生活空间、线下活动与前台线上活动结合形成的实虚同在生活空间、线下活动与后台线上活动结合形成的实虚同步生活空间，以及包含线下活动、前台线上活动与后台线上活动的实虚混合空间。其中重点关注考虑不同类型线上活动后生活空间特征的差异。我们用百分比统计图展示不同的社区生活空间中，各类活动在家内、家外圈内、圈外开展频次的比例（图</w:t>
      </w:r>
      <w:r>
        <w:t>3</w:t>
      </w:r>
      <w:r>
        <w:rPr>
          <w:rFonts w:hint="eastAsia"/>
        </w:rPr>
        <w:t>）；用核密度分析图表达各类活动开展的空间范围，具象化该活动类型所对应的生活空间。</w:t>
      </w:r>
    </w:p>
    <w:p w14:paraId="55BDD214">
      <w:pPr>
        <w:pStyle w:val="6"/>
        <w:spacing w:before="120" w:beforeLines="50" w:after="0" w:afterLines="0" w:line="300" w:lineRule="auto"/>
        <w:ind w:firstLine="0" w:firstLineChars="0"/>
        <w:jc w:val="left"/>
        <w:rPr>
          <w:rFonts w:cs="Times New Roman"/>
        </w:rPr>
      </w:pPr>
      <w:r>
        <w:rPr>
          <w:rFonts w:cs="Times New Roman"/>
        </w:rPr>
        <w:drawing>
          <wp:inline distT="0" distB="0" distL="0" distR="0">
            <wp:extent cx="5270500" cy="3821430"/>
            <wp:effectExtent l="0" t="0" r="6350" b="7620"/>
            <wp:docPr id="19173659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65949" name="图片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0500" cy="3821430"/>
                    </a:xfrm>
                    <a:prstGeom prst="rect">
                      <a:avLst/>
                    </a:prstGeom>
                    <a:noFill/>
                    <a:ln>
                      <a:noFill/>
                    </a:ln>
                  </pic:spPr>
                </pic:pic>
              </a:graphicData>
            </a:graphic>
          </wp:inline>
        </w:drawing>
      </w:r>
    </w:p>
    <w:p w14:paraId="6E311B9C">
      <w:pPr>
        <w:pStyle w:val="6"/>
        <w:spacing w:before="120" w:beforeLines="50" w:after="0" w:afterLines="0" w:line="300" w:lineRule="auto"/>
        <w:ind w:firstLine="0" w:firstLineChars="0"/>
        <w:jc w:val="left"/>
        <w:rPr>
          <w:rFonts w:cs="Times New Roman"/>
        </w:rPr>
      </w:pPr>
      <w:r>
        <w:rPr>
          <w:rFonts w:hint="eastAsia" w:cs="Times New Roman"/>
        </w:rPr>
        <w:t>图</w:t>
      </w:r>
      <w:r>
        <w:rPr>
          <w:rFonts w:cs="Times New Roman"/>
        </w:rPr>
        <w:t xml:space="preserve">3  </w:t>
      </w:r>
      <w:r>
        <w:rPr>
          <w:rFonts w:hint="eastAsia" w:cs="Times New Roman"/>
          <w:shd w:val="clear" w:color="auto" w:fill="FFFFFF"/>
        </w:rPr>
        <w:t>当代—怡美</w:t>
      </w:r>
      <w:r>
        <w:rPr>
          <w:rFonts w:hint="eastAsia" w:cs="Times New Roman"/>
        </w:rPr>
        <w:t>社区生活圈居民各类型活动在不同生活空间情境下的空间分布</w:t>
      </w:r>
    </w:p>
    <w:p w14:paraId="7F96C2D8">
      <w:pPr>
        <w:pStyle w:val="6"/>
        <w:spacing w:before="120" w:beforeLines="50" w:after="0" w:afterLines="0" w:line="300" w:lineRule="auto"/>
      </w:pPr>
    </w:p>
    <w:p w14:paraId="5D5EC0CF">
      <w:pPr>
        <w:pStyle w:val="6"/>
        <w:spacing w:before="120" w:beforeLines="50" w:after="0" w:afterLines="0" w:line="300" w:lineRule="auto"/>
      </w:pPr>
      <w:r>
        <w:rPr>
          <w:rFonts w:hint="eastAsia" w:cs="Times New Roman"/>
        </w:rPr>
        <w:t>从空间分布来看，家内是各类活动发生的重要场域，同时，随着线上活动日益丰富，出现了更多线下线上活动的混合，家内活动占比呈现逐步提升的趋势。从活动类型来看，文化休闲、社会交往、物资购置三类活动的空间特征变化最为显著，而健康管理、孩子教育、体育健身等活动的空间范围与分布模式相对稳定。从生活空间与实体设施的关系来看，四类生活空间与对应设施POI的关系均存在“部分关联、部分分离”的特征。同时，随着前台后台线上活动的出现，活动空间与设施不直接关联的“分离”特征虽逐步强化，但并未完全脱离设施所在区域。下文将介绍四种类型生活空间的关键差异与显著特点。</w:t>
      </w:r>
    </w:p>
    <w:p w14:paraId="6B00008C">
      <w:pPr>
        <w:pStyle w:val="6"/>
        <w:spacing w:before="120" w:beforeLines="50" w:after="0" w:afterLines="0" w:line="300" w:lineRule="auto"/>
        <w:rPr>
          <w:rFonts w:cs="Times New Roman"/>
        </w:rPr>
      </w:pPr>
      <w:r>
        <w:rPr>
          <w:rFonts w:hint="eastAsia"/>
        </w:rPr>
        <w:t>（1）</w:t>
      </w:r>
      <w:r>
        <w:rPr>
          <w:rFonts w:hint="eastAsia" w:cs="Times New Roman"/>
        </w:rPr>
        <w:t>实体生活空间表征居民不使用</w:t>
      </w:r>
      <w:r>
        <w:rPr>
          <w:rFonts w:cs="Times New Roman"/>
        </w:rPr>
        <w:t>ICTs</w:t>
      </w:r>
      <w:r>
        <w:rPr>
          <w:rFonts w:hint="eastAsia" w:cs="Times New Roman"/>
        </w:rPr>
        <w:t>时的线下活动所涉及的空间范围，其核心特征为活动范围的相对固定以及与实体设施的较强绑定性。其中，</w:t>
      </w:r>
      <w:r>
        <w:rPr>
          <w:rFonts w:cs="Times New Roman"/>
        </w:rPr>
        <w:t>75%以上的</w:t>
      </w:r>
      <w:r>
        <w:rPr>
          <w:rFonts w:hint="eastAsia" w:cs="Times New Roman"/>
        </w:rPr>
        <w:t>线下</w:t>
      </w:r>
      <w:r>
        <w:rPr>
          <w:rFonts w:cs="Times New Roman"/>
        </w:rPr>
        <w:t>工作活动在圈外开展，</w:t>
      </w:r>
      <w:r>
        <w:rPr>
          <w:rFonts w:hint="eastAsia" w:cs="Times New Roman"/>
        </w:rPr>
        <w:t>多数非工作活动（如健康管理、文化休闲、体育健身等）主要分布在圈内，而孩子教育、社会交往、物资购置等活动的实体生活空间在圈外也有分布（图</w:t>
      </w:r>
      <w:r>
        <w:rPr>
          <w:rFonts w:cs="Times New Roman"/>
        </w:rPr>
        <w:t>4</w:t>
      </w:r>
      <w:r>
        <w:rPr>
          <w:rFonts w:hint="eastAsia" w:cs="Times New Roman"/>
        </w:rPr>
        <w:t>）。同时，分布在圈外的实体生活空间与对应类型的</w:t>
      </w:r>
      <w:r>
        <w:rPr>
          <w:rFonts w:cs="Times New Roman"/>
        </w:rPr>
        <w:t>POI</w:t>
      </w:r>
      <w:r>
        <w:rPr>
          <w:rFonts w:hint="eastAsia" w:cs="Times New Roman"/>
        </w:rPr>
        <w:t>联系紧密，表明线下活动需要与实体设施相结合。比如</w:t>
      </w:r>
      <w:r>
        <w:rPr>
          <w:rFonts w:cs="Times New Roman"/>
        </w:rPr>
        <w:t>，孩子教育类活动在社区生活圈西南侧</w:t>
      </w:r>
      <w:r>
        <w:rPr>
          <w:rFonts w:hint="eastAsia" w:cs="Times New Roman"/>
        </w:rPr>
        <w:t>的</w:t>
      </w:r>
      <w:r>
        <w:rPr>
          <w:rFonts w:cs="Times New Roman"/>
        </w:rPr>
        <w:t>上地实验学校周边有明显的集聚分布区，社交、购物类活动在生活圈东北角、东侧的餐饮</w:t>
      </w:r>
      <w:r>
        <w:rPr>
          <w:rFonts w:hint="eastAsia" w:cs="Times New Roman"/>
        </w:rPr>
        <w:t>与</w:t>
      </w:r>
      <w:r>
        <w:rPr>
          <w:rFonts w:cs="Times New Roman"/>
        </w:rPr>
        <w:t>超市</w:t>
      </w:r>
      <w:r>
        <w:rPr>
          <w:rFonts w:hint="eastAsia" w:cs="Times New Roman"/>
        </w:rPr>
        <w:t>区域</w:t>
      </w:r>
      <w:r>
        <w:rPr>
          <w:rFonts w:cs="Times New Roman"/>
        </w:rPr>
        <w:t>等高度</w:t>
      </w:r>
      <w:r>
        <w:rPr>
          <w:rFonts w:hint="eastAsia" w:cs="Times New Roman"/>
        </w:rPr>
        <w:t>集中</w:t>
      </w:r>
      <w:r>
        <w:rPr>
          <w:rFonts w:cs="Times New Roman"/>
        </w:rPr>
        <w:t>。</w:t>
      </w:r>
    </w:p>
    <w:p w14:paraId="27105A75">
      <w:pPr>
        <w:pStyle w:val="6"/>
        <w:spacing w:before="120" w:beforeLines="50" w:after="0" w:afterLines="0" w:line="300" w:lineRule="auto"/>
        <w:ind w:firstLine="0" w:firstLineChars="0"/>
        <w:rPr>
          <w:rFonts w:cs="Times New Roman"/>
        </w:rPr>
      </w:pPr>
      <w:r>
        <w:rPr>
          <w:rFonts w:cs="Times New Roman"/>
          <w14:ligatures w14:val="none"/>
        </w:rPr>
        <w:drawing>
          <wp:inline distT="0" distB="0" distL="0" distR="0">
            <wp:extent cx="4856480" cy="269430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0" cstate="print"/>
                    <a:stretch>
                      <a:fillRect/>
                    </a:stretch>
                  </pic:blipFill>
                  <pic:spPr>
                    <a:xfrm>
                      <a:off x="0" y="0"/>
                      <a:ext cx="4856613" cy="2694305"/>
                    </a:xfrm>
                    <a:prstGeom prst="rect">
                      <a:avLst/>
                    </a:prstGeom>
                  </pic:spPr>
                </pic:pic>
              </a:graphicData>
            </a:graphic>
          </wp:inline>
        </w:drawing>
      </w:r>
    </w:p>
    <w:p w14:paraId="396B0B81">
      <w:pPr>
        <w:pStyle w:val="6"/>
        <w:spacing w:before="120" w:beforeLines="50" w:after="0" w:afterLines="0" w:line="300" w:lineRule="auto"/>
        <w:ind w:firstLine="0" w:firstLineChars="0"/>
        <w:jc w:val="left"/>
        <w:rPr>
          <w:rFonts w:cs="Times New Roman"/>
          <w:lang w:val="en-CA"/>
        </w:rPr>
      </w:pPr>
      <w:r>
        <w:rPr>
          <w:rFonts w:cs="Times New Roman"/>
        </w:rPr>
        <w:t xml:space="preserve">图4  </w:t>
      </w:r>
      <w:r>
        <w:rPr>
          <w:rFonts w:cs="Times New Roman"/>
          <w:shd w:val="clear" w:color="auto" w:fill="FFFFFF"/>
        </w:rPr>
        <w:t>当代</w:t>
      </w:r>
      <w:r>
        <w:rPr>
          <w:rFonts w:hint="eastAsia" w:cs="Times New Roman"/>
          <w:shd w:val="clear" w:color="auto" w:fill="FFFFFF"/>
        </w:rPr>
        <w:t>—</w:t>
      </w:r>
      <w:r>
        <w:rPr>
          <w:rFonts w:cs="Times New Roman"/>
          <w:shd w:val="clear" w:color="auto" w:fill="FFFFFF"/>
        </w:rPr>
        <w:t>怡美</w:t>
      </w:r>
      <w:r>
        <w:rPr>
          <w:rFonts w:cs="Times New Roman"/>
        </w:rPr>
        <w:t>社区生活圈居民各类型活动的实体生活空间</w:t>
      </w:r>
    </w:p>
    <w:p w14:paraId="27E9EA82">
      <w:pPr>
        <w:pStyle w:val="6"/>
        <w:spacing w:before="120" w:beforeLines="50" w:after="0" w:afterLines="0" w:line="300" w:lineRule="auto"/>
        <w:ind w:firstLine="0" w:firstLineChars="0"/>
        <w:rPr>
          <w:rFonts w:cs="Times New Roman"/>
        </w:rPr>
      </w:pPr>
    </w:p>
    <w:p w14:paraId="427D0E1D">
      <w:pPr>
        <w:pStyle w:val="6"/>
        <w:spacing w:before="120" w:beforeLines="50" w:after="0" w:afterLines="0" w:line="300" w:lineRule="auto"/>
        <w:rPr>
          <w:rFonts w:cs="Times New Roman"/>
          <w:highlight w:val="green"/>
        </w:rPr>
      </w:pPr>
      <w:r>
        <w:rPr>
          <w:rFonts w:hint="eastAsia" w:cs="Times New Roman"/>
        </w:rPr>
        <w:t>（2）实虚同在生活空间，是前台线上活动在实体生活空间出现后形成的生活空间，它表征所有线下活动与前台线上活动共同涉及的空间范围</w:t>
      </w:r>
      <w:r>
        <w:rPr>
          <w:rStyle w:val="26"/>
          <w:rFonts w:cs="Times New Roman"/>
          <w:vertAlign w:val="baseline"/>
        </w:rPr>
        <w:footnoteReference w:id="1"/>
      </w:r>
      <w:r>
        <w:rPr>
          <w:rFonts w:hint="eastAsia" w:cs="Times New Roman"/>
        </w:rPr>
        <w:t>，其核心特征为家内活动占比的显著提升与部分活动空间的收缩或定向拓展。</w:t>
      </w:r>
      <w:r>
        <w:rPr>
          <w:rFonts w:cs="Times New Roman"/>
        </w:rPr>
        <w:t>与仅考虑</w:t>
      </w:r>
      <w:r>
        <w:rPr>
          <w:rFonts w:hint="eastAsia" w:cs="Times New Roman"/>
        </w:rPr>
        <w:t>线</w:t>
      </w:r>
      <w:r>
        <w:rPr>
          <w:rFonts w:cs="Times New Roman"/>
        </w:rPr>
        <w:t>下活动相比，</w:t>
      </w:r>
      <w:r>
        <w:rPr>
          <w:rFonts w:hint="eastAsia" w:cs="Times New Roman"/>
        </w:rPr>
        <w:t>前台线上活动出现后居民的日常活动在家内发生占比较高（图</w:t>
      </w:r>
      <w:r>
        <w:rPr>
          <w:rFonts w:cs="Times New Roman"/>
        </w:rPr>
        <w:t>3</w:t>
      </w:r>
      <w:r>
        <w:rPr>
          <w:rFonts w:hint="eastAsia" w:cs="Times New Roman"/>
        </w:rPr>
        <w:t>）。其中，文化休闲、物资购置等活动更倾向于在家内开展。同时，这些活动的实虚同在生活空间与实体生活空间有明显差异（图</w:t>
      </w:r>
      <w:r>
        <w:rPr>
          <w:rFonts w:cs="Times New Roman"/>
        </w:rPr>
        <w:t>5</w:t>
      </w:r>
      <w:r>
        <w:rPr>
          <w:rFonts w:hint="eastAsia" w:cs="Times New Roman"/>
        </w:rPr>
        <w:t>）：</w:t>
      </w:r>
      <w:r>
        <w:rPr>
          <w:rFonts w:cs="Times New Roman"/>
        </w:rPr>
        <w:t>文化休闲</w:t>
      </w:r>
      <w:r>
        <w:rPr>
          <w:rFonts w:hint="eastAsia" w:cs="Times New Roman"/>
        </w:rPr>
        <w:t>的</w:t>
      </w:r>
      <w:r>
        <w:rPr>
          <w:rFonts w:cs="Times New Roman"/>
        </w:rPr>
        <w:t>实虚同在生活空间在圈外</w:t>
      </w:r>
      <w:r>
        <w:rPr>
          <w:rFonts w:hint="eastAsia" w:cs="Times New Roman"/>
        </w:rPr>
        <w:t>的</w:t>
      </w:r>
      <w:r>
        <w:rPr>
          <w:rFonts w:cs="Times New Roman"/>
        </w:rPr>
        <w:t>沿道路区域分布更多</w:t>
      </w:r>
      <w:r>
        <w:rPr>
          <w:rFonts w:hint="eastAsia" w:cs="Times New Roman"/>
        </w:rPr>
        <w:t>，说明居民在道路开放空间开展</w:t>
      </w:r>
      <w:r>
        <w:rPr>
          <w:rFonts w:cs="Times New Roman"/>
        </w:rPr>
        <w:t>一些线上文化休闲活动。</w:t>
      </w:r>
      <w:r>
        <w:rPr>
          <w:rFonts w:hint="eastAsia" w:cs="Times New Roman"/>
        </w:rPr>
        <w:t>物资购置的实虚同在生活空间在更集中于圈内，这与更多的家内网购有关。</w:t>
      </w:r>
    </w:p>
    <w:p w14:paraId="6B536D76">
      <w:pPr>
        <w:pStyle w:val="6"/>
        <w:spacing w:before="120" w:beforeLines="50" w:after="0" w:afterLines="0" w:line="300" w:lineRule="auto"/>
        <w:ind w:firstLine="0" w:firstLineChars="0"/>
        <w:rPr>
          <w:rFonts w:cs="Times New Roman"/>
        </w:rPr>
      </w:pPr>
      <w:r>
        <w:rPr>
          <w:rFonts w:cs="Times New Roman"/>
          <w14:ligatures w14:val="none"/>
        </w:rPr>
        <w:drawing>
          <wp:inline distT="0" distB="0" distL="0" distR="0">
            <wp:extent cx="4856480" cy="2694305"/>
            <wp:effectExtent l="0" t="0" r="127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 cstate="print"/>
                    <a:stretch>
                      <a:fillRect/>
                    </a:stretch>
                  </pic:blipFill>
                  <pic:spPr>
                    <a:xfrm>
                      <a:off x="0" y="0"/>
                      <a:ext cx="4856613" cy="2694305"/>
                    </a:xfrm>
                    <a:prstGeom prst="rect">
                      <a:avLst/>
                    </a:prstGeom>
                  </pic:spPr>
                </pic:pic>
              </a:graphicData>
            </a:graphic>
          </wp:inline>
        </w:drawing>
      </w:r>
    </w:p>
    <w:p w14:paraId="751B9396">
      <w:pPr>
        <w:pStyle w:val="6"/>
        <w:spacing w:before="120" w:beforeLines="50" w:after="0" w:afterLines="0" w:line="300" w:lineRule="auto"/>
        <w:ind w:firstLine="0" w:firstLineChars="0"/>
        <w:rPr>
          <w:rFonts w:cs="Times New Roman"/>
        </w:rPr>
      </w:pPr>
      <w:r>
        <w:rPr>
          <w:rFonts w:cs="Times New Roman"/>
        </w:rPr>
        <w:t xml:space="preserve">图5  </w:t>
      </w:r>
      <w:r>
        <w:rPr>
          <w:rFonts w:cs="Times New Roman"/>
          <w:shd w:val="clear" w:color="auto" w:fill="FFFFFF"/>
        </w:rPr>
        <w:t>当代</w:t>
      </w:r>
      <w:r>
        <w:rPr>
          <w:rFonts w:hint="eastAsia" w:cs="Times New Roman"/>
          <w:shd w:val="clear" w:color="auto" w:fill="FFFFFF"/>
        </w:rPr>
        <w:t>—</w:t>
      </w:r>
      <w:r>
        <w:rPr>
          <w:rFonts w:cs="Times New Roman"/>
          <w:shd w:val="clear" w:color="auto" w:fill="FFFFFF"/>
        </w:rPr>
        <w:t>怡美</w:t>
      </w:r>
      <w:r>
        <w:rPr>
          <w:rFonts w:cs="Times New Roman"/>
        </w:rPr>
        <w:t>社区生活圈居民各类型活动的实虚同在生活空间</w:t>
      </w:r>
    </w:p>
    <w:p w14:paraId="24A1E7E9">
      <w:pPr>
        <w:pStyle w:val="6"/>
        <w:spacing w:before="120" w:beforeLines="50" w:after="0" w:afterLines="0" w:line="300" w:lineRule="auto"/>
        <w:ind w:firstLine="0" w:firstLineChars="0"/>
        <w:rPr>
          <w:rFonts w:cs="Times New Roman"/>
        </w:rPr>
      </w:pPr>
      <w:bookmarkStart w:id="3" w:name="_Hlk182436489"/>
    </w:p>
    <w:p w14:paraId="7B067134">
      <w:pPr>
        <w:pStyle w:val="6"/>
        <w:spacing w:before="120" w:beforeLines="50" w:after="0" w:afterLines="0" w:line="300" w:lineRule="auto"/>
        <w:rPr>
          <w:rFonts w:cs="Times New Roman"/>
        </w:rPr>
      </w:pPr>
      <w:r>
        <w:rPr>
          <w:rFonts w:hint="eastAsia" w:cs="Times New Roman"/>
        </w:rPr>
        <w:t>（3）实虚同步生活空间，是后台线上活动出现在实体生活空间形成的空间，它表征所有线下活动与后台线上活动，即同时开展的线下线上活动共同涉及的空间范围</w:t>
      </w:r>
      <w:r>
        <w:rPr>
          <w:rStyle w:val="26"/>
          <w:rFonts w:cs="Times New Roman"/>
          <w:vertAlign w:val="baseline"/>
        </w:rPr>
        <w:footnoteReference w:id="2"/>
      </w:r>
      <w:r>
        <w:rPr>
          <w:rFonts w:hint="eastAsia" w:cs="Times New Roman"/>
        </w:rPr>
        <w:t>。其核心特征为家内活动占比显著较高、活动范围的显著外扩及与设施关联的弱化。</w:t>
      </w:r>
      <w:r>
        <w:rPr>
          <w:rFonts w:cs="Times New Roman"/>
        </w:rPr>
        <w:t>与仅考虑线</w:t>
      </w:r>
      <w:r>
        <w:rPr>
          <w:rFonts w:hint="eastAsia" w:cs="Times New Roman"/>
        </w:rPr>
        <w:t>下</w:t>
      </w:r>
      <w:r>
        <w:rPr>
          <w:rFonts w:cs="Times New Roman"/>
        </w:rPr>
        <w:t>活动的情况相比，社会交往与物资购置活动更</w:t>
      </w:r>
      <w:r>
        <w:rPr>
          <w:rFonts w:hint="eastAsia" w:cs="Times New Roman"/>
        </w:rPr>
        <w:t>多</w:t>
      </w:r>
      <w:r>
        <w:rPr>
          <w:rFonts w:cs="Times New Roman"/>
        </w:rPr>
        <w:t>在家内发生</w:t>
      </w:r>
      <w:r>
        <w:rPr>
          <w:rFonts w:hint="eastAsia" w:cs="Times New Roman"/>
        </w:rPr>
        <w:t>，</w:t>
      </w:r>
      <w:r>
        <w:rPr>
          <w:rFonts w:cs="Times New Roman"/>
        </w:rPr>
        <w:t>文化休闲与事务办理更多</w:t>
      </w:r>
      <w:r>
        <w:rPr>
          <w:rFonts w:hint="eastAsia" w:cs="Times New Roman"/>
        </w:rPr>
        <w:t>在</w:t>
      </w:r>
      <w:r>
        <w:rPr>
          <w:rFonts w:cs="Times New Roman"/>
        </w:rPr>
        <w:t>家内与圈外发生</w:t>
      </w:r>
      <w:r>
        <w:rPr>
          <w:rFonts w:hint="eastAsia" w:cs="Times New Roman"/>
        </w:rPr>
        <w:t>（图3）</w:t>
      </w:r>
      <w:r>
        <w:rPr>
          <w:rFonts w:cs="Times New Roman"/>
        </w:rPr>
        <w:t>。这在一定程度上印证了图</w:t>
      </w:r>
      <w:r>
        <w:rPr>
          <w:rFonts w:hint="eastAsia" w:cs="Times New Roman"/>
        </w:rPr>
        <w:t>林关于</w:t>
      </w:r>
      <w:r>
        <w:rPr>
          <w:rFonts w:cs="Times New Roman"/>
        </w:rPr>
        <w:t>前后台活动</w:t>
      </w:r>
      <w:r>
        <w:rPr>
          <w:rFonts w:hint="eastAsia" w:cs="Times New Roman"/>
        </w:rPr>
        <w:t>的</w:t>
      </w:r>
      <w:r>
        <w:rPr>
          <w:rFonts w:cs="Times New Roman"/>
        </w:rPr>
        <w:t>实证</w:t>
      </w:r>
      <w:r>
        <w:rPr>
          <w:rFonts w:hint="eastAsia" w:cs="Times New Roman"/>
        </w:rPr>
        <w:t>研究</w:t>
      </w:r>
      <w:r>
        <w:rPr>
          <w:rFonts w:cs="Times New Roman"/>
        </w:rPr>
        <w:t>结果，即家是后台线上活动最主要的发生地[41]。</w:t>
      </w:r>
      <w:r>
        <w:rPr>
          <w:rFonts w:hint="eastAsia" w:cs="Times New Roman"/>
        </w:rPr>
        <w:t>与实体生活空间相比，文化休闲、社会交往、物资购置的实虚同步生活空间</w:t>
      </w:r>
      <w:r>
        <w:rPr>
          <w:rFonts w:cs="Times New Roman"/>
        </w:rPr>
        <w:t>呈现向圈外拓展的特征（图6）。其中，文化休闲与社会交往</w:t>
      </w:r>
      <w:r>
        <w:rPr>
          <w:rFonts w:hint="eastAsia" w:cs="Times New Roman"/>
        </w:rPr>
        <w:t>更多分布在</w:t>
      </w:r>
      <w:r>
        <w:rPr>
          <w:rFonts w:cs="Times New Roman"/>
        </w:rPr>
        <w:t>圈外</w:t>
      </w:r>
      <w:r>
        <w:rPr>
          <w:rFonts w:hint="eastAsia" w:cs="Times New Roman"/>
        </w:rPr>
        <w:t>的</w:t>
      </w:r>
      <w:r>
        <w:rPr>
          <w:rFonts w:cs="Times New Roman"/>
        </w:rPr>
        <w:t>沿道路区域，这些活动分布密集</w:t>
      </w:r>
      <w:r>
        <w:rPr>
          <w:rFonts w:hint="eastAsia" w:cs="Times New Roman"/>
        </w:rPr>
        <w:t>的区域</w:t>
      </w:r>
      <w:r>
        <w:rPr>
          <w:rFonts w:cs="Times New Roman"/>
        </w:rPr>
        <w:t>有较多不与设施POI点重合。购物活动</w:t>
      </w:r>
      <w:r>
        <w:rPr>
          <w:rFonts w:hint="eastAsia" w:cs="Times New Roman"/>
        </w:rPr>
        <w:t>主要分布在</w:t>
      </w:r>
      <w:r>
        <w:rPr>
          <w:rFonts w:cs="Times New Roman"/>
        </w:rPr>
        <w:t>圈外西南方向，同时</w:t>
      </w:r>
      <w:r>
        <w:rPr>
          <w:rFonts w:hint="eastAsia" w:cs="Times New Roman"/>
        </w:rPr>
        <w:t>，活动空间也在一定程度上与</w:t>
      </w:r>
      <w:r>
        <w:rPr>
          <w:rFonts w:cs="Times New Roman"/>
        </w:rPr>
        <w:t>设施POI</w:t>
      </w:r>
      <w:r>
        <w:rPr>
          <w:rFonts w:hint="eastAsia" w:cs="Times New Roman"/>
        </w:rPr>
        <w:t>分离</w:t>
      </w:r>
      <w:r>
        <w:rPr>
          <w:rFonts w:cs="Times New Roman"/>
        </w:rPr>
        <w:t>。</w:t>
      </w:r>
      <w:bookmarkEnd w:id="3"/>
    </w:p>
    <w:p w14:paraId="5CDA4ACC">
      <w:pPr>
        <w:pStyle w:val="6"/>
        <w:spacing w:before="120" w:beforeLines="50" w:after="0" w:afterLines="0" w:line="300" w:lineRule="auto"/>
        <w:ind w:firstLine="0" w:firstLineChars="0"/>
        <w:rPr>
          <w:rFonts w:cs="Times New Roman"/>
        </w:rPr>
      </w:pPr>
      <w:r>
        <w:rPr>
          <w:rFonts w:cs="Times New Roman"/>
          <w14:ligatures w14:val="none"/>
        </w:rPr>
        <w:drawing>
          <wp:inline distT="0" distB="0" distL="0" distR="0">
            <wp:extent cx="4856480" cy="2694305"/>
            <wp:effectExtent l="0" t="0" r="127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pic:cNvPicPr>
                  </pic:nvPicPr>
                  <pic:blipFill>
                    <a:blip r:embed="rId12" cstate="print"/>
                    <a:stretch>
                      <a:fillRect/>
                    </a:stretch>
                  </pic:blipFill>
                  <pic:spPr>
                    <a:xfrm>
                      <a:off x="0" y="0"/>
                      <a:ext cx="4856613" cy="2694305"/>
                    </a:xfrm>
                    <a:prstGeom prst="rect">
                      <a:avLst/>
                    </a:prstGeom>
                  </pic:spPr>
                </pic:pic>
              </a:graphicData>
            </a:graphic>
          </wp:inline>
        </w:drawing>
      </w:r>
    </w:p>
    <w:p w14:paraId="3D746913">
      <w:pPr>
        <w:pStyle w:val="6"/>
        <w:spacing w:before="120" w:beforeLines="50" w:after="0" w:afterLines="0" w:line="300" w:lineRule="auto"/>
        <w:ind w:firstLine="0" w:firstLineChars="0"/>
        <w:rPr>
          <w:rFonts w:cs="Times New Roman"/>
        </w:rPr>
      </w:pPr>
      <w:r>
        <w:rPr>
          <w:rFonts w:cs="Times New Roman"/>
        </w:rPr>
        <w:t xml:space="preserve">图6  </w:t>
      </w:r>
      <w:r>
        <w:rPr>
          <w:rFonts w:cs="Times New Roman"/>
          <w:shd w:val="clear" w:color="auto" w:fill="FFFFFF"/>
        </w:rPr>
        <w:t>当代</w:t>
      </w:r>
      <w:r>
        <w:rPr>
          <w:rFonts w:hint="eastAsia" w:cs="Times New Roman"/>
          <w:shd w:val="clear" w:color="auto" w:fill="FFFFFF"/>
        </w:rPr>
        <w:t>—</w:t>
      </w:r>
      <w:r>
        <w:rPr>
          <w:rFonts w:cs="Times New Roman"/>
          <w:shd w:val="clear" w:color="auto" w:fill="FFFFFF"/>
        </w:rPr>
        <w:t>怡美</w:t>
      </w:r>
      <w:r>
        <w:rPr>
          <w:rFonts w:cs="Times New Roman"/>
        </w:rPr>
        <w:t>社区生活圈居民各类型活动的实虚同步生活空间</w:t>
      </w:r>
    </w:p>
    <w:p w14:paraId="09D9F722">
      <w:pPr>
        <w:pStyle w:val="6"/>
        <w:spacing w:before="120" w:beforeLines="50" w:line="300" w:lineRule="auto"/>
        <w:ind w:firstLine="0" w:firstLineChars="0"/>
        <w:rPr>
          <w:rFonts w:cs="Times New Roman"/>
        </w:rPr>
      </w:pPr>
    </w:p>
    <w:p w14:paraId="42A94F9B">
      <w:pPr>
        <w:pStyle w:val="6"/>
        <w:spacing w:before="120" w:beforeLines="50" w:line="300" w:lineRule="auto"/>
        <w:rPr>
          <w:rFonts w:cs="Times New Roman"/>
        </w:rPr>
      </w:pPr>
      <w:r>
        <w:rPr>
          <w:rFonts w:hint="eastAsia" w:cs="Times New Roman"/>
        </w:rPr>
        <w:t>（4）实虚混合生活空间，是前台和后台线上活动出现在实体生活空间形成的生活空间，它表征所有线下活动与线上活动共同涉及的空间范围。对于活动空间分布而言，所有类型的线上线下活动与线上活动均有</w:t>
      </w:r>
      <w:r>
        <w:rPr>
          <w:rFonts w:cs="Times New Roman"/>
        </w:rPr>
        <w:t>75%</w:t>
      </w:r>
      <w:r>
        <w:rPr>
          <w:rFonts w:hint="eastAsia" w:cs="Times New Roman"/>
        </w:rPr>
        <w:t>左右的日常活动在家内开展，在家外圈内的比例较小，在圈外的比例较大。产生差异的原因有两方面：一是一些线上活动更多在家内开展（如社会交往和购物），二是一些后台线上活动在圈外开展的比例更高（如文化休闲与事务办理）。此外，实虚混合生活空间在圈外有更多的核心区（图</w:t>
      </w:r>
      <w:r>
        <w:rPr>
          <w:rFonts w:cs="Times New Roman"/>
        </w:rPr>
        <w:t>7</w:t>
      </w:r>
      <w:r>
        <w:rPr>
          <w:rFonts w:hint="eastAsia" w:cs="Times New Roman"/>
        </w:rPr>
        <w:t>）。其中，文化休闲、社会交往、物资购置与事务办理四类活动的实虚混合生活空间与实体生活空间差异较大。具体来说，这些活动的生活空间在圈外有大量分布，表现为沿交通道路分布与多核心分布相结合，其中</w:t>
      </w:r>
      <w:r>
        <w:rPr>
          <w:rFonts w:cs="Times New Roman"/>
        </w:rPr>
        <w:t>有</w:t>
      </w:r>
      <w:r>
        <w:rPr>
          <w:rFonts w:hint="eastAsia" w:cs="Times New Roman"/>
        </w:rPr>
        <w:t>部分</w:t>
      </w:r>
      <w:r>
        <w:rPr>
          <w:rFonts w:cs="Times New Roman"/>
        </w:rPr>
        <w:t>空间与</w:t>
      </w:r>
      <w:r>
        <w:rPr>
          <w:rFonts w:hint="eastAsia" w:cs="Times New Roman"/>
        </w:rPr>
        <w:t>对应</w:t>
      </w:r>
      <w:r>
        <w:rPr>
          <w:rFonts w:cs="Times New Roman"/>
        </w:rPr>
        <w:t>设施POI点位相隔较远。</w:t>
      </w:r>
    </w:p>
    <w:p w14:paraId="75F9C76E">
      <w:pPr>
        <w:pStyle w:val="6"/>
        <w:spacing w:before="120" w:beforeLines="50" w:after="0" w:afterLines="0" w:line="300" w:lineRule="auto"/>
        <w:ind w:firstLine="0" w:firstLineChars="0"/>
        <w:rPr>
          <w:rFonts w:cs="Times New Roman"/>
        </w:rPr>
      </w:pPr>
      <w:r>
        <w:rPr>
          <w:rFonts w:cs="Times New Roman"/>
          <w14:ligatures w14:val="none"/>
        </w:rPr>
        <w:drawing>
          <wp:inline distT="0" distB="0" distL="0" distR="0">
            <wp:extent cx="4856480" cy="2694305"/>
            <wp:effectExtent l="0" t="0" r="127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pic:cNvPicPr>
                  </pic:nvPicPr>
                  <pic:blipFill>
                    <a:blip r:embed="rId13" cstate="print"/>
                    <a:stretch>
                      <a:fillRect/>
                    </a:stretch>
                  </pic:blipFill>
                  <pic:spPr>
                    <a:xfrm>
                      <a:off x="0" y="0"/>
                      <a:ext cx="4856613" cy="2694305"/>
                    </a:xfrm>
                    <a:prstGeom prst="rect">
                      <a:avLst/>
                    </a:prstGeom>
                  </pic:spPr>
                </pic:pic>
              </a:graphicData>
            </a:graphic>
          </wp:inline>
        </w:drawing>
      </w:r>
    </w:p>
    <w:p w14:paraId="1AB2C43E">
      <w:pPr>
        <w:pStyle w:val="6"/>
        <w:spacing w:before="120" w:beforeLines="50" w:after="0" w:afterLines="0" w:line="300" w:lineRule="auto"/>
        <w:ind w:firstLine="0" w:firstLineChars="0"/>
        <w:rPr>
          <w:rFonts w:cs="Times New Roman"/>
        </w:rPr>
      </w:pPr>
      <w:r>
        <w:rPr>
          <w:rFonts w:cs="Times New Roman"/>
        </w:rPr>
        <w:t xml:space="preserve">图7  </w:t>
      </w:r>
      <w:r>
        <w:rPr>
          <w:rFonts w:cs="Times New Roman"/>
          <w:shd w:val="clear" w:color="auto" w:fill="FFFFFF"/>
        </w:rPr>
        <w:t>当代</w:t>
      </w:r>
      <w:r>
        <w:rPr>
          <w:rFonts w:hint="eastAsia" w:cs="Times New Roman"/>
          <w:shd w:val="clear" w:color="auto" w:fill="FFFFFF"/>
        </w:rPr>
        <w:t>—</w:t>
      </w:r>
      <w:r>
        <w:rPr>
          <w:rFonts w:cs="Times New Roman"/>
          <w:shd w:val="clear" w:color="auto" w:fill="FFFFFF"/>
        </w:rPr>
        <w:t>怡美</w:t>
      </w:r>
      <w:r>
        <w:rPr>
          <w:rFonts w:cs="Times New Roman"/>
        </w:rPr>
        <w:t>社区生活圈居民各类型活动的实虚混合生活空间</w:t>
      </w:r>
    </w:p>
    <w:p w14:paraId="1369675F">
      <w:pPr>
        <w:pStyle w:val="6"/>
        <w:spacing w:before="120" w:beforeLines="50" w:after="0" w:afterLines="0" w:line="300" w:lineRule="auto"/>
        <w:ind w:firstLine="0" w:firstLineChars="0"/>
        <w:rPr>
          <w:rFonts w:cs="Times New Roman"/>
        </w:rPr>
      </w:pPr>
    </w:p>
    <w:p w14:paraId="6B4D211B">
      <w:pPr>
        <w:pStyle w:val="6"/>
        <w:spacing w:before="120" w:beforeLines="50" w:after="0" w:afterLines="0" w:line="300" w:lineRule="auto"/>
        <w:rPr>
          <w:rFonts w:cs="Times New Roman"/>
        </w:rPr>
      </w:pPr>
      <w:r>
        <w:rPr>
          <w:rFonts w:hint="eastAsia" w:cs="Times New Roman"/>
        </w:rPr>
        <w:t>综上，在只考虑线下活动的情况下，实体生活空间</w:t>
      </w:r>
      <w:r>
        <w:rPr>
          <w:rFonts w:cs="Times New Roman"/>
        </w:rPr>
        <w:t>在圈内呈现较为集聚的形态</w:t>
      </w:r>
      <w:r>
        <w:rPr>
          <w:rFonts w:hint="eastAsia" w:cs="Times New Roman"/>
        </w:rPr>
        <w:t>，并且在</w:t>
      </w:r>
      <w:r>
        <w:rPr>
          <w:rFonts w:cs="Times New Roman"/>
        </w:rPr>
        <w:t>圈外</w:t>
      </w:r>
      <w:r>
        <w:rPr>
          <w:rFonts w:hint="eastAsia" w:cs="Times New Roman"/>
        </w:rPr>
        <w:t>的空间分布与对应类型设施紧密结合。前台线上活动（如不伴随其他活动的网购）的出现</w:t>
      </w:r>
      <w:r>
        <w:rPr>
          <w:rFonts w:hint="eastAsia" w:ascii="Segoe UI" w:hAnsi="Segoe UI" w:cs="Segoe UI"/>
          <w:shd w:val="clear" w:color="auto" w:fill="FFFFFF"/>
        </w:rPr>
        <w:t>使居民的日常生活部分地</w:t>
      </w:r>
      <w:r>
        <w:rPr>
          <w:rFonts w:ascii="Segoe UI" w:hAnsi="Segoe UI" w:cs="Segoe UI"/>
          <w:shd w:val="clear" w:color="auto" w:fill="FFFFFF"/>
        </w:rPr>
        <w:t>摆脱对特定设施的依赖</w:t>
      </w:r>
      <w:r>
        <w:rPr>
          <w:rFonts w:hint="eastAsia" w:ascii="Segoe UI" w:hAnsi="Segoe UI" w:cs="Segoe UI"/>
          <w:shd w:val="clear" w:color="auto" w:fill="FFFFFF"/>
        </w:rPr>
        <w:t>，使得实虚同在生活空间呈现“家内扩张、圈内收缩与圈外零星拓展并存”的特征。而后台线上活动（如散步时网购）使不同类型的日常活动可以同时发生，因而更具时空灵活性，这种模式在更大程度上削弱了活动对特定设施的依赖，使得实虚同步生活空间呈现“家内高度集中、圈外大幅拓展”的格局。最后，涵盖前台与后台两种类型线上活动的实虚混合生活空间则兼有实虚同在与实虚同步生活空间的特征。</w:t>
      </w:r>
    </w:p>
    <w:p w14:paraId="447BCD3B">
      <w:pPr>
        <w:pStyle w:val="2"/>
        <w:rPr>
          <w:b/>
          <w:iCs/>
        </w:rPr>
      </w:pPr>
      <w:r>
        <w:t xml:space="preserve">4  </w:t>
      </w:r>
      <w:bookmarkStart w:id="4" w:name="_Hlk199756915"/>
      <w:r>
        <w:rPr>
          <w:rFonts w:hint="eastAsia"/>
        </w:rPr>
        <w:t>实虚生活空间的形成逻辑</w:t>
      </w:r>
      <w:bookmarkEnd w:id="4"/>
    </w:p>
    <w:p w14:paraId="7CDAF0C7">
      <w:pPr>
        <w:pStyle w:val="6"/>
        <w:spacing w:before="120" w:beforeLines="50" w:line="300" w:lineRule="auto"/>
        <w:rPr>
          <w:rFonts w:cs="Times New Roman"/>
        </w:rPr>
      </w:pPr>
      <w:r>
        <w:rPr>
          <w:rFonts w:hint="eastAsia" w:cs="Times New Roman"/>
        </w:rPr>
        <w:t>实虚混合生活空间是当前居民完整的生活空间，由线下活动、位于前台的线上活动以及位于后台的线上活动共同塑造而成。线下和线上活动的不同组织方式影响生活空间的实虚交融方式，进而形成生活空间差异化的结构特征。本节基于实证结果探讨实虚混合化过程中实虚结合的两种形式（线上线下活动并列与线上线下活动并行），并呈现生活空间的实虚混合机制。</w:t>
      </w:r>
    </w:p>
    <w:p w14:paraId="316C876A">
      <w:pPr>
        <w:pStyle w:val="4"/>
      </w:pPr>
      <w:r>
        <w:t>4.1</w:t>
      </w:r>
      <w:bookmarkStart w:id="5" w:name="_Hlk182439033"/>
      <w:r>
        <w:t xml:space="preserve"> </w:t>
      </w:r>
      <w:bookmarkStart w:id="6" w:name="_Hlk199758092"/>
      <w:r>
        <w:rPr>
          <w:rFonts w:hint="eastAsia"/>
        </w:rPr>
        <w:t xml:space="preserve"> 线上线下活动并列：实虚同在生活空间变化</w:t>
      </w:r>
      <w:bookmarkEnd w:id="6"/>
    </w:p>
    <w:p w14:paraId="0A6C2E57">
      <w:pPr>
        <w:pStyle w:val="6"/>
        <w:spacing w:before="120" w:beforeLines="50" w:after="0" w:afterLines="0" w:line="300" w:lineRule="auto"/>
        <w:rPr>
          <w:rFonts w:cs="Times New Roman"/>
        </w:rPr>
      </w:pPr>
      <w:r>
        <w:rPr>
          <w:rFonts w:hint="eastAsia" w:cs="Times New Roman"/>
        </w:rPr>
        <w:t>由于线上活动空间位置的选择与线下活动相比更为自由，前台线上活动对线下活动的替代导致居民的生活空间范围发生变化。总体来看，</w:t>
      </w:r>
      <w:r>
        <w:rPr>
          <w:rFonts w:cs="Times New Roman"/>
        </w:rPr>
        <w:t>活动</w:t>
      </w:r>
      <w:r>
        <w:rPr>
          <w:rFonts w:hint="eastAsia" w:cs="Times New Roman"/>
        </w:rPr>
        <w:t>在</w:t>
      </w:r>
      <w:r>
        <w:rPr>
          <w:rFonts w:cs="Times New Roman"/>
        </w:rPr>
        <w:t>家内发生</w:t>
      </w:r>
      <w:r>
        <w:rPr>
          <w:rFonts w:hint="eastAsia" w:cs="Times New Roman"/>
        </w:rPr>
        <w:t>的</w:t>
      </w:r>
      <w:r>
        <w:rPr>
          <w:rFonts w:cs="Times New Roman"/>
        </w:rPr>
        <w:t>比例增加，在家外</w:t>
      </w:r>
      <w:r>
        <w:rPr>
          <w:rFonts w:hint="eastAsia" w:cs="Times New Roman"/>
        </w:rPr>
        <w:t>则相对减</w:t>
      </w:r>
      <w:r>
        <w:rPr>
          <w:rFonts w:cs="Times New Roman"/>
        </w:rPr>
        <w:t>小。</w:t>
      </w:r>
      <w:r>
        <w:rPr>
          <w:rFonts w:hint="eastAsia" w:cs="Times New Roman"/>
        </w:rPr>
        <w:t>但不同类型活动的生活空间范围存在差异，具体而言，文化休闲活动多分布于圈外，</w:t>
      </w:r>
      <w:r>
        <w:rPr>
          <w:rFonts w:cs="Times New Roman"/>
        </w:rPr>
        <w:t>而购物活动则</w:t>
      </w:r>
      <w:r>
        <w:rPr>
          <w:rFonts w:hint="eastAsia" w:cs="Times New Roman"/>
        </w:rPr>
        <w:t>集中分布于</w:t>
      </w:r>
      <w:r>
        <w:rPr>
          <w:rFonts w:cs="Times New Roman"/>
        </w:rPr>
        <w:t>圈内。</w:t>
      </w:r>
      <w:r>
        <w:rPr>
          <w:rFonts w:hint="eastAsia" w:cs="Times New Roman"/>
        </w:rPr>
        <w:t>这可能是因为线上文化休闲活动的开展不必依托特定实体设施，而网购、外卖等购物活动仍然需要依赖特定设施（如快递柜、自提点等），或居民必须在家中等待所购物品送达。因此，与文化休闲活动相比，购物活动的实虚同在生活空间与社区生活圈仍有密切联系。总之，社区生活圈的设施对于部分类型的前台线上活动仍然重要。</w:t>
      </w:r>
    </w:p>
    <w:p w14:paraId="021B8F57">
      <w:pPr>
        <w:pStyle w:val="4"/>
      </w:pPr>
      <w:r>
        <w:t xml:space="preserve">4.2 </w:t>
      </w:r>
      <w:bookmarkStart w:id="7" w:name="_Hlk199758120"/>
      <w:r>
        <w:rPr>
          <w:rFonts w:hint="eastAsia"/>
        </w:rPr>
        <w:t xml:space="preserve"> 线上线下活动并行：实虚同步生活空间变化</w:t>
      </w:r>
      <w:bookmarkEnd w:id="7"/>
    </w:p>
    <w:p w14:paraId="2BACB89D">
      <w:pPr>
        <w:pStyle w:val="6"/>
        <w:spacing w:before="120" w:beforeLines="50" w:after="0" w:afterLines="0" w:line="300" w:lineRule="auto"/>
        <w:rPr>
          <w:rFonts w:cs="Times New Roman"/>
        </w:rPr>
      </w:pPr>
      <w:r>
        <w:rPr>
          <w:rFonts w:hint="eastAsia" w:cs="Times New Roman"/>
        </w:rPr>
        <w:t>当居民在后台开展线上活动，即线上活动和线下活动同时开展时，居民的生活空间向圈外拓展的趋势更为明显。后台</w:t>
      </w:r>
      <w:r>
        <w:rPr>
          <w:rFonts w:cs="Times New Roman"/>
        </w:rPr>
        <w:t>ICTs</w:t>
      </w:r>
      <w:r>
        <w:rPr>
          <w:rFonts w:hint="eastAsia" w:cs="Times New Roman"/>
        </w:rPr>
        <w:t>的使用使活动更容易摆脱实体空间限制，其开展更具有可移动性，可以在更多不同类型的地点中进行</w:t>
      </w:r>
      <w:r>
        <w:rPr>
          <w:rFonts w:cs="Times New Roman"/>
        </w:rPr>
        <w:t>[41]</w:t>
      </w:r>
      <w:r>
        <w:rPr>
          <w:rFonts w:hint="eastAsia" w:cs="Times New Roman"/>
        </w:rPr>
        <w:t>。此外，不同类型活动的</w:t>
      </w:r>
      <w:r>
        <w:rPr>
          <w:rFonts w:hint="eastAsia"/>
        </w:rPr>
        <w:t>实虚同步</w:t>
      </w:r>
      <w:r>
        <w:rPr>
          <w:rFonts w:hint="eastAsia" w:cs="Times New Roman"/>
        </w:rPr>
        <w:t>生活空间具有差异：以文化休闲、社会交往等活动呈现更强的沿街分布特征，这表明居民在开展位置移动活动（比如散步、出行等）的过程中通过后台</w:t>
      </w:r>
      <w:r>
        <w:rPr>
          <w:rFonts w:cs="Times New Roman"/>
        </w:rPr>
        <w:t>ICTs</w:t>
      </w:r>
      <w:r>
        <w:rPr>
          <w:rFonts w:hint="eastAsia" w:cs="Times New Roman"/>
        </w:rPr>
        <w:t>开展了较多该类型的活动；而健康管理、孩子教育、事务办理等活动的空间范围变化不明显，这与这些活动较少通过后台</w:t>
      </w:r>
      <w:r>
        <w:rPr>
          <w:rFonts w:cs="Times New Roman"/>
        </w:rPr>
        <w:t>ICTs</w:t>
      </w:r>
      <w:r>
        <w:rPr>
          <w:rFonts w:hint="eastAsia" w:cs="Times New Roman"/>
        </w:rPr>
        <w:t>开展有关。已有研究指出，后台</w:t>
      </w:r>
      <w:r>
        <w:rPr>
          <w:rFonts w:cs="Times New Roman"/>
        </w:rPr>
        <w:t>ICTs</w:t>
      </w:r>
      <w:r>
        <w:rPr>
          <w:rFonts w:hint="eastAsia" w:cs="Times New Roman"/>
        </w:rPr>
        <w:t>使用与时空灵活的活动类型有关</w:t>
      </w:r>
      <w:r>
        <w:rPr>
          <w:rFonts w:cs="Times New Roman"/>
        </w:rPr>
        <w:t>[41]</w:t>
      </w:r>
      <w:r>
        <w:rPr>
          <w:rFonts w:hint="eastAsia" w:cs="Times New Roman"/>
        </w:rPr>
        <w:t>。本研究结果表明，对于休闲、社交等时空弹性较高的活动而言，由于后台</w:t>
      </w:r>
      <w:r>
        <w:rPr>
          <w:rFonts w:cs="Times New Roman"/>
        </w:rPr>
        <w:t>ICTs</w:t>
      </w:r>
      <w:r>
        <w:rPr>
          <w:rFonts w:hint="eastAsia" w:cs="Times New Roman"/>
        </w:rPr>
        <w:t>的使用，它们的空间范围与社区生活圈的关系可能减弱；换句话说，原本仅可承载特定活动类型的空间也能够承载这些类型的活动。</w:t>
      </w:r>
    </w:p>
    <w:p w14:paraId="35A260E8">
      <w:pPr>
        <w:pStyle w:val="4"/>
      </w:pPr>
      <w:r>
        <w:t>4.3</w:t>
      </w:r>
      <w:bookmarkStart w:id="8" w:name="_Hlk204876975"/>
      <w:r>
        <w:t xml:space="preserve"> </w:t>
      </w:r>
      <w:bookmarkStart w:id="9" w:name="_Hlk199758295"/>
      <w:r>
        <w:rPr>
          <w:rFonts w:hint="eastAsia"/>
        </w:rPr>
        <w:t xml:space="preserve"> 线上线下交织：实虚混合生活空间形成</w:t>
      </w:r>
      <w:bookmarkEnd w:id="8"/>
      <w:bookmarkEnd w:id="9"/>
    </w:p>
    <w:p w14:paraId="7B8B242D">
      <w:pPr>
        <w:pStyle w:val="6"/>
        <w:spacing w:before="120" w:beforeLines="50" w:after="0" w:afterLines="0" w:line="300" w:lineRule="auto"/>
        <w:rPr>
          <w:rFonts w:cs="Times New Roman"/>
        </w:rPr>
      </w:pPr>
      <w:r>
        <w:rPr>
          <w:rFonts w:hint="eastAsia" w:cs="Times New Roman"/>
        </w:rPr>
        <w:t>实虚混合生活空间涵盖所有形式的线上下活动，反映居民日常生活中线上线下活动交织开展的真实情况。与实虚同在生活空间相比，实虚混合生活空间中出现了所有位于后台的线上活动，此时多种类型的活动在圈外的分布范围更大，包括文化休闲、社会交往、物资购置等；与实虚同步生活空间相比，虽然在实虚混合生活空间中，所有位于前台的线上活动所发生的空间范围更大了，但实虚混合与实虚同步两种生活空间的结构是相似的（参见图</w:t>
      </w:r>
      <w:r>
        <w:rPr>
          <w:rFonts w:cs="Times New Roman"/>
        </w:rPr>
        <w:t>6</w:t>
      </w:r>
      <w:r>
        <w:rPr>
          <w:rFonts w:hint="eastAsia" w:cs="Times New Roman"/>
        </w:rPr>
        <w:t>和图</w:t>
      </w:r>
      <w:r>
        <w:rPr>
          <w:rFonts w:cs="Times New Roman"/>
        </w:rPr>
        <w:t>7</w:t>
      </w:r>
      <w:r>
        <w:rPr>
          <w:rFonts w:hint="eastAsia" w:cs="Times New Roman"/>
        </w:rPr>
        <w:t>）。据此可以推断，同为线上活动，后台比前台对城市居民社区生活空间影响更大。特别地，后台的文化休闲、社会交往与物资购置等活动极大扩展了生活空间的范围，并且可能在与活动类型具有差异的设施及周边区域中开展。不过，需要注意的是，由于其他类型的活动（健康管理、孩子教育、事务办理等）具有更高的时空固定性，以及更少在后台开展的特性，因此这些活动所对应的生活空间变化有限。</w:t>
      </w:r>
    </w:p>
    <w:p w14:paraId="582C4119">
      <w:pPr>
        <w:pStyle w:val="6"/>
        <w:spacing w:before="120" w:beforeLines="50" w:line="300" w:lineRule="auto"/>
        <w:rPr>
          <w:rFonts w:cs="Times New Roman"/>
        </w:rPr>
      </w:pPr>
      <w:r>
        <w:rPr>
          <w:rFonts w:hint="eastAsia" w:cs="Times New Roman"/>
        </w:rPr>
        <w:t>综上所述，本文总结了实虚混合生活空间的形成机制：</w:t>
      </w:r>
      <w:r>
        <w:rPr>
          <w:rFonts w:cs="Times New Roman"/>
        </w:rPr>
        <w:t>当线上活动作为与线下活动不同时发生且并列存在的活动形式进入居民的日常生活中时，日常活动在家内开展的比例上升，同时</w:t>
      </w:r>
      <w:r>
        <w:rPr>
          <w:rFonts w:hint="eastAsia" w:cs="Times New Roman"/>
        </w:rPr>
        <w:t>文化休闲等类型活动的</w:t>
      </w:r>
      <w:r>
        <w:rPr>
          <w:rFonts w:cs="Times New Roman"/>
        </w:rPr>
        <w:t>空间</w:t>
      </w:r>
      <w:r>
        <w:rPr>
          <w:rFonts w:hint="eastAsia" w:cs="Times New Roman"/>
        </w:rPr>
        <w:t>范围</w:t>
      </w:r>
      <w:r>
        <w:rPr>
          <w:rFonts w:cs="Times New Roman"/>
        </w:rPr>
        <w:t>向家外</w:t>
      </w:r>
      <w:r>
        <w:rPr>
          <w:rFonts w:hint="eastAsia" w:cs="Times New Roman"/>
        </w:rPr>
        <w:t>和圈外</w:t>
      </w:r>
      <w:r>
        <w:rPr>
          <w:rFonts w:cs="Times New Roman"/>
        </w:rPr>
        <w:t>小幅延伸。当线上活动作为与线下活动同步发生的活动形式进入居民的日常生活中时，更多活动向家内转移，同时</w:t>
      </w:r>
      <w:r>
        <w:rPr>
          <w:rFonts w:hint="eastAsia" w:cs="Times New Roman"/>
        </w:rPr>
        <w:t>文化休闲、社会交往、物资购置等类型活动的</w:t>
      </w:r>
      <w:r>
        <w:rPr>
          <w:rFonts w:cs="Times New Roman"/>
        </w:rPr>
        <w:t>空间</w:t>
      </w:r>
      <w:r>
        <w:rPr>
          <w:rFonts w:hint="eastAsia" w:cs="Times New Roman"/>
        </w:rPr>
        <w:t>范围</w:t>
      </w:r>
      <w:r>
        <w:rPr>
          <w:rFonts w:cs="Times New Roman"/>
        </w:rPr>
        <w:t>向</w:t>
      </w:r>
      <w:r>
        <w:rPr>
          <w:rFonts w:hint="eastAsia" w:cs="Times New Roman"/>
        </w:rPr>
        <w:t>圈</w:t>
      </w:r>
      <w:r>
        <w:rPr>
          <w:rFonts w:cs="Times New Roman"/>
        </w:rPr>
        <w:t>外延伸。</w:t>
      </w:r>
      <w:r>
        <w:rPr>
          <w:rFonts w:hint="eastAsia" w:cs="Times New Roman"/>
        </w:rPr>
        <w:t>当前台和后台线上活动都进入居民日常生活体系时，真正意义上的实虚混合生活空间形成，以购物、休闲、社交为代表的日常活动更多地分布在家内和圈外，使得社区生活圈所包含的物质空间和设施在实现这三类活动时的作用降低。</w:t>
      </w:r>
    </w:p>
    <w:bookmarkEnd w:id="5"/>
    <w:p w14:paraId="620D54CE">
      <w:pPr>
        <w:pStyle w:val="2"/>
      </w:pPr>
      <w:r>
        <w:t>5  结论与讨论</w:t>
      </w:r>
    </w:p>
    <w:p w14:paraId="7DEAFEEC">
      <w:pPr>
        <w:pStyle w:val="6"/>
        <w:spacing w:before="120" w:beforeLines="50" w:line="300" w:lineRule="auto"/>
        <w:rPr>
          <w:rFonts w:cs="Times New Roman"/>
        </w:rPr>
      </w:pPr>
      <w:r>
        <w:rPr>
          <w:rFonts w:hint="eastAsia" w:cs="Times New Roman"/>
        </w:rPr>
        <w:t>本文探究了城市社区居民实虚生活空间的结构特征与形成逻辑。结构特征层面分析结果表明，居民线上线下混合活动与线下活动相比在家内开展的比例更高，同时实虚同在生活空间比实体生活空间范围更大；进一步地，考虑了后台线上活动的实虚混合生活空间在社区生活圈外的分布范围更大。</w:t>
      </w:r>
    </w:p>
    <w:p w14:paraId="6A725D89">
      <w:pPr>
        <w:pStyle w:val="6"/>
        <w:spacing w:before="120" w:beforeLines="50" w:line="300" w:lineRule="auto"/>
        <w:rPr>
          <w:rFonts w:cs="Times New Roman"/>
        </w:rPr>
      </w:pPr>
      <w:r>
        <w:rPr>
          <w:rFonts w:hint="eastAsia" w:cs="Times New Roman"/>
        </w:rPr>
        <w:t>从形成逻辑层面出发，随着数字技术在日常生活中的广泛运用，居民日常活动呈现线上线下并列、线上线下并行等特征，最终表现为线上线下交织的形式。居民线上线下活动的空间分布与空间利用最终构成实虚混合的生活空间。线上活动的出现，尤其是后台线上活动在居民日常生活系统中的出现可能解放部分类型活动发生的空间制约，使更多的日常活动在家内完成，但这并不意味着生活空间向家集中。相反，生活空间会向社区外拓展，部分活动能在更大的空间中开展，且在一定程度上不受相应活动类型设施的限制。此外，不同类型活动具有不同结构特征的实虚混合生活空间，这可能受活动的时空灵活性影响：时空灵活性高的活动更容易受</w:t>
      </w:r>
      <w:r>
        <w:rPr>
          <w:rFonts w:cs="Times New Roman"/>
        </w:rPr>
        <w:t>ICTs</w:t>
      </w:r>
      <w:r>
        <w:rPr>
          <w:rFonts w:hint="eastAsia" w:cs="Times New Roman"/>
        </w:rPr>
        <w:t>的影响而转移至线上进行以及与前台活动同步进行，这对其空间分布特征产生较大影响。</w:t>
      </w:r>
    </w:p>
    <w:p w14:paraId="6C560588">
      <w:pPr>
        <w:pStyle w:val="6"/>
        <w:spacing w:before="120" w:beforeLines="50" w:line="300" w:lineRule="auto"/>
        <w:rPr>
          <w:rFonts w:cs="Times New Roman"/>
        </w:rPr>
      </w:pPr>
      <w:r>
        <w:rPr>
          <w:rFonts w:hint="eastAsia" w:cs="Times New Roman"/>
        </w:rPr>
        <w:t>本文以社区生活圈作为分析空间单元，以生活圈基本功能作为划分居民日常活动类型的依据，对社区实虚混合生活空间进行分析，研究结果可为数字时代下社区生活圈规划与管理提供参考。本文的实证结果表明，以文化休闲、社会交往、物资购置为代表的商业功能不仅由社区生活圈提供，还会由社区生活圈外的空间与设施提供；同时，设施类型与活动类型的匹配关系减弱，同一类型的空间可以承担不同类型的线上线下混合活动。这意味着对于这些活动而言，社区生活圈规划需要厘清生活圈功能与活动需求的关系，并提高设施对不同类型活动的包容度。比如，对于物资购置活动而言，本文证实了居民购物行为居家比例因ICTs使用而增加，即购物活动同时包含传统“人到设施”与新兴的“服务到人”两种购物模式</w:t>
      </w:r>
      <w:r>
        <w:rPr>
          <w:rFonts w:cs="Times New Roman"/>
        </w:rPr>
        <w:t>[23]</w:t>
      </w:r>
      <w:r>
        <w:rPr>
          <w:rFonts w:hint="eastAsia" w:cs="Times New Roman"/>
        </w:rPr>
        <w:t>；不仅如此，研究结果还表明物资购置活动会以后台形式分布在社区生活圈内外，这既包括商店、快递柜、自提点等购物设施，也可以是街道、广场等与购物不直接关联的空间（比如由公交站台广告引发的网购）。因此，未来研究与规划管理需要重新定义与物资购置功能相关的设施与空间——那些不直接与消费关联的空间也可以作为激发消费潜力的场所，或者需要避免广告、二维码在空间中的过度拥挤。</w:t>
      </w:r>
    </w:p>
    <w:p w14:paraId="2D072E9A">
      <w:pPr>
        <w:pStyle w:val="6"/>
        <w:spacing w:before="120" w:beforeLines="50" w:line="300" w:lineRule="auto"/>
        <w:rPr>
          <w:rFonts w:cs="Times New Roman"/>
        </w:rPr>
      </w:pPr>
      <w:r>
        <w:rPr>
          <w:rFonts w:hint="eastAsia" w:cs="Times New Roman"/>
        </w:rPr>
        <w:t>除了上述变化较大的商业活动外，健康管理、孩子教育、体育健身、事务办理等生活空间受到</w:t>
      </w:r>
      <w:r>
        <w:rPr>
          <w:rFonts w:cs="Times New Roman"/>
        </w:rPr>
        <w:t>ICTs</w:t>
      </w:r>
      <w:r>
        <w:rPr>
          <w:rFonts w:hint="eastAsia" w:cs="Times New Roman"/>
        </w:rPr>
        <w:t>使用影响有限，可能是因为这些活动容易受到时空间制约因而在线上开展较少所致，同时也说明社区生活圈仍然是承载这些活动开展的主要空间，与之相关的公共服务功能需要特定的实体空间设施加以实现。</w:t>
      </w:r>
    </w:p>
    <w:p w14:paraId="61E68B51">
      <w:pPr>
        <w:pStyle w:val="6"/>
        <w:spacing w:before="120" w:beforeLines="50" w:after="0" w:afterLines="0" w:line="300" w:lineRule="auto"/>
        <w:rPr>
          <w:rFonts w:cs="Times New Roman"/>
        </w:rPr>
      </w:pPr>
      <w:r>
        <w:rPr>
          <w:rFonts w:hint="eastAsia" w:cs="Times New Roman"/>
        </w:rPr>
        <w:t>最后，</w:t>
      </w:r>
      <w:r>
        <w:rPr>
          <w:rFonts w:cs="Times New Roman"/>
        </w:rPr>
        <w:t>本研究存在一定的局限性。</w:t>
      </w:r>
      <w:r>
        <w:rPr>
          <w:rFonts w:hint="eastAsia" w:cs="Times New Roman"/>
        </w:rPr>
        <w:t>首先，研究数据所涵盖的时间较短（仅2天，连续的休息日和工作日），部分活动类型（如健康管理、孩子教育、体育健身等）在线上开展频次较低，无法准确评估</w:t>
      </w:r>
      <w:r>
        <w:rPr>
          <w:rFonts w:cs="Times New Roman"/>
        </w:rPr>
        <w:t>ICTs</w:t>
      </w:r>
      <w:r>
        <w:rPr>
          <w:rFonts w:hint="eastAsia" w:cs="Times New Roman"/>
        </w:rPr>
        <w:t>使用对这些类型的生活空间的影响。其次，部分居民将“</w:t>
      </w:r>
      <w:r>
        <w:rPr>
          <w:rFonts w:cs="Times New Roman"/>
        </w:rPr>
        <w:t>填写此次活动日志</w:t>
      </w:r>
      <w:r>
        <w:rPr>
          <w:rFonts w:hint="eastAsia" w:cs="Times New Roman"/>
        </w:rPr>
        <w:t>”视为</w:t>
      </w:r>
      <w:r>
        <w:rPr>
          <w:rFonts w:cs="Times New Roman"/>
        </w:rPr>
        <w:t>事务办理类型活动</w:t>
      </w:r>
      <w:r>
        <w:rPr>
          <w:rFonts w:hint="eastAsia" w:cs="Times New Roman"/>
        </w:rPr>
        <w:t>，这可能会影响该类型生活空间的分析结果。此外，本文以北京市当代—怡美社区生活圈作为研究案例，其空间特征和居民日常生活数字化程度会影响研究结果的适用性。具体来说，北京市城市居民数字化水平较高，研究结果可能对数字化程度较低的社区（如老年社区、农村社区、欠发达地区等）居民生活空间数字化机制解释有限。因此，未来研究有必要采用空间范围更大、时间尺度更长的活动数据对城市居民实虚混合的生活空间做更全面的分析，进而为理解城市空间数字化转型提供指引。</w:t>
      </w:r>
    </w:p>
    <w:p w14:paraId="47102C72">
      <w:pPr>
        <w:spacing w:before="120" w:beforeLines="50" w:line="300" w:lineRule="auto"/>
        <w:ind w:firstLine="0"/>
        <w:rPr>
          <w:sz w:val="21"/>
          <w:szCs w:val="21"/>
          <w:lang w:eastAsia="zh-CN"/>
        </w:rPr>
      </w:pPr>
    </w:p>
    <w:p w14:paraId="1C125DA0">
      <w:pPr>
        <w:spacing w:before="120" w:beforeLines="50" w:line="300" w:lineRule="auto"/>
        <w:ind w:firstLine="0"/>
        <w:rPr>
          <w:sz w:val="21"/>
          <w:szCs w:val="21"/>
          <w:lang w:eastAsia="zh-CN"/>
        </w:rPr>
      </w:pPr>
      <w:r>
        <w:rPr>
          <w:sz w:val="21"/>
          <w:szCs w:val="21"/>
          <w:lang w:eastAsia="zh-CN"/>
        </w:rPr>
        <w:t>注：文中图表均为作者绘制。</w:t>
      </w:r>
    </w:p>
    <w:p w14:paraId="1146E0A3">
      <w:pPr>
        <w:spacing w:before="120" w:beforeLines="50" w:line="300" w:lineRule="auto"/>
        <w:ind w:firstLine="0"/>
        <w:rPr>
          <w:sz w:val="21"/>
          <w:szCs w:val="21"/>
          <w:lang w:eastAsia="zh-CN"/>
        </w:rPr>
      </w:pPr>
    </w:p>
    <w:p w14:paraId="7F9FABB1">
      <w:pPr>
        <w:pStyle w:val="2"/>
      </w:pPr>
      <w:r>
        <w:t>参考文献</w:t>
      </w:r>
    </w:p>
    <w:p w14:paraId="73F1DBA3">
      <w:pPr>
        <w:spacing w:before="120" w:beforeLines="50" w:line="240" w:lineRule="auto"/>
        <w:ind w:left="420" w:hanging="420" w:hangingChars="200"/>
        <w:rPr>
          <w:sz w:val="21"/>
          <w:szCs w:val="21"/>
          <w:lang w:eastAsia="zh-CN"/>
        </w:rPr>
      </w:pPr>
      <w:r>
        <w:rPr>
          <w:sz w:val="21"/>
          <w:szCs w:val="21"/>
          <w:lang w:eastAsia="zh-CN"/>
        </w:rPr>
        <w:t>[1]</w:t>
      </w:r>
      <w:r>
        <w:rPr>
          <w:sz w:val="21"/>
          <w:szCs w:val="21"/>
          <w:lang w:eastAsia="zh-CN"/>
        </w:rPr>
        <w:tab/>
      </w:r>
      <w:r>
        <w:rPr>
          <w:sz w:val="21"/>
          <w:szCs w:val="21"/>
          <w:lang w:eastAsia="zh-CN"/>
        </w:rPr>
        <w:t>李春江, 张艳. 日常生活数字化转向的时间地理学应对[J]. 地理科学进展, 2022, 41(1): 96-106.</w:t>
      </w:r>
    </w:p>
    <w:p w14:paraId="51DDD414">
      <w:pPr>
        <w:spacing w:before="120" w:beforeLines="50" w:line="240" w:lineRule="auto"/>
        <w:ind w:left="420" w:hanging="420" w:hangingChars="200"/>
        <w:rPr>
          <w:sz w:val="21"/>
          <w:szCs w:val="21"/>
          <w:lang w:eastAsia="zh-CN"/>
        </w:rPr>
      </w:pPr>
      <w:r>
        <w:rPr>
          <w:sz w:val="21"/>
          <w:szCs w:val="21"/>
          <w:lang w:eastAsia="zh-CN"/>
        </w:rPr>
        <w:t>[2]</w:t>
      </w:r>
      <w:r>
        <w:rPr>
          <w:sz w:val="21"/>
          <w:szCs w:val="21"/>
          <w:lang w:eastAsia="zh-CN"/>
        </w:rPr>
        <w:tab/>
      </w:r>
      <w:r>
        <w:rPr>
          <w:sz w:val="21"/>
          <w:szCs w:val="21"/>
          <w:lang w:eastAsia="zh-CN"/>
        </w:rPr>
        <w:t>冯健, 沈昕. 信息通讯技术(ICT)与城市地理研究综述[J]. 人文地理, 2021, 36(5): 34-43</w:t>
      </w:r>
      <w:r>
        <w:rPr>
          <w:rFonts w:hint="eastAsia"/>
          <w:sz w:val="21"/>
          <w:szCs w:val="21"/>
          <w:lang w:eastAsia="zh-CN"/>
        </w:rPr>
        <w:t>,</w:t>
      </w:r>
      <w:r>
        <w:rPr>
          <w:sz w:val="21"/>
          <w:szCs w:val="21"/>
          <w:lang w:eastAsia="zh-CN"/>
        </w:rPr>
        <w:t>91.</w:t>
      </w:r>
    </w:p>
    <w:p w14:paraId="461DF156">
      <w:pPr>
        <w:spacing w:before="120" w:beforeLines="50" w:line="240" w:lineRule="auto"/>
        <w:ind w:left="420" w:hanging="420" w:hangingChars="200"/>
        <w:rPr>
          <w:sz w:val="21"/>
          <w:szCs w:val="21"/>
          <w:lang w:eastAsia="zh-CN"/>
        </w:rPr>
      </w:pPr>
      <w:r>
        <w:rPr>
          <w:sz w:val="21"/>
          <w:szCs w:val="21"/>
          <w:lang w:eastAsia="zh-CN"/>
        </w:rPr>
        <w:t>[3]</w:t>
      </w:r>
      <w:r>
        <w:rPr>
          <w:sz w:val="21"/>
          <w:szCs w:val="21"/>
          <w:lang w:eastAsia="zh-CN"/>
        </w:rPr>
        <w:tab/>
      </w:r>
      <w:r>
        <w:rPr>
          <w:sz w:val="21"/>
          <w:szCs w:val="21"/>
          <w:lang w:eastAsia="zh-CN"/>
        </w:rPr>
        <w:t>甄峰, 魏宗财, 杨山, 等. 信息技术对城市居民出行特征的影响</w:t>
      </w:r>
      <w:r>
        <w:rPr>
          <w:rFonts w:hint="eastAsia"/>
          <w:sz w:val="21"/>
          <w:szCs w:val="21"/>
          <w:lang w:eastAsia="zh-CN"/>
        </w:rPr>
        <w:t>——</w:t>
      </w:r>
      <w:r>
        <w:rPr>
          <w:sz w:val="21"/>
          <w:szCs w:val="21"/>
          <w:lang w:eastAsia="zh-CN"/>
        </w:rPr>
        <w:t>以南京为例[J]. 地理研究, 2009, 28(5): 1307-1317.</w:t>
      </w:r>
    </w:p>
    <w:p w14:paraId="05C04391">
      <w:pPr>
        <w:spacing w:before="120" w:beforeLines="50" w:line="240" w:lineRule="auto"/>
        <w:ind w:left="420" w:hanging="420" w:hangingChars="200"/>
        <w:rPr>
          <w:sz w:val="21"/>
          <w:szCs w:val="21"/>
          <w:lang w:eastAsia="zh-CN"/>
        </w:rPr>
      </w:pPr>
      <w:r>
        <w:rPr>
          <w:sz w:val="21"/>
          <w:szCs w:val="21"/>
          <w:lang w:eastAsia="zh-CN"/>
        </w:rPr>
        <w:t>[4]</w:t>
      </w:r>
      <w:r>
        <w:rPr>
          <w:sz w:val="21"/>
          <w:szCs w:val="21"/>
          <w:lang w:eastAsia="zh-CN"/>
        </w:rPr>
        <w:tab/>
      </w:r>
      <w:r>
        <w:rPr>
          <w:sz w:val="21"/>
          <w:szCs w:val="21"/>
          <w:lang w:eastAsia="zh-CN"/>
        </w:rPr>
        <w:t>张玮, 冯健. 中国手机移动地图使用对居民出行的影响及其机理分析[J]. 人文地理, 2021, 36(5): 53-62.</w:t>
      </w:r>
    </w:p>
    <w:p w14:paraId="3BECC48D">
      <w:pPr>
        <w:spacing w:before="120" w:beforeLines="50" w:line="240" w:lineRule="auto"/>
        <w:ind w:left="420" w:hanging="420" w:hangingChars="200"/>
        <w:rPr>
          <w:sz w:val="21"/>
          <w:szCs w:val="21"/>
          <w:lang w:eastAsia="zh-CN"/>
        </w:rPr>
      </w:pPr>
      <w:r>
        <w:rPr>
          <w:sz w:val="21"/>
          <w:szCs w:val="21"/>
          <w:lang w:eastAsia="zh-CN"/>
        </w:rPr>
        <w:t>[5]</w:t>
      </w:r>
      <w:r>
        <w:rPr>
          <w:sz w:val="21"/>
          <w:szCs w:val="21"/>
          <w:lang w:eastAsia="zh-CN"/>
        </w:rPr>
        <w:tab/>
      </w:r>
      <w:r>
        <w:rPr>
          <w:sz w:val="21"/>
          <w:szCs w:val="21"/>
          <w:lang w:eastAsia="zh-CN"/>
        </w:rPr>
        <w:t>赵霖, 甄峰, 龙萨金. 信息技术对南京城市居民休闲活动与出行的影响[J]. 人文地理, 2013, 28(1): 56-61.</w:t>
      </w:r>
    </w:p>
    <w:p w14:paraId="053D3BE1">
      <w:pPr>
        <w:spacing w:before="120" w:beforeLines="50" w:line="240" w:lineRule="auto"/>
        <w:ind w:left="420" w:hanging="420" w:hangingChars="200"/>
        <w:rPr>
          <w:sz w:val="21"/>
          <w:szCs w:val="21"/>
          <w:lang w:eastAsia="zh-CN"/>
        </w:rPr>
      </w:pPr>
      <w:r>
        <w:rPr>
          <w:sz w:val="21"/>
          <w:szCs w:val="21"/>
          <w:lang w:eastAsia="zh-CN"/>
        </w:rPr>
        <w:t>[6]</w:t>
      </w:r>
      <w:r>
        <w:rPr>
          <w:sz w:val="21"/>
          <w:szCs w:val="21"/>
          <w:lang w:eastAsia="zh-CN"/>
        </w:rPr>
        <w:tab/>
      </w:r>
      <w:r>
        <w:rPr>
          <w:sz w:val="21"/>
          <w:szCs w:val="21"/>
          <w:lang w:eastAsia="zh-CN"/>
        </w:rPr>
        <w:t>汪明峰, 卢姗. 替代抑或补充</w:t>
      </w:r>
      <w:r>
        <w:rPr>
          <w:rFonts w:hint="eastAsia"/>
          <w:sz w:val="21"/>
          <w:szCs w:val="21"/>
          <w:lang w:eastAsia="zh-CN"/>
        </w:rPr>
        <w:t>：</w:t>
      </w:r>
      <w:r>
        <w:rPr>
          <w:sz w:val="21"/>
          <w:szCs w:val="21"/>
          <w:lang w:eastAsia="zh-CN"/>
        </w:rPr>
        <w:t>网上购物与传统购物出行的关系研究[J]. 人文地理, 2012, 27(3): 44-49.</w:t>
      </w:r>
    </w:p>
    <w:p w14:paraId="192ED45F">
      <w:pPr>
        <w:spacing w:before="120" w:beforeLines="50" w:line="240" w:lineRule="auto"/>
        <w:ind w:left="420" w:hanging="420" w:hangingChars="200"/>
        <w:rPr>
          <w:sz w:val="21"/>
          <w:szCs w:val="21"/>
          <w:lang w:eastAsia="zh-CN"/>
        </w:rPr>
      </w:pPr>
      <w:r>
        <w:rPr>
          <w:sz w:val="21"/>
          <w:szCs w:val="21"/>
          <w:lang w:eastAsia="zh-CN"/>
        </w:rPr>
        <w:t>[7]</w:t>
      </w:r>
      <w:r>
        <w:rPr>
          <w:sz w:val="21"/>
          <w:szCs w:val="21"/>
          <w:lang w:eastAsia="zh-CN"/>
        </w:rPr>
        <w:tab/>
      </w:r>
      <w:r>
        <w:rPr>
          <w:sz w:val="21"/>
          <w:szCs w:val="21"/>
          <w:lang w:eastAsia="zh-CN"/>
        </w:rPr>
        <w:t>席广亮, 甄峰, 汪侠, 等. 南京市居民网络消费的影响因素及空间特征[J]. 地理研究, 2014, 33(2): 284-295.</w:t>
      </w:r>
    </w:p>
    <w:p w14:paraId="6F230DAC">
      <w:pPr>
        <w:spacing w:before="120" w:beforeLines="50" w:line="240" w:lineRule="auto"/>
        <w:ind w:left="420" w:hanging="420" w:hangingChars="200"/>
        <w:rPr>
          <w:sz w:val="21"/>
          <w:szCs w:val="21"/>
          <w:lang w:eastAsia="zh-CN"/>
        </w:rPr>
      </w:pPr>
      <w:r>
        <w:rPr>
          <w:sz w:val="21"/>
          <w:szCs w:val="21"/>
          <w:lang w:eastAsia="zh-CN"/>
        </w:rPr>
        <w:t>[8]</w:t>
      </w:r>
      <w:r>
        <w:rPr>
          <w:sz w:val="21"/>
          <w:szCs w:val="21"/>
          <w:lang w:eastAsia="zh-CN"/>
        </w:rPr>
        <w:tab/>
      </w:r>
      <w:r>
        <w:rPr>
          <w:sz w:val="21"/>
          <w:szCs w:val="21"/>
          <w:lang w:eastAsia="zh-CN"/>
        </w:rPr>
        <w:t>LI C, THULIN E, CHAI Y. Understanding the hybridization of everyday activities from a time-geographic perspective[J]. Annals of the American Association of Geographers, 2024, 114(1): 185-199.</w:t>
      </w:r>
    </w:p>
    <w:p w14:paraId="530BC198">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9]</w:t>
      </w:r>
      <w:r>
        <w:rPr>
          <w:sz w:val="21"/>
          <w:szCs w:val="21"/>
          <w:lang w:eastAsia="zh-CN"/>
        </w:rPr>
        <w:tab/>
      </w:r>
      <w:r>
        <w:rPr>
          <w:sz w:val="21"/>
          <w:szCs w:val="21"/>
          <w:lang w:eastAsia="zh-CN"/>
        </w:rPr>
        <w:t>LESZCZYNSKI, A. Spatial media/tion</w:t>
      </w:r>
      <w:r>
        <w:rPr>
          <w:rFonts w:hint="eastAsia"/>
          <w:sz w:val="21"/>
          <w:szCs w:val="21"/>
          <w:lang w:eastAsia="zh-CN"/>
        </w:rPr>
        <w:t>[J]</w:t>
      </w:r>
      <w:r>
        <w:rPr>
          <w:sz w:val="21"/>
          <w:szCs w:val="21"/>
          <w:lang w:eastAsia="zh-CN"/>
        </w:rPr>
        <w:t>. Progress in human geography, 2015</w:t>
      </w:r>
      <w:r>
        <w:rPr>
          <w:rFonts w:hint="eastAsia"/>
          <w:sz w:val="21"/>
          <w:szCs w:val="21"/>
          <w:lang w:eastAsia="zh-CN"/>
        </w:rPr>
        <w:t>,</w:t>
      </w:r>
      <w:r>
        <w:rPr>
          <w:sz w:val="21"/>
          <w:szCs w:val="21"/>
          <w:lang w:eastAsia="zh-CN"/>
        </w:rPr>
        <w:t xml:space="preserve"> 39(6)</w:t>
      </w:r>
      <w:r>
        <w:rPr>
          <w:rFonts w:hint="eastAsia"/>
          <w:sz w:val="21"/>
          <w:szCs w:val="21"/>
          <w:lang w:eastAsia="zh-CN"/>
        </w:rPr>
        <w:t>:</w:t>
      </w:r>
      <w:r>
        <w:rPr>
          <w:sz w:val="21"/>
          <w:szCs w:val="21"/>
          <w:lang w:eastAsia="zh-CN"/>
        </w:rPr>
        <w:t xml:space="preserve"> 729-751.</w:t>
      </w:r>
    </w:p>
    <w:p w14:paraId="4FFD8D98">
      <w:pPr>
        <w:spacing w:before="120" w:beforeLines="50" w:line="240" w:lineRule="auto"/>
        <w:ind w:left="420" w:hanging="420" w:hangingChars="200"/>
        <w:rPr>
          <w:sz w:val="21"/>
          <w:szCs w:val="21"/>
          <w:lang w:eastAsia="zh-CN"/>
        </w:rPr>
      </w:pPr>
      <w:r>
        <w:rPr>
          <w:sz w:val="21"/>
          <w:szCs w:val="21"/>
          <w:lang w:eastAsia="zh-CN"/>
        </w:rPr>
        <w:t>[10]</w:t>
      </w:r>
      <w:r>
        <w:rPr>
          <w:sz w:val="21"/>
          <w:szCs w:val="21"/>
          <w:lang w:eastAsia="zh-CN"/>
        </w:rPr>
        <w:tab/>
      </w:r>
      <w:r>
        <w:rPr>
          <w:sz w:val="21"/>
          <w:szCs w:val="21"/>
          <w:lang w:eastAsia="zh-CN"/>
        </w:rPr>
        <w:t>姜玉培, 甄峰. 信息通信技术对城市居民生活空间的影响及规划策略研究[J]. 国际城市规划, 2018, 33(6): 88-93.</w:t>
      </w:r>
      <w:r>
        <w:rPr>
          <w:rFonts w:ascii="ATC-6c494eea4e2d7b497ebf7b80*+T" w:eastAsia="ATC-6c494eea4e2d7b497ebf7b80*+T" w:cs="ATC-6c494eea4e2d7b497ebf7b80*+T" w:hAnsiTheme="minorHAnsi"/>
          <w:sz w:val="13"/>
          <w:szCs w:val="13"/>
          <w:lang w:val="en-US" w:eastAsia="zh-CN"/>
        </w:rPr>
        <w:t xml:space="preserve"> </w:t>
      </w:r>
      <w:r>
        <w:rPr>
          <w:sz w:val="21"/>
          <w:szCs w:val="21"/>
          <w:lang w:val="en-US" w:eastAsia="zh-CN"/>
        </w:rPr>
        <w:t>DOI</w:t>
      </w:r>
      <w:r>
        <w:rPr>
          <w:rFonts w:hint="eastAsia"/>
          <w:sz w:val="21"/>
          <w:szCs w:val="21"/>
          <w:lang w:val="en-US" w:eastAsia="zh-CN"/>
        </w:rPr>
        <w:t xml:space="preserve">: </w:t>
      </w:r>
      <w:r>
        <w:rPr>
          <w:sz w:val="21"/>
          <w:szCs w:val="21"/>
          <w:lang w:val="en-US" w:eastAsia="zh-CN"/>
        </w:rPr>
        <w:t>10.22217/upi.2017.476</w:t>
      </w:r>
      <w:r>
        <w:rPr>
          <w:rFonts w:hint="eastAsia"/>
          <w:sz w:val="21"/>
          <w:szCs w:val="21"/>
          <w:lang w:val="en-US" w:eastAsia="zh-CN"/>
        </w:rPr>
        <w:t>.</w:t>
      </w:r>
    </w:p>
    <w:p w14:paraId="50190999">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11</w:t>
      </w:r>
      <w:r>
        <w:rPr>
          <w:rFonts w:hint="eastAsia"/>
          <w:sz w:val="21"/>
          <w:szCs w:val="21"/>
          <w:lang w:eastAsia="zh-CN"/>
        </w:rPr>
        <w:t>]</w:t>
      </w:r>
      <w:r>
        <w:rPr>
          <w:sz w:val="21"/>
          <w:szCs w:val="21"/>
          <w:lang w:eastAsia="zh-CN"/>
        </w:rPr>
        <w:tab/>
      </w:r>
      <w:r>
        <w:rPr>
          <w:rFonts w:hint="eastAsia"/>
          <w:sz w:val="21"/>
          <w:szCs w:val="21"/>
          <w:lang w:eastAsia="zh-CN"/>
        </w:rPr>
        <w:t>申悦,</w:t>
      </w:r>
      <w:r>
        <w:rPr>
          <w:sz w:val="21"/>
          <w:szCs w:val="21"/>
          <w:lang w:eastAsia="zh-CN"/>
        </w:rPr>
        <w:t xml:space="preserve"> </w:t>
      </w:r>
      <w:r>
        <w:rPr>
          <w:rFonts w:hint="eastAsia"/>
          <w:sz w:val="21"/>
          <w:szCs w:val="21"/>
          <w:lang w:eastAsia="zh-CN"/>
        </w:rPr>
        <w:t>塔娜,</w:t>
      </w:r>
      <w:r>
        <w:rPr>
          <w:sz w:val="21"/>
          <w:szCs w:val="21"/>
          <w:lang w:eastAsia="zh-CN"/>
        </w:rPr>
        <w:t xml:space="preserve"> </w:t>
      </w:r>
      <w:r>
        <w:rPr>
          <w:rFonts w:hint="eastAsia"/>
          <w:sz w:val="21"/>
          <w:szCs w:val="21"/>
          <w:lang w:eastAsia="zh-CN"/>
        </w:rPr>
        <w:t>柴彦威. 基于生活空间与活动空间视角的郊区空间研究框架[J]. 人文地理, 2017, 32(4): 1-6.</w:t>
      </w:r>
    </w:p>
    <w:p w14:paraId="7A7D7E73">
      <w:pPr>
        <w:spacing w:before="120" w:beforeLines="50" w:line="240" w:lineRule="auto"/>
        <w:ind w:left="420" w:hanging="420" w:hangingChars="200"/>
        <w:rPr>
          <w:sz w:val="21"/>
          <w:szCs w:val="21"/>
          <w:lang w:eastAsia="zh-CN"/>
        </w:rPr>
      </w:pPr>
      <w:r>
        <w:rPr>
          <w:sz w:val="21"/>
          <w:szCs w:val="21"/>
          <w:lang w:eastAsia="zh-CN"/>
        </w:rPr>
        <w:t>[12]</w:t>
      </w:r>
      <w:r>
        <w:rPr>
          <w:sz w:val="21"/>
          <w:szCs w:val="21"/>
          <w:lang w:eastAsia="zh-CN"/>
        </w:rPr>
        <w:tab/>
      </w:r>
      <w:r>
        <w:rPr>
          <w:sz w:val="21"/>
          <w:szCs w:val="21"/>
          <w:lang w:eastAsia="zh-CN"/>
        </w:rPr>
        <w:t>李春江, 柴彦威. 城市虚实活动系统的理论构建[J]. 地理学报, 2024, 79(4): 837-853.</w:t>
      </w:r>
    </w:p>
    <w:p w14:paraId="24D2DBCD">
      <w:pPr>
        <w:spacing w:before="120" w:beforeLines="50" w:line="240" w:lineRule="auto"/>
        <w:ind w:left="420" w:hanging="420" w:hangingChars="200"/>
        <w:rPr>
          <w:sz w:val="21"/>
          <w:szCs w:val="21"/>
          <w:lang w:eastAsia="zh-CN"/>
        </w:rPr>
      </w:pPr>
      <w:r>
        <w:rPr>
          <w:sz w:val="21"/>
          <w:szCs w:val="21"/>
          <w:lang w:eastAsia="zh-CN"/>
        </w:rPr>
        <w:t>[13]</w:t>
      </w:r>
      <w:r>
        <w:rPr>
          <w:sz w:val="21"/>
          <w:szCs w:val="21"/>
          <w:lang w:eastAsia="zh-CN"/>
        </w:rPr>
        <w:tab/>
      </w:r>
      <w:r>
        <w:rPr>
          <w:sz w:val="21"/>
          <w:szCs w:val="21"/>
          <w:lang w:eastAsia="zh-CN"/>
        </w:rPr>
        <w:t>牛强, 张浩, 伍磊, 等. 近年来移动办公发展的</w:t>
      </w:r>
      <w:r>
        <w:rPr>
          <w:rFonts w:hint="eastAsia"/>
          <w:sz w:val="21"/>
          <w:szCs w:val="21"/>
          <w:lang w:eastAsia="zh-CN"/>
        </w:rPr>
        <w:t>城——郊异质性特征研究——基</w:t>
      </w:r>
      <w:r>
        <w:rPr>
          <w:sz w:val="21"/>
          <w:szCs w:val="21"/>
          <w:lang w:eastAsia="zh-CN"/>
        </w:rPr>
        <w:t>于2019年与2021年武汉市联通用户手机App使用大数据[J]. 地理科学进展, 2022, 41(8): 1428-1439.</w:t>
      </w:r>
    </w:p>
    <w:p w14:paraId="484704C4">
      <w:pPr>
        <w:spacing w:before="120" w:beforeLines="50" w:line="240" w:lineRule="auto"/>
        <w:ind w:left="420" w:hanging="420" w:hangingChars="200"/>
        <w:rPr>
          <w:sz w:val="21"/>
          <w:szCs w:val="21"/>
          <w:lang w:eastAsia="zh-CN"/>
        </w:rPr>
      </w:pPr>
      <w:r>
        <w:rPr>
          <w:sz w:val="21"/>
          <w:szCs w:val="21"/>
          <w:lang w:eastAsia="zh-CN"/>
        </w:rPr>
        <w:t>[14]</w:t>
      </w:r>
      <w:r>
        <w:rPr>
          <w:sz w:val="21"/>
          <w:szCs w:val="21"/>
          <w:lang w:eastAsia="zh-CN"/>
        </w:rPr>
        <w:tab/>
      </w:r>
      <w:r>
        <w:rPr>
          <w:sz w:val="21"/>
          <w:szCs w:val="21"/>
          <w:lang w:eastAsia="zh-CN"/>
        </w:rPr>
        <w:t>管若尘, 甄峰, 席广亮, 等. 基于手机APP的居民线上行为空间分布特征研究</w:t>
      </w:r>
      <w:r>
        <w:rPr>
          <w:rFonts w:hint="eastAsia"/>
          <w:sz w:val="21"/>
          <w:szCs w:val="21"/>
          <w:lang w:eastAsia="zh-CN"/>
        </w:rPr>
        <w:t>——</w:t>
      </w:r>
      <w:r>
        <w:rPr>
          <w:sz w:val="21"/>
          <w:szCs w:val="21"/>
          <w:lang w:eastAsia="zh-CN"/>
        </w:rPr>
        <w:t>以南京中心城区为例[J]. 人文地理, 2022, 37(5): 89-96.</w:t>
      </w:r>
    </w:p>
    <w:p w14:paraId="729F05F5">
      <w:pPr>
        <w:spacing w:before="120" w:beforeLines="50" w:line="240" w:lineRule="auto"/>
        <w:ind w:left="420" w:hanging="420" w:hangingChars="200"/>
        <w:rPr>
          <w:sz w:val="21"/>
          <w:szCs w:val="21"/>
          <w:lang w:eastAsia="zh-CN"/>
        </w:rPr>
      </w:pPr>
      <w:r>
        <w:rPr>
          <w:sz w:val="21"/>
          <w:szCs w:val="21"/>
          <w:lang w:eastAsia="zh-CN"/>
        </w:rPr>
        <w:t>[15]</w:t>
      </w:r>
      <w:r>
        <w:rPr>
          <w:sz w:val="21"/>
          <w:szCs w:val="21"/>
          <w:lang w:eastAsia="zh-CN"/>
        </w:rPr>
        <w:tab/>
      </w:r>
      <w:r>
        <w:rPr>
          <w:sz w:val="21"/>
          <w:szCs w:val="21"/>
          <w:lang w:eastAsia="zh-CN"/>
        </w:rPr>
        <w:t>牛强, 陈树林, 伍磊. 基于手机App使用大数据的居民线上生活空间结构初探</w:t>
      </w:r>
      <w:r>
        <w:rPr>
          <w:rFonts w:hint="eastAsia"/>
          <w:sz w:val="21"/>
          <w:szCs w:val="21"/>
          <w:lang w:eastAsia="zh-CN"/>
        </w:rPr>
        <w:t>——</w:t>
      </w:r>
      <w:r>
        <w:rPr>
          <w:sz w:val="21"/>
          <w:szCs w:val="21"/>
          <w:lang w:eastAsia="zh-CN"/>
        </w:rPr>
        <w:t>以武汉市都市发展区为例[J]. 地理研究, 2024, 43(4): 966-984.</w:t>
      </w:r>
    </w:p>
    <w:p w14:paraId="291442F8">
      <w:pPr>
        <w:spacing w:before="120" w:beforeLines="50" w:line="240" w:lineRule="auto"/>
        <w:ind w:left="420" w:hanging="420" w:hangingChars="200"/>
        <w:rPr>
          <w:sz w:val="21"/>
          <w:szCs w:val="21"/>
          <w:lang w:eastAsia="zh-CN"/>
        </w:rPr>
      </w:pPr>
      <w:r>
        <w:rPr>
          <w:sz w:val="21"/>
          <w:szCs w:val="21"/>
          <w:lang w:eastAsia="zh-CN"/>
        </w:rPr>
        <w:t>[16]</w:t>
      </w:r>
      <w:r>
        <w:rPr>
          <w:sz w:val="21"/>
          <w:szCs w:val="21"/>
          <w:lang w:eastAsia="zh-CN"/>
        </w:rPr>
        <w:tab/>
      </w:r>
      <w:r>
        <w:rPr>
          <w:sz w:val="21"/>
          <w:szCs w:val="21"/>
          <w:shd w:val="clear" w:color="auto" w:fill="FFFFFF"/>
          <w:lang w:eastAsia="zh-CN"/>
        </w:rPr>
        <w:t>柴彦威, 李春江. 城市生活圈规</w:t>
      </w:r>
      <w:r>
        <w:rPr>
          <w:rFonts w:hint="eastAsia"/>
          <w:sz w:val="21"/>
          <w:szCs w:val="21"/>
          <w:shd w:val="clear" w:color="auto" w:fill="FFFFFF"/>
          <w:lang w:eastAsia="zh-CN"/>
        </w:rPr>
        <w:t>划：从研</w:t>
      </w:r>
      <w:r>
        <w:rPr>
          <w:sz w:val="21"/>
          <w:szCs w:val="21"/>
          <w:shd w:val="clear" w:color="auto" w:fill="FFFFFF"/>
          <w:lang w:eastAsia="zh-CN"/>
        </w:rPr>
        <w:t>究到实践[J]. 城市规划, 2019, 43(5): 9-16</w:t>
      </w:r>
      <w:r>
        <w:rPr>
          <w:rFonts w:hint="eastAsia"/>
          <w:sz w:val="21"/>
          <w:szCs w:val="21"/>
          <w:shd w:val="clear" w:color="auto" w:fill="FFFFFF"/>
          <w:lang w:eastAsia="zh-CN"/>
        </w:rPr>
        <w:t>,</w:t>
      </w:r>
      <w:r>
        <w:rPr>
          <w:sz w:val="21"/>
          <w:szCs w:val="21"/>
          <w:shd w:val="clear" w:color="auto" w:fill="FFFFFF"/>
          <w:lang w:eastAsia="zh-CN"/>
        </w:rPr>
        <w:t>60.</w:t>
      </w:r>
    </w:p>
    <w:p w14:paraId="0959E001">
      <w:pPr>
        <w:spacing w:before="120" w:beforeLines="50" w:line="240" w:lineRule="auto"/>
        <w:ind w:left="420" w:hanging="420" w:hangingChars="200"/>
        <w:rPr>
          <w:sz w:val="21"/>
          <w:szCs w:val="21"/>
          <w:lang w:eastAsia="zh-CN"/>
        </w:rPr>
      </w:pPr>
      <w:r>
        <w:rPr>
          <w:sz w:val="21"/>
          <w:szCs w:val="21"/>
          <w:lang w:eastAsia="zh-CN"/>
        </w:rPr>
        <w:t>[17]</w:t>
      </w:r>
      <w:r>
        <w:rPr>
          <w:sz w:val="21"/>
          <w:szCs w:val="21"/>
          <w:lang w:eastAsia="zh-CN"/>
        </w:rPr>
        <w:tab/>
      </w:r>
      <w:r>
        <w:rPr>
          <w:sz w:val="21"/>
          <w:szCs w:val="21"/>
          <w:lang w:eastAsia="zh-CN"/>
        </w:rPr>
        <w:t>柴彦威, 李春江, 张艳. 社区生活圈的新时间地理学研究框架[J]. 地理科学进展, 2020, 39(12): 1961-1971.</w:t>
      </w:r>
    </w:p>
    <w:p w14:paraId="57F32F29">
      <w:pPr>
        <w:spacing w:before="120" w:beforeLines="50" w:line="240" w:lineRule="auto"/>
        <w:ind w:left="420" w:hanging="420" w:hangingChars="200"/>
        <w:rPr>
          <w:sz w:val="21"/>
          <w:szCs w:val="21"/>
          <w:lang w:eastAsia="zh-CN"/>
        </w:rPr>
      </w:pPr>
      <w:r>
        <w:rPr>
          <w:sz w:val="21"/>
          <w:szCs w:val="21"/>
          <w:lang w:eastAsia="zh-CN"/>
        </w:rPr>
        <w:t>[18]</w:t>
      </w:r>
      <w:r>
        <w:rPr>
          <w:sz w:val="21"/>
          <w:szCs w:val="21"/>
          <w:shd w:val="clear" w:color="auto" w:fill="FFFFFF"/>
          <w:lang w:eastAsia="zh-CN"/>
        </w:rPr>
        <w:tab/>
      </w:r>
      <w:r>
        <w:rPr>
          <w:sz w:val="21"/>
          <w:szCs w:val="21"/>
          <w:shd w:val="clear" w:color="auto" w:fill="FFFFFF"/>
          <w:lang w:eastAsia="zh-CN"/>
        </w:rPr>
        <w:t>概念·方法·实践：</w:t>
      </w:r>
      <w:r>
        <w:rPr>
          <w:rFonts w:hint="eastAsia"/>
          <w:sz w:val="21"/>
          <w:szCs w:val="21"/>
          <w:shd w:val="clear" w:color="auto" w:fill="FFFFFF"/>
          <w:lang w:eastAsia="zh-CN"/>
        </w:rPr>
        <w:t>“</w:t>
      </w:r>
      <w:r>
        <w:rPr>
          <w:sz w:val="21"/>
          <w:szCs w:val="21"/>
          <w:shd w:val="clear" w:color="auto" w:fill="FFFFFF"/>
          <w:lang w:eastAsia="zh-CN"/>
        </w:rPr>
        <w:t>15分钟社区生活圈规划</w:t>
      </w:r>
      <w:r>
        <w:rPr>
          <w:rFonts w:hint="eastAsia"/>
          <w:sz w:val="21"/>
          <w:szCs w:val="21"/>
          <w:shd w:val="clear" w:color="auto" w:fill="FFFFFF"/>
          <w:lang w:eastAsia="zh-CN"/>
        </w:rPr>
        <w:t>”</w:t>
      </w:r>
      <w:r>
        <w:rPr>
          <w:sz w:val="21"/>
          <w:szCs w:val="21"/>
          <w:shd w:val="clear" w:color="auto" w:fill="FFFFFF"/>
          <w:lang w:eastAsia="zh-CN"/>
        </w:rPr>
        <w:t>的核心要义辨析学术笔谈[J]. 城市规划学刊, 2020(1): 1-8.</w:t>
      </w:r>
    </w:p>
    <w:p w14:paraId="70CFE634">
      <w:pPr>
        <w:spacing w:before="120" w:beforeLines="50" w:line="240" w:lineRule="auto"/>
        <w:ind w:left="420" w:hanging="420" w:hangingChars="200"/>
        <w:rPr>
          <w:sz w:val="21"/>
          <w:szCs w:val="21"/>
          <w:lang w:eastAsia="zh-CN"/>
        </w:rPr>
      </w:pPr>
      <w:r>
        <w:rPr>
          <w:sz w:val="21"/>
          <w:szCs w:val="21"/>
          <w:lang w:eastAsia="zh-CN"/>
        </w:rPr>
        <w:t>[19]</w:t>
      </w:r>
      <w:r>
        <w:rPr>
          <w:sz w:val="21"/>
          <w:szCs w:val="21"/>
          <w:lang w:eastAsia="zh-CN"/>
        </w:rPr>
        <w:tab/>
      </w:r>
      <w:r>
        <w:rPr>
          <w:sz w:val="21"/>
          <w:szCs w:val="21"/>
          <w:lang w:eastAsia="zh-CN"/>
        </w:rPr>
        <w:t>伍磊, 牛强, 阿吉艾比布拉·艾尼瓦尔, 等. 虚实融合的线上线下社区生活圈：迭代升级与规划探索[J]. 城市规划学刊, 2024(2): 25-33.</w:t>
      </w:r>
    </w:p>
    <w:p w14:paraId="72BF3E7E">
      <w:pPr>
        <w:spacing w:before="120" w:beforeLines="50" w:line="240" w:lineRule="auto"/>
        <w:ind w:left="420" w:hanging="420" w:hangingChars="200"/>
        <w:rPr>
          <w:sz w:val="21"/>
          <w:szCs w:val="21"/>
          <w:lang w:eastAsia="zh-CN"/>
        </w:rPr>
      </w:pPr>
      <w:r>
        <w:rPr>
          <w:sz w:val="21"/>
          <w:szCs w:val="21"/>
          <w:lang w:eastAsia="zh-CN"/>
        </w:rPr>
        <w:t>[20]</w:t>
      </w:r>
      <w:r>
        <w:rPr>
          <w:sz w:val="21"/>
          <w:szCs w:val="21"/>
          <w:lang w:eastAsia="zh-CN"/>
        </w:rPr>
        <w:tab/>
      </w:r>
      <w:r>
        <w:rPr>
          <w:sz w:val="21"/>
          <w:szCs w:val="21"/>
          <w:lang w:eastAsia="zh-CN"/>
        </w:rPr>
        <w:t>牛强, 易帅, 顾重泰, 等. 面向线上线下社区生活圈的服务设施配套新理念新方法</w:t>
      </w:r>
      <w:r>
        <w:rPr>
          <w:rFonts w:hint="eastAsia"/>
          <w:sz w:val="21"/>
          <w:szCs w:val="21"/>
          <w:lang w:eastAsia="zh-CN"/>
        </w:rPr>
        <w:t>——</w:t>
      </w:r>
      <w:r>
        <w:rPr>
          <w:sz w:val="21"/>
          <w:szCs w:val="21"/>
          <w:lang w:eastAsia="zh-CN"/>
        </w:rPr>
        <w:t>以武汉市为例[J]. 城市规划学刊, 2019(6): 81-86.</w:t>
      </w:r>
    </w:p>
    <w:p w14:paraId="2DCD4D4D">
      <w:pPr>
        <w:spacing w:before="120" w:beforeLines="50" w:line="240" w:lineRule="auto"/>
        <w:ind w:left="420" w:hanging="420" w:hangingChars="200"/>
        <w:rPr>
          <w:sz w:val="21"/>
          <w:szCs w:val="21"/>
          <w:lang w:eastAsia="zh-CN"/>
        </w:rPr>
      </w:pPr>
      <w:r>
        <w:rPr>
          <w:sz w:val="21"/>
          <w:szCs w:val="21"/>
          <w:lang w:eastAsia="zh-CN"/>
        </w:rPr>
        <w:t>[21]</w:t>
      </w:r>
      <w:r>
        <w:rPr>
          <w:sz w:val="21"/>
          <w:szCs w:val="21"/>
          <w:lang w:eastAsia="zh-CN"/>
        </w:rPr>
        <w:tab/>
      </w:r>
      <w:r>
        <w:rPr>
          <w:sz w:val="21"/>
          <w:szCs w:val="21"/>
          <w:lang w:eastAsia="zh-CN"/>
        </w:rPr>
        <w:t>牛强, 姜祎笑, 陈树林, 等. 线上线下模式下郊区新城生活服务公平化的内在机制研究[J]. 规划师, 2022, 38(12): 57-64.</w:t>
      </w:r>
    </w:p>
    <w:p w14:paraId="381B619C">
      <w:pPr>
        <w:spacing w:before="120" w:beforeLines="50" w:line="240" w:lineRule="auto"/>
        <w:ind w:left="420" w:hanging="420" w:hangingChars="200"/>
        <w:rPr>
          <w:sz w:val="21"/>
          <w:szCs w:val="21"/>
          <w:lang w:eastAsia="zh-CN"/>
        </w:rPr>
      </w:pPr>
      <w:r>
        <w:rPr>
          <w:sz w:val="21"/>
          <w:szCs w:val="21"/>
          <w:lang w:eastAsia="zh-CN"/>
        </w:rPr>
        <w:t>[22]</w:t>
      </w:r>
      <w:r>
        <w:rPr>
          <w:sz w:val="21"/>
          <w:szCs w:val="21"/>
          <w:lang w:eastAsia="zh-CN"/>
        </w:rPr>
        <w:tab/>
      </w:r>
      <w:r>
        <w:rPr>
          <w:sz w:val="21"/>
          <w:szCs w:val="21"/>
          <w:lang w:eastAsia="zh-CN"/>
        </w:rPr>
        <w:t>伍磊, 牛强, 席钰诗. 信息时代社区养老空间配置的变化、机遇和建议</w:t>
      </w:r>
      <w:r>
        <w:rPr>
          <w:rFonts w:hint="eastAsia"/>
          <w:sz w:val="21"/>
          <w:szCs w:val="21"/>
          <w:lang w:eastAsia="zh-CN"/>
        </w:rPr>
        <w:t>——</w:t>
      </w:r>
      <w:r>
        <w:rPr>
          <w:sz w:val="21"/>
          <w:szCs w:val="21"/>
          <w:lang w:eastAsia="zh-CN"/>
        </w:rPr>
        <w:t>基于线上、线下融合服务的视角[J]. 城乡规划, 2024(1): 14-23.</w:t>
      </w:r>
    </w:p>
    <w:p w14:paraId="5C7B4B77">
      <w:pPr>
        <w:spacing w:before="120" w:beforeLines="50" w:line="240" w:lineRule="auto"/>
        <w:ind w:left="420" w:hanging="420" w:hangingChars="200"/>
        <w:rPr>
          <w:sz w:val="21"/>
          <w:szCs w:val="21"/>
          <w:lang w:eastAsia="ja-JP"/>
        </w:rPr>
      </w:pPr>
      <w:r>
        <w:rPr>
          <w:sz w:val="21"/>
          <w:szCs w:val="21"/>
          <w:lang w:eastAsia="ja-JP"/>
        </w:rPr>
        <w:t>[23]</w:t>
      </w:r>
      <w:r>
        <w:rPr>
          <w:sz w:val="21"/>
          <w:szCs w:val="21"/>
          <w:lang w:eastAsia="ja-JP"/>
        </w:rPr>
        <w:tab/>
      </w:r>
      <w:r>
        <w:rPr>
          <w:sz w:val="21"/>
          <w:szCs w:val="21"/>
          <w:lang w:eastAsia="ja-JP"/>
        </w:rPr>
        <w:t>荒井良雄. 圈域と生活行動の位相空間[J].</w:t>
      </w:r>
      <w:r>
        <w:rPr>
          <w:rFonts w:hint="eastAsia"/>
          <w:sz w:val="21"/>
          <w:szCs w:val="21"/>
          <w:lang w:eastAsia="zh-CN"/>
        </w:rPr>
        <w:t xml:space="preserve"> 地域開発</w:t>
      </w:r>
      <w:r>
        <w:rPr>
          <w:sz w:val="21"/>
          <w:szCs w:val="21"/>
          <w:lang w:eastAsia="ja-JP"/>
        </w:rPr>
        <w:t>,</w:t>
      </w:r>
      <w:r>
        <w:rPr>
          <w:rFonts w:hint="eastAsia"/>
          <w:sz w:val="21"/>
          <w:szCs w:val="21"/>
          <w:lang w:eastAsia="zh-CN"/>
        </w:rPr>
        <w:t xml:space="preserve"> </w:t>
      </w:r>
      <w:r>
        <w:rPr>
          <w:sz w:val="21"/>
          <w:szCs w:val="21"/>
          <w:lang w:eastAsia="ja-JP"/>
        </w:rPr>
        <w:t>1985(10): 45-56.</w:t>
      </w:r>
    </w:p>
    <w:p w14:paraId="010AF7AA">
      <w:pPr>
        <w:spacing w:before="120" w:beforeLines="50" w:line="240" w:lineRule="auto"/>
        <w:ind w:left="420" w:hanging="420" w:hangingChars="200"/>
        <w:rPr>
          <w:sz w:val="21"/>
          <w:szCs w:val="21"/>
          <w:lang w:eastAsia="zh-CN"/>
        </w:rPr>
      </w:pPr>
      <w:r>
        <w:rPr>
          <w:sz w:val="21"/>
          <w:szCs w:val="21"/>
          <w:lang w:eastAsia="zh-CN"/>
        </w:rPr>
        <w:t>[24]</w:t>
      </w:r>
      <w:r>
        <w:rPr>
          <w:sz w:val="21"/>
          <w:szCs w:val="21"/>
          <w:lang w:eastAsia="zh-CN"/>
        </w:rPr>
        <w:tab/>
      </w:r>
      <w:r>
        <w:rPr>
          <w:sz w:val="21"/>
          <w:szCs w:val="21"/>
          <w:lang w:eastAsia="zh-CN"/>
        </w:rPr>
        <w:t>王开泳.</w:t>
      </w:r>
      <w:r>
        <w:rPr>
          <w:rFonts w:hint="eastAsia"/>
          <w:sz w:val="21"/>
          <w:szCs w:val="21"/>
          <w:lang w:eastAsia="zh-CN"/>
        </w:rPr>
        <w:t xml:space="preserve"> </w:t>
      </w:r>
      <w:r>
        <w:rPr>
          <w:sz w:val="21"/>
          <w:szCs w:val="21"/>
          <w:lang w:eastAsia="zh-CN"/>
        </w:rPr>
        <w:t>城市生活空间研究述评[J]. 地理科学进展,</w:t>
      </w:r>
      <w:r>
        <w:rPr>
          <w:rFonts w:hint="eastAsia"/>
          <w:sz w:val="21"/>
          <w:szCs w:val="21"/>
          <w:lang w:eastAsia="zh-CN"/>
        </w:rPr>
        <w:t xml:space="preserve"> </w:t>
      </w:r>
      <w:r>
        <w:rPr>
          <w:sz w:val="21"/>
          <w:szCs w:val="21"/>
          <w:lang w:eastAsia="zh-CN"/>
        </w:rPr>
        <w:t>2011,</w:t>
      </w:r>
      <w:r>
        <w:rPr>
          <w:rFonts w:hint="eastAsia"/>
          <w:sz w:val="21"/>
          <w:szCs w:val="21"/>
          <w:lang w:eastAsia="zh-CN"/>
        </w:rPr>
        <w:t xml:space="preserve"> </w:t>
      </w:r>
      <w:r>
        <w:rPr>
          <w:sz w:val="21"/>
          <w:szCs w:val="21"/>
          <w:lang w:eastAsia="zh-CN"/>
        </w:rPr>
        <w:t>30(6):</w:t>
      </w:r>
      <w:r>
        <w:rPr>
          <w:rFonts w:hint="eastAsia"/>
          <w:sz w:val="21"/>
          <w:szCs w:val="21"/>
          <w:lang w:eastAsia="zh-CN"/>
        </w:rPr>
        <w:t xml:space="preserve"> </w:t>
      </w:r>
      <w:r>
        <w:rPr>
          <w:sz w:val="21"/>
          <w:szCs w:val="21"/>
          <w:lang w:eastAsia="zh-CN"/>
        </w:rPr>
        <w:t>691698.</w:t>
      </w:r>
    </w:p>
    <w:p w14:paraId="4A5D28B3">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25</w:t>
      </w:r>
      <w:r>
        <w:rPr>
          <w:rFonts w:hint="eastAsia"/>
          <w:sz w:val="21"/>
          <w:szCs w:val="21"/>
          <w:lang w:eastAsia="zh-CN"/>
        </w:rPr>
        <w:t>]</w:t>
      </w:r>
      <w:r>
        <w:rPr>
          <w:sz w:val="21"/>
          <w:szCs w:val="21"/>
          <w:lang w:eastAsia="zh-CN"/>
        </w:rPr>
        <w:tab/>
      </w:r>
      <w:r>
        <w:rPr>
          <w:rFonts w:hint="eastAsia"/>
          <w:sz w:val="21"/>
          <w:szCs w:val="21"/>
          <w:lang w:eastAsia="zh-CN"/>
        </w:rPr>
        <w:t>刘云刚,</w:t>
      </w:r>
      <w:r>
        <w:rPr>
          <w:sz w:val="21"/>
          <w:szCs w:val="21"/>
          <w:lang w:eastAsia="zh-CN"/>
        </w:rPr>
        <w:t xml:space="preserve"> </w:t>
      </w:r>
      <w:r>
        <w:rPr>
          <w:rFonts w:hint="eastAsia"/>
          <w:sz w:val="21"/>
          <w:szCs w:val="21"/>
          <w:lang w:eastAsia="zh-CN"/>
        </w:rPr>
        <w:t>谭宇文,</w:t>
      </w:r>
      <w:r>
        <w:rPr>
          <w:sz w:val="21"/>
          <w:szCs w:val="21"/>
          <w:lang w:eastAsia="zh-CN"/>
        </w:rPr>
        <w:t xml:space="preserve"> </w:t>
      </w:r>
      <w:r>
        <w:rPr>
          <w:rFonts w:hint="eastAsia"/>
          <w:sz w:val="21"/>
          <w:szCs w:val="21"/>
          <w:lang w:eastAsia="zh-CN"/>
        </w:rPr>
        <w:t>周雯婷.</w:t>
      </w:r>
      <w:r>
        <w:rPr>
          <w:sz w:val="21"/>
          <w:szCs w:val="21"/>
          <w:lang w:eastAsia="zh-CN"/>
        </w:rPr>
        <w:t xml:space="preserve"> </w:t>
      </w:r>
      <w:r>
        <w:rPr>
          <w:rFonts w:hint="eastAsia"/>
          <w:sz w:val="21"/>
          <w:szCs w:val="21"/>
          <w:lang w:eastAsia="zh-CN"/>
        </w:rPr>
        <w:t>广州日本移民的生活活动与生活空间[J].</w:t>
      </w:r>
      <w:r>
        <w:rPr>
          <w:sz w:val="21"/>
          <w:szCs w:val="21"/>
          <w:lang w:eastAsia="zh-CN"/>
        </w:rPr>
        <w:t xml:space="preserve"> </w:t>
      </w:r>
      <w:r>
        <w:rPr>
          <w:rFonts w:hint="eastAsia"/>
          <w:sz w:val="21"/>
          <w:szCs w:val="21"/>
          <w:lang w:eastAsia="zh-CN"/>
        </w:rPr>
        <w:t>地理学报,</w:t>
      </w:r>
      <w:r>
        <w:rPr>
          <w:sz w:val="21"/>
          <w:szCs w:val="21"/>
          <w:lang w:eastAsia="zh-CN"/>
        </w:rPr>
        <w:t xml:space="preserve"> </w:t>
      </w:r>
      <w:r>
        <w:rPr>
          <w:rFonts w:hint="eastAsia"/>
          <w:sz w:val="21"/>
          <w:szCs w:val="21"/>
          <w:lang w:eastAsia="zh-CN"/>
        </w:rPr>
        <w:t>2010,</w:t>
      </w:r>
      <w:r>
        <w:rPr>
          <w:sz w:val="21"/>
          <w:szCs w:val="21"/>
          <w:lang w:eastAsia="zh-CN"/>
        </w:rPr>
        <w:t xml:space="preserve"> </w:t>
      </w:r>
      <w:r>
        <w:rPr>
          <w:rFonts w:hint="eastAsia"/>
          <w:sz w:val="21"/>
          <w:szCs w:val="21"/>
          <w:lang w:eastAsia="zh-CN"/>
        </w:rPr>
        <w:t>65(10):</w:t>
      </w:r>
      <w:r>
        <w:rPr>
          <w:sz w:val="21"/>
          <w:szCs w:val="21"/>
          <w:lang w:eastAsia="zh-CN"/>
        </w:rPr>
        <w:t xml:space="preserve"> </w:t>
      </w:r>
      <w:r>
        <w:rPr>
          <w:rFonts w:hint="eastAsia"/>
          <w:sz w:val="21"/>
          <w:szCs w:val="21"/>
          <w:lang w:eastAsia="zh-CN"/>
        </w:rPr>
        <w:t>1173-1186.</w:t>
      </w:r>
    </w:p>
    <w:p w14:paraId="72EF3863">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26</w:t>
      </w:r>
      <w:r>
        <w:rPr>
          <w:rFonts w:hint="eastAsia"/>
          <w:sz w:val="21"/>
          <w:szCs w:val="21"/>
          <w:lang w:eastAsia="zh-CN"/>
        </w:rPr>
        <w:t>]</w:t>
      </w:r>
      <w:r>
        <w:rPr>
          <w:sz w:val="21"/>
          <w:szCs w:val="21"/>
          <w:lang w:eastAsia="zh-CN"/>
        </w:rPr>
        <w:tab/>
      </w:r>
      <w:r>
        <w:rPr>
          <w:rFonts w:hint="eastAsia"/>
          <w:sz w:val="21"/>
          <w:szCs w:val="21"/>
          <w:lang w:eastAsia="zh-CN"/>
        </w:rPr>
        <w:t>李斐然,</w:t>
      </w:r>
      <w:r>
        <w:rPr>
          <w:sz w:val="21"/>
          <w:szCs w:val="21"/>
          <w:lang w:eastAsia="zh-CN"/>
        </w:rPr>
        <w:t xml:space="preserve"> </w:t>
      </w:r>
      <w:r>
        <w:rPr>
          <w:rFonts w:hint="eastAsia"/>
          <w:sz w:val="21"/>
          <w:szCs w:val="21"/>
          <w:lang w:eastAsia="zh-CN"/>
        </w:rPr>
        <w:t>冯健,</w:t>
      </w:r>
      <w:r>
        <w:rPr>
          <w:sz w:val="21"/>
          <w:szCs w:val="21"/>
          <w:lang w:eastAsia="zh-CN"/>
        </w:rPr>
        <w:t xml:space="preserve"> </w:t>
      </w:r>
      <w:r>
        <w:rPr>
          <w:rFonts w:hint="eastAsia"/>
          <w:sz w:val="21"/>
          <w:szCs w:val="21"/>
          <w:lang w:eastAsia="zh-CN"/>
        </w:rPr>
        <w:t>刘杰,</w:t>
      </w:r>
      <w:r>
        <w:rPr>
          <w:sz w:val="21"/>
          <w:szCs w:val="21"/>
          <w:lang w:eastAsia="zh-CN"/>
        </w:rPr>
        <w:t xml:space="preserve"> </w:t>
      </w:r>
      <w:r>
        <w:rPr>
          <w:rFonts w:hint="eastAsia"/>
          <w:sz w:val="21"/>
          <w:szCs w:val="21"/>
          <w:lang w:eastAsia="zh-CN"/>
        </w:rPr>
        <w:t>等.</w:t>
      </w:r>
      <w:r>
        <w:rPr>
          <w:sz w:val="21"/>
          <w:szCs w:val="21"/>
          <w:lang w:eastAsia="zh-CN"/>
        </w:rPr>
        <w:t xml:space="preserve"> </w:t>
      </w:r>
      <w:r>
        <w:rPr>
          <w:rFonts w:hint="eastAsia"/>
          <w:sz w:val="21"/>
          <w:szCs w:val="21"/>
          <w:lang w:eastAsia="zh-CN"/>
        </w:rPr>
        <w:t>基于活动类型的郊区大型居住区居民生活空间重构——以回龙观为例[J].</w:t>
      </w:r>
      <w:r>
        <w:rPr>
          <w:sz w:val="21"/>
          <w:szCs w:val="21"/>
          <w:lang w:eastAsia="zh-CN"/>
        </w:rPr>
        <w:t xml:space="preserve"> </w:t>
      </w:r>
      <w:r>
        <w:rPr>
          <w:rFonts w:hint="eastAsia"/>
          <w:sz w:val="21"/>
          <w:szCs w:val="21"/>
          <w:lang w:eastAsia="zh-CN"/>
        </w:rPr>
        <w:t>人文地理,</w:t>
      </w:r>
      <w:r>
        <w:rPr>
          <w:sz w:val="21"/>
          <w:szCs w:val="21"/>
          <w:lang w:eastAsia="zh-CN"/>
        </w:rPr>
        <w:t xml:space="preserve"> </w:t>
      </w:r>
      <w:r>
        <w:rPr>
          <w:rFonts w:hint="eastAsia"/>
          <w:sz w:val="21"/>
          <w:szCs w:val="21"/>
          <w:lang w:eastAsia="zh-CN"/>
        </w:rPr>
        <w:t>2013,</w:t>
      </w:r>
      <w:r>
        <w:rPr>
          <w:sz w:val="21"/>
          <w:szCs w:val="21"/>
          <w:lang w:eastAsia="zh-CN"/>
        </w:rPr>
        <w:t xml:space="preserve"> </w:t>
      </w:r>
      <w:r>
        <w:rPr>
          <w:rFonts w:hint="eastAsia"/>
          <w:sz w:val="21"/>
          <w:szCs w:val="21"/>
          <w:lang w:eastAsia="zh-CN"/>
        </w:rPr>
        <w:t>28(3):</w:t>
      </w:r>
      <w:r>
        <w:rPr>
          <w:sz w:val="21"/>
          <w:szCs w:val="21"/>
          <w:lang w:eastAsia="zh-CN"/>
        </w:rPr>
        <w:t xml:space="preserve"> </w:t>
      </w:r>
      <w:r>
        <w:rPr>
          <w:rFonts w:hint="eastAsia"/>
          <w:sz w:val="21"/>
          <w:szCs w:val="21"/>
          <w:lang w:eastAsia="zh-CN"/>
        </w:rPr>
        <w:t>27-33,113.</w:t>
      </w:r>
    </w:p>
    <w:p w14:paraId="5E53143E">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27</w:t>
      </w:r>
      <w:r>
        <w:rPr>
          <w:rFonts w:hint="eastAsia"/>
          <w:sz w:val="21"/>
          <w:szCs w:val="21"/>
          <w:lang w:eastAsia="zh-CN"/>
        </w:rPr>
        <w:t>]</w:t>
      </w:r>
      <w:r>
        <w:rPr>
          <w:sz w:val="21"/>
          <w:szCs w:val="21"/>
          <w:lang w:eastAsia="zh-CN"/>
        </w:rPr>
        <w:tab/>
      </w:r>
      <w:r>
        <w:rPr>
          <w:rFonts w:hint="eastAsia"/>
          <w:sz w:val="21"/>
          <w:szCs w:val="21"/>
          <w:lang w:eastAsia="zh-CN"/>
        </w:rPr>
        <w:t>季珏,</w:t>
      </w:r>
      <w:r>
        <w:rPr>
          <w:sz w:val="21"/>
          <w:szCs w:val="21"/>
          <w:lang w:eastAsia="zh-CN"/>
        </w:rPr>
        <w:t xml:space="preserve"> </w:t>
      </w:r>
      <w:r>
        <w:rPr>
          <w:rFonts w:hint="eastAsia"/>
          <w:sz w:val="21"/>
          <w:szCs w:val="21"/>
          <w:lang w:eastAsia="zh-CN"/>
        </w:rPr>
        <w:t>高晓路.</w:t>
      </w:r>
      <w:r>
        <w:rPr>
          <w:sz w:val="21"/>
          <w:szCs w:val="21"/>
          <w:lang w:eastAsia="zh-CN"/>
        </w:rPr>
        <w:t xml:space="preserve"> </w:t>
      </w:r>
      <w:r>
        <w:rPr>
          <w:rFonts w:hint="eastAsia"/>
          <w:sz w:val="21"/>
          <w:szCs w:val="21"/>
          <w:lang w:eastAsia="zh-CN"/>
        </w:rPr>
        <w:t>基于居民日常出行的生活空间单元的划分[J].</w:t>
      </w:r>
      <w:r>
        <w:rPr>
          <w:sz w:val="21"/>
          <w:szCs w:val="21"/>
          <w:lang w:eastAsia="zh-CN"/>
        </w:rPr>
        <w:t xml:space="preserve"> </w:t>
      </w:r>
      <w:r>
        <w:rPr>
          <w:rFonts w:hint="eastAsia"/>
          <w:sz w:val="21"/>
          <w:szCs w:val="21"/>
          <w:lang w:eastAsia="zh-CN"/>
        </w:rPr>
        <w:t>地理科学进展,</w:t>
      </w:r>
      <w:r>
        <w:rPr>
          <w:sz w:val="21"/>
          <w:szCs w:val="21"/>
          <w:lang w:eastAsia="zh-CN"/>
        </w:rPr>
        <w:t xml:space="preserve"> </w:t>
      </w:r>
      <w:r>
        <w:rPr>
          <w:rFonts w:hint="eastAsia"/>
          <w:sz w:val="21"/>
          <w:szCs w:val="21"/>
          <w:lang w:eastAsia="zh-CN"/>
        </w:rPr>
        <w:t>2012,</w:t>
      </w:r>
      <w:r>
        <w:rPr>
          <w:sz w:val="21"/>
          <w:szCs w:val="21"/>
          <w:lang w:eastAsia="zh-CN"/>
        </w:rPr>
        <w:t xml:space="preserve"> </w:t>
      </w:r>
      <w:r>
        <w:rPr>
          <w:rFonts w:hint="eastAsia"/>
          <w:sz w:val="21"/>
          <w:szCs w:val="21"/>
          <w:lang w:eastAsia="zh-CN"/>
        </w:rPr>
        <w:t>31(2):</w:t>
      </w:r>
      <w:r>
        <w:rPr>
          <w:sz w:val="21"/>
          <w:szCs w:val="21"/>
          <w:lang w:eastAsia="zh-CN"/>
        </w:rPr>
        <w:t xml:space="preserve"> </w:t>
      </w:r>
      <w:r>
        <w:rPr>
          <w:rFonts w:hint="eastAsia"/>
          <w:sz w:val="21"/>
          <w:szCs w:val="21"/>
          <w:lang w:eastAsia="zh-CN"/>
        </w:rPr>
        <w:t>248-254.</w:t>
      </w:r>
    </w:p>
    <w:p w14:paraId="343C661E">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28</w:t>
      </w:r>
      <w:r>
        <w:rPr>
          <w:rFonts w:hint="eastAsia"/>
          <w:sz w:val="21"/>
          <w:szCs w:val="21"/>
          <w:lang w:eastAsia="zh-CN"/>
        </w:rPr>
        <w:t>]</w:t>
      </w:r>
      <w:r>
        <w:rPr>
          <w:sz w:val="21"/>
          <w:szCs w:val="21"/>
          <w:lang w:eastAsia="zh-CN"/>
        </w:rPr>
        <w:tab/>
      </w:r>
      <w:r>
        <w:rPr>
          <w:rFonts w:hint="eastAsia"/>
          <w:sz w:val="21"/>
          <w:szCs w:val="21"/>
          <w:lang w:eastAsia="zh-CN"/>
        </w:rPr>
        <w:t>朱秋宇,</w:t>
      </w:r>
      <w:r>
        <w:rPr>
          <w:sz w:val="21"/>
          <w:szCs w:val="21"/>
          <w:lang w:eastAsia="zh-CN"/>
        </w:rPr>
        <w:t xml:space="preserve"> </w:t>
      </w:r>
      <w:r>
        <w:rPr>
          <w:rFonts w:hint="eastAsia"/>
          <w:sz w:val="21"/>
          <w:szCs w:val="21"/>
          <w:lang w:eastAsia="zh-CN"/>
        </w:rPr>
        <w:t>塔娜.</w:t>
      </w:r>
      <w:r>
        <w:rPr>
          <w:sz w:val="21"/>
          <w:szCs w:val="21"/>
          <w:lang w:eastAsia="zh-CN"/>
        </w:rPr>
        <w:t xml:space="preserve"> </w:t>
      </w:r>
      <w:r>
        <w:rPr>
          <w:rFonts w:hint="eastAsia"/>
          <w:sz w:val="21"/>
          <w:szCs w:val="21"/>
          <w:lang w:eastAsia="zh-CN"/>
        </w:rPr>
        <w:t>空间行为视角下的上海郊区新城生活空间研究——以奉贤与南汇新城为例[J].</w:t>
      </w:r>
      <w:r>
        <w:rPr>
          <w:sz w:val="21"/>
          <w:szCs w:val="21"/>
          <w:lang w:eastAsia="zh-CN"/>
        </w:rPr>
        <w:t xml:space="preserve"> </w:t>
      </w:r>
      <w:r>
        <w:rPr>
          <w:rFonts w:hint="eastAsia"/>
          <w:sz w:val="21"/>
          <w:szCs w:val="21"/>
          <w:lang w:eastAsia="zh-CN"/>
        </w:rPr>
        <w:t>现代城市研究,</w:t>
      </w:r>
      <w:r>
        <w:rPr>
          <w:sz w:val="21"/>
          <w:szCs w:val="21"/>
          <w:lang w:eastAsia="zh-CN"/>
        </w:rPr>
        <w:t xml:space="preserve"> </w:t>
      </w:r>
      <w:r>
        <w:rPr>
          <w:rFonts w:hint="eastAsia"/>
          <w:sz w:val="21"/>
          <w:szCs w:val="21"/>
          <w:lang w:eastAsia="zh-CN"/>
        </w:rPr>
        <w:t>2022(7):</w:t>
      </w:r>
      <w:r>
        <w:rPr>
          <w:sz w:val="21"/>
          <w:szCs w:val="21"/>
          <w:lang w:eastAsia="zh-CN"/>
        </w:rPr>
        <w:t xml:space="preserve"> </w:t>
      </w:r>
      <w:r>
        <w:rPr>
          <w:rFonts w:hint="eastAsia"/>
          <w:sz w:val="21"/>
          <w:szCs w:val="21"/>
          <w:lang w:eastAsia="zh-CN"/>
        </w:rPr>
        <w:t>48-57.</w:t>
      </w:r>
    </w:p>
    <w:p w14:paraId="0C264D57">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29]</w:t>
      </w:r>
      <w:r>
        <w:rPr>
          <w:sz w:val="21"/>
          <w:szCs w:val="21"/>
          <w:lang w:eastAsia="zh-CN"/>
        </w:rPr>
        <w:tab/>
      </w:r>
      <w:r>
        <w:rPr>
          <w:rFonts w:hint="eastAsia"/>
          <w:sz w:val="21"/>
          <w:szCs w:val="21"/>
          <w:lang w:eastAsia="zh-CN"/>
        </w:rPr>
        <w:t>许晓霞,</w:t>
      </w:r>
      <w:r>
        <w:rPr>
          <w:sz w:val="21"/>
          <w:szCs w:val="21"/>
          <w:lang w:eastAsia="zh-CN"/>
        </w:rPr>
        <w:t xml:space="preserve"> </w:t>
      </w:r>
      <w:r>
        <w:rPr>
          <w:rFonts w:hint="eastAsia"/>
          <w:sz w:val="21"/>
          <w:szCs w:val="21"/>
          <w:lang w:eastAsia="zh-CN"/>
        </w:rPr>
        <w:t>柴彦威,</w:t>
      </w:r>
      <w:r>
        <w:rPr>
          <w:sz w:val="21"/>
          <w:szCs w:val="21"/>
          <w:lang w:eastAsia="zh-CN"/>
        </w:rPr>
        <w:t xml:space="preserve"> </w:t>
      </w:r>
      <w:r>
        <w:rPr>
          <w:rFonts w:hint="eastAsia"/>
          <w:sz w:val="21"/>
          <w:szCs w:val="21"/>
          <w:lang w:eastAsia="zh-CN"/>
        </w:rPr>
        <w:t>颜亚宁. 郊区巨型社区的活动空间——基于北京市的调查[J]. 城市发展研究, 2010, 17(11): 41-49.</w:t>
      </w:r>
    </w:p>
    <w:p w14:paraId="3471BE2D">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30]</w:t>
      </w:r>
      <w:r>
        <w:rPr>
          <w:sz w:val="21"/>
          <w:szCs w:val="21"/>
          <w:lang w:eastAsia="zh-CN"/>
        </w:rPr>
        <w:tab/>
      </w:r>
      <w:r>
        <w:rPr>
          <w:rFonts w:hint="eastAsia"/>
          <w:sz w:val="21"/>
          <w:szCs w:val="21"/>
          <w:lang w:eastAsia="zh-CN"/>
        </w:rPr>
        <w:t>申悦,</w:t>
      </w:r>
      <w:r>
        <w:rPr>
          <w:sz w:val="21"/>
          <w:szCs w:val="21"/>
          <w:lang w:eastAsia="zh-CN"/>
        </w:rPr>
        <w:t xml:space="preserve"> </w:t>
      </w:r>
      <w:r>
        <w:rPr>
          <w:rFonts w:hint="eastAsia"/>
          <w:sz w:val="21"/>
          <w:szCs w:val="21"/>
          <w:lang w:eastAsia="zh-CN"/>
        </w:rPr>
        <w:t>柴彦威. 基于GPS数据的北京市郊区巨型社区居民日常活动空间[J]. 地理学报, 2013, 68(4): 506-516.</w:t>
      </w:r>
    </w:p>
    <w:p w14:paraId="0A998756">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31]</w:t>
      </w:r>
      <w:r>
        <w:rPr>
          <w:sz w:val="21"/>
          <w:szCs w:val="21"/>
          <w:lang w:eastAsia="zh-CN"/>
        </w:rPr>
        <w:tab/>
      </w:r>
      <w:r>
        <w:rPr>
          <w:rFonts w:hint="eastAsia"/>
          <w:sz w:val="21"/>
          <w:szCs w:val="21"/>
          <w:lang w:eastAsia="zh-CN"/>
        </w:rPr>
        <w:t>张艳,</w:t>
      </w:r>
      <w:r>
        <w:rPr>
          <w:sz w:val="21"/>
          <w:szCs w:val="21"/>
          <w:lang w:eastAsia="zh-CN"/>
        </w:rPr>
        <w:t xml:space="preserve"> </w:t>
      </w:r>
      <w:r>
        <w:rPr>
          <w:rFonts w:hint="eastAsia"/>
          <w:sz w:val="21"/>
          <w:szCs w:val="21"/>
          <w:lang w:eastAsia="zh-CN"/>
        </w:rPr>
        <w:t>柴彦威,</w:t>
      </w:r>
      <w:r>
        <w:rPr>
          <w:sz w:val="21"/>
          <w:szCs w:val="21"/>
          <w:lang w:eastAsia="zh-CN"/>
        </w:rPr>
        <w:t xml:space="preserve"> </w:t>
      </w:r>
      <w:r>
        <w:rPr>
          <w:rFonts w:hint="eastAsia"/>
          <w:sz w:val="21"/>
          <w:szCs w:val="21"/>
          <w:lang w:eastAsia="zh-CN"/>
        </w:rPr>
        <w:t>郭文伯. 北京城市居民日常活动空间的社区分异[J]. 地域研究与开发, 2014, 33(5): 65-71.</w:t>
      </w:r>
    </w:p>
    <w:p w14:paraId="3EE9B08E">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32]</w:t>
      </w:r>
      <w:r>
        <w:rPr>
          <w:sz w:val="21"/>
          <w:szCs w:val="21"/>
          <w:lang w:eastAsia="zh-CN"/>
        </w:rPr>
        <w:tab/>
      </w:r>
      <w:r>
        <w:rPr>
          <w:rFonts w:hint="eastAsia"/>
          <w:sz w:val="21"/>
          <w:szCs w:val="21"/>
          <w:lang w:eastAsia="zh-CN"/>
        </w:rPr>
        <w:t>塔娜,</w:t>
      </w:r>
      <w:r>
        <w:rPr>
          <w:sz w:val="21"/>
          <w:szCs w:val="21"/>
          <w:lang w:eastAsia="zh-CN"/>
        </w:rPr>
        <w:t xml:space="preserve"> </w:t>
      </w:r>
      <w:r>
        <w:rPr>
          <w:rFonts w:hint="eastAsia"/>
          <w:sz w:val="21"/>
          <w:szCs w:val="21"/>
          <w:lang w:eastAsia="zh-CN"/>
        </w:rPr>
        <w:t>柴彦威. 北京市郊区居民汽车拥有和使用状况与活动空间的关系[J]. 地理研究, 2015, 34(6): 1149-1159.</w:t>
      </w:r>
    </w:p>
    <w:p w14:paraId="262707E9">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33]</w:t>
      </w:r>
      <w:r>
        <w:rPr>
          <w:sz w:val="21"/>
          <w:szCs w:val="21"/>
          <w:lang w:eastAsia="zh-CN"/>
        </w:rPr>
        <w:tab/>
      </w:r>
      <w:r>
        <w:rPr>
          <w:rFonts w:hint="eastAsia"/>
          <w:sz w:val="21"/>
          <w:szCs w:val="21"/>
          <w:lang w:eastAsia="zh-CN"/>
        </w:rPr>
        <w:t>刘伯初,</w:t>
      </w:r>
      <w:r>
        <w:rPr>
          <w:sz w:val="21"/>
          <w:szCs w:val="21"/>
          <w:lang w:eastAsia="zh-CN"/>
        </w:rPr>
        <w:t xml:space="preserve"> </w:t>
      </w:r>
      <w:r>
        <w:rPr>
          <w:rFonts w:hint="eastAsia"/>
          <w:sz w:val="21"/>
          <w:szCs w:val="21"/>
          <w:lang w:eastAsia="zh-CN"/>
        </w:rPr>
        <w:t>柴彦威,</w:t>
      </w:r>
      <w:r>
        <w:rPr>
          <w:sz w:val="21"/>
          <w:szCs w:val="21"/>
          <w:lang w:eastAsia="zh-CN"/>
        </w:rPr>
        <w:t xml:space="preserve"> </w:t>
      </w:r>
      <w:r>
        <w:rPr>
          <w:rFonts w:hint="eastAsia"/>
          <w:sz w:val="21"/>
          <w:szCs w:val="21"/>
          <w:lang w:eastAsia="zh-CN"/>
        </w:rPr>
        <w:t>谭一洺. 基于居住区比较的西宁城市居民日常活动空间研究[J]. 地域研究与开发, 2017, 36(5): 152-158,180.</w:t>
      </w:r>
    </w:p>
    <w:p w14:paraId="426744B2">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34]</w:t>
      </w:r>
      <w:r>
        <w:rPr>
          <w:sz w:val="21"/>
          <w:szCs w:val="21"/>
          <w:lang w:eastAsia="zh-CN"/>
        </w:rPr>
        <w:tab/>
      </w:r>
      <w:r>
        <w:rPr>
          <w:rFonts w:hint="eastAsia"/>
          <w:sz w:val="21"/>
          <w:szCs w:val="21"/>
          <w:lang w:eastAsia="zh-CN"/>
        </w:rPr>
        <w:t>傅英姿,</w:t>
      </w:r>
      <w:r>
        <w:rPr>
          <w:sz w:val="21"/>
          <w:szCs w:val="21"/>
          <w:lang w:eastAsia="zh-CN"/>
        </w:rPr>
        <w:t xml:space="preserve"> </w:t>
      </w:r>
      <w:r>
        <w:rPr>
          <w:rFonts w:hint="eastAsia"/>
          <w:sz w:val="21"/>
          <w:szCs w:val="21"/>
          <w:lang w:eastAsia="zh-CN"/>
        </w:rPr>
        <w:t>王德.</w:t>
      </w:r>
      <w:r>
        <w:rPr>
          <w:sz w:val="21"/>
          <w:szCs w:val="21"/>
          <w:lang w:eastAsia="zh-CN"/>
        </w:rPr>
        <w:t xml:space="preserve"> </w:t>
      </w:r>
      <w:r>
        <w:rPr>
          <w:rFonts w:hint="eastAsia"/>
          <w:sz w:val="21"/>
          <w:szCs w:val="21"/>
          <w:lang w:eastAsia="zh-CN"/>
        </w:rPr>
        <w:t>上海市典型住宅区生活空间结构模式研究[J].</w:t>
      </w:r>
      <w:r>
        <w:rPr>
          <w:sz w:val="21"/>
          <w:szCs w:val="21"/>
          <w:lang w:eastAsia="zh-CN"/>
        </w:rPr>
        <w:t xml:space="preserve"> </w:t>
      </w:r>
      <w:r>
        <w:rPr>
          <w:rFonts w:hint="eastAsia"/>
          <w:sz w:val="21"/>
          <w:szCs w:val="21"/>
          <w:lang w:eastAsia="zh-CN"/>
        </w:rPr>
        <w:t>地理科学进展,</w:t>
      </w:r>
      <w:r>
        <w:rPr>
          <w:sz w:val="21"/>
          <w:szCs w:val="21"/>
          <w:lang w:eastAsia="zh-CN"/>
        </w:rPr>
        <w:t xml:space="preserve"> </w:t>
      </w:r>
      <w:r>
        <w:rPr>
          <w:rFonts w:hint="eastAsia"/>
          <w:sz w:val="21"/>
          <w:szCs w:val="21"/>
          <w:lang w:eastAsia="zh-CN"/>
        </w:rPr>
        <w:t>2021,</w:t>
      </w:r>
      <w:r>
        <w:rPr>
          <w:sz w:val="21"/>
          <w:szCs w:val="21"/>
          <w:lang w:eastAsia="zh-CN"/>
        </w:rPr>
        <w:t xml:space="preserve"> </w:t>
      </w:r>
      <w:r>
        <w:rPr>
          <w:rFonts w:hint="eastAsia"/>
          <w:sz w:val="21"/>
          <w:szCs w:val="21"/>
          <w:lang w:eastAsia="zh-CN"/>
        </w:rPr>
        <w:t>40(4):</w:t>
      </w:r>
      <w:r>
        <w:rPr>
          <w:sz w:val="21"/>
          <w:szCs w:val="21"/>
          <w:lang w:eastAsia="zh-CN"/>
        </w:rPr>
        <w:t xml:space="preserve"> </w:t>
      </w:r>
      <w:r>
        <w:rPr>
          <w:rFonts w:hint="eastAsia"/>
          <w:sz w:val="21"/>
          <w:szCs w:val="21"/>
          <w:lang w:eastAsia="zh-CN"/>
        </w:rPr>
        <w:t>565-579.</w:t>
      </w:r>
    </w:p>
    <w:p w14:paraId="6D5404C9">
      <w:pPr>
        <w:spacing w:before="120" w:beforeLines="50" w:line="240" w:lineRule="auto"/>
        <w:ind w:left="420" w:hanging="420" w:hangingChars="200"/>
        <w:rPr>
          <w:sz w:val="21"/>
          <w:szCs w:val="21"/>
          <w:lang w:eastAsia="zh-CN"/>
        </w:rPr>
      </w:pPr>
      <w:r>
        <w:rPr>
          <w:rFonts w:hint="eastAsia"/>
          <w:sz w:val="21"/>
          <w:szCs w:val="21"/>
          <w:lang w:eastAsia="zh-CN"/>
        </w:rPr>
        <w:t>[</w:t>
      </w:r>
      <w:r>
        <w:rPr>
          <w:sz w:val="21"/>
          <w:szCs w:val="21"/>
          <w:lang w:eastAsia="zh-CN"/>
        </w:rPr>
        <w:t>35]</w:t>
      </w:r>
      <w:r>
        <w:rPr>
          <w:sz w:val="21"/>
          <w:szCs w:val="21"/>
          <w:lang w:eastAsia="zh-CN"/>
        </w:rPr>
        <w:tab/>
      </w:r>
      <w:r>
        <w:rPr>
          <w:sz w:val="21"/>
          <w:szCs w:val="21"/>
          <w:lang w:eastAsia="zh-CN"/>
        </w:rPr>
        <w:t>KWAN M P. Mobile communications, social networks, and urban travel: hypertext as a new metaphor for conceptualizing spatial interaction[J]. The professional geographer, 2007, 59(4): 434-446.</w:t>
      </w:r>
    </w:p>
    <w:p w14:paraId="760107B2">
      <w:pPr>
        <w:spacing w:before="120" w:beforeLines="50" w:line="240" w:lineRule="auto"/>
        <w:ind w:left="420" w:hanging="420" w:hangingChars="200"/>
        <w:rPr>
          <w:sz w:val="21"/>
          <w:szCs w:val="21"/>
          <w:lang w:eastAsia="zh-CN"/>
        </w:rPr>
      </w:pPr>
      <w:r>
        <w:rPr>
          <w:sz w:val="21"/>
          <w:szCs w:val="21"/>
          <w:lang w:eastAsia="zh-CN"/>
        </w:rPr>
        <w:t>[36]</w:t>
      </w:r>
      <w:r>
        <w:rPr>
          <w:sz w:val="21"/>
          <w:szCs w:val="21"/>
          <w:lang w:eastAsia="zh-CN"/>
        </w:rPr>
        <w:tab/>
      </w:r>
      <w:r>
        <w:rPr>
          <w:sz w:val="21"/>
          <w:szCs w:val="21"/>
          <w:lang w:eastAsia="zh-CN"/>
        </w:rPr>
        <w:t>COUCLELIS H. Pizza over the internet: E- commerce, the fragmentation of activity and the tyranny of the region[J]. Entrepreneurship &amp; regional development, 2004, 16(1): 41-54.</w:t>
      </w:r>
    </w:p>
    <w:p w14:paraId="20913AB7">
      <w:pPr>
        <w:spacing w:before="120" w:beforeLines="50" w:line="240" w:lineRule="auto"/>
        <w:ind w:left="420" w:hanging="420" w:hangingChars="200"/>
        <w:rPr>
          <w:sz w:val="21"/>
          <w:szCs w:val="21"/>
          <w:lang w:eastAsia="zh-CN"/>
        </w:rPr>
      </w:pPr>
      <w:r>
        <w:rPr>
          <w:sz w:val="21"/>
          <w:szCs w:val="21"/>
          <w:lang w:eastAsia="zh-CN"/>
        </w:rPr>
        <w:t>[37]</w:t>
      </w:r>
      <w:r>
        <w:rPr>
          <w:sz w:val="21"/>
          <w:szCs w:val="21"/>
          <w:lang w:eastAsia="zh-CN"/>
        </w:rPr>
        <w:tab/>
      </w:r>
      <w:r>
        <w:rPr>
          <w:sz w:val="21"/>
          <w:szCs w:val="21"/>
          <w:lang w:eastAsia="zh-CN"/>
        </w:rPr>
        <w:t>申悦, 柴彦威, 王冬根. ICT对居民时空行为影响研究进展[J]. 地理科学进展, 2011, 30(6): 643-651.</w:t>
      </w:r>
    </w:p>
    <w:p w14:paraId="7E864C7A">
      <w:pPr>
        <w:spacing w:before="120" w:beforeLines="50" w:line="240" w:lineRule="auto"/>
        <w:ind w:left="420" w:hanging="420" w:hangingChars="200"/>
        <w:rPr>
          <w:sz w:val="21"/>
          <w:szCs w:val="21"/>
          <w:lang w:eastAsia="zh-CN"/>
        </w:rPr>
      </w:pPr>
      <w:r>
        <w:rPr>
          <w:sz w:val="21"/>
          <w:szCs w:val="21"/>
          <w:lang w:eastAsia="zh-CN"/>
        </w:rPr>
        <w:t>[38]</w:t>
      </w:r>
      <w:r>
        <w:rPr>
          <w:sz w:val="21"/>
          <w:szCs w:val="21"/>
          <w:lang w:eastAsia="zh-CN"/>
        </w:rPr>
        <w:tab/>
      </w:r>
      <w:r>
        <w:rPr>
          <w:sz w:val="21"/>
          <w:szCs w:val="21"/>
          <w:lang w:eastAsia="zh-CN"/>
        </w:rPr>
        <w:t>王晶, 甄峰. 信息通信技术对城市碎片化的影响及规划策略研究[J]. 国际城市规划, 2015, 30(3): 66-71.</w:t>
      </w:r>
    </w:p>
    <w:p w14:paraId="0130E7E6">
      <w:pPr>
        <w:spacing w:before="120" w:beforeLines="50" w:line="240" w:lineRule="auto"/>
        <w:ind w:left="420" w:hanging="420" w:hangingChars="200"/>
        <w:rPr>
          <w:sz w:val="21"/>
          <w:szCs w:val="21"/>
          <w:lang w:eastAsia="zh-CN"/>
        </w:rPr>
      </w:pPr>
      <w:r>
        <w:rPr>
          <w:sz w:val="21"/>
          <w:szCs w:val="21"/>
          <w:lang w:eastAsia="zh-CN"/>
        </w:rPr>
        <w:t>[39]</w:t>
      </w:r>
      <w:r>
        <w:rPr>
          <w:sz w:val="21"/>
          <w:szCs w:val="21"/>
          <w:lang w:eastAsia="zh-CN"/>
        </w:rPr>
        <w:tab/>
      </w:r>
      <w:r>
        <w:rPr>
          <w:sz w:val="21"/>
          <w:szCs w:val="21"/>
          <w:lang w:eastAsia="zh-CN"/>
        </w:rPr>
        <w:t>LENZ B, NOBIS C. The changing allocation of activities in space and time by the use of ICT: “Fragmentation” as a new concept and empirical results[J]. Transportation research part a: policy and practice, 2007, 41(2): 190-204.</w:t>
      </w:r>
    </w:p>
    <w:p w14:paraId="4C3D1488">
      <w:pPr>
        <w:spacing w:before="120" w:beforeLines="50" w:line="240" w:lineRule="auto"/>
        <w:ind w:left="420" w:hanging="420" w:hangingChars="200"/>
        <w:rPr>
          <w:sz w:val="21"/>
          <w:szCs w:val="21"/>
          <w:lang w:eastAsia="zh-CN"/>
        </w:rPr>
      </w:pPr>
      <w:r>
        <w:rPr>
          <w:sz w:val="21"/>
          <w:szCs w:val="21"/>
          <w:lang w:eastAsia="zh-CN"/>
        </w:rPr>
        <w:t>[40]</w:t>
      </w:r>
      <w:r>
        <w:rPr>
          <w:sz w:val="21"/>
          <w:szCs w:val="21"/>
          <w:lang w:eastAsia="zh-CN"/>
        </w:rPr>
        <w:tab/>
      </w:r>
      <w:r>
        <w:rPr>
          <w:sz w:val="21"/>
          <w:szCs w:val="21"/>
          <w:lang w:eastAsia="zh-CN"/>
        </w:rPr>
        <w:t>KENYON S, LYONS G. Introducing multitasking to the study of travel and ICT: examining its extent and assessing its potential importance[J]. Transportation research part a: policy and practice, 2007, 41(2): 161-175.</w:t>
      </w:r>
    </w:p>
    <w:p w14:paraId="72D3391D">
      <w:pPr>
        <w:spacing w:before="120" w:beforeLines="50" w:line="240" w:lineRule="auto"/>
        <w:ind w:left="420" w:hanging="420" w:hangingChars="200"/>
        <w:rPr>
          <w:sz w:val="21"/>
          <w:szCs w:val="21"/>
          <w:lang w:eastAsia="zh-CN"/>
        </w:rPr>
      </w:pPr>
      <w:r>
        <w:rPr>
          <w:sz w:val="21"/>
          <w:szCs w:val="21"/>
          <w:lang w:eastAsia="zh-CN"/>
        </w:rPr>
        <w:t>[41]</w:t>
      </w:r>
      <w:r>
        <w:rPr>
          <w:sz w:val="21"/>
          <w:szCs w:val="21"/>
          <w:lang w:eastAsia="zh-CN"/>
        </w:rPr>
        <w:tab/>
      </w:r>
      <w:r>
        <w:rPr>
          <w:sz w:val="21"/>
          <w:szCs w:val="21"/>
          <w:lang w:eastAsia="zh-CN"/>
        </w:rPr>
        <w:t>THULIN E, VILHELMSON B. Bringing the background to the fore: time-geography and the study of mobile ICTs in everyday life[C]</w:t>
      </w:r>
      <w:r>
        <w:rPr>
          <w:rFonts w:hint="eastAsia"/>
          <w:sz w:val="21"/>
          <w:szCs w:val="21"/>
          <w:lang w:eastAsia="zh-CN"/>
        </w:rPr>
        <w:t xml:space="preserve"> //</w:t>
      </w:r>
      <w:r>
        <w:rPr>
          <w:sz w:val="21"/>
          <w:szCs w:val="21"/>
          <w:lang w:eastAsia="zh-CN"/>
        </w:rPr>
        <w:t xml:space="preserve"> Time geography in the global context: an anthology</w:t>
      </w:r>
      <w:r>
        <w:rPr>
          <w:rFonts w:hint="eastAsia"/>
          <w:sz w:val="21"/>
          <w:szCs w:val="21"/>
          <w:lang w:eastAsia="zh-CN"/>
        </w:rPr>
        <w:t>.</w:t>
      </w:r>
      <w:r>
        <w:rPr>
          <w:sz w:val="21"/>
          <w:szCs w:val="21"/>
          <w:lang w:eastAsia="zh-CN"/>
        </w:rPr>
        <w:t xml:space="preserve"> Ellegård</w:t>
      </w:r>
      <w:r>
        <w:rPr>
          <w:rFonts w:hint="eastAsia"/>
          <w:sz w:val="21"/>
          <w:szCs w:val="21"/>
          <w:lang w:eastAsia="zh-CN"/>
        </w:rPr>
        <w:t xml:space="preserve"> K, ed.</w:t>
      </w:r>
      <w:r>
        <w:rPr>
          <w:sz w:val="21"/>
          <w:szCs w:val="21"/>
          <w:lang w:eastAsia="zh-CN"/>
        </w:rPr>
        <w:t xml:space="preserve"> London and New York: Routledge</w:t>
      </w:r>
      <w:r>
        <w:rPr>
          <w:rFonts w:hint="eastAsia"/>
          <w:sz w:val="21"/>
          <w:szCs w:val="21"/>
          <w:lang w:eastAsia="zh-CN"/>
        </w:rPr>
        <w:t xml:space="preserve">, 2018: </w:t>
      </w:r>
      <w:r>
        <w:rPr>
          <w:sz w:val="21"/>
          <w:szCs w:val="21"/>
          <w:lang w:eastAsia="zh-CN"/>
        </w:rPr>
        <w:t>96</w:t>
      </w:r>
      <w:r>
        <w:rPr>
          <w:rFonts w:hint="eastAsia"/>
          <w:sz w:val="21"/>
          <w:szCs w:val="21"/>
          <w:lang w:eastAsia="zh-CN"/>
        </w:rPr>
        <w:t>-</w:t>
      </w:r>
      <w:r>
        <w:rPr>
          <w:sz w:val="21"/>
          <w:szCs w:val="21"/>
          <w:lang w:eastAsia="zh-CN"/>
        </w:rPr>
        <w:t>112.</w:t>
      </w:r>
    </w:p>
    <w:p w14:paraId="5EF624AC">
      <w:pPr>
        <w:spacing w:before="120" w:beforeLines="50" w:line="240" w:lineRule="auto"/>
        <w:ind w:left="420" w:hanging="420" w:hangingChars="200"/>
        <w:rPr>
          <w:sz w:val="21"/>
          <w:szCs w:val="21"/>
          <w:lang w:eastAsia="zh-CN"/>
        </w:rPr>
      </w:pPr>
      <w:r>
        <w:rPr>
          <w:sz w:val="21"/>
          <w:szCs w:val="21"/>
          <w:lang w:eastAsia="zh-CN"/>
        </w:rPr>
        <w:t>[42]</w:t>
      </w:r>
      <w:r>
        <w:rPr>
          <w:sz w:val="21"/>
          <w:szCs w:val="21"/>
          <w:shd w:val="clear" w:color="auto" w:fill="FFFFFF"/>
          <w:lang w:eastAsia="zh-CN"/>
        </w:rPr>
        <w:tab/>
      </w:r>
      <w:r>
        <w:rPr>
          <w:sz w:val="21"/>
          <w:szCs w:val="21"/>
          <w:shd w:val="clear" w:color="auto" w:fill="FFFFFF"/>
          <w:lang w:eastAsia="zh-CN"/>
        </w:rPr>
        <w:t>王波, 卢佩莹</w:t>
      </w:r>
      <w:r>
        <w:rPr>
          <w:rFonts w:hint="eastAsia"/>
          <w:sz w:val="21"/>
          <w:szCs w:val="21"/>
          <w:shd w:val="clear" w:color="auto" w:fill="FFFFFF"/>
          <w:lang w:eastAsia="zh-CN"/>
        </w:rPr>
        <w:t xml:space="preserve"> </w:t>
      </w:r>
      <w:r>
        <w:rPr>
          <w:sz w:val="21"/>
          <w:szCs w:val="21"/>
          <w:shd w:val="clear" w:color="auto" w:fill="FFFFFF"/>
          <w:lang w:eastAsia="zh-CN"/>
        </w:rPr>
        <w:t>,甄峰. 智慧社会下的城市地理学研究</w:t>
      </w:r>
      <w:r>
        <w:rPr>
          <w:rFonts w:hint="eastAsia"/>
          <w:sz w:val="21"/>
          <w:szCs w:val="21"/>
          <w:shd w:val="clear" w:color="auto" w:fill="FFFFFF"/>
          <w:lang w:eastAsia="zh-CN"/>
        </w:rPr>
        <w:t>——</w:t>
      </w:r>
      <w:r>
        <w:rPr>
          <w:sz w:val="21"/>
          <w:szCs w:val="21"/>
          <w:shd w:val="clear" w:color="auto" w:fill="FFFFFF"/>
          <w:lang w:eastAsia="zh-CN"/>
        </w:rPr>
        <w:t>基于居民活动的视角[J]. 地理研究, 2018, 37(10): 2075-2086.</w:t>
      </w:r>
    </w:p>
    <w:p w14:paraId="1904FDDB">
      <w:pPr>
        <w:spacing w:before="120" w:beforeLines="50" w:line="240" w:lineRule="auto"/>
        <w:ind w:left="420" w:hanging="420" w:hangingChars="200"/>
        <w:rPr>
          <w:sz w:val="21"/>
          <w:szCs w:val="21"/>
          <w:lang w:val="en-US" w:eastAsia="zh-CN"/>
        </w:rPr>
      </w:pPr>
      <w:r>
        <w:rPr>
          <w:sz w:val="21"/>
          <w:szCs w:val="21"/>
          <w:lang w:eastAsia="zh-CN"/>
        </w:rPr>
        <w:t>[43]</w:t>
      </w:r>
      <w:r>
        <w:rPr>
          <w:sz w:val="21"/>
          <w:szCs w:val="21"/>
          <w:lang w:eastAsia="zh-CN"/>
        </w:rPr>
        <w:tab/>
      </w:r>
      <w:r>
        <w:rPr>
          <w:rFonts w:hint="eastAsia"/>
          <w:sz w:val="21"/>
          <w:szCs w:val="21"/>
          <w:lang w:eastAsia="zh-CN"/>
        </w:rPr>
        <w:t>柴彦威</w:t>
      </w:r>
      <w:r>
        <w:rPr>
          <w:sz w:val="21"/>
          <w:szCs w:val="21"/>
          <w:lang w:val="en-US" w:eastAsia="zh-CN"/>
        </w:rPr>
        <w:t xml:space="preserve">, </w:t>
      </w:r>
      <w:r>
        <w:rPr>
          <w:rFonts w:hint="eastAsia"/>
          <w:sz w:val="21"/>
          <w:szCs w:val="21"/>
          <w:lang w:val="en-US" w:eastAsia="zh-CN"/>
        </w:rPr>
        <w:t>杨振宇</w:t>
      </w:r>
      <w:r>
        <w:rPr>
          <w:sz w:val="21"/>
          <w:szCs w:val="21"/>
          <w:lang w:val="en-US" w:eastAsia="zh-CN"/>
        </w:rPr>
        <w:t xml:space="preserve">, </w:t>
      </w:r>
      <w:r>
        <w:rPr>
          <w:rFonts w:hint="eastAsia"/>
          <w:sz w:val="21"/>
          <w:szCs w:val="21"/>
          <w:lang w:val="en-US" w:eastAsia="zh-CN"/>
        </w:rPr>
        <w:t>肖苗苗</w:t>
      </w:r>
      <w:r>
        <w:rPr>
          <w:sz w:val="21"/>
          <w:szCs w:val="21"/>
          <w:lang w:val="en-US" w:eastAsia="zh-CN"/>
        </w:rPr>
        <w:t xml:space="preserve">. </w:t>
      </w:r>
      <w:r>
        <w:rPr>
          <w:rFonts w:hint="eastAsia"/>
          <w:sz w:val="21"/>
          <w:szCs w:val="21"/>
          <w:lang w:val="en-US" w:eastAsia="zh-CN"/>
        </w:rPr>
        <w:t>理想社区生活圈与实际社区生活圈的划分与比较——以北京市当代社区和怡美社区为例</w:t>
      </w:r>
      <w:r>
        <w:rPr>
          <w:sz w:val="21"/>
          <w:szCs w:val="21"/>
          <w:lang w:val="en-US" w:eastAsia="zh-CN"/>
        </w:rPr>
        <w:t>[J]</w:t>
      </w:r>
      <w:r>
        <w:rPr>
          <w:sz w:val="21"/>
          <w:szCs w:val="21"/>
          <w:lang w:eastAsia="zh-CN"/>
        </w:rPr>
        <w:t xml:space="preserve">. </w:t>
      </w:r>
      <w:r>
        <w:rPr>
          <w:rFonts w:hint="eastAsia"/>
          <w:sz w:val="21"/>
          <w:szCs w:val="21"/>
          <w:lang w:eastAsia="zh-CN"/>
        </w:rPr>
        <w:t>上海城市规划, 2025(3): 1-7.</w:t>
      </w:r>
    </w:p>
    <w:p w14:paraId="08E02F76">
      <w:pPr>
        <w:spacing w:before="120" w:beforeLines="50" w:line="240" w:lineRule="auto"/>
        <w:ind w:left="420" w:hanging="420" w:hangingChars="200"/>
        <w:rPr>
          <w:sz w:val="21"/>
          <w:szCs w:val="21"/>
          <w:lang w:eastAsia="zh-CN"/>
        </w:rPr>
      </w:pPr>
      <w:r>
        <w:rPr>
          <w:sz w:val="21"/>
          <w:szCs w:val="21"/>
          <w:lang w:eastAsia="zh-CN"/>
        </w:rPr>
        <w:t>[44]</w:t>
      </w:r>
      <w:r>
        <w:rPr>
          <w:sz w:val="21"/>
          <w:szCs w:val="21"/>
          <w:lang w:eastAsia="zh-CN"/>
        </w:rPr>
        <w:tab/>
      </w:r>
      <w:r>
        <w:rPr>
          <w:sz w:val="21"/>
          <w:szCs w:val="21"/>
          <w:lang w:eastAsia="zh-CN"/>
        </w:rPr>
        <w:t>李春江, 柴彦威, 李彦熙, 等. 企划</w:t>
      </w:r>
      <w:r>
        <w:rPr>
          <w:rFonts w:hint="eastAsia"/>
          <w:sz w:val="21"/>
          <w:szCs w:val="21"/>
          <w:lang w:eastAsia="zh-CN"/>
        </w:rPr>
        <w:t>—</w:t>
      </w:r>
      <w:r>
        <w:rPr>
          <w:sz w:val="21"/>
          <w:szCs w:val="21"/>
          <w:lang w:eastAsia="zh-CN"/>
        </w:rPr>
        <w:t>活动分类系统的探索性研究[J]. 地理研究, 2024, 43(9): 2295-2307.</w:t>
      </w:r>
    </w:p>
    <w:p w14:paraId="70221CF8">
      <w:pPr>
        <w:spacing w:before="120" w:beforeLines="50" w:line="240" w:lineRule="auto"/>
        <w:ind w:left="420" w:hanging="420" w:hangingChars="200"/>
        <w:rPr>
          <w:sz w:val="21"/>
          <w:szCs w:val="21"/>
          <w:lang w:eastAsia="zh-CN"/>
        </w:rPr>
      </w:pPr>
      <w:r>
        <w:rPr>
          <w:sz w:val="21"/>
          <w:szCs w:val="21"/>
          <w:lang w:eastAsia="zh-CN"/>
        </w:rPr>
        <w:t>[45]</w:t>
      </w:r>
      <w:r>
        <w:rPr>
          <w:sz w:val="21"/>
          <w:szCs w:val="21"/>
          <w:lang w:eastAsia="zh-CN"/>
        </w:rPr>
        <w:tab/>
      </w:r>
      <w:r>
        <w:rPr>
          <w:sz w:val="21"/>
          <w:szCs w:val="21"/>
          <w:lang w:eastAsia="zh-CN"/>
        </w:rPr>
        <w:t>中华人民共和国自然资源部. 社区生活圈规划技术指南(TD/T 1062-2021)[S]. 2021.</w:t>
      </w:r>
    </w:p>
    <w:p w14:paraId="421E0219">
      <w:pPr>
        <w:spacing w:before="120" w:beforeLines="50" w:line="240" w:lineRule="auto"/>
        <w:ind w:left="420" w:hanging="420" w:hangingChars="200"/>
        <w:rPr>
          <w:sz w:val="21"/>
          <w:szCs w:val="21"/>
          <w:lang w:eastAsia="zh-CN"/>
        </w:rPr>
      </w:pPr>
      <w:r>
        <w:rPr>
          <w:rFonts w:hint="eastAsia"/>
          <w:sz w:val="21"/>
          <w:szCs w:val="21"/>
          <w:lang w:eastAsia="zh-CN"/>
        </w:rPr>
        <w:t>[4</w:t>
      </w:r>
      <w:r>
        <w:rPr>
          <w:sz w:val="21"/>
          <w:szCs w:val="21"/>
          <w:lang w:eastAsia="zh-CN"/>
        </w:rPr>
        <w:t>6</w:t>
      </w:r>
      <w:r>
        <w:rPr>
          <w:rFonts w:hint="eastAsia"/>
          <w:sz w:val="21"/>
          <w:szCs w:val="21"/>
          <w:lang w:eastAsia="zh-CN"/>
        </w:rPr>
        <w:t>]</w:t>
      </w:r>
      <w:r>
        <w:rPr>
          <w:sz w:val="21"/>
          <w:szCs w:val="21"/>
          <w:lang w:eastAsia="zh-CN"/>
        </w:rPr>
        <w:tab/>
      </w:r>
      <w:r>
        <w:rPr>
          <w:rFonts w:hint="eastAsia"/>
          <w:sz w:val="21"/>
          <w:szCs w:val="21"/>
          <w:lang w:eastAsia="zh-CN"/>
        </w:rPr>
        <w:t>孙道胜, 柴彦威. 城市社区生活圈体系及公共服务设施空间优化——以北京市清河街道为例[J]. 城市发展研究, 2017, 24(9): 7-14,25,2.</w:t>
      </w:r>
    </w:p>
    <w:sectPr>
      <w:footerReference r:id="rId5" w:type="default"/>
      <w:footnotePr>
        <w:numFmt w:val="decimalEnclosedCircleChinese"/>
      </w:footnotePr>
      <w:pgSz w:w="11906" w:h="16838"/>
      <w:pgMar w:top="1440" w:right="1800" w:bottom="1440" w:left="180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 w:name="Microsoft YaHei UI">
    <w:panose1 w:val="020B0503020204020204"/>
    <w:charset w:val="86"/>
    <w:family w:val="swiss"/>
    <w:pitch w:val="default"/>
    <w:sig w:usb0="80000287" w:usb1="2ACF3C50" w:usb2="00000016" w:usb3="00000000" w:csb0="0004001F" w:csb1="00000000"/>
  </w:font>
  <w:font w:name="Segoe UI">
    <w:panose1 w:val="020B0502040204020203"/>
    <w:charset w:val="00"/>
    <w:family w:val="swiss"/>
    <w:pitch w:val="default"/>
    <w:sig w:usb0="E4002EFF" w:usb1="C000E47F" w:usb2="00000009" w:usb3="00000000" w:csb0="200001FF" w:csb1="00000000"/>
  </w:font>
  <w:font w:name="ATC-6c494eea4e2d7b497ebf7b80*+T">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3072676"/>
      <w:docPartObj>
        <w:docPartGallery w:val="AutoText"/>
      </w:docPartObj>
    </w:sdtPr>
    <w:sdtEndPr>
      <w:rPr>
        <w:sz w:val="16"/>
        <w:szCs w:val="11"/>
      </w:rPr>
    </w:sdtEndPr>
    <w:sdtContent>
      <w:sdt>
        <w:sdtPr>
          <w:id w:val="-1769616900"/>
          <w:docPartObj>
            <w:docPartGallery w:val="AutoText"/>
          </w:docPartObj>
        </w:sdtPr>
        <w:sdtEndPr>
          <w:rPr>
            <w:sz w:val="16"/>
            <w:szCs w:val="11"/>
          </w:rPr>
        </w:sdtEndPr>
        <w:sdtContent>
          <w:p w14:paraId="5136D922">
            <w:pPr>
              <w:pStyle w:val="15"/>
              <w:jc w:val="center"/>
              <w:rPr>
                <w:sz w:val="16"/>
                <w:szCs w:val="11"/>
              </w:rPr>
            </w:pPr>
            <w:r>
              <w:rPr>
                <w:sz w:val="16"/>
                <w:szCs w:val="11"/>
                <w:lang w:val="zh-CN" w:eastAsia="zh-CN"/>
              </w:rPr>
              <w:t xml:space="preserve"> </w:t>
            </w:r>
            <w:r>
              <w:rPr>
                <w:b/>
                <w:bCs/>
                <w:sz w:val="16"/>
                <w:szCs w:val="16"/>
              </w:rPr>
              <w:fldChar w:fldCharType="begin"/>
            </w:r>
            <w:r>
              <w:rPr>
                <w:b/>
                <w:bCs/>
                <w:sz w:val="16"/>
                <w:szCs w:val="11"/>
              </w:rPr>
              <w:instrText xml:space="preserve">PAGE</w:instrText>
            </w:r>
            <w:r>
              <w:rPr>
                <w:b/>
                <w:bCs/>
                <w:sz w:val="16"/>
                <w:szCs w:val="16"/>
              </w:rPr>
              <w:fldChar w:fldCharType="separate"/>
            </w:r>
            <w:r>
              <w:rPr>
                <w:b/>
                <w:bCs/>
                <w:sz w:val="16"/>
                <w:szCs w:val="11"/>
                <w:lang w:val="zh-CN" w:eastAsia="zh-CN"/>
              </w:rPr>
              <w:t>2</w:t>
            </w:r>
            <w:r>
              <w:rPr>
                <w:b/>
                <w:bCs/>
                <w:sz w:val="16"/>
                <w:szCs w:val="16"/>
              </w:rPr>
              <w:fldChar w:fldCharType="end"/>
            </w:r>
            <w:r>
              <w:rPr>
                <w:sz w:val="16"/>
                <w:szCs w:val="11"/>
                <w:lang w:val="zh-CN" w:eastAsia="zh-CN"/>
              </w:rPr>
              <w:t xml:space="preserve"> / </w:t>
            </w:r>
            <w:r>
              <w:rPr>
                <w:b/>
                <w:bCs/>
                <w:sz w:val="16"/>
                <w:szCs w:val="16"/>
              </w:rPr>
              <w:fldChar w:fldCharType="begin"/>
            </w:r>
            <w:r>
              <w:rPr>
                <w:b/>
                <w:bCs/>
                <w:sz w:val="16"/>
                <w:szCs w:val="11"/>
              </w:rPr>
              <w:instrText xml:space="preserve">NUMPAGES</w:instrText>
            </w:r>
            <w:r>
              <w:rPr>
                <w:b/>
                <w:bCs/>
                <w:sz w:val="16"/>
                <w:szCs w:val="16"/>
              </w:rPr>
              <w:fldChar w:fldCharType="separate"/>
            </w:r>
            <w:r>
              <w:rPr>
                <w:b/>
                <w:bCs/>
                <w:sz w:val="16"/>
                <w:szCs w:val="11"/>
                <w:lang w:val="zh-CN" w:eastAsia="zh-CN"/>
              </w:rPr>
              <w:t>2</w:t>
            </w:r>
            <w:r>
              <w:rPr>
                <w:b/>
                <w:bCs/>
                <w:sz w:val="16"/>
                <w:szCs w:val="16"/>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6">
    <w:p>
      <w:pPr>
        <w:spacing w:before="0" w:after="0" w:line="360" w:lineRule="auto"/>
      </w:pPr>
      <w:r>
        <w:separator/>
      </w:r>
    </w:p>
  </w:footnote>
  <w:footnote w:type="continuationSeparator" w:id="7">
    <w:p>
      <w:pPr>
        <w:spacing w:before="0" w:after="0" w:line="360" w:lineRule="auto"/>
      </w:pPr>
      <w:r>
        <w:continuationSeparator/>
      </w:r>
    </w:p>
  </w:footnote>
  <w:footnote w:id="0">
    <w:p w14:paraId="43C5C040">
      <w:pPr>
        <w:pStyle w:val="17"/>
        <w:ind w:firstLine="0"/>
        <w:rPr>
          <w:lang w:eastAsia="zh-CN"/>
        </w:rPr>
      </w:pPr>
      <w:r>
        <w:rPr>
          <w:rStyle w:val="26"/>
        </w:rPr>
        <w:footnoteRef/>
      </w:r>
      <w:r>
        <w:rPr>
          <w:lang w:eastAsia="zh-CN"/>
        </w:rPr>
        <w:t xml:space="preserve"> </w:t>
      </w:r>
      <w:r>
        <w:rPr>
          <w:rFonts w:hint="eastAsia"/>
          <w:lang w:eastAsia="zh-CN"/>
        </w:rPr>
        <w:t>数据来源为在高德地图</w:t>
      </w:r>
      <w:r>
        <w:rPr>
          <w:lang w:eastAsia="zh-CN"/>
        </w:rPr>
        <w:t>API</w:t>
      </w:r>
      <w:r>
        <w:rPr>
          <w:rFonts w:hint="eastAsia"/>
          <w:lang w:eastAsia="zh-CN"/>
        </w:rPr>
        <w:t>爬取的上地—清河街道内</w:t>
      </w:r>
      <w:r>
        <w:rPr>
          <w:lang w:eastAsia="zh-CN"/>
        </w:rPr>
        <w:t>2021</w:t>
      </w:r>
      <w:r>
        <w:rPr>
          <w:rFonts w:hint="eastAsia"/>
          <w:lang w:eastAsia="zh-CN"/>
        </w:rPr>
        <w:t>年</w:t>
      </w:r>
      <w:r>
        <w:rPr>
          <w:lang w:eastAsia="zh-CN"/>
        </w:rPr>
        <w:t>10</w:t>
      </w:r>
      <w:r>
        <w:rPr>
          <w:rFonts w:hint="eastAsia"/>
          <w:lang w:eastAsia="zh-CN"/>
        </w:rPr>
        <w:t>月的</w:t>
      </w:r>
      <w:r>
        <w:rPr>
          <w:lang w:eastAsia="zh-CN"/>
        </w:rPr>
        <w:t>POI</w:t>
      </w:r>
      <w:r>
        <w:rPr>
          <w:rFonts w:hint="eastAsia"/>
          <w:lang w:eastAsia="zh-CN"/>
        </w:rPr>
        <w:t>设施。笔者参考相关研究</w:t>
      </w:r>
      <w:r>
        <w:rPr>
          <w:lang w:eastAsia="zh-CN"/>
        </w:rPr>
        <w:t>[46]</w:t>
      </w:r>
      <w:r>
        <w:rPr>
          <w:rFonts w:hint="eastAsia"/>
          <w:lang w:eastAsia="zh-CN"/>
        </w:rPr>
        <w:t>对</w:t>
      </w:r>
      <w:r>
        <w:rPr>
          <w:lang w:eastAsia="zh-CN"/>
        </w:rPr>
        <w:t>POI</w:t>
      </w:r>
      <w:r>
        <w:rPr>
          <w:rFonts w:hint="eastAsia"/>
          <w:lang w:eastAsia="zh-CN"/>
        </w:rPr>
        <w:t>数据进行了分类清洗，分为交通设施、购物设施、体育设施、餐饮设施、休闲设施、教育设施、医疗设施7类。</w:t>
      </w:r>
    </w:p>
  </w:footnote>
  <w:footnote w:id="1">
    <w:p w14:paraId="766C55F0">
      <w:pPr>
        <w:pStyle w:val="17"/>
        <w:ind w:firstLine="0"/>
        <w:rPr>
          <w:lang w:eastAsia="zh-CN"/>
        </w:rPr>
      </w:pPr>
      <w:r>
        <w:rPr>
          <w:rStyle w:val="26"/>
        </w:rPr>
        <w:footnoteRef/>
      </w:r>
      <w:r>
        <w:rPr>
          <w:lang w:eastAsia="zh-CN"/>
        </w:rPr>
        <w:t xml:space="preserve"> </w:t>
      </w:r>
      <w:r>
        <w:rPr>
          <w:rFonts w:hint="eastAsia"/>
          <w:lang w:eastAsia="zh-CN"/>
        </w:rPr>
        <w:t>比如所有线下与线上的购物活动所涉及的空间范围，但不包括与其他活动同时开展的线上购物活动（比如散步时的网购）。与其他活动同步开展的线上活动将在下一段加以分析。</w:t>
      </w:r>
    </w:p>
  </w:footnote>
  <w:footnote w:id="2">
    <w:p w14:paraId="59D07924">
      <w:pPr>
        <w:pStyle w:val="17"/>
        <w:ind w:firstLine="0"/>
        <w:rPr>
          <w:lang w:eastAsia="zh-CN"/>
        </w:rPr>
      </w:pPr>
      <w:r>
        <w:rPr>
          <w:rStyle w:val="26"/>
        </w:rPr>
        <w:footnoteRef/>
      </w:r>
      <w:r>
        <w:rPr>
          <w:lang w:eastAsia="zh-CN"/>
        </w:rPr>
        <w:t xml:space="preserve"> </w:t>
      </w:r>
      <w:r>
        <w:rPr>
          <w:rFonts w:hint="eastAsia"/>
          <w:lang w:eastAsia="zh-CN"/>
        </w:rPr>
        <w:t>比如线下购物和边散步边网购（即后台网购）所涉及的空间范围。</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720"/>
  <w:characterSpacingControl w:val="doNotCompress"/>
  <w:footnotePr>
    <w:numFmt w:val="decimalEnclosedCircleChinese"/>
    <w:footnote w:id="6"/>
    <w:footnote w:id="7"/>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0347"/>
    <w:rsid w:val="00000249"/>
    <w:rsid w:val="000011EB"/>
    <w:rsid w:val="00001349"/>
    <w:rsid w:val="0000143C"/>
    <w:rsid w:val="00001467"/>
    <w:rsid w:val="00002271"/>
    <w:rsid w:val="00002C88"/>
    <w:rsid w:val="00002F59"/>
    <w:rsid w:val="000036DC"/>
    <w:rsid w:val="00003B13"/>
    <w:rsid w:val="00003B1E"/>
    <w:rsid w:val="00003B33"/>
    <w:rsid w:val="00003E97"/>
    <w:rsid w:val="00003F1C"/>
    <w:rsid w:val="000044E4"/>
    <w:rsid w:val="000045FF"/>
    <w:rsid w:val="00004BEA"/>
    <w:rsid w:val="00005426"/>
    <w:rsid w:val="00005FD3"/>
    <w:rsid w:val="0000624F"/>
    <w:rsid w:val="0000662F"/>
    <w:rsid w:val="00006711"/>
    <w:rsid w:val="00007A1F"/>
    <w:rsid w:val="00007B23"/>
    <w:rsid w:val="00007F69"/>
    <w:rsid w:val="000107EE"/>
    <w:rsid w:val="0001126B"/>
    <w:rsid w:val="0001152D"/>
    <w:rsid w:val="00011ED6"/>
    <w:rsid w:val="000122B0"/>
    <w:rsid w:val="00012469"/>
    <w:rsid w:val="000127F9"/>
    <w:rsid w:val="00012E0C"/>
    <w:rsid w:val="000130F6"/>
    <w:rsid w:val="00013220"/>
    <w:rsid w:val="00013A32"/>
    <w:rsid w:val="00013B0C"/>
    <w:rsid w:val="00013E6F"/>
    <w:rsid w:val="00014437"/>
    <w:rsid w:val="00014ABD"/>
    <w:rsid w:val="00014F60"/>
    <w:rsid w:val="00015412"/>
    <w:rsid w:val="000157BD"/>
    <w:rsid w:val="00015832"/>
    <w:rsid w:val="0001592D"/>
    <w:rsid w:val="0001712F"/>
    <w:rsid w:val="0001738E"/>
    <w:rsid w:val="00017750"/>
    <w:rsid w:val="000201DD"/>
    <w:rsid w:val="00020A47"/>
    <w:rsid w:val="00020D45"/>
    <w:rsid w:val="00020FED"/>
    <w:rsid w:val="000211E8"/>
    <w:rsid w:val="000212CA"/>
    <w:rsid w:val="0002133E"/>
    <w:rsid w:val="0002159A"/>
    <w:rsid w:val="000216AF"/>
    <w:rsid w:val="00022089"/>
    <w:rsid w:val="0002233D"/>
    <w:rsid w:val="00022A13"/>
    <w:rsid w:val="000232A6"/>
    <w:rsid w:val="00023513"/>
    <w:rsid w:val="00023DA6"/>
    <w:rsid w:val="00024075"/>
    <w:rsid w:val="00024176"/>
    <w:rsid w:val="000241F8"/>
    <w:rsid w:val="00024684"/>
    <w:rsid w:val="000247E9"/>
    <w:rsid w:val="00024C00"/>
    <w:rsid w:val="00025447"/>
    <w:rsid w:val="000258E2"/>
    <w:rsid w:val="00025995"/>
    <w:rsid w:val="00025E22"/>
    <w:rsid w:val="00025F31"/>
    <w:rsid w:val="000266C3"/>
    <w:rsid w:val="000266F8"/>
    <w:rsid w:val="000268C6"/>
    <w:rsid w:val="000268D3"/>
    <w:rsid w:val="00026AC9"/>
    <w:rsid w:val="00026D63"/>
    <w:rsid w:val="00030442"/>
    <w:rsid w:val="0003078D"/>
    <w:rsid w:val="00030BA4"/>
    <w:rsid w:val="00030EED"/>
    <w:rsid w:val="000323BC"/>
    <w:rsid w:val="000332A7"/>
    <w:rsid w:val="00033BF4"/>
    <w:rsid w:val="00033FB6"/>
    <w:rsid w:val="0003413E"/>
    <w:rsid w:val="00034211"/>
    <w:rsid w:val="000348F8"/>
    <w:rsid w:val="0003496F"/>
    <w:rsid w:val="00034C63"/>
    <w:rsid w:val="00034CD6"/>
    <w:rsid w:val="00034EB0"/>
    <w:rsid w:val="000353E2"/>
    <w:rsid w:val="00035D93"/>
    <w:rsid w:val="00035EA4"/>
    <w:rsid w:val="00035F41"/>
    <w:rsid w:val="0003611D"/>
    <w:rsid w:val="00036205"/>
    <w:rsid w:val="00036292"/>
    <w:rsid w:val="00036BF5"/>
    <w:rsid w:val="00036E5F"/>
    <w:rsid w:val="00037192"/>
    <w:rsid w:val="00037678"/>
    <w:rsid w:val="00037BB9"/>
    <w:rsid w:val="00040530"/>
    <w:rsid w:val="000407E9"/>
    <w:rsid w:val="00040989"/>
    <w:rsid w:val="00040A30"/>
    <w:rsid w:val="00040E0C"/>
    <w:rsid w:val="000412B1"/>
    <w:rsid w:val="00041953"/>
    <w:rsid w:val="00042A45"/>
    <w:rsid w:val="00042D36"/>
    <w:rsid w:val="00043214"/>
    <w:rsid w:val="00043536"/>
    <w:rsid w:val="00043684"/>
    <w:rsid w:val="00043811"/>
    <w:rsid w:val="00043C8F"/>
    <w:rsid w:val="00043F7C"/>
    <w:rsid w:val="00044444"/>
    <w:rsid w:val="00045377"/>
    <w:rsid w:val="00045467"/>
    <w:rsid w:val="0004602C"/>
    <w:rsid w:val="000460FE"/>
    <w:rsid w:val="0004656B"/>
    <w:rsid w:val="0004697C"/>
    <w:rsid w:val="0004770C"/>
    <w:rsid w:val="00047C3A"/>
    <w:rsid w:val="00047D3B"/>
    <w:rsid w:val="000504FA"/>
    <w:rsid w:val="00050C79"/>
    <w:rsid w:val="000512A8"/>
    <w:rsid w:val="0005140A"/>
    <w:rsid w:val="0005149E"/>
    <w:rsid w:val="000516A6"/>
    <w:rsid w:val="00051D51"/>
    <w:rsid w:val="00052004"/>
    <w:rsid w:val="0005237C"/>
    <w:rsid w:val="000524E9"/>
    <w:rsid w:val="000528C9"/>
    <w:rsid w:val="00052A29"/>
    <w:rsid w:val="00052C43"/>
    <w:rsid w:val="00053497"/>
    <w:rsid w:val="00053A58"/>
    <w:rsid w:val="00053DE3"/>
    <w:rsid w:val="00054056"/>
    <w:rsid w:val="000542B5"/>
    <w:rsid w:val="00054312"/>
    <w:rsid w:val="000543EB"/>
    <w:rsid w:val="00054711"/>
    <w:rsid w:val="00054713"/>
    <w:rsid w:val="00054947"/>
    <w:rsid w:val="00054C13"/>
    <w:rsid w:val="00054D6B"/>
    <w:rsid w:val="00054E17"/>
    <w:rsid w:val="000551A1"/>
    <w:rsid w:val="00055F0B"/>
    <w:rsid w:val="00055FD8"/>
    <w:rsid w:val="0005629F"/>
    <w:rsid w:val="000570DA"/>
    <w:rsid w:val="0005789E"/>
    <w:rsid w:val="00057C43"/>
    <w:rsid w:val="00057F28"/>
    <w:rsid w:val="0006009F"/>
    <w:rsid w:val="00060106"/>
    <w:rsid w:val="00060B1B"/>
    <w:rsid w:val="00060F47"/>
    <w:rsid w:val="00061073"/>
    <w:rsid w:val="000618E3"/>
    <w:rsid w:val="00061CB6"/>
    <w:rsid w:val="00062620"/>
    <w:rsid w:val="000626B4"/>
    <w:rsid w:val="00063812"/>
    <w:rsid w:val="00063948"/>
    <w:rsid w:val="0006399B"/>
    <w:rsid w:val="00063C33"/>
    <w:rsid w:val="00063D51"/>
    <w:rsid w:val="00063FD1"/>
    <w:rsid w:val="0006417C"/>
    <w:rsid w:val="000641B9"/>
    <w:rsid w:val="0006483A"/>
    <w:rsid w:val="000649E0"/>
    <w:rsid w:val="00064F39"/>
    <w:rsid w:val="00065949"/>
    <w:rsid w:val="00065D90"/>
    <w:rsid w:val="0006656A"/>
    <w:rsid w:val="000665D3"/>
    <w:rsid w:val="00066B24"/>
    <w:rsid w:val="00066FA1"/>
    <w:rsid w:val="000670D7"/>
    <w:rsid w:val="0006719B"/>
    <w:rsid w:val="00067407"/>
    <w:rsid w:val="0006747A"/>
    <w:rsid w:val="00067A1C"/>
    <w:rsid w:val="0007003B"/>
    <w:rsid w:val="0007015E"/>
    <w:rsid w:val="00070225"/>
    <w:rsid w:val="00070D5A"/>
    <w:rsid w:val="000710A8"/>
    <w:rsid w:val="000712B5"/>
    <w:rsid w:val="000712F7"/>
    <w:rsid w:val="00071785"/>
    <w:rsid w:val="0007203F"/>
    <w:rsid w:val="000730A6"/>
    <w:rsid w:val="0007322F"/>
    <w:rsid w:val="00073773"/>
    <w:rsid w:val="0007392C"/>
    <w:rsid w:val="00073C89"/>
    <w:rsid w:val="0007411E"/>
    <w:rsid w:val="0007445E"/>
    <w:rsid w:val="00074FD3"/>
    <w:rsid w:val="0007583D"/>
    <w:rsid w:val="0007603C"/>
    <w:rsid w:val="00076471"/>
    <w:rsid w:val="0007652C"/>
    <w:rsid w:val="00076D40"/>
    <w:rsid w:val="00076D4E"/>
    <w:rsid w:val="0007747B"/>
    <w:rsid w:val="00077A55"/>
    <w:rsid w:val="00077FE1"/>
    <w:rsid w:val="00080421"/>
    <w:rsid w:val="00080B2F"/>
    <w:rsid w:val="00080D1B"/>
    <w:rsid w:val="00080FF9"/>
    <w:rsid w:val="00081584"/>
    <w:rsid w:val="0008186C"/>
    <w:rsid w:val="00081C9A"/>
    <w:rsid w:val="000822E3"/>
    <w:rsid w:val="000823E5"/>
    <w:rsid w:val="00083015"/>
    <w:rsid w:val="000831C2"/>
    <w:rsid w:val="000831D0"/>
    <w:rsid w:val="00084148"/>
    <w:rsid w:val="000841DE"/>
    <w:rsid w:val="000843E8"/>
    <w:rsid w:val="00084567"/>
    <w:rsid w:val="00084816"/>
    <w:rsid w:val="00084855"/>
    <w:rsid w:val="00084907"/>
    <w:rsid w:val="00084CD7"/>
    <w:rsid w:val="00085092"/>
    <w:rsid w:val="00085121"/>
    <w:rsid w:val="00085DBE"/>
    <w:rsid w:val="00086331"/>
    <w:rsid w:val="00090B55"/>
    <w:rsid w:val="00090D37"/>
    <w:rsid w:val="00090F71"/>
    <w:rsid w:val="0009149F"/>
    <w:rsid w:val="000914B9"/>
    <w:rsid w:val="00092899"/>
    <w:rsid w:val="00092C3C"/>
    <w:rsid w:val="00092FD6"/>
    <w:rsid w:val="0009300E"/>
    <w:rsid w:val="000936F0"/>
    <w:rsid w:val="00093C33"/>
    <w:rsid w:val="00093EE6"/>
    <w:rsid w:val="00093FE3"/>
    <w:rsid w:val="00094201"/>
    <w:rsid w:val="000942EF"/>
    <w:rsid w:val="000944A0"/>
    <w:rsid w:val="000944FE"/>
    <w:rsid w:val="0009497B"/>
    <w:rsid w:val="00094A08"/>
    <w:rsid w:val="00094B71"/>
    <w:rsid w:val="00094CBB"/>
    <w:rsid w:val="000953E9"/>
    <w:rsid w:val="000955B6"/>
    <w:rsid w:val="00095E7F"/>
    <w:rsid w:val="00096544"/>
    <w:rsid w:val="000967FB"/>
    <w:rsid w:val="00096B1B"/>
    <w:rsid w:val="00096D23"/>
    <w:rsid w:val="00097422"/>
    <w:rsid w:val="00097970"/>
    <w:rsid w:val="000A0126"/>
    <w:rsid w:val="000A096F"/>
    <w:rsid w:val="000A0D5D"/>
    <w:rsid w:val="000A183E"/>
    <w:rsid w:val="000A1A30"/>
    <w:rsid w:val="000A1ACC"/>
    <w:rsid w:val="000A1C40"/>
    <w:rsid w:val="000A2094"/>
    <w:rsid w:val="000A20F0"/>
    <w:rsid w:val="000A241B"/>
    <w:rsid w:val="000A2920"/>
    <w:rsid w:val="000A2D7C"/>
    <w:rsid w:val="000A2EBE"/>
    <w:rsid w:val="000A3562"/>
    <w:rsid w:val="000A35EA"/>
    <w:rsid w:val="000A3C00"/>
    <w:rsid w:val="000A3F12"/>
    <w:rsid w:val="000A411E"/>
    <w:rsid w:val="000A484E"/>
    <w:rsid w:val="000A50E7"/>
    <w:rsid w:val="000A591F"/>
    <w:rsid w:val="000A5B5C"/>
    <w:rsid w:val="000A6C46"/>
    <w:rsid w:val="000A6FC9"/>
    <w:rsid w:val="000A7258"/>
    <w:rsid w:val="000A75E9"/>
    <w:rsid w:val="000B0FAD"/>
    <w:rsid w:val="000B11D9"/>
    <w:rsid w:val="000B1462"/>
    <w:rsid w:val="000B1A28"/>
    <w:rsid w:val="000B1AFB"/>
    <w:rsid w:val="000B2FFE"/>
    <w:rsid w:val="000B3604"/>
    <w:rsid w:val="000B365A"/>
    <w:rsid w:val="000B3F48"/>
    <w:rsid w:val="000B40AD"/>
    <w:rsid w:val="000B41EA"/>
    <w:rsid w:val="000B4494"/>
    <w:rsid w:val="000B4BFE"/>
    <w:rsid w:val="000B4DA9"/>
    <w:rsid w:val="000B53BA"/>
    <w:rsid w:val="000B5436"/>
    <w:rsid w:val="000B5551"/>
    <w:rsid w:val="000B55D8"/>
    <w:rsid w:val="000B57C4"/>
    <w:rsid w:val="000B5C8D"/>
    <w:rsid w:val="000B5D32"/>
    <w:rsid w:val="000B5F7C"/>
    <w:rsid w:val="000B63C5"/>
    <w:rsid w:val="000B697D"/>
    <w:rsid w:val="000B6A9B"/>
    <w:rsid w:val="000B7475"/>
    <w:rsid w:val="000C0780"/>
    <w:rsid w:val="000C180E"/>
    <w:rsid w:val="000C18D6"/>
    <w:rsid w:val="000C27E2"/>
    <w:rsid w:val="000C2DA7"/>
    <w:rsid w:val="000C2E9D"/>
    <w:rsid w:val="000C337F"/>
    <w:rsid w:val="000C338A"/>
    <w:rsid w:val="000C3593"/>
    <w:rsid w:val="000C3964"/>
    <w:rsid w:val="000C3A85"/>
    <w:rsid w:val="000C3E3E"/>
    <w:rsid w:val="000C476D"/>
    <w:rsid w:val="000C49E9"/>
    <w:rsid w:val="000C56BA"/>
    <w:rsid w:val="000C5871"/>
    <w:rsid w:val="000C5AA0"/>
    <w:rsid w:val="000C5ABA"/>
    <w:rsid w:val="000C63D9"/>
    <w:rsid w:val="000C659B"/>
    <w:rsid w:val="000C69C7"/>
    <w:rsid w:val="000C6D47"/>
    <w:rsid w:val="000C6EB2"/>
    <w:rsid w:val="000C7259"/>
    <w:rsid w:val="000D06AA"/>
    <w:rsid w:val="000D092C"/>
    <w:rsid w:val="000D0B46"/>
    <w:rsid w:val="000D15A0"/>
    <w:rsid w:val="000D15E3"/>
    <w:rsid w:val="000D17C6"/>
    <w:rsid w:val="000D1BA3"/>
    <w:rsid w:val="000D21B2"/>
    <w:rsid w:val="000D25D3"/>
    <w:rsid w:val="000D26AC"/>
    <w:rsid w:val="000D282F"/>
    <w:rsid w:val="000D35A1"/>
    <w:rsid w:val="000D3894"/>
    <w:rsid w:val="000D3A1B"/>
    <w:rsid w:val="000D3E1D"/>
    <w:rsid w:val="000D3E9E"/>
    <w:rsid w:val="000D418A"/>
    <w:rsid w:val="000D429B"/>
    <w:rsid w:val="000D4367"/>
    <w:rsid w:val="000D44CB"/>
    <w:rsid w:val="000D4FEC"/>
    <w:rsid w:val="000D5185"/>
    <w:rsid w:val="000D54A2"/>
    <w:rsid w:val="000D56E3"/>
    <w:rsid w:val="000D6484"/>
    <w:rsid w:val="000D6A45"/>
    <w:rsid w:val="000D7043"/>
    <w:rsid w:val="000D70CF"/>
    <w:rsid w:val="000D750A"/>
    <w:rsid w:val="000E0021"/>
    <w:rsid w:val="000E0350"/>
    <w:rsid w:val="000E067D"/>
    <w:rsid w:val="000E0AAC"/>
    <w:rsid w:val="000E0F9A"/>
    <w:rsid w:val="000E1056"/>
    <w:rsid w:val="000E2B69"/>
    <w:rsid w:val="000E372C"/>
    <w:rsid w:val="000E398C"/>
    <w:rsid w:val="000E3FB2"/>
    <w:rsid w:val="000E4563"/>
    <w:rsid w:val="000E4AC4"/>
    <w:rsid w:val="000E4B04"/>
    <w:rsid w:val="000E515D"/>
    <w:rsid w:val="000E521E"/>
    <w:rsid w:val="000E5430"/>
    <w:rsid w:val="000E5CD8"/>
    <w:rsid w:val="000E5F9E"/>
    <w:rsid w:val="000E6A93"/>
    <w:rsid w:val="000E6AA3"/>
    <w:rsid w:val="000E6B12"/>
    <w:rsid w:val="000E78CD"/>
    <w:rsid w:val="000E7AC7"/>
    <w:rsid w:val="000E7B2C"/>
    <w:rsid w:val="000E7E54"/>
    <w:rsid w:val="000F0180"/>
    <w:rsid w:val="000F0ADE"/>
    <w:rsid w:val="000F1285"/>
    <w:rsid w:val="000F16B3"/>
    <w:rsid w:val="000F19A9"/>
    <w:rsid w:val="000F1C42"/>
    <w:rsid w:val="000F1C5B"/>
    <w:rsid w:val="000F2599"/>
    <w:rsid w:val="000F2641"/>
    <w:rsid w:val="000F29C2"/>
    <w:rsid w:val="000F3751"/>
    <w:rsid w:val="000F3761"/>
    <w:rsid w:val="000F4506"/>
    <w:rsid w:val="000F47AC"/>
    <w:rsid w:val="000F4EAF"/>
    <w:rsid w:val="000F57D3"/>
    <w:rsid w:val="000F5BAD"/>
    <w:rsid w:val="000F66AA"/>
    <w:rsid w:val="000F6A41"/>
    <w:rsid w:val="000F6CF5"/>
    <w:rsid w:val="000F6E87"/>
    <w:rsid w:val="000F6EB8"/>
    <w:rsid w:val="000F6FB9"/>
    <w:rsid w:val="000F7437"/>
    <w:rsid w:val="000F7E00"/>
    <w:rsid w:val="0010005B"/>
    <w:rsid w:val="001002AC"/>
    <w:rsid w:val="001004BB"/>
    <w:rsid w:val="001008BB"/>
    <w:rsid w:val="00101BA3"/>
    <w:rsid w:val="00101C96"/>
    <w:rsid w:val="00102271"/>
    <w:rsid w:val="001028A3"/>
    <w:rsid w:val="00102A89"/>
    <w:rsid w:val="0010311E"/>
    <w:rsid w:val="001035C6"/>
    <w:rsid w:val="001039CD"/>
    <w:rsid w:val="0010516C"/>
    <w:rsid w:val="00105B50"/>
    <w:rsid w:val="001061DF"/>
    <w:rsid w:val="00106CB4"/>
    <w:rsid w:val="00107686"/>
    <w:rsid w:val="0010779A"/>
    <w:rsid w:val="00107A3C"/>
    <w:rsid w:val="00107B4C"/>
    <w:rsid w:val="00107BB6"/>
    <w:rsid w:val="00110055"/>
    <w:rsid w:val="00110167"/>
    <w:rsid w:val="0011037D"/>
    <w:rsid w:val="00110AC3"/>
    <w:rsid w:val="00110B2E"/>
    <w:rsid w:val="00110DC5"/>
    <w:rsid w:val="001112A3"/>
    <w:rsid w:val="00111462"/>
    <w:rsid w:val="00111CE9"/>
    <w:rsid w:val="00112126"/>
    <w:rsid w:val="00112695"/>
    <w:rsid w:val="00112712"/>
    <w:rsid w:val="00112959"/>
    <w:rsid w:val="00112B94"/>
    <w:rsid w:val="00112BA0"/>
    <w:rsid w:val="00112C16"/>
    <w:rsid w:val="0011372A"/>
    <w:rsid w:val="001138D8"/>
    <w:rsid w:val="00113915"/>
    <w:rsid w:val="001146A9"/>
    <w:rsid w:val="00114B66"/>
    <w:rsid w:val="00114DFB"/>
    <w:rsid w:val="001153C8"/>
    <w:rsid w:val="00115998"/>
    <w:rsid w:val="001169FE"/>
    <w:rsid w:val="00116B09"/>
    <w:rsid w:val="00116B22"/>
    <w:rsid w:val="00117396"/>
    <w:rsid w:val="001175D7"/>
    <w:rsid w:val="00117959"/>
    <w:rsid w:val="00117CE4"/>
    <w:rsid w:val="001202C3"/>
    <w:rsid w:val="00120376"/>
    <w:rsid w:val="0012044A"/>
    <w:rsid w:val="00120497"/>
    <w:rsid w:val="001206BA"/>
    <w:rsid w:val="00120C64"/>
    <w:rsid w:val="00121186"/>
    <w:rsid w:val="00121363"/>
    <w:rsid w:val="0012138E"/>
    <w:rsid w:val="001215DF"/>
    <w:rsid w:val="00121897"/>
    <w:rsid w:val="00122325"/>
    <w:rsid w:val="001227C5"/>
    <w:rsid w:val="00122C6F"/>
    <w:rsid w:val="00122DD1"/>
    <w:rsid w:val="001230F1"/>
    <w:rsid w:val="00123600"/>
    <w:rsid w:val="0012377B"/>
    <w:rsid w:val="0012393F"/>
    <w:rsid w:val="00123A5F"/>
    <w:rsid w:val="00124CA9"/>
    <w:rsid w:val="00124D24"/>
    <w:rsid w:val="0012525A"/>
    <w:rsid w:val="00125797"/>
    <w:rsid w:val="00125C57"/>
    <w:rsid w:val="001261B1"/>
    <w:rsid w:val="00126866"/>
    <w:rsid w:val="00126A93"/>
    <w:rsid w:val="00126D35"/>
    <w:rsid w:val="00126DE8"/>
    <w:rsid w:val="00127044"/>
    <w:rsid w:val="001278CB"/>
    <w:rsid w:val="00127E81"/>
    <w:rsid w:val="00130094"/>
    <w:rsid w:val="0013045B"/>
    <w:rsid w:val="001307F3"/>
    <w:rsid w:val="0013097E"/>
    <w:rsid w:val="00131466"/>
    <w:rsid w:val="00131526"/>
    <w:rsid w:val="00131857"/>
    <w:rsid w:val="00132529"/>
    <w:rsid w:val="0013280F"/>
    <w:rsid w:val="001333F4"/>
    <w:rsid w:val="00133820"/>
    <w:rsid w:val="00133837"/>
    <w:rsid w:val="001338FF"/>
    <w:rsid w:val="00133921"/>
    <w:rsid w:val="00133AE9"/>
    <w:rsid w:val="00133BA1"/>
    <w:rsid w:val="00133E39"/>
    <w:rsid w:val="0013434F"/>
    <w:rsid w:val="001349D7"/>
    <w:rsid w:val="00134A63"/>
    <w:rsid w:val="001353BB"/>
    <w:rsid w:val="001359A7"/>
    <w:rsid w:val="00135C64"/>
    <w:rsid w:val="00136659"/>
    <w:rsid w:val="00136713"/>
    <w:rsid w:val="00136ACB"/>
    <w:rsid w:val="00136BD1"/>
    <w:rsid w:val="00136C19"/>
    <w:rsid w:val="001376B2"/>
    <w:rsid w:val="001376C8"/>
    <w:rsid w:val="00137942"/>
    <w:rsid w:val="00137954"/>
    <w:rsid w:val="0014050D"/>
    <w:rsid w:val="0014139F"/>
    <w:rsid w:val="00141662"/>
    <w:rsid w:val="001417ED"/>
    <w:rsid w:val="00141C90"/>
    <w:rsid w:val="001420B4"/>
    <w:rsid w:val="001425FA"/>
    <w:rsid w:val="0014277F"/>
    <w:rsid w:val="00142945"/>
    <w:rsid w:val="00142F0F"/>
    <w:rsid w:val="0014391B"/>
    <w:rsid w:val="001439C1"/>
    <w:rsid w:val="00143C18"/>
    <w:rsid w:val="001451D4"/>
    <w:rsid w:val="00145467"/>
    <w:rsid w:val="00145566"/>
    <w:rsid w:val="00145B19"/>
    <w:rsid w:val="00145F99"/>
    <w:rsid w:val="00146310"/>
    <w:rsid w:val="0014652F"/>
    <w:rsid w:val="001466A6"/>
    <w:rsid w:val="001467B6"/>
    <w:rsid w:val="0014689D"/>
    <w:rsid w:val="00146DD3"/>
    <w:rsid w:val="0014701B"/>
    <w:rsid w:val="00147A8C"/>
    <w:rsid w:val="00150440"/>
    <w:rsid w:val="0015046B"/>
    <w:rsid w:val="00150475"/>
    <w:rsid w:val="001504E7"/>
    <w:rsid w:val="00150ADE"/>
    <w:rsid w:val="00150E33"/>
    <w:rsid w:val="00150E6D"/>
    <w:rsid w:val="00151505"/>
    <w:rsid w:val="00151849"/>
    <w:rsid w:val="0015195E"/>
    <w:rsid w:val="00151B70"/>
    <w:rsid w:val="00151C54"/>
    <w:rsid w:val="00151FEB"/>
    <w:rsid w:val="00152304"/>
    <w:rsid w:val="00152C48"/>
    <w:rsid w:val="00152CBE"/>
    <w:rsid w:val="0015326D"/>
    <w:rsid w:val="0015376B"/>
    <w:rsid w:val="00153961"/>
    <w:rsid w:val="001546AB"/>
    <w:rsid w:val="00154A51"/>
    <w:rsid w:val="0015528E"/>
    <w:rsid w:val="00155731"/>
    <w:rsid w:val="00155792"/>
    <w:rsid w:val="00155CFE"/>
    <w:rsid w:val="00156311"/>
    <w:rsid w:val="001565EF"/>
    <w:rsid w:val="001566F5"/>
    <w:rsid w:val="0015679E"/>
    <w:rsid w:val="00157425"/>
    <w:rsid w:val="00157CFF"/>
    <w:rsid w:val="0016005D"/>
    <w:rsid w:val="00160509"/>
    <w:rsid w:val="0016075E"/>
    <w:rsid w:val="00160806"/>
    <w:rsid w:val="001609F8"/>
    <w:rsid w:val="00160E85"/>
    <w:rsid w:val="001612B8"/>
    <w:rsid w:val="00161A5E"/>
    <w:rsid w:val="00161BF5"/>
    <w:rsid w:val="00161DF9"/>
    <w:rsid w:val="00162229"/>
    <w:rsid w:val="0016258B"/>
    <w:rsid w:val="001628A2"/>
    <w:rsid w:val="00162C26"/>
    <w:rsid w:val="001634FA"/>
    <w:rsid w:val="00163777"/>
    <w:rsid w:val="00163AF4"/>
    <w:rsid w:val="00163B61"/>
    <w:rsid w:val="00164152"/>
    <w:rsid w:val="00164171"/>
    <w:rsid w:val="00164321"/>
    <w:rsid w:val="00164356"/>
    <w:rsid w:val="00164390"/>
    <w:rsid w:val="001645E0"/>
    <w:rsid w:val="001647C9"/>
    <w:rsid w:val="0016497E"/>
    <w:rsid w:val="00164A0F"/>
    <w:rsid w:val="00165047"/>
    <w:rsid w:val="0016526C"/>
    <w:rsid w:val="00165389"/>
    <w:rsid w:val="0016538C"/>
    <w:rsid w:val="001656A7"/>
    <w:rsid w:val="00165F93"/>
    <w:rsid w:val="00166666"/>
    <w:rsid w:val="001668D4"/>
    <w:rsid w:val="001678BB"/>
    <w:rsid w:val="001678E4"/>
    <w:rsid w:val="00167F9E"/>
    <w:rsid w:val="00170490"/>
    <w:rsid w:val="00170713"/>
    <w:rsid w:val="001717BB"/>
    <w:rsid w:val="00173255"/>
    <w:rsid w:val="00173AFB"/>
    <w:rsid w:val="00173B22"/>
    <w:rsid w:val="00173BE2"/>
    <w:rsid w:val="00174039"/>
    <w:rsid w:val="0017424F"/>
    <w:rsid w:val="00174496"/>
    <w:rsid w:val="00174940"/>
    <w:rsid w:val="00175C2C"/>
    <w:rsid w:val="00176027"/>
    <w:rsid w:val="0017650C"/>
    <w:rsid w:val="00176718"/>
    <w:rsid w:val="001769C3"/>
    <w:rsid w:val="00176DD4"/>
    <w:rsid w:val="00176F61"/>
    <w:rsid w:val="00177525"/>
    <w:rsid w:val="00177AE2"/>
    <w:rsid w:val="00177D45"/>
    <w:rsid w:val="001801E2"/>
    <w:rsid w:val="001809FF"/>
    <w:rsid w:val="001811C7"/>
    <w:rsid w:val="001813A1"/>
    <w:rsid w:val="00181D6C"/>
    <w:rsid w:val="00181F65"/>
    <w:rsid w:val="00182304"/>
    <w:rsid w:val="00182346"/>
    <w:rsid w:val="001824FF"/>
    <w:rsid w:val="00182B14"/>
    <w:rsid w:val="00182C84"/>
    <w:rsid w:val="00183692"/>
    <w:rsid w:val="001838A0"/>
    <w:rsid w:val="00183A03"/>
    <w:rsid w:val="00183F1D"/>
    <w:rsid w:val="001844B4"/>
    <w:rsid w:val="00184588"/>
    <w:rsid w:val="00184C11"/>
    <w:rsid w:val="00184C75"/>
    <w:rsid w:val="0018508F"/>
    <w:rsid w:val="001852EE"/>
    <w:rsid w:val="001855A7"/>
    <w:rsid w:val="00185C2B"/>
    <w:rsid w:val="00185D3B"/>
    <w:rsid w:val="00185ED3"/>
    <w:rsid w:val="00186239"/>
    <w:rsid w:val="0018630B"/>
    <w:rsid w:val="00186388"/>
    <w:rsid w:val="00186DA1"/>
    <w:rsid w:val="00186E6B"/>
    <w:rsid w:val="0018762D"/>
    <w:rsid w:val="00187900"/>
    <w:rsid w:val="00187A6A"/>
    <w:rsid w:val="00187CA3"/>
    <w:rsid w:val="00190232"/>
    <w:rsid w:val="00190234"/>
    <w:rsid w:val="001907F6"/>
    <w:rsid w:val="00190BB7"/>
    <w:rsid w:val="001912CD"/>
    <w:rsid w:val="001915D5"/>
    <w:rsid w:val="00191B11"/>
    <w:rsid w:val="00191F85"/>
    <w:rsid w:val="00192060"/>
    <w:rsid w:val="001920FC"/>
    <w:rsid w:val="0019268D"/>
    <w:rsid w:val="00192CDD"/>
    <w:rsid w:val="00192F39"/>
    <w:rsid w:val="00193075"/>
    <w:rsid w:val="001930D5"/>
    <w:rsid w:val="00193AFC"/>
    <w:rsid w:val="00194050"/>
    <w:rsid w:val="00194332"/>
    <w:rsid w:val="00194E6A"/>
    <w:rsid w:val="00194ECE"/>
    <w:rsid w:val="00194F7C"/>
    <w:rsid w:val="00195069"/>
    <w:rsid w:val="001950F8"/>
    <w:rsid w:val="0019521D"/>
    <w:rsid w:val="00195616"/>
    <w:rsid w:val="001959DC"/>
    <w:rsid w:val="00195CF1"/>
    <w:rsid w:val="00196551"/>
    <w:rsid w:val="00196924"/>
    <w:rsid w:val="00196CAF"/>
    <w:rsid w:val="00197269"/>
    <w:rsid w:val="00197A0C"/>
    <w:rsid w:val="00197A66"/>
    <w:rsid w:val="001A06CD"/>
    <w:rsid w:val="001A107A"/>
    <w:rsid w:val="001A1187"/>
    <w:rsid w:val="001A1314"/>
    <w:rsid w:val="001A1B1E"/>
    <w:rsid w:val="001A2010"/>
    <w:rsid w:val="001A2340"/>
    <w:rsid w:val="001A23CA"/>
    <w:rsid w:val="001A24C8"/>
    <w:rsid w:val="001A294C"/>
    <w:rsid w:val="001A2C6C"/>
    <w:rsid w:val="001A2EB3"/>
    <w:rsid w:val="001A3397"/>
    <w:rsid w:val="001A3777"/>
    <w:rsid w:val="001A4004"/>
    <w:rsid w:val="001A411E"/>
    <w:rsid w:val="001A48BE"/>
    <w:rsid w:val="001A4C1E"/>
    <w:rsid w:val="001A4D09"/>
    <w:rsid w:val="001A526C"/>
    <w:rsid w:val="001A54FC"/>
    <w:rsid w:val="001A5830"/>
    <w:rsid w:val="001A6178"/>
    <w:rsid w:val="001A6C70"/>
    <w:rsid w:val="001A719F"/>
    <w:rsid w:val="001A770E"/>
    <w:rsid w:val="001A7FB3"/>
    <w:rsid w:val="001B08A3"/>
    <w:rsid w:val="001B0E7F"/>
    <w:rsid w:val="001B14C8"/>
    <w:rsid w:val="001B2147"/>
    <w:rsid w:val="001B26B5"/>
    <w:rsid w:val="001B26D1"/>
    <w:rsid w:val="001B27E1"/>
    <w:rsid w:val="001B2DD2"/>
    <w:rsid w:val="001B32E6"/>
    <w:rsid w:val="001B35F2"/>
    <w:rsid w:val="001B39E3"/>
    <w:rsid w:val="001B4BF7"/>
    <w:rsid w:val="001B4CDF"/>
    <w:rsid w:val="001B4D3A"/>
    <w:rsid w:val="001B4F32"/>
    <w:rsid w:val="001B5371"/>
    <w:rsid w:val="001B5B29"/>
    <w:rsid w:val="001B5B95"/>
    <w:rsid w:val="001B6221"/>
    <w:rsid w:val="001B6E32"/>
    <w:rsid w:val="001B75EF"/>
    <w:rsid w:val="001B7799"/>
    <w:rsid w:val="001B792F"/>
    <w:rsid w:val="001B7949"/>
    <w:rsid w:val="001C01B8"/>
    <w:rsid w:val="001C06C6"/>
    <w:rsid w:val="001C07F7"/>
    <w:rsid w:val="001C0AB4"/>
    <w:rsid w:val="001C12B7"/>
    <w:rsid w:val="001C14AE"/>
    <w:rsid w:val="001C18CC"/>
    <w:rsid w:val="001C1D1D"/>
    <w:rsid w:val="001C1E73"/>
    <w:rsid w:val="001C1FF5"/>
    <w:rsid w:val="001C2238"/>
    <w:rsid w:val="001C25C7"/>
    <w:rsid w:val="001C2D93"/>
    <w:rsid w:val="001C2EA2"/>
    <w:rsid w:val="001C307F"/>
    <w:rsid w:val="001C3284"/>
    <w:rsid w:val="001C35C0"/>
    <w:rsid w:val="001C3E9E"/>
    <w:rsid w:val="001C47A1"/>
    <w:rsid w:val="001C4E4F"/>
    <w:rsid w:val="001C53D2"/>
    <w:rsid w:val="001C55DD"/>
    <w:rsid w:val="001C575B"/>
    <w:rsid w:val="001C57AC"/>
    <w:rsid w:val="001C5C2D"/>
    <w:rsid w:val="001C6E5A"/>
    <w:rsid w:val="001C7E26"/>
    <w:rsid w:val="001C7E59"/>
    <w:rsid w:val="001D00D0"/>
    <w:rsid w:val="001D01E7"/>
    <w:rsid w:val="001D01FD"/>
    <w:rsid w:val="001D0257"/>
    <w:rsid w:val="001D08D9"/>
    <w:rsid w:val="001D2DC9"/>
    <w:rsid w:val="001D328D"/>
    <w:rsid w:val="001D371E"/>
    <w:rsid w:val="001D466D"/>
    <w:rsid w:val="001D48E7"/>
    <w:rsid w:val="001D58ED"/>
    <w:rsid w:val="001D62EC"/>
    <w:rsid w:val="001D662D"/>
    <w:rsid w:val="001D6932"/>
    <w:rsid w:val="001D6BF6"/>
    <w:rsid w:val="001D6E14"/>
    <w:rsid w:val="001D6FDD"/>
    <w:rsid w:val="001D70DA"/>
    <w:rsid w:val="001D758E"/>
    <w:rsid w:val="001D77E6"/>
    <w:rsid w:val="001D7FE0"/>
    <w:rsid w:val="001E0480"/>
    <w:rsid w:val="001E1243"/>
    <w:rsid w:val="001E12CB"/>
    <w:rsid w:val="001E1605"/>
    <w:rsid w:val="001E19CB"/>
    <w:rsid w:val="001E1D00"/>
    <w:rsid w:val="001E1D0D"/>
    <w:rsid w:val="001E2143"/>
    <w:rsid w:val="001E25EA"/>
    <w:rsid w:val="001E280C"/>
    <w:rsid w:val="001E377C"/>
    <w:rsid w:val="001E3808"/>
    <w:rsid w:val="001E380F"/>
    <w:rsid w:val="001E3E26"/>
    <w:rsid w:val="001E4E51"/>
    <w:rsid w:val="001E5528"/>
    <w:rsid w:val="001E5665"/>
    <w:rsid w:val="001E5D36"/>
    <w:rsid w:val="001E5ECF"/>
    <w:rsid w:val="001E5F47"/>
    <w:rsid w:val="001E61C5"/>
    <w:rsid w:val="001E61DD"/>
    <w:rsid w:val="001E71EF"/>
    <w:rsid w:val="001F0815"/>
    <w:rsid w:val="001F0A1E"/>
    <w:rsid w:val="001F18AE"/>
    <w:rsid w:val="001F18FD"/>
    <w:rsid w:val="001F198D"/>
    <w:rsid w:val="001F1F44"/>
    <w:rsid w:val="001F2CCA"/>
    <w:rsid w:val="001F33E0"/>
    <w:rsid w:val="001F4DDC"/>
    <w:rsid w:val="001F5220"/>
    <w:rsid w:val="001F5675"/>
    <w:rsid w:val="001F5AE0"/>
    <w:rsid w:val="001F5C03"/>
    <w:rsid w:val="001F6060"/>
    <w:rsid w:val="001F61AB"/>
    <w:rsid w:val="001F625B"/>
    <w:rsid w:val="001F67D6"/>
    <w:rsid w:val="001F6FB2"/>
    <w:rsid w:val="001F74F0"/>
    <w:rsid w:val="001F7794"/>
    <w:rsid w:val="001F78FE"/>
    <w:rsid w:val="001F7996"/>
    <w:rsid w:val="001F79B9"/>
    <w:rsid w:val="00200224"/>
    <w:rsid w:val="002008EE"/>
    <w:rsid w:val="00200DBB"/>
    <w:rsid w:val="002010D8"/>
    <w:rsid w:val="002013F0"/>
    <w:rsid w:val="00201F28"/>
    <w:rsid w:val="002021BB"/>
    <w:rsid w:val="00202501"/>
    <w:rsid w:val="00202B11"/>
    <w:rsid w:val="00202D20"/>
    <w:rsid w:val="0020327F"/>
    <w:rsid w:val="002034A3"/>
    <w:rsid w:val="0020369B"/>
    <w:rsid w:val="00203DD5"/>
    <w:rsid w:val="00203E56"/>
    <w:rsid w:val="0020409A"/>
    <w:rsid w:val="0020412A"/>
    <w:rsid w:val="00204826"/>
    <w:rsid w:val="00204900"/>
    <w:rsid w:val="002055DA"/>
    <w:rsid w:val="00205ABE"/>
    <w:rsid w:val="00205B0A"/>
    <w:rsid w:val="00205DD2"/>
    <w:rsid w:val="002060A8"/>
    <w:rsid w:val="002063F6"/>
    <w:rsid w:val="00206526"/>
    <w:rsid w:val="00206A5C"/>
    <w:rsid w:val="00206B7F"/>
    <w:rsid w:val="00206F10"/>
    <w:rsid w:val="00207910"/>
    <w:rsid w:val="0020797F"/>
    <w:rsid w:val="00207DE8"/>
    <w:rsid w:val="00207F86"/>
    <w:rsid w:val="00207FB4"/>
    <w:rsid w:val="002101B1"/>
    <w:rsid w:val="00210290"/>
    <w:rsid w:val="00210863"/>
    <w:rsid w:val="00210D30"/>
    <w:rsid w:val="0021119A"/>
    <w:rsid w:val="0021205B"/>
    <w:rsid w:val="00212899"/>
    <w:rsid w:val="00212989"/>
    <w:rsid w:val="00212F84"/>
    <w:rsid w:val="00213029"/>
    <w:rsid w:val="00213D6F"/>
    <w:rsid w:val="002140D8"/>
    <w:rsid w:val="002141E7"/>
    <w:rsid w:val="0021437D"/>
    <w:rsid w:val="00214837"/>
    <w:rsid w:val="00214EC0"/>
    <w:rsid w:val="002150A7"/>
    <w:rsid w:val="002153D6"/>
    <w:rsid w:val="0021572E"/>
    <w:rsid w:val="002157CC"/>
    <w:rsid w:val="00215E5C"/>
    <w:rsid w:val="00216519"/>
    <w:rsid w:val="00216654"/>
    <w:rsid w:val="002166BA"/>
    <w:rsid w:val="0021711F"/>
    <w:rsid w:val="00217290"/>
    <w:rsid w:val="0021766C"/>
    <w:rsid w:val="002177CE"/>
    <w:rsid w:val="002179E7"/>
    <w:rsid w:val="00217CCB"/>
    <w:rsid w:val="0022077D"/>
    <w:rsid w:val="00220AB6"/>
    <w:rsid w:val="00220AF9"/>
    <w:rsid w:val="00220B2F"/>
    <w:rsid w:val="00220E0B"/>
    <w:rsid w:val="00220FFB"/>
    <w:rsid w:val="00221020"/>
    <w:rsid w:val="0022194F"/>
    <w:rsid w:val="002219B1"/>
    <w:rsid w:val="00221FF3"/>
    <w:rsid w:val="002220D8"/>
    <w:rsid w:val="00222A33"/>
    <w:rsid w:val="00222A6D"/>
    <w:rsid w:val="00222B31"/>
    <w:rsid w:val="00222FF2"/>
    <w:rsid w:val="00222FFA"/>
    <w:rsid w:val="00223D6C"/>
    <w:rsid w:val="00224A48"/>
    <w:rsid w:val="00224C2B"/>
    <w:rsid w:val="00224CC0"/>
    <w:rsid w:val="00225128"/>
    <w:rsid w:val="00225419"/>
    <w:rsid w:val="002256BA"/>
    <w:rsid w:val="002257F0"/>
    <w:rsid w:val="0022599D"/>
    <w:rsid w:val="0022663D"/>
    <w:rsid w:val="00226DE3"/>
    <w:rsid w:val="00226E40"/>
    <w:rsid w:val="00227144"/>
    <w:rsid w:val="002274A8"/>
    <w:rsid w:val="0022783A"/>
    <w:rsid w:val="00227C76"/>
    <w:rsid w:val="002302BB"/>
    <w:rsid w:val="002303C7"/>
    <w:rsid w:val="0023053E"/>
    <w:rsid w:val="00230692"/>
    <w:rsid w:val="00230DBE"/>
    <w:rsid w:val="00230E59"/>
    <w:rsid w:val="00231E1E"/>
    <w:rsid w:val="002326A9"/>
    <w:rsid w:val="00232DD5"/>
    <w:rsid w:val="00233515"/>
    <w:rsid w:val="002335FF"/>
    <w:rsid w:val="00233637"/>
    <w:rsid w:val="0023398E"/>
    <w:rsid w:val="002342FD"/>
    <w:rsid w:val="0023512D"/>
    <w:rsid w:val="002356E8"/>
    <w:rsid w:val="0023611C"/>
    <w:rsid w:val="0023650E"/>
    <w:rsid w:val="0023682A"/>
    <w:rsid w:val="002369FB"/>
    <w:rsid w:val="00237385"/>
    <w:rsid w:val="0023767B"/>
    <w:rsid w:val="00237B57"/>
    <w:rsid w:val="00237CB9"/>
    <w:rsid w:val="002400CC"/>
    <w:rsid w:val="0024058E"/>
    <w:rsid w:val="002406EB"/>
    <w:rsid w:val="0024076C"/>
    <w:rsid w:val="002407C7"/>
    <w:rsid w:val="00240F8D"/>
    <w:rsid w:val="00240F9E"/>
    <w:rsid w:val="00241048"/>
    <w:rsid w:val="00241915"/>
    <w:rsid w:val="00241ACE"/>
    <w:rsid w:val="00241B47"/>
    <w:rsid w:val="00241BDA"/>
    <w:rsid w:val="00242093"/>
    <w:rsid w:val="00242479"/>
    <w:rsid w:val="0024284C"/>
    <w:rsid w:val="00242D9B"/>
    <w:rsid w:val="002438D7"/>
    <w:rsid w:val="00243BF2"/>
    <w:rsid w:val="0024408C"/>
    <w:rsid w:val="00244201"/>
    <w:rsid w:val="002446E4"/>
    <w:rsid w:val="0024535F"/>
    <w:rsid w:val="002462C0"/>
    <w:rsid w:val="002464FE"/>
    <w:rsid w:val="00246E1F"/>
    <w:rsid w:val="00247981"/>
    <w:rsid w:val="002501B0"/>
    <w:rsid w:val="002503C9"/>
    <w:rsid w:val="00250794"/>
    <w:rsid w:val="00250C38"/>
    <w:rsid w:val="00250C9A"/>
    <w:rsid w:val="00250EB4"/>
    <w:rsid w:val="00251133"/>
    <w:rsid w:val="0025121B"/>
    <w:rsid w:val="00251333"/>
    <w:rsid w:val="00251D26"/>
    <w:rsid w:val="00251DAD"/>
    <w:rsid w:val="00252628"/>
    <w:rsid w:val="00252971"/>
    <w:rsid w:val="00252A32"/>
    <w:rsid w:val="00253045"/>
    <w:rsid w:val="00253248"/>
    <w:rsid w:val="002539A4"/>
    <w:rsid w:val="00253A5A"/>
    <w:rsid w:val="002541CE"/>
    <w:rsid w:val="00254446"/>
    <w:rsid w:val="00254915"/>
    <w:rsid w:val="00254C56"/>
    <w:rsid w:val="00254FD0"/>
    <w:rsid w:val="002553BE"/>
    <w:rsid w:val="00255B30"/>
    <w:rsid w:val="002565C2"/>
    <w:rsid w:val="002565E7"/>
    <w:rsid w:val="002569D9"/>
    <w:rsid w:val="00257717"/>
    <w:rsid w:val="00257719"/>
    <w:rsid w:val="0025791D"/>
    <w:rsid w:val="00257A21"/>
    <w:rsid w:val="00257EA3"/>
    <w:rsid w:val="002603E3"/>
    <w:rsid w:val="00260B92"/>
    <w:rsid w:val="0026168C"/>
    <w:rsid w:val="00261B07"/>
    <w:rsid w:val="00261F63"/>
    <w:rsid w:val="00262522"/>
    <w:rsid w:val="00262AAF"/>
    <w:rsid w:val="00262C4F"/>
    <w:rsid w:val="0026376B"/>
    <w:rsid w:val="002637EA"/>
    <w:rsid w:val="00263ED7"/>
    <w:rsid w:val="002641E5"/>
    <w:rsid w:val="0026444D"/>
    <w:rsid w:val="002656AA"/>
    <w:rsid w:val="00265B22"/>
    <w:rsid w:val="0026657E"/>
    <w:rsid w:val="00266C2D"/>
    <w:rsid w:val="00266F06"/>
    <w:rsid w:val="00266F5F"/>
    <w:rsid w:val="00267571"/>
    <w:rsid w:val="00270C63"/>
    <w:rsid w:val="00270DAA"/>
    <w:rsid w:val="00271CCA"/>
    <w:rsid w:val="00272A61"/>
    <w:rsid w:val="00272EB6"/>
    <w:rsid w:val="00273231"/>
    <w:rsid w:val="00273F32"/>
    <w:rsid w:val="0027437A"/>
    <w:rsid w:val="00274DF3"/>
    <w:rsid w:val="00274EB5"/>
    <w:rsid w:val="002754B2"/>
    <w:rsid w:val="002756D8"/>
    <w:rsid w:val="002758B4"/>
    <w:rsid w:val="00276566"/>
    <w:rsid w:val="0027746F"/>
    <w:rsid w:val="00277693"/>
    <w:rsid w:val="00277AAE"/>
    <w:rsid w:val="00277AF1"/>
    <w:rsid w:val="00277CE9"/>
    <w:rsid w:val="00277D72"/>
    <w:rsid w:val="00277FDE"/>
    <w:rsid w:val="002806B9"/>
    <w:rsid w:val="00280B02"/>
    <w:rsid w:val="00280E51"/>
    <w:rsid w:val="0028127F"/>
    <w:rsid w:val="002813C3"/>
    <w:rsid w:val="00281B21"/>
    <w:rsid w:val="00281D2C"/>
    <w:rsid w:val="002821A2"/>
    <w:rsid w:val="0028248E"/>
    <w:rsid w:val="0028321C"/>
    <w:rsid w:val="002832C4"/>
    <w:rsid w:val="00283C38"/>
    <w:rsid w:val="00283CB5"/>
    <w:rsid w:val="00283CE2"/>
    <w:rsid w:val="00284753"/>
    <w:rsid w:val="00284A3E"/>
    <w:rsid w:val="0028525C"/>
    <w:rsid w:val="002853EC"/>
    <w:rsid w:val="00285A3D"/>
    <w:rsid w:val="00285B9F"/>
    <w:rsid w:val="00285BBE"/>
    <w:rsid w:val="00286115"/>
    <w:rsid w:val="002864B0"/>
    <w:rsid w:val="00286516"/>
    <w:rsid w:val="00286E26"/>
    <w:rsid w:val="002871EB"/>
    <w:rsid w:val="00287FAD"/>
    <w:rsid w:val="0029020A"/>
    <w:rsid w:val="002909D1"/>
    <w:rsid w:val="00290AB2"/>
    <w:rsid w:val="00290DA6"/>
    <w:rsid w:val="00291383"/>
    <w:rsid w:val="0029176E"/>
    <w:rsid w:val="00292004"/>
    <w:rsid w:val="00292F8E"/>
    <w:rsid w:val="00293810"/>
    <w:rsid w:val="00293E2F"/>
    <w:rsid w:val="0029453B"/>
    <w:rsid w:val="002946A7"/>
    <w:rsid w:val="00294C07"/>
    <w:rsid w:val="00294F6A"/>
    <w:rsid w:val="00295FFE"/>
    <w:rsid w:val="002966B6"/>
    <w:rsid w:val="00296813"/>
    <w:rsid w:val="002968E5"/>
    <w:rsid w:val="002973DC"/>
    <w:rsid w:val="00297A1A"/>
    <w:rsid w:val="00297B04"/>
    <w:rsid w:val="00297C34"/>
    <w:rsid w:val="002A0F22"/>
    <w:rsid w:val="002A1A13"/>
    <w:rsid w:val="002A1B2F"/>
    <w:rsid w:val="002A1D7F"/>
    <w:rsid w:val="002A1FF4"/>
    <w:rsid w:val="002A2045"/>
    <w:rsid w:val="002A224E"/>
    <w:rsid w:val="002A261D"/>
    <w:rsid w:val="002A3292"/>
    <w:rsid w:val="002A3933"/>
    <w:rsid w:val="002A3C76"/>
    <w:rsid w:val="002A4F4A"/>
    <w:rsid w:val="002A4F8D"/>
    <w:rsid w:val="002A568C"/>
    <w:rsid w:val="002A5B14"/>
    <w:rsid w:val="002A5DA7"/>
    <w:rsid w:val="002A6595"/>
    <w:rsid w:val="002A65A6"/>
    <w:rsid w:val="002A70D1"/>
    <w:rsid w:val="002A71A3"/>
    <w:rsid w:val="002A71CB"/>
    <w:rsid w:val="002A79E8"/>
    <w:rsid w:val="002B05AB"/>
    <w:rsid w:val="002B072E"/>
    <w:rsid w:val="002B0834"/>
    <w:rsid w:val="002B0A75"/>
    <w:rsid w:val="002B14E7"/>
    <w:rsid w:val="002B199C"/>
    <w:rsid w:val="002B1D97"/>
    <w:rsid w:val="002B2077"/>
    <w:rsid w:val="002B20F1"/>
    <w:rsid w:val="002B23CC"/>
    <w:rsid w:val="002B2595"/>
    <w:rsid w:val="002B2F3B"/>
    <w:rsid w:val="002B3648"/>
    <w:rsid w:val="002B3CCB"/>
    <w:rsid w:val="002B3F6B"/>
    <w:rsid w:val="002B4051"/>
    <w:rsid w:val="002B434D"/>
    <w:rsid w:val="002B4362"/>
    <w:rsid w:val="002B43A2"/>
    <w:rsid w:val="002B4613"/>
    <w:rsid w:val="002B49AE"/>
    <w:rsid w:val="002B4F44"/>
    <w:rsid w:val="002B4FE7"/>
    <w:rsid w:val="002B5485"/>
    <w:rsid w:val="002B55A2"/>
    <w:rsid w:val="002B627A"/>
    <w:rsid w:val="002B65E8"/>
    <w:rsid w:val="002B6949"/>
    <w:rsid w:val="002B69D4"/>
    <w:rsid w:val="002B6B62"/>
    <w:rsid w:val="002B6B86"/>
    <w:rsid w:val="002B6C7C"/>
    <w:rsid w:val="002B724E"/>
    <w:rsid w:val="002B7655"/>
    <w:rsid w:val="002B771A"/>
    <w:rsid w:val="002B7DE1"/>
    <w:rsid w:val="002B7E22"/>
    <w:rsid w:val="002C0228"/>
    <w:rsid w:val="002C035E"/>
    <w:rsid w:val="002C0888"/>
    <w:rsid w:val="002C0C00"/>
    <w:rsid w:val="002C1004"/>
    <w:rsid w:val="002C147B"/>
    <w:rsid w:val="002C1CC4"/>
    <w:rsid w:val="002C1DAE"/>
    <w:rsid w:val="002C1E56"/>
    <w:rsid w:val="002C213C"/>
    <w:rsid w:val="002C275E"/>
    <w:rsid w:val="002C2FC7"/>
    <w:rsid w:val="002C323C"/>
    <w:rsid w:val="002C326E"/>
    <w:rsid w:val="002C34BD"/>
    <w:rsid w:val="002C36B5"/>
    <w:rsid w:val="002C3E64"/>
    <w:rsid w:val="002C42EE"/>
    <w:rsid w:val="002C5176"/>
    <w:rsid w:val="002C531D"/>
    <w:rsid w:val="002C53E0"/>
    <w:rsid w:val="002C54FB"/>
    <w:rsid w:val="002C5B0D"/>
    <w:rsid w:val="002C5CB4"/>
    <w:rsid w:val="002C6437"/>
    <w:rsid w:val="002C7124"/>
    <w:rsid w:val="002C74FE"/>
    <w:rsid w:val="002C7C90"/>
    <w:rsid w:val="002D0B5C"/>
    <w:rsid w:val="002D0C57"/>
    <w:rsid w:val="002D0F6E"/>
    <w:rsid w:val="002D181D"/>
    <w:rsid w:val="002D191A"/>
    <w:rsid w:val="002D1A35"/>
    <w:rsid w:val="002D1AA3"/>
    <w:rsid w:val="002D1E54"/>
    <w:rsid w:val="002D22DB"/>
    <w:rsid w:val="002D240D"/>
    <w:rsid w:val="002D2892"/>
    <w:rsid w:val="002D3A63"/>
    <w:rsid w:val="002D3E44"/>
    <w:rsid w:val="002D3EF6"/>
    <w:rsid w:val="002D428A"/>
    <w:rsid w:val="002D5206"/>
    <w:rsid w:val="002D5A3C"/>
    <w:rsid w:val="002D5F09"/>
    <w:rsid w:val="002D622F"/>
    <w:rsid w:val="002D6731"/>
    <w:rsid w:val="002D67D7"/>
    <w:rsid w:val="002D6825"/>
    <w:rsid w:val="002D6D4D"/>
    <w:rsid w:val="002D724A"/>
    <w:rsid w:val="002D73E3"/>
    <w:rsid w:val="002D7992"/>
    <w:rsid w:val="002D7BC5"/>
    <w:rsid w:val="002D7F24"/>
    <w:rsid w:val="002E05DF"/>
    <w:rsid w:val="002E0AC9"/>
    <w:rsid w:val="002E0E03"/>
    <w:rsid w:val="002E103A"/>
    <w:rsid w:val="002E156C"/>
    <w:rsid w:val="002E3B17"/>
    <w:rsid w:val="002E3D74"/>
    <w:rsid w:val="002E3DE5"/>
    <w:rsid w:val="002E3F91"/>
    <w:rsid w:val="002E4089"/>
    <w:rsid w:val="002E420A"/>
    <w:rsid w:val="002E4C08"/>
    <w:rsid w:val="002E4ED9"/>
    <w:rsid w:val="002E535E"/>
    <w:rsid w:val="002E53EA"/>
    <w:rsid w:val="002E569F"/>
    <w:rsid w:val="002E58A0"/>
    <w:rsid w:val="002E5F51"/>
    <w:rsid w:val="002E62AE"/>
    <w:rsid w:val="002E67E8"/>
    <w:rsid w:val="002E6EEC"/>
    <w:rsid w:val="002E6F6D"/>
    <w:rsid w:val="002E727B"/>
    <w:rsid w:val="002E7405"/>
    <w:rsid w:val="002E74E5"/>
    <w:rsid w:val="002E7935"/>
    <w:rsid w:val="002E7937"/>
    <w:rsid w:val="002E79B1"/>
    <w:rsid w:val="002E7C0E"/>
    <w:rsid w:val="002E7CAB"/>
    <w:rsid w:val="002E7D43"/>
    <w:rsid w:val="002F010C"/>
    <w:rsid w:val="002F08ED"/>
    <w:rsid w:val="002F0F76"/>
    <w:rsid w:val="002F10BB"/>
    <w:rsid w:val="002F10C7"/>
    <w:rsid w:val="002F1691"/>
    <w:rsid w:val="002F185E"/>
    <w:rsid w:val="002F1A3F"/>
    <w:rsid w:val="002F211C"/>
    <w:rsid w:val="002F23E1"/>
    <w:rsid w:val="002F2BF8"/>
    <w:rsid w:val="002F39B7"/>
    <w:rsid w:val="002F3B91"/>
    <w:rsid w:val="002F3FCC"/>
    <w:rsid w:val="002F4322"/>
    <w:rsid w:val="002F469A"/>
    <w:rsid w:val="002F4A4B"/>
    <w:rsid w:val="002F4D10"/>
    <w:rsid w:val="002F4D3B"/>
    <w:rsid w:val="002F4D53"/>
    <w:rsid w:val="002F527D"/>
    <w:rsid w:val="002F5734"/>
    <w:rsid w:val="002F578D"/>
    <w:rsid w:val="002F594D"/>
    <w:rsid w:val="002F5AC7"/>
    <w:rsid w:val="002F613E"/>
    <w:rsid w:val="002F641D"/>
    <w:rsid w:val="002F6B75"/>
    <w:rsid w:val="00300457"/>
    <w:rsid w:val="003011A1"/>
    <w:rsid w:val="00301357"/>
    <w:rsid w:val="0030182D"/>
    <w:rsid w:val="00301D17"/>
    <w:rsid w:val="00301F27"/>
    <w:rsid w:val="003020BA"/>
    <w:rsid w:val="00302747"/>
    <w:rsid w:val="003029D6"/>
    <w:rsid w:val="00302FB8"/>
    <w:rsid w:val="003032A6"/>
    <w:rsid w:val="003032D1"/>
    <w:rsid w:val="0030333E"/>
    <w:rsid w:val="003036A2"/>
    <w:rsid w:val="00303CDD"/>
    <w:rsid w:val="003041A0"/>
    <w:rsid w:val="00304543"/>
    <w:rsid w:val="003046AC"/>
    <w:rsid w:val="003049DC"/>
    <w:rsid w:val="00304C86"/>
    <w:rsid w:val="00304F7B"/>
    <w:rsid w:val="003052C1"/>
    <w:rsid w:val="0030539F"/>
    <w:rsid w:val="00305739"/>
    <w:rsid w:val="00305910"/>
    <w:rsid w:val="00305E84"/>
    <w:rsid w:val="00306B81"/>
    <w:rsid w:val="00306BB1"/>
    <w:rsid w:val="00306EC4"/>
    <w:rsid w:val="00306FE8"/>
    <w:rsid w:val="003072E2"/>
    <w:rsid w:val="00307952"/>
    <w:rsid w:val="00307A44"/>
    <w:rsid w:val="00307FB6"/>
    <w:rsid w:val="00310072"/>
    <w:rsid w:val="003100D8"/>
    <w:rsid w:val="00310230"/>
    <w:rsid w:val="003103A1"/>
    <w:rsid w:val="003106BF"/>
    <w:rsid w:val="0031074B"/>
    <w:rsid w:val="00310BCB"/>
    <w:rsid w:val="00310E97"/>
    <w:rsid w:val="0031143C"/>
    <w:rsid w:val="00311D3D"/>
    <w:rsid w:val="00311E20"/>
    <w:rsid w:val="00312185"/>
    <w:rsid w:val="00312C6B"/>
    <w:rsid w:val="00312D2B"/>
    <w:rsid w:val="00312ED3"/>
    <w:rsid w:val="00312EFC"/>
    <w:rsid w:val="00313A51"/>
    <w:rsid w:val="00314994"/>
    <w:rsid w:val="00314A36"/>
    <w:rsid w:val="00314C09"/>
    <w:rsid w:val="00314F18"/>
    <w:rsid w:val="003152D1"/>
    <w:rsid w:val="00315D0E"/>
    <w:rsid w:val="00316A6C"/>
    <w:rsid w:val="00316D8C"/>
    <w:rsid w:val="003170B3"/>
    <w:rsid w:val="00317425"/>
    <w:rsid w:val="0031742E"/>
    <w:rsid w:val="0031766E"/>
    <w:rsid w:val="003176C6"/>
    <w:rsid w:val="00317860"/>
    <w:rsid w:val="003178AC"/>
    <w:rsid w:val="00317A41"/>
    <w:rsid w:val="00317E15"/>
    <w:rsid w:val="0032022D"/>
    <w:rsid w:val="00320278"/>
    <w:rsid w:val="003207FE"/>
    <w:rsid w:val="0032089C"/>
    <w:rsid w:val="003208D5"/>
    <w:rsid w:val="00320FCA"/>
    <w:rsid w:val="00321084"/>
    <w:rsid w:val="0032158C"/>
    <w:rsid w:val="00321A24"/>
    <w:rsid w:val="003221A5"/>
    <w:rsid w:val="00322221"/>
    <w:rsid w:val="003223D8"/>
    <w:rsid w:val="00322FF2"/>
    <w:rsid w:val="003230D5"/>
    <w:rsid w:val="003233DC"/>
    <w:rsid w:val="003234D0"/>
    <w:rsid w:val="00323EE1"/>
    <w:rsid w:val="003240B4"/>
    <w:rsid w:val="00324548"/>
    <w:rsid w:val="00324FFB"/>
    <w:rsid w:val="0032561C"/>
    <w:rsid w:val="00325787"/>
    <w:rsid w:val="00325792"/>
    <w:rsid w:val="00325927"/>
    <w:rsid w:val="00325A81"/>
    <w:rsid w:val="0032668E"/>
    <w:rsid w:val="00326857"/>
    <w:rsid w:val="00326CA0"/>
    <w:rsid w:val="00327211"/>
    <w:rsid w:val="00327307"/>
    <w:rsid w:val="003274D4"/>
    <w:rsid w:val="0032769B"/>
    <w:rsid w:val="00327723"/>
    <w:rsid w:val="00327856"/>
    <w:rsid w:val="003302DF"/>
    <w:rsid w:val="00331AF5"/>
    <w:rsid w:val="00331E62"/>
    <w:rsid w:val="00331FE2"/>
    <w:rsid w:val="003321BF"/>
    <w:rsid w:val="00332313"/>
    <w:rsid w:val="003323A6"/>
    <w:rsid w:val="00332CDD"/>
    <w:rsid w:val="003330EF"/>
    <w:rsid w:val="003331E1"/>
    <w:rsid w:val="00333522"/>
    <w:rsid w:val="003335E5"/>
    <w:rsid w:val="0033492E"/>
    <w:rsid w:val="0033496C"/>
    <w:rsid w:val="00334A98"/>
    <w:rsid w:val="00334FC4"/>
    <w:rsid w:val="00334FF6"/>
    <w:rsid w:val="0033501E"/>
    <w:rsid w:val="00335252"/>
    <w:rsid w:val="003353C2"/>
    <w:rsid w:val="00335879"/>
    <w:rsid w:val="00335EAF"/>
    <w:rsid w:val="00336180"/>
    <w:rsid w:val="00336188"/>
    <w:rsid w:val="003362A2"/>
    <w:rsid w:val="00336788"/>
    <w:rsid w:val="00340068"/>
    <w:rsid w:val="00340135"/>
    <w:rsid w:val="003409C3"/>
    <w:rsid w:val="00340BC1"/>
    <w:rsid w:val="00341A48"/>
    <w:rsid w:val="00341CAE"/>
    <w:rsid w:val="003428EF"/>
    <w:rsid w:val="00342BE4"/>
    <w:rsid w:val="0034337E"/>
    <w:rsid w:val="00343803"/>
    <w:rsid w:val="00343E02"/>
    <w:rsid w:val="0034403D"/>
    <w:rsid w:val="00345602"/>
    <w:rsid w:val="0034570A"/>
    <w:rsid w:val="003458A8"/>
    <w:rsid w:val="00345ABF"/>
    <w:rsid w:val="0034614A"/>
    <w:rsid w:val="00346286"/>
    <w:rsid w:val="00346559"/>
    <w:rsid w:val="003467BC"/>
    <w:rsid w:val="003469C1"/>
    <w:rsid w:val="00346B65"/>
    <w:rsid w:val="00346C85"/>
    <w:rsid w:val="0034795E"/>
    <w:rsid w:val="00347A13"/>
    <w:rsid w:val="00347CEA"/>
    <w:rsid w:val="003500E0"/>
    <w:rsid w:val="003503E2"/>
    <w:rsid w:val="00350D85"/>
    <w:rsid w:val="0035190C"/>
    <w:rsid w:val="00351B89"/>
    <w:rsid w:val="00352756"/>
    <w:rsid w:val="003529A8"/>
    <w:rsid w:val="0035338B"/>
    <w:rsid w:val="003534C2"/>
    <w:rsid w:val="00353F37"/>
    <w:rsid w:val="00354139"/>
    <w:rsid w:val="003543E5"/>
    <w:rsid w:val="00354A2B"/>
    <w:rsid w:val="00355110"/>
    <w:rsid w:val="0035544D"/>
    <w:rsid w:val="003557C7"/>
    <w:rsid w:val="00355962"/>
    <w:rsid w:val="00355B44"/>
    <w:rsid w:val="003561EC"/>
    <w:rsid w:val="0035647C"/>
    <w:rsid w:val="0035658F"/>
    <w:rsid w:val="003565A7"/>
    <w:rsid w:val="0035664C"/>
    <w:rsid w:val="00356BA0"/>
    <w:rsid w:val="00357428"/>
    <w:rsid w:val="003574F9"/>
    <w:rsid w:val="00357C1E"/>
    <w:rsid w:val="00360381"/>
    <w:rsid w:val="003610EC"/>
    <w:rsid w:val="00361AB1"/>
    <w:rsid w:val="00362287"/>
    <w:rsid w:val="0036302C"/>
    <w:rsid w:val="003630BA"/>
    <w:rsid w:val="003634B4"/>
    <w:rsid w:val="0036394F"/>
    <w:rsid w:val="00363BCC"/>
    <w:rsid w:val="00364882"/>
    <w:rsid w:val="00364D0F"/>
    <w:rsid w:val="00364E79"/>
    <w:rsid w:val="00364FC3"/>
    <w:rsid w:val="00365585"/>
    <w:rsid w:val="0036597E"/>
    <w:rsid w:val="00365F4C"/>
    <w:rsid w:val="00366219"/>
    <w:rsid w:val="003662EC"/>
    <w:rsid w:val="003665AA"/>
    <w:rsid w:val="003671AE"/>
    <w:rsid w:val="00367483"/>
    <w:rsid w:val="00367A98"/>
    <w:rsid w:val="003706E2"/>
    <w:rsid w:val="00371547"/>
    <w:rsid w:val="00371571"/>
    <w:rsid w:val="003715E1"/>
    <w:rsid w:val="0037225D"/>
    <w:rsid w:val="00372A26"/>
    <w:rsid w:val="00372D88"/>
    <w:rsid w:val="00373D25"/>
    <w:rsid w:val="00373EFE"/>
    <w:rsid w:val="003742FC"/>
    <w:rsid w:val="003742FE"/>
    <w:rsid w:val="00374367"/>
    <w:rsid w:val="0037436C"/>
    <w:rsid w:val="0037444E"/>
    <w:rsid w:val="003746B6"/>
    <w:rsid w:val="00374B5C"/>
    <w:rsid w:val="00375F4A"/>
    <w:rsid w:val="003761EC"/>
    <w:rsid w:val="00376289"/>
    <w:rsid w:val="0037690A"/>
    <w:rsid w:val="00377862"/>
    <w:rsid w:val="00377DC1"/>
    <w:rsid w:val="00377F5D"/>
    <w:rsid w:val="0038054B"/>
    <w:rsid w:val="0038084A"/>
    <w:rsid w:val="00380A03"/>
    <w:rsid w:val="00380A6D"/>
    <w:rsid w:val="00380E9C"/>
    <w:rsid w:val="00380F40"/>
    <w:rsid w:val="003820DF"/>
    <w:rsid w:val="00382362"/>
    <w:rsid w:val="00382908"/>
    <w:rsid w:val="00383019"/>
    <w:rsid w:val="003833E4"/>
    <w:rsid w:val="00383B27"/>
    <w:rsid w:val="00383E44"/>
    <w:rsid w:val="00383F64"/>
    <w:rsid w:val="00384427"/>
    <w:rsid w:val="00384871"/>
    <w:rsid w:val="00384DFE"/>
    <w:rsid w:val="0038517D"/>
    <w:rsid w:val="00385625"/>
    <w:rsid w:val="003857C9"/>
    <w:rsid w:val="00385CBB"/>
    <w:rsid w:val="00386998"/>
    <w:rsid w:val="00386D14"/>
    <w:rsid w:val="00386DBC"/>
    <w:rsid w:val="00386F3F"/>
    <w:rsid w:val="00387816"/>
    <w:rsid w:val="0038787F"/>
    <w:rsid w:val="00387955"/>
    <w:rsid w:val="00387D23"/>
    <w:rsid w:val="003905C8"/>
    <w:rsid w:val="00390E5C"/>
    <w:rsid w:val="003912A3"/>
    <w:rsid w:val="003918F5"/>
    <w:rsid w:val="003921F7"/>
    <w:rsid w:val="003922DC"/>
    <w:rsid w:val="0039244B"/>
    <w:rsid w:val="0039269C"/>
    <w:rsid w:val="003928D0"/>
    <w:rsid w:val="00392980"/>
    <w:rsid w:val="003929D5"/>
    <w:rsid w:val="00392A58"/>
    <w:rsid w:val="0039340C"/>
    <w:rsid w:val="00393A75"/>
    <w:rsid w:val="00393F33"/>
    <w:rsid w:val="003942BA"/>
    <w:rsid w:val="003945C0"/>
    <w:rsid w:val="00394654"/>
    <w:rsid w:val="00394907"/>
    <w:rsid w:val="00394C56"/>
    <w:rsid w:val="00395530"/>
    <w:rsid w:val="0039558F"/>
    <w:rsid w:val="003959AC"/>
    <w:rsid w:val="00395CA6"/>
    <w:rsid w:val="00396F99"/>
    <w:rsid w:val="00396FD5"/>
    <w:rsid w:val="00397601"/>
    <w:rsid w:val="00397889"/>
    <w:rsid w:val="00397917"/>
    <w:rsid w:val="003A04C9"/>
    <w:rsid w:val="003A17D4"/>
    <w:rsid w:val="003A18D7"/>
    <w:rsid w:val="003A18F6"/>
    <w:rsid w:val="003A3B8A"/>
    <w:rsid w:val="003A3BD0"/>
    <w:rsid w:val="003A3D31"/>
    <w:rsid w:val="003A3D88"/>
    <w:rsid w:val="003A48D3"/>
    <w:rsid w:val="003A4E29"/>
    <w:rsid w:val="003A51AE"/>
    <w:rsid w:val="003A5850"/>
    <w:rsid w:val="003A5C9D"/>
    <w:rsid w:val="003A68A2"/>
    <w:rsid w:val="003A729E"/>
    <w:rsid w:val="003A7494"/>
    <w:rsid w:val="003A751B"/>
    <w:rsid w:val="003A75CC"/>
    <w:rsid w:val="003A7700"/>
    <w:rsid w:val="003A77D0"/>
    <w:rsid w:val="003A7E50"/>
    <w:rsid w:val="003B09DC"/>
    <w:rsid w:val="003B0CC6"/>
    <w:rsid w:val="003B0D2E"/>
    <w:rsid w:val="003B0E5B"/>
    <w:rsid w:val="003B1ADB"/>
    <w:rsid w:val="003B1E72"/>
    <w:rsid w:val="003B207D"/>
    <w:rsid w:val="003B2117"/>
    <w:rsid w:val="003B218C"/>
    <w:rsid w:val="003B21A3"/>
    <w:rsid w:val="003B230E"/>
    <w:rsid w:val="003B26E3"/>
    <w:rsid w:val="003B276F"/>
    <w:rsid w:val="003B29D1"/>
    <w:rsid w:val="003B30F5"/>
    <w:rsid w:val="003B37BD"/>
    <w:rsid w:val="003B3D0B"/>
    <w:rsid w:val="003B42FB"/>
    <w:rsid w:val="003B468A"/>
    <w:rsid w:val="003B47F2"/>
    <w:rsid w:val="003B481D"/>
    <w:rsid w:val="003B48CD"/>
    <w:rsid w:val="003B4C40"/>
    <w:rsid w:val="003B4DF4"/>
    <w:rsid w:val="003B4E30"/>
    <w:rsid w:val="003B553C"/>
    <w:rsid w:val="003B5915"/>
    <w:rsid w:val="003B67D1"/>
    <w:rsid w:val="003B6C33"/>
    <w:rsid w:val="003B70A3"/>
    <w:rsid w:val="003B7670"/>
    <w:rsid w:val="003B773C"/>
    <w:rsid w:val="003B7A29"/>
    <w:rsid w:val="003B7C0B"/>
    <w:rsid w:val="003B7DF1"/>
    <w:rsid w:val="003C0206"/>
    <w:rsid w:val="003C0AA7"/>
    <w:rsid w:val="003C0D1B"/>
    <w:rsid w:val="003C10DB"/>
    <w:rsid w:val="003C1315"/>
    <w:rsid w:val="003C1ABC"/>
    <w:rsid w:val="003C2822"/>
    <w:rsid w:val="003C2984"/>
    <w:rsid w:val="003C3340"/>
    <w:rsid w:val="003C3895"/>
    <w:rsid w:val="003C3DCF"/>
    <w:rsid w:val="003C401C"/>
    <w:rsid w:val="003C44C9"/>
    <w:rsid w:val="003C46BB"/>
    <w:rsid w:val="003C4A51"/>
    <w:rsid w:val="003C4B1A"/>
    <w:rsid w:val="003C4C5E"/>
    <w:rsid w:val="003C5438"/>
    <w:rsid w:val="003C5611"/>
    <w:rsid w:val="003C6712"/>
    <w:rsid w:val="003C6839"/>
    <w:rsid w:val="003C6C57"/>
    <w:rsid w:val="003C7D9C"/>
    <w:rsid w:val="003D0970"/>
    <w:rsid w:val="003D1317"/>
    <w:rsid w:val="003D1482"/>
    <w:rsid w:val="003D23C2"/>
    <w:rsid w:val="003D28C6"/>
    <w:rsid w:val="003D28E5"/>
    <w:rsid w:val="003D2BE9"/>
    <w:rsid w:val="003D30F1"/>
    <w:rsid w:val="003D3152"/>
    <w:rsid w:val="003D3592"/>
    <w:rsid w:val="003D3687"/>
    <w:rsid w:val="003D3BF0"/>
    <w:rsid w:val="003D40D2"/>
    <w:rsid w:val="003D4556"/>
    <w:rsid w:val="003D4F06"/>
    <w:rsid w:val="003D5516"/>
    <w:rsid w:val="003D572F"/>
    <w:rsid w:val="003D5C36"/>
    <w:rsid w:val="003D5EDF"/>
    <w:rsid w:val="003D6599"/>
    <w:rsid w:val="003D667A"/>
    <w:rsid w:val="003D68C4"/>
    <w:rsid w:val="003D68F1"/>
    <w:rsid w:val="003D6BCB"/>
    <w:rsid w:val="003D6BDF"/>
    <w:rsid w:val="003D6DE0"/>
    <w:rsid w:val="003D728B"/>
    <w:rsid w:val="003D7AF3"/>
    <w:rsid w:val="003E0092"/>
    <w:rsid w:val="003E15AE"/>
    <w:rsid w:val="003E1FA5"/>
    <w:rsid w:val="003E20E4"/>
    <w:rsid w:val="003E2828"/>
    <w:rsid w:val="003E2DC7"/>
    <w:rsid w:val="003E3656"/>
    <w:rsid w:val="003E37A4"/>
    <w:rsid w:val="003E3B5A"/>
    <w:rsid w:val="003E47A8"/>
    <w:rsid w:val="003E4851"/>
    <w:rsid w:val="003E4B2D"/>
    <w:rsid w:val="003E5A6C"/>
    <w:rsid w:val="003E5C87"/>
    <w:rsid w:val="003E604B"/>
    <w:rsid w:val="003E6261"/>
    <w:rsid w:val="003E6985"/>
    <w:rsid w:val="003E6B66"/>
    <w:rsid w:val="003E6FC7"/>
    <w:rsid w:val="003E773B"/>
    <w:rsid w:val="003E786B"/>
    <w:rsid w:val="003E7877"/>
    <w:rsid w:val="003E7C9C"/>
    <w:rsid w:val="003E7CB7"/>
    <w:rsid w:val="003E7EDB"/>
    <w:rsid w:val="003F0606"/>
    <w:rsid w:val="003F08C0"/>
    <w:rsid w:val="003F0E9D"/>
    <w:rsid w:val="003F10C7"/>
    <w:rsid w:val="003F1A5F"/>
    <w:rsid w:val="003F261C"/>
    <w:rsid w:val="003F3F56"/>
    <w:rsid w:val="003F43DF"/>
    <w:rsid w:val="003F46AF"/>
    <w:rsid w:val="003F4A31"/>
    <w:rsid w:val="003F4DC1"/>
    <w:rsid w:val="003F5A40"/>
    <w:rsid w:val="003F5C50"/>
    <w:rsid w:val="003F633D"/>
    <w:rsid w:val="003F6626"/>
    <w:rsid w:val="003F6924"/>
    <w:rsid w:val="003F756D"/>
    <w:rsid w:val="003F79B5"/>
    <w:rsid w:val="003F7A17"/>
    <w:rsid w:val="003F7CC1"/>
    <w:rsid w:val="0040003E"/>
    <w:rsid w:val="004002CA"/>
    <w:rsid w:val="004005F8"/>
    <w:rsid w:val="00400A3B"/>
    <w:rsid w:val="0040109B"/>
    <w:rsid w:val="00401736"/>
    <w:rsid w:val="00401FFC"/>
    <w:rsid w:val="0040203E"/>
    <w:rsid w:val="00402570"/>
    <w:rsid w:val="004029C7"/>
    <w:rsid w:val="00402C18"/>
    <w:rsid w:val="00402CEC"/>
    <w:rsid w:val="004036A8"/>
    <w:rsid w:val="0040371D"/>
    <w:rsid w:val="004038C6"/>
    <w:rsid w:val="00404588"/>
    <w:rsid w:val="004045AD"/>
    <w:rsid w:val="00404646"/>
    <w:rsid w:val="00404D32"/>
    <w:rsid w:val="0040535D"/>
    <w:rsid w:val="004056EE"/>
    <w:rsid w:val="00405B71"/>
    <w:rsid w:val="00405EE0"/>
    <w:rsid w:val="0040603E"/>
    <w:rsid w:val="00406647"/>
    <w:rsid w:val="0040690D"/>
    <w:rsid w:val="00406F07"/>
    <w:rsid w:val="0040704A"/>
    <w:rsid w:val="00407596"/>
    <w:rsid w:val="00407A1E"/>
    <w:rsid w:val="00410150"/>
    <w:rsid w:val="00410297"/>
    <w:rsid w:val="004108F7"/>
    <w:rsid w:val="00410BD1"/>
    <w:rsid w:val="00410DBD"/>
    <w:rsid w:val="0041125A"/>
    <w:rsid w:val="00411290"/>
    <w:rsid w:val="0041143F"/>
    <w:rsid w:val="004118F1"/>
    <w:rsid w:val="00411A30"/>
    <w:rsid w:val="004128BA"/>
    <w:rsid w:val="00412B39"/>
    <w:rsid w:val="00412EE3"/>
    <w:rsid w:val="00412FBE"/>
    <w:rsid w:val="004131E3"/>
    <w:rsid w:val="004135FE"/>
    <w:rsid w:val="004139BA"/>
    <w:rsid w:val="00413AAA"/>
    <w:rsid w:val="00413DE4"/>
    <w:rsid w:val="0041422F"/>
    <w:rsid w:val="00414262"/>
    <w:rsid w:val="004143AE"/>
    <w:rsid w:val="004151B4"/>
    <w:rsid w:val="004152B6"/>
    <w:rsid w:val="00415CCA"/>
    <w:rsid w:val="0041633E"/>
    <w:rsid w:val="004169AF"/>
    <w:rsid w:val="00416A1D"/>
    <w:rsid w:val="00416C53"/>
    <w:rsid w:val="00416D2A"/>
    <w:rsid w:val="00416DCB"/>
    <w:rsid w:val="00416EF0"/>
    <w:rsid w:val="00417766"/>
    <w:rsid w:val="004179BC"/>
    <w:rsid w:val="00420471"/>
    <w:rsid w:val="004208F6"/>
    <w:rsid w:val="00420F46"/>
    <w:rsid w:val="004211C7"/>
    <w:rsid w:val="004213AB"/>
    <w:rsid w:val="00421EEF"/>
    <w:rsid w:val="0042304A"/>
    <w:rsid w:val="0042324B"/>
    <w:rsid w:val="00423B41"/>
    <w:rsid w:val="00424887"/>
    <w:rsid w:val="00424CEF"/>
    <w:rsid w:val="00425025"/>
    <w:rsid w:val="004253E8"/>
    <w:rsid w:val="004256E1"/>
    <w:rsid w:val="00425FB2"/>
    <w:rsid w:val="00426150"/>
    <w:rsid w:val="004266D1"/>
    <w:rsid w:val="00426CE6"/>
    <w:rsid w:val="00427191"/>
    <w:rsid w:val="00427652"/>
    <w:rsid w:val="004277CB"/>
    <w:rsid w:val="004279BA"/>
    <w:rsid w:val="00427AE6"/>
    <w:rsid w:val="00430215"/>
    <w:rsid w:val="0043098C"/>
    <w:rsid w:val="00431020"/>
    <w:rsid w:val="00431399"/>
    <w:rsid w:val="00431B65"/>
    <w:rsid w:val="004323ED"/>
    <w:rsid w:val="004338DE"/>
    <w:rsid w:val="00433DA9"/>
    <w:rsid w:val="00434277"/>
    <w:rsid w:val="00434A28"/>
    <w:rsid w:val="00434BF4"/>
    <w:rsid w:val="00434C38"/>
    <w:rsid w:val="00434C49"/>
    <w:rsid w:val="004351A5"/>
    <w:rsid w:val="004353DE"/>
    <w:rsid w:val="00435823"/>
    <w:rsid w:val="0043607C"/>
    <w:rsid w:val="004361E8"/>
    <w:rsid w:val="0043652D"/>
    <w:rsid w:val="00436CB7"/>
    <w:rsid w:val="0043712E"/>
    <w:rsid w:val="004373A6"/>
    <w:rsid w:val="0043752A"/>
    <w:rsid w:val="00437EC9"/>
    <w:rsid w:val="00440196"/>
    <w:rsid w:val="00440836"/>
    <w:rsid w:val="00440F97"/>
    <w:rsid w:val="004412E3"/>
    <w:rsid w:val="004417B4"/>
    <w:rsid w:val="00441B5C"/>
    <w:rsid w:val="00441D77"/>
    <w:rsid w:val="00441EB1"/>
    <w:rsid w:val="0044207B"/>
    <w:rsid w:val="00442B87"/>
    <w:rsid w:val="00443299"/>
    <w:rsid w:val="004439C8"/>
    <w:rsid w:val="0044458B"/>
    <w:rsid w:val="00444A24"/>
    <w:rsid w:val="00444A4B"/>
    <w:rsid w:val="00444B95"/>
    <w:rsid w:val="00445BC4"/>
    <w:rsid w:val="00445C27"/>
    <w:rsid w:val="00446264"/>
    <w:rsid w:val="004465CE"/>
    <w:rsid w:val="00446C8B"/>
    <w:rsid w:val="00447364"/>
    <w:rsid w:val="004473FC"/>
    <w:rsid w:val="004478C0"/>
    <w:rsid w:val="00447CCC"/>
    <w:rsid w:val="004505C0"/>
    <w:rsid w:val="00450939"/>
    <w:rsid w:val="00450E2A"/>
    <w:rsid w:val="00450F40"/>
    <w:rsid w:val="004512F2"/>
    <w:rsid w:val="0045171E"/>
    <w:rsid w:val="004526D1"/>
    <w:rsid w:val="00452B40"/>
    <w:rsid w:val="00452C85"/>
    <w:rsid w:val="00453A67"/>
    <w:rsid w:val="00453BBA"/>
    <w:rsid w:val="004542F7"/>
    <w:rsid w:val="00454B72"/>
    <w:rsid w:val="00455272"/>
    <w:rsid w:val="00455406"/>
    <w:rsid w:val="00455CE8"/>
    <w:rsid w:val="00456232"/>
    <w:rsid w:val="00456C37"/>
    <w:rsid w:val="00456F7B"/>
    <w:rsid w:val="004573B8"/>
    <w:rsid w:val="00457A6F"/>
    <w:rsid w:val="00460050"/>
    <w:rsid w:val="00460442"/>
    <w:rsid w:val="00460613"/>
    <w:rsid w:val="0046078C"/>
    <w:rsid w:val="004607AB"/>
    <w:rsid w:val="00460848"/>
    <w:rsid w:val="004619A4"/>
    <w:rsid w:val="00461BF8"/>
    <w:rsid w:val="00461CA9"/>
    <w:rsid w:val="00461E93"/>
    <w:rsid w:val="004621C1"/>
    <w:rsid w:val="004623FB"/>
    <w:rsid w:val="0046258B"/>
    <w:rsid w:val="0046268A"/>
    <w:rsid w:val="00462AD7"/>
    <w:rsid w:val="00462B2C"/>
    <w:rsid w:val="00462C8C"/>
    <w:rsid w:val="00462D05"/>
    <w:rsid w:val="004639B0"/>
    <w:rsid w:val="00464735"/>
    <w:rsid w:val="0046478E"/>
    <w:rsid w:val="00464C55"/>
    <w:rsid w:val="00464F33"/>
    <w:rsid w:val="00465214"/>
    <w:rsid w:val="004654B8"/>
    <w:rsid w:val="004658A6"/>
    <w:rsid w:val="00465A22"/>
    <w:rsid w:val="00465A94"/>
    <w:rsid w:val="00465DAD"/>
    <w:rsid w:val="00465E55"/>
    <w:rsid w:val="00465F6D"/>
    <w:rsid w:val="0046601C"/>
    <w:rsid w:val="00466974"/>
    <w:rsid w:val="00466D1D"/>
    <w:rsid w:val="0046716C"/>
    <w:rsid w:val="004679CF"/>
    <w:rsid w:val="00467A09"/>
    <w:rsid w:val="004703A3"/>
    <w:rsid w:val="004703C9"/>
    <w:rsid w:val="00470833"/>
    <w:rsid w:val="00470A3D"/>
    <w:rsid w:val="00471C8C"/>
    <w:rsid w:val="0047210C"/>
    <w:rsid w:val="00472CE6"/>
    <w:rsid w:val="00472DD7"/>
    <w:rsid w:val="004730DC"/>
    <w:rsid w:val="00473977"/>
    <w:rsid w:val="00473FDA"/>
    <w:rsid w:val="00474F33"/>
    <w:rsid w:val="0047521D"/>
    <w:rsid w:val="004753EE"/>
    <w:rsid w:val="00475F91"/>
    <w:rsid w:val="00476187"/>
    <w:rsid w:val="00476804"/>
    <w:rsid w:val="004768C1"/>
    <w:rsid w:val="004769F5"/>
    <w:rsid w:val="00476C48"/>
    <w:rsid w:val="00477050"/>
    <w:rsid w:val="004775F5"/>
    <w:rsid w:val="0047776C"/>
    <w:rsid w:val="00477F54"/>
    <w:rsid w:val="004805BF"/>
    <w:rsid w:val="00481100"/>
    <w:rsid w:val="0048182E"/>
    <w:rsid w:val="004821B8"/>
    <w:rsid w:val="0048272B"/>
    <w:rsid w:val="004830E3"/>
    <w:rsid w:val="004836A3"/>
    <w:rsid w:val="00483C82"/>
    <w:rsid w:val="00483EF5"/>
    <w:rsid w:val="004841D4"/>
    <w:rsid w:val="004842B1"/>
    <w:rsid w:val="00484316"/>
    <w:rsid w:val="004845AB"/>
    <w:rsid w:val="00484CEC"/>
    <w:rsid w:val="00485B55"/>
    <w:rsid w:val="00485B61"/>
    <w:rsid w:val="00485CDD"/>
    <w:rsid w:val="00485D5B"/>
    <w:rsid w:val="00486334"/>
    <w:rsid w:val="00486A60"/>
    <w:rsid w:val="00486CAF"/>
    <w:rsid w:val="004870C2"/>
    <w:rsid w:val="004872ED"/>
    <w:rsid w:val="004878D9"/>
    <w:rsid w:val="00487C65"/>
    <w:rsid w:val="00487F52"/>
    <w:rsid w:val="004902AA"/>
    <w:rsid w:val="00490306"/>
    <w:rsid w:val="00490590"/>
    <w:rsid w:val="0049067F"/>
    <w:rsid w:val="004908DD"/>
    <w:rsid w:val="00490900"/>
    <w:rsid w:val="00490BF2"/>
    <w:rsid w:val="00490C8D"/>
    <w:rsid w:val="00490D8F"/>
    <w:rsid w:val="00490F03"/>
    <w:rsid w:val="004915A4"/>
    <w:rsid w:val="004915DA"/>
    <w:rsid w:val="00491D9C"/>
    <w:rsid w:val="00491E43"/>
    <w:rsid w:val="00492CAF"/>
    <w:rsid w:val="004935A8"/>
    <w:rsid w:val="00493722"/>
    <w:rsid w:val="00493AE6"/>
    <w:rsid w:val="004942FB"/>
    <w:rsid w:val="00494415"/>
    <w:rsid w:val="00494D07"/>
    <w:rsid w:val="00494DAD"/>
    <w:rsid w:val="00495FE8"/>
    <w:rsid w:val="004962EB"/>
    <w:rsid w:val="0049654A"/>
    <w:rsid w:val="00496941"/>
    <w:rsid w:val="00496C57"/>
    <w:rsid w:val="0049751A"/>
    <w:rsid w:val="004978AA"/>
    <w:rsid w:val="00497CD1"/>
    <w:rsid w:val="004A016E"/>
    <w:rsid w:val="004A04C2"/>
    <w:rsid w:val="004A0AEF"/>
    <w:rsid w:val="004A0B7D"/>
    <w:rsid w:val="004A12D3"/>
    <w:rsid w:val="004A14F8"/>
    <w:rsid w:val="004A1698"/>
    <w:rsid w:val="004A17C1"/>
    <w:rsid w:val="004A1A05"/>
    <w:rsid w:val="004A21BE"/>
    <w:rsid w:val="004A28A2"/>
    <w:rsid w:val="004A28EB"/>
    <w:rsid w:val="004A2A54"/>
    <w:rsid w:val="004A2E1D"/>
    <w:rsid w:val="004A2F20"/>
    <w:rsid w:val="004A2F3D"/>
    <w:rsid w:val="004A2F74"/>
    <w:rsid w:val="004A36F6"/>
    <w:rsid w:val="004A3B30"/>
    <w:rsid w:val="004A3F9E"/>
    <w:rsid w:val="004A4637"/>
    <w:rsid w:val="004A48CE"/>
    <w:rsid w:val="004A493C"/>
    <w:rsid w:val="004A4ACD"/>
    <w:rsid w:val="004A4CF9"/>
    <w:rsid w:val="004A4D9A"/>
    <w:rsid w:val="004A4E34"/>
    <w:rsid w:val="004A54AD"/>
    <w:rsid w:val="004A55A4"/>
    <w:rsid w:val="004A560B"/>
    <w:rsid w:val="004A58CE"/>
    <w:rsid w:val="004A58E9"/>
    <w:rsid w:val="004A5CA7"/>
    <w:rsid w:val="004A60A5"/>
    <w:rsid w:val="004A63B8"/>
    <w:rsid w:val="004A6939"/>
    <w:rsid w:val="004A6EAE"/>
    <w:rsid w:val="004A6F52"/>
    <w:rsid w:val="004A7A72"/>
    <w:rsid w:val="004A7CA8"/>
    <w:rsid w:val="004B11DB"/>
    <w:rsid w:val="004B12C2"/>
    <w:rsid w:val="004B18BE"/>
    <w:rsid w:val="004B19B6"/>
    <w:rsid w:val="004B1AED"/>
    <w:rsid w:val="004B1C0D"/>
    <w:rsid w:val="004B29C7"/>
    <w:rsid w:val="004B30B4"/>
    <w:rsid w:val="004B334E"/>
    <w:rsid w:val="004B357F"/>
    <w:rsid w:val="004B3A6D"/>
    <w:rsid w:val="004B3B87"/>
    <w:rsid w:val="004B410D"/>
    <w:rsid w:val="004B48D3"/>
    <w:rsid w:val="004B4959"/>
    <w:rsid w:val="004B4C32"/>
    <w:rsid w:val="004B5276"/>
    <w:rsid w:val="004B527C"/>
    <w:rsid w:val="004B59D5"/>
    <w:rsid w:val="004B641A"/>
    <w:rsid w:val="004B67AD"/>
    <w:rsid w:val="004B68D2"/>
    <w:rsid w:val="004B6CF9"/>
    <w:rsid w:val="004B6D41"/>
    <w:rsid w:val="004B6D99"/>
    <w:rsid w:val="004B71D5"/>
    <w:rsid w:val="004B7428"/>
    <w:rsid w:val="004B7509"/>
    <w:rsid w:val="004B7D0E"/>
    <w:rsid w:val="004C0555"/>
    <w:rsid w:val="004C07BE"/>
    <w:rsid w:val="004C07C1"/>
    <w:rsid w:val="004C0931"/>
    <w:rsid w:val="004C183D"/>
    <w:rsid w:val="004C1D6C"/>
    <w:rsid w:val="004C2081"/>
    <w:rsid w:val="004C210F"/>
    <w:rsid w:val="004C2B02"/>
    <w:rsid w:val="004C2D20"/>
    <w:rsid w:val="004C35BE"/>
    <w:rsid w:val="004C3FD0"/>
    <w:rsid w:val="004C4C48"/>
    <w:rsid w:val="004C4CA5"/>
    <w:rsid w:val="004C4DB6"/>
    <w:rsid w:val="004C52A1"/>
    <w:rsid w:val="004C5F29"/>
    <w:rsid w:val="004C6456"/>
    <w:rsid w:val="004C64D7"/>
    <w:rsid w:val="004C6D97"/>
    <w:rsid w:val="004C6F85"/>
    <w:rsid w:val="004C77DA"/>
    <w:rsid w:val="004C7998"/>
    <w:rsid w:val="004C7AD6"/>
    <w:rsid w:val="004D0749"/>
    <w:rsid w:val="004D07E7"/>
    <w:rsid w:val="004D0A0C"/>
    <w:rsid w:val="004D0EFA"/>
    <w:rsid w:val="004D101C"/>
    <w:rsid w:val="004D130C"/>
    <w:rsid w:val="004D1487"/>
    <w:rsid w:val="004D152E"/>
    <w:rsid w:val="004D16D3"/>
    <w:rsid w:val="004D2291"/>
    <w:rsid w:val="004D36BD"/>
    <w:rsid w:val="004D3833"/>
    <w:rsid w:val="004D39B6"/>
    <w:rsid w:val="004D3F7D"/>
    <w:rsid w:val="004D4282"/>
    <w:rsid w:val="004D49DA"/>
    <w:rsid w:val="004D4B45"/>
    <w:rsid w:val="004D4D50"/>
    <w:rsid w:val="004D4E95"/>
    <w:rsid w:val="004D4ECF"/>
    <w:rsid w:val="004D5038"/>
    <w:rsid w:val="004D51D1"/>
    <w:rsid w:val="004D54BD"/>
    <w:rsid w:val="004D5963"/>
    <w:rsid w:val="004D5C0E"/>
    <w:rsid w:val="004D61A0"/>
    <w:rsid w:val="004D6301"/>
    <w:rsid w:val="004D6A28"/>
    <w:rsid w:val="004D6B7A"/>
    <w:rsid w:val="004D7190"/>
    <w:rsid w:val="004D784A"/>
    <w:rsid w:val="004D7923"/>
    <w:rsid w:val="004D7D21"/>
    <w:rsid w:val="004E01A9"/>
    <w:rsid w:val="004E074A"/>
    <w:rsid w:val="004E0B0D"/>
    <w:rsid w:val="004E0B66"/>
    <w:rsid w:val="004E0BC1"/>
    <w:rsid w:val="004E0C5F"/>
    <w:rsid w:val="004E0DC8"/>
    <w:rsid w:val="004E14EC"/>
    <w:rsid w:val="004E18EB"/>
    <w:rsid w:val="004E1CA6"/>
    <w:rsid w:val="004E1DD1"/>
    <w:rsid w:val="004E20AF"/>
    <w:rsid w:val="004E2237"/>
    <w:rsid w:val="004E2414"/>
    <w:rsid w:val="004E2879"/>
    <w:rsid w:val="004E29B7"/>
    <w:rsid w:val="004E2AA8"/>
    <w:rsid w:val="004E330D"/>
    <w:rsid w:val="004E426F"/>
    <w:rsid w:val="004E42AA"/>
    <w:rsid w:val="004E5A7A"/>
    <w:rsid w:val="004E5D21"/>
    <w:rsid w:val="004E6482"/>
    <w:rsid w:val="004E6AD1"/>
    <w:rsid w:val="004E6BFF"/>
    <w:rsid w:val="004E6D5E"/>
    <w:rsid w:val="004E6E63"/>
    <w:rsid w:val="004E6ED3"/>
    <w:rsid w:val="004E7084"/>
    <w:rsid w:val="004E75AE"/>
    <w:rsid w:val="004E7846"/>
    <w:rsid w:val="004E7C22"/>
    <w:rsid w:val="004E7E75"/>
    <w:rsid w:val="004F00D6"/>
    <w:rsid w:val="004F01B7"/>
    <w:rsid w:val="004F05FB"/>
    <w:rsid w:val="004F064C"/>
    <w:rsid w:val="004F0B6E"/>
    <w:rsid w:val="004F0E8B"/>
    <w:rsid w:val="004F0FC1"/>
    <w:rsid w:val="004F11EB"/>
    <w:rsid w:val="004F13F7"/>
    <w:rsid w:val="004F1698"/>
    <w:rsid w:val="004F17C4"/>
    <w:rsid w:val="004F1975"/>
    <w:rsid w:val="004F1D73"/>
    <w:rsid w:val="004F2134"/>
    <w:rsid w:val="004F238F"/>
    <w:rsid w:val="004F277F"/>
    <w:rsid w:val="004F2BC5"/>
    <w:rsid w:val="004F2FB1"/>
    <w:rsid w:val="004F3614"/>
    <w:rsid w:val="004F36EB"/>
    <w:rsid w:val="004F3847"/>
    <w:rsid w:val="004F41C2"/>
    <w:rsid w:val="004F4FD4"/>
    <w:rsid w:val="004F5268"/>
    <w:rsid w:val="004F59AC"/>
    <w:rsid w:val="004F6331"/>
    <w:rsid w:val="004F6917"/>
    <w:rsid w:val="004F6B93"/>
    <w:rsid w:val="004F6FD8"/>
    <w:rsid w:val="004F7005"/>
    <w:rsid w:val="004F7290"/>
    <w:rsid w:val="004F786A"/>
    <w:rsid w:val="004F7E2F"/>
    <w:rsid w:val="00500327"/>
    <w:rsid w:val="005004B3"/>
    <w:rsid w:val="00500549"/>
    <w:rsid w:val="00500FD6"/>
    <w:rsid w:val="00500FE0"/>
    <w:rsid w:val="005013A7"/>
    <w:rsid w:val="005016B8"/>
    <w:rsid w:val="00502929"/>
    <w:rsid w:val="00502B94"/>
    <w:rsid w:val="00502DA7"/>
    <w:rsid w:val="00502DD5"/>
    <w:rsid w:val="00502F83"/>
    <w:rsid w:val="00503220"/>
    <w:rsid w:val="00503550"/>
    <w:rsid w:val="00503725"/>
    <w:rsid w:val="00503F8E"/>
    <w:rsid w:val="005044F7"/>
    <w:rsid w:val="0050461C"/>
    <w:rsid w:val="0050495A"/>
    <w:rsid w:val="00504AF9"/>
    <w:rsid w:val="00504E14"/>
    <w:rsid w:val="0050577B"/>
    <w:rsid w:val="00505B12"/>
    <w:rsid w:val="0050649F"/>
    <w:rsid w:val="005065F1"/>
    <w:rsid w:val="005070DC"/>
    <w:rsid w:val="00507265"/>
    <w:rsid w:val="0050730F"/>
    <w:rsid w:val="00510020"/>
    <w:rsid w:val="0051064D"/>
    <w:rsid w:val="00510D97"/>
    <w:rsid w:val="00510FDF"/>
    <w:rsid w:val="0051122E"/>
    <w:rsid w:val="005115BE"/>
    <w:rsid w:val="00511943"/>
    <w:rsid w:val="00511C6E"/>
    <w:rsid w:val="00511E30"/>
    <w:rsid w:val="00512373"/>
    <w:rsid w:val="00512582"/>
    <w:rsid w:val="005125DD"/>
    <w:rsid w:val="00513618"/>
    <w:rsid w:val="00513E45"/>
    <w:rsid w:val="00514CAA"/>
    <w:rsid w:val="005154B0"/>
    <w:rsid w:val="00515658"/>
    <w:rsid w:val="00515EEC"/>
    <w:rsid w:val="0051628A"/>
    <w:rsid w:val="005172C2"/>
    <w:rsid w:val="00517C05"/>
    <w:rsid w:val="00520164"/>
    <w:rsid w:val="0052023D"/>
    <w:rsid w:val="005206A5"/>
    <w:rsid w:val="00520922"/>
    <w:rsid w:val="00520B5E"/>
    <w:rsid w:val="00520E0A"/>
    <w:rsid w:val="00521353"/>
    <w:rsid w:val="00521B5B"/>
    <w:rsid w:val="005226FB"/>
    <w:rsid w:val="0052280D"/>
    <w:rsid w:val="00522867"/>
    <w:rsid w:val="00522DED"/>
    <w:rsid w:val="00522EC9"/>
    <w:rsid w:val="00522F20"/>
    <w:rsid w:val="0052308F"/>
    <w:rsid w:val="0052341B"/>
    <w:rsid w:val="005236D3"/>
    <w:rsid w:val="00523848"/>
    <w:rsid w:val="00523E9A"/>
    <w:rsid w:val="0052417D"/>
    <w:rsid w:val="0052479C"/>
    <w:rsid w:val="00524EF5"/>
    <w:rsid w:val="00524FE5"/>
    <w:rsid w:val="005250F4"/>
    <w:rsid w:val="005256D3"/>
    <w:rsid w:val="00525749"/>
    <w:rsid w:val="00525779"/>
    <w:rsid w:val="00525DEA"/>
    <w:rsid w:val="00525E70"/>
    <w:rsid w:val="00525E86"/>
    <w:rsid w:val="00526900"/>
    <w:rsid w:val="00526A74"/>
    <w:rsid w:val="00527418"/>
    <w:rsid w:val="0052775B"/>
    <w:rsid w:val="00527980"/>
    <w:rsid w:val="00527ACB"/>
    <w:rsid w:val="00527B7C"/>
    <w:rsid w:val="00527F6F"/>
    <w:rsid w:val="0053082F"/>
    <w:rsid w:val="00530AC1"/>
    <w:rsid w:val="00530E70"/>
    <w:rsid w:val="00531271"/>
    <w:rsid w:val="0053154A"/>
    <w:rsid w:val="00531979"/>
    <w:rsid w:val="00532BF4"/>
    <w:rsid w:val="00532F76"/>
    <w:rsid w:val="005333AB"/>
    <w:rsid w:val="00533544"/>
    <w:rsid w:val="00533A8A"/>
    <w:rsid w:val="00533B00"/>
    <w:rsid w:val="00533C31"/>
    <w:rsid w:val="00534263"/>
    <w:rsid w:val="005343DA"/>
    <w:rsid w:val="005344AC"/>
    <w:rsid w:val="00534B99"/>
    <w:rsid w:val="00534DF1"/>
    <w:rsid w:val="0053510A"/>
    <w:rsid w:val="00535530"/>
    <w:rsid w:val="005355A3"/>
    <w:rsid w:val="00535B9C"/>
    <w:rsid w:val="00536BB7"/>
    <w:rsid w:val="00536C91"/>
    <w:rsid w:val="00536E05"/>
    <w:rsid w:val="005371D7"/>
    <w:rsid w:val="005371FF"/>
    <w:rsid w:val="005373A9"/>
    <w:rsid w:val="00537570"/>
    <w:rsid w:val="005376D9"/>
    <w:rsid w:val="00537723"/>
    <w:rsid w:val="005379FF"/>
    <w:rsid w:val="00537E99"/>
    <w:rsid w:val="0054016E"/>
    <w:rsid w:val="005403B8"/>
    <w:rsid w:val="00540844"/>
    <w:rsid w:val="0054088F"/>
    <w:rsid w:val="00540946"/>
    <w:rsid w:val="00540E7A"/>
    <w:rsid w:val="00541AAE"/>
    <w:rsid w:val="00541B57"/>
    <w:rsid w:val="00541D36"/>
    <w:rsid w:val="0054210D"/>
    <w:rsid w:val="005421CE"/>
    <w:rsid w:val="005426E2"/>
    <w:rsid w:val="005428B0"/>
    <w:rsid w:val="005428CE"/>
    <w:rsid w:val="00542C06"/>
    <w:rsid w:val="00542D3A"/>
    <w:rsid w:val="005430C7"/>
    <w:rsid w:val="00543228"/>
    <w:rsid w:val="0054371E"/>
    <w:rsid w:val="0054436B"/>
    <w:rsid w:val="00544662"/>
    <w:rsid w:val="00545150"/>
    <w:rsid w:val="0054531A"/>
    <w:rsid w:val="00545340"/>
    <w:rsid w:val="005454E2"/>
    <w:rsid w:val="0054570A"/>
    <w:rsid w:val="005461D0"/>
    <w:rsid w:val="0054635A"/>
    <w:rsid w:val="0054646F"/>
    <w:rsid w:val="0054652C"/>
    <w:rsid w:val="00546A3F"/>
    <w:rsid w:val="0054736F"/>
    <w:rsid w:val="00551090"/>
    <w:rsid w:val="005511E8"/>
    <w:rsid w:val="005516A2"/>
    <w:rsid w:val="005519C5"/>
    <w:rsid w:val="00552059"/>
    <w:rsid w:val="00552251"/>
    <w:rsid w:val="00552319"/>
    <w:rsid w:val="005524AB"/>
    <w:rsid w:val="00552EB8"/>
    <w:rsid w:val="00552F40"/>
    <w:rsid w:val="00552FBE"/>
    <w:rsid w:val="00553071"/>
    <w:rsid w:val="005532BF"/>
    <w:rsid w:val="00553783"/>
    <w:rsid w:val="005537F1"/>
    <w:rsid w:val="00553D1B"/>
    <w:rsid w:val="00553DD8"/>
    <w:rsid w:val="005541C6"/>
    <w:rsid w:val="00554356"/>
    <w:rsid w:val="00554B4D"/>
    <w:rsid w:val="0055533E"/>
    <w:rsid w:val="00555351"/>
    <w:rsid w:val="005560CF"/>
    <w:rsid w:val="0055612E"/>
    <w:rsid w:val="00556901"/>
    <w:rsid w:val="00556DFA"/>
    <w:rsid w:val="00556FF7"/>
    <w:rsid w:val="005571B6"/>
    <w:rsid w:val="00557263"/>
    <w:rsid w:val="005575C9"/>
    <w:rsid w:val="00557A4B"/>
    <w:rsid w:val="005601E4"/>
    <w:rsid w:val="00560AD9"/>
    <w:rsid w:val="0056103B"/>
    <w:rsid w:val="005619AC"/>
    <w:rsid w:val="005620EF"/>
    <w:rsid w:val="0056272D"/>
    <w:rsid w:val="005629B7"/>
    <w:rsid w:val="00562A79"/>
    <w:rsid w:val="00562D71"/>
    <w:rsid w:val="00562E83"/>
    <w:rsid w:val="005635E8"/>
    <w:rsid w:val="0056391A"/>
    <w:rsid w:val="0056432E"/>
    <w:rsid w:val="00564980"/>
    <w:rsid w:val="00564A12"/>
    <w:rsid w:val="00564F88"/>
    <w:rsid w:val="00564FD9"/>
    <w:rsid w:val="005650ED"/>
    <w:rsid w:val="005656E1"/>
    <w:rsid w:val="00565B05"/>
    <w:rsid w:val="00565B8A"/>
    <w:rsid w:val="00566042"/>
    <w:rsid w:val="005663BE"/>
    <w:rsid w:val="0056653B"/>
    <w:rsid w:val="00566A62"/>
    <w:rsid w:val="00566EAE"/>
    <w:rsid w:val="0056749B"/>
    <w:rsid w:val="005675BF"/>
    <w:rsid w:val="005706DA"/>
    <w:rsid w:val="00570AEB"/>
    <w:rsid w:val="00570D0A"/>
    <w:rsid w:val="00571C0A"/>
    <w:rsid w:val="0057218A"/>
    <w:rsid w:val="005724F5"/>
    <w:rsid w:val="00572769"/>
    <w:rsid w:val="00572BB7"/>
    <w:rsid w:val="00573222"/>
    <w:rsid w:val="005736B4"/>
    <w:rsid w:val="00573EFC"/>
    <w:rsid w:val="00574BEF"/>
    <w:rsid w:val="00574E65"/>
    <w:rsid w:val="00574F88"/>
    <w:rsid w:val="0057519C"/>
    <w:rsid w:val="0057601A"/>
    <w:rsid w:val="0057660E"/>
    <w:rsid w:val="00576816"/>
    <w:rsid w:val="00577243"/>
    <w:rsid w:val="00577AF9"/>
    <w:rsid w:val="00577E8E"/>
    <w:rsid w:val="00580098"/>
    <w:rsid w:val="0058014E"/>
    <w:rsid w:val="005803CC"/>
    <w:rsid w:val="0058061F"/>
    <w:rsid w:val="005809C0"/>
    <w:rsid w:val="00581075"/>
    <w:rsid w:val="005813E1"/>
    <w:rsid w:val="00581779"/>
    <w:rsid w:val="00581EC7"/>
    <w:rsid w:val="005828C2"/>
    <w:rsid w:val="00582917"/>
    <w:rsid w:val="00582A60"/>
    <w:rsid w:val="0058317E"/>
    <w:rsid w:val="005836C0"/>
    <w:rsid w:val="00583EE2"/>
    <w:rsid w:val="00584318"/>
    <w:rsid w:val="0058436A"/>
    <w:rsid w:val="00584411"/>
    <w:rsid w:val="005845F7"/>
    <w:rsid w:val="0058480A"/>
    <w:rsid w:val="00585148"/>
    <w:rsid w:val="00585B78"/>
    <w:rsid w:val="00586282"/>
    <w:rsid w:val="00586396"/>
    <w:rsid w:val="0058661F"/>
    <w:rsid w:val="00586719"/>
    <w:rsid w:val="00586823"/>
    <w:rsid w:val="0058752B"/>
    <w:rsid w:val="00587998"/>
    <w:rsid w:val="00590113"/>
    <w:rsid w:val="0059080E"/>
    <w:rsid w:val="00590B8D"/>
    <w:rsid w:val="00590C3C"/>
    <w:rsid w:val="00590C65"/>
    <w:rsid w:val="00590F56"/>
    <w:rsid w:val="00590F85"/>
    <w:rsid w:val="00591277"/>
    <w:rsid w:val="00592160"/>
    <w:rsid w:val="00592647"/>
    <w:rsid w:val="00592E50"/>
    <w:rsid w:val="00593183"/>
    <w:rsid w:val="005932BA"/>
    <w:rsid w:val="0059428F"/>
    <w:rsid w:val="005945D7"/>
    <w:rsid w:val="005946FE"/>
    <w:rsid w:val="00595341"/>
    <w:rsid w:val="005956DE"/>
    <w:rsid w:val="00595A75"/>
    <w:rsid w:val="00595D4B"/>
    <w:rsid w:val="00595E1F"/>
    <w:rsid w:val="00595E44"/>
    <w:rsid w:val="00596000"/>
    <w:rsid w:val="005966E4"/>
    <w:rsid w:val="005967BC"/>
    <w:rsid w:val="00596935"/>
    <w:rsid w:val="00597345"/>
    <w:rsid w:val="005A0F86"/>
    <w:rsid w:val="005A0FBA"/>
    <w:rsid w:val="005A1195"/>
    <w:rsid w:val="005A11F3"/>
    <w:rsid w:val="005A1883"/>
    <w:rsid w:val="005A1914"/>
    <w:rsid w:val="005A1DE2"/>
    <w:rsid w:val="005A202C"/>
    <w:rsid w:val="005A2130"/>
    <w:rsid w:val="005A25C7"/>
    <w:rsid w:val="005A27CA"/>
    <w:rsid w:val="005A37CD"/>
    <w:rsid w:val="005A3CD8"/>
    <w:rsid w:val="005A46E0"/>
    <w:rsid w:val="005A47C7"/>
    <w:rsid w:val="005A4E5A"/>
    <w:rsid w:val="005A4F14"/>
    <w:rsid w:val="005A532A"/>
    <w:rsid w:val="005A566B"/>
    <w:rsid w:val="005A5BBE"/>
    <w:rsid w:val="005A60CA"/>
    <w:rsid w:val="005A66E2"/>
    <w:rsid w:val="005A68BC"/>
    <w:rsid w:val="005A6BEB"/>
    <w:rsid w:val="005A6FE2"/>
    <w:rsid w:val="005A7361"/>
    <w:rsid w:val="005A7881"/>
    <w:rsid w:val="005A78FA"/>
    <w:rsid w:val="005A7B26"/>
    <w:rsid w:val="005A7DCD"/>
    <w:rsid w:val="005B00E6"/>
    <w:rsid w:val="005B0926"/>
    <w:rsid w:val="005B0E9F"/>
    <w:rsid w:val="005B0EC7"/>
    <w:rsid w:val="005B1055"/>
    <w:rsid w:val="005B1F07"/>
    <w:rsid w:val="005B2156"/>
    <w:rsid w:val="005B220A"/>
    <w:rsid w:val="005B2335"/>
    <w:rsid w:val="005B2DBA"/>
    <w:rsid w:val="005B39B5"/>
    <w:rsid w:val="005B3CDA"/>
    <w:rsid w:val="005B3DE2"/>
    <w:rsid w:val="005B47D3"/>
    <w:rsid w:val="005B489E"/>
    <w:rsid w:val="005B4BEB"/>
    <w:rsid w:val="005B4DD6"/>
    <w:rsid w:val="005B528D"/>
    <w:rsid w:val="005B6286"/>
    <w:rsid w:val="005B6330"/>
    <w:rsid w:val="005B6428"/>
    <w:rsid w:val="005B6429"/>
    <w:rsid w:val="005B715F"/>
    <w:rsid w:val="005B7162"/>
    <w:rsid w:val="005B77E0"/>
    <w:rsid w:val="005B796F"/>
    <w:rsid w:val="005B7EBE"/>
    <w:rsid w:val="005C0140"/>
    <w:rsid w:val="005C01EA"/>
    <w:rsid w:val="005C0744"/>
    <w:rsid w:val="005C0ABB"/>
    <w:rsid w:val="005C1498"/>
    <w:rsid w:val="005C1783"/>
    <w:rsid w:val="005C1E54"/>
    <w:rsid w:val="005C2384"/>
    <w:rsid w:val="005C25A5"/>
    <w:rsid w:val="005C27D5"/>
    <w:rsid w:val="005C2E94"/>
    <w:rsid w:val="005C2F8F"/>
    <w:rsid w:val="005C3057"/>
    <w:rsid w:val="005C494B"/>
    <w:rsid w:val="005C49AF"/>
    <w:rsid w:val="005C4CF9"/>
    <w:rsid w:val="005C502A"/>
    <w:rsid w:val="005C579F"/>
    <w:rsid w:val="005C5FEA"/>
    <w:rsid w:val="005C641F"/>
    <w:rsid w:val="005C7A16"/>
    <w:rsid w:val="005D06D9"/>
    <w:rsid w:val="005D0CBB"/>
    <w:rsid w:val="005D121D"/>
    <w:rsid w:val="005D15F9"/>
    <w:rsid w:val="005D1DAA"/>
    <w:rsid w:val="005D1F07"/>
    <w:rsid w:val="005D210C"/>
    <w:rsid w:val="005D212C"/>
    <w:rsid w:val="005D2E98"/>
    <w:rsid w:val="005D3063"/>
    <w:rsid w:val="005D3E88"/>
    <w:rsid w:val="005D3F9D"/>
    <w:rsid w:val="005D43B7"/>
    <w:rsid w:val="005D5073"/>
    <w:rsid w:val="005D5114"/>
    <w:rsid w:val="005D52E1"/>
    <w:rsid w:val="005D533E"/>
    <w:rsid w:val="005D5437"/>
    <w:rsid w:val="005D59B2"/>
    <w:rsid w:val="005D5BB5"/>
    <w:rsid w:val="005D5D3F"/>
    <w:rsid w:val="005D5E58"/>
    <w:rsid w:val="005D641E"/>
    <w:rsid w:val="005D668B"/>
    <w:rsid w:val="005D669E"/>
    <w:rsid w:val="005D7116"/>
    <w:rsid w:val="005D77E8"/>
    <w:rsid w:val="005D7C1C"/>
    <w:rsid w:val="005D7DED"/>
    <w:rsid w:val="005D7F77"/>
    <w:rsid w:val="005E0A14"/>
    <w:rsid w:val="005E16A1"/>
    <w:rsid w:val="005E17F5"/>
    <w:rsid w:val="005E18CC"/>
    <w:rsid w:val="005E1F2C"/>
    <w:rsid w:val="005E2194"/>
    <w:rsid w:val="005E282E"/>
    <w:rsid w:val="005E3017"/>
    <w:rsid w:val="005E3042"/>
    <w:rsid w:val="005E322F"/>
    <w:rsid w:val="005E3510"/>
    <w:rsid w:val="005E3E62"/>
    <w:rsid w:val="005E3FD3"/>
    <w:rsid w:val="005E413B"/>
    <w:rsid w:val="005E4313"/>
    <w:rsid w:val="005E482A"/>
    <w:rsid w:val="005E4E74"/>
    <w:rsid w:val="005E50C6"/>
    <w:rsid w:val="005E5D64"/>
    <w:rsid w:val="005E61FB"/>
    <w:rsid w:val="005E620B"/>
    <w:rsid w:val="005E6BB0"/>
    <w:rsid w:val="005E6D80"/>
    <w:rsid w:val="005E7445"/>
    <w:rsid w:val="005E7A09"/>
    <w:rsid w:val="005E7A1B"/>
    <w:rsid w:val="005F058F"/>
    <w:rsid w:val="005F0A5E"/>
    <w:rsid w:val="005F1923"/>
    <w:rsid w:val="005F1C80"/>
    <w:rsid w:val="005F1D7B"/>
    <w:rsid w:val="005F1E3D"/>
    <w:rsid w:val="005F2305"/>
    <w:rsid w:val="005F2BE3"/>
    <w:rsid w:val="005F3A26"/>
    <w:rsid w:val="005F3A72"/>
    <w:rsid w:val="005F3D74"/>
    <w:rsid w:val="005F3E65"/>
    <w:rsid w:val="005F40A1"/>
    <w:rsid w:val="005F4111"/>
    <w:rsid w:val="005F51C0"/>
    <w:rsid w:val="005F5239"/>
    <w:rsid w:val="005F530C"/>
    <w:rsid w:val="005F587F"/>
    <w:rsid w:val="005F5C77"/>
    <w:rsid w:val="005F5CC0"/>
    <w:rsid w:val="005F60F9"/>
    <w:rsid w:val="005F63EE"/>
    <w:rsid w:val="005F66CE"/>
    <w:rsid w:val="005F687B"/>
    <w:rsid w:val="005F6F01"/>
    <w:rsid w:val="005F6FEE"/>
    <w:rsid w:val="005F75D1"/>
    <w:rsid w:val="005F7925"/>
    <w:rsid w:val="005F7B97"/>
    <w:rsid w:val="006001BF"/>
    <w:rsid w:val="00600237"/>
    <w:rsid w:val="006009D4"/>
    <w:rsid w:val="00600BE1"/>
    <w:rsid w:val="00600D05"/>
    <w:rsid w:val="00600DE2"/>
    <w:rsid w:val="00600F3D"/>
    <w:rsid w:val="006011A5"/>
    <w:rsid w:val="0060172E"/>
    <w:rsid w:val="00601A9F"/>
    <w:rsid w:val="00602590"/>
    <w:rsid w:val="006027A5"/>
    <w:rsid w:val="00602AEA"/>
    <w:rsid w:val="00603441"/>
    <w:rsid w:val="0060426F"/>
    <w:rsid w:val="00604A82"/>
    <w:rsid w:val="00604EFA"/>
    <w:rsid w:val="006052BF"/>
    <w:rsid w:val="006056C0"/>
    <w:rsid w:val="00605CBA"/>
    <w:rsid w:val="00605FD0"/>
    <w:rsid w:val="006060C9"/>
    <w:rsid w:val="006061DB"/>
    <w:rsid w:val="00606801"/>
    <w:rsid w:val="00606DAD"/>
    <w:rsid w:val="0060716A"/>
    <w:rsid w:val="006100DD"/>
    <w:rsid w:val="0061012D"/>
    <w:rsid w:val="006101D7"/>
    <w:rsid w:val="006104C8"/>
    <w:rsid w:val="0061149C"/>
    <w:rsid w:val="00611C83"/>
    <w:rsid w:val="006122EE"/>
    <w:rsid w:val="0061273C"/>
    <w:rsid w:val="00613634"/>
    <w:rsid w:val="00613874"/>
    <w:rsid w:val="00613A9F"/>
    <w:rsid w:val="00613B87"/>
    <w:rsid w:val="00613C29"/>
    <w:rsid w:val="00613E8E"/>
    <w:rsid w:val="006142DE"/>
    <w:rsid w:val="006149E0"/>
    <w:rsid w:val="00615538"/>
    <w:rsid w:val="00615CFE"/>
    <w:rsid w:val="0061610D"/>
    <w:rsid w:val="006161FC"/>
    <w:rsid w:val="006162FF"/>
    <w:rsid w:val="006163B3"/>
    <w:rsid w:val="00616DFA"/>
    <w:rsid w:val="006171D2"/>
    <w:rsid w:val="006200DC"/>
    <w:rsid w:val="006207F6"/>
    <w:rsid w:val="006216E2"/>
    <w:rsid w:val="006217D3"/>
    <w:rsid w:val="006218D0"/>
    <w:rsid w:val="00621D19"/>
    <w:rsid w:val="00621DE6"/>
    <w:rsid w:val="006228D8"/>
    <w:rsid w:val="00622D26"/>
    <w:rsid w:val="00622D37"/>
    <w:rsid w:val="00623154"/>
    <w:rsid w:val="0062331A"/>
    <w:rsid w:val="00623516"/>
    <w:rsid w:val="00623D2F"/>
    <w:rsid w:val="0062485E"/>
    <w:rsid w:val="00625367"/>
    <w:rsid w:val="00625AE0"/>
    <w:rsid w:val="00625C7F"/>
    <w:rsid w:val="0062605E"/>
    <w:rsid w:val="0062633E"/>
    <w:rsid w:val="006273CE"/>
    <w:rsid w:val="0062778D"/>
    <w:rsid w:val="00627CE3"/>
    <w:rsid w:val="00630108"/>
    <w:rsid w:val="006301AA"/>
    <w:rsid w:val="00630529"/>
    <w:rsid w:val="00630821"/>
    <w:rsid w:val="00630848"/>
    <w:rsid w:val="00631928"/>
    <w:rsid w:val="00631B66"/>
    <w:rsid w:val="00631EA8"/>
    <w:rsid w:val="006327F3"/>
    <w:rsid w:val="00632A1D"/>
    <w:rsid w:val="00632C67"/>
    <w:rsid w:val="00632F2F"/>
    <w:rsid w:val="00634136"/>
    <w:rsid w:val="00634328"/>
    <w:rsid w:val="00634581"/>
    <w:rsid w:val="00634815"/>
    <w:rsid w:val="00635200"/>
    <w:rsid w:val="006352A2"/>
    <w:rsid w:val="006352E0"/>
    <w:rsid w:val="0063552E"/>
    <w:rsid w:val="00635A99"/>
    <w:rsid w:val="00635D0A"/>
    <w:rsid w:val="0063656F"/>
    <w:rsid w:val="0063664E"/>
    <w:rsid w:val="00636BF9"/>
    <w:rsid w:val="00636E5B"/>
    <w:rsid w:val="006373B3"/>
    <w:rsid w:val="00637677"/>
    <w:rsid w:val="00637751"/>
    <w:rsid w:val="006377BF"/>
    <w:rsid w:val="00637AE3"/>
    <w:rsid w:val="00637E73"/>
    <w:rsid w:val="0064038A"/>
    <w:rsid w:val="00641251"/>
    <w:rsid w:val="006413CB"/>
    <w:rsid w:val="0064140A"/>
    <w:rsid w:val="006415E4"/>
    <w:rsid w:val="00641A4D"/>
    <w:rsid w:val="00641B73"/>
    <w:rsid w:val="00641CBE"/>
    <w:rsid w:val="00642160"/>
    <w:rsid w:val="00642693"/>
    <w:rsid w:val="006429B7"/>
    <w:rsid w:val="00642F9C"/>
    <w:rsid w:val="00642FE3"/>
    <w:rsid w:val="0064339B"/>
    <w:rsid w:val="00643678"/>
    <w:rsid w:val="00643B63"/>
    <w:rsid w:val="00643C40"/>
    <w:rsid w:val="00643CF8"/>
    <w:rsid w:val="00643F21"/>
    <w:rsid w:val="00644ACF"/>
    <w:rsid w:val="0064506B"/>
    <w:rsid w:val="00645406"/>
    <w:rsid w:val="00645863"/>
    <w:rsid w:val="00645A8B"/>
    <w:rsid w:val="00645DC0"/>
    <w:rsid w:val="00646371"/>
    <w:rsid w:val="006466A5"/>
    <w:rsid w:val="00646A30"/>
    <w:rsid w:val="00647058"/>
    <w:rsid w:val="006472CD"/>
    <w:rsid w:val="00647683"/>
    <w:rsid w:val="00647B0C"/>
    <w:rsid w:val="006500B9"/>
    <w:rsid w:val="006501B0"/>
    <w:rsid w:val="006503AE"/>
    <w:rsid w:val="00650521"/>
    <w:rsid w:val="006507C7"/>
    <w:rsid w:val="006516E9"/>
    <w:rsid w:val="00651C65"/>
    <w:rsid w:val="00651F10"/>
    <w:rsid w:val="006524A3"/>
    <w:rsid w:val="00652AAE"/>
    <w:rsid w:val="00653D66"/>
    <w:rsid w:val="0065461B"/>
    <w:rsid w:val="00654649"/>
    <w:rsid w:val="0065481E"/>
    <w:rsid w:val="00654E9D"/>
    <w:rsid w:val="00655344"/>
    <w:rsid w:val="006556A1"/>
    <w:rsid w:val="00655990"/>
    <w:rsid w:val="00655C93"/>
    <w:rsid w:val="00655F4A"/>
    <w:rsid w:val="00656956"/>
    <w:rsid w:val="00656F54"/>
    <w:rsid w:val="00657406"/>
    <w:rsid w:val="0065773E"/>
    <w:rsid w:val="006577E7"/>
    <w:rsid w:val="00657BA6"/>
    <w:rsid w:val="00657E30"/>
    <w:rsid w:val="00660A8E"/>
    <w:rsid w:val="00660B97"/>
    <w:rsid w:val="00660F72"/>
    <w:rsid w:val="00661056"/>
    <w:rsid w:val="006610FF"/>
    <w:rsid w:val="0066116A"/>
    <w:rsid w:val="0066150D"/>
    <w:rsid w:val="00661CAC"/>
    <w:rsid w:val="00662A83"/>
    <w:rsid w:val="0066304C"/>
    <w:rsid w:val="006632CE"/>
    <w:rsid w:val="00663CAD"/>
    <w:rsid w:val="006642AA"/>
    <w:rsid w:val="006649B8"/>
    <w:rsid w:val="0066543E"/>
    <w:rsid w:val="006655CD"/>
    <w:rsid w:val="0066598D"/>
    <w:rsid w:val="00665DFF"/>
    <w:rsid w:val="00665F0D"/>
    <w:rsid w:val="0066609F"/>
    <w:rsid w:val="00666377"/>
    <w:rsid w:val="0066691B"/>
    <w:rsid w:val="0066694A"/>
    <w:rsid w:val="00666A7A"/>
    <w:rsid w:val="00666B78"/>
    <w:rsid w:val="00666CFC"/>
    <w:rsid w:val="006671D0"/>
    <w:rsid w:val="00667379"/>
    <w:rsid w:val="006676BF"/>
    <w:rsid w:val="0066783E"/>
    <w:rsid w:val="0067016B"/>
    <w:rsid w:val="006705DC"/>
    <w:rsid w:val="00670687"/>
    <w:rsid w:val="00670B43"/>
    <w:rsid w:val="006713E4"/>
    <w:rsid w:val="00671886"/>
    <w:rsid w:val="00671A0E"/>
    <w:rsid w:val="00672550"/>
    <w:rsid w:val="00672872"/>
    <w:rsid w:val="006728F1"/>
    <w:rsid w:val="00672B81"/>
    <w:rsid w:val="00672C39"/>
    <w:rsid w:val="00673185"/>
    <w:rsid w:val="00673588"/>
    <w:rsid w:val="00673736"/>
    <w:rsid w:val="00673D37"/>
    <w:rsid w:val="0067407C"/>
    <w:rsid w:val="006742B3"/>
    <w:rsid w:val="00674738"/>
    <w:rsid w:val="00674BF3"/>
    <w:rsid w:val="00675593"/>
    <w:rsid w:val="00675A9E"/>
    <w:rsid w:val="00675B43"/>
    <w:rsid w:val="00677422"/>
    <w:rsid w:val="0067746F"/>
    <w:rsid w:val="00677484"/>
    <w:rsid w:val="0067787F"/>
    <w:rsid w:val="006779A7"/>
    <w:rsid w:val="00677F9B"/>
    <w:rsid w:val="00680902"/>
    <w:rsid w:val="00680CCC"/>
    <w:rsid w:val="006811EC"/>
    <w:rsid w:val="0068194F"/>
    <w:rsid w:val="006819B0"/>
    <w:rsid w:val="00681F60"/>
    <w:rsid w:val="00682179"/>
    <w:rsid w:val="0068333F"/>
    <w:rsid w:val="00683812"/>
    <w:rsid w:val="00684890"/>
    <w:rsid w:val="00684E10"/>
    <w:rsid w:val="006855D3"/>
    <w:rsid w:val="00685E74"/>
    <w:rsid w:val="00686A33"/>
    <w:rsid w:val="00687101"/>
    <w:rsid w:val="00687198"/>
    <w:rsid w:val="006873B4"/>
    <w:rsid w:val="00690412"/>
    <w:rsid w:val="006904B3"/>
    <w:rsid w:val="00690751"/>
    <w:rsid w:val="00690A9E"/>
    <w:rsid w:val="00691992"/>
    <w:rsid w:val="00691AD7"/>
    <w:rsid w:val="00691F23"/>
    <w:rsid w:val="0069200A"/>
    <w:rsid w:val="00692305"/>
    <w:rsid w:val="0069246D"/>
    <w:rsid w:val="00692C96"/>
    <w:rsid w:val="00692D16"/>
    <w:rsid w:val="00694539"/>
    <w:rsid w:val="00694C03"/>
    <w:rsid w:val="006954AA"/>
    <w:rsid w:val="00695678"/>
    <w:rsid w:val="006959F7"/>
    <w:rsid w:val="00695A5D"/>
    <w:rsid w:val="00696373"/>
    <w:rsid w:val="00696682"/>
    <w:rsid w:val="00696727"/>
    <w:rsid w:val="00696982"/>
    <w:rsid w:val="00696A91"/>
    <w:rsid w:val="00696CE1"/>
    <w:rsid w:val="0069768F"/>
    <w:rsid w:val="006A0113"/>
    <w:rsid w:val="006A0608"/>
    <w:rsid w:val="006A0B5B"/>
    <w:rsid w:val="006A0DF2"/>
    <w:rsid w:val="006A15CE"/>
    <w:rsid w:val="006A2341"/>
    <w:rsid w:val="006A28BB"/>
    <w:rsid w:val="006A2B9F"/>
    <w:rsid w:val="006A2DED"/>
    <w:rsid w:val="006A3107"/>
    <w:rsid w:val="006A313E"/>
    <w:rsid w:val="006A3D15"/>
    <w:rsid w:val="006A407D"/>
    <w:rsid w:val="006A43A2"/>
    <w:rsid w:val="006A4DDF"/>
    <w:rsid w:val="006A4EFC"/>
    <w:rsid w:val="006A5375"/>
    <w:rsid w:val="006A54B6"/>
    <w:rsid w:val="006A55DF"/>
    <w:rsid w:val="006A5E60"/>
    <w:rsid w:val="006A751E"/>
    <w:rsid w:val="006A7B04"/>
    <w:rsid w:val="006B039A"/>
    <w:rsid w:val="006B09BA"/>
    <w:rsid w:val="006B0ACF"/>
    <w:rsid w:val="006B1008"/>
    <w:rsid w:val="006B12FA"/>
    <w:rsid w:val="006B1465"/>
    <w:rsid w:val="006B1609"/>
    <w:rsid w:val="006B18FA"/>
    <w:rsid w:val="006B19DC"/>
    <w:rsid w:val="006B226E"/>
    <w:rsid w:val="006B2694"/>
    <w:rsid w:val="006B2CDB"/>
    <w:rsid w:val="006B2FCD"/>
    <w:rsid w:val="006B30CC"/>
    <w:rsid w:val="006B3A2C"/>
    <w:rsid w:val="006B3ECF"/>
    <w:rsid w:val="006B40F7"/>
    <w:rsid w:val="006B4B68"/>
    <w:rsid w:val="006B4C5B"/>
    <w:rsid w:val="006B4D38"/>
    <w:rsid w:val="006B51E2"/>
    <w:rsid w:val="006B52B6"/>
    <w:rsid w:val="006B5553"/>
    <w:rsid w:val="006B5745"/>
    <w:rsid w:val="006B5B4E"/>
    <w:rsid w:val="006B5C06"/>
    <w:rsid w:val="006B5C50"/>
    <w:rsid w:val="006B5C7A"/>
    <w:rsid w:val="006B5EE4"/>
    <w:rsid w:val="006B5F0E"/>
    <w:rsid w:val="006B6308"/>
    <w:rsid w:val="006B710C"/>
    <w:rsid w:val="006B79A4"/>
    <w:rsid w:val="006C0784"/>
    <w:rsid w:val="006C192C"/>
    <w:rsid w:val="006C1B87"/>
    <w:rsid w:val="006C1C5B"/>
    <w:rsid w:val="006C1E55"/>
    <w:rsid w:val="006C1E7F"/>
    <w:rsid w:val="006C1EC9"/>
    <w:rsid w:val="006C1FB8"/>
    <w:rsid w:val="006C26C6"/>
    <w:rsid w:val="006C279C"/>
    <w:rsid w:val="006C285C"/>
    <w:rsid w:val="006C2B8F"/>
    <w:rsid w:val="006C3552"/>
    <w:rsid w:val="006C3C19"/>
    <w:rsid w:val="006C3C77"/>
    <w:rsid w:val="006C51B0"/>
    <w:rsid w:val="006C530D"/>
    <w:rsid w:val="006C556F"/>
    <w:rsid w:val="006C5B13"/>
    <w:rsid w:val="006C5EB3"/>
    <w:rsid w:val="006C6178"/>
    <w:rsid w:val="006C6630"/>
    <w:rsid w:val="006C6761"/>
    <w:rsid w:val="006C6A67"/>
    <w:rsid w:val="006C6ABD"/>
    <w:rsid w:val="006C6FF9"/>
    <w:rsid w:val="006C73CB"/>
    <w:rsid w:val="006C7843"/>
    <w:rsid w:val="006C7B17"/>
    <w:rsid w:val="006C7F9B"/>
    <w:rsid w:val="006D0180"/>
    <w:rsid w:val="006D032B"/>
    <w:rsid w:val="006D05EE"/>
    <w:rsid w:val="006D06B8"/>
    <w:rsid w:val="006D0C34"/>
    <w:rsid w:val="006D0C39"/>
    <w:rsid w:val="006D0D66"/>
    <w:rsid w:val="006D0DD1"/>
    <w:rsid w:val="006D109C"/>
    <w:rsid w:val="006D1A4B"/>
    <w:rsid w:val="006D211F"/>
    <w:rsid w:val="006D2233"/>
    <w:rsid w:val="006D258C"/>
    <w:rsid w:val="006D2E9C"/>
    <w:rsid w:val="006D3B7F"/>
    <w:rsid w:val="006D4220"/>
    <w:rsid w:val="006D453A"/>
    <w:rsid w:val="006D4A12"/>
    <w:rsid w:val="006D5185"/>
    <w:rsid w:val="006D5A3B"/>
    <w:rsid w:val="006D6373"/>
    <w:rsid w:val="006D6963"/>
    <w:rsid w:val="006D6964"/>
    <w:rsid w:val="006D6976"/>
    <w:rsid w:val="006D6A85"/>
    <w:rsid w:val="006D6EDE"/>
    <w:rsid w:val="006D6F1B"/>
    <w:rsid w:val="006D7370"/>
    <w:rsid w:val="006D767C"/>
    <w:rsid w:val="006D77A1"/>
    <w:rsid w:val="006E0A96"/>
    <w:rsid w:val="006E0BBE"/>
    <w:rsid w:val="006E12C7"/>
    <w:rsid w:val="006E15E7"/>
    <w:rsid w:val="006E16FB"/>
    <w:rsid w:val="006E1A58"/>
    <w:rsid w:val="006E1F9C"/>
    <w:rsid w:val="006E2159"/>
    <w:rsid w:val="006E215E"/>
    <w:rsid w:val="006E2427"/>
    <w:rsid w:val="006E2BE5"/>
    <w:rsid w:val="006E3451"/>
    <w:rsid w:val="006E362C"/>
    <w:rsid w:val="006E3D5B"/>
    <w:rsid w:val="006E420F"/>
    <w:rsid w:val="006E513B"/>
    <w:rsid w:val="006E5530"/>
    <w:rsid w:val="006E5575"/>
    <w:rsid w:val="006E5818"/>
    <w:rsid w:val="006E5915"/>
    <w:rsid w:val="006E60FF"/>
    <w:rsid w:val="006E61F7"/>
    <w:rsid w:val="006E626F"/>
    <w:rsid w:val="006E68E0"/>
    <w:rsid w:val="006E6A0D"/>
    <w:rsid w:val="006E6ACD"/>
    <w:rsid w:val="006E6B07"/>
    <w:rsid w:val="006E73FC"/>
    <w:rsid w:val="006E75CC"/>
    <w:rsid w:val="006E77D6"/>
    <w:rsid w:val="006E7C8B"/>
    <w:rsid w:val="006E7E10"/>
    <w:rsid w:val="006E7E27"/>
    <w:rsid w:val="006F086C"/>
    <w:rsid w:val="006F10FE"/>
    <w:rsid w:val="006F154D"/>
    <w:rsid w:val="006F192E"/>
    <w:rsid w:val="006F1C04"/>
    <w:rsid w:val="006F2B95"/>
    <w:rsid w:val="006F2CC6"/>
    <w:rsid w:val="006F3185"/>
    <w:rsid w:val="006F3B72"/>
    <w:rsid w:val="006F3E34"/>
    <w:rsid w:val="006F3F75"/>
    <w:rsid w:val="006F4464"/>
    <w:rsid w:val="006F480E"/>
    <w:rsid w:val="006F4DCC"/>
    <w:rsid w:val="006F50D1"/>
    <w:rsid w:val="006F5248"/>
    <w:rsid w:val="006F584A"/>
    <w:rsid w:val="006F5C56"/>
    <w:rsid w:val="006F6449"/>
    <w:rsid w:val="006F6E41"/>
    <w:rsid w:val="006F713C"/>
    <w:rsid w:val="006F7250"/>
    <w:rsid w:val="006F72D3"/>
    <w:rsid w:val="006F7D39"/>
    <w:rsid w:val="007001BA"/>
    <w:rsid w:val="00700246"/>
    <w:rsid w:val="00700291"/>
    <w:rsid w:val="00700742"/>
    <w:rsid w:val="00700DFB"/>
    <w:rsid w:val="00700E18"/>
    <w:rsid w:val="00701177"/>
    <w:rsid w:val="00701207"/>
    <w:rsid w:val="0070123E"/>
    <w:rsid w:val="00701478"/>
    <w:rsid w:val="00701585"/>
    <w:rsid w:val="007019FB"/>
    <w:rsid w:val="00701CCA"/>
    <w:rsid w:val="007021EC"/>
    <w:rsid w:val="0070231E"/>
    <w:rsid w:val="007026AA"/>
    <w:rsid w:val="00702895"/>
    <w:rsid w:val="00703334"/>
    <w:rsid w:val="00703AD7"/>
    <w:rsid w:val="00704035"/>
    <w:rsid w:val="007041B7"/>
    <w:rsid w:val="0070421C"/>
    <w:rsid w:val="00704582"/>
    <w:rsid w:val="007046B0"/>
    <w:rsid w:val="0070477A"/>
    <w:rsid w:val="00704958"/>
    <w:rsid w:val="00704C40"/>
    <w:rsid w:val="0070548F"/>
    <w:rsid w:val="007058A6"/>
    <w:rsid w:val="00705FB3"/>
    <w:rsid w:val="00706561"/>
    <w:rsid w:val="00706A27"/>
    <w:rsid w:val="00706B81"/>
    <w:rsid w:val="00706C1B"/>
    <w:rsid w:val="00707226"/>
    <w:rsid w:val="00707409"/>
    <w:rsid w:val="0070747D"/>
    <w:rsid w:val="007076AC"/>
    <w:rsid w:val="00707A5D"/>
    <w:rsid w:val="00707D4B"/>
    <w:rsid w:val="00710252"/>
    <w:rsid w:val="00710295"/>
    <w:rsid w:val="0071115C"/>
    <w:rsid w:val="00711238"/>
    <w:rsid w:val="00711BF4"/>
    <w:rsid w:val="0071295C"/>
    <w:rsid w:val="00712ADB"/>
    <w:rsid w:val="00712E64"/>
    <w:rsid w:val="00712EE9"/>
    <w:rsid w:val="00712FF2"/>
    <w:rsid w:val="0071319A"/>
    <w:rsid w:val="00713336"/>
    <w:rsid w:val="0071352D"/>
    <w:rsid w:val="00713D7E"/>
    <w:rsid w:val="00715211"/>
    <w:rsid w:val="007152B4"/>
    <w:rsid w:val="007153B7"/>
    <w:rsid w:val="00715522"/>
    <w:rsid w:val="0071567A"/>
    <w:rsid w:val="0071567B"/>
    <w:rsid w:val="00715D3C"/>
    <w:rsid w:val="00715E5B"/>
    <w:rsid w:val="007164D4"/>
    <w:rsid w:val="007165C0"/>
    <w:rsid w:val="0071696E"/>
    <w:rsid w:val="00717843"/>
    <w:rsid w:val="00717AF1"/>
    <w:rsid w:val="00717D0C"/>
    <w:rsid w:val="0072062B"/>
    <w:rsid w:val="00720A9D"/>
    <w:rsid w:val="00720AF3"/>
    <w:rsid w:val="00721214"/>
    <w:rsid w:val="00721A94"/>
    <w:rsid w:val="00721BC5"/>
    <w:rsid w:val="007225CB"/>
    <w:rsid w:val="00722CE1"/>
    <w:rsid w:val="0072373F"/>
    <w:rsid w:val="00724045"/>
    <w:rsid w:val="00724403"/>
    <w:rsid w:val="00724974"/>
    <w:rsid w:val="00724F0E"/>
    <w:rsid w:val="0072553B"/>
    <w:rsid w:val="007256ED"/>
    <w:rsid w:val="00725882"/>
    <w:rsid w:val="00725C91"/>
    <w:rsid w:val="00725F3A"/>
    <w:rsid w:val="00726364"/>
    <w:rsid w:val="0072661A"/>
    <w:rsid w:val="00726B38"/>
    <w:rsid w:val="00726B74"/>
    <w:rsid w:val="00726BF6"/>
    <w:rsid w:val="00727190"/>
    <w:rsid w:val="00727715"/>
    <w:rsid w:val="00727CBA"/>
    <w:rsid w:val="00730439"/>
    <w:rsid w:val="0073134C"/>
    <w:rsid w:val="007313EC"/>
    <w:rsid w:val="007314D1"/>
    <w:rsid w:val="00731533"/>
    <w:rsid w:val="00731F63"/>
    <w:rsid w:val="00732BAA"/>
    <w:rsid w:val="00733168"/>
    <w:rsid w:val="007337DF"/>
    <w:rsid w:val="00734662"/>
    <w:rsid w:val="0073478E"/>
    <w:rsid w:val="00734AC1"/>
    <w:rsid w:val="00735277"/>
    <w:rsid w:val="00735346"/>
    <w:rsid w:val="0073604D"/>
    <w:rsid w:val="007368A6"/>
    <w:rsid w:val="00737151"/>
    <w:rsid w:val="00737AB6"/>
    <w:rsid w:val="00740995"/>
    <w:rsid w:val="00740BCC"/>
    <w:rsid w:val="0074103F"/>
    <w:rsid w:val="0074150D"/>
    <w:rsid w:val="00741D58"/>
    <w:rsid w:val="007422D9"/>
    <w:rsid w:val="007423B8"/>
    <w:rsid w:val="00742836"/>
    <w:rsid w:val="00743776"/>
    <w:rsid w:val="00743B43"/>
    <w:rsid w:val="00743E93"/>
    <w:rsid w:val="00743FEF"/>
    <w:rsid w:val="00744062"/>
    <w:rsid w:val="00744B0A"/>
    <w:rsid w:val="00744FC7"/>
    <w:rsid w:val="007450A5"/>
    <w:rsid w:val="007455C1"/>
    <w:rsid w:val="007456D4"/>
    <w:rsid w:val="0074582C"/>
    <w:rsid w:val="00745B99"/>
    <w:rsid w:val="00745EA1"/>
    <w:rsid w:val="00746017"/>
    <w:rsid w:val="00746810"/>
    <w:rsid w:val="00747194"/>
    <w:rsid w:val="00747301"/>
    <w:rsid w:val="00747623"/>
    <w:rsid w:val="00747F55"/>
    <w:rsid w:val="00750421"/>
    <w:rsid w:val="00750766"/>
    <w:rsid w:val="00750EE0"/>
    <w:rsid w:val="00751012"/>
    <w:rsid w:val="00751476"/>
    <w:rsid w:val="00751596"/>
    <w:rsid w:val="007515F9"/>
    <w:rsid w:val="007517CB"/>
    <w:rsid w:val="00751941"/>
    <w:rsid w:val="0075197B"/>
    <w:rsid w:val="00751DE6"/>
    <w:rsid w:val="007520F3"/>
    <w:rsid w:val="007522D9"/>
    <w:rsid w:val="007525BE"/>
    <w:rsid w:val="00752621"/>
    <w:rsid w:val="007526E3"/>
    <w:rsid w:val="00752709"/>
    <w:rsid w:val="00752A1F"/>
    <w:rsid w:val="00752DED"/>
    <w:rsid w:val="00752DF4"/>
    <w:rsid w:val="00752E56"/>
    <w:rsid w:val="007532AD"/>
    <w:rsid w:val="0075361D"/>
    <w:rsid w:val="00753688"/>
    <w:rsid w:val="00753A9F"/>
    <w:rsid w:val="00753D1E"/>
    <w:rsid w:val="00753DD0"/>
    <w:rsid w:val="00753EDF"/>
    <w:rsid w:val="0075418D"/>
    <w:rsid w:val="00754270"/>
    <w:rsid w:val="00754880"/>
    <w:rsid w:val="0075528A"/>
    <w:rsid w:val="007554E6"/>
    <w:rsid w:val="00755D63"/>
    <w:rsid w:val="00755FD6"/>
    <w:rsid w:val="0075607B"/>
    <w:rsid w:val="007561C2"/>
    <w:rsid w:val="00756904"/>
    <w:rsid w:val="007570C0"/>
    <w:rsid w:val="007570F4"/>
    <w:rsid w:val="00757250"/>
    <w:rsid w:val="0075736A"/>
    <w:rsid w:val="007574E4"/>
    <w:rsid w:val="0075784B"/>
    <w:rsid w:val="007579B6"/>
    <w:rsid w:val="00757CD8"/>
    <w:rsid w:val="00760161"/>
    <w:rsid w:val="007601AB"/>
    <w:rsid w:val="00760756"/>
    <w:rsid w:val="007608F8"/>
    <w:rsid w:val="00760C5D"/>
    <w:rsid w:val="00760C89"/>
    <w:rsid w:val="00761515"/>
    <w:rsid w:val="00761997"/>
    <w:rsid w:val="007619FE"/>
    <w:rsid w:val="00761AE3"/>
    <w:rsid w:val="00761D8B"/>
    <w:rsid w:val="00761E9A"/>
    <w:rsid w:val="0076238A"/>
    <w:rsid w:val="007626BA"/>
    <w:rsid w:val="00762A47"/>
    <w:rsid w:val="00762BD7"/>
    <w:rsid w:val="00762FF2"/>
    <w:rsid w:val="007637B8"/>
    <w:rsid w:val="007637C6"/>
    <w:rsid w:val="0076387F"/>
    <w:rsid w:val="007638BF"/>
    <w:rsid w:val="00763CDF"/>
    <w:rsid w:val="00764964"/>
    <w:rsid w:val="00764A0E"/>
    <w:rsid w:val="00764D3E"/>
    <w:rsid w:val="007652E0"/>
    <w:rsid w:val="007654DB"/>
    <w:rsid w:val="00765802"/>
    <w:rsid w:val="0076627E"/>
    <w:rsid w:val="00766594"/>
    <w:rsid w:val="0076663E"/>
    <w:rsid w:val="00766990"/>
    <w:rsid w:val="00766F5C"/>
    <w:rsid w:val="00767605"/>
    <w:rsid w:val="00770393"/>
    <w:rsid w:val="0077060D"/>
    <w:rsid w:val="00770897"/>
    <w:rsid w:val="00770B22"/>
    <w:rsid w:val="00770E38"/>
    <w:rsid w:val="00770F84"/>
    <w:rsid w:val="0077104D"/>
    <w:rsid w:val="007712C4"/>
    <w:rsid w:val="007716C1"/>
    <w:rsid w:val="0077170C"/>
    <w:rsid w:val="00771915"/>
    <w:rsid w:val="00771B98"/>
    <w:rsid w:val="00771FE9"/>
    <w:rsid w:val="007723BD"/>
    <w:rsid w:val="00772B44"/>
    <w:rsid w:val="00773A30"/>
    <w:rsid w:val="00773A43"/>
    <w:rsid w:val="00773B47"/>
    <w:rsid w:val="00773BF8"/>
    <w:rsid w:val="00773F2F"/>
    <w:rsid w:val="0077402A"/>
    <w:rsid w:val="0077412E"/>
    <w:rsid w:val="007744FE"/>
    <w:rsid w:val="007745AC"/>
    <w:rsid w:val="00774BA6"/>
    <w:rsid w:val="00774C10"/>
    <w:rsid w:val="00775252"/>
    <w:rsid w:val="0077538E"/>
    <w:rsid w:val="00775EB8"/>
    <w:rsid w:val="007762AA"/>
    <w:rsid w:val="0077719C"/>
    <w:rsid w:val="0077731D"/>
    <w:rsid w:val="0077738D"/>
    <w:rsid w:val="00777392"/>
    <w:rsid w:val="007776DA"/>
    <w:rsid w:val="00777897"/>
    <w:rsid w:val="00777E04"/>
    <w:rsid w:val="00777FC2"/>
    <w:rsid w:val="00780341"/>
    <w:rsid w:val="00780631"/>
    <w:rsid w:val="0078067A"/>
    <w:rsid w:val="007808DB"/>
    <w:rsid w:val="0078096B"/>
    <w:rsid w:val="00780BB2"/>
    <w:rsid w:val="00781195"/>
    <w:rsid w:val="00781262"/>
    <w:rsid w:val="00781D04"/>
    <w:rsid w:val="00781FED"/>
    <w:rsid w:val="00782AFA"/>
    <w:rsid w:val="00783370"/>
    <w:rsid w:val="007846F5"/>
    <w:rsid w:val="007848B5"/>
    <w:rsid w:val="0078514A"/>
    <w:rsid w:val="007853E7"/>
    <w:rsid w:val="0078543D"/>
    <w:rsid w:val="00785A9D"/>
    <w:rsid w:val="00785C1C"/>
    <w:rsid w:val="00785C5C"/>
    <w:rsid w:val="00785E76"/>
    <w:rsid w:val="0078671A"/>
    <w:rsid w:val="00786722"/>
    <w:rsid w:val="00786A51"/>
    <w:rsid w:val="00787717"/>
    <w:rsid w:val="00787DEA"/>
    <w:rsid w:val="00790912"/>
    <w:rsid w:val="0079097B"/>
    <w:rsid w:val="00790E95"/>
    <w:rsid w:val="00791BD7"/>
    <w:rsid w:val="00791F69"/>
    <w:rsid w:val="00792BF5"/>
    <w:rsid w:val="00792E1A"/>
    <w:rsid w:val="00793037"/>
    <w:rsid w:val="0079329E"/>
    <w:rsid w:val="0079343C"/>
    <w:rsid w:val="00793C16"/>
    <w:rsid w:val="0079441E"/>
    <w:rsid w:val="00794704"/>
    <w:rsid w:val="007949AC"/>
    <w:rsid w:val="00794B37"/>
    <w:rsid w:val="00794C3A"/>
    <w:rsid w:val="00794E7D"/>
    <w:rsid w:val="00795260"/>
    <w:rsid w:val="007953F5"/>
    <w:rsid w:val="007955C8"/>
    <w:rsid w:val="0079588A"/>
    <w:rsid w:val="00795ADC"/>
    <w:rsid w:val="00796027"/>
    <w:rsid w:val="00796072"/>
    <w:rsid w:val="007960CC"/>
    <w:rsid w:val="00796200"/>
    <w:rsid w:val="00796207"/>
    <w:rsid w:val="00796335"/>
    <w:rsid w:val="0079692D"/>
    <w:rsid w:val="00796D1B"/>
    <w:rsid w:val="00796DB3"/>
    <w:rsid w:val="0079777F"/>
    <w:rsid w:val="00797D3B"/>
    <w:rsid w:val="00797E45"/>
    <w:rsid w:val="00797FF8"/>
    <w:rsid w:val="007A02AF"/>
    <w:rsid w:val="007A09F8"/>
    <w:rsid w:val="007A0A6D"/>
    <w:rsid w:val="007A0CF2"/>
    <w:rsid w:val="007A0FC7"/>
    <w:rsid w:val="007A1B2E"/>
    <w:rsid w:val="007A21C3"/>
    <w:rsid w:val="007A2358"/>
    <w:rsid w:val="007A27E5"/>
    <w:rsid w:val="007A2C87"/>
    <w:rsid w:val="007A325F"/>
    <w:rsid w:val="007A433D"/>
    <w:rsid w:val="007A47BE"/>
    <w:rsid w:val="007A4D88"/>
    <w:rsid w:val="007A51B6"/>
    <w:rsid w:val="007A51D8"/>
    <w:rsid w:val="007A5369"/>
    <w:rsid w:val="007A5990"/>
    <w:rsid w:val="007A5A71"/>
    <w:rsid w:val="007A619A"/>
    <w:rsid w:val="007A6376"/>
    <w:rsid w:val="007A6D99"/>
    <w:rsid w:val="007A756E"/>
    <w:rsid w:val="007A75B6"/>
    <w:rsid w:val="007A7927"/>
    <w:rsid w:val="007A7CDB"/>
    <w:rsid w:val="007A7D36"/>
    <w:rsid w:val="007B09EF"/>
    <w:rsid w:val="007B1107"/>
    <w:rsid w:val="007B19B8"/>
    <w:rsid w:val="007B22C9"/>
    <w:rsid w:val="007B273D"/>
    <w:rsid w:val="007B2D07"/>
    <w:rsid w:val="007B338E"/>
    <w:rsid w:val="007B35E2"/>
    <w:rsid w:val="007B3BC7"/>
    <w:rsid w:val="007B3FF1"/>
    <w:rsid w:val="007B4AC7"/>
    <w:rsid w:val="007B5816"/>
    <w:rsid w:val="007B5CBE"/>
    <w:rsid w:val="007B6450"/>
    <w:rsid w:val="007B6B8F"/>
    <w:rsid w:val="007B7704"/>
    <w:rsid w:val="007B7F82"/>
    <w:rsid w:val="007C07F2"/>
    <w:rsid w:val="007C08C0"/>
    <w:rsid w:val="007C1659"/>
    <w:rsid w:val="007C1A46"/>
    <w:rsid w:val="007C27BD"/>
    <w:rsid w:val="007C28D6"/>
    <w:rsid w:val="007C28EA"/>
    <w:rsid w:val="007C32B9"/>
    <w:rsid w:val="007C37C2"/>
    <w:rsid w:val="007C3AC7"/>
    <w:rsid w:val="007C3EAD"/>
    <w:rsid w:val="007C4820"/>
    <w:rsid w:val="007C4C16"/>
    <w:rsid w:val="007C50F3"/>
    <w:rsid w:val="007C524B"/>
    <w:rsid w:val="007C5A89"/>
    <w:rsid w:val="007C6549"/>
    <w:rsid w:val="007C681D"/>
    <w:rsid w:val="007C723A"/>
    <w:rsid w:val="007C7857"/>
    <w:rsid w:val="007C792F"/>
    <w:rsid w:val="007C7A40"/>
    <w:rsid w:val="007D0668"/>
    <w:rsid w:val="007D0923"/>
    <w:rsid w:val="007D0F80"/>
    <w:rsid w:val="007D107B"/>
    <w:rsid w:val="007D1130"/>
    <w:rsid w:val="007D1625"/>
    <w:rsid w:val="007D1B2B"/>
    <w:rsid w:val="007D2534"/>
    <w:rsid w:val="007D25A8"/>
    <w:rsid w:val="007D31B1"/>
    <w:rsid w:val="007D350D"/>
    <w:rsid w:val="007D4561"/>
    <w:rsid w:val="007D48BD"/>
    <w:rsid w:val="007D4979"/>
    <w:rsid w:val="007D4AAF"/>
    <w:rsid w:val="007D4D96"/>
    <w:rsid w:val="007D4F63"/>
    <w:rsid w:val="007D53AF"/>
    <w:rsid w:val="007D6028"/>
    <w:rsid w:val="007D6FC9"/>
    <w:rsid w:val="007D754D"/>
    <w:rsid w:val="007E088B"/>
    <w:rsid w:val="007E0937"/>
    <w:rsid w:val="007E0B2A"/>
    <w:rsid w:val="007E0BA2"/>
    <w:rsid w:val="007E0C2E"/>
    <w:rsid w:val="007E0CA5"/>
    <w:rsid w:val="007E125F"/>
    <w:rsid w:val="007E1535"/>
    <w:rsid w:val="007E1E0C"/>
    <w:rsid w:val="007E1EAD"/>
    <w:rsid w:val="007E2111"/>
    <w:rsid w:val="007E223A"/>
    <w:rsid w:val="007E2363"/>
    <w:rsid w:val="007E26D3"/>
    <w:rsid w:val="007E2CE2"/>
    <w:rsid w:val="007E3723"/>
    <w:rsid w:val="007E3B9B"/>
    <w:rsid w:val="007E5491"/>
    <w:rsid w:val="007E54BA"/>
    <w:rsid w:val="007E577A"/>
    <w:rsid w:val="007E58FF"/>
    <w:rsid w:val="007E5C89"/>
    <w:rsid w:val="007E6484"/>
    <w:rsid w:val="007E6726"/>
    <w:rsid w:val="007E6A76"/>
    <w:rsid w:val="007E6F84"/>
    <w:rsid w:val="007E736C"/>
    <w:rsid w:val="007E739B"/>
    <w:rsid w:val="007E78B8"/>
    <w:rsid w:val="007E79C3"/>
    <w:rsid w:val="007E7C43"/>
    <w:rsid w:val="007E7CE8"/>
    <w:rsid w:val="007F08B3"/>
    <w:rsid w:val="007F112D"/>
    <w:rsid w:val="007F12CE"/>
    <w:rsid w:val="007F1E97"/>
    <w:rsid w:val="007F2597"/>
    <w:rsid w:val="007F26A1"/>
    <w:rsid w:val="007F2774"/>
    <w:rsid w:val="007F2C39"/>
    <w:rsid w:val="007F2D6E"/>
    <w:rsid w:val="007F2EE0"/>
    <w:rsid w:val="007F3018"/>
    <w:rsid w:val="007F35A8"/>
    <w:rsid w:val="007F41F6"/>
    <w:rsid w:val="007F41FD"/>
    <w:rsid w:val="007F54B5"/>
    <w:rsid w:val="007F57C3"/>
    <w:rsid w:val="007F5A61"/>
    <w:rsid w:val="007F5CA4"/>
    <w:rsid w:val="007F61FB"/>
    <w:rsid w:val="007F62A6"/>
    <w:rsid w:val="007F680A"/>
    <w:rsid w:val="007F6AFC"/>
    <w:rsid w:val="007F6F30"/>
    <w:rsid w:val="007F7329"/>
    <w:rsid w:val="007F74C0"/>
    <w:rsid w:val="0080008E"/>
    <w:rsid w:val="008006FD"/>
    <w:rsid w:val="00800D26"/>
    <w:rsid w:val="00801583"/>
    <w:rsid w:val="00801657"/>
    <w:rsid w:val="008016D7"/>
    <w:rsid w:val="00801765"/>
    <w:rsid w:val="00801FA2"/>
    <w:rsid w:val="0080411B"/>
    <w:rsid w:val="0080513F"/>
    <w:rsid w:val="00805569"/>
    <w:rsid w:val="00805BEE"/>
    <w:rsid w:val="00806051"/>
    <w:rsid w:val="00806B1A"/>
    <w:rsid w:val="00806F3B"/>
    <w:rsid w:val="00806F84"/>
    <w:rsid w:val="008071E4"/>
    <w:rsid w:val="00807564"/>
    <w:rsid w:val="00807578"/>
    <w:rsid w:val="00807C20"/>
    <w:rsid w:val="00807D8E"/>
    <w:rsid w:val="00807E2A"/>
    <w:rsid w:val="00810347"/>
    <w:rsid w:val="0081107A"/>
    <w:rsid w:val="0081118C"/>
    <w:rsid w:val="0081135A"/>
    <w:rsid w:val="00811929"/>
    <w:rsid w:val="00811B68"/>
    <w:rsid w:val="00811D42"/>
    <w:rsid w:val="008120E6"/>
    <w:rsid w:val="00812B5A"/>
    <w:rsid w:val="00812E26"/>
    <w:rsid w:val="00812F71"/>
    <w:rsid w:val="0081310B"/>
    <w:rsid w:val="008132BE"/>
    <w:rsid w:val="00813748"/>
    <w:rsid w:val="00813F83"/>
    <w:rsid w:val="00814142"/>
    <w:rsid w:val="0081424C"/>
    <w:rsid w:val="00814382"/>
    <w:rsid w:val="008148EA"/>
    <w:rsid w:val="00814EE8"/>
    <w:rsid w:val="00815FD7"/>
    <w:rsid w:val="00815FFB"/>
    <w:rsid w:val="00816DAA"/>
    <w:rsid w:val="00816FD7"/>
    <w:rsid w:val="008174AE"/>
    <w:rsid w:val="0081789D"/>
    <w:rsid w:val="00817A1A"/>
    <w:rsid w:val="00817AA9"/>
    <w:rsid w:val="00817C63"/>
    <w:rsid w:val="00817E46"/>
    <w:rsid w:val="00820140"/>
    <w:rsid w:val="00820505"/>
    <w:rsid w:val="00820A66"/>
    <w:rsid w:val="00820B99"/>
    <w:rsid w:val="00820D8D"/>
    <w:rsid w:val="0082110C"/>
    <w:rsid w:val="008222C7"/>
    <w:rsid w:val="00822359"/>
    <w:rsid w:val="00822715"/>
    <w:rsid w:val="0082279D"/>
    <w:rsid w:val="00822811"/>
    <w:rsid w:val="00822D24"/>
    <w:rsid w:val="00822F87"/>
    <w:rsid w:val="00823469"/>
    <w:rsid w:val="008235FA"/>
    <w:rsid w:val="00823E79"/>
    <w:rsid w:val="00824476"/>
    <w:rsid w:val="00824936"/>
    <w:rsid w:val="00824CD3"/>
    <w:rsid w:val="00824DF3"/>
    <w:rsid w:val="0082538E"/>
    <w:rsid w:val="00825B1A"/>
    <w:rsid w:val="00825CF2"/>
    <w:rsid w:val="00825EB9"/>
    <w:rsid w:val="00826110"/>
    <w:rsid w:val="00826134"/>
    <w:rsid w:val="00826138"/>
    <w:rsid w:val="008262BB"/>
    <w:rsid w:val="00826662"/>
    <w:rsid w:val="00826A2C"/>
    <w:rsid w:val="008272FB"/>
    <w:rsid w:val="008276B8"/>
    <w:rsid w:val="00827911"/>
    <w:rsid w:val="00827940"/>
    <w:rsid w:val="00827988"/>
    <w:rsid w:val="00830D36"/>
    <w:rsid w:val="00831BBF"/>
    <w:rsid w:val="00831C52"/>
    <w:rsid w:val="0083287D"/>
    <w:rsid w:val="008329F0"/>
    <w:rsid w:val="008330B7"/>
    <w:rsid w:val="008331E2"/>
    <w:rsid w:val="008331E5"/>
    <w:rsid w:val="008333BC"/>
    <w:rsid w:val="0083379B"/>
    <w:rsid w:val="00834DAF"/>
    <w:rsid w:val="00834FCF"/>
    <w:rsid w:val="00835001"/>
    <w:rsid w:val="008350E3"/>
    <w:rsid w:val="008352D0"/>
    <w:rsid w:val="008356A7"/>
    <w:rsid w:val="0083585A"/>
    <w:rsid w:val="00835B91"/>
    <w:rsid w:val="00836394"/>
    <w:rsid w:val="0083682B"/>
    <w:rsid w:val="00836C93"/>
    <w:rsid w:val="008370EE"/>
    <w:rsid w:val="0083746C"/>
    <w:rsid w:val="008374D2"/>
    <w:rsid w:val="00837999"/>
    <w:rsid w:val="00840006"/>
    <w:rsid w:val="00840438"/>
    <w:rsid w:val="00840A75"/>
    <w:rsid w:val="00840AA9"/>
    <w:rsid w:val="00840B51"/>
    <w:rsid w:val="00840DB5"/>
    <w:rsid w:val="00840FA8"/>
    <w:rsid w:val="0084104F"/>
    <w:rsid w:val="008410C6"/>
    <w:rsid w:val="00841285"/>
    <w:rsid w:val="0084196E"/>
    <w:rsid w:val="0084239D"/>
    <w:rsid w:val="008425BD"/>
    <w:rsid w:val="00842F2B"/>
    <w:rsid w:val="008432DE"/>
    <w:rsid w:val="008438DC"/>
    <w:rsid w:val="00843E67"/>
    <w:rsid w:val="0084420D"/>
    <w:rsid w:val="0084432B"/>
    <w:rsid w:val="008449AF"/>
    <w:rsid w:val="00844B6A"/>
    <w:rsid w:val="00844D8C"/>
    <w:rsid w:val="00844DBC"/>
    <w:rsid w:val="00845151"/>
    <w:rsid w:val="008453AA"/>
    <w:rsid w:val="00845A0C"/>
    <w:rsid w:val="00846269"/>
    <w:rsid w:val="008462DA"/>
    <w:rsid w:val="00847224"/>
    <w:rsid w:val="00847ADD"/>
    <w:rsid w:val="00847D07"/>
    <w:rsid w:val="0085065E"/>
    <w:rsid w:val="00850789"/>
    <w:rsid w:val="0085081D"/>
    <w:rsid w:val="008508C6"/>
    <w:rsid w:val="00850E86"/>
    <w:rsid w:val="00851276"/>
    <w:rsid w:val="008518EE"/>
    <w:rsid w:val="00851C52"/>
    <w:rsid w:val="00851C71"/>
    <w:rsid w:val="0085231D"/>
    <w:rsid w:val="00852322"/>
    <w:rsid w:val="00852655"/>
    <w:rsid w:val="00853BC9"/>
    <w:rsid w:val="00853FEB"/>
    <w:rsid w:val="00854440"/>
    <w:rsid w:val="0085449A"/>
    <w:rsid w:val="0085510A"/>
    <w:rsid w:val="00855696"/>
    <w:rsid w:val="00855FEF"/>
    <w:rsid w:val="0085637E"/>
    <w:rsid w:val="00856DAE"/>
    <w:rsid w:val="00856EAE"/>
    <w:rsid w:val="00856F11"/>
    <w:rsid w:val="00856F7B"/>
    <w:rsid w:val="0085733A"/>
    <w:rsid w:val="00857896"/>
    <w:rsid w:val="00857B89"/>
    <w:rsid w:val="00857BAC"/>
    <w:rsid w:val="00857F71"/>
    <w:rsid w:val="008607B3"/>
    <w:rsid w:val="00861A17"/>
    <w:rsid w:val="008621D8"/>
    <w:rsid w:val="00862A96"/>
    <w:rsid w:val="00862D20"/>
    <w:rsid w:val="008639C3"/>
    <w:rsid w:val="00864145"/>
    <w:rsid w:val="008642C9"/>
    <w:rsid w:val="0086453C"/>
    <w:rsid w:val="00864BE5"/>
    <w:rsid w:val="008652AE"/>
    <w:rsid w:val="0086554E"/>
    <w:rsid w:val="00865F5C"/>
    <w:rsid w:val="0086626D"/>
    <w:rsid w:val="0086653C"/>
    <w:rsid w:val="00866565"/>
    <w:rsid w:val="00866A86"/>
    <w:rsid w:val="00866AC5"/>
    <w:rsid w:val="0086790E"/>
    <w:rsid w:val="00870018"/>
    <w:rsid w:val="0087111B"/>
    <w:rsid w:val="00871A5F"/>
    <w:rsid w:val="0087399C"/>
    <w:rsid w:val="00873A6E"/>
    <w:rsid w:val="00873E60"/>
    <w:rsid w:val="00873E9C"/>
    <w:rsid w:val="00873F23"/>
    <w:rsid w:val="00874095"/>
    <w:rsid w:val="008740A7"/>
    <w:rsid w:val="0087416F"/>
    <w:rsid w:val="00874C32"/>
    <w:rsid w:val="00874CDC"/>
    <w:rsid w:val="0087530C"/>
    <w:rsid w:val="00875EF7"/>
    <w:rsid w:val="0087623C"/>
    <w:rsid w:val="00876818"/>
    <w:rsid w:val="00876AF1"/>
    <w:rsid w:val="00877EC7"/>
    <w:rsid w:val="0088010F"/>
    <w:rsid w:val="00880271"/>
    <w:rsid w:val="00880535"/>
    <w:rsid w:val="00880838"/>
    <w:rsid w:val="00880C2A"/>
    <w:rsid w:val="00880FA0"/>
    <w:rsid w:val="008812F3"/>
    <w:rsid w:val="00881E8D"/>
    <w:rsid w:val="008821DC"/>
    <w:rsid w:val="008827D4"/>
    <w:rsid w:val="008828F8"/>
    <w:rsid w:val="0088304A"/>
    <w:rsid w:val="00883C34"/>
    <w:rsid w:val="008842B7"/>
    <w:rsid w:val="00884613"/>
    <w:rsid w:val="008847F8"/>
    <w:rsid w:val="008849D9"/>
    <w:rsid w:val="00885ABA"/>
    <w:rsid w:val="00885D90"/>
    <w:rsid w:val="00885E22"/>
    <w:rsid w:val="00886167"/>
    <w:rsid w:val="008861CB"/>
    <w:rsid w:val="0088644A"/>
    <w:rsid w:val="00887255"/>
    <w:rsid w:val="0088748B"/>
    <w:rsid w:val="00887DD0"/>
    <w:rsid w:val="008906F4"/>
    <w:rsid w:val="00890789"/>
    <w:rsid w:val="00891847"/>
    <w:rsid w:val="00891BD4"/>
    <w:rsid w:val="00891E31"/>
    <w:rsid w:val="008920D5"/>
    <w:rsid w:val="008921D5"/>
    <w:rsid w:val="008929DF"/>
    <w:rsid w:val="00892D14"/>
    <w:rsid w:val="00892EEE"/>
    <w:rsid w:val="008934B2"/>
    <w:rsid w:val="00893B91"/>
    <w:rsid w:val="00893BA7"/>
    <w:rsid w:val="0089421A"/>
    <w:rsid w:val="008947A8"/>
    <w:rsid w:val="00894A14"/>
    <w:rsid w:val="00894D8F"/>
    <w:rsid w:val="00895224"/>
    <w:rsid w:val="00895307"/>
    <w:rsid w:val="0089559D"/>
    <w:rsid w:val="00895A37"/>
    <w:rsid w:val="008962F9"/>
    <w:rsid w:val="00896A4F"/>
    <w:rsid w:val="00896AFD"/>
    <w:rsid w:val="00896C2D"/>
    <w:rsid w:val="00896F31"/>
    <w:rsid w:val="00897051"/>
    <w:rsid w:val="00897329"/>
    <w:rsid w:val="008979B5"/>
    <w:rsid w:val="00897AE8"/>
    <w:rsid w:val="008A007E"/>
    <w:rsid w:val="008A0356"/>
    <w:rsid w:val="008A0752"/>
    <w:rsid w:val="008A081D"/>
    <w:rsid w:val="008A08F2"/>
    <w:rsid w:val="008A094D"/>
    <w:rsid w:val="008A0F5C"/>
    <w:rsid w:val="008A1035"/>
    <w:rsid w:val="008A205F"/>
    <w:rsid w:val="008A22D0"/>
    <w:rsid w:val="008A2B64"/>
    <w:rsid w:val="008A3405"/>
    <w:rsid w:val="008A34C7"/>
    <w:rsid w:val="008A3885"/>
    <w:rsid w:val="008A3B82"/>
    <w:rsid w:val="008A3ECA"/>
    <w:rsid w:val="008A3EE4"/>
    <w:rsid w:val="008A3F55"/>
    <w:rsid w:val="008A441B"/>
    <w:rsid w:val="008A4733"/>
    <w:rsid w:val="008A4BC7"/>
    <w:rsid w:val="008A5B60"/>
    <w:rsid w:val="008A5BEE"/>
    <w:rsid w:val="008A5F23"/>
    <w:rsid w:val="008A5FBB"/>
    <w:rsid w:val="008A60DB"/>
    <w:rsid w:val="008A6504"/>
    <w:rsid w:val="008A653D"/>
    <w:rsid w:val="008A654C"/>
    <w:rsid w:val="008A701A"/>
    <w:rsid w:val="008A719A"/>
    <w:rsid w:val="008A7D54"/>
    <w:rsid w:val="008B0082"/>
    <w:rsid w:val="008B1D84"/>
    <w:rsid w:val="008B27A7"/>
    <w:rsid w:val="008B34A6"/>
    <w:rsid w:val="008B34DE"/>
    <w:rsid w:val="008B3626"/>
    <w:rsid w:val="008B36D1"/>
    <w:rsid w:val="008B382F"/>
    <w:rsid w:val="008B3A3E"/>
    <w:rsid w:val="008B3ADE"/>
    <w:rsid w:val="008B3BB6"/>
    <w:rsid w:val="008B4559"/>
    <w:rsid w:val="008B4CA5"/>
    <w:rsid w:val="008B4DED"/>
    <w:rsid w:val="008B504B"/>
    <w:rsid w:val="008B51BC"/>
    <w:rsid w:val="008B5338"/>
    <w:rsid w:val="008B5683"/>
    <w:rsid w:val="008B5DA8"/>
    <w:rsid w:val="008B629A"/>
    <w:rsid w:val="008B6B28"/>
    <w:rsid w:val="008B6BEC"/>
    <w:rsid w:val="008B6D65"/>
    <w:rsid w:val="008B72B4"/>
    <w:rsid w:val="008B7EE6"/>
    <w:rsid w:val="008C03C8"/>
    <w:rsid w:val="008C16E5"/>
    <w:rsid w:val="008C1EDB"/>
    <w:rsid w:val="008C21F5"/>
    <w:rsid w:val="008C2256"/>
    <w:rsid w:val="008C2958"/>
    <w:rsid w:val="008C3773"/>
    <w:rsid w:val="008C3B78"/>
    <w:rsid w:val="008C44CB"/>
    <w:rsid w:val="008C44DF"/>
    <w:rsid w:val="008C4BF5"/>
    <w:rsid w:val="008C4C01"/>
    <w:rsid w:val="008C4C9F"/>
    <w:rsid w:val="008C4E54"/>
    <w:rsid w:val="008C4ECC"/>
    <w:rsid w:val="008C6159"/>
    <w:rsid w:val="008C6790"/>
    <w:rsid w:val="008C6A69"/>
    <w:rsid w:val="008C6CF3"/>
    <w:rsid w:val="008C6D4D"/>
    <w:rsid w:val="008C6D5B"/>
    <w:rsid w:val="008C767D"/>
    <w:rsid w:val="008C7DB3"/>
    <w:rsid w:val="008C7E58"/>
    <w:rsid w:val="008D0051"/>
    <w:rsid w:val="008D0555"/>
    <w:rsid w:val="008D0570"/>
    <w:rsid w:val="008D0F6D"/>
    <w:rsid w:val="008D1004"/>
    <w:rsid w:val="008D1921"/>
    <w:rsid w:val="008D199F"/>
    <w:rsid w:val="008D1AB7"/>
    <w:rsid w:val="008D1B71"/>
    <w:rsid w:val="008D24E8"/>
    <w:rsid w:val="008D27EA"/>
    <w:rsid w:val="008D2A5F"/>
    <w:rsid w:val="008D3393"/>
    <w:rsid w:val="008D37E9"/>
    <w:rsid w:val="008D381C"/>
    <w:rsid w:val="008D3A0B"/>
    <w:rsid w:val="008D3EB4"/>
    <w:rsid w:val="008D44BD"/>
    <w:rsid w:val="008D44DE"/>
    <w:rsid w:val="008D5297"/>
    <w:rsid w:val="008D5621"/>
    <w:rsid w:val="008D5739"/>
    <w:rsid w:val="008D5E22"/>
    <w:rsid w:val="008D64D6"/>
    <w:rsid w:val="008D660C"/>
    <w:rsid w:val="008D67C8"/>
    <w:rsid w:val="008E00A2"/>
    <w:rsid w:val="008E02D9"/>
    <w:rsid w:val="008E0308"/>
    <w:rsid w:val="008E0A60"/>
    <w:rsid w:val="008E1476"/>
    <w:rsid w:val="008E161C"/>
    <w:rsid w:val="008E186E"/>
    <w:rsid w:val="008E1DAA"/>
    <w:rsid w:val="008E2067"/>
    <w:rsid w:val="008E2477"/>
    <w:rsid w:val="008E347C"/>
    <w:rsid w:val="008E350E"/>
    <w:rsid w:val="008E3F25"/>
    <w:rsid w:val="008E4013"/>
    <w:rsid w:val="008E4322"/>
    <w:rsid w:val="008E4496"/>
    <w:rsid w:val="008E458F"/>
    <w:rsid w:val="008E468E"/>
    <w:rsid w:val="008E4AB3"/>
    <w:rsid w:val="008E4C86"/>
    <w:rsid w:val="008E4F30"/>
    <w:rsid w:val="008E5079"/>
    <w:rsid w:val="008E50FC"/>
    <w:rsid w:val="008E5168"/>
    <w:rsid w:val="008E518C"/>
    <w:rsid w:val="008E557B"/>
    <w:rsid w:val="008E5CD3"/>
    <w:rsid w:val="008E6184"/>
    <w:rsid w:val="008E74FC"/>
    <w:rsid w:val="008E7B33"/>
    <w:rsid w:val="008F029A"/>
    <w:rsid w:val="008F03D4"/>
    <w:rsid w:val="008F0C60"/>
    <w:rsid w:val="008F21AD"/>
    <w:rsid w:val="008F24FD"/>
    <w:rsid w:val="008F2601"/>
    <w:rsid w:val="008F2E50"/>
    <w:rsid w:val="008F31D9"/>
    <w:rsid w:val="008F3847"/>
    <w:rsid w:val="008F4B04"/>
    <w:rsid w:val="008F5543"/>
    <w:rsid w:val="008F5B38"/>
    <w:rsid w:val="008F5FD2"/>
    <w:rsid w:val="008F661B"/>
    <w:rsid w:val="008F67CC"/>
    <w:rsid w:val="008F69FE"/>
    <w:rsid w:val="008F73D9"/>
    <w:rsid w:val="008F744E"/>
    <w:rsid w:val="008F7B8D"/>
    <w:rsid w:val="008F7C03"/>
    <w:rsid w:val="008F7F1D"/>
    <w:rsid w:val="008F7FC3"/>
    <w:rsid w:val="00900EC0"/>
    <w:rsid w:val="009013D1"/>
    <w:rsid w:val="009020CC"/>
    <w:rsid w:val="0090224B"/>
    <w:rsid w:val="00902439"/>
    <w:rsid w:val="00902CD2"/>
    <w:rsid w:val="00902F92"/>
    <w:rsid w:val="00903016"/>
    <w:rsid w:val="00903771"/>
    <w:rsid w:val="009040AD"/>
    <w:rsid w:val="00904564"/>
    <w:rsid w:val="00904767"/>
    <w:rsid w:val="00904A3A"/>
    <w:rsid w:val="00905033"/>
    <w:rsid w:val="0090575F"/>
    <w:rsid w:val="00905937"/>
    <w:rsid w:val="00905A85"/>
    <w:rsid w:val="00905CE5"/>
    <w:rsid w:val="00905D86"/>
    <w:rsid w:val="00905EF4"/>
    <w:rsid w:val="00906122"/>
    <w:rsid w:val="00906A3C"/>
    <w:rsid w:val="00907320"/>
    <w:rsid w:val="0090732C"/>
    <w:rsid w:val="00907403"/>
    <w:rsid w:val="009076E1"/>
    <w:rsid w:val="00910107"/>
    <w:rsid w:val="0091068B"/>
    <w:rsid w:val="00910E3F"/>
    <w:rsid w:val="00911055"/>
    <w:rsid w:val="00911318"/>
    <w:rsid w:val="009113DC"/>
    <w:rsid w:val="009117B3"/>
    <w:rsid w:val="00911958"/>
    <w:rsid w:val="00911F7C"/>
    <w:rsid w:val="00912425"/>
    <w:rsid w:val="0091243E"/>
    <w:rsid w:val="00912472"/>
    <w:rsid w:val="0091319B"/>
    <w:rsid w:val="009137A2"/>
    <w:rsid w:val="0091395B"/>
    <w:rsid w:val="00914507"/>
    <w:rsid w:val="009146F7"/>
    <w:rsid w:val="009148F0"/>
    <w:rsid w:val="00914DF7"/>
    <w:rsid w:val="009153D6"/>
    <w:rsid w:val="009154D3"/>
    <w:rsid w:val="00915C4C"/>
    <w:rsid w:val="009160FA"/>
    <w:rsid w:val="0091625B"/>
    <w:rsid w:val="00917103"/>
    <w:rsid w:val="009176F3"/>
    <w:rsid w:val="00917808"/>
    <w:rsid w:val="00917C9F"/>
    <w:rsid w:val="0092043B"/>
    <w:rsid w:val="00920F0E"/>
    <w:rsid w:val="00920F8F"/>
    <w:rsid w:val="00921053"/>
    <w:rsid w:val="0092123B"/>
    <w:rsid w:val="009214BC"/>
    <w:rsid w:val="00921B5D"/>
    <w:rsid w:val="00921F0E"/>
    <w:rsid w:val="009221D0"/>
    <w:rsid w:val="009221FE"/>
    <w:rsid w:val="009223AD"/>
    <w:rsid w:val="00922451"/>
    <w:rsid w:val="009227C2"/>
    <w:rsid w:val="00922C83"/>
    <w:rsid w:val="00923144"/>
    <w:rsid w:val="00923BDC"/>
    <w:rsid w:val="00923F44"/>
    <w:rsid w:val="00924481"/>
    <w:rsid w:val="00924697"/>
    <w:rsid w:val="009247CA"/>
    <w:rsid w:val="00924889"/>
    <w:rsid w:val="009249C3"/>
    <w:rsid w:val="00924FDC"/>
    <w:rsid w:val="00925231"/>
    <w:rsid w:val="00925408"/>
    <w:rsid w:val="00925EF6"/>
    <w:rsid w:val="009263E0"/>
    <w:rsid w:val="00926561"/>
    <w:rsid w:val="00927045"/>
    <w:rsid w:val="0092722F"/>
    <w:rsid w:val="0092780D"/>
    <w:rsid w:val="0093040F"/>
    <w:rsid w:val="00930BCA"/>
    <w:rsid w:val="009311E0"/>
    <w:rsid w:val="009313AC"/>
    <w:rsid w:val="009313CD"/>
    <w:rsid w:val="009313FE"/>
    <w:rsid w:val="0093141A"/>
    <w:rsid w:val="009317C9"/>
    <w:rsid w:val="009319E1"/>
    <w:rsid w:val="00931B86"/>
    <w:rsid w:val="00932386"/>
    <w:rsid w:val="009323C3"/>
    <w:rsid w:val="00932440"/>
    <w:rsid w:val="009324AE"/>
    <w:rsid w:val="009324D6"/>
    <w:rsid w:val="00932BD4"/>
    <w:rsid w:val="009338E0"/>
    <w:rsid w:val="009345D5"/>
    <w:rsid w:val="00934D0D"/>
    <w:rsid w:val="0093535E"/>
    <w:rsid w:val="00935933"/>
    <w:rsid w:val="00935D19"/>
    <w:rsid w:val="0093639F"/>
    <w:rsid w:val="009373D4"/>
    <w:rsid w:val="00937555"/>
    <w:rsid w:val="00937655"/>
    <w:rsid w:val="00937B06"/>
    <w:rsid w:val="00937C94"/>
    <w:rsid w:val="00940598"/>
    <w:rsid w:val="009407FB"/>
    <w:rsid w:val="00940B49"/>
    <w:rsid w:val="00942345"/>
    <w:rsid w:val="00942DDA"/>
    <w:rsid w:val="00943D62"/>
    <w:rsid w:val="00943E6B"/>
    <w:rsid w:val="00944294"/>
    <w:rsid w:val="00944ABB"/>
    <w:rsid w:val="00945771"/>
    <w:rsid w:val="00945EE1"/>
    <w:rsid w:val="0094608D"/>
    <w:rsid w:val="0094632A"/>
    <w:rsid w:val="009465BC"/>
    <w:rsid w:val="00947A76"/>
    <w:rsid w:val="00947ABC"/>
    <w:rsid w:val="00947CC5"/>
    <w:rsid w:val="00947DD3"/>
    <w:rsid w:val="00947F72"/>
    <w:rsid w:val="00947FD3"/>
    <w:rsid w:val="009504AC"/>
    <w:rsid w:val="0095095D"/>
    <w:rsid w:val="00950A67"/>
    <w:rsid w:val="00950BC3"/>
    <w:rsid w:val="00951403"/>
    <w:rsid w:val="009514C3"/>
    <w:rsid w:val="00951BEA"/>
    <w:rsid w:val="00952180"/>
    <w:rsid w:val="009524F3"/>
    <w:rsid w:val="009529D7"/>
    <w:rsid w:val="00952B29"/>
    <w:rsid w:val="00953156"/>
    <w:rsid w:val="0095370C"/>
    <w:rsid w:val="00953EDD"/>
    <w:rsid w:val="009540E1"/>
    <w:rsid w:val="009541E0"/>
    <w:rsid w:val="00954843"/>
    <w:rsid w:val="00954A38"/>
    <w:rsid w:val="00954B5A"/>
    <w:rsid w:val="00954B72"/>
    <w:rsid w:val="00954D64"/>
    <w:rsid w:val="00955391"/>
    <w:rsid w:val="00955443"/>
    <w:rsid w:val="00955BA1"/>
    <w:rsid w:val="00955D05"/>
    <w:rsid w:val="00956018"/>
    <w:rsid w:val="00956090"/>
    <w:rsid w:val="0095639F"/>
    <w:rsid w:val="009569D9"/>
    <w:rsid w:val="00956B43"/>
    <w:rsid w:val="00956D3A"/>
    <w:rsid w:val="00956E19"/>
    <w:rsid w:val="00957399"/>
    <w:rsid w:val="0095759A"/>
    <w:rsid w:val="00957921"/>
    <w:rsid w:val="00957ED7"/>
    <w:rsid w:val="0096003A"/>
    <w:rsid w:val="0096020C"/>
    <w:rsid w:val="0096047F"/>
    <w:rsid w:val="00960A48"/>
    <w:rsid w:val="00960E28"/>
    <w:rsid w:val="0096212F"/>
    <w:rsid w:val="0096261F"/>
    <w:rsid w:val="009626AD"/>
    <w:rsid w:val="00962D67"/>
    <w:rsid w:val="009634AC"/>
    <w:rsid w:val="009636DA"/>
    <w:rsid w:val="00963764"/>
    <w:rsid w:val="00963A56"/>
    <w:rsid w:val="00963B50"/>
    <w:rsid w:val="00963DFF"/>
    <w:rsid w:val="00963EFA"/>
    <w:rsid w:val="009664BF"/>
    <w:rsid w:val="00967CE8"/>
    <w:rsid w:val="0097067B"/>
    <w:rsid w:val="0097067C"/>
    <w:rsid w:val="0097070F"/>
    <w:rsid w:val="00970C93"/>
    <w:rsid w:val="00970D10"/>
    <w:rsid w:val="00971228"/>
    <w:rsid w:val="00971B91"/>
    <w:rsid w:val="00971CCD"/>
    <w:rsid w:val="009729B3"/>
    <w:rsid w:val="00972AC5"/>
    <w:rsid w:val="00973836"/>
    <w:rsid w:val="00973AF8"/>
    <w:rsid w:val="009743A6"/>
    <w:rsid w:val="009745B7"/>
    <w:rsid w:val="0097490B"/>
    <w:rsid w:val="00974C9A"/>
    <w:rsid w:val="0097505A"/>
    <w:rsid w:val="0097544D"/>
    <w:rsid w:val="0097642E"/>
    <w:rsid w:val="00976800"/>
    <w:rsid w:val="00976929"/>
    <w:rsid w:val="00976BB8"/>
    <w:rsid w:val="00977526"/>
    <w:rsid w:val="00977B73"/>
    <w:rsid w:val="00977C85"/>
    <w:rsid w:val="00977D16"/>
    <w:rsid w:val="00977EA3"/>
    <w:rsid w:val="0098049B"/>
    <w:rsid w:val="00980868"/>
    <w:rsid w:val="00980C45"/>
    <w:rsid w:val="00980CBC"/>
    <w:rsid w:val="009817E6"/>
    <w:rsid w:val="00981EA9"/>
    <w:rsid w:val="00981EB6"/>
    <w:rsid w:val="0098232A"/>
    <w:rsid w:val="00982D00"/>
    <w:rsid w:val="00982D25"/>
    <w:rsid w:val="00982D61"/>
    <w:rsid w:val="0098304D"/>
    <w:rsid w:val="0098357D"/>
    <w:rsid w:val="009835C1"/>
    <w:rsid w:val="00983A6D"/>
    <w:rsid w:val="00983B02"/>
    <w:rsid w:val="00983CF2"/>
    <w:rsid w:val="0098407A"/>
    <w:rsid w:val="00984C00"/>
    <w:rsid w:val="00984C22"/>
    <w:rsid w:val="00984CD1"/>
    <w:rsid w:val="00985599"/>
    <w:rsid w:val="009858A1"/>
    <w:rsid w:val="00985937"/>
    <w:rsid w:val="00985A6B"/>
    <w:rsid w:val="00985CEE"/>
    <w:rsid w:val="00985F05"/>
    <w:rsid w:val="009862CC"/>
    <w:rsid w:val="00987148"/>
    <w:rsid w:val="0098720D"/>
    <w:rsid w:val="00987244"/>
    <w:rsid w:val="00987494"/>
    <w:rsid w:val="00987567"/>
    <w:rsid w:val="00987C48"/>
    <w:rsid w:val="00987E7C"/>
    <w:rsid w:val="00990110"/>
    <w:rsid w:val="0099032B"/>
    <w:rsid w:val="00990397"/>
    <w:rsid w:val="00991204"/>
    <w:rsid w:val="00991ED8"/>
    <w:rsid w:val="00992B52"/>
    <w:rsid w:val="00992CBE"/>
    <w:rsid w:val="00992D77"/>
    <w:rsid w:val="009931A5"/>
    <w:rsid w:val="00993681"/>
    <w:rsid w:val="00993B65"/>
    <w:rsid w:val="00993E17"/>
    <w:rsid w:val="00994672"/>
    <w:rsid w:val="0099493E"/>
    <w:rsid w:val="00994972"/>
    <w:rsid w:val="00994A35"/>
    <w:rsid w:val="00994A49"/>
    <w:rsid w:val="00994CF3"/>
    <w:rsid w:val="0099515C"/>
    <w:rsid w:val="009951AE"/>
    <w:rsid w:val="0099582D"/>
    <w:rsid w:val="009958A1"/>
    <w:rsid w:val="009959D0"/>
    <w:rsid w:val="0099612C"/>
    <w:rsid w:val="009964A2"/>
    <w:rsid w:val="00996657"/>
    <w:rsid w:val="00996957"/>
    <w:rsid w:val="00996B4A"/>
    <w:rsid w:val="00996D27"/>
    <w:rsid w:val="009971D0"/>
    <w:rsid w:val="00997259"/>
    <w:rsid w:val="009974E0"/>
    <w:rsid w:val="009976D5"/>
    <w:rsid w:val="00997E97"/>
    <w:rsid w:val="009A082D"/>
    <w:rsid w:val="009A0A9A"/>
    <w:rsid w:val="009A0F8F"/>
    <w:rsid w:val="009A135E"/>
    <w:rsid w:val="009A14B2"/>
    <w:rsid w:val="009A16F8"/>
    <w:rsid w:val="009A1A14"/>
    <w:rsid w:val="009A1AAF"/>
    <w:rsid w:val="009A234A"/>
    <w:rsid w:val="009A248B"/>
    <w:rsid w:val="009A2574"/>
    <w:rsid w:val="009A2B6F"/>
    <w:rsid w:val="009A35CD"/>
    <w:rsid w:val="009A371A"/>
    <w:rsid w:val="009A37B1"/>
    <w:rsid w:val="009A3C74"/>
    <w:rsid w:val="009A3E84"/>
    <w:rsid w:val="009A4060"/>
    <w:rsid w:val="009A4264"/>
    <w:rsid w:val="009A49FC"/>
    <w:rsid w:val="009A4AF2"/>
    <w:rsid w:val="009A51C9"/>
    <w:rsid w:val="009A5534"/>
    <w:rsid w:val="009A5DE5"/>
    <w:rsid w:val="009A64B3"/>
    <w:rsid w:val="009A66BD"/>
    <w:rsid w:val="009A6D07"/>
    <w:rsid w:val="009A7640"/>
    <w:rsid w:val="009A786A"/>
    <w:rsid w:val="009A7932"/>
    <w:rsid w:val="009A7C35"/>
    <w:rsid w:val="009B0013"/>
    <w:rsid w:val="009B18F2"/>
    <w:rsid w:val="009B198D"/>
    <w:rsid w:val="009B1F5D"/>
    <w:rsid w:val="009B1F71"/>
    <w:rsid w:val="009B2190"/>
    <w:rsid w:val="009B2EF7"/>
    <w:rsid w:val="009B2FC7"/>
    <w:rsid w:val="009B369F"/>
    <w:rsid w:val="009B3739"/>
    <w:rsid w:val="009B3E8A"/>
    <w:rsid w:val="009B4108"/>
    <w:rsid w:val="009B410C"/>
    <w:rsid w:val="009B4384"/>
    <w:rsid w:val="009B4695"/>
    <w:rsid w:val="009B47A1"/>
    <w:rsid w:val="009B47D3"/>
    <w:rsid w:val="009B48CA"/>
    <w:rsid w:val="009B497B"/>
    <w:rsid w:val="009B503C"/>
    <w:rsid w:val="009B524E"/>
    <w:rsid w:val="009B5C09"/>
    <w:rsid w:val="009B5E3C"/>
    <w:rsid w:val="009B5E5F"/>
    <w:rsid w:val="009B5F4A"/>
    <w:rsid w:val="009B618C"/>
    <w:rsid w:val="009B6225"/>
    <w:rsid w:val="009B64DC"/>
    <w:rsid w:val="009B69AC"/>
    <w:rsid w:val="009B7065"/>
    <w:rsid w:val="009B70DE"/>
    <w:rsid w:val="009B778C"/>
    <w:rsid w:val="009B7A9A"/>
    <w:rsid w:val="009B7FD7"/>
    <w:rsid w:val="009C0051"/>
    <w:rsid w:val="009C0241"/>
    <w:rsid w:val="009C0985"/>
    <w:rsid w:val="009C0DA7"/>
    <w:rsid w:val="009C104B"/>
    <w:rsid w:val="009C182C"/>
    <w:rsid w:val="009C1B73"/>
    <w:rsid w:val="009C20DC"/>
    <w:rsid w:val="009C23AB"/>
    <w:rsid w:val="009C24DB"/>
    <w:rsid w:val="009C2570"/>
    <w:rsid w:val="009C335F"/>
    <w:rsid w:val="009C3DFD"/>
    <w:rsid w:val="009C41BB"/>
    <w:rsid w:val="009C433C"/>
    <w:rsid w:val="009C473B"/>
    <w:rsid w:val="009C48D5"/>
    <w:rsid w:val="009C4C37"/>
    <w:rsid w:val="009C5DFC"/>
    <w:rsid w:val="009C647B"/>
    <w:rsid w:val="009C6676"/>
    <w:rsid w:val="009C66E2"/>
    <w:rsid w:val="009C6DE7"/>
    <w:rsid w:val="009C75A5"/>
    <w:rsid w:val="009C76F3"/>
    <w:rsid w:val="009C7DEE"/>
    <w:rsid w:val="009D03DE"/>
    <w:rsid w:val="009D061C"/>
    <w:rsid w:val="009D0EDC"/>
    <w:rsid w:val="009D0F6E"/>
    <w:rsid w:val="009D113D"/>
    <w:rsid w:val="009D14BD"/>
    <w:rsid w:val="009D1A67"/>
    <w:rsid w:val="009D1CF8"/>
    <w:rsid w:val="009D1D27"/>
    <w:rsid w:val="009D23D2"/>
    <w:rsid w:val="009D25BC"/>
    <w:rsid w:val="009D36AD"/>
    <w:rsid w:val="009D3896"/>
    <w:rsid w:val="009D3B65"/>
    <w:rsid w:val="009D3F0D"/>
    <w:rsid w:val="009D4018"/>
    <w:rsid w:val="009D454F"/>
    <w:rsid w:val="009D5189"/>
    <w:rsid w:val="009D5CE4"/>
    <w:rsid w:val="009D64F1"/>
    <w:rsid w:val="009D6A75"/>
    <w:rsid w:val="009D7087"/>
    <w:rsid w:val="009D74AE"/>
    <w:rsid w:val="009D7533"/>
    <w:rsid w:val="009D7D81"/>
    <w:rsid w:val="009D7E1C"/>
    <w:rsid w:val="009D7EE2"/>
    <w:rsid w:val="009E0116"/>
    <w:rsid w:val="009E018B"/>
    <w:rsid w:val="009E036D"/>
    <w:rsid w:val="009E0709"/>
    <w:rsid w:val="009E0A89"/>
    <w:rsid w:val="009E1172"/>
    <w:rsid w:val="009E1A77"/>
    <w:rsid w:val="009E24E5"/>
    <w:rsid w:val="009E2702"/>
    <w:rsid w:val="009E2721"/>
    <w:rsid w:val="009E2852"/>
    <w:rsid w:val="009E2A7C"/>
    <w:rsid w:val="009E2E1C"/>
    <w:rsid w:val="009E402C"/>
    <w:rsid w:val="009E4B4C"/>
    <w:rsid w:val="009E4C8D"/>
    <w:rsid w:val="009E5350"/>
    <w:rsid w:val="009E5617"/>
    <w:rsid w:val="009E5778"/>
    <w:rsid w:val="009E5CB4"/>
    <w:rsid w:val="009E6D29"/>
    <w:rsid w:val="009E7011"/>
    <w:rsid w:val="009E70FB"/>
    <w:rsid w:val="009E7CBE"/>
    <w:rsid w:val="009E7E1B"/>
    <w:rsid w:val="009F076B"/>
    <w:rsid w:val="009F0844"/>
    <w:rsid w:val="009F0AD4"/>
    <w:rsid w:val="009F0C0E"/>
    <w:rsid w:val="009F145E"/>
    <w:rsid w:val="009F1AE2"/>
    <w:rsid w:val="009F1E26"/>
    <w:rsid w:val="009F23CD"/>
    <w:rsid w:val="009F26E0"/>
    <w:rsid w:val="009F3081"/>
    <w:rsid w:val="009F3BD4"/>
    <w:rsid w:val="009F3C4A"/>
    <w:rsid w:val="009F3C5B"/>
    <w:rsid w:val="009F3EC3"/>
    <w:rsid w:val="009F4049"/>
    <w:rsid w:val="009F4244"/>
    <w:rsid w:val="009F44BF"/>
    <w:rsid w:val="009F45A5"/>
    <w:rsid w:val="009F4910"/>
    <w:rsid w:val="009F4D19"/>
    <w:rsid w:val="009F4D37"/>
    <w:rsid w:val="009F5B13"/>
    <w:rsid w:val="009F5FDB"/>
    <w:rsid w:val="009F661C"/>
    <w:rsid w:val="009F6A11"/>
    <w:rsid w:val="009F6A13"/>
    <w:rsid w:val="009F7117"/>
    <w:rsid w:val="009F76E6"/>
    <w:rsid w:val="009F7898"/>
    <w:rsid w:val="009F7CAE"/>
    <w:rsid w:val="009F7E4D"/>
    <w:rsid w:val="00A0095D"/>
    <w:rsid w:val="00A009DA"/>
    <w:rsid w:val="00A00AFA"/>
    <w:rsid w:val="00A00DB4"/>
    <w:rsid w:val="00A00E76"/>
    <w:rsid w:val="00A010D2"/>
    <w:rsid w:val="00A0133E"/>
    <w:rsid w:val="00A02917"/>
    <w:rsid w:val="00A03238"/>
    <w:rsid w:val="00A03462"/>
    <w:rsid w:val="00A047E0"/>
    <w:rsid w:val="00A0485F"/>
    <w:rsid w:val="00A04C59"/>
    <w:rsid w:val="00A04CD5"/>
    <w:rsid w:val="00A04EC6"/>
    <w:rsid w:val="00A05000"/>
    <w:rsid w:val="00A0515D"/>
    <w:rsid w:val="00A05483"/>
    <w:rsid w:val="00A05714"/>
    <w:rsid w:val="00A057C7"/>
    <w:rsid w:val="00A05BAF"/>
    <w:rsid w:val="00A05DFD"/>
    <w:rsid w:val="00A063A3"/>
    <w:rsid w:val="00A063F8"/>
    <w:rsid w:val="00A06A23"/>
    <w:rsid w:val="00A1003E"/>
    <w:rsid w:val="00A10080"/>
    <w:rsid w:val="00A109D0"/>
    <w:rsid w:val="00A109E2"/>
    <w:rsid w:val="00A10C73"/>
    <w:rsid w:val="00A10E22"/>
    <w:rsid w:val="00A114DF"/>
    <w:rsid w:val="00A124FA"/>
    <w:rsid w:val="00A12AEE"/>
    <w:rsid w:val="00A12C2D"/>
    <w:rsid w:val="00A132C4"/>
    <w:rsid w:val="00A13978"/>
    <w:rsid w:val="00A13E33"/>
    <w:rsid w:val="00A14148"/>
    <w:rsid w:val="00A14256"/>
    <w:rsid w:val="00A142A9"/>
    <w:rsid w:val="00A14C76"/>
    <w:rsid w:val="00A15781"/>
    <w:rsid w:val="00A15BD7"/>
    <w:rsid w:val="00A167F8"/>
    <w:rsid w:val="00A16823"/>
    <w:rsid w:val="00A16C08"/>
    <w:rsid w:val="00A17A14"/>
    <w:rsid w:val="00A17E7E"/>
    <w:rsid w:val="00A20254"/>
    <w:rsid w:val="00A20D60"/>
    <w:rsid w:val="00A20D7C"/>
    <w:rsid w:val="00A2109B"/>
    <w:rsid w:val="00A210BB"/>
    <w:rsid w:val="00A21500"/>
    <w:rsid w:val="00A217E4"/>
    <w:rsid w:val="00A21857"/>
    <w:rsid w:val="00A21AF9"/>
    <w:rsid w:val="00A21BB1"/>
    <w:rsid w:val="00A21C78"/>
    <w:rsid w:val="00A21ED9"/>
    <w:rsid w:val="00A22082"/>
    <w:rsid w:val="00A224DE"/>
    <w:rsid w:val="00A2292C"/>
    <w:rsid w:val="00A22F42"/>
    <w:rsid w:val="00A234B6"/>
    <w:rsid w:val="00A23714"/>
    <w:rsid w:val="00A23886"/>
    <w:rsid w:val="00A23CD0"/>
    <w:rsid w:val="00A24105"/>
    <w:rsid w:val="00A24A19"/>
    <w:rsid w:val="00A24BEB"/>
    <w:rsid w:val="00A24C7C"/>
    <w:rsid w:val="00A25344"/>
    <w:rsid w:val="00A253B9"/>
    <w:rsid w:val="00A2566B"/>
    <w:rsid w:val="00A25988"/>
    <w:rsid w:val="00A25C3F"/>
    <w:rsid w:val="00A25D93"/>
    <w:rsid w:val="00A25F9B"/>
    <w:rsid w:val="00A268F1"/>
    <w:rsid w:val="00A27872"/>
    <w:rsid w:val="00A27FF8"/>
    <w:rsid w:val="00A30526"/>
    <w:rsid w:val="00A305B3"/>
    <w:rsid w:val="00A306A0"/>
    <w:rsid w:val="00A30BD5"/>
    <w:rsid w:val="00A30BEB"/>
    <w:rsid w:val="00A31023"/>
    <w:rsid w:val="00A311A3"/>
    <w:rsid w:val="00A3127E"/>
    <w:rsid w:val="00A312C5"/>
    <w:rsid w:val="00A31404"/>
    <w:rsid w:val="00A3140C"/>
    <w:rsid w:val="00A318E8"/>
    <w:rsid w:val="00A32635"/>
    <w:rsid w:val="00A326FD"/>
    <w:rsid w:val="00A32748"/>
    <w:rsid w:val="00A32E81"/>
    <w:rsid w:val="00A332BA"/>
    <w:rsid w:val="00A33563"/>
    <w:rsid w:val="00A339F7"/>
    <w:rsid w:val="00A33C8C"/>
    <w:rsid w:val="00A340F1"/>
    <w:rsid w:val="00A34DD1"/>
    <w:rsid w:val="00A35604"/>
    <w:rsid w:val="00A35822"/>
    <w:rsid w:val="00A35FF0"/>
    <w:rsid w:val="00A3628C"/>
    <w:rsid w:val="00A36540"/>
    <w:rsid w:val="00A36FF1"/>
    <w:rsid w:val="00A37829"/>
    <w:rsid w:val="00A37EF7"/>
    <w:rsid w:val="00A40CF6"/>
    <w:rsid w:val="00A40DF1"/>
    <w:rsid w:val="00A40FF4"/>
    <w:rsid w:val="00A411C7"/>
    <w:rsid w:val="00A41641"/>
    <w:rsid w:val="00A4180C"/>
    <w:rsid w:val="00A41E6B"/>
    <w:rsid w:val="00A41F91"/>
    <w:rsid w:val="00A422CA"/>
    <w:rsid w:val="00A4238E"/>
    <w:rsid w:val="00A425E3"/>
    <w:rsid w:val="00A42708"/>
    <w:rsid w:val="00A427E9"/>
    <w:rsid w:val="00A429B1"/>
    <w:rsid w:val="00A42A33"/>
    <w:rsid w:val="00A431B4"/>
    <w:rsid w:val="00A435FC"/>
    <w:rsid w:val="00A43D0A"/>
    <w:rsid w:val="00A446BC"/>
    <w:rsid w:val="00A44DE6"/>
    <w:rsid w:val="00A45382"/>
    <w:rsid w:val="00A4543F"/>
    <w:rsid w:val="00A4556C"/>
    <w:rsid w:val="00A45AE7"/>
    <w:rsid w:val="00A45FDD"/>
    <w:rsid w:val="00A465BF"/>
    <w:rsid w:val="00A468F8"/>
    <w:rsid w:val="00A46F0B"/>
    <w:rsid w:val="00A47040"/>
    <w:rsid w:val="00A47097"/>
    <w:rsid w:val="00A47528"/>
    <w:rsid w:val="00A47B4D"/>
    <w:rsid w:val="00A47DAF"/>
    <w:rsid w:val="00A50D0A"/>
    <w:rsid w:val="00A51612"/>
    <w:rsid w:val="00A518B4"/>
    <w:rsid w:val="00A51A5C"/>
    <w:rsid w:val="00A51AA9"/>
    <w:rsid w:val="00A52313"/>
    <w:rsid w:val="00A524EC"/>
    <w:rsid w:val="00A527E3"/>
    <w:rsid w:val="00A52896"/>
    <w:rsid w:val="00A5300A"/>
    <w:rsid w:val="00A53166"/>
    <w:rsid w:val="00A53328"/>
    <w:rsid w:val="00A533A4"/>
    <w:rsid w:val="00A5357A"/>
    <w:rsid w:val="00A536BB"/>
    <w:rsid w:val="00A539D2"/>
    <w:rsid w:val="00A53BE5"/>
    <w:rsid w:val="00A5416B"/>
    <w:rsid w:val="00A54838"/>
    <w:rsid w:val="00A55515"/>
    <w:rsid w:val="00A56065"/>
    <w:rsid w:val="00A56D1F"/>
    <w:rsid w:val="00A56DD5"/>
    <w:rsid w:val="00A56E93"/>
    <w:rsid w:val="00A57FD2"/>
    <w:rsid w:val="00A60BC0"/>
    <w:rsid w:val="00A60C5D"/>
    <w:rsid w:val="00A61007"/>
    <w:rsid w:val="00A6102A"/>
    <w:rsid w:val="00A61055"/>
    <w:rsid w:val="00A6110E"/>
    <w:rsid w:val="00A61411"/>
    <w:rsid w:val="00A61522"/>
    <w:rsid w:val="00A61690"/>
    <w:rsid w:val="00A61711"/>
    <w:rsid w:val="00A61CED"/>
    <w:rsid w:val="00A61FC9"/>
    <w:rsid w:val="00A6211A"/>
    <w:rsid w:val="00A624F9"/>
    <w:rsid w:val="00A628DA"/>
    <w:rsid w:val="00A63456"/>
    <w:rsid w:val="00A63D3E"/>
    <w:rsid w:val="00A640FB"/>
    <w:rsid w:val="00A642FC"/>
    <w:rsid w:val="00A6477B"/>
    <w:rsid w:val="00A65085"/>
    <w:rsid w:val="00A65194"/>
    <w:rsid w:val="00A654FC"/>
    <w:rsid w:val="00A65618"/>
    <w:rsid w:val="00A66180"/>
    <w:rsid w:val="00A663B6"/>
    <w:rsid w:val="00A6670D"/>
    <w:rsid w:val="00A66B16"/>
    <w:rsid w:val="00A66C3F"/>
    <w:rsid w:val="00A66C7D"/>
    <w:rsid w:val="00A66EC1"/>
    <w:rsid w:val="00A679D9"/>
    <w:rsid w:val="00A67F68"/>
    <w:rsid w:val="00A67F6E"/>
    <w:rsid w:val="00A70B12"/>
    <w:rsid w:val="00A7121A"/>
    <w:rsid w:val="00A71320"/>
    <w:rsid w:val="00A7142F"/>
    <w:rsid w:val="00A7151C"/>
    <w:rsid w:val="00A71AAA"/>
    <w:rsid w:val="00A71CC1"/>
    <w:rsid w:val="00A71E02"/>
    <w:rsid w:val="00A72488"/>
    <w:rsid w:val="00A7391C"/>
    <w:rsid w:val="00A73D68"/>
    <w:rsid w:val="00A73E8B"/>
    <w:rsid w:val="00A73EC5"/>
    <w:rsid w:val="00A73F35"/>
    <w:rsid w:val="00A740F2"/>
    <w:rsid w:val="00A74225"/>
    <w:rsid w:val="00A7422A"/>
    <w:rsid w:val="00A744DB"/>
    <w:rsid w:val="00A745C6"/>
    <w:rsid w:val="00A7463D"/>
    <w:rsid w:val="00A746EA"/>
    <w:rsid w:val="00A74B4C"/>
    <w:rsid w:val="00A74BB1"/>
    <w:rsid w:val="00A760C7"/>
    <w:rsid w:val="00A76BFE"/>
    <w:rsid w:val="00A774BC"/>
    <w:rsid w:val="00A775D6"/>
    <w:rsid w:val="00A777C6"/>
    <w:rsid w:val="00A77B0F"/>
    <w:rsid w:val="00A77DD4"/>
    <w:rsid w:val="00A80637"/>
    <w:rsid w:val="00A80BD0"/>
    <w:rsid w:val="00A80C17"/>
    <w:rsid w:val="00A8156C"/>
    <w:rsid w:val="00A823BC"/>
    <w:rsid w:val="00A828C2"/>
    <w:rsid w:val="00A828D6"/>
    <w:rsid w:val="00A82BE1"/>
    <w:rsid w:val="00A82E42"/>
    <w:rsid w:val="00A83655"/>
    <w:rsid w:val="00A83657"/>
    <w:rsid w:val="00A83F7D"/>
    <w:rsid w:val="00A8446D"/>
    <w:rsid w:val="00A84A59"/>
    <w:rsid w:val="00A84D73"/>
    <w:rsid w:val="00A8544C"/>
    <w:rsid w:val="00A8596C"/>
    <w:rsid w:val="00A85F91"/>
    <w:rsid w:val="00A86158"/>
    <w:rsid w:val="00A86293"/>
    <w:rsid w:val="00A86393"/>
    <w:rsid w:val="00A86478"/>
    <w:rsid w:val="00A869F1"/>
    <w:rsid w:val="00A86C55"/>
    <w:rsid w:val="00A87137"/>
    <w:rsid w:val="00A873C4"/>
    <w:rsid w:val="00A87539"/>
    <w:rsid w:val="00A8787F"/>
    <w:rsid w:val="00A909A8"/>
    <w:rsid w:val="00A909E0"/>
    <w:rsid w:val="00A91636"/>
    <w:rsid w:val="00A91BA1"/>
    <w:rsid w:val="00A92520"/>
    <w:rsid w:val="00A92E02"/>
    <w:rsid w:val="00A92FCD"/>
    <w:rsid w:val="00A9314F"/>
    <w:rsid w:val="00A9373A"/>
    <w:rsid w:val="00A93898"/>
    <w:rsid w:val="00A93C6E"/>
    <w:rsid w:val="00A94520"/>
    <w:rsid w:val="00A945B9"/>
    <w:rsid w:val="00A94721"/>
    <w:rsid w:val="00A9475E"/>
    <w:rsid w:val="00A94802"/>
    <w:rsid w:val="00A9493D"/>
    <w:rsid w:val="00A9531B"/>
    <w:rsid w:val="00A95655"/>
    <w:rsid w:val="00A95B57"/>
    <w:rsid w:val="00A95CAB"/>
    <w:rsid w:val="00A95D8F"/>
    <w:rsid w:val="00A9624A"/>
    <w:rsid w:val="00A96571"/>
    <w:rsid w:val="00A967B7"/>
    <w:rsid w:val="00A96E64"/>
    <w:rsid w:val="00A9717A"/>
    <w:rsid w:val="00A9721A"/>
    <w:rsid w:val="00A977E7"/>
    <w:rsid w:val="00A97C86"/>
    <w:rsid w:val="00AA018C"/>
    <w:rsid w:val="00AA06D1"/>
    <w:rsid w:val="00AA08FD"/>
    <w:rsid w:val="00AA0D29"/>
    <w:rsid w:val="00AA0F3E"/>
    <w:rsid w:val="00AA1B5A"/>
    <w:rsid w:val="00AA1EAC"/>
    <w:rsid w:val="00AA1F25"/>
    <w:rsid w:val="00AA203C"/>
    <w:rsid w:val="00AA2A52"/>
    <w:rsid w:val="00AA2D6E"/>
    <w:rsid w:val="00AA38CF"/>
    <w:rsid w:val="00AA4DE1"/>
    <w:rsid w:val="00AA4F10"/>
    <w:rsid w:val="00AA5E1D"/>
    <w:rsid w:val="00AA63EA"/>
    <w:rsid w:val="00AA64A9"/>
    <w:rsid w:val="00AA64AB"/>
    <w:rsid w:val="00AA6C53"/>
    <w:rsid w:val="00AA753A"/>
    <w:rsid w:val="00AA75BF"/>
    <w:rsid w:val="00AA76FE"/>
    <w:rsid w:val="00AB0273"/>
    <w:rsid w:val="00AB05AE"/>
    <w:rsid w:val="00AB0858"/>
    <w:rsid w:val="00AB08A4"/>
    <w:rsid w:val="00AB178E"/>
    <w:rsid w:val="00AB2519"/>
    <w:rsid w:val="00AB3050"/>
    <w:rsid w:val="00AB3145"/>
    <w:rsid w:val="00AB34F4"/>
    <w:rsid w:val="00AB356D"/>
    <w:rsid w:val="00AB3DD8"/>
    <w:rsid w:val="00AB5432"/>
    <w:rsid w:val="00AB5576"/>
    <w:rsid w:val="00AB5DA3"/>
    <w:rsid w:val="00AB64EC"/>
    <w:rsid w:val="00AB6BFB"/>
    <w:rsid w:val="00AB6D30"/>
    <w:rsid w:val="00AB6DDA"/>
    <w:rsid w:val="00AB6E44"/>
    <w:rsid w:val="00AB7245"/>
    <w:rsid w:val="00AB7640"/>
    <w:rsid w:val="00AB766D"/>
    <w:rsid w:val="00AB77C5"/>
    <w:rsid w:val="00AB79A1"/>
    <w:rsid w:val="00AB7F52"/>
    <w:rsid w:val="00AB7F5A"/>
    <w:rsid w:val="00AC046F"/>
    <w:rsid w:val="00AC0F00"/>
    <w:rsid w:val="00AC0FC0"/>
    <w:rsid w:val="00AC19D5"/>
    <w:rsid w:val="00AC1A51"/>
    <w:rsid w:val="00AC23AE"/>
    <w:rsid w:val="00AC2810"/>
    <w:rsid w:val="00AC2950"/>
    <w:rsid w:val="00AC2EF8"/>
    <w:rsid w:val="00AC3443"/>
    <w:rsid w:val="00AC3527"/>
    <w:rsid w:val="00AC3F3F"/>
    <w:rsid w:val="00AC408E"/>
    <w:rsid w:val="00AC441B"/>
    <w:rsid w:val="00AC4558"/>
    <w:rsid w:val="00AC512F"/>
    <w:rsid w:val="00AC558A"/>
    <w:rsid w:val="00AC5A8E"/>
    <w:rsid w:val="00AC5B30"/>
    <w:rsid w:val="00AC5BEB"/>
    <w:rsid w:val="00AC614C"/>
    <w:rsid w:val="00AC6371"/>
    <w:rsid w:val="00AC65F1"/>
    <w:rsid w:val="00AC67EF"/>
    <w:rsid w:val="00AC68A2"/>
    <w:rsid w:val="00AC6B29"/>
    <w:rsid w:val="00AC70FD"/>
    <w:rsid w:val="00AC7477"/>
    <w:rsid w:val="00AC74D8"/>
    <w:rsid w:val="00AC75BC"/>
    <w:rsid w:val="00AC7658"/>
    <w:rsid w:val="00AC7675"/>
    <w:rsid w:val="00AD038B"/>
    <w:rsid w:val="00AD0492"/>
    <w:rsid w:val="00AD06E2"/>
    <w:rsid w:val="00AD0E0A"/>
    <w:rsid w:val="00AD0E96"/>
    <w:rsid w:val="00AD137F"/>
    <w:rsid w:val="00AD15B9"/>
    <w:rsid w:val="00AD1D72"/>
    <w:rsid w:val="00AD20F0"/>
    <w:rsid w:val="00AD2651"/>
    <w:rsid w:val="00AD27BE"/>
    <w:rsid w:val="00AD2CF3"/>
    <w:rsid w:val="00AD2F57"/>
    <w:rsid w:val="00AD3093"/>
    <w:rsid w:val="00AD58D2"/>
    <w:rsid w:val="00AD5CC6"/>
    <w:rsid w:val="00AD6514"/>
    <w:rsid w:val="00AD66ED"/>
    <w:rsid w:val="00AD6733"/>
    <w:rsid w:val="00AD6DDF"/>
    <w:rsid w:val="00AD7057"/>
    <w:rsid w:val="00AD72AC"/>
    <w:rsid w:val="00AD77A1"/>
    <w:rsid w:val="00AD7B56"/>
    <w:rsid w:val="00AD7D84"/>
    <w:rsid w:val="00AE1AFB"/>
    <w:rsid w:val="00AE1DC5"/>
    <w:rsid w:val="00AE1FA8"/>
    <w:rsid w:val="00AE2080"/>
    <w:rsid w:val="00AE2B06"/>
    <w:rsid w:val="00AE2D49"/>
    <w:rsid w:val="00AE2FE1"/>
    <w:rsid w:val="00AE36C7"/>
    <w:rsid w:val="00AE3AB6"/>
    <w:rsid w:val="00AE443B"/>
    <w:rsid w:val="00AE46FA"/>
    <w:rsid w:val="00AE4D33"/>
    <w:rsid w:val="00AE4EE4"/>
    <w:rsid w:val="00AE6783"/>
    <w:rsid w:val="00AE6DAE"/>
    <w:rsid w:val="00AE73C4"/>
    <w:rsid w:val="00AE746F"/>
    <w:rsid w:val="00AE7485"/>
    <w:rsid w:val="00AE7C4F"/>
    <w:rsid w:val="00AF04B4"/>
    <w:rsid w:val="00AF09C1"/>
    <w:rsid w:val="00AF246F"/>
    <w:rsid w:val="00AF3402"/>
    <w:rsid w:val="00AF395E"/>
    <w:rsid w:val="00AF3976"/>
    <w:rsid w:val="00AF3C3E"/>
    <w:rsid w:val="00AF4047"/>
    <w:rsid w:val="00AF4DE9"/>
    <w:rsid w:val="00AF4EA0"/>
    <w:rsid w:val="00AF5674"/>
    <w:rsid w:val="00AF5881"/>
    <w:rsid w:val="00AF5FDE"/>
    <w:rsid w:val="00AF60E2"/>
    <w:rsid w:val="00AF6193"/>
    <w:rsid w:val="00AF636D"/>
    <w:rsid w:val="00AF6455"/>
    <w:rsid w:val="00AF655B"/>
    <w:rsid w:val="00AF6639"/>
    <w:rsid w:val="00AF6D83"/>
    <w:rsid w:val="00AF72C1"/>
    <w:rsid w:val="00AF74C2"/>
    <w:rsid w:val="00AF74E4"/>
    <w:rsid w:val="00AF7868"/>
    <w:rsid w:val="00AF7915"/>
    <w:rsid w:val="00AF7B3B"/>
    <w:rsid w:val="00AF7E0E"/>
    <w:rsid w:val="00AF7F8B"/>
    <w:rsid w:val="00B00181"/>
    <w:rsid w:val="00B008F2"/>
    <w:rsid w:val="00B01265"/>
    <w:rsid w:val="00B01642"/>
    <w:rsid w:val="00B01DEE"/>
    <w:rsid w:val="00B02005"/>
    <w:rsid w:val="00B024BA"/>
    <w:rsid w:val="00B02666"/>
    <w:rsid w:val="00B02745"/>
    <w:rsid w:val="00B027FB"/>
    <w:rsid w:val="00B02862"/>
    <w:rsid w:val="00B0389B"/>
    <w:rsid w:val="00B03D9A"/>
    <w:rsid w:val="00B04356"/>
    <w:rsid w:val="00B04943"/>
    <w:rsid w:val="00B04DB9"/>
    <w:rsid w:val="00B0602D"/>
    <w:rsid w:val="00B06AD1"/>
    <w:rsid w:val="00B06DB3"/>
    <w:rsid w:val="00B07137"/>
    <w:rsid w:val="00B07140"/>
    <w:rsid w:val="00B077B5"/>
    <w:rsid w:val="00B07CA0"/>
    <w:rsid w:val="00B10207"/>
    <w:rsid w:val="00B11305"/>
    <w:rsid w:val="00B11E05"/>
    <w:rsid w:val="00B12393"/>
    <w:rsid w:val="00B12C52"/>
    <w:rsid w:val="00B13790"/>
    <w:rsid w:val="00B13DD2"/>
    <w:rsid w:val="00B1454E"/>
    <w:rsid w:val="00B14686"/>
    <w:rsid w:val="00B14927"/>
    <w:rsid w:val="00B15078"/>
    <w:rsid w:val="00B150AC"/>
    <w:rsid w:val="00B154A8"/>
    <w:rsid w:val="00B15790"/>
    <w:rsid w:val="00B15EB2"/>
    <w:rsid w:val="00B16002"/>
    <w:rsid w:val="00B16008"/>
    <w:rsid w:val="00B16768"/>
    <w:rsid w:val="00B16915"/>
    <w:rsid w:val="00B16A46"/>
    <w:rsid w:val="00B17090"/>
    <w:rsid w:val="00B17611"/>
    <w:rsid w:val="00B1775F"/>
    <w:rsid w:val="00B17DDA"/>
    <w:rsid w:val="00B20AA9"/>
    <w:rsid w:val="00B2113F"/>
    <w:rsid w:val="00B211C6"/>
    <w:rsid w:val="00B21A06"/>
    <w:rsid w:val="00B22247"/>
    <w:rsid w:val="00B2229C"/>
    <w:rsid w:val="00B224F3"/>
    <w:rsid w:val="00B2258B"/>
    <w:rsid w:val="00B22F55"/>
    <w:rsid w:val="00B233C5"/>
    <w:rsid w:val="00B233E3"/>
    <w:rsid w:val="00B248C3"/>
    <w:rsid w:val="00B24AC4"/>
    <w:rsid w:val="00B2580A"/>
    <w:rsid w:val="00B25967"/>
    <w:rsid w:val="00B25FF2"/>
    <w:rsid w:val="00B26C49"/>
    <w:rsid w:val="00B27645"/>
    <w:rsid w:val="00B27CD5"/>
    <w:rsid w:val="00B30181"/>
    <w:rsid w:val="00B303E9"/>
    <w:rsid w:val="00B307C0"/>
    <w:rsid w:val="00B30E78"/>
    <w:rsid w:val="00B31037"/>
    <w:rsid w:val="00B31172"/>
    <w:rsid w:val="00B33080"/>
    <w:rsid w:val="00B332CE"/>
    <w:rsid w:val="00B33536"/>
    <w:rsid w:val="00B33CBE"/>
    <w:rsid w:val="00B33F24"/>
    <w:rsid w:val="00B34628"/>
    <w:rsid w:val="00B3481A"/>
    <w:rsid w:val="00B3485B"/>
    <w:rsid w:val="00B34DB2"/>
    <w:rsid w:val="00B34EB5"/>
    <w:rsid w:val="00B351D7"/>
    <w:rsid w:val="00B352FD"/>
    <w:rsid w:val="00B3610E"/>
    <w:rsid w:val="00B366B9"/>
    <w:rsid w:val="00B372BA"/>
    <w:rsid w:val="00B3795B"/>
    <w:rsid w:val="00B37AE5"/>
    <w:rsid w:val="00B4001D"/>
    <w:rsid w:val="00B40057"/>
    <w:rsid w:val="00B40180"/>
    <w:rsid w:val="00B40681"/>
    <w:rsid w:val="00B40BA3"/>
    <w:rsid w:val="00B40DCA"/>
    <w:rsid w:val="00B40E07"/>
    <w:rsid w:val="00B414AE"/>
    <w:rsid w:val="00B414CC"/>
    <w:rsid w:val="00B41FAC"/>
    <w:rsid w:val="00B4204F"/>
    <w:rsid w:val="00B4238C"/>
    <w:rsid w:val="00B4291E"/>
    <w:rsid w:val="00B43508"/>
    <w:rsid w:val="00B44F26"/>
    <w:rsid w:val="00B44FD5"/>
    <w:rsid w:val="00B45105"/>
    <w:rsid w:val="00B451E9"/>
    <w:rsid w:val="00B45484"/>
    <w:rsid w:val="00B4570F"/>
    <w:rsid w:val="00B4640A"/>
    <w:rsid w:val="00B4654F"/>
    <w:rsid w:val="00B466C4"/>
    <w:rsid w:val="00B469BD"/>
    <w:rsid w:val="00B47AC5"/>
    <w:rsid w:val="00B47C74"/>
    <w:rsid w:val="00B47F27"/>
    <w:rsid w:val="00B50638"/>
    <w:rsid w:val="00B508B0"/>
    <w:rsid w:val="00B5096B"/>
    <w:rsid w:val="00B50CB5"/>
    <w:rsid w:val="00B51C78"/>
    <w:rsid w:val="00B52441"/>
    <w:rsid w:val="00B52F23"/>
    <w:rsid w:val="00B53292"/>
    <w:rsid w:val="00B53E49"/>
    <w:rsid w:val="00B541CE"/>
    <w:rsid w:val="00B5563A"/>
    <w:rsid w:val="00B55FD8"/>
    <w:rsid w:val="00B55FDC"/>
    <w:rsid w:val="00B56746"/>
    <w:rsid w:val="00B56A01"/>
    <w:rsid w:val="00B56D27"/>
    <w:rsid w:val="00B57709"/>
    <w:rsid w:val="00B57CF5"/>
    <w:rsid w:val="00B57FD0"/>
    <w:rsid w:val="00B60802"/>
    <w:rsid w:val="00B618A4"/>
    <w:rsid w:val="00B62323"/>
    <w:rsid w:val="00B62341"/>
    <w:rsid w:val="00B62A93"/>
    <w:rsid w:val="00B63106"/>
    <w:rsid w:val="00B63B96"/>
    <w:rsid w:val="00B63BD5"/>
    <w:rsid w:val="00B63D6E"/>
    <w:rsid w:val="00B64141"/>
    <w:rsid w:val="00B648D0"/>
    <w:rsid w:val="00B64A96"/>
    <w:rsid w:val="00B6500D"/>
    <w:rsid w:val="00B658E6"/>
    <w:rsid w:val="00B65B5D"/>
    <w:rsid w:val="00B65ED1"/>
    <w:rsid w:val="00B65FC5"/>
    <w:rsid w:val="00B66481"/>
    <w:rsid w:val="00B67271"/>
    <w:rsid w:val="00B6748B"/>
    <w:rsid w:val="00B6777F"/>
    <w:rsid w:val="00B700C9"/>
    <w:rsid w:val="00B70276"/>
    <w:rsid w:val="00B704C5"/>
    <w:rsid w:val="00B705B8"/>
    <w:rsid w:val="00B70A10"/>
    <w:rsid w:val="00B70D1F"/>
    <w:rsid w:val="00B7145C"/>
    <w:rsid w:val="00B71831"/>
    <w:rsid w:val="00B71AD3"/>
    <w:rsid w:val="00B71FFC"/>
    <w:rsid w:val="00B721B9"/>
    <w:rsid w:val="00B724E3"/>
    <w:rsid w:val="00B724EC"/>
    <w:rsid w:val="00B7293A"/>
    <w:rsid w:val="00B72DBA"/>
    <w:rsid w:val="00B72F25"/>
    <w:rsid w:val="00B732F8"/>
    <w:rsid w:val="00B733DA"/>
    <w:rsid w:val="00B7355D"/>
    <w:rsid w:val="00B7399E"/>
    <w:rsid w:val="00B73A15"/>
    <w:rsid w:val="00B73EA8"/>
    <w:rsid w:val="00B74529"/>
    <w:rsid w:val="00B7486B"/>
    <w:rsid w:val="00B748C5"/>
    <w:rsid w:val="00B74978"/>
    <w:rsid w:val="00B7544C"/>
    <w:rsid w:val="00B759DB"/>
    <w:rsid w:val="00B764F0"/>
    <w:rsid w:val="00B76BA2"/>
    <w:rsid w:val="00B76E5B"/>
    <w:rsid w:val="00B76EA7"/>
    <w:rsid w:val="00B773DC"/>
    <w:rsid w:val="00B77851"/>
    <w:rsid w:val="00B77ACB"/>
    <w:rsid w:val="00B77EB0"/>
    <w:rsid w:val="00B77EFE"/>
    <w:rsid w:val="00B802F6"/>
    <w:rsid w:val="00B8076A"/>
    <w:rsid w:val="00B81663"/>
    <w:rsid w:val="00B81B8F"/>
    <w:rsid w:val="00B81C5C"/>
    <w:rsid w:val="00B81D6D"/>
    <w:rsid w:val="00B82613"/>
    <w:rsid w:val="00B827BD"/>
    <w:rsid w:val="00B82A47"/>
    <w:rsid w:val="00B82B67"/>
    <w:rsid w:val="00B82BDE"/>
    <w:rsid w:val="00B82C64"/>
    <w:rsid w:val="00B83278"/>
    <w:rsid w:val="00B8348C"/>
    <w:rsid w:val="00B83624"/>
    <w:rsid w:val="00B83BDA"/>
    <w:rsid w:val="00B845AC"/>
    <w:rsid w:val="00B845FC"/>
    <w:rsid w:val="00B850E9"/>
    <w:rsid w:val="00B855D8"/>
    <w:rsid w:val="00B85F28"/>
    <w:rsid w:val="00B85F6A"/>
    <w:rsid w:val="00B860D9"/>
    <w:rsid w:val="00B8612A"/>
    <w:rsid w:val="00B861FC"/>
    <w:rsid w:val="00B86B2E"/>
    <w:rsid w:val="00B86B95"/>
    <w:rsid w:val="00B86C3F"/>
    <w:rsid w:val="00B86ED0"/>
    <w:rsid w:val="00B875D5"/>
    <w:rsid w:val="00B87C6F"/>
    <w:rsid w:val="00B87CC5"/>
    <w:rsid w:val="00B87E7D"/>
    <w:rsid w:val="00B900AF"/>
    <w:rsid w:val="00B9076F"/>
    <w:rsid w:val="00B90E25"/>
    <w:rsid w:val="00B90F48"/>
    <w:rsid w:val="00B91089"/>
    <w:rsid w:val="00B916B5"/>
    <w:rsid w:val="00B917BE"/>
    <w:rsid w:val="00B919BF"/>
    <w:rsid w:val="00B91C9B"/>
    <w:rsid w:val="00B91F3F"/>
    <w:rsid w:val="00B92701"/>
    <w:rsid w:val="00B92819"/>
    <w:rsid w:val="00B92CC7"/>
    <w:rsid w:val="00B92D6E"/>
    <w:rsid w:val="00B9336F"/>
    <w:rsid w:val="00B939E4"/>
    <w:rsid w:val="00B93C32"/>
    <w:rsid w:val="00B94450"/>
    <w:rsid w:val="00B94CAF"/>
    <w:rsid w:val="00B95EB1"/>
    <w:rsid w:val="00B95F33"/>
    <w:rsid w:val="00B96485"/>
    <w:rsid w:val="00B964AE"/>
    <w:rsid w:val="00B96700"/>
    <w:rsid w:val="00B9693B"/>
    <w:rsid w:val="00B97270"/>
    <w:rsid w:val="00B975B8"/>
    <w:rsid w:val="00B97658"/>
    <w:rsid w:val="00BA141C"/>
    <w:rsid w:val="00BA1A4C"/>
    <w:rsid w:val="00BA1A59"/>
    <w:rsid w:val="00BA1B76"/>
    <w:rsid w:val="00BA1FF5"/>
    <w:rsid w:val="00BA2AFA"/>
    <w:rsid w:val="00BA2BB0"/>
    <w:rsid w:val="00BA2C79"/>
    <w:rsid w:val="00BA3012"/>
    <w:rsid w:val="00BA37FB"/>
    <w:rsid w:val="00BA421E"/>
    <w:rsid w:val="00BA514C"/>
    <w:rsid w:val="00BA5F5F"/>
    <w:rsid w:val="00BA601F"/>
    <w:rsid w:val="00BA62AB"/>
    <w:rsid w:val="00BA6A33"/>
    <w:rsid w:val="00BA6A97"/>
    <w:rsid w:val="00BA6EAC"/>
    <w:rsid w:val="00BA7243"/>
    <w:rsid w:val="00BA7A5B"/>
    <w:rsid w:val="00BA7D28"/>
    <w:rsid w:val="00BA7D2C"/>
    <w:rsid w:val="00BB0D02"/>
    <w:rsid w:val="00BB0D32"/>
    <w:rsid w:val="00BB1374"/>
    <w:rsid w:val="00BB1701"/>
    <w:rsid w:val="00BB1787"/>
    <w:rsid w:val="00BB17B9"/>
    <w:rsid w:val="00BB1C43"/>
    <w:rsid w:val="00BB1DDE"/>
    <w:rsid w:val="00BB2754"/>
    <w:rsid w:val="00BB2F4E"/>
    <w:rsid w:val="00BB316F"/>
    <w:rsid w:val="00BB3784"/>
    <w:rsid w:val="00BB3D79"/>
    <w:rsid w:val="00BB428E"/>
    <w:rsid w:val="00BB454E"/>
    <w:rsid w:val="00BB474B"/>
    <w:rsid w:val="00BB4F2C"/>
    <w:rsid w:val="00BB5615"/>
    <w:rsid w:val="00BB57EC"/>
    <w:rsid w:val="00BB5958"/>
    <w:rsid w:val="00BB6075"/>
    <w:rsid w:val="00BB6ABE"/>
    <w:rsid w:val="00BB6DB1"/>
    <w:rsid w:val="00BB6E96"/>
    <w:rsid w:val="00BB7651"/>
    <w:rsid w:val="00BB796A"/>
    <w:rsid w:val="00BB7AA4"/>
    <w:rsid w:val="00BC0568"/>
    <w:rsid w:val="00BC05FC"/>
    <w:rsid w:val="00BC0B99"/>
    <w:rsid w:val="00BC1003"/>
    <w:rsid w:val="00BC11A6"/>
    <w:rsid w:val="00BC12EF"/>
    <w:rsid w:val="00BC17D5"/>
    <w:rsid w:val="00BC1988"/>
    <w:rsid w:val="00BC1B77"/>
    <w:rsid w:val="00BC22AF"/>
    <w:rsid w:val="00BC23D0"/>
    <w:rsid w:val="00BC282D"/>
    <w:rsid w:val="00BC4279"/>
    <w:rsid w:val="00BC44F2"/>
    <w:rsid w:val="00BC4B3E"/>
    <w:rsid w:val="00BC5487"/>
    <w:rsid w:val="00BC57A5"/>
    <w:rsid w:val="00BC5C5F"/>
    <w:rsid w:val="00BC5D6D"/>
    <w:rsid w:val="00BC6280"/>
    <w:rsid w:val="00BC676A"/>
    <w:rsid w:val="00BC6781"/>
    <w:rsid w:val="00BC6F2E"/>
    <w:rsid w:val="00BC7380"/>
    <w:rsid w:val="00BC7A7E"/>
    <w:rsid w:val="00BC7A93"/>
    <w:rsid w:val="00BD0246"/>
    <w:rsid w:val="00BD024F"/>
    <w:rsid w:val="00BD1CC7"/>
    <w:rsid w:val="00BD2043"/>
    <w:rsid w:val="00BD21F1"/>
    <w:rsid w:val="00BD22D1"/>
    <w:rsid w:val="00BD252E"/>
    <w:rsid w:val="00BD2BCE"/>
    <w:rsid w:val="00BD2E46"/>
    <w:rsid w:val="00BD3088"/>
    <w:rsid w:val="00BD368F"/>
    <w:rsid w:val="00BD3B79"/>
    <w:rsid w:val="00BD4413"/>
    <w:rsid w:val="00BD44BF"/>
    <w:rsid w:val="00BD4998"/>
    <w:rsid w:val="00BD4A43"/>
    <w:rsid w:val="00BD4FAC"/>
    <w:rsid w:val="00BD563D"/>
    <w:rsid w:val="00BD60B5"/>
    <w:rsid w:val="00BD61D8"/>
    <w:rsid w:val="00BD6763"/>
    <w:rsid w:val="00BD6DA4"/>
    <w:rsid w:val="00BD7742"/>
    <w:rsid w:val="00BD7DE6"/>
    <w:rsid w:val="00BD7EBB"/>
    <w:rsid w:val="00BE0AED"/>
    <w:rsid w:val="00BE189D"/>
    <w:rsid w:val="00BE1BED"/>
    <w:rsid w:val="00BE1DBA"/>
    <w:rsid w:val="00BE23C3"/>
    <w:rsid w:val="00BE25B3"/>
    <w:rsid w:val="00BE2783"/>
    <w:rsid w:val="00BE29D4"/>
    <w:rsid w:val="00BE2B44"/>
    <w:rsid w:val="00BE2E22"/>
    <w:rsid w:val="00BE37E3"/>
    <w:rsid w:val="00BE3946"/>
    <w:rsid w:val="00BE3A4C"/>
    <w:rsid w:val="00BE41E2"/>
    <w:rsid w:val="00BE4683"/>
    <w:rsid w:val="00BE46BD"/>
    <w:rsid w:val="00BE501F"/>
    <w:rsid w:val="00BE5039"/>
    <w:rsid w:val="00BE5213"/>
    <w:rsid w:val="00BE58D0"/>
    <w:rsid w:val="00BE5FA7"/>
    <w:rsid w:val="00BE63B0"/>
    <w:rsid w:val="00BE6FAC"/>
    <w:rsid w:val="00BE7317"/>
    <w:rsid w:val="00BE773E"/>
    <w:rsid w:val="00BE7903"/>
    <w:rsid w:val="00BE7A1F"/>
    <w:rsid w:val="00BE7BD0"/>
    <w:rsid w:val="00BF0052"/>
    <w:rsid w:val="00BF07D2"/>
    <w:rsid w:val="00BF0BC0"/>
    <w:rsid w:val="00BF0EE8"/>
    <w:rsid w:val="00BF10FC"/>
    <w:rsid w:val="00BF1114"/>
    <w:rsid w:val="00BF1B43"/>
    <w:rsid w:val="00BF2D73"/>
    <w:rsid w:val="00BF2DCC"/>
    <w:rsid w:val="00BF3170"/>
    <w:rsid w:val="00BF3254"/>
    <w:rsid w:val="00BF37B5"/>
    <w:rsid w:val="00BF3B4B"/>
    <w:rsid w:val="00BF3D1C"/>
    <w:rsid w:val="00BF3DEC"/>
    <w:rsid w:val="00BF4114"/>
    <w:rsid w:val="00BF4FB4"/>
    <w:rsid w:val="00BF5279"/>
    <w:rsid w:val="00BF5303"/>
    <w:rsid w:val="00BF55E9"/>
    <w:rsid w:val="00BF5888"/>
    <w:rsid w:val="00BF5990"/>
    <w:rsid w:val="00BF5B58"/>
    <w:rsid w:val="00BF5D22"/>
    <w:rsid w:val="00BF5E9D"/>
    <w:rsid w:val="00BF6196"/>
    <w:rsid w:val="00BF6974"/>
    <w:rsid w:val="00BF7037"/>
    <w:rsid w:val="00BF77C9"/>
    <w:rsid w:val="00BF7A53"/>
    <w:rsid w:val="00BF7AE2"/>
    <w:rsid w:val="00BF7C15"/>
    <w:rsid w:val="00C00077"/>
    <w:rsid w:val="00C00194"/>
    <w:rsid w:val="00C003A6"/>
    <w:rsid w:val="00C00F9D"/>
    <w:rsid w:val="00C01331"/>
    <w:rsid w:val="00C01EF1"/>
    <w:rsid w:val="00C01FC0"/>
    <w:rsid w:val="00C02293"/>
    <w:rsid w:val="00C02433"/>
    <w:rsid w:val="00C027EF"/>
    <w:rsid w:val="00C02BE5"/>
    <w:rsid w:val="00C03AC6"/>
    <w:rsid w:val="00C043CE"/>
    <w:rsid w:val="00C04403"/>
    <w:rsid w:val="00C047C6"/>
    <w:rsid w:val="00C04A0F"/>
    <w:rsid w:val="00C04B62"/>
    <w:rsid w:val="00C04DCA"/>
    <w:rsid w:val="00C058CF"/>
    <w:rsid w:val="00C05E42"/>
    <w:rsid w:val="00C06159"/>
    <w:rsid w:val="00C06299"/>
    <w:rsid w:val="00C06B71"/>
    <w:rsid w:val="00C07266"/>
    <w:rsid w:val="00C07DB8"/>
    <w:rsid w:val="00C108A2"/>
    <w:rsid w:val="00C108B5"/>
    <w:rsid w:val="00C10B0B"/>
    <w:rsid w:val="00C11738"/>
    <w:rsid w:val="00C12250"/>
    <w:rsid w:val="00C134AF"/>
    <w:rsid w:val="00C13504"/>
    <w:rsid w:val="00C13D32"/>
    <w:rsid w:val="00C13E2A"/>
    <w:rsid w:val="00C14125"/>
    <w:rsid w:val="00C14A70"/>
    <w:rsid w:val="00C14F75"/>
    <w:rsid w:val="00C155C2"/>
    <w:rsid w:val="00C16358"/>
    <w:rsid w:val="00C168FF"/>
    <w:rsid w:val="00C16A15"/>
    <w:rsid w:val="00C16B7E"/>
    <w:rsid w:val="00C17170"/>
    <w:rsid w:val="00C17496"/>
    <w:rsid w:val="00C174E3"/>
    <w:rsid w:val="00C2014A"/>
    <w:rsid w:val="00C201B4"/>
    <w:rsid w:val="00C2028E"/>
    <w:rsid w:val="00C2092B"/>
    <w:rsid w:val="00C20B73"/>
    <w:rsid w:val="00C20FF9"/>
    <w:rsid w:val="00C2132C"/>
    <w:rsid w:val="00C21507"/>
    <w:rsid w:val="00C2162C"/>
    <w:rsid w:val="00C2163F"/>
    <w:rsid w:val="00C216A0"/>
    <w:rsid w:val="00C21940"/>
    <w:rsid w:val="00C21ACE"/>
    <w:rsid w:val="00C2277A"/>
    <w:rsid w:val="00C22D57"/>
    <w:rsid w:val="00C22DF5"/>
    <w:rsid w:val="00C22F54"/>
    <w:rsid w:val="00C230F1"/>
    <w:rsid w:val="00C2336D"/>
    <w:rsid w:val="00C234CA"/>
    <w:rsid w:val="00C241E9"/>
    <w:rsid w:val="00C24260"/>
    <w:rsid w:val="00C246DD"/>
    <w:rsid w:val="00C24711"/>
    <w:rsid w:val="00C248B9"/>
    <w:rsid w:val="00C24A9D"/>
    <w:rsid w:val="00C24AEE"/>
    <w:rsid w:val="00C25C85"/>
    <w:rsid w:val="00C25F6B"/>
    <w:rsid w:val="00C26133"/>
    <w:rsid w:val="00C26883"/>
    <w:rsid w:val="00C26A4D"/>
    <w:rsid w:val="00C26ACE"/>
    <w:rsid w:val="00C26B6D"/>
    <w:rsid w:val="00C279E5"/>
    <w:rsid w:val="00C27BAD"/>
    <w:rsid w:val="00C27DB2"/>
    <w:rsid w:val="00C300FD"/>
    <w:rsid w:val="00C3042E"/>
    <w:rsid w:val="00C30668"/>
    <w:rsid w:val="00C30E2E"/>
    <w:rsid w:val="00C31479"/>
    <w:rsid w:val="00C31609"/>
    <w:rsid w:val="00C31873"/>
    <w:rsid w:val="00C31E13"/>
    <w:rsid w:val="00C32A51"/>
    <w:rsid w:val="00C32BEE"/>
    <w:rsid w:val="00C330EA"/>
    <w:rsid w:val="00C3321A"/>
    <w:rsid w:val="00C3347E"/>
    <w:rsid w:val="00C33767"/>
    <w:rsid w:val="00C33CB6"/>
    <w:rsid w:val="00C33E74"/>
    <w:rsid w:val="00C3434B"/>
    <w:rsid w:val="00C353CF"/>
    <w:rsid w:val="00C3588D"/>
    <w:rsid w:val="00C3592E"/>
    <w:rsid w:val="00C35CD8"/>
    <w:rsid w:val="00C3644F"/>
    <w:rsid w:val="00C3669B"/>
    <w:rsid w:val="00C369B1"/>
    <w:rsid w:val="00C36BA1"/>
    <w:rsid w:val="00C372D0"/>
    <w:rsid w:val="00C37B03"/>
    <w:rsid w:val="00C41413"/>
    <w:rsid w:val="00C4176F"/>
    <w:rsid w:val="00C417F1"/>
    <w:rsid w:val="00C4218F"/>
    <w:rsid w:val="00C4232F"/>
    <w:rsid w:val="00C42CFD"/>
    <w:rsid w:val="00C43068"/>
    <w:rsid w:val="00C4334C"/>
    <w:rsid w:val="00C43573"/>
    <w:rsid w:val="00C435C1"/>
    <w:rsid w:val="00C43633"/>
    <w:rsid w:val="00C439A4"/>
    <w:rsid w:val="00C44283"/>
    <w:rsid w:val="00C445FE"/>
    <w:rsid w:val="00C44877"/>
    <w:rsid w:val="00C45447"/>
    <w:rsid w:val="00C45E09"/>
    <w:rsid w:val="00C46234"/>
    <w:rsid w:val="00C46313"/>
    <w:rsid w:val="00C46A12"/>
    <w:rsid w:val="00C46BFC"/>
    <w:rsid w:val="00C46E76"/>
    <w:rsid w:val="00C47081"/>
    <w:rsid w:val="00C47743"/>
    <w:rsid w:val="00C47CE5"/>
    <w:rsid w:val="00C50AD9"/>
    <w:rsid w:val="00C51F39"/>
    <w:rsid w:val="00C524A1"/>
    <w:rsid w:val="00C52504"/>
    <w:rsid w:val="00C534E0"/>
    <w:rsid w:val="00C53B74"/>
    <w:rsid w:val="00C53C01"/>
    <w:rsid w:val="00C53DB8"/>
    <w:rsid w:val="00C5422A"/>
    <w:rsid w:val="00C54C5D"/>
    <w:rsid w:val="00C55195"/>
    <w:rsid w:val="00C551B8"/>
    <w:rsid w:val="00C554CD"/>
    <w:rsid w:val="00C55530"/>
    <w:rsid w:val="00C5587A"/>
    <w:rsid w:val="00C56239"/>
    <w:rsid w:val="00C563F7"/>
    <w:rsid w:val="00C57164"/>
    <w:rsid w:val="00C57263"/>
    <w:rsid w:val="00C5765C"/>
    <w:rsid w:val="00C57F6E"/>
    <w:rsid w:val="00C60476"/>
    <w:rsid w:val="00C60A6C"/>
    <w:rsid w:val="00C60C2E"/>
    <w:rsid w:val="00C60E2B"/>
    <w:rsid w:val="00C61B35"/>
    <w:rsid w:val="00C61BCA"/>
    <w:rsid w:val="00C6440F"/>
    <w:rsid w:val="00C645ED"/>
    <w:rsid w:val="00C64954"/>
    <w:rsid w:val="00C64CA6"/>
    <w:rsid w:val="00C65177"/>
    <w:rsid w:val="00C65733"/>
    <w:rsid w:val="00C65FC5"/>
    <w:rsid w:val="00C664FD"/>
    <w:rsid w:val="00C66535"/>
    <w:rsid w:val="00C66740"/>
    <w:rsid w:val="00C66B9C"/>
    <w:rsid w:val="00C6735D"/>
    <w:rsid w:val="00C67452"/>
    <w:rsid w:val="00C67B0F"/>
    <w:rsid w:val="00C67C08"/>
    <w:rsid w:val="00C70112"/>
    <w:rsid w:val="00C706D5"/>
    <w:rsid w:val="00C70883"/>
    <w:rsid w:val="00C70B0C"/>
    <w:rsid w:val="00C70FFB"/>
    <w:rsid w:val="00C7131E"/>
    <w:rsid w:val="00C71D89"/>
    <w:rsid w:val="00C7213F"/>
    <w:rsid w:val="00C723B1"/>
    <w:rsid w:val="00C729DA"/>
    <w:rsid w:val="00C73AF7"/>
    <w:rsid w:val="00C74389"/>
    <w:rsid w:val="00C743C7"/>
    <w:rsid w:val="00C748BE"/>
    <w:rsid w:val="00C7513E"/>
    <w:rsid w:val="00C7542D"/>
    <w:rsid w:val="00C75CA0"/>
    <w:rsid w:val="00C75FDA"/>
    <w:rsid w:val="00C761E0"/>
    <w:rsid w:val="00C77145"/>
    <w:rsid w:val="00C77426"/>
    <w:rsid w:val="00C778C7"/>
    <w:rsid w:val="00C77DB0"/>
    <w:rsid w:val="00C77FBE"/>
    <w:rsid w:val="00C8057D"/>
    <w:rsid w:val="00C811D3"/>
    <w:rsid w:val="00C82606"/>
    <w:rsid w:val="00C82BE9"/>
    <w:rsid w:val="00C83A45"/>
    <w:rsid w:val="00C83CCD"/>
    <w:rsid w:val="00C84187"/>
    <w:rsid w:val="00C84CF7"/>
    <w:rsid w:val="00C84D9C"/>
    <w:rsid w:val="00C84F9D"/>
    <w:rsid w:val="00C8557F"/>
    <w:rsid w:val="00C865B4"/>
    <w:rsid w:val="00C865B8"/>
    <w:rsid w:val="00C86680"/>
    <w:rsid w:val="00C86704"/>
    <w:rsid w:val="00C86C4E"/>
    <w:rsid w:val="00C86D0C"/>
    <w:rsid w:val="00C87282"/>
    <w:rsid w:val="00C8759E"/>
    <w:rsid w:val="00C87AF7"/>
    <w:rsid w:val="00C90A04"/>
    <w:rsid w:val="00C913D8"/>
    <w:rsid w:val="00C9140C"/>
    <w:rsid w:val="00C9157C"/>
    <w:rsid w:val="00C9176A"/>
    <w:rsid w:val="00C91C09"/>
    <w:rsid w:val="00C91C19"/>
    <w:rsid w:val="00C91E7B"/>
    <w:rsid w:val="00C92056"/>
    <w:rsid w:val="00C92451"/>
    <w:rsid w:val="00C92A10"/>
    <w:rsid w:val="00C92CAE"/>
    <w:rsid w:val="00C944B6"/>
    <w:rsid w:val="00C94AA5"/>
    <w:rsid w:val="00C94FD1"/>
    <w:rsid w:val="00C95219"/>
    <w:rsid w:val="00C9536C"/>
    <w:rsid w:val="00C953C8"/>
    <w:rsid w:val="00C954A3"/>
    <w:rsid w:val="00C956C7"/>
    <w:rsid w:val="00C9578F"/>
    <w:rsid w:val="00C957F5"/>
    <w:rsid w:val="00C95CDC"/>
    <w:rsid w:val="00C9607C"/>
    <w:rsid w:val="00C96AC2"/>
    <w:rsid w:val="00C971D2"/>
    <w:rsid w:val="00C97316"/>
    <w:rsid w:val="00C978ED"/>
    <w:rsid w:val="00C97DA3"/>
    <w:rsid w:val="00C97DAE"/>
    <w:rsid w:val="00C97F8F"/>
    <w:rsid w:val="00CA0A9F"/>
    <w:rsid w:val="00CA0C92"/>
    <w:rsid w:val="00CA0F3B"/>
    <w:rsid w:val="00CA149D"/>
    <w:rsid w:val="00CA1D04"/>
    <w:rsid w:val="00CA209D"/>
    <w:rsid w:val="00CA211A"/>
    <w:rsid w:val="00CA2D15"/>
    <w:rsid w:val="00CA3612"/>
    <w:rsid w:val="00CA374A"/>
    <w:rsid w:val="00CA3862"/>
    <w:rsid w:val="00CA3C7F"/>
    <w:rsid w:val="00CA3EE6"/>
    <w:rsid w:val="00CA40C5"/>
    <w:rsid w:val="00CA4316"/>
    <w:rsid w:val="00CA43E0"/>
    <w:rsid w:val="00CA465B"/>
    <w:rsid w:val="00CA4805"/>
    <w:rsid w:val="00CA5D1B"/>
    <w:rsid w:val="00CA5F6B"/>
    <w:rsid w:val="00CA67C3"/>
    <w:rsid w:val="00CA6EB4"/>
    <w:rsid w:val="00CA7552"/>
    <w:rsid w:val="00CA76DF"/>
    <w:rsid w:val="00CA7F11"/>
    <w:rsid w:val="00CB00A4"/>
    <w:rsid w:val="00CB0966"/>
    <w:rsid w:val="00CB0B96"/>
    <w:rsid w:val="00CB0CEB"/>
    <w:rsid w:val="00CB161C"/>
    <w:rsid w:val="00CB191D"/>
    <w:rsid w:val="00CB2230"/>
    <w:rsid w:val="00CB308E"/>
    <w:rsid w:val="00CB3281"/>
    <w:rsid w:val="00CB36E0"/>
    <w:rsid w:val="00CB3FB6"/>
    <w:rsid w:val="00CB4C9A"/>
    <w:rsid w:val="00CB64C6"/>
    <w:rsid w:val="00CB6C27"/>
    <w:rsid w:val="00CB6F04"/>
    <w:rsid w:val="00CB7352"/>
    <w:rsid w:val="00CB7507"/>
    <w:rsid w:val="00CB75E6"/>
    <w:rsid w:val="00CB77B8"/>
    <w:rsid w:val="00CB789F"/>
    <w:rsid w:val="00CC019D"/>
    <w:rsid w:val="00CC0455"/>
    <w:rsid w:val="00CC083E"/>
    <w:rsid w:val="00CC193F"/>
    <w:rsid w:val="00CC1970"/>
    <w:rsid w:val="00CC1AF7"/>
    <w:rsid w:val="00CC1F0F"/>
    <w:rsid w:val="00CC2111"/>
    <w:rsid w:val="00CC28E3"/>
    <w:rsid w:val="00CC2AA9"/>
    <w:rsid w:val="00CC329F"/>
    <w:rsid w:val="00CC34A6"/>
    <w:rsid w:val="00CC3C23"/>
    <w:rsid w:val="00CC4698"/>
    <w:rsid w:val="00CC475E"/>
    <w:rsid w:val="00CC4B59"/>
    <w:rsid w:val="00CC4FCB"/>
    <w:rsid w:val="00CC6013"/>
    <w:rsid w:val="00CC6339"/>
    <w:rsid w:val="00CC7306"/>
    <w:rsid w:val="00CC739D"/>
    <w:rsid w:val="00CC7B02"/>
    <w:rsid w:val="00CD00C5"/>
    <w:rsid w:val="00CD06B5"/>
    <w:rsid w:val="00CD0800"/>
    <w:rsid w:val="00CD0B9C"/>
    <w:rsid w:val="00CD1619"/>
    <w:rsid w:val="00CD1975"/>
    <w:rsid w:val="00CD1C7C"/>
    <w:rsid w:val="00CD204F"/>
    <w:rsid w:val="00CD2411"/>
    <w:rsid w:val="00CD2C35"/>
    <w:rsid w:val="00CD32BB"/>
    <w:rsid w:val="00CD331C"/>
    <w:rsid w:val="00CD353E"/>
    <w:rsid w:val="00CD420E"/>
    <w:rsid w:val="00CD51C2"/>
    <w:rsid w:val="00CD5243"/>
    <w:rsid w:val="00CD576B"/>
    <w:rsid w:val="00CD5AF7"/>
    <w:rsid w:val="00CD5D30"/>
    <w:rsid w:val="00CD625E"/>
    <w:rsid w:val="00CD67DA"/>
    <w:rsid w:val="00CD67E1"/>
    <w:rsid w:val="00CD6912"/>
    <w:rsid w:val="00CD70DA"/>
    <w:rsid w:val="00CD710F"/>
    <w:rsid w:val="00CD7302"/>
    <w:rsid w:val="00CD74AA"/>
    <w:rsid w:val="00CD7534"/>
    <w:rsid w:val="00CD75B7"/>
    <w:rsid w:val="00CD75E3"/>
    <w:rsid w:val="00CD7C52"/>
    <w:rsid w:val="00CD7DAA"/>
    <w:rsid w:val="00CE05C3"/>
    <w:rsid w:val="00CE0D0A"/>
    <w:rsid w:val="00CE0F28"/>
    <w:rsid w:val="00CE1614"/>
    <w:rsid w:val="00CE1BD9"/>
    <w:rsid w:val="00CE23AC"/>
    <w:rsid w:val="00CE2B27"/>
    <w:rsid w:val="00CE2BA5"/>
    <w:rsid w:val="00CE2D97"/>
    <w:rsid w:val="00CE2F85"/>
    <w:rsid w:val="00CE3F5E"/>
    <w:rsid w:val="00CE4205"/>
    <w:rsid w:val="00CE462E"/>
    <w:rsid w:val="00CE5016"/>
    <w:rsid w:val="00CE5639"/>
    <w:rsid w:val="00CE5809"/>
    <w:rsid w:val="00CE5C36"/>
    <w:rsid w:val="00CE5CD3"/>
    <w:rsid w:val="00CE6AA0"/>
    <w:rsid w:val="00CE74F3"/>
    <w:rsid w:val="00CE76A6"/>
    <w:rsid w:val="00CE7D93"/>
    <w:rsid w:val="00CE7DB4"/>
    <w:rsid w:val="00CE7F1D"/>
    <w:rsid w:val="00CE7F85"/>
    <w:rsid w:val="00CF045E"/>
    <w:rsid w:val="00CF079C"/>
    <w:rsid w:val="00CF0A49"/>
    <w:rsid w:val="00CF0CD6"/>
    <w:rsid w:val="00CF0D0A"/>
    <w:rsid w:val="00CF101B"/>
    <w:rsid w:val="00CF12A0"/>
    <w:rsid w:val="00CF2577"/>
    <w:rsid w:val="00CF2655"/>
    <w:rsid w:val="00CF277C"/>
    <w:rsid w:val="00CF2818"/>
    <w:rsid w:val="00CF2993"/>
    <w:rsid w:val="00CF2C14"/>
    <w:rsid w:val="00CF3644"/>
    <w:rsid w:val="00CF41C9"/>
    <w:rsid w:val="00CF42BA"/>
    <w:rsid w:val="00CF46A2"/>
    <w:rsid w:val="00CF4C8E"/>
    <w:rsid w:val="00CF5117"/>
    <w:rsid w:val="00CF5557"/>
    <w:rsid w:val="00CF57C1"/>
    <w:rsid w:val="00CF6A2F"/>
    <w:rsid w:val="00CF6BCF"/>
    <w:rsid w:val="00CF7640"/>
    <w:rsid w:val="00CF77A0"/>
    <w:rsid w:val="00CF7EA4"/>
    <w:rsid w:val="00D0013E"/>
    <w:rsid w:val="00D00917"/>
    <w:rsid w:val="00D00B24"/>
    <w:rsid w:val="00D00C69"/>
    <w:rsid w:val="00D011B3"/>
    <w:rsid w:val="00D011F7"/>
    <w:rsid w:val="00D01B1C"/>
    <w:rsid w:val="00D021B3"/>
    <w:rsid w:val="00D02379"/>
    <w:rsid w:val="00D02409"/>
    <w:rsid w:val="00D02880"/>
    <w:rsid w:val="00D03885"/>
    <w:rsid w:val="00D047CE"/>
    <w:rsid w:val="00D0489A"/>
    <w:rsid w:val="00D04A17"/>
    <w:rsid w:val="00D0535F"/>
    <w:rsid w:val="00D05673"/>
    <w:rsid w:val="00D057E2"/>
    <w:rsid w:val="00D060EC"/>
    <w:rsid w:val="00D0651D"/>
    <w:rsid w:val="00D06862"/>
    <w:rsid w:val="00D074ED"/>
    <w:rsid w:val="00D076F9"/>
    <w:rsid w:val="00D079F7"/>
    <w:rsid w:val="00D07CFF"/>
    <w:rsid w:val="00D1025E"/>
    <w:rsid w:val="00D1033C"/>
    <w:rsid w:val="00D1043B"/>
    <w:rsid w:val="00D10A4F"/>
    <w:rsid w:val="00D11218"/>
    <w:rsid w:val="00D116D5"/>
    <w:rsid w:val="00D1177C"/>
    <w:rsid w:val="00D119E4"/>
    <w:rsid w:val="00D120E3"/>
    <w:rsid w:val="00D12A45"/>
    <w:rsid w:val="00D12B75"/>
    <w:rsid w:val="00D13106"/>
    <w:rsid w:val="00D1420B"/>
    <w:rsid w:val="00D142C6"/>
    <w:rsid w:val="00D14333"/>
    <w:rsid w:val="00D149C8"/>
    <w:rsid w:val="00D15B26"/>
    <w:rsid w:val="00D15EDB"/>
    <w:rsid w:val="00D1667C"/>
    <w:rsid w:val="00D16F9F"/>
    <w:rsid w:val="00D170D0"/>
    <w:rsid w:val="00D17138"/>
    <w:rsid w:val="00D1717E"/>
    <w:rsid w:val="00D173A0"/>
    <w:rsid w:val="00D17E77"/>
    <w:rsid w:val="00D17E7B"/>
    <w:rsid w:val="00D17FD9"/>
    <w:rsid w:val="00D20237"/>
    <w:rsid w:val="00D2057A"/>
    <w:rsid w:val="00D210C5"/>
    <w:rsid w:val="00D2114D"/>
    <w:rsid w:val="00D2223C"/>
    <w:rsid w:val="00D22565"/>
    <w:rsid w:val="00D230C2"/>
    <w:rsid w:val="00D2331C"/>
    <w:rsid w:val="00D23975"/>
    <w:rsid w:val="00D23AEB"/>
    <w:rsid w:val="00D23ECA"/>
    <w:rsid w:val="00D24532"/>
    <w:rsid w:val="00D2473A"/>
    <w:rsid w:val="00D24E7C"/>
    <w:rsid w:val="00D255A0"/>
    <w:rsid w:val="00D25872"/>
    <w:rsid w:val="00D25BEA"/>
    <w:rsid w:val="00D25F1E"/>
    <w:rsid w:val="00D26056"/>
    <w:rsid w:val="00D2671D"/>
    <w:rsid w:val="00D26741"/>
    <w:rsid w:val="00D26AD9"/>
    <w:rsid w:val="00D26BDE"/>
    <w:rsid w:val="00D270CB"/>
    <w:rsid w:val="00D3018B"/>
    <w:rsid w:val="00D3027D"/>
    <w:rsid w:val="00D302F9"/>
    <w:rsid w:val="00D31266"/>
    <w:rsid w:val="00D31698"/>
    <w:rsid w:val="00D317F9"/>
    <w:rsid w:val="00D319EF"/>
    <w:rsid w:val="00D31B76"/>
    <w:rsid w:val="00D32096"/>
    <w:rsid w:val="00D323E4"/>
    <w:rsid w:val="00D325DF"/>
    <w:rsid w:val="00D334C5"/>
    <w:rsid w:val="00D339F9"/>
    <w:rsid w:val="00D33EC4"/>
    <w:rsid w:val="00D34058"/>
    <w:rsid w:val="00D34276"/>
    <w:rsid w:val="00D353ED"/>
    <w:rsid w:val="00D35415"/>
    <w:rsid w:val="00D356B1"/>
    <w:rsid w:val="00D358B4"/>
    <w:rsid w:val="00D36864"/>
    <w:rsid w:val="00D369E9"/>
    <w:rsid w:val="00D36AEF"/>
    <w:rsid w:val="00D374FA"/>
    <w:rsid w:val="00D40443"/>
    <w:rsid w:val="00D404F8"/>
    <w:rsid w:val="00D40695"/>
    <w:rsid w:val="00D40FE2"/>
    <w:rsid w:val="00D417ED"/>
    <w:rsid w:val="00D419E2"/>
    <w:rsid w:val="00D41B36"/>
    <w:rsid w:val="00D42481"/>
    <w:rsid w:val="00D4280A"/>
    <w:rsid w:val="00D42F2F"/>
    <w:rsid w:val="00D431E6"/>
    <w:rsid w:val="00D433E4"/>
    <w:rsid w:val="00D4353E"/>
    <w:rsid w:val="00D43C4B"/>
    <w:rsid w:val="00D43F31"/>
    <w:rsid w:val="00D44302"/>
    <w:rsid w:val="00D44A6D"/>
    <w:rsid w:val="00D44BA1"/>
    <w:rsid w:val="00D44DB3"/>
    <w:rsid w:val="00D455F8"/>
    <w:rsid w:val="00D457EC"/>
    <w:rsid w:val="00D46194"/>
    <w:rsid w:val="00D46F22"/>
    <w:rsid w:val="00D46FCE"/>
    <w:rsid w:val="00D470FC"/>
    <w:rsid w:val="00D47223"/>
    <w:rsid w:val="00D4754A"/>
    <w:rsid w:val="00D47A4F"/>
    <w:rsid w:val="00D47C62"/>
    <w:rsid w:val="00D47D55"/>
    <w:rsid w:val="00D50394"/>
    <w:rsid w:val="00D50DA5"/>
    <w:rsid w:val="00D50E06"/>
    <w:rsid w:val="00D510C5"/>
    <w:rsid w:val="00D510D8"/>
    <w:rsid w:val="00D5153E"/>
    <w:rsid w:val="00D516BB"/>
    <w:rsid w:val="00D5262A"/>
    <w:rsid w:val="00D53606"/>
    <w:rsid w:val="00D53706"/>
    <w:rsid w:val="00D540B4"/>
    <w:rsid w:val="00D54350"/>
    <w:rsid w:val="00D5466D"/>
    <w:rsid w:val="00D55B9A"/>
    <w:rsid w:val="00D5614A"/>
    <w:rsid w:val="00D5677E"/>
    <w:rsid w:val="00D56EAA"/>
    <w:rsid w:val="00D573E1"/>
    <w:rsid w:val="00D5747B"/>
    <w:rsid w:val="00D57A5F"/>
    <w:rsid w:val="00D57BA2"/>
    <w:rsid w:val="00D57D74"/>
    <w:rsid w:val="00D60500"/>
    <w:rsid w:val="00D607B8"/>
    <w:rsid w:val="00D60AF4"/>
    <w:rsid w:val="00D60DDD"/>
    <w:rsid w:val="00D61658"/>
    <w:rsid w:val="00D61850"/>
    <w:rsid w:val="00D618B2"/>
    <w:rsid w:val="00D61EA4"/>
    <w:rsid w:val="00D61F2F"/>
    <w:rsid w:val="00D621F8"/>
    <w:rsid w:val="00D62B06"/>
    <w:rsid w:val="00D634D0"/>
    <w:rsid w:val="00D63BED"/>
    <w:rsid w:val="00D63F11"/>
    <w:rsid w:val="00D64EEC"/>
    <w:rsid w:val="00D65176"/>
    <w:rsid w:val="00D658AF"/>
    <w:rsid w:val="00D6593F"/>
    <w:rsid w:val="00D659F7"/>
    <w:rsid w:val="00D65AF1"/>
    <w:rsid w:val="00D65FAB"/>
    <w:rsid w:val="00D6622F"/>
    <w:rsid w:val="00D6653E"/>
    <w:rsid w:val="00D66C2E"/>
    <w:rsid w:val="00D66EB1"/>
    <w:rsid w:val="00D7019B"/>
    <w:rsid w:val="00D702C2"/>
    <w:rsid w:val="00D706C1"/>
    <w:rsid w:val="00D708F1"/>
    <w:rsid w:val="00D70FB5"/>
    <w:rsid w:val="00D71145"/>
    <w:rsid w:val="00D71538"/>
    <w:rsid w:val="00D7174A"/>
    <w:rsid w:val="00D719A5"/>
    <w:rsid w:val="00D71A35"/>
    <w:rsid w:val="00D71B76"/>
    <w:rsid w:val="00D71D62"/>
    <w:rsid w:val="00D71E16"/>
    <w:rsid w:val="00D71EE2"/>
    <w:rsid w:val="00D7218A"/>
    <w:rsid w:val="00D733DD"/>
    <w:rsid w:val="00D736B2"/>
    <w:rsid w:val="00D73E33"/>
    <w:rsid w:val="00D7401E"/>
    <w:rsid w:val="00D740D6"/>
    <w:rsid w:val="00D74127"/>
    <w:rsid w:val="00D74447"/>
    <w:rsid w:val="00D748A2"/>
    <w:rsid w:val="00D74EC9"/>
    <w:rsid w:val="00D752CC"/>
    <w:rsid w:val="00D7552A"/>
    <w:rsid w:val="00D75788"/>
    <w:rsid w:val="00D75AAC"/>
    <w:rsid w:val="00D76A19"/>
    <w:rsid w:val="00D77219"/>
    <w:rsid w:val="00D806DA"/>
    <w:rsid w:val="00D811C0"/>
    <w:rsid w:val="00D81343"/>
    <w:rsid w:val="00D81367"/>
    <w:rsid w:val="00D8150B"/>
    <w:rsid w:val="00D8191E"/>
    <w:rsid w:val="00D81969"/>
    <w:rsid w:val="00D81B2B"/>
    <w:rsid w:val="00D82573"/>
    <w:rsid w:val="00D825C7"/>
    <w:rsid w:val="00D82DD9"/>
    <w:rsid w:val="00D8310C"/>
    <w:rsid w:val="00D83442"/>
    <w:rsid w:val="00D83595"/>
    <w:rsid w:val="00D83863"/>
    <w:rsid w:val="00D848A1"/>
    <w:rsid w:val="00D84E67"/>
    <w:rsid w:val="00D85A71"/>
    <w:rsid w:val="00D86048"/>
    <w:rsid w:val="00D86229"/>
    <w:rsid w:val="00D86394"/>
    <w:rsid w:val="00D863CC"/>
    <w:rsid w:val="00D86772"/>
    <w:rsid w:val="00D868A0"/>
    <w:rsid w:val="00D8705A"/>
    <w:rsid w:val="00D87148"/>
    <w:rsid w:val="00D87260"/>
    <w:rsid w:val="00D87DAD"/>
    <w:rsid w:val="00D87DF8"/>
    <w:rsid w:val="00D90604"/>
    <w:rsid w:val="00D90794"/>
    <w:rsid w:val="00D90958"/>
    <w:rsid w:val="00D90A1E"/>
    <w:rsid w:val="00D90E2E"/>
    <w:rsid w:val="00D90EF3"/>
    <w:rsid w:val="00D9127D"/>
    <w:rsid w:val="00D916BD"/>
    <w:rsid w:val="00D91807"/>
    <w:rsid w:val="00D91E33"/>
    <w:rsid w:val="00D9221A"/>
    <w:rsid w:val="00D9226B"/>
    <w:rsid w:val="00D92678"/>
    <w:rsid w:val="00D9375A"/>
    <w:rsid w:val="00D937E7"/>
    <w:rsid w:val="00D93897"/>
    <w:rsid w:val="00D93976"/>
    <w:rsid w:val="00D93D1E"/>
    <w:rsid w:val="00D95ADD"/>
    <w:rsid w:val="00D95DF9"/>
    <w:rsid w:val="00D968DA"/>
    <w:rsid w:val="00D96F05"/>
    <w:rsid w:val="00D974D7"/>
    <w:rsid w:val="00D97963"/>
    <w:rsid w:val="00DA0DEE"/>
    <w:rsid w:val="00DA1555"/>
    <w:rsid w:val="00DA1768"/>
    <w:rsid w:val="00DA1EF9"/>
    <w:rsid w:val="00DA2914"/>
    <w:rsid w:val="00DA2F2F"/>
    <w:rsid w:val="00DA2FA5"/>
    <w:rsid w:val="00DA340B"/>
    <w:rsid w:val="00DA402F"/>
    <w:rsid w:val="00DA4524"/>
    <w:rsid w:val="00DA462A"/>
    <w:rsid w:val="00DA4A51"/>
    <w:rsid w:val="00DA58ED"/>
    <w:rsid w:val="00DA5D97"/>
    <w:rsid w:val="00DA5DB7"/>
    <w:rsid w:val="00DA6240"/>
    <w:rsid w:val="00DA6E59"/>
    <w:rsid w:val="00DA7576"/>
    <w:rsid w:val="00DA786F"/>
    <w:rsid w:val="00DA7A7F"/>
    <w:rsid w:val="00DA7AD9"/>
    <w:rsid w:val="00DB016D"/>
    <w:rsid w:val="00DB1141"/>
    <w:rsid w:val="00DB19C0"/>
    <w:rsid w:val="00DB1F57"/>
    <w:rsid w:val="00DB2011"/>
    <w:rsid w:val="00DB2462"/>
    <w:rsid w:val="00DB24C5"/>
    <w:rsid w:val="00DB2B81"/>
    <w:rsid w:val="00DB315A"/>
    <w:rsid w:val="00DB31C8"/>
    <w:rsid w:val="00DB340B"/>
    <w:rsid w:val="00DB3467"/>
    <w:rsid w:val="00DB3B28"/>
    <w:rsid w:val="00DB3E55"/>
    <w:rsid w:val="00DB4796"/>
    <w:rsid w:val="00DB4883"/>
    <w:rsid w:val="00DB4B86"/>
    <w:rsid w:val="00DB4C29"/>
    <w:rsid w:val="00DB4CD3"/>
    <w:rsid w:val="00DB5440"/>
    <w:rsid w:val="00DB5902"/>
    <w:rsid w:val="00DB5940"/>
    <w:rsid w:val="00DB5C45"/>
    <w:rsid w:val="00DB63C0"/>
    <w:rsid w:val="00DB6421"/>
    <w:rsid w:val="00DB66AA"/>
    <w:rsid w:val="00DB66AF"/>
    <w:rsid w:val="00DB6949"/>
    <w:rsid w:val="00DB6F82"/>
    <w:rsid w:val="00DB71AF"/>
    <w:rsid w:val="00DC013F"/>
    <w:rsid w:val="00DC0386"/>
    <w:rsid w:val="00DC0E06"/>
    <w:rsid w:val="00DC0EAC"/>
    <w:rsid w:val="00DC0F9D"/>
    <w:rsid w:val="00DC1789"/>
    <w:rsid w:val="00DC1CB8"/>
    <w:rsid w:val="00DC20FF"/>
    <w:rsid w:val="00DC25E1"/>
    <w:rsid w:val="00DC2974"/>
    <w:rsid w:val="00DC412B"/>
    <w:rsid w:val="00DC41B7"/>
    <w:rsid w:val="00DC4810"/>
    <w:rsid w:val="00DC5193"/>
    <w:rsid w:val="00DC53C9"/>
    <w:rsid w:val="00DC54EE"/>
    <w:rsid w:val="00DC551A"/>
    <w:rsid w:val="00DC5801"/>
    <w:rsid w:val="00DC584D"/>
    <w:rsid w:val="00DC5A40"/>
    <w:rsid w:val="00DC607B"/>
    <w:rsid w:val="00DC6452"/>
    <w:rsid w:val="00DC6BD8"/>
    <w:rsid w:val="00DC7775"/>
    <w:rsid w:val="00DC786E"/>
    <w:rsid w:val="00DC7E52"/>
    <w:rsid w:val="00DD01AE"/>
    <w:rsid w:val="00DD0811"/>
    <w:rsid w:val="00DD0A1A"/>
    <w:rsid w:val="00DD0BF4"/>
    <w:rsid w:val="00DD0D6F"/>
    <w:rsid w:val="00DD1588"/>
    <w:rsid w:val="00DD184A"/>
    <w:rsid w:val="00DD1FA4"/>
    <w:rsid w:val="00DD2612"/>
    <w:rsid w:val="00DD2AE4"/>
    <w:rsid w:val="00DD36CD"/>
    <w:rsid w:val="00DD438D"/>
    <w:rsid w:val="00DD4BA9"/>
    <w:rsid w:val="00DD5787"/>
    <w:rsid w:val="00DD5CFB"/>
    <w:rsid w:val="00DD5E80"/>
    <w:rsid w:val="00DD60A5"/>
    <w:rsid w:val="00DD6495"/>
    <w:rsid w:val="00DD673F"/>
    <w:rsid w:val="00DD748D"/>
    <w:rsid w:val="00DD78B3"/>
    <w:rsid w:val="00DD7FD8"/>
    <w:rsid w:val="00DE0015"/>
    <w:rsid w:val="00DE01FA"/>
    <w:rsid w:val="00DE041C"/>
    <w:rsid w:val="00DE0CC7"/>
    <w:rsid w:val="00DE0EE1"/>
    <w:rsid w:val="00DE0FBC"/>
    <w:rsid w:val="00DE11AB"/>
    <w:rsid w:val="00DE137B"/>
    <w:rsid w:val="00DE1C16"/>
    <w:rsid w:val="00DE1E86"/>
    <w:rsid w:val="00DE2254"/>
    <w:rsid w:val="00DE2508"/>
    <w:rsid w:val="00DE26CD"/>
    <w:rsid w:val="00DE2F4A"/>
    <w:rsid w:val="00DE3856"/>
    <w:rsid w:val="00DE4085"/>
    <w:rsid w:val="00DE4417"/>
    <w:rsid w:val="00DE49A9"/>
    <w:rsid w:val="00DE5131"/>
    <w:rsid w:val="00DE5229"/>
    <w:rsid w:val="00DE546E"/>
    <w:rsid w:val="00DE6957"/>
    <w:rsid w:val="00DE6EF6"/>
    <w:rsid w:val="00DE6F14"/>
    <w:rsid w:val="00DE6F1E"/>
    <w:rsid w:val="00DE702D"/>
    <w:rsid w:val="00DE7189"/>
    <w:rsid w:val="00DE7DB2"/>
    <w:rsid w:val="00DE7DE5"/>
    <w:rsid w:val="00DF0056"/>
    <w:rsid w:val="00DF02BA"/>
    <w:rsid w:val="00DF08D6"/>
    <w:rsid w:val="00DF0B4C"/>
    <w:rsid w:val="00DF1A41"/>
    <w:rsid w:val="00DF1BC9"/>
    <w:rsid w:val="00DF20CF"/>
    <w:rsid w:val="00DF20D0"/>
    <w:rsid w:val="00DF26EF"/>
    <w:rsid w:val="00DF273C"/>
    <w:rsid w:val="00DF2B03"/>
    <w:rsid w:val="00DF2C91"/>
    <w:rsid w:val="00DF2E4F"/>
    <w:rsid w:val="00DF379A"/>
    <w:rsid w:val="00DF46DE"/>
    <w:rsid w:val="00DF48AD"/>
    <w:rsid w:val="00DF4B4D"/>
    <w:rsid w:val="00DF4E98"/>
    <w:rsid w:val="00DF57C0"/>
    <w:rsid w:val="00DF646F"/>
    <w:rsid w:val="00DF6743"/>
    <w:rsid w:val="00DF687B"/>
    <w:rsid w:val="00DF6916"/>
    <w:rsid w:val="00DF71FB"/>
    <w:rsid w:val="00DF7701"/>
    <w:rsid w:val="00DF79DE"/>
    <w:rsid w:val="00E00060"/>
    <w:rsid w:val="00E004B0"/>
    <w:rsid w:val="00E00505"/>
    <w:rsid w:val="00E006B8"/>
    <w:rsid w:val="00E00B1D"/>
    <w:rsid w:val="00E00C29"/>
    <w:rsid w:val="00E00C6B"/>
    <w:rsid w:val="00E00D4A"/>
    <w:rsid w:val="00E01513"/>
    <w:rsid w:val="00E01672"/>
    <w:rsid w:val="00E01898"/>
    <w:rsid w:val="00E01A71"/>
    <w:rsid w:val="00E01B5E"/>
    <w:rsid w:val="00E02102"/>
    <w:rsid w:val="00E022B1"/>
    <w:rsid w:val="00E028E8"/>
    <w:rsid w:val="00E032AA"/>
    <w:rsid w:val="00E0337F"/>
    <w:rsid w:val="00E039E8"/>
    <w:rsid w:val="00E03E05"/>
    <w:rsid w:val="00E04121"/>
    <w:rsid w:val="00E041C7"/>
    <w:rsid w:val="00E04BDE"/>
    <w:rsid w:val="00E04D2A"/>
    <w:rsid w:val="00E04DD6"/>
    <w:rsid w:val="00E052CE"/>
    <w:rsid w:val="00E05341"/>
    <w:rsid w:val="00E056EE"/>
    <w:rsid w:val="00E05997"/>
    <w:rsid w:val="00E05E6B"/>
    <w:rsid w:val="00E0600F"/>
    <w:rsid w:val="00E06850"/>
    <w:rsid w:val="00E06E2D"/>
    <w:rsid w:val="00E06F82"/>
    <w:rsid w:val="00E07029"/>
    <w:rsid w:val="00E070F3"/>
    <w:rsid w:val="00E105BD"/>
    <w:rsid w:val="00E111F3"/>
    <w:rsid w:val="00E11C1F"/>
    <w:rsid w:val="00E11E30"/>
    <w:rsid w:val="00E12EDA"/>
    <w:rsid w:val="00E12F59"/>
    <w:rsid w:val="00E12F61"/>
    <w:rsid w:val="00E13DF5"/>
    <w:rsid w:val="00E13E80"/>
    <w:rsid w:val="00E13EB2"/>
    <w:rsid w:val="00E14331"/>
    <w:rsid w:val="00E14535"/>
    <w:rsid w:val="00E1487C"/>
    <w:rsid w:val="00E14BAE"/>
    <w:rsid w:val="00E14EA5"/>
    <w:rsid w:val="00E150A0"/>
    <w:rsid w:val="00E1515B"/>
    <w:rsid w:val="00E159DD"/>
    <w:rsid w:val="00E16586"/>
    <w:rsid w:val="00E16AB7"/>
    <w:rsid w:val="00E17478"/>
    <w:rsid w:val="00E17665"/>
    <w:rsid w:val="00E17774"/>
    <w:rsid w:val="00E202FC"/>
    <w:rsid w:val="00E204FC"/>
    <w:rsid w:val="00E205A1"/>
    <w:rsid w:val="00E20BA5"/>
    <w:rsid w:val="00E2153F"/>
    <w:rsid w:val="00E22543"/>
    <w:rsid w:val="00E22709"/>
    <w:rsid w:val="00E22820"/>
    <w:rsid w:val="00E2350C"/>
    <w:rsid w:val="00E23728"/>
    <w:rsid w:val="00E23F0C"/>
    <w:rsid w:val="00E2494D"/>
    <w:rsid w:val="00E24DD4"/>
    <w:rsid w:val="00E250CA"/>
    <w:rsid w:val="00E251B1"/>
    <w:rsid w:val="00E258B9"/>
    <w:rsid w:val="00E25C29"/>
    <w:rsid w:val="00E26006"/>
    <w:rsid w:val="00E26164"/>
    <w:rsid w:val="00E268EB"/>
    <w:rsid w:val="00E26E16"/>
    <w:rsid w:val="00E26F91"/>
    <w:rsid w:val="00E27208"/>
    <w:rsid w:val="00E2773C"/>
    <w:rsid w:val="00E301D9"/>
    <w:rsid w:val="00E30563"/>
    <w:rsid w:val="00E307D1"/>
    <w:rsid w:val="00E3087D"/>
    <w:rsid w:val="00E30951"/>
    <w:rsid w:val="00E3125A"/>
    <w:rsid w:val="00E31BD6"/>
    <w:rsid w:val="00E31E9A"/>
    <w:rsid w:val="00E32713"/>
    <w:rsid w:val="00E328AB"/>
    <w:rsid w:val="00E32B99"/>
    <w:rsid w:val="00E33215"/>
    <w:rsid w:val="00E33A43"/>
    <w:rsid w:val="00E33BEB"/>
    <w:rsid w:val="00E34025"/>
    <w:rsid w:val="00E340F8"/>
    <w:rsid w:val="00E34B28"/>
    <w:rsid w:val="00E34CB6"/>
    <w:rsid w:val="00E34D2D"/>
    <w:rsid w:val="00E35C49"/>
    <w:rsid w:val="00E35D38"/>
    <w:rsid w:val="00E35E65"/>
    <w:rsid w:val="00E36DEB"/>
    <w:rsid w:val="00E37012"/>
    <w:rsid w:val="00E37299"/>
    <w:rsid w:val="00E372A6"/>
    <w:rsid w:val="00E373CB"/>
    <w:rsid w:val="00E37919"/>
    <w:rsid w:val="00E37D6E"/>
    <w:rsid w:val="00E40941"/>
    <w:rsid w:val="00E40E02"/>
    <w:rsid w:val="00E4152E"/>
    <w:rsid w:val="00E41BFA"/>
    <w:rsid w:val="00E41E6E"/>
    <w:rsid w:val="00E41EC5"/>
    <w:rsid w:val="00E43554"/>
    <w:rsid w:val="00E4373D"/>
    <w:rsid w:val="00E438F9"/>
    <w:rsid w:val="00E44713"/>
    <w:rsid w:val="00E448D4"/>
    <w:rsid w:val="00E44C3B"/>
    <w:rsid w:val="00E44EAA"/>
    <w:rsid w:val="00E44F39"/>
    <w:rsid w:val="00E45149"/>
    <w:rsid w:val="00E454C1"/>
    <w:rsid w:val="00E454F0"/>
    <w:rsid w:val="00E456D8"/>
    <w:rsid w:val="00E45C02"/>
    <w:rsid w:val="00E46005"/>
    <w:rsid w:val="00E46468"/>
    <w:rsid w:val="00E464FE"/>
    <w:rsid w:val="00E46721"/>
    <w:rsid w:val="00E46926"/>
    <w:rsid w:val="00E46D78"/>
    <w:rsid w:val="00E46E83"/>
    <w:rsid w:val="00E46F66"/>
    <w:rsid w:val="00E471E2"/>
    <w:rsid w:val="00E472A4"/>
    <w:rsid w:val="00E47FAE"/>
    <w:rsid w:val="00E50443"/>
    <w:rsid w:val="00E509DA"/>
    <w:rsid w:val="00E50CCC"/>
    <w:rsid w:val="00E50F75"/>
    <w:rsid w:val="00E51817"/>
    <w:rsid w:val="00E5186F"/>
    <w:rsid w:val="00E518DF"/>
    <w:rsid w:val="00E519A3"/>
    <w:rsid w:val="00E51B46"/>
    <w:rsid w:val="00E51F11"/>
    <w:rsid w:val="00E5201E"/>
    <w:rsid w:val="00E5219A"/>
    <w:rsid w:val="00E53396"/>
    <w:rsid w:val="00E53403"/>
    <w:rsid w:val="00E535BB"/>
    <w:rsid w:val="00E536D4"/>
    <w:rsid w:val="00E53780"/>
    <w:rsid w:val="00E5395B"/>
    <w:rsid w:val="00E53F6F"/>
    <w:rsid w:val="00E53F7F"/>
    <w:rsid w:val="00E541A7"/>
    <w:rsid w:val="00E54918"/>
    <w:rsid w:val="00E54958"/>
    <w:rsid w:val="00E54DDD"/>
    <w:rsid w:val="00E54F7B"/>
    <w:rsid w:val="00E55076"/>
    <w:rsid w:val="00E553E9"/>
    <w:rsid w:val="00E55403"/>
    <w:rsid w:val="00E55B67"/>
    <w:rsid w:val="00E55D04"/>
    <w:rsid w:val="00E5609A"/>
    <w:rsid w:val="00E56235"/>
    <w:rsid w:val="00E56B1D"/>
    <w:rsid w:val="00E56DC4"/>
    <w:rsid w:val="00E56FDD"/>
    <w:rsid w:val="00E57435"/>
    <w:rsid w:val="00E575C9"/>
    <w:rsid w:val="00E57681"/>
    <w:rsid w:val="00E57952"/>
    <w:rsid w:val="00E57990"/>
    <w:rsid w:val="00E579A7"/>
    <w:rsid w:val="00E57A46"/>
    <w:rsid w:val="00E57A81"/>
    <w:rsid w:val="00E6021C"/>
    <w:rsid w:val="00E6044B"/>
    <w:rsid w:val="00E60B27"/>
    <w:rsid w:val="00E60D2A"/>
    <w:rsid w:val="00E60DCD"/>
    <w:rsid w:val="00E610FE"/>
    <w:rsid w:val="00E61207"/>
    <w:rsid w:val="00E61237"/>
    <w:rsid w:val="00E61567"/>
    <w:rsid w:val="00E61CB1"/>
    <w:rsid w:val="00E6248F"/>
    <w:rsid w:val="00E62CB0"/>
    <w:rsid w:val="00E62F0D"/>
    <w:rsid w:val="00E630E1"/>
    <w:rsid w:val="00E631A0"/>
    <w:rsid w:val="00E63440"/>
    <w:rsid w:val="00E63D9A"/>
    <w:rsid w:val="00E63DBB"/>
    <w:rsid w:val="00E644AF"/>
    <w:rsid w:val="00E645C7"/>
    <w:rsid w:val="00E64D06"/>
    <w:rsid w:val="00E6515B"/>
    <w:rsid w:val="00E6515D"/>
    <w:rsid w:val="00E6552B"/>
    <w:rsid w:val="00E65D1A"/>
    <w:rsid w:val="00E6682D"/>
    <w:rsid w:val="00E66B62"/>
    <w:rsid w:val="00E66EC4"/>
    <w:rsid w:val="00E67509"/>
    <w:rsid w:val="00E67697"/>
    <w:rsid w:val="00E6792E"/>
    <w:rsid w:val="00E70079"/>
    <w:rsid w:val="00E7013F"/>
    <w:rsid w:val="00E704C0"/>
    <w:rsid w:val="00E70A2E"/>
    <w:rsid w:val="00E70C8F"/>
    <w:rsid w:val="00E717C1"/>
    <w:rsid w:val="00E71DBB"/>
    <w:rsid w:val="00E71F87"/>
    <w:rsid w:val="00E7367A"/>
    <w:rsid w:val="00E73985"/>
    <w:rsid w:val="00E73E69"/>
    <w:rsid w:val="00E7407D"/>
    <w:rsid w:val="00E740FC"/>
    <w:rsid w:val="00E74275"/>
    <w:rsid w:val="00E74A5A"/>
    <w:rsid w:val="00E75373"/>
    <w:rsid w:val="00E754A2"/>
    <w:rsid w:val="00E75BE8"/>
    <w:rsid w:val="00E75D02"/>
    <w:rsid w:val="00E7689B"/>
    <w:rsid w:val="00E76DC5"/>
    <w:rsid w:val="00E76EF0"/>
    <w:rsid w:val="00E806DE"/>
    <w:rsid w:val="00E80CDA"/>
    <w:rsid w:val="00E81134"/>
    <w:rsid w:val="00E813D6"/>
    <w:rsid w:val="00E8179D"/>
    <w:rsid w:val="00E8181A"/>
    <w:rsid w:val="00E82163"/>
    <w:rsid w:val="00E821FD"/>
    <w:rsid w:val="00E82572"/>
    <w:rsid w:val="00E8294C"/>
    <w:rsid w:val="00E837F1"/>
    <w:rsid w:val="00E83861"/>
    <w:rsid w:val="00E83AA0"/>
    <w:rsid w:val="00E83BA2"/>
    <w:rsid w:val="00E83D9F"/>
    <w:rsid w:val="00E84660"/>
    <w:rsid w:val="00E85160"/>
    <w:rsid w:val="00E85BE8"/>
    <w:rsid w:val="00E8614F"/>
    <w:rsid w:val="00E86251"/>
    <w:rsid w:val="00E864B3"/>
    <w:rsid w:val="00E86B26"/>
    <w:rsid w:val="00E86E5F"/>
    <w:rsid w:val="00E871E2"/>
    <w:rsid w:val="00E8731C"/>
    <w:rsid w:val="00E87803"/>
    <w:rsid w:val="00E87CCF"/>
    <w:rsid w:val="00E900E2"/>
    <w:rsid w:val="00E907D1"/>
    <w:rsid w:val="00E90D40"/>
    <w:rsid w:val="00E90F3A"/>
    <w:rsid w:val="00E911C9"/>
    <w:rsid w:val="00E914EE"/>
    <w:rsid w:val="00E9195A"/>
    <w:rsid w:val="00E91E47"/>
    <w:rsid w:val="00E92308"/>
    <w:rsid w:val="00E928D4"/>
    <w:rsid w:val="00E92956"/>
    <w:rsid w:val="00E92F5A"/>
    <w:rsid w:val="00E93582"/>
    <w:rsid w:val="00E937A6"/>
    <w:rsid w:val="00E93E00"/>
    <w:rsid w:val="00E944FD"/>
    <w:rsid w:val="00E945C4"/>
    <w:rsid w:val="00E945F1"/>
    <w:rsid w:val="00E95081"/>
    <w:rsid w:val="00E95642"/>
    <w:rsid w:val="00E959F4"/>
    <w:rsid w:val="00E95CAC"/>
    <w:rsid w:val="00E96E82"/>
    <w:rsid w:val="00E97888"/>
    <w:rsid w:val="00E97ACD"/>
    <w:rsid w:val="00E97DA4"/>
    <w:rsid w:val="00EA05C7"/>
    <w:rsid w:val="00EA1275"/>
    <w:rsid w:val="00EA144C"/>
    <w:rsid w:val="00EA1A0A"/>
    <w:rsid w:val="00EA1A51"/>
    <w:rsid w:val="00EA1A81"/>
    <w:rsid w:val="00EA1EB8"/>
    <w:rsid w:val="00EA23A6"/>
    <w:rsid w:val="00EA258F"/>
    <w:rsid w:val="00EA310A"/>
    <w:rsid w:val="00EA3490"/>
    <w:rsid w:val="00EA34F5"/>
    <w:rsid w:val="00EA37C4"/>
    <w:rsid w:val="00EA4DAF"/>
    <w:rsid w:val="00EA4E24"/>
    <w:rsid w:val="00EA51F7"/>
    <w:rsid w:val="00EA56FC"/>
    <w:rsid w:val="00EA5A8E"/>
    <w:rsid w:val="00EA5C39"/>
    <w:rsid w:val="00EA6494"/>
    <w:rsid w:val="00EA6AD1"/>
    <w:rsid w:val="00EA6C47"/>
    <w:rsid w:val="00EA6C95"/>
    <w:rsid w:val="00EA727C"/>
    <w:rsid w:val="00EA77EA"/>
    <w:rsid w:val="00EA7D3F"/>
    <w:rsid w:val="00EB0096"/>
    <w:rsid w:val="00EB04EA"/>
    <w:rsid w:val="00EB052F"/>
    <w:rsid w:val="00EB0DEA"/>
    <w:rsid w:val="00EB142E"/>
    <w:rsid w:val="00EB1545"/>
    <w:rsid w:val="00EB16DB"/>
    <w:rsid w:val="00EB180D"/>
    <w:rsid w:val="00EB1A57"/>
    <w:rsid w:val="00EB1CED"/>
    <w:rsid w:val="00EB20B9"/>
    <w:rsid w:val="00EB2862"/>
    <w:rsid w:val="00EB3115"/>
    <w:rsid w:val="00EB3545"/>
    <w:rsid w:val="00EB3701"/>
    <w:rsid w:val="00EB38FE"/>
    <w:rsid w:val="00EB3BA2"/>
    <w:rsid w:val="00EB4256"/>
    <w:rsid w:val="00EB46F6"/>
    <w:rsid w:val="00EB4821"/>
    <w:rsid w:val="00EB4B2C"/>
    <w:rsid w:val="00EB4E3F"/>
    <w:rsid w:val="00EB52C9"/>
    <w:rsid w:val="00EB5F19"/>
    <w:rsid w:val="00EB6355"/>
    <w:rsid w:val="00EB707D"/>
    <w:rsid w:val="00EB76E3"/>
    <w:rsid w:val="00EB76F6"/>
    <w:rsid w:val="00EB79D1"/>
    <w:rsid w:val="00EB7BF0"/>
    <w:rsid w:val="00EB7D28"/>
    <w:rsid w:val="00EC001D"/>
    <w:rsid w:val="00EC0170"/>
    <w:rsid w:val="00EC0687"/>
    <w:rsid w:val="00EC0A31"/>
    <w:rsid w:val="00EC0A40"/>
    <w:rsid w:val="00EC0B39"/>
    <w:rsid w:val="00EC0D8D"/>
    <w:rsid w:val="00EC1562"/>
    <w:rsid w:val="00EC18B3"/>
    <w:rsid w:val="00EC1970"/>
    <w:rsid w:val="00EC1CC4"/>
    <w:rsid w:val="00EC204C"/>
    <w:rsid w:val="00EC206D"/>
    <w:rsid w:val="00EC25B3"/>
    <w:rsid w:val="00EC25F2"/>
    <w:rsid w:val="00EC286F"/>
    <w:rsid w:val="00EC2D75"/>
    <w:rsid w:val="00EC32CD"/>
    <w:rsid w:val="00EC340D"/>
    <w:rsid w:val="00EC3750"/>
    <w:rsid w:val="00EC381C"/>
    <w:rsid w:val="00EC39B4"/>
    <w:rsid w:val="00EC3E13"/>
    <w:rsid w:val="00EC43AC"/>
    <w:rsid w:val="00EC47B8"/>
    <w:rsid w:val="00EC4B8E"/>
    <w:rsid w:val="00EC4BFF"/>
    <w:rsid w:val="00EC4EE7"/>
    <w:rsid w:val="00EC4FAD"/>
    <w:rsid w:val="00EC54B8"/>
    <w:rsid w:val="00EC5683"/>
    <w:rsid w:val="00EC5D6B"/>
    <w:rsid w:val="00EC61E4"/>
    <w:rsid w:val="00EC6309"/>
    <w:rsid w:val="00EC65FB"/>
    <w:rsid w:val="00EC7636"/>
    <w:rsid w:val="00EC7F23"/>
    <w:rsid w:val="00EC7FE7"/>
    <w:rsid w:val="00ED0060"/>
    <w:rsid w:val="00ED13C5"/>
    <w:rsid w:val="00ED14BF"/>
    <w:rsid w:val="00ED18AE"/>
    <w:rsid w:val="00ED218B"/>
    <w:rsid w:val="00ED26D7"/>
    <w:rsid w:val="00ED32D1"/>
    <w:rsid w:val="00ED378D"/>
    <w:rsid w:val="00ED3F85"/>
    <w:rsid w:val="00ED4192"/>
    <w:rsid w:val="00ED445E"/>
    <w:rsid w:val="00ED45E2"/>
    <w:rsid w:val="00ED46F1"/>
    <w:rsid w:val="00ED51F7"/>
    <w:rsid w:val="00ED5A07"/>
    <w:rsid w:val="00ED5C16"/>
    <w:rsid w:val="00ED6986"/>
    <w:rsid w:val="00ED6A7C"/>
    <w:rsid w:val="00ED6BD5"/>
    <w:rsid w:val="00ED6C9B"/>
    <w:rsid w:val="00ED71DA"/>
    <w:rsid w:val="00ED7278"/>
    <w:rsid w:val="00EE00C3"/>
    <w:rsid w:val="00EE0426"/>
    <w:rsid w:val="00EE05AD"/>
    <w:rsid w:val="00EE0EDE"/>
    <w:rsid w:val="00EE0F0D"/>
    <w:rsid w:val="00EE15A6"/>
    <w:rsid w:val="00EE1635"/>
    <w:rsid w:val="00EE1C33"/>
    <w:rsid w:val="00EE2C46"/>
    <w:rsid w:val="00EE3075"/>
    <w:rsid w:val="00EE318B"/>
    <w:rsid w:val="00EE325B"/>
    <w:rsid w:val="00EE41CA"/>
    <w:rsid w:val="00EE42FB"/>
    <w:rsid w:val="00EE439E"/>
    <w:rsid w:val="00EE4776"/>
    <w:rsid w:val="00EE4D02"/>
    <w:rsid w:val="00EE521F"/>
    <w:rsid w:val="00EE591A"/>
    <w:rsid w:val="00EE5CA2"/>
    <w:rsid w:val="00EE5DCE"/>
    <w:rsid w:val="00EE5EBE"/>
    <w:rsid w:val="00EE5F06"/>
    <w:rsid w:val="00EE643F"/>
    <w:rsid w:val="00EE69E3"/>
    <w:rsid w:val="00EE6BDB"/>
    <w:rsid w:val="00EE7098"/>
    <w:rsid w:val="00EE7B8B"/>
    <w:rsid w:val="00EE7F80"/>
    <w:rsid w:val="00EF0553"/>
    <w:rsid w:val="00EF09ED"/>
    <w:rsid w:val="00EF0CEE"/>
    <w:rsid w:val="00EF0F2F"/>
    <w:rsid w:val="00EF11AF"/>
    <w:rsid w:val="00EF176E"/>
    <w:rsid w:val="00EF18DD"/>
    <w:rsid w:val="00EF2098"/>
    <w:rsid w:val="00EF272F"/>
    <w:rsid w:val="00EF2CD7"/>
    <w:rsid w:val="00EF3207"/>
    <w:rsid w:val="00EF35CD"/>
    <w:rsid w:val="00EF38FA"/>
    <w:rsid w:val="00EF44A7"/>
    <w:rsid w:val="00EF467A"/>
    <w:rsid w:val="00EF4688"/>
    <w:rsid w:val="00EF4F87"/>
    <w:rsid w:val="00EF5946"/>
    <w:rsid w:val="00EF6383"/>
    <w:rsid w:val="00EF6687"/>
    <w:rsid w:val="00EF6D86"/>
    <w:rsid w:val="00EF74CE"/>
    <w:rsid w:val="00EF776A"/>
    <w:rsid w:val="00EF7B21"/>
    <w:rsid w:val="00F002BD"/>
    <w:rsid w:val="00F0065C"/>
    <w:rsid w:val="00F006D1"/>
    <w:rsid w:val="00F006FA"/>
    <w:rsid w:val="00F0073E"/>
    <w:rsid w:val="00F009AB"/>
    <w:rsid w:val="00F01499"/>
    <w:rsid w:val="00F017D6"/>
    <w:rsid w:val="00F01A73"/>
    <w:rsid w:val="00F021B8"/>
    <w:rsid w:val="00F03160"/>
    <w:rsid w:val="00F03952"/>
    <w:rsid w:val="00F03CC4"/>
    <w:rsid w:val="00F03E9F"/>
    <w:rsid w:val="00F03F83"/>
    <w:rsid w:val="00F04970"/>
    <w:rsid w:val="00F049D2"/>
    <w:rsid w:val="00F04B04"/>
    <w:rsid w:val="00F04F38"/>
    <w:rsid w:val="00F0552D"/>
    <w:rsid w:val="00F059E7"/>
    <w:rsid w:val="00F05B3C"/>
    <w:rsid w:val="00F05FD6"/>
    <w:rsid w:val="00F0661C"/>
    <w:rsid w:val="00F07044"/>
    <w:rsid w:val="00F071AE"/>
    <w:rsid w:val="00F07361"/>
    <w:rsid w:val="00F0787D"/>
    <w:rsid w:val="00F07DF3"/>
    <w:rsid w:val="00F10056"/>
    <w:rsid w:val="00F103ED"/>
    <w:rsid w:val="00F1077B"/>
    <w:rsid w:val="00F10CC7"/>
    <w:rsid w:val="00F11AD7"/>
    <w:rsid w:val="00F11AEA"/>
    <w:rsid w:val="00F12BBD"/>
    <w:rsid w:val="00F1318E"/>
    <w:rsid w:val="00F136EC"/>
    <w:rsid w:val="00F1387A"/>
    <w:rsid w:val="00F13A13"/>
    <w:rsid w:val="00F13F41"/>
    <w:rsid w:val="00F14013"/>
    <w:rsid w:val="00F1401B"/>
    <w:rsid w:val="00F1442B"/>
    <w:rsid w:val="00F146ED"/>
    <w:rsid w:val="00F14B0F"/>
    <w:rsid w:val="00F1526E"/>
    <w:rsid w:val="00F155D6"/>
    <w:rsid w:val="00F15F53"/>
    <w:rsid w:val="00F15FAD"/>
    <w:rsid w:val="00F16369"/>
    <w:rsid w:val="00F1680F"/>
    <w:rsid w:val="00F1749D"/>
    <w:rsid w:val="00F17AE0"/>
    <w:rsid w:val="00F17B27"/>
    <w:rsid w:val="00F17C09"/>
    <w:rsid w:val="00F217BB"/>
    <w:rsid w:val="00F21827"/>
    <w:rsid w:val="00F22BA5"/>
    <w:rsid w:val="00F2344B"/>
    <w:rsid w:val="00F2377B"/>
    <w:rsid w:val="00F2388C"/>
    <w:rsid w:val="00F239AB"/>
    <w:rsid w:val="00F239C4"/>
    <w:rsid w:val="00F23CAB"/>
    <w:rsid w:val="00F243D1"/>
    <w:rsid w:val="00F2457E"/>
    <w:rsid w:val="00F246A1"/>
    <w:rsid w:val="00F246B9"/>
    <w:rsid w:val="00F247FC"/>
    <w:rsid w:val="00F24837"/>
    <w:rsid w:val="00F24AD3"/>
    <w:rsid w:val="00F24B58"/>
    <w:rsid w:val="00F24CBB"/>
    <w:rsid w:val="00F24F40"/>
    <w:rsid w:val="00F252FF"/>
    <w:rsid w:val="00F25643"/>
    <w:rsid w:val="00F25807"/>
    <w:rsid w:val="00F2581A"/>
    <w:rsid w:val="00F25897"/>
    <w:rsid w:val="00F25AA0"/>
    <w:rsid w:val="00F25E26"/>
    <w:rsid w:val="00F26C85"/>
    <w:rsid w:val="00F26CF3"/>
    <w:rsid w:val="00F270A6"/>
    <w:rsid w:val="00F270D1"/>
    <w:rsid w:val="00F2722A"/>
    <w:rsid w:val="00F277F0"/>
    <w:rsid w:val="00F27A28"/>
    <w:rsid w:val="00F27AE1"/>
    <w:rsid w:val="00F3078A"/>
    <w:rsid w:val="00F30A9D"/>
    <w:rsid w:val="00F30C14"/>
    <w:rsid w:val="00F30CD2"/>
    <w:rsid w:val="00F31107"/>
    <w:rsid w:val="00F31209"/>
    <w:rsid w:val="00F318F6"/>
    <w:rsid w:val="00F31A4C"/>
    <w:rsid w:val="00F3208D"/>
    <w:rsid w:val="00F320BF"/>
    <w:rsid w:val="00F32389"/>
    <w:rsid w:val="00F3241F"/>
    <w:rsid w:val="00F32516"/>
    <w:rsid w:val="00F3369D"/>
    <w:rsid w:val="00F33900"/>
    <w:rsid w:val="00F33B04"/>
    <w:rsid w:val="00F34655"/>
    <w:rsid w:val="00F34A0B"/>
    <w:rsid w:val="00F352D6"/>
    <w:rsid w:val="00F3563C"/>
    <w:rsid w:val="00F358F5"/>
    <w:rsid w:val="00F36415"/>
    <w:rsid w:val="00F36ABF"/>
    <w:rsid w:val="00F372F3"/>
    <w:rsid w:val="00F37C20"/>
    <w:rsid w:val="00F37F37"/>
    <w:rsid w:val="00F40117"/>
    <w:rsid w:val="00F40532"/>
    <w:rsid w:val="00F4060A"/>
    <w:rsid w:val="00F40637"/>
    <w:rsid w:val="00F40C46"/>
    <w:rsid w:val="00F4139E"/>
    <w:rsid w:val="00F41A9B"/>
    <w:rsid w:val="00F42092"/>
    <w:rsid w:val="00F424D6"/>
    <w:rsid w:val="00F425F0"/>
    <w:rsid w:val="00F426AC"/>
    <w:rsid w:val="00F42701"/>
    <w:rsid w:val="00F428FF"/>
    <w:rsid w:val="00F430D8"/>
    <w:rsid w:val="00F43299"/>
    <w:rsid w:val="00F43AED"/>
    <w:rsid w:val="00F44563"/>
    <w:rsid w:val="00F4461B"/>
    <w:rsid w:val="00F44961"/>
    <w:rsid w:val="00F44B86"/>
    <w:rsid w:val="00F44C8A"/>
    <w:rsid w:val="00F44F00"/>
    <w:rsid w:val="00F4525D"/>
    <w:rsid w:val="00F45F85"/>
    <w:rsid w:val="00F463AA"/>
    <w:rsid w:val="00F46D03"/>
    <w:rsid w:val="00F50010"/>
    <w:rsid w:val="00F51072"/>
    <w:rsid w:val="00F5138B"/>
    <w:rsid w:val="00F51696"/>
    <w:rsid w:val="00F51F16"/>
    <w:rsid w:val="00F52063"/>
    <w:rsid w:val="00F52132"/>
    <w:rsid w:val="00F524D9"/>
    <w:rsid w:val="00F53166"/>
    <w:rsid w:val="00F53D8D"/>
    <w:rsid w:val="00F541BE"/>
    <w:rsid w:val="00F541F4"/>
    <w:rsid w:val="00F54862"/>
    <w:rsid w:val="00F54D35"/>
    <w:rsid w:val="00F54F8A"/>
    <w:rsid w:val="00F55523"/>
    <w:rsid w:val="00F557A7"/>
    <w:rsid w:val="00F558D7"/>
    <w:rsid w:val="00F55CAA"/>
    <w:rsid w:val="00F566E1"/>
    <w:rsid w:val="00F56FBA"/>
    <w:rsid w:val="00F5723F"/>
    <w:rsid w:val="00F5752D"/>
    <w:rsid w:val="00F57535"/>
    <w:rsid w:val="00F601CF"/>
    <w:rsid w:val="00F60F95"/>
    <w:rsid w:val="00F6117B"/>
    <w:rsid w:val="00F615B4"/>
    <w:rsid w:val="00F6183D"/>
    <w:rsid w:val="00F61F03"/>
    <w:rsid w:val="00F622F1"/>
    <w:rsid w:val="00F6271E"/>
    <w:rsid w:val="00F6289B"/>
    <w:rsid w:val="00F62A19"/>
    <w:rsid w:val="00F6352E"/>
    <w:rsid w:val="00F63558"/>
    <w:rsid w:val="00F64148"/>
    <w:rsid w:val="00F64991"/>
    <w:rsid w:val="00F655F7"/>
    <w:rsid w:val="00F659E0"/>
    <w:rsid w:val="00F65F84"/>
    <w:rsid w:val="00F66033"/>
    <w:rsid w:val="00F66EE0"/>
    <w:rsid w:val="00F66F8F"/>
    <w:rsid w:val="00F6710C"/>
    <w:rsid w:val="00F67219"/>
    <w:rsid w:val="00F67246"/>
    <w:rsid w:val="00F6724C"/>
    <w:rsid w:val="00F67E2A"/>
    <w:rsid w:val="00F7008D"/>
    <w:rsid w:val="00F70634"/>
    <w:rsid w:val="00F70989"/>
    <w:rsid w:val="00F71051"/>
    <w:rsid w:val="00F71071"/>
    <w:rsid w:val="00F7146E"/>
    <w:rsid w:val="00F71665"/>
    <w:rsid w:val="00F72649"/>
    <w:rsid w:val="00F72764"/>
    <w:rsid w:val="00F72D2E"/>
    <w:rsid w:val="00F72EDB"/>
    <w:rsid w:val="00F73070"/>
    <w:rsid w:val="00F73200"/>
    <w:rsid w:val="00F73497"/>
    <w:rsid w:val="00F73E10"/>
    <w:rsid w:val="00F742F3"/>
    <w:rsid w:val="00F751E6"/>
    <w:rsid w:val="00F7534F"/>
    <w:rsid w:val="00F7547F"/>
    <w:rsid w:val="00F75AFC"/>
    <w:rsid w:val="00F75E71"/>
    <w:rsid w:val="00F76C64"/>
    <w:rsid w:val="00F777CB"/>
    <w:rsid w:val="00F778E3"/>
    <w:rsid w:val="00F77DDF"/>
    <w:rsid w:val="00F77ED7"/>
    <w:rsid w:val="00F77FE4"/>
    <w:rsid w:val="00F8043A"/>
    <w:rsid w:val="00F80469"/>
    <w:rsid w:val="00F805CD"/>
    <w:rsid w:val="00F80D0D"/>
    <w:rsid w:val="00F80D62"/>
    <w:rsid w:val="00F81CB5"/>
    <w:rsid w:val="00F82163"/>
    <w:rsid w:val="00F83815"/>
    <w:rsid w:val="00F83C07"/>
    <w:rsid w:val="00F84A80"/>
    <w:rsid w:val="00F84CB0"/>
    <w:rsid w:val="00F84D52"/>
    <w:rsid w:val="00F85023"/>
    <w:rsid w:val="00F8504E"/>
    <w:rsid w:val="00F85314"/>
    <w:rsid w:val="00F85AC0"/>
    <w:rsid w:val="00F85C93"/>
    <w:rsid w:val="00F86036"/>
    <w:rsid w:val="00F866D4"/>
    <w:rsid w:val="00F86BF2"/>
    <w:rsid w:val="00F86EE7"/>
    <w:rsid w:val="00F874E7"/>
    <w:rsid w:val="00F87D5F"/>
    <w:rsid w:val="00F900E6"/>
    <w:rsid w:val="00F905D2"/>
    <w:rsid w:val="00F90893"/>
    <w:rsid w:val="00F91491"/>
    <w:rsid w:val="00F919D4"/>
    <w:rsid w:val="00F91BCD"/>
    <w:rsid w:val="00F9282A"/>
    <w:rsid w:val="00F9323C"/>
    <w:rsid w:val="00F9380D"/>
    <w:rsid w:val="00F93AF3"/>
    <w:rsid w:val="00F94035"/>
    <w:rsid w:val="00F94312"/>
    <w:rsid w:val="00F9490A"/>
    <w:rsid w:val="00F94967"/>
    <w:rsid w:val="00F9505E"/>
    <w:rsid w:val="00F95210"/>
    <w:rsid w:val="00F953B0"/>
    <w:rsid w:val="00F95870"/>
    <w:rsid w:val="00F95A22"/>
    <w:rsid w:val="00F95C93"/>
    <w:rsid w:val="00F9689A"/>
    <w:rsid w:val="00F971D6"/>
    <w:rsid w:val="00F97947"/>
    <w:rsid w:val="00F97FEA"/>
    <w:rsid w:val="00FA091B"/>
    <w:rsid w:val="00FA144F"/>
    <w:rsid w:val="00FA16EE"/>
    <w:rsid w:val="00FA1D5D"/>
    <w:rsid w:val="00FA1FC7"/>
    <w:rsid w:val="00FA2439"/>
    <w:rsid w:val="00FA32C8"/>
    <w:rsid w:val="00FA34F8"/>
    <w:rsid w:val="00FA373D"/>
    <w:rsid w:val="00FA3C08"/>
    <w:rsid w:val="00FA3D0B"/>
    <w:rsid w:val="00FA3FF4"/>
    <w:rsid w:val="00FA4287"/>
    <w:rsid w:val="00FA44EC"/>
    <w:rsid w:val="00FA4D33"/>
    <w:rsid w:val="00FA5165"/>
    <w:rsid w:val="00FA6076"/>
    <w:rsid w:val="00FA642E"/>
    <w:rsid w:val="00FA691E"/>
    <w:rsid w:val="00FA6BF9"/>
    <w:rsid w:val="00FA7632"/>
    <w:rsid w:val="00FA7761"/>
    <w:rsid w:val="00FA7D93"/>
    <w:rsid w:val="00FB0A92"/>
    <w:rsid w:val="00FB180C"/>
    <w:rsid w:val="00FB2100"/>
    <w:rsid w:val="00FB2450"/>
    <w:rsid w:val="00FB27A8"/>
    <w:rsid w:val="00FB2AFD"/>
    <w:rsid w:val="00FB3799"/>
    <w:rsid w:val="00FB3942"/>
    <w:rsid w:val="00FB3A6E"/>
    <w:rsid w:val="00FB3CF2"/>
    <w:rsid w:val="00FB3E25"/>
    <w:rsid w:val="00FB3F94"/>
    <w:rsid w:val="00FB4771"/>
    <w:rsid w:val="00FB4CED"/>
    <w:rsid w:val="00FB4F86"/>
    <w:rsid w:val="00FB5053"/>
    <w:rsid w:val="00FB59E6"/>
    <w:rsid w:val="00FB5C47"/>
    <w:rsid w:val="00FB6105"/>
    <w:rsid w:val="00FB694C"/>
    <w:rsid w:val="00FB75A2"/>
    <w:rsid w:val="00FB7B57"/>
    <w:rsid w:val="00FB7CBE"/>
    <w:rsid w:val="00FC0089"/>
    <w:rsid w:val="00FC0138"/>
    <w:rsid w:val="00FC0144"/>
    <w:rsid w:val="00FC01D4"/>
    <w:rsid w:val="00FC020F"/>
    <w:rsid w:val="00FC032E"/>
    <w:rsid w:val="00FC032F"/>
    <w:rsid w:val="00FC088D"/>
    <w:rsid w:val="00FC09AE"/>
    <w:rsid w:val="00FC0A7F"/>
    <w:rsid w:val="00FC0F19"/>
    <w:rsid w:val="00FC1592"/>
    <w:rsid w:val="00FC16BB"/>
    <w:rsid w:val="00FC1816"/>
    <w:rsid w:val="00FC1C3E"/>
    <w:rsid w:val="00FC2014"/>
    <w:rsid w:val="00FC223B"/>
    <w:rsid w:val="00FC242F"/>
    <w:rsid w:val="00FC276B"/>
    <w:rsid w:val="00FC277C"/>
    <w:rsid w:val="00FC290A"/>
    <w:rsid w:val="00FC2C1A"/>
    <w:rsid w:val="00FC39DF"/>
    <w:rsid w:val="00FC403F"/>
    <w:rsid w:val="00FC4062"/>
    <w:rsid w:val="00FC422F"/>
    <w:rsid w:val="00FC456E"/>
    <w:rsid w:val="00FC47B5"/>
    <w:rsid w:val="00FC4F71"/>
    <w:rsid w:val="00FC5300"/>
    <w:rsid w:val="00FC54EA"/>
    <w:rsid w:val="00FC59D8"/>
    <w:rsid w:val="00FC5AF2"/>
    <w:rsid w:val="00FC5F94"/>
    <w:rsid w:val="00FC61BC"/>
    <w:rsid w:val="00FC636A"/>
    <w:rsid w:val="00FC694B"/>
    <w:rsid w:val="00FC6A2D"/>
    <w:rsid w:val="00FC7310"/>
    <w:rsid w:val="00FC74DF"/>
    <w:rsid w:val="00FC75C4"/>
    <w:rsid w:val="00FC785C"/>
    <w:rsid w:val="00FC7E6A"/>
    <w:rsid w:val="00FD09B2"/>
    <w:rsid w:val="00FD0BAD"/>
    <w:rsid w:val="00FD10AA"/>
    <w:rsid w:val="00FD1878"/>
    <w:rsid w:val="00FD1A39"/>
    <w:rsid w:val="00FD21B2"/>
    <w:rsid w:val="00FD2A77"/>
    <w:rsid w:val="00FD332F"/>
    <w:rsid w:val="00FD340A"/>
    <w:rsid w:val="00FD3C2E"/>
    <w:rsid w:val="00FD42F6"/>
    <w:rsid w:val="00FD4356"/>
    <w:rsid w:val="00FD48AD"/>
    <w:rsid w:val="00FD4DB9"/>
    <w:rsid w:val="00FD4E78"/>
    <w:rsid w:val="00FD4F29"/>
    <w:rsid w:val="00FD4F33"/>
    <w:rsid w:val="00FD50B1"/>
    <w:rsid w:val="00FD5CC0"/>
    <w:rsid w:val="00FD5E10"/>
    <w:rsid w:val="00FD61AF"/>
    <w:rsid w:val="00FD6388"/>
    <w:rsid w:val="00FD73C6"/>
    <w:rsid w:val="00FD73F0"/>
    <w:rsid w:val="00FD786B"/>
    <w:rsid w:val="00FE02F9"/>
    <w:rsid w:val="00FE0812"/>
    <w:rsid w:val="00FE18DB"/>
    <w:rsid w:val="00FE1F45"/>
    <w:rsid w:val="00FE2814"/>
    <w:rsid w:val="00FE2F42"/>
    <w:rsid w:val="00FE31F2"/>
    <w:rsid w:val="00FE3682"/>
    <w:rsid w:val="00FE3F8E"/>
    <w:rsid w:val="00FE43A2"/>
    <w:rsid w:val="00FE43E8"/>
    <w:rsid w:val="00FE455F"/>
    <w:rsid w:val="00FE4879"/>
    <w:rsid w:val="00FE4E23"/>
    <w:rsid w:val="00FE5084"/>
    <w:rsid w:val="00FE50FF"/>
    <w:rsid w:val="00FE56E6"/>
    <w:rsid w:val="00FE5750"/>
    <w:rsid w:val="00FE5867"/>
    <w:rsid w:val="00FE5B8E"/>
    <w:rsid w:val="00FE62DD"/>
    <w:rsid w:val="00FE6E09"/>
    <w:rsid w:val="00FE7375"/>
    <w:rsid w:val="00FE73BE"/>
    <w:rsid w:val="00FE78F4"/>
    <w:rsid w:val="00FE7E1E"/>
    <w:rsid w:val="00FE7FC4"/>
    <w:rsid w:val="00FF0B50"/>
    <w:rsid w:val="00FF0E45"/>
    <w:rsid w:val="00FF0F78"/>
    <w:rsid w:val="00FF14A9"/>
    <w:rsid w:val="00FF18AC"/>
    <w:rsid w:val="00FF192B"/>
    <w:rsid w:val="00FF1C62"/>
    <w:rsid w:val="00FF270F"/>
    <w:rsid w:val="00FF3615"/>
    <w:rsid w:val="00FF449C"/>
    <w:rsid w:val="00FF46C1"/>
    <w:rsid w:val="00FF4CA3"/>
    <w:rsid w:val="00FF4E5D"/>
    <w:rsid w:val="00FF52FD"/>
    <w:rsid w:val="00FF568D"/>
    <w:rsid w:val="00FF5F21"/>
    <w:rsid w:val="00FF62EC"/>
    <w:rsid w:val="00FF7213"/>
    <w:rsid w:val="00FF74C3"/>
    <w:rsid w:val="00FF7C24"/>
    <w:rsid w:val="00FF7DD3"/>
    <w:rsid w:val="00FF7E35"/>
    <w:rsid w:val="00FF7F48"/>
    <w:rsid w:val="2AEC03DC"/>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qFormat="1" w:uiPriority="99" w:name="annotation reference"/>
    <w:lsdException w:uiPriority="99" w:name="line number"/>
    <w:lsdException w:uiPriority="99" w:name="page number"/>
    <w:lsdException w:qFormat="1"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qFormat="1"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before="240" w:after="0" w:line="360" w:lineRule="auto"/>
      <w:ind w:firstLine="510"/>
    </w:pPr>
    <w:rPr>
      <w:rFonts w:ascii="Times New Roman" w:hAnsi="Times New Roman" w:eastAsia="宋体" w:cs="Times New Roman"/>
      <w:sz w:val="24"/>
      <w:szCs w:val="20"/>
      <w:lang w:val="en-CA" w:eastAsia="en-CA" w:bidi="ar-SA"/>
    </w:rPr>
  </w:style>
  <w:style w:type="paragraph" w:styleId="2">
    <w:name w:val="heading 1"/>
    <w:basedOn w:val="1"/>
    <w:next w:val="3"/>
    <w:link w:val="30"/>
    <w:qFormat/>
    <w:uiPriority w:val="9"/>
    <w:pPr>
      <w:widowControl w:val="0"/>
      <w:spacing w:before="480" w:beforeLines="200" w:line="300" w:lineRule="auto"/>
      <w:ind w:left="431" w:hanging="431"/>
      <w:jc w:val="both"/>
      <w:outlineLvl w:val="0"/>
    </w:pPr>
    <w:rPr>
      <w:kern w:val="2"/>
      <w:sz w:val="21"/>
      <w:szCs w:val="21"/>
      <w:lang w:val="en-US" w:eastAsia="zh-CN"/>
    </w:rPr>
  </w:style>
  <w:style w:type="paragraph" w:styleId="4">
    <w:name w:val="heading 2"/>
    <w:basedOn w:val="2"/>
    <w:next w:val="3"/>
    <w:link w:val="31"/>
    <w:qFormat/>
    <w:uiPriority w:val="9"/>
    <w:pPr>
      <w:keepLines/>
      <w:spacing w:before="360" w:beforeLines="150"/>
      <w:ind w:left="578" w:hanging="578"/>
      <w:outlineLvl w:val="1"/>
    </w:pPr>
  </w:style>
  <w:style w:type="paragraph" w:styleId="5">
    <w:name w:val="heading 3"/>
    <w:basedOn w:val="6"/>
    <w:next w:val="3"/>
    <w:link w:val="32"/>
    <w:qFormat/>
    <w:uiPriority w:val="9"/>
    <w:pPr>
      <w:spacing w:before="120" w:beforeLines="50" w:after="0" w:afterLines="0" w:line="300" w:lineRule="auto"/>
      <w:ind w:firstLine="0" w:firstLineChars="0"/>
      <w:outlineLvl w:val="2"/>
    </w:pPr>
  </w:style>
  <w:style w:type="paragraph" w:styleId="7">
    <w:name w:val="heading 4"/>
    <w:basedOn w:val="5"/>
    <w:next w:val="3"/>
    <w:link w:val="33"/>
    <w:qFormat/>
    <w:uiPriority w:val="9"/>
    <w:pPr>
      <w:tabs>
        <w:tab w:val="left" w:pos="1260"/>
      </w:tabs>
      <w:ind w:left="1080"/>
      <w:outlineLvl w:val="3"/>
    </w:pPr>
  </w:style>
  <w:style w:type="paragraph" w:styleId="8">
    <w:name w:val="heading 5"/>
    <w:basedOn w:val="7"/>
    <w:next w:val="1"/>
    <w:link w:val="34"/>
    <w:qFormat/>
    <w:uiPriority w:val="0"/>
    <w:pPr>
      <w:tabs>
        <w:tab w:val="left" w:pos="1080"/>
        <w:tab w:val="clear" w:pos="1260"/>
      </w:tabs>
      <w:ind w:left="1080"/>
      <w:outlineLvl w:val="4"/>
    </w:pPr>
    <w:rPr>
      <w:bCs/>
      <w:iCs/>
    </w:rPr>
  </w:style>
  <w:style w:type="paragraph" w:styleId="9">
    <w:name w:val="heading 6"/>
    <w:basedOn w:val="8"/>
    <w:next w:val="1"/>
    <w:link w:val="35"/>
    <w:qFormat/>
    <w:uiPriority w:val="0"/>
    <w:pPr>
      <w:tabs>
        <w:tab w:val="left" w:pos="1530"/>
      </w:tabs>
      <w:spacing w:after="60"/>
      <w:ind w:left="1530" w:hanging="1530"/>
      <w:outlineLvl w:val="5"/>
    </w:pPr>
    <w:rPr>
      <w:bCs w:val="0"/>
      <w:szCs w:val="22"/>
    </w:rPr>
  </w:style>
  <w:style w:type="paragraph" w:styleId="10">
    <w:name w:val="heading 7"/>
    <w:basedOn w:val="9"/>
    <w:next w:val="1"/>
    <w:link w:val="36"/>
    <w:qFormat/>
    <w:uiPriority w:val="0"/>
    <w:pPr>
      <w:tabs>
        <w:tab w:val="left" w:pos="1710"/>
        <w:tab w:val="clear" w:pos="1530"/>
      </w:tabs>
      <w:ind w:left="1710" w:hanging="1710"/>
      <w:outlineLvl w:val="6"/>
    </w:pPr>
    <w:rPr>
      <w:szCs w:val="24"/>
    </w:rPr>
  </w:style>
  <w:style w:type="paragraph" w:styleId="11">
    <w:name w:val="heading 8"/>
    <w:basedOn w:val="10"/>
    <w:next w:val="1"/>
    <w:link w:val="37"/>
    <w:qFormat/>
    <w:uiPriority w:val="0"/>
    <w:pPr>
      <w:ind w:left="1710" w:hanging="1404"/>
      <w:outlineLvl w:val="7"/>
    </w:pPr>
    <w:rPr>
      <w:rFonts w:cs="Times New Roman"/>
      <w:bCs/>
      <w:kern w:val="0"/>
      <w:szCs w:val="28"/>
    </w:rPr>
  </w:style>
  <w:style w:type="paragraph" w:styleId="12">
    <w:name w:val="heading 9"/>
    <w:basedOn w:val="11"/>
    <w:next w:val="1"/>
    <w:link w:val="38"/>
    <w:qFormat/>
    <w:uiPriority w:val="0"/>
    <w:pPr>
      <w:ind w:left="1710" w:hanging="1980"/>
      <w:outlineLvl w:val="8"/>
    </w:p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39"/>
    <w:unhideWhenUsed/>
    <w:qFormat/>
    <w:uiPriority w:val="99"/>
    <w:pPr>
      <w:spacing w:after="120"/>
    </w:pPr>
  </w:style>
  <w:style w:type="paragraph" w:styleId="6">
    <w:name w:val="No Spacing"/>
    <w:link w:val="47"/>
    <w:qFormat/>
    <w:uiPriority w:val="1"/>
    <w:pPr>
      <w:spacing w:after="120" w:afterLines="50" w:line="240" w:lineRule="auto"/>
      <w:ind w:firstLine="420" w:firstLineChars="200"/>
      <w:jc w:val="both"/>
    </w:pPr>
    <w:rPr>
      <w:rFonts w:ascii="Times New Roman" w:hAnsi="Times New Roman" w:eastAsia="宋体" w:cstheme="minorBidi"/>
      <w:kern w:val="2"/>
      <w:sz w:val="21"/>
      <w:szCs w:val="21"/>
      <w:lang w:val="en-US" w:eastAsia="zh-CN" w:bidi="ar-SA"/>
      <w14:ligatures w14:val="standardContextual"/>
    </w:rPr>
  </w:style>
  <w:style w:type="paragraph" w:styleId="13">
    <w:name w:val="annotation text"/>
    <w:basedOn w:val="1"/>
    <w:link w:val="41"/>
    <w:unhideWhenUsed/>
    <w:qFormat/>
    <w:uiPriority w:val="99"/>
    <w:pPr>
      <w:spacing w:line="240" w:lineRule="auto"/>
    </w:pPr>
    <w:rPr>
      <w:sz w:val="20"/>
    </w:rPr>
  </w:style>
  <w:style w:type="paragraph" w:styleId="14">
    <w:name w:val="Balloon Text"/>
    <w:basedOn w:val="1"/>
    <w:link w:val="43"/>
    <w:semiHidden/>
    <w:unhideWhenUsed/>
    <w:qFormat/>
    <w:uiPriority w:val="99"/>
    <w:pPr>
      <w:spacing w:before="0" w:line="240" w:lineRule="auto"/>
    </w:pPr>
    <w:rPr>
      <w:rFonts w:ascii="Microsoft YaHei UI" w:eastAsia="Microsoft YaHei UI"/>
      <w:sz w:val="18"/>
      <w:szCs w:val="18"/>
    </w:rPr>
  </w:style>
  <w:style w:type="paragraph" w:styleId="15">
    <w:name w:val="footer"/>
    <w:basedOn w:val="1"/>
    <w:link w:val="29"/>
    <w:unhideWhenUsed/>
    <w:qFormat/>
    <w:uiPriority w:val="99"/>
    <w:pPr>
      <w:tabs>
        <w:tab w:val="center" w:pos="4680"/>
        <w:tab w:val="right" w:pos="9360"/>
      </w:tabs>
      <w:spacing w:line="240" w:lineRule="auto"/>
    </w:pPr>
  </w:style>
  <w:style w:type="paragraph" w:styleId="16">
    <w:name w:val="header"/>
    <w:basedOn w:val="1"/>
    <w:link w:val="28"/>
    <w:unhideWhenUsed/>
    <w:qFormat/>
    <w:uiPriority w:val="99"/>
    <w:pPr>
      <w:tabs>
        <w:tab w:val="center" w:pos="4680"/>
        <w:tab w:val="right" w:pos="9360"/>
      </w:tabs>
      <w:spacing w:line="240" w:lineRule="auto"/>
    </w:pPr>
  </w:style>
  <w:style w:type="paragraph" w:styleId="17">
    <w:name w:val="footnote text"/>
    <w:basedOn w:val="1"/>
    <w:link w:val="44"/>
    <w:unhideWhenUsed/>
    <w:qFormat/>
    <w:uiPriority w:val="99"/>
    <w:pPr>
      <w:spacing w:before="0" w:line="240" w:lineRule="auto"/>
    </w:pPr>
    <w:rPr>
      <w:sz w:val="20"/>
    </w:rPr>
  </w:style>
  <w:style w:type="paragraph" w:styleId="18">
    <w:name w:val="Normal (Web)"/>
    <w:basedOn w:val="1"/>
    <w:link w:val="46"/>
    <w:semiHidden/>
    <w:unhideWhenUsed/>
    <w:qFormat/>
    <w:uiPriority w:val="99"/>
    <w:pPr>
      <w:spacing w:before="100" w:beforeAutospacing="1" w:after="100" w:afterAutospacing="1" w:line="240" w:lineRule="auto"/>
      <w:ind w:firstLine="0"/>
    </w:pPr>
    <w:rPr>
      <w:rFonts w:eastAsia="Times New Roman"/>
      <w:szCs w:val="24"/>
      <w:lang w:eastAsia="zh-CN"/>
    </w:rPr>
  </w:style>
  <w:style w:type="paragraph" w:styleId="19">
    <w:name w:val="annotation subject"/>
    <w:basedOn w:val="13"/>
    <w:next w:val="13"/>
    <w:link w:val="42"/>
    <w:semiHidden/>
    <w:unhideWhenUsed/>
    <w:qFormat/>
    <w:uiPriority w:val="99"/>
    <w:rPr>
      <w:b/>
      <w:bCs/>
    </w:rPr>
  </w:style>
  <w:style w:type="table" w:styleId="21">
    <w:name w:val="Table Classic 1"/>
    <w:basedOn w:val="20"/>
    <w:semiHidden/>
    <w:unhideWhenUsed/>
    <w:qFormat/>
    <w:uiPriority w:val="99"/>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character" w:styleId="23">
    <w:name w:val="endnote reference"/>
    <w:basedOn w:val="22"/>
    <w:semiHidden/>
    <w:unhideWhenUsed/>
    <w:qFormat/>
    <w:uiPriority w:val="99"/>
    <w:rPr>
      <w:vertAlign w:val="superscript"/>
    </w:rPr>
  </w:style>
  <w:style w:type="character" w:styleId="24">
    <w:name w:val="Hyperlink"/>
    <w:basedOn w:val="22"/>
    <w:unhideWhenUsed/>
    <w:qFormat/>
    <w:uiPriority w:val="99"/>
    <w:rPr>
      <w:color w:val="0563C1" w:themeColor="hyperlink"/>
      <w:u w:val="single"/>
      <w14:textFill>
        <w14:solidFill>
          <w14:schemeClr w14:val="hlink"/>
        </w14:solidFill>
      </w14:textFill>
    </w:rPr>
  </w:style>
  <w:style w:type="character" w:styleId="25">
    <w:name w:val="annotation reference"/>
    <w:basedOn w:val="22"/>
    <w:semiHidden/>
    <w:unhideWhenUsed/>
    <w:qFormat/>
    <w:uiPriority w:val="99"/>
    <w:rPr>
      <w:sz w:val="16"/>
      <w:szCs w:val="16"/>
    </w:rPr>
  </w:style>
  <w:style w:type="character" w:styleId="26">
    <w:name w:val="footnote reference"/>
    <w:basedOn w:val="22"/>
    <w:semiHidden/>
    <w:unhideWhenUsed/>
    <w:qFormat/>
    <w:uiPriority w:val="99"/>
    <w:rPr>
      <w:vertAlign w:val="superscript"/>
    </w:rPr>
  </w:style>
  <w:style w:type="table" w:customStyle="1" w:styleId="27">
    <w:name w:val="样式1"/>
    <w:basedOn w:val="21"/>
    <w:qFormat/>
    <w:uiPriority w:val="99"/>
    <w:pPr>
      <w:spacing w:after="0" w:line="240" w:lineRule="auto"/>
    </w:pPr>
    <w:tblStylePr w:type="firstRow">
      <w:rPr>
        <w:i/>
        <w:iCs/>
      </w:rPr>
      <w:tcPr>
        <w:tcBorders>
          <w:bottom w:val="single" w:color="000000" w:sz="6" w:space="0"/>
          <w:tl2br w:val="nil"/>
          <w:tr2bl w:val="nil"/>
        </w:tcBorders>
      </w:tcPr>
    </w:tblStylePr>
    <w:tblStylePr w:type="lastRow">
      <w:rPr>
        <w:color w:val="auto"/>
      </w:rPr>
      <w:tcPr>
        <w:tcBorders>
          <w:top w:val="single" w:color="000000" w:sz="6" w:space="0"/>
          <w:tl2br w:val="nil"/>
          <w:tr2bl w:val="nil"/>
        </w:tcBorders>
      </w:tcPr>
    </w:tblStylePr>
    <w:tblStylePr w:type="firstCol">
      <w:tcPr>
        <w:tcBorders>
          <w:right w:val="single" w:color="000000" w:sz="6" w:space="0"/>
          <w:tl2br w:val="nil"/>
          <w:tr2bl w:val="nil"/>
        </w:tcBorders>
      </w:tcPr>
    </w:tblStylePr>
    <w:tblStylePr w:type="neCell">
      <w:rPr>
        <w:b/>
        <w:bCs/>
        <w:i w:val="0"/>
        <w:iCs w:val="0"/>
      </w:rPr>
      <w:tcPr>
        <w:tcBorders>
          <w:tl2br w:val="nil"/>
          <w:tr2bl w:val="nil"/>
        </w:tcBorders>
      </w:tcPr>
    </w:tblStylePr>
    <w:tblStylePr w:type="swCell">
      <w:rPr>
        <w:b/>
        <w:bCs/>
      </w:rPr>
      <w:tcPr>
        <w:tcBorders>
          <w:tl2br w:val="nil"/>
          <w:tr2bl w:val="nil"/>
        </w:tcBorders>
      </w:tcPr>
    </w:tblStylePr>
  </w:style>
  <w:style w:type="character" w:customStyle="1" w:styleId="28">
    <w:name w:val="页眉 字符"/>
    <w:basedOn w:val="22"/>
    <w:link w:val="16"/>
    <w:qFormat/>
    <w:uiPriority w:val="99"/>
    <w:rPr>
      <w:lang w:val="en-GB"/>
    </w:rPr>
  </w:style>
  <w:style w:type="character" w:customStyle="1" w:styleId="29">
    <w:name w:val="页脚 字符"/>
    <w:basedOn w:val="22"/>
    <w:link w:val="15"/>
    <w:qFormat/>
    <w:uiPriority w:val="99"/>
    <w:rPr>
      <w:lang w:val="en-GB"/>
    </w:rPr>
  </w:style>
  <w:style w:type="character" w:customStyle="1" w:styleId="30">
    <w:name w:val="标题 1 字符"/>
    <w:basedOn w:val="22"/>
    <w:link w:val="2"/>
    <w:qFormat/>
    <w:uiPriority w:val="9"/>
    <w:rPr>
      <w:rFonts w:ascii="Times New Roman" w:hAnsi="Times New Roman" w:eastAsia="宋体" w:cs="Times New Roman"/>
      <w:kern w:val="2"/>
      <w:sz w:val="21"/>
      <w:szCs w:val="21"/>
    </w:rPr>
  </w:style>
  <w:style w:type="character" w:customStyle="1" w:styleId="31">
    <w:name w:val="标题 2 字符"/>
    <w:basedOn w:val="22"/>
    <w:link w:val="4"/>
    <w:qFormat/>
    <w:uiPriority w:val="9"/>
    <w:rPr>
      <w:rFonts w:ascii="Times New Roman" w:hAnsi="Times New Roman" w:eastAsia="宋体" w:cs="Times New Roman"/>
      <w:kern w:val="2"/>
      <w:sz w:val="21"/>
      <w:szCs w:val="21"/>
    </w:rPr>
  </w:style>
  <w:style w:type="character" w:customStyle="1" w:styleId="32">
    <w:name w:val="标题 3 字符"/>
    <w:basedOn w:val="22"/>
    <w:link w:val="5"/>
    <w:qFormat/>
    <w:uiPriority w:val="9"/>
    <w:rPr>
      <w:rFonts w:ascii="Times New Roman" w:hAnsi="Times New Roman" w:eastAsia="宋体"/>
      <w:kern w:val="2"/>
      <w:sz w:val="21"/>
      <w:szCs w:val="21"/>
      <w14:ligatures w14:val="standardContextual"/>
    </w:rPr>
  </w:style>
  <w:style w:type="character" w:customStyle="1" w:styleId="33">
    <w:name w:val="标题 4 字符"/>
    <w:basedOn w:val="22"/>
    <w:link w:val="7"/>
    <w:qFormat/>
    <w:uiPriority w:val="9"/>
    <w:rPr>
      <w:rFonts w:ascii="Arial" w:hAnsi="Arial" w:eastAsia="宋体" w:cs="Arial"/>
      <w:bCs/>
      <w:iCs/>
      <w:kern w:val="32"/>
      <w:sz w:val="28"/>
      <w:szCs w:val="28"/>
      <w:lang w:val="en-CA" w:eastAsia="en-CA"/>
    </w:rPr>
  </w:style>
  <w:style w:type="character" w:customStyle="1" w:styleId="34">
    <w:name w:val="标题 5 字符"/>
    <w:basedOn w:val="22"/>
    <w:link w:val="8"/>
    <w:qFormat/>
    <w:uiPriority w:val="0"/>
    <w:rPr>
      <w:rFonts w:ascii="Arial" w:hAnsi="Arial" w:eastAsia="宋体" w:cs="Arial"/>
      <w:kern w:val="32"/>
      <w:sz w:val="28"/>
      <w:szCs w:val="28"/>
      <w:lang w:val="en-CA" w:eastAsia="en-CA"/>
    </w:rPr>
  </w:style>
  <w:style w:type="character" w:customStyle="1" w:styleId="35">
    <w:name w:val="标题 6 字符"/>
    <w:basedOn w:val="22"/>
    <w:link w:val="9"/>
    <w:qFormat/>
    <w:uiPriority w:val="0"/>
    <w:rPr>
      <w:rFonts w:ascii="Arial" w:hAnsi="Arial" w:eastAsia="宋体" w:cs="Arial"/>
      <w:bCs/>
      <w:kern w:val="32"/>
      <w:sz w:val="28"/>
      <w:lang w:val="en-CA" w:eastAsia="en-CA"/>
    </w:rPr>
  </w:style>
  <w:style w:type="character" w:customStyle="1" w:styleId="36">
    <w:name w:val="标题 7 字符"/>
    <w:basedOn w:val="22"/>
    <w:link w:val="10"/>
    <w:qFormat/>
    <w:uiPriority w:val="0"/>
    <w:rPr>
      <w:rFonts w:ascii="Arial" w:hAnsi="Arial" w:eastAsia="宋体" w:cs="Arial"/>
      <w:bCs/>
      <w:kern w:val="32"/>
      <w:sz w:val="28"/>
      <w:szCs w:val="24"/>
      <w:lang w:val="en-CA" w:eastAsia="en-CA"/>
    </w:rPr>
  </w:style>
  <w:style w:type="character" w:customStyle="1" w:styleId="37">
    <w:name w:val="标题 8 字符"/>
    <w:basedOn w:val="22"/>
    <w:link w:val="11"/>
    <w:qFormat/>
    <w:uiPriority w:val="0"/>
    <w:rPr>
      <w:rFonts w:ascii="Arial" w:hAnsi="Arial" w:eastAsia="宋体" w:cs="Times New Roman"/>
      <w:sz w:val="28"/>
      <w:szCs w:val="28"/>
      <w:lang w:val="en-CA" w:eastAsia="en-CA"/>
    </w:rPr>
  </w:style>
  <w:style w:type="character" w:customStyle="1" w:styleId="38">
    <w:name w:val="标题 9 字符"/>
    <w:basedOn w:val="22"/>
    <w:link w:val="12"/>
    <w:qFormat/>
    <w:uiPriority w:val="0"/>
    <w:rPr>
      <w:rFonts w:ascii="Arial" w:hAnsi="Arial" w:eastAsia="宋体" w:cs="Times New Roman"/>
      <w:sz w:val="28"/>
      <w:szCs w:val="28"/>
      <w:lang w:val="en-CA" w:eastAsia="en-CA"/>
    </w:rPr>
  </w:style>
  <w:style w:type="character" w:customStyle="1" w:styleId="39">
    <w:name w:val="正文文本 字符"/>
    <w:basedOn w:val="22"/>
    <w:link w:val="3"/>
    <w:qFormat/>
    <w:uiPriority w:val="99"/>
    <w:rPr>
      <w:rFonts w:ascii="Times New Roman" w:hAnsi="Times New Roman" w:eastAsia="宋体" w:cs="Times New Roman"/>
      <w:sz w:val="24"/>
      <w:szCs w:val="20"/>
      <w:lang w:val="en-CA" w:eastAsia="en-CA"/>
    </w:rPr>
  </w:style>
  <w:style w:type="paragraph" w:styleId="40">
    <w:name w:val="List Paragraph"/>
    <w:basedOn w:val="1"/>
    <w:qFormat/>
    <w:uiPriority w:val="34"/>
    <w:pPr>
      <w:ind w:left="720"/>
      <w:contextualSpacing/>
    </w:pPr>
  </w:style>
  <w:style w:type="character" w:customStyle="1" w:styleId="41">
    <w:name w:val="批注文字 字符"/>
    <w:basedOn w:val="22"/>
    <w:link w:val="13"/>
    <w:qFormat/>
    <w:uiPriority w:val="99"/>
    <w:rPr>
      <w:rFonts w:ascii="Times New Roman" w:hAnsi="Times New Roman" w:eastAsia="宋体" w:cs="Times New Roman"/>
      <w:sz w:val="20"/>
      <w:szCs w:val="20"/>
      <w:lang w:val="en-CA" w:eastAsia="en-CA"/>
    </w:rPr>
  </w:style>
  <w:style w:type="character" w:customStyle="1" w:styleId="42">
    <w:name w:val="批注主题 字符"/>
    <w:basedOn w:val="41"/>
    <w:link w:val="19"/>
    <w:semiHidden/>
    <w:qFormat/>
    <w:uiPriority w:val="99"/>
    <w:rPr>
      <w:rFonts w:ascii="Times New Roman" w:hAnsi="Times New Roman" w:eastAsia="宋体" w:cs="Times New Roman"/>
      <w:b/>
      <w:bCs/>
      <w:sz w:val="20"/>
      <w:szCs w:val="20"/>
      <w:lang w:val="en-CA" w:eastAsia="en-CA"/>
    </w:rPr>
  </w:style>
  <w:style w:type="character" w:customStyle="1" w:styleId="43">
    <w:name w:val="批注框文本 字符"/>
    <w:basedOn w:val="22"/>
    <w:link w:val="14"/>
    <w:semiHidden/>
    <w:qFormat/>
    <w:uiPriority w:val="99"/>
    <w:rPr>
      <w:rFonts w:ascii="Microsoft YaHei UI" w:hAnsi="Times New Roman" w:eastAsia="Microsoft YaHei UI" w:cs="Times New Roman"/>
      <w:sz w:val="18"/>
      <w:szCs w:val="18"/>
      <w:lang w:val="en-CA" w:eastAsia="en-CA"/>
    </w:rPr>
  </w:style>
  <w:style w:type="character" w:customStyle="1" w:styleId="44">
    <w:name w:val="脚注文本 字符"/>
    <w:basedOn w:val="22"/>
    <w:link w:val="17"/>
    <w:qFormat/>
    <w:uiPriority w:val="99"/>
    <w:rPr>
      <w:rFonts w:ascii="Times New Roman" w:hAnsi="Times New Roman" w:eastAsia="宋体" w:cs="Times New Roman"/>
      <w:sz w:val="20"/>
      <w:szCs w:val="20"/>
      <w:lang w:val="en-CA" w:eastAsia="en-CA"/>
    </w:rPr>
  </w:style>
  <w:style w:type="paragraph" w:customStyle="1" w:styleId="45">
    <w:name w:val="Revision"/>
    <w:hidden/>
    <w:semiHidden/>
    <w:qFormat/>
    <w:uiPriority w:val="99"/>
    <w:pPr>
      <w:spacing w:after="0" w:line="240" w:lineRule="auto"/>
    </w:pPr>
    <w:rPr>
      <w:rFonts w:ascii="Times New Roman" w:hAnsi="Times New Roman" w:eastAsia="宋体" w:cs="Times New Roman"/>
      <w:sz w:val="24"/>
      <w:szCs w:val="20"/>
      <w:lang w:val="en-CA" w:eastAsia="en-CA" w:bidi="ar-SA"/>
    </w:rPr>
  </w:style>
  <w:style w:type="character" w:customStyle="1" w:styleId="46">
    <w:name w:val="普通(网站) 字符"/>
    <w:basedOn w:val="22"/>
    <w:link w:val="18"/>
    <w:semiHidden/>
    <w:qFormat/>
    <w:uiPriority w:val="99"/>
    <w:rPr>
      <w:rFonts w:ascii="Times New Roman" w:hAnsi="Times New Roman" w:eastAsia="Times New Roman" w:cs="Times New Roman"/>
      <w:sz w:val="24"/>
      <w:szCs w:val="24"/>
      <w:lang w:val="en-CA"/>
    </w:rPr>
  </w:style>
  <w:style w:type="character" w:customStyle="1" w:styleId="47">
    <w:name w:val="无间隔 字符"/>
    <w:link w:val="6"/>
    <w:qFormat/>
    <w:uiPriority w:val="1"/>
    <w:rPr>
      <w:rFonts w:ascii="Times New Roman" w:hAnsi="Times New Roman" w:eastAsia="宋体"/>
      <w:kern w:val="2"/>
      <w:sz w:val="21"/>
      <w:szCs w:val="21"/>
      <w14:ligatures w14:val="standardContextual"/>
    </w:rPr>
  </w:style>
  <w:style w:type="paragraph" w:customStyle="1" w:styleId="48">
    <w:name w:val="列表段落1"/>
    <w:basedOn w:val="1"/>
    <w:qFormat/>
    <w:uiPriority w:val="34"/>
    <w:pPr>
      <w:widowControl w:val="0"/>
      <w:spacing w:before="0" w:line="240" w:lineRule="auto"/>
      <w:ind w:firstLine="420" w:firstLineChars="200"/>
      <w:jc w:val="both"/>
    </w:pPr>
    <w:rPr>
      <w:kern w:val="2"/>
      <w:sz w:val="21"/>
      <w:szCs w:val="24"/>
      <w:lang w:val="en-US" w:eastAsia="zh-CN"/>
    </w:rPr>
  </w:style>
  <w:style w:type="character" w:customStyle="1" w:styleId="49">
    <w:name w:val="Unresolved Mention"/>
    <w:basedOn w:val="22"/>
    <w:semiHidden/>
    <w:unhideWhenUsed/>
    <w:qFormat/>
    <w:uiPriority w:val="99"/>
    <w:rPr>
      <w:color w:val="605E5C"/>
      <w:shd w:val="clear" w:color="auto" w:fill="E1DFDD"/>
    </w:rPr>
  </w:style>
  <w:style w:type="character" w:customStyle="1" w:styleId="50">
    <w:name w:val="auto-space__i1sdv"/>
    <w:basedOn w:val="22"/>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1.xml"/><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8B2DF3-D830-4C1B-9C18-E3B8C64E6002}">
  <ds:schemaRefs/>
</ds:datastoreItem>
</file>

<file path=docProps/app.xml><?xml version="1.0" encoding="utf-8"?>
<Properties xmlns="http://schemas.openxmlformats.org/officeDocument/2006/extended-properties" xmlns:vt="http://schemas.openxmlformats.org/officeDocument/2006/docPropsVTypes">
  <Template>Normal</Template>
  <Pages>16</Pages>
  <Words>948</Words>
  <Characters>2821</Characters>
  <Lines>131</Lines>
  <Paragraphs>36</Paragraphs>
  <TotalTime>11</TotalTime>
  <ScaleCrop>false</ScaleCrop>
  <LinksUpToDate>false</LinksUpToDate>
  <CharactersWithSpaces>3169</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2026-01-05T06:24:00Z</dcterms:created>
  <dc:creator>Bochu Liu</dc:creator>
  <cp:lastModifiedBy>admin</cp:lastModifiedBy>
  <dcterms:modified xsi:type="dcterms:W3CDTF">2026-01-05T23:02:46Z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096ebe53-1d55-367a-bff5-a9341a278c1e</vt:lpwstr>
  </property>
  <property fmtid="{D5CDD505-2E9C-101B-9397-08002B2CF9AE}" pid="4" name="Mendeley Citation Style_1">
    <vt:lpwstr>http://www.zotero.org/styles/ieee</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7th edition</vt:lpwstr>
  </property>
  <property fmtid="{D5CDD505-2E9C-101B-9397-08002B2CF9AE}" pid="7" name="Mendeley Recent Style Id 1_1">
    <vt:lpwstr>http://www.zotero.org/styles/annals-of-the-association-of-american-geographers</vt:lpwstr>
  </property>
  <property fmtid="{D5CDD505-2E9C-101B-9397-08002B2CF9AE}" pid="8" name="Mendeley Recent Style Name 1_1">
    <vt:lpwstr>Annals of the Association of American Geographers</vt:lpwstr>
  </property>
  <property fmtid="{D5CDD505-2E9C-101B-9397-08002B2CF9AE}" pid="9" name="Mendeley Recent Style Id 2_1">
    <vt:lpwstr>http://csl.mendeley.com/styles/526208731/annals-of-the-association-of-american-geographers-2</vt:lpwstr>
  </property>
  <property fmtid="{D5CDD505-2E9C-101B-9397-08002B2CF9AE}" pid="10" name="Mendeley Recent Style Name 2_1">
    <vt:lpwstr>Annals of the Association of American Geographers - with doi</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http://www.zotero.org/styles/health-and-place</vt:lpwstr>
  </property>
  <property fmtid="{D5CDD505-2E9C-101B-9397-08002B2CF9AE}" pid="14" name="Mendeley Recent Style Name 4_1">
    <vt:lpwstr>Health and Place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http://www.zotero.org/styles/international-journal-of-health-geographics</vt:lpwstr>
  </property>
  <property fmtid="{D5CDD505-2E9C-101B-9397-08002B2CF9AE}" pid="18" name="Mendeley Recent Style Name 6_1">
    <vt:lpwstr>International Journal of Health Geographics</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http://www.zotero.org/styles/the-lancet</vt:lpwstr>
  </property>
  <property fmtid="{D5CDD505-2E9C-101B-9397-08002B2CF9AE}" pid="22" name="Mendeley Recent Style Name 8_1">
    <vt:lpwstr>The Lancet</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y fmtid="{D5CDD505-2E9C-101B-9397-08002B2CF9AE}" pid="25" name="KSOProductBuildVer">
    <vt:lpwstr>2052-12.1.0.24034</vt:lpwstr>
  </property>
  <property fmtid="{D5CDD505-2E9C-101B-9397-08002B2CF9AE}" pid="26" name="ICV">
    <vt:lpwstr>5B7194EDD9E54C5F97D78CF6D124A34B_13</vt:lpwstr>
  </property>
</Properties>
</file>