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D28EE">
      <w:pPr>
        <w:keepNext w:val="0"/>
        <w:keepLines w:val="0"/>
        <w:pageBreakBefore w:val="0"/>
        <w:widowControl w:val="0"/>
        <w:kinsoku/>
        <w:wordWrap/>
        <w:overflowPunct/>
        <w:topLinePunct w:val="0"/>
        <w:autoSpaceDE/>
        <w:autoSpaceDN/>
        <w:bidi w:val="0"/>
        <w:adjustRightInd/>
        <w:snapToGrid/>
        <w:spacing w:line="120" w:lineRule="auto"/>
        <w:ind w:firstLine="520" w:firstLineChars="100"/>
        <w:jc w:val="left"/>
        <w:textAlignment w:val="auto"/>
        <w:rPr>
          <w:rFonts w:hint="eastAsia" w:ascii="方正小标宋_GBK" w:hAnsi="方正小标宋_GBK" w:eastAsia="方正小标宋_GBK" w:cs="方正小标宋_GBK"/>
          <w:b w:val="0"/>
          <w:bCs w:val="0"/>
          <w:sz w:val="52"/>
          <w:szCs w:val="52"/>
          <w:highlight w:val="none"/>
        </w:rPr>
      </w:pPr>
      <w:bookmarkStart w:id="0" w:name="_Toc340219418"/>
      <w:r>
        <w:rPr>
          <w:rFonts w:hint="eastAsia" w:ascii="方正小标宋_GBK" w:hAnsi="方正小标宋_GBK" w:eastAsia="方正小标宋_GBK" w:cs="方正小标宋_GBK"/>
          <w:b w:val="0"/>
          <w:bCs w:val="0"/>
          <w:sz w:val="52"/>
          <w:szCs w:val="52"/>
          <w:highlight w:val="none"/>
        </w:rPr>
        <w:t>我国合规人员职业伦理的系统性反思与本土塑造</w:t>
      </w:r>
      <w:r>
        <w:rPr>
          <w:rStyle w:val="21"/>
          <w:rFonts w:hint="eastAsia" w:ascii="方正小标宋_GBK" w:hAnsi="方正小标宋_GBK" w:eastAsia="方正小标宋_GBK" w:cs="方正小标宋_GBK"/>
          <w:b w:val="0"/>
          <w:bCs w:val="0"/>
          <w:color w:val="FFFFFF" w:themeColor="background1"/>
          <w:sz w:val="52"/>
          <w:szCs w:val="52"/>
          <w:highlight w:val="none"/>
          <w14:textFill>
            <w14:solidFill>
              <w14:schemeClr w14:val="bg1"/>
            </w14:solidFill>
          </w14:textFill>
        </w:rPr>
        <w:footnoteReference w:id="0" w:customMarkFollows="1"/>
        <w:sym w:font="Symbol" w:char="F02A"/>
      </w:r>
    </w:p>
    <w:p w14:paraId="78DC56D1">
      <w:pPr>
        <w:spacing w:line="500" w:lineRule="exact"/>
        <w:jc w:val="right"/>
        <w:rPr>
          <w:rFonts w:ascii="楷体" w:hAnsi="楷体" w:eastAsia="楷体"/>
          <w:sz w:val="24"/>
          <w:szCs w:val="24"/>
          <w:highlight w:val="none"/>
        </w:rPr>
      </w:pPr>
    </w:p>
    <w:p w14:paraId="5E1D7BCA">
      <w:pPr>
        <w:spacing w:line="500" w:lineRule="exact"/>
        <w:jc w:val="right"/>
        <w:rPr>
          <w:rFonts w:ascii="楷体" w:hAnsi="楷体" w:eastAsia="楷体"/>
          <w:sz w:val="24"/>
          <w:szCs w:val="24"/>
          <w:highlight w:val="none"/>
        </w:rPr>
      </w:pPr>
      <w:r>
        <w:rPr>
          <w:rFonts w:hint="eastAsia" w:ascii="楷体" w:hAnsi="楷体" w:eastAsia="楷体"/>
          <w:sz w:val="24"/>
          <w:szCs w:val="24"/>
          <w:highlight w:val="none"/>
        </w:rPr>
        <w:t>印</w:t>
      </w:r>
      <w:r>
        <w:rPr>
          <w:rFonts w:hint="eastAsia" w:ascii="楷体" w:hAnsi="楷体" w:eastAsia="楷体"/>
          <w:sz w:val="24"/>
          <w:szCs w:val="24"/>
          <w:highlight w:val="none"/>
          <w:lang w:val="en-US" w:eastAsia="zh-CN"/>
        </w:rPr>
        <w:t xml:space="preserve">  </w:t>
      </w:r>
      <w:r>
        <w:rPr>
          <w:rFonts w:hint="eastAsia" w:ascii="楷体" w:hAnsi="楷体" w:eastAsia="楷体"/>
          <w:sz w:val="24"/>
          <w:szCs w:val="24"/>
          <w:highlight w:val="none"/>
        </w:rPr>
        <w:t>波，张</w:t>
      </w:r>
      <w:r>
        <w:rPr>
          <w:rFonts w:hint="eastAsia" w:ascii="楷体" w:hAnsi="楷体" w:eastAsia="楷体"/>
          <w:sz w:val="24"/>
          <w:szCs w:val="24"/>
          <w:highlight w:val="none"/>
          <w:lang w:val="en-US" w:eastAsia="zh-CN"/>
        </w:rPr>
        <w:t xml:space="preserve"> </w:t>
      </w:r>
      <w:r>
        <w:rPr>
          <w:rFonts w:hint="eastAsia" w:ascii="楷体" w:hAnsi="楷体" w:eastAsia="楷体"/>
          <w:sz w:val="24"/>
          <w:szCs w:val="24"/>
          <w:highlight w:val="none"/>
        </w:rPr>
        <w:t xml:space="preserve"> 蕊</w:t>
      </w:r>
    </w:p>
    <w:p w14:paraId="2573D9A5">
      <w:pPr>
        <w:spacing w:line="500" w:lineRule="exact"/>
        <w:jc w:val="both"/>
        <w:rPr>
          <w:rFonts w:hint="default" w:ascii="楷体" w:hAnsi="楷体" w:eastAsia="楷体"/>
          <w:sz w:val="24"/>
          <w:szCs w:val="24"/>
          <w:highlight w:val="none"/>
          <w:u w:val="double"/>
          <w:lang w:val="en-US" w:eastAsia="zh-CN"/>
        </w:rPr>
      </w:pPr>
      <w:r>
        <w:rPr>
          <w:rFonts w:hint="eastAsia" w:ascii="楷体" w:hAnsi="楷体" w:eastAsia="楷体"/>
          <w:sz w:val="24"/>
          <w:szCs w:val="24"/>
          <w:highlight w:val="none"/>
          <w:u w:val="double"/>
          <w:lang w:val="en-US" w:eastAsia="zh-CN"/>
        </w:rPr>
        <w:t xml:space="preserve">                                                                      </w:t>
      </w:r>
    </w:p>
    <w:bookmarkEnd w:id="0"/>
    <w:p w14:paraId="6CFA87B8">
      <w:pPr>
        <w:tabs>
          <w:tab w:val="left" w:pos="4728"/>
        </w:tabs>
        <w:spacing w:line="500" w:lineRule="exact"/>
        <w:ind w:firstLine="420" w:firstLineChars="200"/>
        <w:jc w:val="left"/>
        <w:rPr>
          <w:rFonts w:ascii="仿宋" w:hAnsi="仿宋" w:eastAsia="仿宋"/>
          <w:szCs w:val="21"/>
          <w:highlight w:val="none"/>
        </w:rPr>
      </w:pPr>
      <w:r>
        <w:rPr>
          <w:rFonts w:hint="eastAsia" w:ascii="方正黑体_GBK" w:hAnsi="方正黑体_GBK" w:eastAsia="方正黑体_GBK" w:cs="方正黑体_GBK"/>
          <w:szCs w:val="21"/>
          <w:highlight w:val="none"/>
        </w:rPr>
        <w:t>摘</w:t>
      </w:r>
      <w:r>
        <w:rPr>
          <w:rFonts w:hint="eastAsia" w:ascii="方正黑体_GBK" w:hAnsi="方正黑体_GBK" w:eastAsia="方正黑体_GBK" w:cs="方正黑体_GBK"/>
          <w:szCs w:val="21"/>
          <w:highlight w:val="none"/>
          <w:lang w:val="en-US" w:eastAsia="zh-CN"/>
        </w:rPr>
        <w:t xml:space="preserve"> </w:t>
      </w:r>
      <w:r>
        <w:rPr>
          <w:rFonts w:hint="eastAsia" w:ascii="方正黑体_GBK" w:hAnsi="方正黑体_GBK" w:eastAsia="方正黑体_GBK" w:cs="方正黑体_GBK"/>
          <w:szCs w:val="21"/>
          <w:highlight w:val="none"/>
        </w:rPr>
        <w:t>要</w:t>
      </w:r>
      <w:r>
        <w:rPr>
          <w:rFonts w:hint="eastAsia" w:ascii="黑体" w:hAnsi="黑体" w:eastAsia="黑体"/>
          <w:szCs w:val="21"/>
          <w:highlight w:val="none"/>
        </w:rPr>
        <w:t>：</w:t>
      </w:r>
      <w:r>
        <w:rPr>
          <w:rFonts w:hint="eastAsia" w:ascii="仿宋" w:hAnsi="仿宋" w:eastAsia="仿宋"/>
          <w:szCs w:val="21"/>
          <w:highlight w:val="none"/>
        </w:rPr>
        <w:t>合规管理体系是引入的制度，在本土化过程中需要明确规范合规人员的职业伦理。合规人员作为法律职业共同体的组成部分，区别于合规监管人员和法务人员的特殊群体，其代表企业利益，且职责更加广泛。法律职业伦理应便于内化于心、外化于行，而元伦理学的关键词归纳已成为法律职业伦理研究的独特方法论。论文从合规人员内部职务行使、外部职业形象、国家政策要求三个维度出发，将经历试点探索和司法改革后的合规人员职业伦理归纳为专业负责、内外协作的外部伦理，以及守正创新、博识善学、与时俱进、自律忠诚的内部伦理。</w:t>
      </w:r>
    </w:p>
    <w:p w14:paraId="55829FCB">
      <w:pPr>
        <w:tabs>
          <w:tab w:val="left" w:pos="4728"/>
        </w:tabs>
        <w:spacing w:line="500" w:lineRule="exact"/>
        <w:ind w:firstLine="420" w:firstLineChars="200"/>
        <w:jc w:val="left"/>
        <w:rPr>
          <w:rFonts w:ascii="仿宋" w:hAnsi="仿宋" w:eastAsia="仿宋"/>
          <w:szCs w:val="21"/>
          <w:highlight w:val="none"/>
        </w:rPr>
      </w:pPr>
      <w:r>
        <w:rPr>
          <w:rFonts w:hint="eastAsia" w:ascii="黑体" w:hAnsi="黑体" w:eastAsia="黑体"/>
          <w:szCs w:val="21"/>
          <w:highlight w:val="none"/>
        </w:rPr>
        <w:t>关键词：</w:t>
      </w:r>
      <w:r>
        <w:rPr>
          <w:rFonts w:hint="eastAsia" w:ascii="仿宋" w:hAnsi="仿宋" w:eastAsia="仿宋"/>
          <w:szCs w:val="21"/>
          <w:highlight w:val="none"/>
        </w:rPr>
        <w:t>合规改革；</w:t>
      </w:r>
      <w:r>
        <w:rPr>
          <w:rFonts w:ascii="仿宋" w:hAnsi="仿宋" w:eastAsia="仿宋"/>
          <w:szCs w:val="21"/>
          <w:highlight w:val="none"/>
        </w:rPr>
        <w:t>合规人员</w:t>
      </w:r>
      <w:r>
        <w:rPr>
          <w:rFonts w:hint="eastAsia" w:ascii="仿宋" w:hAnsi="仿宋" w:eastAsia="仿宋"/>
          <w:szCs w:val="21"/>
          <w:highlight w:val="none"/>
        </w:rPr>
        <w:t>；</w:t>
      </w:r>
      <w:r>
        <w:rPr>
          <w:rFonts w:ascii="仿宋" w:hAnsi="仿宋" w:eastAsia="仿宋"/>
          <w:szCs w:val="21"/>
          <w:highlight w:val="none"/>
        </w:rPr>
        <w:t>法律职业伦理</w:t>
      </w:r>
      <w:r>
        <w:rPr>
          <w:rFonts w:hint="eastAsia" w:ascii="仿宋" w:hAnsi="仿宋" w:eastAsia="仿宋"/>
          <w:szCs w:val="21"/>
          <w:highlight w:val="none"/>
        </w:rPr>
        <w:t>；</w:t>
      </w:r>
      <w:r>
        <w:rPr>
          <w:rFonts w:ascii="仿宋" w:hAnsi="仿宋" w:eastAsia="仿宋"/>
          <w:szCs w:val="21"/>
          <w:highlight w:val="none"/>
        </w:rPr>
        <w:t>外部伦理</w:t>
      </w:r>
      <w:r>
        <w:rPr>
          <w:rFonts w:hint="eastAsia" w:ascii="仿宋" w:hAnsi="仿宋" w:eastAsia="仿宋"/>
          <w:szCs w:val="21"/>
          <w:highlight w:val="none"/>
        </w:rPr>
        <w:t>；</w:t>
      </w:r>
      <w:r>
        <w:rPr>
          <w:rFonts w:ascii="仿宋" w:hAnsi="仿宋" w:eastAsia="仿宋"/>
          <w:szCs w:val="21"/>
          <w:highlight w:val="none"/>
        </w:rPr>
        <w:t>内部伦理</w:t>
      </w:r>
    </w:p>
    <w:p w14:paraId="44E1CD58">
      <w:pPr>
        <w:spacing w:line="360" w:lineRule="auto"/>
        <w:ind w:firstLine="420" w:firstLineChars="200"/>
        <w:rPr>
          <w:rFonts w:hint="default" w:ascii="Times New Roman" w:hAnsi="Times New Roman" w:eastAsia="方正黑体_GBK" w:cs="Times New Roman"/>
          <w:color w:val="000000"/>
          <w:szCs w:val="21"/>
          <w:highlight w:val="none"/>
          <w:lang w:val="en-US" w:eastAsia="zh-CN"/>
        </w:rPr>
      </w:pPr>
      <w:r>
        <w:rPr>
          <w:rFonts w:hint="eastAsia" w:ascii="方正黑体_GBK" w:hAnsi="方正黑体_GBK" w:eastAsia="方正黑体_GBK" w:cs="方正黑体_GBK"/>
          <w:color w:val="000000"/>
          <w:szCs w:val="21"/>
          <w:highlight w:val="none"/>
        </w:rPr>
        <w:t>中图分类号 ：</w:t>
      </w:r>
      <w:r>
        <w:rPr>
          <w:rFonts w:hint="default" w:ascii="Times New Roman" w:hAnsi="Times New Roman" w:eastAsia="方正黑体_GBK" w:cs="Times New Roman"/>
          <w:color w:val="000000"/>
          <w:szCs w:val="21"/>
          <w:highlight w:val="none"/>
        </w:rPr>
        <w:t>D926  文献标识码 ：A   文章编号 ：1003—6644（2024）04—</w:t>
      </w:r>
      <w:r>
        <w:rPr>
          <w:rFonts w:hint="default" w:ascii="Times New Roman" w:hAnsi="Times New Roman" w:eastAsia="方正黑体_GBK" w:cs="Times New Roman"/>
          <w:color w:val="000000"/>
          <w:szCs w:val="21"/>
          <w:highlight w:val="none"/>
          <w:lang w:val="en-US" w:eastAsia="zh-CN"/>
        </w:rPr>
        <w:t>0098-18</w:t>
      </w:r>
    </w:p>
    <w:p w14:paraId="1B037E26">
      <w:pPr>
        <w:keepNext w:val="0"/>
        <w:keepLines w:val="0"/>
        <w:pageBreakBefore w:val="0"/>
        <w:widowControl w:val="0"/>
        <w:tabs>
          <w:tab w:val="left" w:pos="4728"/>
        </w:tabs>
        <w:kinsoku/>
        <w:wordWrap/>
        <w:overflowPunct/>
        <w:topLinePunct w:val="0"/>
        <w:autoSpaceDE/>
        <w:autoSpaceDN/>
        <w:bidi w:val="0"/>
        <w:adjustRightInd/>
        <w:snapToGrid/>
        <w:spacing w:line="500" w:lineRule="exact"/>
        <w:ind w:firstLine="420" w:firstLineChars="200"/>
        <w:jc w:val="left"/>
        <w:textAlignment w:val="auto"/>
        <w:rPr>
          <w:rFonts w:hint="default" w:ascii="Times New Roman" w:hAnsi="Times New Roman" w:eastAsia="仿宋" w:cs="Times New Roman"/>
          <w:szCs w:val="21"/>
          <w:highlight w:val="none"/>
        </w:rPr>
      </w:pPr>
      <w:r>
        <w:rPr>
          <w:rFonts w:hint="eastAsia" w:ascii="仿宋" w:hAnsi="仿宋" w:eastAsia="仿宋"/>
          <w:szCs w:val="21"/>
          <w:highlight w:val="none"/>
        </w:rPr>
        <w:t>作者印波，中国政法大学刑事司法学院教授、博士生导师，犯罪学研究所副所长，</w:t>
      </w:r>
      <w:bookmarkStart w:id="1" w:name="_Hlk163683739"/>
      <w:r>
        <w:rPr>
          <w:rFonts w:hint="eastAsia" w:ascii="仿宋" w:hAnsi="仿宋" w:eastAsia="仿宋"/>
          <w:szCs w:val="21"/>
          <w:highlight w:val="none"/>
        </w:rPr>
        <w:t>中国伦理学会法律伦理专业委员会秘书长</w:t>
      </w:r>
      <w:bookmarkEnd w:id="1"/>
      <w:r>
        <w:rPr>
          <w:rFonts w:hint="eastAsia" w:ascii="仿宋" w:hAnsi="仿宋" w:eastAsia="仿宋"/>
          <w:szCs w:val="21"/>
          <w:highlight w:val="none"/>
        </w:rPr>
        <w:t>（北京</w:t>
      </w:r>
      <w:r>
        <w:rPr>
          <w:rFonts w:hint="default" w:ascii="Times New Roman" w:hAnsi="Times New Roman" w:eastAsia="仿宋" w:cs="Times New Roman"/>
          <w:szCs w:val="21"/>
          <w:highlight w:val="none"/>
        </w:rPr>
        <w:t xml:space="preserve">  100088）；张蕊，上海财经大学金融法研究中心研究</w:t>
      </w:r>
      <w:r>
        <w:rPr>
          <w:rFonts w:hint="default" w:ascii="Times New Roman" w:hAnsi="Times New Roman" w:eastAsia="仿宋" w:cs="Times New Roman"/>
          <w:szCs w:val="21"/>
          <w:highlight w:val="none"/>
          <w:lang w:val="en-US" w:eastAsia="zh-CN"/>
        </w:rPr>
        <w:t>助理</w:t>
      </w:r>
      <w:r>
        <w:rPr>
          <w:rFonts w:hint="default" w:ascii="Times New Roman" w:hAnsi="Times New Roman" w:eastAsia="仿宋" w:cs="Times New Roman"/>
          <w:szCs w:val="21"/>
          <w:highlight w:val="none"/>
        </w:rPr>
        <w:t>（上海  200433）。</w:t>
      </w:r>
    </w:p>
    <w:p w14:paraId="5867D5CB">
      <w:pPr>
        <w:widowControl/>
        <w:spacing w:line="500" w:lineRule="exact"/>
        <w:jc w:val="left"/>
        <w:rPr>
          <w:rFonts w:hint="default" w:ascii="黑体" w:hAnsi="黑体" w:eastAsia="黑体"/>
          <w:sz w:val="30"/>
          <w:szCs w:val="30"/>
          <w:highlight w:val="none"/>
          <w:u w:val="double"/>
          <w:lang w:val="en-US" w:eastAsia="zh-CN"/>
        </w:rPr>
      </w:pPr>
      <w:r>
        <w:rPr>
          <w:rFonts w:hint="eastAsia" w:ascii="黑体" w:hAnsi="黑体" w:eastAsia="黑体"/>
          <w:sz w:val="30"/>
          <w:szCs w:val="30"/>
          <w:highlight w:val="none"/>
          <w:u w:val="double"/>
          <w:lang w:val="en-US" w:eastAsia="zh-CN"/>
        </w:rPr>
        <w:t xml:space="preserve">                                                         </w:t>
      </w:r>
    </w:p>
    <w:p w14:paraId="71212E36">
      <w:pPr>
        <w:spacing w:line="500" w:lineRule="exact"/>
        <w:ind w:firstLine="480" w:firstLineChars="200"/>
        <w:rPr>
          <w:rFonts w:hint="eastAsia" w:ascii="方正书宋_GBK" w:hAnsi="方正书宋_GBK" w:eastAsia="方正书宋_GBK" w:cs="方正书宋_GBK"/>
          <w:sz w:val="24"/>
          <w:szCs w:val="24"/>
          <w:highlight w:val="none"/>
        </w:rPr>
      </w:pPr>
    </w:p>
    <w:p w14:paraId="0B1C0B12">
      <w:pPr>
        <w:spacing w:line="500" w:lineRule="exact"/>
        <w:ind w:firstLine="480" w:firstLineChars="200"/>
        <w:rPr>
          <w:rFonts w:hint="default" w:ascii="Times New Roman" w:hAnsi="Times New Roman" w:eastAsia="方正书宋_GBK" w:cs="Times New Roman"/>
          <w:sz w:val="24"/>
          <w:szCs w:val="24"/>
          <w:highlight w:val="none"/>
        </w:rPr>
      </w:pPr>
      <w:r>
        <w:rPr>
          <w:rFonts w:hint="eastAsia" w:ascii="方正书宋_GBK" w:hAnsi="方正书宋_GBK" w:eastAsia="方正书宋_GBK" w:cs="方正书宋_GBK"/>
          <w:sz w:val="24"/>
          <w:szCs w:val="24"/>
          <w:highlight w:val="none"/>
        </w:rPr>
        <w:t>我国自</w:t>
      </w:r>
      <w:r>
        <w:rPr>
          <w:rFonts w:hint="default" w:ascii="Times New Roman" w:hAnsi="Times New Roman" w:eastAsia="方正书宋_GBK" w:cs="Times New Roman"/>
          <w:sz w:val="24"/>
          <w:szCs w:val="24"/>
          <w:highlight w:val="none"/>
        </w:rPr>
        <w:t>2020年起探索涉案企业合规改革试点，围绕少捕慎诉慎押刑事的方针政策，对依法可不捕、不诉的，监督涉案企业作出合规承诺的同时切实进行整改，并以第三方监督评估机制强化监管落实。2021年3月，人力</w:t>
      </w:r>
      <w:r>
        <w:rPr>
          <w:rFonts w:hint="eastAsia" w:ascii="方正书宋_GBK" w:hAnsi="方正书宋_GBK" w:eastAsia="方正书宋_GBK" w:cs="方正书宋_GBK"/>
          <w:sz w:val="24"/>
          <w:szCs w:val="24"/>
          <w:highlight w:val="none"/>
        </w:rPr>
        <w:t>资源社会保障部等机关联合发布的</w:t>
      </w:r>
      <w:r>
        <w:rPr>
          <w:rFonts w:hint="default" w:ascii="Times New Roman" w:hAnsi="Times New Roman" w:eastAsia="方正书宋_GBK" w:cs="Times New Roman"/>
          <w:sz w:val="24"/>
          <w:szCs w:val="24"/>
          <w:highlight w:val="none"/>
        </w:rPr>
        <w:t>18个新职业中，企业合规师被纳入其中，这是《中华人民共和国职业分类大典（2015年版）》颁布以来发布的第四批新职业，职业的推陈出新，也体现了社会需求与国家建设重点之所在。2023年最高人民检察院工作报告表明，试点以来，共办理相关合规案件5,150件，其中已有1,498家企业整改合格，3,051名责任人被依法不起诉。但也存在67家企业整改不实，243名责任人被依法追诉，背后原因不为人知，但合规人员应当在每一个合规业务、每一起合规案件中坚守职业伦理，尽全力维护企业利益。</w:t>
      </w:r>
    </w:p>
    <w:p w14:paraId="282F5FF9">
      <w:pPr>
        <w:spacing w:line="500" w:lineRule="exact"/>
        <w:ind w:firstLine="480" w:firstLineChars="200"/>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sz w:val="24"/>
          <w:szCs w:val="24"/>
          <w:highlight w:val="none"/>
        </w:rPr>
        <w:t>例如，最高人民检察院发布的第四批涉案企业合规典型案例中</w:t>
      </w:r>
      <w:r>
        <w:rPr>
          <w:rFonts w:hint="default" w:ascii="Times New Roman" w:hAnsi="Times New Roman" w:eastAsia="方正书宋_GBK" w:cs="Times New Roman"/>
          <w:sz w:val="24"/>
          <w:szCs w:val="24"/>
          <w:highlight w:val="none"/>
          <w:vertAlign w:val="superscript"/>
        </w:rPr>
        <w:footnoteReference w:id="1"/>
      </w:r>
      <w:r>
        <w:rPr>
          <w:rFonts w:hint="default" w:ascii="Times New Roman" w:hAnsi="Times New Roman" w:eastAsia="方正书宋_GBK" w:cs="Times New Roman"/>
          <w:sz w:val="24"/>
          <w:szCs w:val="24"/>
          <w:highlight w:val="none"/>
        </w:rPr>
        <w:t>，案例一为北京李某某等9人保险诈骗案，某汽车销售服务企业员工利用工作之便实施保险诈骗行为，案发初期该企业的车辆维修服务部门一度陷入瘫痪状态，公司的经营管理、企业形象岌岌可危，而主要原因是企业制度建设</w:t>
      </w:r>
      <w:r>
        <w:rPr>
          <w:rFonts w:hint="default" w:ascii="Times New Roman" w:hAnsi="Times New Roman" w:eastAsia="方正书宋_GBK" w:cs="Times New Roman"/>
          <w:sz w:val="24"/>
          <w:szCs w:val="24"/>
          <w:highlight w:val="none"/>
          <w:lang w:val="en-US" w:eastAsia="zh-CN"/>
        </w:rPr>
        <w:t>不完善</w:t>
      </w:r>
      <w:r>
        <w:rPr>
          <w:rFonts w:hint="default" w:ascii="Times New Roman" w:hAnsi="Times New Roman" w:eastAsia="方正书宋_GBK" w:cs="Times New Roman"/>
          <w:sz w:val="24"/>
          <w:szCs w:val="24"/>
          <w:highlight w:val="none"/>
        </w:rPr>
        <w:t>，保险理赔管理制度严密性不足，同时公司人员法律意识不强，导致部分员工以骗保的不法方式为客户修车，以提升个人业绩、维护客户。但是企业主动提出承担企业责任、进行企业合规整改的愿望，后来第三方组织严格落实监管、认定整改合格后，检察机关依法不起诉。结案当年，公司新增员工700余人，营收增加1.6亿元，纳税增加1</w:t>
      </w:r>
      <w:r>
        <w:rPr>
          <w:rFonts w:hint="default" w:ascii="Times New Roman" w:hAnsi="Times New Roman" w:eastAsia="方正书宋_GBK" w:cs="Times New Roman"/>
          <w:sz w:val="24"/>
          <w:szCs w:val="24"/>
          <w:highlight w:val="none"/>
          <w:lang w:val="en-US" w:eastAsia="zh-CN"/>
        </w:rPr>
        <w:t>,</w:t>
      </w:r>
      <w:r>
        <w:rPr>
          <w:rFonts w:hint="default" w:ascii="Times New Roman" w:hAnsi="Times New Roman" w:eastAsia="方正书宋_GBK" w:cs="Times New Roman"/>
          <w:sz w:val="24"/>
          <w:szCs w:val="24"/>
          <w:highlight w:val="none"/>
        </w:rPr>
        <w:t>000万余元，企业重获新生。</w:t>
      </w:r>
      <w:r>
        <w:rPr>
          <w:rFonts w:hint="default" w:ascii="Times New Roman" w:hAnsi="Times New Roman" w:eastAsia="方正书宋_GBK" w:cs="Times New Roman"/>
          <w:sz w:val="24"/>
          <w:szCs w:val="24"/>
          <w:highlight w:val="none"/>
          <w:vertAlign w:val="superscript"/>
        </w:rPr>
        <w:footnoteReference w:id="2"/>
      </w:r>
      <w:r>
        <w:rPr>
          <w:rFonts w:hint="default" w:ascii="Times New Roman" w:hAnsi="Times New Roman" w:eastAsia="方正书宋_GBK" w:cs="Times New Roman"/>
          <w:sz w:val="24"/>
          <w:szCs w:val="24"/>
          <w:highlight w:val="none"/>
        </w:rPr>
        <w:t>该案例十分典型，体现了合规人员积极争取、尽力挽救的职业伦理</w:t>
      </w:r>
      <w:r>
        <w:rPr>
          <w:rFonts w:hint="default" w:ascii="Times New Roman" w:hAnsi="Times New Roman" w:eastAsia="方正书宋_GBK" w:cs="Times New Roman"/>
          <w:sz w:val="24"/>
          <w:szCs w:val="24"/>
          <w:highlight w:val="none"/>
          <w:lang w:val="en-US" w:eastAsia="zh-CN"/>
        </w:rPr>
        <w:t>以及</w:t>
      </w:r>
      <w:r>
        <w:rPr>
          <w:rFonts w:hint="default" w:ascii="Times New Roman" w:hAnsi="Times New Roman" w:eastAsia="方正书宋_GBK" w:cs="Times New Roman"/>
          <w:sz w:val="24"/>
          <w:szCs w:val="24"/>
          <w:highlight w:val="none"/>
        </w:rPr>
        <w:t>合规人员在企业经营管理中的</w:t>
      </w:r>
      <w:r>
        <w:rPr>
          <w:rFonts w:hint="default" w:ascii="Times New Roman" w:hAnsi="Times New Roman" w:eastAsia="方正书宋_GBK" w:cs="Times New Roman"/>
          <w:sz w:val="24"/>
          <w:szCs w:val="24"/>
          <w:highlight w:val="none"/>
          <w:lang w:val="en-US" w:eastAsia="zh-CN"/>
        </w:rPr>
        <w:t>重要</w:t>
      </w:r>
      <w:r>
        <w:rPr>
          <w:rFonts w:hint="default" w:ascii="Times New Roman" w:hAnsi="Times New Roman" w:eastAsia="方正书宋_GBK" w:cs="Times New Roman"/>
          <w:sz w:val="24"/>
          <w:szCs w:val="24"/>
          <w:highlight w:val="none"/>
        </w:rPr>
        <w:t>作用。除此之外，随着改革深入推进，合规案件增长势如破竹，对传统理论的冲击愈演愈烈，改革暴露的前沿问题在不同程度上与公司治理理论、刑事诉讼理论、传统刑法理论之间存在矛盾，并且难以解决。</w:t>
      </w:r>
      <w:r>
        <w:rPr>
          <w:rFonts w:hint="default" w:ascii="Times New Roman" w:hAnsi="Times New Roman" w:eastAsia="方正书宋_GBK" w:cs="Times New Roman"/>
          <w:sz w:val="24"/>
          <w:szCs w:val="24"/>
          <w:highlight w:val="none"/>
          <w:vertAlign w:val="superscript"/>
        </w:rPr>
        <w:footnoteReference w:id="3"/>
      </w:r>
      <w:r>
        <w:rPr>
          <w:rFonts w:hint="default" w:ascii="Times New Roman" w:hAnsi="Times New Roman" w:eastAsia="方正书宋_GBK" w:cs="Times New Roman"/>
          <w:sz w:val="24"/>
          <w:szCs w:val="24"/>
          <w:highlight w:val="none"/>
        </w:rPr>
        <w:t>在全面深化改革的形势下，对合规人员的法律职业伦理进行规制迫在眉睫，因此尽早明确规范并宣传普及合规人员的法律职业伦理势在必行。</w:t>
      </w:r>
    </w:p>
    <w:p w14:paraId="6173FC7D">
      <w:pPr>
        <w:pStyle w:val="2"/>
        <w:bidi w:val="0"/>
        <w:rPr>
          <w:rFonts w:hint="eastAsia"/>
        </w:rPr>
      </w:pPr>
      <w:bookmarkStart w:id="2" w:name="_Toc135988917"/>
      <w:r>
        <w:rPr>
          <w:rFonts w:hint="eastAsia"/>
        </w:rPr>
        <w:t>一、合规人员法律职业伦理研究方法论</w:t>
      </w:r>
      <w:bookmarkEnd w:id="2"/>
    </w:p>
    <w:p w14:paraId="20311211">
      <w:pPr>
        <w:spacing w:line="500" w:lineRule="exact"/>
        <w:ind w:firstLine="480" w:firstLineChars="200"/>
        <w:jc w:val="left"/>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一门学科话语体系中术语的提出与变化，是学术探索的成果。</w:t>
      </w:r>
      <w:r>
        <w:rPr>
          <w:rFonts w:hint="eastAsia" w:ascii="方正书宋_GBK" w:hAnsi="方正书宋_GBK" w:eastAsia="方正书宋_GBK" w:cs="方正书宋_GBK"/>
          <w:sz w:val="24"/>
          <w:szCs w:val="24"/>
          <w:highlight w:val="none"/>
          <w:vertAlign w:val="superscript"/>
        </w:rPr>
        <w:footnoteReference w:id="4"/>
      </w:r>
      <w:r>
        <w:rPr>
          <w:rFonts w:hint="eastAsia" w:ascii="方正书宋_GBK" w:hAnsi="方正书宋_GBK" w:eastAsia="方正书宋_GBK" w:cs="方正书宋_GBK"/>
          <w:sz w:val="24"/>
          <w:szCs w:val="24"/>
          <w:highlight w:val="none"/>
        </w:rPr>
        <w:t>同样，一套话语体系的提炼与运用，是其所属规则运行完善使然。法律职业伦理作为法学的十四门核心课程之一，有异于其他方向的学科方法论。同样，法律职业伦理作为法律人约束自身的行为法，也是有异于各部门法的运行方法论。最为典型的便是其充分运用了元伦理学的关键词归纳术，将诸多价值导向归纳为掷地有声、简洁明了的伦理表述，并始终在学术探讨中强调之。尽管在部门法体系中，也有总则与分则、原则与规则之分，但是从来没有一门部门法将类似于社会主义核心价值观的伦理词汇贯彻</w:t>
      </w:r>
      <w:r>
        <w:rPr>
          <w:rFonts w:hint="eastAsia" w:ascii="方正书宋_GBK" w:hAnsi="方正书宋_GBK" w:eastAsia="方正书宋_GBK" w:cs="方正书宋_GBK"/>
          <w:sz w:val="24"/>
          <w:szCs w:val="24"/>
          <w:highlight w:val="none"/>
          <w:lang w:val="en-US" w:eastAsia="zh-CN"/>
        </w:rPr>
        <w:t>得</w:t>
      </w:r>
      <w:r>
        <w:rPr>
          <w:rFonts w:hint="eastAsia" w:ascii="方正书宋_GBK" w:hAnsi="方正书宋_GBK" w:eastAsia="方正书宋_GBK" w:cs="方正书宋_GBK"/>
          <w:sz w:val="24"/>
          <w:szCs w:val="24"/>
          <w:highlight w:val="none"/>
        </w:rPr>
        <w:t>如法律职业伦理般彻底。法律职业伦理有其独特的方法论，有三项主要原因：</w:t>
      </w:r>
    </w:p>
    <w:p w14:paraId="7ADC8D84">
      <w:pPr>
        <w:spacing w:line="500" w:lineRule="exact"/>
        <w:ind w:firstLine="480" w:firstLineChars="200"/>
        <w:jc w:val="left"/>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一是法律职业伦理学者建构一个新的称谓系统与术语体系，便于通过新概念和范畴来引领学科和实践的发展。对法律职业伦理的概括和描述离不开言语，但言语作为抽象概念，难以直接用于某一方面的研究，而从其中提取若干语言单位，由这些单位构成专属于法律职业伦理领域的称谓系统，不仅有利于搭建法律职业伦理与称谓的坐标系，通过研究语言单位与职业伦理观念之间的共变关系，找寻职业伦理的变迁规律和道德伦理参照系统</w:t>
      </w:r>
      <w:r>
        <w:rPr>
          <w:rFonts w:hint="eastAsia" w:ascii="方正书宋_GBK" w:hAnsi="方正书宋_GBK" w:eastAsia="方正书宋_GBK" w:cs="方正书宋_GBK"/>
          <w:sz w:val="24"/>
          <w:szCs w:val="24"/>
          <w:highlight w:val="none"/>
          <w:vertAlign w:val="superscript"/>
        </w:rPr>
        <w:footnoteReference w:id="5"/>
      </w:r>
      <w:r>
        <w:rPr>
          <w:rFonts w:hint="eastAsia" w:ascii="方正书宋_GBK" w:hAnsi="方正书宋_GBK" w:eastAsia="方正书宋_GBK" w:cs="方正书宋_GBK"/>
          <w:sz w:val="24"/>
          <w:szCs w:val="24"/>
          <w:highlight w:val="none"/>
        </w:rPr>
        <w:t>，更有助于法律职业伦理的学科进行独立性建设与自主性发展。</w:t>
      </w:r>
    </w:p>
    <w:p w14:paraId="241D04E6">
      <w:pPr>
        <w:spacing w:line="500" w:lineRule="exact"/>
        <w:ind w:firstLine="480" w:firstLineChars="200"/>
        <w:jc w:val="left"/>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二是任何理论都不是先验的，法律职业伦理作为一门以伦理道德为基础的学科更是如此，其应当是发轫于现实生活，充实于社会历史中的。这也决定了法律职业伦理的称谓系统与术语体系不能束之高阁，而需要“从现实出发”，立足“群众的世界”，而后再进行“科学的抽象”</w:t>
      </w:r>
      <w:r>
        <w:rPr>
          <w:rFonts w:hint="eastAsia" w:ascii="方正书宋_GBK" w:hAnsi="方正书宋_GBK" w:eastAsia="方正书宋_GBK" w:cs="方正书宋_GBK"/>
          <w:sz w:val="24"/>
          <w:szCs w:val="24"/>
          <w:highlight w:val="none"/>
          <w:vertAlign w:val="superscript"/>
        </w:rPr>
        <w:footnoteReference w:id="6"/>
      </w:r>
      <w:r>
        <w:rPr>
          <w:rFonts w:hint="eastAsia" w:ascii="方正书宋_GBK" w:hAnsi="方正书宋_GBK" w:eastAsia="方正书宋_GBK" w:cs="方正书宋_GBK"/>
          <w:sz w:val="24"/>
          <w:szCs w:val="24"/>
          <w:highlight w:val="none"/>
        </w:rPr>
        <w:t>，符合马克思主义方法论高度自觉——类似于概括社会主义核心价值观的方法论指导。</w:t>
      </w:r>
    </w:p>
    <w:p w14:paraId="2055C9FA">
      <w:pPr>
        <w:spacing w:line="500" w:lineRule="exact"/>
        <w:ind w:firstLine="480" w:firstLineChars="200"/>
        <w:jc w:val="left"/>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三是观点的大众化传播与普遍化认同要求其语言形式简单明了、老妪能解。阳春白雪的表达难以让法律职业伦理被法律执业者掌握并为其自觉遵循。通俗化在实现马克思主义大众化中</w:t>
      </w:r>
      <w:r>
        <w:rPr>
          <w:rFonts w:hint="eastAsia" w:ascii="方正书宋_GBK" w:hAnsi="方正书宋_GBK" w:eastAsia="方正书宋_GBK" w:cs="方正书宋_GBK"/>
          <w:sz w:val="24"/>
          <w:szCs w:val="24"/>
          <w:highlight w:val="none"/>
          <w:lang w:val="en-US" w:eastAsia="zh-CN"/>
        </w:rPr>
        <w:t>具有举足轻重的作用</w:t>
      </w:r>
      <w:r>
        <w:rPr>
          <w:rFonts w:hint="eastAsia" w:ascii="方正书宋_GBK" w:hAnsi="方正书宋_GBK" w:eastAsia="方正书宋_GBK" w:cs="方正书宋_GBK"/>
          <w:sz w:val="24"/>
          <w:szCs w:val="24"/>
          <w:highlight w:val="none"/>
        </w:rPr>
        <w:t>。同样的，要使法律职业伦理达到入耳入脑的传播效果，使其内化于心、成为法律人的价值追求，外化为行、成为法律人的自觉，就必须努力做到深入浅出、简洁明了、通俗易懂。若对法律职业伦理进行概括和归纳时所用的文字表述过于冗长、拗口，就会囿于学术界，仅为少数学者、精英了解和掌握，不能深入法律职业共同体中，也就有违我们抽象、提炼法律职业伦理的目的和意义。</w:t>
      </w:r>
      <w:bookmarkStart w:id="3" w:name="_Toc135988918"/>
    </w:p>
    <w:p w14:paraId="71535585">
      <w:pPr>
        <w:pStyle w:val="2"/>
        <w:bidi w:val="0"/>
        <w:rPr>
          <w:rFonts w:hint="eastAsia"/>
        </w:rPr>
      </w:pPr>
      <w:r>
        <w:rPr>
          <w:rFonts w:hint="eastAsia"/>
        </w:rPr>
        <w:t>二、我国合规制度改革与合规人员的角色定位</w:t>
      </w:r>
      <w:bookmarkEnd w:id="3"/>
    </w:p>
    <w:p w14:paraId="3E307A21">
      <w:pPr>
        <w:pStyle w:val="3"/>
        <w:bidi w:val="0"/>
        <w:rPr>
          <w:rFonts w:hint="eastAsia"/>
        </w:rPr>
      </w:pPr>
      <w:bookmarkStart w:id="4" w:name="_Toc135988919"/>
      <w:r>
        <w:rPr>
          <w:rFonts w:hint="eastAsia"/>
        </w:rPr>
        <w:t>（一）合规改革历程——政策发展</w:t>
      </w:r>
      <w:bookmarkEnd w:id="4"/>
    </w:p>
    <w:p w14:paraId="130CA358">
      <w:pPr>
        <w:spacing w:line="500" w:lineRule="exact"/>
        <w:ind w:firstLine="480" w:firstLineChars="200"/>
        <w:rPr>
          <w:rFonts w:hint="eastAsia" w:ascii="方正书宋_GBK" w:hAnsi="方正书宋_GBK" w:eastAsia="方正书宋_GBK" w:cs="方正书宋_GBK"/>
          <w:spacing w:val="-6"/>
          <w:sz w:val="24"/>
          <w:szCs w:val="24"/>
          <w:highlight w:val="none"/>
        </w:rPr>
      </w:pPr>
      <w:r>
        <w:rPr>
          <w:rFonts w:hint="eastAsia" w:ascii="方正书宋_GBK" w:hAnsi="方正书宋_GBK" w:eastAsia="方正书宋_GBK" w:cs="方正书宋_GBK"/>
          <w:sz w:val="24"/>
          <w:szCs w:val="24"/>
          <w:highlight w:val="none"/>
        </w:rPr>
        <w:t>党的二十大报告明确提出，“完善社会治理体系。健全共建共治共享的社会治理制度，提升社会治理效能”</w:t>
      </w:r>
      <w:r>
        <w:rPr>
          <w:rStyle w:val="21"/>
          <w:rFonts w:hint="eastAsia" w:ascii="方正书宋_GBK" w:hAnsi="方正书宋_GBK" w:eastAsia="方正书宋_GBK" w:cs="方正书宋_GBK"/>
          <w:sz w:val="24"/>
          <w:szCs w:val="24"/>
          <w:highlight w:val="none"/>
        </w:rPr>
        <w:footnoteReference w:id="7"/>
      </w:r>
      <w:r>
        <w:rPr>
          <w:rFonts w:hint="eastAsia" w:ascii="方正书宋_GBK" w:hAnsi="方正书宋_GBK" w:eastAsia="方正书宋_GBK" w:cs="方正书宋_GBK"/>
          <w:sz w:val="24"/>
          <w:szCs w:val="24"/>
          <w:highlight w:val="none"/>
        </w:rPr>
        <w:t>。涉案企业合规制度改革深入贯彻了习近平法治思想，改革通过实践探索不断创新，更加充分地发挥了法律监督职能并提升了社会治理能力。改革发轫于</w:t>
      </w:r>
      <w:r>
        <w:rPr>
          <w:rFonts w:hint="default" w:ascii="Times New Roman" w:hAnsi="Times New Roman" w:eastAsia="方正书宋_GBK" w:cs="Times New Roman"/>
          <w:sz w:val="24"/>
          <w:szCs w:val="24"/>
          <w:highlight w:val="none"/>
        </w:rPr>
        <w:t>2020年3月，最高人民检察院在4个省（市）的6家基层人民检察院进行涉案企业合规改革首批试点工作；到2021年3月，最高</w:t>
      </w:r>
      <w:r>
        <w:rPr>
          <w:rFonts w:hint="default" w:ascii="Times New Roman" w:hAnsi="Times New Roman" w:eastAsia="方正书宋_GBK" w:cs="Times New Roman"/>
          <w:sz w:val="24"/>
          <w:szCs w:val="24"/>
          <w:highlight w:val="none"/>
          <w:lang w:val="en-US" w:eastAsia="zh-CN"/>
        </w:rPr>
        <w:t>人民检察院</w:t>
      </w:r>
      <w:r>
        <w:rPr>
          <w:rFonts w:hint="default" w:ascii="Times New Roman" w:hAnsi="Times New Roman" w:eastAsia="方正书宋_GBK" w:cs="Times New Roman"/>
          <w:sz w:val="24"/>
          <w:szCs w:val="24"/>
          <w:highlight w:val="none"/>
        </w:rPr>
        <w:t>在10个省（市）、62个市级检察院、387个基层检察院开展第二批改革试点</w:t>
      </w:r>
      <w:r>
        <w:rPr>
          <w:rFonts w:hint="default" w:ascii="Times New Roman" w:hAnsi="Times New Roman" w:eastAsia="方正书宋_GBK" w:cs="Times New Roman"/>
          <w:spacing w:val="-6"/>
          <w:sz w:val="24"/>
          <w:szCs w:val="24"/>
          <w:highlight w:val="none"/>
        </w:rPr>
        <w:t>工作，再到2022年在全国范围内推开改革试点，涉案企业合规改革至今已4年</w:t>
      </w:r>
      <w:r>
        <w:rPr>
          <w:rFonts w:hint="eastAsia" w:ascii="方正书宋_GBK" w:hAnsi="方正书宋_GBK" w:eastAsia="方正书宋_GBK" w:cs="方正书宋_GBK"/>
          <w:spacing w:val="-6"/>
          <w:sz w:val="24"/>
          <w:szCs w:val="24"/>
          <w:highlight w:val="none"/>
        </w:rPr>
        <w:t>。</w:t>
      </w:r>
      <w:r>
        <w:rPr>
          <w:rStyle w:val="21"/>
          <w:rFonts w:hint="eastAsia" w:ascii="方正书宋_GBK" w:hAnsi="方正书宋_GBK" w:eastAsia="方正书宋_GBK" w:cs="方正书宋_GBK"/>
          <w:spacing w:val="-6"/>
          <w:sz w:val="24"/>
          <w:szCs w:val="24"/>
          <w:highlight w:val="none"/>
        </w:rPr>
        <w:footnoteReference w:id="8"/>
      </w:r>
    </w:p>
    <w:p w14:paraId="6D9861FD">
      <w:pPr>
        <w:spacing w:line="500" w:lineRule="exact"/>
        <w:ind w:firstLine="480" w:firstLineChars="200"/>
        <w:rPr>
          <w:rFonts w:hint="default" w:ascii="Times New Roman" w:hAnsi="Times New Roman" w:eastAsia="方正书宋_GBK" w:cs="Times New Roman"/>
          <w:sz w:val="24"/>
          <w:szCs w:val="24"/>
          <w:highlight w:val="none"/>
        </w:rPr>
      </w:pPr>
      <w:r>
        <w:rPr>
          <w:rFonts w:hint="eastAsia" w:ascii="方正书宋_GBK" w:hAnsi="方正书宋_GBK" w:eastAsia="方正书宋_GBK" w:cs="方正书宋_GBK"/>
          <w:sz w:val="24"/>
          <w:szCs w:val="24"/>
          <w:highlight w:val="none"/>
        </w:rPr>
        <w:t>改革进行至今，一系列政策性规范文件的发布</w:t>
      </w:r>
      <w:r>
        <w:rPr>
          <w:rStyle w:val="21"/>
          <w:rFonts w:hint="eastAsia" w:ascii="方正书宋_GBK" w:hAnsi="方正书宋_GBK" w:eastAsia="方正书宋_GBK" w:cs="方正书宋_GBK"/>
          <w:sz w:val="24"/>
          <w:szCs w:val="24"/>
          <w:highlight w:val="none"/>
        </w:rPr>
        <w:footnoteReference w:id="9"/>
      </w:r>
      <w:r>
        <w:rPr>
          <w:rFonts w:hint="eastAsia" w:ascii="方正书宋_GBK" w:hAnsi="方正书宋_GBK" w:eastAsia="方正书宋_GBK" w:cs="方正书宋_GBK"/>
          <w:sz w:val="24"/>
          <w:szCs w:val="24"/>
          <w:highlight w:val="none"/>
        </w:rPr>
        <w:t>，逐渐明确了有效合规整改之标准。</w:t>
      </w:r>
      <w:r>
        <w:rPr>
          <w:rFonts w:hint="default" w:ascii="Times New Roman" w:hAnsi="Times New Roman" w:eastAsia="方正书宋_GBK" w:cs="Times New Roman"/>
          <w:sz w:val="24"/>
          <w:szCs w:val="24"/>
          <w:highlight w:val="none"/>
        </w:rPr>
        <w:t>2022年4月，最高人民检察院联合</w:t>
      </w:r>
      <w:r>
        <w:rPr>
          <w:rFonts w:hint="default" w:ascii="Times New Roman" w:hAnsi="Times New Roman" w:eastAsia="方正书宋_GBK" w:cs="Times New Roman"/>
          <w:sz w:val="24"/>
          <w:szCs w:val="24"/>
          <w:highlight w:val="none"/>
          <w:lang w:val="en-US" w:eastAsia="zh-CN"/>
        </w:rPr>
        <w:t>中华</w:t>
      </w:r>
      <w:r>
        <w:rPr>
          <w:rFonts w:hint="default" w:ascii="Times New Roman" w:hAnsi="Times New Roman" w:eastAsia="方正书宋_GBK" w:cs="Times New Roman"/>
          <w:sz w:val="24"/>
          <w:szCs w:val="24"/>
          <w:highlight w:val="none"/>
        </w:rPr>
        <w:t>全国工商</w:t>
      </w:r>
      <w:r>
        <w:rPr>
          <w:rFonts w:hint="default" w:ascii="Times New Roman" w:hAnsi="Times New Roman" w:eastAsia="方正书宋_GBK" w:cs="Times New Roman"/>
          <w:sz w:val="24"/>
          <w:szCs w:val="24"/>
          <w:highlight w:val="none"/>
          <w:lang w:val="en-US" w:eastAsia="zh-CN"/>
        </w:rPr>
        <w:t>业联合会</w:t>
      </w:r>
      <w:r>
        <w:rPr>
          <w:rFonts w:hint="default" w:ascii="Times New Roman" w:hAnsi="Times New Roman" w:eastAsia="方正书宋_GBK" w:cs="Times New Roman"/>
          <w:sz w:val="24"/>
          <w:szCs w:val="24"/>
          <w:highlight w:val="none"/>
        </w:rPr>
        <w:t>等部门印发的《涉案企业合规建设、评估和审查办法（试行）》，提出了第三方机制中的有效合规整改标准，明确了有效合规管理制度的基本要素，是合规人员制定合规计划以及第三方组织评估时所需考虑的重点。此后，2022年10月国家市场监督管理总局、国家标准化管理委员会发布的《合规管理体系要求及使用指南》（GB/T 35770-2022）更为全面细致地明晰了合规管理体系的要求。</w:t>
      </w:r>
    </w:p>
    <w:p w14:paraId="538B6DD5">
      <w:pPr>
        <w:pStyle w:val="3"/>
        <w:bidi w:val="0"/>
        <w:rPr>
          <w:rFonts w:hint="eastAsia"/>
        </w:rPr>
      </w:pPr>
      <w:bookmarkStart w:id="5" w:name="_Toc135988920"/>
      <w:r>
        <w:rPr>
          <w:rFonts w:hint="eastAsia"/>
        </w:rPr>
        <w:t>（二）合规行业现状——实例分析</w:t>
      </w:r>
      <w:bookmarkEnd w:id="5"/>
      <w:r>
        <w:rPr>
          <w:rFonts w:hint="eastAsia"/>
        </w:rPr>
        <w:tab/>
      </w:r>
    </w:p>
    <w:p w14:paraId="0BE80CCF">
      <w:pPr>
        <w:spacing w:line="500" w:lineRule="exact"/>
        <w:ind w:firstLine="480" w:firstLineChars="200"/>
        <w:rPr>
          <w:rFonts w:hint="default" w:ascii="Times New Roman" w:hAnsi="Times New Roman" w:eastAsia="方正书宋_GBK" w:cs="Times New Roman"/>
          <w:sz w:val="24"/>
          <w:szCs w:val="24"/>
          <w:highlight w:val="none"/>
        </w:rPr>
      </w:pPr>
      <w:r>
        <w:rPr>
          <w:rFonts w:hint="eastAsia" w:ascii="方正书宋_GBK" w:hAnsi="方正书宋_GBK" w:eastAsia="方正书宋_GBK" w:cs="方正书宋_GBK"/>
          <w:sz w:val="24"/>
          <w:szCs w:val="24"/>
          <w:highlight w:val="none"/>
        </w:rPr>
        <w:t>企业合规改革在维护市场经济秩序，实现企业经营方式的去犯罪化，成为近年来我国</w:t>
      </w:r>
      <w:r>
        <w:rPr>
          <w:rFonts w:hint="default" w:ascii="Times New Roman" w:hAnsi="Times New Roman" w:eastAsia="方正书宋_GBK" w:cs="Times New Roman"/>
          <w:sz w:val="24"/>
          <w:szCs w:val="24"/>
          <w:highlight w:val="none"/>
        </w:rPr>
        <w:t>最重要、最成功、社会效果最为显著的刑事司法改革。经过两年多的探索试点，特别是2022年4月改革试点全面推开后，涉案企业合规改革在办案规模的扩大、合规质效的提升、工作机制的完善、典型案例的培育等方面取得新成效，正在逐步向纵深发展。</w:t>
      </w:r>
      <w:r>
        <w:rPr>
          <w:rFonts w:hint="default" w:ascii="Times New Roman" w:hAnsi="Times New Roman" w:eastAsia="方正书宋_GBK" w:cs="Times New Roman"/>
          <w:sz w:val="24"/>
          <w:szCs w:val="24"/>
          <w:highlight w:val="none"/>
          <w:vertAlign w:val="superscript"/>
        </w:rPr>
        <w:footnoteReference w:id="10"/>
      </w:r>
      <w:r>
        <w:rPr>
          <w:rFonts w:hint="default" w:ascii="Times New Roman" w:hAnsi="Times New Roman" w:eastAsia="方正书宋_GBK" w:cs="Times New Roman"/>
          <w:sz w:val="24"/>
          <w:szCs w:val="24"/>
          <w:highlight w:val="none"/>
        </w:rPr>
        <w:t>截至2022年12月，全国检察机关累计办理涉案企业合规案件5</w:t>
      </w:r>
      <w:r>
        <w:rPr>
          <w:rFonts w:hint="default" w:ascii="Times New Roman" w:hAnsi="Times New Roman" w:eastAsia="方正书宋_GBK" w:cs="Times New Roman"/>
          <w:sz w:val="24"/>
          <w:szCs w:val="24"/>
          <w:highlight w:val="none"/>
          <w:lang w:val="en-US" w:eastAsia="zh-CN"/>
        </w:rPr>
        <w:t>,</w:t>
      </w:r>
      <w:r>
        <w:rPr>
          <w:rFonts w:hint="default" w:ascii="Times New Roman" w:hAnsi="Times New Roman" w:eastAsia="方正书宋_GBK" w:cs="Times New Roman"/>
          <w:sz w:val="24"/>
          <w:szCs w:val="24"/>
          <w:highlight w:val="none"/>
        </w:rPr>
        <w:t>150件，其中适用第三方监督评估机制案件3</w:t>
      </w:r>
      <w:r>
        <w:rPr>
          <w:rFonts w:hint="default" w:ascii="Times New Roman" w:hAnsi="Times New Roman" w:eastAsia="方正书宋_GBK" w:cs="Times New Roman"/>
          <w:sz w:val="24"/>
          <w:szCs w:val="24"/>
          <w:highlight w:val="none"/>
          <w:lang w:val="en-US" w:eastAsia="zh-CN"/>
        </w:rPr>
        <w:t>,</w:t>
      </w:r>
      <w:r>
        <w:rPr>
          <w:rFonts w:hint="default" w:ascii="Times New Roman" w:hAnsi="Times New Roman" w:eastAsia="方正书宋_GBK" w:cs="Times New Roman"/>
          <w:sz w:val="24"/>
          <w:szCs w:val="24"/>
          <w:highlight w:val="none"/>
        </w:rPr>
        <w:t>577件，占全部合规案件的69.5%，较2022年4月初全国推开时分别新增3</w:t>
      </w:r>
      <w:r>
        <w:rPr>
          <w:rFonts w:hint="default" w:ascii="Times New Roman" w:hAnsi="Times New Roman" w:eastAsia="方正书宋_GBK" w:cs="Times New Roman"/>
          <w:sz w:val="24"/>
          <w:szCs w:val="24"/>
          <w:highlight w:val="none"/>
          <w:lang w:val="en-US" w:eastAsia="zh-CN"/>
        </w:rPr>
        <w:t>,</w:t>
      </w:r>
      <w:r>
        <w:rPr>
          <w:rFonts w:hint="default" w:ascii="Times New Roman" w:hAnsi="Times New Roman" w:eastAsia="方正书宋_GBK" w:cs="Times New Roman"/>
          <w:sz w:val="24"/>
          <w:szCs w:val="24"/>
          <w:highlight w:val="none"/>
        </w:rPr>
        <w:t>825件、2</w:t>
      </w:r>
      <w:r>
        <w:rPr>
          <w:rFonts w:hint="default" w:ascii="Times New Roman" w:hAnsi="Times New Roman" w:eastAsia="方正书宋_GBK" w:cs="Times New Roman"/>
          <w:sz w:val="24"/>
          <w:szCs w:val="24"/>
          <w:highlight w:val="none"/>
          <w:lang w:val="en-US" w:eastAsia="zh-CN"/>
        </w:rPr>
        <w:t>,</w:t>
      </w:r>
      <w:r>
        <w:rPr>
          <w:rFonts w:hint="default" w:ascii="Times New Roman" w:hAnsi="Times New Roman" w:eastAsia="方正书宋_GBK" w:cs="Times New Roman"/>
          <w:sz w:val="24"/>
          <w:szCs w:val="24"/>
          <w:highlight w:val="none"/>
        </w:rPr>
        <w:t>976件；对整改合规的1</w:t>
      </w:r>
      <w:r>
        <w:rPr>
          <w:rFonts w:hint="default" w:ascii="Times New Roman" w:hAnsi="Times New Roman" w:eastAsia="方正书宋_GBK" w:cs="Times New Roman"/>
          <w:sz w:val="24"/>
          <w:szCs w:val="24"/>
          <w:highlight w:val="none"/>
          <w:lang w:val="en-US" w:eastAsia="zh-CN"/>
        </w:rPr>
        <w:t>,</w:t>
      </w:r>
      <w:r>
        <w:rPr>
          <w:rFonts w:hint="default" w:ascii="Times New Roman" w:hAnsi="Times New Roman" w:eastAsia="方正书宋_GBK" w:cs="Times New Roman"/>
          <w:sz w:val="24"/>
          <w:szCs w:val="24"/>
          <w:highlight w:val="none"/>
        </w:rPr>
        <w:t>498家企业、3</w:t>
      </w:r>
      <w:r>
        <w:rPr>
          <w:rFonts w:hint="default" w:ascii="Times New Roman" w:hAnsi="Times New Roman" w:eastAsia="方正书宋_GBK" w:cs="Times New Roman"/>
          <w:sz w:val="24"/>
          <w:szCs w:val="24"/>
          <w:highlight w:val="none"/>
          <w:lang w:val="en-US" w:eastAsia="zh-CN"/>
        </w:rPr>
        <w:t>,</w:t>
      </w:r>
      <w:r>
        <w:rPr>
          <w:rFonts w:hint="default" w:ascii="Times New Roman" w:hAnsi="Times New Roman" w:eastAsia="方正书宋_GBK" w:cs="Times New Roman"/>
          <w:sz w:val="24"/>
          <w:szCs w:val="24"/>
          <w:highlight w:val="none"/>
        </w:rPr>
        <w:t>051人依法作出不起诉决定。</w:t>
      </w:r>
      <w:r>
        <w:rPr>
          <w:rStyle w:val="21"/>
          <w:rFonts w:hint="default" w:ascii="Times New Roman" w:hAnsi="Times New Roman" w:eastAsia="方正书宋_GBK" w:cs="Times New Roman"/>
          <w:sz w:val="24"/>
          <w:szCs w:val="24"/>
          <w:highlight w:val="none"/>
        </w:rPr>
        <w:footnoteReference w:id="11"/>
      </w:r>
      <w:r>
        <w:rPr>
          <w:rFonts w:hint="default" w:ascii="Times New Roman" w:hAnsi="Times New Roman" w:eastAsia="方正书宋_GBK" w:cs="Times New Roman"/>
          <w:sz w:val="24"/>
          <w:szCs w:val="24"/>
          <w:highlight w:val="none"/>
        </w:rPr>
        <w:t>数据的井喷式增长，体现合规改革声势规模之大，进展如火如荼，充分说明企业合规改革实现了有效保护企业的预期目标，满足了社会各界对改革的强烈期待，具有重大的政治意义和普遍的社会意义，成为国家治理体系和治理能力现代化的重要体现。</w:t>
      </w:r>
      <w:r>
        <w:rPr>
          <w:rFonts w:hint="default" w:ascii="Times New Roman" w:hAnsi="Times New Roman" w:eastAsia="方正书宋_GBK" w:cs="Times New Roman"/>
          <w:sz w:val="24"/>
          <w:szCs w:val="24"/>
          <w:highlight w:val="none"/>
          <w:vertAlign w:val="superscript"/>
        </w:rPr>
        <w:footnoteReference w:id="12"/>
      </w:r>
    </w:p>
    <w:p w14:paraId="7ADB0AB3">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在改革过程中，检察机关的办案样式基本为两种——检察建议模式和合规考察模式。二者的主要区别为是否为涉罪企业设置确定的合规考察期，以及何时作出是否起诉的决定。在实践中具体表现为：前者一般不为涉罪企业设置确定的考察期，由检察机关对涉罪企业或企业负责人作出酌定不起诉，并同时向其提出建立健全合规管理体系的检察建议；后者则要求检察机关为待考察企业设定考察期，以企业在该期限内的整改表现情况为依据，判断是否对涉罪企业或其负责人作出起诉决定。</w:t>
      </w:r>
      <w:r>
        <w:rPr>
          <w:rFonts w:hint="eastAsia" w:ascii="方正书宋_GBK" w:hAnsi="方正书宋_GBK" w:eastAsia="方正书宋_GBK" w:cs="方正书宋_GBK"/>
          <w:sz w:val="24"/>
          <w:szCs w:val="24"/>
          <w:highlight w:val="none"/>
          <w:vertAlign w:val="superscript"/>
        </w:rPr>
        <w:footnoteReference w:id="13"/>
      </w:r>
      <w:r>
        <w:rPr>
          <w:rFonts w:hint="eastAsia" w:ascii="方正书宋_GBK" w:hAnsi="方正书宋_GBK" w:eastAsia="方正书宋_GBK" w:cs="方正书宋_GBK"/>
          <w:sz w:val="24"/>
          <w:szCs w:val="24"/>
          <w:highlight w:val="none"/>
        </w:rPr>
        <w:t>两种模式各有所长，可以变通适用，以适应我国复杂的市场环境。如针对小微企业或初创企业，其可能尚未启动合规管理建设或合规管理还不健全，由于其规模小、构成简单，若涉嫌轻微犯罪，则可以较为灵活的检察建议模式进行合规调整；而针对大型企业，因其治理结构复杂、潜在犯罪类型多样，即便存在合规管理建设也不能十分彻底、尽善尽美，若涉嫌重大犯罪案件，则合规整改难度大，此时便应适用更为严密、有司法强制力保障的合规考察模式。在不同模式下，为企业服务的合规人员所应遵守的职业伦理异曲同工。</w:t>
      </w:r>
    </w:p>
    <w:p w14:paraId="077B38A7">
      <w:pPr>
        <w:pStyle w:val="3"/>
        <w:bidi w:val="0"/>
        <w:rPr>
          <w:rFonts w:hint="eastAsia"/>
        </w:rPr>
      </w:pPr>
      <w:bookmarkStart w:id="6" w:name="_Toc135988921"/>
      <w:r>
        <w:rPr>
          <w:rFonts w:hint="eastAsia"/>
        </w:rPr>
        <w:t>（三）合规人员与合规监管人员、法务人员的区别</w:t>
      </w:r>
      <w:bookmarkEnd w:id="6"/>
    </w:p>
    <w:p w14:paraId="1DA32291">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论文的法律职业伦理研究对象为合规人员，此处并非指第三方监督评估组织或称合规监管人，而是企业专项合规建设小组或企业内部合规部门之类，为实现企业利益的最大化，进行业务管理、风险防控的专业人员，负责宣传和执行公司内部合规制度、帮助部门和员工遵守法律法规和内部规章制度、协助公司建立和改进合规管理制度、帮助公司应对合规风险、为员工提供合规培训、协助进行合规调查等，其不同于合规监管人，也不同于法务人员。</w:t>
      </w:r>
    </w:p>
    <w:p w14:paraId="6685CB25">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合规监管人是指负责监督和管理企业合规工作的人员，负责审核和监督公司内部合规制度的执行情况、协助公司应对合规监管机构的检查、帮助公司建立和完善合规监管制度、协助进行合规调查和处理违规行为等。在我国，合规监管人的存在依附于涉案合规制度改革。在企业合规改革试点工作中，各地对合规监管人的称谓并不统一，如深圳宝安区的叫法是</w:t>
      </w:r>
      <w:r>
        <w:rPr>
          <w:rFonts w:hint="eastAsia" w:ascii="方正书宋_GBK" w:hAnsi="方正书宋_GBK" w:eastAsia="方正书宋_GBK" w:cs="方正书宋_GBK"/>
          <w:sz w:val="24"/>
          <w:szCs w:val="24"/>
          <w:highlight w:val="none"/>
          <w:lang w:eastAsia="zh-CN"/>
        </w:rPr>
        <w:t>“</w:t>
      </w:r>
      <w:r>
        <w:rPr>
          <w:rFonts w:hint="eastAsia" w:ascii="方正书宋_GBK" w:hAnsi="方正书宋_GBK" w:eastAsia="方正书宋_GBK" w:cs="方正书宋_GBK"/>
          <w:sz w:val="24"/>
          <w:szCs w:val="24"/>
          <w:highlight w:val="none"/>
        </w:rPr>
        <w:t>独立监控人</w:t>
      </w:r>
      <w:r>
        <w:rPr>
          <w:rFonts w:hint="eastAsia" w:ascii="方正书宋_GBK" w:hAnsi="方正书宋_GBK" w:eastAsia="方正书宋_GBK" w:cs="方正书宋_GBK"/>
          <w:sz w:val="24"/>
          <w:szCs w:val="24"/>
          <w:highlight w:val="none"/>
          <w:lang w:eastAsia="zh-CN"/>
        </w:rPr>
        <w:t>”</w:t>
      </w:r>
      <w:r>
        <w:rPr>
          <w:rFonts w:hint="eastAsia" w:ascii="方正书宋_GBK" w:hAnsi="方正书宋_GBK" w:eastAsia="方正书宋_GBK" w:cs="方正书宋_GBK"/>
          <w:sz w:val="24"/>
          <w:szCs w:val="24"/>
          <w:highlight w:val="none"/>
        </w:rPr>
        <w:t>；上海市金山区的叫法是</w:t>
      </w:r>
      <w:r>
        <w:rPr>
          <w:rFonts w:hint="eastAsia" w:ascii="方正书宋_GBK" w:hAnsi="方正书宋_GBK" w:eastAsia="方正书宋_GBK" w:cs="方正书宋_GBK"/>
          <w:sz w:val="24"/>
          <w:szCs w:val="24"/>
          <w:highlight w:val="none"/>
          <w:lang w:eastAsia="zh-CN"/>
        </w:rPr>
        <w:t>“</w:t>
      </w:r>
      <w:r>
        <w:rPr>
          <w:rFonts w:hint="eastAsia" w:ascii="方正书宋_GBK" w:hAnsi="方正书宋_GBK" w:eastAsia="方正书宋_GBK" w:cs="方正书宋_GBK"/>
          <w:sz w:val="24"/>
          <w:szCs w:val="24"/>
          <w:highlight w:val="none"/>
        </w:rPr>
        <w:t>第三方监管人</w:t>
      </w:r>
      <w:r>
        <w:rPr>
          <w:rFonts w:hint="eastAsia" w:ascii="方正书宋_GBK" w:hAnsi="方正书宋_GBK" w:eastAsia="方正书宋_GBK" w:cs="方正书宋_GBK"/>
          <w:sz w:val="24"/>
          <w:szCs w:val="24"/>
          <w:highlight w:val="none"/>
          <w:lang w:eastAsia="zh-CN"/>
        </w:rPr>
        <w:t>”</w:t>
      </w:r>
      <w:r>
        <w:rPr>
          <w:rFonts w:hint="eastAsia" w:ascii="方正书宋_GBK" w:hAnsi="方正书宋_GBK" w:eastAsia="方正书宋_GBK" w:cs="方正书宋_GBK"/>
          <w:sz w:val="24"/>
          <w:szCs w:val="24"/>
          <w:highlight w:val="none"/>
        </w:rPr>
        <w:t>，在《关于建立涉案企业合规第三方监督评估机制的指导意见（试行）》中明确此种机制为第三方监督评估机制，但万变不离其宗，尽管称谓不一，职能</w:t>
      </w:r>
      <w:r>
        <w:rPr>
          <w:rFonts w:hint="eastAsia" w:ascii="方正书宋_GBK" w:hAnsi="方正书宋_GBK" w:eastAsia="方正书宋_GBK" w:cs="方正书宋_GBK"/>
          <w:sz w:val="24"/>
          <w:szCs w:val="24"/>
          <w:highlight w:val="none"/>
          <w:lang w:val="en-US" w:eastAsia="zh-CN"/>
        </w:rPr>
        <w:t>却</w:t>
      </w:r>
      <w:r>
        <w:rPr>
          <w:rFonts w:hint="eastAsia" w:ascii="方正书宋_GBK" w:hAnsi="方正书宋_GBK" w:eastAsia="方正书宋_GBK" w:cs="方正书宋_GBK"/>
          <w:sz w:val="24"/>
          <w:szCs w:val="24"/>
          <w:highlight w:val="none"/>
        </w:rPr>
        <w:t>相同，需要向法检机关提交监督报告，并对其负责，这与破产管理人有异曲同工之妙。</w:t>
      </w:r>
      <w:r>
        <w:rPr>
          <w:rFonts w:hint="eastAsia" w:ascii="方正书宋_GBK" w:hAnsi="方正书宋_GBK" w:eastAsia="方正书宋_GBK" w:cs="方正书宋_GBK"/>
          <w:sz w:val="24"/>
          <w:szCs w:val="24"/>
          <w:highlight w:val="none"/>
          <w:vertAlign w:val="superscript"/>
        </w:rPr>
        <w:footnoteReference w:id="14"/>
      </w:r>
      <w:r>
        <w:rPr>
          <w:rFonts w:hint="eastAsia" w:ascii="方正书宋_GBK" w:hAnsi="方正书宋_GBK" w:eastAsia="方正书宋_GBK" w:cs="方正书宋_GBK"/>
          <w:sz w:val="24"/>
          <w:szCs w:val="24"/>
          <w:highlight w:val="none"/>
        </w:rPr>
        <w:t>陈瑞华教授指出，合规监管人有三个功能，一是监督合规计划的设计，二是指导合规计划的运行，三是评估合规整改的验收。</w:t>
      </w:r>
      <w:r>
        <w:rPr>
          <w:rFonts w:hint="eastAsia" w:ascii="方正书宋_GBK" w:hAnsi="方正书宋_GBK" w:eastAsia="方正书宋_GBK" w:cs="方正书宋_GBK"/>
          <w:sz w:val="24"/>
          <w:szCs w:val="24"/>
          <w:highlight w:val="none"/>
          <w:vertAlign w:val="superscript"/>
        </w:rPr>
        <w:footnoteReference w:id="15"/>
      </w:r>
      <w:r>
        <w:rPr>
          <w:rFonts w:hint="eastAsia" w:ascii="方正书宋_GBK" w:hAnsi="方正书宋_GBK" w:eastAsia="方正书宋_GBK" w:cs="方正书宋_GBK"/>
          <w:sz w:val="24"/>
          <w:szCs w:val="24"/>
          <w:highlight w:val="none"/>
        </w:rPr>
        <w:t>根据企业涉罪类型不同，检察机关遴选不同部门、不同单位和相关领域的专家、律师、行政机关官员，组成专业团队，作为第三方监督评估机制，他们相互制约，发挥各自的专业优势，共同参与对涉罪企业的监督和考察工作。</w:t>
      </w:r>
    </w:p>
    <w:p w14:paraId="6121FF20">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另外，虽然合规人员与法务人员具有相似之处，两者都是负责帮助组织遵守法律、规章、政策和规范的人员，都可能被要求协助组织制定合规计划、监测执行情况、提供培训和指导，以及帮助组织应对合规问题，并且根据企业规模不同，企业可能有独立的合规部门，也可能下设于法务部门之下，这体现了合规业务的灵活性和政策敏感性。但是，合规人员的职责更加广泛，而法务人员专门负责法律方面的事务，在组织与外部机构或个人之间的法律交互方面提供支持。</w:t>
      </w:r>
    </w:p>
    <w:p w14:paraId="6B5DA9A8">
      <w:pPr>
        <w:pStyle w:val="3"/>
        <w:bidi w:val="0"/>
        <w:rPr>
          <w:rFonts w:hint="eastAsia"/>
        </w:rPr>
      </w:pPr>
      <w:bookmarkStart w:id="7" w:name="_Toc135988922"/>
      <w:r>
        <w:rPr>
          <w:rFonts w:hint="eastAsia"/>
        </w:rPr>
        <w:t>（四）合规人员的角色定位和工作特性</w:t>
      </w:r>
      <w:bookmarkEnd w:id="7"/>
    </w:p>
    <w:p w14:paraId="57CBD4AA">
      <w:pPr>
        <w:pStyle w:val="4"/>
        <w:spacing w:before="0" w:beforeLines="0" w:after="0" w:afterLines="0" w:line="500" w:lineRule="exact"/>
        <w:ind w:firstLine="480"/>
        <w:rPr>
          <w:rFonts w:hint="eastAsia" w:ascii="方正书宋_GBK" w:hAnsi="方正书宋_GBK" w:eastAsia="方正书宋_GBK" w:cs="方正书宋_GBK"/>
          <w:b w:val="0"/>
          <w:bCs w:val="0"/>
          <w:sz w:val="24"/>
          <w:szCs w:val="24"/>
          <w:highlight w:val="none"/>
        </w:rPr>
      </w:pPr>
      <w:bookmarkStart w:id="8" w:name="_Toc135988923"/>
      <w:r>
        <w:rPr>
          <w:rFonts w:hint="eastAsia" w:ascii="方正书宋_GBK" w:hAnsi="方正书宋_GBK" w:eastAsia="方正书宋_GBK" w:cs="方正书宋_GBK"/>
          <w:b w:val="0"/>
          <w:bCs w:val="0"/>
          <w:sz w:val="24"/>
          <w:szCs w:val="24"/>
          <w:highlight w:val="none"/>
        </w:rPr>
        <w:t>1.合规人员的角色定位</w:t>
      </w:r>
      <w:bookmarkEnd w:id="8"/>
    </w:p>
    <w:p w14:paraId="4DD3B92D">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合规人员是法律职业共同体的组成部分。合规人员作为一项法律新兴职业，与外部律师、法官、检察官、法学学者等其他法律职业共同组成法律职业共同体，在从事法律事务工作、推进社会主义</w:t>
      </w:r>
      <w:r>
        <w:rPr>
          <w:rFonts w:hint="eastAsia" w:ascii="方正书宋_GBK" w:hAnsi="方正书宋_GBK" w:eastAsia="方正书宋_GBK" w:cs="方正书宋_GBK"/>
          <w:sz w:val="24"/>
          <w:szCs w:val="24"/>
          <w:highlight w:val="none"/>
          <w:lang w:val="en-US" w:eastAsia="zh-CN"/>
        </w:rPr>
        <w:t>法治</w:t>
      </w:r>
      <w:r>
        <w:rPr>
          <w:rFonts w:hint="eastAsia" w:ascii="方正书宋_GBK" w:hAnsi="方正书宋_GBK" w:eastAsia="方正书宋_GBK" w:cs="方正书宋_GBK"/>
          <w:sz w:val="24"/>
          <w:szCs w:val="24"/>
          <w:highlight w:val="none"/>
        </w:rPr>
        <w:t>建设的过程中起着优势互补的重要作用。法务与外部律师及其他法律职业并不是完全割裂的，他们在日常法律实践中常常需要共事，甚至可能存在交叉竞合，要求合规人员与其他法律职业进行有效合作和良性沟通，达成职业伦理共识，构建新时代下具有中国特色社会主义法律职业共同体，共同推进法治中国建设。</w:t>
      </w:r>
    </w:p>
    <w:p w14:paraId="005FF00B">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合规人员以企业为服务对象，代表企业立场。为响应国家政策和适应时代发展需求，合规部门是企业的新兴内设部门。企业合规人员与执业律师不同，其本身依据劳动法和劳动合同为特定公司服务，但其对企业承担的义务可以部分类比执业律师对当事人承担的义务来理解。这主要区分于法官的中立立场和检察官的公正角度，合规人员的一切工作需要从企业立场出发，从企业的角度思考问题的解决方式，即使需要披露企业存在的违法违规问题，也是出于减轻或免于处罚的角度，而非对企业的恶意背叛行为。</w:t>
      </w:r>
    </w:p>
    <w:p w14:paraId="6B32209A">
      <w:pPr>
        <w:pStyle w:val="4"/>
        <w:spacing w:before="0" w:beforeLines="0" w:after="0" w:afterLines="0" w:line="500" w:lineRule="exact"/>
        <w:ind w:firstLine="480"/>
        <w:rPr>
          <w:rFonts w:hint="eastAsia" w:ascii="方正书宋_GBK" w:hAnsi="方正书宋_GBK" w:eastAsia="方正书宋_GBK" w:cs="方正书宋_GBK"/>
          <w:b w:val="0"/>
          <w:bCs w:val="0"/>
          <w:sz w:val="24"/>
          <w:szCs w:val="24"/>
          <w:highlight w:val="none"/>
        </w:rPr>
      </w:pPr>
      <w:bookmarkStart w:id="9" w:name="_Toc135988924"/>
      <w:r>
        <w:rPr>
          <w:rFonts w:hint="eastAsia" w:ascii="方正书宋_GBK" w:hAnsi="方正书宋_GBK" w:eastAsia="方正书宋_GBK" w:cs="方正书宋_GBK"/>
          <w:b w:val="0"/>
          <w:bCs w:val="0"/>
          <w:sz w:val="24"/>
          <w:szCs w:val="24"/>
          <w:highlight w:val="none"/>
        </w:rPr>
        <w:t>2.合规人员的工作特性</w:t>
      </w:r>
      <w:bookmarkEnd w:id="9"/>
    </w:p>
    <w:p w14:paraId="53A14F9F">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合规人员要培养目标企业的合规意识，帮助企业打造有效、可行的合规计划。在工作中，尤其是在进行尽职调查或内部调查时，需要不断寻找线索、发现问题，这要求合规人员具备类似于侦查的能力。在出具法律意见或者与第三方进行协商时，合规人员也需要具备辩护经验。他们应该结合目标企业的具体情况，如其性质、业务类型等，深入挖掘潜在的风险。例如，按照类型划分，金融领域的企业易存在反洗钱合规风险，医药领域、建筑工程领域的企业易存在商业贿赂风险，互联网领域的企业易存在数据合规与网络安全管理合规风险，外贸领域的企业易存在进出口管制风险，而化工领域的企业易存在因环境污染而引发的合规风险。按照企业性质划分，外资企业可能受到境外相关企业或集团影响，由于它们较早开展合规实践，这可能导致其合规管理体系在司法实践中与我国的合规体制改革和司法环境等不相适应。是故，对于外资企业，应重点关注其现有刑事合规管理体制的实效性，并根据我国合规改革的进程及时进行调整，以实现真正的本土化。此外，考虑到国有企业的特殊性质，合规人员需要特别关注其在反腐败和反渎职方面的合规风险。</w:t>
      </w:r>
      <w:r>
        <w:rPr>
          <w:rFonts w:hint="eastAsia" w:ascii="方正书宋_GBK" w:hAnsi="方正书宋_GBK" w:eastAsia="方正书宋_GBK" w:cs="方正书宋_GBK"/>
          <w:sz w:val="24"/>
          <w:szCs w:val="24"/>
          <w:highlight w:val="none"/>
          <w:vertAlign w:val="superscript"/>
        </w:rPr>
        <w:footnoteReference w:id="16"/>
      </w:r>
    </w:p>
    <w:p w14:paraId="76E1D21D">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企业合规是企业为有效防范、识别、应对可能发生的合规风险而建立的一套体系</w:t>
      </w:r>
      <w:r>
        <w:rPr>
          <w:rFonts w:hint="eastAsia" w:ascii="方正书宋_GBK" w:hAnsi="方正书宋_GBK" w:eastAsia="方正书宋_GBK" w:cs="方正书宋_GBK"/>
          <w:sz w:val="24"/>
          <w:szCs w:val="24"/>
          <w:highlight w:val="none"/>
          <w:vertAlign w:val="superscript"/>
        </w:rPr>
        <w:footnoteReference w:id="17"/>
      </w:r>
      <w:r>
        <w:rPr>
          <w:rFonts w:hint="eastAsia" w:ascii="方正书宋_GBK" w:hAnsi="方正书宋_GBK" w:eastAsia="方正书宋_GBK" w:cs="方正书宋_GBK"/>
          <w:sz w:val="24"/>
          <w:szCs w:val="24"/>
          <w:highlight w:val="none"/>
        </w:rPr>
        <w:t>，从生产操作到企业战略，从外部经营到内部控制，企业的合规管理广泛涉及企业经营的各个环节及企业内部各个部门。只有符合规范地进行，才能保障企业稳健发展。为此，合规人员在工作中应具备基本的怀疑精神，在企业内部发现异常情况时，应保持职业性的怀疑精神并开展调查，避免日后留下隐患和风险；应持有职业谨慎态度，杜绝侥幸心理，对于合规调查过程中可能存在的问题保持应有的职业谨慎和忧患意识，落实合规人员职业伦理，内外兼修。</w:t>
      </w:r>
    </w:p>
    <w:p w14:paraId="4F08126B">
      <w:pPr>
        <w:pStyle w:val="2"/>
        <w:bidi w:val="0"/>
        <w:rPr>
          <w:rFonts w:hint="eastAsia"/>
        </w:rPr>
      </w:pPr>
      <w:bookmarkStart w:id="10" w:name="_Toc135988925"/>
      <w:r>
        <w:rPr>
          <w:rFonts w:hint="eastAsia"/>
        </w:rPr>
        <w:t>三、合规人员的职业伦理</w:t>
      </w:r>
      <w:bookmarkEnd w:id="10"/>
    </w:p>
    <w:p w14:paraId="64C787F8">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因法律职业共同体的共同价值追求，各法律职业群体的职业伦理有所交叠。由于责任承担不同，各法律职业群体有其独特的职业伦理，合规人员职业伦理则是法律职业伦理的一大分支。关键词归纳作为法律职业伦理学科的基本方法论，具有简洁明了、便于传播和普及的优势。基于企业合规制度下的合规人员作为整体对外履职与在内部开展工作时的不同行为模式，可将合规人员的职业伦理分为外部伦理和内部伦理</w:t>
      </w:r>
      <w:r>
        <w:rPr>
          <w:rFonts w:hint="eastAsia" w:ascii="方正书宋_GBK" w:hAnsi="方正书宋_GBK" w:eastAsia="方正书宋_GBK" w:cs="方正书宋_GBK"/>
          <w:color w:val="000000" w:themeColor="text1"/>
          <w:sz w:val="24"/>
          <w:szCs w:val="24"/>
          <w:highlight w:val="none"/>
          <w14:textFill>
            <w14:solidFill>
              <w14:schemeClr w14:val="tx1"/>
            </w14:solidFill>
          </w14:textFill>
        </w:rPr>
        <w:t>。</w:t>
      </w:r>
    </w:p>
    <w:p w14:paraId="673DDA7D">
      <w:pPr>
        <w:pStyle w:val="3"/>
        <w:bidi w:val="0"/>
        <w:rPr>
          <w:rFonts w:hint="eastAsia"/>
        </w:rPr>
      </w:pPr>
      <w:bookmarkStart w:id="11" w:name="_Toc135988926"/>
      <w:r>
        <w:rPr>
          <w:rFonts w:hint="eastAsia"/>
        </w:rPr>
        <w:t>（一）合规人员外部职业伦理</w:t>
      </w:r>
      <w:bookmarkEnd w:id="11"/>
    </w:p>
    <w:p w14:paraId="6EF6E92A">
      <w:pPr>
        <w:pStyle w:val="4"/>
        <w:spacing w:before="0" w:beforeLines="0" w:after="0" w:afterLines="0" w:line="500" w:lineRule="exact"/>
        <w:ind w:firstLine="480"/>
        <w:rPr>
          <w:rFonts w:hint="eastAsia" w:ascii="方正书宋_GBK" w:hAnsi="方正书宋_GBK" w:eastAsia="方正书宋_GBK" w:cs="方正书宋_GBK"/>
          <w:b w:val="0"/>
          <w:bCs w:val="0"/>
          <w:sz w:val="24"/>
          <w:szCs w:val="24"/>
          <w:highlight w:val="none"/>
        </w:rPr>
      </w:pPr>
      <w:bookmarkStart w:id="12" w:name="_Toc135988927"/>
      <w:r>
        <w:rPr>
          <w:rFonts w:hint="eastAsia" w:ascii="方正书宋_GBK" w:hAnsi="方正书宋_GBK" w:eastAsia="方正书宋_GBK" w:cs="方正书宋_GBK"/>
          <w:b w:val="0"/>
          <w:bCs w:val="0"/>
          <w:sz w:val="24"/>
          <w:szCs w:val="24"/>
          <w:highlight w:val="none"/>
        </w:rPr>
        <w:t>1.专业负责</w:t>
      </w:r>
      <w:bookmarkEnd w:id="12"/>
    </w:p>
    <w:p w14:paraId="75192A49">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专业负责应当是合规人员的首要职业伦理，要以有效合规为合规人员的尽职标准</w:t>
      </w:r>
      <w:r>
        <w:rPr>
          <w:rFonts w:hint="default" w:ascii="Times New Roman" w:hAnsi="Times New Roman" w:eastAsia="方正书宋_GBK" w:cs="Times New Roman"/>
          <w:sz w:val="24"/>
          <w:szCs w:val="24"/>
          <w:highlight w:val="none"/>
        </w:rPr>
        <w:t>。2022年4月</w:t>
      </w:r>
      <w:r>
        <w:rPr>
          <w:rFonts w:hint="eastAsia" w:ascii="方正书宋_GBK" w:hAnsi="方正书宋_GBK" w:eastAsia="方正书宋_GBK" w:cs="方正书宋_GBK"/>
          <w:sz w:val="24"/>
          <w:szCs w:val="24"/>
          <w:highlight w:val="none"/>
        </w:rPr>
        <w:t>最高人民检察院发布的《涉案企业合规建设、评估和审查办法（试行）》确立了涉案企业合规整改的“相称性原则”，该原则类似于比例原则，即企业合规整改的具体方案对于企业面临的风险是适当的，方案对于合规体系建设所需人力物力的配设而言是均衡相称的，方案中的各项内容对于企业的业务范围而言是必要的。这对合规人员的专业性提出更高要求，</w:t>
      </w:r>
      <w:r>
        <w:rPr>
          <w:rFonts w:hint="eastAsia" w:ascii="方正书宋_GBK" w:hAnsi="方正书宋_GBK" w:eastAsia="方正书宋_GBK" w:cs="方正书宋_GBK"/>
          <w:sz w:val="24"/>
          <w:szCs w:val="24"/>
          <w:highlight w:val="none"/>
          <w:lang w:val="en-US" w:eastAsia="zh-CN"/>
        </w:rPr>
        <w:t>须</w:t>
      </w:r>
      <w:r>
        <w:rPr>
          <w:rFonts w:hint="eastAsia" w:ascii="方正书宋_GBK" w:hAnsi="方正书宋_GBK" w:eastAsia="方正书宋_GBK" w:cs="方正书宋_GBK"/>
          <w:sz w:val="24"/>
          <w:szCs w:val="24"/>
          <w:highlight w:val="none"/>
        </w:rPr>
        <w:t>确保涉案企业合规计划真合身、真管用，要根据企业类型、行业特性、涉嫌犯罪的不同进行变通，做到量身定制。</w:t>
      </w:r>
    </w:p>
    <w:p w14:paraId="7C9079BC">
      <w:pPr>
        <w:spacing w:line="500" w:lineRule="exact"/>
        <w:ind w:firstLine="480" w:firstLineChars="200"/>
        <w:rPr>
          <w:rFonts w:hint="default" w:ascii="Times New Roman" w:hAnsi="Times New Roman" w:eastAsia="方正书宋_GBK" w:cs="Times New Roman"/>
          <w:sz w:val="24"/>
          <w:szCs w:val="24"/>
          <w:highlight w:val="none"/>
        </w:rPr>
      </w:pPr>
      <w:r>
        <w:rPr>
          <w:rFonts w:hint="eastAsia" w:ascii="方正书宋_GBK" w:hAnsi="方正书宋_GBK" w:eastAsia="方正书宋_GBK" w:cs="方正书宋_GBK"/>
          <w:sz w:val="24"/>
          <w:szCs w:val="24"/>
          <w:highlight w:val="none"/>
        </w:rPr>
        <w:t>企业自主刑事合规建设中还需要根据业务特点，明确优先遵守的刑事合规义务。当前，企业面临的刑事风险多元而复杂，除了传统的商业贿赂、串通投标、侵犯商业秘密等刑事风险，还需要避免计算机犯罪、数据犯罪、创新业务非法经营、拒不履行信息网络安全管理义务等犯罪行为的发生。在强制遵守的刑事合规义务之外，还存在诸多与企业业务密切相关，企业自愿遵守的合规义务。这就需要识别出与自身业务最具相关性且最重要的合规义务，将其作为优先遵守的刑事合规义务，这即是在企业自主刑事合规义务层次化处理过程中，根据与业务的关联程度以及业务本身的重要程度进行的再分层。</w:t>
      </w:r>
      <w:r>
        <w:rPr>
          <w:rFonts w:hint="eastAsia" w:ascii="方正书宋_GBK" w:hAnsi="方正书宋_GBK" w:eastAsia="方正书宋_GBK" w:cs="方正书宋_GBK"/>
          <w:sz w:val="24"/>
          <w:szCs w:val="24"/>
          <w:highlight w:val="none"/>
          <w:vertAlign w:val="superscript"/>
        </w:rPr>
        <w:footnoteReference w:id="18"/>
      </w:r>
      <w:r>
        <w:rPr>
          <w:rFonts w:hint="eastAsia" w:ascii="方正书宋_GBK" w:hAnsi="方正书宋_GBK" w:eastAsia="方正书宋_GBK" w:cs="方正书宋_GBK"/>
          <w:sz w:val="24"/>
          <w:szCs w:val="24"/>
          <w:highlight w:val="none"/>
        </w:rPr>
        <w:t>合规义务的梳理和识别是企业开展合规管理的前提，而根据《企业安全生产标准化基本规范》的规定，法规标准识别是企业</w:t>
      </w:r>
      <w:r>
        <w:rPr>
          <w:rFonts w:hint="default" w:ascii="Times New Roman" w:hAnsi="Times New Roman" w:eastAsia="方正书宋_GBK" w:cs="Times New Roman"/>
          <w:sz w:val="24"/>
          <w:szCs w:val="24"/>
          <w:highlight w:val="none"/>
        </w:rPr>
        <w:t>进行安全生产标准化管理体系建设的要求之一。例如，矿山企业可以将安全生产标准化建设和安全合规管理相结合，统筹内外部力量，全面梳理矿业安全领域的外部合规义务，编制外部合规义务清单，并在此基础上开展外规内化工作，将适用的安全生产法律法规、标准规范的相关要求转化为企业的规章制度、操作规程。</w:t>
      </w:r>
    </w:p>
    <w:p w14:paraId="0842C2A9">
      <w:pPr>
        <w:spacing w:line="500" w:lineRule="exact"/>
        <w:ind w:firstLine="480" w:firstLineChars="200"/>
        <w:rPr>
          <w:rFonts w:hint="default" w:ascii="Times New Roman" w:hAnsi="Times New Roman" w:eastAsia="方正书宋_GBK" w:cs="Times New Roman"/>
          <w:sz w:val="24"/>
          <w:szCs w:val="24"/>
          <w:highlight w:val="none"/>
        </w:rPr>
      </w:pPr>
      <w:r>
        <w:rPr>
          <w:rFonts w:hint="default" w:ascii="Times New Roman" w:hAnsi="Times New Roman" w:eastAsia="方正书宋_GBK" w:cs="Times New Roman"/>
          <w:sz w:val="24"/>
          <w:szCs w:val="24"/>
          <w:highlight w:val="none"/>
        </w:rPr>
        <w:t>合规义务的梳理和识别需要依靠合规调查。合规调查分为合规尽职调查和合规内部调查，前者是一项重要的企业风险防控制度，需要对企业交易情况、商业模式、运营模式等展开全面的调查，因此熟知并灵活运用金融知识是基本要求，同时还要专业负责、忠诚勤勉，以免因合规风险而导致公司并购、上市等业务流产；后者则作为危险应对机制，在企业发生违规行为之后，由合规人员对违规责任人、违规行为以及企业合规机制开展针对性调查，以换取司法上的宽大处理</w:t>
      </w:r>
      <w:r>
        <w:rPr>
          <w:rFonts w:hint="default" w:ascii="Times New Roman" w:hAnsi="Times New Roman" w:eastAsia="方正书宋_GBK" w:cs="Times New Roman"/>
          <w:sz w:val="24"/>
          <w:szCs w:val="24"/>
          <w:highlight w:val="none"/>
          <w:lang w:eastAsia="zh-CN"/>
        </w:rPr>
        <w:t>。</w:t>
      </w:r>
      <w:r>
        <w:rPr>
          <w:rFonts w:hint="default" w:ascii="Times New Roman" w:hAnsi="Times New Roman" w:eastAsia="方正书宋_GBK" w:cs="Times New Roman"/>
          <w:sz w:val="24"/>
          <w:szCs w:val="24"/>
          <w:highlight w:val="none"/>
        </w:rPr>
        <w:t>例如2006年的“西门子案件”开启了德国的公司独立调查历史，该案的调查时间长达两年，评估了5,000余个咨询协议、检查了4,000万份银行账户报表、1亿份文件以及1.27亿次交易记录，</w:t>
      </w:r>
      <w:r>
        <w:rPr>
          <w:rStyle w:val="21"/>
          <w:rFonts w:hint="default" w:ascii="Times New Roman" w:hAnsi="Times New Roman" w:eastAsia="方正书宋_GBK" w:cs="Times New Roman"/>
          <w:sz w:val="24"/>
          <w:szCs w:val="24"/>
          <w:highlight w:val="none"/>
        </w:rPr>
        <w:footnoteReference w:id="19"/>
      </w:r>
      <w:r>
        <w:rPr>
          <w:rFonts w:hint="default" w:ascii="Times New Roman" w:hAnsi="Times New Roman" w:eastAsia="方正书宋_GBK" w:cs="Times New Roman"/>
          <w:sz w:val="24"/>
          <w:szCs w:val="24"/>
          <w:highlight w:val="none"/>
        </w:rPr>
        <w:t>调查繁琐程度与难度高低相伴而行，内部调查是对企业管理机制的全面体检，这要求合规人员独立、合法、细致、严谨地开展工作，以深度的诚意为企业进行自我披露和自我报告，也要以高度的责任感和专业素质为企业进行合规工作。</w:t>
      </w:r>
    </w:p>
    <w:p w14:paraId="312BFD03">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落实合规管理体系的动力以及充分发挥合规管理体系的功能，都需要由合规监管和合规考察进行赋能。</w:t>
      </w:r>
      <w:r>
        <w:rPr>
          <w:rFonts w:hint="eastAsia" w:ascii="方正书宋_GBK" w:hAnsi="方正书宋_GBK" w:eastAsia="方正书宋_GBK" w:cs="方正书宋_GBK"/>
          <w:sz w:val="24"/>
          <w:szCs w:val="24"/>
          <w:highlight w:val="none"/>
          <w:vertAlign w:val="superscript"/>
        </w:rPr>
        <w:footnoteReference w:id="20"/>
      </w:r>
      <w:r>
        <w:rPr>
          <w:rFonts w:hint="eastAsia" w:ascii="方正书宋_GBK" w:hAnsi="方正书宋_GBK" w:eastAsia="方正书宋_GBK" w:cs="方正书宋_GBK"/>
          <w:sz w:val="24"/>
          <w:szCs w:val="24"/>
          <w:highlight w:val="none"/>
        </w:rPr>
        <w:t>对于中小微企业，大约数月即可基本完成合规整改，机构简单的合规人员团队也能落实好合规整改的要求。但是，对于大企业而言，则需要更长的整改期限，短则一年，长则三四年，合规人员团队的组成需要全面覆盖合规风险及企业经营管理的需求，必要时还需检察机关所派遣的合规监管团队进行指导和评估，才能彻底使企业的经营管理走上合法合规的正确道路。不同领域、不同规模企业的合规整改难度不同，要让每个企业的合规管理制度体系都各尽所能，合规人员需砥砺琢磨，才能将合规整改方案这一上层建筑有效落地，成为系统工程，形成企业上下的合规意识。</w:t>
      </w:r>
      <w:r>
        <w:rPr>
          <w:rFonts w:hint="eastAsia" w:ascii="方正书宋_GBK" w:hAnsi="方正书宋_GBK" w:eastAsia="方正书宋_GBK" w:cs="方正书宋_GBK"/>
          <w:sz w:val="24"/>
          <w:szCs w:val="24"/>
          <w:highlight w:val="none"/>
          <w:vertAlign w:val="superscript"/>
        </w:rPr>
        <w:footnoteReference w:id="21"/>
      </w:r>
      <w:r>
        <w:rPr>
          <w:rFonts w:hint="eastAsia" w:ascii="方正书宋_GBK" w:hAnsi="方正书宋_GBK" w:eastAsia="方正书宋_GBK" w:cs="方正书宋_GBK"/>
          <w:sz w:val="24"/>
          <w:szCs w:val="24"/>
          <w:highlight w:val="none"/>
        </w:rPr>
        <w:t>不管大小企业的合规业务，都对合规人员的</w:t>
      </w:r>
      <w:r>
        <w:rPr>
          <w:rFonts w:hint="eastAsia" w:ascii="方正书宋_GBK" w:hAnsi="方正书宋_GBK" w:eastAsia="方正书宋_GBK" w:cs="方正书宋_GBK"/>
          <w:sz w:val="24"/>
          <w:szCs w:val="24"/>
          <w:highlight w:val="none"/>
          <w:lang w:val="en-US" w:eastAsia="zh-CN"/>
        </w:rPr>
        <w:t>职业</w:t>
      </w:r>
      <w:r>
        <w:rPr>
          <w:rFonts w:hint="eastAsia" w:ascii="方正书宋_GBK" w:hAnsi="方正书宋_GBK" w:eastAsia="方正书宋_GBK" w:cs="方正书宋_GBK"/>
          <w:sz w:val="24"/>
          <w:szCs w:val="24"/>
          <w:highlight w:val="none"/>
        </w:rPr>
        <w:t>伦理提出了更高要求，需要合规人员忍受案牍之劳，以企业利益为中心开展工作。</w:t>
      </w:r>
    </w:p>
    <w:p w14:paraId="2D706B34">
      <w:pPr>
        <w:pStyle w:val="4"/>
        <w:spacing w:before="0" w:beforeLines="0" w:after="0" w:afterLines="0" w:line="500" w:lineRule="exact"/>
        <w:ind w:firstLine="480"/>
        <w:rPr>
          <w:rFonts w:hint="eastAsia" w:ascii="方正书宋_GBK" w:hAnsi="方正书宋_GBK" w:eastAsia="方正书宋_GBK" w:cs="方正书宋_GBK"/>
          <w:b w:val="0"/>
          <w:bCs w:val="0"/>
          <w:sz w:val="24"/>
          <w:szCs w:val="24"/>
          <w:highlight w:val="none"/>
        </w:rPr>
      </w:pPr>
      <w:bookmarkStart w:id="13" w:name="_Toc135988928"/>
      <w:r>
        <w:rPr>
          <w:rFonts w:hint="eastAsia" w:ascii="方正书宋_GBK" w:hAnsi="方正书宋_GBK" w:eastAsia="方正书宋_GBK" w:cs="方正书宋_GBK"/>
          <w:b w:val="0"/>
          <w:bCs w:val="0"/>
          <w:sz w:val="24"/>
          <w:szCs w:val="24"/>
          <w:highlight w:val="none"/>
        </w:rPr>
        <w:t>2.内外协作</w:t>
      </w:r>
      <w:bookmarkEnd w:id="13"/>
    </w:p>
    <w:p w14:paraId="7D51D125">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要让合规制度改革发挥其优势，合规人员应当培养自己内心的职业认同感、归属感，在工作中团结协作、友好互助。对于涉案企业，涉案企业合规改革要求统筹推动企业与公安机关、检察机关、法院、司法行政机关、行政监管机关的全面协作，企业合规人员也应积极配合。在此过程中，合规人员要确保涉案企业合规整改计划恰如其分、切中要害、行之有效，在各阶段都要贯彻落实协作伦理。具体来说，在侦查阶段，应当统一战线、协心同力，积极配合侦查，而非乘伪行诈，要配合诉讼流程，以合法方式对执法行为提出异议，及时发表法律意见；在审查起诉阶段，代表企业参与合规评估与协商，尽量争取合规不起诉。</w:t>
      </w:r>
      <w:r>
        <w:rPr>
          <w:rFonts w:hint="eastAsia" w:ascii="方正书宋_GBK" w:hAnsi="方正书宋_GBK" w:eastAsia="方正书宋_GBK" w:cs="方正书宋_GBK"/>
          <w:sz w:val="24"/>
          <w:szCs w:val="24"/>
          <w:highlight w:val="none"/>
          <w:vertAlign w:val="superscript"/>
        </w:rPr>
        <w:footnoteReference w:id="22"/>
      </w:r>
      <w:r>
        <w:rPr>
          <w:rFonts w:hint="eastAsia" w:ascii="方正书宋_GBK" w:hAnsi="方正书宋_GBK" w:eastAsia="方正书宋_GBK" w:cs="方正书宋_GBK"/>
          <w:sz w:val="24"/>
          <w:szCs w:val="24"/>
          <w:highlight w:val="none"/>
        </w:rPr>
        <w:t>对于非涉案企业，虽然总体而言，非涉案企业合规建设内生动力相较涉案企业明显不足，但是从长远发展考虑，企业可以主动加强合规建设。在企业自觉自愿行动时，合规人员可以积极开展协作，与检察机关对接，必要时引入第三方监督评估机制，针对性地寻求合规建议并协助企业在各领域、环节深化合规建设，提升企业盈利和抗风险能力。</w:t>
      </w:r>
      <w:r>
        <w:rPr>
          <w:rFonts w:hint="eastAsia" w:ascii="方正书宋_GBK" w:hAnsi="方正书宋_GBK" w:eastAsia="方正书宋_GBK" w:cs="方正书宋_GBK"/>
          <w:sz w:val="24"/>
          <w:szCs w:val="24"/>
          <w:highlight w:val="none"/>
          <w:vertAlign w:val="superscript"/>
        </w:rPr>
        <w:footnoteReference w:id="23"/>
      </w:r>
    </w:p>
    <w:p w14:paraId="62AA4E81">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同时，在深化企业合规制度中国化的理论研究方面，合规人员也应积极与各方展开协作配合。有学者表明，当政府、司法机关与企业以及其他社会团体在道德和合规性问题上进行有效沟通时，不仅更有可能达成共识，而且更容易接受彼此讨论的结果。</w:t>
      </w:r>
      <w:r>
        <w:rPr>
          <w:rFonts w:hint="eastAsia" w:ascii="方正书宋_GBK" w:hAnsi="方正书宋_GBK" w:eastAsia="方正书宋_GBK" w:cs="方正书宋_GBK"/>
          <w:sz w:val="24"/>
          <w:szCs w:val="24"/>
          <w:highlight w:val="none"/>
          <w:vertAlign w:val="superscript"/>
        </w:rPr>
        <w:footnoteReference w:id="24"/>
      </w:r>
      <w:r>
        <w:rPr>
          <w:rFonts w:hint="eastAsia" w:ascii="方正书宋_GBK" w:hAnsi="方正书宋_GBK" w:eastAsia="方正书宋_GBK" w:cs="方正书宋_GBK"/>
          <w:sz w:val="24"/>
          <w:szCs w:val="24"/>
          <w:highlight w:val="none"/>
        </w:rPr>
        <w:t>为此，合规人员作为法律职业共同体的一员，除了合规业务方面的合作，应当积极履行协作义务，通过公共研讨会、会议、游说等各种形式，将社会各界人士聚集在一起，分享、探讨提出并解决独特的合规问题，也应以身作则加强合规教育的普及，与各方法律职业共同体人员一同协力探索。虽然北京大学、北京师范大学、中国政法大学等高校的法学学者都致力于企业合规方面的研究，但大多集中在制度改革等上层建筑方面，在具体实践方面的讨论不足，而这恰恰是企业合规这一实务性极强职业的需求所在。一线缺乏专业人才是我国企业合规管理的沉疴，合规人员应当积极搭建平台，推动法律职业共同体内的更多主体开展交流，促进政法院校、专家学者深入了解涉案企业合规改革，培养合规制度改革的外脑。</w:t>
      </w:r>
      <w:r>
        <w:rPr>
          <w:rFonts w:hint="eastAsia" w:ascii="方正书宋_GBK" w:hAnsi="方正书宋_GBK" w:eastAsia="方正书宋_GBK" w:cs="方正书宋_GBK"/>
          <w:sz w:val="24"/>
          <w:szCs w:val="24"/>
          <w:highlight w:val="none"/>
          <w:vertAlign w:val="superscript"/>
        </w:rPr>
        <w:footnoteReference w:id="25"/>
      </w:r>
    </w:p>
    <w:p w14:paraId="66BA4771">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除此之外，企业合规人员还应促进企业内部人员之间的协作配合，使合规管理更加高效、更有保障。只有让企业合规与企业内部人员的利益产生直接关联，才能确保企业从经营理念到发展战略的全过程与各环节都充分贯彻合规理念。</w:t>
      </w:r>
      <w:r>
        <w:rPr>
          <w:rFonts w:hint="eastAsia" w:ascii="方正书宋_GBK" w:hAnsi="方正书宋_GBK" w:eastAsia="方正书宋_GBK" w:cs="方正书宋_GBK"/>
          <w:sz w:val="24"/>
          <w:szCs w:val="24"/>
          <w:highlight w:val="none"/>
          <w:vertAlign w:val="superscript"/>
        </w:rPr>
        <w:footnoteReference w:id="26"/>
      </w:r>
      <w:r>
        <w:rPr>
          <w:rFonts w:hint="eastAsia" w:ascii="方正书宋_GBK" w:hAnsi="方正书宋_GBK" w:eastAsia="方正书宋_GBK" w:cs="方正书宋_GBK"/>
          <w:sz w:val="24"/>
          <w:szCs w:val="24"/>
          <w:highlight w:val="none"/>
        </w:rPr>
        <w:t>例如，从企业文化角度来看，良好的合规文化可以提高企业社会形象，为企业及员工带来间接利益，因此合规人员在促进企业形成良好合规文化氛围中发挥着重要作用，如果合规人员能够带动管理者与员工协作，一同以维护相关利益和达成社会使命为目的来制定和实施合规决策，那么员工将更乐于遵从合规制度，企业的使命追求也将更容易达成，由此形成正向循环。</w:t>
      </w:r>
      <w:r>
        <w:rPr>
          <w:rFonts w:hint="eastAsia" w:ascii="方正书宋_GBK" w:hAnsi="方正书宋_GBK" w:eastAsia="方正书宋_GBK" w:cs="方正书宋_GBK"/>
          <w:sz w:val="24"/>
          <w:szCs w:val="24"/>
          <w:highlight w:val="none"/>
          <w:vertAlign w:val="superscript"/>
        </w:rPr>
        <w:footnoteReference w:id="27"/>
      </w:r>
      <w:r>
        <w:rPr>
          <w:rFonts w:hint="eastAsia" w:ascii="方正书宋_GBK" w:hAnsi="方正书宋_GBK" w:eastAsia="方正书宋_GBK" w:cs="方正书宋_GBK"/>
          <w:sz w:val="24"/>
          <w:szCs w:val="24"/>
          <w:highlight w:val="none"/>
        </w:rPr>
        <w:t>企业上下协作配合的局面一旦形成，将大大节约企业风险控制成本，从而提高企业经营效率，让合规计划不再是形式主义，而是逐渐由表及里，成为企业内部每个人的行为遵循。</w:t>
      </w:r>
      <w:r>
        <w:rPr>
          <w:rStyle w:val="21"/>
          <w:rFonts w:hint="eastAsia" w:ascii="方正书宋_GBK" w:hAnsi="方正书宋_GBK" w:eastAsia="方正书宋_GBK" w:cs="方正书宋_GBK"/>
          <w:sz w:val="24"/>
          <w:szCs w:val="24"/>
          <w:highlight w:val="none"/>
        </w:rPr>
        <w:footnoteReference w:id="28"/>
      </w:r>
    </w:p>
    <w:p w14:paraId="540C4184">
      <w:pPr>
        <w:pStyle w:val="3"/>
        <w:bidi w:val="0"/>
        <w:rPr>
          <w:rFonts w:hint="eastAsia"/>
        </w:rPr>
      </w:pPr>
      <w:bookmarkStart w:id="14" w:name="_Toc135988929"/>
      <w:r>
        <w:rPr>
          <w:rFonts w:hint="eastAsia"/>
        </w:rPr>
        <w:t>（二）合规人员的内部职业伦理</w:t>
      </w:r>
      <w:bookmarkEnd w:id="14"/>
    </w:p>
    <w:p w14:paraId="30759F9F">
      <w:pPr>
        <w:pStyle w:val="4"/>
        <w:spacing w:before="0" w:beforeLines="0" w:after="0" w:afterLines="0" w:line="500" w:lineRule="exact"/>
        <w:ind w:firstLine="480"/>
        <w:rPr>
          <w:rFonts w:hint="eastAsia" w:ascii="方正书宋_GBK" w:hAnsi="方正书宋_GBK" w:eastAsia="方正书宋_GBK" w:cs="方正书宋_GBK"/>
          <w:b w:val="0"/>
          <w:bCs w:val="0"/>
          <w:sz w:val="24"/>
          <w:szCs w:val="24"/>
          <w:highlight w:val="none"/>
        </w:rPr>
      </w:pPr>
      <w:bookmarkStart w:id="15" w:name="_Toc135988930"/>
      <w:r>
        <w:rPr>
          <w:rFonts w:hint="eastAsia" w:ascii="方正书宋_GBK" w:hAnsi="方正书宋_GBK" w:eastAsia="方正书宋_GBK" w:cs="方正书宋_GBK"/>
          <w:b w:val="0"/>
          <w:bCs w:val="0"/>
          <w:sz w:val="24"/>
          <w:szCs w:val="24"/>
          <w:highlight w:val="none"/>
        </w:rPr>
        <w:t>1.守正创新</w:t>
      </w:r>
      <w:bookmarkEnd w:id="15"/>
    </w:p>
    <w:p w14:paraId="710306F8">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我国企业刑事合规的发展是沿着“先实践探索，再制度确立”的进路循序渐进的，当前企业刑事合规试点主要体现为实务部分的制度创新，这要求合规人员除了在办案过程中必须具备灵活敏锐的洞察力和对企业危机风险的警觉性，还要求合规人员培养并发挥创新精神。在理念层面，企业合规改革已经完成了从无到有的跨越，接下来仍需深入推进相应制度与政策的贯彻落实。</w:t>
      </w:r>
      <w:r>
        <w:rPr>
          <w:rFonts w:hint="eastAsia" w:ascii="方正书宋_GBK" w:hAnsi="方正书宋_GBK" w:eastAsia="方正书宋_GBK" w:cs="方正书宋_GBK"/>
          <w:sz w:val="24"/>
          <w:szCs w:val="24"/>
          <w:highlight w:val="none"/>
          <w:vertAlign w:val="superscript"/>
        </w:rPr>
        <w:footnoteReference w:id="29"/>
      </w:r>
      <w:r>
        <w:rPr>
          <w:rFonts w:hint="eastAsia" w:ascii="方正书宋_GBK" w:hAnsi="方正书宋_GBK" w:eastAsia="方正书宋_GBK" w:cs="方正书宋_GBK"/>
          <w:sz w:val="24"/>
          <w:szCs w:val="24"/>
          <w:highlight w:val="none"/>
        </w:rPr>
        <w:t>新时代中国特色社会主义法治国家，建设高素质法治工作队伍是推进全面依法治国的基础工程</w:t>
      </w:r>
      <w:r>
        <w:rPr>
          <w:rFonts w:hint="eastAsia" w:ascii="方正书宋_GBK" w:hAnsi="方正书宋_GBK" w:eastAsia="方正书宋_GBK" w:cs="方正书宋_GBK"/>
          <w:sz w:val="24"/>
          <w:szCs w:val="24"/>
          <w:highlight w:val="none"/>
          <w:vertAlign w:val="superscript"/>
        </w:rPr>
        <w:footnoteReference w:id="30"/>
      </w:r>
      <w:r>
        <w:rPr>
          <w:rFonts w:hint="eastAsia" w:ascii="方正书宋_GBK" w:hAnsi="方正书宋_GBK" w:eastAsia="方正书宋_GBK" w:cs="方正书宋_GBK"/>
          <w:sz w:val="24"/>
          <w:szCs w:val="24"/>
          <w:highlight w:val="none"/>
        </w:rPr>
        <w:t>，以合规人员为代表的法治人才也应顺应时代要求，开展企业合规方面的基础理论研究。他们应紧紧围绕新时代全面依法治国实践，切实立足我国国情，深入进行企业合规理论研究，这有助于弥补刑法教义学、犯罪学等理论研究层面上的缺失，从而进一步用科学的刑事政策推动企业刑事合规的发展。通过优化营商环境，预防治理企业犯罪，同时实现保护企业及企业家的目标，解决刑事合规激励适用对象、激励程度、目标标准等方面的问题</w:t>
      </w:r>
      <w:r>
        <w:rPr>
          <w:rFonts w:hint="eastAsia" w:ascii="方正书宋_GBK" w:hAnsi="方正书宋_GBK" w:eastAsia="方正书宋_GBK" w:cs="方正书宋_GBK"/>
          <w:sz w:val="24"/>
          <w:szCs w:val="24"/>
          <w:highlight w:val="none"/>
          <w:vertAlign w:val="superscript"/>
        </w:rPr>
        <w:footnoteReference w:id="31"/>
      </w:r>
      <w:r>
        <w:rPr>
          <w:rFonts w:hint="eastAsia" w:ascii="方正书宋_GBK" w:hAnsi="方正书宋_GBK" w:eastAsia="方正书宋_GBK" w:cs="方正书宋_GBK"/>
          <w:sz w:val="24"/>
          <w:szCs w:val="24"/>
          <w:highlight w:val="none"/>
        </w:rPr>
        <w:t>，并在实施过程中根据实际情况与社会反馈进行相应调整。</w:t>
      </w:r>
    </w:p>
    <w:p w14:paraId="450B06DD">
      <w:pPr>
        <w:spacing w:line="500" w:lineRule="exact"/>
        <w:ind w:firstLine="480" w:firstLineChars="200"/>
        <w:rPr>
          <w:rFonts w:hint="eastAsia" w:ascii="方正书宋_GBK" w:hAnsi="方正书宋_GBK" w:eastAsia="方正书宋_GBK" w:cs="方正书宋_GBK"/>
          <w:sz w:val="24"/>
          <w:szCs w:val="24"/>
          <w:highlight w:val="none"/>
        </w:rPr>
      </w:pPr>
      <w:r>
        <w:rPr>
          <w:rFonts w:hint="default" w:ascii="Times New Roman" w:hAnsi="Times New Roman" w:eastAsia="方正书宋_GBK" w:cs="Times New Roman"/>
          <w:sz w:val="24"/>
          <w:szCs w:val="24"/>
          <w:highlight w:val="none"/>
        </w:rPr>
        <w:t>2023年3月7日发布的</w:t>
      </w:r>
      <w:r>
        <w:rPr>
          <w:rFonts w:hint="default" w:ascii="Times New Roman" w:hAnsi="Times New Roman" w:eastAsia="方正书宋_GBK" w:cs="Times New Roman"/>
          <w:sz w:val="24"/>
          <w:szCs w:val="24"/>
          <w:highlight w:val="none"/>
          <w:lang w:eastAsia="zh-CN"/>
        </w:rPr>
        <w:t>《</w:t>
      </w:r>
      <w:r>
        <w:rPr>
          <w:rFonts w:hint="default" w:ascii="Times New Roman" w:hAnsi="Times New Roman" w:eastAsia="方正书宋_GBK" w:cs="Times New Roman"/>
          <w:sz w:val="24"/>
          <w:szCs w:val="24"/>
          <w:highlight w:val="none"/>
        </w:rPr>
        <w:t>最高人民检察院工作报告</w:t>
      </w:r>
      <w:r>
        <w:rPr>
          <w:rFonts w:hint="default" w:ascii="Times New Roman" w:hAnsi="Times New Roman" w:eastAsia="方正书宋_GBK" w:cs="Times New Roman"/>
          <w:sz w:val="24"/>
          <w:szCs w:val="24"/>
          <w:highlight w:val="none"/>
          <w:lang w:eastAsia="zh-CN"/>
        </w:rPr>
        <w:t>》</w:t>
      </w:r>
      <w:r>
        <w:rPr>
          <w:rFonts w:hint="default" w:ascii="Times New Roman" w:hAnsi="Times New Roman" w:eastAsia="方正书宋_GBK" w:cs="Times New Roman"/>
          <w:sz w:val="24"/>
          <w:szCs w:val="24"/>
          <w:highlight w:val="none"/>
        </w:rPr>
        <w:t>将“推动创建中国特色涉案企业合规司法制度”列为本年度工作目标，可见</w:t>
      </w:r>
      <w:r>
        <w:rPr>
          <w:rFonts w:hint="default" w:ascii="Times New Roman" w:hAnsi="Times New Roman" w:eastAsia="方正书宋_GBK" w:cs="Times New Roman"/>
          <w:sz w:val="24"/>
          <w:szCs w:val="24"/>
          <w:highlight w:val="none"/>
          <w:lang w:val="en-US" w:eastAsia="zh-CN"/>
        </w:rPr>
        <w:t>此制度是</w:t>
      </w:r>
      <w:r>
        <w:rPr>
          <w:rFonts w:hint="default" w:ascii="Times New Roman" w:hAnsi="Times New Roman" w:eastAsia="方正书宋_GBK" w:cs="Times New Roman"/>
          <w:sz w:val="24"/>
          <w:szCs w:val="24"/>
          <w:highlight w:val="none"/>
        </w:rPr>
        <w:t>国家建设重点所在。截至2023年1月16日，最高人民检察院相继发布了四批企业合规典型案例，每批案例都各有特点，其中体现了不同方面的典型性、创新性，要求合规人员不断守正创新，适应市场发展和改革的需要。加强企业合规理论研究，让合规人员作为“外脑”参与研究制定常见涉企犯罪合规考</w:t>
      </w:r>
      <w:r>
        <w:rPr>
          <w:rFonts w:hint="eastAsia" w:ascii="方正书宋_GBK" w:hAnsi="方正书宋_GBK" w:eastAsia="方正书宋_GBK" w:cs="方正书宋_GBK"/>
          <w:sz w:val="24"/>
          <w:szCs w:val="24"/>
          <w:highlight w:val="none"/>
        </w:rPr>
        <w:t>察标准。</w:t>
      </w:r>
      <w:r>
        <w:rPr>
          <w:rFonts w:hint="eastAsia" w:ascii="方正书宋_GBK" w:hAnsi="方正书宋_GBK" w:eastAsia="方正书宋_GBK" w:cs="方正书宋_GBK"/>
          <w:sz w:val="24"/>
          <w:szCs w:val="24"/>
          <w:highlight w:val="none"/>
          <w:vertAlign w:val="superscript"/>
        </w:rPr>
        <w:footnoteReference w:id="32"/>
      </w:r>
      <w:r>
        <w:rPr>
          <w:rFonts w:hint="eastAsia" w:ascii="方正书宋_GBK" w:hAnsi="方正书宋_GBK" w:eastAsia="方正书宋_GBK" w:cs="方正书宋_GBK"/>
          <w:sz w:val="24"/>
          <w:szCs w:val="24"/>
          <w:highlight w:val="none"/>
        </w:rPr>
        <w:t>加快研究制定常见涉企犯罪合规考察标准，加强与相关部门协作配合，强化对第三方监督评估机制的管理，组织开展对试点情况的巡回检查，推动与各大高校、科研机构等在更高层次、更宽领域、更多方面开展合作，为建立中国特色现代企业规制司法制度贡献智慧和力量。</w:t>
      </w:r>
      <w:r>
        <w:rPr>
          <w:rFonts w:hint="eastAsia" w:ascii="方正书宋_GBK" w:hAnsi="方正书宋_GBK" w:eastAsia="方正书宋_GBK" w:cs="方正书宋_GBK"/>
          <w:sz w:val="24"/>
          <w:szCs w:val="24"/>
          <w:highlight w:val="none"/>
          <w:vertAlign w:val="superscript"/>
        </w:rPr>
        <w:footnoteReference w:id="33"/>
      </w:r>
    </w:p>
    <w:p w14:paraId="06617966">
      <w:pPr>
        <w:pStyle w:val="4"/>
        <w:spacing w:before="0" w:beforeLines="0" w:after="0" w:afterLines="0" w:line="500" w:lineRule="exact"/>
        <w:ind w:firstLine="480"/>
        <w:rPr>
          <w:rFonts w:hint="default" w:ascii="Times New Roman" w:hAnsi="Times New Roman" w:eastAsia="方正书宋_GBK" w:cs="Times New Roman"/>
          <w:b w:val="0"/>
          <w:bCs w:val="0"/>
          <w:sz w:val="24"/>
          <w:szCs w:val="24"/>
          <w:highlight w:val="none"/>
        </w:rPr>
      </w:pPr>
      <w:bookmarkStart w:id="16" w:name="_Toc135988931"/>
      <w:r>
        <w:rPr>
          <w:rFonts w:hint="default" w:ascii="Times New Roman" w:hAnsi="Times New Roman" w:eastAsia="方正书宋_GBK" w:cs="Times New Roman"/>
          <w:b w:val="0"/>
          <w:bCs w:val="0"/>
          <w:sz w:val="24"/>
          <w:szCs w:val="24"/>
          <w:highlight w:val="none"/>
        </w:rPr>
        <w:t>2.博识善学</w:t>
      </w:r>
      <w:bookmarkEnd w:id="16"/>
    </w:p>
    <w:p w14:paraId="613FC6B7">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企业合规管理是对企业法律、财务、审计、进出口、劳动环境等多方面进行合规管控，</w:t>
      </w:r>
      <w:r>
        <w:rPr>
          <w:rFonts w:hint="eastAsia" w:ascii="方正书宋_GBK" w:hAnsi="方正书宋_GBK" w:eastAsia="方正书宋_GBK" w:cs="方正书宋_GBK"/>
          <w:sz w:val="24"/>
          <w:szCs w:val="24"/>
          <w:highlight w:val="none"/>
          <w:vertAlign w:val="superscript"/>
        </w:rPr>
        <w:footnoteReference w:id="34"/>
      </w:r>
      <w:r>
        <w:rPr>
          <w:rFonts w:hint="eastAsia" w:ascii="方正书宋_GBK" w:hAnsi="方正书宋_GBK" w:eastAsia="方正书宋_GBK" w:cs="方正书宋_GBK"/>
          <w:sz w:val="24"/>
          <w:szCs w:val="24"/>
          <w:highlight w:val="none"/>
        </w:rPr>
        <w:t>综合性强和技术性高的特点鲜明。</w:t>
      </w:r>
      <w:r>
        <w:rPr>
          <w:rFonts w:hint="default" w:ascii="Times New Roman" w:hAnsi="Times New Roman" w:eastAsia="方正书宋_GBK" w:cs="Times New Roman"/>
          <w:sz w:val="24"/>
          <w:szCs w:val="24"/>
          <w:highlight w:val="none"/>
        </w:rPr>
        <w:t>2024年1月16日，</w:t>
      </w:r>
      <w:r>
        <w:rPr>
          <w:rFonts w:hint="eastAsia" w:ascii="方正书宋_GBK" w:hAnsi="方正书宋_GBK" w:eastAsia="方正书宋_GBK" w:cs="方正书宋_GBK"/>
          <w:sz w:val="24"/>
          <w:szCs w:val="24"/>
          <w:highlight w:val="none"/>
        </w:rPr>
        <w:t>最高</w:t>
      </w:r>
      <w:r>
        <w:rPr>
          <w:rFonts w:hint="eastAsia" w:ascii="方正书宋_GBK" w:hAnsi="方正书宋_GBK" w:eastAsia="方正书宋_GBK" w:cs="方正书宋_GBK"/>
          <w:sz w:val="24"/>
          <w:szCs w:val="24"/>
          <w:highlight w:val="none"/>
          <w:lang w:val="en-US" w:eastAsia="zh-CN"/>
        </w:rPr>
        <w:t>人民检察院</w:t>
      </w:r>
      <w:r>
        <w:rPr>
          <w:rFonts w:hint="eastAsia" w:ascii="方正书宋_GBK" w:hAnsi="方正书宋_GBK" w:eastAsia="方正书宋_GBK" w:cs="方正书宋_GBK"/>
          <w:sz w:val="24"/>
          <w:szCs w:val="24"/>
          <w:highlight w:val="none"/>
        </w:rPr>
        <w:t>发布第四批涉案企业合规典型案例，包括汽车销售服务企业保险专项合规、劳动密集型企业安全生产及财税管理专项合规等新领域下的合规案件。而立足国际企业合规的发展趋势来看，反洗钱、反商业贿赂、遵守出口管制以及个人数据信息保护等均被公认为最重要合规风险领域。近年来，政府出台了一系列企业合规管理政策及指引，如《中央企业合规管理指引（试行）》等，合规人员将在各领域扎根，帮助企业在竞争中提高软实力。</w:t>
      </w:r>
    </w:p>
    <w:p w14:paraId="675B1ECB">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这就要求合规人员博学多识，在多学科多行业间均有所涉猎，各行业的合规人员需要对该行业有充足的了解，针对该行业特点提出相关合规管理要点。例如，矿业企业的主营业务是矿产资源开发和利用，从矿产资源赋存特殊属性以及开发利用监管等不同角度考量，矿业开发的全流程均属于合规管理的高风险领域。为提高矿业企业合规管理的有效性，合规人员需要针对矿业企业业务领域监管特点，结合企业合规管理的基本要求，从矿业权、矿业用地、安全生产、环境保护、项目建设等方面，进行矿业企业合规管理。</w:t>
      </w:r>
    </w:p>
    <w:p w14:paraId="5B5F0FB7">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同时，合规人员还应善于法律检索和法律调查，善于学习把握涉外法律、国内新规等各类信息。例如，并购交易中的尽职调查是一项重要且常见的合规业务，有关客户、被并购方、第三方可能涉外，这要求合规人员不仅熟知我国证监会的信息披露规范，还需对域外证券法等其他法律法规中尽职调查的相关规定进行全面彻底的把握，以预防可能发生的合规风险，保证并购交易的顺利进行。</w:t>
      </w:r>
    </w:p>
    <w:p w14:paraId="1CDD6683">
      <w:pPr>
        <w:pStyle w:val="4"/>
        <w:spacing w:before="0" w:beforeLines="0" w:after="0" w:afterLines="0" w:line="500" w:lineRule="exact"/>
        <w:ind w:firstLine="480"/>
        <w:rPr>
          <w:rFonts w:hint="eastAsia" w:ascii="方正书宋_GBK" w:hAnsi="方正书宋_GBK" w:eastAsia="方正书宋_GBK" w:cs="方正书宋_GBK"/>
          <w:b w:val="0"/>
          <w:bCs w:val="0"/>
          <w:sz w:val="24"/>
          <w:szCs w:val="24"/>
          <w:highlight w:val="none"/>
        </w:rPr>
      </w:pPr>
      <w:bookmarkStart w:id="17" w:name="_Toc135988932"/>
      <w:r>
        <w:rPr>
          <w:rFonts w:hint="default" w:ascii="Times New Roman" w:hAnsi="Times New Roman" w:eastAsia="方正书宋_GBK" w:cs="Times New Roman"/>
          <w:b w:val="0"/>
          <w:bCs w:val="0"/>
          <w:sz w:val="24"/>
          <w:szCs w:val="24"/>
          <w:highlight w:val="none"/>
        </w:rPr>
        <w:t>3.与时</w:t>
      </w:r>
      <w:r>
        <w:rPr>
          <w:rFonts w:hint="eastAsia" w:ascii="方正书宋_GBK" w:hAnsi="方正书宋_GBK" w:eastAsia="方正书宋_GBK" w:cs="方正书宋_GBK"/>
          <w:b w:val="0"/>
          <w:bCs w:val="0"/>
          <w:sz w:val="24"/>
          <w:szCs w:val="24"/>
          <w:highlight w:val="none"/>
        </w:rPr>
        <w:t>俱进</w:t>
      </w:r>
      <w:bookmarkEnd w:id="17"/>
    </w:p>
    <w:p w14:paraId="08F18E4C">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司法改革事业的深入推进还对合规人员提出了与时俱进和灵活应变的要求。中国特色社会主义法律体系是开放的、动态的、与时俱进的，一成不变的法律制度将无法满足社会活动的要求，不利于法治进程的推动与社会主义现代化建设的实践。合规制度改革立于司法改革浪潮的潮头，新政策新规范更是层出不穷，合规人员应当时刻把控法条变化与行业发展动态，持续关注并跟进法律法规及相关政策的更新，及时了解法律的立改废释并依法对企业决策和业务提出相关建议，保证企业经营始终在合法合规的道路上进行。</w:t>
      </w:r>
    </w:p>
    <w:p w14:paraId="538A43DC">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诚然，遵守宪法和法律是合规人员的应尽义务，宪法和法律是全体公民行为的准绳，任何社会活动都不能在宪法和法律规定的范围之外进行。法律职业队伍是践行法律、维护法律、捍卫法律的主力军和排头兵，合规人员也不例外，因此合规人员应自觉承担起法律行业工作者的守法责任，不得通过非法方式为企业躲避法律制裁或牟取利益。另外，为推动企业合规的刑行衔接，行政机关可以进行合规指导</w:t>
      </w:r>
      <w:r>
        <w:rPr>
          <w:rFonts w:hint="eastAsia" w:ascii="方正书宋_GBK" w:hAnsi="方正书宋_GBK" w:eastAsia="方正书宋_GBK" w:cs="方正书宋_GBK"/>
          <w:sz w:val="24"/>
          <w:szCs w:val="24"/>
          <w:highlight w:val="none"/>
          <w:vertAlign w:val="superscript"/>
        </w:rPr>
        <w:footnoteReference w:id="35"/>
      </w:r>
      <w:r>
        <w:rPr>
          <w:rFonts w:hint="eastAsia" w:ascii="方正书宋_GBK" w:hAnsi="方正书宋_GBK" w:eastAsia="方正书宋_GBK" w:cs="方正书宋_GBK"/>
          <w:sz w:val="24"/>
          <w:szCs w:val="24"/>
          <w:highlight w:val="none"/>
        </w:rPr>
        <w:t>，以发布合规指引的方式，为相关企业建立或改进合规管理体系提供行政指导，确立有效合规标准，督促企业开展进一步的合规整改工作，并为未来企业合规整改的有效性作出科学的评估和验收，合规人员也应尽量参考。</w:t>
      </w:r>
    </w:p>
    <w:p w14:paraId="49F711F0">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但是，国家外部规范的滞后性与无差别性也要求合规人员能够灵活看待国家制定的规则。国家并非以公司法等传统法律法规为企业合规的行为标准，而是通过监督行为与执法行动，根据实践情况来判断企业合规与否。换言之，国家就合规制定的规范实际上滞后于企业合规的实际行业发展情况。同时，国家一方面掌握调查、听证、审判等方面的主导权，另一方面又缺乏企业文化、组织治理、心理学和社会学等方面的专业知识或经验。基于此，国家倾向于采取“无差别”政策，在合规方面对企业采取统一管控方式，而忽略不同规模、性质的企业各有其特殊性，忽略在同一行为或刺激下不同企业的表现很难用一套标准衡量的客观事实，最终可能导致在国家标准下的合规计划效率低下。</w:t>
      </w:r>
      <w:r>
        <w:rPr>
          <w:rFonts w:hint="eastAsia" w:ascii="方正书宋_GBK" w:hAnsi="方正书宋_GBK" w:eastAsia="方正书宋_GBK" w:cs="方正书宋_GBK"/>
          <w:sz w:val="24"/>
          <w:szCs w:val="24"/>
          <w:highlight w:val="none"/>
          <w:vertAlign w:val="superscript"/>
        </w:rPr>
        <w:footnoteReference w:id="36"/>
      </w:r>
      <w:r>
        <w:rPr>
          <w:rFonts w:hint="eastAsia" w:ascii="方正书宋_GBK" w:hAnsi="方正书宋_GBK" w:eastAsia="方正书宋_GBK" w:cs="方正书宋_GBK"/>
          <w:sz w:val="24"/>
          <w:szCs w:val="24"/>
          <w:highlight w:val="none"/>
        </w:rPr>
        <w:t>因此，合规人员需要在法律允许的范围内灵活适用规则，以企业利益为出发点开展企业合规，制定最合适的合规策略。</w:t>
      </w:r>
    </w:p>
    <w:p w14:paraId="6467BCA3">
      <w:pPr>
        <w:pStyle w:val="4"/>
        <w:spacing w:before="0" w:beforeLines="0" w:after="0" w:afterLines="0" w:line="500" w:lineRule="exact"/>
        <w:ind w:firstLine="480"/>
        <w:rPr>
          <w:rFonts w:hint="eastAsia" w:ascii="方正书宋_GBK" w:hAnsi="方正书宋_GBK" w:eastAsia="方正书宋_GBK" w:cs="方正书宋_GBK"/>
          <w:b w:val="0"/>
          <w:bCs w:val="0"/>
          <w:sz w:val="24"/>
          <w:szCs w:val="24"/>
          <w:highlight w:val="none"/>
        </w:rPr>
      </w:pPr>
      <w:bookmarkStart w:id="18" w:name="_Toc135988933"/>
      <w:r>
        <w:rPr>
          <w:rFonts w:hint="default" w:ascii="Times New Roman" w:hAnsi="Times New Roman" w:eastAsia="方正书宋_GBK" w:cs="Times New Roman"/>
          <w:b w:val="0"/>
          <w:bCs w:val="0"/>
          <w:sz w:val="24"/>
          <w:szCs w:val="24"/>
          <w:highlight w:val="none"/>
        </w:rPr>
        <w:t>4.自</w:t>
      </w:r>
      <w:r>
        <w:rPr>
          <w:rFonts w:hint="eastAsia" w:ascii="方正书宋_GBK" w:hAnsi="方正书宋_GBK" w:eastAsia="方正书宋_GBK" w:cs="方正书宋_GBK"/>
          <w:b w:val="0"/>
          <w:bCs w:val="0"/>
          <w:sz w:val="24"/>
          <w:szCs w:val="24"/>
          <w:highlight w:val="none"/>
        </w:rPr>
        <w:t>律忠诚</w:t>
      </w:r>
      <w:bookmarkEnd w:id="18"/>
    </w:p>
    <w:p w14:paraId="04B3D3AF">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我国合规制度改革的现实情况与合规人员本身的职业特性，都对合规人员提出了自律的伦理要求。从我国合规制度改革的现实情况来看，一系列的政策性文件与指引的发布，并不能完全涵盖企业合规实践所涉及的所有方面，现有评价体系也不能对企业的合规整改效果作出客观真实的评价，加之我国仍未建立起系统完备、逻辑严密的合规法律制度体系。由此，合规人员应该意识到，合规并不是一厢情愿地依从现有合规文件及指南按图索骥，如此行事只能在形式上应付监管。企业合规的出发点和立足点在于防范风险，阻断企业犯罪可能性。质言之，在当前我国合规领域缺乏他律性机制、合规标准尚未健全的局面之下，合规人员需要展现出高度的自律。在法律政策未明确规制的领域，他们应能够把握好行业特有的、潜在的习惯和不成文规定，以企业利益为出发点，实施有效的合规措施，避免形式主义和敷衍塞责。</w:t>
      </w:r>
    </w:p>
    <w:p w14:paraId="18438DCA">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可以说，目前我国合规领域已经形成了企业实践与法规制定交互促进、相得益彰的良性循环。例如，我国根据自身国情和经济发展的实际，树世界之新风，对涉罪企业和企业责任人均适用合规不起诉制度，即通过合规整改，既放过企业又放过责任人，这显著区别于欧美国家只对企业适用合规政策的做法</w:t>
      </w:r>
      <w:r>
        <w:rPr>
          <w:rFonts w:hint="eastAsia" w:ascii="方正书宋_GBK" w:hAnsi="方正书宋_GBK" w:eastAsia="方正书宋_GBK" w:cs="方正书宋_GBK"/>
          <w:sz w:val="24"/>
          <w:szCs w:val="24"/>
          <w:highlight w:val="none"/>
          <w:vertAlign w:val="superscript"/>
        </w:rPr>
        <w:footnoteReference w:id="37"/>
      </w:r>
      <w:r>
        <w:rPr>
          <w:rFonts w:hint="eastAsia" w:ascii="方正书宋_GBK" w:hAnsi="方正书宋_GBK" w:eastAsia="方正书宋_GBK" w:cs="方正书宋_GBK"/>
          <w:sz w:val="24"/>
          <w:szCs w:val="24"/>
          <w:highlight w:val="none"/>
        </w:rPr>
        <w:t>。激发企业活力需要企业负责人发挥作用，因此，双重合规符合我国注重激励和引导企业以促进经济发展的现实需求。然而，合规人员应当认识到，合规整改是对企业作出宽大处理的依据，而不应成为宽大处理个人和对企业家出罪的手段。这意味着合规人员应充分遵循自律伦理，不得与企业家串通，以非法手段逃避法律责任，扰乱市场秩序与合规文化。</w:t>
      </w:r>
    </w:p>
    <w:p w14:paraId="49E85D0F">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合规人员的自律伦理也当然要求其对企业忠诚，并为企业保守商业秘密。《中华人民共和国公司法》将董事、监事、高级管理人员对公司的忠实义务写入了法条，对于企业合规人员而言，忠实义务虽未被抬升到法律高度，但也应当是职业伦理的重要组成部分。正如执业律师对委托人应履行忠实义务，企业作为合规部门的服务对象也应对企业忠诚。合规人员应当以企业利益为根本宗旨，将工作目标与企业经营发展的目标保持高度一致，自觉保护企业的交易安全和运行安全。有学者总结了我国企业合规第三方监管在实践中的三种模式，分别表现为“检察机关联合行政机关监管模式”“独立监控人或者合规监督员模式”和“第三方监管人+企业合规监督管理委员会模式”。其中，独立监控人或者合规监督员模式类似于合规内部调查，</w:t>
      </w:r>
      <w:r>
        <w:rPr>
          <w:rFonts w:hint="eastAsia" w:ascii="方正书宋_GBK" w:hAnsi="方正书宋_GBK" w:eastAsia="方正书宋_GBK" w:cs="方正书宋_GBK"/>
          <w:sz w:val="24"/>
          <w:szCs w:val="24"/>
          <w:highlight w:val="none"/>
          <w:vertAlign w:val="superscript"/>
        </w:rPr>
        <w:footnoteReference w:id="38"/>
      </w:r>
      <w:r>
        <w:rPr>
          <w:rFonts w:hint="eastAsia" w:ascii="方正书宋_GBK" w:hAnsi="方正书宋_GBK" w:eastAsia="方正书宋_GBK" w:cs="方正书宋_GBK"/>
          <w:sz w:val="24"/>
          <w:szCs w:val="24"/>
          <w:highlight w:val="none"/>
        </w:rPr>
        <w:t>主要是在刑事合规领域负责合规调查，协助制定合规计划，由于是第三方机构，与企业的利益联结并不深厚，因此对独立监控人的管理、惩戒由司法局与法院共同进行，这也要求相关合规人员遵守职业操守，不能只重形式合规以应付监管，本末倒置，而应落实实质合规，重视内部贯彻实施，履行忠实义务。此外，商业秘密是影响企业竞争的关键因素之一。合规人员作为把控企业经营风险流程的关键环节，其工作内容必然涉及公司的众多经营材料、法律文书等具有重大商业价值的涉密文件。因此，强调合规人员的保密义务显得尤为重要。同时，合规部门也是落实员工保密管理手段的部门，合规人员更应当以身作则履行保密义务，充分遵循自律伦理。</w:t>
      </w:r>
    </w:p>
    <w:p w14:paraId="1807C7E6">
      <w:pPr>
        <w:pStyle w:val="2"/>
        <w:bidi w:val="0"/>
        <w:rPr>
          <w:rFonts w:hint="eastAsia"/>
        </w:rPr>
      </w:pPr>
      <w:bookmarkStart w:id="19" w:name="_Toc135988934"/>
      <w:r>
        <w:rPr>
          <w:rFonts w:hint="eastAsia"/>
        </w:rPr>
        <w:t>四、</w:t>
      </w:r>
      <w:bookmarkEnd w:id="19"/>
      <w:r>
        <w:rPr>
          <w:rFonts w:hint="eastAsia"/>
        </w:rPr>
        <w:t>结论</w:t>
      </w:r>
    </w:p>
    <w:p w14:paraId="13D5E75E">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企业合规改革对我国政治、经济和社会的发展都具有重大意义，但同时也要认识到有效合规整改难度比较大，而且其作为一种舶来品，我国对企业合规的认识尚处初探阶段。我国在</w:t>
      </w:r>
      <w:r>
        <w:rPr>
          <w:rFonts w:hint="default" w:ascii="Times New Roman" w:hAnsi="Times New Roman" w:eastAsia="方正书宋_GBK" w:cs="Times New Roman"/>
          <w:sz w:val="24"/>
          <w:szCs w:val="24"/>
          <w:highlight w:val="none"/>
        </w:rPr>
        <w:t>21</w:t>
      </w:r>
      <w:r>
        <w:rPr>
          <w:rFonts w:hint="eastAsia" w:ascii="方正书宋_GBK" w:hAnsi="方正书宋_GBK" w:eastAsia="方正书宋_GBK" w:cs="方正书宋_GBK"/>
          <w:sz w:val="24"/>
          <w:szCs w:val="24"/>
          <w:highlight w:val="none"/>
        </w:rPr>
        <w:t>世纪初才在金融监管领域作出合规管理的尝试，而且仅涉及证券、保险、商业银行、反垄断等领域。在司法改革的大背景下，检察机关开展企业合规改革的时间尚不足三年。自</w:t>
      </w:r>
      <w:r>
        <w:rPr>
          <w:rFonts w:hint="default" w:ascii="Times New Roman" w:hAnsi="Times New Roman" w:eastAsia="方正书宋_GBK" w:cs="Times New Roman"/>
          <w:sz w:val="24"/>
          <w:szCs w:val="24"/>
          <w:highlight w:val="none"/>
        </w:rPr>
        <w:t>2021年以来，大规模改革探索仅持续了三年，许多法官、检察官和行政监管人员对合规的认识仍相对模糊，他们甚至在实践中同时接受培训，以应对企业合规实践中出现的新</w:t>
      </w:r>
      <w:r>
        <w:rPr>
          <w:rFonts w:hint="eastAsia" w:ascii="方正书宋_GBK" w:hAnsi="方正书宋_GBK" w:eastAsia="方正书宋_GBK" w:cs="方正书宋_GBK"/>
          <w:sz w:val="24"/>
          <w:szCs w:val="24"/>
          <w:highlight w:val="none"/>
        </w:rPr>
        <w:t>情况。因此，在如此复杂多变的改革形势下，合规人员应当有自己的判断，在遵循职业伦理的前提下推动我国合规制度改革更上一层楼。</w:t>
      </w:r>
    </w:p>
    <w:p w14:paraId="4D687D30">
      <w:pPr>
        <w:spacing w:line="500" w:lineRule="exact"/>
        <w:ind w:firstLine="480" w:firstLineChars="200"/>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伦理，是调节人与人之间关系的道德规范体系和道德原则。</w:t>
      </w:r>
      <w:r>
        <w:rPr>
          <w:rFonts w:hint="eastAsia" w:ascii="方正书宋_GBK" w:hAnsi="方正书宋_GBK" w:eastAsia="方正书宋_GBK" w:cs="方正书宋_GBK"/>
          <w:sz w:val="24"/>
          <w:szCs w:val="24"/>
          <w:highlight w:val="none"/>
          <w:vertAlign w:val="superscript"/>
        </w:rPr>
        <w:footnoteReference w:id="39"/>
      </w:r>
      <w:r>
        <w:rPr>
          <w:rFonts w:hint="eastAsia" w:ascii="方正书宋_GBK" w:hAnsi="方正书宋_GBK" w:eastAsia="方正书宋_GBK" w:cs="方正书宋_GBK"/>
          <w:sz w:val="24"/>
          <w:szCs w:val="24"/>
          <w:highlight w:val="none"/>
        </w:rPr>
        <w:t>道德规范体系依据调节的范围，可分为个人道德规范、家庭道德规范、职业道德规范和社会公共道德规范等等。</w:t>
      </w:r>
      <w:r>
        <w:rPr>
          <w:rFonts w:hint="eastAsia" w:ascii="方正书宋_GBK" w:hAnsi="方正书宋_GBK" w:eastAsia="方正书宋_GBK" w:cs="方正书宋_GBK"/>
          <w:sz w:val="24"/>
          <w:szCs w:val="24"/>
          <w:highlight w:val="none"/>
          <w:vertAlign w:val="superscript"/>
        </w:rPr>
        <w:footnoteReference w:id="40"/>
      </w:r>
      <w:r>
        <w:rPr>
          <w:rFonts w:hint="eastAsia" w:ascii="方正书宋_GBK" w:hAnsi="方正书宋_GBK" w:eastAsia="方正书宋_GBK" w:cs="方正书宋_GBK"/>
          <w:sz w:val="24"/>
          <w:szCs w:val="24"/>
          <w:highlight w:val="none"/>
        </w:rPr>
        <w:t>职业伦理较于职业道德具有更丰富的内涵，伦理超越道德，道德与品质相似，更为内化，而伦理不仅要求内化于心，更利于外化于行。因此，要成为专业的法律工作者，就必须以法律职业伦理这一规则体系为基本遵循。新时代，法律职业伦理应当具有更为丰富的内涵。用凝练关键词的方法对合规制度改革下我国合规人员的法律职业伦理进行论述，既是对法律职业伦理这一学科的术语体系和称谓系统的扩张，也是立足于马克思主义方法论的高度自觉。因此，论文从合规人员内部职务行使、外部职业形象、国家政策要求三个维度出发，将经历试点探索和司法改革后的合规人员职业伦理归纳为专业负责、内外协作、守正创新、博识善学、与时俱进和自律忠诚。这些伦理要求更加客观、明确、全面，以期最终服务于合规人员职业伦理的传播与普及、实践与群众化。期望这些伦理能够真正为合规人员群体所接受，内化于心、外化于行。</w:t>
      </w:r>
    </w:p>
    <w:p w14:paraId="7B75711A">
      <w:pPr>
        <w:spacing w:line="500" w:lineRule="exact"/>
        <w:ind w:firstLine="480" w:firstLineChars="200"/>
        <w:rPr>
          <w:rFonts w:hint="eastAsia" w:ascii="方正书宋_GBK" w:hAnsi="方正书宋_GBK" w:eastAsia="方正书宋_GBK" w:cs="方正书宋_GBK"/>
          <w:sz w:val="24"/>
          <w:szCs w:val="24"/>
          <w:highlight w:val="none"/>
        </w:rPr>
      </w:pPr>
    </w:p>
    <w:p w14:paraId="670A5EF7">
      <w:pPr>
        <w:spacing w:line="500" w:lineRule="exact"/>
        <w:jc w:val="right"/>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w:t>
      </w:r>
      <w:r>
        <w:rPr>
          <w:rFonts w:hint="eastAsia" w:ascii="方正仿宋简体" w:hAnsi="方正仿宋简体" w:eastAsia="方正仿宋简体" w:cs="方正仿宋简体"/>
          <w:sz w:val="24"/>
          <w:szCs w:val="24"/>
          <w:highlight w:val="none"/>
        </w:rPr>
        <w:t>责任编辑：张</w:t>
      </w:r>
      <w:r>
        <w:rPr>
          <w:rFonts w:hint="eastAsia" w:ascii="方正仿宋简体" w:hAnsi="方正仿宋简体" w:eastAsia="方正仿宋简体" w:cs="方正仿宋简体"/>
          <w:sz w:val="24"/>
          <w:szCs w:val="24"/>
          <w:highlight w:val="none"/>
          <w:lang w:val="en-US" w:eastAsia="zh-CN"/>
        </w:rPr>
        <w:t xml:space="preserve">  </w:t>
      </w:r>
      <w:r>
        <w:rPr>
          <w:rFonts w:hint="eastAsia" w:ascii="方正仿宋简体" w:hAnsi="方正仿宋简体" w:eastAsia="方正仿宋简体" w:cs="方正仿宋简体"/>
          <w:sz w:val="24"/>
          <w:szCs w:val="24"/>
          <w:highlight w:val="none"/>
        </w:rPr>
        <w:t>莹</w:t>
      </w:r>
      <w:r>
        <w:rPr>
          <w:rFonts w:hint="eastAsia" w:ascii="方正书宋_GBK" w:hAnsi="方正书宋_GBK" w:eastAsia="方正书宋_GBK" w:cs="方正书宋_GBK"/>
          <w:sz w:val="24"/>
          <w:szCs w:val="24"/>
          <w:highlight w:val="none"/>
        </w:rPr>
        <w:t>〕</w:t>
      </w:r>
    </w:p>
    <w:p w14:paraId="5863C313">
      <w:pPr>
        <w:spacing w:line="500" w:lineRule="exact"/>
        <w:jc w:val="right"/>
        <w:rPr>
          <w:rFonts w:hint="eastAsia" w:ascii="方正书宋_GBK" w:hAnsi="方正书宋_GBK" w:eastAsia="方正书宋_GBK" w:cs="方正书宋_GBK"/>
          <w:sz w:val="24"/>
          <w:szCs w:val="24"/>
          <w:highlight w:val="none"/>
        </w:rPr>
      </w:pPr>
      <w:r>
        <w:rPr>
          <w:rFonts w:hint="eastAsia" w:ascii="方正书宋_GBK" w:hAnsi="方正书宋_GBK" w:eastAsia="方正书宋_GBK" w:cs="方正书宋_GBK"/>
          <w:sz w:val="24"/>
          <w:szCs w:val="24"/>
          <w:highlight w:val="none"/>
        </w:rPr>
        <w:t>〔</w:t>
      </w:r>
      <w:r>
        <w:rPr>
          <w:rFonts w:hint="eastAsia" w:ascii="方正仿宋简体" w:hAnsi="方正仿宋简体" w:eastAsia="方正仿宋简体" w:cs="方正仿宋简体"/>
          <w:sz w:val="24"/>
          <w:szCs w:val="24"/>
          <w:highlight w:val="none"/>
        </w:rPr>
        <w:t>责任校对：罗兴贵</w:t>
      </w:r>
      <w:r>
        <w:rPr>
          <w:rFonts w:hint="eastAsia" w:ascii="方正书宋_GBK" w:hAnsi="方正书宋_GBK" w:eastAsia="方正书宋_GBK" w:cs="方正书宋_GBK"/>
          <w:sz w:val="24"/>
          <w:szCs w:val="24"/>
          <w:highlight w:val="none"/>
        </w:rPr>
        <w:t>〕</w:t>
      </w:r>
    </w:p>
    <w:p w14:paraId="71E0EBCA">
      <w:pPr>
        <w:spacing w:line="500" w:lineRule="exact"/>
        <w:rPr>
          <w:rFonts w:ascii="宋体" w:hAnsi="宋体" w:eastAsia="宋体"/>
          <w:sz w:val="24"/>
          <w:szCs w:val="24"/>
          <w:highlight w:val="none"/>
        </w:rPr>
      </w:pPr>
    </w:p>
    <w:p w14:paraId="37D14501">
      <w:pPr>
        <w:spacing w:line="500" w:lineRule="exact"/>
        <w:rPr>
          <w:rFonts w:ascii="宋体" w:hAnsi="宋体" w:eastAsia="宋体"/>
          <w:sz w:val="24"/>
          <w:szCs w:val="24"/>
          <w:highlight w:val="none"/>
        </w:rPr>
      </w:pPr>
    </w:p>
    <w:p w14:paraId="2B2A2134">
      <w:pPr>
        <w:spacing w:line="500" w:lineRule="exact"/>
        <w:rPr>
          <w:rFonts w:ascii="宋体" w:hAnsi="宋体" w:eastAsia="宋体"/>
          <w:sz w:val="24"/>
          <w:szCs w:val="24"/>
          <w:highlight w:val="none"/>
        </w:rPr>
      </w:pPr>
    </w:p>
    <w:p w14:paraId="30154550">
      <w:pPr>
        <w:spacing w:line="500" w:lineRule="exact"/>
        <w:jc w:val="both"/>
        <w:rPr>
          <w:rFonts w:hint="eastAsia" w:eastAsia="黑体" w:asciiTheme="majorAscii" w:hAnsiTheme="majorAscii"/>
          <w:b/>
          <w:bCs/>
          <w:sz w:val="28"/>
          <w:szCs w:val="28"/>
          <w:highlight w:val="none"/>
          <w:u w:val="single"/>
          <w:lang w:val="en-US" w:eastAsia="zh-CN"/>
        </w:rPr>
      </w:pPr>
      <w:r>
        <w:rPr>
          <w:rFonts w:hint="eastAsia" w:eastAsia="黑体" w:asciiTheme="majorAscii" w:hAnsiTheme="majorAscii"/>
          <w:b/>
          <w:bCs/>
          <w:sz w:val="28"/>
          <w:szCs w:val="28"/>
          <w:highlight w:val="none"/>
          <w:u w:val="single"/>
          <w:lang w:val="en-US" w:eastAsia="zh-CN"/>
        </w:rPr>
        <w:t xml:space="preserve">                                                            </w:t>
      </w:r>
    </w:p>
    <w:p w14:paraId="1BD34A39">
      <w:pPr>
        <w:spacing w:line="500" w:lineRule="exact"/>
        <w:jc w:val="both"/>
        <w:rPr>
          <w:rFonts w:hint="default" w:eastAsia="黑体" w:asciiTheme="majorAscii" w:hAnsiTheme="majorAscii"/>
          <w:b/>
          <w:bCs/>
          <w:sz w:val="28"/>
          <w:szCs w:val="28"/>
          <w:highlight w:val="none"/>
          <w:u w:val="single"/>
          <w:lang w:val="en-US" w:eastAsia="zh-CN"/>
        </w:rPr>
      </w:pPr>
    </w:p>
    <w:p w14:paraId="31AB358C">
      <w:pPr>
        <w:spacing w:line="500" w:lineRule="exact"/>
        <w:jc w:val="center"/>
        <w:rPr>
          <w:rFonts w:hint="default" w:ascii="Times New Roman" w:hAnsi="Times New Roman" w:eastAsia="黑体" w:cs="Times New Roman"/>
          <w:b/>
          <w:bCs/>
          <w:sz w:val="28"/>
          <w:szCs w:val="28"/>
          <w:highlight w:val="none"/>
        </w:rPr>
      </w:pPr>
      <w:r>
        <w:rPr>
          <w:rFonts w:hint="default" w:ascii="Times New Roman" w:hAnsi="Times New Roman" w:eastAsia="黑体" w:cs="Times New Roman"/>
          <w:b/>
          <w:bCs/>
          <w:sz w:val="28"/>
          <w:szCs w:val="28"/>
          <w:highlight w:val="none"/>
        </w:rPr>
        <w:t>Systemati</w:t>
      </w:r>
      <w:bookmarkStart w:id="20" w:name="_GoBack"/>
      <w:bookmarkEnd w:id="20"/>
      <w:r>
        <w:rPr>
          <w:rFonts w:hint="default" w:ascii="Times New Roman" w:hAnsi="Times New Roman" w:eastAsia="黑体" w:cs="Times New Roman"/>
          <w:b/>
          <w:bCs/>
          <w:sz w:val="28"/>
          <w:szCs w:val="28"/>
          <w:highlight w:val="none"/>
        </w:rPr>
        <w:t>c Reflections on and Local Reshaping of</w:t>
      </w:r>
    </w:p>
    <w:p w14:paraId="74B1A144">
      <w:pPr>
        <w:spacing w:line="500" w:lineRule="exact"/>
        <w:jc w:val="center"/>
        <w:rPr>
          <w:rFonts w:hint="default" w:ascii="Times New Roman" w:hAnsi="Times New Roman" w:eastAsia="黑体" w:cs="Times New Roman"/>
          <w:b/>
          <w:bCs/>
          <w:sz w:val="28"/>
          <w:szCs w:val="28"/>
          <w:highlight w:val="none"/>
        </w:rPr>
      </w:pPr>
      <w:r>
        <w:rPr>
          <w:rFonts w:hint="default" w:ascii="Times New Roman" w:hAnsi="Times New Roman" w:eastAsia="黑体" w:cs="Times New Roman"/>
          <w:b/>
          <w:bCs/>
          <w:sz w:val="28"/>
          <w:szCs w:val="28"/>
          <w:highlight w:val="none"/>
        </w:rPr>
        <w:t>Professional Ethics Concerning Compliance Staffers in China</w:t>
      </w:r>
    </w:p>
    <w:p w14:paraId="6253777A">
      <w:pPr>
        <w:spacing w:line="500" w:lineRule="exact"/>
        <w:jc w:val="center"/>
        <w:rPr>
          <w:rFonts w:hint="default" w:ascii="Times New Roman" w:hAnsi="Times New Roman" w:eastAsia="黑体" w:cs="Times New Roman"/>
          <w:sz w:val="22"/>
          <w:highlight w:val="none"/>
        </w:rPr>
      </w:pPr>
      <w:r>
        <w:rPr>
          <w:rFonts w:hint="default" w:ascii="Times New Roman" w:hAnsi="Times New Roman" w:eastAsia="黑体" w:cs="Times New Roman"/>
          <w:sz w:val="22"/>
          <w:highlight w:val="none"/>
        </w:rPr>
        <w:t>YIN Bo,</w:t>
      </w:r>
      <w:r>
        <w:rPr>
          <w:rFonts w:hint="eastAsia" w:ascii="Times New Roman" w:hAnsi="Times New Roman" w:eastAsia="黑体" w:cs="Times New Roman"/>
          <w:sz w:val="22"/>
          <w:highlight w:val="none"/>
          <w:lang w:val="en-US" w:eastAsia="zh-CN"/>
        </w:rPr>
        <w:t xml:space="preserve"> </w:t>
      </w:r>
      <w:r>
        <w:rPr>
          <w:rFonts w:hint="default" w:ascii="Times New Roman" w:hAnsi="Times New Roman" w:eastAsia="黑体" w:cs="Times New Roman"/>
          <w:sz w:val="22"/>
          <w:highlight w:val="none"/>
        </w:rPr>
        <w:t>ZHANG Rui</w:t>
      </w:r>
    </w:p>
    <w:p w14:paraId="1B49A036">
      <w:pPr>
        <w:keepNext w:val="0"/>
        <w:keepLines w:val="0"/>
        <w:pageBreakBefore w:val="0"/>
        <w:widowControl w:val="0"/>
        <w:kinsoku/>
        <w:wordWrap/>
        <w:overflowPunct/>
        <w:topLinePunct w:val="0"/>
        <w:autoSpaceDE/>
        <w:autoSpaceDN/>
        <w:bidi w:val="0"/>
        <w:adjustRightInd/>
        <w:snapToGrid/>
        <w:spacing w:line="500" w:lineRule="exact"/>
        <w:ind w:left="770" w:hanging="770" w:hangingChars="350"/>
        <w:textAlignment w:val="auto"/>
        <w:rPr>
          <w:rFonts w:hint="default" w:ascii="Times New Roman" w:hAnsi="Times New Roman" w:eastAsia="黑体" w:cs="Times New Roman"/>
          <w:sz w:val="22"/>
          <w:highlight w:val="none"/>
        </w:rPr>
      </w:pPr>
      <w:r>
        <w:rPr>
          <w:rFonts w:hint="default" w:ascii="Times New Roman" w:hAnsi="Times New Roman" w:eastAsia="黑体" w:cs="Times New Roman"/>
          <w:sz w:val="22"/>
          <w:highlight w:val="none"/>
        </w:rPr>
        <w:t>Abstract:The compliance management system is a system ushered in from abroad,whose localization requires clear stipulation of compliance staffers’ professional ethics.As a component of legal professional community,compliance staffers differ from the special group of compliance supervisors and legal staffers,and stand for corporate rights and perform broader responsibilities.Legal professional ethics should be kept in mind and expressed through behaviors while the induction of key words regarding meta-ethics has become an exceptional approach for research on legal professional ethics.Starting from the three dimensions-the internal post-executing,external professional image and state policies of compliance staffers,this paper inducts the professional ethics of compliance staffers following pilot exploration and judiciary reform as the external ethics of professional responsibility and internal and external coordination and the internal ethics of sticking to tradition while carrying out innovation,rich knowledge and excellence in learning,keeping pace with times,and self-disciplining and loyalty.</w:t>
      </w:r>
    </w:p>
    <w:p w14:paraId="5431A072">
      <w:pPr>
        <w:spacing w:line="500" w:lineRule="exact"/>
        <w:rPr>
          <w:rFonts w:hint="default" w:ascii="Times New Roman" w:hAnsi="Times New Roman" w:eastAsia="黑体" w:cs="Times New Roman"/>
          <w:sz w:val="22"/>
          <w:highlight w:val="none"/>
        </w:rPr>
      </w:pPr>
      <w:r>
        <w:rPr>
          <w:rFonts w:hint="default" w:ascii="Times New Roman" w:hAnsi="Times New Roman" w:eastAsia="黑体" w:cs="Times New Roman"/>
          <w:sz w:val="22"/>
          <w:highlight w:val="none"/>
        </w:rPr>
        <w:t>Ke</w:t>
      </w:r>
      <w:r>
        <w:rPr>
          <w:rFonts w:hint="eastAsia" w:ascii="Times New Roman" w:hAnsi="Times New Roman" w:eastAsia="黑体" w:cs="Times New Roman"/>
          <w:sz w:val="22"/>
          <w:highlight w:val="none"/>
          <w:lang w:val="en-US" w:eastAsia="zh-CN"/>
        </w:rPr>
        <w:t>y</w:t>
      </w:r>
      <w:r>
        <w:rPr>
          <w:rFonts w:hint="default" w:ascii="Times New Roman" w:hAnsi="Times New Roman" w:eastAsia="黑体" w:cs="Times New Roman"/>
          <w:sz w:val="22"/>
          <w:highlight w:val="none"/>
        </w:rPr>
        <w:t>words:</w:t>
      </w:r>
      <w:r>
        <w:rPr>
          <w:rFonts w:hint="eastAsia" w:ascii="Times New Roman" w:hAnsi="Times New Roman" w:eastAsia="黑体" w:cs="Times New Roman"/>
          <w:sz w:val="22"/>
          <w:highlight w:val="none"/>
          <w:lang w:val="en-US" w:eastAsia="zh-CN"/>
        </w:rPr>
        <w:t xml:space="preserve"> </w:t>
      </w:r>
      <w:r>
        <w:rPr>
          <w:rFonts w:hint="default" w:ascii="Times New Roman" w:hAnsi="Times New Roman" w:eastAsia="黑体" w:cs="Times New Roman"/>
          <w:sz w:val="22"/>
          <w:highlight w:val="none"/>
        </w:rPr>
        <w:t>compliance reform;</w:t>
      </w:r>
      <w:r>
        <w:rPr>
          <w:rFonts w:hint="eastAsia" w:ascii="Times New Roman" w:hAnsi="Times New Roman" w:eastAsia="黑体" w:cs="Times New Roman"/>
          <w:sz w:val="22"/>
          <w:highlight w:val="none"/>
          <w:lang w:val="en-US" w:eastAsia="zh-CN"/>
        </w:rPr>
        <w:t xml:space="preserve"> </w:t>
      </w:r>
      <w:r>
        <w:rPr>
          <w:rFonts w:hint="default" w:ascii="Times New Roman" w:hAnsi="Times New Roman" w:eastAsia="黑体" w:cs="Times New Roman"/>
          <w:sz w:val="22"/>
          <w:highlight w:val="none"/>
        </w:rPr>
        <w:t>compliance staffer;</w:t>
      </w:r>
      <w:r>
        <w:rPr>
          <w:rFonts w:hint="eastAsia" w:ascii="Times New Roman" w:hAnsi="Times New Roman" w:eastAsia="黑体" w:cs="Times New Roman"/>
          <w:sz w:val="22"/>
          <w:highlight w:val="none"/>
          <w:lang w:val="en-US" w:eastAsia="zh-CN"/>
        </w:rPr>
        <w:t xml:space="preserve"> </w:t>
      </w:r>
      <w:r>
        <w:rPr>
          <w:rFonts w:hint="default" w:ascii="Times New Roman" w:hAnsi="Times New Roman" w:eastAsia="黑体" w:cs="Times New Roman"/>
          <w:sz w:val="22"/>
          <w:highlight w:val="none"/>
        </w:rPr>
        <w:t>legal professional ethics;</w:t>
      </w:r>
      <w:r>
        <w:rPr>
          <w:rFonts w:hint="eastAsia" w:ascii="Times New Roman" w:hAnsi="Times New Roman" w:eastAsia="黑体" w:cs="Times New Roman"/>
          <w:sz w:val="22"/>
          <w:highlight w:val="none"/>
          <w:lang w:val="en-US" w:eastAsia="zh-CN"/>
        </w:rPr>
        <w:t xml:space="preserve"> </w:t>
      </w:r>
      <w:r>
        <w:rPr>
          <w:rFonts w:hint="default" w:ascii="Times New Roman" w:hAnsi="Times New Roman" w:eastAsia="黑体" w:cs="Times New Roman"/>
          <w:sz w:val="22"/>
          <w:highlight w:val="none"/>
        </w:rPr>
        <w:t>external ethics;</w:t>
      </w:r>
      <w:r>
        <w:rPr>
          <w:rFonts w:hint="eastAsia" w:ascii="Times New Roman" w:hAnsi="Times New Roman" w:eastAsia="黑体" w:cs="Times New Roman"/>
          <w:sz w:val="22"/>
          <w:highlight w:val="none"/>
          <w:lang w:val="en-US" w:eastAsia="zh-CN"/>
        </w:rPr>
        <w:t xml:space="preserve"> </w:t>
      </w:r>
      <w:r>
        <w:rPr>
          <w:rFonts w:hint="default" w:ascii="Times New Roman" w:hAnsi="Times New Roman" w:eastAsia="黑体" w:cs="Times New Roman"/>
          <w:sz w:val="22"/>
          <w:highlight w:val="none"/>
        </w:rPr>
        <w:t>internal ethics</w:t>
      </w:r>
    </w:p>
    <w:p w14:paraId="40EFDA29">
      <w:pPr>
        <w:spacing w:line="500" w:lineRule="exact"/>
        <w:rPr>
          <w:rFonts w:hint="default" w:eastAsia="黑体" w:asciiTheme="majorAscii" w:hAnsiTheme="majorAscii"/>
          <w:sz w:val="22"/>
          <w:highlight w:val="none"/>
          <w:u w:val="single"/>
          <w:lang w:val="en-US" w:eastAsia="zh-CN"/>
        </w:rPr>
      </w:pPr>
      <w:r>
        <w:rPr>
          <w:rFonts w:hint="default" w:ascii="Times New Roman" w:hAnsi="Times New Roman" w:eastAsia="黑体" w:cs="Times New Roman"/>
          <w:sz w:val="22"/>
          <w:highlight w:val="none"/>
          <w:u w:val="single"/>
          <w:lang w:val="en-US" w:eastAsia="zh-CN"/>
        </w:rPr>
        <w:t xml:space="preserve">                                                                       </w:t>
      </w:r>
      <w:r>
        <w:rPr>
          <w:rFonts w:hint="eastAsia" w:eastAsia="黑体" w:asciiTheme="majorAscii" w:hAnsiTheme="majorAscii"/>
          <w:sz w:val="22"/>
          <w:highlight w:val="none"/>
          <w:u w:val="single"/>
          <w:lang w:val="en-US" w:eastAsia="zh-CN"/>
        </w:rPr>
        <w:t xml:space="preserve">      </w:t>
      </w:r>
    </w:p>
    <w:sectPr>
      <w:footnotePr>
        <w:numFmt w:val="decimalEnclosedCircleChinese"/>
        <w:numRestart w:val="eachPage"/>
      </w:footnotePr>
      <w:pgSz w:w="11906" w:h="16838"/>
      <w:pgMar w:top="1871" w:right="1587" w:bottom="1485" w:left="183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书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KSOFEC83043A">
    <w:panose1 w:val="020B0503020204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2">
    <w:p>
      <w:r>
        <w:separator/>
      </w:r>
    </w:p>
  </w:footnote>
  <w:footnote w:type="continuationSeparator" w:id="83">
    <w:p>
      <w:r>
        <w:continuationSeparator/>
      </w:r>
    </w:p>
  </w:footnote>
  <w:footnote w:id="0">
    <w:p w14:paraId="5B361EA2">
      <w:pPr>
        <w:pStyle w:val="12"/>
        <w:bidi w:val="0"/>
        <w:rPr>
          <w:rFonts w:hint="default" w:ascii="Times New Roman" w:hAnsi="Times New Roman" w:eastAsia="仿宋"/>
          <w:color w:val="auto"/>
          <w:sz w:val="21"/>
          <w:highlight w:val="none"/>
          <w:lang w:val="en-US" w:eastAsia="zh-CN"/>
        </w:rPr>
      </w:pPr>
      <w:r>
        <w:rPr>
          <w:rStyle w:val="21"/>
          <w:color w:val="auto"/>
          <w:highlight w:val="none"/>
        </w:rPr>
        <w:sym w:font="Symbol" w:char="F02A"/>
      </w:r>
      <w:r>
        <w:rPr>
          <w:color w:val="auto"/>
          <w:highlight w:val="none"/>
        </w:rPr>
        <w:t xml:space="preserve"> </w:t>
      </w:r>
      <w:r>
        <w:rPr>
          <w:rFonts w:hint="default" w:ascii="Times New Roman" w:hAnsi="Times New Roman" w:eastAsia="仿宋" w:cs="Times New Roman"/>
          <w:color w:val="auto"/>
          <w:sz w:val="21"/>
          <w:highlight w:val="none"/>
          <w:u w:val="none"/>
        </w:rPr>
        <w:t>本文为</w:t>
      </w:r>
      <w:r>
        <w:rPr>
          <w:rFonts w:hint="eastAsia" w:ascii="Times New Roman" w:hAnsi="Times New Roman" w:eastAsia="仿宋" w:cs="Times New Roman"/>
          <w:color w:val="auto"/>
          <w:sz w:val="21"/>
          <w:highlight w:val="none"/>
          <w:u w:val="none"/>
          <w:lang w:val="en-US" w:eastAsia="zh-CN"/>
        </w:rPr>
        <w:t>2022年</w:t>
      </w:r>
      <w:r>
        <w:rPr>
          <w:rFonts w:hint="eastAsia" w:ascii="Times New Roman" w:hAnsi="Times New Roman" w:eastAsia="仿宋" w:cs="Times New Roman"/>
          <w:color w:val="auto"/>
          <w:sz w:val="21"/>
          <w:highlight w:val="none"/>
          <w:u w:val="none"/>
        </w:rPr>
        <w:t>北京师范大学教</w:t>
      </w:r>
      <w:r>
        <w:rPr>
          <w:rFonts w:hint="eastAsia" w:ascii="Times New Roman" w:hAnsi="Times New Roman" w:eastAsia="仿宋"/>
          <w:color w:val="auto"/>
          <w:sz w:val="21"/>
          <w:highlight w:val="none"/>
        </w:rPr>
        <w:t>学建设与改革项目之课程思政建设项目“《法律职业伦理》思政元素提取与教学改革融合研究”</w:t>
      </w:r>
      <w:r>
        <w:rPr>
          <w:rFonts w:hint="eastAsia" w:ascii="Times New Roman" w:hAnsi="Times New Roman" w:eastAsia="仿宋" w:cs="Times New Roman"/>
          <w:color w:val="auto"/>
          <w:sz w:val="21"/>
          <w:highlight w:val="none"/>
          <w:u w:val="none"/>
        </w:rPr>
        <w:t>（</w:t>
      </w:r>
      <w:r>
        <w:rPr>
          <w:rFonts w:hint="default" w:ascii="Times New Roman" w:hAnsi="Times New Roman" w:eastAsia="仿宋" w:cs="Times New Roman"/>
          <w:color w:val="auto"/>
          <w:sz w:val="21"/>
          <w:highlight w:val="none"/>
          <w:u w:val="none"/>
        </w:rPr>
        <w:t>22-02-28</w:t>
      </w:r>
      <w:r>
        <w:rPr>
          <w:rFonts w:hint="eastAsia" w:ascii="Times New Roman" w:hAnsi="Times New Roman" w:eastAsia="仿宋" w:cs="Times New Roman"/>
          <w:color w:val="auto"/>
          <w:sz w:val="21"/>
          <w:highlight w:val="none"/>
          <w:u w:val="none"/>
        </w:rPr>
        <w:t>）</w:t>
      </w:r>
      <w:r>
        <w:rPr>
          <w:rFonts w:hint="eastAsia" w:ascii="Times New Roman" w:hAnsi="Times New Roman" w:eastAsia="仿宋" w:cs="Times New Roman"/>
          <w:color w:val="auto"/>
          <w:sz w:val="21"/>
          <w:highlight w:val="none"/>
          <w:u w:val="none"/>
          <w:lang w:eastAsia="zh-CN"/>
        </w:rPr>
        <w:t>；</w:t>
      </w:r>
      <w:r>
        <w:rPr>
          <w:rFonts w:hint="eastAsia" w:ascii="Times New Roman" w:hAnsi="Times New Roman" w:eastAsia="仿宋" w:cs="Times New Roman"/>
          <w:color w:val="auto"/>
          <w:sz w:val="21"/>
          <w:highlight w:val="none"/>
          <w:u w:val="none"/>
          <w:lang w:val="en-US" w:eastAsia="zh-CN"/>
        </w:rPr>
        <w:t>2023</w:t>
      </w:r>
      <w:r>
        <w:rPr>
          <w:rFonts w:hint="eastAsia" w:ascii="Times New Roman" w:hAnsi="Times New Roman" w:eastAsia="仿宋"/>
          <w:color w:val="auto"/>
          <w:sz w:val="21"/>
          <w:highlight w:val="none"/>
          <w:lang w:val="en-US" w:eastAsia="zh-CN"/>
        </w:rPr>
        <w:t>年</w:t>
      </w:r>
      <w:r>
        <w:rPr>
          <w:rFonts w:hint="eastAsia" w:ascii="Times New Roman" w:hAnsi="Times New Roman" w:eastAsia="仿宋"/>
          <w:color w:val="auto"/>
          <w:sz w:val="21"/>
          <w:highlight w:val="none"/>
        </w:rPr>
        <w:t>北京师范大学研究生综合素养课程建设项目“科研伦理与学术规范研究”</w:t>
      </w:r>
      <w:r>
        <w:rPr>
          <w:rFonts w:hint="eastAsia" w:ascii="Times New Roman" w:hAnsi="Times New Roman" w:eastAsia="仿宋" w:cs="Times New Roman"/>
          <w:color w:val="auto"/>
          <w:sz w:val="21"/>
          <w:highlight w:val="none"/>
          <w:u w:val="none"/>
        </w:rPr>
        <w:t>（</w:t>
      </w:r>
      <w:r>
        <w:rPr>
          <w:rFonts w:hint="default" w:ascii="Times New Roman" w:hAnsi="Times New Roman" w:eastAsia="仿宋" w:cs="Times New Roman"/>
          <w:color w:val="auto"/>
          <w:sz w:val="21"/>
          <w:highlight w:val="none"/>
          <w:u w:val="none"/>
        </w:rPr>
        <w:t>23-06-01</w:t>
      </w:r>
      <w:r>
        <w:rPr>
          <w:rFonts w:hint="eastAsia" w:ascii="Times New Roman" w:hAnsi="Times New Roman" w:eastAsia="仿宋" w:cs="Times New Roman"/>
          <w:color w:val="auto"/>
          <w:sz w:val="21"/>
          <w:highlight w:val="none"/>
          <w:u w:val="none"/>
        </w:rPr>
        <w:t>）</w:t>
      </w:r>
      <w:r>
        <w:rPr>
          <w:rFonts w:ascii="Times New Roman" w:hAnsi="Times New Roman" w:eastAsia="仿宋"/>
          <w:color w:val="auto"/>
          <w:sz w:val="21"/>
          <w:highlight w:val="none"/>
        </w:rPr>
        <w:t>阶段性成果。</w:t>
      </w:r>
      <w:r>
        <w:rPr>
          <w:rFonts w:hint="eastAsia" w:ascii="Times New Roman" w:hAnsi="Times New Roman"/>
          <w:color w:val="auto"/>
          <w:sz w:val="21"/>
          <w:highlight w:val="none"/>
          <w:lang w:val="en-US" w:eastAsia="zh-CN"/>
        </w:rPr>
        <w:t>感谢匿名审稿专家的建设性意见。文责自负。</w:t>
      </w:r>
    </w:p>
  </w:footnote>
  <w:footnote w:id="1">
    <w:p w14:paraId="5A1731C2">
      <w:pPr>
        <w:pStyle w:val="12"/>
        <w:bidi w:val="0"/>
        <w:rPr>
          <w:rFonts w:hint="default" w:ascii="Times New Roman" w:hAnsi="Times New Roman" w:eastAsia="仿宋" w:cs="Times New Roman"/>
          <w:color w:val="auto"/>
          <w:sz w:val="21"/>
          <w:highlight w:val="none"/>
          <w:u w:val="none"/>
        </w:rPr>
      </w:pPr>
      <w:r>
        <w:rPr>
          <w:rStyle w:val="21"/>
          <w:rFonts w:ascii="Times New Roman" w:hAnsi="Times New Roman" w:eastAsia="仿宋"/>
          <w:color w:val="auto"/>
          <w:sz w:val="21"/>
          <w:highlight w:val="none"/>
        </w:rPr>
        <w:footnoteRef/>
      </w:r>
      <w:r>
        <w:rPr>
          <w:rFonts w:ascii="Times New Roman" w:hAnsi="Times New Roman" w:eastAsia="仿宋"/>
          <w:color w:val="auto"/>
          <w:sz w:val="21"/>
          <w:highlight w:val="none"/>
        </w:rPr>
        <w:t xml:space="preserve"> </w:t>
      </w:r>
      <w:r>
        <w:rPr>
          <w:rFonts w:hint="eastAsia" w:ascii="Times New Roman" w:hAnsi="Times New Roman" w:eastAsia="仿宋"/>
          <w:color w:val="auto"/>
          <w:sz w:val="21"/>
          <w:highlight w:val="none"/>
        </w:rPr>
        <w:t>《最高检发布涉案企业合规典型案例（第四批）合规案件范围进一步拓展，办案规模持续扩大》，</w:t>
      </w:r>
      <w:r>
        <w:rPr>
          <w:rFonts w:hint="default" w:ascii="Times New Roman" w:hAnsi="Times New Roman" w:eastAsia="仿宋" w:cs="Times New Roman"/>
          <w:color w:val="auto"/>
          <w:sz w:val="21"/>
          <w:highlight w:val="none"/>
          <w:u w:val="none"/>
        </w:rPr>
        <w:t>2023年1月16日，https：//www.spp.gov.cn/xwfbh/wsfbt/202301/t20230116_598548.shtml#2，2023年4月12日。</w:t>
      </w:r>
    </w:p>
  </w:footnote>
  <w:footnote w:id="2">
    <w:p w14:paraId="4FC3CE5D">
      <w:pPr>
        <w:pStyle w:val="12"/>
        <w:rPr>
          <w:rFonts w:ascii="Times New Roman" w:hAnsi="Times New Roman" w:eastAsia="仿宋"/>
          <w:color w:val="auto"/>
          <w:sz w:val="21"/>
          <w:highlight w:val="none"/>
        </w:rPr>
      </w:pPr>
      <w:r>
        <w:rPr>
          <w:rStyle w:val="21"/>
          <w:rFonts w:ascii="Times New Roman" w:hAnsi="Times New Roman" w:eastAsia="仿宋"/>
          <w:color w:val="auto"/>
          <w:sz w:val="21"/>
          <w:highlight w:val="none"/>
          <w:vertAlign w:val="superscript"/>
        </w:rPr>
        <w:footnoteRef/>
      </w:r>
      <w:r>
        <w:rPr>
          <w:rFonts w:ascii="Times New Roman" w:hAnsi="Times New Roman" w:eastAsia="仿宋"/>
          <w:color w:val="auto"/>
          <w:sz w:val="21"/>
          <w:highlight w:val="none"/>
          <w:vertAlign w:val="superscript"/>
        </w:rPr>
        <w:t xml:space="preserve"> </w:t>
      </w:r>
      <w:r>
        <w:rPr>
          <w:rFonts w:hint="eastAsia" w:ascii="Times New Roman" w:hAnsi="Times New Roman" w:eastAsia="仿宋"/>
          <w:color w:val="auto"/>
          <w:sz w:val="21"/>
          <w:highlight w:val="none"/>
        </w:rPr>
        <w:t>《最高人民检察院工作报告（第十四届全国人民代表大会第一次会议</w:t>
      </w:r>
      <w:r>
        <w:rPr>
          <w:rFonts w:ascii="Times New Roman" w:hAnsi="Times New Roman" w:eastAsia="仿宋"/>
          <w:color w:val="auto"/>
          <w:sz w:val="21"/>
          <w:highlight w:val="none"/>
        </w:rPr>
        <w:t xml:space="preserve"> </w:t>
      </w:r>
      <w:r>
        <w:rPr>
          <w:rFonts w:hint="eastAsia" w:ascii="Times New Roman" w:hAnsi="Times New Roman" w:eastAsia="仿宋"/>
          <w:color w:val="auto"/>
          <w:sz w:val="21"/>
          <w:highlight w:val="none"/>
        </w:rPr>
        <w:t>张军</w:t>
      </w:r>
      <w:r>
        <w:rPr>
          <w:rFonts w:ascii="Times New Roman" w:hAnsi="Times New Roman" w:eastAsia="仿宋"/>
          <w:color w:val="auto"/>
          <w:sz w:val="21"/>
          <w:highlight w:val="none"/>
        </w:rPr>
        <w:t xml:space="preserve"> 2023年3月7日）</w:t>
      </w:r>
      <w:r>
        <w:rPr>
          <w:rFonts w:hint="eastAsia" w:ascii="Times New Roman" w:hAnsi="Times New Roman" w:eastAsia="仿宋"/>
          <w:color w:val="auto"/>
          <w:sz w:val="21"/>
          <w:highlight w:val="none"/>
          <w:lang w:eastAsia="zh-CN"/>
        </w:rPr>
        <w:t>》</w:t>
      </w:r>
      <w:r>
        <w:rPr>
          <w:rFonts w:hint="eastAsia" w:ascii="Times New Roman" w:hAnsi="Times New Roman" w:eastAsia="仿宋"/>
          <w:color w:val="auto"/>
          <w:sz w:val="21"/>
          <w:highlight w:val="none"/>
        </w:rPr>
        <w:t>，</w:t>
      </w:r>
      <w:r>
        <w:rPr>
          <w:rFonts w:hint="default" w:ascii="Times New Roman" w:hAnsi="Times New Roman" w:eastAsia="仿宋" w:cs="Times New Roman"/>
          <w:color w:val="auto"/>
          <w:sz w:val="21"/>
          <w:highlight w:val="none"/>
        </w:rPr>
        <w:t>2023年3月17日，https：//www.spp.gov.cn/spp/gzbg/202303/t20230317_608767.shtml，2023年4月10日。</w:t>
      </w:r>
    </w:p>
  </w:footnote>
  <w:footnote w:id="3">
    <w:p w14:paraId="425D3737">
      <w:pPr>
        <w:pStyle w:val="12"/>
        <w:rPr>
          <w:rFonts w:hint="default" w:ascii="Times New Roman" w:hAnsi="Times New Roman" w:eastAsia="仿宋" w:cs="Times New Roman"/>
          <w:color w:val="auto"/>
          <w:sz w:val="21"/>
          <w:highlight w:val="none"/>
        </w:rPr>
      </w:pPr>
      <w:r>
        <w:rPr>
          <w:rStyle w:val="21"/>
          <w:rFonts w:ascii="Times New Roman" w:hAnsi="Times New Roman" w:eastAsia="仿宋"/>
          <w:color w:val="auto"/>
          <w:sz w:val="21"/>
          <w:highlight w:val="none"/>
        </w:rPr>
        <w:footnoteRef/>
      </w:r>
      <w:r>
        <w:rPr>
          <w:rFonts w:hint="eastAsia" w:ascii="Times New Roman" w:hAnsi="Times New Roman" w:eastAsia="仿宋"/>
          <w:color w:val="auto"/>
          <w:sz w:val="21"/>
          <w:highlight w:val="none"/>
        </w:rPr>
        <w:t xml:space="preserve"> </w:t>
      </w:r>
      <w:r>
        <w:rPr>
          <w:rFonts w:ascii="Times New Roman" w:hAnsi="Times New Roman" w:eastAsia="仿宋"/>
          <w:color w:val="auto"/>
          <w:sz w:val="21"/>
          <w:highlight w:val="none"/>
        </w:rPr>
        <w:t>陈瑞华</w:t>
      </w:r>
      <w:r>
        <w:rPr>
          <w:rFonts w:hint="eastAsia" w:ascii="Times New Roman" w:hAnsi="Times New Roman" w:eastAsia="仿宋"/>
          <w:color w:val="auto"/>
          <w:sz w:val="21"/>
          <w:highlight w:val="none"/>
        </w:rPr>
        <w:t>：《</w:t>
      </w:r>
      <w:r>
        <w:rPr>
          <w:rFonts w:ascii="Times New Roman" w:hAnsi="Times New Roman" w:eastAsia="仿宋"/>
          <w:color w:val="auto"/>
          <w:sz w:val="21"/>
          <w:highlight w:val="none"/>
        </w:rPr>
        <w:t>企业合规不起诉改革的动向和挑战</w:t>
      </w:r>
      <w:r>
        <w:rPr>
          <w:rFonts w:hint="eastAsia" w:ascii="Times New Roman" w:hAnsi="Times New Roman" w:eastAsia="仿宋"/>
          <w:color w:val="auto"/>
          <w:sz w:val="21"/>
          <w:highlight w:val="none"/>
        </w:rPr>
        <w:t>》，《</w:t>
      </w:r>
      <w:r>
        <w:rPr>
          <w:rFonts w:ascii="Times New Roman" w:hAnsi="Times New Roman" w:eastAsia="仿宋"/>
          <w:color w:val="auto"/>
          <w:sz w:val="21"/>
          <w:highlight w:val="none"/>
        </w:rPr>
        <w:t>上海政法学院学报</w:t>
      </w:r>
      <w:r>
        <w:rPr>
          <w:rFonts w:hint="eastAsia" w:ascii="Times New Roman" w:hAnsi="Times New Roman" w:eastAsia="仿宋"/>
          <w:color w:val="auto"/>
          <w:sz w:val="21"/>
          <w:highlight w:val="none"/>
        </w:rPr>
        <w:t>（法治论丛）》</w:t>
      </w:r>
      <w:r>
        <w:rPr>
          <w:rFonts w:hint="default" w:ascii="Times New Roman" w:hAnsi="Times New Roman" w:eastAsia="仿宋" w:cs="Times New Roman"/>
          <w:color w:val="auto"/>
          <w:sz w:val="21"/>
          <w:highlight w:val="none"/>
        </w:rPr>
        <w:t>2022年第6期。</w:t>
      </w:r>
    </w:p>
  </w:footnote>
  <w:footnote w:id="4">
    <w:p w14:paraId="31B73A2F">
      <w:pPr>
        <w:pStyle w:val="12"/>
        <w:bidi w:val="0"/>
        <w:rPr>
          <w:rFonts w:hint="default" w:ascii="Times New Roman" w:hAnsi="Times New Roman" w:eastAsia="仿宋" w:cs="Times New Roman"/>
          <w:b/>
          <w:bCs/>
          <w:color w:val="auto"/>
          <w:sz w:val="21"/>
          <w:highlight w:val="none"/>
          <w:u w:val="none"/>
        </w:rPr>
      </w:pPr>
      <w:r>
        <w:rPr>
          <w:rStyle w:val="21"/>
          <w:rFonts w:hint="eastAsia" w:ascii="仿宋" w:hAnsi="仿宋" w:eastAsia="仿宋" w:cs="仿宋"/>
          <w:color w:val="auto"/>
          <w:sz w:val="21"/>
          <w:highlight w:val="none"/>
          <w:u w:val="none"/>
        </w:rPr>
        <w:footnoteRef/>
      </w:r>
      <w:r>
        <w:rPr>
          <w:rFonts w:hint="eastAsia" w:ascii="仿宋" w:hAnsi="仿宋" w:eastAsia="仿宋" w:cs="仿宋"/>
          <w:color w:val="auto"/>
          <w:sz w:val="21"/>
          <w:highlight w:val="none"/>
          <w:u w:val="none"/>
        </w:rPr>
        <w:t xml:space="preserve"> 李潇潇：</w:t>
      </w:r>
      <w:r>
        <w:rPr>
          <w:rFonts w:hint="default" w:ascii="Times New Roman" w:hAnsi="Times New Roman" w:eastAsia="仿宋" w:cs="Times New Roman"/>
          <w:color w:val="auto"/>
          <w:sz w:val="21"/>
          <w:highlight w:val="none"/>
          <w:u w:val="none"/>
        </w:rPr>
        <w:t>《21世纪中国马克思主义哲学研究的方法论自觉》，《中国社会科学报》2017年2月23日，第3版。</w:t>
      </w:r>
    </w:p>
  </w:footnote>
  <w:footnote w:id="5">
    <w:p w14:paraId="06268882">
      <w:pPr>
        <w:pStyle w:val="12"/>
        <w:rPr>
          <w:rFonts w:hint="default" w:ascii="Times New Roman" w:hAnsi="Times New Roman" w:eastAsia="仿宋" w:cs="Times New Roman"/>
          <w:color w:val="auto"/>
          <w:sz w:val="21"/>
          <w:highlight w:val="none"/>
        </w:rPr>
      </w:pPr>
      <w:r>
        <w:rPr>
          <w:rStyle w:val="21"/>
          <w:rFonts w:hint="default" w:ascii="Times New Roman" w:hAnsi="Times New Roman" w:eastAsia="仿宋" w:cs="Times New Roman"/>
          <w:color w:val="auto"/>
          <w:sz w:val="21"/>
          <w:highlight w:val="none"/>
        </w:rPr>
        <w:footnoteRef/>
      </w:r>
      <w:r>
        <w:rPr>
          <w:rFonts w:hint="default" w:ascii="Times New Roman" w:hAnsi="Times New Roman" w:eastAsia="仿宋" w:cs="Times New Roman"/>
          <w:color w:val="auto"/>
          <w:sz w:val="21"/>
          <w:highlight w:val="none"/>
        </w:rPr>
        <w:t xml:space="preserve"> 陈汝东：《语言伦理学——一门新兴的交叉学科》，《道德与文明》2000年第2期。</w:t>
      </w:r>
    </w:p>
  </w:footnote>
  <w:footnote w:id="6">
    <w:p w14:paraId="2AEB6260">
      <w:pPr>
        <w:pStyle w:val="12"/>
        <w:rPr>
          <w:rFonts w:hint="default" w:ascii="Times New Roman" w:hAnsi="Times New Roman" w:eastAsia="仿宋" w:cs="Times New Roman"/>
          <w:color w:val="auto"/>
          <w:sz w:val="21"/>
          <w:highlight w:val="none"/>
        </w:rPr>
      </w:pPr>
      <w:r>
        <w:rPr>
          <w:rStyle w:val="21"/>
          <w:rFonts w:hint="default" w:ascii="Times New Roman" w:hAnsi="Times New Roman" w:eastAsia="仿宋" w:cs="Times New Roman"/>
          <w:color w:val="auto"/>
          <w:sz w:val="21"/>
          <w:highlight w:val="none"/>
        </w:rPr>
        <w:footnoteRef/>
      </w:r>
      <w:r>
        <w:rPr>
          <w:rFonts w:hint="default" w:ascii="Times New Roman" w:hAnsi="Times New Roman" w:eastAsia="仿宋" w:cs="Times New Roman"/>
          <w:color w:val="auto"/>
          <w:sz w:val="21"/>
          <w:highlight w:val="none"/>
        </w:rPr>
        <w:t xml:space="preserve"> 寇东亮：《社会主义核心价值观研究的方法论自觉》，《中国特色社会主义研究》2013年第5期。</w:t>
      </w:r>
    </w:p>
  </w:footnote>
  <w:footnote w:id="7">
    <w:p w14:paraId="7C238B94">
      <w:pPr>
        <w:pStyle w:val="12"/>
        <w:bidi w:val="0"/>
        <w:rPr>
          <w:rFonts w:hint="default" w:ascii="Times New Roman" w:hAnsi="Times New Roman" w:eastAsia="仿宋" w:cs="Times New Roman"/>
          <w:color w:val="auto"/>
          <w:sz w:val="21"/>
          <w:highlight w:val="none"/>
          <w:u w:val="none"/>
        </w:rPr>
      </w:pPr>
      <w:r>
        <w:rPr>
          <w:rStyle w:val="21"/>
          <w:color w:val="auto"/>
          <w:highlight w:val="none"/>
        </w:rPr>
        <w:footnoteRef/>
      </w:r>
      <w:r>
        <w:t xml:space="preserve"> </w:t>
      </w:r>
      <w:r>
        <w:rPr>
          <w:rFonts w:hint="eastAsia"/>
        </w:rPr>
        <w:t>习近平：</w:t>
      </w:r>
      <w:r>
        <w:rPr>
          <w:rFonts w:hint="eastAsia" w:ascii="Times New Roman" w:hAnsi="Times New Roman" w:eastAsia="仿宋" w:cs="Times New Roman"/>
          <w:color w:val="auto"/>
          <w:sz w:val="21"/>
          <w:highlight w:val="none"/>
          <w:u w:val="none"/>
        </w:rPr>
        <w:t>《高举中国特色社会主义伟大旗帜 为全面建设社会主义现代化国家而团结奋斗——在中国共产党第二十次全国代表大会上的报告（2022年10月16日）》，《求是》2022年第21期。</w:t>
      </w:r>
    </w:p>
  </w:footnote>
  <w:footnote w:id="8">
    <w:p w14:paraId="6179D4D3">
      <w:pPr>
        <w:pStyle w:val="12"/>
        <w:bidi w:val="0"/>
        <w:rPr>
          <w:rFonts w:hint="default" w:ascii="Times New Roman" w:hAnsi="Times New Roman" w:eastAsia="仿宋" w:cs="Times New Roman"/>
          <w:color w:val="auto"/>
          <w:sz w:val="21"/>
          <w:highlight w:val="none"/>
          <w:u w:val="none"/>
        </w:rPr>
      </w:pPr>
      <w:r>
        <w:rPr>
          <w:rStyle w:val="21"/>
          <w:rFonts w:hint="default" w:ascii="Times New Roman" w:hAnsi="Times New Roman" w:eastAsia="宋体" w:cs="Times New Roman"/>
          <w:color w:val="auto"/>
          <w:highlight w:val="none"/>
        </w:rPr>
        <w:footnoteRef/>
      </w:r>
      <w:r>
        <w:rPr>
          <w:rStyle w:val="21"/>
          <w:rFonts w:hint="default" w:ascii="Times New Roman" w:hAnsi="Times New Roman" w:eastAsia="宋体" w:cs="Times New Roman"/>
          <w:color w:val="auto"/>
          <w:highlight w:val="none"/>
        </w:rPr>
        <w:t xml:space="preserve"> </w:t>
      </w:r>
      <w:r>
        <w:rPr>
          <w:rFonts w:hint="eastAsia" w:ascii="Times New Roman" w:hAnsi="Times New Roman" w:eastAsia="仿宋" w:cs="Times New Roman"/>
          <w:color w:val="auto"/>
          <w:sz w:val="21"/>
          <w:highlight w:val="none"/>
          <w:u w:val="none"/>
        </w:rPr>
        <w:t>孙风娟：《</w:t>
      </w:r>
      <w:r>
        <w:rPr>
          <w:rFonts w:hint="default" w:ascii="Times New Roman" w:hAnsi="Times New Roman" w:eastAsia="仿宋" w:cs="Times New Roman"/>
          <w:color w:val="auto"/>
          <w:sz w:val="21"/>
          <w:highlight w:val="none"/>
          <w:u w:val="none"/>
        </w:rPr>
        <w:t>犯其至难，图其至远——检察机关开展涉案企业合规改革试点工作纪实</w:t>
      </w:r>
      <w:r>
        <w:rPr>
          <w:rFonts w:hint="eastAsia" w:ascii="Times New Roman" w:hAnsi="Times New Roman" w:eastAsia="仿宋" w:cs="Times New Roman"/>
          <w:color w:val="auto"/>
          <w:sz w:val="21"/>
          <w:highlight w:val="none"/>
          <w:u w:val="none"/>
        </w:rPr>
        <w:t>》，《检察日报》2023年2月24日</w:t>
      </w:r>
      <w:r>
        <w:rPr>
          <w:rFonts w:hint="eastAsia" w:ascii="Times New Roman" w:hAnsi="Times New Roman" w:eastAsia="仿宋" w:cs="Times New Roman"/>
          <w:color w:val="auto"/>
          <w:sz w:val="21"/>
          <w:highlight w:val="none"/>
          <w:u w:val="none"/>
          <w:lang w:eastAsia="zh-CN"/>
        </w:rPr>
        <w:t>，</w:t>
      </w:r>
      <w:r>
        <w:rPr>
          <w:rFonts w:hint="eastAsia" w:ascii="Times New Roman" w:hAnsi="Times New Roman" w:eastAsia="仿宋" w:cs="Times New Roman"/>
          <w:color w:val="auto"/>
          <w:sz w:val="21"/>
          <w:highlight w:val="none"/>
          <w:u w:val="none"/>
        </w:rPr>
        <w:t>第3版。</w:t>
      </w:r>
    </w:p>
  </w:footnote>
  <w:footnote w:id="9">
    <w:p w14:paraId="72D3ECC9">
      <w:pPr>
        <w:pStyle w:val="12"/>
        <w:bidi w:val="0"/>
        <w:rPr>
          <w:rFonts w:hint="eastAsia" w:ascii="Times New Roman" w:hAnsi="Times New Roman" w:eastAsia="仿宋" w:cs="Times New Roman"/>
          <w:color w:val="auto"/>
          <w:sz w:val="21"/>
          <w:highlight w:val="none"/>
          <w:u w:val="none"/>
        </w:rPr>
      </w:pPr>
      <w:r>
        <w:rPr>
          <w:rStyle w:val="21"/>
          <w:rFonts w:hint="default" w:ascii="Times New Roman" w:hAnsi="Times New Roman" w:eastAsia="宋体" w:cs="Times New Roman"/>
          <w:color w:val="auto"/>
          <w:highlight w:val="none"/>
        </w:rPr>
        <w:footnoteRef/>
      </w:r>
      <w:r>
        <w:rPr>
          <w:rStyle w:val="21"/>
          <w:rFonts w:hint="default" w:ascii="Times New Roman" w:hAnsi="Times New Roman" w:eastAsia="宋体" w:cs="Times New Roman"/>
          <w:color w:val="auto"/>
          <w:highlight w:val="none"/>
        </w:rPr>
        <w:t xml:space="preserve"> </w:t>
      </w:r>
      <w:r>
        <w:rPr>
          <w:rFonts w:hint="eastAsia" w:ascii="Times New Roman" w:hAnsi="Times New Roman" w:eastAsia="仿宋" w:cs="Times New Roman"/>
          <w:color w:val="auto"/>
          <w:sz w:val="21"/>
          <w:highlight w:val="none"/>
          <w:u w:val="none"/>
        </w:rPr>
        <w:t>例如</w:t>
      </w:r>
      <w:r>
        <w:rPr>
          <w:rFonts w:hint="eastAsia" w:ascii="Times New Roman" w:hAnsi="Times New Roman" w:eastAsia="仿宋" w:cs="Times New Roman"/>
          <w:color w:val="auto"/>
          <w:sz w:val="21"/>
          <w:highlight w:val="none"/>
          <w:u w:val="none"/>
          <w:lang w:eastAsia="zh-CN"/>
        </w:rPr>
        <w:t>，</w:t>
      </w:r>
      <w:r>
        <w:rPr>
          <w:rFonts w:hint="default" w:ascii="Times New Roman" w:hAnsi="Times New Roman" w:eastAsia="仿宋" w:cs="Times New Roman"/>
          <w:color w:val="auto"/>
          <w:sz w:val="21"/>
          <w:highlight w:val="none"/>
          <w:u w:val="none"/>
        </w:rPr>
        <w:t>2014年6月9日</w:t>
      </w:r>
      <w:r>
        <w:rPr>
          <w:rFonts w:hint="eastAsia" w:ascii="Times New Roman" w:hAnsi="Times New Roman" w:eastAsia="仿宋" w:cs="Times New Roman"/>
          <w:color w:val="auto"/>
          <w:sz w:val="21"/>
          <w:highlight w:val="none"/>
          <w:u w:val="none"/>
          <w:lang w:eastAsia="zh-CN"/>
        </w:rPr>
        <w:t>，</w:t>
      </w:r>
      <w:r>
        <w:rPr>
          <w:rFonts w:hint="eastAsia" w:ascii="Times New Roman" w:hAnsi="Times New Roman" w:eastAsia="仿宋" w:cs="Times New Roman"/>
          <w:color w:val="auto"/>
          <w:sz w:val="21"/>
          <w:highlight w:val="none"/>
          <w:u w:val="none"/>
        </w:rPr>
        <w:t>国务院办公厅发布</w:t>
      </w:r>
      <w:r>
        <w:rPr>
          <w:rFonts w:hint="eastAsia" w:ascii="Times New Roman" w:hAnsi="Times New Roman" w:eastAsia="仿宋" w:cs="Times New Roman"/>
          <w:color w:val="auto"/>
          <w:sz w:val="21"/>
          <w:highlight w:val="none"/>
          <w:u w:val="none"/>
          <w:lang w:val="en-US" w:eastAsia="zh-CN"/>
        </w:rPr>
        <w:t>的</w:t>
      </w:r>
      <w:r>
        <w:rPr>
          <w:rFonts w:hint="eastAsia" w:ascii="Times New Roman" w:hAnsi="Times New Roman" w:eastAsia="仿宋" w:cs="Times New Roman"/>
          <w:color w:val="auto"/>
          <w:sz w:val="21"/>
          <w:highlight w:val="none"/>
          <w:u w:val="none"/>
        </w:rPr>
        <w:t>《关于进一步加强贸易政策合规工作的通知》</w:t>
      </w:r>
      <w:r>
        <w:rPr>
          <w:rFonts w:hint="eastAsia" w:ascii="Times New Roman" w:hAnsi="Times New Roman" w:eastAsia="仿宋" w:cs="Times New Roman"/>
          <w:color w:val="auto"/>
          <w:sz w:val="21"/>
          <w:highlight w:val="none"/>
          <w:u w:val="none"/>
          <w:lang w:eastAsia="zh-CN"/>
        </w:rPr>
        <w:t>；</w:t>
      </w:r>
      <w:r>
        <w:rPr>
          <w:rFonts w:hint="default" w:ascii="Times New Roman" w:hAnsi="Times New Roman" w:eastAsia="仿宋" w:cs="Times New Roman"/>
          <w:color w:val="auto"/>
          <w:sz w:val="21"/>
          <w:highlight w:val="none"/>
          <w:u w:val="none"/>
        </w:rPr>
        <w:t>2018年11月2日</w:t>
      </w:r>
      <w:r>
        <w:rPr>
          <w:rFonts w:hint="eastAsia" w:ascii="Times New Roman" w:hAnsi="Times New Roman" w:eastAsia="仿宋" w:cs="Times New Roman"/>
          <w:color w:val="auto"/>
          <w:sz w:val="21"/>
          <w:highlight w:val="none"/>
          <w:u w:val="none"/>
          <w:lang w:eastAsia="zh-CN"/>
        </w:rPr>
        <w:t>，</w:t>
      </w:r>
      <w:r>
        <w:rPr>
          <w:rFonts w:hint="eastAsia" w:ascii="Times New Roman" w:hAnsi="Times New Roman" w:eastAsia="仿宋" w:cs="Times New Roman"/>
          <w:color w:val="auto"/>
          <w:sz w:val="21"/>
          <w:highlight w:val="none"/>
          <w:u w:val="none"/>
        </w:rPr>
        <w:t>国务院国有资产监督管理委员会发布的《关于印发〈中央企业合规管理指引</w:t>
      </w:r>
      <w:r>
        <w:rPr>
          <w:rFonts w:hint="default" w:ascii="Times New Roman" w:hAnsi="Times New Roman" w:eastAsia="仿宋" w:cs="Times New Roman"/>
          <w:color w:val="auto"/>
          <w:sz w:val="21"/>
          <w:highlight w:val="none"/>
          <w:u w:val="none"/>
        </w:rPr>
        <w:t>(试行)</w:t>
      </w:r>
      <w:r>
        <w:rPr>
          <w:rFonts w:hint="eastAsia" w:ascii="Times New Roman" w:hAnsi="Times New Roman" w:eastAsia="仿宋" w:cs="Times New Roman"/>
          <w:color w:val="auto"/>
          <w:sz w:val="21"/>
          <w:highlight w:val="none"/>
          <w:u w:val="none"/>
        </w:rPr>
        <w:t>〉</w:t>
      </w:r>
      <w:r>
        <w:rPr>
          <w:rFonts w:hint="default" w:ascii="Times New Roman" w:hAnsi="Times New Roman" w:eastAsia="仿宋" w:cs="Times New Roman"/>
          <w:color w:val="auto"/>
          <w:sz w:val="21"/>
          <w:highlight w:val="none"/>
          <w:u w:val="none"/>
        </w:rPr>
        <w:t>的通知</w:t>
      </w:r>
      <w:r>
        <w:rPr>
          <w:rFonts w:hint="eastAsia" w:ascii="Times New Roman" w:hAnsi="Times New Roman" w:eastAsia="仿宋" w:cs="Times New Roman"/>
          <w:color w:val="auto"/>
          <w:sz w:val="21"/>
          <w:highlight w:val="none"/>
          <w:u w:val="none"/>
        </w:rPr>
        <w:t>》</w:t>
      </w:r>
      <w:r>
        <w:rPr>
          <w:rFonts w:hint="eastAsia" w:ascii="Times New Roman" w:hAnsi="Times New Roman" w:eastAsia="仿宋" w:cs="Times New Roman"/>
          <w:color w:val="auto"/>
          <w:sz w:val="21"/>
          <w:highlight w:val="none"/>
          <w:u w:val="none"/>
          <w:lang w:eastAsia="zh-CN"/>
        </w:rPr>
        <w:t>；</w:t>
      </w:r>
      <w:r>
        <w:rPr>
          <w:rFonts w:hint="default" w:ascii="Times New Roman" w:hAnsi="Times New Roman" w:eastAsia="仿宋" w:cs="Times New Roman"/>
          <w:color w:val="auto"/>
          <w:sz w:val="21"/>
          <w:highlight w:val="none"/>
          <w:u w:val="none"/>
        </w:rPr>
        <w:t>2022年4月19日</w:t>
      </w:r>
      <w:r>
        <w:rPr>
          <w:rFonts w:hint="eastAsia" w:ascii="Times New Roman" w:hAnsi="Times New Roman" w:eastAsia="仿宋" w:cs="Times New Roman"/>
          <w:color w:val="auto"/>
          <w:sz w:val="21"/>
          <w:highlight w:val="none"/>
          <w:u w:val="none"/>
          <w:lang w:eastAsia="zh-CN"/>
        </w:rPr>
        <w:t>，</w:t>
      </w:r>
      <w:r>
        <w:rPr>
          <w:rFonts w:hint="eastAsia" w:ascii="Times New Roman" w:hAnsi="Times New Roman" w:eastAsia="仿宋" w:cs="Times New Roman"/>
          <w:color w:val="auto"/>
          <w:sz w:val="21"/>
          <w:highlight w:val="none"/>
          <w:u w:val="none"/>
        </w:rPr>
        <w:t>最高人民检察院、司法部、财政部等九部委联合发布的《涉案企业合规建设、评估和审查办法</w:t>
      </w:r>
      <w:r>
        <w:rPr>
          <w:rFonts w:hint="default" w:ascii="Times New Roman" w:hAnsi="Times New Roman" w:eastAsia="仿宋" w:cs="Times New Roman"/>
          <w:color w:val="auto"/>
          <w:sz w:val="21"/>
          <w:highlight w:val="none"/>
          <w:u w:val="none"/>
        </w:rPr>
        <w:t>(试行)》</w:t>
      </w:r>
      <w:r>
        <w:rPr>
          <w:rFonts w:hint="eastAsia" w:ascii="Times New Roman" w:hAnsi="Times New Roman" w:eastAsia="仿宋" w:cs="Times New Roman"/>
          <w:color w:val="auto"/>
          <w:sz w:val="21"/>
          <w:highlight w:val="none"/>
          <w:u w:val="none"/>
          <w:lang w:eastAsia="zh-CN"/>
        </w:rPr>
        <w:t>；</w:t>
      </w:r>
      <w:r>
        <w:rPr>
          <w:rFonts w:hint="default" w:ascii="Times New Roman" w:hAnsi="Times New Roman" w:eastAsia="仿宋" w:cs="Times New Roman"/>
          <w:color w:val="auto"/>
          <w:sz w:val="21"/>
          <w:highlight w:val="none"/>
          <w:u w:val="none"/>
        </w:rPr>
        <w:t>2022年8月23日</w:t>
      </w:r>
      <w:r>
        <w:rPr>
          <w:rFonts w:hint="eastAsia" w:ascii="Times New Roman" w:hAnsi="Times New Roman" w:eastAsia="仿宋" w:cs="Times New Roman"/>
          <w:color w:val="auto"/>
          <w:sz w:val="21"/>
          <w:highlight w:val="none"/>
          <w:u w:val="none"/>
          <w:lang w:eastAsia="zh-CN"/>
        </w:rPr>
        <w:t>，</w:t>
      </w:r>
      <w:r>
        <w:rPr>
          <w:rFonts w:hint="eastAsia" w:ascii="Times New Roman" w:hAnsi="Times New Roman" w:eastAsia="仿宋" w:cs="Times New Roman"/>
          <w:color w:val="auto"/>
          <w:sz w:val="21"/>
          <w:highlight w:val="none"/>
          <w:u w:val="none"/>
        </w:rPr>
        <w:t>国务院国有资产监督管理委员会发布的《中央企业合规管理办法》等一系列促进企业合规发展的政策性文件。</w:t>
      </w:r>
    </w:p>
  </w:footnote>
  <w:footnote w:id="10">
    <w:p w14:paraId="7EC26D32">
      <w:pPr>
        <w:pStyle w:val="12"/>
        <w:keepNext w:val="0"/>
        <w:keepLines w:val="0"/>
        <w:pageBreakBefore w:val="0"/>
        <w:widowControl w:val="0"/>
        <w:kinsoku/>
        <w:wordWrap w:val="0"/>
        <w:overflowPunct/>
        <w:topLinePunct w:val="0"/>
        <w:bidi w:val="0"/>
        <w:adjustRightInd/>
        <w:snapToGrid w:val="0"/>
        <w:textAlignment w:val="auto"/>
        <w:rPr>
          <w:rFonts w:hint="default" w:ascii="Times New Roman" w:hAnsi="Times New Roman" w:cs="Times New Roman"/>
        </w:rPr>
      </w:pPr>
      <w:r>
        <w:rPr>
          <w:rStyle w:val="21"/>
          <w:rFonts w:ascii="Times New Roman" w:hAnsi="Times New Roman" w:eastAsia="仿宋"/>
          <w:color w:val="auto"/>
          <w:highlight w:val="none"/>
        </w:rPr>
        <w:footnoteRef/>
      </w:r>
      <w:r>
        <w:t xml:space="preserve"> </w:t>
      </w:r>
      <w:r>
        <w:rPr>
          <w:rFonts w:hint="eastAsia"/>
        </w:rPr>
        <w:t>《</w:t>
      </w:r>
      <w:r>
        <w:t>2022</w:t>
      </w:r>
      <w:r>
        <w:rPr>
          <w:rFonts w:hint="eastAsia"/>
        </w:rPr>
        <w:t>年度经济犯罪检察十件大事》，</w:t>
      </w:r>
      <w:r>
        <w:rPr>
          <w:rFonts w:hint="default" w:ascii="Times New Roman" w:hAnsi="Times New Roman" w:cs="Times New Roman"/>
        </w:rPr>
        <w:t>2023年3月6日，https：//www.spp.gov.cn/xwfbh/wsfbh/202303/t20230306_606360.shtml，2023年4月10日。</w:t>
      </w:r>
    </w:p>
  </w:footnote>
  <w:footnote w:id="11">
    <w:p w14:paraId="70538ABF">
      <w:pPr>
        <w:pStyle w:val="12"/>
        <w:keepNext w:val="0"/>
        <w:keepLines w:val="0"/>
        <w:pageBreakBefore w:val="0"/>
        <w:widowControl w:val="0"/>
        <w:kinsoku/>
        <w:wordWrap w:val="0"/>
        <w:overflowPunct/>
        <w:topLinePunct w:val="0"/>
        <w:bidi w:val="0"/>
        <w:adjustRightInd/>
        <w:snapToGrid w:val="0"/>
        <w:textAlignment w:val="auto"/>
        <w:rPr>
          <w:rFonts w:hint="eastAsia" w:ascii="Times New Roman" w:hAnsi="Times New Roman" w:cs="Times New Roman"/>
        </w:rPr>
      </w:pPr>
      <w:r>
        <w:rPr>
          <w:rStyle w:val="21"/>
          <w:color w:val="auto"/>
          <w:highlight w:val="none"/>
        </w:rPr>
        <w:footnoteRef/>
      </w:r>
      <w:r>
        <w:t xml:space="preserve"> </w:t>
      </w:r>
      <w:r>
        <w:rPr>
          <w:rFonts w:hint="eastAsia"/>
        </w:rPr>
        <w:t>《充分发挥典型案例指引作用</w:t>
      </w:r>
      <w:r>
        <w:t xml:space="preserve"> 深入推进涉案企业合规改革——最高人民检察院第四检察厅负责人就发布涉案企业合规典型案例（第四批）答记者问》，</w:t>
      </w:r>
      <w:r>
        <w:rPr>
          <w:rFonts w:hint="default" w:ascii="Times New Roman" w:hAnsi="Times New Roman" w:cs="Times New Roman"/>
        </w:rPr>
        <w:t>2023年1月16日，https：//www.spp.gov.cn/spp/xwfbh/wsfbt/202301/t20230116_598548.shtml#3，2023年4月10日。</w:t>
      </w:r>
    </w:p>
  </w:footnote>
  <w:footnote w:id="12">
    <w:p w14:paraId="4329B864">
      <w:pPr>
        <w:pStyle w:val="12"/>
        <w:keepNext w:val="0"/>
        <w:keepLines w:val="0"/>
        <w:pageBreakBefore w:val="0"/>
        <w:widowControl w:val="0"/>
        <w:kinsoku/>
        <w:wordWrap w:val="0"/>
        <w:overflowPunct/>
        <w:topLinePunct w:val="0"/>
        <w:bidi w:val="0"/>
        <w:adjustRightInd/>
        <w:snapToGrid w:val="0"/>
        <w:textAlignment w:val="auto"/>
        <w:rPr>
          <w:rFonts w:hint="default" w:ascii="Times New Roman" w:hAnsi="Times New Roman" w:cs="Times New Roman"/>
        </w:rPr>
      </w:pPr>
      <w:r>
        <w:rPr>
          <w:rStyle w:val="21"/>
          <w:rFonts w:ascii="Times New Roman" w:hAnsi="Times New Roman" w:eastAsia="仿宋"/>
          <w:color w:val="auto"/>
          <w:highlight w:val="none"/>
        </w:rPr>
        <w:footnoteRef/>
      </w:r>
      <w:r>
        <w:t xml:space="preserve"> </w:t>
      </w:r>
      <w:r>
        <w:rPr>
          <w:rFonts w:hint="eastAsia"/>
        </w:rPr>
        <w:t>陈瑞华、李奋飞：《刑诉法如何吸收企业合规改革的成果》，</w:t>
      </w:r>
      <w:r>
        <w:rPr>
          <w:rFonts w:hint="default" w:ascii="Times New Roman" w:hAnsi="Times New Roman" w:cs="Times New Roman"/>
        </w:rPr>
        <w:t>2023</w:t>
      </w:r>
      <w:r>
        <w:rPr>
          <w:rFonts w:hint="eastAsia" w:ascii="Times New Roman" w:hAnsi="Times New Roman" w:cs="Times New Roman"/>
        </w:rPr>
        <w:t>年</w:t>
      </w:r>
      <w:r>
        <w:rPr>
          <w:rFonts w:hint="default" w:ascii="Times New Roman" w:hAnsi="Times New Roman" w:cs="Times New Roman"/>
        </w:rPr>
        <w:t>2</w:t>
      </w:r>
      <w:r>
        <w:rPr>
          <w:rFonts w:hint="eastAsia" w:ascii="Times New Roman" w:hAnsi="Times New Roman" w:cs="Times New Roman"/>
        </w:rPr>
        <w:t>月</w:t>
      </w:r>
      <w:r>
        <w:rPr>
          <w:rFonts w:hint="default" w:ascii="Times New Roman" w:hAnsi="Times New Roman" w:cs="Times New Roman"/>
        </w:rPr>
        <w:t>8</w:t>
      </w:r>
      <w:r>
        <w:rPr>
          <w:rFonts w:hint="eastAsia" w:ascii="Times New Roman" w:hAnsi="Times New Roman" w:cs="Times New Roman"/>
        </w:rPr>
        <w:t>日，https：//www.spp.gov.cn/spp/llyj/202302/t20230208_600421.shtml，</w:t>
      </w:r>
      <w:r>
        <w:rPr>
          <w:rFonts w:hint="default" w:ascii="Times New Roman" w:hAnsi="Times New Roman" w:cs="Times New Roman"/>
        </w:rPr>
        <w:t>2023</w:t>
      </w:r>
      <w:r>
        <w:rPr>
          <w:rFonts w:hint="eastAsia" w:ascii="Times New Roman" w:hAnsi="Times New Roman" w:cs="Times New Roman"/>
        </w:rPr>
        <w:t>年</w:t>
      </w:r>
      <w:r>
        <w:rPr>
          <w:rFonts w:hint="default" w:ascii="Times New Roman" w:hAnsi="Times New Roman" w:cs="Times New Roman"/>
        </w:rPr>
        <w:t>4</w:t>
      </w:r>
      <w:r>
        <w:rPr>
          <w:rFonts w:hint="eastAsia" w:ascii="Times New Roman" w:hAnsi="Times New Roman" w:cs="Times New Roman"/>
        </w:rPr>
        <w:t>月</w:t>
      </w:r>
      <w:r>
        <w:rPr>
          <w:rFonts w:hint="default" w:ascii="Times New Roman" w:hAnsi="Times New Roman" w:cs="Times New Roman"/>
        </w:rPr>
        <w:t>11</w:t>
      </w:r>
      <w:r>
        <w:rPr>
          <w:rFonts w:hint="eastAsia" w:ascii="Times New Roman" w:hAnsi="Times New Roman" w:cs="Times New Roman"/>
        </w:rPr>
        <w:t>日。</w:t>
      </w:r>
    </w:p>
  </w:footnote>
  <w:footnote w:id="13">
    <w:p w14:paraId="3C11CACE">
      <w:pPr>
        <w:pStyle w:val="12"/>
        <w:keepNext w:val="0"/>
        <w:keepLines w:val="0"/>
        <w:pageBreakBefore w:val="0"/>
        <w:widowControl w:val="0"/>
        <w:kinsoku/>
        <w:wordWrap w:val="0"/>
        <w:overflowPunct/>
        <w:topLinePunct w:val="0"/>
        <w:bidi w:val="0"/>
        <w:adjustRightInd/>
        <w:snapToGrid w:val="0"/>
        <w:textAlignment w:val="auto"/>
        <w:rPr>
          <w:rFonts w:hint="default" w:ascii="Times New Roman" w:hAnsi="Times New Roman" w:cs="Times New Roman"/>
        </w:rPr>
      </w:pPr>
      <w:r>
        <w:rPr>
          <w:rStyle w:val="21"/>
          <w:rFonts w:ascii="Times New Roman" w:hAnsi="Times New Roman" w:eastAsia="仿宋"/>
          <w:color w:val="auto"/>
          <w:highlight w:val="none"/>
        </w:rPr>
        <w:footnoteRef/>
      </w:r>
      <w:r>
        <w:t xml:space="preserve"> </w:t>
      </w:r>
      <w:r>
        <w:rPr>
          <w:rFonts w:hint="eastAsia"/>
        </w:rPr>
        <w:t>李奋飞：《涉案企业合规改革中的疑难争议问题》，《华东政法大学学报》</w:t>
      </w:r>
      <w:r>
        <w:rPr>
          <w:rFonts w:hint="default" w:ascii="Times New Roman" w:hAnsi="Times New Roman" w:cs="Times New Roman"/>
        </w:rPr>
        <w:t>2022</w:t>
      </w:r>
      <w:r>
        <w:rPr>
          <w:rFonts w:hint="eastAsia" w:ascii="Times New Roman" w:hAnsi="Times New Roman" w:cs="Times New Roman"/>
        </w:rPr>
        <w:t>年第</w:t>
      </w:r>
      <w:r>
        <w:rPr>
          <w:rFonts w:hint="default" w:ascii="Times New Roman" w:hAnsi="Times New Roman" w:cs="Times New Roman"/>
        </w:rPr>
        <w:t>6</w:t>
      </w:r>
      <w:r>
        <w:rPr>
          <w:rFonts w:hint="eastAsia" w:ascii="Times New Roman" w:hAnsi="Times New Roman" w:cs="Times New Roman"/>
        </w:rPr>
        <w:t>期。</w:t>
      </w:r>
    </w:p>
  </w:footnote>
  <w:footnote w:id="14">
    <w:p w14:paraId="7E333E84">
      <w:pPr>
        <w:pStyle w:val="12"/>
        <w:keepNext w:val="0"/>
        <w:keepLines w:val="0"/>
        <w:pageBreakBefore w:val="0"/>
        <w:widowControl w:val="0"/>
        <w:kinsoku/>
        <w:wordWrap w:val="0"/>
        <w:overflowPunct/>
        <w:topLinePunct w:val="0"/>
        <w:bidi w:val="0"/>
        <w:adjustRightInd/>
        <w:snapToGrid w:val="0"/>
        <w:textAlignment w:val="auto"/>
        <w:rPr>
          <w:rFonts w:hint="default" w:ascii="Times New Roman" w:hAnsi="Times New Roman" w:cs="Times New Roman"/>
        </w:rPr>
      </w:pPr>
      <w:r>
        <w:rPr>
          <w:rStyle w:val="21"/>
          <w:rFonts w:hint="default" w:ascii="Times New Roman" w:hAnsi="Times New Roman" w:eastAsia="仿宋" w:cs="Times New Roman"/>
          <w:color w:val="auto"/>
          <w:highlight w:val="none"/>
        </w:rPr>
        <w:footnoteRef/>
      </w:r>
      <w:r>
        <w:rPr>
          <w:rStyle w:val="21"/>
          <w:rFonts w:hint="default" w:ascii="Times New Roman" w:hAnsi="Times New Roman" w:eastAsia="仿宋" w:cs="Times New Roman"/>
          <w:color w:val="auto"/>
          <w:highlight w:val="none"/>
        </w:rPr>
        <w:t xml:space="preserve"> </w:t>
      </w:r>
      <w:r>
        <w:rPr>
          <w:rFonts w:hint="eastAsia" w:ascii="Times New Roman" w:hAnsi="Times New Roman" w:cs="Times New Roman"/>
        </w:rPr>
        <w:t>杨璇：《刑事合规背景下律师业务的新动向》，《四川职业技术学院学报》</w:t>
      </w:r>
      <w:r>
        <w:rPr>
          <w:rFonts w:hint="default" w:ascii="Times New Roman" w:hAnsi="Times New Roman" w:cs="Times New Roman"/>
        </w:rPr>
        <w:t>2022</w:t>
      </w:r>
      <w:r>
        <w:rPr>
          <w:rFonts w:hint="eastAsia" w:ascii="Times New Roman" w:hAnsi="Times New Roman" w:cs="Times New Roman"/>
        </w:rPr>
        <w:t>年第</w:t>
      </w:r>
      <w:r>
        <w:rPr>
          <w:rFonts w:hint="default" w:ascii="Times New Roman" w:hAnsi="Times New Roman" w:cs="Times New Roman"/>
        </w:rPr>
        <w:t>3</w:t>
      </w:r>
      <w:r>
        <w:rPr>
          <w:rFonts w:hint="eastAsia" w:ascii="Times New Roman" w:hAnsi="Times New Roman" w:cs="Times New Roman"/>
        </w:rPr>
        <w:t>期。</w:t>
      </w:r>
    </w:p>
  </w:footnote>
  <w:footnote w:id="15">
    <w:p w14:paraId="31BB6592">
      <w:pPr>
        <w:pStyle w:val="12"/>
        <w:bidi w:val="0"/>
        <w:rPr>
          <w:rFonts w:hint="default" w:ascii="Times New Roman" w:hAnsi="Times New Roman" w:cs="Times New Roman"/>
        </w:rPr>
      </w:pPr>
      <w:r>
        <w:rPr>
          <w:rStyle w:val="21"/>
          <w:rFonts w:ascii="Times New Roman" w:hAnsi="Times New Roman" w:eastAsia="仿宋"/>
          <w:color w:val="auto"/>
          <w:highlight w:val="none"/>
        </w:rPr>
        <w:footnoteRef/>
      </w:r>
      <w:r>
        <w:t xml:space="preserve"> </w:t>
      </w:r>
      <w:r>
        <w:rPr>
          <w:rFonts w:hint="eastAsia"/>
        </w:rPr>
        <w:t>陈瑞华</w:t>
      </w:r>
      <w:r>
        <w:rPr>
          <w:rFonts w:hint="default" w:ascii="Times New Roman" w:hAnsi="Times New Roman" w:cs="Times New Roman"/>
        </w:rPr>
        <w:t>：《合规监管人的角色定位——以有效刑事合规整改为视角的分析》，《比较法研究》2022年第3期。</w:t>
      </w:r>
    </w:p>
  </w:footnote>
  <w:footnote w:id="16">
    <w:p w14:paraId="6483021A">
      <w:pPr>
        <w:pStyle w:val="12"/>
        <w:bidi w:val="0"/>
        <w:rPr>
          <w:rFonts w:hint="default" w:ascii="Times New Roman" w:hAnsi="Times New Roman" w:cs="Times New Roman"/>
        </w:rPr>
      </w:pPr>
      <w:r>
        <w:rPr>
          <w:rStyle w:val="21"/>
          <w:rFonts w:ascii="Times New Roman" w:hAnsi="Times New Roman" w:eastAsia="仿宋"/>
          <w:color w:val="auto"/>
          <w:highlight w:val="none"/>
        </w:rPr>
        <w:footnoteRef/>
      </w:r>
      <w:r>
        <w:t xml:space="preserve"> </w:t>
      </w:r>
      <w:r>
        <w:rPr>
          <w:rFonts w:hint="eastAsia"/>
        </w:rPr>
        <w:t>杨璇：《刑事合规背景下律师业务的新动向》，</w:t>
      </w:r>
      <w:r>
        <w:rPr>
          <w:rFonts w:hint="default" w:ascii="Times New Roman" w:hAnsi="Times New Roman" w:cs="Times New Roman"/>
        </w:rPr>
        <w:t>《四川职业技术学院学报》2022年第3期。</w:t>
      </w:r>
    </w:p>
  </w:footnote>
  <w:footnote w:id="17">
    <w:p w14:paraId="5838DBF5">
      <w:pPr>
        <w:pStyle w:val="12"/>
        <w:bidi w:val="0"/>
        <w:rPr>
          <w:rFonts w:hint="default" w:ascii="Times New Roman" w:hAnsi="Times New Roman" w:cs="Times New Roman"/>
        </w:rPr>
      </w:pPr>
      <w:r>
        <w:rPr>
          <w:rStyle w:val="21"/>
          <w:rFonts w:hint="default" w:ascii="Times New Roman" w:hAnsi="Times New Roman" w:eastAsia="仿宋" w:cs="Times New Roman"/>
          <w:color w:val="auto"/>
          <w:highlight w:val="none"/>
        </w:rPr>
        <w:footnoteRef/>
      </w:r>
      <w:r>
        <w:rPr>
          <w:rFonts w:hint="default" w:ascii="Times New Roman" w:hAnsi="Times New Roman" w:cs="Times New Roman"/>
        </w:rPr>
        <w:t xml:space="preserve"> 陈瑞华：《企业合规的基本问题》，《中国法律评论》2020年第1期。</w:t>
      </w:r>
    </w:p>
  </w:footnote>
  <w:footnote w:id="18">
    <w:p w14:paraId="7F5B8BDA">
      <w:pPr>
        <w:pStyle w:val="12"/>
        <w:bidi w:val="0"/>
        <w:rPr>
          <w:rFonts w:hint="default" w:ascii="Times New Roman" w:hAnsi="Times New Roman" w:cs="Times New Roman"/>
        </w:rPr>
      </w:pPr>
      <w:r>
        <w:rPr>
          <w:rStyle w:val="21"/>
          <w:rFonts w:ascii="Times New Roman" w:hAnsi="Times New Roman" w:eastAsia="仿宋"/>
          <w:color w:val="auto"/>
          <w:highlight w:val="none"/>
        </w:rPr>
        <w:footnoteRef/>
      </w:r>
      <w:r>
        <w:rPr>
          <w:rFonts w:hint="default" w:ascii="Times New Roman" w:hAnsi="Times New Roman" w:cs="Times New Roman"/>
        </w:rPr>
        <w:t xml:space="preserve"> </w:t>
      </w:r>
      <w:r>
        <w:rPr>
          <w:rFonts w:hint="default" w:ascii="Times New Roman" w:hAnsi="Times New Roman" w:cs="Times New Roman"/>
        </w:rPr>
        <w:t>谢澍、胡图、赵楠：《信息化辅助合规义务识别及层次化处理》，2023年3月30日，https：//www.spp.gov.cn/spp/llyj/202303/t20230330_609811.shtml，2023年4月11日。</w:t>
      </w:r>
    </w:p>
  </w:footnote>
  <w:footnote w:id="19">
    <w:p w14:paraId="377F8B4F">
      <w:pPr>
        <w:pStyle w:val="12"/>
        <w:bidi w:val="0"/>
        <w:rPr>
          <w:rFonts w:hint="default" w:ascii="Times New Roman" w:hAnsi="Times New Roman" w:cs="Times New Roman"/>
        </w:rPr>
      </w:pPr>
      <w:r>
        <w:rPr>
          <w:rStyle w:val="21"/>
          <w:rFonts w:hint="default" w:ascii="Times New Roman" w:hAnsi="Times New Roman" w:eastAsia="仿宋" w:cs="Times New Roman"/>
          <w:color w:val="auto"/>
          <w:highlight w:val="none"/>
        </w:rPr>
        <w:footnoteRef/>
      </w:r>
      <w:r>
        <w:rPr>
          <w:rFonts w:hint="default" w:ascii="Times New Roman" w:hAnsi="Times New Roman" w:cs="Times New Roman"/>
        </w:rPr>
        <w:t xml:space="preserve"> 陈瑞华：《企业合规制度的三个维度——比较法视野下的分析》，《比较法研究》2019年第3期。</w:t>
      </w:r>
    </w:p>
  </w:footnote>
  <w:footnote w:id="20">
    <w:p w14:paraId="3350D15B">
      <w:pPr>
        <w:pStyle w:val="12"/>
        <w:bidi w:val="0"/>
        <w:rPr>
          <w:rFonts w:hint="default" w:ascii="Times New Roman" w:hAnsi="Times New Roman" w:cs="Times New Roman"/>
        </w:rPr>
      </w:pPr>
      <w:r>
        <w:rPr>
          <w:rStyle w:val="21"/>
          <w:rFonts w:hint="default" w:ascii="Times New Roman" w:hAnsi="Times New Roman" w:eastAsia="仿宋" w:cs="Times New Roman"/>
          <w:color w:val="auto"/>
          <w:highlight w:val="none"/>
        </w:rPr>
        <w:footnoteRef/>
      </w:r>
      <w:r>
        <w:rPr>
          <w:rFonts w:hint="default" w:ascii="Times New Roman" w:hAnsi="Times New Roman" w:cs="Times New Roman"/>
        </w:rPr>
        <w:t xml:space="preserve"> 陈瑞华：《企业合规不起诉改革的动向和挑战》，《上海政法学院学报（法治论丛）》2022年第6期。</w:t>
      </w:r>
    </w:p>
  </w:footnote>
  <w:footnote w:id="21">
    <w:p w14:paraId="13DB25F4">
      <w:pPr>
        <w:pStyle w:val="12"/>
        <w:bidi w:val="0"/>
        <w:rPr>
          <w:rFonts w:hint="default" w:ascii="Times New Roman" w:hAnsi="Times New Roman" w:cs="Times New Roman"/>
        </w:rPr>
      </w:pPr>
      <w:r>
        <w:rPr>
          <w:rStyle w:val="21"/>
          <w:rFonts w:ascii="Times New Roman" w:hAnsi="Times New Roman" w:eastAsia="仿宋"/>
          <w:color w:val="auto"/>
          <w:highlight w:val="none"/>
        </w:rPr>
        <w:footnoteRef/>
      </w:r>
      <w:r>
        <w:t xml:space="preserve"> </w:t>
      </w:r>
      <w:r>
        <w:rPr>
          <w:rFonts w:hint="default" w:ascii="Times New Roman" w:hAnsi="Times New Roman" w:cs="Times New Roman"/>
        </w:rPr>
        <w:t>陈瑞华：《企业合规不起诉改革的动向和挑战》，《上海政法学院学报（法治论丛）》2022年第6期。</w:t>
      </w:r>
    </w:p>
  </w:footnote>
  <w:footnote w:id="22">
    <w:p w14:paraId="5579633B">
      <w:pPr>
        <w:pStyle w:val="12"/>
        <w:bidi w:val="0"/>
        <w:rPr>
          <w:rFonts w:hint="default" w:ascii="Times New Roman" w:hAnsi="Times New Roman" w:cs="Times New Roman"/>
        </w:rPr>
      </w:pPr>
      <w:r>
        <w:rPr>
          <w:rStyle w:val="21"/>
          <w:rFonts w:hint="default" w:ascii="Times New Roman" w:hAnsi="Times New Roman" w:eastAsia="仿宋" w:cs="Times New Roman"/>
          <w:color w:val="auto"/>
          <w:highlight w:val="none"/>
        </w:rPr>
        <w:footnoteRef/>
      </w:r>
      <w:r>
        <w:rPr>
          <w:rFonts w:hint="default" w:ascii="Times New Roman" w:hAnsi="Times New Roman" w:cs="Times New Roman"/>
        </w:rPr>
        <w:t xml:space="preserve"> 杨璇：《刑事合规背景下律师业务的新动向》，《四川职业技术学院学报》2022年第3期。</w:t>
      </w:r>
    </w:p>
  </w:footnote>
  <w:footnote w:id="23">
    <w:p w14:paraId="2530A735">
      <w:pPr>
        <w:pStyle w:val="12"/>
        <w:keepNext w:val="0"/>
        <w:keepLines w:val="0"/>
        <w:pageBreakBefore w:val="0"/>
        <w:widowControl w:val="0"/>
        <w:kinsoku/>
        <w:wordWrap w:val="0"/>
        <w:overflowPunct/>
        <w:topLinePunct w:val="0"/>
        <w:bidi w:val="0"/>
        <w:adjustRightInd/>
        <w:snapToGrid w:val="0"/>
        <w:textAlignment w:val="auto"/>
        <w:rPr>
          <w:rFonts w:hint="default" w:ascii="Times New Roman" w:hAnsi="Times New Roman" w:cs="Times New Roman"/>
        </w:rPr>
      </w:pPr>
      <w:r>
        <w:rPr>
          <w:rStyle w:val="21"/>
          <w:rFonts w:hint="default" w:ascii="Times New Roman" w:hAnsi="Times New Roman" w:eastAsia="仿宋" w:cs="Times New Roman"/>
          <w:color w:val="auto"/>
          <w:highlight w:val="none"/>
        </w:rPr>
        <w:footnoteRef/>
      </w:r>
      <w:r>
        <w:rPr>
          <w:rFonts w:hint="default" w:ascii="Times New Roman" w:hAnsi="Times New Roman" w:cs="Times New Roman"/>
        </w:rPr>
        <w:t xml:space="preserve"> 陈伟、廖月：《深化合规整改促进溯源治理》，2023年3月20日，https//www.spp.gov.cn/spp/llyj/202303/t20230320_608923.shtml，2023年4月11日。</w:t>
      </w:r>
    </w:p>
  </w:footnote>
  <w:footnote w:id="24">
    <w:p w14:paraId="55158672">
      <w:pPr>
        <w:pStyle w:val="12"/>
        <w:keepNext w:val="0"/>
        <w:keepLines w:val="0"/>
        <w:pageBreakBefore w:val="0"/>
        <w:widowControl w:val="0"/>
        <w:kinsoku/>
        <w:wordWrap w:val="0"/>
        <w:overflowPunct/>
        <w:topLinePunct w:val="0"/>
        <w:bidi w:val="0"/>
        <w:adjustRightInd/>
        <w:snapToGrid w:val="0"/>
        <w:textAlignment w:val="auto"/>
        <w:rPr>
          <w:rFonts w:hint="default" w:ascii="Times New Roman" w:hAnsi="Times New Roman" w:eastAsia="仿宋" w:cs="Times New Roman"/>
          <w:lang w:eastAsia="zh-CN"/>
        </w:rPr>
      </w:pPr>
      <w:r>
        <w:rPr>
          <w:rStyle w:val="21"/>
          <w:rFonts w:ascii="Times New Roman" w:hAnsi="Times New Roman" w:eastAsia="仿宋"/>
          <w:color w:val="auto"/>
          <w:highlight w:val="none"/>
        </w:rPr>
        <w:footnoteRef/>
      </w:r>
      <w:r>
        <w:rPr>
          <w:rFonts w:hint="default" w:ascii="Times New Roman" w:hAnsi="Times New Roman" w:cs="Times New Roman"/>
        </w:rPr>
        <w:t xml:space="preserve"> Joseph W. Yockey</w:t>
      </w:r>
      <w:r>
        <w:rPr>
          <w:rFonts w:hint="default" w:ascii="Times New Roman" w:hAnsi="Times New Roman" w:cs="Times New Roman"/>
        </w:rPr>
        <w:t>, “The Compliance Case for Social Enterprise”, Michigan Business &amp; Entrepreneurial Law Review, vol.</w:t>
      </w:r>
      <w:r>
        <w:rPr>
          <w:rFonts w:hint="default" w:ascii="Times New Roman" w:hAnsi="Times New Roman" w:cs="Times New Roman"/>
          <w:lang w:val="en-US" w:eastAsia="zh-CN"/>
        </w:rPr>
        <w:t xml:space="preserve"> </w:t>
      </w:r>
      <w:r>
        <w:rPr>
          <w:rFonts w:hint="default" w:ascii="Times New Roman" w:hAnsi="Times New Roman" w:cs="Times New Roman"/>
        </w:rPr>
        <w:t>4, no.</w:t>
      </w:r>
      <w:r>
        <w:rPr>
          <w:rFonts w:hint="default" w:ascii="Times New Roman" w:hAnsi="Times New Roman" w:cs="Times New Roman"/>
          <w:lang w:val="en-US" w:eastAsia="zh-CN"/>
        </w:rPr>
        <w:t xml:space="preserve"> </w:t>
      </w:r>
      <w:r>
        <w:rPr>
          <w:rFonts w:hint="default" w:ascii="Times New Roman" w:hAnsi="Times New Roman" w:cs="Times New Roman"/>
        </w:rPr>
        <w:t>1, 2014.</w:t>
      </w:r>
    </w:p>
  </w:footnote>
  <w:footnote w:id="25">
    <w:p w14:paraId="01A36D6A">
      <w:pPr>
        <w:pStyle w:val="12"/>
        <w:bidi w:val="0"/>
        <w:rPr>
          <w:rFonts w:hint="default" w:ascii="Times New Roman" w:hAnsi="Times New Roman" w:cs="Times New Roman"/>
        </w:rPr>
      </w:pPr>
      <w:r>
        <w:rPr>
          <w:rStyle w:val="21"/>
          <w:rFonts w:hint="default" w:ascii="Times New Roman" w:hAnsi="Times New Roman" w:eastAsia="仿宋" w:cs="Times New Roman"/>
          <w:color w:val="auto"/>
          <w:highlight w:val="none"/>
        </w:rPr>
        <w:footnoteRef/>
      </w:r>
      <w:r>
        <w:rPr>
          <w:rFonts w:hint="default" w:ascii="Times New Roman" w:hAnsi="Times New Roman" w:cs="Times New Roman"/>
        </w:rPr>
        <w:t xml:space="preserve"> 徐日丹、刘亭亭：《最高检：强化检校合作 破解涉案企业合规改革难题》，2022年5月9日，https：//www.spp.gov.cn/zdgz/202205/t20220509_556342.shtml，2023年4月11日。</w:t>
      </w:r>
    </w:p>
  </w:footnote>
  <w:footnote w:id="26">
    <w:p w14:paraId="5D277762">
      <w:pPr>
        <w:pStyle w:val="12"/>
        <w:bidi w:val="0"/>
        <w:rPr>
          <w:rFonts w:hint="default" w:ascii="Times New Roman" w:hAnsi="Times New Roman" w:cs="Times New Roman"/>
        </w:rPr>
      </w:pPr>
      <w:r>
        <w:rPr>
          <w:rStyle w:val="21"/>
          <w:rFonts w:hint="default" w:ascii="Times New Roman" w:hAnsi="Times New Roman" w:eastAsia="仿宋" w:cs="Times New Roman"/>
          <w:color w:val="auto"/>
          <w:highlight w:val="none"/>
        </w:rPr>
        <w:footnoteRef/>
      </w:r>
      <w:r>
        <w:rPr>
          <w:rFonts w:hint="default" w:ascii="Times New Roman" w:hAnsi="Times New Roman" w:cs="Times New Roman"/>
        </w:rPr>
        <w:t xml:space="preserve"> 张远煌等编著：《企业合规全球考察》，北京：北京大学出版社，2021年，第5页。</w:t>
      </w:r>
    </w:p>
  </w:footnote>
  <w:footnote w:id="27">
    <w:p w14:paraId="7580E6C1">
      <w:pPr>
        <w:pStyle w:val="12"/>
        <w:bidi w:val="0"/>
        <w:rPr>
          <w:rFonts w:hint="default" w:ascii="Times New Roman" w:hAnsi="Times New Roman" w:cs="Times New Roman"/>
        </w:rPr>
      </w:pPr>
      <w:r>
        <w:rPr>
          <w:rStyle w:val="21"/>
          <w:rFonts w:hint="default" w:ascii="Times New Roman" w:hAnsi="Times New Roman" w:eastAsia="仿宋" w:cs="Times New Roman"/>
          <w:color w:val="auto"/>
          <w:highlight w:val="none"/>
        </w:rPr>
        <w:footnoteRef/>
      </w:r>
      <w:r>
        <w:rPr>
          <w:rFonts w:hint="default" w:ascii="Times New Roman" w:hAnsi="Times New Roman" w:cs="Times New Roman"/>
        </w:rPr>
        <w:t xml:space="preserve"> 朱圆、肖佳欣：《社会企业架构下企业合规制度适用研究》，《北京科技大学学报（社会科学版)》2022年第1期。</w:t>
      </w:r>
    </w:p>
  </w:footnote>
  <w:footnote w:id="28">
    <w:p w14:paraId="0F402AE1">
      <w:pPr>
        <w:pStyle w:val="12"/>
        <w:bidi w:val="0"/>
        <w:rPr>
          <w:rFonts w:hint="default" w:ascii="Times New Roman" w:hAnsi="Times New Roman" w:cs="Times New Roman"/>
          <w:color w:val="auto"/>
          <w:highlight w:val="none"/>
        </w:rPr>
      </w:pPr>
      <w:r>
        <w:rPr>
          <w:rStyle w:val="21"/>
          <w:rFonts w:hint="default" w:ascii="Times New Roman" w:hAnsi="Times New Roman" w:cs="Times New Roman"/>
          <w:color w:val="auto"/>
          <w:highlight w:val="none"/>
        </w:rPr>
        <w:footnoteRef/>
      </w:r>
      <w:r>
        <w:rPr>
          <w:rFonts w:hint="default" w:ascii="Times New Roman" w:hAnsi="Times New Roman" w:cs="Times New Roman"/>
        </w:rPr>
        <w:t xml:space="preserve"> 张远煌等编著：《企业合规全球考察》，北京：北京大学出版社，2021年，第</w:t>
      </w:r>
      <w:r>
        <w:rPr>
          <w:rFonts w:hint="default" w:ascii="Times New Roman" w:hAnsi="Times New Roman" w:cs="Times New Roman"/>
          <w:lang w:val="en-US" w:eastAsia="zh-CN"/>
        </w:rPr>
        <w:t>9</w:t>
      </w:r>
      <w:r>
        <w:rPr>
          <w:rFonts w:hint="default" w:ascii="Times New Roman" w:hAnsi="Times New Roman" w:cs="Times New Roman"/>
        </w:rPr>
        <w:t>页。</w:t>
      </w:r>
    </w:p>
  </w:footnote>
  <w:footnote w:id="29">
    <w:p w14:paraId="04821917">
      <w:pPr>
        <w:pStyle w:val="12"/>
        <w:keepNext w:val="0"/>
        <w:keepLines w:val="0"/>
        <w:pageBreakBefore w:val="0"/>
        <w:widowControl w:val="0"/>
        <w:kinsoku/>
        <w:wordWrap w:val="0"/>
        <w:overflowPunct/>
        <w:topLinePunct w:val="0"/>
        <w:bidi w:val="0"/>
        <w:adjustRightInd/>
        <w:snapToGrid w:val="0"/>
        <w:textAlignment w:val="auto"/>
        <w:rPr>
          <w:rFonts w:hint="default" w:ascii="Times New Roman" w:hAnsi="Times New Roman" w:cs="Times New Roman"/>
        </w:rPr>
      </w:pPr>
      <w:r>
        <w:rPr>
          <w:rStyle w:val="21"/>
          <w:rFonts w:ascii="Times New Roman" w:hAnsi="Times New Roman" w:eastAsia="仿宋"/>
          <w:color w:val="auto"/>
          <w:highlight w:val="none"/>
        </w:rPr>
        <w:footnoteRef/>
      </w:r>
      <w:r>
        <w:rPr>
          <w:rFonts w:ascii="Times New Roman" w:hAnsi="Times New Roman" w:eastAsia="仿宋"/>
          <w:color w:val="auto"/>
          <w:highlight w:val="none"/>
        </w:rPr>
        <w:t xml:space="preserve"> </w:t>
      </w:r>
      <w:r>
        <w:rPr>
          <w:rFonts w:hint="default" w:ascii="Times New Roman" w:hAnsi="Times New Roman" w:cs="Times New Roman"/>
        </w:rPr>
        <w:t>何群、俞莲：《我国企业刑事合规实践检视与反思》，《四川警察学院学报》2022年第2期。</w:t>
      </w:r>
    </w:p>
  </w:footnote>
  <w:footnote w:id="30">
    <w:p w14:paraId="1661713B">
      <w:pPr>
        <w:pStyle w:val="12"/>
        <w:keepNext w:val="0"/>
        <w:keepLines w:val="0"/>
        <w:pageBreakBefore w:val="0"/>
        <w:widowControl w:val="0"/>
        <w:kinsoku/>
        <w:wordWrap w:val="0"/>
        <w:overflowPunct/>
        <w:topLinePunct w:val="0"/>
        <w:bidi w:val="0"/>
        <w:adjustRightInd/>
        <w:snapToGrid w:val="0"/>
        <w:textAlignment w:val="auto"/>
        <w:rPr>
          <w:rFonts w:hint="default" w:ascii="Times New Roman" w:hAnsi="Times New Roman" w:cs="Times New Roman"/>
        </w:rPr>
      </w:pPr>
      <w:r>
        <w:rPr>
          <w:rStyle w:val="21"/>
          <w:rFonts w:hint="default" w:ascii="Times New Roman" w:hAnsi="Times New Roman" w:eastAsia="仿宋" w:cs="Times New Roman"/>
          <w:color w:val="auto"/>
          <w:highlight w:val="none"/>
        </w:rPr>
        <w:footnoteRef/>
      </w:r>
      <w:r>
        <w:rPr>
          <w:rFonts w:hint="default" w:ascii="Times New Roman" w:hAnsi="Times New Roman" w:cs="Times New Roman"/>
        </w:rPr>
        <w:t xml:space="preserve"> 段明、廖永安：《建设高素质法治工作队伍是推进全面依法治国的基础工程》，2020年12月31日，http：//news.haiwainet.cn/n/2020/1231/c3541089-31951968.html，2023年4月9日。</w:t>
      </w:r>
    </w:p>
  </w:footnote>
  <w:footnote w:id="31">
    <w:p w14:paraId="2FDD9936">
      <w:pPr>
        <w:pStyle w:val="12"/>
        <w:keepNext w:val="0"/>
        <w:keepLines w:val="0"/>
        <w:pageBreakBefore w:val="0"/>
        <w:widowControl w:val="0"/>
        <w:kinsoku/>
        <w:wordWrap w:val="0"/>
        <w:overflowPunct/>
        <w:topLinePunct w:val="0"/>
        <w:bidi w:val="0"/>
        <w:adjustRightInd/>
        <w:snapToGrid w:val="0"/>
        <w:textAlignment w:val="auto"/>
        <w:rPr>
          <w:rFonts w:hint="default" w:ascii="Times New Roman" w:hAnsi="Times New Roman" w:cs="Times New Roman"/>
        </w:rPr>
      </w:pPr>
      <w:r>
        <w:rPr>
          <w:rStyle w:val="21"/>
          <w:rFonts w:hint="default" w:ascii="Times New Roman" w:hAnsi="Times New Roman" w:eastAsia="仿宋" w:cs="Times New Roman"/>
          <w:color w:val="auto"/>
          <w:highlight w:val="none"/>
        </w:rPr>
        <w:footnoteRef/>
      </w:r>
      <w:r>
        <w:rPr>
          <w:rFonts w:hint="default" w:ascii="Times New Roman" w:hAnsi="Times New Roman" w:cs="Times New Roman"/>
        </w:rPr>
        <w:t xml:space="preserve"> 何群、俞莲：《我国企业刑事合规实践检视与反思》，《四川警察学院学报》2022年第2期。</w:t>
      </w:r>
    </w:p>
  </w:footnote>
  <w:footnote w:id="32">
    <w:p w14:paraId="1B7735B5">
      <w:pPr>
        <w:pStyle w:val="12"/>
        <w:keepNext w:val="0"/>
        <w:keepLines w:val="0"/>
        <w:pageBreakBefore w:val="0"/>
        <w:widowControl w:val="0"/>
        <w:kinsoku/>
        <w:wordWrap w:val="0"/>
        <w:overflowPunct/>
        <w:topLinePunct w:val="0"/>
        <w:bidi w:val="0"/>
        <w:adjustRightInd/>
        <w:snapToGrid w:val="0"/>
        <w:textAlignment w:val="auto"/>
        <w:rPr>
          <w:rFonts w:hint="default" w:ascii="Times New Roman" w:hAnsi="Times New Roman" w:cs="Times New Roman"/>
        </w:rPr>
      </w:pPr>
      <w:r>
        <w:rPr>
          <w:rStyle w:val="21"/>
          <w:rFonts w:hint="default" w:ascii="Times New Roman" w:hAnsi="Times New Roman" w:eastAsia="仿宋" w:cs="Times New Roman"/>
          <w:color w:val="auto"/>
          <w:highlight w:val="none"/>
        </w:rPr>
        <w:footnoteRef/>
      </w:r>
      <w:r>
        <w:rPr>
          <w:rFonts w:hint="default" w:ascii="Times New Roman" w:hAnsi="Times New Roman" w:cs="Times New Roman"/>
        </w:rPr>
        <w:t xml:space="preserve"> 徐日丹：《万春：合力推进企业合规建设 实现最佳司法办案效果》，2021年7月16日，https：//www.spp.gov.cn/spp/zdgz/202107/t20210716_524055.shtml，2023年4月11日。</w:t>
      </w:r>
    </w:p>
  </w:footnote>
  <w:footnote w:id="33">
    <w:p w14:paraId="275769D0">
      <w:pPr>
        <w:pStyle w:val="12"/>
        <w:bidi w:val="0"/>
        <w:rPr>
          <w:rFonts w:hint="default" w:ascii="Times New Roman" w:hAnsi="Times New Roman" w:cs="Times New Roman"/>
        </w:rPr>
      </w:pPr>
      <w:r>
        <w:rPr>
          <w:rStyle w:val="21"/>
          <w:rFonts w:ascii="Times New Roman" w:hAnsi="Times New Roman" w:eastAsia="仿宋"/>
          <w:color w:val="auto"/>
          <w:highlight w:val="none"/>
        </w:rPr>
        <w:footnoteRef/>
      </w:r>
      <w:r>
        <w:rPr>
          <w:rFonts w:ascii="Times New Roman" w:hAnsi="Times New Roman" w:eastAsia="仿宋"/>
          <w:color w:val="auto"/>
          <w:highlight w:val="none"/>
        </w:rPr>
        <w:t xml:space="preserve"> </w:t>
      </w:r>
      <w:r>
        <w:rPr>
          <w:rFonts w:hint="default" w:ascii="Times New Roman" w:hAnsi="Times New Roman" w:cs="Times New Roman"/>
        </w:rPr>
        <w:t>徐日丹：《万春：深入推进涉案企业合规改革试点 为后疫情时代法治发展贡献检察力量》，2021年10月24日，https：//www.spp.gov.cn/spp/zdgz/202110/t20211024_533221.shtml，2023年4月11日。</w:t>
      </w:r>
    </w:p>
  </w:footnote>
  <w:footnote w:id="34">
    <w:p w14:paraId="13E34188">
      <w:pPr>
        <w:pStyle w:val="12"/>
        <w:keepNext w:val="0"/>
        <w:keepLines w:val="0"/>
        <w:pageBreakBefore w:val="0"/>
        <w:widowControl w:val="0"/>
        <w:kinsoku/>
        <w:wordWrap w:val="0"/>
        <w:overflowPunct/>
        <w:topLinePunct w:val="0"/>
        <w:bidi w:val="0"/>
        <w:adjustRightInd/>
        <w:snapToGrid w:val="0"/>
        <w:textAlignment w:val="auto"/>
        <w:rPr>
          <w:rFonts w:hint="default" w:ascii="Times New Roman" w:hAnsi="Times New Roman" w:cs="Times New Roman"/>
        </w:rPr>
      </w:pPr>
      <w:r>
        <w:rPr>
          <w:rStyle w:val="21"/>
          <w:rFonts w:hint="default" w:ascii="Times New Roman" w:hAnsi="Times New Roman" w:eastAsia="仿宋" w:cs="Times New Roman"/>
          <w:color w:val="auto"/>
          <w:highlight w:val="none"/>
        </w:rPr>
        <w:footnoteRef/>
      </w:r>
      <w:r>
        <w:rPr>
          <w:rFonts w:hint="default" w:ascii="Times New Roman" w:hAnsi="Times New Roman" w:cs="Times New Roman"/>
        </w:rPr>
        <w:t>《人力资源社会保障部、国家市场监督管理总局、国家统计局联合发布集成电路工程技术人员等18个新职业》，2021年3月18日，http：//www.mohrss.gov.cn/wap/xw/rsxw/202103/t20210318_411376.html，2023年4月9日</w:t>
      </w:r>
      <w:r>
        <w:rPr>
          <w:rFonts w:hint="default" w:ascii="Times New Roman" w:hAnsi="Times New Roman" w:cs="Times New Roman"/>
        </w:rPr>
        <w:t>。</w:t>
      </w:r>
    </w:p>
  </w:footnote>
  <w:footnote w:id="35">
    <w:p w14:paraId="2AEF4B58">
      <w:pPr>
        <w:pStyle w:val="12"/>
        <w:rPr>
          <w:rFonts w:ascii="Times New Roman" w:hAnsi="Times New Roman" w:eastAsia="仿宋"/>
          <w:color w:val="auto"/>
          <w:sz w:val="21"/>
          <w:highlight w:val="none"/>
        </w:rPr>
      </w:pPr>
      <w:r>
        <w:rPr>
          <w:rStyle w:val="21"/>
          <w:rFonts w:ascii="Times New Roman" w:hAnsi="Times New Roman" w:eastAsia="仿宋"/>
          <w:color w:val="auto"/>
          <w:sz w:val="21"/>
          <w:highlight w:val="none"/>
        </w:rPr>
        <w:footnoteRef/>
      </w:r>
      <w:r>
        <w:rPr>
          <w:rFonts w:ascii="Times New Roman" w:hAnsi="Times New Roman" w:eastAsia="仿宋"/>
          <w:color w:val="auto"/>
          <w:sz w:val="21"/>
          <w:highlight w:val="none"/>
        </w:rPr>
        <w:t xml:space="preserve"> </w:t>
      </w:r>
      <w:r>
        <w:rPr>
          <w:rFonts w:hint="eastAsia" w:ascii="Times New Roman" w:hAnsi="Times New Roman" w:eastAsia="仿宋"/>
          <w:color w:val="auto"/>
          <w:sz w:val="21"/>
          <w:highlight w:val="none"/>
        </w:rPr>
        <w:t>陈瑞华：《企业合规行刑衔接的实质化》，《人民检察》</w:t>
      </w:r>
      <w:r>
        <w:rPr>
          <w:rFonts w:ascii="Times New Roman" w:hAnsi="Times New Roman" w:eastAsia="仿宋"/>
          <w:color w:val="auto"/>
          <w:sz w:val="21"/>
          <w:highlight w:val="none"/>
        </w:rPr>
        <w:t>2022</w:t>
      </w:r>
      <w:r>
        <w:rPr>
          <w:rFonts w:hint="eastAsia" w:ascii="Times New Roman" w:hAnsi="Times New Roman" w:eastAsia="仿宋"/>
          <w:color w:val="auto"/>
          <w:sz w:val="21"/>
          <w:highlight w:val="none"/>
        </w:rPr>
        <w:t>年第</w:t>
      </w:r>
      <w:r>
        <w:rPr>
          <w:rFonts w:ascii="Times New Roman" w:hAnsi="Times New Roman" w:eastAsia="仿宋"/>
          <w:color w:val="auto"/>
          <w:sz w:val="21"/>
          <w:highlight w:val="none"/>
        </w:rPr>
        <w:t>23</w:t>
      </w:r>
      <w:r>
        <w:rPr>
          <w:rFonts w:hint="eastAsia" w:ascii="Times New Roman" w:hAnsi="Times New Roman" w:eastAsia="仿宋"/>
          <w:color w:val="auto"/>
          <w:sz w:val="21"/>
          <w:highlight w:val="none"/>
        </w:rPr>
        <w:t>期。</w:t>
      </w:r>
    </w:p>
  </w:footnote>
  <w:footnote w:id="36">
    <w:p w14:paraId="0A2C0137">
      <w:pPr>
        <w:pStyle w:val="12"/>
        <w:bidi w:val="0"/>
      </w:pPr>
      <w:r>
        <w:rPr>
          <w:rStyle w:val="21"/>
          <w:rFonts w:ascii="Times New Roman" w:hAnsi="Times New Roman" w:eastAsia="仿宋"/>
          <w:color w:val="auto"/>
          <w:highlight w:val="none"/>
        </w:rPr>
        <w:footnoteRef/>
      </w:r>
      <w:r>
        <w:rPr>
          <w:rFonts w:ascii="Times New Roman" w:hAnsi="Times New Roman" w:eastAsia="仿宋"/>
          <w:color w:val="auto"/>
          <w:highlight w:val="none"/>
        </w:rPr>
        <w:t xml:space="preserve"> </w:t>
      </w:r>
      <w:r>
        <w:rPr>
          <w:rFonts w:hint="eastAsia"/>
        </w:rPr>
        <w:t>朱圆、肖佳欣：《社会企业架构下企业合规制度适用研究》，《北京科技大学学报（社会科学版）》</w:t>
      </w:r>
      <w:r>
        <w:t>2022</w:t>
      </w:r>
      <w:r>
        <w:rPr>
          <w:rFonts w:hint="eastAsia"/>
        </w:rPr>
        <w:t>年第</w:t>
      </w:r>
      <w:r>
        <w:t>1</w:t>
      </w:r>
      <w:r>
        <w:rPr>
          <w:rFonts w:hint="eastAsia"/>
        </w:rPr>
        <w:t>期。</w:t>
      </w:r>
    </w:p>
  </w:footnote>
  <w:footnote w:id="37">
    <w:p w14:paraId="14151176">
      <w:pPr>
        <w:pStyle w:val="12"/>
        <w:bidi w:val="0"/>
      </w:pPr>
      <w:r>
        <w:rPr>
          <w:rStyle w:val="21"/>
          <w:rFonts w:ascii="Times New Roman" w:hAnsi="Times New Roman" w:eastAsia="仿宋"/>
          <w:color w:val="auto"/>
          <w:highlight w:val="none"/>
        </w:rPr>
        <w:footnoteRef/>
      </w:r>
      <w:r>
        <w:t xml:space="preserve"> </w:t>
      </w:r>
      <w:r>
        <w:rPr>
          <w:rFonts w:hint="eastAsia"/>
        </w:rPr>
        <w:t>陈瑞华：《企业合规不起诉改革的动向和挑战》，《上海政法学院学报（法治论丛）》</w:t>
      </w:r>
      <w:r>
        <w:t>2022</w:t>
      </w:r>
      <w:r>
        <w:rPr>
          <w:rFonts w:hint="eastAsia"/>
        </w:rPr>
        <w:t>年第</w:t>
      </w:r>
      <w:r>
        <w:t>6</w:t>
      </w:r>
      <w:r>
        <w:rPr>
          <w:rFonts w:hint="eastAsia"/>
        </w:rPr>
        <w:t>期。</w:t>
      </w:r>
    </w:p>
  </w:footnote>
  <w:footnote w:id="38">
    <w:p w14:paraId="53AA3665">
      <w:pPr>
        <w:pStyle w:val="12"/>
        <w:rPr>
          <w:rFonts w:ascii="Times New Roman" w:hAnsi="Times New Roman" w:eastAsia="仿宋"/>
          <w:color w:val="auto"/>
          <w:sz w:val="21"/>
          <w:highlight w:val="none"/>
        </w:rPr>
      </w:pPr>
      <w:r>
        <w:rPr>
          <w:rStyle w:val="21"/>
          <w:rFonts w:ascii="Times New Roman" w:hAnsi="Times New Roman" w:eastAsia="仿宋"/>
          <w:color w:val="auto"/>
          <w:sz w:val="21"/>
          <w:highlight w:val="none"/>
        </w:rPr>
        <w:footnoteRef/>
      </w:r>
      <w:r>
        <w:rPr>
          <w:rFonts w:ascii="Times New Roman" w:hAnsi="Times New Roman" w:eastAsia="仿宋"/>
          <w:color w:val="auto"/>
          <w:sz w:val="21"/>
          <w:highlight w:val="none"/>
        </w:rPr>
        <w:t xml:space="preserve"> </w:t>
      </w:r>
      <w:r>
        <w:rPr>
          <w:rFonts w:hint="eastAsia" w:ascii="Times New Roman" w:hAnsi="Times New Roman" w:eastAsia="仿宋"/>
          <w:color w:val="auto"/>
          <w:sz w:val="21"/>
          <w:highlight w:val="none"/>
        </w:rPr>
        <w:t>谈倩、李轲：《我国企业合规第三方监管实证探析</w:t>
      </w:r>
      <w:r>
        <w:rPr>
          <w:rFonts w:ascii="Times New Roman" w:hAnsi="Times New Roman" w:eastAsia="仿宋"/>
          <w:color w:val="auto"/>
          <w:sz w:val="21"/>
          <w:highlight w:val="none"/>
        </w:rPr>
        <w:t>——</w:t>
      </w:r>
      <w:r>
        <w:rPr>
          <w:rFonts w:hint="eastAsia" w:ascii="Times New Roman" w:hAnsi="Times New Roman" w:eastAsia="仿宋"/>
          <w:color w:val="auto"/>
          <w:sz w:val="21"/>
          <w:highlight w:val="none"/>
        </w:rPr>
        <w:t>以检察机关企业合规改革试点工作为切入点》，《中国检察官》</w:t>
      </w:r>
      <w:r>
        <w:rPr>
          <w:rFonts w:ascii="Times New Roman" w:hAnsi="Times New Roman" w:eastAsia="仿宋"/>
          <w:color w:val="auto"/>
          <w:sz w:val="21"/>
          <w:highlight w:val="none"/>
        </w:rPr>
        <w:t>2021</w:t>
      </w:r>
      <w:r>
        <w:rPr>
          <w:rFonts w:hint="eastAsia" w:ascii="Times New Roman" w:hAnsi="Times New Roman" w:eastAsia="仿宋"/>
          <w:color w:val="auto"/>
          <w:sz w:val="21"/>
          <w:highlight w:val="none"/>
        </w:rPr>
        <w:t>年第</w:t>
      </w:r>
      <w:r>
        <w:rPr>
          <w:rFonts w:ascii="Times New Roman" w:hAnsi="Times New Roman" w:eastAsia="仿宋"/>
          <w:color w:val="auto"/>
          <w:sz w:val="21"/>
          <w:highlight w:val="none"/>
        </w:rPr>
        <w:t>11</w:t>
      </w:r>
      <w:r>
        <w:rPr>
          <w:rFonts w:hint="eastAsia" w:ascii="Times New Roman" w:hAnsi="Times New Roman" w:eastAsia="仿宋"/>
          <w:color w:val="auto"/>
          <w:sz w:val="21"/>
          <w:highlight w:val="none"/>
        </w:rPr>
        <w:t>期。</w:t>
      </w:r>
    </w:p>
  </w:footnote>
  <w:footnote w:id="39">
    <w:p w14:paraId="5CE51624">
      <w:pPr>
        <w:pStyle w:val="12"/>
        <w:bidi w:val="0"/>
        <w:rPr>
          <w:rFonts w:hint="default" w:ascii="Times New Roman" w:hAnsi="Times New Roman" w:cs="Times New Roman"/>
        </w:rPr>
      </w:pPr>
      <w:r>
        <w:rPr>
          <w:rStyle w:val="21"/>
          <w:rFonts w:ascii="Times New Roman" w:hAnsi="Times New Roman" w:eastAsia="仿宋"/>
          <w:color w:val="auto"/>
          <w:highlight w:val="none"/>
        </w:rPr>
        <w:footnoteRef/>
      </w:r>
      <w:r>
        <w:rPr>
          <w:rFonts w:ascii="Times New Roman" w:hAnsi="Times New Roman" w:eastAsia="仿宋"/>
          <w:color w:val="auto"/>
          <w:highlight w:val="none"/>
        </w:rPr>
        <w:t xml:space="preserve"> </w:t>
      </w:r>
      <w:r>
        <w:rPr>
          <w:rFonts w:hint="eastAsia"/>
        </w:rPr>
        <w:t>单民、上官春光：《多重视角中的检察官职业伦理》，</w:t>
      </w:r>
      <w:r>
        <w:rPr>
          <w:rFonts w:hint="eastAsia"/>
          <w:lang w:eastAsia="zh-CN"/>
        </w:rPr>
        <w:t>《</w:t>
      </w:r>
      <w:r>
        <w:rPr>
          <w:rFonts w:hint="eastAsia"/>
        </w:rPr>
        <w:t>第四届国家高级检察官论坛论文</w:t>
      </w:r>
      <w:r>
        <w:rPr>
          <w:rFonts w:hint="eastAsia"/>
          <w:lang w:eastAsia="zh-CN"/>
        </w:rPr>
        <w:t>》</w:t>
      </w:r>
      <w:r>
        <w:rPr>
          <w:rFonts w:hint="eastAsia"/>
        </w:rPr>
        <w:t>集，</w:t>
      </w:r>
      <w:r>
        <w:rPr>
          <w:rFonts w:hint="default" w:ascii="Times New Roman" w:hAnsi="Times New Roman" w:cs="Times New Roman"/>
        </w:rPr>
        <w:t>2008年。</w:t>
      </w:r>
    </w:p>
  </w:footnote>
  <w:footnote w:id="40">
    <w:p w14:paraId="25813AC6">
      <w:pPr>
        <w:pStyle w:val="12"/>
        <w:bidi w:val="0"/>
        <w:rPr>
          <w:rFonts w:hint="default" w:ascii="Times New Roman" w:hAnsi="Times New Roman" w:cs="Times New Roman"/>
        </w:rPr>
      </w:pPr>
      <w:r>
        <w:rPr>
          <w:rStyle w:val="21"/>
          <w:rFonts w:hint="default" w:ascii="Times New Roman" w:hAnsi="Times New Roman" w:eastAsia="仿宋" w:cs="Times New Roman"/>
          <w:color w:val="auto"/>
          <w:highlight w:val="none"/>
        </w:rPr>
        <w:footnoteRef/>
      </w:r>
      <w:r>
        <w:rPr>
          <w:rFonts w:hint="default" w:ascii="Times New Roman" w:hAnsi="Times New Roman" w:cs="Times New Roman"/>
        </w:rPr>
        <w:t xml:space="preserve"> 董静姝：《论法律职业伦理的现代困境》，《新疆大学学报(哲学</w:t>
      </w:r>
      <w:r>
        <w:rPr>
          <w:rFonts w:hint="eastAsia" w:ascii="微软雅黑" w:hAnsi="微软雅黑" w:eastAsia="微软雅黑" w:cs="微软雅黑"/>
        </w:rPr>
        <w:t>•</w:t>
      </w:r>
      <w:r>
        <w:rPr>
          <w:rFonts w:hint="default" w:ascii="Times New Roman" w:hAnsi="Times New Roman" w:cs="Times New Roman"/>
        </w:rPr>
        <w:t>人文社会科学版)》2016年第4期。</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documentProtection w:enforcement="0"/>
  <w:defaultTabStop w:val="420"/>
  <w:drawingGridVerticalSpacing w:val="156"/>
  <w:noPunctuationKerning w:val="1"/>
  <w:characterSpacingControl w:val="compressPunctuation"/>
  <w:footnotePr>
    <w:numFmt w:val="decimalEnclosedCircleChinese"/>
    <w:numRestart w:val="eachPage"/>
    <w:footnote w:id="82"/>
    <w:footnote w:id="8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yMGFhZDZkNGNhMjU4ZWVkNGRiNWVhODVkNjJiM2IifQ=="/>
  </w:docVars>
  <w:rsids>
    <w:rsidRoot w:val="0064637C"/>
    <w:rsid w:val="00005751"/>
    <w:rsid w:val="0002185F"/>
    <w:rsid w:val="00021DB4"/>
    <w:rsid w:val="00037CF2"/>
    <w:rsid w:val="00055D72"/>
    <w:rsid w:val="000645F9"/>
    <w:rsid w:val="00072D79"/>
    <w:rsid w:val="00094114"/>
    <w:rsid w:val="000A169D"/>
    <w:rsid w:val="000A31FA"/>
    <w:rsid w:val="000B2BB9"/>
    <w:rsid w:val="000C4890"/>
    <w:rsid w:val="000D1366"/>
    <w:rsid w:val="00105464"/>
    <w:rsid w:val="00110F40"/>
    <w:rsid w:val="00134054"/>
    <w:rsid w:val="00147EEC"/>
    <w:rsid w:val="00150917"/>
    <w:rsid w:val="00154BFD"/>
    <w:rsid w:val="00155BEB"/>
    <w:rsid w:val="00165692"/>
    <w:rsid w:val="00172D52"/>
    <w:rsid w:val="001744A4"/>
    <w:rsid w:val="00176C2B"/>
    <w:rsid w:val="00177233"/>
    <w:rsid w:val="00187E21"/>
    <w:rsid w:val="001A2062"/>
    <w:rsid w:val="001C7A13"/>
    <w:rsid w:val="001D319F"/>
    <w:rsid w:val="001D727C"/>
    <w:rsid w:val="001F34B9"/>
    <w:rsid w:val="00220F03"/>
    <w:rsid w:val="00245793"/>
    <w:rsid w:val="00253EA3"/>
    <w:rsid w:val="0025412F"/>
    <w:rsid w:val="00254AEF"/>
    <w:rsid w:val="00262BA7"/>
    <w:rsid w:val="0027487B"/>
    <w:rsid w:val="0028484A"/>
    <w:rsid w:val="00284C1B"/>
    <w:rsid w:val="0028506D"/>
    <w:rsid w:val="00286E64"/>
    <w:rsid w:val="002878F9"/>
    <w:rsid w:val="002B3E59"/>
    <w:rsid w:val="002C35CF"/>
    <w:rsid w:val="002C417F"/>
    <w:rsid w:val="002D5E6C"/>
    <w:rsid w:val="002E0534"/>
    <w:rsid w:val="002E1495"/>
    <w:rsid w:val="002E2DAB"/>
    <w:rsid w:val="002F478C"/>
    <w:rsid w:val="003016E6"/>
    <w:rsid w:val="00306E32"/>
    <w:rsid w:val="00317B3E"/>
    <w:rsid w:val="00317E12"/>
    <w:rsid w:val="00330C64"/>
    <w:rsid w:val="003458D9"/>
    <w:rsid w:val="003665A1"/>
    <w:rsid w:val="003A21F4"/>
    <w:rsid w:val="003B25B4"/>
    <w:rsid w:val="003C5144"/>
    <w:rsid w:val="003D7E12"/>
    <w:rsid w:val="003D7FD5"/>
    <w:rsid w:val="003E440C"/>
    <w:rsid w:val="00400D08"/>
    <w:rsid w:val="004130B9"/>
    <w:rsid w:val="00415273"/>
    <w:rsid w:val="00433FDC"/>
    <w:rsid w:val="00454AEC"/>
    <w:rsid w:val="004835D3"/>
    <w:rsid w:val="00492A0B"/>
    <w:rsid w:val="00492AD8"/>
    <w:rsid w:val="00496C11"/>
    <w:rsid w:val="004A378E"/>
    <w:rsid w:val="004D2B71"/>
    <w:rsid w:val="004D4BCD"/>
    <w:rsid w:val="004D6A53"/>
    <w:rsid w:val="004F04C1"/>
    <w:rsid w:val="00506940"/>
    <w:rsid w:val="00532F68"/>
    <w:rsid w:val="005357EF"/>
    <w:rsid w:val="00537AEE"/>
    <w:rsid w:val="0055068A"/>
    <w:rsid w:val="005531E0"/>
    <w:rsid w:val="00561A8C"/>
    <w:rsid w:val="005708A1"/>
    <w:rsid w:val="00571774"/>
    <w:rsid w:val="00577FAA"/>
    <w:rsid w:val="005B3BC7"/>
    <w:rsid w:val="005C3DD1"/>
    <w:rsid w:val="005D5F4E"/>
    <w:rsid w:val="0061035C"/>
    <w:rsid w:val="00614904"/>
    <w:rsid w:val="0061555B"/>
    <w:rsid w:val="0064637C"/>
    <w:rsid w:val="00661D50"/>
    <w:rsid w:val="00667437"/>
    <w:rsid w:val="00667A1E"/>
    <w:rsid w:val="00667EA9"/>
    <w:rsid w:val="00674798"/>
    <w:rsid w:val="00691FB9"/>
    <w:rsid w:val="006A3091"/>
    <w:rsid w:val="006A79E1"/>
    <w:rsid w:val="006B6A95"/>
    <w:rsid w:val="006E7767"/>
    <w:rsid w:val="006F0C93"/>
    <w:rsid w:val="006F1BEE"/>
    <w:rsid w:val="00701274"/>
    <w:rsid w:val="00717AB2"/>
    <w:rsid w:val="0072202E"/>
    <w:rsid w:val="007232FF"/>
    <w:rsid w:val="007341F9"/>
    <w:rsid w:val="00737001"/>
    <w:rsid w:val="00740F38"/>
    <w:rsid w:val="00750A21"/>
    <w:rsid w:val="007550FE"/>
    <w:rsid w:val="007735B8"/>
    <w:rsid w:val="00780608"/>
    <w:rsid w:val="00791E08"/>
    <w:rsid w:val="007E41A1"/>
    <w:rsid w:val="007F7A65"/>
    <w:rsid w:val="0082072C"/>
    <w:rsid w:val="00822D0A"/>
    <w:rsid w:val="008476CC"/>
    <w:rsid w:val="00857D23"/>
    <w:rsid w:val="00860E2F"/>
    <w:rsid w:val="00861087"/>
    <w:rsid w:val="008701D8"/>
    <w:rsid w:val="00873873"/>
    <w:rsid w:val="00885551"/>
    <w:rsid w:val="0089324F"/>
    <w:rsid w:val="008A0F61"/>
    <w:rsid w:val="008B6106"/>
    <w:rsid w:val="008E34AA"/>
    <w:rsid w:val="008F71B0"/>
    <w:rsid w:val="00906257"/>
    <w:rsid w:val="00910456"/>
    <w:rsid w:val="00933485"/>
    <w:rsid w:val="00943625"/>
    <w:rsid w:val="0099614E"/>
    <w:rsid w:val="009D06FA"/>
    <w:rsid w:val="00A07F99"/>
    <w:rsid w:val="00A40C7D"/>
    <w:rsid w:val="00A80765"/>
    <w:rsid w:val="00A80BC0"/>
    <w:rsid w:val="00A820D6"/>
    <w:rsid w:val="00A87AC1"/>
    <w:rsid w:val="00A9046D"/>
    <w:rsid w:val="00A97F9C"/>
    <w:rsid w:val="00AA0464"/>
    <w:rsid w:val="00AB1025"/>
    <w:rsid w:val="00AC183E"/>
    <w:rsid w:val="00AD056B"/>
    <w:rsid w:val="00AD3AB9"/>
    <w:rsid w:val="00AE3B66"/>
    <w:rsid w:val="00AF1A79"/>
    <w:rsid w:val="00B0231F"/>
    <w:rsid w:val="00B16D1E"/>
    <w:rsid w:val="00B17CED"/>
    <w:rsid w:val="00B21AE9"/>
    <w:rsid w:val="00B26EB0"/>
    <w:rsid w:val="00B31D48"/>
    <w:rsid w:val="00B360D5"/>
    <w:rsid w:val="00B435AB"/>
    <w:rsid w:val="00B543D6"/>
    <w:rsid w:val="00B61358"/>
    <w:rsid w:val="00B72F0A"/>
    <w:rsid w:val="00B828FA"/>
    <w:rsid w:val="00B9091A"/>
    <w:rsid w:val="00BA3632"/>
    <w:rsid w:val="00BC1BA2"/>
    <w:rsid w:val="00BE31C7"/>
    <w:rsid w:val="00BF21D6"/>
    <w:rsid w:val="00C1142C"/>
    <w:rsid w:val="00C22309"/>
    <w:rsid w:val="00C442A4"/>
    <w:rsid w:val="00C73BD8"/>
    <w:rsid w:val="00C84342"/>
    <w:rsid w:val="00C85134"/>
    <w:rsid w:val="00C875D7"/>
    <w:rsid w:val="00C90BF3"/>
    <w:rsid w:val="00CC45EB"/>
    <w:rsid w:val="00CF1DC5"/>
    <w:rsid w:val="00CF4B83"/>
    <w:rsid w:val="00D1048E"/>
    <w:rsid w:val="00D44316"/>
    <w:rsid w:val="00D4664E"/>
    <w:rsid w:val="00D544F3"/>
    <w:rsid w:val="00D56E0E"/>
    <w:rsid w:val="00D62B4E"/>
    <w:rsid w:val="00D754D0"/>
    <w:rsid w:val="00D87E1A"/>
    <w:rsid w:val="00D94D2B"/>
    <w:rsid w:val="00D95323"/>
    <w:rsid w:val="00DA7F07"/>
    <w:rsid w:val="00DB222B"/>
    <w:rsid w:val="00DB42E7"/>
    <w:rsid w:val="00DD68EE"/>
    <w:rsid w:val="00DE54D5"/>
    <w:rsid w:val="00E017E8"/>
    <w:rsid w:val="00E12E60"/>
    <w:rsid w:val="00E145B6"/>
    <w:rsid w:val="00E2677B"/>
    <w:rsid w:val="00E34F74"/>
    <w:rsid w:val="00E76C7F"/>
    <w:rsid w:val="00E87380"/>
    <w:rsid w:val="00E967ED"/>
    <w:rsid w:val="00E97C28"/>
    <w:rsid w:val="00EC027A"/>
    <w:rsid w:val="00EC15CA"/>
    <w:rsid w:val="00EC28CB"/>
    <w:rsid w:val="00ED1661"/>
    <w:rsid w:val="00ED68B7"/>
    <w:rsid w:val="00EE14D8"/>
    <w:rsid w:val="00EF4A9A"/>
    <w:rsid w:val="00F15699"/>
    <w:rsid w:val="00F354E5"/>
    <w:rsid w:val="00F44981"/>
    <w:rsid w:val="00F51B11"/>
    <w:rsid w:val="00F71A1D"/>
    <w:rsid w:val="00F75DBA"/>
    <w:rsid w:val="00F77797"/>
    <w:rsid w:val="00F90BCC"/>
    <w:rsid w:val="00FA204C"/>
    <w:rsid w:val="00FA4B46"/>
    <w:rsid w:val="00FB2DED"/>
    <w:rsid w:val="00FB3CD8"/>
    <w:rsid w:val="00FC27FB"/>
    <w:rsid w:val="00FD2669"/>
    <w:rsid w:val="00FD523C"/>
    <w:rsid w:val="00FE6B2C"/>
    <w:rsid w:val="00FF40E1"/>
    <w:rsid w:val="0184421B"/>
    <w:rsid w:val="03B965EB"/>
    <w:rsid w:val="08CF5EB2"/>
    <w:rsid w:val="097C34E6"/>
    <w:rsid w:val="0D92168A"/>
    <w:rsid w:val="1193219C"/>
    <w:rsid w:val="1526677A"/>
    <w:rsid w:val="17A65C1F"/>
    <w:rsid w:val="18C2583D"/>
    <w:rsid w:val="192E4AA7"/>
    <w:rsid w:val="20E54B26"/>
    <w:rsid w:val="20EF6BF3"/>
    <w:rsid w:val="343206CD"/>
    <w:rsid w:val="374C1883"/>
    <w:rsid w:val="38FB1907"/>
    <w:rsid w:val="3D406452"/>
    <w:rsid w:val="3F69706F"/>
    <w:rsid w:val="40884E26"/>
    <w:rsid w:val="414354D5"/>
    <w:rsid w:val="42C84A20"/>
    <w:rsid w:val="43B64ED5"/>
    <w:rsid w:val="45E35DE3"/>
    <w:rsid w:val="56E97C36"/>
    <w:rsid w:val="5A563064"/>
    <w:rsid w:val="5F702A21"/>
    <w:rsid w:val="5FEB6A5D"/>
    <w:rsid w:val="673149C8"/>
    <w:rsid w:val="69A17E9C"/>
    <w:rsid w:val="729A69E8"/>
    <w:rsid w:val="7413269D"/>
    <w:rsid w:val="7C9F5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autoRedefine/>
    <w:qFormat/>
    <w:uiPriority w:val="9"/>
    <w:pPr>
      <w:keepNext/>
      <w:keepLines/>
      <w:spacing w:before="313" w:beforeLines="100" w:afterLines="0" w:line="960" w:lineRule="auto"/>
      <w:jc w:val="center"/>
      <w:outlineLvl w:val="0"/>
    </w:pPr>
    <w:rPr>
      <w:rFonts w:ascii="方正书宋_GBK" w:hAnsi="方正书宋_GBK" w:eastAsia="方正书宋_GBK" w:cs="方正书宋_GBK"/>
      <w:kern w:val="44"/>
      <w:sz w:val="32"/>
      <w:szCs w:val="32"/>
      <w:highlight w:val="none"/>
    </w:rPr>
  </w:style>
  <w:style w:type="paragraph" w:styleId="3">
    <w:name w:val="heading 2"/>
    <w:basedOn w:val="1"/>
    <w:next w:val="1"/>
    <w:link w:val="26"/>
    <w:autoRedefine/>
    <w:unhideWhenUsed/>
    <w:qFormat/>
    <w:uiPriority w:val="9"/>
    <w:pPr>
      <w:keepNext/>
      <w:keepLines/>
      <w:spacing w:beforeLines="0" w:afterLines="0" w:line="500" w:lineRule="exact"/>
      <w:ind w:firstLine="480" w:firstLineChars="200"/>
      <w:outlineLvl w:val="1"/>
    </w:pPr>
    <w:rPr>
      <w:rFonts w:ascii="方正黑体_GBK" w:hAnsi="方正黑体_GBK" w:eastAsia="方正黑体_GBK" w:cs="方正黑体_GBK"/>
      <w:sz w:val="24"/>
      <w:szCs w:val="24"/>
      <w:highlight w:val="none"/>
    </w:rPr>
  </w:style>
  <w:style w:type="paragraph" w:styleId="4">
    <w:name w:val="heading 3"/>
    <w:basedOn w:val="1"/>
    <w:next w:val="1"/>
    <w:link w:val="27"/>
    <w:autoRedefine/>
    <w:unhideWhenUsed/>
    <w:qFormat/>
    <w:uiPriority w:val="9"/>
    <w:pPr>
      <w:keepNext/>
      <w:keepLines/>
      <w:spacing w:before="50" w:beforeLines="50" w:after="50" w:afterLines="50" w:line="400" w:lineRule="exact"/>
      <w:ind w:firstLine="200" w:firstLineChars="200"/>
      <w:outlineLvl w:val="2"/>
    </w:pPr>
    <w:rPr>
      <w:rFonts w:ascii="黑体" w:hAnsi="黑体" w:eastAsia="黑体"/>
      <w:b/>
      <w:bCs/>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autoRedefine/>
    <w:unhideWhenUsed/>
    <w:qFormat/>
    <w:uiPriority w:val="99"/>
    <w:pPr>
      <w:jc w:val="left"/>
    </w:pPr>
  </w:style>
  <w:style w:type="paragraph" w:styleId="6">
    <w:name w:val="Body Text"/>
    <w:basedOn w:val="1"/>
    <w:semiHidden/>
    <w:qFormat/>
    <w:uiPriority w:val="0"/>
    <w:rPr>
      <w:rFonts w:ascii="微软雅黑" w:hAnsi="微软雅黑" w:eastAsia="微软雅黑" w:cs="微软雅黑"/>
      <w:sz w:val="20"/>
      <w:szCs w:val="20"/>
      <w:lang w:val="en-US" w:eastAsia="en-US" w:bidi="ar-SA"/>
    </w:rPr>
  </w:style>
  <w:style w:type="paragraph" w:styleId="7">
    <w:name w:val="toc 3"/>
    <w:basedOn w:val="1"/>
    <w:next w:val="1"/>
    <w:autoRedefine/>
    <w:unhideWhenUsed/>
    <w:qFormat/>
    <w:uiPriority w:val="39"/>
    <w:pPr>
      <w:widowControl/>
      <w:tabs>
        <w:tab w:val="right" w:leader="dot" w:pos="9344"/>
      </w:tabs>
      <w:spacing w:after="100" w:line="259" w:lineRule="auto"/>
      <w:ind w:left="440"/>
      <w:jc w:val="left"/>
    </w:pPr>
    <w:rPr>
      <w:rFonts w:ascii="黑体" w:hAnsi="黑体" w:eastAsia="黑体" w:cs="Times New Roman"/>
      <w:kern w:val="0"/>
      <w:sz w:val="28"/>
      <w:szCs w:val="28"/>
    </w:rPr>
  </w:style>
  <w:style w:type="paragraph" w:styleId="8">
    <w:name w:val="Balloon Text"/>
    <w:basedOn w:val="1"/>
    <w:link w:val="24"/>
    <w:autoRedefine/>
    <w:semiHidden/>
    <w:unhideWhenUsed/>
    <w:qFormat/>
    <w:uiPriority w:val="99"/>
    <w:rPr>
      <w:sz w:val="18"/>
      <w:szCs w:val="18"/>
    </w:rPr>
  </w:style>
  <w:style w:type="paragraph" w:styleId="9">
    <w:name w:val="footer"/>
    <w:basedOn w:val="1"/>
    <w:link w:val="29"/>
    <w:autoRedefine/>
    <w:unhideWhenUsed/>
    <w:qFormat/>
    <w:uiPriority w:val="99"/>
    <w:pPr>
      <w:tabs>
        <w:tab w:val="center" w:pos="4153"/>
        <w:tab w:val="right" w:pos="8306"/>
      </w:tabs>
      <w:snapToGrid w:val="0"/>
      <w:jc w:val="left"/>
    </w:pPr>
    <w:rPr>
      <w:sz w:val="18"/>
      <w:szCs w:val="18"/>
    </w:rPr>
  </w:style>
  <w:style w:type="paragraph" w:styleId="10">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tabs>
        <w:tab w:val="right" w:leader="dot" w:pos="9344"/>
      </w:tabs>
      <w:spacing w:after="100" w:line="259" w:lineRule="auto"/>
      <w:jc w:val="left"/>
    </w:pPr>
    <w:rPr>
      <w:rFonts w:ascii="黑体" w:hAnsi="黑体" w:eastAsia="黑体" w:cs="Times New Roman"/>
      <w:b/>
      <w:sz w:val="32"/>
      <w:szCs w:val="30"/>
    </w:rPr>
  </w:style>
  <w:style w:type="paragraph" w:styleId="12">
    <w:name w:val="footnote text"/>
    <w:basedOn w:val="1"/>
    <w:link w:val="23"/>
    <w:autoRedefine/>
    <w:unhideWhenUsed/>
    <w:qFormat/>
    <w:uiPriority w:val="99"/>
    <w:pPr>
      <w:snapToGrid w:val="0"/>
      <w:jc w:val="left"/>
    </w:pPr>
    <w:rPr>
      <w:rFonts w:ascii="仿宋" w:hAnsi="仿宋" w:eastAsia="仿宋" w:cs="仿宋"/>
      <w:color w:val="auto"/>
      <w:szCs w:val="18"/>
      <w:highlight w:val="none"/>
    </w:rPr>
  </w:style>
  <w:style w:type="paragraph" w:styleId="13">
    <w:name w:val="toc 2"/>
    <w:basedOn w:val="1"/>
    <w:next w:val="1"/>
    <w:autoRedefine/>
    <w:unhideWhenUsed/>
    <w:qFormat/>
    <w:uiPriority w:val="39"/>
    <w:pPr>
      <w:widowControl/>
      <w:tabs>
        <w:tab w:val="right" w:leader="dot" w:pos="9344"/>
      </w:tabs>
      <w:spacing w:after="100" w:line="259" w:lineRule="auto"/>
      <w:ind w:left="220"/>
      <w:jc w:val="left"/>
    </w:pPr>
    <w:rPr>
      <w:rFonts w:ascii="黑体" w:hAnsi="黑体" w:eastAsia="黑体" w:cs="Times New Roman"/>
      <w:kern w:val="0"/>
      <w:sz w:val="30"/>
      <w:szCs w:val="30"/>
    </w:rPr>
  </w:style>
  <w:style w:type="paragraph" w:styleId="14">
    <w:name w:val="annotation subject"/>
    <w:basedOn w:val="5"/>
    <w:next w:val="5"/>
    <w:link w:val="31"/>
    <w:autoRedefine/>
    <w:semiHidden/>
    <w:unhideWhenUsed/>
    <w:qFormat/>
    <w:uiPriority w:val="99"/>
    <w:rPr>
      <w:b/>
      <w:bCs/>
    </w:r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7"/>
    <w:autoRedefine/>
    <w:semiHidden/>
    <w:unhideWhenUsed/>
    <w:qFormat/>
    <w:uiPriority w:val="99"/>
    <w:rPr>
      <w:sz w:val="21"/>
      <w:szCs w:val="21"/>
    </w:rPr>
  </w:style>
  <w:style w:type="character" w:styleId="21">
    <w:name w:val="footnote reference"/>
    <w:basedOn w:val="17"/>
    <w:autoRedefine/>
    <w:semiHidden/>
    <w:unhideWhenUsed/>
    <w:qFormat/>
    <w:uiPriority w:val="99"/>
    <w:rPr>
      <w:vertAlign w:val="superscript"/>
    </w:rPr>
  </w:style>
  <w:style w:type="character" w:customStyle="1" w:styleId="22">
    <w:name w:val="批注文字 字符"/>
    <w:basedOn w:val="17"/>
    <w:link w:val="5"/>
    <w:autoRedefine/>
    <w:qFormat/>
    <w:uiPriority w:val="99"/>
  </w:style>
  <w:style w:type="character" w:customStyle="1" w:styleId="23">
    <w:name w:val="脚注文本 字符"/>
    <w:link w:val="12"/>
    <w:autoRedefine/>
    <w:semiHidden/>
    <w:qFormat/>
    <w:uiPriority w:val="99"/>
    <w:rPr>
      <w:rFonts w:ascii="仿宋" w:hAnsi="仿宋" w:eastAsia="仿宋" w:cs="仿宋"/>
      <w:color w:val="auto"/>
      <w:kern w:val="2"/>
      <w:sz w:val="21"/>
      <w:szCs w:val="18"/>
      <w:highlight w:val="none"/>
      <w:u w:val="none"/>
      <w:lang w:val="en-US" w:eastAsia="zh-CN" w:bidi="ar-SA"/>
    </w:rPr>
  </w:style>
  <w:style w:type="character" w:customStyle="1" w:styleId="24">
    <w:name w:val="批注框文本 字符"/>
    <w:basedOn w:val="17"/>
    <w:link w:val="8"/>
    <w:autoRedefine/>
    <w:semiHidden/>
    <w:qFormat/>
    <w:uiPriority w:val="99"/>
    <w:rPr>
      <w:sz w:val="18"/>
      <w:szCs w:val="18"/>
    </w:rPr>
  </w:style>
  <w:style w:type="character" w:customStyle="1" w:styleId="25">
    <w:name w:val="标题 1 字符"/>
    <w:link w:val="2"/>
    <w:autoRedefine/>
    <w:qFormat/>
    <w:uiPriority w:val="9"/>
    <w:rPr>
      <w:rFonts w:ascii="方正书宋_GBK" w:hAnsi="方正书宋_GBK" w:eastAsia="方正书宋_GBK" w:cs="方正书宋_GBK"/>
      <w:kern w:val="44"/>
      <w:sz w:val="32"/>
      <w:szCs w:val="32"/>
      <w:highlight w:val="none"/>
      <w:lang w:val="en-US" w:eastAsia="zh-CN" w:bidi="ar-SA"/>
    </w:rPr>
  </w:style>
  <w:style w:type="character" w:customStyle="1" w:styleId="26">
    <w:name w:val="标题 2 字符"/>
    <w:link w:val="3"/>
    <w:autoRedefine/>
    <w:qFormat/>
    <w:uiPriority w:val="9"/>
    <w:rPr>
      <w:rFonts w:ascii="方正黑体_GBK" w:hAnsi="方正黑体_GBK" w:eastAsia="方正黑体_GBK" w:cs="方正黑体_GBK"/>
      <w:kern w:val="2"/>
      <w:sz w:val="24"/>
      <w:szCs w:val="24"/>
      <w:highlight w:val="none"/>
      <w:lang w:val="en-US" w:eastAsia="zh-CN" w:bidi="ar-SA"/>
    </w:rPr>
  </w:style>
  <w:style w:type="character" w:customStyle="1" w:styleId="27">
    <w:name w:val="标题 3 字符"/>
    <w:basedOn w:val="17"/>
    <w:link w:val="4"/>
    <w:autoRedefine/>
    <w:qFormat/>
    <w:uiPriority w:val="9"/>
    <w:rPr>
      <w:rFonts w:ascii="黑体" w:hAnsi="黑体" w:eastAsia="黑体"/>
      <w:b/>
      <w:bCs/>
      <w:sz w:val="28"/>
      <w:szCs w:val="32"/>
    </w:rPr>
  </w:style>
  <w:style w:type="paragraph" w:customStyle="1" w:styleId="28">
    <w:name w:val="TOC 标题1"/>
    <w:basedOn w:val="2"/>
    <w:next w:val="1"/>
    <w:autoRedefine/>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F5597" w:themeColor="accent1" w:themeShade="BF"/>
      <w:kern w:val="0"/>
      <w:szCs w:val="32"/>
    </w:rPr>
  </w:style>
  <w:style w:type="character" w:customStyle="1" w:styleId="29">
    <w:name w:val="页脚 字符"/>
    <w:basedOn w:val="17"/>
    <w:link w:val="9"/>
    <w:autoRedefine/>
    <w:qFormat/>
    <w:uiPriority w:val="99"/>
    <w:rPr>
      <w:sz w:val="18"/>
      <w:szCs w:val="18"/>
    </w:rPr>
  </w:style>
  <w:style w:type="character" w:customStyle="1" w:styleId="30">
    <w:name w:val="页眉 字符"/>
    <w:basedOn w:val="17"/>
    <w:link w:val="10"/>
    <w:autoRedefine/>
    <w:qFormat/>
    <w:uiPriority w:val="99"/>
    <w:rPr>
      <w:sz w:val="18"/>
      <w:szCs w:val="18"/>
    </w:rPr>
  </w:style>
  <w:style w:type="character" w:customStyle="1" w:styleId="31">
    <w:name w:val="批注主题 字符"/>
    <w:basedOn w:val="22"/>
    <w:link w:val="14"/>
    <w:autoRedefine/>
    <w:semiHidden/>
    <w:qFormat/>
    <w:uiPriority w:val="99"/>
    <w:rPr>
      <w:b/>
      <w:bCs/>
    </w:rPr>
  </w:style>
  <w:style w:type="paragraph" w:customStyle="1" w:styleId="32">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3">
    <w:name w:val="未处理的提及1"/>
    <w:basedOn w:val="17"/>
    <w:autoRedefine/>
    <w:semiHidden/>
    <w:unhideWhenUsed/>
    <w:qFormat/>
    <w:uiPriority w:val="99"/>
    <w:rPr>
      <w:color w:val="605E5C"/>
      <w:shd w:val="clear" w:color="auto" w:fill="E1DFDD"/>
    </w:rPr>
  </w:style>
  <w:style w:type="paragraph" w:styleId="3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3B0E6-CFFA-4189-9C9C-E9AF6CB35137}">
  <ds:schemaRefs/>
</ds:datastoreItem>
</file>

<file path=docProps/app.xml><?xml version="1.0" encoding="utf-8"?>
<Properties xmlns="http://schemas.openxmlformats.org/officeDocument/2006/extended-properties" xmlns:vt="http://schemas.openxmlformats.org/officeDocument/2006/docPropsVTypes">
  <Template>Normal</Template>
  <Pages>19</Pages>
  <Words>12867</Words>
  <Characters>14057</Characters>
  <Lines>109</Lines>
  <Paragraphs>30</Paragraphs>
  <TotalTime>17</TotalTime>
  <ScaleCrop>false</ScaleCrop>
  <LinksUpToDate>false</LinksUpToDate>
  <CharactersWithSpaces>14501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2023-06-17T16:03:00Z</dcterms:created>
  <dc:creator>张蕊</dc:creator>
  <cp:lastModifiedBy>花生夫人</cp:lastModifiedBy>
  <cp:lastPrinted>2023-05-26T02:37:00Z</cp:lastPrinted>
  <dcterms:modified xsi:type="dcterms:W3CDTF">2026-05-07T10:26:34Z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0BAC5B62155045CFA4693B29285047CE_13</vt:lpwstr>
  </property>
  <property fmtid="{D5CDD505-2E9C-101B-9397-08002B2CF9AE}" pid="4" name="KSOTemplateDocerSaveRecord">
    <vt:lpwstr>eyJoZGlkIjoiNjY5ZDdiYjQ4ZDI0ZjZiOWNmMzM2YWU0ZWQ3YWRkZmUiLCJ1c2VySWQiOiI4MjYyMzI5OTQifQ==</vt:lpwstr>
  </property>
</Properties>
</file>