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ascii="宋体" w:hAnsi="宋体" w:eastAsia="宋体"/>
          <w:b/>
          <w:color w:val="000000" w:themeColor="text1"/>
          <w:sz w:val="32"/>
          <w:szCs w:val="32"/>
        </w:rPr>
      </w:pPr>
      <w:bookmarkStart w:id="0" w:name="_Hlk46740276"/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探索</w:t>
      </w:r>
      <w:r>
        <w:rPr>
          <w:rFonts w:ascii="宋体" w:hAnsi="宋体" w:eastAsia="宋体"/>
          <w:b/>
          <w:color w:val="000000" w:themeColor="text1"/>
          <w:sz w:val="32"/>
          <w:szCs w:val="32"/>
        </w:rPr>
        <w:t>……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的应用</w:t>
      </w:r>
      <w:bookmarkEnd w:id="0"/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highlight w:val="yellow"/>
        </w:rPr>
        <w:t>(宋三号)</w:t>
      </w:r>
    </w:p>
    <w:p>
      <w:pPr>
        <w:spacing w:line="400" w:lineRule="exact"/>
        <w:jc w:val="center"/>
        <w:outlineLvl w:val="0"/>
        <w:rPr>
          <w:rFonts w:hint="eastAsia" w:ascii="Times New Roman" w:hAnsi="Times New Roman" w:eastAsia="宋体"/>
          <w:bCs/>
          <w:color w:val="000000" w:themeColor="text1"/>
          <w:kern w:val="28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作者姓名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××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××</w:t>
      </w:r>
      <w:r>
        <w:rPr>
          <w:rFonts w:hint="eastAsia" w:ascii="宋体" w:hAnsi="宋体" w:eastAsia="宋体" w:cs="黑体"/>
          <w:color w:val="1F497D" w:themeColor="text2"/>
          <w:kern w:val="2"/>
          <w:sz w:val="24"/>
          <w:szCs w:val="24"/>
          <w:highlight w:val="yellow"/>
          <w:lang w:val="en-US" w:eastAsia="zh-CN" w:bidi="ar-SA"/>
        </w:rPr>
        <w:t>（最多三位）</w:t>
      </w:r>
    </w:p>
    <w:p>
      <w:pPr>
        <w:spacing w:line="400" w:lineRule="exact"/>
        <w:jc w:val="center"/>
        <w:outlineLvl w:val="0"/>
        <w:rPr>
          <w:rFonts w:ascii="Times New Roman" w:hAnsi="Times New Roman" w:eastAsia="宋体"/>
          <w:bCs/>
          <w:color w:val="000000" w:themeColor="text1"/>
          <w:kern w:val="28"/>
          <w:szCs w:val="21"/>
        </w:rPr>
      </w:pP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（××大学，黑龙江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哈尔滨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  <w:lang w:val="en-US" w:eastAsia="zh-CN"/>
        </w:rPr>
        <w:t xml:space="preserve"> </w:t>
      </w:r>
      <w:r>
        <w:rPr>
          <w:rFonts w:ascii="Times New Roman" w:hAnsi="Times New Roman" w:eastAsia="宋体"/>
          <w:bCs/>
          <w:color w:val="000000" w:themeColor="text1"/>
          <w:kern w:val="28"/>
          <w:szCs w:val="21"/>
        </w:rPr>
        <w:t>211106</w:t>
      </w:r>
      <w:r>
        <w:rPr>
          <w:rFonts w:hint="eastAsia" w:ascii="Times New Roman" w:hAnsi="Times New Roman" w:eastAsia="宋体"/>
          <w:bCs/>
          <w:color w:val="000000" w:themeColor="text1"/>
          <w:kern w:val="28"/>
          <w:szCs w:val="21"/>
        </w:rPr>
        <w:t>）</w:t>
      </w:r>
    </w:p>
    <w:p>
      <w:pPr>
        <w:spacing w:line="400" w:lineRule="exact"/>
        <w:rPr>
          <w:rFonts w:ascii="Times New Roman" w:hAnsi="Times New Roman" w:eastAsia="宋体"/>
          <w:color w:val="000000" w:themeColor="text1"/>
          <w:kern w:val="2"/>
          <w:szCs w:val="21"/>
        </w:rPr>
      </w:pPr>
      <w:bookmarkStart w:id="1" w:name="_Hlk46849843"/>
      <w:r>
        <w:rPr>
          <w:rFonts w:hint="eastAsia" w:ascii="宋体" w:hAnsi="宋体" w:eastAsia="宋体"/>
          <w:b/>
          <w:color w:val="000000" w:themeColor="text1"/>
          <w:szCs w:val="21"/>
        </w:rPr>
        <w:t>摘  要</w:t>
      </w:r>
      <w:bookmarkEnd w:id="1"/>
      <w:r>
        <w:rPr>
          <w:rFonts w:hint="eastAsia" w:ascii="宋体" w:hAnsi="宋体" w:eastAsia="宋体"/>
          <w:b/>
          <w:color w:val="000000" w:themeColor="text1"/>
          <w:szCs w:val="21"/>
        </w:rPr>
        <w:t>：</w:t>
      </w:r>
      <w:r>
        <w:rPr>
          <w:rFonts w:hint="eastAsia" w:ascii="Times New Roman" w:hAnsi="Times New Roman" w:eastAsia="宋体"/>
          <w:color w:val="000000" w:themeColor="text1"/>
          <w:szCs w:val="21"/>
        </w:rPr>
        <w:t>为了调动学生学习的积极性，提高教学质量，</w:t>
      </w:r>
      <w:r>
        <w:rPr>
          <w:rFonts w:hint="eastAsia" w:ascii="Times New Roman" w:hAnsi="Times New Roman" w:eastAsia="宋体"/>
          <w:color w:val="4F81BD" w:themeColor="accent1"/>
          <w:szCs w:val="21"/>
        </w:rPr>
        <w:t>文章</w:t>
      </w:r>
      <w:r>
        <w:rPr>
          <w:rFonts w:hint="eastAsia" w:ascii="Times New Roman" w:hAnsi="Times New Roman" w:eastAsia="宋体"/>
          <w:color w:val="000000" w:themeColor="text1"/>
          <w:szCs w:val="21"/>
        </w:rPr>
        <w:t>尝试在社会保障课程讲授过程中引入</w:t>
      </w:r>
      <w:bookmarkStart w:id="2" w:name="_Hlk46851114"/>
      <w:r>
        <w:rPr>
          <w:rFonts w:ascii="Times New Roman" w:hAnsi="Times New Roman" w:eastAsia="宋体"/>
          <w:color w:val="000000" w:themeColor="text1"/>
          <w:szCs w:val="21"/>
        </w:rPr>
        <w:t>BOPPPS</w:t>
      </w:r>
      <w:r>
        <w:rPr>
          <w:rFonts w:hint="eastAsia" w:ascii="Times New Roman" w:hAnsi="Times New Roman" w:eastAsia="宋体"/>
          <w:color w:val="000000" w:themeColor="text1"/>
          <w:szCs w:val="21"/>
        </w:rPr>
        <w:t>有效教学模式</w:t>
      </w:r>
      <w:bookmarkEnd w:id="2"/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（摘要须以第三人称对文章内容进行概述，避免使用“本文”“我”“笔者”等主语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eastAsia="zh-CN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）</w:t>
      </w:r>
    </w:p>
    <w:p>
      <w:pPr>
        <w:spacing w:after="100" w:afterAutospacing="1" w:line="400" w:lineRule="exact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关键词：</w:t>
      </w:r>
      <w:r>
        <w:rPr>
          <w:rFonts w:ascii="Times New Roman" w:hAnsi="Times New Roman" w:eastAsia="仿宋"/>
          <w:color w:val="000000" w:themeColor="text1"/>
          <w:szCs w:val="21"/>
        </w:rPr>
        <w:t>BOPPPS</w:t>
      </w:r>
      <w:r>
        <w:rPr>
          <w:rFonts w:hint="eastAsia" w:ascii="Times New Roman" w:hAnsi="Times New Roman" w:eastAsia="宋体"/>
          <w:color w:val="000000" w:themeColor="text1"/>
          <w:szCs w:val="21"/>
        </w:rPr>
        <w:t>模式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社会保障概论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应用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eastAsia="zh-CN"/>
        </w:rPr>
        <w:t>；</w:t>
      </w:r>
      <w:r>
        <w:rPr>
          <w:rFonts w:hint="eastAsia" w:ascii="Times New Roman" w:hAnsi="Times New Roman" w:eastAsia="宋体"/>
          <w:color w:val="000000" w:themeColor="text1"/>
          <w:szCs w:val="21"/>
        </w:rPr>
        <w:t>教学质量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（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  <w:lang w:val="en-US" w:eastAsia="zh-CN"/>
        </w:rPr>
        <w:t>4~5个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）</w:t>
      </w:r>
    </w:p>
    <w:p>
      <w:pPr>
        <w:spacing w:after="100" w:afterAutospacing="1" w:line="400" w:lineRule="exact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b/>
          <w:color w:val="000000" w:themeColor="text1"/>
          <w:szCs w:val="21"/>
        </w:rPr>
        <w:t>收稿日期：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>由编辑填写</w:t>
      </w:r>
    </w:p>
    <w:p>
      <w:pPr>
        <w:spacing w:after="100" w:afterAutospacing="1" w:line="400" w:lineRule="exact"/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</w:pPr>
      <w:r>
        <w:rPr>
          <w:rFonts w:hint="eastAsia" w:ascii="Times New Roman" w:hAnsi="Times New Roman" w:eastAsia="宋体"/>
          <w:b/>
          <w:color w:val="000000" w:themeColor="text1"/>
          <w:szCs w:val="21"/>
        </w:rPr>
        <w:t>中图分类号：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b/>
          <w:color w:val="000000" w:themeColor="text1"/>
          <w:szCs w:val="21"/>
        </w:rPr>
        <w:t xml:space="preserve">   文献标识码：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b/>
          <w:color w:val="000000" w:themeColor="text1"/>
          <w:szCs w:val="21"/>
        </w:rPr>
        <w:t xml:space="preserve">  文章编号</w:t>
      </w:r>
      <w: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</w:rPr>
        <w:t>：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 xml:space="preserve"> 由编辑填写</w:t>
      </w:r>
    </w:p>
    <w:p>
      <w:pPr>
        <w:pStyle w:val="5"/>
        <w:spacing w:line="360" w:lineRule="auto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b/>
          <w:sz w:val="24"/>
          <w:szCs w:val="24"/>
        </w:rPr>
        <w:t>作者简介：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姓名，工作单位及部门，职务、职称、学历</w:t>
      </w:r>
      <w:r>
        <w:rPr>
          <w:rFonts w:hint="eastAsia" w:ascii="宋体" w:hAnsi="宋体" w:eastAsia="宋体" w:cs="黑体"/>
          <w:sz w:val="24"/>
          <w:szCs w:val="24"/>
          <w:highlight w:val="yellow"/>
        </w:rPr>
        <w:t>(</w:t>
      </w:r>
      <w:r>
        <w:rPr>
          <w:rFonts w:hint="eastAsia" w:ascii="宋体" w:hAnsi="宋体" w:eastAsia="宋体" w:cs="黑体"/>
          <w:sz w:val="24"/>
          <w:szCs w:val="24"/>
          <w:highlight w:val="yellow"/>
          <w:lang w:eastAsia="zh-CN"/>
        </w:rPr>
        <w:t>所有</w:t>
      </w:r>
      <w:r>
        <w:rPr>
          <w:rFonts w:hint="eastAsia" w:ascii="宋体" w:hAnsi="宋体" w:eastAsia="宋体" w:cs="黑体"/>
          <w:sz w:val="24"/>
          <w:szCs w:val="24"/>
          <w:highlight w:val="yellow"/>
        </w:rPr>
        <w:t>作者)</w:t>
      </w:r>
    </w:p>
    <w:p>
      <w:pPr>
        <w:pStyle w:val="5"/>
        <w:spacing w:line="360" w:lineRule="auto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例：张一，哈尔滨工业大学理学院副教授，博士</w:t>
      </w:r>
    </w:p>
    <w:p>
      <w:pPr>
        <w:pStyle w:val="5"/>
        <w:spacing w:line="360" w:lineRule="auto"/>
        <w:ind w:firstLine="480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李二</w:t>
      </w:r>
      <w:r>
        <w:rPr>
          <w:rFonts w:hint="eastAsia" w:ascii="宋体" w:hAnsi="宋体" w:eastAsia="宋体" w:cs="黑体"/>
          <w:sz w:val="24"/>
          <w:szCs w:val="24"/>
        </w:rPr>
        <w:t>，哈尔滨工业大学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黑体"/>
          <w:sz w:val="24"/>
          <w:szCs w:val="24"/>
        </w:rPr>
        <w:t>学院副教授，博士</w:t>
      </w:r>
    </w:p>
    <w:p>
      <w:pPr>
        <w:pStyle w:val="5"/>
        <w:spacing w:line="360" w:lineRule="auto"/>
        <w:ind w:firstLine="480"/>
        <w:rPr>
          <w:rFonts w:hint="default" w:ascii="宋体" w:hAnsi="宋体" w:eastAsia="宋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王三，哈尔滨理工大学理学院教授，博士</w:t>
      </w:r>
    </w:p>
    <w:p>
      <w:pPr>
        <w:pStyle w:val="5"/>
        <w:spacing w:line="360" w:lineRule="auto"/>
        <w:rPr>
          <w:rFonts w:ascii="宋体" w:hAnsi="宋体" w:eastAsia="宋体" w:cs="黑体"/>
          <w:color w:val="1F497D" w:themeColor="text2"/>
          <w:sz w:val="24"/>
          <w:szCs w:val="24"/>
        </w:rPr>
      </w:pPr>
      <w:r>
        <w:rPr>
          <w:rFonts w:hint="eastAsia" w:ascii="宋体" w:hAnsi="宋体" w:eastAsia="宋体" w:cs="黑体"/>
          <w:b/>
          <w:sz w:val="24"/>
          <w:szCs w:val="24"/>
        </w:rPr>
        <w:t>基金项目：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项目来源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项目名称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(项目编号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</w:rPr>
        <w:t>编号只写数字即可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  <w:lang w:eastAsia="zh-CN"/>
        </w:rPr>
        <w:t>；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</w:rPr>
        <w:t>若无项目号需提供立项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  <w:highlight w:val="yellow"/>
          <w:lang w:eastAsia="zh-CN"/>
        </w:rPr>
        <w:t>年份</w:t>
      </w:r>
      <w:r>
        <w:rPr>
          <w:rFonts w:hint="eastAsia" w:ascii="宋体" w:hAnsi="宋体" w:eastAsia="宋体" w:cs="黑体"/>
          <w:color w:val="1F497D" w:themeColor="text2"/>
          <w:sz w:val="24"/>
          <w:szCs w:val="24"/>
        </w:rPr>
        <w:t>)</w:t>
      </w:r>
    </w:p>
    <w:p>
      <w:pPr>
        <w:spacing w:after="100" w:afterAutospacing="1" w:line="400" w:lineRule="exact"/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</w:pPr>
      <w:bookmarkStart w:id="4" w:name="_GoBack"/>
      <w:bookmarkEnd w:id="4"/>
    </w:p>
    <w:p>
      <w:pPr>
        <w:spacing w:after="100" w:afterAutospacing="1" w:line="400" w:lineRule="exact"/>
        <w:ind w:firstLine="422" w:firstLineChars="200"/>
        <w:outlineLvl w:val="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一、引言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:highlight w:val="yellow"/>
        </w:rPr>
        <w:t>(一级标题宋 五号加粗)</w:t>
      </w:r>
    </w:p>
    <w:p>
      <w:pPr>
        <w:spacing w:line="400" w:lineRule="exact"/>
        <w:ind w:firstLine="440" w:firstLineChars="20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="Times New Roman" w:hAnsi="Times New Roman" w:eastAsia="宋体"/>
          <w:color w:val="FF0000"/>
          <w:szCs w:val="21"/>
          <w:vertAlign w:val="superscript"/>
        </w:rPr>
        <w:t>[1]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，</w:t>
      </w:r>
      <w:r>
        <w:rPr>
          <w:rFonts w:hint="eastAsia" w:ascii="Times New Roman" w:hAnsi="Times New Roman" w:eastAsia="宋体"/>
          <w:color w:val="1F497D" w:themeColor="text2"/>
          <w:szCs w:val="21"/>
          <w:highlight w:val="yellow"/>
        </w:rPr>
        <w:t>（参考文献需以红色上角标形式在文中标出）</w:t>
      </w:r>
      <w:r>
        <w:rPr>
          <w:rFonts w:hint="eastAsia" w:ascii="Times New Roman" w:hAnsi="Times New Roman" w:eastAsia="宋体"/>
          <w:color w:val="000000" w:themeColor="text1"/>
          <w:szCs w:val="21"/>
        </w:rPr>
        <w:t>部分学生不具备网络学习的环境和条件。传统教学模式中，教师通常扮演主角，很容易忽视了学生的主体性，整体教学质量并不理想</w:t>
      </w:r>
      <w:r>
        <w:rPr>
          <w:rFonts w:ascii="Times New Roman" w:hAnsi="Times New Roman" w:eastAsia="宋体"/>
          <w:color w:val="FF0000"/>
          <w:szCs w:val="21"/>
          <w:vertAlign w:val="superscript"/>
        </w:rPr>
        <w:t>[2]</w:t>
      </w:r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  <w:r>
        <w:rPr>
          <w:rFonts w:hint="eastAsia" w:ascii="Times New Roman" w:hAnsi="Times New Roman" w:eastAsia="宋体"/>
          <w:color w:val="000000" w:themeColor="text1"/>
          <w:szCs w:val="21"/>
          <w:highlight w:val="yellow"/>
        </w:rPr>
        <w:t>(正文宋五号)</w:t>
      </w:r>
    </w:p>
    <w:p>
      <w:pPr>
        <w:spacing w:after="100" w:afterAutospacing="1" w:line="400" w:lineRule="exact"/>
        <w:ind w:firstLine="422" w:firstLineChars="200"/>
        <w:outlineLvl w:val="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二、</w:t>
      </w:r>
      <w:r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  <w:t>BOPPPS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教学模式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1F497D" w:themeColor="text2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，部分学生不具备网络学习的环境和条件。传统教学模式中，教师通常扮演主角，很容易忽视了学生的主体性，整体教学质量并不理想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4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spacing w:after="100" w:afterAutospacing="1" w:line="400" w:lineRule="exact"/>
        <w:ind w:firstLine="422" w:firstLineChars="200"/>
        <w:outlineLvl w:val="1"/>
        <w:rPr>
          <w:rFonts w:ascii="楷体_GB2312" w:hAnsi="Times New Roman" w:eastAsia="楷体_GB2312"/>
          <w:b/>
          <w:bCs w:val="0"/>
          <w:color w:val="000000" w:themeColor="text1"/>
          <w:sz w:val="21"/>
          <w:szCs w:val="21"/>
        </w:rPr>
      </w:pPr>
      <w:r>
        <w:rPr>
          <w:rFonts w:hint="eastAsia" w:ascii="楷体_GB2312" w:eastAsia="楷体_GB2312" w:hAnsiTheme="minorEastAsia"/>
          <w:b/>
          <w:bCs w:val="0"/>
          <w:sz w:val="21"/>
          <w:szCs w:val="21"/>
        </w:rPr>
        <w:t>（一）</w:t>
      </w:r>
      <w:r>
        <w:rPr>
          <w:rFonts w:hint="eastAsia" w:ascii="楷体_GB2312" w:eastAsia="楷体_GB2312" w:hAnsiTheme="minorEastAsia"/>
          <w:b/>
          <w:bCs w:val="0"/>
          <w:color w:val="000000" w:themeColor="text1"/>
          <w:sz w:val="21"/>
          <w:szCs w:val="21"/>
        </w:rPr>
        <w:t>教学模式的内涵</w:t>
      </w:r>
      <w:r>
        <w:rPr>
          <w:rFonts w:hint="eastAsia" w:ascii="楷体_GB2312" w:hAnsi="Times New Roman" w:eastAsia="楷体_GB2312"/>
          <w:b/>
          <w:bCs w:val="0"/>
          <w:color w:val="000000" w:themeColor="text1"/>
          <w:sz w:val="21"/>
          <w:szCs w:val="21"/>
        </w:rPr>
        <w:t xml:space="preserve">…… </w:t>
      </w:r>
      <w:r>
        <w:rPr>
          <w:rFonts w:hint="eastAsia" w:ascii="楷体_GB2312" w:hAnsi="Times New Roman" w:eastAsia="楷体_GB2312"/>
          <w:b/>
          <w:bCs w:val="0"/>
          <w:color w:val="000000" w:themeColor="text1"/>
          <w:sz w:val="21"/>
          <w:szCs w:val="21"/>
          <w:highlight w:val="yellow"/>
        </w:rPr>
        <w:t>二级标题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1F497D" w:themeColor="text2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新冠肺炎疫情背景下，学校积极贯彻“延期开学，停课不停学”的工作方针，传统的以教师为中心的教学模式在在线授课过程中受到了挑战。不少教师在思想认知、教学资源储备、教学手段与方法等方面略显不足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5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，部分学生不具备网络学习的环境和条件。传统教学模式中，教师通常扮演主角，很容易忽视了学生的主体性，整体教学质量并不理想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[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vertAlign w:val="superscript"/>
        </w:rPr>
        <w:t>6</w:t>
      </w:r>
      <w:r>
        <w:rPr>
          <w:rFonts w:asciiTheme="minorEastAsia" w:hAnsiTheme="minorEastAsia" w:eastAsiaTheme="minorEastAsia"/>
          <w:color w:val="FF0000"/>
          <w:sz w:val="21"/>
          <w:szCs w:val="21"/>
          <w:vertAlign w:val="superscript"/>
        </w:rPr>
        <w:t>]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</w:t>
      </w:r>
    </w:p>
    <w:p>
      <w:pPr>
        <w:spacing w:line="400" w:lineRule="exact"/>
        <w:ind w:firstLine="420" w:firstLineChars="200"/>
        <w:outlineLvl w:val="2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教学模式的内涵。</w:t>
      </w: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:highlight w:val="yellow"/>
        </w:rPr>
        <w:t>三级标题</w:t>
      </w:r>
    </w:p>
    <w:p>
      <w:pPr>
        <w:spacing w:line="400" w:lineRule="exact"/>
        <w:ind w:firstLine="525" w:firstLineChars="250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新型冠状病毒肺炎(</w:t>
      </w:r>
      <w:r>
        <w:rPr>
          <w:rFonts w:hint="eastAsia" w:ascii="楷体_GB2312" w:eastAsia="楷体_GB2312" w:hAnsiTheme="minorEastAsia"/>
          <w:color w:val="000000" w:themeColor="text1"/>
          <w:sz w:val="21"/>
          <w:szCs w:val="21"/>
        </w:rPr>
        <w:t>世界卫生组织命名为“2019冠状病毒病”，是指2019新型冠状病毒感染导致的肺炎。</w:t>
      </w:r>
      <w:r>
        <w:rPr>
          <w:rFonts w:ascii="楷体_GB2312" w:eastAsia="楷体_GB2312" w:hAnsiTheme="minorEastAsia"/>
          <w:color w:val="000000" w:themeColor="text1"/>
          <w:sz w:val="21"/>
          <w:szCs w:val="21"/>
        </w:rPr>
        <w:t>）</w:t>
      </w:r>
    </w:p>
    <w:p>
      <w:pPr>
        <w:spacing w:after="100" w:afterAutospacing="1" w:line="400" w:lineRule="exact"/>
        <w:ind w:firstLine="422" w:firstLineChars="200"/>
        <w:outlineLvl w:val="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三、</w:t>
      </w:r>
      <w:bookmarkStart w:id="3" w:name="_Hlk46934050"/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课程中的应用</w:t>
      </w:r>
      <w:bookmarkEnd w:id="3"/>
    </w:p>
    <w:p>
      <w:pPr>
        <w:spacing w:line="400" w:lineRule="exact"/>
        <w:ind w:firstLine="422" w:firstLineChars="200"/>
        <w:outlineLvl w:val="0"/>
        <w:rPr>
          <w:rFonts w:asciiTheme="minorEastAsia" w:hAnsiTheme="minorEastAsia" w:eastAsiaTheme="minorEastAsia"/>
          <w:b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</w:rPr>
        <w:t>四、结论</w:t>
      </w:r>
    </w:p>
    <w:p>
      <w:pPr>
        <w:spacing w:line="400" w:lineRule="exact"/>
        <w:rPr>
          <w:rFonts w:ascii="Times New Roman" w:hAnsi="Times New Roman" w:eastAsia="宋体"/>
          <w:color w:val="000000" w:themeColor="text1"/>
          <w:szCs w:val="21"/>
        </w:rPr>
      </w:pPr>
    </w:p>
    <w:p>
      <w:pPr>
        <w:spacing w:line="400" w:lineRule="exact"/>
        <w:ind w:firstLine="442" w:firstLineChars="200"/>
        <w:rPr>
          <w:rFonts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8"/>
        </w:rPr>
        <w:t>参考文献：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highlight w:val="yellow"/>
        </w:rPr>
        <w:t>标点为英文半角模式!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注释、参考文献一律采用尾注，均应在正文对应处标注相应序号。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参考文献避免过多过滥，近5年文献不低于30%。</w:t>
      </w:r>
      <w:r>
        <w:rPr>
          <w:rFonts w:hint="eastAsia" w:asciiTheme="minorEastAsia" w:hAnsiTheme="minorEastAsia" w:eastAsiaTheme="minorEastAsia"/>
        </w:rPr>
        <w:t>参考文献按《信息与文献 参考文献著录规则》（</w:t>
      </w:r>
      <w:r>
        <w:rPr>
          <w:rFonts w:hint="eastAsia" w:cs="Kaiti SC Regular" w:asciiTheme="minorEastAsia" w:hAnsiTheme="minorEastAsia" w:eastAsiaTheme="minorEastAsia"/>
        </w:rPr>
        <w:t>GB／T7714-2015</w:t>
      </w:r>
      <w:r>
        <w:rPr>
          <w:rFonts w:hint="eastAsia" w:asciiTheme="minorEastAsia" w:hAnsiTheme="minorEastAsia" w:eastAsiaTheme="minorEastAsia"/>
        </w:rPr>
        <w:t>）规定，采用顺序编码制著录，依照其在文中出现的先后顺序用阿拉伯数字加方括号标出。标点为半角模式。标注规范为：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</w:t>
      </w:r>
      <w:r>
        <w:rPr>
          <w:rFonts w:asciiTheme="minorEastAsia" w:hAnsiTheme="minorEastAsia" w:eastAsiaTheme="minorEastAsia"/>
          <w:b/>
          <w:bCs/>
        </w:rPr>
        <w:t>1）专著文章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</w:t>
      </w:r>
      <w:r>
        <w:rPr>
          <w:rFonts w:hint="eastAsia" w:asciiTheme="minorEastAsia" w:hAnsiTheme="minorEastAsia" w:eastAsiaTheme="minorEastAsia"/>
        </w:rPr>
        <w:t>:其他题名信息</w:t>
      </w:r>
      <w:r>
        <w:rPr>
          <w:rFonts w:asciiTheme="minorEastAsia" w:hAnsiTheme="minorEastAsia" w:eastAsiaTheme="minorEastAsia"/>
        </w:rPr>
        <w:t>[文献类型标识].</w:t>
      </w:r>
      <w:r>
        <w:rPr>
          <w:rFonts w:hint="eastAsia" w:asciiTheme="minorEastAsia" w:hAnsiTheme="minorEastAsia" w:eastAsiaTheme="minorEastAsia"/>
        </w:rPr>
        <w:t>其他责任者.版本项.</w:t>
      </w:r>
      <w:r>
        <w:rPr>
          <w:rFonts w:asciiTheme="minorEastAsia" w:hAnsiTheme="minorEastAsia" w:eastAsiaTheme="minorEastAsia"/>
        </w:rPr>
        <w:t>出版地:出版</w:t>
      </w:r>
      <w:r>
        <w:rPr>
          <w:rFonts w:hint="eastAsia" w:asciiTheme="minorEastAsia" w:hAnsiTheme="minorEastAsia" w:eastAsiaTheme="minorEastAsia"/>
        </w:rPr>
        <w:t>社</w:t>
      </w:r>
      <w:r>
        <w:rPr>
          <w:rFonts w:asciiTheme="minorEastAsia" w:hAnsiTheme="minorEastAsia" w:eastAsiaTheme="minorEastAsia"/>
        </w:rPr>
        <w:t>,出版年</w:t>
      </w:r>
      <w:r>
        <w:rPr>
          <w:rFonts w:hint="eastAsia" w:asciiTheme="minorEastAsia" w:hAnsiTheme="minorEastAsia" w:eastAsiaTheme="minorEastAsia"/>
        </w:rPr>
        <w:t>:</w:t>
      </w:r>
      <w:r>
        <w:rPr>
          <w:rFonts w:asciiTheme="minorEastAsia" w:hAnsiTheme="minorEastAsia" w:eastAsiaTheme="minorEastAsia"/>
        </w:rPr>
        <w:t>起止页码.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[1]朱熹.四书章句集注[M].上海:上海古籍出版社,2006:20-30.</w:t>
      </w:r>
      <w:r>
        <w:rPr>
          <w:rFonts w:hint="eastAsia" w:cs="Kaiti SC Regular" w:asciiTheme="minorEastAsia" w:hAnsiTheme="minorEastAsia" w:eastAsiaTheme="minorEastAsia"/>
          <w:lang w:eastAsia="zh-CN"/>
        </w:rPr>
        <w:t>（</w:t>
      </w:r>
      <w:r>
        <w:rPr>
          <w:rFonts w:hint="eastAsia" w:cs="Kaiti SC Regular" w:asciiTheme="minorEastAsia" w:hAnsiTheme="minorEastAsia" w:eastAsiaTheme="minorEastAsia"/>
          <w:highlight w:val="yellow"/>
        </w:rPr>
        <w:t>引用页码</w:t>
      </w:r>
      <w:r>
        <w:rPr>
          <w:rFonts w:hint="eastAsia" w:cs="Kaiti SC Regular" w:asciiTheme="minorEastAsia" w:hAnsiTheme="minorEastAsia" w:eastAsiaTheme="minorEastAsia"/>
          <w:lang w:eastAsia="zh-CN"/>
        </w:rPr>
        <w:t>）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[2]霍凯特.现代语言学教程[M].索振羽,叶蜚声,译.北京:北京大学出版社,19</w:t>
      </w:r>
      <w:r>
        <w:rPr>
          <w:rFonts w:hint="eastAsia" w:asciiTheme="minorEastAsia" w:hAnsiTheme="minorEastAsia" w:eastAsiaTheme="minorEastAsia"/>
        </w:rPr>
        <w:t>87:138.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（2）期刊文章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[序号]主要责任者.文献题名[文献类型标识].刊名,年(</w:t>
      </w:r>
      <w:r>
        <w:rPr>
          <w:rFonts w:hint="eastAsia" w:cs="楷体" w:asciiTheme="minorEastAsia" w:hAnsiTheme="minorEastAsia" w:eastAsiaTheme="minorEastAsia"/>
        </w:rPr>
        <w:t>期</w:t>
      </w:r>
      <w:r>
        <w:rPr>
          <w:rFonts w:asciiTheme="minorEastAsia" w:hAnsiTheme="minorEastAsia" w:eastAsiaTheme="minorEastAsia"/>
        </w:rPr>
        <w:t>).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[3]雷玲,宋婵媛.疫情期间高校在线教学质量满意度实证分析[J].黑龙江教育(高教研究与评估),2021(1).</w:t>
      </w:r>
      <w:r>
        <w:rPr>
          <w:rFonts w:hint="eastAsia" w:cs="Kaiti SC Regular" w:asciiTheme="minorEastAsia" w:hAnsiTheme="minorEastAsia" w:eastAsiaTheme="minorEastAsia"/>
          <w:highlight w:val="yellow"/>
        </w:rPr>
        <w:t>期刊不需要写页码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（3）报纸文章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[序号]主要责任者.文献题名[文献类型标识].报纸名,出版日期(</w:t>
      </w:r>
      <w:r>
        <w:rPr>
          <w:rFonts w:hint="eastAsia" w:cs="楷体" w:asciiTheme="minorEastAsia" w:hAnsiTheme="minorEastAsia" w:eastAsiaTheme="minorEastAsia"/>
        </w:rPr>
        <w:t>版次</w:t>
      </w:r>
      <w:r>
        <w:rPr>
          <w:rFonts w:asciiTheme="minorEastAsia" w:hAnsiTheme="minorEastAsia" w:eastAsiaTheme="minorEastAsia"/>
        </w:rPr>
        <w:t>).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[4]习近平.坚持以人民为中心的创作导向 创作更多无愧于时代的优秀作品[N].人民日报,2014-09-16(1).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（4）析出文献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[序号]析出文献主要责任者.析出文献题名[</w:t>
      </w:r>
      <w:r>
        <w:rPr>
          <w:rFonts w:hint="eastAsia" w:asciiTheme="minorEastAsia" w:hAnsiTheme="minorEastAsia" w:eastAsiaTheme="minorEastAsia"/>
        </w:rPr>
        <w:t>文献类型标识</w:t>
      </w:r>
      <w:r>
        <w:rPr>
          <w:rFonts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//</w:t>
      </w:r>
      <w:r>
        <w:rPr>
          <w:rFonts w:asciiTheme="minorEastAsia" w:hAnsiTheme="minorEastAsia" w:eastAsiaTheme="minorEastAsia"/>
        </w:rPr>
        <w:t>原文献主要责任者.原文献名</w:t>
      </w:r>
      <w:r>
        <w:rPr>
          <w:rFonts w:hint="eastAsia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</w:rPr>
        <w:t>出版地:出版者,出版年:析出文献起止页码.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[5]钟文发.非线性规划在可燃毒物配置中的应用[C]//赵玮.运筹学的理论与应用——中国运筹学会第五届大会论文集.西安:西安电子科技大学出版社,1996:468-471.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</w:rPr>
        <w:t>（5）电子文献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[序号]主要责任者.文献题名[文献类型标识].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cs="楷体" w:asciiTheme="minorEastAsia" w:hAnsiTheme="minorEastAsia" w:eastAsiaTheme="minorEastAsia"/>
        </w:rPr>
        <w:t>发表或更新日期</w:t>
      </w:r>
      <w:r>
        <w:rPr>
          <w:rFonts w:hint="eastAsia" w:asciiTheme="minorEastAsia" w:hAnsiTheme="minorEastAsia" w:eastAsiaTheme="minorEastAsia"/>
        </w:rPr>
        <w:t>)[</w:t>
      </w:r>
      <w:r>
        <w:rPr>
          <w:rFonts w:hint="eastAsia" w:cs="楷体" w:asciiTheme="minorEastAsia" w:hAnsiTheme="minorEastAsia" w:eastAsiaTheme="minorEastAsia"/>
        </w:rPr>
        <w:t>引用日期</w:t>
      </w:r>
      <w:r>
        <w:rPr>
          <w:rFonts w:hint="eastAsia" w:asciiTheme="minorEastAsia" w:hAnsiTheme="minorEastAsia" w:eastAsiaTheme="minorEastAsia"/>
        </w:rPr>
        <w:t>].网址.</w:t>
      </w:r>
    </w:p>
    <w:p>
      <w:pPr>
        <w:ind w:firstLine="440" w:firstLineChars="200"/>
        <w:rPr>
          <w:rFonts w:cs="Kaiti SC Regular" w:asciiTheme="minorEastAsia" w:hAnsiTheme="minorEastAsia" w:eastAsiaTheme="minorEastAsia"/>
        </w:rPr>
      </w:pPr>
      <w:r>
        <w:rPr>
          <w:rFonts w:hint="eastAsia" w:cs="Kaiti SC Regular" w:asciiTheme="minorEastAsia" w:hAnsiTheme="minorEastAsia" w:eastAsiaTheme="minorEastAsia"/>
        </w:rPr>
        <w:t>[6]全民科学素质行动计划纲要实施方案[EB/OL].(2006-</w:t>
      </w:r>
      <w:r>
        <w:rPr>
          <w:rFonts w:cs="Kaiti SC Regular" w:asciiTheme="minorEastAsia" w:hAnsiTheme="minorEastAsia" w:eastAsiaTheme="minorEastAsia"/>
        </w:rPr>
        <w:t>0</w:t>
      </w:r>
      <w:r>
        <w:rPr>
          <w:rFonts w:hint="eastAsia" w:cs="Kaiti SC Regular" w:asciiTheme="minorEastAsia" w:hAnsiTheme="minorEastAsia" w:eastAsiaTheme="minorEastAsia"/>
        </w:rPr>
        <w:t>3-20)</w:t>
      </w:r>
      <w:r>
        <w:rPr>
          <w:rFonts w:hint="eastAsia" w:cs="Kaiti SC Regular" w:asciiTheme="minorEastAsia" w:hAnsiTheme="minorEastAsia" w:eastAsiaTheme="minorEastAsia"/>
          <w:highlight w:val="yellow"/>
        </w:rPr>
        <w:t>发布日期</w:t>
      </w:r>
      <w:r>
        <w:rPr>
          <w:rFonts w:hint="eastAsia" w:cs="Kaiti SC Regular" w:asciiTheme="minorEastAsia" w:hAnsiTheme="minorEastAsia" w:eastAsiaTheme="minorEastAsia"/>
        </w:rPr>
        <w:t>[2020-</w:t>
      </w:r>
      <w:r>
        <w:rPr>
          <w:rFonts w:cs="Kaiti SC Regular" w:asciiTheme="minorEastAsia" w:hAnsiTheme="minorEastAsia" w:eastAsiaTheme="minorEastAsia"/>
        </w:rPr>
        <w:t>0</w:t>
      </w:r>
      <w:r>
        <w:rPr>
          <w:rFonts w:hint="eastAsia" w:cs="Kaiti SC Regular" w:asciiTheme="minorEastAsia" w:hAnsiTheme="minorEastAsia" w:eastAsiaTheme="minorEastAsia"/>
        </w:rPr>
        <w:t>3-20]</w:t>
      </w:r>
      <w:r>
        <w:rPr>
          <w:rFonts w:hint="eastAsia" w:cs="Kaiti SC Regular" w:asciiTheme="minorEastAsia" w:hAnsiTheme="minorEastAsia" w:eastAsiaTheme="minorEastAsia"/>
          <w:highlight w:val="yellow"/>
        </w:rPr>
        <w:t>引用日期</w:t>
      </w:r>
      <w:r>
        <w:rPr>
          <w:rFonts w:hint="eastAsia" w:cs="Kaiti SC Regular" w:asciiTheme="minorEastAsia" w:hAnsiTheme="minorEastAsia" w:eastAsiaTheme="minorEastAsia"/>
        </w:rPr>
        <w:t>. http://news.xinhuanet.com/politics/2016-03/14/c_128799626.htm.</w:t>
      </w:r>
    </w:p>
    <w:p>
      <w:pPr>
        <w:ind w:firstLine="442" w:firstLineChars="200"/>
        <w:outlineLvl w:val="1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（6）</w:t>
      </w:r>
      <w:r>
        <w:rPr>
          <w:rFonts w:hint="eastAsia" w:asciiTheme="minorEastAsia" w:hAnsiTheme="minorEastAsia" w:eastAsiaTheme="minorEastAsia"/>
          <w:b/>
          <w:bCs/>
        </w:rPr>
        <w:t>常用</w:t>
      </w:r>
      <w:r>
        <w:rPr>
          <w:rFonts w:asciiTheme="minorEastAsia" w:hAnsiTheme="minorEastAsia" w:eastAsiaTheme="minorEastAsia"/>
          <w:b/>
          <w:bCs/>
        </w:rPr>
        <w:t>文献类型标识</w:t>
      </w:r>
    </w:p>
    <w:p>
      <w:pPr>
        <w:ind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专著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C</w:t>
      </w:r>
      <w:r>
        <w:rPr>
          <w:rFonts w:hint="eastAsia" w:asciiTheme="minorEastAsia" w:hAnsiTheme="minorEastAsia" w:eastAsiaTheme="minorEastAsia"/>
        </w:rPr>
        <w:t>——会议录；</w:t>
      </w:r>
      <w:r>
        <w:rPr>
          <w:rFonts w:asciiTheme="minorEastAsia" w:hAnsiTheme="minorEastAsia" w:eastAsiaTheme="minorEastAsia"/>
        </w:rPr>
        <w:t>N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报纸文章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J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期刊文章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学位论文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R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报告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S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标准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P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专利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A</w:t>
      </w:r>
      <w:r>
        <w:rPr>
          <w:rFonts w:hint="eastAsia" w:asciiTheme="minorEastAsia" w:hAnsiTheme="minorEastAsia" w:eastAsiaTheme="minorEastAsia"/>
        </w:rPr>
        <w:t>——档案；</w:t>
      </w:r>
      <w:r>
        <w:rPr>
          <w:rFonts w:asciiTheme="minorEastAsia" w:hAnsiTheme="minorEastAsia" w:eastAsiaTheme="minorEastAsia"/>
        </w:rPr>
        <w:t>EB/OL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电子文献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Z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其他。</w:t>
      </w:r>
    </w:p>
    <w:p>
      <w:pPr>
        <w:spacing w:line="220" w:lineRule="atLeast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 SC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JiY2FmNWYzOWVjNGJmNWM0NzAwNzVjMDY1YjMyMmYifQ=="/>
  </w:docVars>
  <w:rsids>
    <w:rsidRoot w:val="00D31D50"/>
    <w:rsid w:val="00015D11"/>
    <w:rsid w:val="000A460D"/>
    <w:rsid w:val="000E0451"/>
    <w:rsid w:val="00171DCC"/>
    <w:rsid w:val="001F16AE"/>
    <w:rsid w:val="002060C5"/>
    <w:rsid w:val="00214DC9"/>
    <w:rsid w:val="002213C5"/>
    <w:rsid w:val="00254D00"/>
    <w:rsid w:val="003003B1"/>
    <w:rsid w:val="00300426"/>
    <w:rsid w:val="0032140D"/>
    <w:rsid w:val="00323B43"/>
    <w:rsid w:val="003D0427"/>
    <w:rsid w:val="003D37D8"/>
    <w:rsid w:val="00426133"/>
    <w:rsid w:val="004358AB"/>
    <w:rsid w:val="004809A5"/>
    <w:rsid w:val="004A631F"/>
    <w:rsid w:val="004C2A84"/>
    <w:rsid w:val="005C2518"/>
    <w:rsid w:val="00665C0F"/>
    <w:rsid w:val="0072044F"/>
    <w:rsid w:val="007261BE"/>
    <w:rsid w:val="008A6F50"/>
    <w:rsid w:val="008B7726"/>
    <w:rsid w:val="008C5223"/>
    <w:rsid w:val="009275BA"/>
    <w:rsid w:val="00A11104"/>
    <w:rsid w:val="00A13113"/>
    <w:rsid w:val="00A817CF"/>
    <w:rsid w:val="00A90F97"/>
    <w:rsid w:val="00AB4B37"/>
    <w:rsid w:val="00AF4614"/>
    <w:rsid w:val="00B56918"/>
    <w:rsid w:val="00B71B79"/>
    <w:rsid w:val="00BA55C6"/>
    <w:rsid w:val="00BC3501"/>
    <w:rsid w:val="00C17A3D"/>
    <w:rsid w:val="00C408DD"/>
    <w:rsid w:val="00C52E67"/>
    <w:rsid w:val="00C657A4"/>
    <w:rsid w:val="00CB7EC6"/>
    <w:rsid w:val="00CC21E8"/>
    <w:rsid w:val="00CD7C52"/>
    <w:rsid w:val="00D31D50"/>
    <w:rsid w:val="00DD54EF"/>
    <w:rsid w:val="00DE3853"/>
    <w:rsid w:val="00E17E1B"/>
    <w:rsid w:val="00E21121"/>
    <w:rsid w:val="00E659A8"/>
    <w:rsid w:val="00E675DC"/>
    <w:rsid w:val="00EF56D4"/>
    <w:rsid w:val="00F940F0"/>
    <w:rsid w:val="00FC2A56"/>
    <w:rsid w:val="039C024A"/>
    <w:rsid w:val="04174C3A"/>
    <w:rsid w:val="2C740A14"/>
    <w:rsid w:val="2DA12718"/>
    <w:rsid w:val="35B12069"/>
    <w:rsid w:val="4C414C24"/>
    <w:rsid w:val="616767C8"/>
    <w:rsid w:val="6175029A"/>
    <w:rsid w:val="6BEA14B3"/>
    <w:rsid w:val="784D1BA0"/>
    <w:rsid w:val="7DB11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Theme="minorHAnsi" w:hAnsiTheme="minorHAnsi" w:eastAsiaTheme="minorEastAsia"/>
      <w:kern w:val="2"/>
      <w:sz w:val="21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link w:val="12"/>
    <w:semiHidden/>
    <w:unhideWhenUsed/>
    <w:qFormat/>
    <w:uiPriority w:val="99"/>
    <w:pPr>
      <w:widowControl w:val="0"/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脚注文本 Char"/>
    <w:basedOn w:val="8"/>
    <w:link w:val="5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3">
    <w:name w:val="尾注文本 Char"/>
    <w:basedOn w:val="8"/>
    <w:link w:val="2"/>
    <w:qFormat/>
    <w:uiPriority w:val="99"/>
    <w:rPr>
      <w:rFonts w:eastAsiaTheme="minorEastAsia"/>
      <w:kern w:val="2"/>
      <w:sz w:val="21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305</Words>
  <Characters>1739</Characters>
  <Lines>14</Lines>
  <Paragraphs>4</Paragraphs>
  <TotalTime>0</TotalTime>
  <ScaleCrop>false</ScaleCrop>
  <LinksUpToDate>false</LinksUpToDate>
  <CharactersWithSpaces>2040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2021-09-02T00:38:00Z</dcterms:created>
  <dc:creator>Administrator</dc:creator>
  <cp:lastModifiedBy>lenovo</cp:lastModifiedBy>
  <dcterms:modified xsi:type="dcterms:W3CDTF">2025-09-01T06:09:23Z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5CC62DBE6B214856B1E83130B31D9A6C_13</vt:lpwstr>
  </property>
</Properties>
</file>