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E7830C">
      <w:pPr>
        <w:adjustRightInd w:val="0"/>
        <w:snapToGrid w:val="0"/>
        <w:jc w:val="left"/>
        <w:rPr>
          <w:rFonts w:hint="eastAsia" w:eastAsia="黑体"/>
          <w:color w:val="auto"/>
          <w:sz w:val="24"/>
          <w:szCs w:val="24"/>
          <w:highlight w:val="yellow"/>
          <w:lang w:val="en-US" w:eastAsia="zh-CN"/>
        </w:rPr>
      </w:pPr>
      <w:r>
        <w:rPr>
          <w:rFonts w:hint="eastAsia" w:eastAsia="黑体"/>
          <w:color w:val="auto"/>
          <w:sz w:val="24"/>
          <w:szCs w:val="24"/>
          <w:highlight w:val="yellow"/>
          <w:lang w:val="en-US" w:eastAsia="zh-CN"/>
        </w:rPr>
        <w:t>投稿要求</w:t>
      </w:r>
    </w:p>
    <w:p w14:paraId="77ECC8FF">
      <w:pPr>
        <w:adjustRightInd w:val="0"/>
        <w:snapToGrid w:val="0"/>
        <w:jc w:val="left"/>
        <w:rPr>
          <w:rFonts w:hint="eastAsia" w:eastAsia="黑体"/>
          <w:color w:val="auto"/>
          <w:sz w:val="24"/>
          <w:szCs w:val="24"/>
          <w:lang w:val="en-US" w:eastAsia="zh-CN"/>
        </w:rPr>
      </w:pPr>
    </w:p>
    <w:p w14:paraId="19F3D554">
      <w:pPr>
        <w:adjustRightInd w:val="0"/>
        <w:snapToGrid w:val="0"/>
        <w:jc w:val="left"/>
        <w:rPr>
          <w:rFonts w:hint="default" w:eastAsia="黑体"/>
          <w:color w:val="auto"/>
          <w:sz w:val="24"/>
          <w:szCs w:val="24"/>
          <w:lang w:val="en-US" w:eastAsia="zh-CN"/>
        </w:rPr>
      </w:pPr>
    </w:p>
    <w:p w14:paraId="0D834A27">
      <w:pPr>
        <w:adjustRightInd w:val="0"/>
        <w:snapToGrid w:val="0"/>
        <w:jc w:val="center"/>
        <w:rPr>
          <w:rFonts w:hint="default" w:eastAsia="黑体"/>
          <w:color w:val="auto"/>
          <w:sz w:val="44"/>
          <w:szCs w:val="44"/>
          <w:lang w:val="en-US" w:eastAsia="zh-CN"/>
        </w:rPr>
      </w:pPr>
      <w:r>
        <w:rPr>
          <w:rFonts w:hint="eastAsia" w:eastAsia="黑体"/>
          <w:color w:val="auto"/>
          <w:sz w:val="44"/>
          <w:szCs w:val="44"/>
          <w:lang w:val="en-US" w:eastAsia="zh-CN"/>
        </w:rPr>
        <w:t>文章标题</w:t>
      </w:r>
      <w:r>
        <w:rPr>
          <w:rStyle w:val="7"/>
          <w:rFonts w:hint="eastAsia" w:eastAsia="黑体"/>
          <w:color w:val="auto"/>
          <w:sz w:val="44"/>
          <w:szCs w:val="44"/>
          <w:lang w:val="en-US" w:eastAsia="zh-CN"/>
        </w:rPr>
        <w:footnoteReference w:id="0"/>
      </w:r>
      <w:bookmarkStart w:id="0" w:name="_Toc352949696"/>
      <w:r>
        <w:rPr>
          <w:rFonts w:hint="eastAsia" w:eastAsia="黑体"/>
          <w:color w:val="FF0000"/>
          <w:sz w:val="44"/>
          <w:szCs w:val="44"/>
        </w:rPr>
        <w:t>（2黑）</w:t>
      </w:r>
      <w:bookmarkEnd w:id="0"/>
    </w:p>
    <w:p w14:paraId="033C83A0">
      <w:pPr>
        <w:adjustRightInd w:val="0"/>
        <w:snapToGrid w:val="0"/>
        <w:jc w:val="center"/>
        <w:rPr>
          <w:sz w:val="20"/>
          <w:szCs w:val="20"/>
        </w:rPr>
      </w:pPr>
    </w:p>
    <w:p w14:paraId="4E85189C">
      <w:pPr>
        <w:adjustRightInd w:val="0"/>
        <w:snapToGrid w:val="0"/>
        <w:jc w:val="center"/>
        <w:rPr>
          <w:rFonts w:hint="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>XXX</w:t>
      </w:r>
      <w:r>
        <w:rPr>
          <w:rFonts w:hint="eastAsia" w:asciiTheme="minorEastAsia" w:hAnsiTheme="minorEastAsia" w:eastAsiaTheme="minorEastAsia" w:cstheme="minorEastAsia"/>
          <w:szCs w:val="21"/>
          <w:vertAlign w:val="superscript"/>
        </w:rPr>
        <w:t>1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 xml:space="preserve">  XXX</w:t>
      </w:r>
      <w:r>
        <w:rPr>
          <w:rFonts w:hint="eastAsia" w:asciiTheme="minorEastAsia" w:hAnsiTheme="minorEastAsia" w:eastAsiaTheme="minorEastAsia" w:cstheme="minorEastAsia"/>
          <w:szCs w:val="21"/>
          <w:vertAlign w:val="superscript"/>
        </w:rPr>
        <w:t>2</w:t>
      </w:r>
      <w:r>
        <w:rPr>
          <w:rFonts w:hint="eastAsia" w:asciiTheme="minorEastAsia" w:hAnsiTheme="minorEastAsia" w:eastAsiaTheme="minorEastAsia" w:cstheme="minorEastAsia"/>
          <w:szCs w:val="21"/>
          <w:lang w:val="en-US" w:eastAsia="zh-CN"/>
        </w:rPr>
        <w:t xml:space="preserve">  XXX</w:t>
      </w:r>
      <w:r>
        <w:rPr>
          <w:rFonts w:hint="eastAsia" w:asciiTheme="minorEastAsia" w:hAnsiTheme="minorEastAsia" w:eastAsiaTheme="minorEastAsia" w:cstheme="minorEastAsia"/>
          <w:szCs w:val="21"/>
          <w:vertAlign w:val="superscript"/>
        </w:rPr>
        <w:t xml:space="preserve"> </w:t>
      </w:r>
      <w:r>
        <w:rPr>
          <w:rFonts w:hint="eastAsia" w:asciiTheme="minorEastAsia" w:hAnsiTheme="minorEastAsia" w:cstheme="minorEastAsia"/>
          <w:szCs w:val="21"/>
          <w:vertAlign w:val="superscript"/>
          <w:lang w:val="en-US" w:eastAsia="zh-CN"/>
        </w:rPr>
        <w:t>1,</w:t>
      </w:r>
      <w:r>
        <w:rPr>
          <w:rFonts w:hint="eastAsia" w:asciiTheme="minorEastAsia" w:hAnsiTheme="minorEastAsia" w:eastAsiaTheme="minorEastAsia" w:cstheme="minorEastAsia"/>
          <w:szCs w:val="21"/>
          <w:vertAlign w:val="superscript"/>
        </w:rPr>
        <w:t>3</w:t>
      </w:r>
      <w:r>
        <w:rPr>
          <w:rFonts w:hint="eastAsia" w:asciiTheme="minorEastAsia" w:hAnsiTheme="minorEastAsia" w:cstheme="minorEastAsia"/>
          <w:szCs w:val="21"/>
          <w:vertAlign w:val="superscript"/>
          <w:lang w:val="en-US" w:eastAsia="zh-CN"/>
        </w:rPr>
        <w:t>*</w:t>
      </w:r>
      <w:r>
        <w:rPr>
          <w:rFonts w:hint="eastAsia"/>
          <w:szCs w:val="21"/>
          <w:lang w:val="en-US" w:eastAsia="zh-CN"/>
        </w:rPr>
        <w:t xml:space="preserve"> </w:t>
      </w:r>
      <w:r>
        <w:rPr>
          <w:rFonts w:hint="eastAsia"/>
          <w:color w:val="FF0000"/>
          <w:szCs w:val="21"/>
          <w:lang w:val="en-US" w:eastAsia="zh-CN"/>
        </w:rPr>
        <w:t>（*表示通信作者）</w:t>
      </w:r>
      <w:r>
        <w:rPr>
          <w:rFonts w:hint="eastAsia"/>
          <w:color w:val="FF0000"/>
          <w:szCs w:val="21"/>
        </w:rPr>
        <w:t>（5宋）</w:t>
      </w:r>
    </w:p>
    <w:p w14:paraId="420C17F4">
      <w:pPr>
        <w:adjustRightInd w:val="0"/>
        <w:snapToGrid w:val="0"/>
        <w:jc w:val="center"/>
        <w:rPr>
          <w:rFonts w:hint="eastAsia"/>
          <w:snapToGrid w:val="0"/>
          <w:sz w:val="18"/>
          <w:szCs w:val="18"/>
        </w:rPr>
      </w:pPr>
      <w:r>
        <w:rPr>
          <w:rFonts w:hint="eastAsia"/>
          <w:snapToGrid w:val="0"/>
          <w:color w:val="auto"/>
          <w:sz w:val="18"/>
          <w:szCs w:val="18"/>
          <w:lang w:val="en-US" w:eastAsia="zh-CN"/>
        </w:rPr>
        <w:t xml:space="preserve">（1.单位 </w:t>
      </w:r>
      <w:r>
        <w:rPr>
          <w:rFonts w:hint="eastAsia"/>
          <w:snapToGrid w:val="0"/>
          <w:sz w:val="18"/>
          <w:szCs w:val="18"/>
          <w:lang w:val="en-US" w:eastAsia="zh-CN"/>
        </w:rPr>
        <w:t>山东济南 250001</w:t>
      </w:r>
      <w:r>
        <w:rPr>
          <w:rFonts w:hint="eastAsia"/>
          <w:snapToGrid w:val="0"/>
          <w:sz w:val="18"/>
          <w:szCs w:val="18"/>
        </w:rPr>
        <w:t>；</w:t>
      </w:r>
    </w:p>
    <w:p w14:paraId="6C259DFD">
      <w:pPr>
        <w:adjustRightInd w:val="0"/>
        <w:snapToGrid w:val="0"/>
        <w:jc w:val="center"/>
        <w:rPr>
          <w:rFonts w:hint="eastAsia"/>
          <w:snapToGrid w:val="0"/>
          <w:sz w:val="18"/>
          <w:szCs w:val="18"/>
        </w:rPr>
      </w:pPr>
      <w:r>
        <w:rPr>
          <w:rFonts w:hint="eastAsia"/>
          <w:snapToGrid w:val="0"/>
          <w:sz w:val="18"/>
          <w:szCs w:val="18"/>
        </w:rPr>
        <w:t>2.</w:t>
      </w:r>
      <w:r>
        <w:rPr>
          <w:rFonts w:hint="eastAsia"/>
          <w:snapToGrid w:val="0"/>
          <w:sz w:val="18"/>
          <w:szCs w:val="18"/>
          <w:lang w:val="en-US" w:eastAsia="zh-CN"/>
        </w:rPr>
        <w:t xml:space="preserve">单位 </w:t>
      </w:r>
      <w:r>
        <w:rPr>
          <w:rFonts w:hint="eastAsia"/>
          <w:snapToGrid w:val="0"/>
          <w:sz w:val="18"/>
          <w:szCs w:val="18"/>
        </w:rPr>
        <w:t>天津</w:t>
      </w:r>
      <w:r>
        <w:rPr>
          <w:rFonts w:hint="eastAsia"/>
          <w:snapToGrid w:val="0"/>
          <w:sz w:val="18"/>
          <w:szCs w:val="18"/>
          <w:lang w:val="en-US" w:eastAsia="zh-CN"/>
        </w:rPr>
        <w:t xml:space="preserve"> </w:t>
      </w:r>
      <w:r>
        <w:rPr>
          <w:rFonts w:hint="eastAsia"/>
          <w:snapToGrid w:val="0"/>
          <w:sz w:val="18"/>
          <w:szCs w:val="18"/>
        </w:rPr>
        <w:t>300134；</w:t>
      </w:r>
    </w:p>
    <w:p w14:paraId="7E61BE84">
      <w:pPr>
        <w:adjustRightInd w:val="0"/>
        <w:snapToGrid w:val="0"/>
        <w:jc w:val="center"/>
        <w:rPr>
          <w:rFonts w:hint="eastAsia" w:eastAsiaTheme="minorEastAsia"/>
          <w:snapToGrid w:val="0"/>
          <w:sz w:val="18"/>
          <w:szCs w:val="18"/>
          <w:lang w:eastAsia="zh-CN"/>
        </w:rPr>
      </w:pPr>
      <w:r>
        <w:rPr>
          <w:rFonts w:hint="eastAsia"/>
          <w:snapToGrid w:val="0"/>
          <w:sz w:val="18"/>
          <w:szCs w:val="18"/>
        </w:rPr>
        <w:t>3.</w:t>
      </w:r>
      <w:r>
        <w:rPr>
          <w:rFonts w:hint="eastAsia"/>
          <w:snapToGrid w:val="0"/>
          <w:sz w:val="18"/>
          <w:szCs w:val="18"/>
          <w:lang w:val="en-US" w:eastAsia="zh-CN"/>
        </w:rPr>
        <w:t>单位</w:t>
      </w:r>
      <w:r>
        <w:rPr>
          <w:rFonts w:hint="eastAsia"/>
          <w:snapToGrid w:val="0"/>
          <w:sz w:val="18"/>
          <w:szCs w:val="18"/>
        </w:rPr>
        <w:t xml:space="preserve"> </w:t>
      </w:r>
      <w:r>
        <w:rPr>
          <w:rFonts w:hint="eastAsia"/>
          <w:snapToGrid w:val="0"/>
          <w:sz w:val="18"/>
          <w:szCs w:val="18"/>
          <w:lang w:val="en-US" w:eastAsia="zh-CN"/>
        </w:rPr>
        <w:t>山东济南 250102</w:t>
      </w:r>
      <w:r>
        <w:rPr>
          <w:rFonts w:hint="eastAsia"/>
          <w:snapToGrid w:val="0"/>
          <w:sz w:val="18"/>
          <w:szCs w:val="18"/>
          <w:lang w:eastAsia="zh-CN"/>
        </w:rPr>
        <w:t>）</w:t>
      </w:r>
      <w:r>
        <w:rPr>
          <w:rFonts w:hint="eastAsia"/>
          <w:snapToGrid w:val="0"/>
          <w:color w:val="FF0000"/>
          <w:sz w:val="18"/>
          <w:szCs w:val="18"/>
        </w:rPr>
        <w:t>（小5宋）</w:t>
      </w:r>
    </w:p>
    <w:p w14:paraId="33209848">
      <w:pPr>
        <w:adjustRightInd w:val="0"/>
        <w:snapToGrid w:val="0"/>
        <w:jc w:val="center"/>
        <w:rPr>
          <w:snapToGrid w:val="0"/>
          <w:sz w:val="18"/>
          <w:szCs w:val="18"/>
        </w:rPr>
      </w:pPr>
    </w:p>
    <w:p w14:paraId="15EDDF9F">
      <w:pPr>
        <w:adjustRightInd w:val="0"/>
        <w:snapToGrid w:val="0"/>
        <w:rPr>
          <w:rFonts w:hint="eastAsia" w:eastAsia="楷体"/>
          <w:szCs w:val="21"/>
          <w:lang w:val="de-DE" w:eastAsia="zh-CN"/>
        </w:rPr>
      </w:pPr>
      <w:r>
        <w:rPr>
          <w:rFonts w:hint="eastAsia" w:ascii="宋体" w:hAnsi="宋体"/>
          <w:b/>
          <w:bCs/>
          <w:szCs w:val="21"/>
          <w:lang w:eastAsia="zh-CN"/>
        </w:rPr>
        <w:t>【</w:t>
      </w:r>
      <w:r>
        <w:rPr>
          <w:rFonts w:hint="eastAsia" w:ascii="宋体" w:hAnsi="宋体"/>
          <w:b/>
          <w:bCs/>
          <w:szCs w:val="21"/>
          <w:lang w:val="en-US" w:eastAsia="zh-CN"/>
        </w:rPr>
        <w:t>摘要</w:t>
      </w:r>
      <w:r>
        <w:rPr>
          <w:rFonts w:hint="eastAsia" w:ascii="宋体" w:hAnsi="宋体"/>
          <w:b/>
          <w:bCs/>
          <w:szCs w:val="21"/>
          <w:lang w:eastAsia="zh-CN"/>
        </w:rPr>
        <w:t>】</w:t>
      </w:r>
      <w:r>
        <w:rPr>
          <w:rFonts w:hint="eastAsia" w:eastAsia="楷体"/>
          <w:color w:val="FF0000"/>
          <w:szCs w:val="21"/>
          <w:lang w:val="en-US" w:eastAsia="zh-CN"/>
        </w:rPr>
        <w:t>摘要的内容通常包括研究的目的、方法、结果和结论。对摘要中首次出现非公知共用的简称、外文缩略语和缩写词，应给出全称、中文翻译或解释，字数不能低于150字</w:t>
      </w:r>
      <w:r>
        <w:rPr>
          <w:rFonts w:hint="eastAsia" w:eastAsia="楷体"/>
          <w:color w:val="FF0000"/>
          <w:szCs w:val="21"/>
          <w:lang w:val="de-DE"/>
        </w:rPr>
        <w:t>（5楷）</w:t>
      </w:r>
      <w:r>
        <w:rPr>
          <w:rFonts w:hint="eastAsia" w:eastAsia="楷体"/>
          <w:color w:val="FF0000"/>
          <w:szCs w:val="21"/>
          <w:lang w:val="de-DE" w:eastAsia="zh-CN"/>
        </w:rPr>
        <w:t>（</w:t>
      </w:r>
      <w:r>
        <w:rPr>
          <w:rFonts w:hint="eastAsia" w:eastAsia="楷体"/>
          <w:color w:val="FF0000"/>
          <w:szCs w:val="21"/>
          <w:lang w:val="en-US" w:eastAsia="zh-CN"/>
        </w:rPr>
        <w:t>具体要求可参照《GB/T 6447—2025 文献摘要编写规则》</w:t>
      </w:r>
      <w:r>
        <w:rPr>
          <w:rFonts w:hint="eastAsia" w:eastAsia="楷体"/>
          <w:color w:val="FF0000"/>
          <w:szCs w:val="21"/>
          <w:lang w:val="de-DE" w:eastAsia="zh-CN"/>
        </w:rPr>
        <w:t>）</w:t>
      </w:r>
      <w:bookmarkStart w:id="2" w:name="_GoBack"/>
      <w:bookmarkEnd w:id="2"/>
    </w:p>
    <w:p w14:paraId="7CC12CAD">
      <w:pPr>
        <w:adjustRightInd w:val="0"/>
        <w:snapToGrid w:val="0"/>
        <w:rPr>
          <w:sz w:val="18"/>
          <w:szCs w:val="18"/>
        </w:rPr>
      </w:pPr>
      <w:r>
        <w:rPr>
          <w:rFonts w:hint="eastAsia" w:ascii="宋体" w:hAnsi="宋体"/>
          <w:b/>
          <w:bCs/>
          <w:szCs w:val="21"/>
          <w:lang w:eastAsia="zh-CN"/>
        </w:rPr>
        <w:t>【</w:t>
      </w:r>
      <w:r>
        <w:rPr>
          <w:rFonts w:hint="eastAsia" w:ascii="宋体" w:hAnsi="宋体"/>
          <w:b/>
          <w:bCs/>
          <w:szCs w:val="21"/>
          <w:lang w:val="en-US" w:eastAsia="zh-CN"/>
        </w:rPr>
        <w:t>关键词</w:t>
      </w:r>
      <w:r>
        <w:rPr>
          <w:rFonts w:hint="eastAsia" w:ascii="宋体" w:hAnsi="宋体"/>
          <w:b/>
          <w:bCs/>
          <w:szCs w:val="21"/>
          <w:lang w:eastAsia="zh-CN"/>
        </w:rPr>
        <w:t>】</w:t>
      </w:r>
      <w:r>
        <w:rPr>
          <w:rFonts w:hint="eastAsia" w:ascii="楷体" w:hAnsi="楷体" w:eastAsia="楷体"/>
          <w:szCs w:val="21"/>
          <w:lang w:val="en-US" w:eastAsia="zh-CN"/>
        </w:rPr>
        <w:t>关键词1</w:t>
      </w:r>
      <w:r>
        <w:rPr>
          <w:rFonts w:hint="eastAsia" w:ascii="楷体" w:hAnsi="楷体" w:eastAsia="楷体"/>
          <w:szCs w:val="21"/>
          <w:lang w:val="de-DE"/>
        </w:rPr>
        <w:t>；</w:t>
      </w:r>
      <w:r>
        <w:rPr>
          <w:rFonts w:hint="eastAsia" w:ascii="楷体" w:hAnsi="楷体" w:eastAsia="楷体"/>
          <w:szCs w:val="21"/>
          <w:lang w:val="en-US" w:eastAsia="zh-CN"/>
        </w:rPr>
        <w:t>关键词2</w:t>
      </w:r>
      <w:r>
        <w:rPr>
          <w:rFonts w:hint="eastAsia" w:ascii="楷体" w:hAnsi="楷体" w:eastAsia="楷体"/>
          <w:szCs w:val="21"/>
          <w:lang w:val="de-DE"/>
        </w:rPr>
        <w:t>；</w:t>
      </w:r>
      <w:r>
        <w:rPr>
          <w:rFonts w:hint="eastAsia" w:ascii="楷体" w:hAnsi="楷体" w:eastAsia="楷体"/>
          <w:szCs w:val="21"/>
          <w:lang w:val="en-US" w:eastAsia="zh-CN"/>
        </w:rPr>
        <w:t>关键词3</w:t>
      </w:r>
      <w:r>
        <w:rPr>
          <w:rFonts w:hint="eastAsia" w:ascii="楷体" w:hAnsi="楷体" w:eastAsia="楷体"/>
          <w:szCs w:val="21"/>
          <w:lang w:val="de-DE"/>
        </w:rPr>
        <w:t>；</w:t>
      </w:r>
      <w:r>
        <w:rPr>
          <w:rFonts w:hint="eastAsia" w:ascii="楷体" w:hAnsi="楷体" w:eastAsia="楷体"/>
          <w:szCs w:val="21"/>
          <w:lang w:val="en-US" w:eastAsia="zh-CN"/>
        </w:rPr>
        <w:t>关键词4</w:t>
      </w:r>
      <w:r>
        <w:rPr>
          <w:rFonts w:hint="eastAsia" w:eastAsia="楷体"/>
          <w:color w:val="FF0000"/>
          <w:szCs w:val="21"/>
          <w:lang w:val="de-DE"/>
        </w:rPr>
        <w:t>（</w:t>
      </w:r>
      <w:r>
        <w:rPr>
          <w:rFonts w:hint="eastAsia" w:eastAsia="楷体"/>
          <w:color w:val="FF0000"/>
          <w:szCs w:val="21"/>
          <w:lang w:val="en-US" w:eastAsia="zh-CN"/>
        </w:rPr>
        <w:t>选取3~8个关键词为宜，关键词要有检索意义，不应使用太泛指的词，如“理论”“方法”“分析”等，</w:t>
      </w:r>
      <w:r>
        <w:rPr>
          <w:rFonts w:hint="eastAsia" w:eastAsia="楷体"/>
          <w:color w:val="FF0000"/>
          <w:szCs w:val="21"/>
          <w:lang w:val="de-DE"/>
        </w:rPr>
        <w:t>5楷）</w:t>
      </w:r>
    </w:p>
    <w:p w14:paraId="5898CFDA">
      <w:pPr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  <w:lang w:eastAsia="zh-CN"/>
        </w:rPr>
        <w:t>【</w:t>
      </w:r>
      <w:r>
        <w:rPr>
          <w:b/>
          <w:bCs/>
          <w:szCs w:val="21"/>
        </w:rPr>
        <w:t>中图分类号</w:t>
      </w:r>
      <w:r>
        <w:rPr>
          <w:rFonts w:hint="eastAsia"/>
          <w:b/>
          <w:bCs/>
          <w:szCs w:val="21"/>
          <w:lang w:eastAsia="zh-CN"/>
        </w:rPr>
        <w:t>】</w:t>
      </w:r>
      <w:r>
        <w:rPr>
          <w:rFonts w:hint="eastAsia"/>
          <w:b/>
          <w:bCs/>
          <w:color w:val="FF0000"/>
          <w:szCs w:val="21"/>
        </w:rPr>
        <w:t>自行查找填写（中国图书馆分类法 http://www.ztflh.com/）</w:t>
      </w:r>
      <w:r>
        <w:rPr>
          <w:b/>
          <w:bCs/>
          <w:szCs w:val="21"/>
        </w:rPr>
        <w:t xml:space="preserve">  </w:t>
      </w:r>
      <w:r>
        <w:rPr>
          <w:rFonts w:hint="eastAsia"/>
          <w:b/>
          <w:bCs/>
          <w:szCs w:val="21"/>
          <w:lang w:eastAsia="zh-CN"/>
        </w:rPr>
        <w:t>【</w:t>
      </w:r>
      <w:r>
        <w:rPr>
          <w:b/>
          <w:bCs/>
          <w:szCs w:val="21"/>
        </w:rPr>
        <w:t>文献标</w:t>
      </w:r>
      <w:r>
        <w:rPr>
          <w:rFonts w:hint="eastAsia"/>
          <w:b/>
          <w:bCs/>
          <w:szCs w:val="21"/>
          <w:lang w:val="en-US" w:eastAsia="zh-CN"/>
        </w:rPr>
        <w:t>识</w:t>
      </w:r>
      <w:r>
        <w:rPr>
          <w:b/>
          <w:bCs/>
          <w:szCs w:val="21"/>
        </w:rPr>
        <w:t>码</w:t>
      </w:r>
      <w:r>
        <w:rPr>
          <w:rFonts w:hint="eastAsia"/>
          <w:b/>
          <w:bCs/>
          <w:szCs w:val="21"/>
          <w:lang w:eastAsia="zh-CN"/>
        </w:rPr>
        <w:t>】</w:t>
      </w:r>
      <w:r>
        <w:rPr>
          <w:b/>
          <w:bCs/>
          <w:szCs w:val="21"/>
        </w:rPr>
        <w:t xml:space="preserve">A         </w:t>
      </w:r>
    </w:p>
    <w:p w14:paraId="2BB835A7">
      <w:pPr>
        <w:autoSpaceDN w:val="0"/>
        <w:rPr>
          <w:rFonts w:hint="default" w:eastAsia="楷体"/>
          <w:szCs w:val="21"/>
          <w:lang w:val="en-US" w:eastAsia="zh-CN"/>
        </w:rPr>
      </w:pPr>
      <w:r>
        <w:rPr>
          <w:rFonts w:hint="eastAsia" w:eastAsia="楷体"/>
          <w:szCs w:val="21"/>
          <w:lang w:val="en-US" w:eastAsia="zh-CN"/>
        </w:rPr>
        <w:t>（一）正文格式要求</w:t>
      </w:r>
    </w:p>
    <w:p w14:paraId="62C5DB0A">
      <w:pPr>
        <w:autoSpaceDN w:val="0"/>
        <w:ind w:firstLine="370" w:firstLineChars="200"/>
        <w:rPr>
          <w:rFonts w:hint="eastAsia" w:ascii="宋体" w:hAnsi="宋体" w:eastAsia="宋体" w:cs="宋体"/>
          <w:szCs w:val="21"/>
          <w:lang w:val="en-US" w:eastAsia="zh-CN"/>
        </w:rPr>
      </w:pPr>
      <w:r>
        <w:rPr>
          <w:rFonts w:hint="eastAsia" w:ascii="宋体" w:hAnsi="宋体" w:eastAsia="宋体" w:cs="宋体"/>
          <w:szCs w:val="21"/>
          <w:lang w:val="en-US" w:eastAsia="zh-CN"/>
        </w:rPr>
        <w:t>正文部分应根据需要划分章节，一般不宜超过4级，章节编号采用阿拉伯数字，各层次章节编号顶格排，其后空1个汉字的间隙接排标题。如下文所示：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180E0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1" w:type="dxa"/>
          </w:tcPr>
          <w:p w14:paraId="21258A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eastAsia="仿宋_GB2312"/>
                <w:b/>
                <w:bCs/>
                <w:lang w:val="en-US" w:eastAsia="zh-CN"/>
              </w:rPr>
            </w:pPr>
            <w:r>
              <w:rPr>
                <w:rFonts w:hint="eastAsia" w:eastAsia="仿宋_GB2312"/>
                <w:b/>
                <w:bCs/>
                <w:lang w:val="en-US" w:eastAsia="zh-CN"/>
              </w:rPr>
              <w:t>0 引言</w:t>
            </w:r>
            <w:r>
              <w:rPr>
                <w:rFonts w:hint="eastAsia" w:eastAsia="仿宋_GB2312"/>
                <w:b/>
                <w:bCs/>
                <w:color w:val="FF0000"/>
                <w:lang w:val="en-US" w:eastAsia="zh-CN"/>
              </w:rPr>
              <w:t>（4宋加粗，顶格）</w:t>
            </w:r>
          </w:p>
          <w:p w14:paraId="616BA7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default" w:ascii="黑体" w:hAnsi="黑体" w:eastAsia="黑体" w:cs="黑体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 xml:space="preserve"> 引言内容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（5宋）</w:t>
            </w:r>
          </w:p>
          <w:p w14:paraId="3EAA3C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textAlignment w:val="auto"/>
              <w:rPr>
                <w:rFonts w:hint="eastAsia" w:eastAsia="仿宋_GB2312"/>
                <w:color w:val="FF0000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lang w:val="en-US" w:eastAsia="zh-CN"/>
              </w:rPr>
              <w:t>1  数据来源及分析方法</w:t>
            </w:r>
            <w:r>
              <w:rPr>
                <w:rFonts w:hint="eastAsia" w:eastAsia="仿宋_GB2312"/>
                <w:color w:val="FF0000"/>
                <w:lang w:val="en-US" w:eastAsia="zh-CN"/>
              </w:rPr>
              <w:t>（5黑，顶格）</w:t>
            </w:r>
          </w:p>
          <w:p w14:paraId="0D2916F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370" w:firstLineChars="200"/>
              <w:textAlignment w:val="auto"/>
              <w:rPr>
                <w:rFonts w:hint="default" w:eastAsia="仿宋_GB2312"/>
                <w:color w:val="auto"/>
                <w:lang w:val="en-US" w:eastAsia="zh-CN"/>
              </w:rPr>
            </w:pPr>
            <w:r>
              <w:rPr>
                <w:rFonts w:hint="eastAsia" w:eastAsia="仿宋_GB2312"/>
                <w:color w:val="auto"/>
                <w:lang w:val="en-US" w:eastAsia="zh-CN"/>
              </w:rPr>
              <w:t>正文内容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（5宋）</w:t>
            </w:r>
          </w:p>
          <w:p w14:paraId="1223FBB7">
            <w:pPr>
              <w:keepNext w:val="0"/>
              <w:keepLines w:val="0"/>
              <w:pageBreakBefore w:val="0"/>
              <w:widowControl w:val="0"/>
              <w:numPr>
                <w:ilvl w:val="1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right="0"/>
              <w:textAlignment w:val="auto"/>
              <w:rPr>
                <w:rFonts w:hint="eastAsia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数据来源及处理</w:t>
            </w:r>
            <w:r>
              <w:rPr>
                <w:rFonts w:hint="eastAsia" w:eastAsia="仿宋_GB2312"/>
                <w:color w:val="FF0000"/>
                <w:lang w:val="en-US" w:eastAsia="zh-CN"/>
              </w:rPr>
              <w:t>（5宋，顶格）</w:t>
            </w:r>
          </w:p>
          <w:p w14:paraId="5D1571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firstLine="370" w:firstLineChars="200"/>
              <w:textAlignment w:val="auto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正文内容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（5宋）</w:t>
            </w:r>
          </w:p>
          <w:p w14:paraId="6725039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/>
              <w:textAlignment w:val="auto"/>
              <w:rPr>
                <w:rFonts w:hint="eastAsia" w:eastAsia="仿宋_GB2312"/>
                <w:color w:val="FF0000"/>
                <w:lang w:val="en-US" w:eastAsia="zh-CN"/>
              </w:rPr>
            </w:pPr>
            <w:r>
              <w:rPr>
                <w:rFonts w:hint="eastAsia" w:eastAsia="仿宋_GB2312"/>
                <w:lang w:val="en-US" w:eastAsia="zh-CN"/>
              </w:rPr>
              <w:t>1.1.1</w:t>
            </w:r>
            <w:r>
              <w:rPr>
                <w:rFonts w:hint="eastAsia" w:eastAsia="仿宋_GB2312"/>
                <w:color w:val="FF0000"/>
                <w:lang w:val="en-US" w:eastAsia="zh-CN"/>
              </w:rPr>
              <w:t>（5宋，顶格）</w:t>
            </w:r>
          </w:p>
          <w:p w14:paraId="01935D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firstLine="370" w:firstLineChars="200"/>
              <w:textAlignment w:val="auto"/>
              <w:rPr>
                <w:rFonts w:hint="default" w:eastAsia="仿宋_GB2312"/>
                <w:color w:val="FF0000"/>
                <w:lang w:val="en-US" w:eastAsia="zh-CN"/>
              </w:rPr>
            </w:pPr>
            <w:r>
              <w:rPr>
                <w:rFonts w:hint="eastAsia" w:eastAsia="仿宋_GB2312"/>
                <w:color w:val="auto"/>
                <w:lang w:val="en-US" w:eastAsia="zh-CN"/>
              </w:rPr>
              <w:t>正文内容</w:t>
            </w:r>
            <w:r>
              <w:rPr>
                <w:rFonts w:hint="eastAsia" w:ascii="宋体" w:hAnsi="宋体" w:eastAsia="宋体" w:cs="宋体"/>
                <w:color w:val="FF0000"/>
                <w:lang w:val="en-US" w:eastAsia="zh-CN"/>
              </w:rPr>
              <w:t>（5宋）</w:t>
            </w:r>
          </w:p>
          <w:p w14:paraId="43B80000">
            <w:pPr>
              <w:keepNext w:val="0"/>
              <w:keepLines w:val="0"/>
              <w:suppressLineNumbers w:val="0"/>
              <w:autoSpaceDN w:val="0"/>
              <w:spacing w:before="0" w:beforeAutospacing="0" w:after="0" w:afterAutospacing="0"/>
              <w:ind w:left="0" w:right="0"/>
              <w:rPr>
                <w:rFonts w:hint="eastAsia" w:ascii="宋体" w:hAnsi="宋体" w:eastAsia="宋体" w:cs="宋体"/>
                <w:szCs w:val="21"/>
                <w:vertAlign w:val="baseline"/>
                <w:lang w:val="en-US" w:eastAsia="zh-CN"/>
              </w:rPr>
            </w:pPr>
          </w:p>
        </w:tc>
      </w:tr>
    </w:tbl>
    <w:p w14:paraId="648AB80E">
      <w:pPr>
        <w:autoSpaceDN w:val="0"/>
        <w:rPr>
          <w:rFonts w:hint="default" w:eastAsia="楷体"/>
          <w:szCs w:val="21"/>
          <w:lang w:val="en-US" w:eastAsia="zh-CN"/>
        </w:rPr>
      </w:pPr>
    </w:p>
    <w:p w14:paraId="4A122401">
      <w:pPr>
        <w:autoSpaceDN w:val="0"/>
        <w:rPr>
          <w:rFonts w:hint="default" w:eastAsia="楷体"/>
          <w:szCs w:val="21"/>
          <w:lang w:val="en-US" w:eastAsia="zh-CN"/>
        </w:rPr>
      </w:pPr>
      <w:r>
        <w:rPr>
          <w:rFonts w:hint="default" w:eastAsia="楷体"/>
          <w:szCs w:val="21"/>
          <w:lang w:val="en-US" w:eastAsia="zh-CN"/>
        </w:rPr>
        <w:t>（二）插图、表格格式要求</w:t>
      </w:r>
    </w:p>
    <w:p w14:paraId="6B102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textAlignment w:val="auto"/>
        <w:rPr>
          <w:rFonts w:hint="eastAsia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1. 编号</w:t>
      </w:r>
    </w:p>
    <w:p w14:paraId="5980F71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Cs w:val="21"/>
          <w:lang w:val="en-US" w:eastAsia="zh-CN"/>
        </w:rPr>
        <w:t>插图、表格等一律用阿拉伯数字案出现先后顺序全文统一编号，如“图1”“图2”、“表1”“表2”。</w:t>
      </w:r>
    </w:p>
    <w:p w14:paraId="4B87F80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textAlignment w:val="auto"/>
        <w:rPr>
          <w:rFonts w:hint="eastAsia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插图</w:t>
      </w:r>
    </w:p>
    <w:p w14:paraId="31368EE0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插图著录格式应执行《CY/T171—2019 学术出版规范 插图》。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插图应当清晰，有自明性。</w:t>
      </w:r>
      <w:r>
        <w:rPr>
          <w:rFonts w:hint="eastAsia" w:ascii="Times New Roman" w:hAnsi="Times New Roman" w:eastAsia="宋体" w:cs="Times New Roman"/>
          <w:szCs w:val="21"/>
          <w:highlight w:val="yellow"/>
          <w:lang w:val="en-US" w:eastAsia="zh-CN"/>
        </w:rPr>
        <w:t>文稿中涉及的插图，应将高清图打包压缩并以附件形式随文稿发给编辑部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。文中的位置应是随文给出，先见文字，后见图。</w:t>
      </w:r>
    </w:p>
    <w:p w14:paraId="25B05E3E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格式：图序号与标题之间空一个汉字，</w:t>
      </w:r>
      <w:r>
        <w:rPr>
          <w:rFonts w:hint="eastAsia" w:ascii="Times New Roman" w:hAnsi="Times New Roman" w:eastAsia="宋体" w:cs="Times New Roman"/>
          <w:szCs w:val="21"/>
          <w:highlight w:val="yellow"/>
          <w:lang w:val="en-US" w:eastAsia="zh-CN"/>
        </w:rPr>
        <w:t>图题为小五楷，</w:t>
      </w:r>
      <w:r>
        <w:rPr>
          <w:rFonts w:hint="default" w:ascii="Times New Roman" w:hAnsi="Times New Roman" w:eastAsia="宋体" w:cs="Times New Roman"/>
          <w:szCs w:val="21"/>
          <w:highlight w:val="yellow"/>
          <w:lang w:val="en-US" w:eastAsia="zh-CN"/>
        </w:rPr>
        <w:t xml:space="preserve"> 图中汉字、坐标轴上的数字和变量用</w:t>
      </w:r>
      <w:r>
        <w:rPr>
          <w:rFonts w:hint="eastAsia" w:ascii="Times New Roman" w:hAnsi="Times New Roman" w:eastAsia="宋体" w:cs="Times New Roman"/>
          <w:szCs w:val="21"/>
          <w:highlight w:val="yellow"/>
          <w:lang w:val="en-US" w:eastAsia="zh-CN"/>
        </w:rPr>
        <w:t>六</w:t>
      </w:r>
      <w:r>
        <w:rPr>
          <w:rFonts w:hint="default" w:ascii="Times New Roman" w:hAnsi="Times New Roman" w:eastAsia="宋体" w:cs="Times New Roman"/>
          <w:szCs w:val="21"/>
          <w:highlight w:val="yellow"/>
          <w:lang w:val="en-US" w:eastAsia="zh-CN"/>
        </w:rPr>
        <w:t>号宋体。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一幅图里有多个分图时，要分别给出分图题。图请一定严格按照这个排，</w:t>
      </w:r>
      <w:r>
        <w:rPr>
          <w:rFonts w:hint="default" w:ascii="Times New Roman" w:hAnsi="Times New Roman" w:eastAsia="宋体" w:cs="Times New Roman"/>
          <w:color w:val="auto"/>
          <w:szCs w:val="21"/>
          <w:highlight w:val="yellow"/>
          <w:lang w:val="en-US" w:eastAsia="zh-CN"/>
        </w:rPr>
        <w:t>图尽量不要使用背景网格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，尽量使用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黑白图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（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本刊为黑白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印刷）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。</w:t>
      </w:r>
    </w:p>
    <w:p w14:paraId="5E37D66F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Cs w:val="21"/>
          <w:lang w:val="en-US" w:eastAsia="zh-CN"/>
        </w:rPr>
        <w:t>图注的字体：汉字用宋体，英文和数字用Times New Roman，罗马字用Symbol。图注字号统一用8磅（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六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号）。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若图注为全图注，应放在图题下方居中，若为文中图例则放在图下方图题上方居中排，或者右上角排列。</w:t>
      </w:r>
    </w:p>
    <w:p w14:paraId="0C006E4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Cs w:val="21"/>
          <w:lang w:val="en-US" w:eastAsia="zh-CN"/>
        </w:rPr>
        <w:t xml:space="preserve">图线应做到主、辅线分明：轮廓线、框线、曲线用粗线（0.8 p，或0.3 mm）； 尺寸线、指引线、坐标轴用细线（0.4 p，或0.15 mm）。 </w:t>
      </w:r>
    </w:p>
    <w:p w14:paraId="74BEE993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宋体" w:cs="Times New Roman"/>
          <w:szCs w:val="21"/>
          <w:lang w:val="en-US" w:eastAsia="zh-CN"/>
        </w:rPr>
        <w:t>函数图的标目中，</w:t>
      </w:r>
      <w:r>
        <w:rPr>
          <w:rFonts w:hint="default" w:ascii="Times New Roman" w:hAnsi="Times New Roman" w:eastAsia="宋体" w:cs="Times New Roman"/>
          <w:szCs w:val="21"/>
          <w:highlight w:val="yellow"/>
          <w:lang w:val="en-US" w:eastAsia="zh-CN"/>
        </w:rPr>
        <w:t>标线（刻度）朝向图内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。 标值中0点处的数字，直接用0表示即可，</w:t>
      </w:r>
      <w:r>
        <w:rPr>
          <w:rFonts w:hint="eastAsia" w:ascii="Times New Roman" w:hAnsi="Times New Roman" w:eastAsia="宋体" w:cs="Times New Roman"/>
          <w:color w:val="auto"/>
          <w:szCs w:val="21"/>
          <w:highlight w:val="yellow"/>
          <w:lang w:val="en-US" w:eastAsia="zh-CN"/>
        </w:rPr>
        <w:t>不需要用</w:t>
      </w:r>
      <w:r>
        <w:rPr>
          <w:rFonts w:hint="default" w:ascii="Times New Roman" w:hAnsi="Times New Roman" w:eastAsia="宋体" w:cs="Times New Roman"/>
          <w:color w:val="auto"/>
          <w:szCs w:val="21"/>
          <w:highlight w:val="yellow"/>
          <w:lang w:val="en-US" w:eastAsia="zh-CN"/>
        </w:rPr>
        <w:t>0.0、0.00等</w:t>
      </w:r>
      <w:r>
        <w:rPr>
          <w:rFonts w:hint="default" w:ascii="Times New Roman" w:hAnsi="Times New Roman" w:eastAsia="宋体" w:cs="Times New Roman"/>
          <w:szCs w:val="21"/>
          <w:highlight w:val="none"/>
          <w:lang w:val="en-US" w:eastAsia="zh-CN"/>
        </w:rPr>
        <w:t>。</w:t>
      </w:r>
    </w:p>
    <w:p w14:paraId="115DCCBD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Cs w:val="21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highlight w:val="none"/>
          <w:lang w:val="en-US" w:eastAsia="zh-CN"/>
        </w:rPr>
        <w:t>标目中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量和单位的标注形式应为“量的名称或符号/单位符号”，如“</w:t>
      </w:r>
      <w:r>
        <w:rPr>
          <w:rFonts w:hint="eastAsia" w:ascii="Times New Roman" w:hAnsi="Times New Roman" w:eastAsia="宋体" w:cs="Times New Roman"/>
          <w:i/>
          <w:iCs/>
          <w:szCs w:val="21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1/℃”“</w:t>
      </w:r>
      <w:r>
        <w:rPr>
          <w:rFonts w:hint="eastAsia" w:ascii="Times New Roman" w:hAnsi="Times New Roman" w:eastAsia="宋体" w:cs="Times New Roman"/>
          <w:i/>
          <w:iCs/>
          <w:szCs w:val="21"/>
          <w:lang w:val="en-US" w:eastAsia="zh-CN"/>
        </w:rPr>
        <w:t>m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/kg”“</w:t>
      </w:r>
      <w:r>
        <w:rPr>
          <w:rFonts w:hint="eastAsia" w:ascii="Times New Roman" w:hAnsi="Times New Roman" w:eastAsia="宋体" w:cs="Times New Roman"/>
          <w:i/>
          <w:iCs/>
          <w:szCs w:val="21"/>
          <w:lang w:val="en-US" w:eastAsia="zh-CN"/>
        </w:rPr>
        <w:t>v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/(m·s</w:t>
      </w:r>
      <w:r>
        <w:rPr>
          <w:rFonts w:hint="eastAsia" w:ascii="Times New Roman" w:hAnsi="Times New Roman" w:eastAsia="宋体" w:cs="Times New Roman"/>
          <w:szCs w:val="21"/>
          <w:vertAlign w:val="superscript"/>
          <w:lang w:val="en-US" w:eastAsia="zh-CN"/>
        </w:rPr>
        <w:t>-1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)”“直径/mm”，不要用括号标注。</w:t>
      </w:r>
    </w:p>
    <w:p w14:paraId="0402CFCA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地图类插图应标注审图号。</w:t>
      </w:r>
    </w:p>
    <w:p w14:paraId="48396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firstLine="370" w:firstLineChars="200"/>
        <w:textAlignment w:val="auto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示例如下：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2152B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6" w:hRule="atLeast"/>
        </w:trPr>
        <w:tc>
          <w:tcPr>
            <w:tcW w:w="9061" w:type="dxa"/>
          </w:tcPr>
          <w:p w14:paraId="7D7BE6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vertAlign w:val="baseline"/>
                <w:lang w:val="en-US" w:eastAsia="zh-CN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1508760</wp:posOffset>
                  </wp:positionH>
                  <wp:positionV relativeFrom="paragraph">
                    <wp:posOffset>123825</wp:posOffset>
                  </wp:positionV>
                  <wp:extent cx="2652395" cy="1266825"/>
                  <wp:effectExtent l="0" t="0" r="14605" b="9525"/>
                  <wp:wrapTopAndBottom/>
                  <wp:docPr id="3" name="图片 3" descr="d45cfcb7-945a-400c-ba47-160a9a3908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d45cfcb7-945a-400c-ba47-160a9a39081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rcRect b="191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2395" cy="1266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vertAlign w:val="baseline"/>
                <w:lang w:val="en-US" w:eastAsia="zh-CN"/>
              </w:rPr>
              <w:t>图1 三种换热器热阻计算</w:t>
            </w:r>
            <w:r>
              <w:rPr>
                <w:rFonts w:hint="eastAsia"/>
                <w:color w:val="FF0000"/>
                <w:sz w:val="18"/>
                <w:lang w:eastAsia="zh-CN"/>
              </w:rPr>
              <w:t>（</w:t>
            </w:r>
            <w:r>
              <w:rPr>
                <w:rFonts w:hint="eastAsia"/>
                <w:color w:val="FF0000"/>
                <w:sz w:val="18"/>
                <w:lang w:val="en-US" w:eastAsia="zh-CN"/>
              </w:rPr>
              <w:t>小五楷</w:t>
            </w:r>
            <w:r>
              <w:rPr>
                <w:rFonts w:hint="eastAsia"/>
                <w:color w:val="FF0000"/>
                <w:sz w:val="18"/>
                <w:lang w:eastAsia="zh-CN"/>
              </w:rPr>
              <w:t>）</w:t>
            </w:r>
          </w:p>
        </w:tc>
      </w:tr>
      <w:tr w14:paraId="721F6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8" w:hRule="atLeast"/>
        </w:trPr>
        <w:tc>
          <w:tcPr>
            <w:tcW w:w="9061" w:type="dxa"/>
          </w:tcPr>
          <w:p w14:paraId="273ADDD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方正楷体_GB2312" w:hAnsi="方正楷体_GB2312" w:eastAsia="方正楷体_GB2312" w:cs="方正楷体_GB2312"/>
                <w:sz w:val="18"/>
                <w:szCs w:val="18"/>
                <w:vertAlign w:val="baseline"/>
                <w:lang w:val="en-US" w:eastAsia="zh-CN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1684655</wp:posOffset>
                  </wp:positionH>
                  <wp:positionV relativeFrom="paragraph">
                    <wp:posOffset>48895</wp:posOffset>
                  </wp:positionV>
                  <wp:extent cx="2051685" cy="1651635"/>
                  <wp:effectExtent l="0" t="0" r="5715" b="5715"/>
                  <wp:wrapTopAndBottom/>
                  <wp:docPr id="2" name="图片 2" descr="efaa5eb3-0ffe-4456-b6c5-a28adcb1ff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efaa5eb3-0ffe-4456-b6c5-a28adcb1ffc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rcRect b="105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1685" cy="16516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vertAlign w:val="baseline"/>
                <w:lang w:val="en-US" w:eastAsia="zh-CN"/>
              </w:rPr>
              <w:t>图2 中国两字机器学习专利在不同国家和地区的申请情况</w:t>
            </w:r>
            <w:r>
              <w:rPr>
                <w:rFonts w:hint="eastAsia"/>
                <w:color w:val="FF0000"/>
                <w:sz w:val="18"/>
                <w:lang w:eastAsia="zh-CN"/>
              </w:rPr>
              <w:t>（</w:t>
            </w:r>
            <w:r>
              <w:rPr>
                <w:rFonts w:hint="eastAsia"/>
                <w:color w:val="FF0000"/>
                <w:sz w:val="18"/>
                <w:lang w:val="en-US" w:eastAsia="zh-CN"/>
              </w:rPr>
              <w:t>小五楷</w:t>
            </w:r>
            <w:r>
              <w:rPr>
                <w:rFonts w:hint="eastAsia"/>
                <w:color w:val="FF0000"/>
                <w:sz w:val="18"/>
                <w:lang w:eastAsia="zh-CN"/>
              </w:rPr>
              <w:t>）</w:t>
            </w:r>
          </w:p>
        </w:tc>
      </w:tr>
      <w:tr w14:paraId="4B359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2" w:hRule="atLeast"/>
        </w:trPr>
        <w:tc>
          <w:tcPr>
            <w:tcW w:w="9061" w:type="dxa"/>
          </w:tcPr>
          <w:p w14:paraId="5D8E6E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drawing>
                <wp:anchor distT="0" distB="0" distL="0" distR="0" simplePos="0" relativeHeight="251661312" behindDoc="0" locked="0" layoutInCell="1" allowOverlap="1">
                  <wp:simplePos x="0" y="0"/>
                  <wp:positionH relativeFrom="column">
                    <wp:posOffset>1564005</wp:posOffset>
                  </wp:positionH>
                  <wp:positionV relativeFrom="paragraph">
                    <wp:posOffset>114300</wp:posOffset>
                  </wp:positionV>
                  <wp:extent cx="2032635" cy="1155065"/>
                  <wp:effectExtent l="0" t="0" r="5715" b="6985"/>
                  <wp:wrapSquare wrapText="bothSides"/>
                  <wp:docPr id="1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9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2635" cy="1155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EE123C3">
            <w:pPr>
              <w:keepNext w:val="0"/>
              <w:keepLines w:val="0"/>
              <w:suppressLineNumbers w:val="0"/>
              <w:adjustRightInd w:val="0"/>
              <w:snapToGrid w:val="0"/>
              <w:spacing w:before="0" w:beforeAutospacing="0" w:after="0" w:afterAutospacing="0"/>
              <w:ind w:left="0" w:right="0" w:firstLine="370" w:firstLineChars="200"/>
              <w:rPr>
                <w:rFonts w:hint="default"/>
              </w:rPr>
            </w:pPr>
          </w:p>
          <w:p w14:paraId="688CCE9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/>
              </w:rPr>
            </w:pPr>
          </w:p>
          <w:p w14:paraId="667071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eastAsia"/>
              </w:rPr>
            </w:pPr>
          </w:p>
          <w:p w14:paraId="45A239F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both"/>
              <w:textAlignment w:val="auto"/>
              <w:rPr>
                <w:rFonts w:hint="default"/>
                <w:sz w:val="18"/>
                <w:szCs w:val="20"/>
              </w:rPr>
            </w:pPr>
          </w:p>
          <w:p w14:paraId="320222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eastAsia" w:ascii="宋体" w:hAnsi="宋体" w:cs="宋体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sz w:val="18"/>
                <w:szCs w:val="20"/>
              </w:rPr>
              <w:t>图</w:t>
            </w:r>
            <w:r>
              <w:rPr>
                <w:rFonts w:hint="eastAsia" w:ascii="楷体_GB2312" w:hAnsi="楷体_GB2312" w:eastAsia="楷体_GB2312" w:cs="楷体_GB2312"/>
                <w:sz w:val="18"/>
                <w:szCs w:val="20"/>
                <w:lang w:val="en-US" w:eastAsia="zh-CN"/>
              </w:rPr>
              <w:t xml:space="preserve">3 </w:t>
            </w:r>
            <w:r>
              <w:rPr>
                <w:rFonts w:hint="eastAsia" w:ascii="楷体_GB2312" w:hAnsi="楷体_GB2312" w:eastAsia="楷体_GB2312" w:cs="楷体_GB2312"/>
                <w:sz w:val="18"/>
              </w:rPr>
              <w:t>简化喷嘴内部空化流动及喷雾</w:t>
            </w:r>
            <w:r>
              <w:rPr>
                <w:rFonts w:hint="eastAsia"/>
                <w:color w:val="FF0000"/>
                <w:sz w:val="18"/>
                <w:lang w:eastAsia="zh-CN"/>
              </w:rPr>
              <w:t>（</w:t>
            </w:r>
            <w:r>
              <w:rPr>
                <w:rFonts w:hint="eastAsia"/>
                <w:color w:val="FF0000"/>
                <w:sz w:val="18"/>
                <w:lang w:val="en-US" w:eastAsia="zh-CN"/>
              </w:rPr>
              <w:t>小五楷</w:t>
            </w:r>
            <w:r>
              <w:rPr>
                <w:rFonts w:hint="eastAsia"/>
                <w:color w:val="FF0000"/>
                <w:sz w:val="18"/>
                <w:lang w:eastAsia="zh-CN"/>
              </w:rPr>
              <w:t>）</w:t>
            </w:r>
          </w:p>
        </w:tc>
      </w:tr>
      <w:tr w14:paraId="097F6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2" w:hRule="atLeast"/>
        </w:trPr>
        <w:tc>
          <w:tcPr>
            <w:tcW w:w="9061" w:type="dxa"/>
          </w:tcPr>
          <w:p w14:paraId="27D763B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default"/>
                <w:sz w:val="18"/>
                <w:szCs w:val="20"/>
                <w:lang w:val="en-US"/>
              </w:rPr>
            </w:pP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vertAlign w:val="baseline"/>
                <w:lang w:val="en-US" w:eastAsia="zh-CN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1500505</wp:posOffset>
                  </wp:positionH>
                  <wp:positionV relativeFrom="paragraph">
                    <wp:posOffset>220980</wp:posOffset>
                  </wp:positionV>
                  <wp:extent cx="2326640" cy="1658620"/>
                  <wp:effectExtent l="0" t="0" r="0" b="0"/>
                  <wp:wrapTopAndBottom/>
                  <wp:docPr id="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rcRect b="109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640" cy="1658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方正楷体_GB2312" w:hAnsi="方正楷体_GB2312" w:eastAsia="方正楷体_GB2312" w:cs="方正楷体_GB2312"/>
                <w:sz w:val="18"/>
                <w:szCs w:val="18"/>
                <w:vertAlign w:val="baseline"/>
                <w:lang w:val="en-US" w:eastAsia="zh-CN"/>
              </w:rPr>
              <w:t>图4 反应装置示意</w:t>
            </w:r>
            <w:r>
              <w:rPr>
                <w:rFonts w:hint="eastAsia"/>
                <w:color w:val="FF0000"/>
                <w:sz w:val="18"/>
                <w:lang w:eastAsia="zh-CN"/>
              </w:rPr>
              <w:t>（</w:t>
            </w:r>
            <w:r>
              <w:rPr>
                <w:rFonts w:hint="eastAsia"/>
                <w:color w:val="FF0000"/>
                <w:sz w:val="18"/>
                <w:lang w:val="en-US" w:eastAsia="zh-CN"/>
              </w:rPr>
              <w:t>小五楷</w:t>
            </w:r>
            <w:r>
              <w:rPr>
                <w:rFonts w:hint="eastAsia"/>
                <w:color w:val="FF0000"/>
                <w:sz w:val="18"/>
                <w:lang w:eastAsia="zh-CN"/>
              </w:rPr>
              <w:t>）</w:t>
            </w:r>
          </w:p>
        </w:tc>
      </w:tr>
    </w:tbl>
    <w:p w14:paraId="05A6231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textAlignment w:val="auto"/>
        <w:rPr>
          <w:rFonts w:hint="eastAsia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表格</w:t>
      </w:r>
    </w:p>
    <w:p w14:paraId="2EC1FD5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表格著录格式应执行《CY/T170—2019 学术出版规范 表格》。表格宜采用“三线表”，在文中的位置应是随文给出，先见文字，后见表格。</w:t>
      </w:r>
    </w:p>
    <w:p w14:paraId="0A7D054A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highlight w:val="yellow"/>
          <w:lang w:val="en-US" w:eastAsia="zh-CN"/>
        </w:rPr>
        <w:t>表序号与标题之间空一个汉字，表题为小五楷，表中字号为小五号，</w:t>
      </w:r>
      <w:r>
        <w:rPr>
          <w:rFonts w:hint="default" w:ascii="Times New Roman" w:hAnsi="Times New Roman" w:eastAsia="宋体" w:cs="Times New Roman"/>
          <w:szCs w:val="21"/>
          <w:highlight w:val="yellow"/>
          <w:lang w:val="en-US" w:eastAsia="zh-CN"/>
        </w:rPr>
        <w:t>汉字用宋体，英文和数字用Times New Roman，罗马字用Symbol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。</w:t>
      </w:r>
    </w:p>
    <w:p w14:paraId="251C0D2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表头中量和单位的标注形式应为“量的名称或符号/单位符号”，如“</w:t>
      </w:r>
      <w:r>
        <w:rPr>
          <w:rFonts w:hint="eastAsia" w:ascii="Times New Roman" w:hAnsi="Times New Roman" w:eastAsia="宋体" w:cs="Times New Roman"/>
          <w:i/>
          <w:iCs/>
          <w:szCs w:val="21"/>
          <w:lang w:val="en-US" w:eastAsia="zh-CN"/>
        </w:rPr>
        <w:t>T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1/℃”“</w:t>
      </w:r>
      <w:r>
        <w:rPr>
          <w:rFonts w:hint="eastAsia" w:ascii="Times New Roman" w:hAnsi="Times New Roman" w:eastAsia="宋体" w:cs="Times New Roman"/>
          <w:i/>
          <w:iCs/>
          <w:szCs w:val="21"/>
          <w:lang w:val="en-US" w:eastAsia="zh-CN"/>
        </w:rPr>
        <w:t>m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/kg”“</w:t>
      </w:r>
      <w:r>
        <w:rPr>
          <w:rFonts w:hint="eastAsia" w:ascii="Times New Roman" w:hAnsi="Times New Roman" w:eastAsia="宋体" w:cs="Times New Roman"/>
          <w:i/>
          <w:iCs/>
          <w:szCs w:val="21"/>
          <w:lang w:val="en-US" w:eastAsia="zh-CN"/>
        </w:rPr>
        <w:t>v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/(m·s</w:t>
      </w:r>
      <w:r>
        <w:rPr>
          <w:rFonts w:hint="eastAsia" w:ascii="Times New Roman" w:hAnsi="Times New Roman" w:eastAsia="宋体" w:cs="Times New Roman"/>
          <w:szCs w:val="21"/>
          <w:vertAlign w:val="superscript"/>
          <w:lang w:val="en-US" w:eastAsia="zh-CN"/>
        </w:rPr>
        <w:t>-1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)”“直径/mm”，不要用括号标注。表格中涉及的单位全部相同时，宜在表的右上方统一标注。表头中不能使用斜线。</w:t>
      </w:r>
    </w:p>
    <w:p w14:paraId="3AEBE16A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表中同类数据，小数点后的位数应一致。（</w:t>
      </w:r>
      <w:r>
        <w:rPr>
          <w:rFonts w:hint="eastAsia" w:ascii="Times New Roman" w:hAnsi="Times New Roman" w:eastAsia="宋体" w:cs="Times New Roman"/>
          <w:szCs w:val="21"/>
          <w:highlight w:val="yellow"/>
          <w:lang w:val="en-US" w:eastAsia="zh-CN"/>
        </w:rPr>
        <w:t>注：同类数据，全文的小数点位数都应一致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）</w:t>
      </w:r>
    </w:p>
    <w:p w14:paraId="069BB179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续表需要在表头右上方加“续表”字样。</w:t>
      </w:r>
    </w:p>
    <w:p w14:paraId="7C852C4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表身中的“空白”表示无此项或未测量，“—”表示测量过而未发现，“0”表示实测结果为零。</w:t>
      </w:r>
    </w:p>
    <w:p w14:paraId="5B424D3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Chars="0"/>
        <w:textAlignment w:val="auto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示例如下：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1"/>
      </w:tblGrid>
      <w:tr w14:paraId="6637D5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</w:trPr>
        <w:tc>
          <w:tcPr>
            <w:tcW w:w="9061" w:type="dxa"/>
          </w:tcPr>
          <w:p w14:paraId="0E2C19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黑体" w:cs="Times New Roman"/>
                <w:b/>
                <w:bCs/>
                <w:sz w:val="18"/>
                <w:szCs w:val="18"/>
                <w:lang w:val="en-US"/>
              </w:rPr>
            </w:pPr>
            <w:bookmarkStart w:id="1" w:name="_Hlk195283403"/>
            <w:r>
              <w:rPr>
                <w:rFonts w:hint="default" w:ascii="Times New Roman" w:hAnsi="Times New Roman" w:eastAsia="方正楷体_GB2312" w:cs="Times New Roman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 xml:space="preserve">表1 山东省新质生产力发展水平Moran's </w:t>
            </w:r>
            <w:r>
              <w:rPr>
                <w:rFonts w:hint="default" w:ascii="Times New Roman" w:hAnsi="Times New Roman" w:eastAsia="方正楷体_GB2312" w:cs="Times New Roman"/>
                <w:b w:val="0"/>
                <w:bCs w:val="0"/>
                <w:i/>
                <w:iCs/>
                <w:kern w:val="2"/>
                <w:sz w:val="18"/>
                <w:szCs w:val="18"/>
                <w:lang w:val="en-US" w:eastAsia="zh-CN" w:bidi="ar"/>
              </w:rPr>
              <w:t>I</w:t>
            </w:r>
            <w:r>
              <w:rPr>
                <w:rFonts w:hint="default" w:ascii="Times New Roman" w:hAnsi="Times New Roman" w:eastAsia="方正楷体_GB2312" w:cs="Times New Roman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统计表</w:t>
            </w:r>
            <w:r>
              <w:rPr>
                <w:rFonts w:hint="eastAsia"/>
                <w:color w:val="FF0000"/>
                <w:sz w:val="18"/>
                <w:lang w:eastAsia="zh-CN"/>
              </w:rPr>
              <w:t>（</w:t>
            </w:r>
            <w:r>
              <w:rPr>
                <w:rFonts w:hint="eastAsia"/>
                <w:color w:val="FF0000"/>
                <w:sz w:val="18"/>
                <w:lang w:val="en-US" w:eastAsia="zh-CN"/>
              </w:rPr>
              <w:t>小五楷</w:t>
            </w:r>
            <w:r>
              <w:rPr>
                <w:rFonts w:hint="eastAsia"/>
                <w:color w:val="FF0000"/>
                <w:sz w:val="18"/>
                <w:lang w:eastAsia="zh-CN"/>
              </w:rPr>
              <w:t>）</w:t>
            </w:r>
          </w:p>
          <w:bookmarkEnd w:id="1"/>
          <w:tbl>
            <w:tblPr>
              <w:tblStyle w:val="3"/>
              <w:tblW w:w="0" w:type="auto"/>
              <w:jc w:val="center"/>
              <w:tblBorders>
                <w:top w:val="single" w:color="auto" w:sz="12" w:space="0"/>
                <w:left w:val="none" w:color="auto" w:sz="6" w:space="0"/>
                <w:bottom w:val="single" w:color="auto" w:sz="12" w:space="0"/>
                <w:right w:val="none" w:color="auto" w:sz="6" w:space="0"/>
                <w:insideH w:val="outset" w:color="auto" w:sz="6" w:space="0"/>
                <w:insideV w:val="outset" w:color="auto" w:sz="6" w:space="0"/>
              </w:tblBorders>
              <w:shd w:val="clear" w:color="auto" w:fill="auto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208"/>
              <w:gridCol w:w="2226"/>
              <w:gridCol w:w="2193"/>
              <w:gridCol w:w="2218"/>
            </w:tblGrid>
            <w:tr w14:paraId="772DF530">
              <w:tblPrEx>
                <w:tblBorders>
                  <w:top w:val="single" w:color="auto" w:sz="12" w:space="0"/>
                  <w:left w:val="none" w:color="auto" w:sz="6" w:space="0"/>
                  <w:bottom w:val="single" w:color="auto" w:sz="12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208" w:type="dxa"/>
                  <w:tcBorders>
                    <w:top w:val="single" w:color="auto" w:sz="12" w:space="0"/>
                    <w:left w:val="nil"/>
                    <w:bottom w:val="single" w:color="auto" w:sz="6" w:space="0"/>
                    <w:right w:val="nil"/>
                  </w:tcBorders>
                  <w:shd w:val="clear" w:color="auto" w:fill="auto"/>
                  <w:vAlign w:val="center"/>
                </w:tcPr>
                <w:p w14:paraId="1919F0D6"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default" w:ascii="Times New Roman" w:hAnsi="Times New Roman" w:cs="Times New Roman" w:eastAsiaTheme="majorEastAsia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ajorEastAsia"/>
                      <w:kern w:val="2"/>
                      <w:sz w:val="18"/>
                      <w:szCs w:val="18"/>
                      <w:lang w:val="en-US" w:eastAsia="zh-CN" w:bidi="ar"/>
                    </w:rPr>
                    <w:t>年份</w:t>
                  </w:r>
                </w:p>
              </w:tc>
              <w:tc>
                <w:tcPr>
                  <w:tcW w:w="2226" w:type="dxa"/>
                  <w:tcBorders>
                    <w:top w:val="single" w:color="auto" w:sz="12" w:space="0"/>
                    <w:left w:val="nil"/>
                    <w:bottom w:val="single" w:color="auto" w:sz="6" w:space="0"/>
                    <w:right w:val="nil"/>
                  </w:tcBorders>
                  <w:shd w:val="clear" w:color="auto" w:fill="auto"/>
                  <w:vAlign w:val="center"/>
                </w:tcPr>
                <w:p w14:paraId="0B86E6D5"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default" w:ascii="Times New Roman" w:hAnsi="Times New Roman" w:cs="Times New Roman" w:eastAsiaTheme="majorEastAsia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ajorEastAsia"/>
                      <w:kern w:val="2"/>
                      <w:sz w:val="18"/>
                      <w:szCs w:val="18"/>
                      <w:lang w:val="en-US" w:eastAsia="zh-CN" w:bidi="ar"/>
                    </w:rPr>
                    <w:t>Moran's</w:t>
                  </w:r>
                  <w:r>
                    <w:rPr>
                      <w:rFonts w:hint="eastAsia" w:ascii="Times New Roman" w:hAnsi="Times New Roman" w:cs="Times New Roman" w:eastAsiaTheme="majorEastAsia"/>
                      <w:i/>
                      <w:iCs/>
                      <w:kern w:val="2"/>
                      <w:sz w:val="18"/>
                      <w:szCs w:val="18"/>
                      <w:lang w:val="en-US" w:eastAsia="zh-CN" w:bidi="ar"/>
                    </w:rPr>
                    <w:t xml:space="preserve"> </w:t>
                  </w:r>
                  <w:r>
                    <w:rPr>
                      <w:rFonts w:hint="default" w:ascii="Times New Roman" w:hAnsi="Times New Roman" w:cs="Times New Roman" w:eastAsiaTheme="majorEastAsia"/>
                      <w:i/>
                      <w:iCs/>
                      <w:kern w:val="2"/>
                      <w:sz w:val="18"/>
                      <w:szCs w:val="18"/>
                      <w:lang w:val="en-US" w:eastAsia="zh-CN" w:bidi="ar"/>
                    </w:rPr>
                    <w:t>I</w:t>
                  </w:r>
                </w:p>
              </w:tc>
              <w:tc>
                <w:tcPr>
                  <w:tcW w:w="2193" w:type="dxa"/>
                  <w:tcBorders>
                    <w:top w:val="single" w:color="auto" w:sz="12" w:space="0"/>
                    <w:left w:val="nil"/>
                    <w:bottom w:val="single" w:color="auto" w:sz="6" w:space="0"/>
                    <w:right w:val="nil"/>
                  </w:tcBorders>
                  <w:shd w:val="clear" w:color="auto" w:fill="auto"/>
                  <w:vAlign w:val="center"/>
                </w:tcPr>
                <w:p w14:paraId="608F172C"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default" w:ascii="Times New Roman" w:hAnsi="Times New Roman" w:cs="Times New Roman" w:eastAsiaTheme="majorEastAsia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ajorEastAsia"/>
                      <w:i/>
                      <w:iCs/>
                      <w:kern w:val="2"/>
                      <w:sz w:val="18"/>
                      <w:szCs w:val="18"/>
                      <w:lang w:val="en-US" w:eastAsia="zh-CN" w:bidi="ar"/>
                    </w:rPr>
                    <w:t>P</w:t>
                  </w:r>
                  <w:r>
                    <w:rPr>
                      <w:rFonts w:hint="default" w:ascii="Times New Roman" w:hAnsi="Times New Roman" w:cs="Times New Roman" w:eastAsiaTheme="majorEastAsia"/>
                      <w:kern w:val="2"/>
                      <w:sz w:val="18"/>
                      <w:szCs w:val="18"/>
                      <w:lang w:val="en-US" w:eastAsia="zh-CN" w:bidi="ar"/>
                    </w:rPr>
                    <w:t>值</w:t>
                  </w:r>
                </w:p>
              </w:tc>
              <w:tc>
                <w:tcPr>
                  <w:tcW w:w="2218" w:type="dxa"/>
                  <w:tcBorders>
                    <w:top w:val="single" w:color="auto" w:sz="12" w:space="0"/>
                    <w:left w:val="nil"/>
                    <w:bottom w:val="single" w:color="auto" w:sz="6" w:space="0"/>
                    <w:right w:val="nil"/>
                  </w:tcBorders>
                  <w:shd w:val="clear" w:color="auto" w:fill="auto"/>
                  <w:vAlign w:val="center"/>
                </w:tcPr>
                <w:p w14:paraId="2F18ABAC"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default" w:ascii="Times New Roman" w:hAnsi="Times New Roman" w:cs="Times New Roman" w:eastAsiaTheme="majorEastAsia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ajorEastAsia"/>
                      <w:kern w:val="2"/>
                      <w:sz w:val="18"/>
                      <w:szCs w:val="18"/>
                      <w:lang w:val="en-US" w:eastAsia="zh-CN" w:bidi="ar"/>
                    </w:rPr>
                    <w:t>显著性水平</w:t>
                  </w:r>
                </w:p>
              </w:tc>
            </w:tr>
            <w:tr w14:paraId="5FA1E5A8">
              <w:tblPrEx>
                <w:tblBorders>
                  <w:top w:val="single" w:color="auto" w:sz="12" w:space="0"/>
                  <w:left w:val="none" w:color="auto" w:sz="6" w:space="0"/>
                  <w:bottom w:val="single" w:color="auto" w:sz="12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2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31496AD"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default" w:ascii="Times New Roman" w:hAnsi="Times New Roman" w:cs="Times New Roman" w:eastAsiaTheme="majorEastAsia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ajorEastAsia"/>
                      <w:kern w:val="2"/>
                      <w:sz w:val="18"/>
                      <w:szCs w:val="18"/>
                      <w:lang w:val="en-US" w:eastAsia="zh-CN" w:bidi="ar"/>
                    </w:rPr>
                    <w:t>2010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553DA665"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default" w:ascii="Times New Roman" w:hAnsi="Times New Roman" w:cs="Times New Roman" w:eastAsiaTheme="majorEastAsia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ajorEastAsia"/>
                      <w:kern w:val="2"/>
                      <w:sz w:val="18"/>
                      <w:szCs w:val="18"/>
                      <w:lang w:val="en-US" w:eastAsia="zh-CN" w:bidi="ar"/>
                    </w:rPr>
                    <w:t>0.6176</w:t>
                  </w:r>
                </w:p>
              </w:tc>
              <w:tc>
                <w:tcPr>
                  <w:tcW w:w="21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20F40B7"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default" w:ascii="Times New Roman" w:hAnsi="Times New Roman" w:cs="Times New Roman" w:eastAsiaTheme="majorEastAsia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ajorEastAsia"/>
                      <w:kern w:val="2"/>
                      <w:sz w:val="18"/>
                      <w:szCs w:val="18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9BE8FC3"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default" w:ascii="Times New Roman" w:hAnsi="Times New Roman" w:cs="Times New Roman" w:eastAsiaTheme="majorEastAsia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ajorEastAsia"/>
                      <w:kern w:val="2"/>
                      <w:sz w:val="18"/>
                      <w:szCs w:val="18"/>
                      <w:lang w:val="en-US" w:eastAsia="zh-CN" w:bidi="ar"/>
                    </w:rPr>
                    <w:t>99.9%</w:t>
                  </w:r>
                </w:p>
              </w:tc>
            </w:tr>
            <w:tr w14:paraId="02FB83FD">
              <w:tblPrEx>
                <w:tblBorders>
                  <w:top w:val="single" w:color="auto" w:sz="12" w:space="0"/>
                  <w:left w:val="none" w:color="auto" w:sz="6" w:space="0"/>
                  <w:bottom w:val="single" w:color="auto" w:sz="12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2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81713F0"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default" w:ascii="Times New Roman" w:hAnsi="Times New Roman" w:cs="Times New Roman" w:eastAsiaTheme="majorEastAsia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ajorEastAsia"/>
                      <w:kern w:val="2"/>
                      <w:sz w:val="18"/>
                      <w:szCs w:val="18"/>
                      <w:lang w:val="en-US" w:eastAsia="zh-CN" w:bidi="ar"/>
                    </w:rPr>
                    <w:t>2015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3636EFC"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default" w:ascii="Times New Roman" w:hAnsi="Times New Roman" w:cs="Times New Roman" w:eastAsiaTheme="majorEastAsia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ajorEastAsia"/>
                      <w:kern w:val="2"/>
                      <w:sz w:val="18"/>
                      <w:szCs w:val="18"/>
                      <w:lang w:val="en-US" w:eastAsia="zh-CN" w:bidi="ar"/>
                    </w:rPr>
                    <w:t>0.6307</w:t>
                  </w:r>
                </w:p>
              </w:tc>
              <w:tc>
                <w:tcPr>
                  <w:tcW w:w="219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1CCBC9A"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default" w:ascii="Times New Roman" w:hAnsi="Times New Roman" w:cs="Times New Roman" w:eastAsiaTheme="majorEastAsia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ajorEastAsia"/>
                      <w:kern w:val="2"/>
                      <w:sz w:val="18"/>
                      <w:szCs w:val="18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22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E07B1E0"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default" w:ascii="Times New Roman" w:hAnsi="Times New Roman" w:cs="Times New Roman" w:eastAsiaTheme="majorEastAsia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ajorEastAsia"/>
                      <w:kern w:val="2"/>
                      <w:sz w:val="18"/>
                      <w:szCs w:val="18"/>
                      <w:lang w:val="en-US" w:eastAsia="zh-CN" w:bidi="ar"/>
                    </w:rPr>
                    <w:t>99.9%</w:t>
                  </w:r>
                </w:p>
              </w:tc>
            </w:tr>
            <w:tr w14:paraId="0D3F4187">
              <w:tblPrEx>
                <w:tblBorders>
                  <w:top w:val="single" w:color="auto" w:sz="12" w:space="0"/>
                  <w:left w:val="none" w:color="auto" w:sz="6" w:space="0"/>
                  <w:bottom w:val="single" w:color="auto" w:sz="12" w:space="0"/>
                  <w:right w:val="none" w:color="auto" w:sz="6" w:space="0"/>
                  <w:insideH w:val="outset" w:color="auto" w:sz="6" w:space="0"/>
                  <w:insideV w:val="outset" w:color="auto" w:sz="6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jc w:val="center"/>
              </w:trPr>
              <w:tc>
                <w:tcPr>
                  <w:tcW w:w="2208" w:type="dxa"/>
                  <w:tcBorders>
                    <w:top w:val="nil"/>
                    <w:left w:val="nil"/>
                    <w:bottom w:val="single" w:color="auto" w:sz="12" w:space="0"/>
                    <w:right w:val="nil"/>
                  </w:tcBorders>
                  <w:shd w:val="clear" w:color="auto" w:fill="auto"/>
                  <w:vAlign w:val="center"/>
                </w:tcPr>
                <w:p w14:paraId="39823676"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default" w:ascii="Times New Roman" w:hAnsi="Times New Roman" w:cs="Times New Roman" w:eastAsiaTheme="majorEastAsia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ajorEastAsia"/>
                      <w:color w:val="000000"/>
                      <w:kern w:val="2"/>
                      <w:sz w:val="18"/>
                      <w:szCs w:val="18"/>
                      <w:lang w:val="en-US" w:eastAsia="zh-CN" w:bidi="ar"/>
                    </w:rPr>
                    <w:t>2020</w:t>
                  </w:r>
                </w:p>
              </w:tc>
              <w:tc>
                <w:tcPr>
                  <w:tcW w:w="2226" w:type="dxa"/>
                  <w:tcBorders>
                    <w:top w:val="nil"/>
                    <w:left w:val="nil"/>
                    <w:bottom w:val="single" w:color="auto" w:sz="12" w:space="0"/>
                    <w:right w:val="nil"/>
                  </w:tcBorders>
                  <w:shd w:val="clear" w:color="auto" w:fill="auto"/>
                  <w:vAlign w:val="center"/>
                </w:tcPr>
                <w:p w14:paraId="6FA3B3EF"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default" w:ascii="Times New Roman" w:hAnsi="Times New Roman" w:cs="Times New Roman" w:eastAsiaTheme="majorEastAsia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ajorEastAsia"/>
                      <w:color w:val="000000"/>
                      <w:kern w:val="2"/>
                      <w:sz w:val="18"/>
                      <w:szCs w:val="18"/>
                      <w:lang w:val="en-US" w:eastAsia="zh-CN" w:bidi="ar"/>
                    </w:rPr>
                    <w:t>0.6562</w:t>
                  </w:r>
                </w:p>
              </w:tc>
              <w:tc>
                <w:tcPr>
                  <w:tcW w:w="2193" w:type="dxa"/>
                  <w:tcBorders>
                    <w:top w:val="nil"/>
                    <w:left w:val="nil"/>
                    <w:bottom w:val="single" w:color="auto" w:sz="12" w:space="0"/>
                    <w:right w:val="nil"/>
                  </w:tcBorders>
                  <w:shd w:val="clear" w:color="auto" w:fill="auto"/>
                  <w:vAlign w:val="center"/>
                </w:tcPr>
                <w:p w14:paraId="2D8E9C0D"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default" w:ascii="Times New Roman" w:hAnsi="Times New Roman" w:cs="Times New Roman" w:eastAsiaTheme="majorEastAsia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ajorEastAsia"/>
                      <w:color w:val="000000"/>
                      <w:kern w:val="2"/>
                      <w:sz w:val="18"/>
                      <w:szCs w:val="18"/>
                      <w:lang w:val="en-US" w:eastAsia="zh-CN" w:bidi="ar"/>
                    </w:rPr>
                    <w:t>0</w:t>
                  </w:r>
                </w:p>
              </w:tc>
              <w:tc>
                <w:tcPr>
                  <w:tcW w:w="2218" w:type="dxa"/>
                  <w:tcBorders>
                    <w:top w:val="nil"/>
                    <w:left w:val="nil"/>
                    <w:bottom w:val="single" w:color="auto" w:sz="12" w:space="0"/>
                    <w:right w:val="nil"/>
                  </w:tcBorders>
                  <w:shd w:val="clear" w:color="auto" w:fill="auto"/>
                  <w:vAlign w:val="center"/>
                </w:tcPr>
                <w:p w14:paraId="0D2763F0">
                  <w:pPr>
                    <w:keepNext w:val="0"/>
                    <w:keepLines w:val="0"/>
                    <w:widowControl w:val="0"/>
                    <w:suppressLineNumbers w:val="0"/>
                    <w:spacing w:before="0" w:beforeAutospacing="0" w:after="0" w:afterAutospacing="0" w:line="240" w:lineRule="auto"/>
                    <w:ind w:left="0" w:right="0"/>
                    <w:jc w:val="center"/>
                    <w:rPr>
                      <w:rFonts w:hint="default" w:ascii="Times New Roman" w:hAnsi="Times New Roman" w:cs="Times New Roman" w:eastAsiaTheme="majorEastAsia"/>
                      <w:color w:val="000000"/>
                      <w:sz w:val="18"/>
                      <w:szCs w:val="18"/>
                      <w:lang w:val="en-US"/>
                    </w:rPr>
                  </w:pPr>
                  <w:r>
                    <w:rPr>
                      <w:rFonts w:hint="default" w:ascii="Times New Roman" w:hAnsi="Times New Roman" w:cs="Times New Roman" w:eastAsiaTheme="majorEastAsia"/>
                      <w:color w:val="000000"/>
                      <w:kern w:val="2"/>
                      <w:sz w:val="18"/>
                      <w:szCs w:val="18"/>
                      <w:lang w:val="en-US" w:eastAsia="zh-CN" w:bidi="ar"/>
                    </w:rPr>
                    <w:t>99.9%</w:t>
                  </w:r>
                </w:p>
              </w:tc>
            </w:tr>
          </w:tbl>
          <w:p w14:paraId="6EF9B0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textAlignment w:val="auto"/>
              <w:rPr>
                <w:rFonts w:hint="default" w:ascii="Times New Roman" w:hAnsi="Times New Roman" w:eastAsia="宋体" w:cs="Times New Roman"/>
                <w:szCs w:val="21"/>
                <w:vertAlign w:val="baseline"/>
                <w:lang w:val="en-US" w:eastAsia="zh-CN"/>
              </w:rPr>
            </w:pPr>
          </w:p>
        </w:tc>
      </w:tr>
      <w:tr w14:paraId="6BE25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8" w:hRule="atLeast"/>
        </w:trPr>
        <w:tc>
          <w:tcPr>
            <w:tcW w:w="9061" w:type="dxa"/>
          </w:tcPr>
          <w:p w14:paraId="21DE06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Autospacing="0" w:after="0" w:afterAutospacing="0" w:line="4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方正楷体_GB2312" w:cs="Times New Roman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表</w:t>
            </w:r>
            <w:r>
              <w:rPr>
                <w:rFonts w:hint="eastAsia" w:ascii="Times New Roman" w:hAnsi="Times New Roman" w:eastAsia="方正楷体_GB2312" w:cs="Times New Roman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方正楷体_GB2312" w:cs="Times New Roman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t xml:space="preserve"> 转移任务重发送方和接收方脑区激活的统计结</w:t>
            </w:r>
            <w:r>
              <w:rPr>
                <w:rFonts w:hint="default" w:ascii="Times New Roman" w:hAnsi="Times New Roman" w:eastAsia="方正楷体_GB2312" w:cs="Times New Roman"/>
                <w:szCs w:val="21"/>
                <w:vertAlign w:val="baseline"/>
                <w:lang w:val="en-US" w:eastAsia="zh-CN"/>
              </w:rPr>
              <w:t>果</w:t>
            </w:r>
            <w:r>
              <w:rPr>
                <w:rFonts w:hint="default" w:ascii="Times New Roman" w:hAnsi="Times New Roman" w:eastAsia="方正楷体_GB2312" w:cs="Times New Roman"/>
                <w:b w:val="0"/>
                <w:bCs w:val="0"/>
                <w:kern w:val="2"/>
                <w:sz w:val="18"/>
                <w:szCs w:val="18"/>
                <w:lang w:val="en-US"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-22225</wp:posOffset>
                  </wp:positionH>
                  <wp:positionV relativeFrom="paragraph">
                    <wp:posOffset>395605</wp:posOffset>
                  </wp:positionV>
                  <wp:extent cx="5612765" cy="1250950"/>
                  <wp:effectExtent l="0" t="0" r="6985" b="6350"/>
                  <wp:wrapTopAndBottom/>
                  <wp:docPr id="6" name="图片 6" descr="54a173df-ce07-4b4a-9677-60106b6f0a0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 descr="54a173df-ce07-4b4a-9677-60106b6f0a0a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12765" cy="125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F17F4A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textAlignment w:val="auto"/>
        <w:rPr>
          <w:rFonts w:hint="default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（三）量名称、量符号与量单位</w:t>
      </w:r>
    </w:p>
    <w:p w14:paraId="1E8103E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textAlignment w:val="auto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文稿作者应当严格执行国家标准《GB/3101—93 有关量、单位和符号的一般原则》，正确地使用量名称、符号与单位。文中所用量符号，应在首次出现时加以定义。</w:t>
      </w:r>
      <w:r>
        <w:rPr>
          <w:rFonts w:hint="eastAsia" w:ascii="Times New Roman" w:hAnsi="Times New Roman" w:eastAsia="宋体" w:cs="Times New Roman"/>
          <w:szCs w:val="21"/>
          <w:highlight w:val="yellow"/>
          <w:lang w:val="en-US" w:eastAsia="zh-CN"/>
        </w:rPr>
        <w:t>同一个量的符号，应全文统一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。</w:t>
      </w:r>
    </w:p>
    <w:p w14:paraId="2498EB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textAlignment w:val="auto"/>
        <w:rPr>
          <w:rFonts w:hint="eastAsia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（四）数字和字符的正体和斜体</w:t>
      </w:r>
    </w:p>
    <w:p w14:paraId="4878B1F2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Cs w:val="21"/>
          <w:lang w:val="en-US" w:eastAsia="zh-CN"/>
        </w:rPr>
        <w:t>单一字母量的符号、变量符号、从量的符号转化的角标、一般函数符号等使用</w:t>
      </w:r>
      <w:r>
        <w:rPr>
          <w:rFonts w:hint="default" w:ascii="Times New Roman" w:hAnsi="Times New Roman" w:eastAsia="宋体" w:cs="Times New Roman"/>
          <w:szCs w:val="21"/>
          <w:highlight w:val="yellow"/>
          <w:lang w:val="en-US" w:eastAsia="zh-CN"/>
        </w:rPr>
        <w:t>斜体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 xml:space="preserve">。 </w:t>
      </w:r>
    </w:p>
    <w:p w14:paraId="530DFD6A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Cs w:val="21"/>
          <w:lang w:val="en-US" w:eastAsia="zh-CN"/>
        </w:rPr>
        <w:t>矢量(向量)、矩阵、张量的符号使用</w:t>
      </w:r>
      <w:r>
        <w:rPr>
          <w:rFonts w:hint="default" w:ascii="Times New Roman" w:hAnsi="Times New Roman" w:eastAsia="宋体" w:cs="Times New Roman"/>
          <w:szCs w:val="21"/>
          <w:highlight w:val="yellow"/>
          <w:lang w:val="en-US" w:eastAsia="zh-CN"/>
        </w:rPr>
        <w:t>黑斜体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 xml:space="preserve">。 </w:t>
      </w:r>
    </w:p>
    <w:p w14:paraId="7992906A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Cs w:val="21"/>
          <w:lang w:val="en-US" w:eastAsia="zh-CN"/>
        </w:rPr>
        <w:t>下标符号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：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表示物理量符号的下标用斜体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；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 xml:space="preserve">其他下标用正体。 </w:t>
      </w:r>
    </w:p>
    <w:p w14:paraId="036CEAB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Chars="0" w:firstLine="555" w:firstLineChars="300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Cs w:val="21"/>
          <w:lang w:val="en-US" w:eastAsia="zh-CN"/>
        </w:rPr>
        <w:t xml:space="preserve">正体下标示例： </w:t>
      </w:r>
      <w:r>
        <w:rPr>
          <w:rFonts w:hint="default" w:ascii="Times New Roman" w:hAnsi="Times New Roman" w:eastAsia="宋体" w:cs="Times New Roman"/>
          <w:i/>
          <w:iCs/>
          <w:szCs w:val="21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szCs w:val="21"/>
          <w:vertAlign w:val="subscript"/>
          <w:lang w:val="en-US" w:eastAsia="zh-CN"/>
        </w:rPr>
        <w:t>g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g-gas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气体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；</w:t>
      </w:r>
      <w:r>
        <w:rPr>
          <w:rFonts w:hint="default" w:ascii="Times New Roman" w:hAnsi="Times New Roman" w:eastAsia="宋体" w:cs="Times New Roman"/>
          <w:i/>
          <w:iCs/>
          <w:szCs w:val="21"/>
          <w:lang w:val="en-US" w:eastAsia="zh-CN"/>
        </w:rPr>
        <w:t>g</w:t>
      </w:r>
      <w:r>
        <w:rPr>
          <w:rFonts w:hint="default" w:ascii="Times New Roman" w:hAnsi="Times New Roman" w:eastAsia="宋体" w:cs="Times New Roman"/>
          <w:szCs w:val="21"/>
          <w:vertAlign w:val="subscript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n-normal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标准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；</w:t>
      </w:r>
      <w:r>
        <w:rPr>
          <w:rFonts w:hint="default" w:ascii="Times New Roman" w:hAnsi="Times New Roman" w:eastAsia="宋体" w:cs="Times New Roman"/>
          <w:i/>
          <w:iCs/>
          <w:szCs w:val="21"/>
          <w:lang w:val="en-US" w:eastAsia="zh-CN"/>
        </w:rPr>
        <w:t>m</w:t>
      </w:r>
      <w:r>
        <w:rPr>
          <w:rFonts w:hint="default" w:ascii="Times New Roman" w:hAnsi="Times New Roman" w:eastAsia="宋体" w:cs="Times New Roman"/>
          <w:szCs w:val="21"/>
          <w:vertAlign w:val="subscript"/>
          <w:lang w:val="en-US" w:eastAsia="zh-CN"/>
        </w:rPr>
        <w:t>r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r-relative, 相对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；</w:t>
      </w:r>
      <w:r>
        <w:rPr>
          <w:rFonts w:hint="default" w:ascii="Times New Roman" w:hAnsi="Times New Roman" w:eastAsia="宋体" w:cs="Times New Roman"/>
          <w:i/>
          <w:iCs/>
          <w:szCs w:val="21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szCs w:val="21"/>
          <w:vertAlign w:val="subscript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 xml:space="preserve">。 </w:t>
      </w:r>
    </w:p>
    <w:p w14:paraId="2A0BA7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Chars="0" w:firstLine="555" w:firstLineChars="300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Cs w:val="21"/>
          <w:lang w:val="en-US" w:eastAsia="zh-CN"/>
        </w:rPr>
        <w:t xml:space="preserve">斜体下标示例： </w:t>
      </w:r>
      <w:r>
        <w:rPr>
          <w:rFonts w:hint="default" w:ascii="Times New Roman" w:hAnsi="Times New Roman" w:eastAsia="宋体" w:cs="Times New Roman"/>
          <w:i/>
          <w:iCs/>
          <w:szCs w:val="21"/>
          <w:lang w:val="en-US" w:eastAsia="zh-CN"/>
        </w:rPr>
        <w:t>C</w:t>
      </w:r>
      <w:r>
        <w:rPr>
          <w:rFonts w:hint="default" w:ascii="Times New Roman" w:hAnsi="Times New Roman" w:eastAsia="宋体" w:cs="Times New Roman"/>
          <w:i/>
          <w:iCs/>
          <w:szCs w:val="21"/>
          <w:vertAlign w:val="subscript"/>
          <w:lang w:val="en-US" w:eastAsia="zh-CN"/>
        </w:rPr>
        <w:t>p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p-压力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）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；</w:t>
      </w:r>
      <w:r>
        <w:rPr>
          <w:rFonts w:hint="default" w:ascii="Times New Roman" w:hAnsi="Times New Roman" w:eastAsia="宋体" w:cs="Times New Roman"/>
          <w:i/>
          <w:iCs/>
          <w:szCs w:val="21"/>
          <w:lang w:val="en-US" w:eastAsia="zh-CN"/>
        </w:rPr>
        <w:t>p</w:t>
      </w:r>
      <w:r>
        <w:rPr>
          <w:rFonts w:hint="default" w:ascii="Times New Roman" w:hAnsi="Times New Roman" w:eastAsia="宋体" w:cs="Times New Roman"/>
          <w:i/>
          <w:iCs/>
          <w:szCs w:val="21"/>
          <w:vertAlign w:val="subscript"/>
          <w:lang w:val="en-US" w:eastAsia="zh-CN"/>
        </w:rPr>
        <w:t>x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(</w:t>
      </w:r>
      <w:r>
        <w:rPr>
          <w:rFonts w:hint="default" w:ascii="Times New Roman" w:hAnsi="Times New Roman" w:eastAsia="宋体" w:cs="Times New Roman"/>
          <w:i/>
          <w:iCs/>
          <w:szCs w:val="21"/>
          <w:lang w:val="en-US" w:eastAsia="zh-CN"/>
        </w:rPr>
        <w:t>x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-</w:t>
      </w:r>
      <w:r>
        <w:rPr>
          <w:rFonts w:hint="default" w:ascii="Times New Roman" w:hAnsi="Times New Roman" w:eastAsia="宋体" w:cs="Times New Roman"/>
          <w:b w:val="0"/>
          <w:bCs w:val="0"/>
          <w:i/>
          <w:iCs/>
          <w:szCs w:val="21"/>
          <w:lang w:val="en-US" w:eastAsia="zh-CN"/>
        </w:rPr>
        <w:t>x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 xml:space="preserve"> 轴)。 </w:t>
      </w:r>
    </w:p>
    <w:p w14:paraId="1DDC8A6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default" w:ascii="Times New Roman" w:hAnsi="Times New Roman" w:eastAsia="宋体" w:cs="Times New Roman"/>
          <w:szCs w:val="21"/>
          <w:lang w:val="en-US" w:eastAsia="zh-CN"/>
        </w:rPr>
        <w:t>GB/T 1.1—2020《标准化工作导则  第1部分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：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标准化文件的结构和起草规则》指出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：“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公式不应使用量的名称或描述量的术语表示。</w:t>
      </w:r>
      <w:r>
        <w:rPr>
          <w:rFonts w:hint="default" w:ascii="Times New Roman" w:hAnsi="Times New Roman" w:eastAsia="宋体" w:cs="Times New Roman"/>
          <w:szCs w:val="21"/>
          <w:highlight w:val="yellow"/>
          <w:lang w:val="en-US" w:eastAsia="zh-CN"/>
        </w:rPr>
        <w:t>量的名称或多字母缩略术语</w:t>
      </w:r>
      <w:r>
        <w:rPr>
          <w:rFonts w:hint="eastAsia" w:ascii="Times New Roman" w:hAnsi="Times New Roman" w:eastAsia="宋体" w:cs="Times New Roman"/>
          <w:szCs w:val="21"/>
          <w:highlight w:val="yellow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szCs w:val="21"/>
          <w:highlight w:val="yellow"/>
          <w:lang w:val="en-US" w:eastAsia="zh-CN"/>
        </w:rPr>
        <w:t>不论正体或斜体</w:t>
      </w:r>
      <w:r>
        <w:rPr>
          <w:rFonts w:hint="eastAsia" w:ascii="Times New Roman" w:hAnsi="Times New Roman" w:eastAsia="宋体" w:cs="Times New Roman"/>
          <w:szCs w:val="21"/>
          <w:highlight w:val="yellow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szCs w:val="21"/>
          <w:highlight w:val="yellow"/>
          <w:lang w:val="en-US" w:eastAsia="zh-CN"/>
        </w:rPr>
        <w:t>亦不论是否含有下标</w:t>
      </w:r>
      <w:r>
        <w:rPr>
          <w:rFonts w:hint="eastAsia" w:ascii="Times New Roman" w:hAnsi="Times New Roman" w:eastAsia="宋体" w:cs="Times New Roman"/>
          <w:szCs w:val="21"/>
          <w:highlight w:val="yellow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szCs w:val="21"/>
          <w:highlight w:val="yellow"/>
          <w:lang w:val="en-US" w:eastAsia="zh-CN"/>
        </w:rPr>
        <w:t>均不应用来代替量的符号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。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”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如冰的体积应用</w:t>
      </w:r>
      <w:r>
        <w:rPr>
          <w:rFonts w:hint="eastAsia" w:ascii="Times New Roman" w:hAnsi="Times New Roman" w:eastAsia="宋体" w:cs="Times New Roman"/>
          <w:i/>
          <w:iCs/>
          <w:szCs w:val="21"/>
          <w:lang w:val="en-US" w:eastAsia="zh-CN"/>
        </w:rPr>
        <w:t>V</w:t>
      </w:r>
      <w:r>
        <w:rPr>
          <w:rFonts w:hint="eastAsia" w:ascii="Times New Roman" w:hAnsi="Times New Roman" w:eastAsia="宋体" w:cs="Times New Roman"/>
          <w:i/>
          <w:iCs/>
          <w:szCs w:val="21"/>
          <w:vertAlign w:val="subscript"/>
          <w:lang w:val="en-US" w:eastAsia="zh-CN"/>
        </w:rPr>
        <w:t>ice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，而不是用</w:t>
      </w:r>
      <w:r>
        <w:rPr>
          <w:rFonts w:hint="eastAsia" w:ascii="Times New Roman" w:hAnsi="Times New Roman" w:eastAsia="宋体" w:cs="Times New Roman"/>
          <w:i/>
          <w:iCs/>
          <w:szCs w:val="21"/>
          <w:lang w:val="en-US" w:eastAsia="zh-CN"/>
        </w:rPr>
        <w:t>vol</w:t>
      </w:r>
      <w:r>
        <w:rPr>
          <w:rFonts w:hint="eastAsia" w:ascii="Times New Roman" w:hAnsi="Times New Roman" w:eastAsia="宋体" w:cs="Times New Roman"/>
          <w:i w:val="0"/>
          <w:iCs w:val="0"/>
          <w:szCs w:val="21"/>
          <w:lang w:val="en-US" w:eastAsia="zh-CN"/>
        </w:rPr>
        <w:t>或者</w:t>
      </w:r>
      <w:r>
        <w:rPr>
          <w:rFonts w:hint="eastAsia" w:ascii="Times New Roman" w:hAnsi="Times New Roman" w:eastAsia="宋体" w:cs="Times New Roman"/>
          <w:i/>
          <w:iCs/>
          <w:szCs w:val="21"/>
          <w:lang w:val="en-US" w:eastAsia="zh-CN"/>
        </w:rPr>
        <w:t>ICE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表示。</w:t>
      </w:r>
    </w:p>
    <w:p w14:paraId="0E1BB0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jc w:val="both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（五）正文其他</w:t>
      </w:r>
    </w:p>
    <w:p w14:paraId="0D41021A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公式。正文中公式应使用MathType等公式编辑器进行编排，不能用图片。</w:t>
      </w:r>
    </w:p>
    <w:p w14:paraId="7E1C4D4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简写英文名称。对于英文简写的名称，应在正文第一次出现时应使用中文名称及英文全称。例：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电动垂直起降飞行器（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e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 xml:space="preserve">lectric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v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 xml:space="preserve">ertical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 xml:space="preserve">ake-off and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l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anding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eVTOL）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。</w:t>
      </w:r>
    </w:p>
    <w:p w14:paraId="157B33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jc w:val="both"/>
        <w:textAlignment w:val="auto"/>
        <w:rPr>
          <w:rFonts w:hint="eastAsia" w:ascii="黑体" w:hAnsi="黑体" w:eastAsia="黑体" w:cs="黑体"/>
          <w:szCs w:val="21"/>
          <w:lang w:val="en-US" w:eastAsia="zh-CN"/>
        </w:rPr>
      </w:pPr>
      <w:r>
        <w:rPr>
          <w:rFonts w:hint="eastAsia" w:ascii="黑体" w:hAnsi="黑体" w:eastAsia="黑体" w:cs="黑体"/>
          <w:szCs w:val="21"/>
          <w:lang w:val="en-US" w:eastAsia="zh-CN"/>
        </w:rPr>
        <w:t>（六）参考文献</w:t>
      </w:r>
    </w:p>
    <w:p w14:paraId="21D190A5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jc w:val="both"/>
        <w:textAlignment w:val="auto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FF0000"/>
          <w:szCs w:val="21"/>
          <w:lang w:val="en-US" w:eastAsia="zh-CN"/>
        </w:rPr>
        <w:t>参考文献著录规则应参考《信息与文献 参考文献著录规则》（GB/T 7714—2025）。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研究型论文的参考文献，</w:t>
      </w:r>
      <w:r>
        <w:rPr>
          <w:rFonts w:hint="eastAsia" w:ascii="Times New Roman" w:hAnsi="Times New Roman" w:eastAsia="宋体" w:cs="Times New Roman"/>
          <w:szCs w:val="21"/>
          <w:highlight w:val="yellow"/>
          <w:lang w:val="en-US" w:eastAsia="zh-CN"/>
        </w:rPr>
        <w:t>一般不少于10条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。参考文献应放在正文之后，采用顺序编码制，即按照正文中引用的文献出现先后顺序连续编码，并将序号置于“[ ]”中且上标。同一处引用多篇文献时，应将各文献的序号在“[ ]”内全部列出，并用“,”隔开，若遇到连续序号，起讫序号间用短横线链接，见示例1。</w:t>
      </w:r>
    </w:p>
    <w:p w14:paraId="3A9E2639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Chars="0" w:firstLine="555" w:firstLineChars="300"/>
        <w:jc w:val="both"/>
        <w:textAlignment w:val="auto"/>
        <w:rPr>
          <w:rFonts w:hint="default" w:ascii="Times New Roman" w:hAnsi="Times New Roman" w:eastAsia="宋体" w:cs="Times New Roman"/>
          <w:color w:val="0070C0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70C0"/>
          <w:szCs w:val="21"/>
          <w:lang w:val="en-US" w:eastAsia="zh-CN"/>
        </w:rPr>
        <w:t>示例1</w:t>
      </w:r>
      <w:r>
        <w:rPr>
          <w:rFonts w:hint="eastAsia" w:ascii="Times New Roman" w:hAnsi="Times New Roman" w:eastAsia="宋体" w:cs="Times New Roman"/>
          <w:color w:val="0070C0"/>
          <w:szCs w:val="21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color w:val="0070C0"/>
          <w:szCs w:val="21"/>
          <w:lang w:val="en-US" w:eastAsia="zh-CN"/>
        </w:rPr>
        <w:t>案例分析层面，主要集中于对具体企业或行业的探究，有针对性地提出发展建议</w:t>
      </w:r>
      <w:r>
        <w:rPr>
          <w:rFonts w:hint="eastAsia" w:ascii="Times New Roman" w:hAnsi="Times New Roman" w:eastAsia="宋体" w:cs="Times New Roman"/>
          <w:color w:val="0070C0"/>
          <w:szCs w:val="21"/>
          <w:vertAlign w:val="superscript"/>
          <w:lang w:val="en-US" w:eastAsia="zh-CN"/>
        </w:rPr>
        <w:t>[1-3,5,8]</w:t>
      </w:r>
      <w:r>
        <w:rPr>
          <w:rFonts w:hint="default" w:ascii="Times New Roman" w:hAnsi="Times New Roman" w:eastAsia="宋体" w:cs="Times New Roman"/>
          <w:color w:val="0070C0"/>
          <w:szCs w:val="21"/>
          <w:lang w:val="en-US" w:eastAsia="zh-CN"/>
        </w:rPr>
        <w:t>。</w:t>
      </w:r>
    </w:p>
    <w:p w14:paraId="30A37D5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jc w:val="both"/>
        <w:textAlignment w:val="auto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参考文献字号为五号，字符应使用英文半角标注。</w:t>
      </w:r>
    </w:p>
    <w:p w14:paraId="04909471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jc w:val="both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当参考文献中出现三位以上作者时，</w:t>
      </w:r>
      <w:r>
        <w:rPr>
          <w:rFonts w:hint="eastAsia" w:ascii="Times New Roman" w:hAnsi="Times New Roman" w:eastAsia="宋体" w:cs="Times New Roman"/>
          <w:szCs w:val="21"/>
          <w:highlight w:val="yellow"/>
          <w:lang w:val="en-US" w:eastAsia="zh-CN"/>
        </w:rPr>
        <w:t>只列前三位作者，后用“,等”表示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。英文文献中同样，后用“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, et al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”表示。</w:t>
      </w:r>
    </w:p>
    <w:p w14:paraId="3222161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jc w:val="both"/>
        <w:textAlignment w:val="auto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参考文献在正文中的标注方法。</w:t>
      </w:r>
      <w:r>
        <w:rPr>
          <w:rFonts w:hint="eastAsia" w:ascii="Times New Roman" w:hAnsi="Times New Roman" w:eastAsia="宋体" w:cs="Times New Roman"/>
          <w:szCs w:val="21"/>
          <w:highlight w:val="yellow"/>
          <w:lang w:val="en-US" w:eastAsia="zh-CN"/>
        </w:rPr>
        <w:t>正文中的标注应为数字序号，不是作者+年份。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在阐述当前研究进展时，参考文献一般在第一作者姓上标注，若作者为两人时应同时在文中阐述，若作者为三人及以上时，只列出第一作者后加“等”即可。见示例2。</w:t>
      </w:r>
    </w:p>
    <w:p w14:paraId="4F713594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Chars="0" w:firstLine="555" w:firstLineChars="300"/>
        <w:jc w:val="both"/>
        <w:textAlignment w:val="auto"/>
        <w:rPr>
          <w:rFonts w:hint="eastAsia" w:ascii="Times New Roman" w:hAnsi="Times New Roman" w:eastAsia="宋体" w:cs="Times New Roman"/>
          <w:color w:val="0070C0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color w:val="0070C0"/>
          <w:szCs w:val="21"/>
          <w:lang w:val="en-US" w:eastAsia="zh-CN"/>
        </w:rPr>
        <w:t>示例2</w:t>
      </w:r>
      <w:r>
        <w:rPr>
          <w:rFonts w:hint="eastAsia" w:ascii="Times New Roman" w:hAnsi="Times New Roman" w:eastAsia="宋体" w:cs="Times New Roman"/>
          <w:color w:val="0070C0"/>
          <w:szCs w:val="21"/>
          <w:lang w:val="en-US" w:eastAsia="zh-CN"/>
        </w:rPr>
        <w:t xml:space="preserve">  汪淋淋和王永贵</w:t>
      </w:r>
      <w:r>
        <w:rPr>
          <w:rFonts w:hint="eastAsia" w:ascii="Times New Roman" w:hAnsi="Times New Roman" w:eastAsia="宋体" w:cs="Times New Roman"/>
          <w:color w:val="0070C0"/>
          <w:szCs w:val="21"/>
          <w:vertAlign w:val="superscript"/>
          <w:lang w:val="en-US" w:eastAsia="zh-CN"/>
        </w:rPr>
        <w:t>[1]</w:t>
      </w:r>
      <w:r>
        <w:rPr>
          <w:rFonts w:hint="eastAsia" w:ascii="Times New Roman" w:hAnsi="Times New Roman" w:eastAsia="宋体" w:cs="Times New Roman"/>
          <w:color w:val="0070C0"/>
          <w:szCs w:val="21"/>
          <w:lang w:val="en-US" w:eastAsia="zh-CN"/>
        </w:rPr>
        <w:t>，张明超等</w:t>
      </w:r>
      <w:r>
        <w:rPr>
          <w:rFonts w:hint="eastAsia" w:ascii="Times New Roman" w:hAnsi="Times New Roman" w:eastAsia="宋体" w:cs="Times New Roman"/>
          <w:color w:val="0070C0"/>
          <w:szCs w:val="21"/>
          <w:vertAlign w:val="superscript"/>
          <w:lang w:val="en-US" w:eastAsia="zh-CN"/>
        </w:rPr>
        <w:t>[2]</w:t>
      </w:r>
      <w:r>
        <w:rPr>
          <w:rFonts w:hint="eastAsia" w:ascii="Times New Roman" w:hAnsi="Times New Roman" w:eastAsia="宋体" w:cs="Times New Roman"/>
          <w:color w:val="0070C0"/>
          <w:szCs w:val="21"/>
          <w:lang w:val="en-US" w:eastAsia="zh-CN"/>
        </w:rPr>
        <w:t>通过对反向定制的概念不断延伸与完善，丰富了理论内涵。</w:t>
      </w:r>
    </w:p>
    <w:p w14:paraId="6B6F00CB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="420" w:leftChars="0" w:hanging="420" w:firstLineChars="0"/>
        <w:jc w:val="both"/>
        <w:textAlignment w:val="auto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参考文献示例：</w:t>
      </w:r>
    </w:p>
    <w:p w14:paraId="3279CB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>（1）图书</w:t>
      </w:r>
    </w:p>
    <w:p w14:paraId="159B08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[1]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博伯尔.银行业的未来与人工智能[M].徐超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译.北京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: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清华大学出版社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,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2023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: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35.</w:t>
      </w:r>
    </w:p>
    <w:p w14:paraId="259FFD7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>（2）期刊</w:t>
      </w:r>
    </w:p>
    <w:p w14:paraId="488B63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[1]梁晓蓓,江江,孟虎,等. 考虑政府补贴和风险规避的绿色供应链决策模型[J]. 预测,2020,39(1):66-73.</w:t>
      </w:r>
    </w:p>
    <w:p w14:paraId="3931D7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[2]汪淋淋,王永贵. 制造企业的定制化战略类型识别与选择研究:基于数字化赋能视角[J]. 西安交通大学学报(社会科学版),2023,43(2):41-49.</w:t>
      </w:r>
    </w:p>
    <w:p w14:paraId="7AD448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[3]Frese K S, </w:t>
      </w:r>
      <w:r>
        <w:rPr>
          <w:rFonts w:hint="eastAsia" w:ascii="Times New Roman" w:hAnsi="Times New Roman" w:eastAsia="宋体" w:cs="Times New Roman"/>
          <w:szCs w:val="21"/>
          <w:highlight w:val="yellow"/>
          <w:lang w:val="en-US" w:eastAsia="zh-CN"/>
        </w:rPr>
        <w:t>Katus H A,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 Meder B. Next-generation sequencing: from understanding biology to personalized medicine[J/OL]. Biology, 2013, 2(1):378-3</w:t>
      </w:r>
      <w:r>
        <w:rPr>
          <w:rFonts w:hint="eastAsia" w:ascii="Times New Roman" w:hAnsi="Times New Roman" w:eastAsia="宋体" w:cs="Times New Roman"/>
          <w:color w:val="auto"/>
          <w:szCs w:val="21"/>
          <w:u w:val="none"/>
          <w:lang w:val="en-US" w:eastAsia="zh-CN"/>
        </w:rPr>
        <w:t xml:space="preserve">98. </w:t>
      </w:r>
      <w:r>
        <w:rPr>
          <w:rFonts w:hint="eastAsia" w:ascii="Times New Roman" w:hAnsi="Times New Roman" w:eastAsia="宋体" w:cs="Times New Roman"/>
          <w:color w:val="auto"/>
          <w:szCs w:val="21"/>
          <w:u w:val="none"/>
          <w:lang w:val="en-US" w:eastAsia="zh-CN"/>
        </w:rPr>
        <w:fldChar w:fldCharType="begin"/>
      </w:r>
      <w:r>
        <w:rPr>
          <w:rFonts w:hint="eastAsia" w:ascii="Times New Roman" w:hAnsi="Times New Roman" w:eastAsia="宋体" w:cs="Times New Roman"/>
          <w:color w:val="auto"/>
          <w:szCs w:val="21"/>
          <w:u w:val="none"/>
          <w:lang w:val="en-US" w:eastAsia="zh-CN"/>
        </w:rPr>
        <w:instrText xml:space="preserve"> HYPERLINK "http://www.mdpi.com/2079-7737/2/1/37" </w:instrText>
      </w:r>
      <w:r>
        <w:rPr>
          <w:rFonts w:hint="eastAsia" w:ascii="Times New Roman" w:hAnsi="Times New Roman" w:eastAsia="宋体" w:cs="Times New Roman"/>
          <w:color w:val="auto"/>
          <w:szCs w:val="21"/>
          <w:u w:val="none"/>
          <w:lang w:val="en-US" w:eastAsia="zh-CN"/>
        </w:rPr>
        <w:fldChar w:fldCharType="separate"/>
      </w:r>
      <w:r>
        <w:rPr>
          <w:rStyle w:val="6"/>
          <w:rFonts w:hint="eastAsia" w:ascii="Times New Roman" w:hAnsi="Times New Roman" w:eastAsia="宋体" w:cs="Times New Roman"/>
          <w:color w:val="auto"/>
          <w:szCs w:val="21"/>
          <w:u w:val="none"/>
          <w:lang w:val="en-US" w:eastAsia="zh-CN"/>
        </w:rPr>
        <w:t>http://www.mdpi.com/2079-7737/2/1/37</w:t>
      </w:r>
      <w:r>
        <w:rPr>
          <w:rFonts w:hint="eastAsia" w:ascii="Times New Roman" w:hAnsi="Times New Roman" w:eastAsia="宋体" w:cs="Times New Roman"/>
          <w:color w:val="auto"/>
          <w:szCs w:val="21"/>
          <w:u w:val="none"/>
          <w:lang w:val="en-US" w:eastAsia="zh-CN"/>
        </w:rPr>
        <w:fldChar w:fldCharType="end"/>
      </w:r>
      <w:r>
        <w:rPr>
          <w:rFonts w:hint="eastAsia" w:ascii="Times New Roman" w:hAnsi="Times New Roman" w:eastAsia="宋体" w:cs="Times New Roman"/>
          <w:color w:val="auto"/>
          <w:szCs w:val="21"/>
          <w:u w:val="none"/>
          <w:lang w:val="en-US" w:eastAsia="zh-CN"/>
        </w:rPr>
        <w:t>.</w:t>
      </w:r>
    </w:p>
    <w:p w14:paraId="19AF45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 xml:space="preserve">[4]Shinotsuka H, Nagata K, Siriwardana M, et al. Sample structure prediction from measured XPS data using Bayesian estimation and SESSA simulator[J/OL]. Journal of Electron Spectroscopy and Related Phenomena, 2023, 267: 147370. 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fldChar w:fldCharType="begin"/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instrText xml:space="preserve"> HYPERLINK "https://doi.org/10.1016/i.elspec.2023.147370." </w:instrTex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fldChar w:fldCharType="separate"/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https://doi.org/10.1016/i.elspec.2023.147370.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fldChar w:fldCharType="end"/>
      </w:r>
    </w:p>
    <w:p w14:paraId="155878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default" w:ascii="Times New Roman" w:hAnsi="Times New Roman" w:eastAsia="宋体" w:cs="Times New Roman"/>
          <w:b/>
          <w:bCs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>（3）报纸</w:t>
      </w:r>
    </w:p>
    <w:p w14:paraId="4C4B235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[1]蔡笑天. 强化科技创新策源能力，培育发展未来产业[N]. 科技日报,2026-07-08（08）.</w:t>
      </w:r>
    </w:p>
    <w:p w14:paraId="7AA5E99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>（4）会议</w:t>
      </w:r>
    </w:p>
    <w:p w14:paraId="3277E8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[1]汪学军. 中国农业转基因生物研发进展与安全管理[C]//国家环境保护总局生物安全管理办公室. 中国国家生物安全框架实施国际合作项目研讨会论文集.北京:中国环境科学出版社,2005:22-25.</w:t>
      </w:r>
    </w:p>
    <w:p w14:paraId="61724BC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>（5）学位论文</w:t>
      </w:r>
    </w:p>
    <w:p w14:paraId="2389E5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[1]姚慧平. 新时代科技自立自强的生成逻辑与实践进路研究[D]. 南昌:江西师范大学,2025.DOI:10.27178/d.cnki.gjxsu.2025.002499.</w:t>
      </w:r>
    </w:p>
    <w:p w14:paraId="4A409A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Cs w:val="21"/>
          <w:lang w:val="en-US" w:eastAsia="zh-CN"/>
        </w:rPr>
        <w:t>（6）网站、网页</w:t>
      </w:r>
    </w:p>
    <w:p w14:paraId="624197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eastAsia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[1]</w:t>
      </w:r>
      <w:r>
        <w:rPr>
          <w:rFonts w:hint="default" w:ascii="Times New Roman" w:hAnsi="Times New Roman" w:eastAsia="宋体" w:cs="Times New Roman"/>
          <w:szCs w:val="21"/>
          <w:lang w:val="en-US" w:eastAsia="zh-CN"/>
        </w:rPr>
        <w:t>山东省科学技术协会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. 山东省科学技术协会条例[EB/OL]. [2026-06-05]. https://www.sdast.org.cn/zjkx/kxjj/tl/art/2024/art_5fda9f5e889f4cd1a7c7768cfb487304.html.</w:t>
      </w:r>
    </w:p>
    <w:p w14:paraId="334912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[2]新华网.今年我国人形机器人整机产量有望突破10万台[EB/OL]. (2026-07-07)[2026-08-07]. https://www.news.cn/tech/20260708/d1637bc2782c4cb1b2847b28aa799e5d/c.html.</w:t>
      </w:r>
    </w:p>
    <w:p w14:paraId="25904E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ind w:leftChars="0"/>
        <w:jc w:val="both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其中，</w:t>
      </w:r>
      <w:r>
        <w:rPr>
          <w:rFonts w:hint="default" w:ascii="Times New Roman" w:hAnsi="Times New Roman" w:eastAsia="宋体" w:cs="Times New Roman"/>
          <w:szCs w:val="21"/>
          <w:highlight w:val="yellow"/>
          <w:lang w:val="en-US" w:eastAsia="zh-CN"/>
        </w:rPr>
        <w:t>“</w:t>
      </w:r>
      <w:r>
        <w:rPr>
          <w:rFonts w:hint="eastAsia" w:ascii="Times New Roman" w:hAnsi="Times New Roman" w:eastAsia="宋体" w:cs="Times New Roman"/>
          <w:szCs w:val="21"/>
          <w:highlight w:val="yellow"/>
          <w:lang w:val="en-US" w:eastAsia="zh-CN"/>
        </w:rPr>
        <w:t>(2026-07-07)</w:t>
      </w:r>
      <w:r>
        <w:rPr>
          <w:rFonts w:hint="default" w:ascii="Times New Roman" w:hAnsi="Times New Roman" w:eastAsia="宋体" w:cs="Times New Roman"/>
          <w:szCs w:val="21"/>
          <w:highlight w:val="yellow"/>
          <w:lang w:val="en-US" w:eastAsia="zh-CN"/>
        </w:rPr>
        <w:t>”</w:t>
      </w:r>
      <w:r>
        <w:rPr>
          <w:rFonts w:hint="eastAsia" w:ascii="Times New Roman" w:hAnsi="Times New Roman" w:eastAsia="宋体" w:cs="Times New Roman"/>
          <w:szCs w:val="21"/>
          <w:highlight w:val="yellow"/>
          <w:lang w:val="en-US" w:eastAsia="zh-CN"/>
        </w:rPr>
        <w:t>表示发布时间；“[2026-08-07]”表示文章引用时间</w:t>
      </w:r>
      <w:r>
        <w:rPr>
          <w:rFonts w:hint="eastAsia" w:ascii="Times New Roman" w:hAnsi="Times New Roman" w:eastAsia="宋体" w:cs="Times New Roman"/>
          <w:szCs w:val="21"/>
          <w:lang w:val="en-US" w:eastAsia="zh-CN"/>
        </w:rPr>
        <w:t>。</w:t>
      </w:r>
    </w:p>
    <w:p w14:paraId="7F27885F">
      <w:pPr>
        <w:widowControl/>
        <w:numPr>
          <w:ilvl w:val="0"/>
          <w:numId w:val="0"/>
        </w:numPr>
        <w:wordWrap w:val="0"/>
        <w:spacing w:line="240" w:lineRule="auto"/>
        <w:jc w:val="left"/>
        <w:rPr>
          <w:rFonts w:hint="default" w:ascii="宋体" w:hAnsi="宋体" w:eastAsia="宋体" w:cs="宋体"/>
          <w:color w:val="auto"/>
          <w:sz w:val="21"/>
          <w:szCs w:val="21"/>
          <w:lang w:val="en-US" w:eastAsia="zh-CN"/>
        </w:rPr>
      </w:pPr>
    </w:p>
    <w:p w14:paraId="30D6BCF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/>
        <w:snapToGrid/>
        <w:spacing w:line="460" w:lineRule="exact"/>
        <w:jc w:val="both"/>
        <w:textAlignment w:val="auto"/>
        <w:rPr>
          <w:rFonts w:hint="default" w:ascii="Times New Roman" w:hAnsi="Times New Roman" w:eastAsia="宋体" w:cs="Times New Roman"/>
          <w:szCs w:val="21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AndChars" w:linePitch="579" w:charSpace="-51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10A401-A7CC-4DB0-B0B8-7639B741026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87DF3C96-36DB-48A1-8E24-580E1DFB44BC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56CFF12-BA43-4031-AFF1-2F5B1483B7D3}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B2376296-4D91-4EC8-BCCC-1F31825763C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D7E2414A-51E8-4550-BA0A-62B37CBD045B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r>
        <w:separator/>
      </w:r>
    </w:p>
  </w:footnote>
  <w:footnote w:type="continuationSeparator" w:id="3">
    <w:p>
      <w:r>
        <w:continuationSeparator/>
      </w:r>
    </w:p>
  </w:footnote>
  <w:footnote w:id="0">
    <w:p w14:paraId="284ECAAF">
      <w:pPr>
        <w:pStyle w:val="2"/>
        <w:snapToGrid w:val="0"/>
        <w:rPr>
          <w:rFonts w:hint="default"/>
          <w:lang w:val="en-US" w:eastAsia="zh-CN"/>
        </w:rPr>
      </w:pPr>
      <w:r>
        <w:rPr>
          <w:rFonts w:hint="eastAsia"/>
          <w:b/>
          <w:bCs/>
          <w:lang w:val="en-US" w:eastAsia="zh-CN"/>
        </w:rPr>
        <w:t>基金项目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  <w:color w:val="FF0000"/>
          <w:lang w:val="en-US" w:eastAsia="zh-CN"/>
        </w:rPr>
        <w:t>国家重</w:t>
      </w:r>
      <w:r>
        <w:rPr>
          <w:rFonts w:hint="eastAsia"/>
          <w:color w:val="FF0000"/>
          <w:sz w:val="18"/>
          <w:szCs w:val="18"/>
          <w:lang w:val="en-US" w:eastAsia="zh-CN"/>
        </w:rPr>
        <w:t>点研发计划项目“具体项目名称”（</w:t>
      </w:r>
      <w:r>
        <w:rPr>
          <w:rFonts w:hint="eastAsia" w:asciiTheme="minorEastAsia" w:hAnsiTheme="minorEastAsia" w:cstheme="minorEastAsia"/>
          <w:color w:val="FF0000"/>
          <w:sz w:val="18"/>
          <w:szCs w:val="18"/>
          <w:lang w:val="en-US" w:eastAsia="zh-CN"/>
        </w:rPr>
        <w:t>项目编号</w:t>
      </w:r>
      <w:r>
        <w:rPr>
          <w:rFonts w:hint="eastAsia"/>
          <w:color w:val="FF0000"/>
          <w:sz w:val="18"/>
          <w:szCs w:val="18"/>
          <w:lang w:val="en-US" w:eastAsia="zh-CN"/>
        </w:rPr>
        <w:t>）。</w:t>
      </w:r>
      <w:r>
        <w:rPr>
          <w:rFonts w:hint="eastAsia"/>
          <w:snapToGrid w:val="0"/>
          <w:color w:val="FF0000"/>
          <w:sz w:val="18"/>
          <w:szCs w:val="18"/>
        </w:rPr>
        <w:t>（小5宋）</w:t>
      </w:r>
    </w:p>
    <w:p w14:paraId="3270A3E2">
      <w:pPr>
        <w:pStyle w:val="2"/>
        <w:snapToGrid w:val="0"/>
        <w:rPr>
          <w:rFonts w:hint="eastAsia" w:eastAsiaTheme="minor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>作者简介</w:t>
      </w:r>
      <w:r>
        <w:rPr>
          <w:rFonts w:hint="eastAsia"/>
          <w:lang w:val="en-US" w:eastAsia="zh-CN"/>
        </w:rPr>
        <w:t xml:space="preserve"> XXX：本科，讲师，主要研究方向为……。XXX：博士，教授，主要研究方向为……。XXX：通信作者，博士，副教授，主要研究方向为……，邮箱为……。</w:t>
      </w:r>
      <w:r>
        <w:rPr>
          <w:rFonts w:hint="eastAsia"/>
          <w:snapToGrid w:val="0"/>
          <w:color w:val="FF0000"/>
          <w:sz w:val="18"/>
          <w:szCs w:val="18"/>
        </w:rPr>
        <w:t>（小5宋）</w:t>
      </w:r>
      <w:r>
        <w:rPr>
          <w:rFonts w:hint="eastAsia"/>
          <w:snapToGrid w:val="0"/>
          <w:color w:val="FF0000"/>
          <w:sz w:val="18"/>
          <w:szCs w:val="18"/>
          <w:lang w:eastAsia="zh-CN"/>
        </w:rPr>
        <w:t>（</w:t>
      </w:r>
      <w:r>
        <w:rPr>
          <w:rFonts w:hint="eastAsia"/>
          <w:snapToGrid w:val="0"/>
          <w:color w:val="FF0000"/>
          <w:sz w:val="18"/>
          <w:szCs w:val="18"/>
          <w:lang w:val="en-US" w:eastAsia="zh-CN"/>
        </w:rPr>
        <w:t>注：仅列出通信作者邮箱即可，若无通信作者仅列出第一作者的邮箱</w:t>
      </w:r>
      <w:r>
        <w:rPr>
          <w:rFonts w:hint="eastAsia"/>
          <w:snapToGrid w:val="0"/>
          <w:color w:val="FF0000"/>
          <w:sz w:val="18"/>
          <w:szCs w:val="18"/>
          <w:lang w:eastAsia="zh-CN"/>
        </w:rPr>
        <w:t>）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1A1034"/>
    <w:multiLevelType w:val="singleLevel"/>
    <w:tmpl w:val="921A1034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C6D5FDF9"/>
    <w:multiLevelType w:val="multilevel"/>
    <w:tmpl w:val="C6D5FDF9"/>
    <w:lvl w:ilvl="0" w:tentative="0">
      <w:start w:val="1"/>
      <w:numFmt w:val="decimal"/>
      <w:suff w:val="space"/>
      <w:lvlText w:val="%1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abstractNum w:abstractNumId="2">
    <w:nsid w:val="C93755DC"/>
    <w:multiLevelType w:val="singleLevel"/>
    <w:tmpl w:val="C93755D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">
    <w:nsid w:val="D601451B"/>
    <w:multiLevelType w:val="singleLevel"/>
    <w:tmpl w:val="D601451B"/>
    <w:lvl w:ilvl="0" w:tentative="0">
      <w:start w:val="2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2"/>
    <w:footnote w:id="3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869D0"/>
    <w:rsid w:val="00624059"/>
    <w:rsid w:val="0064659C"/>
    <w:rsid w:val="00737811"/>
    <w:rsid w:val="009654DD"/>
    <w:rsid w:val="00971EF6"/>
    <w:rsid w:val="00A0007A"/>
    <w:rsid w:val="00A86A04"/>
    <w:rsid w:val="00D55384"/>
    <w:rsid w:val="00E37DEE"/>
    <w:rsid w:val="01222010"/>
    <w:rsid w:val="014F7A44"/>
    <w:rsid w:val="016A2101"/>
    <w:rsid w:val="01B469F7"/>
    <w:rsid w:val="01CA448F"/>
    <w:rsid w:val="01DF5672"/>
    <w:rsid w:val="01EB17F4"/>
    <w:rsid w:val="02900617"/>
    <w:rsid w:val="02AA75A7"/>
    <w:rsid w:val="030466C9"/>
    <w:rsid w:val="03080628"/>
    <w:rsid w:val="031F2DA8"/>
    <w:rsid w:val="03B442C3"/>
    <w:rsid w:val="03D2640E"/>
    <w:rsid w:val="03FE2682"/>
    <w:rsid w:val="03FF58F2"/>
    <w:rsid w:val="04B41491"/>
    <w:rsid w:val="04D24C63"/>
    <w:rsid w:val="050C5DCD"/>
    <w:rsid w:val="055D3BB3"/>
    <w:rsid w:val="05620DEC"/>
    <w:rsid w:val="057F570A"/>
    <w:rsid w:val="059568D7"/>
    <w:rsid w:val="05AE6D0E"/>
    <w:rsid w:val="06103FC8"/>
    <w:rsid w:val="06CD2E1E"/>
    <w:rsid w:val="071738F7"/>
    <w:rsid w:val="079F1CBA"/>
    <w:rsid w:val="07C554DC"/>
    <w:rsid w:val="07E32FA0"/>
    <w:rsid w:val="07FD4C42"/>
    <w:rsid w:val="08181D7D"/>
    <w:rsid w:val="083A6A4B"/>
    <w:rsid w:val="08666D4A"/>
    <w:rsid w:val="08954DC1"/>
    <w:rsid w:val="08962A4C"/>
    <w:rsid w:val="08A4300E"/>
    <w:rsid w:val="08EE7F69"/>
    <w:rsid w:val="08F17C99"/>
    <w:rsid w:val="093156B9"/>
    <w:rsid w:val="095E0588"/>
    <w:rsid w:val="095F1A12"/>
    <w:rsid w:val="09755179"/>
    <w:rsid w:val="09924348"/>
    <w:rsid w:val="0995101F"/>
    <w:rsid w:val="09A34781"/>
    <w:rsid w:val="09A37E13"/>
    <w:rsid w:val="09F029CF"/>
    <w:rsid w:val="0A4C3E80"/>
    <w:rsid w:val="0AD379D1"/>
    <w:rsid w:val="0AEB5BB9"/>
    <w:rsid w:val="0B787CB9"/>
    <w:rsid w:val="0B9106A0"/>
    <w:rsid w:val="0BF8637E"/>
    <w:rsid w:val="0BF90373"/>
    <w:rsid w:val="0BFF4DC3"/>
    <w:rsid w:val="0C1F5DDC"/>
    <w:rsid w:val="0C324201"/>
    <w:rsid w:val="0C453E64"/>
    <w:rsid w:val="0C6E4A0B"/>
    <w:rsid w:val="0C895628"/>
    <w:rsid w:val="0CA6383B"/>
    <w:rsid w:val="0CFA11C0"/>
    <w:rsid w:val="0CFA2000"/>
    <w:rsid w:val="0D486C38"/>
    <w:rsid w:val="0D4C1404"/>
    <w:rsid w:val="0D61103F"/>
    <w:rsid w:val="0D8A202A"/>
    <w:rsid w:val="0D9C255D"/>
    <w:rsid w:val="0DA035AD"/>
    <w:rsid w:val="0DB17110"/>
    <w:rsid w:val="0DE61B34"/>
    <w:rsid w:val="0E0A67BD"/>
    <w:rsid w:val="0E424E47"/>
    <w:rsid w:val="0E7546E3"/>
    <w:rsid w:val="0E800266"/>
    <w:rsid w:val="0EAD51A9"/>
    <w:rsid w:val="0EB333CA"/>
    <w:rsid w:val="0EDC1F88"/>
    <w:rsid w:val="0F721C57"/>
    <w:rsid w:val="0F723D03"/>
    <w:rsid w:val="0F72530D"/>
    <w:rsid w:val="0F9D27CB"/>
    <w:rsid w:val="0FB233FE"/>
    <w:rsid w:val="0FBE26AB"/>
    <w:rsid w:val="101B0F6A"/>
    <w:rsid w:val="102F5F74"/>
    <w:rsid w:val="103448B6"/>
    <w:rsid w:val="10EA621C"/>
    <w:rsid w:val="112D4B69"/>
    <w:rsid w:val="115B042E"/>
    <w:rsid w:val="11710A92"/>
    <w:rsid w:val="11720DAA"/>
    <w:rsid w:val="1177077C"/>
    <w:rsid w:val="117C0B71"/>
    <w:rsid w:val="11B6379D"/>
    <w:rsid w:val="11B84D05"/>
    <w:rsid w:val="11F0567B"/>
    <w:rsid w:val="121737A1"/>
    <w:rsid w:val="121827DE"/>
    <w:rsid w:val="121D45EA"/>
    <w:rsid w:val="124A46CA"/>
    <w:rsid w:val="12887BE2"/>
    <w:rsid w:val="12DB04CB"/>
    <w:rsid w:val="12E01B9F"/>
    <w:rsid w:val="12E20294"/>
    <w:rsid w:val="134B1A04"/>
    <w:rsid w:val="135A4641"/>
    <w:rsid w:val="137805BE"/>
    <w:rsid w:val="1382242D"/>
    <w:rsid w:val="13874194"/>
    <w:rsid w:val="13B476C6"/>
    <w:rsid w:val="13D14A53"/>
    <w:rsid w:val="13F93574"/>
    <w:rsid w:val="14281BEA"/>
    <w:rsid w:val="14614D29"/>
    <w:rsid w:val="14945B02"/>
    <w:rsid w:val="14AB1004"/>
    <w:rsid w:val="14AC54DD"/>
    <w:rsid w:val="14C52CD0"/>
    <w:rsid w:val="14DA25A6"/>
    <w:rsid w:val="14E86808"/>
    <w:rsid w:val="14EE3066"/>
    <w:rsid w:val="154C109F"/>
    <w:rsid w:val="15C32EDC"/>
    <w:rsid w:val="15DD1293"/>
    <w:rsid w:val="15EB4CA1"/>
    <w:rsid w:val="1657156F"/>
    <w:rsid w:val="16BA3CC3"/>
    <w:rsid w:val="16DD2110"/>
    <w:rsid w:val="16E84B81"/>
    <w:rsid w:val="1701361F"/>
    <w:rsid w:val="17122A9D"/>
    <w:rsid w:val="17904E53"/>
    <w:rsid w:val="180A2E8F"/>
    <w:rsid w:val="180C7AE3"/>
    <w:rsid w:val="181E7685"/>
    <w:rsid w:val="18962B22"/>
    <w:rsid w:val="18B50CD6"/>
    <w:rsid w:val="18E96AF4"/>
    <w:rsid w:val="19253F0A"/>
    <w:rsid w:val="19A10819"/>
    <w:rsid w:val="19AD61AB"/>
    <w:rsid w:val="19CA0BC7"/>
    <w:rsid w:val="19CE719D"/>
    <w:rsid w:val="1A00792F"/>
    <w:rsid w:val="1A30749F"/>
    <w:rsid w:val="1A4D2F9A"/>
    <w:rsid w:val="1A563F33"/>
    <w:rsid w:val="1A7C7620"/>
    <w:rsid w:val="1A865E46"/>
    <w:rsid w:val="1ABC489C"/>
    <w:rsid w:val="1AC51A8B"/>
    <w:rsid w:val="1AE42305"/>
    <w:rsid w:val="1B144989"/>
    <w:rsid w:val="1B714879"/>
    <w:rsid w:val="1B8371BB"/>
    <w:rsid w:val="1BCC75BA"/>
    <w:rsid w:val="1C7C6A30"/>
    <w:rsid w:val="1C7F0824"/>
    <w:rsid w:val="1C8374BE"/>
    <w:rsid w:val="1CE34A6E"/>
    <w:rsid w:val="1D1C33A3"/>
    <w:rsid w:val="1D23388B"/>
    <w:rsid w:val="1D5611E0"/>
    <w:rsid w:val="1D642548"/>
    <w:rsid w:val="1DA6131E"/>
    <w:rsid w:val="1DDD07BA"/>
    <w:rsid w:val="1DFA4E66"/>
    <w:rsid w:val="1E130F6E"/>
    <w:rsid w:val="1E525CB2"/>
    <w:rsid w:val="1E993EAA"/>
    <w:rsid w:val="1EBD4E56"/>
    <w:rsid w:val="1F285EFE"/>
    <w:rsid w:val="1F5C1616"/>
    <w:rsid w:val="1F840565"/>
    <w:rsid w:val="1F922F80"/>
    <w:rsid w:val="1FF65F97"/>
    <w:rsid w:val="20043C04"/>
    <w:rsid w:val="2008330B"/>
    <w:rsid w:val="201E4DC2"/>
    <w:rsid w:val="202E4E62"/>
    <w:rsid w:val="206252A3"/>
    <w:rsid w:val="20E54591"/>
    <w:rsid w:val="20EB36E0"/>
    <w:rsid w:val="211801FF"/>
    <w:rsid w:val="213C6831"/>
    <w:rsid w:val="21446083"/>
    <w:rsid w:val="21BF0AA0"/>
    <w:rsid w:val="21C711E2"/>
    <w:rsid w:val="21C77429"/>
    <w:rsid w:val="2232586A"/>
    <w:rsid w:val="224805CD"/>
    <w:rsid w:val="22707E2A"/>
    <w:rsid w:val="227C0884"/>
    <w:rsid w:val="229303A6"/>
    <w:rsid w:val="22B34CA5"/>
    <w:rsid w:val="235A32A5"/>
    <w:rsid w:val="23611582"/>
    <w:rsid w:val="23871771"/>
    <w:rsid w:val="238775FA"/>
    <w:rsid w:val="23FF0910"/>
    <w:rsid w:val="242B2C13"/>
    <w:rsid w:val="243364ED"/>
    <w:rsid w:val="249A2441"/>
    <w:rsid w:val="24BC6FF6"/>
    <w:rsid w:val="24C145DD"/>
    <w:rsid w:val="24C20333"/>
    <w:rsid w:val="24CB30E0"/>
    <w:rsid w:val="25016586"/>
    <w:rsid w:val="250616DA"/>
    <w:rsid w:val="256F1B99"/>
    <w:rsid w:val="25785EB1"/>
    <w:rsid w:val="258E337F"/>
    <w:rsid w:val="25AC1F41"/>
    <w:rsid w:val="25AE1813"/>
    <w:rsid w:val="26107832"/>
    <w:rsid w:val="263A79AA"/>
    <w:rsid w:val="264B74DB"/>
    <w:rsid w:val="26A966E5"/>
    <w:rsid w:val="26AB0BB1"/>
    <w:rsid w:val="26C9547D"/>
    <w:rsid w:val="26CA6C09"/>
    <w:rsid w:val="26CE7374"/>
    <w:rsid w:val="26D56FBD"/>
    <w:rsid w:val="26F13066"/>
    <w:rsid w:val="27003E4C"/>
    <w:rsid w:val="270E428F"/>
    <w:rsid w:val="2711369C"/>
    <w:rsid w:val="275544A5"/>
    <w:rsid w:val="276143EE"/>
    <w:rsid w:val="278C179F"/>
    <w:rsid w:val="27CE5921"/>
    <w:rsid w:val="27EB3B6A"/>
    <w:rsid w:val="28134A47"/>
    <w:rsid w:val="281B29A2"/>
    <w:rsid w:val="28373EE6"/>
    <w:rsid w:val="28710607"/>
    <w:rsid w:val="2897174A"/>
    <w:rsid w:val="28CC08D7"/>
    <w:rsid w:val="28E72EB0"/>
    <w:rsid w:val="292F7236"/>
    <w:rsid w:val="29574114"/>
    <w:rsid w:val="29805721"/>
    <w:rsid w:val="299339D5"/>
    <w:rsid w:val="2A584D4E"/>
    <w:rsid w:val="2AB246B2"/>
    <w:rsid w:val="2AD87180"/>
    <w:rsid w:val="2B386BD4"/>
    <w:rsid w:val="2B6169C4"/>
    <w:rsid w:val="2B6D5852"/>
    <w:rsid w:val="2B9C1939"/>
    <w:rsid w:val="2BAE03B7"/>
    <w:rsid w:val="2C011CA6"/>
    <w:rsid w:val="2C087451"/>
    <w:rsid w:val="2C8777EB"/>
    <w:rsid w:val="2C8C4523"/>
    <w:rsid w:val="2CA138C9"/>
    <w:rsid w:val="2CA91FF3"/>
    <w:rsid w:val="2CC42CAD"/>
    <w:rsid w:val="2D4C2549"/>
    <w:rsid w:val="2D7329FB"/>
    <w:rsid w:val="2DC27862"/>
    <w:rsid w:val="2E025C38"/>
    <w:rsid w:val="2E1856CD"/>
    <w:rsid w:val="2E5A40C6"/>
    <w:rsid w:val="2E637403"/>
    <w:rsid w:val="2EB76ECE"/>
    <w:rsid w:val="2EC34ED4"/>
    <w:rsid w:val="2F323750"/>
    <w:rsid w:val="2F752AD5"/>
    <w:rsid w:val="2F8676C2"/>
    <w:rsid w:val="2F890002"/>
    <w:rsid w:val="2FA37FB8"/>
    <w:rsid w:val="2FA94FFF"/>
    <w:rsid w:val="2FB0618D"/>
    <w:rsid w:val="2FBE5652"/>
    <w:rsid w:val="2FC15883"/>
    <w:rsid w:val="2FC17861"/>
    <w:rsid w:val="2FD27429"/>
    <w:rsid w:val="300315DE"/>
    <w:rsid w:val="301467EB"/>
    <w:rsid w:val="3032010C"/>
    <w:rsid w:val="30425E17"/>
    <w:rsid w:val="307038F5"/>
    <w:rsid w:val="308C7BE1"/>
    <w:rsid w:val="309103DE"/>
    <w:rsid w:val="31193A35"/>
    <w:rsid w:val="31784190"/>
    <w:rsid w:val="32B511F0"/>
    <w:rsid w:val="32D82447"/>
    <w:rsid w:val="32EF3F74"/>
    <w:rsid w:val="32F11B0E"/>
    <w:rsid w:val="33407823"/>
    <w:rsid w:val="339F6793"/>
    <w:rsid w:val="33BE7CA2"/>
    <w:rsid w:val="33E23A8E"/>
    <w:rsid w:val="341E6FB9"/>
    <w:rsid w:val="344D43DD"/>
    <w:rsid w:val="34606237"/>
    <w:rsid w:val="34D43968"/>
    <w:rsid w:val="35371869"/>
    <w:rsid w:val="354539FF"/>
    <w:rsid w:val="355217D6"/>
    <w:rsid w:val="35555B7F"/>
    <w:rsid w:val="35731ED8"/>
    <w:rsid w:val="35880AFB"/>
    <w:rsid w:val="35890DBE"/>
    <w:rsid w:val="35BE5C02"/>
    <w:rsid w:val="36043F2D"/>
    <w:rsid w:val="3661338C"/>
    <w:rsid w:val="368D2FCF"/>
    <w:rsid w:val="36992AAA"/>
    <w:rsid w:val="36C04899"/>
    <w:rsid w:val="37EC3515"/>
    <w:rsid w:val="38214174"/>
    <w:rsid w:val="38235501"/>
    <w:rsid w:val="38381E01"/>
    <w:rsid w:val="383A79B9"/>
    <w:rsid w:val="38452FB7"/>
    <w:rsid w:val="38733CB8"/>
    <w:rsid w:val="38DD79B7"/>
    <w:rsid w:val="38F00B9B"/>
    <w:rsid w:val="3916060E"/>
    <w:rsid w:val="395778BE"/>
    <w:rsid w:val="397239E2"/>
    <w:rsid w:val="397B6A59"/>
    <w:rsid w:val="39857771"/>
    <w:rsid w:val="39AE6F13"/>
    <w:rsid w:val="3A433F5A"/>
    <w:rsid w:val="3A6D684F"/>
    <w:rsid w:val="3AA13C73"/>
    <w:rsid w:val="3AA943B0"/>
    <w:rsid w:val="3ABF229B"/>
    <w:rsid w:val="3AF8171C"/>
    <w:rsid w:val="3B8F2FCD"/>
    <w:rsid w:val="3BA74AE8"/>
    <w:rsid w:val="3BAB1126"/>
    <w:rsid w:val="3BB124E1"/>
    <w:rsid w:val="3BB25670"/>
    <w:rsid w:val="3BC46E2F"/>
    <w:rsid w:val="3BD634D7"/>
    <w:rsid w:val="3C4D4DA4"/>
    <w:rsid w:val="3C587307"/>
    <w:rsid w:val="3C7E2132"/>
    <w:rsid w:val="3C9E384F"/>
    <w:rsid w:val="3CBE40EA"/>
    <w:rsid w:val="3D2B2724"/>
    <w:rsid w:val="3D527EB0"/>
    <w:rsid w:val="3D5A4417"/>
    <w:rsid w:val="3D6409C6"/>
    <w:rsid w:val="3DC32FFA"/>
    <w:rsid w:val="3DC66ADB"/>
    <w:rsid w:val="3E0B0C1F"/>
    <w:rsid w:val="3E0B1436"/>
    <w:rsid w:val="3E326FD5"/>
    <w:rsid w:val="3E3A2D04"/>
    <w:rsid w:val="3E942EC5"/>
    <w:rsid w:val="3ECA1F7B"/>
    <w:rsid w:val="3ECD758E"/>
    <w:rsid w:val="3EF00790"/>
    <w:rsid w:val="3EF07149"/>
    <w:rsid w:val="3F057A6E"/>
    <w:rsid w:val="3F0F75B9"/>
    <w:rsid w:val="3F7E4FFB"/>
    <w:rsid w:val="3FE7074F"/>
    <w:rsid w:val="3FFF3EB4"/>
    <w:rsid w:val="40186385"/>
    <w:rsid w:val="40540FB6"/>
    <w:rsid w:val="4060008D"/>
    <w:rsid w:val="40734607"/>
    <w:rsid w:val="40946E87"/>
    <w:rsid w:val="409D1776"/>
    <w:rsid w:val="40CF710F"/>
    <w:rsid w:val="41222C51"/>
    <w:rsid w:val="413B633A"/>
    <w:rsid w:val="415C63AB"/>
    <w:rsid w:val="415F3A79"/>
    <w:rsid w:val="41F05EF6"/>
    <w:rsid w:val="41F637FE"/>
    <w:rsid w:val="421E2D1A"/>
    <w:rsid w:val="42262E73"/>
    <w:rsid w:val="423272F2"/>
    <w:rsid w:val="42666BD9"/>
    <w:rsid w:val="43020D44"/>
    <w:rsid w:val="43110CE4"/>
    <w:rsid w:val="436C61F8"/>
    <w:rsid w:val="43B600E5"/>
    <w:rsid w:val="43EF08EE"/>
    <w:rsid w:val="44134897"/>
    <w:rsid w:val="441F7E67"/>
    <w:rsid w:val="44235F2A"/>
    <w:rsid w:val="44301BEE"/>
    <w:rsid w:val="44732FD6"/>
    <w:rsid w:val="44AB2C70"/>
    <w:rsid w:val="44BE7580"/>
    <w:rsid w:val="44CB5CC0"/>
    <w:rsid w:val="44E55B9B"/>
    <w:rsid w:val="455833D9"/>
    <w:rsid w:val="45942C4E"/>
    <w:rsid w:val="45953F38"/>
    <w:rsid w:val="45DE5422"/>
    <w:rsid w:val="45E61CDB"/>
    <w:rsid w:val="45E8570C"/>
    <w:rsid w:val="45FC0B3B"/>
    <w:rsid w:val="46317B14"/>
    <w:rsid w:val="46561EA9"/>
    <w:rsid w:val="4665732C"/>
    <w:rsid w:val="46903305"/>
    <w:rsid w:val="46A034A3"/>
    <w:rsid w:val="46B82E24"/>
    <w:rsid w:val="46DF064E"/>
    <w:rsid w:val="47324357"/>
    <w:rsid w:val="47332BC9"/>
    <w:rsid w:val="4733505F"/>
    <w:rsid w:val="47437AA0"/>
    <w:rsid w:val="474E2C82"/>
    <w:rsid w:val="475C10F1"/>
    <w:rsid w:val="47801AED"/>
    <w:rsid w:val="47846444"/>
    <w:rsid w:val="4791067A"/>
    <w:rsid w:val="47A62C04"/>
    <w:rsid w:val="47E22B09"/>
    <w:rsid w:val="47E616ED"/>
    <w:rsid w:val="47F4344B"/>
    <w:rsid w:val="48050CE9"/>
    <w:rsid w:val="483A10A0"/>
    <w:rsid w:val="483E581B"/>
    <w:rsid w:val="489F3A7A"/>
    <w:rsid w:val="48A431CC"/>
    <w:rsid w:val="493F7ECC"/>
    <w:rsid w:val="49A6449B"/>
    <w:rsid w:val="49A665F4"/>
    <w:rsid w:val="49C72966"/>
    <w:rsid w:val="49EB3EC0"/>
    <w:rsid w:val="4A0145DA"/>
    <w:rsid w:val="4A144F15"/>
    <w:rsid w:val="4A250CC9"/>
    <w:rsid w:val="4A705173"/>
    <w:rsid w:val="4A7A6FF7"/>
    <w:rsid w:val="4AB071D7"/>
    <w:rsid w:val="4ACF32F0"/>
    <w:rsid w:val="4AFA3CE7"/>
    <w:rsid w:val="4B1D2167"/>
    <w:rsid w:val="4B3C43BF"/>
    <w:rsid w:val="4B405001"/>
    <w:rsid w:val="4BB6118C"/>
    <w:rsid w:val="4C302CCA"/>
    <w:rsid w:val="4C340C9A"/>
    <w:rsid w:val="4C6E6033"/>
    <w:rsid w:val="4C8E51C5"/>
    <w:rsid w:val="4CD628A5"/>
    <w:rsid w:val="4CFC09CF"/>
    <w:rsid w:val="4D1D7D8C"/>
    <w:rsid w:val="4D1E220C"/>
    <w:rsid w:val="4D6E0929"/>
    <w:rsid w:val="4D801246"/>
    <w:rsid w:val="4D847810"/>
    <w:rsid w:val="4DB10AC5"/>
    <w:rsid w:val="4DF5737E"/>
    <w:rsid w:val="4E110CE6"/>
    <w:rsid w:val="4E274D8B"/>
    <w:rsid w:val="4E6A2735"/>
    <w:rsid w:val="4E8904FB"/>
    <w:rsid w:val="4EBB2CB7"/>
    <w:rsid w:val="4F290CE9"/>
    <w:rsid w:val="4F2915FB"/>
    <w:rsid w:val="4F681FE0"/>
    <w:rsid w:val="4F990FAE"/>
    <w:rsid w:val="4F992A78"/>
    <w:rsid w:val="4FB43E50"/>
    <w:rsid w:val="4FC06E30"/>
    <w:rsid w:val="4FF7001A"/>
    <w:rsid w:val="501153D2"/>
    <w:rsid w:val="50944C16"/>
    <w:rsid w:val="50C537B5"/>
    <w:rsid w:val="50C953DC"/>
    <w:rsid w:val="50F05294"/>
    <w:rsid w:val="50F6223B"/>
    <w:rsid w:val="510A7C81"/>
    <w:rsid w:val="514D061E"/>
    <w:rsid w:val="515C2A7B"/>
    <w:rsid w:val="517E1EA3"/>
    <w:rsid w:val="518663D7"/>
    <w:rsid w:val="519C3946"/>
    <w:rsid w:val="51D14094"/>
    <w:rsid w:val="51E84635"/>
    <w:rsid w:val="51F07F06"/>
    <w:rsid w:val="520B5E83"/>
    <w:rsid w:val="52592059"/>
    <w:rsid w:val="52E73B41"/>
    <w:rsid w:val="52EE47A6"/>
    <w:rsid w:val="537F08F5"/>
    <w:rsid w:val="539A3B24"/>
    <w:rsid w:val="539F174A"/>
    <w:rsid w:val="53A707FF"/>
    <w:rsid w:val="53A862E6"/>
    <w:rsid w:val="54260CA5"/>
    <w:rsid w:val="544A7065"/>
    <w:rsid w:val="546C6A43"/>
    <w:rsid w:val="546E3570"/>
    <w:rsid w:val="549158C5"/>
    <w:rsid w:val="54D268E0"/>
    <w:rsid w:val="54D51B7D"/>
    <w:rsid w:val="55120589"/>
    <w:rsid w:val="555A1DEE"/>
    <w:rsid w:val="558C5429"/>
    <w:rsid w:val="55B128F5"/>
    <w:rsid w:val="55B60365"/>
    <w:rsid w:val="55FB0414"/>
    <w:rsid w:val="56194F1A"/>
    <w:rsid w:val="564161C6"/>
    <w:rsid w:val="56612716"/>
    <w:rsid w:val="56741308"/>
    <w:rsid w:val="5694750C"/>
    <w:rsid w:val="56947EC5"/>
    <w:rsid w:val="56B0478B"/>
    <w:rsid w:val="56D75FF1"/>
    <w:rsid w:val="56FF742B"/>
    <w:rsid w:val="570E4AC2"/>
    <w:rsid w:val="57445CC9"/>
    <w:rsid w:val="57455EF9"/>
    <w:rsid w:val="574E3BBF"/>
    <w:rsid w:val="576F52F3"/>
    <w:rsid w:val="577678BD"/>
    <w:rsid w:val="57893561"/>
    <w:rsid w:val="57C32ABF"/>
    <w:rsid w:val="58167CA2"/>
    <w:rsid w:val="58327C5C"/>
    <w:rsid w:val="58471F82"/>
    <w:rsid w:val="58747A84"/>
    <w:rsid w:val="58790214"/>
    <w:rsid w:val="58887873"/>
    <w:rsid w:val="589C5EAD"/>
    <w:rsid w:val="589D58E2"/>
    <w:rsid w:val="58CA4749"/>
    <w:rsid w:val="58E653AE"/>
    <w:rsid w:val="58ED39E6"/>
    <w:rsid w:val="591F1DEC"/>
    <w:rsid w:val="59277EED"/>
    <w:rsid w:val="596F2140"/>
    <w:rsid w:val="59794C24"/>
    <w:rsid w:val="598B3BF7"/>
    <w:rsid w:val="5A0777D6"/>
    <w:rsid w:val="5A650F0B"/>
    <w:rsid w:val="5AB802AD"/>
    <w:rsid w:val="5AF72E61"/>
    <w:rsid w:val="5BC17F09"/>
    <w:rsid w:val="5C5115FE"/>
    <w:rsid w:val="5C866B55"/>
    <w:rsid w:val="5D304E24"/>
    <w:rsid w:val="5D7F51DB"/>
    <w:rsid w:val="5D957732"/>
    <w:rsid w:val="5DAF19EE"/>
    <w:rsid w:val="5DB0766F"/>
    <w:rsid w:val="5DBE6BF2"/>
    <w:rsid w:val="5DE37AA5"/>
    <w:rsid w:val="5DF739C8"/>
    <w:rsid w:val="5EDF1E93"/>
    <w:rsid w:val="5EF109CF"/>
    <w:rsid w:val="5F1029BC"/>
    <w:rsid w:val="5F153571"/>
    <w:rsid w:val="5F837705"/>
    <w:rsid w:val="5F895F94"/>
    <w:rsid w:val="5F930950"/>
    <w:rsid w:val="5FC172EC"/>
    <w:rsid w:val="5FDF38AB"/>
    <w:rsid w:val="5FE34302"/>
    <w:rsid w:val="5FE67E53"/>
    <w:rsid w:val="60085F88"/>
    <w:rsid w:val="603B1E78"/>
    <w:rsid w:val="603F356A"/>
    <w:rsid w:val="60CD195A"/>
    <w:rsid w:val="61162BF6"/>
    <w:rsid w:val="619274E2"/>
    <w:rsid w:val="61B06A58"/>
    <w:rsid w:val="61CB3126"/>
    <w:rsid w:val="61D76EE6"/>
    <w:rsid w:val="61E65D38"/>
    <w:rsid w:val="62063D56"/>
    <w:rsid w:val="62091072"/>
    <w:rsid w:val="620F217B"/>
    <w:rsid w:val="62662F99"/>
    <w:rsid w:val="62765CD7"/>
    <w:rsid w:val="62AF6EAF"/>
    <w:rsid w:val="62CC1B44"/>
    <w:rsid w:val="62EF48A7"/>
    <w:rsid w:val="62F25E4F"/>
    <w:rsid w:val="62FE2309"/>
    <w:rsid w:val="635D3C09"/>
    <w:rsid w:val="63AA07CA"/>
    <w:rsid w:val="63D873B9"/>
    <w:rsid w:val="63E951CB"/>
    <w:rsid w:val="645955A5"/>
    <w:rsid w:val="64A00AA4"/>
    <w:rsid w:val="64B944DF"/>
    <w:rsid w:val="64F62D7E"/>
    <w:rsid w:val="65586590"/>
    <w:rsid w:val="65693F31"/>
    <w:rsid w:val="65893298"/>
    <w:rsid w:val="659F6DC5"/>
    <w:rsid w:val="65B60701"/>
    <w:rsid w:val="661B20F8"/>
    <w:rsid w:val="66975306"/>
    <w:rsid w:val="66D8142D"/>
    <w:rsid w:val="66D94FBB"/>
    <w:rsid w:val="66F05F82"/>
    <w:rsid w:val="670F73C1"/>
    <w:rsid w:val="67305B25"/>
    <w:rsid w:val="675201A9"/>
    <w:rsid w:val="678D2E2B"/>
    <w:rsid w:val="679C72F4"/>
    <w:rsid w:val="67DF1735"/>
    <w:rsid w:val="680965A6"/>
    <w:rsid w:val="68510195"/>
    <w:rsid w:val="68E37D30"/>
    <w:rsid w:val="68F024A1"/>
    <w:rsid w:val="68F54E54"/>
    <w:rsid w:val="68FF1B7F"/>
    <w:rsid w:val="69025ECC"/>
    <w:rsid w:val="69097A91"/>
    <w:rsid w:val="691A3F6C"/>
    <w:rsid w:val="691D3E11"/>
    <w:rsid w:val="698405FC"/>
    <w:rsid w:val="69B76589"/>
    <w:rsid w:val="6A4C5DE5"/>
    <w:rsid w:val="6A664B01"/>
    <w:rsid w:val="6A6E2A87"/>
    <w:rsid w:val="6ABD6051"/>
    <w:rsid w:val="6ACC6EF7"/>
    <w:rsid w:val="6B9607B3"/>
    <w:rsid w:val="6BEB4C83"/>
    <w:rsid w:val="6C09688A"/>
    <w:rsid w:val="6C16720C"/>
    <w:rsid w:val="6C3E55E8"/>
    <w:rsid w:val="6C59179D"/>
    <w:rsid w:val="6CA41EA4"/>
    <w:rsid w:val="6D2D7D72"/>
    <w:rsid w:val="6D3168CC"/>
    <w:rsid w:val="6D3A2136"/>
    <w:rsid w:val="6D3F0343"/>
    <w:rsid w:val="6D456785"/>
    <w:rsid w:val="6D4742F1"/>
    <w:rsid w:val="6D701B24"/>
    <w:rsid w:val="6D845598"/>
    <w:rsid w:val="6DF56FE2"/>
    <w:rsid w:val="6E0D4D89"/>
    <w:rsid w:val="6E4A2016"/>
    <w:rsid w:val="6E807D83"/>
    <w:rsid w:val="6EFD18F0"/>
    <w:rsid w:val="6F07137F"/>
    <w:rsid w:val="6F3A0714"/>
    <w:rsid w:val="6F7D3C96"/>
    <w:rsid w:val="6FA96BDF"/>
    <w:rsid w:val="6FCA4829"/>
    <w:rsid w:val="6FE047E1"/>
    <w:rsid w:val="7060140E"/>
    <w:rsid w:val="706B70EE"/>
    <w:rsid w:val="707045F6"/>
    <w:rsid w:val="70D3095C"/>
    <w:rsid w:val="711E2BD0"/>
    <w:rsid w:val="713B757F"/>
    <w:rsid w:val="716677D3"/>
    <w:rsid w:val="717C3F0B"/>
    <w:rsid w:val="71885CE8"/>
    <w:rsid w:val="71C34F3E"/>
    <w:rsid w:val="71C53447"/>
    <w:rsid w:val="71EF203A"/>
    <w:rsid w:val="722C30E4"/>
    <w:rsid w:val="72A44C11"/>
    <w:rsid w:val="72EE1803"/>
    <w:rsid w:val="732746D3"/>
    <w:rsid w:val="7330761D"/>
    <w:rsid w:val="73365E81"/>
    <w:rsid w:val="734D1C8A"/>
    <w:rsid w:val="7354725A"/>
    <w:rsid w:val="738E3000"/>
    <w:rsid w:val="73956237"/>
    <w:rsid w:val="73B94429"/>
    <w:rsid w:val="73F03E2A"/>
    <w:rsid w:val="740C4954"/>
    <w:rsid w:val="74251E93"/>
    <w:rsid w:val="74A566F4"/>
    <w:rsid w:val="75090455"/>
    <w:rsid w:val="75125F80"/>
    <w:rsid w:val="752A50E4"/>
    <w:rsid w:val="754649F7"/>
    <w:rsid w:val="75516F3D"/>
    <w:rsid w:val="758874DF"/>
    <w:rsid w:val="75A35CA6"/>
    <w:rsid w:val="75C34F6F"/>
    <w:rsid w:val="76657A5F"/>
    <w:rsid w:val="76802D7F"/>
    <w:rsid w:val="769924F0"/>
    <w:rsid w:val="76CC4C0F"/>
    <w:rsid w:val="76D1549A"/>
    <w:rsid w:val="76E67918"/>
    <w:rsid w:val="77304EBF"/>
    <w:rsid w:val="773326EE"/>
    <w:rsid w:val="77493C50"/>
    <w:rsid w:val="77556FA5"/>
    <w:rsid w:val="775717DF"/>
    <w:rsid w:val="77592956"/>
    <w:rsid w:val="778500CF"/>
    <w:rsid w:val="77B31D7E"/>
    <w:rsid w:val="77BD3857"/>
    <w:rsid w:val="77DE6A70"/>
    <w:rsid w:val="77EE7BB7"/>
    <w:rsid w:val="77F14197"/>
    <w:rsid w:val="77F25CCB"/>
    <w:rsid w:val="780F171E"/>
    <w:rsid w:val="782563EF"/>
    <w:rsid w:val="784D5709"/>
    <w:rsid w:val="786B4211"/>
    <w:rsid w:val="78B321B8"/>
    <w:rsid w:val="78EC3EBF"/>
    <w:rsid w:val="7920400C"/>
    <w:rsid w:val="79400CB5"/>
    <w:rsid w:val="7943440E"/>
    <w:rsid w:val="794376CD"/>
    <w:rsid w:val="794A3025"/>
    <w:rsid w:val="79F94CA5"/>
    <w:rsid w:val="7A025007"/>
    <w:rsid w:val="7A4941DF"/>
    <w:rsid w:val="7A4B25BE"/>
    <w:rsid w:val="7A980E1C"/>
    <w:rsid w:val="7ACB32B5"/>
    <w:rsid w:val="7AD127B8"/>
    <w:rsid w:val="7B3F292E"/>
    <w:rsid w:val="7B5D4AAF"/>
    <w:rsid w:val="7B8A4AC1"/>
    <w:rsid w:val="7BB83FFC"/>
    <w:rsid w:val="7BC26293"/>
    <w:rsid w:val="7C261D5B"/>
    <w:rsid w:val="7C2B6CA6"/>
    <w:rsid w:val="7C6745B1"/>
    <w:rsid w:val="7D1172F4"/>
    <w:rsid w:val="7D352BDB"/>
    <w:rsid w:val="7D51628E"/>
    <w:rsid w:val="7D761DA1"/>
    <w:rsid w:val="7D7D236E"/>
    <w:rsid w:val="7E535ED5"/>
    <w:rsid w:val="7E76615E"/>
    <w:rsid w:val="7E7A118A"/>
    <w:rsid w:val="7E9C49B2"/>
    <w:rsid w:val="7E9D4ED5"/>
    <w:rsid w:val="7EA23EBD"/>
    <w:rsid w:val="7EA9652C"/>
    <w:rsid w:val="7EBF4605"/>
    <w:rsid w:val="7EC324F6"/>
    <w:rsid w:val="7F005284"/>
    <w:rsid w:val="7F0204F0"/>
    <w:rsid w:val="7F034DBC"/>
    <w:rsid w:val="7F64272D"/>
    <w:rsid w:val="7F6F3DE3"/>
    <w:rsid w:val="7F8C1E50"/>
    <w:rsid w:val="7FA5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iPriority w:val="0"/>
    <w:rPr>
      <w:color w:val="0000FF"/>
      <w:u w:val="single"/>
    </w:rPr>
  </w:style>
  <w:style w:type="character" w:styleId="7">
    <w:name w:val="footnote reference"/>
    <w:basedOn w:val="5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emf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2664</Words>
  <Characters>3698</Characters>
  <Lines>0</Lines>
  <Paragraphs>0</Paragraphs>
  <TotalTime>21</TotalTime>
  <ScaleCrop>false</ScaleCrop>
  <LinksUpToDate>false</LinksUpToDate>
  <CharactersWithSpaces>3843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2023-08-02T05:45:00Z</dcterms:created>
  <dc:creator>Administrator</dc:creator>
  <cp:lastModifiedBy>编辑</cp:lastModifiedBy>
  <dcterms:modified xsi:type="dcterms:W3CDTF">2026-07-27T06:57:23Z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103B8CCE03B44DCBB64C7F81E8DCB977_13</vt:lpwstr>
  </property>
  <property fmtid="{D5CDD505-2E9C-101B-9397-08002B2CF9AE}" pid="4" name="KSOTemplateDocerSaveRecord">
    <vt:lpwstr>eyJoZGlkIjoiMmE4MDQ2YjVkMWZjODI5MzQ4M2M4NGI0NDU4Nzc3NGQiLCJ1c2VySWQiOiIxNTY4ODA4MjgwIn0=</vt:lpwstr>
  </property>
</Properties>
</file>