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2F055" w14:textId="77777777" w:rsidR="00435ABF" w:rsidRDefault="00435ABF">
      <w:pPr>
        <w:jc w:val="center"/>
        <w:rPr>
          <w:rFonts w:ascii="黑体" w:eastAsia="黑体" w:hAnsi="黑体"/>
          <w:b/>
          <w:bCs/>
          <w:sz w:val="48"/>
          <w:szCs w:val="48"/>
        </w:rPr>
      </w:pPr>
      <w:r>
        <w:rPr>
          <w:rFonts w:ascii="黑体" w:eastAsia="黑体" w:hAnsi="黑体" w:hint="eastAsia"/>
          <w:b/>
          <w:bCs/>
          <w:sz w:val="48"/>
          <w:szCs w:val="48"/>
        </w:rPr>
        <w:t>长春工业大学学术</w:t>
      </w:r>
      <w:r w:rsidR="00000000">
        <w:rPr>
          <w:rFonts w:ascii="黑体" w:eastAsia="黑体" w:hAnsi="黑体" w:hint="eastAsia"/>
          <w:b/>
          <w:bCs/>
          <w:sz w:val="48"/>
          <w:szCs w:val="48"/>
        </w:rPr>
        <w:t>期刊中心</w:t>
      </w:r>
    </w:p>
    <w:p w14:paraId="3E4A7F75" w14:textId="63DCB75A" w:rsidR="00F14706" w:rsidRDefault="00000000">
      <w:pPr>
        <w:jc w:val="center"/>
        <w:rPr>
          <w:rFonts w:ascii="黑体" w:eastAsia="黑体" w:hAnsi="黑体" w:hint="eastAsia"/>
          <w:b/>
          <w:bCs/>
          <w:sz w:val="48"/>
          <w:szCs w:val="48"/>
        </w:rPr>
      </w:pPr>
      <w:r>
        <w:rPr>
          <w:rFonts w:ascii="黑体" w:eastAsia="黑体" w:hAnsi="黑体" w:hint="eastAsia"/>
          <w:b/>
          <w:bCs/>
          <w:sz w:val="48"/>
          <w:szCs w:val="48"/>
        </w:rPr>
        <w:t>学术诚信规范</w:t>
      </w:r>
    </w:p>
    <w:p w14:paraId="4B0877C8" w14:textId="77777777" w:rsidR="00F14706" w:rsidRDefault="00F14706">
      <w:pPr>
        <w:jc w:val="center"/>
        <w:rPr>
          <w:rFonts w:ascii="黑体" w:eastAsia="黑体" w:hAnsi="黑体" w:hint="eastAsia"/>
          <w:sz w:val="48"/>
          <w:szCs w:val="48"/>
        </w:rPr>
      </w:pPr>
    </w:p>
    <w:p w14:paraId="1EE80A0D" w14:textId="77777777" w:rsidR="00F14706" w:rsidRDefault="00000000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学术诚信是科学研究及学术交流的基石，我国政府及相关部门十分重视对科研不端行为的防范与治理，并出台了一系列政策文件。 其中包括科学技术部2006年出台的《国家科技计划实施中科研不端行为处理办法（试行）》（科学技术部令第11号），中共中央办公厅、国务院办公厅2018年印发的《关于进一步加强科研诚信建设的若干意见》，国家新闻出版署2019年发布的《学术出版规范期刊学术不端行为界定（CY/T 174-2019）》。为了应对各种可能出现的学术不端行为,维护科研环境的公平、公正，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中国电科院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期刊中心制定学术诚信规范。</w:t>
      </w:r>
    </w:p>
    <w:p w14:paraId="46D658C2" w14:textId="77777777" w:rsidR="00F14706" w:rsidRDefault="00000000" w:rsidP="00435ABF">
      <w:pPr>
        <w:ind w:firstLineChars="200"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1.学术不端行为界定</w:t>
      </w:r>
    </w:p>
    <w:p w14:paraId="2817E19F" w14:textId="77777777" w:rsidR="00F14706" w:rsidRDefault="00000000" w:rsidP="00435ABF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根据对象不同，分为论文作者学术不端行为、审稿专家学术不端行为和编辑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者学术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不端行为。</w:t>
      </w:r>
    </w:p>
    <w:p w14:paraId="37374DC1" w14:textId="77777777" w:rsidR="00F14706" w:rsidRDefault="00000000" w:rsidP="00435ABF">
      <w:pPr>
        <w:ind w:firstLineChars="200"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1.1论文作者学术不端行为</w:t>
      </w:r>
    </w:p>
    <w:p w14:paraId="5FAEB968" w14:textId="77777777" w:rsidR="00F14706" w:rsidRDefault="00000000" w:rsidP="00435ABF">
      <w:pPr>
        <w:ind w:firstLineChars="200"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1.1.1论文作者学术不端及其边缘行为细分</w:t>
      </w:r>
    </w:p>
    <w:p w14:paraId="4D0BB1E2" w14:textId="77777777" w:rsidR="00F14706" w:rsidRDefault="00000000" w:rsidP="00435ABF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对学术不端及其边缘行为进行细分和界定，是对其进行精准防控和处理的前提。按照性质和程度的不同，宜将学术不端及其边缘行为划分为３种：学术不端行为、学术不当行为和学术失当行为。具体界定如下：</w:t>
      </w:r>
    </w:p>
    <w:p w14:paraId="54B4028B" w14:textId="77777777" w:rsidR="00F14706" w:rsidRDefault="00000000" w:rsidP="00435ABF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1）学术不端行为，是指在科学研究、成果发表和学术交流活动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中行为主体的各种违背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科学共同体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规范及惯例的明显且故意的行为。学术不端行为主要包括剽窃、伪造、篡改、一稿多投、同一成果重复发表或拆分发表、论文署名不当、有偿或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无偿请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他人代写论文、有偿或无偿为他人代写（代发）论文等行为。上述学术不端行为属于不能原谅、应受到惩戒的行为。</w:t>
      </w:r>
    </w:p>
    <w:p w14:paraId="18D2675D" w14:textId="77777777" w:rsidR="00F14706" w:rsidRDefault="00000000" w:rsidP="00435ABF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2）学术不当行为。该行为虽然在性质算不上典型的学术不端行为，但明显属于主观上故意为之的不被鼓励、应提出警告并今后必须杜绝的边缘行为。</w:t>
      </w:r>
    </w:p>
    <w:p w14:paraId="5AD41E98" w14:textId="77777777" w:rsidR="00F14706" w:rsidRDefault="00000000" w:rsidP="00435ABF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3）学术失当行为。该行为虽不严谨或有失学术风范，但尚未触及学术道德底线，属于非主观故意 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须今后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尽量避免的边缘行为。</w:t>
      </w:r>
    </w:p>
    <w:p w14:paraId="16A695D2" w14:textId="77777777" w:rsidR="00F14706" w:rsidRDefault="00000000" w:rsidP="00435ABF">
      <w:pPr>
        <w:ind w:firstLineChars="200"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1.1.2 学术不端及其边缘行为示例</w:t>
      </w:r>
    </w:p>
    <w:p w14:paraId="0FCE62A6" w14:textId="77777777" w:rsidR="00F14706" w:rsidRDefault="00000000" w:rsidP="00435ABF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）学术不端行为的典型示例：同一篇稿件同时或先后向多种期刊投稿；稿件的文字复制比超过既定标准且无合理解释；同一科研成果重复发表；同一插图、表格及关键数据重复发表；稿件结论部分与他人已发表文章雷同；委托他人代写论文或为他人代写（代发）论文；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合理由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补加、删去作者署名或更换作者顺序；在结果和讨论部分使用他人数据但未注明引文。</w:t>
      </w:r>
    </w:p>
    <w:p w14:paraId="7BAB271C" w14:textId="77777777" w:rsidR="00F14706" w:rsidRDefault="00000000" w:rsidP="00435ABF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）学术不当行为的典型示例：学术论文与本人学位论文的关系处理不当（引用不当）；本人成果与团队系列成果的关系处理不当（引用不当）；未经导师或课题组成员同意擅自投稿；投稿时向编辑部推荐人情审稿人。</w:t>
      </w:r>
    </w:p>
    <w:p w14:paraId="70084ED6" w14:textId="77777777" w:rsidR="00F14706" w:rsidRDefault="00000000" w:rsidP="00435ABF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3）学术失当行为的典型示例：退稿后未经修改继续向同一期刊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投稿；学位论文未经规范性整理直接向期刊投稿；会议论文未经规范性整理直接向期刊投稿；简单翻译本人的外文论文直接向中文期刊投稿；引用他人已发表的方法、观点、数据等未注明引文；引用本人前期系列成果但未注明引文；在材料、方法或模型的描述中采用了他人的内容但未注明引文；在结果和讨论部分使用了他人数据但未注明引文。</w:t>
      </w:r>
    </w:p>
    <w:p w14:paraId="09C556B7" w14:textId="77777777" w:rsidR="00F14706" w:rsidRDefault="00000000" w:rsidP="00435ABF">
      <w:pPr>
        <w:ind w:firstLineChars="200"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1.2 审稿专家学术不端行为</w:t>
      </w:r>
    </w:p>
    <w:p w14:paraId="729C5E67" w14:textId="77777777" w:rsidR="00F14706" w:rsidRDefault="00000000" w:rsidP="00435ABF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违背学术道德的评审，干扰评审程序，违反利益冲突规定，违反保密规定，盗用稿件内容，谋取不正当利益，以及其他学术不端行为。</w:t>
      </w:r>
    </w:p>
    <w:p w14:paraId="73DE90E6" w14:textId="77777777" w:rsidR="00F14706" w:rsidRDefault="00000000" w:rsidP="00435ABF">
      <w:pPr>
        <w:ind w:firstLineChars="200"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1.3 编辑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者学术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不端行为</w:t>
      </w:r>
    </w:p>
    <w:p w14:paraId="3C69AE95" w14:textId="77777777" w:rsidR="00F14706" w:rsidRDefault="00000000" w:rsidP="00435ABF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违背学术和伦理标准提出编辑意见，违反利益冲突规定，违反保密要求，盗用稿件内容，干扰评审，谋取不正当利益，以及其他学术不端行为。</w:t>
      </w:r>
    </w:p>
    <w:p w14:paraId="3D5B5AAD" w14:textId="77777777" w:rsidR="00F14706" w:rsidRDefault="00000000" w:rsidP="00435ABF">
      <w:pPr>
        <w:numPr>
          <w:ilvl w:val="0"/>
          <w:numId w:val="1"/>
        </w:numPr>
        <w:ind w:firstLineChars="200"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针对作者学术不端及其边缘行为的处理方法</w:t>
      </w:r>
    </w:p>
    <w:p w14:paraId="74B282CD" w14:textId="77777777" w:rsidR="00F14706" w:rsidRDefault="00000000" w:rsidP="00435ABF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学术不端、学术不当和学术失当行为的学术失信程度不同，故在处理方式上须区别对待。</w:t>
      </w:r>
    </w:p>
    <w:p w14:paraId="7F50D826" w14:textId="77777777" w:rsidR="00F14706" w:rsidRDefault="00000000" w:rsidP="00435ABF">
      <w:pPr>
        <w:ind w:firstLineChars="200"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2.1学术不端行为的处理</w:t>
      </w:r>
    </w:p>
    <w:p w14:paraId="5B811660" w14:textId="77777777" w:rsidR="00F14706" w:rsidRDefault="00000000" w:rsidP="00435ABF">
      <w:pPr>
        <w:ind w:firstLineChars="200"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2.1.1未出版稿件的处理</w:t>
      </w:r>
    </w:p>
    <w:p w14:paraId="0244425C" w14:textId="77777777" w:rsidR="00F14706" w:rsidRDefault="00000000" w:rsidP="00435ABF">
      <w:pPr>
        <w:ind w:firstLineChars="200"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在未进入出版印刷流程前的任何环节，一旦发现涉嫌学术不端稿件，查实后立即予以退稿，向作者说明退稿原因并提出书面警告（见附录警示函）。如在印刷环节发现涉嫌学术不端稿件，核实后应立即撤稿并中止印刷流程，重新制版，由此造成的相关经济损失由作者全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额承担。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未出版稿件发现学术不端问题，若已收取该篇论文版面费，版面费不予退还。</w:t>
      </w:r>
    </w:p>
    <w:p w14:paraId="0FB282F7" w14:textId="77777777" w:rsidR="00F14706" w:rsidRDefault="00000000" w:rsidP="00435ABF">
      <w:pPr>
        <w:ind w:firstLineChars="200" w:firstLine="562"/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2.1.2已刊发稿件的处理</w:t>
      </w:r>
    </w:p>
    <w:p w14:paraId="4E56F268" w14:textId="77777777" w:rsidR="00F14706" w:rsidRDefault="00000000" w:rsidP="00435ABF">
      <w:pPr>
        <w:ind w:firstLineChars="200"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对于网络首发后发现的涉嫌学术不端稿件，应及时从网络首发数据库中予以撤稿并通知作者，向作者说明撤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稿原因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并抄送给作者人事关系所在单位，同时将作者列入观察名单，至少两年内不接受其投稿。必要时，可在期刊官网上公布涉嫌学术不端稿件。</w:t>
      </w:r>
    </w:p>
    <w:p w14:paraId="789E64DB" w14:textId="77777777" w:rsidR="00F14706" w:rsidRDefault="00000000" w:rsidP="00435ABF">
      <w:pPr>
        <w:ind w:firstLineChars="200"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见刊后发现的涉嫌学术不端稿件，应及时从所有数据库中予以撤稿并通知作者，在期刊补白处刊登撤稿声明，向作者说明撤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稿原因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并抄送给作者人事关系所在单位，同时将作者列入观察名单，至少两年内不接受其投稿。必要时，可在期刊官网上公布涉嫌学术不端稿件。</w:t>
      </w:r>
    </w:p>
    <w:p w14:paraId="6F902708" w14:textId="77777777" w:rsidR="00F14706" w:rsidRDefault="00000000" w:rsidP="00435ABF">
      <w:pPr>
        <w:ind w:firstLineChars="200"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当作者存在学术不端行为，若已收取该篇论文版面费，版面费不予退还。若存在学术不端的论文进入出版环节，需给作者和所在单位发警示函。</w:t>
      </w:r>
    </w:p>
    <w:p w14:paraId="08365951" w14:textId="77777777" w:rsidR="00F14706" w:rsidRDefault="00000000" w:rsidP="00435ABF">
      <w:pPr>
        <w:ind w:firstLineChars="200"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2.2学术不当行为的处理</w:t>
      </w:r>
    </w:p>
    <w:p w14:paraId="280D3233" w14:textId="77777777" w:rsidR="00F14706" w:rsidRDefault="00000000" w:rsidP="00435ABF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学术不当行为虽不属于典型的学术不端行为，但存在主观故意，已处于学术不端的边缘。对于涉嫌学术不当的稿件，可向作者提出书面警告并责令其提交书面说明函，解释相关过程并保证今后不再发生类似事件。</w:t>
      </w:r>
    </w:p>
    <w:p w14:paraId="1D4B83BB" w14:textId="77777777" w:rsidR="00F14706" w:rsidRDefault="00000000" w:rsidP="00435ABF">
      <w:pPr>
        <w:ind w:firstLineChars="200"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2.3学术失当行为的处理</w:t>
      </w:r>
    </w:p>
    <w:p w14:paraId="75094F0F" w14:textId="77777777" w:rsidR="00F14706" w:rsidRDefault="00000000" w:rsidP="00435ABF">
      <w:pPr>
        <w:ind w:firstLineChars="200" w:firstLine="560"/>
        <w:rPr>
          <w:rFonts w:ascii="微软雅黑" w:eastAsia="微软雅黑" w:hAnsi="微软雅黑" w:cs="微软雅黑" w:hint="eastAsia"/>
          <w:color w:val="454545"/>
          <w:sz w:val="18"/>
          <w:szCs w:val="18"/>
        </w:rPr>
      </w:pPr>
      <w:r>
        <w:rPr>
          <w:rFonts w:ascii="仿宋" w:eastAsia="仿宋" w:hAnsi="仿宋" w:cs="仿宋" w:hint="eastAsia"/>
          <w:sz w:val="28"/>
          <w:szCs w:val="28"/>
        </w:rPr>
        <w:t>学术失当行为尚未触及学术道德底线，虽有失学术风范，但通常是作者无意或因不了解相关规范或规定而产生的失误。因此，可正式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（书面形式）提醒作者相关行为已处于学术不端的边缘，今后应尽量避免此类行为发生，但不进行书面或口头警告。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</w:p>
    <w:p w14:paraId="012AE026" w14:textId="77777777" w:rsidR="00F14706" w:rsidRDefault="00000000" w:rsidP="00435ABF">
      <w:pPr>
        <w:pStyle w:val="ad"/>
        <w:widowControl/>
        <w:shd w:val="clear" w:color="auto" w:fill="FFFFFF"/>
        <w:spacing w:beforeAutospacing="0" w:afterAutospacing="0"/>
        <w:ind w:firstLineChars="200" w:firstLine="540"/>
        <w:rPr>
          <w:rFonts w:ascii="微软雅黑" w:eastAsia="微软雅黑" w:hAnsi="微软雅黑" w:cs="微软雅黑" w:hint="eastAsia"/>
          <w:color w:val="454545"/>
          <w:sz w:val="18"/>
          <w:szCs w:val="18"/>
        </w:rPr>
      </w:pPr>
      <w:r>
        <w:rPr>
          <w:rFonts w:ascii="宋体" w:hAnsi="宋体" w:cs="宋体" w:hint="eastAsia"/>
          <w:color w:val="454545"/>
          <w:sz w:val="27"/>
          <w:szCs w:val="27"/>
          <w:shd w:val="clear" w:color="auto" w:fill="FFFFFF"/>
        </w:rPr>
        <w:t xml:space="preserve">　　</w:t>
      </w:r>
    </w:p>
    <w:p w14:paraId="64E5C248" w14:textId="77777777" w:rsidR="00F14706" w:rsidRDefault="00000000" w:rsidP="00435ABF">
      <w:pPr>
        <w:numPr>
          <w:ilvl w:val="0"/>
          <w:numId w:val="1"/>
        </w:numPr>
        <w:ind w:firstLineChars="200" w:firstLine="562"/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加强编审者队伍建设，恪守职业道德</w:t>
      </w:r>
    </w:p>
    <w:p w14:paraId="5D5B3200" w14:textId="77777777" w:rsidR="00F14706" w:rsidRDefault="00000000" w:rsidP="00435ABF">
      <w:pPr>
        <w:ind w:firstLineChars="200"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注重专家办刊，加强同行评议建设。发挥期刊编委会和审稿专家作用，严格稿件学术质量审查规范，客观、公正对待所有稿件。如发现已发表的论文存在弄虚作假、抄袭剽窃或严重差错等问题，应在最短的时间内，采取及时发布撤稿声明、更正启事或公开致歉信等方式进行纠正，并通知收录有关文章的数据库予以撤稿。如发现审稿人利用审稿谋取私利乃至剽窃所审稿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件内容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时，将根据情节轻重分别予以警告、终生禁止其审稿乃至公开披露等处分。</w:t>
      </w:r>
    </w:p>
    <w:p w14:paraId="0E9A1A3F" w14:textId="77777777" w:rsidR="00F14706" w:rsidRDefault="00F14706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sectPr w:rsidR="00F1470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C6AE8" w14:textId="77777777" w:rsidR="00D47D3D" w:rsidRDefault="00D47D3D">
      <w:r>
        <w:separator/>
      </w:r>
    </w:p>
  </w:endnote>
  <w:endnote w:type="continuationSeparator" w:id="0">
    <w:p w14:paraId="425EED70" w14:textId="77777777" w:rsidR="00D47D3D" w:rsidRDefault="00D4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507A9" w14:textId="77777777" w:rsidR="00F14706" w:rsidRDefault="00000000">
    <w:pPr>
      <w:pStyle w:val="a9"/>
    </w:pPr>
    <w:r>
      <w:pict w14:anchorId="03402EA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1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504B9915" w14:textId="77777777" w:rsidR="00F14706" w:rsidRDefault="00000000">
                <w:pPr>
                  <w:pStyle w:val="a9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EBD63" w14:textId="77777777" w:rsidR="00D47D3D" w:rsidRDefault="00D47D3D">
      <w:r>
        <w:separator/>
      </w:r>
    </w:p>
  </w:footnote>
  <w:footnote w:type="continuationSeparator" w:id="0">
    <w:p w14:paraId="6003D201" w14:textId="77777777" w:rsidR="00D47D3D" w:rsidRDefault="00D47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4E7DB" w14:textId="77777777" w:rsidR="00F14706" w:rsidRDefault="00F1470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50DD04"/>
    <w:multiLevelType w:val="singleLevel"/>
    <w:tmpl w:val="7650DD04"/>
    <w:lvl w:ilvl="0">
      <w:start w:val="2"/>
      <w:numFmt w:val="decimal"/>
      <w:suff w:val="space"/>
      <w:lvlText w:val="%1."/>
      <w:lvlJc w:val="left"/>
    </w:lvl>
  </w:abstractNum>
  <w:num w:numId="1" w16cid:durableId="18490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6518"/>
    <w:rsid w:val="0010134E"/>
    <w:rsid w:val="002C1148"/>
    <w:rsid w:val="00435ABF"/>
    <w:rsid w:val="00454E34"/>
    <w:rsid w:val="00470A9C"/>
    <w:rsid w:val="007F0D5B"/>
    <w:rsid w:val="00935E7F"/>
    <w:rsid w:val="00950674"/>
    <w:rsid w:val="00C0740F"/>
    <w:rsid w:val="00D47D3D"/>
    <w:rsid w:val="00E46518"/>
    <w:rsid w:val="00F14706"/>
    <w:rsid w:val="00F655BA"/>
    <w:rsid w:val="00F95CBA"/>
    <w:rsid w:val="024331F1"/>
    <w:rsid w:val="078C6E8A"/>
    <w:rsid w:val="0AC52AE1"/>
    <w:rsid w:val="0AC95818"/>
    <w:rsid w:val="141B3923"/>
    <w:rsid w:val="153742C5"/>
    <w:rsid w:val="15FE060B"/>
    <w:rsid w:val="19FF0EC0"/>
    <w:rsid w:val="1D904FBB"/>
    <w:rsid w:val="1DF04946"/>
    <w:rsid w:val="25CE23AE"/>
    <w:rsid w:val="2A9E0B74"/>
    <w:rsid w:val="2B034439"/>
    <w:rsid w:val="33827FDB"/>
    <w:rsid w:val="3680614A"/>
    <w:rsid w:val="368A67E5"/>
    <w:rsid w:val="36CB215C"/>
    <w:rsid w:val="36E33C32"/>
    <w:rsid w:val="37AD60A4"/>
    <w:rsid w:val="3ECF324B"/>
    <w:rsid w:val="402E2608"/>
    <w:rsid w:val="46345E73"/>
    <w:rsid w:val="47CE2C4F"/>
    <w:rsid w:val="49A87FA2"/>
    <w:rsid w:val="4F9528FB"/>
    <w:rsid w:val="4FE10E58"/>
    <w:rsid w:val="511F53CA"/>
    <w:rsid w:val="574633F0"/>
    <w:rsid w:val="5DDF65AF"/>
    <w:rsid w:val="622228C2"/>
    <w:rsid w:val="68F35540"/>
    <w:rsid w:val="696A4438"/>
    <w:rsid w:val="6A0B67FA"/>
    <w:rsid w:val="6B4B3AB3"/>
    <w:rsid w:val="6CF52F93"/>
    <w:rsid w:val="71657C29"/>
    <w:rsid w:val="74280233"/>
    <w:rsid w:val="74F2366C"/>
    <w:rsid w:val="75A309B4"/>
    <w:rsid w:val="77B1185F"/>
    <w:rsid w:val="78D14C89"/>
    <w:rsid w:val="79513184"/>
    <w:rsid w:val="7B512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9B29F8B"/>
  <w15:docId w15:val="{ADADB238-0592-4E1C-B8EA-BD6F95D4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e">
    <w:name w:val="annotation reference"/>
    <w:qFormat/>
    <w:rPr>
      <w:sz w:val="21"/>
      <w:szCs w:val="21"/>
    </w:rPr>
  </w:style>
  <w:style w:type="paragraph" w:customStyle="1" w:styleId="Bodytext1">
    <w:name w:val="Body text|1"/>
    <w:basedOn w:val="a"/>
    <w:qFormat/>
    <w:pPr>
      <w:spacing w:line="346" w:lineRule="auto"/>
      <w:ind w:firstLine="400"/>
    </w:pPr>
    <w:rPr>
      <w:rFonts w:ascii="宋体" w:hAnsi="宋体" w:cs="宋体"/>
      <w:sz w:val="19"/>
      <w:szCs w:val="19"/>
      <w:lang w:val="zh-TW" w:eastAsia="zh-TW" w:bidi="zh-TW"/>
    </w:rPr>
  </w:style>
  <w:style w:type="character" w:customStyle="1" w:styleId="a6">
    <w:name w:val="批注文字 字符"/>
    <w:link w:val="a4"/>
    <w:qFormat/>
    <w:rPr>
      <w:kern w:val="2"/>
      <w:sz w:val="21"/>
      <w:szCs w:val="24"/>
    </w:rPr>
  </w:style>
  <w:style w:type="character" w:customStyle="1" w:styleId="a5">
    <w:name w:val="批注主题 字符"/>
    <w:link w:val="a3"/>
    <w:qFormat/>
    <w:rPr>
      <w:b/>
      <w:bCs/>
      <w:kern w:val="2"/>
      <w:sz w:val="21"/>
      <w:szCs w:val="24"/>
    </w:rPr>
  </w:style>
  <w:style w:type="character" w:customStyle="1" w:styleId="a8">
    <w:name w:val="批注框文本 字符"/>
    <w:link w:val="a7"/>
    <w:qFormat/>
    <w:rPr>
      <w:kern w:val="2"/>
      <w:sz w:val="18"/>
      <w:szCs w:val="18"/>
    </w:rPr>
  </w:style>
  <w:style w:type="character" w:customStyle="1" w:styleId="ac">
    <w:name w:val="页眉 字符"/>
    <w:link w:val="ab"/>
    <w:qFormat/>
    <w:rPr>
      <w:kern w:val="2"/>
      <w:sz w:val="18"/>
      <w:szCs w:val="18"/>
    </w:rPr>
  </w:style>
  <w:style w:type="character" w:customStyle="1" w:styleId="aa">
    <w:name w:val="页脚 字符"/>
    <w:link w:val="a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352</Words>
  <Characters>2009</Characters>
  <Application>Microsoft Office Word</Application>
  <DocSecurity>0</DocSecurity>
  <Lines>16</Lines>
  <Paragraphs>4</Paragraphs>
  <ScaleCrop>false</ScaleCrop>
  <Company>微软中国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中国电科院期刊中心学术诚信规范</dc:title>
  <dc:creator>yanmeng</dc:creator>
  <cp:lastModifiedBy>zhangniaona</cp:lastModifiedBy>
  <cp:revision>7</cp:revision>
  <dcterms:created xsi:type="dcterms:W3CDTF">2021-08-02T01:21:00Z</dcterms:created>
  <dcterms:modified xsi:type="dcterms:W3CDTF">2024-10-24T11:11:00Z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