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7.svg" ContentType="image/svg+xml"/>
  <Override PartName="/word/media/image19.svg" ContentType="image/svg+xml"/>
  <Override PartName="/word/media/image21.svg" ContentType="image/svg+xml"/>
  <Override PartName="/word/media/image23.svg" ContentType="image/svg+xml"/>
  <Override PartName="/word/media/image25.svg" ContentType="image/svg+xml"/>
  <Override PartName="/word/media/image27.svg" ContentType="image/svg+xml"/>
  <Override PartName="/word/media/image29.svg" ContentType="image/svg+xml"/>
  <Override PartName="/word/media/image31.svg" ContentType="image/svg+xml"/>
  <Override PartName="/word/media/image33.svg" ContentType="image/svg+xml"/>
  <Override PartName="/word/media/image35.svg" ContentType="image/svg+xml"/>
  <Override PartName="/word/media/image37.svg" ContentType="image/svg+xml"/>
  <Override PartName="/word/media/image39.svg" ContentType="image/svg+xml"/>
  <Override PartName="/word/media/image41.svg" ContentType="image/svg+xml"/>
  <Override PartName="/word/media/image43.svg" ContentType="image/svg+xml"/>
  <Override PartName="/word/media/image45.svg" ContentType="image/svg+xml"/>
  <Override PartName="/word/media/image47.svg" ContentType="image/svg+xml"/>
  <Override PartName="/word/media/image49.svg" ContentType="image/svg+xml"/>
  <Override PartName="/word/media/image51.svg" ContentType="image/svg+xml"/>
  <Override PartName="/word/media/image53.svg" ContentType="image/svg+xml"/>
  <Override PartName="/word/media/image65.svg" ContentType="image/svg+xml"/>
  <Override PartName="/word/media/image68.svg" ContentType="image/svg+xml"/>
  <Override PartName="/word/media/image70.svg" ContentType="image/svg+xml"/>
  <Override PartName="/word/media/image72.svg" ContentType="image/svg+xml"/>
  <Override PartName="/word/media/image74.svg" ContentType="image/svg+xml"/>
  <Override PartName="/word/media/image76.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F8E91">
      <w:pPr>
        <w:snapToGrid w:val="0"/>
        <w:spacing w:line="278" w:lineRule="auto"/>
        <w:jc w:val="center"/>
        <w:rPr>
          <w:rFonts w:ascii="Times New Roman" w:hAnsi="Times New Roman" w:cs="Times New Roman"/>
          <w:b/>
          <w:bCs/>
          <w:sz w:val="48"/>
          <w:szCs w:val="48"/>
        </w:rPr>
      </w:pPr>
      <w:bookmarkStart w:id="0" w:name="_Hlk176275254"/>
      <w:r>
        <w:rPr>
          <w:rFonts w:ascii="Times New Roman" w:hAnsi="Times New Roman" w:cs="Times New Roman"/>
          <w:b/>
          <w:bCs/>
          <w:sz w:val="48"/>
          <w:szCs w:val="48"/>
          <w:shd w:val="clear" w:color="auto" w:fill="FFFFFF"/>
        </w:rPr>
        <w:t>水流冲击管道盲端滞留气团的瞬变流特性</w:t>
      </w:r>
      <w:r>
        <w:rPr>
          <w:rFonts w:ascii="Times New Roman" w:hAnsi="Times New Roman" w:cs="Times New Roman"/>
          <w:b/>
          <w:bCs/>
          <w:sz w:val="48"/>
          <w:szCs w:val="48"/>
        </w:rPr>
        <w:t>研究</w:t>
      </w:r>
    </w:p>
    <w:p w14:paraId="00FCF060">
      <w:pPr>
        <w:snapToGrid w:val="0"/>
        <w:spacing w:after="160" w:line="278" w:lineRule="auto"/>
        <w:jc w:val="center"/>
        <w:rPr>
          <w:rFonts w:ascii="Times New Roman" w:hAnsi="Times New Roman" w:eastAsia="楷体" w:cs="Times New Roman"/>
          <w:sz w:val="28"/>
          <w:szCs w:val="28"/>
          <w:vertAlign w:val="superscript"/>
        </w:rPr>
      </w:pPr>
      <w:r>
        <w:rPr>
          <w:rFonts w:ascii="Times New Roman" w:hAnsi="Times New Roman" w:eastAsia="楷体" w:cs="Times New Roman"/>
          <w:sz w:val="28"/>
          <w:szCs w:val="28"/>
          <w:shd w:val="clear" w:color="auto" w:fill="FFFFFF"/>
        </w:rPr>
        <w:t>袁海光</w:t>
      </w:r>
      <w:r>
        <w:rPr>
          <w:rFonts w:ascii="Times New Roman" w:hAnsi="Times New Roman" w:eastAsia="楷体" w:cs="Times New Roman"/>
          <w:sz w:val="28"/>
          <w:szCs w:val="28"/>
          <w:vertAlign w:val="superscript"/>
        </w:rPr>
        <w:t>1</w:t>
      </w:r>
      <w:r>
        <w:rPr>
          <w:rFonts w:ascii="Times New Roman" w:hAnsi="Times New Roman" w:eastAsia="楷体" w:cs="Times New Roman"/>
          <w:sz w:val="28"/>
          <w:szCs w:val="28"/>
        </w:rPr>
        <w:t>，牛子厚</w:t>
      </w:r>
      <w:r>
        <w:rPr>
          <w:rFonts w:ascii="Times New Roman" w:hAnsi="Times New Roman" w:eastAsia="楷体" w:cs="Times New Roman"/>
          <w:sz w:val="28"/>
          <w:szCs w:val="28"/>
          <w:vertAlign w:val="superscript"/>
        </w:rPr>
        <w:t>2</w:t>
      </w:r>
      <w:r>
        <w:rPr>
          <w:rFonts w:ascii="Times New Roman" w:hAnsi="Times New Roman" w:eastAsia="楷体" w:cs="Times New Roman"/>
          <w:sz w:val="28"/>
          <w:szCs w:val="28"/>
        </w:rPr>
        <w:t>，</w:t>
      </w:r>
      <w:r>
        <w:rPr>
          <w:rFonts w:ascii="Times New Roman" w:hAnsi="Times New Roman" w:eastAsia="楷体" w:cs="Times New Roman"/>
          <w:sz w:val="28"/>
          <w:szCs w:val="28"/>
          <w:shd w:val="clear" w:color="auto" w:fill="FFFFFF"/>
        </w:rPr>
        <w:t>黄华</w:t>
      </w:r>
      <w:r>
        <w:rPr>
          <w:rFonts w:ascii="Times New Roman" w:hAnsi="Times New Roman" w:eastAsia="楷体" w:cs="Times New Roman"/>
          <w:sz w:val="28"/>
          <w:szCs w:val="28"/>
          <w:vertAlign w:val="superscript"/>
        </w:rPr>
        <w:t>1</w:t>
      </w:r>
      <w:r>
        <w:rPr>
          <w:rFonts w:ascii="Times New Roman" w:hAnsi="Times New Roman" w:eastAsia="楷体" w:cs="Times New Roman"/>
          <w:sz w:val="28"/>
          <w:szCs w:val="28"/>
        </w:rPr>
        <w:t>，陈文学</w:t>
      </w:r>
      <w:r>
        <w:rPr>
          <w:rFonts w:ascii="Times New Roman" w:hAnsi="Times New Roman" w:eastAsia="楷体" w:cs="Times New Roman"/>
          <w:sz w:val="28"/>
          <w:szCs w:val="28"/>
          <w:vertAlign w:val="superscript"/>
        </w:rPr>
        <w:t>2</w:t>
      </w:r>
      <w:r>
        <w:rPr>
          <w:rFonts w:ascii="Times New Roman" w:hAnsi="Times New Roman" w:eastAsia="楷体" w:cs="Times New Roman"/>
          <w:sz w:val="28"/>
          <w:szCs w:val="28"/>
        </w:rPr>
        <w:t>，陈 键</w:t>
      </w:r>
      <w:r>
        <w:rPr>
          <w:rFonts w:ascii="Times New Roman" w:hAnsi="Times New Roman" w:eastAsia="楷体" w:cs="Times New Roman"/>
          <w:sz w:val="28"/>
          <w:szCs w:val="28"/>
          <w:vertAlign w:val="superscript"/>
        </w:rPr>
        <w:t>1</w:t>
      </w:r>
      <w:r>
        <w:rPr>
          <w:rFonts w:ascii="Times New Roman" w:hAnsi="Times New Roman" w:eastAsia="楷体" w:cs="Times New Roman"/>
          <w:sz w:val="28"/>
          <w:szCs w:val="28"/>
        </w:rPr>
        <w:t>，穆祥鹏</w:t>
      </w:r>
      <w:r>
        <w:rPr>
          <w:rFonts w:ascii="Times New Roman" w:hAnsi="Times New Roman" w:eastAsia="楷体" w:cs="Times New Roman"/>
          <w:sz w:val="28"/>
          <w:szCs w:val="28"/>
          <w:vertAlign w:val="superscript"/>
        </w:rPr>
        <w:t>2</w:t>
      </w:r>
      <w:r>
        <w:rPr>
          <w:rFonts w:ascii="Times New Roman" w:hAnsi="Times New Roman" w:eastAsia="楷体" w:cs="Times New Roman"/>
          <w:sz w:val="28"/>
          <w:szCs w:val="28"/>
        </w:rPr>
        <w:t>，林 慧</w:t>
      </w:r>
      <w:r>
        <w:rPr>
          <w:rFonts w:ascii="Times New Roman" w:hAnsi="Times New Roman" w:eastAsia="楷体" w:cs="Times New Roman"/>
          <w:sz w:val="28"/>
          <w:szCs w:val="28"/>
          <w:vertAlign w:val="superscript"/>
        </w:rPr>
        <w:t>3</w:t>
      </w:r>
    </w:p>
    <w:p w14:paraId="029E3FFC">
      <w:pPr>
        <w:snapToGrid w:val="0"/>
        <w:spacing w:after="120"/>
        <w:jc w:val="center"/>
        <w:rPr>
          <w:rFonts w:ascii="Times New Roman" w:hAnsi="Times New Roman" w:eastAsia="仿宋" w:cs="Times New Roman"/>
        </w:rPr>
      </w:pPr>
      <w:r>
        <w:rPr>
          <w:rFonts w:ascii="Times New Roman" w:hAnsi="Times New Roman" w:eastAsia="仿宋" w:cs="Times New Roman"/>
        </w:rPr>
        <w:t>（1.</w:t>
      </w:r>
      <w:r>
        <w:rPr>
          <w:rFonts w:ascii="Times New Roman" w:hAnsi="Times New Roman" w:eastAsia="仿宋" w:cs="Times New Roman"/>
          <w:shd w:val="clear" w:color="auto" w:fill="FFFFFF"/>
        </w:rPr>
        <w:t>广东粤海粤西供水有限公司</w:t>
      </w:r>
      <w:r>
        <w:rPr>
          <w:rFonts w:ascii="Times New Roman" w:hAnsi="Times New Roman" w:eastAsia="仿宋" w:cs="Times New Roman"/>
        </w:rPr>
        <w:t>，</w:t>
      </w:r>
      <w:r>
        <w:rPr>
          <w:rFonts w:ascii="Times New Roman" w:hAnsi="Times New Roman" w:eastAsia="仿宋" w:cs="Times New Roman"/>
          <w:shd w:val="clear" w:color="auto" w:fill="FFFFFF"/>
        </w:rPr>
        <w:t>广东 湛江</w:t>
      </w:r>
      <w:r>
        <w:rPr>
          <w:rFonts w:ascii="Times New Roman" w:hAnsi="Times New Roman" w:eastAsia="仿宋" w:cs="Times New Roman"/>
        </w:rPr>
        <w:t xml:space="preserve"> 524043；2. 中国水利水电科学研究院</w:t>
      </w:r>
      <w:r>
        <w:rPr>
          <w:rFonts w:hint="eastAsia" w:ascii="Times New Roman" w:hAnsi="Times New Roman" w:eastAsia="仿宋" w:cs="Times New Roman"/>
        </w:rPr>
        <w:t xml:space="preserve"> </w:t>
      </w:r>
      <w:r>
        <w:rPr>
          <w:rFonts w:ascii="Times New Roman" w:hAnsi="Times New Roman" w:eastAsia="仿宋" w:cs="Times New Roman"/>
        </w:rPr>
        <w:t xml:space="preserve"> 流域水循环与水安全全国重点实验室，北京 100038；3. 广东省水利水电科学研究院，广东 广州 510635）</w:t>
      </w:r>
    </w:p>
    <w:p w14:paraId="0C09675D">
      <w:pPr>
        <w:snapToGrid w:val="0"/>
        <w:spacing w:line="278" w:lineRule="auto"/>
        <w:jc w:val="center"/>
        <w:rPr>
          <w:rFonts w:ascii="Times New Roman" w:hAnsi="Times New Roman" w:eastAsia="仿宋" w:cs="Times New Roman"/>
        </w:rPr>
      </w:pPr>
    </w:p>
    <w:p w14:paraId="5FCF1E54">
      <w:pPr>
        <w:snapToGrid w:val="0"/>
        <w:spacing w:line="278" w:lineRule="auto"/>
        <w:rPr>
          <w:rFonts w:ascii="Times New Roman" w:hAnsi="Times New Roman" w:eastAsia="楷体" w:cs="Times New Roman"/>
          <w:szCs w:val="21"/>
          <w:shd w:val="clear" w:color="auto" w:fill="FFFFFF"/>
        </w:rPr>
      </w:pPr>
      <w:r>
        <w:rPr>
          <w:rFonts w:ascii="Times New Roman" w:hAnsi="Times New Roman" w:cs="Times New Roman"/>
          <w:b/>
          <w:bCs/>
          <w:szCs w:val="21"/>
          <w:shd w:val="clear" w:color="auto" w:fill="FFFFFF"/>
        </w:rPr>
        <w:t>摘  要:</w:t>
      </w:r>
      <w:r>
        <w:rPr>
          <w:rFonts w:ascii="Times New Roman" w:hAnsi="Times New Roman" w:eastAsia="楷体" w:cs="Times New Roman"/>
          <w:szCs w:val="21"/>
          <w:shd w:val="clear" w:color="auto" w:fill="FFFFFF"/>
        </w:rPr>
        <w:t>【目的】长距离有压输水管道在充水过程中，容易在管道高点处滞留气团。在水流的冲击作用下，滞留气团会反复压缩、膨胀，并反过来对水锤波的幅值与传播造成影响。为探究水流冲击管道盲端滞留气团的瞬变流特性，【方法】采用CFD 数值模拟技术研究了水流冲击管道盲端滞留气团问题，分析了滞留气团初始体积对管道水力瞬变特性的影响。【结果】结果显示：在相同的管道进口压力扰动下，随着滞留气团初始体积与管道盲端体积占比（以下简称气团初始体积占比）从15.55%增至119.90%，管道极值压力幅值和第一、第二波峰差值均呈现增加趋势，压力波周期则逐渐延长；当气团初始体积占比超过100%时，管道极值压力幅值、第一与第二波峰差值、压力波周期渐趋稳定。【结论】结果表明：气团最大压缩率与气团初始体积占比呈非线性关系，当气团未完全占据盲端（气团初始体积占比&lt;100%），瞬变水流均匀压缩气团，气团最大压缩率随初始体积占比增大而提高；当气团超出管道盲端时，瞬变水流仅能从管道顶部冲击气团，气团最大压缩率趋于稳定。通过对于水流冲击管道盲端滞留气团的瞬变流特性展开研究，可为含滞留气团的管道水锤分析与防护提供科学依据。</w:t>
      </w:r>
    </w:p>
    <w:bookmarkEnd w:id="0"/>
    <w:p w14:paraId="27CB6F48">
      <w:pPr>
        <w:snapToGrid w:val="0"/>
        <w:spacing w:after="160" w:line="278" w:lineRule="auto"/>
        <w:rPr>
          <w:rFonts w:ascii="Times New Roman" w:hAnsi="Times New Roman" w:eastAsia="楷体" w:cs="Times New Roman"/>
          <w:szCs w:val="21"/>
        </w:rPr>
      </w:pPr>
      <w:r>
        <w:rPr>
          <w:rFonts w:ascii="Times New Roman" w:hAnsi="Times New Roman" w:eastAsia="黑体" w:cs="Times New Roman"/>
          <w:b/>
          <w:bCs/>
          <w:szCs w:val="21"/>
        </w:rPr>
        <w:t>关键词：</w:t>
      </w:r>
      <w:r>
        <w:rPr>
          <w:rFonts w:ascii="Times New Roman" w:hAnsi="Times New Roman" w:eastAsia="楷体" w:cs="Times New Roman"/>
          <w:szCs w:val="21"/>
          <w:shd w:val="clear" w:color="auto" w:fill="FFFFFF"/>
        </w:rPr>
        <w:t>长距离有压输水管道</w:t>
      </w:r>
      <w:r>
        <w:rPr>
          <w:rFonts w:ascii="Times New Roman" w:hAnsi="Times New Roman" w:eastAsia="楷体" w:cs="Times New Roman"/>
          <w:szCs w:val="21"/>
        </w:rPr>
        <w:t>；滞留</w:t>
      </w:r>
      <w:r>
        <w:rPr>
          <w:rFonts w:ascii="Times New Roman" w:hAnsi="Times New Roman" w:eastAsia="楷体" w:cs="Times New Roman"/>
          <w:szCs w:val="21"/>
          <w:shd w:val="clear" w:color="auto" w:fill="FFFFFF"/>
        </w:rPr>
        <w:t>气团</w:t>
      </w:r>
      <w:r>
        <w:rPr>
          <w:rFonts w:ascii="Times New Roman" w:hAnsi="Times New Roman" w:eastAsia="楷体" w:cs="Times New Roman"/>
          <w:szCs w:val="21"/>
        </w:rPr>
        <w:t>；</w:t>
      </w:r>
      <w:r>
        <w:rPr>
          <w:rFonts w:ascii="Times New Roman" w:hAnsi="Times New Roman" w:eastAsia="楷体" w:cs="Times New Roman"/>
          <w:szCs w:val="21"/>
          <w:shd w:val="clear" w:color="auto" w:fill="FFFFFF"/>
        </w:rPr>
        <w:t>水气</w:t>
      </w:r>
      <w:r>
        <w:rPr>
          <w:rFonts w:ascii="Times New Roman" w:hAnsi="Times New Roman" w:eastAsia="楷体" w:cs="Times New Roman"/>
          <w:szCs w:val="21"/>
        </w:rPr>
        <w:t>二相流；CFD；</w:t>
      </w:r>
      <w:r>
        <w:rPr>
          <w:rFonts w:hint="eastAsia" w:ascii="Times New Roman" w:hAnsi="Times New Roman" w:eastAsia="楷体" w:cs="Times New Roman"/>
          <w:szCs w:val="21"/>
        </w:rPr>
        <w:t>数值模拟；</w:t>
      </w:r>
      <w:r>
        <w:rPr>
          <w:rFonts w:ascii="Times New Roman" w:hAnsi="Times New Roman" w:eastAsia="楷体" w:cs="Times New Roman"/>
          <w:szCs w:val="21"/>
        </w:rPr>
        <w:t>瞬变流</w:t>
      </w:r>
    </w:p>
    <w:p w14:paraId="17EFA35D">
      <w:pPr>
        <w:snapToGrid w:val="0"/>
        <w:spacing w:after="160" w:line="278" w:lineRule="auto"/>
        <w:rPr>
          <w:rFonts w:ascii="Times New Roman" w:hAnsi="Times New Roman" w:eastAsia="楷体" w:cs="Times New Roman"/>
          <w:szCs w:val="21"/>
        </w:rPr>
      </w:pPr>
      <w:r>
        <w:rPr>
          <w:rFonts w:hint="eastAsia" w:ascii="Times New Roman" w:hAnsi="Times New Roman" w:eastAsia="楷体" w:cs="Times New Roman"/>
          <w:szCs w:val="21"/>
        </w:rPr>
        <w:t>DOI:       OSID:</w:t>
      </w:r>
      <w:r>
        <w:rPr>
          <w:rFonts w:ascii="Times New Roman" w:hAnsi="Times New Roman" w:eastAsia="楷体" w:cs="Times New Roman"/>
          <w:szCs w:val="21"/>
        </w:rPr>
        <w:drawing>
          <wp:inline distT="0" distB="0" distL="114300" distR="114300">
            <wp:extent cx="1361440" cy="1361440"/>
            <wp:effectExtent l="0" t="0" r="10160" b="10160"/>
            <wp:docPr id="1" name="图片 1" descr="水流冲击管道盲端滞留气团的瞬变流特性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流冲击管道盲端滞留气团的瞬变流特性研究"/>
                    <pic:cNvPicPr>
                      <a:picLocks noChangeAspect="1"/>
                    </pic:cNvPicPr>
                  </pic:nvPicPr>
                  <pic:blipFill>
                    <a:blip r:embed="rId8"/>
                    <a:stretch>
                      <a:fillRect/>
                    </a:stretch>
                  </pic:blipFill>
                  <pic:spPr>
                    <a:xfrm>
                      <a:off x="0" y="0"/>
                      <a:ext cx="1361440" cy="1361440"/>
                    </a:xfrm>
                    <a:prstGeom prst="rect">
                      <a:avLst/>
                    </a:prstGeom>
                  </pic:spPr>
                </pic:pic>
              </a:graphicData>
            </a:graphic>
          </wp:inline>
        </w:drawing>
      </w:r>
    </w:p>
    <w:p w14:paraId="4278D3B4">
      <w:pPr>
        <w:snapToGrid w:val="0"/>
        <w:spacing w:line="360" w:lineRule="auto"/>
        <w:rPr>
          <w:rFonts w:ascii="Times New Roman" w:hAnsi="Times New Roman" w:eastAsia="黑体" w:cs="Times New Roman"/>
          <w:b/>
          <w:sz w:val="18"/>
        </w:rPr>
      </w:pPr>
      <w:r>
        <w:rPr>
          <w:rFonts w:ascii="Times New Roman" w:hAnsi="Times New Roman" w:eastAsia="黑体" w:cs="Times New Roman"/>
          <w:b/>
          <w:sz w:val="18"/>
        </w:rPr>
        <w:t>中图分类号：</w:t>
      </w:r>
      <w:r>
        <w:rPr>
          <w:rFonts w:ascii="Times New Roman" w:hAnsi="Times New Roman" w:eastAsia="黑体" w:cs="Times New Roman"/>
          <w:bCs/>
          <w:sz w:val="18"/>
        </w:rPr>
        <w:t>TV672.2</w:t>
      </w:r>
      <w:r>
        <w:rPr>
          <w:rFonts w:ascii="Times New Roman" w:hAnsi="Times New Roman" w:eastAsia="黑体" w:cs="Times New Roman"/>
          <w:b/>
          <w:sz w:val="18"/>
        </w:rPr>
        <w:t xml:space="preserve">      文献</w:t>
      </w:r>
      <w:r>
        <w:rPr>
          <w:rFonts w:hint="eastAsia" w:ascii="Times New Roman" w:hAnsi="Times New Roman" w:eastAsia="黑体" w:cs="Times New Roman"/>
          <w:b/>
          <w:sz w:val="18"/>
          <w:shd w:val="clear" w:color="auto" w:fill="FFFFFF"/>
        </w:rPr>
        <w:t>标志</w:t>
      </w:r>
      <w:r>
        <w:rPr>
          <w:rFonts w:ascii="Times New Roman" w:hAnsi="Times New Roman" w:eastAsia="黑体" w:cs="Times New Roman"/>
          <w:b/>
          <w:sz w:val="18"/>
        </w:rPr>
        <w:t>码：A            文章编号：</w:t>
      </w:r>
    </w:p>
    <w:p w14:paraId="305E8339">
      <w:pPr>
        <w:snapToGrid w:val="0"/>
        <w:spacing w:line="360" w:lineRule="auto"/>
        <w:rPr>
          <w:rFonts w:ascii="Times New Roman" w:hAnsi="Times New Roman" w:eastAsia="黑体" w:cs="Times New Roman"/>
          <w:b/>
          <w:sz w:val="18"/>
        </w:rPr>
      </w:pPr>
    </w:p>
    <w:p w14:paraId="34DCEB96">
      <w:pPr>
        <w:pStyle w:val="51"/>
        <w:snapToGrid w:val="0"/>
        <w:spacing w:line="278" w:lineRule="auto"/>
        <w:jc w:val="center"/>
        <w:rPr>
          <w:rFonts w:hint="eastAsia" w:ascii="Times New Roman" w:hAnsi="Times New Roman" w:cs="Times New Roman"/>
          <w:b/>
          <w:bCs/>
          <w:sz w:val="28"/>
          <w:szCs w:val="32"/>
        </w:rPr>
      </w:pPr>
      <w:r>
        <w:rPr>
          <w:rFonts w:ascii="Times New Roman" w:hAnsi="Times New Roman" w:cs="Times New Roman"/>
          <w:b/>
          <w:bCs/>
          <w:sz w:val="28"/>
          <w:szCs w:val="32"/>
        </w:rPr>
        <w:t xml:space="preserve">Study on </w:t>
      </w:r>
      <w:r>
        <w:rPr>
          <w:rFonts w:hint="eastAsia" w:ascii="Times New Roman" w:hAnsi="Times New Roman" w:cs="Times New Roman"/>
          <w:b/>
          <w:bCs/>
          <w:sz w:val="28"/>
          <w:szCs w:val="32"/>
          <w:lang w:val="en-US" w:eastAsia="zh-CN"/>
        </w:rPr>
        <w:t>t</w:t>
      </w:r>
      <w:r>
        <w:rPr>
          <w:rFonts w:ascii="Times New Roman" w:hAnsi="Times New Roman" w:cs="Times New Roman"/>
          <w:b/>
          <w:bCs/>
          <w:sz w:val="28"/>
          <w:szCs w:val="32"/>
        </w:rPr>
        <w:t xml:space="preserve">ransient </w:t>
      </w:r>
      <w:r>
        <w:rPr>
          <w:rFonts w:ascii="Times New Roman" w:hAnsi="Times New Roman" w:cs="Times New Roman"/>
          <w:b/>
          <w:bCs/>
          <w:sz w:val="28"/>
          <w:szCs w:val="32"/>
          <w:shd w:val="clear" w:color="auto" w:fill="FFFFFF"/>
        </w:rPr>
        <w:t>f</w:t>
      </w:r>
      <w:r>
        <w:rPr>
          <w:rFonts w:ascii="Times New Roman" w:hAnsi="Times New Roman" w:cs="Times New Roman"/>
          <w:b/>
          <w:bCs/>
          <w:sz w:val="28"/>
          <w:szCs w:val="32"/>
        </w:rPr>
        <w:t xml:space="preserve">low </w:t>
      </w:r>
      <w:r>
        <w:rPr>
          <w:rFonts w:ascii="Times New Roman" w:hAnsi="Times New Roman" w:cs="Times New Roman"/>
          <w:b/>
          <w:bCs/>
          <w:sz w:val="28"/>
          <w:szCs w:val="32"/>
          <w:shd w:val="clear" w:color="auto" w:fill="FFFFFF"/>
        </w:rPr>
        <w:t>c</w:t>
      </w:r>
      <w:r>
        <w:rPr>
          <w:rFonts w:ascii="Times New Roman" w:hAnsi="Times New Roman" w:cs="Times New Roman"/>
          <w:b/>
          <w:bCs/>
          <w:sz w:val="28"/>
          <w:szCs w:val="32"/>
        </w:rPr>
        <w:t xml:space="preserve">haracteristics of </w:t>
      </w:r>
      <w:r>
        <w:rPr>
          <w:rFonts w:ascii="Times New Roman" w:hAnsi="Times New Roman" w:cs="Times New Roman"/>
          <w:b/>
          <w:bCs/>
          <w:sz w:val="28"/>
          <w:szCs w:val="32"/>
          <w:shd w:val="clear" w:color="auto" w:fill="FFFFFF"/>
        </w:rPr>
        <w:t>t</w:t>
      </w:r>
      <w:r>
        <w:rPr>
          <w:rFonts w:ascii="Times New Roman" w:hAnsi="Times New Roman" w:cs="Times New Roman"/>
          <w:b/>
          <w:bCs/>
          <w:sz w:val="28"/>
          <w:szCs w:val="32"/>
        </w:rPr>
        <w:t xml:space="preserve">rapped </w:t>
      </w:r>
      <w:r>
        <w:rPr>
          <w:rFonts w:ascii="Times New Roman" w:hAnsi="Times New Roman" w:cs="Times New Roman"/>
          <w:b/>
          <w:bCs/>
          <w:sz w:val="28"/>
          <w:szCs w:val="32"/>
          <w:shd w:val="clear" w:color="auto" w:fill="FFFFFF"/>
        </w:rPr>
        <w:t>a</w:t>
      </w:r>
      <w:r>
        <w:rPr>
          <w:rFonts w:ascii="Times New Roman" w:hAnsi="Times New Roman" w:cs="Times New Roman"/>
          <w:b/>
          <w:bCs/>
          <w:sz w:val="28"/>
          <w:szCs w:val="32"/>
        </w:rPr>
        <w:t xml:space="preserve">ir </w:t>
      </w:r>
      <w:r>
        <w:rPr>
          <w:rFonts w:ascii="Times New Roman" w:hAnsi="Times New Roman" w:cs="Times New Roman"/>
          <w:b/>
          <w:bCs/>
          <w:sz w:val="28"/>
          <w:szCs w:val="32"/>
          <w:shd w:val="clear" w:color="auto" w:fill="FFFFFF"/>
        </w:rPr>
        <w:t>p</w:t>
      </w:r>
      <w:r>
        <w:rPr>
          <w:rFonts w:ascii="Times New Roman" w:hAnsi="Times New Roman" w:cs="Times New Roman"/>
          <w:b/>
          <w:bCs/>
          <w:sz w:val="28"/>
          <w:szCs w:val="32"/>
        </w:rPr>
        <w:t>ocket</w:t>
      </w:r>
      <w:r>
        <w:rPr>
          <w:rFonts w:hint="eastAsia" w:ascii="Times New Roman" w:hAnsi="Times New Roman" w:cs="Times New Roman"/>
          <w:b/>
          <w:bCs/>
          <w:sz w:val="28"/>
          <w:szCs w:val="32"/>
          <w:lang w:val="en-US" w:eastAsia="zh-CN"/>
        </w:rPr>
        <w:t>s</w:t>
      </w:r>
      <w:r>
        <w:rPr>
          <w:rFonts w:ascii="Times New Roman" w:hAnsi="Times New Roman" w:cs="Times New Roman"/>
          <w:b/>
          <w:bCs/>
          <w:sz w:val="28"/>
          <w:szCs w:val="32"/>
        </w:rPr>
        <w:t xml:space="preserve"> at </w:t>
      </w:r>
      <w:r>
        <w:rPr>
          <w:rFonts w:hint="eastAsia" w:ascii="Times New Roman" w:hAnsi="Times New Roman" w:cs="Times New Roman"/>
          <w:b/>
          <w:bCs/>
          <w:sz w:val="28"/>
          <w:szCs w:val="32"/>
        </w:rPr>
        <w:t xml:space="preserve">pipeline </w:t>
      </w:r>
      <w:r>
        <w:rPr>
          <w:rFonts w:ascii="Times New Roman" w:hAnsi="Times New Roman" w:cs="Times New Roman"/>
          <w:b/>
          <w:bCs/>
          <w:sz w:val="28"/>
          <w:szCs w:val="32"/>
          <w:shd w:val="clear" w:color="auto" w:fill="FFFFFF"/>
        </w:rPr>
        <w:t>b</w:t>
      </w:r>
      <w:r>
        <w:rPr>
          <w:rFonts w:ascii="Times New Roman" w:hAnsi="Times New Roman" w:cs="Times New Roman"/>
          <w:b/>
          <w:bCs/>
          <w:sz w:val="28"/>
          <w:szCs w:val="32"/>
        </w:rPr>
        <w:t xml:space="preserve">lind </w:t>
      </w:r>
      <w:r>
        <w:rPr>
          <w:rFonts w:ascii="Times New Roman" w:hAnsi="Times New Roman" w:cs="Times New Roman"/>
          <w:b/>
          <w:bCs/>
          <w:sz w:val="28"/>
          <w:szCs w:val="32"/>
          <w:shd w:val="clear" w:color="auto" w:fill="FFFFFF"/>
        </w:rPr>
        <w:t>e</w:t>
      </w:r>
      <w:r>
        <w:rPr>
          <w:rFonts w:ascii="Times New Roman" w:hAnsi="Times New Roman" w:cs="Times New Roman"/>
          <w:b/>
          <w:bCs/>
          <w:sz w:val="28"/>
          <w:szCs w:val="32"/>
        </w:rPr>
        <w:t>nd</w:t>
      </w:r>
      <w:r>
        <w:rPr>
          <w:rFonts w:hint="eastAsia" w:ascii="Times New Roman" w:hAnsi="Times New Roman" w:cs="Times New Roman"/>
          <w:b/>
          <w:bCs/>
          <w:sz w:val="28"/>
          <w:szCs w:val="32"/>
        </w:rPr>
        <w:t xml:space="preserve"> impact</w:t>
      </w:r>
      <w:r>
        <w:rPr>
          <w:rFonts w:hint="eastAsia" w:ascii="Times New Roman" w:hAnsi="Times New Roman" w:cs="Times New Roman"/>
          <w:b/>
          <w:bCs/>
          <w:sz w:val="28"/>
          <w:szCs w:val="32"/>
          <w:lang w:val="en-US" w:eastAsia="zh-CN"/>
        </w:rPr>
        <w:t>ed by</w:t>
      </w:r>
      <w:r>
        <w:rPr>
          <w:rFonts w:ascii="Times New Roman" w:hAnsi="Times New Roman" w:cs="Times New Roman"/>
          <w:b/>
          <w:bCs/>
          <w:sz w:val="28"/>
          <w:szCs w:val="32"/>
        </w:rPr>
        <w:t xml:space="preserve"> </w:t>
      </w:r>
      <w:r>
        <w:rPr>
          <w:rFonts w:ascii="Times New Roman" w:hAnsi="Times New Roman" w:cs="Times New Roman"/>
          <w:b/>
          <w:bCs/>
          <w:sz w:val="28"/>
          <w:szCs w:val="32"/>
          <w:shd w:val="clear" w:color="auto" w:fill="FFFFFF"/>
        </w:rPr>
        <w:t>w</w:t>
      </w:r>
      <w:r>
        <w:rPr>
          <w:rFonts w:ascii="Times New Roman" w:hAnsi="Times New Roman" w:cs="Times New Roman"/>
          <w:b/>
          <w:bCs/>
          <w:sz w:val="28"/>
          <w:szCs w:val="32"/>
        </w:rPr>
        <w:t xml:space="preserve">ater </w:t>
      </w:r>
      <w:r>
        <w:rPr>
          <w:rFonts w:ascii="Times New Roman" w:hAnsi="Times New Roman" w:cs="Times New Roman"/>
          <w:b/>
          <w:bCs/>
          <w:sz w:val="28"/>
          <w:szCs w:val="32"/>
          <w:shd w:val="clear" w:color="auto" w:fill="FFFFFF"/>
        </w:rPr>
        <w:t>f</w:t>
      </w:r>
      <w:r>
        <w:rPr>
          <w:rFonts w:ascii="Times New Roman" w:hAnsi="Times New Roman" w:cs="Times New Roman"/>
          <w:b/>
          <w:bCs/>
          <w:sz w:val="28"/>
          <w:szCs w:val="32"/>
        </w:rPr>
        <w:t>low</w:t>
      </w:r>
    </w:p>
    <w:p w14:paraId="1A46B715">
      <w:pPr>
        <w:pStyle w:val="62"/>
        <w:snapToGrid w:val="0"/>
        <w:spacing w:after="160" w:line="278" w:lineRule="auto"/>
        <w:ind w:right="0"/>
        <w:jc w:val="center"/>
        <w:rPr>
          <w:rFonts w:cs="Times New Roman"/>
          <w:szCs w:val="21"/>
          <w:vertAlign w:val="superscript"/>
        </w:rPr>
      </w:pPr>
      <w:r>
        <w:rPr>
          <w:rFonts w:cs="Times New Roman"/>
          <w:szCs w:val="21"/>
        </w:rPr>
        <w:t>YUAN Haiguang</w:t>
      </w:r>
      <w:r>
        <w:rPr>
          <w:rFonts w:cs="Times New Roman"/>
          <w:szCs w:val="21"/>
          <w:vertAlign w:val="superscript"/>
        </w:rPr>
        <w:t>1</w:t>
      </w:r>
      <w:r>
        <w:rPr>
          <w:rFonts w:cs="Times New Roman"/>
          <w:szCs w:val="21"/>
        </w:rPr>
        <w:t>，NIU Zihou</w:t>
      </w:r>
      <w:r>
        <w:rPr>
          <w:rFonts w:cs="Times New Roman"/>
          <w:szCs w:val="21"/>
          <w:vertAlign w:val="superscript"/>
        </w:rPr>
        <w:t>2</w:t>
      </w:r>
      <w:r>
        <w:rPr>
          <w:rFonts w:cs="Times New Roman"/>
          <w:szCs w:val="21"/>
        </w:rPr>
        <w:t>，HUANG Hua</w:t>
      </w:r>
      <w:r>
        <w:rPr>
          <w:rFonts w:cs="Times New Roman"/>
          <w:szCs w:val="21"/>
          <w:vertAlign w:val="superscript"/>
        </w:rPr>
        <w:t>1</w:t>
      </w:r>
      <w:r>
        <w:rPr>
          <w:rFonts w:cs="Times New Roman"/>
          <w:szCs w:val="21"/>
        </w:rPr>
        <w:t>，CHEN Wenxue</w:t>
      </w:r>
      <w:r>
        <w:rPr>
          <w:rFonts w:cs="Times New Roman"/>
          <w:szCs w:val="21"/>
          <w:vertAlign w:val="superscript"/>
        </w:rPr>
        <w:t>2</w:t>
      </w:r>
      <w:r>
        <w:rPr>
          <w:rFonts w:cs="Times New Roman"/>
          <w:szCs w:val="21"/>
        </w:rPr>
        <w:t>，CHEN Jian</w:t>
      </w:r>
      <w:r>
        <w:rPr>
          <w:rFonts w:cs="Times New Roman"/>
          <w:szCs w:val="21"/>
          <w:vertAlign w:val="superscript"/>
        </w:rPr>
        <w:t>1</w:t>
      </w:r>
      <w:r>
        <w:rPr>
          <w:rFonts w:cs="Times New Roman"/>
          <w:szCs w:val="21"/>
        </w:rPr>
        <w:t>，MU Xiangpeng</w:t>
      </w:r>
      <w:r>
        <w:rPr>
          <w:rFonts w:cs="Times New Roman"/>
          <w:szCs w:val="21"/>
          <w:vertAlign w:val="superscript"/>
        </w:rPr>
        <w:t>2</w:t>
      </w:r>
      <w:r>
        <w:rPr>
          <w:rFonts w:cs="Times New Roman"/>
          <w:szCs w:val="21"/>
        </w:rPr>
        <w:t>，LIN Hui</w:t>
      </w:r>
      <w:r>
        <w:rPr>
          <w:rFonts w:cs="Times New Roman"/>
          <w:szCs w:val="21"/>
          <w:vertAlign w:val="superscript"/>
        </w:rPr>
        <w:t>3</w:t>
      </w:r>
    </w:p>
    <w:p w14:paraId="25EA4F16">
      <w:pPr>
        <w:pStyle w:val="62"/>
        <w:snapToGrid w:val="0"/>
        <w:spacing w:after="160" w:line="278" w:lineRule="auto"/>
        <w:ind w:right="0"/>
        <w:jc w:val="center"/>
        <w:rPr>
          <w:rFonts w:cs="Times New Roman"/>
          <w:sz w:val="18"/>
          <w:szCs w:val="18"/>
        </w:rPr>
      </w:pPr>
      <w:r>
        <w:rPr>
          <w:rFonts w:cs="Times New Roman"/>
          <w:sz w:val="18"/>
          <w:szCs w:val="18"/>
        </w:rPr>
        <w:t>(1. Guangdong Yuehai Yuexi Water Supply Co., Ltd</w:t>
      </w:r>
      <w:r>
        <w:rPr>
          <w:rFonts w:hint="eastAsia" w:cs="Times New Roman"/>
          <w:sz w:val="18"/>
          <w:szCs w:val="18"/>
        </w:rPr>
        <w:t>.</w:t>
      </w:r>
      <w:r>
        <w:rPr>
          <w:rFonts w:cs="Times New Roman"/>
          <w:sz w:val="18"/>
          <w:szCs w:val="18"/>
        </w:rPr>
        <w:t>, Zhanjiang</w:t>
      </w:r>
      <w:r>
        <w:rPr>
          <w:rFonts w:hint="eastAsia" w:cs="Times New Roman"/>
          <w:sz w:val="18"/>
          <w:szCs w:val="18"/>
        </w:rPr>
        <w:t xml:space="preserve"> </w:t>
      </w:r>
      <w:r>
        <w:rPr>
          <w:rFonts w:cs="Times New Roman"/>
          <w:sz w:val="18"/>
          <w:szCs w:val="18"/>
        </w:rPr>
        <w:t xml:space="preserve">524043, </w:t>
      </w:r>
      <w:r>
        <w:rPr>
          <w:rFonts w:hint="eastAsia" w:cs="Times New Roman"/>
          <w:sz w:val="18"/>
          <w:szCs w:val="18"/>
        </w:rPr>
        <w:t xml:space="preserve">Guangdong, </w:t>
      </w:r>
      <w:r>
        <w:rPr>
          <w:rFonts w:cs="Times New Roman"/>
          <w:sz w:val="18"/>
          <w:szCs w:val="18"/>
        </w:rPr>
        <w:t>China;</w:t>
      </w:r>
      <w:r>
        <w:rPr>
          <w:rFonts w:hint="eastAsia" w:cs="Times New Roman"/>
          <w:sz w:val="18"/>
          <w:szCs w:val="18"/>
        </w:rPr>
        <w:t xml:space="preserve"> </w:t>
      </w:r>
      <w:r>
        <w:rPr>
          <w:rFonts w:cs="Times New Roman"/>
          <w:sz w:val="18"/>
          <w:szCs w:val="18"/>
        </w:rPr>
        <w:t>2. State Key Laboratory of Water Cycle and Water Security in River Basin, China Institute of Water Resources and Hydropower Research, Beijing</w:t>
      </w:r>
      <w:r>
        <w:rPr>
          <w:rFonts w:hint="eastAsia" w:cs="Times New Roman"/>
          <w:sz w:val="18"/>
          <w:szCs w:val="18"/>
        </w:rPr>
        <w:t xml:space="preserve"> </w:t>
      </w:r>
      <w:r>
        <w:rPr>
          <w:rFonts w:cs="Times New Roman"/>
          <w:sz w:val="18"/>
          <w:szCs w:val="18"/>
        </w:rPr>
        <w:t>100038, China;</w:t>
      </w:r>
      <w:r>
        <w:rPr>
          <w:rFonts w:hint="eastAsia" w:cs="Times New Roman"/>
          <w:sz w:val="18"/>
          <w:szCs w:val="18"/>
        </w:rPr>
        <w:t xml:space="preserve"> </w:t>
      </w:r>
      <w:r>
        <w:rPr>
          <w:rFonts w:cs="Times New Roman"/>
          <w:sz w:val="18"/>
          <w:szCs w:val="18"/>
        </w:rPr>
        <w:t>3. Guangdong Research Institute of Water Resources and Hydropower, Guangzhou</w:t>
      </w:r>
      <w:r>
        <w:rPr>
          <w:rFonts w:hint="eastAsia" w:cs="Times New Roman"/>
          <w:sz w:val="18"/>
          <w:szCs w:val="18"/>
        </w:rPr>
        <w:t xml:space="preserve"> </w:t>
      </w:r>
      <w:r>
        <w:rPr>
          <w:rFonts w:cs="Times New Roman"/>
          <w:sz w:val="18"/>
          <w:szCs w:val="18"/>
        </w:rPr>
        <w:t xml:space="preserve">510635, </w:t>
      </w:r>
      <w:r>
        <w:rPr>
          <w:rFonts w:hint="eastAsia" w:cs="Times New Roman"/>
          <w:sz w:val="18"/>
          <w:szCs w:val="18"/>
        </w:rPr>
        <w:t xml:space="preserve">Guangdong, </w:t>
      </w:r>
      <w:r>
        <w:rPr>
          <w:rFonts w:cs="Times New Roman"/>
          <w:sz w:val="18"/>
          <w:szCs w:val="18"/>
        </w:rPr>
        <w:t>China)</w:t>
      </w:r>
    </w:p>
    <w:p w14:paraId="28E8CA26">
      <w:pPr>
        <w:snapToGrid w:val="0"/>
        <w:spacing w:after="160" w:line="278" w:lineRule="auto"/>
        <w:rPr>
          <w:rFonts w:ascii="Times New Roman" w:hAnsi="Times New Roman" w:cs="Times New Roman"/>
          <w:highlight w:val="none"/>
        </w:rPr>
      </w:pPr>
      <w:r>
        <w:rPr>
          <w:rFonts w:ascii="Times New Roman" w:hAnsi="Times New Roman" w:cs="Times New Roman"/>
          <w:b/>
          <w:bCs/>
        </w:rPr>
        <w:t xml:space="preserve">Abstract: </w:t>
      </w:r>
      <w:r>
        <w:rPr>
          <w:rFonts w:ascii="Times New Roman" w:hAnsi="Times New Roman" w:cs="Times New Roman"/>
        </w:rPr>
        <w:t xml:space="preserve">【Objective】During the filling process of long-distance pressurized water conveyance pipelines, air pockets are </w:t>
      </w:r>
      <w:r>
        <w:rPr>
          <w:rFonts w:hint="eastAsia" w:ascii="Times New Roman" w:hAnsi="Times New Roman"/>
        </w:rPr>
        <w:t>prone to</w:t>
      </w:r>
      <w:r>
        <w:rPr>
          <w:rFonts w:hint="eastAsia" w:ascii="Times New Roman" w:hAnsi="Times New Roman" w:cs="Times New Roman"/>
          <w:lang w:val="en-US" w:eastAsia="zh-CN"/>
        </w:rPr>
        <w:t xml:space="preserve"> being</w:t>
      </w:r>
      <w:r>
        <w:rPr>
          <w:rFonts w:ascii="Times New Roman" w:hAnsi="Times New Roman" w:cs="Times New Roman"/>
        </w:rPr>
        <w:t xml:space="preserve"> trapped at</w:t>
      </w:r>
      <w:r>
        <w:rPr>
          <w:rFonts w:hint="eastAsia" w:ascii="Times New Roman" w:hAnsi="Times New Roman" w:cs="Times New Roman"/>
          <w:lang w:val="en-US" w:eastAsia="zh-CN"/>
        </w:rPr>
        <w:t xml:space="preserve"> the</w:t>
      </w:r>
      <w:r>
        <w:rPr>
          <w:rFonts w:hint="eastAsia" w:ascii="Times New Roman" w:hAnsi="Times New Roman" w:cs="Times New Roman"/>
        </w:rPr>
        <w:t xml:space="preserve"> </w:t>
      </w:r>
      <w:r>
        <w:rPr>
          <w:rFonts w:ascii="Times New Roman" w:hAnsi="Times New Roman" w:cs="Times New Roman"/>
        </w:rPr>
        <w:t>high points</w:t>
      </w:r>
      <w:r>
        <w:rPr>
          <w:rFonts w:hint="eastAsia" w:ascii="Times New Roman" w:hAnsi="Times New Roman" w:cs="Times New Roman"/>
          <w:lang w:val="en-US" w:eastAsia="zh-CN"/>
        </w:rPr>
        <w:t xml:space="preserve"> of</w:t>
      </w:r>
      <w:r>
        <w:rPr>
          <w:rFonts w:ascii="Times New Roman" w:hAnsi="Times New Roman" w:cs="Times New Roman"/>
        </w:rPr>
        <w:t xml:space="preserve"> pipeline</w:t>
      </w:r>
      <w:r>
        <w:rPr>
          <w:rFonts w:hint="eastAsia" w:ascii="Times New Roman" w:hAnsi="Times New Roman" w:cs="Times New Roman"/>
          <w:lang w:val="en-US" w:eastAsia="zh-CN"/>
        </w:rPr>
        <w:t>s</w:t>
      </w:r>
      <w:r>
        <w:rPr>
          <w:rFonts w:ascii="Times New Roman" w:hAnsi="Times New Roman" w:cs="Times New Roman"/>
        </w:rPr>
        <w:t xml:space="preserve">. Under </w:t>
      </w:r>
      <w:r>
        <w:rPr>
          <w:rFonts w:hint="eastAsia" w:ascii="Times New Roman" w:hAnsi="Times New Roman" w:cs="Times New Roman"/>
          <w:lang w:val="en-US" w:eastAsia="zh-CN"/>
        </w:rPr>
        <w:t xml:space="preserve">the impact of </w:t>
      </w:r>
      <w:r>
        <w:rPr>
          <w:rFonts w:ascii="Times New Roman" w:hAnsi="Times New Roman" w:cs="Times New Roman"/>
        </w:rPr>
        <w:t>water flow, the trapped air pockets undergo repeated compression and expansion, which</w:t>
      </w:r>
      <w:r>
        <w:rPr>
          <w:rFonts w:hint="eastAsia" w:ascii="Times New Roman" w:hAnsi="Times New Roman" w:cs="Times New Roman"/>
        </w:rPr>
        <w:t xml:space="preserve"> </w:t>
      </w:r>
      <w:r>
        <w:rPr>
          <w:rFonts w:ascii="Times New Roman" w:hAnsi="Times New Roman" w:cs="Times New Roman"/>
        </w:rPr>
        <w:t>in turn affect</w:t>
      </w:r>
      <w:r>
        <w:rPr>
          <w:rFonts w:hint="eastAsia" w:ascii="Times New Roman" w:hAnsi="Times New Roman" w:cs="Times New Roman"/>
        </w:rPr>
        <w:t>s</w:t>
      </w:r>
      <w:r>
        <w:rPr>
          <w:rFonts w:ascii="Times New Roman" w:hAnsi="Times New Roman" w:cs="Times New Roman"/>
        </w:rPr>
        <w:t xml:space="preserve"> the amp</w:t>
      </w:r>
      <w:r>
        <w:rPr>
          <w:rFonts w:ascii="Times New Roman" w:hAnsi="Times New Roman" w:cs="Times New Roman"/>
          <w:highlight w:val="none"/>
        </w:rPr>
        <w:t xml:space="preserve">litude and propagation of </w:t>
      </w:r>
      <w:r>
        <w:rPr>
          <w:rFonts w:hint="eastAsia" w:ascii="Times New Roman" w:hAnsi="Times New Roman" w:cs="Times New Roman"/>
          <w:highlight w:val="none"/>
        </w:rPr>
        <w:t xml:space="preserve">the </w:t>
      </w:r>
      <w:r>
        <w:rPr>
          <w:rFonts w:ascii="Times New Roman" w:hAnsi="Times New Roman" w:cs="Times New Roman"/>
          <w:highlight w:val="none"/>
        </w:rPr>
        <w:t>water hammer waves. T</w:t>
      </w:r>
      <w:r>
        <w:rPr>
          <w:rFonts w:hint="eastAsia" w:ascii="Times New Roman" w:hAnsi="Times New Roman" w:cs="Times New Roman"/>
          <w:highlight w:val="none"/>
          <w:lang w:val="en-US" w:eastAsia="zh-CN"/>
        </w:rPr>
        <w:t>he aim is to</w:t>
      </w:r>
      <w:r>
        <w:rPr>
          <w:rFonts w:ascii="Times New Roman" w:hAnsi="Times New Roman" w:cs="Times New Roman"/>
          <w:highlight w:val="none"/>
        </w:rPr>
        <w:t xml:space="preserve"> investigate</w:t>
      </w:r>
      <w:r>
        <w:rPr>
          <w:rFonts w:hint="eastAsia" w:ascii="Times New Roman" w:hAnsi="Times New Roman" w:cs="Times New Roman"/>
          <w:highlight w:val="none"/>
        </w:rPr>
        <w:t xml:space="preserve"> </w:t>
      </w:r>
      <w:r>
        <w:rPr>
          <w:rFonts w:ascii="Times New Roman" w:hAnsi="Times New Roman" w:cs="Times New Roman"/>
          <w:highlight w:val="none"/>
        </w:rPr>
        <w:t xml:space="preserve">the transient flow characteristics of trapped air pockets at </w:t>
      </w:r>
      <w:r>
        <w:rPr>
          <w:rFonts w:hint="eastAsia" w:ascii="Times New Roman" w:hAnsi="Times New Roman" w:cs="Times New Roman"/>
          <w:highlight w:val="none"/>
          <w:lang w:val="en-US" w:eastAsia="zh-CN"/>
        </w:rPr>
        <w:t>the</w:t>
      </w:r>
      <w:r>
        <w:rPr>
          <w:rFonts w:ascii="Times New Roman" w:hAnsi="Times New Roman" w:cs="Times New Roman"/>
          <w:highlight w:val="none"/>
        </w:rPr>
        <w:t xml:space="preserve"> pipeline</w:t>
      </w:r>
      <w:r>
        <w:rPr>
          <w:rFonts w:hint="eastAsia" w:ascii="Times New Roman" w:hAnsi="Times New Roman" w:cs="Times New Roman"/>
          <w:highlight w:val="none"/>
        </w:rPr>
        <w:t xml:space="preserve"> </w:t>
      </w:r>
      <w:r>
        <w:rPr>
          <w:rFonts w:ascii="Times New Roman" w:hAnsi="Times New Roman" w:cs="Times New Roman"/>
          <w:highlight w:val="none"/>
        </w:rPr>
        <w:t xml:space="preserve">blind end under </w:t>
      </w:r>
      <w:r>
        <w:rPr>
          <w:rFonts w:hint="eastAsia" w:ascii="Times New Roman" w:hAnsi="Times New Roman" w:cs="Times New Roman"/>
          <w:highlight w:val="none"/>
          <w:lang w:val="en-US" w:eastAsia="zh-CN"/>
        </w:rPr>
        <w:t xml:space="preserve">the impact of </w:t>
      </w:r>
      <w:r>
        <w:rPr>
          <w:rFonts w:ascii="Times New Roman" w:hAnsi="Times New Roman" w:cs="Times New Roman"/>
          <w:highlight w:val="none"/>
        </w:rPr>
        <w:t>water flow</w:t>
      </w:r>
      <w:r>
        <w:rPr>
          <w:rFonts w:hint="eastAsia" w:ascii="Times New Roman" w:hAnsi="Times New Roman" w:cs="Times New Roman"/>
          <w:highlight w:val="none"/>
          <w:lang w:val="en-US" w:eastAsia="zh-CN"/>
        </w:rPr>
        <w:t>.</w:t>
      </w:r>
      <w:r>
        <w:rPr>
          <w:rFonts w:ascii="Times New Roman" w:hAnsi="Times New Roman" w:cs="Times New Roman"/>
          <w:highlight w:val="none"/>
        </w:rPr>
        <w:t xml:space="preserve"> </w:t>
      </w:r>
      <w:r>
        <w:rPr>
          <w:rFonts w:ascii="Times New Roman" w:hAnsi="Times New Roman" w:cs="Times New Roman"/>
          <w:b/>
          <w:bCs/>
          <w:highlight w:val="none"/>
        </w:rPr>
        <w:t>【</w:t>
      </w:r>
      <w:r>
        <w:rPr>
          <w:rFonts w:ascii="Times New Roman" w:hAnsi="Times New Roman" w:cs="Times New Roman"/>
          <w:highlight w:val="none"/>
        </w:rPr>
        <w:t>Methods】Computational fluid dynamics</w:t>
      </w:r>
      <w:r>
        <w:rPr>
          <w:rFonts w:ascii="Segoe UI" w:hAnsi="Segoe UI" w:cs="Segoe UI"/>
          <w:color w:val="0F1115"/>
          <w:highlight w:val="none"/>
          <w:shd w:val="clear" w:color="auto" w:fill="FFFFFF"/>
        </w:rPr>
        <w:t xml:space="preserve"> </w:t>
      </w:r>
      <w:r>
        <w:rPr>
          <w:rFonts w:ascii="Times New Roman" w:hAnsi="Times New Roman" w:cs="Times New Roman"/>
          <w:highlight w:val="none"/>
        </w:rPr>
        <w:t>(CFD) numerical simulation</w:t>
      </w:r>
      <w:r>
        <w:rPr>
          <w:rFonts w:hint="eastAsia" w:ascii="Times New Roman" w:hAnsi="Times New Roman" w:cs="Times New Roman"/>
          <w:highlight w:val="none"/>
          <w:lang w:val="en-US" w:eastAsia="zh-CN"/>
        </w:rPr>
        <w:t xml:space="preserve"> </w:t>
      </w:r>
      <w:r>
        <w:rPr>
          <w:rFonts w:hint="eastAsia" w:ascii="Times New Roman" w:hAnsi="Times New Roman"/>
          <w:highlight w:val="none"/>
          <w:lang w:val="en-US" w:eastAsia="zh-CN"/>
        </w:rPr>
        <w:t>technology</w:t>
      </w:r>
      <w:r>
        <w:rPr>
          <w:rFonts w:ascii="Times New Roman" w:hAnsi="Times New Roman" w:cs="Times New Roman"/>
          <w:highlight w:val="none"/>
        </w:rPr>
        <w:t xml:space="preserve"> was </w:t>
      </w:r>
      <w:r>
        <w:rPr>
          <w:rFonts w:hint="eastAsia" w:ascii="Times New Roman" w:hAnsi="Times New Roman" w:cs="Times New Roman"/>
          <w:highlight w:val="none"/>
          <w:lang w:val="en-US" w:eastAsia="zh-CN"/>
        </w:rPr>
        <w:t>used</w:t>
      </w:r>
      <w:r>
        <w:rPr>
          <w:rFonts w:hint="eastAsia" w:ascii="Times New Roman" w:hAnsi="Times New Roman" w:cs="Times New Roman"/>
          <w:highlight w:val="none"/>
        </w:rPr>
        <w:t xml:space="preserve"> </w:t>
      </w:r>
      <w:r>
        <w:rPr>
          <w:rFonts w:ascii="Times New Roman" w:hAnsi="Times New Roman" w:cs="Times New Roman"/>
          <w:highlight w:val="none"/>
        </w:rPr>
        <w:t>to investigate</w:t>
      </w:r>
      <w:r>
        <w:rPr>
          <w:rFonts w:hint="eastAsia" w:ascii="Times New Roman" w:hAnsi="Times New Roman" w:cs="Times New Roman"/>
          <w:highlight w:val="none"/>
        </w:rPr>
        <w:t xml:space="preserve"> </w:t>
      </w:r>
      <w:r>
        <w:rPr>
          <w:rFonts w:ascii="Times New Roman" w:hAnsi="Times New Roman" w:cs="Times New Roman"/>
          <w:highlight w:val="none"/>
        </w:rPr>
        <w:t>the problem of water flow</w:t>
      </w:r>
      <w:r>
        <w:rPr>
          <w:rFonts w:hint="eastAsia" w:ascii="Times New Roman" w:hAnsi="Times New Roman" w:cs="Times New Roman"/>
          <w:highlight w:val="none"/>
        </w:rPr>
        <w:t xml:space="preserve"> </w:t>
      </w:r>
      <w:r>
        <w:rPr>
          <w:rFonts w:ascii="Times New Roman" w:hAnsi="Times New Roman" w:cs="Times New Roman"/>
          <w:highlight w:val="none"/>
        </w:rPr>
        <w:t>impact</w:t>
      </w:r>
      <w:r>
        <w:rPr>
          <w:rFonts w:hint="eastAsia" w:ascii="Times New Roman" w:hAnsi="Times New Roman" w:cs="Times New Roman"/>
          <w:highlight w:val="none"/>
        </w:rPr>
        <w:t>ing</w:t>
      </w:r>
      <w:r>
        <w:rPr>
          <w:rFonts w:ascii="Times New Roman" w:hAnsi="Times New Roman" w:cs="Times New Roman"/>
          <w:highlight w:val="none"/>
        </w:rPr>
        <w:t xml:space="preserve"> trapped air pockets at </w:t>
      </w:r>
      <w:r>
        <w:rPr>
          <w:rFonts w:hint="eastAsia" w:ascii="Times New Roman" w:hAnsi="Times New Roman" w:cs="Times New Roman"/>
          <w:highlight w:val="none"/>
          <w:lang w:val="en-US" w:eastAsia="zh-CN"/>
        </w:rPr>
        <w:t>the</w:t>
      </w:r>
      <w:r>
        <w:rPr>
          <w:rFonts w:ascii="Times New Roman" w:hAnsi="Times New Roman" w:cs="Times New Roman"/>
          <w:highlight w:val="none"/>
        </w:rPr>
        <w:t xml:space="preserve"> pipeline blind end</w:t>
      </w:r>
      <w:r>
        <w:rPr>
          <w:rFonts w:hint="eastAsia" w:ascii="Times New Roman" w:hAnsi="Times New Roman" w:cs="Times New Roman"/>
          <w:highlight w:val="none"/>
        </w:rPr>
        <w:t>.</w:t>
      </w:r>
      <w:r>
        <w:rPr>
          <w:rFonts w:ascii="Times New Roman" w:hAnsi="Times New Roman" w:cs="Times New Roman"/>
          <w:highlight w:val="none"/>
        </w:rPr>
        <w:t xml:space="preserve"> </w:t>
      </w:r>
      <w:r>
        <w:rPr>
          <w:rFonts w:hint="eastAsia" w:ascii="Times New Roman" w:hAnsi="Times New Roman" w:cs="Times New Roman"/>
          <w:highlight w:val="none"/>
        </w:rPr>
        <w:t>T</w:t>
      </w:r>
      <w:r>
        <w:rPr>
          <w:rFonts w:ascii="Times New Roman" w:hAnsi="Times New Roman" w:cs="Times New Roman"/>
          <w:highlight w:val="none"/>
        </w:rPr>
        <w:t>he influence of the initial volume of the trapped air pockets on the</w:t>
      </w:r>
      <w:r>
        <w:rPr>
          <w:rFonts w:hint="eastAsia" w:ascii="Times New Roman" w:hAnsi="Times New Roman" w:cs="Times New Roman"/>
          <w:highlight w:val="none"/>
        </w:rPr>
        <w:t xml:space="preserve"> </w:t>
      </w:r>
      <w:r>
        <w:rPr>
          <w:rFonts w:ascii="Times New Roman" w:hAnsi="Times New Roman" w:cs="Times New Roman"/>
          <w:highlight w:val="none"/>
        </w:rPr>
        <w:t>hydraulic transient characteristics</w:t>
      </w:r>
      <w:r>
        <w:rPr>
          <w:rFonts w:hint="eastAsia"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of the pipeline </w:t>
      </w:r>
      <w:r>
        <w:rPr>
          <w:rFonts w:ascii="Times New Roman" w:hAnsi="Times New Roman" w:cs="Times New Roman"/>
          <w:highlight w:val="none"/>
        </w:rPr>
        <w:t>was analyzed. 【Results】The results show</w:t>
      </w:r>
      <w:r>
        <w:rPr>
          <w:rFonts w:hint="eastAsia" w:ascii="Times New Roman" w:hAnsi="Times New Roman" w:cs="Times New Roman"/>
          <w:highlight w:val="none"/>
        </w:rPr>
        <w:t>ed</w:t>
      </w:r>
      <w:r>
        <w:rPr>
          <w:rFonts w:ascii="Times New Roman" w:hAnsi="Times New Roman" w:cs="Times New Roman"/>
          <w:highlight w:val="none"/>
        </w:rPr>
        <w:t xml:space="preserve"> that under the same pipeline inlet</w:t>
      </w:r>
      <w:r>
        <w:rPr>
          <w:rFonts w:hint="eastAsia" w:ascii="Times New Roman" w:hAnsi="Times New Roman" w:cs="Times New Roman"/>
          <w:highlight w:val="none"/>
        </w:rPr>
        <w:t xml:space="preserve"> </w:t>
      </w:r>
      <w:r>
        <w:rPr>
          <w:rFonts w:ascii="Times New Roman" w:hAnsi="Times New Roman" w:cs="Times New Roman"/>
          <w:highlight w:val="none"/>
        </w:rPr>
        <w:t>pressure disturbance</w:t>
      </w:r>
      <w:r>
        <w:rPr>
          <w:rFonts w:hint="eastAsia" w:ascii="Times New Roman" w:hAnsi="Times New Roman" w:cs="Times New Roman"/>
          <w:highlight w:val="none"/>
        </w:rPr>
        <w:t>,</w:t>
      </w:r>
      <w:r>
        <w:rPr>
          <w:rFonts w:ascii="Times New Roman" w:hAnsi="Times New Roman" w:cs="Times New Roman"/>
          <w:highlight w:val="none"/>
        </w:rPr>
        <w:t xml:space="preserve"> as the initial volume </w:t>
      </w:r>
      <w:r>
        <w:rPr>
          <w:rFonts w:hint="eastAsia" w:ascii="Times New Roman" w:hAnsi="Times New Roman" w:cs="Times New Roman"/>
          <w:highlight w:val="none"/>
          <w:lang w:val="en-US" w:eastAsia="zh-CN"/>
        </w:rPr>
        <w:t>proportion</w:t>
      </w:r>
      <w:r>
        <w:rPr>
          <w:rFonts w:hint="eastAsia" w:ascii="Times New Roman" w:hAnsi="Times New Roman" w:cs="Times New Roman"/>
          <w:highlight w:val="none"/>
        </w:rPr>
        <w:t xml:space="preserve"> </w:t>
      </w:r>
      <w:r>
        <w:rPr>
          <w:rFonts w:ascii="Times New Roman" w:hAnsi="Times New Roman" w:cs="Times New Roman"/>
          <w:highlight w:val="none"/>
        </w:rPr>
        <w:t xml:space="preserve">of the </w:t>
      </w:r>
      <w:r>
        <w:rPr>
          <w:rFonts w:hint="eastAsia" w:ascii="Times New Roman" w:hAnsi="Times New Roman" w:cs="Times New Roman"/>
          <w:highlight w:val="none"/>
          <w:lang w:val="en-US" w:eastAsia="zh-CN"/>
        </w:rPr>
        <w:t xml:space="preserve">trapped </w:t>
      </w:r>
      <w:r>
        <w:rPr>
          <w:rFonts w:ascii="Times New Roman" w:hAnsi="Times New Roman" w:cs="Times New Roman"/>
          <w:highlight w:val="none"/>
        </w:rPr>
        <w:t xml:space="preserve">air </w:t>
      </w:r>
      <w:r>
        <w:rPr>
          <w:rFonts w:hint="eastAsia" w:ascii="Times New Roman" w:hAnsi="Times New Roman" w:cs="Times New Roman"/>
          <w:highlight w:val="none"/>
        </w:rPr>
        <w:t>pocket</w:t>
      </w:r>
      <w:r>
        <w:rPr>
          <w:rFonts w:hint="eastAsia" w:ascii="Times New Roman" w:hAnsi="Times New Roman" w:cs="Times New Roman"/>
          <w:highlight w:val="none"/>
          <w:lang w:val="en-US" w:eastAsia="zh-CN"/>
        </w:rPr>
        <w:t xml:space="preserve">s </w:t>
      </w:r>
      <w:r>
        <w:rPr>
          <w:rFonts w:hint="eastAsia" w:ascii="Times New Roman" w:hAnsi="Times New Roman"/>
          <w:highlight w:val="none"/>
          <w:lang w:val="en-US" w:eastAsia="zh-CN"/>
        </w:rPr>
        <w:t>relative to the pipeline blind-end volume</w:t>
      </w:r>
      <w:r>
        <w:rPr>
          <w:rFonts w:ascii="Times New Roman" w:hAnsi="Times New Roman" w:cs="Times New Roman"/>
          <w:highlight w:val="none"/>
        </w:rPr>
        <w:t xml:space="preserve"> (</w:t>
      </w:r>
      <w:r>
        <w:rPr>
          <w:rFonts w:hint="eastAsia" w:ascii="Times New Roman" w:hAnsi="Times New Roman"/>
          <w:highlight w:val="none"/>
        </w:rPr>
        <w:t>hereafter referred to as</w:t>
      </w:r>
      <w:r>
        <w:rPr>
          <w:rFonts w:hint="eastAsia" w:ascii="Times New Roman" w:hAnsi="Times New Roman"/>
          <w:highlight w:val="none"/>
          <w:lang w:val="en-US" w:eastAsia="zh-CN"/>
        </w:rPr>
        <w:t xml:space="preserve"> the initial volume proportion of gas pockets</w:t>
      </w:r>
      <w:r>
        <w:rPr>
          <w:rFonts w:ascii="Times New Roman" w:hAnsi="Times New Roman" w:cs="Times New Roman"/>
          <w:highlight w:val="none"/>
        </w:rPr>
        <w:t>) increase</w:t>
      </w:r>
      <w:r>
        <w:rPr>
          <w:rFonts w:hint="eastAsia" w:ascii="Times New Roman" w:hAnsi="Times New Roman" w:cs="Times New Roman"/>
          <w:highlight w:val="none"/>
        </w:rPr>
        <w:t>d</w:t>
      </w:r>
      <w:r>
        <w:rPr>
          <w:rFonts w:ascii="Times New Roman" w:hAnsi="Times New Roman" w:cs="Times New Roman"/>
          <w:highlight w:val="none"/>
        </w:rPr>
        <w:t xml:space="preserve"> from 15.55% to 119.90%, </w:t>
      </w:r>
      <w:r>
        <w:rPr>
          <w:rFonts w:hint="eastAsia" w:ascii="Times New Roman" w:hAnsi="Times New Roman" w:cs="Times New Roman"/>
          <w:highlight w:val="none"/>
          <w:lang w:val="en-US" w:eastAsia="zh-CN"/>
        </w:rPr>
        <w:t xml:space="preserve">both </w:t>
      </w:r>
      <w:r>
        <w:rPr>
          <w:rFonts w:ascii="Times New Roman" w:hAnsi="Times New Roman" w:cs="Times New Roman"/>
          <w:highlight w:val="none"/>
        </w:rPr>
        <w:t>the</w:t>
      </w:r>
      <w:r>
        <w:rPr>
          <w:rFonts w:hint="eastAsia" w:ascii="Times New Roman" w:hAnsi="Times New Roman" w:cs="Times New Roman"/>
          <w:highlight w:val="none"/>
        </w:rPr>
        <w:t xml:space="preserve"> </w:t>
      </w:r>
      <w:r>
        <w:rPr>
          <w:rFonts w:ascii="Times New Roman" w:hAnsi="Times New Roman" w:cs="Times New Roman"/>
          <w:highlight w:val="none"/>
        </w:rPr>
        <w:t>extreme pressure amplitude and the difference between the first and second pressure</w:t>
      </w:r>
      <w:r>
        <w:rPr>
          <w:rFonts w:hint="eastAsia" w:ascii="Times New Roman" w:hAnsi="Times New Roman" w:cs="Times New Roman"/>
          <w:highlight w:val="none"/>
        </w:rPr>
        <w:t xml:space="preserve"> </w:t>
      </w:r>
      <w:r>
        <w:rPr>
          <w:rFonts w:ascii="Times New Roman" w:hAnsi="Times New Roman" w:cs="Times New Roman"/>
          <w:highlight w:val="none"/>
        </w:rPr>
        <w:t xml:space="preserve">peaks </w:t>
      </w:r>
      <w:r>
        <w:rPr>
          <w:rFonts w:hint="eastAsia" w:ascii="Times New Roman" w:hAnsi="Times New Roman" w:cs="Times New Roman"/>
          <w:highlight w:val="none"/>
          <w:lang w:val="en-US" w:eastAsia="zh-CN"/>
        </w:rPr>
        <w:t>showed</w:t>
      </w:r>
      <w:r>
        <w:rPr>
          <w:rFonts w:hint="eastAsia" w:ascii="Times New Roman" w:hAnsi="Times New Roman" w:cs="Times New Roman"/>
          <w:highlight w:val="none"/>
        </w:rPr>
        <w:t xml:space="preserve"> </w:t>
      </w:r>
      <w:r>
        <w:rPr>
          <w:rFonts w:ascii="Times New Roman" w:hAnsi="Times New Roman" w:cs="Times New Roman"/>
          <w:highlight w:val="none"/>
        </w:rPr>
        <w:t>an increasing trend, while</w:t>
      </w:r>
      <w:r>
        <w:rPr>
          <w:rFonts w:hint="eastAsia" w:ascii="Times New Roman" w:hAnsi="Times New Roman" w:cs="Times New Roman"/>
          <w:highlight w:val="none"/>
        </w:rPr>
        <w:t xml:space="preserve"> </w:t>
      </w:r>
      <w:r>
        <w:rPr>
          <w:rFonts w:ascii="Times New Roman" w:hAnsi="Times New Roman" w:cs="Times New Roman"/>
          <w:highlight w:val="none"/>
        </w:rPr>
        <w:t>the pressure wave period</w:t>
      </w:r>
      <w:r>
        <w:rPr>
          <w:rFonts w:hint="eastAsia" w:ascii="Times New Roman" w:hAnsi="Times New Roman" w:cs="Times New Roman"/>
          <w:highlight w:val="none"/>
        </w:rPr>
        <w:t xml:space="preserve"> </w:t>
      </w:r>
      <w:r>
        <w:rPr>
          <w:rFonts w:ascii="Times New Roman" w:hAnsi="Times New Roman" w:cs="Times New Roman"/>
          <w:highlight w:val="none"/>
        </w:rPr>
        <w:t xml:space="preserve">gradually </w:t>
      </w:r>
      <w:r>
        <w:rPr>
          <w:rFonts w:hint="eastAsia" w:ascii="Times New Roman" w:hAnsi="Times New Roman" w:cs="Times New Roman"/>
          <w:highlight w:val="none"/>
          <w:lang w:val="en-US" w:eastAsia="zh-CN"/>
        </w:rPr>
        <w:t>extended</w:t>
      </w:r>
      <w:r>
        <w:rPr>
          <w:rFonts w:hint="eastAsia" w:ascii="Times New Roman" w:hAnsi="Times New Roman" w:cs="Times New Roman"/>
          <w:highlight w:val="none"/>
        </w:rPr>
        <w:t>.</w:t>
      </w:r>
      <w:r>
        <w:rPr>
          <w:rFonts w:ascii="Times New Roman" w:hAnsi="Times New Roman" w:cs="Times New Roman"/>
          <w:highlight w:val="none"/>
        </w:rPr>
        <w:t xml:space="preserve"> </w:t>
      </w:r>
      <w:r>
        <w:rPr>
          <w:rFonts w:hint="eastAsia" w:ascii="Times New Roman" w:hAnsi="Times New Roman" w:cs="Times New Roman"/>
          <w:highlight w:val="none"/>
        </w:rPr>
        <w:t>W</w:t>
      </w:r>
      <w:r>
        <w:rPr>
          <w:rFonts w:ascii="Times New Roman" w:hAnsi="Times New Roman" w:cs="Times New Roman"/>
          <w:highlight w:val="none"/>
        </w:rPr>
        <w:t xml:space="preserve">hen the initial volume </w:t>
      </w:r>
      <w:r>
        <w:rPr>
          <w:rFonts w:hint="eastAsia" w:ascii="Times New Roman" w:hAnsi="Times New Roman" w:cs="Times New Roman"/>
          <w:highlight w:val="none"/>
          <w:lang w:val="en-US" w:eastAsia="zh-CN"/>
        </w:rPr>
        <w:t>proportion of air pockets</w:t>
      </w:r>
      <w:r>
        <w:rPr>
          <w:rFonts w:ascii="Times New Roman" w:hAnsi="Times New Roman" w:cs="Times New Roman"/>
          <w:highlight w:val="none"/>
        </w:rPr>
        <w:t xml:space="preserve"> exceed</w:t>
      </w:r>
      <w:r>
        <w:rPr>
          <w:rFonts w:hint="eastAsia" w:ascii="Times New Roman" w:hAnsi="Times New Roman" w:cs="Times New Roman"/>
          <w:highlight w:val="none"/>
        </w:rPr>
        <w:t>ed</w:t>
      </w:r>
      <w:r>
        <w:rPr>
          <w:rFonts w:ascii="Times New Roman" w:hAnsi="Times New Roman" w:cs="Times New Roman"/>
          <w:highlight w:val="none"/>
        </w:rPr>
        <w:t xml:space="preserve"> 100%, the pipeline</w:t>
      </w:r>
      <w:r>
        <w:rPr>
          <w:rFonts w:hint="eastAsia" w:ascii="Times New Roman" w:hAnsi="Times New Roman" w:cs="Times New Roman"/>
          <w:highlight w:val="none"/>
        </w:rPr>
        <w:t xml:space="preserve"> </w:t>
      </w:r>
      <w:r>
        <w:rPr>
          <w:rFonts w:ascii="Times New Roman" w:hAnsi="Times New Roman" w:cs="Times New Roman"/>
          <w:highlight w:val="none"/>
        </w:rPr>
        <w:t>extreme pressure amplitude</w:t>
      </w:r>
      <w:r>
        <w:rPr>
          <w:rFonts w:hint="eastAsia" w:ascii="Times New Roman" w:hAnsi="Times New Roman" w:cs="Times New Roman"/>
          <w:highlight w:val="none"/>
        </w:rPr>
        <w:t>,</w:t>
      </w:r>
      <w:r>
        <w:rPr>
          <w:rFonts w:ascii="Times New Roman" w:hAnsi="Times New Roman" w:cs="Times New Roman"/>
          <w:highlight w:val="none"/>
        </w:rPr>
        <w:t xml:space="preserve"> the difference between the first and second pressure</w:t>
      </w:r>
      <w:r>
        <w:rPr>
          <w:rFonts w:hint="eastAsia" w:ascii="Times New Roman" w:hAnsi="Times New Roman" w:cs="Times New Roman"/>
          <w:highlight w:val="none"/>
        </w:rPr>
        <w:t xml:space="preserve"> </w:t>
      </w:r>
      <w:r>
        <w:rPr>
          <w:rFonts w:ascii="Times New Roman" w:hAnsi="Times New Roman" w:cs="Times New Roman"/>
          <w:highlight w:val="none"/>
        </w:rPr>
        <w:t>peaks, and the pressure wave period</w:t>
      </w:r>
      <w:r>
        <w:rPr>
          <w:rFonts w:hint="eastAsia" w:ascii="Times New Roman" w:hAnsi="Times New Roman" w:cs="Times New Roman"/>
          <w:highlight w:val="none"/>
        </w:rPr>
        <w:t xml:space="preserve"> </w:t>
      </w:r>
      <w:r>
        <w:rPr>
          <w:rFonts w:ascii="Times New Roman" w:hAnsi="Times New Roman" w:cs="Times New Roman"/>
          <w:highlight w:val="none"/>
        </w:rPr>
        <w:t xml:space="preserve">gradually stabilized. 【Conclusion】The results indicate that </w:t>
      </w:r>
      <w:r>
        <w:rPr>
          <w:rFonts w:hint="eastAsia" w:ascii="Times New Roman" w:hAnsi="Times New Roman" w:cs="Times New Roman"/>
          <w:highlight w:val="none"/>
        </w:rPr>
        <w:t>t</w:t>
      </w:r>
      <w:r>
        <w:rPr>
          <w:rFonts w:ascii="Times New Roman" w:hAnsi="Times New Roman" w:cs="Times New Roman"/>
          <w:highlight w:val="none"/>
        </w:rPr>
        <w:t xml:space="preserve">he maximum compression </w:t>
      </w:r>
      <w:r>
        <w:rPr>
          <w:rFonts w:hint="eastAsia" w:ascii="Times New Roman" w:hAnsi="Times New Roman" w:cs="Times New Roman"/>
          <w:highlight w:val="none"/>
          <w:lang w:val="en-US" w:eastAsia="zh-CN"/>
        </w:rPr>
        <w:t>rate</w:t>
      </w:r>
      <w:r>
        <w:rPr>
          <w:rFonts w:hint="eastAsia" w:ascii="Times New Roman" w:hAnsi="Times New Roman" w:cs="Times New Roman"/>
          <w:highlight w:val="none"/>
        </w:rPr>
        <w:t xml:space="preserve"> </w:t>
      </w:r>
      <w:r>
        <w:rPr>
          <w:rFonts w:ascii="Times New Roman" w:hAnsi="Times New Roman" w:cs="Times New Roman"/>
          <w:highlight w:val="none"/>
        </w:rPr>
        <w:t>of the air pocket</w:t>
      </w:r>
      <w:r>
        <w:rPr>
          <w:rFonts w:hint="eastAsia" w:ascii="Times New Roman" w:hAnsi="Times New Roman" w:cs="Times New Roman"/>
          <w:highlight w:val="none"/>
          <w:lang w:val="en-US" w:eastAsia="zh-CN"/>
        </w:rPr>
        <w:t>s</w:t>
      </w:r>
      <w:r>
        <w:rPr>
          <w:rFonts w:ascii="Times New Roman" w:hAnsi="Times New Roman" w:cs="Times New Roman"/>
          <w:highlight w:val="none"/>
        </w:rPr>
        <w:t xml:space="preserve"> exhibits</w:t>
      </w:r>
      <w:r>
        <w:rPr>
          <w:rFonts w:hint="eastAsia" w:ascii="Times New Roman" w:hAnsi="Times New Roman" w:cs="Times New Roman"/>
          <w:highlight w:val="none"/>
        </w:rPr>
        <w:t xml:space="preserve"> </w:t>
      </w:r>
      <w:r>
        <w:rPr>
          <w:rFonts w:ascii="Times New Roman" w:hAnsi="Times New Roman" w:cs="Times New Roman"/>
          <w:highlight w:val="none"/>
        </w:rPr>
        <w:t>a nonlinear relationship with</w:t>
      </w:r>
      <w:r>
        <w:rPr>
          <w:rFonts w:hint="eastAsia" w:ascii="Times New Roman" w:hAnsi="Times New Roman" w:cs="Times New Roman"/>
          <w:highlight w:val="none"/>
          <w:lang w:eastAsia="zh-CN"/>
        </w:rPr>
        <w:t xml:space="preserve"> </w:t>
      </w:r>
      <w:r>
        <w:rPr>
          <w:rFonts w:hint="eastAsia" w:ascii="Times New Roman" w:hAnsi="Times New Roman" w:cs="Times New Roman"/>
          <w:highlight w:val="none"/>
          <w:lang w:val="en-US" w:eastAsia="zh-CN"/>
        </w:rPr>
        <w:t>their</w:t>
      </w:r>
      <w:r>
        <w:rPr>
          <w:rFonts w:ascii="Times New Roman" w:hAnsi="Times New Roman" w:cs="Times New Roman"/>
          <w:highlight w:val="none"/>
        </w:rPr>
        <w:t xml:space="preserve"> initial volume </w:t>
      </w:r>
      <w:r>
        <w:rPr>
          <w:rFonts w:hint="eastAsia" w:ascii="Times New Roman" w:hAnsi="Times New Roman" w:cs="Times New Roman"/>
          <w:highlight w:val="none"/>
          <w:lang w:val="en-US" w:eastAsia="zh-CN"/>
        </w:rPr>
        <w:t>proportion</w:t>
      </w:r>
      <w:r>
        <w:rPr>
          <w:rFonts w:ascii="Times New Roman" w:hAnsi="Times New Roman" w:cs="Times New Roman"/>
          <w:highlight w:val="none"/>
        </w:rPr>
        <w:t>. When the air pocket</w:t>
      </w:r>
      <w:r>
        <w:rPr>
          <w:rFonts w:hint="eastAsia" w:ascii="Times New Roman" w:hAnsi="Times New Roman" w:cs="Times New Roman"/>
          <w:highlight w:val="none"/>
          <w:lang w:val="en-US" w:eastAsia="zh-CN"/>
        </w:rPr>
        <w:t>s</w:t>
      </w:r>
      <w:r>
        <w:rPr>
          <w:rFonts w:ascii="Times New Roman" w:hAnsi="Times New Roman" w:cs="Times New Roman"/>
          <w:highlight w:val="none"/>
        </w:rPr>
        <w:t xml:space="preserve"> do not completely occupy the blind end (initial volume </w:t>
      </w:r>
      <w:r>
        <w:rPr>
          <w:rFonts w:hint="eastAsia" w:ascii="Times New Roman" w:hAnsi="Times New Roman" w:cs="Times New Roman"/>
          <w:highlight w:val="none"/>
          <w:lang w:val="en-US" w:eastAsia="zh-CN"/>
        </w:rPr>
        <w:t>proportion</w:t>
      </w:r>
      <w:r>
        <w:rPr>
          <w:rFonts w:ascii="Times New Roman" w:hAnsi="Times New Roman" w:cs="Times New Roman"/>
          <w:highlight w:val="none"/>
        </w:rPr>
        <w:t xml:space="preserve"> &lt; 100%), the transient water flow uniformly compresses the air pocket</w:t>
      </w:r>
      <w:r>
        <w:rPr>
          <w:rFonts w:hint="eastAsia" w:ascii="Times New Roman" w:hAnsi="Times New Roman" w:cs="Times New Roman"/>
          <w:highlight w:val="none"/>
          <w:lang w:val="en-US" w:eastAsia="zh-CN"/>
        </w:rPr>
        <w:t>s</w:t>
      </w:r>
      <w:r>
        <w:rPr>
          <w:rFonts w:ascii="Times New Roman" w:hAnsi="Times New Roman" w:cs="Times New Roman"/>
          <w:highlight w:val="none"/>
        </w:rPr>
        <w:t>, and the maximum compression rat</w:t>
      </w:r>
      <w:r>
        <w:rPr>
          <w:rFonts w:hint="eastAsia" w:ascii="Times New Roman" w:hAnsi="Times New Roman" w:cs="Times New Roman"/>
          <w:highlight w:val="none"/>
          <w:lang w:eastAsia="zh-CN"/>
        </w:rPr>
        <w:t>e</w:t>
      </w:r>
      <w:r>
        <w:rPr>
          <w:rFonts w:ascii="Times New Roman" w:hAnsi="Times New Roman" w:cs="Times New Roman"/>
          <w:highlight w:val="none"/>
        </w:rPr>
        <w:t xml:space="preserve"> increases with the initial volume </w:t>
      </w:r>
      <w:r>
        <w:rPr>
          <w:rFonts w:hint="eastAsia" w:ascii="Times New Roman" w:hAnsi="Times New Roman" w:cs="Times New Roman"/>
          <w:highlight w:val="none"/>
          <w:lang w:val="en-US" w:eastAsia="zh-CN"/>
        </w:rPr>
        <w:t>proportion</w:t>
      </w:r>
      <w:r>
        <w:rPr>
          <w:rFonts w:hint="eastAsia" w:ascii="Times New Roman" w:hAnsi="Times New Roman" w:cs="Times New Roman"/>
          <w:highlight w:val="none"/>
        </w:rPr>
        <w:t>.</w:t>
      </w:r>
      <w:r>
        <w:rPr>
          <w:rFonts w:ascii="Times New Roman" w:hAnsi="Times New Roman" w:cs="Times New Roman"/>
          <w:highlight w:val="none"/>
        </w:rPr>
        <w:t xml:space="preserve"> </w:t>
      </w:r>
      <w:r>
        <w:rPr>
          <w:rFonts w:hint="eastAsia" w:ascii="Times New Roman" w:hAnsi="Times New Roman" w:cs="Times New Roman"/>
          <w:highlight w:val="none"/>
        </w:rPr>
        <w:t>W</w:t>
      </w:r>
      <w:r>
        <w:rPr>
          <w:rFonts w:ascii="Times New Roman" w:hAnsi="Times New Roman" w:cs="Times New Roman"/>
          <w:highlight w:val="none"/>
        </w:rPr>
        <w:t>hen the air pocket</w:t>
      </w:r>
      <w:r>
        <w:rPr>
          <w:rFonts w:hint="eastAsia" w:ascii="Times New Roman" w:hAnsi="Times New Roman" w:cs="Times New Roman"/>
          <w:highlight w:val="none"/>
          <w:lang w:val="en-US" w:eastAsia="zh-CN"/>
        </w:rPr>
        <w:t>s</w:t>
      </w:r>
      <w:r>
        <w:rPr>
          <w:rFonts w:ascii="Times New Roman" w:hAnsi="Times New Roman" w:cs="Times New Roman"/>
          <w:highlight w:val="none"/>
        </w:rPr>
        <w:t xml:space="preserve"> extend beyond</w:t>
      </w:r>
      <w:r>
        <w:rPr>
          <w:rFonts w:hint="eastAsia" w:ascii="Times New Roman" w:hAnsi="Times New Roman" w:cs="Times New Roman"/>
          <w:highlight w:val="none"/>
        </w:rPr>
        <w:t xml:space="preserve"> </w:t>
      </w:r>
      <w:r>
        <w:rPr>
          <w:rFonts w:ascii="Times New Roman" w:hAnsi="Times New Roman" w:cs="Times New Roman"/>
          <w:highlight w:val="none"/>
        </w:rPr>
        <w:t>the pipeline</w:t>
      </w:r>
      <w:r>
        <w:rPr>
          <w:rFonts w:hint="eastAsia" w:ascii="Times New Roman" w:hAnsi="Times New Roman" w:cs="Times New Roman"/>
          <w:highlight w:val="none"/>
        </w:rPr>
        <w:t xml:space="preserve"> </w:t>
      </w:r>
      <w:r>
        <w:rPr>
          <w:rFonts w:ascii="Times New Roman" w:hAnsi="Times New Roman" w:cs="Times New Roman"/>
          <w:highlight w:val="none"/>
        </w:rPr>
        <w:t>blind end, the transient water flow can only impact the air pocket</w:t>
      </w:r>
      <w:r>
        <w:rPr>
          <w:rFonts w:hint="eastAsia" w:ascii="Times New Roman" w:hAnsi="Times New Roman" w:cs="Times New Roman"/>
          <w:highlight w:val="none"/>
          <w:lang w:val="en-US" w:eastAsia="zh-CN"/>
        </w:rPr>
        <w:t>s</w:t>
      </w:r>
      <w:r>
        <w:rPr>
          <w:rFonts w:ascii="Times New Roman" w:hAnsi="Times New Roman" w:cs="Times New Roman"/>
          <w:highlight w:val="none"/>
        </w:rPr>
        <w:t xml:space="preserve"> from the pipeline top, and the maximum compression rat</w:t>
      </w:r>
      <w:r>
        <w:rPr>
          <w:rFonts w:hint="eastAsia" w:ascii="Times New Roman" w:hAnsi="Times New Roman" w:cs="Times New Roman"/>
          <w:highlight w:val="none"/>
          <w:lang w:val="en-US" w:eastAsia="zh-CN"/>
        </w:rPr>
        <w:t>e</w:t>
      </w:r>
      <w:r>
        <w:rPr>
          <w:rFonts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tends to </w:t>
      </w:r>
      <w:r>
        <w:rPr>
          <w:rFonts w:ascii="Times New Roman" w:hAnsi="Times New Roman" w:cs="Times New Roman"/>
          <w:highlight w:val="none"/>
        </w:rPr>
        <w:t xml:space="preserve">stabilize. </w:t>
      </w:r>
      <w:r>
        <w:rPr>
          <w:rFonts w:hint="eastAsia" w:ascii="Times New Roman" w:hAnsi="Times New Roman"/>
          <w:highlight w:val="none"/>
        </w:rPr>
        <w:t>Research on</w:t>
      </w:r>
      <w:r>
        <w:rPr>
          <w:rFonts w:hint="eastAsia" w:ascii="Times New Roman" w:hAnsi="Times New Roman" w:cs="Times New Roman"/>
          <w:highlight w:val="none"/>
        </w:rPr>
        <w:t xml:space="preserve"> </w:t>
      </w:r>
      <w:r>
        <w:rPr>
          <w:rFonts w:ascii="Times New Roman" w:hAnsi="Times New Roman" w:cs="Times New Roman"/>
          <w:highlight w:val="none"/>
        </w:rPr>
        <w:t xml:space="preserve">the transient flow characteristics of water flow impacting trapped air pockets at </w:t>
      </w:r>
      <w:r>
        <w:rPr>
          <w:rFonts w:hint="eastAsia" w:ascii="Times New Roman" w:hAnsi="Times New Roman" w:cs="Times New Roman"/>
          <w:highlight w:val="none"/>
          <w:lang w:val="en-US" w:eastAsia="zh-CN"/>
        </w:rPr>
        <w:t>the</w:t>
      </w:r>
      <w:r>
        <w:rPr>
          <w:rFonts w:ascii="Segoe UI" w:hAnsi="Segoe UI" w:cs="Segoe UI"/>
          <w:color w:val="0F1115"/>
          <w:highlight w:val="none"/>
          <w:shd w:val="clear" w:color="auto" w:fill="FFFFFF"/>
        </w:rPr>
        <w:t xml:space="preserve"> </w:t>
      </w:r>
      <w:r>
        <w:rPr>
          <w:rFonts w:ascii="Times New Roman" w:hAnsi="Times New Roman" w:cs="Times New Roman"/>
          <w:highlight w:val="none"/>
        </w:rPr>
        <w:t xml:space="preserve">pipeline blind end </w:t>
      </w:r>
      <w:r>
        <w:rPr>
          <w:rFonts w:hint="eastAsia" w:ascii="Times New Roman" w:hAnsi="Times New Roman" w:cs="Times New Roman"/>
          <w:highlight w:val="none"/>
          <w:lang w:val="en-US" w:eastAsia="zh-CN"/>
        </w:rPr>
        <w:t xml:space="preserve">can </w:t>
      </w:r>
      <w:r>
        <w:rPr>
          <w:rFonts w:ascii="Times New Roman" w:hAnsi="Times New Roman" w:cs="Times New Roman"/>
          <w:highlight w:val="none"/>
        </w:rPr>
        <w:t xml:space="preserve">provide a scientific basis for water hammer analysis and protection </w:t>
      </w:r>
      <w:r>
        <w:rPr>
          <w:rFonts w:hint="eastAsia" w:ascii="Times New Roman" w:hAnsi="Times New Roman" w:cs="Times New Roman"/>
          <w:highlight w:val="none"/>
        </w:rPr>
        <w:t>in</w:t>
      </w:r>
      <w:r>
        <w:rPr>
          <w:rFonts w:ascii="Times New Roman" w:hAnsi="Times New Roman" w:cs="Times New Roman"/>
          <w:highlight w:val="none"/>
        </w:rPr>
        <w:t xml:space="preserve"> pipeline</w:t>
      </w:r>
      <w:r>
        <w:rPr>
          <w:rFonts w:hint="eastAsia" w:ascii="Times New Roman" w:hAnsi="Times New Roman" w:cs="Times New Roman"/>
          <w:highlight w:val="none"/>
        </w:rPr>
        <w:t>s</w:t>
      </w:r>
      <w:r>
        <w:rPr>
          <w:rFonts w:ascii="Times New Roman" w:hAnsi="Times New Roman" w:cs="Times New Roman"/>
          <w:highlight w:val="none"/>
        </w:rPr>
        <w:t xml:space="preserve"> containing </w:t>
      </w:r>
      <w:r>
        <w:rPr>
          <w:rFonts w:hint="eastAsia" w:ascii="Times New Roman" w:hAnsi="Times New Roman" w:cs="Times New Roman"/>
          <w:highlight w:val="none"/>
          <w:lang w:val="en-US" w:eastAsia="zh-CN"/>
        </w:rPr>
        <w:t xml:space="preserve">trapped </w:t>
      </w:r>
      <w:r>
        <w:rPr>
          <w:rFonts w:ascii="Times New Roman" w:hAnsi="Times New Roman" w:cs="Times New Roman"/>
          <w:highlight w:val="none"/>
        </w:rPr>
        <w:t>air pockets.</w:t>
      </w:r>
    </w:p>
    <w:p w14:paraId="059FCE67">
      <w:pPr>
        <w:snapToGrid w:val="0"/>
        <w:spacing w:after="160" w:line="278" w:lineRule="auto"/>
        <w:rPr>
          <w:rFonts w:ascii="Times New Roman" w:hAnsi="Times New Roman" w:cs="Times New Roman"/>
          <w:highlight w:val="none"/>
        </w:rPr>
      </w:pPr>
      <w:r>
        <w:rPr>
          <w:rFonts w:ascii="Times New Roman" w:hAnsi="Times New Roman" w:cs="Times New Roman"/>
          <w:b/>
          <w:bCs/>
          <w:highlight w:val="none"/>
        </w:rPr>
        <w:t xml:space="preserve">Keywords: </w:t>
      </w:r>
      <w:r>
        <w:rPr>
          <w:rFonts w:ascii="Times New Roman" w:hAnsi="Times New Roman" w:cs="Times New Roman"/>
          <w:highlight w:val="none"/>
        </w:rPr>
        <w:t xml:space="preserve">long-distance pressurized water conveyance pipeline; </w:t>
      </w:r>
      <w:r>
        <w:rPr>
          <w:rFonts w:hint="eastAsia" w:ascii="Times New Roman" w:hAnsi="Times New Roman" w:cs="Times New Roman"/>
          <w:highlight w:val="none"/>
        </w:rPr>
        <w:t>t</w:t>
      </w:r>
      <w:r>
        <w:rPr>
          <w:rFonts w:ascii="Times New Roman" w:hAnsi="Times New Roman" w:cs="Times New Roman"/>
          <w:highlight w:val="none"/>
        </w:rPr>
        <w:t xml:space="preserve">rapped air pocket; water-air two-phase flow; CFD; </w:t>
      </w:r>
      <w:r>
        <w:rPr>
          <w:rFonts w:hint="eastAsia" w:ascii="Times New Roman" w:hAnsi="Times New Roman" w:cs="Times New Roman"/>
          <w:highlight w:val="none"/>
        </w:rPr>
        <w:t xml:space="preserve"> numerical simulation; </w:t>
      </w:r>
      <w:r>
        <w:rPr>
          <w:rFonts w:ascii="Times New Roman" w:hAnsi="Times New Roman" w:cs="Times New Roman"/>
          <w:highlight w:val="none"/>
        </w:rPr>
        <w:t>transient flow</w:t>
      </w:r>
    </w:p>
    <w:p w14:paraId="5EBDFA8A">
      <w:pPr>
        <w:pStyle w:val="2"/>
        <w:snapToGrid w:val="0"/>
        <w:spacing w:before="0" w:after="160"/>
        <w:rPr>
          <w:rFonts w:ascii="Times New Roman" w:hAnsi="Times New Roman" w:cs="Times New Roman" w:eastAsiaTheme="minorEastAsia"/>
          <w:color w:val="auto"/>
          <w:sz w:val="28"/>
          <w:szCs w:val="28"/>
        </w:rPr>
      </w:pPr>
      <w:r>
        <w:rPr>
          <w:rFonts w:hint="eastAsia" w:ascii="Times New Roman" w:hAnsi="Times New Roman" w:cs="Times New Roman" w:eastAsiaTheme="minorEastAsia"/>
          <w:color w:val="auto"/>
          <w:sz w:val="28"/>
          <w:szCs w:val="28"/>
        </w:rPr>
        <w:t>0</w:t>
      </w:r>
      <w:r>
        <w:rPr>
          <w:rFonts w:ascii="Times New Roman" w:hAnsi="Times New Roman" w:cs="Times New Roman" w:eastAsiaTheme="minorEastAsia"/>
          <w:color w:val="auto"/>
          <w:sz w:val="28"/>
          <w:szCs w:val="28"/>
        </w:rPr>
        <w:t>引  言</w:t>
      </w:r>
    </w:p>
    <w:p w14:paraId="39417805">
      <w:pPr>
        <w:adjustRightInd w:val="0"/>
        <w:snapToGrid w:val="0"/>
        <w:ind w:firstLine="420" w:firstLineChars="200"/>
        <w:rPr>
          <w:rFonts w:ascii="Times New Roman" w:hAnsi="Times New Roman" w:cs="Times New Roman"/>
          <w:szCs w:val="21"/>
        </w:rPr>
      </w:pPr>
      <w:r>
        <w:rPr>
          <w:rFonts w:ascii="Times New Roman" w:hAnsi="Times New Roman" w:cs="Times New Roman"/>
          <w:szCs w:val="21"/>
          <w:shd w:val="clear" w:color="auto" w:fill="FFFFFF"/>
        </w:rPr>
        <w:t>我国水资源时空分布不均，建设长距离有压输水工程是实现水资源优化配置的重要途径</w:t>
      </w:r>
      <w:r>
        <w:rPr>
          <w:rFonts w:ascii="Times New Roman" w:hAnsi="Times New Roman" w:cs="Times New Roman"/>
          <w:kern w:val="0"/>
          <w:vertAlign w:val="superscript"/>
        </w:rPr>
        <w:t>[1–4]</w:t>
      </w:r>
      <w:r>
        <w:rPr>
          <w:rFonts w:ascii="Times New Roman" w:hAnsi="Times New Roman" w:cs="Times New Roman"/>
          <w:szCs w:val="21"/>
        </w:rPr>
        <w:t>。</w:t>
      </w:r>
      <w:r>
        <w:rPr>
          <w:rFonts w:hint="eastAsia" w:ascii="Times New Roman" w:hAnsi="Times New Roman" w:cs="Times New Roman"/>
          <w:szCs w:val="21"/>
          <w:shd w:val="clear" w:color="auto" w:fill="FFFFFF"/>
        </w:rPr>
        <w:t>有压输水管道在充水过程中，管道局部高点处容易滞留气团</w:t>
      </w:r>
      <w:r>
        <w:rPr>
          <w:rFonts w:ascii="Times New Roman" w:hAnsi="Times New Roman" w:cs="Times New Roman"/>
          <w:kern w:val="0"/>
          <w:shd w:val="clear" w:color="auto" w:fill="FFFFFF"/>
          <w:vertAlign w:val="superscript"/>
        </w:rPr>
        <w:t>[5–8]</w:t>
      </w:r>
      <w:r>
        <w:rPr>
          <w:rFonts w:hint="eastAsia" w:ascii="Times New Roman" w:hAnsi="Times New Roman" w:cs="Times New Roman"/>
          <w:szCs w:val="21"/>
          <w:shd w:val="clear" w:color="auto" w:fill="FFFFFF"/>
        </w:rPr>
        <w:t>。如果此时发生水力过渡过程（如阀门启闭、泵站机组起停），水锤压力波会对滞留气团造成周期性冲击，这种现象称为水流冲击管道滞留气团，在此过程中滞留气团会发生反复膨胀压缩，进一步影响输水系统的水力瞬变过程。</w:t>
      </w:r>
      <w:r>
        <w:rPr>
          <w:rFonts w:ascii="Times New Roman" w:hAnsi="Times New Roman" w:cs="Times New Roman"/>
          <w:szCs w:val="21"/>
          <w:shd w:val="clear" w:color="auto" w:fill="FFFFFF"/>
        </w:rPr>
        <w:t>因此水气二相流的水力瞬变特性十分复杂，是水锤研究的难点问题。</w:t>
      </w:r>
      <w:r>
        <w:rPr>
          <w:rFonts w:ascii="Times New Roman" w:hAnsi="Times New Roman" w:cs="Times New Roman"/>
          <w:szCs w:val="21"/>
        </w:rPr>
        <w:t>按照作用机理，水流冲击气团造成的压力升高主要可分为三种类型：（1）</w:t>
      </w:r>
      <w:r>
        <w:rPr>
          <w:rFonts w:ascii="Times New Roman" w:hAnsi="Times New Roman" w:cs="Times New Roman"/>
          <w:szCs w:val="21"/>
          <w:shd w:val="clear" w:color="auto" w:fill="FFFFFF"/>
        </w:rPr>
        <w:t>气团</w:t>
      </w:r>
      <w:r>
        <w:rPr>
          <w:rFonts w:hint="eastAsia" w:ascii="Times New Roman" w:hAnsi="Times New Roman" w:cs="Times New Roman"/>
          <w:szCs w:val="21"/>
          <w:shd w:val="clear" w:color="auto" w:fill="FFFFFF"/>
        </w:rPr>
        <w:t>突然</w:t>
      </w:r>
      <w:r>
        <w:rPr>
          <w:rFonts w:ascii="Times New Roman" w:hAnsi="Times New Roman" w:cs="Times New Roman"/>
          <w:szCs w:val="21"/>
          <w:shd w:val="clear" w:color="auto" w:fill="FFFFFF"/>
        </w:rPr>
        <w:t>起动或排放引发的极值压力。</w:t>
      </w:r>
      <w:r>
        <w:rPr>
          <w:rFonts w:hint="eastAsia" w:ascii="Times New Roman" w:hAnsi="Times New Roman" w:cs="Times New Roman"/>
          <w:szCs w:val="21"/>
          <w:shd w:val="clear" w:color="auto" w:fill="FFFFFF"/>
        </w:rPr>
        <w:t>该类极值压力通常由气团在管道内突然起动或通过阀门、管道出口排放时产生，其大小</w:t>
      </w:r>
      <w:r>
        <w:rPr>
          <w:rFonts w:ascii="Times New Roman" w:hAnsi="Times New Roman" w:cs="Times New Roman"/>
          <w:szCs w:val="21"/>
        </w:rPr>
        <w:t>通常与气团所</w:t>
      </w:r>
      <w:r>
        <w:rPr>
          <w:rFonts w:ascii="Times New Roman" w:hAnsi="Times New Roman" w:cs="Times New Roman"/>
          <w:szCs w:val="21"/>
          <w:shd w:val="clear" w:color="auto" w:fill="FFFFFF"/>
        </w:rPr>
        <w:t>占</w:t>
      </w:r>
      <w:r>
        <w:rPr>
          <w:rFonts w:ascii="Times New Roman" w:hAnsi="Times New Roman" w:cs="Times New Roman"/>
          <w:szCs w:val="21"/>
        </w:rPr>
        <w:t>管道过水断面的大小及气团两端压差有关</w:t>
      </w:r>
      <w:r>
        <w:rPr>
          <w:rFonts w:ascii="Times New Roman" w:hAnsi="Times New Roman" w:cs="Times New Roman"/>
          <w:kern w:val="0"/>
          <w:vertAlign w:val="superscript"/>
        </w:rPr>
        <w:t>[9,10]</w:t>
      </w:r>
      <w:r>
        <w:rPr>
          <w:rFonts w:ascii="Times New Roman" w:hAnsi="Times New Roman" w:cs="Times New Roman"/>
          <w:szCs w:val="21"/>
        </w:rPr>
        <w:t>；（2）</w:t>
      </w:r>
      <w:r>
        <w:rPr>
          <w:rFonts w:ascii="Times New Roman" w:hAnsi="Times New Roman" w:cs="Times New Roman"/>
          <w:szCs w:val="21"/>
          <w:shd w:val="clear" w:color="auto" w:fill="FFFFFF"/>
        </w:rPr>
        <w:t>断流弥合水锤</w:t>
      </w:r>
      <w:r>
        <w:rPr>
          <w:rFonts w:ascii="Times New Roman" w:hAnsi="Times New Roman" w:cs="Times New Roman"/>
          <w:szCs w:val="21"/>
        </w:rPr>
        <w:t>。</w:t>
      </w:r>
      <w:r>
        <w:rPr>
          <w:rFonts w:ascii="Times New Roman" w:hAnsi="Times New Roman" w:cs="Times New Roman"/>
          <w:szCs w:val="21"/>
          <w:shd w:val="clear" w:color="auto" w:fill="FFFFFF"/>
        </w:rPr>
        <w:t>压力骤降导致水体气化而使得水柱拉断，当压力回升时水气重新液化发生弥合水锤</w:t>
      </w:r>
      <w:r>
        <w:rPr>
          <w:rFonts w:ascii="Times New Roman" w:hAnsi="Times New Roman" w:cs="Times New Roman"/>
          <w:kern w:val="0"/>
          <w:shd w:val="clear" w:color="auto" w:fill="FFFFFF"/>
          <w:vertAlign w:val="superscript"/>
        </w:rPr>
        <w:t>[11,12]</w:t>
      </w:r>
      <w:r>
        <w:rPr>
          <w:rFonts w:ascii="Times New Roman" w:hAnsi="Times New Roman" w:cs="Times New Roman"/>
          <w:szCs w:val="21"/>
          <w:shd w:val="clear" w:color="auto" w:fill="FFFFFF"/>
        </w:rPr>
        <w:t>，其升压峰值可通过直接水锤公式估算</w:t>
      </w:r>
      <w:r>
        <w:rPr>
          <w:rFonts w:ascii="Times New Roman" w:hAnsi="Times New Roman" w:cs="Times New Roman"/>
          <w:kern w:val="0"/>
          <w:vertAlign w:val="superscript"/>
        </w:rPr>
        <w:t>[13]</w:t>
      </w:r>
      <w:r>
        <w:rPr>
          <w:rFonts w:ascii="Times New Roman" w:hAnsi="Times New Roman" w:cs="Times New Roman"/>
          <w:szCs w:val="21"/>
        </w:rPr>
        <w:t>；（3）气团压缩引发的极值压力。通过</w:t>
      </w:r>
      <w:r>
        <w:rPr>
          <w:rFonts w:ascii="Times New Roman" w:hAnsi="Times New Roman" w:cs="Times New Roman"/>
          <w:szCs w:val="21"/>
          <w:shd w:val="clear" w:color="auto" w:fill="FFFFFF"/>
        </w:rPr>
        <w:t>理想气体方程</w:t>
      </w:r>
      <w:r>
        <w:rPr>
          <w:rFonts w:ascii="Times New Roman" w:hAnsi="Times New Roman" w:cs="Times New Roman"/>
          <w:szCs w:val="21"/>
        </w:rPr>
        <w:t>可知</w:t>
      </w:r>
      <w:r>
        <w:rPr>
          <w:rFonts w:ascii="Times New Roman" w:hAnsi="Times New Roman" w:cs="Times New Roman"/>
          <w:kern w:val="0"/>
          <w:vertAlign w:val="superscript"/>
        </w:rPr>
        <w:t>[14–16]</w:t>
      </w:r>
      <w:r>
        <w:rPr>
          <w:rFonts w:ascii="Times New Roman" w:hAnsi="Times New Roman" w:cs="Times New Roman"/>
          <w:szCs w:val="21"/>
        </w:rPr>
        <w:t>，当滞留气团受到外力冲击导致气团体积减小时，气团压力升高</w:t>
      </w:r>
      <w:r>
        <w:rPr>
          <w:rFonts w:hint="eastAsia" w:ascii="Times New Roman" w:hAnsi="Times New Roman" w:cs="Times New Roman"/>
          <w:szCs w:val="21"/>
        </w:rPr>
        <w:t>。</w:t>
      </w:r>
    </w:p>
    <w:p w14:paraId="1FA62346">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对于前两</w:t>
      </w:r>
      <w:r>
        <w:rPr>
          <w:rFonts w:ascii="Times New Roman" w:hAnsi="Times New Roman" w:cs="Times New Roman"/>
          <w:szCs w:val="21"/>
          <w:shd w:val="clear" w:color="auto" w:fill="FFFFFF"/>
        </w:rPr>
        <w:t>类</w:t>
      </w:r>
      <w:r>
        <w:rPr>
          <w:rFonts w:ascii="Times New Roman" w:hAnsi="Times New Roman" w:cs="Times New Roman"/>
          <w:szCs w:val="21"/>
        </w:rPr>
        <w:t>水流冲击气团的情况，由于气团所在断面位置相对固定，国内外学者通过固定断面的</w:t>
      </w:r>
      <w:r>
        <w:rPr>
          <w:rFonts w:ascii="Times New Roman" w:hAnsi="Times New Roman" w:cs="Times New Roman"/>
          <w:szCs w:val="21"/>
          <w:shd w:val="clear" w:color="auto" w:fill="FFFFFF"/>
        </w:rPr>
        <w:t>水气</w:t>
      </w:r>
      <w:r>
        <w:rPr>
          <w:rFonts w:ascii="Times New Roman" w:hAnsi="Times New Roman" w:cs="Times New Roman"/>
          <w:szCs w:val="21"/>
        </w:rPr>
        <w:t>二相流模型开展了较多研究，提出了一系列防水柱分离再弥合的策略方法，但是对于第三类水流冲击下的气团压缩、膨胀问题，由于水流冲击下的气团动态特性（位置、形态）十分复杂，而且受气团初始体积、管道边界条件影响很大，突破性成果尚不多见，对于水流冲击滞留气团的复杂瞬变流现象的认识尚待进一步深入。ZHOU等</w:t>
      </w:r>
      <w:r>
        <w:rPr>
          <w:rFonts w:ascii="Times New Roman" w:hAnsi="Times New Roman" w:cs="Times New Roman"/>
          <w:kern w:val="0"/>
          <w:shd w:val="clear" w:color="auto" w:fill="FFFFFF"/>
          <w:vertAlign w:val="superscript"/>
        </w:rPr>
        <w:t>[17,18]</w:t>
      </w:r>
      <w:r>
        <w:rPr>
          <w:rFonts w:ascii="Times New Roman" w:hAnsi="Times New Roman" w:cs="Times New Roman"/>
          <w:szCs w:val="21"/>
        </w:rPr>
        <w:t>考虑水体弹性、</w:t>
      </w:r>
      <w:r>
        <w:rPr>
          <w:rFonts w:ascii="Times New Roman" w:hAnsi="Times New Roman" w:cs="Times New Roman"/>
          <w:szCs w:val="21"/>
          <w:shd w:val="clear" w:color="auto" w:fill="FFFFFF"/>
        </w:rPr>
        <w:t>水气</w:t>
      </w:r>
      <w:r>
        <w:rPr>
          <w:rFonts w:ascii="Times New Roman" w:hAnsi="Times New Roman" w:cs="Times New Roman"/>
          <w:szCs w:val="21"/>
        </w:rPr>
        <w:t>交界面的运动，提出虚拟</w:t>
      </w:r>
      <w:r>
        <w:rPr>
          <w:rFonts w:ascii="Times New Roman" w:hAnsi="Times New Roman" w:cs="Times New Roman"/>
          <w:szCs w:val="21"/>
          <w:shd w:val="clear" w:color="auto" w:fill="FFFFFF"/>
        </w:rPr>
        <w:t>塞</w:t>
      </w:r>
      <w:r>
        <w:rPr>
          <w:rFonts w:ascii="Times New Roman" w:hAnsi="Times New Roman" w:cs="Times New Roman"/>
          <w:szCs w:val="21"/>
        </w:rPr>
        <w:t>、局部线性插值等方法动态追踪</w:t>
      </w:r>
      <w:r>
        <w:rPr>
          <w:rFonts w:ascii="Times New Roman" w:hAnsi="Times New Roman" w:cs="Times New Roman"/>
          <w:szCs w:val="21"/>
          <w:shd w:val="clear" w:color="auto" w:fill="FFFFFF"/>
        </w:rPr>
        <w:t>水气</w:t>
      </w:r>
      <w:r>
        <w:rPr>
          <w:rFonts w:ascii="Times New Roman" w:hAnsi="Times New Roman" w:cs="Times New Roman"/>
          <w:szCs w:val="21"/>
        </w:rPr>
        <w:t>交界面，采用一维水力学模型模拟了起伏管道内单段与多段滞留气团运动的瞬变过程，发现</w:t>
      </w:r>
      <w:bookmarkStart w:id="1" w:name="_Hlk203074779"/>
      <w:r>
        <w:rPr>
          <w:rFonts w:ascii="Times New Roman" w:hAnsi="Times New Roman" w:cs="Times New Roman"/>
          <w:szCs w:val="21"/>
        </w:rPr>
        <w:t>气团截断水流的长度增大时，</w:t>
      </w:r>
      <w:r>
        <w:rPr>
          <w:rFonts w:ascii="Times New Roman" w:hAnsi="Times New Roman" w:cs="Times New Roman"/>
          <w:szCs w:val="21"/>
          <w:shd w:val="clear" w:color="auto" w:fill="FFFFFF"/>
        </w:rPr>
        <w:t>单</w:t>
      </w:r>
      <w:r>
        <w:rPr>
          <w:rFonts w:ascii="Times New Roman" w:hAnsi="Times New Roman" w:cs="Times New Roman"/>
          <w:szCs w:val="21"/>
        </w:rPr>
        <w:t>气团压力峰值显著上升</w:t>
      </w:r>
      <w:bookmarkEnd w:id="1"/>
      <w:r>
        <w:rPr>
          <w:rFonts w:ascii="Times New Roman" w:hAnsi="Times New Roman" w:cs="Times New Roman"/>
          <w:szCs w:val="21"/>
        </w:rPr>
        <w:t>；而双气团系统中，两个气团间截断水流长度的变化会导致最大压力交替出现于上下游气团，峰值最高可达进口压力的7倍。周领等</w:t>
      </w:r>
      <w:r>
        <w:rPr>
          <w:rFonts w:ascii="Times New Roman" w:hAnsi="Times New Roman" w:cs="Times New Roman"/>
          <w:kern w:val="0"/>
          <w:vertAlign w:val="superscript"/>
        </w:rPr>
        <w:t>[19]</w:t>
      </w:r>
      <w:r>
        <w:rPr>
          <w:rFonts w:ascii="Times New Roman" w:hAnsi="Times New Roman" w:cs="Times New Roman"/>
          <w:szCs w:val="21"/>
        </w:rPr>
        <w:t>采用一维二阶有限体积法Godunov格式，对管道充水过程中出现多</w:t>
      </w:r>
      <w:r>
        <w:rPr>
          <w:rFonts w:ascii="Times New Roman" w:hAnsi="Times New Roman" w:cs="Times New Roman"/>
          <w:szCs w:val="21"/>
          <w:shd w:val="clear" w:color="auto" w:fill="FFFFFF"/>
        </w:rPr>
        <w:t>段</w:t>
      </w:r>
      <w:r>
        <w:rPr>
          <w:rFonts w:ascii="Times New Roman" w:hAnsi="Times New Roman" w:cs="Times New Roman"/>
          <w:szCs w:val="21"/>
        </w:rPr>
        <w:t>气团滞留的水力瞬变过程进行了模拟，</w:t>
      </w:r>
      <w:r>
        <w:rPr>
          <w:rFonts w:ascii="Times New Roman" w:hAnsi="Times New Roman" w:cs="Times New Roman"/>
          <w:szCs w:val="21"/>
          <w:shd w:val="clear" w:color="auto" w:fill="FFFFFF"/>
        </w:rPr>
        <w:t>发现当初始气团长度较短时，在气体缓冲效应与水锤效应的耦合作用下，气团压力会出现复杂且明显的波动变化。</w:t>
      </w:r>
      <w:r>
        <w:rPr>
          <w:rFonts w:ascii="Times New Roman" w:hAnsi="Times New Roman" w:cs="Times New Roman"/>
          <w:szCs w:val="21"/>
        </w:rPr>
        <w:t>Martin等</w:t>
      </w:r>
      <w:r>
        <w:rPr>
          <w:rFonts w:ascii="Times New Roman" w:hAnsi="Times New Roman" w:cs="Times New Roman"/>
          <w:kern w:val="0"/>
          <w:vertAlign w:val="superscript"/>
        </w:rPr>
        <w:t>[20]</w:t>
      </w:r>
      <w:r>
        <w:rPr>
          <w:rFonts w:ascii="Times New Roman" w:hAnsi="Times New Roman" w:cs="Times New Roman"/>
          <w:szCs w:val="21"/>
        </w:rPr>
        <w:t>采用了刚性水体理论，将气团视为弹簧-阻尼器系统，通过引入多态系数和阻尼系数，模拟了液压系统中滞留气团对瞬态压力的影响。</w:t>
      </w:r>
    </w:p>
    <w:p w14:paraId="43A3E489">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卢坤铭等</w:t>
      </w:r>
      <w:r>
        <w:rPr>
          <w:rFonts w:ascii="Times New Roman" w:hAnsi="Times New Roman" w:cs="Times New Roman"/>
          <w:kern w:val="0"/>
          <w:vertAlign w:val="superscript"/>
        </w:rPr>
        <w:t>[21]</w:t>
      </w:r>
      <w:r>
        <w:rPr>
          <w:rFonts w:ascii="Times New Roman" w:hAnsi="Times New Roman" w:cs="Times New Roman"/>
          <w:szCs w:val="21"/>
        </w:rPr>
        <w:t>研究认为一维数学模型容易低估气团压力峰值，这与一维模型的基本假定有关（包括气团完全占据整个管道截面、气水互不掺混等等）。而CFD（Computational Fluid Dynamics）数值模拟技术凭借高精度的计算优势，以及对</w:t>
      </w:r>
      <w:r>
        <w:rPr>
          <w:rFonts w:ascii="Times New Roman" w:hAnsi="Times New Roman" w:cs="Times New Roman"/>
          <w:szCs w:val="21"/>
          <w:shd w:val="clear" w:color="auto" w:fill="FFFFFF"/>
        </w:rPr>
        <w:t>水气</w:t>
      </w:r>
      <w:r>
        <w:rPr>
          <w:rFonts w:ascii="Times New Roman" w:hAnsi="Times New Roman" w:cs="Times New Roman"/>
          <w:szCs w:val="21"/>
        </w:rPr>
        <w:t>交界面直观的捕捉能力，在水流冲击管道滞留气团问题上得到了更广泛的应用。卢坤铭等</w:t>
      </w:r>
      <w:r>
        <w:rPr>
          <w:rFonts w:ascii="Times New Roman" w:hAnsi="Times New Roman" w:cs="Times New Roman"/>
          <w:kern w:val="0"/>
          <w:vertAlign w:val="superscript"/>
        </w:rPr>
        <w:t>[22]</w:t>
      </w:r>
      <w:r>
        <w:rPr>
          <w:rFonts w:ascii="Times New Roman" w:hAnsi="Times New Roman" w:cs="Times New Roman"/>
          <w:szCs w:val="21"/>
        </w:rPr>
        <w:t>基于CFD方法建立了水平-竖直管道内水流冲击滞留气团的三维数学模型，并将计算结果与试验结果进行了对比，验证了三维计算结果的准确性；ZHOU等</w:t>
      </w:r>
      <w:r>
        <w:rPr>
          <w:rFonts w:ascii="Times New Roman" w:hAnsi="Times New Roman" w:cs="Times New Roman"/>
          <w:kern w:val="0"/>
          <w:vertAlign w:val="superscript"/>
        </w:rPr>
        <w:t>[23]</w:t>
      </w:r>
      <w:r>
        <w:rPr>
          <w:rFonts w:ascii="Times New Roman" w:hAnsi="Times New Roman" w:cs="Times New Roman"/>
          <w:szCs w:val="21"/>
        </w:rPr>
        <w:t>采用CFD 方法研究了管道充水过程中气团迁移、压缩特性。MARTINS</w:t>
      </w:r>
      <w:r>
        <w:rPr>
          <w:rFonts w:ascii="Times New Roman" w:hAnsi="Times New Roman" w:cs="Times New Roman"/>
          <w:kern w:val="0"/>
          <w:vertAlign w:val="superscript"/>
        </w:rPr>
        <w:t>[24]</w:t>
      </w:r>
      <w:r>
        <w:rPr>
          <w:rFonts w:ascii="Times New Roman" w:hAnsi="Times New Roman" w:cs="Times New Roman"/>
          <w:szCs w:val="21"/>
        </w:rPr>
        <w:t>采用CFD 方法模拟了管道充水过程中的最大瞬态压力，发现气团体积达到最大压缩时，</w:t>
      </w:r>
      <w:r>
        <w:rPr>
          <w:rFonts w:ascii="Times New Roman" w:hAnsi="Times New Roman" w:cs="Times New Roman"/>
          <w:szCs w:val="21"/>
          <w:shd w:val="clear" w:color="auto" w:fill="FFFFFF"/>
        </w:rPr>
        <w:t>水气</w:t>
      </w:r>
      <w:r>
        <w:rPr>
          <w:rFonts w:ascii="Times New Roman" w:hAnsi="Times New Roman" w:cs="Times New Roman"/>
          <w:szCs w:val="21"/>
        </w:rPr>
        <w:t>界面呈现两种状态：</w:t>
      </w:r>
      <w:r>
        <w:rPr>
          <w:rFonts w:ascii="Times New Roman" w:hAnsi="Times New Roman" w:cs="Times New Roman"/>
          <w:szCs w:val="21"/>
          <w:shd w:val="clear" w:color="auto" w:fill="FFFFFF"/>
        </w:rPr>
        <w:t>水气</w:t>
      </w:r>
      <w:r>
        <w:rPr>
          <w:rFonts w:ascii="Times New Roman" w:hAnsi="Times New Roman" w:cs="Times New Roman"/>
          <w:szCs w:val="21"/>
        </w:rPr>
        <w:t>交界面较为清晰的空气压缩状态以及</w:t>
      </w:r>
      <w:r>
        <w:rPr>
          <w:rFonts w:ascii="Times New Roman" w:hAnsi="Times New Roman" w:cs="Times New Roman"/>
          <w:szCs w:val="21"/>
          <w:shd w:val="clear" w:color="auto" w:fill="FFFFFF"/>
        </w:rPr>
        <w:t>水气</w:t>
      </w:r>
      <w:r>
        <w:rPr>
          <w:rFonts w:ascii="Times New Roman" w:hAnsi="Times New Roman" w:cs="Times New Roman"/>
          <w:szCs w:val="21"/>
        </w:rPr>
        <w:t>界面较为紊乱的空气压缩状态。汪怡然等</w:t>
      </w:r>
      <w:r>
        <w:rPr>
          <w:rFonts w:ascii="Times New Roman" w:hAnsi="Times New Roman" w:cs="Times New Roman"/>
          <w:kern w:val="0"/>
          <w:vertAlign w:val="superscript"/>
        </w:rPr>
        <w:t>[25]</w:t>
      </w:r>
      <w:r>
        <w:rPr>
          <w:rFonts w:ascii="Times New Roman" w:hAnsi="Times New Roman" w:cs="Times New Roman"/>
          <w:szCs w:val="21"/>
        </w:rPr>
        <w:t>采用CFD方法建立了双竖井单隧洞的滞留气团模型，开展了多工况入流冲击滞留气团的分析，研究表明初始气团截断了两侧的深</w:t>
      </w:r>
      <w:r>
        <w:rPr>
          <w:rFonts w:ascii="Times New Roman" w:hAnsi="Times New Roman" w:cs="Times New Roman"/>
          <w:szCs w:val="21"/>
          <w:shd w:val="clear" w:color="auto" w:fill="FFFFFF"/>
        </w:rPr>
        <w:t>隧</w:t>
      </w:r>
      <w:r>
        <w:rPr>
          <w:rFonts w:ascii="Times New Roman" w:hAnsi="Times New Roman" w:cs="Times New Roman"/>
          <w:szCs w:val="21"/>
        </w:rPr>
        <w:t>水流，双竖井入流在气团底部两侧形成对冲，初始气团体积、竖井流量分配及入流量均会直接影响隧洞最大瞬态压力。</w:t>
      </w:r>
    </w:p>
    <w:p w14:paraId="018326C7">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前人这些研究表明，当水流冲击管道滞留气团时，气团产生条件（外界进入、水体析出、水体气化等）、气团初始体积及其所处位置边界等因素均会对瞬变流压力峰值及其传播过程产生较大影响。但目前对于水流冲击气团的研究多是针对简单管道中部滞留气团的概</w:t>
      </w:r>
      <w:r>
        <w:rPr>
          <w:rFonts w:ascii="Times New Roman" w:hAnsi="Times New Roman" w:cs="Times New Roman"/>
          <w:szCs w:val="21"/>
          <w:shd w:val="clear" w:color="auto" w:fill="FFFFFF"/>
        </w:rPr>
        <w:t>化</w:t>
      </w:r>
      <w:r>
        <w:rPr>
          <w:rFonts w:ascii="Times New Roman" w:hAnsi="Times New Roman" w:cs="Times New Roman"/>
          <w:szCs w:val="21"/>
        </w:rPr>
        <w:t>模型，对于管道盲端、肘部等特殊位置的气团问题研究较少，对于气团初始体积及其膨胀/压缩过程对瞬变压力的影响研究也不够深入。</w:t>
      </w:r>
      <w:bookmarkStart w:id="2" w:name="_Hlk203167829"/>
      <w:r>
        <w:rPr>
          <w:rFonts w:ascii="Times New Roman" w:hAnsi="Times New Roman" w:cs="Times New Roman"/>
          <w:szCs w:val="21"/>
          <w:shd w:val="clear" w:color="auto" w:fill="FFFFFF"/>
        </w:rPr>
        <w:t>特别是当滞留气团处于局部高点的管道盲端等特殊结构处，在受到水流冲击时，气团运动将受到管道边界条件的约束，盲端处滞留气团的可压缩性将耗散部分能量，所以其水流-气团-管道边界之间的动态响应特性更为复杂。</w:t>
      </w:r>
      <w:r>
        <w:rPr>
          <w:rFonts w:ascii="Times New Roman" w:hAnsi="Times New Roman" w:cs="Times New Roman"/>
          <w:szCs w:val="21"/>
        </w:rPr>
        <w:t>基于此，本研究针对水流冲击管道盲端滞留气团的瞬变流问题，采用</w:t>
      </w:r>
      <w:r>
        <w:rPr>
          <w:rFonts w:ascii="Times New Roman" w:hAnsi="Times New Roman" w:cs="Times New Roman"/>
          <w:szCs w:val="21"/>
          <w:shd w:val="clear" w:color="auto" w:fill="FFFFFF"/>
        </w:rPr>
        <w:t>CFD</w:t>
      </w:r>
      <w:r>
        <w:rPr>
          <w:rFonts w:ascii="Times New Roman" w:hAnsi="Times New Roman" w:cs="Times New Roman"/>
          <w:szCs w:val="21"/>
        </w:rPr>
        <w:t>方法展开模拟与分析，以期进一步认识滞留气团初始体积、管道边界、气团压缩与膨胀过程对水力瞬变过程的影响特性。</w:t>
      </w:r>
    </w:p>
    <w:bookmarkEnd w:id="2"/>
    <w:p w14:paraId="1F734CF4">
      <w:pPr>
        <w:pStyle w:val="2"/>
        <w:snapToGrid w:val="0"/>
        <w:spacing w:before="0" w:after="160"/>
        <w:rPr>
          <w:rFonts w:ascii="Times New Roman" w:hAnsi="Times New Roman" w:cs="Times New Roman" w:eastAsiaTheme="minorEastAsia"/>
          <w:color w:val="auto"/>
          <w:sz w:val="28"/>
          <w:szCs w:val="28"/>
          <w:shd w:val="clear" w:color="auto" w:fill="FFFFFF"/>
        </w:rPr>
      </w:pPr>
      <w:r>
        <w:rPr>
          <w:rFonts w:ascii="Times New Roman" w:hAnsi="Times New Roman" w:cs="Times New Roman" w:eastAsiaTheme="minorEastAsia"/>
          <w:color w:val="auto"/>
          <w:sz w:val="28"/>
          <w:szCs w:val="28"/>
          <w:shd w:val="clear" w:color="auto" w:fill="FFFFFF"/>
        </w:rPr>
        <w:t>1  CFD数值模拟方法</w:t>
      </w:r>
    </w:p>
    <w:p w14:paraId="255BEA03">
      <w:pPr>
        <w:snapToGrid w:val="0"/>
        <w:spacing w:after="160"/>
        <w:outlineLvl w:val="1"/>
        <w:rPr>
          <w:rFonts w:ascii="Times New Roman" w:hAnsi="Times New Roman" w:eastAsia="黑体" w:cs="Times New Roman"/>
        </w:rPr>
      </w:pPr>
      <w:r>
        <w:rPr>
          <w:rFonts w:ascii="Times New Roman" w:hAnsi="Times New Roman" w:eastAsia="黑体" w:cs="Times New Roman"/>
        </w:rPr>
        <w:t>1.1 Volume of Fluid (VOF)模型</w:t>
      </w:r>
    </w:p>
    <w:p w14:paraId="522D2B00">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VOF模型的核心思想是通过追踪不同流体之间的界面来模拟多相流。它将计算区域内的每一个网格单元看作由不同相的流体共同占据，通过计算每个网格单元中各相流体的体积分数来确定相界面的位置和形状。在每个网格单元中，定义体积分数函数</w:t>
      </w:r>
      <w:r>
        <w:rPr>
          <w:rFonts w:ascii="Times New Roman" w:hAnsi="Times New Roman" w:cs="Times New Roman"/>
          <w:i/>
          <w:iCs/>
          <w:szCs w:val="21"/>
        </w:rPr>
        <w:t>F</w:t>
      </w:r>
      <w:r>
        <w:rPr>
          <w:rFonts w:ascii="Times New Roman" w:hAnsi="Times New Roman" w:cs="Times New Roman"/>
          <w:szCs w:val="21"/>
        </w:rPr>
        <w:t>，</w:t>
      </w:r>
      <w:r>
        <w:rPr>
          <w:rFonts w:ascii="Times New Roman" w:hAnsi="Times New Roman" w:cs="Times New Roman"/>
          <w:i/>
          <w:iCs/>
          <w:szCs w:val="21"/>
        </w:rPr>
        <w:t>F</w:t>
      </w:r>
      <w:r>
        <w:rPr>
          <w:rFonts w:ascii="Times New Roman" w:hAnsi="Times New Roman" w:cs="Times New Roman"/>
          <w:szCs w:val="21"/>
        </w:rPr>
        <w:t>=1表示该网格单元完全被液相占据，</w:t>
      </w:r>
      <w:r>
        <w:rPr>
          <w:rFonts w:ascii="Times New Roman" w:hAnsi="Times New Roman" w:cs="Times New Roman"/>
          <w:i/>
          <w:iCs/>
          <w:szCs w:val="21"/>
        </w:rPr>
        <w:t>F</w:t>
      </w:r>
      <w:r>
        <w:rPr>
          <w:rFonts w:ascii="Times New Roman" w:hAnsi="Times New Roman" w:cs="Times New Roman"/>
          <w:szCs w:val="21"/>
        </w:rPr>
        <w:t>=0表示完全被气相占据，0&lt;</w:t>
      </w:r>
      <w:r>
        <w:rPr>
          <w:rFonts w:ascii="Times New Roman" w:hAnsi="Times New Roman" w:cs="Times New Roman"/>
          <w:i/>
          <w:iCs/>
          <w:szCs w:val="21"/>
        </w:rPr>
        <w:t>F</w:t>
      </w:r>
      <w:r>
        <w:rPr>
          <w:rFonts w:ascii="Times New Roman" w:hAnsi="Times New Roman" w:cs="Times New Roman"/>
          <w:szCs w:val="21"/>
        </w:rPr>
        <w:t>&lt;1表示该网格单元位于气液界面上。</w:t>
      </w:r>
    </w:p>
    <w:p w14:paraId="29D78025">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VOF模型的基本控制方程</w:t>
      </w:r>
      <w:r>
        <w:rPr>
          <w:rFonts w:ascii="Times New Roman" w:hAnsi="Times New Roman" w:cs="Times New Roman"/>
          <w:kern w:val="0"/>
          <w:vertAlign w:val="superscript"/>
        </w:rPr>
        <w:t>[26–29]</w:t>
      </w:r>
      <w:r>
        <w:rPr>
          <w:rFonts w:hint="eastAsia" w:ascii="Times New Roman" w:hAnsi="Times New Roman" w:cs="Times New Roman"/>
          <w:szCs w:val="21"/>
        </w:rPr>
        <w:t>如下</w:t>
      </w:r>
    </w:p>
    <w:p w14:paraId="4B5BE535">
      <w:pPr>
        <w:pStyle w:val="49"/>
        <w:adjustRightInd w:val="0"/>
        <w:snapToGrid w:val="0"/>
        <w:ind w:firstLine="420"/>
        <w:rPr>
          <w:rFonts w:ascii="Times New Roman" w:hAnsi="Times New Roman"/>
          <w:szCs w:val="21"/>
        </w:rPr>
      </w:pPr>
      <w:r>
        <w:rPr>
          <w:rFonts w:ascii="Times New Roman" w:hAnsi="Times New Roman"/>
          <w:szCs w:val="21"/>
        </w:rPr>
        <w:tab/>
      </w:r>
      <w:r>
        <w:rPr>
          <w:rFonts w:ascii="Times New Roman" w:hAnsi="Times New Roman"/>
          <w:position w:val="-10"/>
          <w:szCs w:val="21"/>
        </w:rPr>
        <w:object>
          <v:shape id="_x0000_i1025" o:spt="75" type="#_x0000_t75" style="height:15.55pt;width:49.2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(1)</w:instrText>
      </w:r>
      <w:r>
        <w:rPr>
          <w:rFonts w:ascii="Times New Roman" w:hAnsi="Times New Roman"/>
          <w:szCs w:val="21"/>
        </w:rPr>
        <w:fldChar w:fldCharType="end"/>
      </w:r>
    </w:p>
    <w:p w14:paraId="1F74ECF6">
      <w:pPr>
        <w:pStyle w:val="49"/>
        <w:adjustRightInd w:val="0"/>
        <w:snapToGrid w:val="0"/>
        <w:ind w:firstLine="420"/>
        <w:rPr>
          <w:rFonts w:ascii="Times New Roman" w:hAnsi="Times New Roman"/>
          <w:szCs w:val="21"/>
        </w:rPr>
      </w:pPr>
      <w:r>
        <w:rPr>
          <w:rFonts w:ascii="Times New Roman" w:hAnsi="Times New Roman"/>
          <w:szCs w:val="21"/>
        </w:rPr>
        <w:tab/>
      </w:r>
      <w:r>
        <w:rPr>
          <w:rFonts w:ascii="Times New Roman" w:hAnsi="Times New Roman"/>
          <w:position w:val="-10"/>
          <w:szCs w:val="21"/>
          <w:shd w:val="clear" w:color="auto" w:fill="FFFFFF"/>
        </w:rPr>
        <w:object>
          <v:shape id="_x0000_i1026" o:spt="75" type="#_x0000_t75" style="height:15.55pt;width:73.4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(2)</w:instrText>
      </w:r>
      <w:r>
        <w:rPr>
          <w:rFonts w:ascii="Times New Roman" w:hAnsi="Times New Roman"/>
          <w:szCs w:val="21"/>
        </w:rPr>
        <w:fldChar w:fldCharType="end"/>
      </w:r>
    </w:p>
    <w:p w14:paraId="63B35083">
      <w:pPr>
        <w:adjustRightInd w:val="0"/>
        <w:snapToGrid w:val="0"/>
        <w:jc w:val="left"/>
        <w:rPr>
          <w:rFonts w:ascii="Times New Roman" w:hAnsi="Times New Roman" w:cs="Times New Roman"/>
          <w:szCs w:val="21"/>
        </w:rPr>
      </w:pPr>
      <w:r>
        <w:rPr>
          <w:rFonts w:ascii="Times New Roman" w:hAnsi="Times New Roman" w:cs="Times New Roman"/>
          <w:szCs w:val="21"/>
        </w:rPr>
        <w:t>式中</w:t>
      </w:r>
      <w:r>
        <w:rPr>
          <w:rFonts w:hint="eastAsia" w:ascii="Times New Roman" w:hAnsi="Times New Roman" w:cs="Times New Roman"/>
          <w:szCs w:val="21"/>
        </w:rPr>
        <w:t>，</w:t>
      </w:r>
      <w:r>
        <w:rPr>
          <w:rFonts w:ascii="Times New Roman" w:hAnsi="Times New Roman" w:cs="Times New Roman"/>
          <w:position w:val="-10"/>
          <w:szCs w:val="21"/>
        </w:rPr>
        <w:object>
          <v:shape id="_x0000_i1027" o:spt="75" type="#_x0000_t75" style="height:15.55pt;width:13.6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s="Times New Roman"/>
          <w:szCs w:val="21"/>
        </w:rPr>
        <w:t>为气相的体积分数；</w:t>
      </w:r>
      <w:r>
        <w:rPr>
          <w:rFonts w:ascii="Times New Roman" w:hAnsi="Times New Roman" w:cs="Times New Roman"/>
          <w:position w:val="-10"/>
          <w:szCs w:val="21"/>
          <w:shd w:val="clear" w:color="auto" w:fill="FFFFFF"/>
        </w:rPr>
        <w:object>
          <v:shape id="_x0000_i1028" o:spt="75" type="#_x0000_t75" style="height:15.55pt;width:14.2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s="Times New Roman"/>
          <w:szCs w:val="21"/>
        </w:rPr>
        <w:t>为液相的体积分数；</w:t>
      </w:r>
      <w:r>
        <w:rPr>
          <w:rFonts w:ascii="Times New Roman" w:hAnsi="Times New Roman" w:cs="Times New Roman"/>
          <w:position w:val="-10"/>
          <w:szCs w:val="21"/>
        </w:rPr>
        <w:object>
          <v:shape id="_x0000_i1029" o:spt="75" type="#_x0000_t75" style="height:15.55pt;width:14.2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s="Times New Roman"/>
          <w:szCs w:val="21"/>
        </w:rPr>
        <w:t>为气相的密度（kg/m</w:t>
      </w:r>
      <w:r>
        <w:rPr>
          <w:rFonts w:ascii="Times New Roman" w:hAnsi="Times New Roman" w:cs="Times New Roman"/>
          <w:szCs w:val="21"/>
          <w:vertAlign w:val="superscript"/>
        </w:rPr>
        <w:t>3</w:t>
      </w:r>
      <w:r>
        <w:rPr>
          <w:rFonts w:ascii="Times New Roman" w:hAnsi="Times New Roman" w:cs="Times New Roman"/>
          <w:szCs w:val="21"/>
        </w:rPr>
        <w:t>）；</w:t>
      </w:r>
      <w:r>
        <w:rPr>
          <w:rFonts w:ascii="Times New Roman" w:hAnsi="Times New Roman" w:cs="Times New Roman"/>
          <w:position w:val="-10"/>
          <w:szCs w:val="21"/>
        </w:rPr>
        <w:object>
          <v:shape id="_x0000_i1030" o:spt="75" type="#_x0000_t75" style="height:15.55pt;width:1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s="Times New Roman"/>
          <w:szCs w:val="21"/>
        </w:rPr>
        <w:t>为液相的密度（kg/m</w:t>
      </w:r>
      <w:r>
        <w:rPr>
          <w:rFonts w:ascii="Times New Roman" w:hAnsi="Times New Roman" w:cs="Times New Roman"/>
          <w:szCs w:val="21"/>
          <w:vertAlign w:val="superscript"/>
        </w:rPr>
        <w:t>3</w:t>
      </w:r>
      <w:r>
        <w:rPr>
          <w:rFonts w:ascii="Times New Roman" w:hAnsi="Times New Roman" w:cs="Times New Roman"/>
          <w:szCs w:val="21"/>
        </w:rPr>
        <w:t>）；</w:t>
      </w:r>
      <w:r>
        <w:rPr>
          <w:rFonts w:ascii="Times New Roman" w:hAnsi="Times New Roman" w:cs="Times New Roman"/>
          <w:position w:val="-10"/>
          <w:szCs w:val="21"/>
        </w:rPr>
        <w:object>
          <v:shape id="_x0000_i1031" o:spt="75" type="#_x0000_t75" style="height:12.25pt;width:10.3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s="Times New Roman"/>
          <w:szCs w:val="21"/>
        </w:rPr>
        <w:t>为混合相的密度（kg/m</w:t>
      </w:r>
      <w:r>
        <w:rPr>
          <w:rFonts w:ascii="Times New Roman" w:hAnsi="Times New Roman" w:cs="Times New Roman"/>
          <w:szCs w:val="21"/>
          <w:vertAlign w:val="superscript"/>
        </w:rPr>
        <w:t>3</w:t>
      </w:r>
      <w:r>
        <w:rPr>
          <w:rFonts w:ascii="Times New Roman" w:hAnsi="Times New Roman" w:cs="Times New Roman"/>
          <w:szCs w:val="21"/>
        </w:rPr>
        <w:t>）。</w:t>
      </w:r>
    </w:p>
    <w:p w14:paraId="7124A5CD">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混合相的连续方程为</w:t>
      </w:r>
    </w:p>
    <w:p w14:paraId="25F99F1D">
      <w:pPr>
        <w:pStyle w:val="49"/>
        <w:adjustRightInd w:val="0"/>
        <w:snapToGrid w:val="0"/>
        <w:ind w:firstLine="0" w:firstLineChars="0"/>
        <w:rPr>
          <w:rFonts w:ascii="Times New Roman" w:hAnsi="Times New Roman"/>
          <w:szCs w:val="21"/>
        </w:rPr>
      </w:pPr>
      <w:r>
        <w:rPr>
          <w:rFonts w:ascii="Times New Roman" w:hAnsi="Times New Roman"/>
          <w:szCs w:val="21"/>
        </w:rPr>
        <w:tab/>
      </w:r>
      <w:r>
        <w:rPr>
          <w:rFonts w:ascii="Times New Roman" w:hAnsi="Times New Roman"/>
          <w:position w:val="-22"/>
          <w:szCs w:val="21"/>
        </w:rPr>
        <w:object>
          <v:shape id="_x0000_i1032" o:spt="75" type="#_x0000_t75" style="height:28.1pt;width:78.1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(3)</w:instrText>
      </w:r>
      <w:r>
        <w:rPr>
          <w:rFonts w:ascii="Times New Roman" w:hAnsi="Times New Roman"/>
          <w:szCs w:val="21"/>
        </w:rPr>
        <w:fldChar w:fldCharType="end"/>
      </w:r>
    </w:p>
    <w:p w14:paraId="7459D5E7">
      <w:pPr>
        <w:adjustRightInd w:val="0"/>
        <w:snapToGrid w:val="0"/>
        <w:jc w:val="left"/>
        <w:rPr>
          <w:rFonts w:ascii="Times New Roman" w:hAnsi="Times New Roman" w:cs="Times New Roman"/>
          <w:szCs w:val="21"/>
        </w:rPr>
      </w:pPr>
      <w:r>
        <w:rPr>
          <w:rFonts w:ascii="Times New Roman" w:hAnsi="Times New Roman" w:cs="Times New Roman"/>
          <w:szCs w:val="21"/>
        </w:rPr>
        <w:t>式中</w:t>
      </w:r>
      <w:r>
        <w:rPr>
          <w:rFonts w:hint="eastAsia" w:ascii="Times New Roman" w:hAnsi="Times New Roman" w:cs="Times New Roman"/>
          <w:szCs w:val="21"/>
        </w:rPr>
        <w:t>，</w:t>
      </w:r>
      <w:r>
        <w:rPr>
          <w:rFonts w:ascii="Times New Roman" w:hAnsi="Times New Roman" w:cs="Times New Roman"/>
          <w:i/>
          <w:iCs/>
          <w:szCs w:val="21"/>
        </w:rPr>
        <w:t>F</w:t>
      </w:r>
      <w:r>
        <w:rPr>
          <w:rFonts w:ascii="Times New Roman" w:hAnsi="Times New Roman" w:cs="Times New Roman"/>
          <w:szCs w:val="21"/>
        </w:rPr>
        <w:t>为气相和液相混合后的体积函数；</w:t>
      </w:r>
      <w:r>
        <w:rPr>
          <w:rFonts w:ascii="Times New Roman" w:hAnsi="Times New Roman" w:cs="Times New Roman"/>
          <w:b/>
          <w:bCs/>
          <w:i/>
          <w:iCs/>
          <w:szCs w:val="21"/>
        </w:rPr>
        <w:t>U</w:t>
      </w:r>
      <w:r>
        <w:rPr>
          <w:rFonts w:ascii="Times New Roman" w:hAnsi="Times New Roman" w:cs="Times New Roman"/>
          <w:szCs w:val="21"/>
        </w:rPr>
        <w:t>为速度矢量（m/s）。</w:t>
      </w:r>
    </w:p>
    <w:p w14:paraId="356FEBDD">
      <w:pPr>
        <w:spacing w:after="160"/>
        <w:outlineLvl w:val="1"/>
        <w:rPr>
          <w:rFonts w:ascii="Times New Roman" w:hAnsi="Times New Roman" w:eastAsia="黑体" w:cs="Times New Roman"/>
        </w:rPr>
      </w:pPr>
      <w:r>
        <w:rPr>
          <w:rFonts w:ascii="Times New Roman" w:hAnsi="Times New Roman" w:eastAsia="黑体" w:cs="Times New Roman"/>
        </w:rPr>
        <w:t>1.2</w:t>
      </w:r>
      <w:bookmarkStart w:id="3" w:name="_Hlk211977182"/>
      <w:r>
        <w:rPr>
          <w:rFonts w:ascii="Times New Roman" w:hAnsi="Times New Roman" w:eastAsia="黑体" w:cs="Times New Roman"/>
        </w:rPr>
        <w:t>湍流模型及控制方程</w:t>
      </w:r>
      <w:bookmarkEnd w:id="3"/>
    </w:p>
    <w:p w14:paraId="21B85B53">
      <w:pPr>
        <w:adjustRightInd w:val="0"/>
        <w:snapToGrid w:val="0"/>
        <w:ind w:firstLine="420" w:firstLineChars="200"/>
        <w:rPr>
          <w:rFonts w:ascii="Times New Roman" w:hAnsi="Times New Roman" w:cs="Times New Roman"/>
        </w:rPr>
      </w:pPr>
      <w:r>
        <w:rPr>
          <w:rFonts w:ascii="Times New Roman" w:hAnsi="Times New Roman" w:cs="Times New Roman"/>
        </w:rPr>
        <w:t>湍流模型的选取直接影响计算结果的准确性，相关研究表明，</w:t>
      </w:r>
      <w:r>
        <w:rPr>
          <w:rFonts w:ascii="Times New Roman" w:hAnsi="Times New Roman" w:cs="Times New Roman"/>
          <w:shd w:val="clear" w:color="auto" w:fill="FFFFFF"/>
        </w:rPr>
        <w:t xml:space="preserve">Realizable </w:t>
      </w:r>
      <w:r>
        <w:rPr>
          <w:rFonts w:ascii="Times New Roman" w:hAnsi="Times New Roman" w:cs="Times New Roman"/>
          <w:i/>
          <w:iCs/>
          <w:shd w:val="clear" w:color="auto" w:fill="FFFFFF"/>
        </w:rPr>
        <w:t>k-ε</w:t>
      </w:r>
      <w:r>
        <w:rPr>
          <w:rFonts w:ascii="Times New Roman" w:hAnsi="Times New Roman" w:cs="Times New Roman"/>
          <w:shd w:val="clear" w:color="auto" w:fill="FFFFFF"/>
        </w:rPr>
        <w:t>湍流模型</w:t>
      </w:r>
      <w:r>
        <w:rPr>
          <w:rFonts w:ascii="Times New Roman" w:hAnsi="Times New Roman" w:cs="Times New Roman"/>
        </w:rPr>
        <w:t>在标准</w:t>
      </w:r>
      <w:r>
        <w:rPr>
          <w:rFonts w:ascii="Times New Roman" w:hAnsi="Times New Roman" w:cs="Times New Roman"/>
          <w:i/>
          <w:iCs/>
        </w:rPr>
        <w:t>k</w:t>
      </w:r>
      <w:r>
        <w:rPr>
          <w:rFonts w:ascii="Times New Roman" w:hAnsi="Times New Roman" w:eastAsia="微软雅黑" w:cs="Times New Roman"/>
          <w:i/>
          <w:iCs/>
        </w:rPr>
        <w:t>−</w:t>
      </w:r>
      <w:r>
        <w:rPr>
          <w:rFonts w:ascii="Times New Roman" w:hAnsi="Times New Roman" w:eastAsia="宋体" w:cs="Times New Roman"/>
          <w:i/>
          <w:iCs/>
        </w:rPr>
        <w:t>ε</w:t>
      </w:r>
      <w:r>
        <w:rPr>
          <w:rFonts w:ascii="Times New Roman" w:hAnsi="Times New Roman" w:cs="Times New Roman"/>
        </w:rPr>
        <w:t>模型的基础上，</w:t>
      </w:r>
      <w:r>
        <w:rPr>
          <w:rFonts w:ascii="Times New Roman" w:hAnsi="Times New Roman" w:cs="Times New Roman"/>
          <w:shd w:val="clear" w:color="auto" w:fill="FFFFFF"/>
        </w:rPr>
        <w:t>将湍流粘度计算式与应变速率联系起来，适用于高压作用下，水气交界面附近产生许多分离的小气泡和局部环流的情况</w:t>
      </w:r>
      <w:r>
        <w:rPr>
          <w:rFonts w:ascii="Times New Roman" w:hAnsi="Times New Roman" w:cs="Times New Roman"/>
          <w:kern w:val="0"/>
          <w:vertAlign w:val="superscript"/>
        </w:rPr>
        <w:t>[30</w:t>
      </w:r>
      <w:r>
        <w:rPr>
          <w:rFonts w:hint="eastAsia" w:ascii="Times New Roman" w:hAnsi="Times New Roman" w:cs="Times New Roman"/>
          <w:kern w:val="0"/>
          <w:vertAlign w:val="superscript"/>
        </w:rPr>
        <w:t>-</w:t>
      </w:r>
      <w:r>
        <w:rPr>
          <w:rFonts w:ascii="Times New Roman" w:hAnsi="Times New Roman" w:cs="Times New Roman"/>
          <w:kern w:val="0"/>
          <w:vertAlign w:val="superscript"/>
        </w:rPr>
        <w:t>31]</w:t>
      </w:r>
      <w:r>
        <w:rPr>
          <w:rFonts w:ascii="Times New Roman" w:hAnsi="Times New Roman" w:cs="Times New Roman"/>
        </w:rPr>
        <w:t xml:space="preserve">，所以本研究采用Realizable </w:t>
      </w:r>
      <w:r>
        <w:rPr>
          <w:rFonts w:ascii="Times New Roman" w:hAnsi="Times New Roman" w:cs="Times New Roman"/>
          <w:i/>
          <w:iCs/>
          <w:shd w:val="clear" w:color="auto" w:fill="FFFFFF"/>
        </w:rPr>
        <w:t>k</w:t>
      </w:r>
      <w:r>
        <w:rPr>
          <w:rFonts w:ascii="Times New Roman" w:hAnsi="Times New Roman" w:eastAsia="微软雅黑" w:cs="Times New Roman"/>
          <w:i/>
          <w:iCs/>
          <w:shd w:val="clear" w:color="auto" w:fill="FFFFFF"/>
        </w:rPr>
        <w:t>−</w:t>
      </w:r>
      <w:r>
        <w:rPr>
          <w:rFonts w:ascii="Times New Roman" w:hAnsi="Times New Roman" w:eastAsia="宋体" w:cs="Times New Roman"/>
          <w:i/>
          <w:iCs/>
          <w:shd w:val="clear" w:color="auto" w:fill="FFFFFF"/>
        </w:rPr>
        <w:t>ε</w:t>
      </w:r>
      <w:r>
        <w:rPr>
          <w:rFonts w:ascii="Times New Roman" w:hAnsi="Times New Roman" w:cs="Times New Roman"/>
        </w:rPr>
        <w:t>湍流模型进行水流冲击气团的计算。</w:t>
      </w:r>
    </w:p>
    <w:p w14:paraId="51EEFB48">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水流冲击管道滞留气团的控制方程包括：连续方程、动量方程、</w:t>
      </w:r>
      <w:r>
        <w:rPr>
          <w:rFonts w:hint="eastAsia" w:ascii="Times New Roman" w:hAnsi="Times New Roman" w:cs="Times New Roman"/>
          <w:szCs w:val="21"/>
        </w:rPr>
        <w:t>能量方程、</w:t>
      </w:r>
      <w:r>
        <w:rPr>
          <w:rFonts w:ascii="Times New Roman" w:hAnsi="Times New Roman" w:cs="Times New Roman"/>
          <w:i/>
          <w:iCs/>
          <w:szCs w:val="21"/>
        </w:rPr>
        <w:t>k</w:t>
      </w:r>
      <w:r>
        <w:rPr>
          <w:rFonts w:ascii="Times New Roman" w:hAnsi="Times New Roman" w:cs="Times New Roman"/>
          <w:szCs w:val="21"/>
        </w:rPr>
        <w:t>方程、</w:t>
      </w:r>
      <w:r>
        <w:rPr>
          <w:rFonts w:ascii="Times New Roman" w:hAnsi="Times New Roman" w:cs="Times New Roman"/>
          <w:szCs w:val="21"/>
        </w:rPr>
        <w:drawing>
          <wp:inline distT="0" distB="0" distL="0" distR="0">
            <wp:extent cx="61595" cy="63500"/>
            <wp:effectExtent l="0" t="0" r="0" b="0"/>
            <wp:docPr id="371225350" name="图片 14" descr="epsilon （ 小写 ）" title="{&quot;mathml&quot;:&quot;&lt;math style=\&quot;font-family:Times New Roman;font-size:16px;\&quot; xmlns=\&quot;http://www.w3.org/1998/Math/MathML\&quot;&gt;&lt;mstyle mathsize=\&quot;16px\&quot;&gt;&lt;mi&gt;&amp;#x3B5;&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5350" name="图片 14" descr="epsilon （ 小写 ）" title="{&quot;mathml&quot;:&quot;&lt;math style=\&quot;font-family:Times New Roman;font-size:16px;\&quot; xmlns=\&quot;http://www.w3.org/1998/Math/MathML\&quot;&gt;&lt;mstyle mathsize=\&quot;16px\&quot;&gt;&lt;mi&gt;&amp;#x3B5;&lt;/mi&gt;&lt;/mstyle&gt;&lt;/math&gt;&quot;}"/>
                    <pic:cNvPicPr>
                      <a:picLocks noChangeAspect="1"/>
                    </pic:cNvPicPr>
                  </pic:nvPicPr>
                  <pic:blipFill>
                    <a:blip r:embed="rId25"/>
                    <a:stretch>
                      <a:fillRect/>
                    </a:stretch>
                  </pic:blipFill>
                  <pic:spPr>
                    <a:xfrm>
                      <a:off x="0" y="0"/>
                      <a:ext cx="61595" cy="63500"/>
                    </a:xfrm>
                    <a:prstGeom prst="rect">
                      <a:avLst/>
                    </a:prstGeom>
                  </pic:spPr>
                </pic:pic>
              </a:graphicData>
            </a:graphic>
          </wp:inline>
        </w:drawing>
      </w:r>
      <w:r>
        <w:rPr>
          <w:rFonts w:ascii="Times New Roman" w:hAnsi="Times New Roman" w:cs="Times New Roman"/>
          <w:szCs w:val="21"/>
        </w:rPr>
        <w:t>方程</w:t>
      </w:r>
      <w:r>
        <w:rPr>
          <w:rFonts w:ascii="Times New Roman" w:hAnsi="Times New Roman" w:cs="Times New Roman"/>
          <w:kern w:val="0"/>
          <w:vertAlign w:val="superscript"/>
        </w:rPr>
        <w:t>[32–35]</w:t>
      </w:r>
      <w:bookmarkStart w:id="4" w:name="_Hlk211976642"/>
      <w:r>
        <w:rPr>
          <w:rFonts w:hint="eastAsia" w:ascii="Times New Roman" w:hAnsi="Times New Roman" w:cs="Times New Roman"/>
          <w:szCs w:val="21"/>
        </w:rPr>
        <w:t>。</w:t>
      </w:r>
    </w:p>
    <w:p w14:paraId="282ABEE1">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连续方程</w:t>
      </w:r>
    </w:p>
    <w:p w14:paraId="0AE97A95">
      <w:pPr>
        <w:pStyle w:val="49"/>
        <w:adjustRightInd w:val="0"/>
        <w:ind w:firstLine="420"/>
        <w:rPr>
          <w:rFonts w:ascii="Times New Roman" w:hAnsi="Times New Roman"/>
        </w:rPr>
      </w:pPr>
      <w:r>
        <w:rPr>
          <w:rFonts w:ascii="Times New Roman" w:hAnsi="Times New Roman"/>
        </w:rPr>
        <w:tab/>
      </w:r>
      <w:r>
        <w:rPr>
          <w:rFonts w:ascii="Times New Roman" w:hAnsi="Times New Roman"/>
          <w:position w:val="-26"/>
        </w:rPr>
        <w:object>
          <v:shape id="_x0000_i1033" o:spt="75" type="#_x0000_t75" style="height:35.6pt;width:190.7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 xml:space="preserve">(4)</w:instrText>
      </w:r>
      <w:r>
        <w:rPr>
          <w:rFonts w:ascii="Times New Roman" w:hAnsi="Times New Roman"/>
        </w:rPr>
        <w:fldChar w:fldCharType="end"/>
      </w:r>
    </w:p>
    <w:bookmarkEnd w:id="4"/>
    <w:p w14:paraId="3A106C7D">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动量方程</w:t>
      </w:r>
    </w:p>
    <w:p w14:paraId="231EC064">
      <w:pPr>
        <w:pStyle w:val="49"/>
        <w:adjustRightInd w:val="0"/>
        <w:ind w:firstLine="420"/>
        <w:rPr>
          <w:rFonts w:ascii="Times New Roman" w:hAnsi="Times New Roman"/>
        </w:rPr>
      </w:pPr>
      <w:r>
        <w:rPr>
          <w:rFonts w:ascii="Times New Roman" w:hAnsi="Times New Roman"/>
        </w:rPr>
        <w:tab/>
      </w:r>
      <w:r>
        <w:rPr>
          <w:rFonts w:ascii="Times New Roman" w:hAnsi="Times New Roman"/>
          <w:position w:val="-96"/>
        </w:rPr>
        <w:object>
          <v:shape id="_x0000_i1034" o:spt="75" type="#_x0000_t75" style="height:100.65pt;width:286.9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 xml:space="preserve">(5)</w:instrText>
      </w:r>
      <w:r>
        <w:rPr>
          <w:rFonts w:ascii="Times New Roman" w:hAnsi="Times New Roman"/>
        </w:rPr>
        <w:fldChar w:fldCharType="end"/>
      </w:r>
    </w:p>
    <w:p w14:paraId="6DC79305">
      <w:pPr>
        <w:ind w:firstLine="420" w:firstLineChars="200"/>
        <w:rPr>
          <w:rFonts w:ascii="Times New Roman" w:hAnsi="Times New Roman" w:cs="Times New Roman"/>
          <w:szCs w:val="21"/>
        </w:rPr>
      </w:pPr>
      <w:r>
        <w:rPr>
          <w:rFonts w:hint="eastAsia" w:ascii="Times New Roman" w:hAnsi="Times New Roman" w:cs="Times New Roman"/>
          <w:szCs w:val="21"/>
        </w:rPr>
        <w:t>能量方程</w:t>
      </w:r>
    </w:p>
    <w:p w14:paraId="1C6006BA">
      <w:pPr>
        <w:pStyle w:val="49"/>
        <w:ind w:firstLine="420"/>
        <w:rPr>
          <w:rFonts w:ascii="Times New Roman" w:hAnsi="Times New Roman"/>
        </w:rPr>
      </w:pPr>
      <w:r>
        <w:rPr>
          <w:rFonts w:ascii="Times New Roman" w:hAnsi="Times New Roman"/>
        </w:rPr>
        <w:tab/>
      </w:r>
      <w:r>
        <w:rPr>
          <w:rFonts w:ascii="Times New Roman" w:hAnsi="Times New Roman"/>
          <w:position w:val="-22"/>
        </w:rPr>
        <w:object>
          <v:shape id="_x0000_i1035" o:spt="75" type="#_x0000_t75" style="height:28.1pt;width:169.3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 xml:space="preserve">(6)</w:instrText>
      </w:r>
      <w:r>
        <w:rPr>
          <w:rFonts w:ascii="Times New Roman" w:hAnsi="Times New Roman"/>
        </w:rPr>
        <w:fldChar w:fldCharType="end"/>
      </w:r>
    </w:p>
    <w:p w14:paraId="2AEED43B">
      <w:pPr>
        <w:pStyle w:val="49"/>
        <w:adjustRightInd w:val="0"/>
        <w:snapToGrid w:val="0"/>
        <w:ind w:firstLine="0" w:firstLineChars="0"/>
        <w:rPr>
          <w:rFonts w:ascii="Times New Roman" w:hAnsi="Times New Roman"/>
          <w:szCs w:val="21"/>
        </w:rPr>
      </w:pPr>
      <w:bookmarkStart w:id="5" w:name="_Hlk211977240"/>
      <w:r>
        <w:rPr>
          <w:rFonts w:ascii="Times New Roman" w:hAnsi="Times New Roman"/>
          <w:szCs w:val="21"/>
        </w:rPr>
        <w:t>式中</w:t>
      </w:r>
      <w:r>
        <w:rPr>
          <w:rFonts w:hint="eastAsia" w:ascii="Times New Roman" w:hAnsi="Times New Roman"/>
          <w:szCs w:val="21"/>
        </w:rPr>
        <w:t>，</w:t>
      </w:r>
      <w:r>
        <w:rPr>
          <w:rFonts w:ascii="Times New Roman" w:hAnsi="Times New Roman"/>
          <w:b/>
          <w:bCs/>
          <w:i/>
          <w:szCs w:val="21"/>
        </w:rPr>
        <w:t>v</w:t>
      </w:r>
      <w:r>
        <w:rPr>
          <w:rFonts w:ascii="Times New Roman" w:hAnsi="Times New Roman"/>
          <w:b/>
          <w:bCs/>
          <w:i/>
          <w:szCs w:val="21"/>
          <w:vertAlign w:val="subscript"/>
        </w:rPr>
        <w:t>x</w:t>
      </w:r>
      <w:r>
        <w:rPr>
          <w:rFonts w:ascii="Times New Roman" w:hAnsi="Times New Roman"/>
          <w:b/>
          <w:bCs/>
          <w:i/>
          <w:szCs w:val="21"/>
        </w:rPr>
        <w:t>、v</w:t>
      </w:r>
      <w:r>
        <w:rPr>
          <w:rFonts w:ascii="Times New Roman" w:hAnsi="Times New Roman"/>
          <w:b/>
          <w:bCs/>
          <w:i/>
          <w:szCs w:val="21"/>
          <w:vertAlign w:val="subscript"/>
        </w:rPr>
        <w:t>y</w:t>
      </w:r>
      <w:r>
        <w:rPr>
          <w:rFonts w:ascii="Times New Roman" w:hAnsi="Times New Roman"/>
          <w:b/>
          <w:bCs/>
          <w:i/>
          <w:szCs w:val="21"/>
        </w:rPr>
        <w:t>、v</w:t>
      </w:r>
      <w:r>
        <w:rPr>
          <w:rFonts w:ascii="Times New Roman" w:hAnsi="Times New Roman"/>
          <w:b/>
          <w:bCs/>
          <w:i/>
          <w:szCs w:val="21"/>
          <w:vertAlign w:val="subscript"/>
        </w:rPr>
        <w:t>z</w:t>
      </w:r>
      <w:r>
        <w:rPr>
          <w:rFonts w:hint="eastAsia" w:ascii="Times New Roman" w:hAnsi="Times New Roman"/>
          <w:szCs w:val="21"/>
          <w:shd w:val="clear" w:color="auto" w:fill="FFFFFF"/>
        </w:rPr>
        <w:t>分别为流体速度</w:t>
      </w:r>
      <w:r>
        <w:rPr>
          <w:rFonts w:hint="eastAsia" w:ascii="Times New Roman" w:hAnsi="Times New Roman"/>
          <w:b/>
          <w:bCs/>
          <w:i/>
          <w:iCs/>
          <w:szCs w:val="21"/>
          <w:shd w:val="clear" w:color="auto" w:fill="FFFFFF"/>
        </w:rPr>
        <w:t>v</w:t>
      </w:r>
      <w:r>
        <w:rPr>
          <w:rFonts w:hint="eastAsia" w:ascii="Times New Roman" w:hAnsi="Times New Roman"/>
          <w:szCs w:val="21"/>
          <w:shd w:val="clear" w:color="auto" w:fill="FFFFFF"/>
        </w:rPr>
        <w:t>在三个坐标轴的投影</w:t>
      </w:r>
      <w:r>
        <w:rPr>
          <w:rFonts w:ascii="Times New Roman" w:hAnsi="Times New Roman"/>
          <w:szCs w:val="21"/>
          <w:shd w:val="clear" w:color="auto" w:fill="FFFFFF"/>
        </w:rPr>
        <w:t>（m/s）；</w:t>
      </w:r>
      <w:r>
        <w:rPr>
          <w:rFonts w:ascii="Times New Roman" w:hAnsi="Times New Roman"/>
          <w:i/>
          <w:szCs w:val="21"/>
        </w:rPr>
        <w:t>A</w:t>
      </w:r>
      <w:r>
        <w:rPr>
          <w:rFonts w:ascii="Times New Roman" w:hAnsi="Times New Roman"/>
          <w:i/>
          <w:szCs w:val="21"/>
          <w:vertAlign w:val="subscript"/>
        </w:rPr>
        <w:t>x</w:t>
      </w:r>
      <w:r>
        <w:rPr>
          <w:rFonts w:ascii="Times New Roman" w:hAnsi="Times New Roman"/>
          <w:i/>
          <w:szCs w:val="21"/>
        </w:rPr>
        <w:t>、A</w:t>
      </w:r>
      <w:r>
        <w:rPr>
          <w:rFonts w:ascii="Times New Roman" w:hAnsi="Times New Roman"/>
          <w:i/>
          <w:szCs w:val="21"/>
          <w:vertAlign w:val="subscript"/>
        </w:rPr>
        <w:t>y</w:t>
      </w:r>
      <w:r>
        <w:rPr>
          <w:rFonts w:ascii="Times New Roman" w:hAnsi="Times New Roman"/>
          <w:i/>
          <w:szCs w:val="21"/>
        </w:rPr>
        <w:t>、A</w:t>
      </w:r>
      <w:r>
        <w:rPr>
          <w:rFonts w:ascii="Times New Roman" w:hAnsi="Times New Roman"/>
          <w:i/>
          <w:szCs w:val="21"/>
          <w:vertAlign w:val="subscript"/>
        </w:rPr>
        <w:t>z</w:t>
      </w:r>
      <w:r>
        <w:rPr>
          <w:rFonts w:hint="eastAsia" w:ascii="Times New Roman" w:hAnsi="Times New Roman"/>
          <w:szCs w:val="21"/>
        </w:rPr>
        <w:t>分别为液相的体积分数</w:t>
      </w:r>
      <w:r>
        <w:rPr>
          <w:rFonts w:hint="eastAsia" w:ascii="Times New Roman" w:hAnsi="Times New Roman"/>
          <w:i/>
          <w:iCs/>
          <w:szCs w:val="21"/>
        </w:rPr>
        <w:t>F</w:t>
      </w:r>
      <w:r>
        <w:rPr>
          <w:rFonts w:hint="eastAsia" w:ascii="Times New Roman" w:hAnsi="Times New Roman"/>
          <w:i/>
          <w:iCs/>
          <w:szCs w:val="21"/>
          <w:vertAlign w:val="subscript"/>
        </w:rPr>
        <w:t>w</w:t>
      </w:r>
      <w:r>
        <w:rPr>
          <w:rFonts w:hint="eastAsia" w:ascii="Times New Roman" w:hAnsi="Times New Roman"/>
          <w:szCs w:val="21"/>
        </w:rPr>
        <w:t>在三个坐标轴的投影</w:t>
      </w:r>
      <w:r>
        <w:rPr>
          <w:rFonts w:ascii="Times New Roman" w:hAnsi="Times New Roman"/>
          <w:szCs w:val="21"/>
        </w:rPr>
        <w:t>；</w:t>
      </w:r>
      <w:r>
        <w:rPr>
          <w:rFonts w:ascii="Times New Roman" w:hAnsi="Times New Roman"/>
          <w:b/>
          <w:bCs/>
          <w:i/>
          <w:szCs w:val="21"/>
        </w:rPr>
        <w:t>G</w:t>
      </w:r>
      <w:r>
        <w:rPr>
          <w:rFonts w:ascii="Times New Roman" w:hAnsi="Times New Roman"/>
          <w:b/>
          <w:bCs/>
          <w:i/>
          <w:szCs w:val="21"/>
          <w:vertAlign w:val="subscript"/>
        </w:rPr>
        <w:t>x</w:t>
      </w:r>
      <w:r>
        <w:rPr>
          <w:rFonts w:ascii="Times New Roman" w:hAnsi="Times New Roman"/>
          <w:b/>
          <w:bCs/>
          <w:i/>
          <w:szCs w:val="21"/>
        </w:rPr>
        <w:t>、G</w:t>
      </w:r>
      <w:r>
        <w:rPr>
          <w:rFonts w:ascii="Times New Roman" w:hAnsi="Times New Roman"/>
          <w:b/>
          <w:bCs/>
          <w:i/>
          <w:szCs w:val="21"/>
          <w:vertAlign w:val="subscript"/>
        </w:rPr>
        <w:t>y</w:t>
      </w:r>
      <w:r>
        <w:rPr>
          <w:rFonts w:ascii="Times New Roman" w:hAnsi="Times New Roman"/>
          <w:b/>
          <w:bCs/>
          <w:i/>
          <w:szCs w:val="21"/>
        </w:rPr>
        <w:t>、G</w:t>
      </w:r>
      <w:r>
        <w:rPr>
          <w:rFonts w:ascii="Times New Roman" w:hAnsi="Times New Roman"/>
          <w:b/>
          <w:bCs/>
          <w:i/>
          <w:szCs w:val="21"/>
          <w:vertAlign w:val="subscript"/>
        </w:rPr>
        <w:t>z</w:t>
      </w:r>
      <w:r>
        <w:rPr>
          <w:rFonts w:hint="eastAsia" w:ascii="Times New Roman" w:hAnsi="Times New Roman"/>
          <w:szCs w:val="21"/>
        </w:rPr>
        <w:t>分别为</w:t>
      </w:r>
      <w:r>
        <w:rPr>
          <w:rFonts w:ascii="Times New Roman" w:hAnsi="Times New Roman"/>
          <w:szCs w:val="21"/>
        </w:rPr>
        <w:t>重力加速度</w:t>
      </w:r>
      <w:r>
        <w:rPr>
          <w:rFonts w:ascii="Times New Roman" w:hAnsi="Times New Roman"/>
          <w:b/>
          <w:bCs/>
          <w:i/>
          <w:iCs/>
          <w:szCs w:val="21"/>
        </w:rPr>
        <w:t>G</w:t>
      </w:r>
      <w:r>
        <w:rPr>
          <w:rFonts w:ascii="Times New Roman" w:hAnsi="Times New Roman"/>
          <w:szCs w:val="21"/>
        </w:rPr>
        <w:t>在三个坐标轴的投影（m/s</w:t>
      </w:r>
      <w:r>
        <w:rPr>
          <w:rFonts w:ascii="Times New Roman" w:hAnsi="Times New Roman"/>
          <w:szCs w:val="21"/>
          <w:vertAlign w:val="superscript"/>
        </w:rPr>
        <w:t>2</w:t>
      </w:r>
      <w:r>
        <w:rPr>
          <w:rFonts w:ascii="Times New Roman" w:hAnsi="Times New Roman"/>
          <w:szCs w:val="21"/>
        </w:rPr>
        <w:t>）；</w:t>
      </w:r>
      <w:r>
        <w:rPr>
          <w:rFonts w:ascii="Times New Roman" w:hAnsi="Times New Roman"/>
          <w:b/>
          <w:bCs/>
          <w:i/>
          <w:szCs w:val="21"/>
        </w:rPr>
        <w:t>f</w:t>
      </w:r>
      <w:r>
        <w:rPr>
          <w:rFonts w:ascii="Times New Roman" w:hAnsi="Times New Roman"/>
          <w:b/>
          <w:bCs/>
          <w:i/>
          <w:szCs w:val="21"/>
          <w:vertAlign w:val="subscript"/>
        </w:rPr>
        <w:t>x</w:t>
      </w:r>
      <w:r>
        <w:rPr>
          <w:rFonts w:ascii="Times New Roman" w:hAnsi="Times New Roman"/>
          <w:b/>
          <w:bCs/>
          <w:i/>
          <w:szCs w:val="21"/>
        </w:rPr>
        <w:t>、f</w:t>
      </w:r>
      <w:r>
        <w:rPr>
          <w:rFonts w:ascii="Times New Roman" w:hAnsi="Times New Roman"/>
          <w:b/>
          <w:bCs/>
          <w:i/>
          <w:szCs w:val="21"/>
          <w:vertAlign w:val="subscript"/>
        </w:rPr>
        <w:t>y</w:t>
      </w:r>
      <w:r>
        <w:rPr>
          <w:rFonts w:ascii="Times New Roman" w:hAnsi="Times New Roman"/>
          <w:b/>
          <w:bCs/>
          <w:i/>
          <w:szCs w:val="21"/>
        </w:rPr>
        <w:t>、f</w:t>
      </w:r>
      <w:r>
        <w:rPr>
          <w:rFonts w:ascii="Times New Roman" w:hAnsi="Times New Roman"/>
          <w:b/>
          <w:bCs/>
          <w:i/>
          <w:szCs w:val="21"/>
          <w:vertAlign w:val="subscript"/>
        </w:rPr>
        <w:t>z</w:t>
      </w:r>
      <w:r>
        <w:rPr>
          <w:rFonts w:hint="eastAsia" w:ascii="Times New Roman" w:hAnsi="Times New Roman"/>
          <w:szCs w:val="21"/>
        </w:rPr>
        <w:t>分别为</w:t>
      </w:r>
      <w:r>
        <w:rPr>
          <w:rFonts w:ascii="Times New Roman" w:hAnsi="Times New Roman"/>
          <w:szCs w:val="21"/>
        </w:rPr>
        <w:t>粘滞力</w:t>
      </w:r>
      <w:r>
        <w:rPr>
          <w:rFonts w:hint="eastAsia" w:ascii="Times New Roman" w:hAnsi="Times New Roman"/>
          <w:b/>
          <w:bCs/>
          <w:i/>
          <w:iCs/>
          <w:szCs w:val="21"/>
        </w:rPr>
        <w:t>f</w:t>
      </w:r>
      <w:r>
        <w:rPr>
          <w:rFonts w:hint="eastAsia" w:ascii="Times New Roman" w:hAnsi="Times New Roman"/>
          <w:szCs w:val="21"/>
        </w:rPr>
        <w:t>在三个坐标轴的投影</w:t>
      </w:r>
      <w:r>
        <w:rPr>
          <w:rFonts w:ascii="Times New Roman" w:hAnsi="Times New Roman"/>
          <w:szCs w:val="21"/>
        </w:rPr>
        <w:t>（kg</w:t>
      </w:r>
      <w:r>
        <w:rPr>
          <w:rFonts w:ascii="Times New Roman" w:hAnsi="Times New Roman"/>
          <w:iCs/>
          <w:szCs w:val="21"/>
          <w:shd w:val="clear" w:color="auto" w:fill="FFFFFF"/>
        </w:rPr>
        <w:t>·</w:t>
      </w:r>
      <w:r>
        <w:rPr>
          <w:rFonts w:ascii="Times New Roman" w:hAnsi="Times New Roman"/>
          <w:szCs w:val="21"/>
        </w:rPr>
        <w:t>m/s</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shd w:val="clear" w:color="auto" w:fill="FFFFFF"/>
        </w:rPr>
        <w:t>；</w:t>
      </w:r>
      <w:r>
        <w:rPr>
          <w:rFonts w:ascii="Times New Roman" w:hAnsi="Times New Roman"/>
          <w:i/>
          <w:iCs/>
          <w:szCs w:val="21"/>
        </w:rPr>
        <w:t>E</w:t>
      </w:r>
      <w:r>
        <w:rPr>
          <w:rFonts w:hint="eastAsia" w:ascii="Times New Roman" w:hAnsi="Times New Roman"/>
          <w:szCs w:val="21"/>
        </w:rPr>
        <w:t>为总能</w:t>
      </w:r>
      <w:r>
        <w:rPr>
          <w:rFonts w:hint="eastAsia" w:ascii="Times New Roman" w:hAnsi="Times New Roman"/>
          <w:szCs w:val="21"/>
          <w:shd w:val="clear" w:color="auto" w:fill="FFFFFF"/>
        </w:rPr>
        <w:t>（</w:t>
      </w:r>
      <w:r>
        <w:rPr>
          <w:rFonts w:ascii="Times New Roman" w:hAnsi="Times New Roman"/>
          <w:szCs w:val="21"/>
          <w:shd w:val="clear" w:color="auto" w:fill="FFFFFF"/>
        </w:rPr>
        <w:t>J/kg</w:t>
      </w:r>
      <w:r>
        <w:rPr>
          <w:rFonts w:hint="eastAsia" w:ascii="Times New Roman" w:hAnsi="Times New Roman"/>
          <w:szCs w:val="21"/>
          <w:shd w:val="clear" w:color="auto" w:fill="FFFFFF"/>
        </w:rPr>
        <w:t>）</w:t>
      </w:r>
      <w:r>
        <w:rPr>
          <w:rFonts w:hint="eastAsia" w:ascii="Times New Roman" w:hAnsi="Times New Roman"/>
          <w:szCs w:val="21"/>
        </w:rPr>
        <w:t>；</w:t>
      </w:r>
      <w:r>
        <w:rPr>
          <w:rFonts w:ascii="Times New Roman" w:hAnsi="Times New Roman"/>
          <w:i/>
          <w:iCs/>
          <w:szCs w:val="21"/>
        </w:rPr>
        <w:t>T</w:t>
      </w:r>
      <w:r>
        <w:rPr>
          <w:rFonts w:hint="eastAsia" w:ascii="Times New Roman" w:hAnsi="Times New Roman"/>
          <w:szCs w:val="21"/>
        </w:rPr>
        <w:t>为温度（</w:t>
      </w:r>
      <w:r>
        <w:rPr>
          <w:rFonts w:ascii="Times New Roman" w:hAnsi="Times New Roman"/>
          <w:szCs w:val="21"/>
        </w:rPr>
        <w:t>K</w:t>
      </w:r>
      <w:r>
        <w:rPr>
          <w:rFonts w:hint="eastAsia" w:ascii="Times New Roman" w:hAnsi="Times New Roman"/>
          <w:szCs w:val="21"/>
        </w:rPr>
        <w:t>）；</w:t>
      </w:r>
      <w:r>
        <w:rPr>
          <w:rFonts w:ascii="Times New Roman" w:hAnsi="Times New Roman"/>
          <w:i/>
          <w:iCs/>
          <w:szCs w:val="21"/>
        </w:rPr>
        <w:t>k</w:t>
      </w:r>
      <w:r>
        <w:rPr>
          <w:rFonts w:ascii="Times New Roman" w:hAnsi="Times New Roman"/>
          <w:i/>
          <w:iCs/>
          <w:szCs w:val="21"/>
          <w:vertAlign w:val="subscript"/>
        </w:rPr>
        <w:t xml:space="preserve">eff </w:t>
      </w:r>
      <w:r>
        <w:rPr>
          <w:rFonts w:hint="eastAsia" w:ascii="Times New Roman" w:hAnsi="Times New Roman"/>
          <w:szCs w:val="21"/>
        </w:rPr>
        <w:t>为有效传热系数（</w:t>
      </w:r>
      <w:r>
        <w:rPr>
          <w:rFonts w:ascii="Times New Roman" w:hAnsi="Times New Roman"/>
          <w:szCs w:val="21"/>
        </w:rPr>
        <w:t>W/</w:t>
      </w:r>
      <w:r>
        <w:rPr>
          <w:rFonts w:hint="eastAsia" w:ascii="Times New Roman" w:hAnsi="Times New Roman"/>
          <w:szCs w:val="21"/>
        </w:rPr>
        <w:t>（</w:t>
      </w:r>
      <w:r>
        <w:rPr>
          <w:rFonts w:ascii="Times New Roman" w:hAnsi="Times New Roman"/>
          <w:szCs w:val="21"/>
        </w:rPr>
        <w:t>m</w:t>
      </w:r>
      <w:r>
        <w:rPr>
          <w:rFonts w:ascii="Times New Roman" w:hAnsi="Times New Roman"/>
          <w:iCs/>
          <w:szCs w:val="21"/>
        </w:rPr>
        <w:t>·</w:t>
      </w:r>
      <w:r>
        <w:rPr>
          <w:rFonts w:ascii="Times New Roman" w:hAnsi="Times New Roman"/>
          <w:szCs w:val="21"/>
        </w:rPr>
        <w:t>K</w:t>
      </w:r>
      <w:r>
        <w:rPr>
          <w:rFonts w:hint="eastAsia" w:ascii="Times New Roman" w:hAnsi="Times New Roman"/>
          <w:szCs w:val="21"/>
        </w:rPr>
        <w:t>））；</w:t>
      </w:r>
      <w:r>
        <w:rPr>
          <w:rFonts w:ascii="Times New Roman" w:hAnsi="Times New Roman"/>
          <w:i/>
          <w:iCs/>
          <w:szCs w:val="21"/>
        </w:rPr>
        <w:t>p</w:t>
      </w:r>
      <w:r>
        <w:rPr>
          <w:rFonts w:hint="eastAsia" w:ascii="Times New Roman" w:hAnsi="Times New Roman"/>
          <w:szCs w:val="21"/>
        </w:rPr>
        <w:t>为作用在流体</w:t>
      </w:r>
      <w:r>
        <w:rPr>
          <w:rFonts w:hint="eastAsia" w:ascii="Times New Roman" w:hAnsi="Times New Roman"/>
          <w:szCs w:val="21"/>
          <w:shd w:val="clear" w:color="auto" w:fill="FFFFFF"/>
        </w:rPr>
        <w:t>微</w:t>
      </w:r>
      <w:r>
        <w:rPr>
          <w:rFonts w:hint="eastAsia" w:ascii="Times New Roman" w:hAnsi="Times New Roman"/>
          <w:szCs w:val="21"/>
        </w:rPr>
        <w:t>元上的压力（</w:t>
      </w:r>
      <w:r>
        <w:rPr>
          <w:rFonts w:ascii="Times New Roman" w:hAnsi="Times New Roman"/>
          <w:szCs w:val="21"/>
        </w:rPr>
        <w:t>Pa</w:t>
      </w:r>
      <w:r>
        <w:rPr>
          <w:rFonts w:hint="eastAsia" w:ascii="Times New Roman" w:hAnsi="Times New Roman"/>
          <w:szCs w:val="21"/>
        </w:rPr>
        <w:t>）。</w:t>
      </w:r>
    </w:p>
    <w:bookmarkEnd w:id="5"/>
    <w:p w14:paraId="275099ED">
      <w:pPr>
        <w:adjustRightInd w:val="0"/>
        <w:spacing w:line="360" w:lineRule="auto"/>
        <w:ind w:firstLine="420" w:firstLineChars="200"/>
        <w:rPr>
          <w:rFonts w:ascii="Times New Roman" w:hAnsi="Times New Roman" w:cs="Times New Roman"/>
          <w:szCs w:val="21"/>
        </w:rPr>
      </w:pPr>
      <w:r>
        <w:rPr>
          <w:rFonts w:ascii="Times New Roman" w:hAnsi="Times New Roman" w:cs="Times New Roman"/>
          <w:i/>
          <w:iCs/>
          <w:szCs w:val="21"/>
        </w:rPr>
        <w:t>k</w:t>
      </w:r>
      <w:r>
        <w:rPr>
          <w:rFonts w:ascii="Times New Roman" w:hAnsi="Times New Roman" w:cs="Times New Roman"/>
          <w:szCs w:val="21"/>
        </w:rPr>
        <w:t>方程</w:t>
      </w:r>
    </w:p>
    <w:p w14:paraId="5A2DDF4E">
      <w:pPr>
        <w:pStyle w:val="49"/>
        <w:adjustRightInd w:val="0"/>
        <w:snapToGrid w:val="0"/>
        <w:ind w:firstLine="420"/>
        <w:rPr>
          <w:rFonts w:ascii="Times New Roman" w:hAnsi="Times New Roman"/>
          <w:szCs w:val="21"/>
        </w:rPr>
      </w:pPr>
      <w:r>
        <w:rPr>
          <w:rFonts w:ascii="Times New Roman" w:hAnsi="Times New Roman"/>
          <w:szCs w:val="21"/>
        </w:rPr>
        <w:tab/>
      </w:r>
      <w:r>
        <w:rPr>
          <w:rFonts w:ascii="Times New Roman" w:hAnsi="Times New Roman"/>
          <w:position w:val="-32"/>
          <w:szCs w:val="21"/>
        </w:rPr>
        <w:object>
          <v:shape id="_x0000_i1036" o:spt="75" type="#_x0000_t75" style="height:36.15pt;width:223.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(7)</w:instrText>
      </w:r>
      <w:r>
        <w:rPr>
          <w:rFonts w:ascii="Times New Roman" w:hAnsi="Times New Roman"/>
          <w:szCs w:val="21"/>
        </w:rPr>
        <w:fldChar w:fldCharType="end"/>
      </w:r>
    </w:p>
    <w:p w14:paraId="2CDC94BF">
      <w:pPr>
        <w:adjustRightIn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drawing>
          <wp:inline distT="0" distB="0" distL="0" distR="0">
            <wp:extent cx="61595" cy="63500"/>
            <wp:effectExtent l="0" t="0" r="0" b="0"/>
            <wp:docPr id="1799350598" name="图片 14" descr="epsilon （ 小写 ）" title="{&quot;mathml&quot;:&quot;&lt;math style=\&quot;font-family:Times New Roman;font-size:16px;\&quot; xmlns=\&quot;http://www.w3.org/1998/Math/MathML\&quot;&gt;&lt;mstyle mathsize=\&quot;16px\&quot;&gt;&lt;mi&gt;&amp;#x3B5;&lt;/mi&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0598" name="图片 14" descr="epsilon （ 小写 ）" title="{&quot;mathml&quot;:&quot;&lt;math style=\&quot;font-family:Times New Roman;font-size:16px;\&quot; xmlns=\&quot;http://www.w3.org/1998/Math/MathML\&quot;&gt;&lt;mstyle mathsize=\&quot;16px\&quot;&gt;&lt;mi&gt;&amp;#x3B5;&lt;/mi&gt;&lt;/mstyle&gt;&lt;/math&gt;&quot;}"/>
                    <pic:cNvPicPr>
                      <a:picLocks noChangeAspect="1"/>
                    </pic:cNvPicPr>
                  </pic:nvPicPr>
                  <pic:blipFill>
                    <a:blip r:embed="rId25"/>
                    <a:stretch>
                      <a:fillRect/>
                    </a:stretch>
                  </pic:blipFill>
                  <pic:spPr>
                    <a:xfrm>
                      <a:off x="0" y="0"/>
                      <a:ext cx="61595" cy="63500"/>
                    </a:xfrm>
                    <a:prstGeom prst="rect">
                      <a:avLst/>
                    </a:prstGeom>
                  </pic:spPr>
                </pic:pic>
              </a:graphicData>
            </a:graphic>
          </wp:inline>
        </w:drawing>
      </w:r>
      <w:r>
        <w:rPr>
          <w:rFonts w:ascii="Times New Roman" w:hAnsi="Times New Roman" w:cs="Times New Roman"/>
          <w:szCs w:val="21"/>
          <w:shd w:val="clear" w:color="auto" w:fill="FFFFFF"/>
        </w:rPr>
        <w:t>方程</w:t>
      </w:r>
    </w:p>
    <w:p w14:paraId="25431BF6">
      <w:pPr>
        <w:pStyle w:val="49"/>
        <w:adjustRightInd w:val="0"/>
        <w:ind w:firstLine="420"/>
        <w:rPr>
          <w:rFonts w:ascii="Times New Roman" w:hAnsi="Times New Roman"/>
          <w:szCs w:val="21"/>
        </w:rPr>
      </w:pPr>
      <w:r>
        <w:rPr>
          <w:rFonts w:ascii="Times New Roman" w:hAnsi="Times New Roman"/>
          <w:szCs w:val="21"/>
        </w:rPr>
        <w:tab/>
      </w:r>
      <w:r>
        <w:rPr>
          <w:rFonts w:ascii="Times New Roman" w:hAnsi="Times New Roman"/>
          <w:position w:val="-32"/>
          <w:szCs w:val="21"/>
        </w:rPr>
        <w:object>
          <v:shape id="_x0000_i1037" o:spt="75" type="#_x0000_t75" style="height:36.15pt;width:281.9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(8)</w:instrText>
      </w:r>
      <w:r>
        <w:rPr>
          <w:rFonts w:ascii="Times New Roman" w:hAnsi="Times New Roman"/>
          <w:szCs w:val="21"/>
        </w:rPr>
        <w:fldChar w:fldCharType="end"/>
      </w:r>
    </w:p>
    <w:p w14:paraId="1A94652A">
      <w:pPr>
        <w:ind w:firstLine="420" w:firstLineChars="200"/>
        <w:rPr>
          <w:rFonts w:ascii="Times New Roman" w:hAnsi="Times New Roman" w:cs="Times New Roman"/>
          <w:szCs w:val="21"/>
        </w:rPr>
      </w:pPr>
      <w:r>
        <w:rPr>
          <w:rFonts w:hint="eastAsia" w:ascii="Times New Roman" w:hAnsi="Times New Roman" w:cs="Times New Roman"/>
          <w:szCs w:val="21"/>
        </w:rPr>
        <w:t>公</w:t>
      </w:r>
      <w:r>
        <w:rPr>
          <w:rFonts w:ascii="Times New Roman" w:hAnsi="Times New Roman" w:cs="Times New Roman"/>
          <w:szCs w:val="21"/>
        </w:rPr>
        <w:t>式中</w:t>
      </w:r>
      <w:r>
        <w:rPr>
          <w:rFonts w:hint="eastAsia" w:ascii="Times New Roman" w:hAnsi="Times New Roman" w:cs="Times New Roman"/>
          <w:szCs w:val="21"/>
        </w:rPr>
        <w:t>的</w:t>
      </w:r>
      <w:r>
        <w:rPr>
          <w:rFonts w:ascii="Times New Roman" w:hAnsi="Times New Roman" w:cs="Times New Roman"/>
          <w:szCs w:val="21"/>
        </w:rPr>
        <w:t>参数含义</w:t>
      </w:r>
      <w:r>
        <w:rPr>
          <w:rFonts w:hint="eastAsia" w:ascii="Times New Roman" w:hAnsi="Times New Roman" w:cs="Times New Roman"/>
          <w:szCs w:val="21"/>
        </w:rPr>
        <w:t>详见</w:t>
      </w:r>
      <w:r>
        <w:rPr>
          <w:rFonts w:ascii="Times New Roman" w:hAnsi="Times New Roman" w:cs="Times New Roman"/>
          <w:szCs w:val="21"/>
        </w:rPr>
        <w:t>文献[</w:t>
      </w:r>
      <w:r>
        <w:rPr>
          <w:rFonts w:hint="eastAsia" w:ascii="Times New Roman" w:hAnsi="Times New Roman" w:cs="Times New Roman"/>
          <w:szCs w:val="21"/>
        </w:rPr>
        <w:t>32</w:t>
      </w:r>
      <w:r>
        <w:rPr>
          <w:rFonts w:ascii="Times New Roman" w:hAnsi="Times New Roman" w:cs="Times New Roman"/>
          <w:szCs w:val="21"/>
        </w:rPr>
        <w:t>-</w:t>
      </w:r>
      <w:r>
        <w:rPr>
          <w:rFonts w:hint="eastAsia" w:ascii="Times New Roman" w:hAnsi="Times New Roman" w:cs="Times New Roman"/>
          <w:szCs w:val="21"/>
        </w:rPr>
        <w:t>35</w:t>
      </w:r>
      <w:r>
        <w:rPr>
          <w:rFonts w:ascii="Times New Roman" w:hAnsi="Times New Roman" w:cs="Times New Roman"/>
          <w:szCs w:val="21"/>
        </w:rPr>
        <w:t>]。</w:t>
      </w:r>
    </w:p>
    <w:p w14:paraId="49F9C9F5">
      <w:pPr>
        <w:spacing w:after="160"/>
        <w:outlineLvl w:val="1"/>
        <w:rPr>
          <w:rFonts w:ascii="Times New Roman" w:hAnsi="Times New Roman" w:eastAsia="黑体" w:cs="Times New Roman"/>
        </w:rPr>
      </w:pPr>
      <w:r>
        <w:rPr>
          <w:rFonts w:ascii="Times New Roman" w:hAnsi="Times New Roman" w:eastAsia="黑体" w:cs="Times New Roman"/>
        </w:rPr>
        <w:t>1.3</w:t>
      </w:r>
      <w:bookmarkStart w:id="6" w:name="_Hlk211977385"/>
      <w:r>
        <w:rPr>
          <w:rFonts w:ascii="Times New Roman" w:hAnsi="Times New Roman" w:eastAsia="黑体" w:cs="Times New Roman"/>
        </w:rPr>
        <w:t>水流冲击滞留气团的模拟工况</w:t>
      </w:r>
      <w:bookmarkEnd w:id="6"/>
    </w:p>
    <w:p w14:paraId="0EC5A3B5">
      <w:pPr>
        <w:adjustRightInd w:val="0"/>
        <w:snapToGrid w:val="0"/>
        <w:ind w:firstLine="420" w:firstLineChars="200"/>
        <w:rPr>
          <w:rFonts w:ascii="Times New Roman" w:hAnsi="Times New Roman" w:cs="Times New Roman"/>
          <w:shd w:val="clear" w:color="auto" w:fill="FFFFFF"/>
        </w:rPr>
      </w:pPr>
      <w:bookmarkStart w:id="7" w:name="_Hlk208263530"/>
      <w:bookmarkStart w:id="8" w:name="_Hlk211977840"/>
      <w:r>
        <w:rPr>
          <w:rFonts w:ascii="Times New Roman" w:hAnsi="Times New Roman" w:cs="Times New Roman"/>
          <w:shd w:val="clear" w:color="auto" w:fill="FFFFFF"/>
        </w:rPr>
        <w:t>按照ZHOU</w:t>
      </w:r>
      <w:r>
        <w:rPr>
          <w:rFonts w:ascii="Times New Roman" w:hAnsi="Times New Roman" w:cs="Times New Roman"/>
          <w:kern w:val="0"/>
          <w:shd w:val="clear" w:color="auto" w:fill="FFFFFF"/>
          <w:vertAlign w:val="superscript"/>
        </w:rPr>
        <w:t>[36]</w:t>
      </w:r>
      <w:r>
        <w:rPr>
          <w:rFonts w:ascii="Times New Roman" w:hAnsi="Times New Roman" w:cs="Times New Roman"/>
          <w:shd w:val="clear" w:color="auto" w:fill="FFFFFF"/>
        </w:rPr>
        <w:t>的水流冲击管道盲端滞留气团的物理模型，构建数学模型管道（见图1）。</w:t>
      </w:r>
      <w:bookmarkEnd w:id="7"/>
      <w:r>
        <w:rPr>
          <w:rFonts w:ascii="Times New Roman" w:hAnsi="Times New Roman" w:cs="Times New Roman"/>
          <w:shd w:val="clear" w:color="auto" w:fill="FFFFFF"/>
        </w:rPr>
        <w:t>管道整体呈S形，</w:t>
      </w:r>
      <w:r>
        <w:rPr>
          <w:rFonts w:hint="eastAsia" w:ascii="Times New Roman" w:hAnsi="Times New Roman" w:cs="Times New Roman"/>
          <w:shd w:val="clear" w:color="auto" w:fill="FFFFFF"/>
        </w:rPr>
        <w:t>管径均为</w:t>
      </w:r>
      <w:r>
        <w:rPr>
          <w:rFonts w:ascii="Times New Roman" w:hAnsi="Times New Roman" w:cs="Times New Roman"/>
          <w:shd w:val="clear" w:color="auto" w:fill="FFFFFF"/>
        </w:rPr>
        <w:t>0.09 m</w:t>
      </w:r>
      <w:r>
        <w:rPr>
          <w:rFonts w:hint="eastAsia" w:ascii="Times New Roman" w:hAnsi="Times New Roman" w:cs="Times New Roman"/>
          <w:shd w:val="clear" w:color="auto" w:fill="FFFFFF"/>
        </w:rPr>
        <w:t>，</w:t>
      </w:r>
      <w:r>
        <w:rPr>
          <w:rFonts w:ascii="Times New Roman" w:hAnsi="Times New Roman" w:cs="Times New Roman"/>
          <w:shd w:val="clear" w:color="auto" w:fill="FFFFFF"/>
        </w:rPr>
        <w:t>总长度</w:t>
      </w:r>
      <w:r>
        <w:rPr>
          <w:rFonts w:hint="eastAsia" w:ascii="Times New Roman" w:hAnsi="Times New Roman" w:cs="Times New Roman"/>
          <w:shd w:val="clear" w:color="auto" w:fill="FFFFFF"/>
        </w:rPr>
        <w:t>约为</w:t>
      </w:r>
      <w:r>
        <w:rPr>
          <w:rFonts w:ascii="Times New Roman" w:hAnsi="Times New Roman" w:cs="Times New Roman"/>
          <w:shd w:val="clear" w:color="auto" w:fill="FFFFFF"/>
        </w:rPr>
        <w:t>1.9195 m</w:t>
      </w:r>
      <w:r>
        <w:rPr>
          <w:rFonts w:hint="eastAsia" w:ascii="Times New Roman" w:hAnsi="Times New Roman" w:cs="Times New Roman"/>
          <w:shd w:val="clear" w:color="auto" w:fill="FFFFFF"/>
        </w:rPr>
        <w:t>，</w:t>
      </w:r>
      <w:r>
        <w:rPr>
          <w:rFonts w:ascii="Times New Roman" w:hAnsi="Times New Roman" w:cs="Times New Roman"/>
          <w:shd w:val="clear" w:color="auto" w:fill="FFFFFF"/>
        </w:rPr>
        <w:t>管道</w:t>
      </w:r>
      <w:r>
        <w:rPr>
          <w:rFonts w:hint="eastAsia" w:ascii="Times New Roman" w:hAnsi="Times New Roman" w:cs="Times New Roman"/>
          <w:shd w:val="clear" w:color="auto" w:fill="FFFFFF"/>
        </w:rPr>
        <w:t>下</w:t>
      </w:r>
      <w:r>
        <w:rPr>
          <w:rFonts w:ascii="Times New Roman" w:hAnsi="Times New Roman" w:cs="Times New Roman"/>
          <w:shd w:val="clear" w:color="auto" w:fill="FFFFFF"/>
        </w:rPr>
        <w:t>左端为阀门入口，右端为弯管结构的盲端</w:t>
      </w:r>
      <w:r>
        <w:rPr>
          <w:rFonts w:hint="eastAsia" w:ascii="Times New Roman" w:hAnsi="Times New Roman" w:cs="Times New Roman"/>
          <w:shd w:val="clear" w:color="auto" w:fill="FFFFFF"/>
        </w:rPr>
        <w:t>（</w:t>
      </w:r>
      <w:bookmarkStart w:id="9" w:name="_Hlk211978610"/>
      <w:r>
        <w:rPr>
          <w:rFonts w:hint="eastAsia" w:ascii="Times New Roman" w:hAnsi="Times New Roman" w:cs="Times New Roman"/>
          <w:shd w:val="clear" w:color="auto" w:fill="FFFFFF"/>
        </w:rPr>
        <w:t>即</w:t>
      </w:r>
      <w:bookmarkEnd w:id="9"/>
      <w:r>
        <w:rPr>
          <w:rFonts w:hint="eastAsia" w:ascii="Times New Roman" w:hAnsi="Times New Roman" w:cs="Times New Roman"/>
          <w:shd w:val="clear" w:color="auto" w:fill="FFFFFF"/>
        </w:rPr>
        <w:t>图1中气体完全</w:t>
      </w:r>
      <w:r>
        <w:rPr>
          <w:rFonts w:ascii="Times New Roman" w:hAnsi="Times New Roman" w:cs="Times New Roman"/>
          <w:shd w:val="clear" w:color="auto" w:fill="FFFFFF"/>
        </w:rPr>
        <w:t>占据的末端区域</w:t>
      </w:r>
      <w:r>
        <w:rPr>
          <w:rFonts w:hint="eastAsia" w:ascii="Times New Roman" w:hAnsi="Times New Roman" w:cs="Times New Roman"/>
          <w:shd w:val="clear" w:color="auto" w:fill="FFFFFF"/>
        </w:rPr>
        <w:t>），</w:t>
      </w:r>
      <w:r>
        <w:rPr>
          <w:rFonts w:ascii="Times New Roman" w:hAnsi="Times New Roman" w:cs="Times New Roman"/>
          <w:shd w:val="clear" w:color="auto" w:fill="FFFFFF"/>
        </w:rPr>
        <w:t>盲端水平段长度</w:t>
      </w:r>
      <w:r>
        <w:rPr>
          <w:rFonts w:hint="eastAsia" w:ascii="Times New Roman" w:hAnsi="Times New Roman" w:cs="Times New Roman"/>
          <w:shd w:val="clear" w:color="auto" w:fill="FFFFFF"/>
        </w:rPr>
        <w:t>约为</w:t>
      </w:r>
      <w:r>
        <w:rPr>
          <w:rFonts w:ascii="Times New Roman" w:hAnsi="Times New Roman" w:cs="Times New Roman"/>
          <w:shd w:val="clear" w:color="auto" w:fill="FFFFFF"/>
        </w:rPr>
        <w:t>0.25 m</w:t>
      </w:r>
      <w:r>
        <w:rPr>
          <w:rFonts w:hint="eastAsia" w:ascii="Times New Roman" w:hAnsi="Times New Roman" w:cs="Times New Roman"/>
          <w:shd w:val="clear" w:color="auto" w:fill="FFFFFF"/>
        </w:rPr>
        <w:t>，体积约为</w:t>
      </w:r>
      <w:r>
        <w:rPr>
          <w:rFonts w:ascii="Times New Roman" w:hAnsi="Times New Roman" w:cs="Times New Roman"/>
          <w:shd w:val="clear" w:color="auto" w:fill="FFFFFF"/>
        </w:rPr>
        <w:t>0.00157</w:t>
      </w:r>
      <w:r>
        <w:rPr>
          <w:rFonts w:hint="eastAsia" w:ascii="Times New Roman" w:hAnsi="Times New Roman" w:cs="Times New Roman"/>
          <w:shd w:val="clear" w:color="auto" w:fill="FFFFFF"/>
        </w:rPr>
        <w:t>m³</w:t>
      </w:r>
      <w:r>
        <w:rPr>
          <w:rFonts w:ascii="Times New Roman" w:hAnsi="Times New Roman" w:cs="Times New Roman"/>
          <w:shd w:val="clear" w:color="auto" w:fill="FFFFFF"/>
        </w:rPr>
        <w:t>。</w:t>
      </w:r>
    </w:p>
    <w:p w14:paraId="4F261937">
      <w:pPr>
        <w:adjustRightInd w:val="0"/>
        <w:snapToGrid w:val="0"/>
        <w:spacing w:after="156" w:afterLines="50"/>
        <w:ind w:firstLine="420" w:firstLineChars="200"/>
        <w:rPr>
          <w:rFonts w:ascii="Times New Roman" w:hAnsi="Times New Roman" w:cs="Times New Roman"/>
        </w:rPr>
      </w:pPr>
      <w:r>
        <w:rPr>
          <w:rFonts w:ascii="Times New Roman" w:hAnsi="Times New Roman" w:cs="Times New Roman"/>
        </w:rPr>
        <w:t>在0时刻，管道盲端设置不同体积的滞留气团。为了便于定量分析，以初始气团垂向高度作为划分不同计算工况的依据。将管道盲端截面高度四等分，工况1</w:t>
      </w:r>
      <w:r>
        <w:rPr>
          <w:rFonts w:hint="eastAsia" w:ascii="Times New Roman" w:hAnsi="Times New Roman" w:cs="Times New Roman"/>
          <w:szCs w:val="21"/>
          <w:shd w:val="clear" w:color="auto" w:fill="FFFFFF"/>
        </w:rPr>
        <w:t>—</w:t>
      </w:r>
      <w:r>
        <w:rPr>
          <w:rFonts w:ascii="Times New Roman" w:hAnsi="Times New Roman" w:cs="Times New Roman"/>
        </w:rPr>
        <w:t>4中气团垂向高度分别为0</w:t>
      </w:r>
      <w:r>
        <w:rPr>
          <w:rFonts w:ascii="Times New Roman" w:hAnsi="Times New Roman" w:cs="Times New Roman"/>
          <w:shd w:val="clear" w:color="auto" w:fill="FFFFFF"/>
        </w:rPr>
        <w:t>.0225</w:t>
      </w:r>
      <w:r>
        <w:rPr>
          <w:rFonts w:ascii="Times New Roman" w:hAnsi="Times New Roman" w:cs="Times New Roman"/>
        </w:rPr>
        <w:t xml:space="preserve"> m</w:t>
      </w:r>
      <w:r>
        <w:rPr>
          <w:rFonts w:hint="eastAsia" w:ascii="Times New Roman" w:hAnsi="Times New Roman" w:cs="Times New Roman"/>
        </w:rPr>
        <w:t>、</w:t>
      </w:r>
      <w:r>
        <w:rPr>
          <w:rFonts w:ascii="Times New Roman" w:hAnsi="Times New Roman" w:cs="Times New Roman"/>
        </w:rPr>
        <w:t>0.045</w:t>
      </w:r>
      <w:r>
        <w:rPr>
          <w:rFonts w:hint="eastAsia" w:ascii="Times New Roman" w:hAnsi="Times New Roman" w:cs="Times New Roman"/>
        </w:rPr>
        <w:t>0</w:t>
      </w:r>
      <w:r>
        <w:rPr>
          <w:rFonts w:ascii="Times New Roman" w:hAnsi="Times New Roman" w:cs="Times New Roman"/>
        </w:rPr>
        <w:t xml:space="preserve"> m</w:t>
      </w:r>
      <w:r>
        <w:rPr>
          <w:rFonts w:hint="eastAsia" w:ascii="Times New Roman" w:hAnsi="Times New Roman" w:cs="Times New Roman"/>
        </w:rPr>
        <w:t>、</w:t>
      </w:r>
      <w:r>
        <w:rPr>
          <w:rFonts w:ascii="Times New Roman" w:hAnsi="Times New Roman" w:cs="Times New Roman"/>
        </w:rPr>
        <w:t>0.0675 m</w:t>
      </w:r>
      <w:r>
        <w:rPr>
          <w:rFonts w:hint="eastAsia" w:ascii="Times New Roman" w:hAnsi="Times New Roman" w:cs="Times New Roman"/>
        </w:rPr>
        <w:t>和</w:t>
      </w:r>
      <w:r>
        <w:rPr>
          <w:rFonts w:ascii="Times New Roman" w:hAnsi="Times New Roman" w:cs="Times New Roman"/>
        </w:rPr>
        <w:t>0.09</w:t>
      </w:r>
      <w:r>
        <w:rPr>
          <w:rFonts w:hint="eastAsia" w:ascii="Times New Roman" w:hAnsi="Times New Roman" w:cs="Times New Roman"/>
        </w:rPr>
        <w:t>00</w:t>
      </w:r>
      <w:r>
        <w:rPr>
          <w:rFonts w:ascii="Times New Roman" w:hAnsi="Times New Roman" w:cs="Times New Roman"/>
        </w:rPr>
        <w:t xml:space="preserve"> m</w:t>
      </w:r>
      <w:r>
        <w:rPr>
          <w:rFonts w:hint="eastAsia" w:ascii="Times New Roman" w:hAnsi="Times New Roman" w:cs="Times New Roman"/>
        </w:rPr>
        <w:t>，</w:t>
      </w:r>
      <w:r>
        <w:rPr>
          <w:rFonts w:ascii="Times New Roman" w:hAnsi="Times New Roman" w:cs="Times New Roman"/>
          <w:shd w:val="clear" w:color="auto" w:fill="FFFFFF"/>
        </w:rPr>
        <w:t>对应初始气团体积占盲端体积的 15.55%～</w:t>
      </w:r>
      <w:r>
        <w:rPr>
          <w:rFonts w:hint="eastAsia" w:ascii="Times New Roman" w:hAnsi="Times New Roman" w:cs="Times New Roman"/>
          <w:shd w:val="clear" w:color="auto" w:fill="FFFFFF"/>
        </w:rPr>
        <w:t>10</w:t>
      </w:r>
      <w:r>
        <w:rPr>
          <w:rFonts w:ascii="Times New Roman" w:hAnsi="Times New Roman" w:cs="Times New Roman"/>
          <w:shd w:val="clear" w:color="auto" w:fill="FFFFFF"/>
        </w:rPr>
        <w:t>0%。</w:t>
      </w:r>
      <w:r>
        <w:rPr>
          <w:rFonts w:ascii="Times New Roman" w:hAnsi="Times New Roman" w:cs="Times New Roman"/>
        </w:rPr>
        <w:t>除此以外，还设置了初始滞留气团体积超出管道盲端的情况，即工况5和工况6，其气团垂向高度分别为0.1125 m</w:t>
      </w:r>
      <w:r>
        <w:rPr>
          <w:rFonts w:hint="eastAsia" w:ascii="Times New Roman" w:hAnsi="Times New Roman" w:cs="Times New Roman"/>
        </w:rPr>
        <w:t>、</w:t>
      </w:r>
      <w:r>
        <w:rPr>
          <w:rFonts w:ascii="Times New Roman" w:hAnsi="Times New Roman" w:cs="Times New Roman"/>
        </w:rPr>
        <w:t>0.1350 m，对应初始气团体积占盲端体积的 1</w:t>
      </w:r>
      <w:r>
        <w:rPr>
          <w:rFonts w:hint="eastAsia" w:ascii="Times New Roman" w:hAnsi="Times New Roman" w:cs="Times New Roman"/>
        </w:rPr>
        <w:t>10.53</w:t>
      </w:r>
      <w:r>
        <w:rPr>
          <w:rFonts w:ascii="Times New Roman" w:hAnsi="Times New Roman" w:cs="Times New Roman"/>
        </w:rPr>
        <w:t>%</w:t>
      </w:r>
      <w:r>
        <w:rPr>
          <w:rFonts w:hint="eastAsia" w:ascii="Times New Roman" w:hAnsi="Times New Roman" w:cs="Times New Roman"/>
        </w:rPr>
        <w:t>、119.90</w:t>
      </w:r>
      <w:r>
        <w:rPr>
          <w:rFonts w:ascii="Times New Roman" w:hAnsi="Times New Roman" w:cs="Times New Roman"/>
        </w:rPr>
        <w:t>%。各计算工况0时刻管道盲端中心纵剖面示意图</w:t>
      </w:r>
      <w:r>
        <w:rPr>
          <w:rFonts w:hint="eastAsia" w:ascii="Times New Roman" w:hAnsi="Times New Roman" w:cs="Times New Roman"/>
        </w:rPr>
        <w:t>如图</w:t>
      </w:r>
      <w:r>
        <w:rPr>
          <w:rFonts w:ascii="Times New Roman" w:hAnsi="Times New Roman" w:cs="Times New Roman"/>
        </w:rPr>
        <w:t>2</w:t>
      </w:r>
      <w:r>
        <w:rPr>
          <w:rFonts w:hint="eastAsia" w:ascii="Times New Roman" w:hAnsi="Times New Roman" w:cs="Times New Roman"/>
        </w:rPr>
        <w:t>所示</w:t>
      </w:r>
      <w:r>
        <w:rPr>
          <w:rFonts w:ascii="Times New Roman" w:hAnsi="Times New Roman" w:cs="Times New Roman"/>
        </w:rPr>
        <w:t>。各工况的气团初始参数如表1所</w:t>
      </w:r>
      <w:r>
        <w:rPr>
          <w:rFonts w:hint="eastAsia" w:ascii="Times New Roman" w:hAnsi="Times New Roman" w:cs="Times New Roman"/>
        </w:rPr>
        <w:t>列</w:t>
      </w:r>
      <w:r>
        <w:rPr>
          <w:rFonts w:ascii="Times New Roman" w:hAnsi="Times New Roman" w:cs="Times New Roman"/>
        </w:rPr>
        <w:t>，其中，</w:t>
      </w:r>
      <w:r>
        <w:rPr>
          <w:rFonts w:ascii="Times New Roman" w:hAnsi="Times New Roman" w:cs="Times New Roman"/>
          <w:szCs w:val="21"/>
        </w:rPr>
        <w:t>工况</w:t>
      </w:r>
      <w:r>
        <w:rPr>
          <w:rFonts w:ascii="Times New Roman" w:hAnsi="Times New Roman" w:cs="Times New Roman"/>
          <w:szCs w:val="21"/>
          <w:shd w:val="clear" w:color="auto" w:fill="FFFFFF"/>
        </w:rPr>
        <w:t>4（</w:t>
      </w:r>
      <w:r>
        <w:rPr>
          <w:rFonts w:hint="eastAsia" w:ascii="Times New Roman" w:hAnsi="Times New Roman" w:cs="Times New Roman"/>
          <w:szCs w:val="21"/>
          <w:shd w:val="clear" w:color="auto" w:fill="FFFFFF"/>
        </w:rPr>
        <w:t>即</w:t>
      </w:r>
      <w:r>
        <w:rPr>
          <w:rFonts w:ascii="Times New Roman" w:hAnsi="Times New Roman" w:cs="Times New Roman"/>
          <w:szCs w:val="21"/>
          <w:shd w:val="clear" w:color="auto" w:fill="FFFFFF"/>
        </w:rPr>
        <w:t>滞留气团完全占据管道盲端）</w:t>
      </w:r>
      <w:r>
        <w:rPr>
          <w:rFonts w:ascii="Times New Roman" w:hAnsi="Times New Roman" w:cs="Times New Roman"/>
          <w:szCs w:val="21"/>
        </w:rPr>
        <w:t>与ZHOU物理模型试验条件一致</w:t>
      </w:r>
      <w:r>
        <w:rPr>
          <w:rFonts w:ascii="Times New Roman" w:hAnsi="Times New Roman" w:cs="Times New Roman"/>
        </w:rPr>
        <w:t>。</w:t>
      </w:r>
    </w:p>
    <w:bookmarkEnd w:id="8"/>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2"/>
        <w:gridCol w:w="1536"/>
        <w:gridCol w:w="1516"/>
        <w:gridCol w:w="1544"/>
      </w:tblGrid>
      <w:tr w14:paraId="12151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27" w:type="pct"/>
            <w:vMerge w:val="restart"/>
            <w:vAlign w:val="center"/>
          </w:tcPr>
          <w:p w14:paraId="03A2313F">
            <w:pPr>
              <w:adjustRightInd w:val="0"/>
              <w:jc w:val="center"/>
              <w:rPr>
                <w:rFonts w:ascii="Times New Roman" w:hAnsi="Times New Roman" w:cs="Times New Roman"/>
                <w:sz w:val="18"/>
                <w:szCs w:val="18"/>
              </w:rPr>
            </w:pPr>
            <w:bookmarkStart w:id="10" w:name="_Hlk211978876"/>
            <w:r>
              <w:rPr>
                <w:rFonts w:ascii="Times New Roman" w:hAnsi="Times New Roman" w:cs="Times New Roman"/>
                <w:sz w:val="18"/>
                <w:szCs w:val="18"/>
                <w14:ligatures w14:val="none"/>
              </w:rPr>
              <w:drawing>
                <wp:inline distT="0" distB="0" distL="0" distR="0">
                  <wp:extent cx="2197735" cy="2361565"/>
                  <wp:effectExtent l="0" t="0" r="0" b="0"/>
                  <wp:docPr id="174777071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70712" name="图形 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198166" cy="2361600"/>
                          </a:xfrm>
                          <a:prstGeom prst="rect">
                            <a:avLst/>
                          </a:prstGeom>
                        </pic:spPr>
                      </pic:pic>
                    </a:graphicData>
                  </a:graphic>
                </wp:inline>
              </w:drawing>
            </w:r>
          </w:p>
        </w:tc>
        <w:tc>
          <w:tcPr>
            <w:tcW w:w="941" w:type="pct"/>
            <w:vAlign w:val="center"/>
          </w:tcPr>
          <w:p w14:paraId="0047DE56">
            <w:pPr>
              <w:adjustRightInd w:val="0"/>
              <w:spacing w:before="156" w:beforeLines="50"/>
              <w:jc w:val="center"/>
              <w:rPr>
                <w:rFonts w:ascii="Times New Roman" w:hAnsi="Times New Roman" w:cs="Times New Roman"/>
                <w:sz w:val="18"/>
                <w:szCs w:val="18"/>
              </w:rPr>
            </w:pPr>
            <w:r>
              <w:rPr>
                <w:rFonts w:ascii="Times New Roman" w:hAnsi="Times New Roman" w:cs="Times New Roman"/>
                <w:sz w:val="18"/>
                <w:szCs w:val="18"/>
                <w14:ligatures w14:val="none"/>
              </w:rPr>
              <w:drawing>
                <wp:inline distT="0" distB="0" distL="0" distR="0">
                  <wp:extent cx="836930" cy="697230"/>
                  <wp:effectExtent l="0" t="0" r="1270" b="7620"/>
                  <wp:docPr id="1455015765"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15765" name="图形 3"/>
                          <pic:cNvPicPr>
                            <a:picLocks noChangeAspect="1"/>
                          </pic:cNvPicPr>
                        </pic:nvPicPr>
                        <pic:blipFill>
                          <a:blip r:embed="rId38">
                            <a:extLst>
                              <a:ext uri="{96DAC541-7B7A-43D3-8B79-37D633B846F1}">
                                <asvg:svgBlip xmlns:asvg="http://schemas.microsoft.com/office/drawing/2016/SVG/main" r:embed="rId39"/>
                              </a:ext>
                            </a:extLst>
                          </a:blip>
                          <a:srcRect b="3024"/>
                          <a:stretch>
                            <a:fillRect/>
                          </a:stretch>
                        </pic:blipFill>
                        <pic:spPr>
                          <a:xfrm>
                            <a:off x="0" y="0"/>
                            <a:ext cx="837966" cy="698221"/>
                          </a:xfrm>
                          <a:prstGeom prst="rect">
                            <a:avLst/>
                          </a:prstGeom>
                        </pic:spPr>
                      </pic:pic>
                    </a:graphicData>
                  </a:graphic>
                </wp:inline>
              </w:drawing>
            </w:r>
          </w:p>
        </w:tc>
        <w:tc>
          <w:tcPr>
            <w:tcW w:w="816" w:type="pct"/>
            <w:vAlign w:val="center"/>
          </w:tcPr>
          <w:p w14:paraId="60292F4E">
            <w:pPr>
              <w:adjustRightInd w:val="0"/>
              <w:spacing w:before="156" w:beforeLines="50"/>
              <w:jc w:val="center"/>
              <w:rPr>
                <w:rFonts w:ascii="Times New Roman" w:hAnsi="Times New Roman" w:cs="Times New Roman"/>
                <w:sz w:val="18"/>
                <w:szCs w:val="18"/>
              </w:rPr>
            </w:pPr>
            <w:r>
              <w:rPr>
                <w:rFonts w:ascii="Times New Roman" w:hAnsi="Times New Roman" w:cs="Times New Roman"/>
                <w:sz w:val="18"/>
                <w:szCs w:val="18"/>
                <w14:ligatures w14:val="none"/>
              </w:rPr>
              <w:drawing>
                <wp:inline distT="0" distB="0" distL="0" distR="0">
                  <wp:extent cx="825500" cy="719455"/>
                  <wp:effectExtent l="0" t="0" r="0" b="4445"/>
                  <wp:docPr id="1477015670"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5670" name="图形 2"/>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825763" cy="720000"/>
                          </a:xfrm>
                          <a:prstGeom prst="rect">
                            <a:avLst/>
                          </a:prstGeom>
                        </pic:spPr>
                      </pic:pic>
                    </a:graphicData>
                  </a:graphic>
                </wp:inline>
              </w:drawing>
            </w:r>
          </w:p>
        </w:tc>
        <w:tc>
          <w:tcPr>
            <w:tcW w:w="816" w:type="pct"/>
            <w:vAlign w:val="center"/>
          </w:tcPr>
          <w:p w14:paraId="2708A7AB">
            <w:pPr>
              <w:adjustRightInd w:val="0"/>
              <w:spacing w:before="156" w:beforeLines="50"/>
              <w:jc w:val="center"/>
              <w:rPr>
                <w:rFonts w:ascii="Times New Roman" w:hAnsi="Times New Roman" w:cs="Times New Roman"/>
                <w:sz w:val="18"/>
                <w:szCs w:val="18"/>
              </w:rPr>
            </w:pPr>
            <w:r>
              <w:rPr>
                <w:rFonts w:ascii="Times New Roman" w:hAnsi="Times New Roman" w:cs="Times New Roman"/>
                <w:sz w:val="18"/>
                <w:szCs w:val="18"/>
                <w14:ligatures w14:val="none"/>
              </w:rPr>
              <w:drawing>
                <wp:inline distT="0" distB="0" distL="0" distR="0">
                  <wp:extent cx="842645" cy="719455"/>
                  <wp:effectExtent l="0" t="0" r="0" b="4445"/>
                  <wp:docPr id="492274390"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4390" name="图形 4"/>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842730" cy="720000"/>
                          </a:xfrm>
                          <a:prstGeom prst="rect">
                            <a:avLst/>
                          </a:prstGeom>
                        </pic:spPr>
                      </pic:pic>
                    </a:graphicData>
                  </a:graphic>
                </wp:inline>
              </w:drawing>
            </w:r>
          </w:p>
        </w:tc>
      </w:tr>
      <w:tr w14:paraId="1BCE1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27" w:type="pct"/>
            <w:vMerge w:val="continue"/>
            <w:vAlign w:val="center"/>
          </w:tcPr>
          <w:p w14:paraId="4DDEFE11">
            <w:pPr>
              <w:adjustRightInd w:val="0"/>
              <w:jc w:val="center"/>
              <w:rPr>
                <w:rFonts w:ascii="Times New Roman" w:hAnsi="Times New Roman" w:cs="Times New Roman"/>
                <w:sz w:val="18"/>
                <w:szCs w:val="18"/>
                <w14:ligatures w14:val="none"/>
              </w:rPr>
            </w:pPr>
            <w:bookmarkStart w:id="11" w:name="_Hlk201697253"/>
          </w:p>
        </w:tc>
        <w:tc>
          <w:tcPr>
            <w:tcW w:w="941" w:type="pct"/>
            <w:vAlign w:val="center"/>
          </w:tcPr>
          <w:p w14:paraId="7EC5BCDF">
            <w:pPr>
              <w:adjustRightInd w:val="0"/>
              <w:jc w:val="center"/>
              <w:rPr>
                <w:rFonts w:ascii="Times New Roman" w:hAnsi="Times New Roman" w:cs="Times New Roman"/>
                <w:sz w:val="15"/>
                <w:szCs w:val="15"/>
              </w:rPr>
            </w:pPr>
            <w:r>
              <w:rPr>
                <w:rFonts w:ascii="Times New Roman" w:hAnsi="Times New Roman" w:cs="Times New Roman"/>
                <w:sz w:val="15"/>
                <w:szCs w:val="15"/>
              </w:rPr>
              <w:t>(a)工况1</w:t>
            </w:r>
          </w:p>
        </w:tc>
        <w:tc>
          <w:tcPr>
            <w:tcW w:w="816" w:type="pct"/>
            <w:vAlign w:val="center"/>
          </w:tcPr>
          <w:p w14:paraId="02EBAA08">
            <w:pPr>
              <w:adjustRightInd w:val="0"/>
              <w:jc w:val="center"/>
              <w:rPr>
                <w:rFonts w:ascii="Times New Roman" w:hAnsi="Times New Roman" w:cs="Times New Roman"/>
                <w:sz w:val="15"/>
                <w:szCs w:val="15"/>
              </w:rPr>
            </w:pPr>
            <w:r>
              <w:rPr>
                <w:rFonts w:ascii="Times New Roman" w:hAnsi="Times New Roman" w:cs="Times New Roman"/>
                <w:sz w:val="15"/>
                <w:szCs w:val="15"/>
              </w:rPr>
              <w:t>(b)工况2</w:t>
            </w:r>
          </w:p>
        </w:tc>
        <w:tc>
          <w:tcPr>
            <w:tcW w:w="816" w:type="pct"/>
            <w:vAlign w:val="center"/>
          </w:tcPr>
          <w:p w14:paraId="25E6A17E">
            <w:pPr>
              <w:adjustRightInd w:val="0"/>
              <w:jc w:val="center"/>
              <w:rPr>
                <w:rFonts w:ascii="Times New Roman" w:hAnsi="Times New Roman" w:cs="Times New Roman"/>
                <w:sz w:val="15"/>
                <w:szCs w:val="15"/>
              </w:rPr>
            </w:pPr>
            <w:r>
              <w:rPr>
                <w:rFonts w:ascii="Times New Roman" w:hAnsi="Times New Roman" w:cs="Times New Roman"/>
                <w:sz w:val="15"/>
                <w:szCs w:val="15"/>
              </w:rPr>
              <w:t>(c)工况3</w:t>
            </w:r>
          </w:p>
        </w:tc>
      </w:tr>
      <w:bookmarkEnd w:id="11"/>
      <w:tr w14:paraId="1286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27" w:type="pct"/>
            <w:vMerge w:val="continue"/>
            <w:vAlign w:val="center"/>
          </w:tcPr>
          <w:p w14:paraId="4C0F24E1">
            <w:pPr>
              <w:adjustRightInd w:val="0"/>
              <w:jc w:val="center"/>
              <w:rPr>
                <w:rFonts w:ascii="Times New Roman" w:hAnsi="Times New Roman" w:cs="Times New Roman"/>
                <w:sz w:val="18"/>
                <w:szCs w:val="18"/>
                <w14:ligatures w14:val="none"/>
              </w:rPr>
            </w:pPr>
          </w:p>
        </w:tc>
        <w:tc>
          <w:tcPr>
            <w:tcW w:w="941" w:type="pct"/>
            <w:vAlign w:val="center"/>
          </w:tcPr>
          <w:p w14:paraId="7C06BB27">
            <w:pPr>
              <w:adjustRightInd w:val="0"/>
              <w:jc w:val="center"/>
              <w:rPr>
                <w:rFonts w:ascii="Times New Roman" w:hAnsi="Times New Roman" w:cs="Times New Roman"/>
                <w:sz w:val="15"/>
                <w:szCs w:val="15"/>
              </w:rPr>
            </w:pPr>
            <w:r>
              <w:rPr>
                <w:rFonts w:ascii="Times New Roman" w:hAnsi="Times New Roman" w:cs="Times New Roman"/>
                <w:sz w:val="15"/>
                <w:szCs w:val="15"/>
                <w14:ligatures w14:val="none"/>
              </w:rPr>
              <w:drawing>
                <wp:inline distT="0" distB="0" distL="0" distR="0">
                  <wp:extent cx="829310" cy="692150"/>
                  <wp:effectExtent l="0" t="0" r="8890" b="0"/>
                  <wp:docPr id="5647799"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799" name="图形 5"/>
                          <pic:cNvPicPr>
                            <a:picLocks noChangeAspect="1"/>
                          </pic:cNvPicPr>
                        </pic:nvPicPr>
                        <pic:blipFill>
                          <a:blip r:embed="rId44">
                            <a:extLst>
                              <a:ext uri="{96DAC541-7B7A-43D3-8B79-37D633B846F1}">
                                <asvg:svgBlip xmlns:asvg="http://schemas.microsoft.com/office/drawing/2016/SVG/main" r:embed="rId45"/>
                              </a:ext>
                            </a:extLst>
                          </a:blip>
                          <a:srcRect b="3759"/>
                          <a:stretch>
                            <a:fillRect/>
                          </a:stretch>
                        </pic:blipFill>
                        <pic:spPr>
                          <a:xfrm>
                            <a:off x="0" y="0"/>
                            <a:ext cx="830455" cy="692932"/>
                          </a:xfrm>
                          <a:prstGeom prst="rect">
                            <a:avLst/>
                          </a:prstGeom>
                        </pic:spPr>
                      </pic:pic>
                    </a:graphicData>
                  </a:graphic>
                </wp:inline>
              </w:drawing>
            </w:r>
          </w:p>
        </w:tc>
        <w:tc>
          <w:tcPr>
            <w:tcW w:w="816" w:type="pct"/>
            <w:vAlign w:val="center"/>
          </w:tcPr>
          <w:p w14:paraId="2946CB31">
            <w:pPr>
              <w:adjustRightInd w:val="0"/>
              <w:jc w:val="center"/>
              <w:rPr>
                <w:rFonts w:ascii="Times New Roman" w:hAnsi="Times New Roman" w:cs="Times New Roman"/>
                <w:sz w:val="15"/>
                <w:szCs w:val="15"/>
              </w:rPr>
            </w:pPr>
            <w:r>
              <w:rPr>
                <w:rFonts w:ascii="Times New Roman" w:hAnsi="Times New Roman" w:cs="Times New Roman"/>
                <w:sz w:val="15"/>
                <w:szCs w:val="15"/>
                <w14:ligatures w14:val="none"/>
              </w:rPr>
              <w:drawing>
                <wp:inline distT="0" distB="0" distL="0" distR="0">
                  <wp:extent cx="786765" cy="699770"/>
                  <wp:effectExtent l="0" t="0" r="0" b="5080"/>
                  <wp:docPr id="762415139"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15139" name="图形 6"/>
                          <pic:cNvPicPr>
                            <a:picLocks noChangeAspect="1"/>
                          </pic:cNvPicPr>
                        </pic:nvPicPr>
                        <pic:blipFill>
                          <a:blip r:embed="rId46">
                            <a:extLst>
                              <a:ext uri="{96DAC541-7B7A-43D3-8B79-37D633B846F1}">
                                <asvg:svgBlip xmlns:asvg="http://schemas.microsoft.com/office/drawing/2016/SVG/main" r:embed="rId47"/>
                              </a:ext>
                            </a:extLst>
                          </a:blip>
                          <a:srcRect r="2650" b="2657"/>
                          <a:stretch>
                            <a:fillRect/>
                          </a:stretch>
                        </pic:blipFill>
                        <pic:spPr>
                          <a:xfrm>
                            <a:off x="0" y="0"/>
                            <a:ext cx="788535" cy="700866"/>
                          </a:xfrm>
                          <a:prstGeom prst="rect">
                            <a:avLst/>
                          </a:prstGeom>
                        </pic:spPr>
                      </pic:pic>
                    </a:graphicData>
                  </a:graphic>
                </wp:inline>
              </w:drawing>
            </w:r>
          </w:p>
        </w:tc>
        <w:tc>
          <w:tcPr>
            <w:tcW w:w="816" w:type="pct"/>
            <w:vAlign w:val="center"/>
          </w:tcPr>
          <w:p w14:paraId="1BEDF2BE">
            <w:pPr>
              <w:adjustRightInd w:val="0"/>
              <w:jc w:val="center"/>
              <w:rPr>
                <w:rFonts w:ascii="Times New Roman" w:hAnsi="Times New Roman" w:cs="Times New Roman"/>
                <w:sz w:val="15"/>
                <w:szCs w:val="15"/>
              </w:rPr>
            </w:pPr>
            <w:r>
              <w:rPr>
                <w:rFonts w:ascii="Times New Roman" w:hAnsi="Times New Roman" w:cs="Times New Roman"/>
                <w:sz w:val="15"/>
                <w:szCs w:val="15"/>
                <w14:ligatures w14:val="none"/>
              </w:rPr>
              <w:drawing>
                <wp:inline distT="0" distB="0" distL="0" distR="0">
                  <wp:extent cx="756285" cy="719455"/>
                  <wp:effectExtent l="0" t="0" r="5715" b="4445"/>
                  <wp:docPr id="496398018"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8018" name="图形 7"/>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756818" cy="720000"/>
                          </a:xfrm>
                          <a:prstGeom prst="rect">
                            <a:avLst/>
                          </a:prstGeom>
                        </pic:spPr>
                      </pic:pic>
                    </a:graphicData>
                  </a:graphic>
                </wp:inline>
              </w:drawing>
            </w:r>
          </w:p>
        </w:tc>
      </w:tr>
      <w:tr w14:paraId="650DC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27" w:type="pct"/>
            <w:vMerge w:val="continue"/>
            <w:vAlign w:val="center"/>
          </w:tcPr>
          <w:p w14:paraId="3C5F2694">
            <w:pPr>
              <w:adjustRightInd w:val="0"/>
              <w:jc w:val="center"/>
              <w:rPr>
                <w:rFonts w:ascii="Times New Roman" w:hAnsi="Times New Roman" w:cs="Times New Roman"/>
                <w:sz w:val="18"/>
                <w:szCs w:val="18"/>
                <w14:ligatures w14:val="none"/>
              </w:rPr>
            </w:pPr>
          </w:p>
        </w:tc>
        <w:tc>
          <w:tcPr>
            <w:tcW w:w="941" w:type="pct"/>
            <w:vAlign w:val="center"/>
          </w:tcPr>
          <w:p w14:paraId="2957D47C">
            <w:pPr>
              <w:adjustRightInd w:val="0"/>
              <w:jc w:val="center"/>
              <w:rPr>
                <w:rFonts w:ascii="Times New Roman" w:hAnsi="Times New Roman" w:cs="Times New Roman"/>
                <w:sz w:val="15"/>
                <w:szCs w:val="15"/>
              </w:rPr>
            </w:pPr>
            <w:r>
              <w:rPr>
                <w:rFonts w:ascii="Times New Roman" w:hAnsi="Times New Roman" w:cs="Times New Roman"/>
                <w:sz w:val="15"/>
                <w:szCs w:val="15"/>
              </w:rPr>
              <w:t>(d)工况4</w:t>
            </w:r>
          </w:p>
        </w:tc>
        <w:tc>
          <w:tcPr>
            <w:tcW w:w="816" w:type="pct"/>
            <w:vAlign w:val="center"/>
          </w:tcPr>
          <w:p w14:paraId="297F4EEC">
            <w:pPr>
              <w:adjustRightInd w:val="0"/>
              <w:jc w:val="center"/>
              <w:rPr>
                <w:rFonts w:ascii="Times New Roman" w:hAnsi="Times New Roman" w:cs="Times New Roman"/>
                <w:sz w:val="15"/>
                <w:szCs w:val="15"/>
              </w:rPr>
            </w:pPr>
            <w:r>
              <w:rPr>
                <w:rFonts w:ascii="Times New Roman" w:hAnsi="Times New Roman" w:cs="Times New Roman"/>
                <w:sz w:val="15"/>
                <w:szCs w:val="15"/>
              </w:rPr>
              <w:t>(e)工况5</w:t>
            </w:r>
          </w:p>
        </w:tc>
        <w:tc>
          <w:tcPr>
            <w:tcW w:w="816" w:type="pct"/>
            <w:vAlign w:val="center"/>
          </w:tcPr>
          <w:p w14:paraId="14037E37">
            <w:pPr>
              <w:adjustRightInd w:val="0"/>
              <w:jc w:val="center"/>
              <w:rPr>
                <w:rFonts w:ascii="Times New Roman" w:hAnsi="Times New Roman" w:cs="Times New Roman"/>
                <w:sz w:val="15"/>
                <w:szCs w:val="15"/>
              </w:rPr>
            </w:pPr>
            <w:r>
              <w:rPr>
                <w:rFonts w:ascii="Times New Roman" w:hAnsi="Times New Roman" w:cs="Times New Roman"/>
                <w:sz w:val="15"/>
                <w:szCs w:val="15"/>
              </w:rPr>
              <w:t>(f)工况6</w:t>
            </w:r>
          </w:p>
        </w:tc>
      </w:tr>
      <w:tr w14:paraId="24FA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2427" w:type="pct"/>
            <w:vAlign w:val="center"/>
          </w:tcPr>
          <w:p w14:paraId="5D6E70B4">
            <w:pPr>
              <w:adjustRightInd w:val="0"/>
              <w:snapToGrid w:val="0"/>
              <w:spacing w:after="120"/>
              <w:jc w:val="center"/>
              <w:rPr>
                <w:rFonts w:ascii="Times New Roman" w:hAnsi="Times New Roman" w:eastAsia="黑体" w:cs="Times New Roman"/>
                <w:sz w:val="18"/>
                <w:szCs w:val="18"/>
                <w:shd w:val="clear" w:color="auto" w:fill="FFFFFF"/>
              </w:rPr>
            </w:pPr>
            <w:r>
              <w:rPr>
                <w:rFonts w:ascii="Times New Roman" w:hAnsi="Times New Roman" w:eastAsia="黑体" w:cs="Times New Roman"/>
                <w:sz w:val="18"/>
                <w:szCs w:val="18"/>
                <w:shd w:val="clear" w:color="auto" w:fill="FFFFFF"/>
              </w:rPr>
              <w:t>图1  研究对象（单位：m）</w:t>
            </w:r>
          </w:p>
          <w:p w14:paraId="70E69DE7">
            <w:pPr>
              <w:pStyle w:val="3"/>
              <w:adjustRightInd w:val="0"/>
              <w:snapToGrid w:val="0"/>
              <w:spacing w:before="0" w:after="120"/>
              <w:jc w:val="center"/>
              <w:rPr>
                <w:rFonts w:ascii="Times New Roman" w:hAnsi="Times New Roman" w:cs="Times New Roman"/>
                <w:color w:val="auto"/>
                <w:sz w:val="18"/>
                <w:szCs w:val="18"/>
              </w:rPr>
            </w:pPr>
            <w:r>
              <w:rPr>
                <w:rFonts w:ascii="Times New Roman" w:hAnsi="Times New Roman" w:eastAsia="黑体" w:cs="Times New Roman"/>
                <w:color w:val="auto"/>
                <w:sz w:val="18"/>
                <w:szCs w:val="18"/>
              </w:rPr>
              <w:t xml:space="preserve">Fig.1  </w:t>
            </w:r>
            <w:r>
              <w:rPr>
                <w:rFonts w:hint="eastAsia" w:ascii="Times New Roman" w:hAnsi="Times New Roman" w:eastAsia="黑体"/>
                <w:color w:val="auto"/>
                <w:sz w:val="18"/>
                <w:szCs w:val="18"/>
              </w:rPr>
              <w:t>Research object</w:t>
            </w:r>
            <w:r>
              <w:rPr>
                <w:rFonts w:ascii="Times New Roman" w:hAnsi="Times New Roman" w:eastAsia="黑体" w:cs="Times New Roman"/>
                <w:color w:val="auto"/>
                <w:sz w:val="18"/>
                <w:szCs w:val="18"/>
              </w:rPr>
              <w:t xml:space="preserve"> (</w:t>
            </w:r>
            <w:r>
              <w:rPr>
                <w:rFonts w:hint="eastAsia" w:ascii="Times New Roman" w:hAnsi="Times New Roman" w:eastAsia="黑体" w:cs="Times New Roman"/>
                <w:color w:val="auto"/>
                <w:sz w:val="18"/>
                <w:szCs w:val="18"/>
              </w:rPr>
              <w:t>U</w:t>
            </w:r>
            <w:r>
              <w:rPr>
                <w:rFonts w:ascii="Times New Roman" w:hAnsi="Times New Roman" w:eastAsia="黑体" w:cs="Times New Roman"/>
                <w:color w:val="auto"/>
                <w:sz w:val="18"/>
                <w:szCs w:val="18"/>
              </w:rPr>
              <w:t>nit: m)</w:t>
            </w:r>
          </w:p>
        </w:tc>
        <w:tc>
          <w:tcPr>
            <w:tcW w:w="2573" w:type="pct"/>
            <w:gridSpan w:val="3"/>
            <w:vAlign w:val="center"/>
          </w:tcPr>
          <w:p w14:paraId="5A449210">
            <w:pPr>
              <w:pStyle w:val="3"/>
              <w:adjustRightInd w:val="0"/>
              <w:snapToGrid w:val="0"/>
              <w:spacing w:before="0" w:after="120"/>
              <w:jc w:val="center"/>
              <w:rPr>
                <w:rFonts w:ascii="Times New Roman" w:hAnsi="Times New Roman" w:eastAsia="黑体" w:cs="Times New Roman"/>
                <w:color w:val="auto"/>
                <w:sz w:val="18"/>
                <w:szCs w:val="18"/>
              </w:rPr>
            </w:pPr>
            <w:r>
              <w:rPr>
                <w:rFonts w:ascii="Times New Roman" w:hAnsi="Times New Roman" w:eastAsia="黑体" w:cs="Times New Roman"/>
                <w:color w:val="auto"/>
                <w:sz w:val="18"/>
                <w:szCs w:val="18"/>
              </w:rPr>
              <w:t xml:space="preserve">图2  </w:t>
            </w:r>
            <w:r>
              <w:rPr>
                <w:rFonts w:ascii="Times New Roman" w:hAnsi="Times New Roman" w:eastAsia="黑体" w:cs="Times New Roman"/>
                <w:color w:val="auto"/>
                <w:sz w:val="18"/>
                <w:szCs w:val="18"/>
                <w:shd w:val="clear" w:color="auto" w:fill="FFFFFF"/>
              </w:rPr>
              <w:t>不同工况0时刻管道盲端中心剖面示意</w:t>
            </w:r>
          </w:p>
          <w:p w14:paraId="13A4666D">
            <w:pPr>
              <w:pStyle w:val="3"/>
              <w:adjustRightInd w:val="0"/>
              <w:snapToGrid w:val="0"/>
              <w:spacing w:before="0" w:after="120"/>
              <w:jc w:val="center"/>
              <w:rPr>
                <w:rFonts w:ascii="Times New Roman" w:hAnsi="Times New Roman" w:eastAsia="黑体" w:cs="Times New Roman"/>
                <w:color w:val="auto"/>
                <w:sz w:val="18"/>
                <w:szCs w:val="18"/>
              </w:rPr>
            </w:pPr>
            <w:r>
              <w:rPr>
                <w:rFonts w:ascii="Times New Roman" w:hAnsi="Times New Roman" w:eastAsia="黑体" w:cs="Times New Roman"/>
                <w:color w:val="auto"/>
                <w:sz w:val="18"/>
                <w:szCs w:val="18"/>
              </w:rPr>
              <w:t xml:space="preserve">Fig.2  </w:t>
            </w:r>
            <w:r>
              <w:rPr>
                <w:rFonts w:hint="eastAsia" w:ascii="Times New Roman" w:hAnsi="Times New Roman" w:eastAsia="黑体" w:cs="Times New Roman"/>
                <w:color w:val="auto"/>
                <w:sz w:val="18"/>
                <w:szCs w:val="18"/>
              </w:rPr>
              <w:t>C</w:t>
            </w:r>
            <w:r>
              <w:rPr>
                <w:rFonts w:ascii="Times New Roman" w:hAnsi="Times New Roman" w:eastAsia="黑体" w:cs="Times New Roman"/>
                <w:color w:val="auto"/>
                <w:sz w:val="18"/>
                <w:szCs w:val="18"/>
              </w:rPr>
              <w:t xml:space="preserve">entral </w:t>
            </w:r>
            <w:r>
              <w:rPr>
                <w:rFonts w:hint="eastAsia" w:ascii="Times New Roman" w:hAnsi="Times New Roman" w:eastAsia="黑体" w:cs="Times New Roman"/>
                <w:color w:val="auto"/>
                <w:sz w:val="18"/>
                <w:szCs w:val="18"/>
                <w:lang w:val="en-US" w:eastAsia="zh-CN"/>
              </w:rPr>
              <w:t>cross-</w:t>
            </w:r>
            <w:r>
              <w:rPr>
                <w:rFonts w:ascii="Times New Roman" w:hAnsi="Times New Roman" w:eastAsia="黑体" w:cs="Times New Roman"/>
                <w:color w:val="auto"/>
                <w:sz w:val="18"/>
                <w:szCs w:val="18"/>
              </w:rPr>
              <w:t>section</w:t>
            </w:r>
            <w:r>
              <w:rPr>
                <w:rFonts w:hint="eastAsia" w:ascii="Times New Roman" w:hAnsi="Times New Roman" w:eastAsia="黑体" w:cs="Times New Roman"/>
                <w:color w:val="auto"/>
                <w:sz w:val="18"/>
                <w:szCs w:val="18"/>
                <w:lang w:val="en-US" w:eastAsia="zh-CN"/>
              </w:rPr>
              <w:t>s</w:t>
            </w:r>
            <w:r>
              <w:rPr>
                <w:rFonts w:ascii="Times New Roman" w:hAnsi="Times New Roman" w:eastAsia="黑体" w:cs="Times New Roman"/>
                <w:color w:val="auto"/>
                <w:sz w:val="18"/>
                <w:szCs w:val="18"/>
              </w:rPr>
              <w:t xml:space="preserve"> at</w:t>
            </w:r>
            <w:r>
              <w:rPr>
                <w:rFonts w:hint="eastAsia" w:ascii="Times New Roman" w:hAnsi="Times New Roman" w:eastAsia="黑体" w:cs="Times New Roman"/>
                <w:color w:val="auto"/>
                <w:sz w:val="18"/>
                <w:szCs w:val="18"/>
                <w:lang w:val="en-US" w:eastAsia="zh-CN"/>
              </w:rPr>
              <w:t xml:space="preserve"> </w:t>
            </w:r>
            <w:r>
              <w:rPr>
                <w:rFonts w:ascii="Times New Roman" w:hAnsi="Times New Roman" w:eastAsia="黑体" w:cs="Times New Roman"/>
                <w:color w:val="auto"/>
                <w:sz w:val="18"/>
                <w:szCs w:val="18"/>
              </w:rPr>
              <w:t>pipeline</w:t>
            </w:r>
            <w:r>
              <w:rPr>
                <w:rFonts w:hint="eastAsia" w:ascii="Times New Roman" w:hAnsi="Times New Roman" w:eastAsia="黑体" w:cs="Times New Roman"/>
                <w:color w:val="auto"/>
                <w:sz w:val="18"/>
                <w:szCs w:val="18"/>
              </w:rPr>
              <w:t xml:space="preserve"> </w:t>
            </w:r>
            <w:r>
              <w:rPr>
                <w:rFonts w:ascii="Times New Roman" w:hAnsi="Times New Roman" w:eastAsia="黑体" w:cs="Times New Roman"/>
                <w:color w:val="auto"/>
                <w:sz w:val="18"/>
                <w:szCs w:val="18"/>
              </w:rPr>
              <w:t xml:space="preserve">blind end </w:t>
            </w:r>
            <w:r>
              <w:rPr>
                <w:rFonts w:hint="eastAsia" w:ascii="Times New Roman" w:hAnsi="Times New Roman" w:eastAsia="黑体" w:cs="Times New Roman"/>
                <w:color w:val="auto"/>
                <w:sz w:val="18"/>
                <w:szCs w:val="18"/>
              </w:rPr>
              <w:t xml:space="preserve">at </w:t>
            </w:r>
            <w:r>
              <w:rPr>
                <w:rFonts w:hint="eastAsia" w:ascii="Times New Roman" w:hAnsi="Times New Roman" w:eastAsia="黑体" w:cs="Times New Roman"/>
                <w:color w:val="auto"/>
                <w:sz w:val="18"/>
                <w:szCs w:val="18"/>
                <w:lang w:val="en-US" w:eastAsia="zh-CN"/>
              </w:rPr>
              <w:t>time zero</w:t>
            </w:r>
            <w:r>
              <w:rPr>
                <w:rFonts w:ascii="Times New Roman" w:hAnsi="Times New Roman" w:eastAsia="黑体" w:cs="Times New Roman"/>
                <w:color w:val="auto"/>
                <w:sz w:val="18"/>
                <w:szCs w:val="18"/>
              </w:rPr>
              <w:t xml:space="preserve"> </w:t>
            </w:r>
            <w:r>
              <w:rPr>
                <w:rFonts w:hint="eastAsia" w:ascii="Times New Roman" w:hAnsi="Times New Roman" w:eastAsia="黑体" w:cs="Times New Roman"/>
                <w:color w:val="auto"/>
                <w:sz w:val="18"/>
                <w:szCs w:val="18"/>
                <w:lang w:val="en-US" w:eastAsia="zh-CN"/>
              </w:rPr>
              <w:t>under</w:t>
            </w:r>
            <w:r>
              <w:rPr>
                <w:rFonts w:ascii="Times New Roman" w:hAnsi="Times New Roman" w:eastAsia="黑体" w:cs="Times New Roman"/>
                <w:color w:val="auto"/>
                <w:sz w:val="18"/>
                <w:szCs w:val="18"/>
              </w:rPr>
              <w:t xml:space="preserve"> different conditions</w:t>
            </w:r>
          </w:p>
        </w:tc>
      </w:tr>
      <w:bookmarkEnd w:id="10"/>
    </w:tbl>
    <w:p w14:paraId="2C6A8203">
      <w:pPr>
        <w:adjustRightInd w:val="0"/>
        <w:snapToGrid w:val="0"/>
        <w:spacing w:after="120"/>
        <w:jc w:val="center"/>
        <w:rPr>
          <w:rFonts w:ascii="Times New Roman" w:hAnsi="Times New Roman" w:eastAsia="黑体" w:cs="Times New Roman"/>
          <w:sz w:val="18"/>
          <w:szCs w:val="18"/>
        </w:rPr>
      </w:pPr>
      <w:bookmarkStart w:id="12" w:name="_Hlk211977524"/>
      <w:r>
        <w:rPr>
          <w:rFonts w:ascii="Times New Roman" w:hAnsi="Times New Roman" w:eastAsia="黑体" w:cs="Times New Roman"/>
          <w:sz w:val="18"/>
          <w:szCs w:val="18"/>
        </w:rPr>
        <w:t>表1 管道</w:t>
      </w:r>
      <w:r>
        <w:rPr>
          <w:rFonts w:ascii="Times New Roman" w:hAnsi="Times New Roman" w:eastAsia="黑体" w:cs="Times New Roman"/>
          <w:sz w:val="18"/>
          <w:szCs w:val="18"/>
          <w:shd w:val="clear" w:color="auto" w:fill="FFFFFF"/>
        </w:rPr>
        <w:t>盲端</w:t>
      </w:r>
      <w:r>
        <w:rPr>
          <w:rFonts w:ascii="Times New Roman" w:hAnsi="Times New Roman" w:eastAsia="黑体" w:cs="Times New Roman"/>
          <w:sz w:val="18"/>
          <w:szCs w:val="18"/>
        </w:rPr>
        <w:t>不同体积滞留气团试验工况</w:t>
      </w:r>
    </w:p>
    <w:p w14:paraId="0D0A71BA">
      <w:pPr>
        <w:adjustRightInd w:val="0"/>
        <w:snapToGrid w:val="0"/>
        <w:spacing w:after="120"/>
        <w:jc w:val="center"/>
        <w:rPr>
          <w:rFonts w:ascii="Times New Roman" w:hAnsi="Times New Roman" w:eastAsia="黑体" w:cs="Times New Roman"/>
          <w:sz w:val="18"/>
          <w:szCs w:val="18"/>
        </w:rPr>
      </w:pPr>
      <w:r>
        <w:rPr>
          <w:rFonts w:ascii="Times New Roman" w:hAnsi="Times New Roman" w:eastAsia="黑体" w:cs="Times New Roman"/>
          <w:sz w:val="18"/>
          <w:szCs w:val="18"/>
        </w:rPr>
        <w:t>Table 1  Experimental</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conditions for different volumes</w:t>
      </w:r>
      <w:r>
        <w:rPr>
          <w:rFonts w:hint="eastAsia" w:ascii="Times New Roman" w:hAnsi="Times New Roman" w:eastAsia="黑体" w:cs="Times New Roman"/>
          <w:sz w:val="18"/>
          <w:szCs w:val="18"/>
          <w:lang w:val="en-US" w:eastAsia="zh-CN"/>
        </w:rPr>
        <w:t xml:space="preserve"> of</w:t>
      </w:r>
      <w:r>
        <w:rPr>
          <w:rFonts w:ascii="Times New Roman" w:hAnsi="Times New Roman" w:eastAsia="黑体" w:cs="Times New Roman"/>
          <w:sz w:val="18"/>
          <w:szCs w:val="18"/>
        </w:rPr>
        <w:t xml:space="preserve"> trapped air pockets</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at pipeline blind end</w:t>
      </w:r>
    </w:p>
    <w:tbl>
      <w:tblPr>
        <w:tblStyle w:val="2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2"/>
        <w:gridCol w:w="1457"/>
        <w:gridCol w:w="1890"/>
        <w:gridCol w:w="1892"/>
        <w:gridCol w:w="1837"/>
      </w:tblGrid>
      <w:tr w14:paraId="4D72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852" w:type="pct"/>
            <w:tcBorders>
              <w:top w:val="single" w:color="auto" w:sz="12" w:space="0"/>
              <w:bottom w:val="single" w:color="auto" w:sz="4" w:space="0"/>
            </w:tcBorders>
            <w:vAlign w:val="center"/>
          </w:tcPr>
          <w:p w14:paraId="6151E221">
            <w:pPr>
              <w:jc w:val="center"/>
              <w:rPr>
                <w:rFonts w:ascii="Times New Roman" w:hAnsi="Times New Roman" w:cs="Times New Roman"/>
                <w:sz w:val="18"/>
                <w:szCs w:val="18"/>
              </w:rPr>
            </w:pPr>
            <w:r>
              <w:rPr>
                <w:rFonts w:ascii="Times New Roman" w:hAnsi="Times New Roman" w:cs="Times New Roman"/>
                <w:sz w:val="18"/>
                <w:szCs w:val="18"/>
              </w:rPr>
              <w:t>计算工况</w:t>
            </w:r>
          </w:p>
        </w:tc>
        <w:tc>
          <w:tcPr>
            <w:tcW w:w="854" w:type="pct"/>
            <w:tcBorders>
              <w:top w:val="single" w:color="auto" w:sz="12" w:space="0"/>
              <w:bottom w:val="single" w:color="auto" w:sz="4" w:space="0"/>
            </w:tcBorders>
            <w:vAlign w:val="center"/>
          </w:tcPr>
          <w:p w14:paraId="1D5CEDD9">
            <w:pPr>
              <w:jc w:val="center"/>
              <w:rPr>
                <w:rFonts w:ascii="Times New Roman" w:hAnsi="Times New Roman" w:cs="Times New Roman"/>
                <w:sz w:val="18"/>
                <w:szCs w:val="18"/>
              </w:rPr>
            </w:pPr>
            <w:r>
              <w:rPr>
                <w:rFonts w:hint="eastAsia" w:ascii="Times New Roman" w:hAnsi="Times New Roman" w:cs="Times New Roman"/>
                <w:sz w:val="18"/>
                <w:szCs w:val="18"/>
              </w:rPr>
              <w:t>气团高度</w:t>
            </w:r>
            <w:r>
              <w:rPr>
                <w:rFonts w:ascii="Times New Roman" w:hAnsi="Times New Roman" w:cs="Times New Roman"/>
                <w:sz w:val="18"/>
                <w:szCs w:val="18"/>
              </w:rPr>
              <w:t xml:space="preserve"> /m</w:t>
            </w:r>
          </w:p>
        </w:tc>
        <w:tc>
          <w:tcPr>
            <w:tcW w:w="1108" w:type="pct"/>
            <w:tcBorders>
              <w:top w:val="single" w:color="auto" w:sz="12" w:space="0"/>
              <w:bottom w:val="single" w:color="auto" w:sz="4" w:space="0"/>
            </w:tcBorders>
            <w:vAlign w:val="center"/>
          </w:tcPr>
          <w:p w14:paraId="111D59DA">
            <w:pPr>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时刻气团体积</w:t>
            </w:r>
            <w:r>
              <w:rPr>
                <w:rFonts w:ascii="Times New Roman" w:hAnsi="Times New Roman" w:cs="Times New Roman"/>
                <w:sz w:val="18"/>
                <w:szCs w:val="18"/>
              </w:rPr>
              <w:t>/ m</w:t>
            </w:r>
            <w:r>
              <w:rPr>
                <w:rFonts w:ascii="Times New Roman" w:hAnsi="Times New Roman" w:cs="Times New Roman"/>
                <w:sz w:val="18"/>
                <w:szCs w:val="18"/>
                <w:vertAlign w:val="superscript"/>
              </w:rPr>
              <w:t>3</w:t>
            </w:r>
          </w:p>
        </w:tc>
        <w:tc>
          <w:tcPr>
            <w:tcW w:w="1109" w:type="pct"/>
            <w:tcBorders>
              <w:top w:val="single" w:color="auto" w:sz="12" w:space="0"/>
              <w:bottom w:val="single" w:color="auto" w:sz="4" w:space="0"/>
            </w:tcBorders>
            <w:vAlign w:val="center"/>
          </w:tcPr>
          <w:p w14:paraId="2E0CC6A1">
            <w:pPr>
              <w:jc w:val="center"/>
              <w:rPr>
                <w:rFonts w:ascii="Times New Roman" w:hAnsi="Times New Roman" w:cs="Times New Roman"/>
                <w:sz w:val="18"/>
                <w:szCs w:val="18"/>
              </w:rPr>
            </w:pPr>
            <w:r>
              <w:rPr>
                <w:rFonts w:hint="eastAsia" w:ascii="Times New Roman" w:hAnsi="Times New Roman" w:cs="Times New Roman"/>
                <w:sz w:val="18"/>
                <w:szCs w:val="18"/>
              </w:rPr>
              <w:t>滞留气团初始体积与</w:t>
            </w:r>
            <w:r>
              <w:rPr>
                <w:rFonts w:hint="eastAsia" w:ascii="Times New Roman" w:hAnsi="Times New Roman" w:cs="Times New Roman"/>
                <w:sz w:val="18"/>
                <w:szCs w:val="18"/>
                <w:shd w:val="clear" w:color="auto" w:fill="FFFFFF"/>
              </w:rPr>
              <w:t>盲</w:t>
            </w:r>
            <w:r>
              <w:rPr>
                <w:rFonts w:hint="eastAsia" w:ascii="Times New Roman" w:hAnsi="Times New Roman" w:cs="Times New Roman"/>
                <w:sz w:val="18"/>
                <w:szCs w:val="18"/>
              </w:rPr>
              <w:t>端体积占比</w:t>
            </w:r>
            <w:r>
              <w:rPr>
                <w:rFonts w:ascii="Times New Roman" w:hAnsi="Times New Roman" w:cs="Times New Roman"/>
                <w:sz w:val="18"/>
                <w:szCs w:val="18"/>
              </w:rPr>
              <w:t>/%</w:t>
            </w:r>
          </w:p>
        </w:tc>
        <w:tc>
          <w:tcPr>
            <w:tcW w:w="1077" w:type="pct"/>
            <w:tcBorders>
              <w:top w:val="single" w:color="auto" w:sz="12" w:space="0"/>
              <w:bottom w:val="single" w:color="auto" w:sz="4" w:space="0"/>
            </w:tcBorders>
            <w:vAlign w:val="center"/>
          </w:tcPr>
          <w:p w14:paraId="3B2CDE70">
            <w:pPr>
              <w:jc w:val="center"/>
              <w:rPr>
                <w:rFonts w:ascii="Times New Roman" w:hAnsi="Times New Roman" w:cs="Times New Roman"/>
                <w:sz w:val="18"/>
                <w:szCs w:val="18"/>
              </w:rPr>
            </w:pPr>
            <w:r>
              <w:rPr>
                <w:rFonts w:ascii="Times New Roman" w:hAnsi="Times New Roman" w:cs="Times New Roman"/>
                <w:sz w:val="18"/>
                <w:szCs w:val="18"/>
              </w:rPr>
              <w:t>管道末端初始时刻</w:t>
            </w:r>
            <w:r>
              <w:rPr>
                <w:rFonts w:ascii="Times New Roman" w:hAnsi="Times New Roman" w:cs="Times New Roman"/>
                <w:sz w:val="18"/>
                <w:szCs w:val="18"/>
                <w:shd w:val="clear" w:color="auto" w:fill="FFFFFF"/>
              </w:rPr>
              <w:t>气团</w:t>
            </w:r>
            <w:r>
              <w:rPr>
                <w:rFonts w:ascii="Times New Roman" w:hAnsi="Times New Roman" w:cs="Times New Roman"/>
                <w:sz w:val="18"/>
                <w:szCs w:val="18"/>
              </w:rPr>
              <w:t>断面分布情况</w:t>
            </w:r>
          </w:p>
        </w:tc>
      </w:tr>
      <w:tr w14:paraId="7274A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vAlign w:val="center"/>
          </w:tcPr>
          <w:p w14:paraId="458C7239">
            <w:pPr>
              <w:jc w:val="center"/>
              <w:rPr>
                <w:rFonts w:ascii="Times New Roman" w:hAnsi="Times New Roman" w:cs="Times New Roman"/>
                <w:sz w:val="18"/>
                <w:szCs w:val="18"/>
              </w:rPr>
            </w:pPr>
            <w:bookmarkStart w:id="13" w:name="_Hlk211970224"/>
            <w:r>
              <w:rPr>
                <w:rFonts w:hint="eastAsia" w:ascii="Times New Roman" w:hAnsi="Times New Roman" w:cs="Times New Roman"/>
                <w:sz w:val="18"/>
                <w:szCs w:val="18"/>
              </w:rPr>
              <w:t>1</w:t>
            </w:r>
          </w:p>
        </w:tc>
        <w:tc>
          <w:tcPr>
            <w:tcW w:w="854" w:type="pct"/>
            <w:vAlign w:val="center"/>
          </w:tcPr>
          <w:p w14:paraId="3806C8DA">
            <w:pPr>
              <w:jc w:val="center"/>
              <w:rPr>
                <w:rFonts w:ascii="Times New Roman" w:hAnsi="Times New Roman" w:cs="Times New Roman"/>
                <w:sz w:val="18"/>
                <w:szCs w:val="18"/>
                <w14:ligatures w14:val="none"/>
              </w:rPr>
            </w:pPr>
            <w:r>
              <w:rPr>
                <w:rFonts w:ascii="Times New Roman" w:hAnsi="Times New Roman" w:cs="Times New Roman"/>
                <w:sz w:val="18"/>
                <w:szCs w:val="18"/>
              </w:rPr>
              <w:t>0.0225</w:t>
            </w:r>
          </w:p>
        </w:tc>
        <w:tc>
          <w:tcPr>
            <w:tcW w:w="1108" w:type="pct"/>
            <w:vAlign w:val="center"/>
          </w:tcPr>
          <w:p w14:paraId="77542C5B">
            <w:pPr>
              <w:jc w:val="center"/>
              <w:rPr>
                <w:rFonts w:ascii="Times New Roman" w:hAnsi="Times New Roman" w:cs="Times New Roman"/>
                <w:sz w:val="18"/>
                <w:szCs w:val="18"/>
                <w14:ligatures w14:val="none"/>
              </w:rPr>
            </w:pPr>
            <w:r>
              <w:rPr>
                <w:rFonts w:ascii="Times New Roman" w:hAnsi="Times New Roman" w:cs="Times New Roman"/>
                <w:sz w:val="18"/>
                <w:szCs w:val="18"/>
              </w:rPr>
              <w:t>0.00</w:t>
            </w:r>
            <w:r>
              <w:rPr>
                <w:rFonts w:hint="eastAsia" w:ascii="Times New Roman" w:hAnsi="Times New Roman" w:cs="Times New Roman"/>
                <w:sz w:val="18"/>
                <w:szCs w:val="18"/>
              </w:rPr>
              <w:t>0</w:t>
            </w:r>
            <w:r>
              <w:rPr>
                <w:rFonts w:ascii="Times New Roman" w:hAnsi="Times New Roman" w:cs="Times New Roman"/>
                <w:sz w:val="18"/>
                <w:szCs w:val="18"/>
              </w:rPr>
              <w:t>24</w:t>
            </w:r>
          </w:p>
        </w:tc>
        <w:tc>
          <w:tcPr>
            <w:tcW w:w="1109" w:type="pct"/>
            <w:vAlign w:val="center"/>
          </w:tcPr>
          <w:p w14:paraId="7336A51A">
            <w:pPr>
              <w:jc w:val="center"/>
              <w:rPr>
                <w:rFonts w:ascii="Times New Roman" w:hAnsi="Times New Roman" w:cs="Times New Roman"/>
                <w:sz w:val="18"/>
                <w:szCs w:val="18"/>
                <w14:ligatures w14:val="none"/>
              </w:rPr>
            </w:pPr>
            <w:r>
              <w:rPr>
                <w:rFonts w:ascii="Times New Roman" w:hAnsi="Times New Roman" w:cs="Times New Roman"/>
                <w:sz w:val="18"/>
                <w:szCs w:val="18"/>
              </w:rPr>
              <w:t>15.55</w:t>
            </w:r>
          </w:p>
        </w:tc>
        <w:tc>
          <w:tcPr>
            <w:tcW w:w="1077" w:type="pct"/>
            <w:vAlign w:val="center"/>
          </w:tcPr>
          <w:p w14:paraId="1268D501">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1505" cy="611505"/>
                  <wp:effectExtent l="0" t="0" r="0" b="0"/>
                  <wp:docPr id="672477572"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77572" name="图形 8"/>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612000" cy="612000"/>
                          </a:xfrm>
                          <a:prstGeom prst="rect">
                            <a:avLst/>
                          </a:prstGeom>
                        </pic:spPr>
                      </pic:pic>
                    </a:graphicData>
                  </a:graphic>
                </wp:inline>
              </w:drawing>
            </w:r>
          </w:p>
        </w:tc>
      </w:tr>
      <w:tr w14:paraId="5257B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vAlign w:val="center"/>
          </w:tcPr>
          <w:p w14:paraId="314A6A96">
            <w:pPr>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854" w:type="pct"/>
            <w:vAlign w:val="center"/>
          </w:tcPr>
          <w:p w14:paraId="0EE7C7CC">
            <w:pPr>
              <w:jc w:val="center"/>
              <w:rPr>
                <w:rFonts w:ascii="Times New Roman" w:hAnsi="Times New Roman" w:cs="Times New Roman"/>
                <w:sz w:val="18"/>
                <w:szCs w:val="18"/>
                <w14:ligatures w14:val="none"/>
              </w:rPr>
            </w:pPr>
            <w:r>
              <w:rPr>
                <w:rFonts w:ascii="Times New Roman" w:hAnsi="Times New Roman" w:cs="Times New Roman"/>
                <w:sz w:val="18"/>
                <w:szCs w:val="18"/>
              </w:rPr>
              <w:t>0.045</w:t>
            </w:r>
            <w:r>
              <w:rPr>
                <w:rFonts w:hint="eastAsia" w:ascii="Times New Roman" w:hAnsi="Times New Roman" w:cs="Times New Roman"/>
                <w:sz w:val="18"/>
                <w:szCs w:val="18"/>
              </w:rPr>
              <w:t>0</w:t>
            </w:r>
          </w:p>
        </w:tc>
        <w:tc>
          <w:tcPr>
            <w:tcW w:w="1108" w:type="pct"/>
            <w:vAlign w:val="center"/>
          </w:tcPr>
          <w:p w14:paraId="6CE8A5A3">
            <w:pPr>
              <w:jc w:val="center"/>
              <w:rPr>
                <w:rFonts w:ascii="Times New Roman" w:hAnsi="Times New Roman" w:cs="Times New Roman"/>
                <w:sz w:val="18"/>
                <w:szCs w:val="18"/>
                <w14:ligatures w14:val="none"/>
              </w:rPr>
            </w:pPr>
            <w:r>
              <w:rPr>
                <w:rFonts w:ascii="Times New Roman" w:hAnsi="Times New Roman" w:cs="Times New Roman"/>
                <w:sz w:val="18"/>
                <w:szCs w:val="18"/>
              </w:rPr>
              <w:t>0.00</w:t>
            </w:r>
            <w:r>
              <w:rPr>
                <w:rFonts w:hint="eastAsia" w:ascii="Times New Roman" w:hAnsi="Times New Roman" w:cs="Times New Roman"/>
                <w:sz w:val="18"/>
                <w:szCs w:val="18"/>
              </w:rPr>
              <w:t>0</w:t>
            </w:r>
            <w:r>
              <w:rPr>
                <w:rFonts w:ascii="Times New Roman" w:hAnsi="Times New Roman" w:cs="Times New Roman"/>
                <w:sz w:val="18"/>
                <w:szCs w:val="18"/>
              </w:rPr>
              <w:t>68</w:t>
            </w:r>
          </w:p>
        </w:tc>
        <w:tc>
          <w:tcPr>
            <w:tcW w:w="1109" w:type="pct"/>
            <w:vAlign w:val="center"/>
          </w:tcPr>
          <w:p w14:paraId="342757D3">
            <w:pPr>
              <w:jc w:val="center"/>
              <w:rPr>
                <w:rFonts w:ascii="Times New Roman" w:hAnsi="Times New Roman" w:cs="Times New Roman"/>
                <w:sz w:val="18"/>
                <w:szCs w:val="18"/>
                <w14:ligatures w14:val="none"/>
              </w:rPr>
            </w:pPr>
            <w:r>
              <w:rPr>
                <w:rFonts w:ascii="Times New Roman" w:hAnsi="Times New Roman" w:cs="Times New Roman"/>
                <w:sz w:val="18"/>
                <w:szCs w:val="18"/>
              </w:rPr>
              <w:t>43.51</w:t>
            </w:r>
          </w:p>
        </w:tc>
        <w:tc>
          <w:tcPr>
            <w:tcW w:w="1077" w:type="pct"/>
            <w:vAlign w:val="center"/>
          </w:tcPr>
          <w:p w14:paraId="64610BFF">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1505" cy="611505"/>
                  <wp:effectExtent l="0" t="0" r="0" b="0"/>
                  <wp:docPr id="970407026"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7026" name="图形 9"/>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612000" cy="612000"/>
                          </a:xfrm>
                          <a:prstGeom prst="rect">
                            <a:avLst/>
                          </a:prstGeom>
                        </pic:spPr>
                      </pic:pic>
                    </a:graphicData>
                  </a:graphic>
                </wp:inline>
              </w:drawing>
            </w:r>
          </w:p>
        </w:tc>
      </w:tr>
      <w:tr w14:paraId="3138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vAlign w:val="center"/>
          </w:tcPr>
          <w:p w14:paraId="5A457A6F">
            <w:pPr>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854" w:type="pct"/>
            <w:vAlign w:val="center"/>
          </w:tcPr>
          <w:p w14:paraId="3676DEA7">
            <w:pPr>
              <w:jc w:val="center"/>
              <w:rPr>
                <w:rFonts w:ascii="Times New Roman" w:hAnsi="Times New Roman" w:cs="Times New Roman"/>
                <w:sz w:val="18"/>
                <w:szCs w:val="18"/>
                <w14:ligatures w14:val="none"/>
              </w:rPr>
            </w:pPr>
            <w:r>
              <w:rPr>
                <w:rFonts w:ascii="Times New Roman" w:hAnsi="Times New Roman" w:cs="Times New Roman"/>
                <w:sz w:val="18"/>
                <w:szCs w:val="18"/>
              </w:rPr>
              <w:t>0.0675</w:t>
            </w:r>
          </w:p>
        </w:tc>
        <w:tc>
          <w:tcPr>
            <w:tcW w:w="1108" w:type="pct"/>
            <w:vAlign w:val="center"/>
          </w:tcPr>
          <w:p w14:paraId="09486D7C">
            <w:pPr>
              <w:jc w:val="center"/>
              <w:rPr>
                <w:rFonts w:ascii="Times New Roman" w:hAnsi="Times New Roman" w:cs="Times New Roman"/>
                <w:sz w:val="18"/>
                <w:szCs w:val="18"/>
                <w14:ligatures w14:val="none"/>
              </w:rPr>
            </w:pPr>
            <w:r>
              <w:rPr>
                <w:rFonts w:ascii="Times New Roman" w:hAnsi="Times New Roman" w:cs="Times New Roman"/>
                <w:sz w:val="18"/>
                <w:szCs w:val="18"/>
              </w:rPr>
              <w:t>0.0</w:t>
            </w:r>
            <w:r>
              <w:rPr>
                <w:rFonts w:hint="eastAsia" w:ascii="Times New Roman" w:hAnsi="Times New Roman" w:cs="Times New Roman"/>
                <w:sz w:val="18"/>
                <w:szCs w:val="18"/>
              </w:rPr>
              <w:t>0</w:t>
            </w:r>
            <w:r>
              <w:rPr>
                <w:rFonts w:ascii="Times New Roman" w:hAnsi="Times New Roman" w:cs="Times New Roman"/>
                <w:sz w:val="18"/>
                <w:szCs w:val="18"/>
              </w:rPr>
              <w:t>117</w:t>
            </w:r>
          </w:p>
        </w:tc>
        <w:tc>
          <w:tcPr>
            <w:tcW w:w="1109" w:type="pct"/>
            <w:vAlign w:val="center"/>
          </w:tcPr>
          <w:p w14:paraId="3A9CE618">
            <w:pPr>
              <w:jc w:val="center"/>
              <w:rPr>
                <w:rFonts w:ascii="Times New Roman" w:hAnsi="Times New Roman" w:cs="Times New Roman"/>
                <w:sz w:val="18"/>
                <w:szCs w:val="18"/>
                <w14:ligatures w14:val="none"/>
              </w:rPr>
            </w:pPr>
            <w:r>
              <w:rPr>
                <w:rFonts w:ascii="Times New Roman" w:hAnsi="Times New Roman" w:cs="Times New Roman"/>
                <w:sz w:val="18"/>
                <w:szCs w:val="18"/>
              </w:rPr>
              <w:t>74.81</w:t>
            </w:r>
          </w:p>
        </w:tc>
        <w:tc>
          <w:tcPr>
            <w:tcW w:w="1077" w:type="pct"/>
            <w:vAlign w:val="center"/>
          </w:tcPr>
          <w:p w14:paraId="3033FB77">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8490" cy="611505"/>
                  <wp:effectExtent l="0" t="0" r="0" b="0"/>
                  <wp:docPr id="1931301508"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01508" name="图形 11"/>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619116" cy="612000"/>
                          </a:xfrm>
                          <a:prstGeom prst="rect">
                            <a:avLst/>
                          </a:prstGeom>
                        </pic:spPr>
                      </pic:pic>
                    </a:graphicData>
                  </a:graphic>
                </wp:inline>
              </w:drawing>
            </w:r>
          </w:p>
        </w:tc>
      </w:tr>
      <w:tr w14:paraId="4593F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vAlign w:val="center"/>
          </w:tcPr>
          <w:p w14:paraId="65A9175A">
            <w:pPr>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854" w:type="pct"/>
            <w:vAlign w:val="center"/>
          </w:tcPr>
          <w:p w14:paraId="22F1B7C1">
            <w:pPr>
              <w:jc w:val="center"/>
              <w:rPr>
                <w:rFonts w:ascii="Times New Roman" w:hAnsi="Times New Roman" w:cs="Times New Roman"/>
                <w:sz w:val="18"/>
                <w:szCs w:val="18"/>
                <w14:ligatures w14:val="none"/>
              </w:rPr>
            </w:pPr>
            <w:r>
              <w:rPr>
                <w:rFonts w:ascii="Times New Roman" w:hAnsi="Times New Roman" w:cs="Times New Roman"/>
                <w:sz w:val="18"/>
                <w:szCs w:val="18"/>
              </w:rPr>
              <w:t>0.09</w:t>
            </w:r>
            <w:r>
              <w:rPr>
                <w:rFonts w:hint="eastAsia" w:ascii="Times New Roman" w:hAnsi="Times New Roman" w:cs="Times New Roman"/>
                <w:sz w:val="18"/>
                <w:szCs w:val="18"/>
              </w:rPr>
              <w:t>00</w:t>
            </w:r>
          </w:p>
        </w:tc>
        <w:tc>
          <w:tcPr>
            <w:tcW w:w="1108" w:type="pct"/>
            <w:vAlign w:val="center"/>
          </w:tcPr>
          <w:p w14:paraId="2E233BB5">
            <w:pPr>
              <w:jc w:val="center"/>
              <w:rPr>
                <w:rFonts w:ascii="Times New Roman" w:hAnsi="Times New Roman" w:cs="Times New Roman"/>
                <w:sz w:val="18"/>
                <w:szCs w:val="18"/>
                <w14:ligatures w14:val="none"/>
              </w:rPr>
            </w:pPr>
            <w:r>
              <w:rPr>
                <w:rFonts w:ascii="Times New Roman" w:hAnsi="Times New Roman" w:cs="Times New Roman"/>
                <w:sz w:val="18"/>
                <w:szCs w:val="18"/>
                <w:shd w:val="clear" w:color="auto" w:fill="FFFFFF"/>
              </w:rPr>
              <w:t>0.0</w:t>
            </w:r>
            <w:r>
              <w:rPr>
                <w:rFonts w:hint="eastAsia" w:ascii="Times New Roman" w:hAnsi="Times New Roman" w:cs="Times New Roman"/>
                <w:sz w:val="18"/>
                <w:szCs w:val="18"/>
                <w:shd w:val="clear" w:color="auto" w:fill="FFFFFF"/>
              </w:rPr>
              <w:t>0</w:t>
            </w:r>
            <w:r>
              <w:rPr>
                <w:rFonts w:ascii="Times New Roman" w:hAnsi="Times New Roman" w:cs="Times New Roman"/>
                <w:sz w:val="18"/>
                <w:szCs w:val="18"/>
                <w:shd w:val="clear" w:color="auto" w:fill="FFFFFF"/>
              </w:rPr>
              <w:t>157</w:t>
            </w:r>
          </w:p>
        </w:tc>
        <w:tc>
          <w:tcPr>
            <w:tcW w:w="1109" w:type="pct"/>
            <w:vAlign w:val="center"/>
          </w:tcPr>
          <w:p w14:paraId="18B66B5E">
            <w:pPr>
              <w:jc w:val="center"/>
              <w:rPr>
                <w:rFonts w:ascii="Times New Roman" w:hAnsi="Times New Roman" w:cs="Times New Roman"/>
                <w:sz w:val="18"/>
                <w:szCs w:val="18"/>
                <w14:ligatures w14:val="none"/>
              </w:rPr>
            </w:pPr>
            <w:r>
              <w:rPr>
                <w:rFonts w:ascii="Times New Roman" w:hAnsi="Times New Roman" w:cs="Times New Roman"/>
                <w:sz w:val="18"/>
                <w:szCs w:val="18"/>
              </w:rPr>
              <w:t>100.00</w:t>
            </w:r>
          </w:p>
        </w:tc>
        <w:tc>
          <w:tcPr>
            <w:tcW w:w="1077" w:type="pct"/>
            <w:vAlign w:val="center"/>
          </w:tcPr>
          <w:p w14:paraId="2941BC1B">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1505" cy="611505"/>
                  <wp:effectExtent l="0" t="0" r="0" b="0"/>
                  <wp:docPr id="2141655743"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55743" name="图形 12"/>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612000" cy="612000"/>
                          </a:xfrm>
                          <a:prstGeom prst="rect">
                            <a:avLst/>
                          </a:prstGeom>
                        </pic:spPr>
                      </pic:pic>
                    </a:graphicData>
                  </a:graphic>
                </wp:inline>
              </w:drawing>
            </w:r>
          </w:p>
        </w:tc>
      </w:tr>
      <w:tr w14:paraId="31E96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vAlign w:val="center"/>
          </w:tcPr>
          <w:p w14:paraId="209B652A">
            <w:pPr>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854" w:type="pct"/>
            <w:vAlign w:val="center"/>
          </w:tcPr>
          <w:p w14:paraId="0484BAE7">
            <w:pPr>
              <w:jc w:val="center"/>
              <w:rPr>
                <w:rFonts w:ascii="Times New Roman" w:hAnsi="Times New Roman" w:cs="Times New Roman"/>
                <w:sz w:val="18"/>
                <w:szCs w:val="18"/>
                <w14:ligatures w14:val="none"/>
              </w:rPr>
            </w:pPr>
            <w:r>
              <w:rPr>
                <w:rFonts w:ascii="Times New Roman" w:hAnsi="Times New Roman" w:cs="Times New Roman"/>
                <w:sz w:val="18"/>
                <w:szCs w:val="18"/>
              </w:rPr>
              <w:t>0.1125</w:t>
            </w:r>
          </w:p>
        </w:tc>
        <w:tc>
          <w:tcPr>
            <w:tcW w:w="1108" w:type="pct"/>
            <w:vAlign w:val="center"/>
          </w:tcPr>
          <w:p w14:paraId="7302DDB2">
            <w:pPr>
              <w:jc w:val="center"/>
              <w:rPr>
                <w:rFonts w:ascii="Times New Roman" w:hAnsi="Times New Roman" w:cs="Times New Roman"/>
                <w:sz w:val="18"/>
                <w:szCs w:val="18"/>
                <w14:ligatures w14:val="none"/>
              </w:rPr>
            </w:pPr>
            <w:r>
              <w:rPr>
                <w:rFonts w:ascii="Times New Roman" w:hAnsi="Times New Roman" w:cs="Times New Roman"/>
                <w:sz w:val="18"/>
                <w:szCs w:val="18"/>
              </w:rPr>
              <w:t>0.0</w:t>
            </w:r>
            <w:r>
              <w:rPr>
                <w:rFonts w:hint="eastAsia" w:ascii="Times New Roman" w:hAnsi="Times New Roman" w:cs="Times New Roman"/>
                <w:sz w:val="18"/>
                <w:szCs w:val="18"/>
              </w:rPr>
              <w:t>0</w:t>
            </w:r>
            <w:r>
              <w:rPr>
                <w:rFonts w:ascii="Times New Roman" w:hAnsi="Times New Roman" w:cs="Times New Roman"/>
                <w:sz w:val="18"/>
                <w:szCs w:val="18"/>
              </w:rPr>
              <w:t>174</w:t>
            </w:r>
          </w:p>
        </w:tc>
        <w:tc>
          <w:tcPr>
            <w:tcW w:w="1109" w:type="pct"/>
            <w:vAlign w:val="center"/>
          </w:tcPr>
          <w:p w14:paraId="4FFFF531">
            <w:pPr>
              <w:jc w:val="center"/>
              <w:rPr>
                <w:rFonts w:ascii="Times New Roman" w:hAnsi="Times New Roman" w:cs="Times New Roman"/>
                <w:sz w:val="18"/>
                <w:szCs w:val="18"/>
                <w14:ligatures w14:val="none"/>
              </w:rPr>
            </w:pPr>
            <w:r>
              <w:rPr>
                <w:rFonts w:ascii="Times New Roman" w:hAnsi="Times New Roman" w:cs="Times New Roman"/>
                <w:sz w:val="18"/>
                <w:szCs w:val="18"/>
              </w:rPr>
              <w:t>110.53</w:t>
            </w:r>
          </w:p>
        </w:tc>
        <w:tc>
          <w:tcPr>
            <w:tcW w:w="1077" w:type="pct"/>
            <w:vAlign w:val="center"/>
          </w:tcPr>
          <w:p w14:paraId="296E38A3">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1505" cy="611505"/>
                  <wp:effectExtent l="0" t="0" r="0" b="0"/>
                  <wp:docPr id="506960533"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60533" name="图形 12"/>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612000" cy="612000"/>
                          </a:xfrm>
                          <a:prstGeom prst="rect">
                            <a:avLst/>
                          </a:prstGeom>
                        </pic:spPr>
                      </pic:pic>
                    </a:graphicData>
                  </a:graphic>
                </wp:inline>
              </w:drawing>
            </w:r>
          </w:p>
        </w:tc>
      </w:tr>
      <w:tr w14:paraId="5907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52" w:type="pct"/>
            <w:tcBorders>
              <w:bottom w:val="single" w:color="auto" w:sz="12" w:space="0"/>
            </w:tcBorders>
            <w:vAlign w:val="center"/>
          </w:tcPr>
          <w:p w14:paraId="73487FFD">
            <w:pPr>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4" w:type="pct"/>
            <w:tcBorders>
              <w:bottom w:val="single" w:color="auto" w:sz="12" w:space="0"/>
            </w:tcBorders>
            <w:vAlign w:val="center"/>
          </w:tcPr>
          <w:p w14:paraId="3F62F489">
            <w:pPr>
              <w:jc w:val="center"/>
              <w:rPr>
                <w:rFonts w:ascii="Times New Roman" w:hAnsi="Times New Roman" w:cs="Times New Roman"/>
                <w:sz w:val="18"/>
                <w:szCs w:val="18"/>
                <w14:ligatures w14:val="none"/>
              </w:rPr>
            </w:pPr>
            <w:r>
              <w:rPr>
                <w:rFonts w:ascii="Times New Roman" w:hAnsi="Times New Roman" w:cs="Times New Roman"/>
                <w:sz w:val="18"/>
                <w:szCs w:val="18"/>
              </w:rPr>
              <w:t>0.135</w:t>
            </w:r>
            <w:r>
              <w:rPr>
                <w:rFonts w:hint="eastAsia" w:ascii="Times New Roman" w:hAnsi="Times New Roman" w:cs="Times New Roman"/>
                <w:sz w:val="18"/>
                <w:szCs w:val="18"/>
              </w:rPr>
              <w:t>0</w:t>
            </w:r>
          </w:p>
        </w:tc>
        <w:tc>
          <w:tcPr>
            <w:tcW w:w="1108" w:type="pct"/>
            <w:tcBorders>
              <w:bottom w:val="single" w:color="auto" w:sz="12" w:space="0"/>
            </w:tcBorders>
            <w:vAlign w:val="center"/>
          </w:tcPr>
          <w:p w14:paraId="524C0DB3">
            <w:pPr>
              <w:jc w:val="center"/>
              <w:rPr>
                <w:rFonts w:ascii="Times New Roman" w:hAnsi="Times New Roman" w:cs="Times New Roman"/>
                <w:sz w:val="18"/>
                <w:szCs w:val="18"/>
                <w14:ligatures w14:val="none"/>
              </w:rPr>
            </w:pPr>
            <w:r>
              <w:rPr>
                <w:rFonts w:ascii="Times New Roman" w:hAnsi="Times New Roman" w:cs="Times New Roman"/>
                <w:sz w:val="18"/>
                <w:szCs w:val="18"/>
              </w:rPr>
              <w:t>0.</w:t>
            </w:r>
            <w:r>
              <w:rPr>
                <w:rFonts w:hint="eastAsia" w:ascii="Times New Roman" w:hAnsi="Times New Roman" w:cs="Times New Roman"/>
                <w:sz w:val="18"/>
                <w:szCs w:val="18"/>
              </w:rPr>
              <w:t>0</w:t>
            </w:r>
            <w:r>
              <w:rPr>
                <w:rFonts w:ascii="Times New Roman" w:hAnsi="Times New Roman" w:cs="Times New Roman"/>
                <w:sz w:val="18"/>
                <w:szCs w:val="18"/>
              </w:rPr>
              <w:t>0188</w:t>
            </w:r>
          </w:p>
        </w:tc>
        <w:tc>
          <w:tcPr>
            <w:tcW w:w="1109" w:type="pct"/>
            <w:tcBorders>
              <w:bottom w:val="single" w:color="auto" w:sz="12" w:space="0"/>
            </w:tcBorders>
            <w:vAlign w:val="center"/>
          </w:tcPr>
          <w:p w14:paraId="4AB67560">
            <w:pPr>
              <w:jc w:val="center"/>
              <w:rPr>
                <w:rFonts w:ascii="Times New Roman" w:hAnsi="Times New Roman" w:cs="Times New Roman"/>
                <w:sz w:val="18"/>
                <w:szCs w:val="18"/>
                <w14:ligatures w14:val="none"/>
              </w:rPr>
            </w:pPr>
            <w:r>
              <w:rPr>
                <w:rFonts w:ascii="Times New Roman" w:hAnsi="Times New Roman" w:cs="Times New Roman"/>
                <w:sz w:val="18"/>
                <w:szCs w:val="18"/>
              </w:rPr>
              <w:t>119.90</w:t>
            </w:r>
          </w:p>
        </w:tc>
        <w:tc>
          <w:tcPr>
            <w:tcW w:w="1077" w:type="pct"/>
            <w:tcBorders>
              <w:bottom w:val="single" w:color="auto" w:sz="12" w:space="0"/>
            </w:tcBorders>
            <w:vAlign w:val="center"/>
          </w:tcPr>
          <w:p w14:paraId="54C1CC8D">
            <w:pPr>
              <w:jc w:val="center"/>
              <w:rPr>
                <w:rFonts w:ascii="Times New Roman" w:hAnsi="Times New Roman" w:cs="Times New Roman"/>
                <w:sz w:val="18"/>
                <w:szCs w:val="18"/>
                <w14:ligatures w14:val="none"/>
              </w:rPr>
            </w:pPr>
            <w:r>
              <w:rPr>
                <w:rFonts w:ascii="Times New Roman" w:hAnsi="Times New Roman" w:cs="Times New Roman"/>
                <w:sz w:val="18"/>
                <w:szCs w:val="18"/>
                <w14:ligatures w14:val="none"/>
              </w:rPr>
              <w:drawing>
                <wp:inline distT="0" distB="0" distL="0" distR="0">
                  <wp:extent cx="611505" cy="611505"/>
                  <wp:effectExtent l="0" t="0" r="0" b="0"/>
                  <wp:docPr id="2088078997"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8997" name="图形 12"/>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612000" cy="612000"/>
                          </a:xfrm>
                          <a:prstGeom prst="rect">
                            <a:avLst/>
                          </a:prstGeom>
                        </pic:spPr>
                      </pic:pic>
                    </a:graphicData>
                  </a:graphic>
                </wp:inline>
              </w:drawing>
            </w:r>
          </w:p>
        </w:tc>
      </w:tr>
      <w:bookmarkEnd w:id="13"/>
    </w:tbl>
    <w:p w14:paraId="331A1852">
      <w:pPr>
        <w:adjustRightInd w:val="0"/>
        <w:snapToGrid w:val="0"/>
        <w:spacing w:after="120"/>
        <w:ind w:firstLine="300" w:firstLineChars="200"/>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注：表中滞留气团初始体积与盲端体积占比基于气团体积</w:t>
      </w:r>
      <w:r>
        <w:rPr>
          <w:rFonts w:hint="eastAsia" w:ascii="Times New Roman" w:hAnsi="Times New Roman" w:cs="Times New Roman"/>
          <w:sz w:val="15"/>
          <w:szCs w:val="15"/>
          <w:shd w:val="clear" w:color="auto" w:fill="FFFFFF"/>
        </w:rPr>
        <w:t>（</w:t>
      </w:r>
      <w:r>
        <w:rPr>
          <w:rFonts w:ascii="Times New Roman" w:hAnsi="Times New Roman" w:cs="Times New Roman"/>
          <w:sz w:val="15"/>
          <w:szCs w:val="15"/>
          <w:shd w:val="clear" w:color="auto" w:fill="FFFFFF"/>
        </w:rPr>
        <w:t>mm³</w:t>
      </w:r>
      <w:r>
        <w:rPr>
          <w:rFonts w:hint="eastAsia" w:ascii="Times New Roman" w:hAnsi="Times New Roman" w:cs="Times New Roman"/>
          <w:sz w:val="15"/>
          <w:szCs w:val="15"/>
          <w:shd w:val="clear" w:color="auto" w:fill="FFFFFF"/>
        </w:rPr>
        <w:t>）</w:t>
      </w:r>
      <w:r>
        <w:rPr>
          <w:rFonts w:ascii="Times New Roman" w:hAnsi="Times New Roman" w:cs="Times New Roman"/>
          <w:sz w:val="15"/>
          <w:szCs w:val="15"/>
          <w:shd w:val="clear" w:color="auto" w:fill="FFFFFF"/>
        </w:rPr>
        <w:t>计算，换算为m³后因四舍五入略有差异，以 mm³ 计算结果为准。</w:t>
      </w:r>
    </w:p>
    <w:bookmarkEnd w:id="12"/>
    <w:p w14:paraId="4CEEA199">
      <w:pPr>
        <w:spacing w:after="160"/>
        <w:outlineLvl w:val="1"/>
        <w:rPr>
          <w:rFonts w:ascii="Times New Roman" w:hAnsi="Times New Roman" w:eastAsia="黑体" w:cs="Times New Roman"/>
        </w:rPr>
      </w:pPr>
      <w:bookmarkStart w:id="14" w:name="_Hlk208264855"/>
      <w:r>
        <w:rPr>
          <w:rFonts w:ascii="Times New Roman" w:hAnsi="Times New Roman" w:eastAsia="黑体" w:cs="Times New Roman"/>
        </w:rPr>
        <w:t>1.4</w:t>
      </w:r>
      <w:bookmarkStart w:id="15" w:name="_Hlk211977582"/>
      <w:r>
        <w:rPr>
          <w:rFonts w:hint="eastAsia" w:ascii="Times New Roman" w:hAnsi="Times New Roman" w:eastAsia="黑体" w:cs="Times New Roman"/>
        </w:rPr>
        <w:t>模型</w:t>
      </w:r>
      <w:r>
        <w:rPr>
          <w:rFonts w:ascii="Times New Roman" w:hAnsi="Times New Roman" w:eastAsia="黑体" w:cs="Times New Roman"/>
        </w:rPr>
        <w:t>边界条件及</w:t>
      </w:r>
      <w:r>
        <w:rPr>
          <w:rFonts w:hint="eastAsia" w:ascii="Times New Roman" w:hAnsi="Times New Roman" w:eastAsia="黑体" w:cs="Times New Roman"/>
        </w:rPr>
        <w:t>可靠性</w:t>
      </w:r>
      <w:r>
        <w:rPr>
          <w:rFonts w:ascii="Times New Roman" w:hAnsi="Times New Roman" w:eastAsia="黑体" w:cs="Times New Roman"/>
        </w:rPr>
        <w:t>验证</w:t>
      </w:r>
    </w:p>
    <w:bookmarkEnd w:id="14"/>
    <w:bookmarkEnd w:id="15"/>
    <w:p w14:paraId="79BA3A61">
      <w:pPr>
        <w:spacing w:after="160" w:line="360" w:lineRule="auto"/>
        <w:outlineLvl w:val="2"/>
        <w:rPr>
          <w:rFonts w:ascii="Times New Roman" w:hAnsi="Times New Roman" w:eastAsia="黑体" w:cs="Times New Roman"/>
          <w:shd w:val="clear" w:color="auto" w:fill="FFFFFF"/>
        </w:rPr>
      </w:pPr>
      <w:r>
        <w:rPr>
          <w:rFonts w:hint="eastAsia" w:ascii="Times New Roman" w:hAnsi="Times New Roman" w:eastAsia="楷体" w:cs="Times New Roman"/>
          <w:bCs/>
          <w:shd w:val="clear" w:color="auto" w:fill="FFFFFF"/>
        </w:rPr>
        <w:t>1.4.1模型边界条件</w:t>
      </w:r>
    </w:p>
    <w:p w14:paraId="785E863C">
      <w:pPr>
        <w:adjustRightInd w:val="0"/>
        <w:snapToGrid w:val="0"/>
        <w:ind w:firstLine="420" w:firstLineChars="200"/>
        <w:rPr>
          <w:rFonts w:ascii="Times New Roman" w:hAnsi="Times New Roman" w:cs="Times New Roman"/>
        </w:rPr>
      </w:pPr>
      <w:bookmarkStart w:id="16" w:name="_Hlk208602552"/>
      <w:bookmarkStart w:id="17" w:name="_Hlk208264014"/>
      <w:r>
        <w:rPr>
          <w:rFonts w:asciiTheme="majorBidi" w:hAnsiTheme="majorBidi" w:cstheme="majorBidi"/>
          <w:szCs w:val="21"/>
        </w:rPr>
        <w:t>ZHOU的物理模型中，末端水平管为盲</w:t>
      </w:r>
      <w:r>
        <w:rPr>
          <w:rFonts w:asciiTheme="majorBidi" w:hAnsiTheme="majorBidi" w:cstheme="majorBidi"/>
          <w:szCs w:val="21"/>
          <w:shd w:val="clear" w:color="auto" w:fill="FFFFFF"/>
        </w:rPr>
        <w:t>端</w:t>
      </w:r>
      <w:r>
        <w:rPr>
          <w:rFonts w:asciiTheme="majorBidi" w:hAnsiTheme="majorBidi" w:cstheme="majorBidi"/>
          <w:szCs w:val="21"/>
        </w:rPr>
        <w:t>，充满空气，</w:t>
      </w:r>
      <w:r>
        <w:rPr>
          <w:rFonts w:hint="eastAsia" w:asciiTheme="majorBidi" w:hAnsiTheme="majorBidi" w:cstheme="majorBidi"/>
          <w:szCs w:val="21"/>
        </w:rPr>
        <w:t>其余</w:t>
      </w:r>
      <w:r>
        <w:rPr>
          <w:rFonts w:asciiTheme="majorBidi" w:hAnsiTheme="majorBidi" w:cstheme="majorBidi"/>
          <w:szCs w:val="21"/>
        </w:rPr>
        <w:t>管段内充满水。管道上游球阀处的入口压力水头</w:t>
      </w:r>
      <w:r>
        <w:rPr>
          <w:rFonts w:asciiTheme="majorBidi" w:hAnsiTheme="majorBidi" w:cstheme="majorBidi"/>
          <w:i/>
          <w:iCs/>
          <w:szCs w:val="21"/>
        </w:rPr>
        <w:t>H</w:t>
      </w:r>
      <w:r>
        <w:rPr>
          <w:rFonts w:asciiTheme="majorBidi" w:hAnsiTheme="majorBidi" w:cstheme="majorBidi"/>
          <w:szCs w:val="21"/>
        </w:rPr>
        <w:t>通过</w:t>
      </w:r>
      <w:r>
        <w:rPr>
          <w:rFonts w:asciiTheme="majorBidi" w:hAnsiTheme="majorBidi" w:cstheme="majorBidi"/>
          <w:szCs w:val="21"/>
          <w:shd w:val="clear" w:color="auto" w:fill="FFFFFF"/>
        </w:rPr>
        <w:t>上游</w:t>
      </w:r>
      <w:r>
        <w:rPr>
          <w:rFonts w:asciiTheme="majorBidi" w:hAnsiTheme="majorBidi" w:cstheme="majorBidi"/>
          <w:szCs w:val="21"/>
        </w:rPr>
        <w:t>水箱</w:t>
      </w:r>
      <w:r>
        <w:rPr>
          <w:rFonts w:hint="eastAsia" w:ascii="Times New Roman" w:hAnsi="Times New Roman" w:cs="Times New Roman"/>
        </w:rPr>
        <w:t>调节</w:t>
      </w:r>
      <w:r>
        <w:rPr>
          <w:rFonts w:asciiTheme="majorBidi" w:hAnsiTheme="majorBidi" w:cstheme="majorBidi"/>
          <w:szCs w:val="21"/>
        </w:rPr>
        <w:t>为7.0m，并处于关闭状态。</w:t>
      </w:r>
      <w:r>
        <w:rPr>
          <w:rFonts w:hint="eastAsia" w:asciiTheme="majorBidi" w:hAnsiTheme="majorBidi" w:cstheme="majorBidi"/>
          <w:szCs w:val="21"/>
        </w:rPr>
        <w:t>当</w:t>
      </w:r>
      <w:r>
        <w:rPr>
          <w:rFonts w:asciiTheme="majorBidi" w:hAnsiTheme="majorBidi" w:cstheme="majorBidi"/>
          <w:szCs w:val="21"/>
        </w:rPr>
        <w:t>试验开始时，球阀瞬间开启（0.05</w:t>
      </w:r>
      <w:r>
        <w:rPr>
          <w:rFonts w:hint="eastAsia" w:asciiTheme="majorBidi" w:hAnsiTheme="majorBidi" w:cstheme="majorBidi"/>
          <w:szCs w:val="21"/>
        </w:rPr>
        <w:t>~</w:t>
      </w:r>
      <w:r>
        <w:rPr>
          <w:rFonts w:asciiTheme="majorBidi" w:hAnsiTheme="majorBidi" w:cstheme="majorBidi"/>
          <w:szCs w:val="21"/>
        </w:rPr>
        <w:t>0.1s），水箱的水头会瞬间作用于球阀断面，管道内产生的水锤压力波会对管道末端的</w:t>
      </w:r>
      <w:r>
        <w:rPr>
          <w:rFonts w:asciiTheme="majorBidi" w:hAnsiTheme="majorBidi" w:cstheme="majorBidi"/>
          <w:szCs w:val="21"/>
          <w:shd w:val="clear" w:color="auto" w:fill="FFFFFF"/>
        </w:rPr>
        <w:t>气团</w:t>
      </w:r>
      <w:r>
        <w:rPr>
          <w:rFonts w:asciiTheme="majorBidi" w:hAnsiTheme="majorBidi" w:cstheme="majorBidi"/>
          <w:szCs w:val="21"/>
        </w:rPr>
        <w:t>造成冲击。</w:t>
      </w:r>
      <w:bookmarkEnd w:id="16"/>
      <w:bookmarkStart w:id="18" w:name="_Hlk208263613"/>
      <w:bookmarkStart w:id="19" w:name="_Hlk208601903"/>
    </w:p>
    <w:bookmarkEnd w:id="17"/>
    <w:bookmarkEnd w:id="18"/>
    <w:bookmarkEnd w:id="19"/>
    <w:p w14:paraId="5D509452">
      <w:pPr>
        <w:adjustRightInd w:val="0"/>
        <w:snapToGrid w:val="0"/>
        <w:ind w:firstLine="420" w:firstLineChars="200"/>
        <w:rPr>
          <w:rFonts w:ascii="Times New Roman" w:hAnsi="Times New Roman" w:cs="Times New Roman"/>
        </w:rPr>
      </w:pPr>
      <w:r>
        <w:rPr>
          <w:rFonts w:ascii="Times New Roman" w:hAnsi="Times New Roman" w:cs="Times New Roman"/>
        </w:rPr>
        <w:t>研究对象的边界设定</w:t>
      </w:r>
      <w:r>
        <w:rPr>
          <w:rFonts w:hint="eastAsia" w:ascii="Times New Roman" w:hAnsi="Times New Roman" w:cs="Times New Roman"/>
          <w:shd w:val="clear" w:color="auto" w:fill="FFFFFF"/>
        </w:rPr>
        <w:t>如</w:t>
      </w:r>
      <w:r>
        <w:rPr>
          <w:rFonts w:ascii="Times New Roman" w:hAnsi="Times New Roman" w:cs="Times New Roman"/>
          <w:shd w:val="clear" w:color="auto" w:fill="FFFFFF"/>
        </w:rPr>
        <w:t>图</w:t>
      </w:r>
      <w:r>
        <w:rPr>
          <w:rFonts w:hint="eastAsia" w:ascii="Times New Roman" w:hAnsi="Times New Roman" w:cs="Times New Roman"/>
          <w:shd w:val="clear" w:color="auto" w:fill="FFFFFF"/>
        </w:rPr>
        <w:t>3</w:t>
      </w:r>
      <w:r>
        <w:rPr>
          <w:rFonts w:ascii="Times New Roman" w:hAnsi="Times New Roman" w:cs="Times New Roman"/>
          <w:shd w:val="clear" w:color="auto" w:fill="FFFFFF"/>
        </w:rPr>
        <w:t>(a)</w:t>
      </w:r>
      <w:r>
        <w:rPr>
          <w:rFonts w:hint="eastAsia" w:ascii="Times New Roman" w:hAnsi="Times New Roman" w:cs="Times New Roman"/>
          <w:shd w:val="clear" w:color="auto" w:fill="FFFFFF"/>
        </w:rPr>
        <w:t>所示</w:t>
      </w:r>
      <w:r>
        <w:rPr>
          <w:rFonts w:ascii="Times New Roman" w:hAnsi="Times New Roman" w:cs="Times New Roman"/>
        </w:rPr>
        <w:t>，管道盲端和四周壁面均</w:t>
      </w:r>
      <w:r>
        <w:rPr>
          <w:rFonts w:hint="eastAsia" w:ascii="Times New Roman" w:hAnsi="Times New Roman" w:cs="Times New Roman"/>
        </w:rPr>
        <w:t>采用</w:t>
      </w:r>
      <w:r>
        <w:rPr>
          <w:rFonts w:ascii="Times New Roman" w:hAnsi="Times New Roman" w:cs="Times New Roman"/>
        </w:rPr>
        <w:t>无滑移壁面（no-slip wall）</w:t>
      </w:r>
      <w:r>
        <w:rPr>
          <w:rFonts w:hint="eastAsia" w:ascii="Times New Roman" w:hAnsi="Times New Roman" w:cs="Times New Roman"/>
        </w:rPr>
        <w:t>，并将热通量设置为</w:t>
      </w:r>
      <w:r>
        <w:rPr>
          <w:rFonts w:ascii="Times New Roman" w:hAnsi="Times New Roman" w:cs="Times New Roman"/>
        </w:rPr>
        <w:t>0</w:t>
      </w:r>
      <w:r>
        <w:rPr>
          <w:rFonts w:hint="eastAsia" w:ascii="Times New Roman" w:hAnsi="Times New Roman" w:cs="Times New Roman"/>
        </w:rPr>
        <w:t>。</w:t>
      </w:r>
      <w:r>
        <w:rPr>
          <w:rFonts w:ascii="Times New Roman" w:hAnsi="Times New Roman" w:cs="Times New Roman"/>
        </w:rPr>
        <w:t>管道入口采用压力入口</w:t>
      </w:r>
      <w:r>
        <w:rPr>
          <w:rFonts w:hint="eastAsia" w:ascii="Times New Roman" w:hAnsi="Times New Roman" w:cs="Times New Roman"/>
        </w:rPr>
        <w:t>，在计算初始时刻，管道内部水流初始速度为</w:t>
      </w:r>
      <w:r>
        <w:rPr>
          <w:rFonts w:ascii="Times New Roman" w:hAnsi="Times New Roman" w:cs="Times New Roman"/>
        </w:rPr>
        <w:t>0 m/s</w:t>
      </w:r>
      <w:r>
        <w:rPr>
          <w:rFonts w:hint="eastAsia" w:ascii="Times New Roman" w:hAnsi="Times New Roman" w:cs="Times New Roman"/>
        </w:rPr>
        <w:t>，入口处的压力瞬间由</w:t>
      </w:r>
      <w:r>
        <w:rPr>
          <w:rFonts w:ascii="Times New Roman" w:hAnsi="Times New Roman" w:cs="Times New Roman"/>
        </w:rPr>
        <w:t>0</w:t>
      </w:r>
      <w:r>
        <w:rPr>
          <w:rFonts w:hint="eastAsia" w:ascii="Times New Roman" w:hAnsi="Times New Roman" w:cs="Times New Roman"/>
        </w:rPr>
        <w:t>升高至</w:t>
      </w:r>
      <w:r>
        <w:rPr>
          <w:rFonts w:ascii="Times New Roman" w:hAnsi="Times New Roman" w:cs="Times New Roman"/>
        </w:rPr>
        <w:t>7 m</w:t>
      </w:r>
      <w:r>
        <w:rPr>
          <w:rFonts w:hint="eastAsia" w:ascii="Times New Roman" w:hAnsi="Times New Roman" w:cs="Times New Roman"/>
        </w:rPr>
        <w:t>水头，进口水流的方向与进口面正交，湍流强度取</w:t>
      </w:r>
      <w:r>
        <w:rPr>
          <w:rFonts w:ascii="Times New Roman" w:hAnsi="Times New Roman" w:cs="Times New Roman"/>
        </w:rPr>
        <w:t xml:space="preserve"> 5%</w:t>
      </w:r>
      <w:r>
        <w:rPr>
          <w:rFonts w:hint="eastAsia" w:ascii="Times New Roman" w:hAnsi="Times New Roman" w:cs="Times New Roman"/>
        </w:rPr>
        <w:t>，水力直径取</w:t>
      </w:r>
      <w:r>
        <w:rPr>
          <w:rFonts w:ascii="Times New Roman" w:hAnsi="Times New Roman" w:cs="Times New Roman"/>
        </w:rPr>
        <w:t xml:space="preserve"> </w:t>
      </w:r>
      <w:r>
        <w:rPr>
          <w:rFonts w:hint="eastAsia" w:ascii="Times New Roman" w:hAnsi="Times New Roman" w:cs="Times New Roman"/>
        </w:rPr>
        <w:t>0.09</w:t>
      </w:r>
      <w:r>
        <w:rPr>
          <w:rFonts w:ascii="Times New Roman" w:hAnsi="Times New Roman" w:cs="Times New Roman"/>
        </w:rPr>
        <w:t>m</w:t>
      </w:r>
      <w:r>
        <w:rPr>
          <w:rFonts w:hint="eastAsia" w:ascii="Times New Roman" w:hAnsi="Times New Roman" w:cs="Times New Roman"/>
        </w:rPr>
        <w:t>。液相采用不可压缩流体，气相采用理想气体，考虑能量守恒，</w:t>
      </w:r>
      <w:bookmarkStart w:id="20" w:name="_Hlk208947221"/>
      <w:r>
        <w:rPr>
          <w:rFonts w:ascii="Times New Roman" w:hAnsi="Times New Roman" w:cs="Times New Roman"/>
        </w:rPr>
        <w:t>气相过程可视为绝热过程</w:t>
      </w:r>
      <w:r>
        <w:rPr>
          <w:rFonts w:hint="eastAsia" w:ascii="Times New Roman" w:hAnsi="Times New Roman" w:cs="Times New Roman"/>
        </w:rPr>
        <w:t>。</w:t>
      </w:r>
    </w:p>
    <w:bookmarkEnd w:id="20"/>
    <w:p w14:paraId="7756F69C">
      <w:pPr>
        <w:adjustRightInd w:val="0"/>
        <w:snapToGrid w:val="0"/>
        <w:spacing w:after="160" w:line="360" w:lineRule="auto"/>
        <w:outlineLvl w:val="2"/>
        <w:rPr>
          <w:rFonts w:ascii="Times New Roman" w:hAnsi="Times New Roman" w:eastAsia="黑体" w:cs="Times New Roman"/>
          <w:shd w:val="clear" w:color="auto" w:fill="FFFFFF"/>
        </w:rPr>
      </w:pPr>
      <w:r>
        <w:rPr>
          <w:rFonts w:hint="eastAsia" w:ascii="Times New Roman" w:hAnsi="Times New Roman" w:eastAsia="楷体" w:cs="Times New Roman"/>
          <w:bCs/>
          <w:shd w:val="clear" w:color="auto" w:fill="FFFFFF"/>
        </w:rPr>
        <w:t>1.4.2网格无关性验证</w:t>
      </w:r>
    </w:p>
    <w:p w14:paraId="5E3FC34B">
      <w:pPr>
        <w:adjustRightInd w:val="0"/>
        <w:snapToGrid w:val="0"/>
        <w:ind w:firstLine="420" w:firstLineChars="200"/>
        <w:rPr>
          <w:rFonts w:ascii="Times New Roman" w:hAnsi="Times New Roman" w:cs="Times New Roman"/>
          <w:shd w:val="clear" w:color="auto" w:fill="FFFFFF"/>
        </w:rPr>
      </w:pPr>
      <w:r>
        <w:rPr>
          <w:rFonts w:ascii="Times New Roman" w:hAnsi="Times New Roman" w:cs="Times New Roman"/>
          <w:shd w:val="clear" w:color="auto" w:fill="FFFFFF"/>
        </w:rPr>
        <w:t>研究对象的网格划分情况</w:t>
      </w:r>
      <w:r>
        <w:rPr>
          <w:rFonts w:hint="eastAsia" w:ascii="Times New Roman" w:hAnsi="Times New Roman" w:cs="Times New Roman"/>
          <w:shd w:val="clear" w:color="auto" w:fill="FFFFFF"/>
        </w:rPr>
        <w:t>如</w:t>
      </w:r>
      <w:r>
        <w:rPr>
          <w:rFonts w:ascii="Times New Roman" w:hAnsi="Times New Roman" w:cs="Times New Roman"/>
          <w:shd w:val="clear" w:color="auto" w:fill="FFFFFF"/>
        </w:rPr>
        <w:t>图</w:t>
      </w:r>
      <w:r>
        <w:rPr>
          <w:rFonts w:hint="eastAsia" w:ascii="Times New Roman" w:hAnsi="Times New Roman" w:cs="Times New Roman"/>
          <w:shd w:val="clear" w:color="auto" w:fill="FFFFFF"/>
        </w:rPr>
        <w:t>3</w:t>
      </w:r>
      <w:r>
        <w:rPr>
          <w:rFonts w:ascii="Times New Roman" w:hAnsi="Times New Roman" w:cs="Times New Roman"/>
          <w:shd w:val="clear" w:color="auto" w:fill="FFFFFF"/>
        </w:rPr>
        <w:t>(b)</w:t>
      </w:r>
      <w:r>
        <w:rPr>
          <w:rFonts w:hint="eastAsia" w:ascii="Times New Roman" w:hAnsi="Times New Roman" w:cs="Times New Roman"/>
          <w:shd w:val="clear" w:color="auto" w:fill="FFFFFF"/>
        </w:rPr>
        <w:t>所示</w:t>
      </w:r>
      <w:r>
        <w:rPr>
          <w:rFonts w:ascii="Times New Roman" w:hAnsi="Times New Roman" w:cs="Times New Roman"/>
          <w:shd w:val="clear" w:color="auto" w:fill="FFFFFF"/>
        </w:rPr>
        <w:t>，</w:t>
      </w:r>
      <w:r>
        <w:rPr>
          <w:rFonts w:ascii="Times New Roman" w:hAnsi="Times New Roman" w:cs="Times New Roman"/>
          <w:szCs w:val="21"/>
          <w:shd w:val="clear" w:color="auto" w:fill="FFFFFF"/>
        </w:rPr>
        <w:t>采用六面体网格对研究对象进行划分，由于滞留气团主要位于管道末端的盲端和弯管处，所以这两个区域采用加密网格。选取网格数量分别为</w:t>
      </w:r>
      <w:r>
        <w:rPr>
          <w:rFonts w:ascii="Times New Roman" w:hAnsi="Times New Roman" w:cs="Times New Roman"/>
          <w:shd w:val="clear" w:color="auto" w:fill="FFFFFF"/>
        </w:rPr>
        <w:t>41.02万、</w:t>
      </w:r>
      <w:r>
        <w:rPr>
          <w:rFonts w:ascii="Times New Roman" w:hAnsi="Times New Roman" w:cs="Times New Roman"/>
          <w:szCs w:val="21"/>
          <w:shd w:val="clear" w:color="auto" w:fill="FFFFFF"/>
        </w:rPr>
        <w:t>56.46万、70.38万进行网格无关性验证。</w:t>
      </w:r>
      <w:r>
        <w:rPr>
          <w:rFonts w:ascii="Times New Roman" w:hAnsi="Times New Roman" w:cs="Times New Roman"/>
          <w:shd w:val="clear" w:color="auto" w:fill="FFFFFF"/>
        </w:rPr>
        <w:t>通过对比工况4的数值模拟与试验结果，三种数量的网格在第一波峰处的压力极值结果与试验值的相对误差分别为8.64 %、4.25 %、3.27 %。</w:t>
      </w:r>
      <w:r>
        <w:rPr>
          <w:rFonts w:hint="eastAsia" w:ascii="Times New Roman" w:hAnsi="Times New Roman" w:cs="Times New Roman"/>
          <w:shd w:val="clear" w:color="auto" w:fill="FFFFFF"/>
        </w:rPr>
        <w:t>随后采用网格收敛指数（</w:t>
      </w:r>
      <w:r>
        <w:rPr>
          <w:rFonts w:ascii="Times New Roman" w:hAnsi="Times New Roman" w:cs="Times New Roman"/>
          <w:i/>
          <w:iCs/>
          <w:shd w:val="clear" w:color="auto" w:fill="FFFFFF"/>
        </w:rPr>
        <w:t>GCI</w:t>
      </w:r>
      <w:r>
        <w:rPr>
          <w:rFonts w:hint="eastAsia" w:ascii="Times New Roman" w:hAnsi="Times New Roman" w:cs="Times New Roman"/>
          <w:shd w:val="clear" w:color="auto" w:fill="FFFFFF"/>
        </w:rPr>
        <w:t>）量化数值模拟结果随网格加密的收敛性与离散误差，经过计算，三套网格计算结果均低于</w:t>
      </w:r>
      <w:r>
        <w:rPr>
          <w:rFonts w:ascii="Times New Roman" w:hAnsi="Times New Roman" w:cs="Times New Roman"/>
          <w:shd w:val="clear" w:color="auto" w:fill="FFFFFF"/>
        </w:rPr>
        <w:t xml:space="preserve"> 3% </w:t>
      </w:r>
      <w:r>
        <w:rPr>
          <w:rFonts w:hint="eastAsia" w:ascii="Times New Roman" w:hAnsi="Times New Roman" w:cs="Times New Roman"/>
          <w:shd w:val="clear" w:color="auto" w:fill="FFFFFF"/>
        </w:rPr>
        <w:t>的网格收敛指数准则</w:t>
      </w:r>
      <w:r>
        <w:rPr>
          <w:rFonts w:ascii="Times New Roman" w:hAnsi="Times New Roman" w:cs="Times New Roman"/>
          <w:kern w:val="0"/>
          <w:shd w:val="clear" w:color="auto" w:fill="FFFFFF"/>
          <w:vertAlign w:val="superscript"/>
        </w:rPr>
        <w:t>[37]</w:t>
      </w:r>
      <w:r>
        <w:rPr>
          <w:rFonts w:hint="eastAsia" w:ascii="Times New Roman" w:hAnsi="Times New Roman" w:cs="Times New Roman"/>
          <w:shd w:val="clear" w:color="auto" w:fill="FFFFFF"/>
        </w:rPr>
        <w:t>。综合计算精度与效率，最终选取网格数量为</w:t>
      </w:r>
      <w:r>
        <w:rPr>
          <w:rFonts w:ascii="Times New Roman" w:hAnsi="Times New Roman" w:cs="Times New Roman"/>
          <w:shd w:val="clear" w:color="auto" w:fill="FFFFFF"/>
        </w:rPr>
        <w:t>56.46</w:t>
      </w:r>
      <w:r>
        <w:rPr>
          <w:rFonts w:hint="eastAsia" w:ascii="Times New Roman" w:hAnsi="Times New Roman" w:cs="Times New Roman"/>
          <w:shd w:val="clear" w:color="auto" w:fill="FFFFFF"/>
        </w:rPr>
        <w:t>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6C4E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Borders>
              <w:top w:val="nil"/>
              <w:left w:val="nil"/>
              <w:bottom w:val="nil"/>
              <w:right w:val="nil"/>
            </w:tcBorders>
            <w:vAlign w:val="center"/>
          </w:tcPr>
          <w:p w14:paraId="4F340191">
            <w:pPr>
              <w:adjustRightInd w:val="0"/>
              <w:snapToGrid w:val="0"/>
              <w:jc w:val="center"/>
              <w:rPr>
                <w:rFonts w:ascii="Times New Roman" w:hAnsi="Times New Roman" w:cs="Times New Roman"/>
                <w:shd w:val="clear" w:color="auto" w:fill="FFFFFF"/>
              </w:rPr>
            </w:pPr>
            <w:bookmarkStart w:id="21" w:name="_Hlk208604590"/>
            <w:r>
              <w:rPr>
                <w:rFonts w:ascii="Times New Roman" w:hAnsi="Times New Roman" w:cs="Times New Roman"/>
                <w:shd w:val="clear" w:color="auto" w:fill="FFFFFF"/>
                <w14:ligatures w14:val="none"/>
              </w:rPr>
              <w:drawing>
                <wp:inline distT="0" distB="0" distL="0" distR="0">
                  <wp:extent cx="1861185" cy="1799590"/>
                  <wp:effectExtent l="0" t="0" r="0" b="0"/>
                  <wp:docPr id="190207991"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991" name="图形 5"/>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1861359" cy="1800000"/>
                          </a:xfrm>
                          <a:prstGeom prst="rect">
                            <a:avLst/>
                          </a:prstGeom>
                        </pic:spPr>
                      </pic:pic>
                    </a:graphicData>
                  </a:graphic>
                </wp:inline>
              </w:drawing>
            </w:r>
          </w:p>
        </w:tc>
        <w:tc>
          <w:tcPr>
            <w:tcW w:w="4264" w:type="dxa"/>
            <w:tcBorders>
              <w:top w:val="nil"/>
              <w:left w:val="nil"/>
              <w:bottom w:val="nil"/>
              <w:right w:val="nil"/>
            </w:tcBorders>
            <w:vAlign w:val="center"/>
          </w:tcPr>
          <w:p w14:paraId="192CF20B">
            <w:pPr>
              <w:adjustRightInd w:val="0"/>
              <w:snapToGrid w:val="0"/>
              <w:jc w:val="center"/>
              <w:rPr>
                <w:rFonts w:ascii="Times New Roman" w:hAnsi="Times New Roman" w:cs="Times New Roman"/>
                <w:shd w:val="clear" w:color="auto" w:fill="FFFFFF"/>
              </w:rPr>
            </w:pPr>
            <w:r>
              <w:rPr>
                <w:rFonts w:ascii="Times New Roman" w:hAnsi="Times New Roman" w:cs="Times New Roman"/>
                <w:shd w:val="clear" w:color="auto" w:fill="FFFFFF"/>
                <w14:ligatures w14:val="none"/>
              </w:rPr>
              <w:drawing>
                <wp:inline distT="0" distB="0" distL="0" distR="0">
                  <wp:extent cx="1565275" cy="1839595"/>
                  <wp:effectExtent l="0" t="0" r="0" b="8255"/>
                  <wp:docPr id="198120893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8936" name="图形 6"/>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0" y="0"/>
                            <a:ext cx="1569773" cy="1845314"/>
                          </a:xfrm>
                          <a:prstGeom prst="rect">
                            <a:avLst/>
                          </a:prstGeom>
                        </pic:spPr>
                      </pic:pic>
                    </a:graphicData>
                  </a:graphic>
                </wp:inline>
              </w:drawing>
            </w:r>
          </w:p>
        </w:tc>
      </w:tr>
      <w:tr w14:paraId="4417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64" w:type="dxa"/>
            <w:tcBorders>
              <w:top w:val="nil"/>
              <w:left w:val="nil"/>
              <w:bottom w:val="nil"/>
              <w:right w:val="nil"/>
            </w:tcBorders>
            <w:vAlign w:val="center"/>
          </w:tcPr>
          <w:p w14:paraId="11D586C1">
            <w:pPr>
              <w:adjustRightInd w:val="0"/>
              <w:snapToGrid w:val="0"/>
              <w:spacing w:after="160"/>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(a)研究对象边界条件</w:t>
            </w:r>
          </w:p>
        </w:tc>
        <w:tc>
          <w:tcPr>
            <w:tcW w:w="4264" w:type="dxa"/>
            <w:tcBorders>
              <w:top w:val="nil"/>
              <w:left w:val="nil"/>
              <w:bottom w:val="nil"/>
              <w:right w:val="nil"/>
            </w:tcBorders>
            <w:vAlign w:val="center"/>
          </w:tcPr>
          <w:p w14:paraId="479F4499">
            <w:pPr>
              <w:adjustRightInd w:val="0"/>
              <w:snapToGrid w:val="0"/>
              <w:spacing w:after="160"/>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(b)研究对象网格</w:t>
            </w:r>
          </w:p>
        </w:tc>
      </w:tr>
      <w:tr w14:paraId="3C95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8" w:type="dxa"/>
            <w:gridSpan w:val="2"/>
            <w:tcBorders>
              <w:top w:val="nil"/>
              <w:left w:val="nil"/>
              <w:bottom w:val="nil"/>
              <w:right w:val="nil"/>
            </w:tcBorders>
            <w:vAlign w:val="center"/>
          </w:tcPr>
          <w:p w14:paraId="53D8508D">
            <w:pPr>
              <w:adjustRightInd w:val="0"/>
              <w:snapToGrid w:val="0"/>
              <w:spacing w:after="160"/>
              <w:jc w:val="center"/>
              <w:rPr>
                <w:rFonts w:ascii="Times New Roman" w:hAnsi="Times New Roman" w:eastAsia="黑体" w:cs="Times New Roman"/>
                <w:sz w:val="18"/>
                <w:szCs w:val="18"/>
                <w:shd w:val="clear" w:color="auto" w:fill="FFFFFF"/>
              </w:rPr>
            </w:pPr>
            <w:r>
              <w:rPr>
                <w:rFonts w:ascii="Times New Roman" w:hAnsi="Times New Roman" w:eastAsia="黑体" w:cs="Times New Roman"/>
                <w:sz w:val="18"/>
                <w:szCs w:val="18"/>
                <w:shd w:val="clear" w:color="auto" w:fill="FFFFFF"/>
              </w:rPr>
              <w:t>图</w:t>
            </w:r>
            <w:r>
              <w:rPr>
                <w:rFonts w:hint="eastAsia" w:ascii="Times New Roman" w:hAnsi="Times New Roman" w:eastAsia="黑体" w:cs="Times New Roman"/>
                <w:sz w:val="18"/>
                <w:szCs w:val="18"/>
                <w:shd w:val="clear" w:color="auto" w:fill="FFFFFF"/>
              </w:rPr>
              <w:t>3</w:t>
            </w:r>
            <w:r>
              <w:rPr>
                <w:rFonts w:ascii="Times New Roman" w:hAnsi="Times New Roman" w:eastAsia="黑体" w:cs="Times New Roman"/>
                <w:sz w:val="18"/>
                <w:szCs w:val="18"/>
                <w:shd w:val="clear" w:color="auto" w:fill="FFFFFF"/>
              </w:rPr>
              <w:t xml:space="preserve">  研究对象的边界条件及网格划分</w:t>
            </w:r>
          </w:p>
          <w:p w14:paraId="2C971F38">
            <w:pPr>
              <w:adjustRightInd w:val="0"/>
              <w:snapToGrid w:val="0"/>
              <w:spacing w:after="160"/>
              <w:jc w:val="center"/>
              <w:rPr>
                <w:rFonts w:ascii="Times New Roman" w:hAnsi="Times New Roman" w:eastAsia="黑体" w:cs="Times New Roman"/>
                <w:sz w:val="18"/>
                <w:szCs w:val="18"/>
                <w:shd w:val="clear" w:color="auto" w:fill="FFFFFF"/>
              </w:rPr>
            </w:pPr>
            <w:r>
              <w:rPr>
                <w:rFonts w:ascii="Times New Roman" w:hAnsi="Times New Roman" w:eastAsia="黑体" w:cs="Times New Roman"/>
                <w:sz w:val="18"/>
                <w:szCs w:val="18"/>
                <w:shd w:val="clear" w:color="auto" w:fill="FFFFFF"/>
              </w:rPr>
              <w:t>Fig.</w:t>
            </w:r>
            <w:r>
              <w:rPr>
                <w:rFonts w:hint="eastAsia" w:ascii="Times New Roman" w:hAnsi="Times New Roman" w:eastAsia="黑体" w:cs="Times New Roman"/>
                <w:sz w:val="18"/>
                <w:szCs w:val="18"/>
                <w:shd w:val="clear" w:color="auto" w:fill="FFFFFF"/>
              </w:rPr>
              <w:t>3</w:t>
            </w:r>
            <w:r>
              <w:rPr>
                <w:rFonts w:ascii="Times New Roman" w:hAnsi="Times New Roman" w:eastAsia="黑体" w:cs="Times New Roman"/>
                <w:sz w:val="18"/>
                <w:szCs w:val="18"/>
                <w:shd w:val="clear" w:color="auto" w:fill="FFFFFF"/>
              </w:rPr>
              <w:t xml:space="preserve">  Boundary conditions and mesh </w:t>
            </w:r>
            <w:r>
              <w:rPr>
                <w:rFonts w:hint="eastAsia" w:ascii="Times New Roman" w:hAnsi="Times New Roman" w:eastAsia="黑体" w:cs="Times New Roman"/>
                <w:sz w:val="18"/>
                <w:szCs w:val="18"/>
                <w:shd w:val="clear" w:color="auto" w:fill="FFFFFF"/>
                <w:lang w:val="en-US" w:eastAsia="zh-CN"/>
              </w:rPr>
              <w:t xml:space="preserve">division </w:t>
            </w:r>
            <w:r>
              <w:rPr>
                <w:rFonts w:ascii="Times New Roman" w:hAnsi="Times New Roman" w:eastAsia="黑体" w:cs="Times New Roman"/>
                <w:sz w:val="18"/>
                <w:szCs w:val="18"/>
                <w:shd w:val="clear" w:color="auto" w:fill="FFFFFF"/>
              </w:rPr>
              <w:t>of research object</w:t>
            </w:r>
          </w:p>
        </w:tc>
      </w:tr>
      <w:bookmarkEnd w:id="21"/>
    </w:tbl>
    <w:p w14:paraId="4C845106">
      <w:pPr>
        <w:adjustRightInd w:val="0"/>
        <w:snapToGrid w:val="0"/>
        <w:spacing w:after="160"/>
        <w:outlineLvl w:val="2"/>
        <w:rPr>
          <w:rFonts w:ascii="Times New Roman" w:hAnsi="Times New Roman" w:cs="Times New Roman"/>
          <w:shd w:val="clear" w:color="auto" w:fill="FFFFFF"/>
        </w:rPr>
      </w:pPr>
      <w:r>
        <w:rPr>
          <w:rFonts w:hint="eastAsia" w:ascii="Times New Roman" w:hAnsi="Times New Roman" w:eastAsia="楷体" w:cs="Times New Roman"/>
          <w:bCs/>
          <w:shd w:val="clear" w:color="auto" w:fill="FFFFFF"/>
        </w:rPr>
        <w:t>1.4.3时间步长独立性测试</w:t>
      </w:r>
    </w:p>
    <w:p w14:paraId="0B253976">
      <w:pPr>
        <w:adjustRightInd w:val="0"/>
        <w:snapToGrid w:val="0"/>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在进行网格无关性验证后，为验证计算结果对时间步长的敏感性，本文进行了时间步长独立性测试，选取了时间步长分别为</w:t>
      </w:r>
      <w:r>
        <w:rPr>
          <w:rFonts w:ascii="Times New Roman" w:hAnsi="Times New Roman" w:cs="Times New Roman"/>
          <w:shd w:val="clear" w:color="auto" w:fill="FFFFFF"/>
        </w:rPr>
        <w:t>1×10</w:t>
      </w:r>
      <w:r>
        <w:rPr>
          <w:rFonts w:ascii="Times New Roman" w:hAnsi="Times New Roman" w:cs="Times New Roman"/>
          <w:shd w:val="clear" w:color="auto" w:fill="FFFFFF"/>
          <w:vertAlign w:val="superscript"/>
        </w:rPr>
        <w:t xml:space="preserve">-3 </w:t>
      </w:r>
      <w:r>
        <w:rPr>
          <w:rFonts w:ascii="Times New Roman" w:hAnsi="Times New Roman" w:cs="Times New Roman"/>
          <w:shd w:val="clear" w:color="auto" w:fill="FFFFFF"/>
        </w:rPr>
        <w:t xml:space="preserve">s </w:t>
      </w:r>
      <w:r>
        <w:rPr>
          <w:rFonts w:hint="eastAsia" w:ascii="Times New Roman" w:hAnsi="Times New Roman" w:cs="Times New Roman"/>
          <w:shd w:val="clear" w:color="auto" w:fill="FFFFFF"/>
        </w:rPr>
        <w:t>、</w:t>
      </w:r>
      <w:r>
        <w:rPr>
          <w:rFonts w:ascii="Times New Roman" w:hAnsi="Times New Roman" w:cs="Times New Roman"/>
          <w:shd w:val="clear" w:color="auto" w:fill="FFFFFF"/>
        </w:rPr>
        <w:t>5×10</w:t>
      </w:r>
      <w:r>
        <w:rPr>
          <w:rFonts w:ascii="Times New Roman" w:hAnsi="Times New Roman" w:cs="Times New Roman"/>
          <w:shd w:val="clear" w:color="auto" w:fill="FFFFFF"/>
          <w:vertAlign w:val="superscript"/>
        </w:rPr>
        <w:t xml:space="preserve">-4 </w:t>
      </w:r>
      <w:r>
        <w:rPr>
          <w:rFonts w:ascii="Times New Roman" w:hAnsi="Times New Roman" w:cs="Times New Roman"/>
          <w:shd w:val="clear" w:color="auto" w:fill="FFFFFF"/>
        </w:rPr>
        <w:t xml:space="preserve">s </w:t>
      </w:r>
      <w:r>
        <w:rPr>
          <w:rFonts w:hint="eastAsia" w:ascii="Times New Roman" w:hAnsi="Times New Roman" w:cs="Times New Roman"/>
          <w:shd w:val="clear" w:color="auto" w:fill="FFFFFF"/>
        </w:rPr>
        <w:t>、</w:t>
      </w:r>
      <w:r>
        <w:rPr>
          <w:rFonts w:ascii="Times New Roman" w:hAnsi="Times New Roman" w:cs="Times New Roman"/>
          <w:shd w:val="clear" w:color="auto" w:fill="FFFFFF"/>
        </w:rPr>
        <w:t>5×10</w:t>
      </w:r>
      <w:r>
        <w:rPr>
          <w:rFonts w:ascii="Times New Roman" w:hAnsi="Times New Roman" w:cs="Times New Roman"/>
          <w:shd w:val="clear" w:color="auto" w:fill="FFFFFF"/>
          <w:vertAlign w:val="superscript"/>
        </w:rPr>
        <w:t xml:space="preserve">-5 </w:t>
      </w:r>
      <w:r>
        <w:rPr>
          <w:rFonts w:ascii="Times New Roman" w:hAnsi="Times New Roman" w:cs="Times New Roman"/>
          <w:shd w:val="clear" w:color="auto" w:fill="FFFFFF"/>
        </w:rPr>
        <w:t>s</w:t>
      </w:r>
      <w:r>
        <w:rPr>
          <w:rFonts w:hint="eastAsia" w:ascii="Times New Roman" w:hAnsi="Times New Roman" w:cs="Times New Roman"/>
          <w:shd w:val="clear" w:color="auto" w:fill="FFFFFF"/>
        </w:rPr>
        <w:t>的三种步长，三种步长在第一压力波峰处的相对误差分别为</w:t>
      </w:r>
      <w:r>
        <w:rPr>
          <w:rFonts w:ascii="Times New Roman" w:hAnsi="Times New Roman" w:cs="Times New Roman"/>
          <w:shd w:val="clear" w:color="auto" w:fill="FFFFFF"/>
        </w:rPr>
        <w:t>4.85%</w:t>
      </w:r>
      <w:r>
        <w:rPr>
          <w:rFonts w:hint="eastAsia" w:ascii="Times New Roman" w:hAnsi="Times New Roman" w:cs="Times New Roman"/>
          <w:shd w:val="clear" w:color="auto" w:fill="FFFFFF"/>
        </w:rPr>
        <w:t>、</w:t>
      </w:r>
      <w:r>
        <w:rPr>
          <w:rFonts w:ascii="Times New Roman" w:hAnsi="Times New Roman" w:cs="Times New Roman"/>
          <w:shd w:val="clear" w:color="auto" w:fill="FFFFFF"/>
        </w:rPr>
        <w:t>4.25%</w:t>
      </w:r>
      <w:r>
        <w:rPr>
          <w:rFonts w:hint="eastAsia" w:ascii="Times New Roman" w:hAnsi="Times New Roman" w:cs="Times New Roman"/>
          <w:shd w:val="clear" w:color="auto" w:fill="FFFFFF"/>
        </w:rPr>
        <w:t>、</w:t>
      </w:r>
      <w:r>
        <w:rPr>
          <w:rFonts w:ascii="Times New Roman" w:hAnsi="Times New Roman" w:cs="Times New Roman"/>
          <w:shd w:val="clear" w:color="auto" w:fill="FFFFFF"/>
        </w:rPr>
        <w:t>3.73%</w:t>
      </w:r>
      <w:r>
        <w:rPr>
          <w:rFonts w:hint="eastAsia" w:ascii="Times New Roman" w:hAnsi="Times New Roman" w:cs="Times New Roman"/>
          <w:shd w:val="clear" w:color="auto" w:fill="FFFFFF"/>
        </w:rPr>
        <w:t>，结果相差不大。</w:t>
      </w:r>
    </w:p>
    <w:p w14:paraId="2E1A1506">
      <w:pPr>
        <w:adjustRightInd w:val="0"/>
        <w:snapToGrid w:val="0"/>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通过计算，三种时间步长下</w:t>
      </w:r>
      <w:r>
        <w:rPr>
          <w:rFonts w:ascii="Times New Roman" w:hAnsi="Times New Roman" w:cs="Times New Roman"/>
          <w:i/>
          <w:iCs/>
          <w:shd w:val="clear" w:color="auto" w:fill="FFFFFF"/>
        </w:rPr>
        <w:t>CFL</w:t>
      </w:r>
      <w:r>
        <w:rPr>
          <w:rFonts w:hint="eastAsia" w:ascii="Times New Roman" w:hAnsi="Times New Roman" w:cs="Times New Roman"/>
          <w:shd w:val="clear" w:color="auto" w:fill="FFFFFF"/>
        </w:rPr>
        <w:t>数均小于</w:t>
      </w:r>
      <w:r>
        <w:rPr>
          <w:rFonts w:ascii="Times New Roman" w:hAnsi="Times New Roman" w:cs="Times New Roman"/>
          <w:shd w:val="clear" w:color="auto" w:fill="FFFFFF"/>
        </w:rPr>
        <w:t xml:space="preserve"> 5</w:t>
      </w:r>
      <w:r>
        <w:rPr>
          <w:rFonts w:hint="eastAsia" w:ascii="Times New Roman" w:hAnsi="Times New Roman" w:cs="Times New Roman"/>
          <w:shd w:val="clear" w:color="auto" w:fill="FFFFFF"/>
        </w:rPr>
        <w:t>，由于本文采用</w:t>
      </w:r>
      <w:r>
        <w:rPr>
          <w:rFonts w:hint="eastAsia" w:ascii="Times New Roman" w:hAnsi="Times New Roman" w:cs="Times New Roman"/>
          <w:szCs w:val="21"/>
          <w:shd w:val="clear" w:color="auto" w:fill="FFFFFF"/>
        </w:rPr>
        <w:t>隐式求解格式，所以三种步长对应的</w:t>
      </w:r>
      <w:r>
        <w:rPr>
          <w:rFonts w:hint="eastAsia" w:ascii="Times New Roman" w:hAnsi="Times New Roman" w:cs="Times New Roman"/>
          <w:i/>
          <w:iCs/>
          <w:szCs w:val="21"/>
          <w:shd w:val="clear" w:color="auto" w:fill="FFFFFF"/>
        </w:rPr>
        <w:t>CFL</w:t>
      </w:r>
      <w:r>
        <w:rPr>
          <w:rFonts w:hint="eastAsia" w:ascii="Times New Roman" w:hAnsi="Times New Roman" w:cs="Times New Roman"/>
          <w:szCs w:val="21"/>
          <w:shd w:val="clear" w:color="auto" w:fill="FFFFFF"/>
        </w:rPr>
        <w:t>数均处于稳定</w:t>
      </w:r>
      <w:r>
        <w:rPr>
          <w:rFonts w:hint="eastAsia" w:ascii="Times New Roman" w:hAnsi="Times New Roman" w:cs="Times New Roman"/>
          <w:shd w:val="clear" w:color="auto" w:fill="FFFFFF"/>
        </w:rPr>
        <w:t>范围内。对比结果表明，时间步长从</w:t>
      </w:r>
      <w:r>
        <w:rPr>
          <w:rFonts w:ascii="Times New Roman" w:hAnsi="Times New Roman" w:cs="Times New Roman"/>
          <w:shd w:val="clear" w:color="auto" w:fill="FFFFFF"/>
        </w:rPr>
        <w:t>5×10</w:t>
      </w:r>
      <w:r>
        <w:rPr>
          <w:rFonts w:ascii="Times New Roman" w:hAnsi="Times New Roman" w:cs="Times New Roman"/>
          <w:shd w:val="clear" w:color="auto" w:fill="FFFFFF"/>
          <w:vertAlign w:val="superscript"/>
        </w:rPr>
        <w:t xml:space="preserve">-4 </w:t>
      </w:r>
      <w:r>
        <w:rPr>
          <w:rFonts w:ascii="Times New Roman" w:hAnsi="Times New Roman" w:cs="Times New Roman"/>
          <w:shd w:val="clear" w:color="auto" w:fill="FFFFFF"/>
        </w:rPr>
        <w:t xml:space="preserve">s </w:t>
      </w:r>
      <w:r>
        <w:rPr>
          <w:rFonts w:hint="eastAsia" w:ascii="Times New Roman" w:hAnsi="Times New Roman" w:cs="Times New Roman"/>
          <w:shd w:val="clear" w:color="auto" w:fill="FFFFFF"/>
        </w:rPr>
        <w:t>减小为</w:t>
      </w:r>
      <w:r>
        <w:rPr>
          <w:rFonts w:ascii="Times New Roman" w:hAnsi="Times New Roman" w:cs="Times New Roman"/>
          <w:shd w:val="clear" w:color="auto" w:fill="FFFFFF"/>
        </w:rPr>
        <w:t>5×10</w:t>
      </w:r>
      <w:r>
        <w:rPr>
          <w:rFonts w:ascii="Times New Roman" w:hAnsi="Times New Roman" w:cs="Times New Roman"/>
          <w:shd w:val="clear" w:color="auto" w:fill="FFFFFF"/>
          <w:vertAlign w:val="superscript"/>
        </w:rPr>
        <w:t xml:space="preserve">-5 </w:t>
      </w:r>
      <w:r>
        <w:rPr>
          <w:rFonts w:ascii="Times New Roman" w:hAnsi="Times New Roman" w:cs="Times New Roman"/>
          <w:shd w:val="clear" w:color="auto" w:fill="FFFFFF"/>
        </w:rPr>
        <w:t>s</w:t>
      </w:r>
      <w:r>
        <w:rPr>
          <w:rFonts w:hint="eastAsia" w:ascii="Times New Roman" w:hAnsi="Times New Roman" w:cs="Times New Roman"/>
          <w:shd w:val="clear" w:color="auto" w:fill="FFFFFF"/>
        </w:rPr>
        <w:t>时，对计算精度提升不显著，但会显著增加计算时间。综合稳定性、精度及计算效率等因素，本文最终选取</w:t>
      </w:r>
      <w:r>
        <w:rPr>
          <w:rFonts w:ascii="Times New Roman" w:hAnsi="Times New Roman" w:cs="Times New Roman"/>
          <w:shd w:val="clear" w:color="auto" w:fill="FFFFFF"/>
        </w:rPr>
        <w:t>5×10</w:t>
      </w:r>
      <w:r>
        <w:rPr>
          <w:rFonts w:ascii="Times New Roman" w:hAnsi="Times New Roman" w:cs="Times New Roman"/>
          <w:shd w:val="clear" w:color="auto" w:fill="FFFFFF"/>
          <w:vertAlign w:val="superscript"/>
        </w:rPr>
        <w:t>-4</w:t>
      </w:r>
      <w:r>
        <w:rPr>
          <w:rFonts w:ascii="Times New Roman" w:hAnsi="Times New Roman" w:cs="Times New Roman"/>
          <w:shd w:val="clear" w:color="auto" w:fill="FFFFFF"/>
        </w:rPr>
        <w:t xml:space="preserve"> s</w:t>
      </w:r>
      <w:r>
        <w:rPr>
          <w:rFonts w:hint="eastAsia" w:ascii="Times New Roman" w:hAnsi="Times New Roman" w:cs="Times New Roman"/>
          <w:shd w:val="clear" w:color="auto" w:fill="FFFFFF"/>
        </w:rPr>
        <w:t>作为计算时间步长。</w:t>
      </w:r>
    </w:p>
    <w:p w14:paraId="39A540A7">
      <w:pPr>
        <w:adjustRightInd w:val="0"/>
        <w:snapToGrid w:val="0"/>
        <w:spacing w:after="160"/>
        <w:outlineLvl w:val="2"/>
        <w:rPr>
          <w:rFonts w:ascii="Times New Roman" w:hAnsi="Times New Roman" w:cs="Times New Roman"/>
        </w:rPr>
      </w:pPr>
      <w:bookmarkStart w:id="22" w:name="_Hlk211977600"/>
      <w:r>
        <w:rPr>
          <w:rFonts w:hint="eastAsia" w:ascii="Times New Roman" w:hAnsi="Times New Roman" w:eastAsia="楷体" w:cs="Times New Roman"/>
          <w:bCs/>
        </w:rPr>
        <w:t>1.4.4数值计算参数设置</w:t>
      </w:r>
    </w:p>
    <w:bookmarkEnd w:id="22"/>
    <w:p w14:paraId="13AE065C">
      <w:pPr>
        <w:adjustRightInd w:val="0"/>
        <w:snapToGrid w:val="0"/>
        <w:ind w:firstLine="420" w:firstLineChars="200"/>
        <w:rPr>
          <w:rFonts w:ascii="Times New Roman" w:hAnsi="Times New Roman" w:cs="Times New Roman"/>
          <w:szCs w:val="21"/>
        </w:rPr>
      </w:pPr>
      <w:bookmarkStart w:id="23" w:name="_Hlk211977690"/>
      <w:r>
        <w:rPr>
          <w:rFonts w:hint="eastAsia" w:ascii="Times New Roman" w:hAnsi="Times New Roman" w:cs="Times New Roman"/>
          <w:szCs w:val="21"/>
        </w:rPr>
        <w:t>为保证参数收敛，经过测试，确定每一时间步内迭代步数为</w:t>
      </w:r>
      <w:r>
        <w:rPr>
          <w:rFonts w:ascii="Times New Roman" w:hAnsi="Times New Roman" w:cs="Times New Roman"/>
          <w:szCs w:val="21"/>
        </w:rPr>
        <w:t>50</w:t>
      </w:r>
      <w:r>
        <w:rPr>
          <w:rFonts w:hint="eastAsia" w:ascii="Times New Roman" w:hAnsi="Times New Roman" w:cs="Times New Roman"/>
          <w:szCs w:val="21"/>
        </w:rPr>
        <w:t>步，并采用</w:t>
      </w:r>
      <w:r>
        <w:rPr>
          <w:rFonts w:ascii="Times New Roman" w:hAnsi="Times New Roman" w:cs="Times New Roman"/>
          <w:szCs w:val="21"/>
        </w:rPr>
        <w:t xml:space="preserve"> VOF </w:t>
      </w:r>
      <w:r>
        <w:rPr>
          <w:rFonts w:hint="eastAsia" w:ascii="Times New Roman" w:hAnsi="Times New Roman" w:cs="Times New Roman"/>
          <w:szCs w:val="21"/>
        </w:rPr>
        <w:t>方法的隐式求解格式，计算采取</w:t>
      </w:r>
      <w:r>
        <w:rPr>
          <w:rFonts w:ascii="Times New Roman" w:hAnsi="Times New Roman" w:cs="Times New Roman"/>
          <w:szCs w:val="21"/>
        </w:rPr>
        <w:t>PISO</w:t>
      </w:r>
      <w:r>
        <w:rPr>
          <w:rFonts w:hint="eastAsia" w:ascii="Times New Roman" w:hAnsi="Times New Roman" w:cs="Times New Roman"/>
          <w:szCs w:val="21"/>
        </w:rPr>
        <w:t>算法，压力格式为</w:t>
      </w:r>
      <w:r>
        <w:rPr>
          <w:rFonts w:ascii="Times New Roman" w:hAnsi="Times New Roman" w:cs="Times New Roman"/>
          <w:szCs w:val="21"/>
        </w:rPr>
        <w:t>PRESTO</w:t>
      </w:r>
      <w:r>
        <w:rPr>
          <w:rFonts w:hint="eastAsia" w:ascii="Times New Roman" w:hAnsi="Times New Roman" w:cs="Times New Roman"/>
          <w:szCs w:val="21"/>
        </w:rPr>
        <w:t>格式，密度、动量和能量的格式为二阶迎风格式，湍动能项、湍流耗散项采用一阶迎风格式，湍流模型采用一阶隐式格式求解。</w:t>
      </w:r>
    </w:p>
    <w:bookmarkEnd w:id="23"/>
    <w:p w14:paraId="1636BA09">
      <w:pPr>
        <w:adjustRightInd w:val="0"/>
        <w:snapToGrid w:val="0"/>
        <w:spacing w:after="160"/>
        <w:outlineLvl w:val="1"/>
        <w:rPr>
          <w:rFonts w:ascii="Times New Roman" w:hAnsi="Times New Roman" w:eastAsia="黑体" w:cs="Times New Roman"/>
        </w:rPr>
      </w:pPr>
      <w:r>
        <w:rPr>
          <w:rFonts w:ascii="Times New Roman" w:hAnsi="Times New Roman" w:eastAsia="黑体" w:cs="Times New Roman"/>
        </w:rPr>
        <w:t>1.5 模型验证</w:t>
      </w:r>
    </w:p>
    <w:p w14:paraId="4C8BB11A">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管道入口压力瞬间由0升高至7 m水头，从而引发瞬变流。随着压力波的传播和反射，压力波的幅值会不断减小。前两个周期的波峰波谷往往具有相对较大的幅值，所以选取第一周期和第二周期的压力波峰波谷进行分析对于水锤防护更具有实际意义。将工况4的管道盲端前两个周期的瞬变压力计算结果与试验结果进行对比，如图</w:t>
      </w:r>
      <w:r>
        <w:rPr>
          <w:rFonts w:hint="eastAsia" w:ascii="Times New Roman" w:hAnsi="Times New Roman" w:cs="Times New Roman"/>
          <w:szCs w:val="21"/>
        </w:rPr>
        <w:t>4</w:t>
      </w:r>
      <w:r>
        <w:rPr>
          <w:rFonts w:ascii="Times New Roman" w:hAnsi="Times New Roman" w:cs="Times New Roman"/>
          <w:szCs w:val="21"/>
        </w:rPr>
        <w:t>所示。通过比较可知，数值模拟所得波峰压力误差为0</w:t>
      </w:r>
      <w:r>
        <w:rPr>
          <w:rFonts w:ascii="Times New Roman" w:hAnsi="Times New Roman" w:cs="Times New Roman"/>
          <w:szCs w:val="21"/>
          <w:shd w:val="clear" w:color="auto" w:fill="FFFFFF"/>
        </w:rPr>
        <w:t>.14</w:t>
      </w:r>
      <w:r>
        <w:rPr>
          <w:rFonts w:ascii="Times New Roman" w:hAnsi="Times New Roman" w:cs="Times New Roman"/>
          <w:szCs w:val="21"/>
        </w:rPr>
        <w:t xml:space="preserve"> m~0.65 m，峰值出现时刻的误差为0</w:t>
      </w:r>
      <w:r>
        <w:rPr>
          <w:rFonts w:ascii="Times New Roman" w:hAnsi="Times New Roman" w:cs="Times New Roman"/>
          <w:szCs w:val="21"/>
          <w:shd w:val="clear" w:color="auto" w:fill="FFFFFF"/>
        </w:rPr>
        <w:t>.0035</w:t>
      </w:r>
      <w:r>
        <w:rPr>
          <w:rFonts w:ascii="Times New Roman" w:hAnsi="Times New Roman" w:cs="Times New Roman"/>
          <w:szCs w:val="21"/>
        </w:rPr>
        <w:t xml:space="preserve"> s~</w:t>
      </w:r>
      <w:r>
        <w:rPr>
          <w:rFonts w:ascii="Times New Roman" w:hAnsi="Times New Roman" w:cs="Times New Roman"/>
          <w:szCs w:val="21"/>
          <w:shd w:val="clear" w:color="auto" w:fill="FFFFFF"/>
        </w:rPr>
        <w:t>0.006</w:t>
      </w:r>
      <w:r>
        <w:rPr>
          <w:rFonts w:hint="eastAsia" w:ascii="Times New Roman" w:hAnsi="Times New Roman" w:cs="Times New Roman"/>
          <w:szCs w:val="21"/>
          <w:shd w:val="clear" w:color="auto" w:fill="FFFFFF"/>
        </w:rPr>
        <w:t>0</w:t>
      </w:r>
      <w:r>
        <w:rPr>
          <w:rFonts w:ascii="Times New Roman" w:hAnsi="Times New Roman" w:cs="Times New Roman"/>
          <w:szCs w:val="21"/>
        </w:rPr>
        <w:t xml:space="preserve"> s；波谷压力误差为0.15 m~0.41 m，峰谷时刻的误差为0.0005 s~0.003</w:t>
      </w:r>
      <w:r>
        <w:rPr>
          <w:rFonts w:hint="eastAsia" w:ascii="Times New Roman" w:hAnsi="Times New Roman" w:cs="Times New Roman"/>
          <w:szCs w:val="21"/>
        </w:rPr>
        <w:t>0</w:t>
      </w:r>
      <w:r>
        <w:rPr>
          <w:rFonts w:ascii="Times New Roman" w:hAnsi="Times New Roman" w:cs="Times New Roman"/>
          <w:szCs w:val="21"/>
        </w:rPr>
        <w:t xml:space="preserve"> s。数值模拟相对误差为1.20 %~4.25 %，数值模拟结果满足工程应用需求。</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388B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14:paraId="26161760">
            <w:pPr>
              <w:snapToGrid w:val="0"/>
              <w:jc w:val="center"/>
              <w:rPr>
                <w:rFonts w:ascii="Times New Roman" w:hAnsi="Times New Roman" w:cs="Times New Roman"/>
                <w:szCs w:val="21"/>
              </w:rPr>
            </w:pPr>
            <w:r>
              <w:rPr>
                <w:rFonts w:ascii="Times New Roman" w:hAnsi="Times New Roman" w:cs="Times New Roman"/>
                <w:szCs w:val="21"/>
                <w14:ligatures w14:val="none"/>
              </w:rPr>
              <w:drawing>
                <wp:inline distT="0" distB="0" distL="0" distR="0">
                  <wp:extent cx="3433445" cy="2057400"/>
                  <wp:effectExtent l="0" t="0" r="0" b="0"/>
                  <wp:docPr id="155543150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1507" name="图形 17"/>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446046" cy="2064643"/>
                          </a:xfrm>
                          <a:prstGeom prst="rect">
                            <a:avLst/>
                          </a:prstGeom>
                        </pic:spPr>
                      </pic:pic>
                    </a:graphicData>
                  </a:graphic>
                </wp:inline>
              </w:drawing>
            </w:r>
          </w:p>
        </w:tc>
      </w:tr>
      <w:tr w14:paraId="427DD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5000" w:type="pct"/>
            <w:vAlign w:val="center"/>
          </w:tcPr>
          <w:p w14:paraId="5C624F02">
            <w:pPr>
              <w:adjustRightInd w:val="0"/>
              <w:snapToGrid w:val="0"/>
              <w:spacing w:after="160"/>
              <w:jc w:val="center"/>
              <w:rPr>
                <w:rFonts w:ascii="Times New Roman" w:hAnsi="Times New Roman" w:cs="Times New Roman"/>
                <w:szCs w:val="21"/>
              </w:rPr>
            </w:pPr>
            <w:r>
              <w:rPr>
                <w:rFonts w:ascii="Times New Roman" w:hAnsi="Times New Roman" w:eastAsia="黑体" w:cs="Times New Roman"/>
                <w:sz w:val="18"/>
                <w:szCs w:val="18"/>
              </w:rPr>
              <w:t>图</w:t>
            </w:r>
            <w:r>
              <w:rPr>
                <w:rFonts w:hint="eastAsia" w:ascii="Times New Roman" w:hAnsi="Times New Roman" w:eastAsia="黑体" w:cs="Times New Roman"/>
                <w:sz w:val="18"/>
                <w:szCs w:val="18"/>
              </w:rPr>
              <w:t>4</w:t>
            </w:r>
            <w:r>
              <w:rPr>
                <w:rFonts w:ascii="Times New Roman" w:hAnsi="Times New Roman" w:eastAsia="黑体" w:cs="Times New Roman"/>
                <w:sz w:val="18"/>
                <w:szCs w:val="18"/>
              </w:rPr>
              <w:t xml:space="preserve">  工况4极值压力对比</w:t>
            </w:r>
          </w:p>
        </w:tc>
      </w:tr>
      <w:tr w14:paraId="0E879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5000" w:type="pct"/>
            <w:vAlign w:val="center"/>
          </w:tcPr>
          <w:p w14:paraId="71E237E7">
            <w:pPr>
              <w:adjustRightInd w:val="0"/>
              <w:snapToGrid w:val="0"/>
              <w:spacing w:after="160"/>
              <w:jc w:val="center"/>
              <w:rPr>
                <w:rFonts w:ascii="Times New Roman" w:hAnsi="Times New Roman" w:cs="Times New Roman"/>
                <w:szCs w:val="21"/>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4</w:t>
            </w:r>
            <w:r>
              <w:rPr>
                <w:rFonts w:ascii="Times New Roman" w:hAnsi="Times New Roman" w:eastAsia="黑体" w:cs="Times New Roman"/>
                <w:sz w:val="18"/>
                <w:szCs w:val="18"/>
              </w:rPr>
              <w:t xml:space="preserve">  Comparison of extreme pressure</w:t>
            </w:r>
            <w:r>
              <w:rPr>
                <w:rFonts w:hint="eastAsia" w:ascii="Times New Roman" w:hAnsi="Times New Roman" w:eastAsia="黑体" w:cs="Times New Roman"/>
                <w:sz w:val="18"/>
                <w:szCs w:val="18"/>
              </w:rPr>
              <w:t xml:space="preserve"> </w:t>
            </w:r>
            <w:r>
              <w:rPr>
                <w:rFonts w:hint="eastAsia" w:ascii="Times New Roman" w:hAnsi="Times New Roman" w:eastAsia="黑体" w:cs="Times New Roman"/>
                <w:sz w:val="18"/>
                <w:szCs w:val="18"/>
                <w:lang w:val="en-US" w:eastAsia="zh-CN"/>
              </w:rPr>
              <w:t>under c</w:t>
            </w:r>
            <w:r>
              <w:rPr>
                <w:rFonts w:ascii="Times New Roman" w:hAnsi="Times New Roman" w:eastAsia="黑体" w:cs="Times New Roman"/>
                <w:sz w:val="18"/>
                <w:szCs w:val="18"/>
              </w:rPr>
              <w:t>ondition 4</w:t>
            </w:r>
          </w:p>
        </w:tc>
      </w:tr>
    </w:tbl>
    <w:p w14:paraId="03E1A263">
      <w:pPr>
        <w:pStyle w:val="2"/>
        <w:snapToGrid w:val="0"/>
        <w:spacing w:before="0" w:after="160"/>
        <w:rPr>
          <w:rFonts w:ascii="Times New Roman" w:hAnsi="Times New Roman" w:cs="Times New Roman"/>
          <w:color w:val="auto"/>
          <w:sz w:val="28"/>
          <w:szCs w:val="28"/>
        </w:rPr>
      </w:pPr>
      <w:r>
        <w:rPr>
          <w:rFonts w:hint="eastAsia" w:ascii="Times New Roman" w:hAnsi="Times New Roman" w:cs="Times New Roman" w:eastAsiaTheme="minorEastAsia"/>
          <w:color w:val="auto"/>
          <w:sz w:val="28"/>
          <w:szCs w:val="28"/>
        </w:rPr>
        <w:t>2</w:t>
      </w:r>
      <w:r>
        <w:rPr>
          <w:rFonts w:ascii="Times New Roman" w:hAnsi="Times New Roman" w:cs="Times New Roman" w:eastAsiaTheme="minorEastAsia"/>
          <w:color w:val="auto"/>
          <w:sz w:val="28"/>
          <w:szCs w:val="28"/>
        </w:rPr>
        <w:t xml:space="preserve">  </w:t>
      </w:r>
      <w:r>
        <w:rPr>
          <w:rFonts w:ascii="Times New Roman" w:hAnsi="Times New Roman" w:cs="Times New Roman"/>
          <w:color w:val="auto"/>
          <w:sz w:val="28"/>
          <w:szCs w:val="28"/>
        </w:rPr>
        <w:t>瞬变流特性分析</w:t>
      </w:r>
    </w:p>
    <w:p w14:paraId="021F6EC2">
      <w:pPr>
        <w:snapToGrid w:val="0"/>
        <w:spacing w:after="160"/>
        <w:outlineLvl w:val="1"/>
        <w:rPr>
          <w:rFonts w:ascii="Times New Roman" w:hAnsi="Times New Roman" w:eastAsia="黑体" w:cs="Times New Roman"/>
        </w:rPr>
      </w:pPr>
      <w:r>
        <w:rPr>
          <w:rFonts w:ascii="Times New Roman" w:hAnsi="Times New Roman" w:eastAsia="黑体" w:cs="Times New Roman"/>
        </w:rPr>
        <w:t xml:space="preserve">2.1 </w:t>
      </w:r>
      <w:bookmarkStart w:id="24" w:name="_Hlk208264469"/>
      <w:r>
        <w:rPr>
          <w:rFonts w:ascii="Times New Roman" w:hAnsi="Times New Roman" w:eastAsia="黑体" w:cs="Times New Roman"/>
        </w:rPr>
        <w:t>初始气团体积对瞬变压力的影响</w:t>
      </w:r>
    </w:p>
    <w:bookmarkEnd w:id="24"/>
    <w:p w14:paraId="0AE8C433">
      <w:pPr>
        <w:snapToGrid w:val="0"/>
        <w:ind w:firstLine="420" w:firstLineChars="200"/>
        <w:rPr>
          <w:rFonts w:ascii="Times New Roman" w:hAnsi="Times New Roman" w:cs="Times New Roman"/>
          <w:szCs w:val="21"/>
        </w:rPr>
      </w:pPr>
      <w:r>
        <w:rPr>
          <w:rFonts w:ascii="Times New Roman" w:hAnsi="Times New Roman" w:cs="Times New Roman"/>
          <w:szCs w:val="21"/>
        </w:rPr>
        <w:t>通过数学模型计算可以得到各工况下的瞬变压力过程，以分析水流冲击气团过程中的水力瞬变特性。不同工况的管道盲端瞬变压力过程</w:t>
      </w:r>
      <w:r>
        <w:rPr>
          <w:rFonts w:hint="eastAsia" w:ascii="Times New Roman" w:hAnsi="Times New Roman" w:cs="Times New Roman"/>
          <w:szCs w:val="21"/>
        </w:rPr>
        <w:t>如图5所示</w:t>
      </w:r>
      <w:r>
        <w:rPr>
          <w:rFonts w:ascii="Times New Roman" w:hAnsi="Times New Roman" w:cs="Times New Roman"/>
          <w:szCs w:val="21"/>
        </w:rPr>
        <w:t>，由该图可以看出，各工况仅第一波峰压力区别较大，具有初始气团体积越大，第一压力波峰越高的趋势；而各工况第二波峰压力值相差不大。此外，各工况在第一波峰、第二波峰出现的时间上表现出明显的差异，初始气团体积越大，波峰出现的时间就越发滞后。</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AA0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tcPr>
          <w:p w14:paraId="1EBB8317">
            <w:pPr>
              <w:snapToGrid w:val="0"/>
              <w:jc w:val="center"/>
              <w:rPr>
                <w:rFonts w:ascii="Times New Roman" w:hAnsi="Times New Roman" w:eastAsia="黑体" w:cs="Times New Roman"/>
                <w:sz w:val="18"/>
                <w:szCs w:val="18"/>
              </w:rPr>
            </w:pPr>
          </w:p>
        </w:tc>
      </w:tr>
      <w:tr w14:paraId="6285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tcPr>
          <w:p w14:paraId="565967EC">
            <w:pPr>
              <w:adjustRightInd w:val="0"/>
              <w:snapToGrid w:val="0"/>
              <w:spacing w:after="160"/>
              <w:rPr>
                <w:rFonts w:ascii="Times New Roman" w:hAnsi="Times New Roman" w:eastAsia="黑体" w:cs="Times New Roman"/>
                <w:sz w:val="18"/>
                <w:szCs w:val="18"/>
              </w:rPr>
            </w:pPr>
            <w:r>
              <w:rPr>
                <w:rFonts w:hint="eastAsia" w:ascii="Times New Roman" w:hAnsi="Times New Roman" w:eastAsia="黑体" w:cs="Times New Roman"/>
                <w:sz w:val="18"/>
                <w:szCs w:val="18"/>
                <w14:ligatures w14:val="none"/>
              </w:rPr>
              <w:drawing>
                <wp:inline distT="0" distB="0" distL="0" distR="0">
                  <wp:extent cx="5278120" cy="2578100"/>
                  <wp:effectExtent l="0" t="0" r="0" b="0"/>
                  <wp:docPr id="1894559696" name="图形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9696" name="图形 22"/>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0"/>
                            <a:ext cx="5278120" cy="2578100"/>
                          </a:xfrm>
                          <a:prstGeom prst="rect">
                            <a:avLst/>
                          </a:prstGeom>
                        </pic:spPr>
                      </pic:pic>
                    </a:graphicData>
                  </a:graphic>
                </wp:inline>
              </w:drawing>
            </w:r>
          </w:p>
          <w:p w14:paraId="27E819FF">
            <w:pPr>
              <w:adjustRightInd w:val="0"/>
              <w:snapToGrid w:val="0"/>
              <w:spacing w:after="160"/>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图5</w:t>
            </w:r>
            <w:r>
              <w:rPr>
                <w:rFonts w:ascii="Times New Roman" w:hAnsi="Times New Roman" w:eastAsia="黑体" w:cs="Times New Roman"/>
                <w:sz w:val="18"/>
                <w:szCs w:val="18"/>
              </w:rPr>
              <w:t xml:space="preserve">  </w:t>
            </w:r>
            <w:r>
              <w:rPr>
                <w:rFonts w:hint="eastAsia" w:ascii="Times New Roman" w:hAnsi="Times New Roman" w:eastAsia="黑体" w:cs="Times New Roman"/>
                <w:sz w:val="18"/>
                <w:szCs w:val="18"/>
              </w:rPr>
              <w:t>不同工况管道盲</w:t>
            </w:r>
            <w:r>
              <w:rPr>
                <w:rFonts w:hint="eastAsia" w:ascii="Times New Roman" w:hAnsi="Times New Roman" w:eastAsia="黑体" w:cs="Times New Roman"/>
                <w:sz w:val="18"/>
                <w:szCs w:val="18"/>
                <w:shd w:val="clear" w:color="auto" w:fill="FFFFFF"/>
              </w:rPr>
              <w:t>端</w:t>
            </w:r>
            <w:r>
              <w:rPr>
                <w:rFonts w:hint="eastAsia" w:ascii="Times New Roman" w:hAnsi="Times New Roman" w:eastAsia="黑体" w:cs="Times New Roman"/>
                <w:sz w:val="18"/>
                <w:szCs w:val="18"/>
              </w:rPr>
              <w:t>瞬变压力过程对比</w:t>
            </w:r>
          </w:p>
          <w:p w14:paraId="0E3A02AD">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5</w:t>
            </w:r>
            <w:r>
              <w:rPr>
                <w:rFonts w:ascii="Times New Roman" w:hAnsi="Times New Roman" w:eastAsia="黑体" w:cs="Times New Roman"/>
                <w:sz w:val="18"/>
                <w:szCs w:val="18"/>
              </w:rPr>
              <w:t xml:space="preserve">  </w:t>
            </w:r>
            <w:r>
              <w:rPr>
                <w:rFonts w:hint="eastAsia" w:ascii="Times New Roman" w:hAnsi="Times New Roman" w:eastAsia="黑体"/>
                <w:sz w:val="18"/>
                <w:szCs w:val="18"/>
              </w:rPr>
              <w:t>Comparison of</w:t>
            </w:r>
            <w:r>
              <w:rPr>
                <w:rFonts w:hint="eastAsia" w:ascii="Times New Roman" w:hAnsi="Times New Roman" w:eastAsia="黑体"/>
                <w:sz w:val="18"/>
                <w:szCs w:val="18"/>
                <w:lang w:val="en-US" w:eastAsia="zh-CN"/>
              </w:rPr>
              <w:t xml:space="preserve"> t</w:t>
            </w:r>
            <w:r>
              <w:rPr>
                <w:rFonts w:ascii="Times New Roman" w:hAnsi="Times New Roman" w:eastAsia="黑体" w:cs="Times New Roman"/>
                <w:sz w:val="18"/>
                <w:szCs w:val="18"/>
              </w:rPr>
              <w:t>ransient pressure responses at pipe</w:t>
            </w:r>
            <w:r>
              <w:rPr>
                <w:rFonts w:hint="eastAsia" w:ascii="Times New Roman" w:hAnsi="Times New Roman" w:eastAsia="黑体" w:cs="Times New Roman"/>
                <w:sz w:val="18"/>
                <w:szCs w:val="18"/>
              </w:rPr>
              <w:t xml:space="preserve">line blind </w:t>
            </w:r>
            <w:r>
              <w:rPr>
                <w:rFonts w:ascii="Times New Roman" w:hAnsi="Times New Roman" w:eastAsia="黑体" w:cs="Times New Roman"/>
                <w:sz w:val="18"/>
                <w:szCs w:val="18"/>
              </w:rPr>
              <w:t>end under different</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conditions</w:t>
            </w:r>
          </w:p>
        </w:tc>
      </w:tr>
      <w:tr w14:paraId="6CD5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Borders>
              <w:top w:val="nil"/>
              <w:left w:val="nil"/>
              <w:bottom w:val="nil"/>
              <w:right w:val="nil"/>
            </w:tcBorders>
          </w:tcPr>
          <w:p w14:paraId="3069E973">
            <w:pPr>
              <w:snapToGrid w:val="0"/>
              <w:ind w:firstLine="420" w:firstLineChars="200"/>
              <w:rPr>
                <w:rFonts w:ascii="Times New Roman" w:hAnsi="Times New Roman" w:cs="Times New Roman"/>
                <w:szCs w:val="21"/>
              </w:rPr>
            </w:pPr>
            <w:bookmarkStart w:id="25" w:name="_Hlk208319620"/>
            <w:r>
              <w:rPr>
                <w:rFonts w:hint="eastAsia" w:ascii="Times New Roman" w:hAnsi="Times New Roman" w:cs="Times New Roman"/>
                <w:szCs w:val="21"/>
              </w:rPr>
              <w:t>管道盲</w:t>
            </w:r>
            <w:r>
              <w:rPr>
                <w:rFonts w:hint="eastAsia" w:ascii="Times New Roman" w:hAnsi="Times New Roman" w:cs="Times New Roman"/>
                <w:szCs w:val="21"/>
                <w:shd w:val="clear" w:color="auto" w:fill="FFFFFF"/>
              </w:rPr>
              <w:t>端</w:t>
            </w:r>
            <w:r>
              <w:rPr>
                <w:rFonts w:hint="eastAsia" w:ascii="Times New Roman" w:hAnsi="Times New Roman" w:cs="Times New Roman"/>
                <w:szCs w:val="21"/>
              </w:rPr>
              <w:t>滞留气团在水力瞬变过程中发生周期性膨胀和压缩，较没有气团的情况而言，可以起到缓冲水锤压力峰值的作用。但是在同样水力瞬变激发条件下，气团初始体积的差异以及气团所处管道边界条件差异，均会对管道瞬变压力峰值产生影响。</w:t>
            </w:r>
          </w:p>
          <w:p w14:paraId="784BA655">
            <w:pPr>
              <w:snapToGrid w:val="0"/>
              <w:ind w:firstLine="420" w:firstLineChars="200"/>
              <w:rPr>
                <w:rFonts w:ascii="Times New Roman" w:hAnsi="Times New Roman" w:cs="Times New Roman"/>
                <w:szCs w:val="21"/>
                <w:shd w:val="clear" w:color="auto" w:fill="FFFFFF"/>
              </w:rPr>
            </w:pPr>
            <w:r>
              <w:rPr>
                <w:rFonts w:hint="eastAsia" w:ascii="Times New Roman" w:hAnsi="Times New Roman" w:cs="Times New Roman"/>
                <w:szCs w:val="21"/>
              </w:rPr>
              <w:t>数值模拟得到的</w:t>
            </w:r>
            <w:r>
              <w:rPr>
                <w:rFonts w:hint="eastAsia" w:ascii="Times New Roman" w:hAnsi="Times New Roman" w:cs="Times New Roman"/>
                <w:szCs w:val="21"/>
                <w:shd w:val="clear" w:color="auto" w:fill="FFFFFF"/>
              </w:rPr>
              <w:t>管道盲端第一波峰和第一波谷压力值随气团初始体积占比的变化趋势如图6所示。可知随着滞留气团初始体积增加，波峰压力呈现上升趋势，波谷压力呈下降趋势。其中在滞留气团完全占据管道盲端后（工况</w:t>
            </w:r>
            <w:r>
              <w:rPr>
                <w:rFonts w:ascii="Times New Roman" w:hAnsi="Times New Roman" w:cs="Times New Roman"/>
                <w:szCs w:val="21"/>
                <w:shd w:val="clear" w:color="auto" w:fill="FFFFFF"/>
              </w:rPr>
              <w:t>4</w:t>
            </w:r>
            <w:bookmarkStart w:id="26" w:name="OLE_LINK1"/>
            <w:r>
              <w:rPr>
                <w:rFonts w:hint="eastAsia" w:ascii="Times New Roman" w:hAnsi="Times New Roman" w:cs="Times New Roman"/>
                <w:szCs w:val="21"/>
                <w:shd w:val="clear" w:color="auto" w:fill="FFFFFF"/>
              </w:rPr>
              <w:t>—</w:t>
            </w:r>
            <w:bookmarkEnd w:id="26"/>
            <w:r>
              <w:rPr>
                <w:rFonts w:ascii="Times New Roman" w:hAnsi="Times New Roman" w:cs="Times New Roman"/>
                <w:szCs w:val="21"/>
                <w:shd w:val="clear" w:color="auto" w:fill="FFFFFF"/>
              </w:rPr>
              <w:t>6</w:t>
            </w:r>
            <w:r>
              <w:rPr>
                <w:rFonts w:hint="eastAsia" w:ascii="Times New Roman" w:hAnsi="Times New Roman" w:cs="Times New Roman"/>
                <w:szCs w:val="21"/>
                <w:shd w:val="clear" w:color="auto" w:fill="FFFFFF"/>
              </w:rPr>
              <w:t>），管道波峰压力增幅、波谷压力降幅均减小，极值压力渐趋稳定。</w:t>
            </w:r>
            <w:bookmarkEnd w:id="25"/>
          </w:p>
          <w:p w14:paraId="09390DDB">
            <w:pPr>
              <w:snapToGrid w:val="0"/>
              <w:spacing w:line="360" w:lineRule="auto"/>
              <w:jc w:val="center"/>
              <w:rPr>
                <w:rFonts w:ascii="Times New Roman" w:hAnsi="Times New Roman" w:cs="Times New Roman"/>
                <w:sz w:val="24"/>
                <w:szCs w:val="24"/>
              </w:rPr>
            </w:pPr>
            <w:r>
              <w:rPr>
                <w:rFonts w:ascii="Times New Roman" w:hAnsi="Times New Roman" w:cs="Times New Roman"/>
                <w:sz w:val="24"/>
                <w:szCs w:val="24"/>
                <w14:ligatures w14:val="none"/>
              </w:rPr>
              <w:drawing>
                <wp:inline distT="0" distB="0" distL="0" distR="0">
                  <wp:extent cx="3421380" cy="2087880"/>
                  <wp:effectExtent l="0" t="0" r="7620" b="0"/>
                  <wp:docPr id="1339351090" name="图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51090" name="图形 23"/>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3421817" cy="2088000"/>
                          </a:xfrm>
                          <a:prstGeom prst="rect">
                            <a:avLst/>
                          </a:prstGeom>
                        </pic:spPr>
                      </pic:pic>
                    </a:graphicData>
                  </a:graphic>
                </wp:inline>
              </w:drawing>
            </w:r>
          </w:p>
        </w:tc>
      </w:tr>
      <w:tr w14:paraId="75C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Borders>
              <w:top w:val="nil"/>
              <w:left w:val="nil"/>
              <w:bottom w:val="nil"/>
              <w:right w:val="nil"/>
            </w:tcBorders>
          </w:tcPr>
          <w:p w14:paraId="4EA50F51">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图</w:t>
            </w:r>
            <w:r>
              <w:rPr>
                <w:rFonts w:hint="eastAsia" w:ascii="Times New Roman" w:hAnsi="Times New Roman" w:eastAsia="黑体" w:cs="Times New Roman"/>
                <w:sz w:val="18"/>
                <w:szCs w:val="18"/>
              </w:rPr>
              <w:t>6</w:t>
            </w:r>
            <w:r>
              <w:rPr>
                <w:rFonts w:ascii="Times New Roman" w:hAnsi="Times New Roman" w:eastAsia="黑体" w:cs="Times New Roman"/>
                <w:sz w:val="18"/>
                <w:szCs w:val="18"/>
              </w:rPr>
              <w:t xml:space="preserve">  不同气团初始体积占比的管道盲端第一波峰、第一波谷压力趋势</w:t>
            </w:r>
          </w:p>
          <w:p w14:paraId="2D4972AA">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6</w:t>
            </w:r>
            <w:r>
              <w:rPr>
                <w:rFonts w:ascii="Times New Roman" w:hAnsi="Times New Roman" w:eastAsia="黑体" w:cs="Times New Roman"/>
                <w:sz w:val="18"/>
                <w:szCs w:val="18"/>
              </w:rPr>
              <w:t xml:space="preserve">  Trend</w:t>
            </w:r>
            <w:r>
              <w:rPr>
                <w:rFonts w:hint="eastAsia" w:ascii="Times New Roman" w:hAnsi="Times New Roman" w:eastAsia="黑体" w:cs="Times New Roman"/>
                <w:sz w:val="18"/>
                <w:szCs w:val="18"/>
              </w:rPr>
              <w:t>s</w:t>
            </w:r>
            <w:r>
              <w:rPr>
                <w:rFonts w:ascii="Times New Roman" w:hAnsi="Times New Roman" w:eastAsia="黑体" w:cs="Times New Roman"/>
                <w:sz w:val="18"/>
                <w:szCs w:val="18"/>
              </w:rPr>
              <w:t xml:space="preserve"> of first peak and</w:t>
            </w:r>
            <w:r>
              <w:rPr>
                <w:rFonts w:hint="eastAsia" w:ascii="Times New Roman" w:hAnsi="Times New Roman" w:eastAsia="黑体" w:cs="Times New Roman"/>
                <w:sz w:val="18"/>
                <w:szCs w:val="18"/>
                <w:lang w:val="en-US" w:eastAsia="zh-CN"/>
              </w:rPr>
              <w:t xml:space="preserve"> first</w:t>
            </w:r>
            <w:r>
              <w:rPr>
                <w:rFonts w:ascii="Times New Roman" w:hAnsi="Times New Roman" w:eastAsia="黑体" w:cs="Times New Roman"/>
                <w:sz w:val="18"/>
                <w:szCs w:val="18"/>
              </w:rPr>
              <w:t xml:space="preserve"> trough pressure at pipeline</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blind end under different initial volume proportions</w:t>
            </w:r>
            <w:r>
              <w:rPr>
                <w:rFonts w:hint="eastAsia" w:ascii="Times New Roman" w:hAnsi="Times New Roman" w:eastAsia="黑体" w:cs="Times New Roman"/>
                <w:sz w:val="18"/>
                <w:szCs w:val="18"/>
                <w:lang w:val="en-US" w:eastAsia="zh-CN"/>
              </w:rPr>
              <w:t xml:space="preserve"> of </w:t>
            </w:r>
            <w:r>
              <w:rPr>
                <w:rFonts w:ascii="Times New Roman" w:hAnsi="Times New Roman" w:eastAsia="黑体" w:cs="Times New Roman"/>
                <w:sz w:val="18"/>
                <w:szCs w:val="18"/>
              </w:rPr>
              <w:t>air pocket</w:t>
            </w:r>
            <w:r>
              <w:rPr>
                <w:rFonts w:hint="eastAsia" w:ascii="Times New Roman" w:hAnsi="Times New Roman" w:eastAsia="黑体" w:cs="Times New Roman"/>
                <w:sz w:val="18"/>
                <w:szCs w:val="18"/>
                <w:lang w:val="en-US" w:eastAsia="zh-CN"/>
              </w:rPr>
              <w:t>s</w:t>
            </w:r>
          </w:p>
        </w:tc>
      </w:tr>
    </w:tbl>
    <w:p w14:paraId="7BE922C3">
      <w:pPr>
        <w:snapToGrid w:val="0"/>
        <w:spacing w:after="156" w:afterLines="50"/>
        <w:ind w:firstLine="420" w:firstLineChars="200"/>
        <w:rPr>
          <w:rFonts w:ascii="Times New Roman" w:hAnsi="Times New Roman" w:cs="Times New Roman"/>
          <w:szCs w:val="21"/>
        </w:rPr>
      </w:pPr>
      <w:r>
        <w:rPr>
          <w:rFonts w:ascii="Times New Roman" w:hAnsi="Times New Roman" w:cs="Times New Roman"/>
          <w:szCs w:val="21"/>
        </w:rPr>
        <w:t>不同气团初始体积下的第一峰值、峰谷压力幅值差值变化情况</w:t>
      </w:r>
      <w:r>
        <w:rPr>
          <w:rFonts w:hint="eastAsia" w:ascii="Times New Roman" w:hAnsi="Times New Roman" w:cs="Times New Roman"/>
          <w:szCs w:val="21"/>
        </w:rPr>
        <w:t>如</w:t>
      </w:r>
      <w:r>
        <w:rPr>
          <w:rFonts w:ascii="Times New Roman" w:hAnsi="Times New Roman" w:cs="Times New Roman"/>
          <w:szCs w:val="21"/>
        </w:rPr>
        <w:t>图</w:t>
      </w:r>
      <w:r>
        <w:rPr>
          <w:rFonts w:hint="eastAsia" w:ascii="Times New Roman" w:hAnsi="Times New Roman" w:cs="Times New Roman"/>
          <w:szCs w:val="21"/>
        </w:rPr>
        <w:t>7所示</w:t>
      </w:r>
      <w:r>
        <w:rPr>
          <w:rFonts w:ascii="Times New Roman" w:hAnsi="Times New Roman" w:cs="Times New Roman"/>
          <w:szCs w:val="21"/>
        </w:rPr>
        <w:t>。分析数值模拟结果可知，工况1</w:t>
      </w:r>
      <w:r>
        <w:rPr>
          <w:rFonts w:hint="eastAsia" w:ascii="Times New Roman" w:hAnsi="Times New Roman" w:cs="Times New Roman"/>
          <w:szCs w:val="21"/>
        </w:rPr>
        <w:t>—</w:t>
      </w:r>
      <w:r>
        <w:rPr>
          <w:rFonts w:ascii="Times New Roman" w:hAnsi="Times New Roman" w:cs="Times New Roman"/>
          <w:szCs w:val="21"/>
        </w:rPr>
        <w:t xml:space="preserve"> 6的第一峰值、峰谷压力幅值差分别为：12.75 m、13.24 m、14.14 m、14.54 m、14.59 m、14.62 m，以工况1的第一峰值、峰谷压力幅值差作为基准值，工况2~6的第一峰值、峰谷压力幅值差增加率分别为3.84 %、10.90 %、14.04 %、14.43 %、14.67 %。随着初始气团占比增加，压力幅值呈现上升趋势，当气团初始体积占比超过100 %后，压力幅值增幅趋缓。</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0412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tcPr>
          <w:p w14:paraId="39E7937E">
            <w:pPr>
              <w:snapToGrid w:val="0"/>
              <w:jc w:val="center"/>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14:ligatures w14:val="none"/>
              </w:rPr>
              <w:drawing>
                <wp:inline distT="0" distB="0" distL="0" distR="0">
                  <wp:extent cx="3026410" cy="2051685"/>
                  <wp:effectExtent l="0" t="0" r="2540" b="0"/>
                  <wp:docPr id="745677267"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77267" name="图形 24"/>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3026836" cy="2052000"/>
                          </a:xfrm>
                          <a:prstGeom prst="rect">
                            <a:avLst/>
                          </a:prstGeom>
                        </pic:spPr>
                      </pic:pic>
                    </a:graphicData>
                  </a:graphic>
                </wp:inline>
              </w:drawing>
            </w:r>
          </w:p>
        </w:tc>
      </w:tr>
      <w:tr w14:paraId="2C7E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tcPr>
          <w:p w14:paraId="46147ABA">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图</w:t>
            </w:r>
            <w:r>
              <w:rPr>
                <w:rFonts w:hint="eastAsia" w:ascii="Times New Roman" w:hAnsi="Times New Roman" w:eastAsia="黑体" w:cs="Times New Roman"/>
                <w:sz w:val="18"/>
                <w:szCs w:val="18"/>
              </w:rPr>
              <w:t>7</w:t>
            </w:r>
            <w:r>
              <w:rPr>
                <w:rFonts w:ascii="Times New Roman" w:hAnsi="Times New Roman" w:eastAsia="黑体" w:cs="Times New Roman"/>
                <w:sz w:val="18"/>
                <w:szCs w:val="18"/>
              </w:rPr>
              <w:t xml:space="preserve">  不同气团初始体积占比的第一峰值、峰谷压力幅值变化</w:t>
            </w:r>
          </w:p>
          <w:p w14:paraId="1AB4FDED">
            <w:pPr>
              <w:adjustRightInd w:val="0"/>
              <w:snapToGrid w:val="0"/>
              <w:spacing w:after="160"/>
              <w:jc w:val="center"/>
              <w:rPr>
                <w:rFonts w:ascii="Times New Roman" w:hAnsi="Times New Roman" w:cs="Times New Roman"/>
                <w:sz w:val="18"/>
                <w:szCs w:val="18"/>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7</w:t>
            </w:r>
            <w:r>
              <w:rPr>
                <w:rFonts w:ascii="Times New Roman" w:hAnsi="Times New Roman" w:eastAsia="黑体" w:cs="Times New Roman"/>
                <w:sz w:val="18"/>
                <w:szCs w:val="18"/>
              </w:rPr>
              <w:t xml:space="preserve"> </w:t>
            </w:r>
            <w:r>
              <w:rPr>
                <w:rFonts w:hint="eastAsia" w:ascii="Times New Roman" w:hAnsi="Times New Roman" w:eastAsia="黑体"/>
                <w:sz w:val="18"/>
                <w:szCs w:val="18"/>
              </w:rPr>
              <w:t xml:space="preserve">Variations </w:t>
            </w:r>
            <w:r>
              <w:rPr>
                <w:rFonts w:hint="eastAsia" w:ascii="Times New Roman" w:hAnsi="Times New Roman" w:eastAsia="黑体"/>
                <w:sz w:val="18"/>
                <w:szCs w:val="18"/>
                <w:lang w:val="en-US" w:eastAsia="zh-CN"/>
              </w:rPr>
              <w:t xml:space="preserve">in </w:t>
            </w:r>
            <w:r>
              <w:rPr>
                <w:rFonts w:hint="eastAsia" w:ascii="Times New Roman" w:hAnsi="Times New Roman" w:eastAsia="黑体" w:cs="Times New Roman"/>
                <w:sz w:val="18"/>
                <w:szCs w:val="18"/>
                <w:lang w:val="en-US" w:eastAsia="zh-CN"/>
              </w:rPr>
              <w:t>f</w:t>
            </w:r>
            <w:r>
              <w:rPr>
                <w:rFonts w:ascii="Times New Roman" w:hAnsi="Times New Roman" w:eastAsia="黑体" w:cs="Times New Roman"/>
                <w:sz w:val="18"/>
                <w:szCs w:val="18"/>
              </w:rPr>
              <w:t>irst peak value and peak-to-trough pressure amplitude</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 xml:space="preserve">under different initial volume proportions </w:t>
            </w:r>
            <w:r>
              <w:rPr>
                <w:rFonts w:hint="eastAsia" w:ascii="Times New Roman" w:hAnsi="Times New Roman" w:eastAsia="黑体" w:cs="Times New Roman"/>
                <w:sz w:val="18"/>
                <w:szCs w:val="18"/>
                <w:lang w:val="en-US" w:eastAsia="zh-CN"/>
              </w:rPr>
              <w:t xml:space="preserve">of </w:t>
            </w:r>
            <w:r>
              <w:rPr>
                <w:rFonts w:ascii="Times New Roman" w:hAnsi="Times New Roman" w:eastAsia="黑体" w:cs="Times New Roman"/>
                <w:sz w:val="18"/>
                <w:szCs w:val="18"/>
              </w:rPr>
              <w:t>air pocket</w:t>
            </w:r>
            <w:r>
              <w:rPr>
                <w:rFonts w:hint="eastAsia" w:ascii="Times New Roman" w:hAnsi="Times New Roman" w:eastAsia="黑体" w:cs="Times New Roman"/>
                <w:sz w:val="18"/>
                <w:szCs w:val="18"/>
                <w:lang w:val="en-US" w:eastAsia="zh-CN"/>
              </w:rPr>
              <w:t>s</w:t>
            </w:r>
          </w:p>
        </w:tc>
      </w:tr>
    </w:tbl>
    <w:p w14:paraId="7E3B92FE">
      <w:pPr>
        <w:snapToGrid w:val="0"/>
        <w:ind w:firstLine="420" w:firstLineChars="200"/>
        <w:rPr>
          <w:rFonts w:ascii="Times New Roman" w:hAnsi="Times New Roman" w:cs="Times New Roman"/>
          <w:szCs w:val="21"/>
        </w:rPr>
      </w:pPr>
      <w:bookmarkStart w:id="27" w:name="_Hlk208264582"/>
      <w:r>
        <w:rPr>
          <w:rFonts w:ascii="Times New Roman" w:hAnsi="Times New Roman" w:cs="Times New Roman"/>
          <w:szCs w:val="21"/>
        </w:rPr>
        <w:t>不同气团初始体积占比的第一、第二压力波峰差值变化情况</w:t>
      </w:r>
      <w:r>
        <w:rPr>
          <w:rFonts w:hint="eastAsia" w:ascii="Times New Roman" w:hAnsi="Times New Roman" w:cs="Times New Roman"/>
          <w:szCs w:val="21"/>
        </w:rPr>
        <w:t>如图8所示</w:t>
      </w:r>
      <w:r>
        <w:rPr>
          <w:rFonts w:ascii="Times New Roman" w:hAnsi="Times New Roman" w:cs="Times New Roman"/>
          <w:szCs w:val="21"/>
        </w:rPr>
        <w:t>。第一、第二压力波峰差值随着滞留气团初始体</w:t>
      </w:r>
      <w:r>
        <w:rPr>
          <w:rFonts w:hint="eastAsia" w:ascii="Times New Roman" w:hAnsi="Times New Roman" w:cs="Times New Roman"/>
          <w:szCs w:val="21"/>
          <w:shd w:val="clear" w:color="auto" w:fill="FFFFFF"/>
        </w:rPr>
        <w:t>积占比的</w:t>
      </w:r>
      <w:r>
        <w:rPr>
          <w:rFonts w:ascii="Times New Roman" w:hAnsi="Times New Roman" w:cs="Times New Roman"/>
          <w:szCs w:val="21"/>
        </w:rPr>
        <w:t>增加而增加，其增速随气团初始体积占比增加总体呈现出先快-后缓的趋势</w:t>
      </w:r>
      <w:r>
        <w:rPr>
          <w:rFonts w:ascii="Times New Roman" w:hAnsi="Times New Roman" w:cs="Times New Roman"/>
          <w:szCs w:val="21"/>
          <w:shd w:val="clear" w:color="auto" w:fill="FFFFFF"/>
        </w:rPr>
        <w:t>。</w:t>
      </w:r>
      <w:r>
        <w:rPr>
          <w:rFonts w:ascii="Times New Roman" w:hAnsi="Times New Roman" w:cs="Times New Roman"/>
          <w:szCs w:val="21"/>
        </w:rPr>
        <w:t xml:space="preserve">说明随着初始气团体积增加，管道盲端气团对水击压力的缓冲作用增强，水击压力的衰减幅度增大。但当气团初始体积占比&gt;100 </w:t>
      </w:r>
      <w:r>
        <w:rPr>
          <w:rFonts w:hint="eastAsia" w:ascii="Times New Roman" w:hAnsi="Times New Roman" w:cs="Times New Roman"/>
          <w:szCs w:val="21"/>
          <w:shd w:val="clear" w:color="auto" w:fill="FFFFFF"/>
        </w:rPr>
        <w:t>%时</w:t>
      </w:r>
      <w:r>
        <w:rPr>
          <w:rFonts w:ascii="Times New Roman" w:hAnsi="Times New Roman" w:cs="Times New Roman"/>
          <w:szCs w:val="21"/>
        </w:rPr>
        <w:t>，气团超出了管道盲端，气团体积增加对水击波的缓冲作用和能量吸收效率的提升作用变缓，压力波的衰减速度不再因气团初始体积的进一步增大而显著增加。</w:t>
      </w:r>
    </w:p>
    <w:bookmarkEnd w:id="27"/>
    <w:tbl>
      <w:tblPr>
        <w:tblStyle w:val="20"/>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
        <w:gridCol w:w="8553"/>
      </w:tblGrid>
      <w:tr w14:paraId="16427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13" w:type="dxa"/>
        </w:trPr>
        <w:tc>
          <w:tcPr>
            <w:tcW w:w="9628" w:type="dxa"/>
          </w:tcPr>
          <w:p w14:paraId="4E831827">
            <w:pPr>
              <w:snapToGrid w:val="0"/>
              <w:spacing w:line="360" w:lineRule="auto"/>
              <w:jc w:val="center"/>
              <w:rPr>
                <w:rFonts w:ascii="Times New Roman" w:hAnsi="Times New Roman" w:cs="Times New Roman"/>
                <w:b/>
                <w:bCs/>
                <w:sz w:val="24"/>
                <w:szCs w:val="28"/>
              </w:rPr>
            </w:pPr>
            <w:bookmarkStart w:id="28" w:name="_Hlk208264589"/>
            <w:r>
              <w:rPr>
                <w:rFonts w:ascii="Times New Roman" w:hAnsi="Times New Roman" w:cs="Times New Roman"/>
                <w:b/>
                <w:bCs/>
                <w:sz w:val="24"/>
                <w:szCs w:val="28"/>
                <w14:ligatures w14:val="none"/>
              </w:rPr>
              <w:drawing>
                <wp:inline distT="0" distB="0" distL="0" distR="0">
                  <wp:extent cx="2949575" cy="2087880"/>
                  <wp:effectExtent l="0" t="0" r="3175" b="0"/>
                  <wp:docPr id="403019861" name="图形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19861" name="图形 26"/>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2949601" cy="2088000"/>
                          </a:xfrm>
                          <a:prstGeom prst="rect">
                            <a:avLst/>
                          </a:prstGeom>
                        </pic:spPr>
                      </pic:pic>
                    </a:graphicData>
                  </a:graphic>
                </wp:inline>
              </w:drawing>
            </w:r>
          </w:p>
        </w:tc>
      </w:tr>
      <w:tr w14:paraId="6FBC5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41" w:type="dxa"/>
            <w:gridSpan w:val="2"/>
          </w:tcPr>
          <w:p w14:paraId="0DCF960E">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图</w:t>
            </w:r>
            <w:r>
              <w:rPr>
                <w:rFonts w:hint="eastAsia" w:ascii="Times New Roman" w:hAnsi="Times New Roman" w:eastAsia="黑体" w:cs="Times New Roman"/>
                <w:sz w:val="18"/>
                <w:szCs w:val="18"/>
              </w:rPr>
              <w:t>8</w:t>
            </w:r>
            <w:r>
              <w:rPr>
                <w:rFonts w:ascii="Times New Roman" w:hAnsi="Times New Roman" w:eastAsia="黑体" w:cs="Times New Roman"/>
                <w:sz w:val="18"/>
                <w:szCs w:val="18"/>
              </w:rPr>
              <w:t xml:space="preserve">  不同气团初始体积占比的</w:t>
            </w:r>
            <w:r>
              <w:rPr>
                <w:rFonts w:ascii="Times New Roman" w:hAnsi="Times New Roman" w:eastAsia="黑体" w:cs="Times New Roman"/>
                <w:sz w:val="18"/>
                <w:szCs w:val="18"/>
                <w:shd w:val="clear" w:color="auto" w:fill="FFFFFF"/>
              </w:rPr>
              <w:t>第一、第二波峰峰值差</w:t>
            </w:r>
            <w:r>
              <w:rPr>
                <w:rFonts w:ascii="Times New Roman" w:hAnsi="Times New Roman" w:eastAsia="黑体" w:cs="Times New Roman"/>
                <w:sz w:val="18"/>
                <w:szCs w:val="18"/>
              </w:rPr>
              <w:t>的变化</w:t>
            </w:r>
          </w:p>
        </w:tc>
      </w:tr>
      <w:tr w14:paraId="08B6F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41" w:type="dxa"/>
            <w:gridSpan w:val="2"/>
          </w:tcPr>
          <w:p w14:paraId="27C9EDDD">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8</w:t>
            </w:r>
            <w:r>
              <w:rPr>
                <w:rFonts w:ascii="Times New Roman" w:hAnsi="Times New Roman" w:eastAsia="黑体" w:cs="Times New Roman"/>
                <w:sz w:val="18"/>
                <w:szCs w:val="18"/>
              </w:rPr>
              <w:t xml:space="preserve">  </w:t>
            </w:r>
            <w:r>
              <w:rPr>
                <w:rFonts w:hint="eastAsia" w:ascii="Times New Roman" w:hAnsi="Times New Roman" w:eastAsia="黑体"/>
                <w:sz w:val="18"/>
                <w:szCs w:val="18"/>
              </w:rPr>
              <w:t>Variations</w:t>
            </w:r>
            <w:r>
              <w:rPr>
                <w:rFonts w:hint="eastAsia" w:ascii="Times New Roman" w:hAnsi="Times New Roman" w:eastAsia="黑体"/>
                <w:sz w:val="18"/>
                <w:szCs w:val="18"/>
                <w:lang w:val="en-US" w:eastAsia="zh-CN"/>
              </w:rPr>
              <w:t xml:space="preserve"> in </w:t>
            </w:r>
            <w:r>
              <w:rPr>
                <w:rFonts w:hint="eastAsia" w:ascii="Times New Roman" w:hAnsi="Times New Roman" w:eastAsia="黑体" w:cs="Times New Roman"/>
                <w:sz w:val="18"/>
                <w:szCs w:val="18"/>
                <w:lang w:val="en-US" w:eastAsia="zh-CN"/>
              </w:rPr>
              <w:t>d</w:t>
            </w:r>
            <w:r>
              <w:rPr>
                <w:rFonts w:ascii="Times New Roman" w:hAnsi="Times New Roman" w:eastAsia="黑体" w:cs="Times New Roman"/>
                <w:sz w:val="18"/>
                <w:szCs w:val="18"/>
              </w:rPr>
              <w:t>ifference of peak values between first and second pressure peaks under different initial volume proportions of air pocket</w:t>
            </w:r>
            <w:r>
              <w:rPr>
                <w:rFonts w:hint="eastAsia" w:ascii="Times New Roman" w:hAnsi="Times New Roman" w:eastAsia="黑体" w:cs="Times New Roman"/>
                <w:sz w:val="18"/>
                <w:szCs w:val="18"/>
                <w:lang w:val="en-US" w:eastAsia="zh-CN"/>
              </w:rPr>
              <w:t>s</w:t>
            </w:r>
          </w:p>
        </w:tc>
      </w:tr>
      <w:bookmarkEnd w:id="28"/>
    </w:tbl>
    <w:p w14:paraId="6E02795E">
      <w:pPr>
        <w:snapToGrid w:val="0"/>
        <w:spacing w:after="160"/>
        <w:outlineLvl w:val="1"/>
        <w:rPr>
          <w:rFonts w:ascii="Times New Roman" w:hAnsi="Times New Roman" w:eastAsia="黑体" w:cs="Times New Roman"/>
        </w:rPr>
      </w:pPr>
      <w:r>
        <w:rPr>
          <w:rFonts w:ascii="Times New Roman" w:hAnsi="Times New Roman" w:eastAsia="黑体" w:cs="Times New Roman"/>
        </w:rPr>
        <w:t>2.2 初始气团体积对压力波周期的影响</w:t>
      </w:r>
    </w:p>
    <w:p w14:paraId="6FF70ECB">
      <w:pPr>
        <w:snapToGrid w:val="0"/>
        <w:ind w:firstLine="420" w:firstLineChars="200"/>
        <w:rPr>
          <w:rFonts w:asciiTheme="majorBidi" w:hAnsiTheme="majorBidi" w:cstheme="majorBidi"/>
          <w:szCs w:val="21"/>
        </w:rPr>
      </w:pPr>
      <w:bookmarkStart w:id="29" w:name="_Hlk208602629"/>
      <w:r>
        <w:rPr>
          <w:rFonts w:hint="eastAsia" w:asciiTheme="majorBidi" w:hAnsiTheme="majorBidi" w:cstheme="majorBidi"/>
          <w:szCs w:val="21"/>
        </w:rPr>
        <w:t>已有研究表明</w:t>
      </w:r>
      <w:r>
        <w:rPr>
          <w:rFonts w:asciiTheme="majorBidi" w:hAnsiTheme="majorBidi" w:cstheme="majorBidi"/>
          <w:szCs w:val="21"/>
          <w:vertAlign w:val="superscript"/>
        </w:rPr>
        <w:t>[38]</w:t>
      </w:r>
      <w:r>
        <w:rPr>
          <w:rFonts w:hint="eastAsia" w:asciiTheme="majorBidi" w:hAnsiTheme="majorBidi" w:cstheme="majorBidi"/>
          <w:szCs w:val="21"/>
        </w:rPr>
        <w:t>，当气团以一定体积分率均匀分布于管道内时，传播速度可由千余米每秒降低至数十米每秒的量级，即使仅有少量气体存在，也会大幅降低压力波的传播</w:t>
      </w:r>
      <w:r>
        <w:rPr>
          <w:rFonts w:hint="eastAsia" w:asciiTheme="majorBidi" w:hAnsiTheme="majorBidi" w:cstheme="majorBidi"/>
          <w:szCs w:val="21"/>
          <w:shd w:val="clear" w:color="auto" w:fill="FFFFFF"/>
        </w:rPr>
        <w:t>波速</w:t>
      </w:r>
      <w:r>
        <w:rPr>
          <w:rFonts w:hint="eastAsia" w:asciiTheme="majorBidi" w:hAnsiTheme="majorBidi" w:cstheme="majorBidi"/>
          <w:szCs w:val="21"/>
        </w:rPr>
        <w:t>。对于本研究案例来说，尽管滞留气团处于管道盲端，并未均匀散布于管道水体，但是在水锤波传播至滞留气团时，气团的压缩和膨胀过程导致每个水锤周期内压力达到波峰（气团体积压缩至最小）和波谷（气团体积膨胀至最大）的时间大大延后，</w:t>
      </w:r>
      <w:r>
        <w:rPr>
          <w:rFonts w:hint="eastAsia" w:asciiTheme="majorBidi" w:hAnsiTheme="majorBidi" w:cstheme="majorBidi"/>
          <w:szCs w:val="21"/>
          <w:shd w:val="clear" w:color="auto" w:fill="FFFFFF"/>
        </w:rPr>
        <w:t>因此</w:t>
      </w:r>
      <w:r>
        <w:rPr>
          <w:rFonts w:hint="eastAsia" w:asciiTheme="majorBidi" w:hAnsiTheme="majorBidi" w:cstheme="majorBidi"/>
          <w:szCs w:val="21"/>
        </w:rPr>
        <w:t>从宏观上表现出水锤波周期变长，水锤波速降低。</w:t>
      </w:r>
    </w:p>
    <w:bookmarkEnd w:id="29"/>
    <w:p w14:paraId="73FF877E">
      <w:pPr>
        <w:snapToGrid w:val="0"/>
        <w:ind w:firstLine="420" w:firstLineChars="200"/>
        <w:rPr>
          <w:rFonts w:ascii="Times New Roman" w:hAnsi="Times New Roman" w:cs="Times New Roman"/>
          <w:szCs w:val="21"/>
        </w:rPr>
      </w:pPr>
      <w:r>
        <w:rPr>
          <w:rFonts w:hint="eastAsia" w:ascii="Times New Roman" w:hAnsi="Times New Roman" w:cs="Times New Roman"/>
          <w:szCs w:val="21"/>
        </w:rPr>
        <w:t>而且不同初始气团体积，对水锤周期的影响不同。</w:t>
      </w:r>
      <w:r>
        <w:rPr>
          <w:rFonts w:ascii="Times New Roman" w:hAnsi="Times New Roman" w:cs="Times New Roman"/>
          <w:szCs w:val="21"/>
        </w:rPr>
        <w:t>不同气团初始体积占比的压力波周期变化</w:t>
      </w:r>
      <w:r>
        <w:rPr>
          <w:rFonts w:hint="eastAsia" w:ascii="Times New Roman" w:hAnsi="Times New Roman" w:cs="Times New Roman"/>
          <w:szCs w:val="21"/>
        </w:rPr>
        <w:t>如图9所示。</w:t>
      </w:r>
      <w:r>
        <w:rPr>
          <w:rFonts w:ascii="Times New Roman" w:hAnsi="Times New Roman" w:cs="Times New Roman"/>
          <w:szCs w:val="21"/>
        </w:rPr>
        <w:t>压力波周期与气团初始体积占比之间呈现显著的正相关关系。气团初始体积占比由15</w:t>
      </w:r>
      <w:r>
        <w:rPr>
          <w:rFonts w:ascii="Times New Roman" w:hAnsi="Times New Roman" w:cs="Times New Roman"/>
          <w:szCs w:val="21"/>
          <w:shd w:val="clear" w:color="auto" w:fill="FFFFFF"/>
        </w:rPr>
        <w:t>.55</w:t>
      </w:r>
      <w:r>
        <w:rPr>
          <w:rFonts w:ascii="Times New Roman" w:hAnsi="Times New Roman" w:cs="Times New Roman"/>
          <w:szCs w:val="21"/>
        </w:rPr>
        <w:t xml:space="preserve"> %增加至119.90 %，压力波周期由0</w:t>
      </w:r>
      <w:r>
        <w:rPr>
          <w:rFonts w:ascii="Times New Roman" w:hAnsi="Times New Roman" w:cs="Times New Roman"/>
          <w:szCs w:val="21"/>
          <w:shd w:val="clear" w:color="auto" w:fill="FFFFFF"/>
        </w:rPr>
        <w:t>.0925</w:t>
      </w:r>
      <w:r>
        <w:rPr>
          <w:rFonts w:ascii="Times New Roman" w:hAnsi="Times New Roman" w:cs="Times New Roman"/>
          <w:szCs w:val="21"/>
        </w:rPr>
        <w:t xml:space="preserve"> s延长至0.2425 s，压力波周期增长幅度约为1</w:t>
      </w:r>
      <w:r>
        <w:rPr>
          <w:rFonts w:hint="eastAsia" w:ascii="Times New Roman" w:hAnsi="Times New Roman" w:cs="Times New Roman"/>
          <w:szCs w:val="21"/>
        </w:rPr>
        <w:t>6</w:t>
      </w:r>
      <w:r>
        <w:rPr>
          <w:rFonts w:ascii="Times New Roman" w:hAnsi="Times New Roman" w:cs="Times New Roman"/>
          <w:szCs w:val="21"/>
        </w:rPr>
        <w:t>2.</w:t>
      </w:r>
      <w:r>
        <w:rPr>
          <w:rFonts w:hint="eastAsia" w:ascii="Times New Roman" w:hAnsi="Times New Roman" w:cs="Times New Roman"/>
          <w:szCs w:val="21"/>
        </w:rPr>
        <w:t>16</w:t>
      </w:r>
      <w:r>
        <w:rPr>
          <w:rFonts w:ascii="Times New Roman" w:hAnsi="Times New Roman" w:cs="Times New Roman"/>
          <w:szCs w:val="21"/>
        </w:rPr>
        <w:t xml:space="preserve"> %。</w:t>
      </w:r>
    </w:p>
    <w:p w14:paraId="2CFDCF75">
      <w:pPr>
        <w:snapToGrid w:val="0"/>
        <w:ind w:firstLine="420" w:firstLineChars="200"/>
        <w:rPr>
          <w:rFonts w:ascii="Times New Roman" w:hAnsi="Times New Roman" w:cs="Times New Roman"/>
          <w:szCs w:val="21"/>
        </w:rPr>
      </w:pPr>
      <w:r>
        <w:rPr>
          <w:rFonts w:ascii="Times New Roman" w:hAnsi="Times New Roman" w:cs="Times New Roman"/>
          <w:szCs w:val="21"/>
        </w:rPr>
        <w:t>气团初始体积占比从15.55 %增加到100 %时，压力波周期随气团初始体积而快速增长。而当气团完全占据管道盲端后，周期随气团初始体积的增速明显趋缓。说明滞留气团会对压力波的传播特性产生显著的影响，特别是在气团初始体积占比&lt;100 %的情况下。</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19521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200C7786">
            <w:pPr>
              <w:spacing w:line="360" w:lineRule="auto"/>
              <w:jc w:val="center"/>
              <w:rPr>
                <w:rFonts w:ascii="Times New Roman" w:hAnsi="Times New Roman" w:cs="Times New Roman"/>
                <w:sz w:val="24"/>
                <w:szCs w:val="24"/>
              </w:rPr>
            </w:pPr>
            <w:r>
              <w:rPr>
                <w:rFonts w:ascii="Times New Roman" w:hAnsi="Times New Roman" w:cs="Times New Roman"/>
                <w:sz w:val="24"/>
                <w:szCs w:val="24"/>
                <w14:ligatures w14:val="none"/>
              </w:rPr>
              <w:drawing>
                <wp:inline distT="0" distB="0" distL="0" distR="0">
                  <wp:extent cx="3137535" cy="2087880"/>
                  <wp:effectExtent l="0" t="0" r="0" b="0"/>
                  <wp:docPr id="494097076" name="图形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97076" name="图形 28"/>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3137852" cy="2088000"/>
                          </a:xfrm>
                          <a:prstGeom prst="rect">
                            <a:avLst/>
                          </a:prstGeom>
                        </pic:spPr>
                      </pic:pic>
                    </a:graphicData>
                  </a:graphic>
                </wp:inline>
              </w:drawing>
            </w:r>
          </w:p>
        </w:tc>
      </w:tr>
      <w:tr w14:paraId="61FC3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7D27267B">
            <w:pPr>
              <w:adjustRightInd w:val="0"/>
              <w:snapToGrid w:val="0"/>
              <w:spacing w:after="160"/>
              <w:jc w:val="center"/>
              <w:rPr>
                <w:rFonts w:ascii="Times New Roman" w:hAnsi="Times New Roman" w:eastAsia="黑体" w:cs="Times New Roman"/>
                <w:sz w:val="18"/>
                <w:szCs w:val="18"/>
              </w:rPr>
            </w:pPr>
            <w:bookmarkStart w:id="30" w:name="_Hlk191545728"/>
            <w:r>
              <w:rPr>
                <w:rFonts w:ascii="Times New Roman" w:hAnsi="Times New Roman" w:eastAsia="黑体" w:cs="Times New Roman"/>
                <w:sz w:val="18"/>
                <w:szCs w:val="18"/>
              </w:rPr>
              <w:t>图</w:t>
            </w:r>
            <w:r>
              <w:rPr>
                <w:rFonts w:hint="eastAsia" w:ascii="Times New Roman" w:hAnsi="Times New Roman" w:eastAsia="黑体" w:cs="Times New Roman"/>
                <w:sz w:val="18"/>
                <w:szCs w:val="18"/>
                <w:shd w:val="clear" w:color="auto" w:fill="FFFFFF"/>
              </w:rPr>
              <w:t>9</w:t>
            </w:r>
            <w:r>
              <w:rPr>
                <w:rFonts w:ascii="Times New Roman" w:hAnsi="Times New Roman" w:eastAsia="黑体" w:cs="Times New Roman"/>
                <w:sz w:val="18"/>
                <w:szCs w:val="18"/>
                <w:shd w:val="clear" w:color="auto" w:fill="FFFFFF"/>
              </w:rPr>
              <w:t xml:space="preserve">  不同气团初始体积占比的压力波周期的变化</w:t>
            </w:r>
          </w:p>
        </w:tc>
      </w:tr>
      <w:bookmarkEnd w:id="30"/>
      <w:tr w14:paraId="11889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23A1CED5">
            <w:pPr>
              <w:adjustRightInd w:val="0"/>
              <w:snapToGrid w:val="0"/>
              <w:spacing w:after="160"/>
              <w:jc w:val="center"/>
              <w:rPr>
                <w:rFonts w:hint="eastAsia" w:ascii="Times New Roman" w:hAnsi="Times New Roman" w:eastAsia="黑体" w:cs="Times New Roman"/>
                <w:sz w:val="18"/>
                <w:szCs w:val="18"/>
                <w:lang w:val="en-US" w:eastAsia="zh-CN"/>
              </w:rPr>
            </w:pPr>
            <w:r>
              <w:rPr>
                <w:rFonts w:ascii="Times New Roman" w:hAnsi="Times New Roman" w:eastAsia="黑体" w:cs="Times New Roman"/>
                <w:sz w:val="18"/>
                <w:szCs w:val="18"/>
              </w:rPr>
              <w:t>Fig.</w:t>
            </w:r>
            <w:r>
              <w:rPr>
                <w:rFonts w:hint="eastAsia" w:ascii="Times New Roman" w:hAnsi="Times New Roman" w:eastAsia="黑体" w:cs="Times New Roman"/>
                <w:sz w:val="18"/>
                <w:szCs w:val="18"/>
              </w:rPr>
              <w:t>9</w:t>
            </w:r>
            <w:r>
              <w:rPr>
                <w:rFonts w:ascii="Times New Roman" w:hAnsi="Times New Roman" w:eastAsia="黑体" w:cs="Times New Roman"/>
                <w:sz w:val="18"/>
                <w:szCs w:val="18"/>
              </w:rPr>
              <w:t xml:space="preserve">  </w:t>
            </w:r>
            <w:r>
              <w:rPr>
                <w:rFonts w:hint="eastAsia" w:ascii="Times New Roman" w:hAnsi="Times New Roman" w:eastAsia="黑体"/>
                <w:sz w:val="18"/>
                <w:szCs w:val="18"/>
              </w:rPr>
              <w:t>Variations</w:t>
            </w:r>
            <w:r>
              <w:rPr>
                <w:rFonts w:hint="eastAsia" w:ascii="Times New Roman" w:hAnsi="Times New Roman" w:eastAsia="黑体"/>
                <w:sz w:val="18"/>
                <w:szCs w:val="18"/>
                <w:lang w:val="en-US" w:eastAsia="zh-CN"/>
              </w:rPr>
              <w:t xml:space="preserve"> </w:t>
            </w:r>
            <w:r>
              <w:rPr>
                <w:rFonts w:hint="eastAsia" w:ascii="Times New Roman" w:hAnsi="Times New Roman" w:eastAsia="黑体" w:cs="Times New Roman"/>
                <w:sz w:val="18"/>
                <w:szCs w:val="18"/>
                <w:lang w:val="en-US" w:eastAsia="zh-CN"/>
              </w:rPr>
              <w:t>in p</w:t>
            </w:r>
            <w:r>
              <w:rPr>
                <w:rFonts w:ascii="Times New Roman" w:hAnsi="Times New Roman" w:eastAsia="黑体" w:cs="Times New Roman"/>
                <w:sz w:val="18"/>
                <w:szCs w:val="18"/>
              </w:rPr>
              <w:t>ressure wave period</w:t>
            </w:r>
            <w:r>
              <w:rPr>
                <w:rFonts w:hint="eastAsia" w:ascii="Times New Roman" w:hAnsi="Times New Roman" w:eastAsia="黑体" w:cs="Times New Roman"/>
                <w:sz w:val="18"/>
                <w:szCs w:val="18"/>
                <w:lang w:val="en-US" w:eastAsia="zh-CN"/>
              </w:rPr>
              <w:t>s</w:t>
            </w:r>
            <w:r>
              <w:rPr>
                <w:rFonts w:ascii="Times New Roman" w:hAnsi="Times New Roman" w:eastAsia="黑体" w:cs="Times New Roman"/>
                <w:sz w:val="18"/>
                <w:szCs w:val="18"/>
              </w:rPr>
              <w:t xml:space="preserve"> under different initial volume proportions of air pocket</w:t>
            </w:r>
            <w:r>
              <w:rPr>
                <w:rFonts w:hint="eastAsia" w:ascii="Times New Roman" w:hAnsi="Times New Roman" w:eastAsia="黑体" w:cs="Times New Roman"/>
                <w:sz w:val="18"/>
                <w:szCs w:val="18"/>
                <w:lang w:val="en-US" w:eastAsia="zh-CN"/>
              </w:rPr>
              <w:t>s</w:t>
            </w:r>
          </w:p>
        </w:tc>
      </w:tr>
    </w:tbl>
    <w:p w14:paraId="3F673426">
      <w:pPr>
        <w:spacing w:after="160"/>
        <w:outlineLvl w:val="1"/>
        <w:rPr>
          <w:rFonts w:ascii="Times New Roman" w:hAnsi="Times New Roman" w:eastAsia="黑体" w:cs="Times New Roman"/>
        </w:rPr>
      </w:pPr>
      <w:r>
        <w:rPr>
          <w:rFonts w:ascii="Times New Roman" w:hAnsi="Times New Roman" w:eastAsia="黑体" w:cs="Times New Roman"/>
          <w:shd w:val="clear" w:color="auto" w:fill="FFFFFF"/>
        </w:rPr>
        <w:t>2.3气团形态变化对瞬变特性的影响</w:t>
      </w:r>
    </w:p>
    <w:p w14:paraId="75485EA2">
      <w:pPr>
        <w:adjustRightInd w:val="0"/>
        <w:snapToGrid w:val="0"/>
        <w:ind w:firstLine="420" w:firstLineChars="200"/>
        <w:textAlignment w:val="center"/>
        <w:rPr>
          <w:rFonts w:ascii="Times New Roman" w:hAnsi="Times New Roman" w:cs="Times New Roman"/>
          <w:szCs w:val="21"/>
        </w:rPr>
      </w:pPr>
      <w:r>
        <w:rPr>
          <w:rFonts w:ascii="Times New Roman" w:hAnsi="Times New Roman" w:cs="Times New Roman"/>
          <w:szCs w:val="21"/>
        </w:rPr>
        <w:t>从2.1节、2.2节的分析可知，管道盲端的滞留气团对水力瞬变压力的极值、幅值、周期均会产生显著影响。由理想气体公式</w:t>
      </w:r>
      <w:r>
        <w:rPr>
          <w:rFonts w:ascii="Times New Roman" w:hAnsi="Times New Roman" w:cs="Times New Roman"/>
          <w:iCs/>
          <w:szCs w:val="21"/>
        </w:rPr>
        <w:fldChar w:fldCharType="begin"/>
      </w:r>
      <w:r>
        <w:rPr>
          <w:rFonts w:ascii="Times New Roman" w:hAnsi="Times New Roman" w:cs="Times New Roman"/>
          <w:iCs/>
          <w:szCs w:val="21"/>
        </w:rPr>
        <w:instrText xml:space="preserve"> </w:instrText>
      </w:r>
      <w:r>
        <w:rPr>
          <w:rFonts w:hint="eastAsia" w:ascii="Times New Roman" w:hAnsi="Times New Roman" w:cs="Times New Roman"/>
          <w:iCs/>
          <w:szCs w:val="21"/>
        </w:rPr>
        <w:instrText xml:space="preserve">GOTOBUTTON ZEqnNum100422  \* MERGEFORMAT</w:instrText>
      </w:r>
      <w:r>
        <w:rPr>
          <w:rFonts w:ascii="Times New Roman" w:hAnsi="Times New Roman" w:cs="Times New Roman"/>
          <w:iCs/>
          <w:szCs w:val="21"/>
        </w:rPr>
        <w:instrText xml:space="preserve"> (9)</w:instrText>
      </w:r>
      <w:r>
        <w:rPr>
          <w:rFonts w:ascii="Times New Roman" w:hAnsi="Times New Roman" w:cs="Times New Roman"/>
          <w:iCs/>
          <w:szCs w:val="21"/>
        </w:rPr>
        <w:fldChar w:fldCharType="end"/>
      </w:r>
      <w:r>
        <w:rPr>
          <w:rFonts w:ascii="Times New Roman" w:hAnsi="Times New Roman" w:cs="Times New Roman"/>
          <w:szCs w:val="21"/>
        </w:rPr>
        <w:t>可知，滞留气团压力</w:t>
      </w:r>
      <w:r>
        <w:rPr>
          <w:rFonts w:ascii="Times New Roman" w:hAnsi="Times New Roman" w:cs="Times New Roman"/>
          <w:i/>
          <w:iCs/>
          <w:szCs w:val="21"/>
        </w:rPr>
        <w:t>P</w:t>
      </w:r>
      <w:r>
        <w:rPr>
          <w:rFonts w:ascii="Times New Roman" w:hAnsi="Times New Roman" w:cs="Times New Roman"/>
          <w:szCs w:val="21"/>
        </w:rPr>
        <w:t>与体积</w:t>
      </w:r>
      <w:r>
        <w:rPr>
          <w:rFonts w:ascii="Times New Roman" w:hAnsi="Times New Roman" w:cs="Times New Roman"/>
          <w:i/>
          <w:iCs/>
          <w:szCs w:val="21"/>
        </w:rPr>
        <w:t>V</w:t>
      </w:r>
      <w:r>
        <w:rPr>
          <w:rFonts w:ascii="Times New Roman" w:hAnsi="Times New Roman" w:cs="Times New Roman"/>
          <w:szCs w:val="21"/>
        </w:rPr>
        <w:t>呈现反比例关系。在水流冲击滞留气团的过程中，气团会出现反复的压缩和膨胀，对应着波峰、波谷压力</w:t>
      </w:r>
      <w:r>
        <w:rPr>
          <w:rFonts w:ascii="Times New Roman" w:hAnsi="Times New Roman" w:cs="Times New Roman"/>
          <w:szCs w:val="21"/>
        </w:rPr>
        <w:object>
          <v:shape id="_x0000_i1038" o:spt="75" type="#_x0000_t75" style="height:15.85pt;width:20.55pt;" o:ole="t" filled="f" o:preferrelative="t" stroked="f" coordsize="21600,21600">
            <v:path/>
            <v:fill on="f" focussize="0,0"/>
            <v:stroke on="f" joinstyle="miter"/>
            <v:imagedata r:id="rId75" o:title=""/>
            <o:lock v:ext="edit" aspectratio="t"/>
            <w10:wrap type="none"/>
            <w10:anchorlock/>
          </v:shape>
          <o:OLEObject Type="Embed" ProgID="Equation.DSMT4" ShapeID="_x0000_i1038" DrawAspect="Content" ObjectID="_1468075738" r:id="rId74">
            <o:LockedField>false</o:LockedField>
          </o:OLEObject>
        </w:object>
      </w:r>
      <w:r>
        <w:rPr>
          <w:rFonts w:ascii="Times New Roman" w:hAnsi="Times New Roman" w:cs="Times New Roman"/>
          <w:szCs w:val="21"/>
        </w:rPr>
        <w:t>、</w:t>
      </w:r>
      <w:r>
        <w:rPr>
          <w:rFonts w:ascii="Times New Roman" w:hAnsi="Times New Roman" w:cs="Times New Roman"/>
          <w:szCs w:val="21"/>
        </w:rPr>
        <w:object>
          <v:shape id="_x0000_i1039" o:spt="75" type="#_x0000_t75" style="height:15.85pt;width:19.2pt;" o:ole="t" filled="f" o:preferrelative="t" stroked="f" coordsize="21600,21600">
            <v:path/>
            <v:fill on="f" focussize="0,0"/>
            <v:stroke on="f" joinstyle="miter"/>
            <v:imagedata r:id="rId77" o:title=""/>
            <o:lock v:ext="edit" aspectratio="t"/>
            <w10:wrap type="none"/>
            <w10:anchorlock/>
          </v:shape>
          <o:OLEObject Type="Embed" ProgID="Equation.DSMT4" ShapeID="_x0000_i1039" DrawAspect="Content" ObjectID="_1468075739" r:id="rId76">
            <o:LockedField>false</o:LockedField>
          </o:OLEObject>
        </w:object>
      </w:r>
      <w:r>
        <w:rPr>
          <w:rFonts w:ascii="Times New Roman" w:hAnsi="Times New Roman" w:cs="Times New Roman"/>
          <w:szCs w:val="21"/>
        </w:rPr>
        <w:t>的变化。当不同初始体积的滞留气团受到相同水流冲击时（初始压力</w:t>
      </w:r>
      <w:r>
        <w:rPr>
          <w:rFonts w:ascii="Times New Roman" w:hAnsi="Times New Roman" w:cs="Times New Roman"/>
          <w:i/>
          <w:iCs/>
          <w:szCs w:val="21"/>
        </w:rPr>
        <w:t>P</w:t>
      </w:r>
      <w:r>
        <w:rPr>
          <w:rFonts w:ascii="Times New Roman" w:hAnsi="Times New Roman" w:cs="Times New Roman"/>
          <w:szCs w:val="21"/>
        </w:rPr>
        <w:t>相同），气团的压缩或膨胀的程度和过程不同，必然造成不同的瞬变压力过程，包括峰谷压力幅值</w:t>
      </w:r>
      <w:r>
        <w:rPr>
          <w:rFonts w:ascii="Times New Roman" w:hAnsi="Times New Roman" w:cs="Times New Roman"/>
          <w:szCs w:val="21"/>
        </w:rPr>
        <w:object>
          <v:shape id="_x0000_i1040" o:spt="75" type="#_x0000_t75" style="height:12.25pt;width:16.95pt;" o:ole="t" filled="f" o:preferrelative="t" stroked="f" coordsize="21600,21600">
            <v:path/>
            <v:fill on="f" focussize="0,0"/>
            <v:stroke on="f" joinstyle="miter"/>
            <v:imagedata r:id="rId79" o:title=""/>
            <o:lock v:ext="edit" aspectratio="t"/>
            <w10:wrap type="none"/>
            <w10:anchorlock/>
          </v:shape>
          <o:OLEObject Type="Embed" ProgID="Equation.DSMT4" ShapeID="_x0000_i1040" DrawAspect="Content" ObjectID="_1468075740" r:id="rId78">
            <o:LockedField>false</o:LockedField>
          </o:OLEObject>
        </w:object>
      </w:r>
      <w:r>
        <w:rPr>
          <w:rFonts w:ascii="Times New Roman" w:hAnsi="Times New Roman" w:cs="Times New Roman"/>
          <w:szCs w:val="21"/>
        </w:rPr>
        <w:t>、压力波周期与相位时刻等的差异。第一波峰时刻是水力瞬变过程中的最大压力出现时刻，是水力瞬变过程中的关键节点，对于水锤防护具有重要意义。因此分析波峰时刻的气团形态变化，特别是该时刻的气团体积压缩率，可以直观</w:t>
      </w:r>
      <w:r>
        <w:rPr>
          <w:rFonts w:hint="eastAsia" w:ascii="Times New Roman" w:hAnsi="Times New Roman" w:cs="Times New Roman"/>
          <w:szCs w:val="21"/>
          <w:shd w:val="clear" w:color="auto" w:fill="FFFFFF"/>
        </w:rPr>
        <w:t>地</w:t>
      </w:r>
      <w:r>
        <w:rPr>
          <w:rFonts w:ascii="Times New Roman" w:hAnsi="Times New Roman" w:cs="Times New Roman"/>
          <w:szCs w:val="21"/>
        </w:rPr>
        <w:t>反映气团与水击压力峰值之间的内在联系，从而揭示出气团初始体积占比和管道边界条件对瞬变压力过程的影响。</w:t>
      </w:r>
    </w:p>
    <w:p w14:paraId="74635BF8">
      <w:pPr>
        <w:pStyle w:val="49"/>
        <w:snapToGrid w:val="0"/>
        <w:ind w:firstLine="0" w:firstLineChars="0"/>
        <w:rPr>
          <w:rFonts w:ascii="Times New Roman" w:hAnsi="Times New Roman"/>
        </w:rPr>
      </w:pPr>
      <w:r>
        <w:rPr>
          <w:rFonts w:ascii="Times New Roman" w:hAnsi="Times New Roman"/>
        </w:rPr>
        <w:tab/>
      </w:r>
      <w:r>
        <w:rPr>
          <w:rFonts w:ascii="Times New Roman" w:hAnsi="Times New Roman"/>
          <w:position w:val="-6"/>
        </w:rPr>
        <w:object>
          <v:shape id="_x0000_i1041" o:spt="75" type="#_x0000_t75" style="height:13.6pt;width:48.1pt;" o:ole="t" filled="f" o:preferrelative="t" stroked="f" coordsize="21600,21600">
            <v:path/>
            <v:fill on="f" focussize="0,0"/>
            <v:stroke on="f" joinstyle="miter"/>
            <v:imagedata r:id="rId81" o:title=""/>
            <o:lock v:ext="edit" aspectratio="t"/>
            <w10:wrap type="none"/>
            <w10:anchorlock/>
          </v:shape>
          <o:OLEObject Type="Embed" ProgID="Equation.DSMT4" ShapeID="_x0000_i1041" DrawAspect="Content" ObjectID="_1468075741" r:id="rId80">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shd w:val="clear" w:color="auto" w:fill="FFFFFF"/>
        </w:rPr>
        <w:instrText xml:space="preserve">(9)</w:instrText>
      </w:r>
      <w:r>
        <w:rPr>
          <w:rFonts w:ascii="Times New Roman" w:hAnsi="Times New Roman"/>
        </w:rPr>
        <w:fldChar w:fldCharType="end"/>
      </w:r>
    </w:p>
    <w:p w14:paraId="22CC2152">
      <w:pPr>
        <w:pStyle w:val="49"/>
        <w:snapToGrid w:val="0"/>
        <w:ind w:firstLine="0" w:firstLineChars="0"/>
        <w:rPr>
          <w:rFonts w:ascii="Times New Roman" w:hAnsi="Times New Roman"/>
        </w:rPr>
      </w:pPr>
      <w:r>
        <w:rPr>
          <w:rFonts w:ascii="Times New Roman" w:hAnsi="Times New Roman"/>
        </w:rPr>
        <w:tab/>
      </w:r>
      <w:r>
        <w:rPr>
          <w:rFonts w:ascii="Times New Roman" w:hAnsi="Times New Roman"/>
          <w:position w:val="-10"/>
          <w:shd w:val="clear" w:color="auto" w:fill="FFFFFF"/>
        </w:rPr>
        <w:object>
          <v:shape id="_x0000_i1042" o:spt="75" type="#_x0000_t75" style="height:16.4pt;width:67.25pt;" o:ole="t" filled="f" o:preferrelative="t" stroked="f" coordsize="21600,21600">
            <v:path/>
            <v:fill on="f" focussize="0,0"/>
            <v:stroke on="f" joinstyle="miter"/>
            <v:imagedata r:id="rId83" o:title=""/>
            <o:lock v:ext="edit" aspectratio="t"/>
            <w10:wrap type="none"/>
            <w10:anchorlock/>
          </v:shape>
          <o:OLEObject Type="Embed" ProgID="Equation.DSMT4" ShapeID="_x0000_i1042" DrawAspect="Content" ObjectID="_1468075742" r:id="rId82">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 xml:space="preserve">(10)</w:instrText>
      </w:r>
      <w:r>
        <w:rPr>
          <w:rFonts w:ascii="Times New Roman" w:hAnsi="Times New Roman"/>
        </w:rPr>
        <w:fldChar w:fldCharType="end"/>
      </w:r>
    </w:p>
    <w:p w14:paraId="0C2713BE">
      <w:pPr>
        <w:snapToGrid w:val="0"/>
        <w:spacing w:after="160" w:line="360" w:lineRule="auto"/>
        <w:outlineLvl w:val="2"/>
        <w:rPr>
          <w:rFonts w:ascii="Times New Roman" w:hAnsi="Times New Roman" w:eastAsia="楷体" w:cs="Times New Roman"/>
          <w:bCs/>
        </w:rPr>
      </w:pPr>
      <w:r>
        <w:rPr>
          <w:rFonts w:hint="eastAsia" w:ascii="Times New Roman" w:hAnsi="Times New Roman" w:eastAsia="楷体" w:cs="Times New Roman"/>
          <w:bCs/>
        </w:rPr>
        <w:t>2.3.1</w:t>
      </w:r>
      <w:r>
        <w:rPr>
          <w:rFonts w:ascii="Times New Roman" w:hAnsi="Times New Roman" w:eastAsia="楷体" w:cs="Times New Roman"/>
          <w:bCs/>
        </w:rPr>
        <w:t>第一波峰时刻气团压缩率</w:t>
      </w:r>
    </w:p>
    <w:p w14:paraId="522D2867">
      <w:pPr>
        <w:snapToGrid w:val="0"/>
        <w:ind w:firstLine="420" w:firstLineChars="200"/>
        <w:rPr>
          <w:rFonts w:ascii="Times New Roman" w:hAnsi="Times New Roman" w:cs="Times New Roman"/>
          <w:szCs w:val="21"/>
        </w:rPr>
      </w:pPr>
      <w:bookmarkStart w:id="31" w:name="_Hlk208265168"/>
      <w:bookmarkStart w:id="32" w:name="_Hlk208947638"/>
      <w:r>
        <w:rPr>
          <w:rFonts w:ascii="Times New Roman" w:hAnsi="Times New Roman" w:cs="Times New Roman"/>
          <w:szCs w:val="21"/>
        </w:rPr>
        <w:t>在</w:t>
      </w:r>
      <w:r>
        <w:rPr>
          <w:rFonts w:hint="eastAsia" w:ascii="Times New Roman" w:hAnsi="Times New Roman" w:cs="Times New Roman"/>
          <w:szCs w:val="21"/>
        </w:rPr>
        <w:t>绝热</w:t>
      </w:r>
      <w:r>
        <w:rPr>
          <w:rFonts w:ascii="Times New Roman" w:hAnsi="Times New Roman" w:cs="Times New Roman"/>
          <w:szCs w:val="21"/>
        </w:rPr>
        <w:t>过程中，当压力达到第一波峰时刻，此时气团体积被压缩至最小。通过峰值时刻压力和初始压力比值可计算气团压缩率，计算公式如下：</w:t>
      </w:r>
    </w:p>
    <w:p w14:paraId="2973E317">
      <w:pPr>
        <w:pStyle w:val="49"/>
        <w:snapToGrid w:val="0"/>
        <w:ind w:firstLine="420"/>
        <w:rPr>
          <w:rFonts w:ascii="Times New Roman" w:hAnsi="Times New Roman"/>
          <w:szCs w:val="21"/>
        </w:rPr>
      </w:pPr>
      <w:r>
        <w:rPr>
          <w:rFonts w:ascii="Times New Roman" w:hAnsi="Times New Roman"/>
          <w:szCs w:val="21"/>
        </w:rPr>
        <w:tab/>
      </w:r>
      <w:r>
        <w:rPr>
          <w:rFonts w:ascii="Times New Roman" w:hAnsi="Times New Roman"/>
          <w:position w:val="-10"/>
          <w:szCs w:val="21"/>
        </w:rPr>
        <w:object>
          <v:shape id="_x0000_i1043" o:spt="75" type="#_x0000_t75" style="height:16.95pt;width:71.15pt;" o:ole="t" filled="f" o:preferrelative="t" stroked="f" coordsize="21600,21600">
            <v:path/>
            <v:fill on="f" focussize="0,0"/>
            <v:stroke on="f" joinstyle="miter"/>
            <v:imagedata r:id="rId85" o:title=""/>
            <o:lock v:ext="edit" aspectratio="t"/>
            <w10:wrap type="none"/>
            <w10:anchorlock/>
          </v:shape>
          <o:OLEObject Type="Embed" ProgID="Equation.DSMT4" ShapeID="_x0000_i1043" DrawAspect="Content" ObjectID="_1468075743" r:id="rId84">
            <o:LockedField>false</o:LockedField>
          </o:OLEObject>
        </w:objec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MACROBUTTON MTPlaceRef \* MERGEFORMAT </w:instrText>
      </w:r>
      <w:r>
        <w:rPr>
          <w:rFonts w:ascii="Times New Roman" w:hAnsi="Times New Roman"/>
          <w:szCs w:val="21"/>
        </w:rPr>
        <w:fldChar w:fldCharType="begin"/>
      </w:r>
      <w:r>
        <w:rPr>
          <w:rFonts w:ascii="Times New Roman" w:hAnsi="Times New Roman"/>
          <w:szCs w:val="21"/>
        </w:rPr>
        <w:instrText xml:space="preserve"> SEQ MTEqn \h \* MERGEFORMAT </w:instrText>
      </w:r>
      <w:r>
        <w:rPr>
          <w:rFonts w:ascii="Times New Roman" w:hAnsi="Times New Roman"/>
          <w:szCs w:val="21"/>
        </w:rPr>
        <w:fldChar w:fldCharType="end"/>
      </w:r>
      <w:r>
        <w:rPr>
          <w:rFonts w:ascii="Times New Roman" w:hAnsi="Times New Roman"/>
          <w:szCs w:val="21"/>
        </w:rPr>
        <w:instrText xml:space="preserve">(11)</w:instrText>
      </w:r>
      <w:r>
        <w:rPr>
          <w:rFonts w:ascii="Times New Roman" w:hAnsi="Times New Roman"/>
          <w:szCs w:val="21"/>
        </w:rPr>
        <w:fldChar w:fldCharType="end"/>
      </w:r>
    </w:p>
    <w:p w14:paraId="5DDBC3DE">
      <w:pPr>
        <w:snapToGrid w:val="0"/>
        <w:rPr>
          <w:rFonts w:ascii="Times New Roman" w:hAnsi="Times New Roman" w:cs="Times New Roman"/>
          <w:szCs w:val="21"/>
        </w:rPr>
      </w:pPr>
      <w:r>
        <w:rPr>
          <w:rFonts w:ascii="Times New Roman" w:hAnsi="Times New Roman" w:cs="Times New Roman"/>
          <w:szCs w:val="21"/>
        </w:rPr>
        <w:t>式中</w:t>
      </w:r>
      <w:r>
        <w:rPr>
          <w:rFonts w:hint="eastAsia" w:ascii="Times New Roman" w:hAnsi="Times New Roman" w:cs="Times New Roman"/>
          <w:szCs w:val="21"/>
        </w:rPr>
        <w:t>，</w:t>
      </w:r>
      <w:r>
        <w:rPr>
          <w:rFonts w:hint="eastAsia" w:ascii="Times New Roman" w:hAnsi="Times New Roman" w:cs="Times New Roman"/>
          <w:i/>
          <w:iCs/>
          <w:szCs w:val="21"/>
        </w:rPr>
        <w:t>m</w:t>
      </w:r>
      <w:r>
        <w:rPr>
          <w:rFonts w:ascii="Times New Roman" w:hAnsi="Times New Roman" w:cs="Times New Roman"/>
          <w:szCs w:val="21"/>
        </w:rPr>
        <w:t>为气体多变指数，</w:t>
      </w:r>
      <w:r>
        <w:rPr>
          <w:rFonts w:hint="eastAsia" w:ascii="Times New Roman" w:hAnsi="Times New Roman" w:cs="Times New Roman"/>
          <w:szCs w:val="21"/>
        </w:rPr>
        <w:t>在绝热过程中，通常取</w:t>
      </w:r>
      <w:r>
        <w:rPr>
          <w:rFonts w:ascii="Times New Roman" w:hAnsi="Times New Roman" w:cs="Times New Roman"/>
          <w:szCs w:val="21"/>
        </w:rPr>
        <w:t>1.4</w:t>
      </w:r>
      <w:r>
        <w:rPr>
          <w:rFonts w:hint="eastAsia" w:ascii="Times New Roman" w:hAnsi="Times New Roman" w:cs="Times New Roman"/>
          <w:szCs w:val="21"/>
        </w:rPr>
        <w:t>；</w:t>
      </w:r>
      <w:r>
        <w:rPr>
          <w:rFonts w:ascii="Times New Roman" w:hAnsi="Times New Roman" w:cs="Times New Roman"/>
          <w:i/>
          <w:iCs/>
          <w:szCs w:val="21"/>
        </w:rPr>
        <w:t>H</w:t>
      </w:r>
      <w:r>
        <w:rPr>
          <w:rFonts w:ascii="Times New Roman" w:hAnsi="Times New Roman" w:cs="Times New Roman"/>
          <w:i/>
          <w:iCs/>
          <w:szCs w:val="21"/>
          <w:vertAlign w:val="subscript"/>
        </w:rPr>
        <w:t>a0</w:t>
      </w:r>
      <w:r>
        <w:rPr>
          <w:rFonts w:ascii="Times New Roman" w:hAnsi="Times New Roman" w:cs="Times New Roman"/>
          <w:szCs w:val="21"/>
        </w:rPr>
        <w:t>为气体初始时刻绝对压力</w:t>
      </w:r>
      <w:r>
        <w:rPr>
          <w:rFonts w:hint="eastAsia" w:ascii="Times New Roman" w:hAnsi="Times New Roman" w:cs="Times New Roman"/>
          <w:szCs w:val="21"/>
        </w:rPr>
        <w:t>（</w:t>
      </w:r>
      <w:r>
        <w:rPr>
          <w:rFonts w:ascii="Times New Roman" w:hAnsi="Times New Roman" w:cs="Times New Roman"/>
          <w:szCs w:val="21"/>
        </w:rPr>
        <w:t>m</w:t>
      </w:r>
      <w:r>
        <w:rPr>
          <w:rFonts w:hint="eastAsia" w:ascii="Times New Roman" w:hAnsi="Times New Roman" w:cs="Times New Roman"/>
          <w:szCs w:val="21"/>
        </w:rPr>
        <w:t>）</w:t>
      </w:r>
      <w:r>
        <w:rPr>
          <w:rFonts w:ascii="Times New Roman" w:hAnsi="Times New Roman" w:cs="Times New Roman"/>
          <w:szCs w:val="21"/>
        </w:rPr>
        <w:t>；</w:t>
      </w:r>
      <w:r>
        <w:rPr>
          <w:rFonts w:ascii="Times New Roman" w:hAnsi="Times New Roman" w:cs="Times New Roman"/>
          <w:i/>
          <w:iCs/>
          <w:szCs w:val="21"/>
        </w:rPr>
        <w:t>V</w:t>
      </w:r>
      <w:r>
        <w:rPr>
          <w:rFonts w:ascii="Times New Roman" w:hAnsi="Times New Roman" w:cs="Times New Roman"/>
          <w:i/>
          <w:iCs/>
          <w:szCs w:val="21"/>
          <w:vertAlign w:val="subscript"/>
        </w:rPr>
        <w:t>a0</w:t>
      </w:r>
      <w:r>
        <w:rPr>
          <w:rFonts w:ascii="Times New Roman" w:hAnsi="Times New Roman" w:cs="Times New Roman"/>
          <w:szCs w:val="21"/>
          <w:vertAlign w:val="subscript"/>
        </w:rPr>
        <w:t xml:space="preserve"> </w:t>
      </w:r>
      <w:r>
        <w:rPr>
          <w:rFonts w:ascii="Times New Roman" w:hAnsi="Times New Roman" w:cs="Times New Roman"/>
          <w:szCs w:val="21"/>
        </w:rPr>
        <w:t>为气体初始时刻体积</w:t>
      </w:r>
      <w:r>
        <w:rPr>
          <w:rFonts w:hint="eastAsia" w:ascii="Times New Roman" w:hAnsi="Times New Roman" w:cs="Times New Roman"/>
          <w:szCs w:val="21"/>
        </w:rPr>
        <w:t>（</w:t>
      </w:r>
      <w:r>
        <w:rPr>
          <w:rFonts w:ascii="Times New Roman" w:hAnsi="Times New Roman" w:cs="Times New Roman"/>
          <w:szCs w:val="21"/>
        </w:rPr>
        <w:t>m³</w:t>
      </w:r>
      <w:r>
        <w:rPr>
          <w:rFonts w:hint="eastAsia" w:ascii="Times New Roman" w:hAnsi="Times New Roman" w:cs="Times New Roman"/>
          <w:szCs w:val="21"/>
        </w:rPr>
        <w:t>）</w:t>
      </w:r>
      <w:r>
        <w:rPr>
          <w:rFonts w:ascii="Times New Roman" w:hAnsi="Times New Roman" w:cs="Times New Roman"/>
          <w:szCs w:val="21"/>
        </w:rPr>
        <w:t>；</w:t>
      </w:r>
      <w:r>
        <w:rPr>
          <w:rFonts w:ascii="Times New Roman" w:hAnsi="Times New Roman" w:cs="Times New Roman"/>
          <w:i/>
          <w:iCs/>
          <w:szCs w:val="21"/>
        </w:rPr>
        <w:t xml:space="preserve">i </w:t>
      </w:r>
      <w:r>
        <w:rPr>
          <w:rFonts w:ascii="Times New Roman" w:hAnsi="Times New Roman" w:cs="Times New Roman"/>
          <w:szCs w:val="21"/>
        </w:rPr>
        <w:t>代表第</w:t>
      </w:r>
      <w:r>
        <w:rPr>
          <w:rFonts w:ascii="Times New Roman" w:hAnsi="Times New Roman" w:cs="Times New Roman"/>
          <w:i/>
          <w:iCs/>
          <w:szCs w:val="21"/>
        </w:rPr>
        <w:t xml:space="preserve"> i </w:t>
      </w:r>
      <w:r>
        <w:rPr>
          <w:rFonts w:ascii="Times New Roman" w:hAnsi="Times New Roman" w:cs="Times New Roman"/>
          <w:szCs w:val="21"/>
        </w:rPr>
        <w:t>时刻气团的对应参数瞬时值。</w:t>
      </w:r>
    </w:p>
    <w:p w14:paraId="52F605AC">
      <w:pPr>
        <w:snapToGrid w:val="0"/>
        <w:ind w:firstLine="420" w:firstLineChars="200"/>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为了验证气体多变指数</w:t>
      </w:r>
      <w:r>
        <w:rPr>
          <w:rFonts w:ascii="Times New Roman" w:hAnsi="Times New Roman" w:cs="Times New Roman"/>
          <w:i/>
          <w:iCs/>
          <w:szCs w:val="21"/>
          <w:shd w:val="clear" w:color="auto" w:fill="FFFFFF"/>
        </w:rPr>
        <w:t xml:space="preserve"> m</w:t>
      </w:r>
      <w:r>
        <w:rPr>
          <w:rFonts w:ascii="Times New Roman" w:hAnsi="Times New Roman" w:cs="Times New Roman"/>
          <w:szCs w:val="21"/>
          <w:shd w:val="clear" w:color="auto" w:fill="FFFFFF"/>
        </w:rPr>
        <w:t xml:space="preserve"> </w:t>
      </w:r>
      <w:r>
        <w:rPr>
          <w:rFonts w:hint="eastAsia" w:ascii="Times New Roman" w:hAnsi="Times New Roman" w:cs="Times New Roman"/>
          <w:szCs w:val="21"/>
          <w:shd w:val="clear" w:color="auto" w:fill="FFFFFF"/>
        </w:rPr>
        <w:t>取</w:t>
      </w:r>
      <w:r>
        <w:rPr>
          <w:rFonts w:ascii="Times New Roman" w:hAnsi="Times New Roman" w:cs="Times New Roman"/>
          <w:szCs w:val="21"/>
          <w:shd w:val="clear" w:color="auto" w:fill="FFFFFF"/>
        </w:rPr>
        <w:t xml:space="preserve"> 1.4 </w:t>
      </w:r>
      <w:r>
        <w:rPr>
          <w:rFonts w:hint="eastAsia" w:ascii="Times New Roman" w:hAnsi="Times New Roman" w:cs="Times New Roman"/>
          <w:szCs w:val="21"/>
          <w:shd w:val="clear" w:color="auto" w:fill="FFFFFF"/>
        </w:rPr>
        <w:t>的合理性，本文引入傅里叶数（</w:t>
      </w:r>
      <w:r>
        <w:rPr>
          <w:rFonts w:ascii="Times New Roman" w:hAnsi="Times New Roman" w:cs="Times New Roman"/>
          <w:szCs w:val="21"/>
          <w:shd w:val="clear" w:color="auto" w:fill="FFFFFF"/>
        </w:rPr>
        <w:t>Fourier number</w:t>
      </w:r>
      <w:r>
        <w:rPr>
          <w:rFonts w:hint="eastAsia" w:ascii="Times New Roman" w:hAnsi="Times New Roman" w:cs="Times New Roman"/>
          <w:szCs w:val="21"/>
          <w:shd w:val="clear" w:color="auto" w:fill="FFFFFF"/>
        </w:rPr>
        <w:t>，简称</w:t>
      </w:r>
      <w:r>
        <w:rPr>
          <w:rFonts w:ascii="Times New Roman" w:hAnsi="Times New Roman" w:cs="Times New Roman"/>
          <w:i/>
          <w:iCs/>
          <w:szCs w:val="21"/>
          <w:shd w:val="clear" w:color="auto" w:fill="FFFFFF"/>
        </w:rPr>
        <w:t xml:space="preserve"> Fo</w:t>
      </w:r>
      <w:r>
        <w:rPr>
          <w:rFonts w:hint="eastAsia" w:ascii="Times New Roman" w:hAnsi="Times New Roman" w:cs="Times New Roman"/>
          <w:szCs w:val="21"/>
          <w:shd w:val="clear" w:color="auto" w:fill="FFFFFF"/>
        </w:rPr>
        <w:t>）作为判据。</w:t>
      </w:r>
      <w:r>
        <w:rPr>
          <w:rFonts w:ascii="Times New Roman" w:hAnsi="Times New Roman" w:cs="Times New Roman"/>
          <w:i/>
          <w:iCs/>
          <w:szCs w:val="21"/>
          <w:shd w:val="clear" w:color="auto" w:fill="FFFFFF"/>
        </w:rPr>
        <w:t xml:space="preserve">Fo </w:t>
      </w:r>
      <w:r>
        <w:rPr>
          <w:rFonts w:hint="eastAsia" w:ascii="Times New Roman" w:hAnsi="Times New Roman" w:cs="Times New Roman"/>
          <w:szCs w:val="21"/>
          <w:shd w:val="clear" w:color="auto" w:fill="FFFFFF"/>
        </w:rPr>
        <w:t>是传热学中衡量导热过程与时间尺度关系的重要无量纲参数，常用于判断气团压缩与膨胀过程的热力学性质。当</w:t>
      </w:r>
      <w:r>
        <w:rPr>
          <w:rFonts w:ascii="Times New Roman" w:hAnsi="Times New Roman" w:cs="Times New Roman"/>
          <w:szCs w:val="21"/>
          <w:shd w:val="clear" w:color="auto" w:fill="FFFFFF"/>
        </w:rPr>
        <w:t xml:space="preserve"> </w:t>
      </w:r>
      <w:r>
        <w:rPr>
          <w:rFonts w:ascii="Times New Roman" w:hAnsi="Times New Roman" w:cs="Times New Roman"/>
          <w:i/>
          <w:iCs/>
          <w:szCs w:val="21"/>
          <w:shd w:val="clear" w:color="auto" w:fill="FFFFFF"/>
        </w:rPr>
        <w:t>Fo</w:t>
      </w:r>
      <w:r>
        <w:rPr>
          <w:rFonts w:ascii="Cambria Math" w:hAnsi="Cambria Math" w:cs="Cambria Math"/>
          <w:szCs w:val="21"/>
          <w:shd w:val="clear" w:color="auto" w:fill="FFFFFF"/>
        </w:rPr>
        <w:t>≫</w:t>
      </w:r>
      <w:r>
        <w:rPr>
          <w:rFonts w:ascii="Times New Roman" w:hAnsi="Times New Roman" w:cs="Times New Roman"/>
          <w:szCs w:val="21"/>
          <w:shd w:val="clear" w:color="auto" w:fill="FFFFFF"/>
        </w:rPr>
        <w:t xml:space="preserve">1 </w:t>
      </w:r>
      <w:r>
        <w:rPr>
          <w:rFonts w:hint="eastAsia" w:ascii="Times New Roman" w:hAnsi="Times New Roman" w:cs="Times New Roman"/>
          <w:szCs w:val="21"/>
          <w:shd w:val="clear" w:color="auto" w:fill="FFFFFF"/>
        </w:rPr>
        <w:t>时，气团在过程时间内能够与周围介质充分换热，可近似视为等温过程；当</w:t>
      </w:r>
      <w:r>
        <w:rPr>
          <w:rFonts w:ascii="Times New Roman" w:hAnsi="Times New Roman" w:cs="Times New Roman"/>
          <w:szCs w:val="21"/>
          <w:shd w:val="clear" w:color="auto" w:fill="FFFFFF"/>
        </w:rPr>
        <w:t xml:space="preserve"> </w:t>
      </w:r>
      <w:r>
        <w:rPr>
          <w:rFonts w:ascii="Times New Roman" w:hAnsi="Times New Roman" w:cs="Times New Roman"/>
          <w:i/>
          <w:iCs/>
          <w:szCs w:val="21"/>
          <w:shd w:val="clear" w:color="auto" w:fill="FFFFFF"/>
        </w:rPr>
        <w:t>Fo</w:t>
      </w:r>
      <w:r>
        <w:rPr>
          <w:rFonts w:ascii="Cambria Math" w:hAnsi="Cambria Math" w:cs="Cambria Math"/>
          <w:szCs w:val="21"/>
          <w:shd w:val="clear" w:color="auto" w:fill="FFFFFF"/>
        </w:rPr>
        <w:t>≪</w:t>
      </w:r>
      <w:r>
        <w:rPr>
          <w:rFonts w:ascii="Times New Roman" w:hAnsi="Times New Roman" w:cs="Times New Roman"/>
          <w:szCs w:val="21"/>
          <w:shd w:val="clear" w:color="auto" w:fill="FFFFFF"/>
        </w:rPr>
        <w:t xml:space="preserve">1 </w:t>
      </w:r>
      <w:r>
        <w:rPr>
          <w:rFonts w:hint="eastAsia" w:ascii="Times New Roman" w:hAnsi="Times New Roman" w:cs="Times New Roman"/>
          <w:szCs w:val="21"/>
          <w:shd w:val="clear" w:color="auto" w:fill="FFFFFF"/>
        </w:rPr>
        <w:t>时，换热不足，可近似视为绝热过程；介于两者之间时，则可按多变过程进行处理。计算公式如下</w:t>
      </w:r>
    </w:p>
    <w:p w14:paraId="43447226">
      <w:pPr>
        <w:pStyle w:val="49"/>
        <w:snapToGrid w:val="0"/>
        <w:ind w:firstLine="420"/>
        <w:rPr>
          <w:rFonts w:ascii="Times New Roman" w:hAnsi="Times New Roman"/>
        </w:rPr>
      </w:pPr>
      <w:r>
        <w:rPr>
          <w:rFonts w:ascii="Times New Roman" w:hAnsi="Times New Roman"/>
        </w:rPr>
        <w:tab/>
      </w:r>
      <w:r>
        <w:rPr>
          <w:rFonts w:ascii="Times New Roman" w:hAnsi="Times New Roman"/>
          <w:position w:val="-22"/>
        </w:rPr>
        <w:object>
          <v:shape id="_x0000_i1044" o:spt="75" type="#_x0000_t75" style="height:28.1pt;width:37.8pt;" o:ole="t" filled="f" o:preferrelative="t" stroked="f" coordsize="21600,21600">
            <v:path/>
            <v:fill on="f" focussize="0,0"/>
            <v:stroke on="f" joinstyle="miter"/>
            <v:imagedata r:id="rId87" o:title=""/>
            <o:lock v:ext="edit" aspectratio="t"/>
            <w10:wrap type="none"/>
            <w10:anchorlock/>
          </v:shape>
          <o:OLEObject Type="Embed" ProgID="Equation.DSMT4" ShapeID="_x0000_i1044" DrawAspect="Content" ObjectID="_1468075744" r:id="rId86">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 xml:space="preserve">(12)</w:instrText>
      </w:r>
      <w:r>
        <w:rPr>
          <w:rFonts w:ascii="Times New Roman" w:hAnsi="Times New Roman"/>
        </w:rPr>
        <w:fldChar w:fldCharType="end"/>
      </w:r>
    </w:p>
    <w:p w14:paraId="33DBED67">
      <w:pPr>
        <w:snapToGrid w:val="0"/>
        <w:rPr>
          <w:rFonts w:ascii="Times New Roman" w:hAnsi="Times New Roman" w:cs="Times New Roman"/>
        </w:rPr>
      </w:pPr>
      <w:bookmarkStart w:id="33" w:name="_Hlk208320048"/>
      <w:r>
        <w:rPr>
          <w:rFonts w:ascii="Times New Roman" w:hAnsi="Times New Roman" w:cs="Times New Roman"/>
          <w:szCs w:val="21"/>
        </w:rPr>
        <w:t>式中</w:t>
      </w:r>
      <w:r>
        <w:rPr>
          <w:rFonts w:hint="eastAsia" w:ascii="Times New Roman" w:hAnsi="Times New Roman" w:cs="Times New Roman"/>
          <w:szCs w:val="21"/>
        </w:rPr>
        <w:t>，</w:t>
      </w:r>
      <w:r>
        <w:rPr>
          <w:rFonts w:ascii="Times New Roman" w:hAnsi="Times New Roman" w:cs="Times New Roman"/>
          <w:position w:val="-6"/>
        </w:rPr>
        <w:object>
          <v:shape id="_x0000_i1045" o:spt="75" type="#_x0000_t75" style="height:10.85pt;width:12.25pt;" o:ole="t" filled="f" o:preferrelative="t" stroked="f" coordsize="21600,21600">
            <v:path/>
            <v:fill on="f" focussize="0,0"/>
            <v:stroke on="f" joinstyle="miter"/>
            <v:imagedata r:id="rId89" o:title=""/>
            <o:lock v:ext="edit" aspectratio="t"/>
            <w10:wrap type="none"/>
            <w10:anchorlock/>
          </v:shape>
          <o:OLEObject Type="Embed" ProgID="Equation.DSMT4" ShapeID="_x0000_i1045" DrawAspect="Content" ObjectID="_1468075745" r:id="rId88">
            <o:LockedField>false</o:LockedField>
          </o:OLEObject>
        </w:object>
      </w:r>
      <w:r>
        <w:rPr>
          <w:rFonts w:hint="eastAsia" w:ascii="Times New Roman" w:hAnsi="Times New Roman" w:cs="Times New Roman"/>
        </w:rPr>
        <w:t>为气团的热扩散率（</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/s</w:t>
      </w:r>
      <w:r>
        <w:rPr>
          <w:rFonts w:hint="eastAsia" w:ascii="Times New Roman" w:hAnsi="Times New Roman" w:cs="Times New Roman"/>
        </w:rPr>
        <w:t>），在常温常压条件下取</w:t>
      </w:r>
      <w:r>
        <w:rPr>
          <w:rFonts w:ascii="Times New Roman" w:hAnsi="Times New Roman" w:cs="Times New Roman"/>
        </w:rPr>
        <w:t>2.1</w:t>
      </w:r>
      <w:r>
        <w:rPr>
          <w:rFonts w:hint="eastAsia"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-5</w:t>
      </w:r>
      <w:r>
        <w:rPr>
          <w:rFonts w:hint="eastAsia" w:ascii="Times New Roman" w:hAnsi="Times New Roman" w:cs="Times New Roman"/>
        </w:rPr>
        <w:t>；</w:t>
      </w:r>
      <w:r>
        <w:rPr>
          <w:rFonts w:ascii="Times New Roman" w:hAnsi="Times New Roman" w:cs="Times New Roman"/>
          <w:i/>
          <w:iCs/>
        </w:rPr>
        <w:t>t</w:t>
      </w:r>
      <w:r>
        <w:rPr>
          <w:rFonts w:hint="eastAsia" w:ascii="Times New Roman" w:hAnsi="Times New Roman" w:cs="Times New Roman"/>
        </w:rPr>
        <w:t>为特征时间（</w:t>
      </w:r>
      <w:r>
        <w:rPr>
          <w:rFonts w:ascii="Times New Roman" w:hAnsi="Times New Roman" w:cs="Times New Roman"/>
        </w:rPr>
        <w:t>s</w:t>
      </w:r>
      <w:r>
        <w:rPr>
          <w:rFonts w:hint="eastAsia" w:ascii="Times New Roman" w:hAnsi="Times New Roman" w:cs="Times New Roman"/>
        </w:rPr>
        <w:t>），取工况</w:t>
      </w:r>
      <w:r>
        <w:rPr>
          <w:rFonts w:ascii="Times New Roman" w:hAnsi="Times New Roman" w:cs="Times New Roman"/>
        </w:rPr>
        <w:t>4</w:t>
      </w:r>
      <w:r>
        <w:rPr>
          <w:rFonts w:hint="eastAsia" w:ascii="Times New Roman" w:hAnsi="Times New Roman" w:cs="Times New Roman"/>
        </w:rPr>
        <w:t>下的压力波周期为</w:t>
      </w:r>
      <w:r>
        <w:rPr>
          <w:rFonts w:ascii="Times New Roman" w:hAnsi="Times New Roman" w:cs="Times New Roman"/>
        </w:rPr>
        <w:t>0.2275</w:t>
      </w:r>
      <w:r>
        <w:rPr>
          <w:rFonts w:hint="eastAsia" w:ascii="Times New Roman" w:hAnsi="Times New Roman" w:cs="Times New Roman"/>
        </w:rPr>
        <w:t>；</w:t>
      </w:r>
      <w:r>
        <w:rPr>
          <w:rFonts w:ascii="Times New Roman" w:hAnsi="Times New Roman" w:cs="Times New Roman"/>
          <w:i/>
          <w:iCs/>
        </w:rPr>
        <w:t>L</w:t>
      </w:r>
      <w:r>
        <w:rPr>
          <w:rFonts w:hint="eastAsia" w:ascii="Times New Roman" w:hAnsi="Times New Roman" w:cs="Times New Roman"/>
        </w:rPr>
        <w:t>为特征长度（</w:t>
      </w:r>
      <w:r>
        <w:rPr>
          <w:rFonts w:ascii="Times New Roman" w:hAnsi="Times New Roman" w:cs="Times New Roman"/>
        </w:rPr>
        <w:t>m</w:t>
      </w:r>
      <w:r>
        <w:rPr>
          <w:rFonts w:hint="eastAsia" w:ascii="Times New Roman" w:hAnsi="Times New Roman" w:cs="Times New Roman"/>
        </w:rPr>
        <w:t>），取工况</w:t>
      </w:r>
      <w:r>
        <w:rPr>
          <w:rFonts w:ascii="Times New Roman" w:hAnsi="Times New Roman" w:cs="Times New Roman"/>
        </w:rPr>
        <w:t>4</w:t>
      </w:r>
      <w:r>
        <w:rPr>
          <w:rFonts w:hint="eastAsia" w:ascii="Times New Roman" w:hAnsi="Times New Roman" w:cs="Times New Roman"/>
        </w:rPr>
        <w:t>等体积下的球体直径为</w:t>
      </w:r>
      <w:r>
        <w:rPr>
          <w:rFonts w:ascii="Times New Roman" w:hAnsi="Times New Roman" w:cs="Times New Roman"/>
        </w:rPr>
        <w:t>0.31</w:t>
      </w:r>
      <w:r>
        <w:rPr>
          <w:rFonts w:hint="eastAsia" w:ascii="Times New Roman" w:hAnsi="Times New Roman" w:cs="Times New Roman"/>
        </w:rPr>
        <w:t>。</w:t>
      </w:r>
    </w:p>
    <w:p w14:paraId="172F5AD8">
      <w:pPr>
        <w:adjustRightInd w:val="0"/>
        <w:snapToGrid w:val="0"/>
        <w:ind w:firstLine="420" w:firstLineChars="200"/>
        <w:rPr>
          <w:rFonts w:ascii="Times New Roman" w:hAnsi="Times New Roman" w:cs="Times New Roman"/>
        </w:rPr>
      </w:pPr>
      <w:r>
        <w:rPr>
          <w:rFonts w:hint="eastAsia" w:ascii="Times New Roman" w:hAnsi="Times New Roman" w:cs="Times New Roman"/>
        </w:rPr>
        <w:t>经过计算后</w:t>
      </w:r>
      <w:r>
        <w:rPr>
          <w:rFonts w:ascii="Times New Roman" w:hAnsi="Times New Roman" w:cs="Times New Roman"/>
          <w:i/>
          <w:iCs/>
        </w:rPr>
        <w:t>Fo≈</w:t>
      </w:r>
      <w:r>
        <w:rPr>
          <w:rFonts w:ascii="Times New Roman" w:hAnsi="Times New Roman" w:cs="Times New Roman"/>
        </w:rPr>
        <w:t>4.</w:t>
      </w:r>
      <w:r>
        <w:rPr>
          <w:rFonts w:hint="eastAsia" w:ascii="Times New Roman" w:hAnsi="Times New Roman" w:cs="Times New Roman"/>
        </w:rPr>
        <w:t>97</w:t>
      </w:r>
      <w:r>
        <w:rPr>
          <w:rFonts w:ascii="Times New Roman" w:hAnsi="Times New Roman" w:cs="Times New Roman"/>
        </w:rPr>
        <w:t>×10</w:t>
      </w:r>
      <w:r>
        <w:rPr>
          <w:rFonts w:ascii="Times New Roman" w:hAnsi="Times New Roman" w:cs="Times New Roman"/>
          <w:vertAlign w:val="superscript"/>
        </w:rPr>
        <w:t>−5</w:t>
      </w:r>
      <w:r>
        <w:rPr>
          <w:rFonts w:ascii="Cambria Math" w:hAnsi="Cambria Math" w:cs="Cambria Math"/>
          <w:szCs w:val="21"/>
        </w:rPr>
        <w:t>≪</w:t>
      </w:r>
      <w:r>
        <w:rPr>
          <w:rFonts w:ascii="Times New Roman" w:hAnsi="Times New Roman" w:cs="Times New Roman"/>
        </w:rPr>
        <w:t>1</w:t>
      </w:r>
      <w:r>
        <w:rPr>
          <w:rFonts w:hint="eastAsia" w:ascii="Times New Roman" w:hAnsi="Times New Roman" w:cs="Times New Roman"/>
        </w:rPr>
        <w:t>，所以本文瞬变流过程属于绝热过程。</w:t>
      </w:r>
    </w:p>
    <w:bookmarkEnd w:id="31"/>
    <w:p w14:paraId="0EBCBC74">
      <w:pPr>
        <w:snapToGrid w:val="0"/>
        <w:ind w:firstLine="420" w:firstLineChars="200"/>
        <w:rPr>
          <w:rFonts w:ascii="Times New Roman" w:hAnsi="Times New Roman" w:cs="Times New Roman"/>
          <w:szCs w:val="21"/>
        </w:rPr>
      </w:pPr>
      <w:r>
        <w:rPr>
          <w:rFonts w:ascii="Times New Roman" w:hAnsi="Times New Roman" w:cs="Times New Roman"/>
          <w:szCs w:val="21"/>
        </w:rPr>
        <w:t>气团压缩率</w:t>
      </w:r>
      <w:r>
        <w:rPr>
          <w:rFonts w:ascii="Times New Roman" w:hAnsi="Times New Roman" w:cs="Times New Roman"/>
          <w:position w:val="-6"/>
          <w:szCs w:val="21"/>
        </w:rPr>
        <w:object>
          <v:shape id="_x0000_i1046" o:spt="75" type="#_x0000_t75" style="height:9.75pt;width:8.35pt;" o:ole="t" filled="f" o:preferrelative="t" stroked="f" coordsize="21600,21600">
            <v:path/>
            <v:fill on="f" focussize="0,0"/>
            <v:stroke on="f" joinstyle="miter"/>
            <v:imagedata r:id="rId91" o:title=""/>
            <o:lock v:ext="edit" aspectratio="t"/>
            <w10:wrap type="none"/>
            <w10:anchorlock/>
          </v:shape>
          <o:OLEObject Type="Embed" ProgID="Equation.DSMT4" ShapeID="_x0000_i1046" DrawAspect="Content" ObjectID="_1468075746" r:id="rId90">
            <o:LockedField>false</o:LockedField>
          </o:OLEObject>
        </w:object>
      </w:r>
      <w:r>
        <w:rPr>
          <w:rFonts w:ascii="Times New Roman" w:hAnsi="Times New Roman" w:cs="Times New Roman"/>
          <w:szCs w:val="21"/>
        </w:rPr>
        <w:t>计算公式如下</w:t>
      </w:r>
    </w:p>
    <w:p w14:paraId="79967984">
      <w:pPr>
        <w:pStyle w:val="49"/>
        <w:snapToGrid w:val="0"/>
        <w:ind w:firstLine="420"/>
        <w:rPr>
          <w:rFonts w:ascii="Times New Roman" w:hAnsi="Times New Roman"/>
        </w:rPr>
      </w:pPr>
      <w:r>
        <w:rPr>
          <w:rFonts w:ascii="Times New Roman" w:hAnsi="Times New Roman"/>
        </w:rPr>
        <w:tab/>
      </w:r>
      <w:r>
        <w:rPr>
          <w:rFonts w:ascii="Times New Roman" w:hAnsi="Times New Roman"/>
          <w:position w:val="-28"/>
        </w:rPr>
        <w:object>
          <v:shape id="_x0000_i1047" o:spt="75" type="#_x0000_t75" style="height:33.1pt;width:180.15pt;" o:ole="t" filled="f" o:preferrelative="t" stroked="f" coordsize="21600,21600">
            <v:path/>
            <v:fill on="f" focussize="0,0"/>
            <v:stroke on="f" joinstyle="miter"/>
            <v:imagedata r:id="rId93" o:title=""/>
            <o:lock v:ext="edit" aspectratio="t"/>
            <w10:wrap type="none"/>
            <w10:anchorlock/>
          </v:shape>
          <o:OLEObject Type="Embed" ProgID="Equation.DSMT4" ShapeID="_x0000_i1047" DrawAspect="Content" ObjectID="_1468075747" r:id="rId92">
            <o:LockedField>false</o:LockedField>
          </o:OLEObject>
        </w:object>
      </w:r>
      <w:r>
        <w:rPr>
          <w:rFonts w:ascii="Times New Roman" w:hAnsi="Times New Roman"/>
        </w:rPr>
        <w:tab/>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shd w:val="clear" w:color="auto" w:fill="FFFFFF"/>
        </w:rPr>
        <w:instrText xml:space="preserve">(13)</w:instrText>
      </w:r>
      <w:r>
        <w:rPr>
          <w:rFonts w:ascii="Times New Roman" w:hAnsi="Times New Roman"/>
        </w:rPr>
        <w:fldChar w:fldCharType="end"/>
      </w:r>
    </w:p>
    <w:bookmarkEnd w:id="32"/>
    <w:bookmarkEnd w:id="33"/>
    <w:p w14:paraId="1CC0B2D1">
      <w:pPr>
        <w:snapToGrid w:val="0"/>
        <w:ind w:firstLine="420" w:firstLineChars="200"/>
        <w:rPr>
          <w:rFonts w:ascii="Times New Roman" w:hAnsi="Times New Roman" w:cs="Times New Roman"/>
        </w:rPr>
      </w:pPr>
      <w:r>
        <w:rPr>
          <w:rFonts w:ascii="Times New Roman" w:hAnsi="Times New Roman" w:cs="Times New Roman"/>
        </w:rPr>
        <w:t>将不同工况下滞留气团初始时刻压力和峰值时刻压力代入式</w:t>
      </w:r>
      <w:r>
        <w:rPr>
          <w:rFonts w:ascii="Times New Roman" w:hAnsi="Times New Roman" w:cs="Times New Roman"/>
          <w:iCs/>
        </w:rPr>
        <w:fldChar w:fldCharType="begin"/>
      </w:r>
      <w:r>
        <w:rPr>
          <w:rFonts w:ascii="Times New Roman" w:hAnsi="Times New Roman" w:cs="Times New Roman"/>
          <w:iCs/>
        </w:rPr>
        <w:instrText xml:space="preserve"> </w:instrText>
      </w:r>
      <w:r>
        <w:rPr>
          <w:rFonts w:hint="eastAsia" w:ascii="Times New Roman" w:hAnsi="Times New Roman" w:cs="Times New Roman"/>
          <w:iCs/>
        </w:rPr>
        <w:instrText xml:space="preserve">GOTOBUTTON ZEqnNum453880  \* MERGEFORMAT</w:instrText>
      </w:r>
      <w:r>
        <w:rPr>
          <w:rFonts w:ascii="Times New Roman" w:hAnsi="Times New Roman" w:cs="Times New Roman"/>
          <w:iCs/>
        </w:rPr>
        <w:instrText xml:space="preserve"> (13)</w:instrText>
      </w:r>
      <w:r>
        <w:rPr>
          <w:rFonts w:ascii="Times New Roman" w:hAnsi="Times New Roman" w:cs="Times New Roman"/>
          <w:iCs/>
        </w:rPr>
        <w:fldChar w:fldCharType="end"/>
      </w:r>
      <w:r>
        <w:rPr>
          <w:rFonts w:ascii="Times New Roman" w:hAnsi="Times New Roman" w:cs="Times New Roman"/>
        </w:rPr>
        <w:t>计算，得到各工况下第一峰值时刻的气团压缩率结果，如图1</w:t>
      </w:r>
      <w:r>
        <w:rPr>
          <w:rFonts w:hint="eastAsia" w:ascii="Times New Roman" w:hAnsi="Times New Roman" w:cs="Times New Roman"/>
        </w:rPr>
        <w:t>0</w:t>
      </w:r>
      <w:r>
        <w:rPr>
          <w:rFonts w:ascii="Times New Roman" w:hAnsi="Times New Roman" w:cs="Times New Roman"/>
        </w:rPr>
        <w:t>所示。从图上可以看出，随着气团初始体积占比增加，第一压力波峰时刻的气团压缩率呈现先快后缓的增加趋势。当气团初始体积占比从 15.55 % 逐渐增加至 74.81 % 时 ，气团最大压缩率呈明显上升趋势；当气团初始体积占比从 74.81 % 增加到 100 %，气团最大压缩率上升速率变缓；而当气团初始体积占比超过 100%（即超出管道盲端 ），气团最大压缩率基本趋于稳定。</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2BB56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2798CB20">
            <w:pPr>
              <w:snapToGrid w:val="0"/>
              <w:jc w:val="center"/>
              <w:rPr>
                <w:rFonts w:ascii="Times New Roman" w:hAnsi="Times New Roman" w:cs="Times New Roman"/>
                <w:sz w:val="24"/>
                <w:szCs w:val="28"/>
              </w:rPr>
            </w:pPr>
            <w:r>
              <w:rPr>
                <w:rFonts w:ascii="Times New Roman" w:hAnsi="Times New Roman" w:cs="Times New Roman"/>
                <w:sz w:val="24"/>
                <w:szCs w:val="28"/>
                <w14:ligatures w14:val="none"/>
              </w:rPr>
              <w:drawing>
                <wp:inline distT="0" distB="0" distL="0" distR="0">
                  <wp:extent cx="2704465" cy="2092325"/>
                  <wp:effectExtent l="0" t="0" r="635" b="0"/>
                  <wp:docPr id="1364576971" name="图形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76971" name="图形 29"/>
                          <pic:cNvPicPr>
                            <a:picLocks noChangeAspect="1"/>
                          </pic:cNvPicPr>
                        </pic:nvPicPr>
                        <pic:blipFill>
                          <a:blip r:embed="rId94">
                            <a:extLst>
                              <a:ext uri="{96DAC541-7B7A-43D3-8B79-37D633B846F1}">
                                <asvg:svgBlip xmlns:asvg="http://schemas.microsoft.com/office/drawing/2016/SVG/main" r:embed="rId95"/>
                              </a:ext>
                            </a:extLst>
                          </a:blip>
                          <a:stretch>
                            <a:fillRect/>
                          </a:stretch>
                        </pic:blipFill>
                        <pic:spPr>
                          <a:xfrm>
                            <a:off x="0" y="0"/>
                            <a:ext cx="2723133" cy="2106563"/>
                          </a:xfrm>
                          <a:prstGeom prst="rect">
                            <a:avLst/>
                          </a:prstGeom>
                        </pic:spPr>
                      </pic:pic>
                    </a:graphicData>
                  </a:graphic>
                </wp:inline>
              </w:drawing>
            </w:r>
          </w:p>
        </w:tc>
      </w:tr>
      <w:tr w14:paraId="0F62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68D35B4A">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图</w:t>
            </w:r>
            <w:r>
              <w:rPr>
                <w:rFonts w:ascii="Times New Roman" w:hAnsi="Times New Roman" w:eastAsia="黑体" w:cs="Times New Roman"/>
                <w:sz w:val="18"/>
                <w:szCs w:val="18"/>
                <w:shd w:val="clear" w:color="auto" w:fill="FFFFFF"/>
              </w:rPr>
              <w:t>1</w:t>
            </w:r>
            <w:r>
              <w:rPr>
                <w:rFonts w:hint="eastAsia" w:ascii="Times New Roman" w:hAnsi="Times New Roman" w:eastAsia="黑体" w:cs="Times New Roman"/>
                <w:sz w:val="18"/>
                <w:szCs w:val="18"/>
                <w:shd w:val="clear" w:color="auto" w:fill="FFFFFF"/>
              </w:rPr>
              <w:t>0</w:t>
            </w:r>
            <w:r>
              <w:rPr>
                <w:rFonts w:ascii="Times New Roman" w:hAnsi="Times New Roman" w:eastAsia="黑体" w:cs="Times New Roman"/>
                <w:sz w:val="18"/>
                <w:szCs w:val="18"/>
                <w:shd w:val="clear" w:color="auto" w:fill="FFFFFF"/>
              </w:rPr>
              <w:t xml:space="preserve">  不同气团初始体积占比下第一波峰处气团压缩率</w:t>
            </w:r>
          </w:p>
        </w:tc>
      </w:tr>
      <w:tr w14:paraId="2954A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tcPr>
          <w:p w14:paraId="3F653951">
            <w:pPr>
              <w:adjustRightInd w:val="0"/>
              <w:snapToGrid w:val="0"/>
              <w:spacing w:after="160"/>
              <w:jc w:val="center"/>
              <w:rPr>
                <w:rFonts w:ascii="Times New Roman" w:hAnsi="Times New Roman" w:eastAsia="黑体" w:cs="Times New Roman"/>
                <w:sz w:val="18"/>
                <w:szCs w:val="18"/>
              </w:rPr>
            </w:pPr>
            <w:r>
              <w:rPr>
                <w:rFonts w:ascii="Times New Roman" w:hAnsi="Times New Roman" w:eastAsia="黑体" w:cs="Times New Roman"/>
                <w:sz w:val="18"/>
                <w:szCs w:val="18"/>
              </w:rPr>
              <w:t>Fig.1</w:t>
            </w:r>
            <w:r>
              <w:rPr>
                <w:rFonts w:hint="eastAsia" w:ascii="Times New Roman" w:hAnsi="Times New Roman" w:eastAsia="黑体" w:cs="Times New Roman"/>
                <w:sz w:val="18"/>
                <w:szCs w:val="18"/>
              </w:rPr>
              <w:t>0</w:t>
            </w:r>
            <w:r>
              <w:rPr>
                <w:rFonts w:ascii="Times New Roman" w:hAnsi="Times New Roman" w:eastAsia="黑体" w:cs="Times New Roman"/>
                <w:sz w:val="18"/>
                <w:szCs w:val="18"/>
              </w:rPr>
              <w:t xml:space="preserve">  </w:t>
            </w:r>
            <w:r>
              <w:rPr>
                <w:rFonts w:hint="eastAsia" w:ascii="Times New Roman" w:hAnsi="Times New Roman" w:eastAsia="黑体" w:cs="Times New Roman"/>
                <w:sz w:val="18"/>
                <w:szCs w:val="18"/>
              </w:rPr>
              <w:t>Air</w:t>
            </w:r>
            <w:r>
              <w:rPr>
                <w:rFonts w:ascii="Times New Roman" w:hAnsi="Times New Roman" w:eastAsia="黑体" w:cs="Times New Roman"/>
                <w:sz w:val="18"/>
                <w:szCs w:val="18"/>
              </w:rPr>
              <w:t xml:space="preserve"> pocket compression rat</w:t>
            </w:r>
            <w:r>
              <w:rPr>
                <w:rFonts w:hint="eastAsia" w:ascii="Times New Roman" w:hAnsi="Times New Roman" w:eastAsia="黑体" w:cs="Times New Roman"/>
                <w:sz w:val="18"/>
                <w:szCs w:val="18"/>
                <w:lang w:val="en-US" w:eastAsia="zh-CN"/>
              </w:rPr>
              <w:t>e</w:t>
            </w:r>
            <w:r>
              <w:rPr>
                <w:rFonts w:ascii="Times New Roman" w:hAnsi="Times New Roman" w:eastAsia="黑体" w:cs="Times New Roman"/>
                <w:sz w:val="18"/>
                <w:szCs w:val="18"/>
              </w:rPr>
              <w:t xml:space="preserve"> at first pressure peak under different initial</w:t>
            </w:r>
            <w:r>
              <w:rPr>
                <w:rFonts w:hint="eastAsia" w:ascii="Times New Roman" w:hAnsi="Times New Roman" w:eastAsia="黑体" w:cs="Times New Roman"/>
                <w:sz w:val="18"/>
                <w:szCs w:val="18"/>
                <w:lang w:val="en-US" w:eastAsia="zh-CN"/>
              </w:rPr>
              <w:t xml:space="preserve"> </w:t>
            </w:r>
            <w:r>
              <w:rPr>
                <w:rFonts w:ascii="Times New Roman" w:hAnsi="Times New Roman" w:eastAsia="黑体" w:cs="Times New Roman"/>
                <w:sz w:val="18"/>
                <w:szCs w:val="18"/>
              </w:rPr>
              <w:t>volume proportions of air pocket</w:t>
            </w:r>
            <w:r>
              <w:rPr>
                <w:rFonts w:hint="eastAsia" w:ascii="Times New Roman" w:hAnsi="Times New Roman" w:eastAsia="黑体" w:cs="Times New Roman"/>
                <w:sz w:val="18"/>
                <w:szCs w:val="18"/>
                <w:lang w:val="en-US" w:eastAsia="zh-CN"/>
              </w:rPr>
              <w:t>s</w:t>
            </w:r>
          </w:p>
        </w:tc>
      </w:tr>
    </w:tbl>
    <w:p w14:paraId="30C09274">
      <w:pPr>
        <w:snapToGrid w:val="0"/>
        <w:spacing w:after="160" w:line="360" w:lineRule="auto"/>
        <w:outlineLvl w:val="2"/>
        <w:rPr>
          <w:rFonts w:ascii="Times New Roman" w:hAnsi="Times New Roman" w:eastAsia="楷体" w:cs="Times New Roman"/>
          <w:bCs/>
        </w:rPr>
      </w:pPr>
      <w:r>
        <w:rPr>
          <w:rFonts w:hint="eastAsia" w:ascii="Times New Roman" w:hAnsi="Times New Roman" w:eastAsia="楷体" w:cs="Times New Roman"/>
          <w:bCs/>
        </w:rPr>
        <w:t>2.3.2</w:t>
      </w:r>
      <w:r>
        <w:rPr>
          <w:rFonts w:ascii="Times New Roman" w:hAnsi="Times New Roman" w:eastAsia="楷体" w:cs="Times New Roman"/>
          <w:bCs/>
        </w:rPr>
        <w:t>第一波峰时刻气团形态变化</w:t>
      </w:r>
      <w:r>
        <w:rPr>
          <w:rFonts w:hint="eastAsia" w:ascii="Times New Roman" w:hAnsi="Times New Roman" w:eastAsia="楷体" w:cs="Times New Roman"/>
          <w:bCs/>
        </w:rPr>
        <w:t>及</w:t>
      </w:r>
      <w:r>
        <w:rPr>
          <w:rFonts w:hint="eastAsia" w:ascii="Times New Roman" w:hAnsi="Times New Roman" w:eastAsia="楷体" w:cs="Times New Roman"/>
          <w:bCs/>
          <w:shd w:val="clear" w:color="auto" w:fill="FFFFFF"/>
        </w:rPr>
        <w:t>流线</w:t>
      </w:r>
      <w:r>
        <w:rPr>
          <w:rFonts w:hint="eastAsia" w:ascii="Times New Roman" w:hAnsi="Times New Roman" w:eastAsia="楷体" w:cs="Times New Roman"/>
          <w:bCs/>
        </w:rPr>
        <w:t>分析</w:t>
      </w:r>
    </w:p>
    <w:p w14:paraId="66BF4767">
      <w:pPr>
        <w:snapToGrid w:val="0"/>
        <w:ind w:firstLine="420" w:firstLineChars="200"/>
        <w:rPr>
          <w:rFonts w:ascii="Times New Roman" w:hAnsi="Times New Roman" w:cs="Times New Roman"/>
        </w:rPr>
      </w:pPr>
      <w:r>
        <w:rPr>
          <w:rFonts w:hint="eastAsia" w:ascii="Times New Roman" w:hAnsi="Times New Roman" w:cs="Times New Roman"/>
        </w:rPr>
        <w:t>各工况下的管道中心剖面处第一波峰时刻的气团形态及</w:t>
      </w:r>
      <w:r>
        <w:rPr>
          <w:rFonts w:hint="eastAsia" w:ascii="Times New Roman" w:hAnsi="Times New Roman" w:cs="Times New Roman"/>
          <w:shd w:val="clear" w:color="auto" w:fill="FFFFFF"/>
        </w:rPr>
        <w:t>流线</w:t>
      </w:r>
      <w:r>
        <w:rPr>
          <w:rFonts w:hint="eastAsia" w:ascii="Times New Roman" w:hAnsi="Times New Roman" w:cs="Times New Roman"/>
        </w:rPr>
        <w:t>叠加图如</w:t>
      </w:r>
      <w:r>
        <w:rPr>
          <w:rFonts w:ascii="Times New Roman" w:hAnsi="Times New Roman" w:cs="Times New Roman"/>
        </w:rPr>
        <w:t>图1</w:t>
      </w:r>
      <w:r>
        <w:rPr>
          <w:rFonts w:hint="eastAsia" w:ascii="Times New Roman" w:hAnsi="Times New Roman" w:cs="Times New Roman"/>
        </w:rPr>
        <w:t>1所示</w:t>
      </w:r>
      <w:r>
        <w:rPr>
          <w:rFonts w:ascii="Times New Roman" w:hAnsi="Times New Roman" w:cs="Times New Roman"/>
        </w:rPr>
        <w:t>。在管道入口处突然施加压力后，水流对管道盲端的滞留气团进行冲击，</w:t>
      </w:r>
      <w:r>
        <w:rPr>
          <w:rFonts w:ascii="Times New Roman" w:hAnsi="Times New Roman" w:cs="Times New Roman"/>
          <w:shd w:val="clear" w:color="auto" w:fill="FFFFFF"/>
        </w:rPr>
        <w:t>水流沿管壁挤压气团</w:t>
      </w:r>
      <w:r>
        <w:rPr>
          <w:rFonts w:ascii="Times New Roman" w:hAnsi="Times New Roman" w:cs="Times New Roman"/>
        </w:rPr>
        <w:t>。由图1</w:t>
      </w:r>
      <w:r>
        <w:rPr>
          <w:rFonts w:hint="eastAsia" w:ascii="Times New Roman" w:hAnsi="Times New Roman" w:cs="Times New Roman"/>
        </w:rPr>
        <w:t>1</w:t>
      </w:r>
      <w:r>
        <w:rPr>
          <w:rFonts w:ascii="Times New Roman" w:hAnsi="Times New Roman" w:cs="Times New Roman"/>
        </w:rPr>
        <w:t>可知，工况1中气团初始体积较小，气团可压缩性较低</w:t>
      </w:r>
      <w:r>
        <w:rPr>
          <w:rFonts w:ascii="Times New Roman" w:hAnsi="Times New Roman" w:cs="Times New Roman"/>
          <w:shd w:val="clear" w:color="auto" w:fill="FFFFFF"/>
        </w:rPr>
        <w:t>[</w:t>
      </w:r>
      <w:r>
        <w:rPr>
          <w:rFonts w:hint="eastAsia" w:ascii="Times New Roman" w:hAnsi="Times New Roman" w:cs="Times New Roman"/>
          <w:shd w:val="clear" w:color="auto" w:fill="FFFFFF"/>
        </w:rPr>
        <w:t>见图</w:t>
      </w:r>
      <w:r>
        <w:rPr>
          <w:rFonts w:ascii="Times New Roman" w:hAnsi="Times New Roman" w:cs="Times New Roman"/>
          <w:shd w:val="clear" w:color="auto" w:fill="FFFFFF"/>
        </w:rPr>
        <w:t>1</w:t>
      </w:r>
      <w:r>
        <w:rPr>
          <w:rFonts w:hint="eastAsia" w:ascii="Times New Roman" w:hAnsi="Times New Roman" w:cs="Times New Roman"/>
          <w:shd w:val="clear" w:color="auto" w:fill="FFFFFF"/>
        </w:rPr>
        <w:t>1</w:t>
      </w:r>
      <w:r>
        <w:rPr>
          <w:rFonts w:ascii="Times New Roman" w:hAnsi="Times New Roman" w:cs="Times New Roman"/>
          <w:shd w:val="clear" w:color="auto" w:fill="FFFFFF"/>
        </w:rPr>
        <w:t>(a)]</w:t>
      </w:r>
      <w:r>
        <w:rPr>
          <w:rFonts w:ascii="Times New Roman" w:hAnsi="Times New Roman" w:cs="Times New Roman"/>
        </w:rPr>
        <w:t>。工况2中气团初始体积增加，水流冲击滞留气团后，将气团压缩至管道末端，水流沿管壁即将达到管道末端[</w:t>
      </w:r>
      <w:r>
        <w:rPr>
          <w:rFonts w:hint="eastAsia" w:ascii="Times New Roman" w:hAnsi="Times New Roman" w:cs="Times New Roman"/>
        </w:rPr>
        <w:t>见图</w:t>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工况</w:t>
      </w:r>
      <w:r>
        <w:rPr>
          <w:rFonts w:ascii="Times New Roman" w:hAnsi="Times New Roman" w:cs="Times New Roman"/>
          <w:shd w:val="clear" w:color="auto" w:fill="FFFFFF"/>
        </w:rPr>
        <w:t>3</w:t>
      </w:r>
      <w:r>
        <w:rPr>
          <w:rFonts w:ascii="Times New Roman" w:hAnsi="Times New Roman" w:cs="Times New Roman"/>
        </w:rPr>
        <w:t>气团初始体积更大，其可压缩性进一步增加，气团除管道末端处，四周均被水流包裹，气团近似被压缩成矩形[</w:t>
      </w:r>
      <w:r>
        <w:rPr>
          <w:rFonts w:hint="eastAsia" w:ascii="Times New Roman" w:hAnsi="Times New Roman" w:cs="Times New Roman"/>
        </w:rPr>
        <w:t>见图</w:t>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t>(c)]。</w:t>
      </w:r>
    </w:p>
    <w:p w14:paraId="53231D66">
      <w:pPr>
        <w:snapToGrid w:val="0"/>
        <w:ind w:firstLine="420" w:firstLineChars="200"/>
        <w:rPr>
          <w:rFonts w:ascii="Times New Roman" w:hAnsi="Times New Roman" w:cs="Times New Roman"/>
        </w:rPr>
      </w:pPr>
      <w:r>
        <w:rPr>
          <w:rFonts w:ascii="Times New Roman" w:hAnsi="Times New Roman" w:cs="Times New Roman"/>
        </w:rPr>
        <w:t>工况4、工况5、工况6中气团变化趋势近似一致，气团被压缩后，主要集中在管道末端的水平段。水流达到管壁末端后，从管道上半部分对气团进行压缩，气团在第一波峰时刻出现被水流推动沿着管道弯曲段向出口方向移动的趋势[</w:t>
      </w:r>
      <w:r>
        <w:rPr>
          <w:rFonts w:hint="eastAsia" w:ascii="Times New Roman" w:hAnsi="Times New Roman" w:cs="Times New Roman"/>
        </w:rPr>
        <w:t>见图</w:t>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t>(d)~1</w:t>
      </w:r>
      <w:r>
        <w:rPr>
          <w:rFonts w:hint="eastAsia" w:ascii="Times New Roman" w:hAnsi="Times New Roman" w:cs="Times New Roman"/>
        </w:rPr>
        <w:t>1</w:t>
      </w:r>
      <w:r>
        <w:rPr>
          <w:rFonts w:ascii="Times New Roman" w:hAnsi="Times New Roman" w:cs="Times New Roman"/>
        </w:rPr>
        <w:t>(f)]</w:t>
      </w:r>
      <w:r>
        <w:rPr>
          <w:rFonts w:hint="eastAsia" w:ascii="Times New Roman" w:hAnsi="Times New Roman" w:cs="Times New Roman"/>
        </w:rPr>
        <w:t>。</w:t>
      </w:r>
    </w:p>
    <w:p w14:paraId="052BA9E0">
      <w:pPr>
        <w:snapToGrid w:val="0"/>
        <w:ind w:firstLine="420" w:firstLineChars="200"/>
        <w:rPr>
          <w:rFonts w:ascii="Times New Roman" w:hAnsi="Times New Roman" w:cs="Times New Roman"/>
        </w:rPr>
      </w:pPr>
      <w:r>
        <w:rPr>
          <w:rFonts w:hint="eastAsia" w:ascii="Times New Roman" w:hAnsi="Times New Roman" w:cs="Times New Roman"/>
        </w:rPr>
        <w:t>通过图</w:t>
      </w:r>
      <w:r>
        <w:rPr>
          <w:rFonts w:ascii="Times New Roman" w:hAnsi="Times New Roman" w:cs="Times New Roman"/>
        </w:rPr>
        <w:t>11</w:t>
      </w:r>
      <w:r>
        <w:rPr>
          <w:rFonts w:hint="eastAsia" w:ascii="Times New Roman" w:hAnsi="Times New Roman" w:cs="Times New Roman"/>
        </w:rPr>
        <w:t>的流线分布可知</w:t>
      </w:r>
      <w:r>
        <w:rPr>
          <w:rFonts w:ascii="Times New Roman" w:hAnsi="Times New Roman" w:cs="Times New Roman"/>
        </w:rPr>
        <w:t>，在第一波峰时刻，气团未发生明显破碎，而是在水流冲击下整体压缩。随着气团初始体积的增加，气团可压缩性提高，水流沿着管壁更为容易达到管道末端，并从上方对气团压缩。在气团未完全占据管道末端时候（</w:t>
      </w:r>
      <w:r>
        <w:rPr>
          <w:rFonts w:ascii="Times New Roman" w:hAnsi="Times New Roman" w:cs="Times New Roman"/>
          <w:szCs w:val="21"/>
        </w:rPr>
        <w:t>气团初始体积占比&lt;100%</w:t>
      </w:r>
      <w:r>
        <w:rPr>
          <w:rFonts w:ascii="Times New Roman" w:hAnsi="Times New Roman" w:cs="Times New Roman"/>
        </w:rPr>
        <w:t>），水流可从管道四壁对气团进行冲击，气团被压缩在管道盲端处。而当气团初始体积占比&gt;100%，水流只能在气团上方对气团进行冲击，气团下表面和末端均和管道壁面接触，气团在水流推动下沿着下管壁向</w:t>
      </w:r>
      <w:r>
        <w:rPr>
          <w:rFonts w:ascii="Times New Roman" w:hAnsi="Times New Roman" w:cs="Times New Roman"/>
          <w:shd w:val="clear" w:color="auto" w:fill="FFFFFF"/>
        </w:rPr>
        <w:t>盲</w:t>
      </w:r>
      <w:r>
        <w:rPr>
          <w:rFonts w:ascii="Times New Roman" w:hAnsi="Times New Roman" w:cs="Times New Roman"/>
        </w:rPr>
        <w:t>端</w:t>
      </w:r>
      <w:r>
        <w:rPr>
          <w:rFonts w:ascii="Times New Roman" w:hAnsi="Times New Roman" w:cs="Times New Roman"/>
          <w:shd w:val="clear" w:color="auto" w:fill="FFFFFF"/>
        </w:rPr>
        <w:t>上游</w:t>
      </w:r>
      <w:r>
        <w:rPr>
          <w:rFonts w:ascii="Times New Roman" w:hAnsi="Times New Roman" w:cs="Times New Roman"/>
        </w:rPr>
        <w:t>的弯管方向移动，所以气团的可压缩率已经不能再随着初始体积的增加而持续增大，压缩率基本趋于稳定。</w:t>
      </w:r>
      <w:r>
        <w:rPr>
          <w:rFonts w:hint="eastAsia" w:ascii="Times New Roman" w:hAnsi="Times New Roman" w:cs="Times New Roman"/>
        </w:rPr>
        <w:t>该过程</w:t>
      </w:r>
      <w:r>
        <w:rPr>
          <w:rFonts w:ascii="Times New Roman" w:hAnsi="Times New Roman" w:cs="Times New Roman"/>
        </w:rPr>
        <w:t>反映到波峰压力上，就表现出如</w:t>
      </w:r>
      <w:r>
        <w:rPr>
          <w:rFonts w:hint="eastAsia" w:ascii="Times New Roman" w:hAnsi="Times New Roman" w:cs="Times New Roman"/>
        </w:rPr>
        <w:t>图</w:t>
      </w:r>
      <w:r>
        <w:rPr>
          <w:rFonts w:ascii="Times New Roman" w:hAnsi="Times New Roman" w:cs="Times New Roman"/>
        </w:rPr>
        <w:t>6所示的规律，即当滞留气团完全占据管道盲端后，管道波峰压力渐趋稳定。</w:t>
      </w:r>
    </w:p>
    <w:p w14:paraId="7720A55A">
      <w:pPr>
        <w:snapToGrid w:val="0"/>
        <w:ind w:firstLine="420" w:firstLineChars="200"/>
        <w:rPr>
          <w:rFonts w:ascii="Times New Roman" w:hAnsi="Times New Roman" w:cs="Times New Roman"/>
          <w:shd w:val="clear" w:color="auto" w:fill="FFFFFF"/>
        </w:rPr>
      </w:pPr>
      <w:r>
        <w:rPr>
          <w:rFonts w:ascii="Times New Roman" w:hAnsi="Times New Roman" w:cs="Times New Roman"/>
          <w:shd w:val="clear" w:color="auto" w:fill="FFFFFF"/>
        </w:rPr>
        <w:t>气团在水流冲击下的压缩分析表明，随着滞留气团初始体积的增加，水流冲击气团时受到的阻力增大，气团由初始状态压缩至最小体积状态的时间延长，达到瞬变压力峰值相位的时刻也延</w:t>
      </w:r>
      <w:r>
        <w:rPr>
          <w:rFonts w:hint="eastAsia" w:ascii="Times New Roman" w:hAnsi="Times New Roman" w:cs="Times New Roman"/>
          <w:shd w:val="clear" w:color="auto" w:fill="FFFFFF"/>
        </w:rPr>
        <w:t>后。因此</w:t>
      </w:r>
      <w:r>
        <w:rPr>
          <w:rFonts w:ascii="Times New Roman" w:hAnsi="Times New Roman" w:cs="Times New Roman"/>
          <w:shd w:val="clear" w:color="auto" w:fill="FFFFFF"/>
        </w:rPr>
        <w:t>，在宏观角度上显示出如</w:t>
      </w:r>
      <w:r>
        <w:rPr>
          <w:rFonts w:hint="eastAsia" w:ascii="Times New Roman" w:hAnsi="Times New Roman" w:cs="Times New Roman"/>
          <w:shd w:val="clear" w:color="auto" w:fill="FFFFFF"/>
        </w:rPr>
        <w:t>图9</w:t>
      </w:r>
      <w:r>
        <w:rPr>
          <w:rFonts w:ascii="Times New Roman" w:hAnsi="Times New Roman" w:cs="Times New Roman"/>
          <w:shd w:val="clear" w:color="auto" w:fill="FFFFFF"/>
        </w:rPr>
        <w:t>所示的规律，即初始滞留气团体积占比越高，管道水锤波的周期越长。</w:t>
      </w:r>
    </w:p>
    <w:tbl>
      <w:tblPr>
        <w:tblStyle w:val="2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2"/>
        <w:gridCol w:w="2843"/>
        <w:gridCol w:w="2843"/>
      </w:tblGrid>
      <w:tr w14:paraId="6D700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tcPr>
          <w:p w14:paraId="3A7469A1">
            <w:pPr>
              <w:snapToGrid w:val="0"/>
              <w:spacing w:line="360" w:lineRule="auto"/>
              <w:jc w:val="center"/>
              <w:rPr>
                <w:rFonts w:ascii="Times New Roman" w:hAnsi="Times New Roman" w:cs="Times New Roman"/>
                <w:sz w:val="18"/>
                <w:szCs w:val="18"/>
              </w:rPr>
            </w:pPr>
            <w:bookmarkStart w:id="34" w:name="_Hlk208602677"/>
            <w:r>
              <w:rPr>
                <w:rFonts w:ascii="Times New Roman" w:hAnsi="Times New Roman" w:cs="Times New Roman"/>
                <w:sz w:val="18"/>
                <w:szCs w:val="18"/>
              </w:rPr>
              <w:drawing>
                <wp:inline distT="0" distB="0" distL="0" distR="0">
                  <wp:extent cx="1034415" cy="1136015"/>
                  <wp:effectExtent l="0" t="0" r="0" b="6985"/>
                  <wp:docPr id="185614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4376"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044624" cy="1147300"/>
                          </a:xfrm>
                          <a:prstGeom prst="rect">
                            <a:avLst/>
                          </a:prstGeom>
                          <a:noFill/>
                        </pic:spPr>
                      </pic:pic>
                    </a:graphicData>
                  </a:graphic>
                </wp:inline>
              </w:drawing>
            </w:r>
          </w:p>
        </w:tc>
        <w:tc>
          <w:tcPr>
            <w:tcW w:w="1667" w:type="pct"/>
          </w:tcPr>
          <w:p w14:paraId="1F0509C0">
            <w:pPr>
              <w:snapToGrid w:val="0"/>
              <w:spacing w:line="360" w:lineRule="auto"/>
              <w:jc w:val="center"/>
              <w:rPr>
                <w:rFonts w:ascii="Times New Roman" w:hAnsi="Times New Roman" w:cs="Times New Roman"/>
                <w:sz w:val="18"/>
                <w:szCs w:val="18"/>
              </w:rPr>
            </w:pPr>
            <w:r>
              <w:rPr>
                <w:rFonts w:ascii="Times New Roman" w:hAnsi="Times New Roman" w:cs="Times New Roman"/>
                <w:sz w:val="18"/>
                <w:szCs w:val="18"/>
                <w14:ligatures w14:val="none"/>
              </w:rPr>
              <w:t xml:space="preserve">  </w:t>
            </w:r>
            <w:r>
              <w:rPr>
                <w:rFonts w:ascii="Times New Roman" w:hAnsi="Times New Roman" w:cs="Times New Roman"/>
                <w:sz w:val="18"/>
                <w:szCs w:val="18"/>
                <w14:ligatures w14:val="none"/>
              </w:rPr>
              <w:drawing>
                <wp:inline distT="0" distB="0" distL="0" distR="0">
                  <wp:extent cx="1102360" cy="1208405"/>
                  <wp:effectExtent l="0" t="0" r="2540" b="0"/>
                  <wp:docPr id="5"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4"/>
                          <pic:cNvPicPr>
                            <a:picLocks noChangeAspect="1"/>
                          </pic:cNvPicPr>
                        </pic:nvPicPr>
                        <pic:blipFill>
                          <a:blip r:embed="rId97">
                            <a:extLst>
                              <a:ext uri="{96DAC541-7B7A-43D3-8B79-37D633B846F1}">
                                <asvg:svgBlip xmlns:asvg="http://schemas.microsoft.com/office/drawing/2016/SVG/main" r:embed="rId98"/>
                              </a:ext>
                            </a:extLst>
                          </a:blip>
                          <a:srcRect l="6518" t="5658" r="49328" b="39838"/>
                          <a:stretch>
                            <a:fillRect/>
                          </a:stretch>
                        </pic:blipFill>
                        <pic:spPr>
                          <a:xfrm>
                            <a:off x="0" y="0"/>
                            <a:ext cx="1121156" cy="1229087"/>
                          </a:xfrm>
                          <a:prstGeom prst="rect">
                            <a:avLst/>
                          </a:prstGeom>
                        </pic:spPr>
                      </pic:pic>
                    </a:graphicData>
                  </a:graphic>
                </wp:inline>
              </w:drawing>
            </w:r>
          </w:p>
        </w:tc>
        <w:tc>
          <w:tcPr>
            <w:tcW w:w="1667" w:type="pct"/>
          </w:tcPr>
          <w:p w14:paraId="1F53D070">
            <w:pPr>
              <w:snapToGrid w:val="0"/>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1138555" cy="1228090"/>
                  <wp:effectExtent l="0" t="0" r="4445" b="0"/>
                  <wp:docPr id="1906685964"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85964" name="图形 16"/>
                          <pic:cNvPicPr>
                            <a:picLocks noChangeAspect="1"/>
                          </pic:cNvPicPr>
                        </pic:nvPicPr>
                        <pic:blipFill>
                          <a:blip r:embed="rId99">
                            <a:extLst>
                              <a:ext uri="{96DAC541-7B7A-43D3-8B79-37D633B846F1}">
                                <asvg:svgBlip xmlns:asvg="http://schemas.microsoft.com/office/drawing/2016/SVG/main" r:embed="rId100"/>
                              </a:ext>
                            </a:extLst>
                          </a:blip>
                          <a:srcRect l="4970" t="5250" r="43293" b="31977"/>
                          <a:stretch>
                            <a:fillRect/>
                          </a:stretch>
                        </pic:blipFill>
                        <pic:spPr>
                          <a:xfrm>
                            <a:off x="0" y="0"/>
                            <a:ext cx="1166003" cy="1257694"/>
                          </a:xfrm>
                          <a:prstGeom prst="rect">
                            <a:avLst/>
                          </a:prstGeom>
                        </pic:spPr>
                      </pic:pic>
                    </a:graphicData>
                  </a:graphic>
                </wp:inline>
              </w:drawing>
            </w:r>
          </w:p>
        </w:tc>
      </w:tr>
      <w:tr w14:paraId="1C160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vAlign w:val="center"/>
          </w:tcPr>
          <w:p w14:paraId="7E223DD7">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(a)工况1</w:t>
            </w:r>
          </w:p>
        </w:tc>
        <w:tc>
          <w:tcPr>
            <w:tcW w:w="1667" w:type="pct"/>
            <w:vAlign w:val="center"/>
          </w:tcPr>
          <w:p w14:paraId="02AB6402">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(b)工况2</w:t>
            </w:r>
          </w:p>
        </w:tc>
        <w:tc>
          <w:tcPr>
            <w:tcW w:w="1667" w:type="pct"/>
            <w:vAlign w:val="center"/>
          </w:tcPr>
          <w:p w14:paraId="042860CB">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(c)工况3</w:t>
            </w:r>
          </w:p>
        </w:tc>
      </w:tr>
      <w:tr w14:paraId="78DF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tcPr>
          <w:p w14:paraId="14AAA254">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14:ligatures w14:val="none"/>
              </w:rPr>
              <w:drawing>
                <wp:inline distT="0" distB="0" distL="0" distR="0">
                  <wp:extent cx="1004570" cy="1200150"/>
                  <wp:effectExtent l="0" t="0" r="5080" b="0"/>
                  <wp:docPr id="1100718502"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8502" name="图形 3"/>
                          <pic:cNvPicPr>
                            <a:picLocks noChangeAspect="1"/>
                          </pic:cNvPicPr>
                        </pic:nvPicPr>
                        <pic:blipFill>
                          <a:blip r:embed="rId101">
                            <a:extLst>
                              <a:ext uri="{96DAC541-7B7A-43D3-8B79-37D633B846F1}">
                                <asvg:svgBlip xmlns:asvg="http://schemas.microsoft.com/office/drawing/2016/SVG/main" r:embed="rId102"/>
                              </a:ext>
                            </a:extLst>
                          </a:blip>
                          <a:srcRect l="3619" t="10859" r="48495" b="24769"/>
                          <a:stretch>
                            <a:fillRect/>
                          </a:stretch>
                        </pic:blipFill>
                        <pic:spPr>
                          <a:xfrm>
                            <a:off x="0" y="0"/>
                            <a:ext cx="1004887" cy="1201026"/>
                          </a:xfrm>
                          <a:prstGeom prst="rect">
                            <a:avLst/>
                          </a:prstGeom>
                        </pic:spPr>
                      </pic:pic>
                    </a:graphicData>
                  </a:graphic>
                </wp:inline>
              </w:drawing>
            </w:r>
          </w:p>
        </w:tc>
        <w:tc>
          <w:tcPr>
            <w:tcW w:w="1667" w:type="pct"/>
          </w:tcPr>
          <w:p w14:paraId="71223F00">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14:ligatures w14:val="none"/>
              </w:rPr>
              <w:drawing>
                <wp:inline distT="0" distB="0" distL="0" distR="0">
                  <wp:extent cx="1049020" cy="1220470"/>
                  <wp:effectExtent l="0" t="0" r="0" b="0"/>
                  <wp:docPr id="80852016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0164" name="图形 4"/>
                          <pic:cNvPicPr>
                            <a:picLocks noChangeAspect="1"/>
                          </pic:cNvPicPr>
                        </pic:nvPicPr>
                        <pic:blipFill>
                          <a:blip r:embed="rId103">
                            <a:extLst>
                              <a:ext uri="{96DAC541-7B7A-43D3-8B79-37D633B846F1}">
                                <asvg:svgBlip xmlns:asvg="http://schemas.microsoft.com/office/drawing/2016/SVG/main" r:embed="rId104"/>
                              </a:ext>
                            </a:extLst>
                          </a:blip>
                          <a:srcRect l="6136" t="16778" r="61381" b="40711"/>
                          <a:stretch>
                            <a:fillRect/>
                          </a:stretch>
                        </pic:blipFill>
                        <pic:spPr>
                          <a:xfrm>
                            <a:off x="0" y="0"/>
                            <a:ext cx="1052096" cy="1224104"/>
                          </a:xfrm>
                          <a:prstGeom prst="rect">
                            <a:avLst/>
                          </a:prstGeom>
                        </pic:spPr>
                      </pic:pic>
                    </a:graphicData>
                  </a:graphic>
                </wp:inline>
              </w:drawing>
            </w:r>
          </w:p>
        </w:tc>
        <w:tc>
          <w:tcPr>
            <w:tcW w:w="1667" w:type="pct"/>
          </w:tcPr>
          <w:p w14:paraId="49D7DA53">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14:ligatures w14:val="none"/>
              </w:rPr>
              <w:drawing>
                <wp:inline distT="0" distB="0" distL="0" distR="0">
                  <wp:extent cx="1107440" cy="1220470"/>
                  <wp:effectExtent l="0" t="0" r="0" b="0"/>
                  <wp:docPr id="747818604"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8604" name="图形 5"/>
                          <pic:cNvPicPr>
                            <a:picLocks noChangeAspect="1"/>
                          </pic:cNvPicPr>
                        </pic:nvPicPr>
                        <pic:blipFill>
                          <a:blip r:embed="rId105">
                            <a:extLst>
                              <a:ext uri="{96DAC541-7B7A-43D3-8B79-37D633B846F1}">
                                <asvg:svgBlip xmlns:asvg="http://schemas.microsoft.com/office/drawing/2016/SVG/main" r:embed="rId106"/>
                              </a:ext>
                            </a:extLst>
                          </a:blip>
                          <a:srcRect l="14913" t="21680" r="41611" b="24489"/>
                          <a:stretch>
                            <a:fillRect/>
                          </a:stretch>
                        </pic:blipFill>
                        <pic:spPr>
                          <a:xfrm>
                            <a:off x="0" y="0"/>
                            <a:ext cx="1107440" cy="1220470"/>
                          </a:xfrm>
                          <a:prstGeom prst="rect">
                            <a:avLst/>
                          </a:prstGeom>
                        </pic:spPr>
                      </pic:pic>
                    </a:graphicData>
                  </a:graphic>
                </wp:inline>
              </w:drawing>
            </w:r>
          </w:p>
        </w:tc>
      </w:tr>
      <w:tr w14:paraId="49939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vAlign w:val="center"/>
          </w:tcPr>
          <w:p w14:paraId="2F4BA077">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(d)工况4</w:t>
            </w:r>
          </w:p>
        </w:tc>
        <w:tc>
          <w:tcPr>
            <w:tcW w:w="1667" w:type="pct"/>
            <w:vAlign w:val="center"/>
          </w:tcPr>
          <w:p w14:paraId="0357CA94">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(e)工况5</w:t>
            </w:r>
          </w:p>
        </w:tc>
        <w:tc>
          <w:tcPr>
            <w:tcW w:w="1667" w:type="pct"/>
            <w:vAlign w:val="center"/>
          </w:tcPr>
          <w:p w14:paraId="5A033EF8">
            <w:pPr>
              <w:snapToGrid w:val="0"/>
              <w:spacing w:after="160"/>
              <w:jc w:val="center"/>
              <w:rPr>
                <w:rFonts w:ascii="Times New Roman" w:hAnsi="Times New Roman" w:eastAsia="黑体" w:cs="Times New Roman"/>
                <w:sz w:val="15"/>
                <w:szCs w:val="15"/>
              </w:rPr>
            </w:pPr>
            <w:r>
              <w:rPr>
                <w:rFonts w:ascii="Times New Roman" w:hAnsi="Times New Roman" w:eastAsia="黑体" w:cs="Times New Roman"/>
                <w:sz w:val="15"/>
                <w:szCs w:val="15"/>
              </w:rPr>
              <w:t>(f)工况6</w:t>
            </w:r>
          </w:p>
        </w:tc>
      </w:tr>
      <w:tr w14:paraId="49FC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Pr>
          <w:p w14:paraId="3E9D8AC9">
            <w:pPr>
              <w:snapToGrid w:val="0"/>
              <w:spacing w:after="120"/>
              <w:jc w:val="center"/>
              <w:rPr>
                <w:rFonts w:ascii="Times New Roman" w:hAnsi="Times New Roman" w:eastAsia="黑体" w:cs="Times New Roman"/>
                <w:sz w:val="18"/>
                <w:szCs w:val="18"/>
                <w:shd w:val="clear" w:color="auto" w:fill="FFFFFF"/>
              </w:rPr>
            </w:pPr>
            <w:bookmarkStart w:id="35" w:name="_Hlk208180203"/>
            <w:r>
              <w:rPr>
                <w:rFonts w:ascii="Times New Roman" w:hAnsi="Times New Roman" w:eastAsia="黑体" w:cs="Times New Roman"/>
                <w:sz w:val="18"/>
                <w:szCs w:val="18"/>
                <w:shd w:val="clear" w:color="auto" w:fill="FFFFFF"/>
              </w:rPr>
              <w:t>图1</w:t>
            </w:r>
            <w:r>
              <w:rPr>
                <w:rFonts w:hint="eastAsia" w:ascii="Times New Roman" w:hAnsi="Times New Roman" w:eastAsia="黑体" w:cs="Times New Roman"/>
                <w:sz w:val="18"/>
                <w:szCs w:val="18"/>
                <w:shd w:val="clear" w:color="auto" w:fill="FFFFFF"/>
              </w:rPr>
              <w:t>1</w:t>
            </w:r>
            <w:r>
              <w:rPr>
                <w:rFonts w:ascii="Times New Roman" w:hAnsi="Times New Roman" w:eastAsia="黑体" w:cs="Times New Roman"/>
                <w:sz w:val="18"/>
                <w:szCs w:val="18"/>
                <w:shd w:val="clear" w:color="auto" w:fill="FFFFFF"/>
              </w:rPr>
              <w:t xml:space="preserve">  不同工况下气团第一波峰</w:t>
            </w:r>
            <w:r>
              <w:rPr>
                <w:rFonts w:hint="eastAsia" w:ascii="Times New Roman" w:hAnsi="Times New Roman" w:eastAsia="黑体" w:cs="Times New Roman"/>
                <w:sz w:val="18"/>
                <w:szCs w:val="18"/>
                <w:shd w:val="clear" w:color="auto" w:fill="FFFFFF"/>
              </w:rPr>
              <w:t>时刻</w:t>
            </w:r>
            <w:r>
              <w:rPr>
                <w:rFonts w:ascii="Times New Roman" w:hAnsi="Times New Roman" w:eastAsia="黑体" w:cs="Times New Roman"/>
                <w:sz w:val="18"/>
                <w:szCs w:val="18"/>
                <w:shd w:val="clear" w:color="auto" w:fill="FFFFFF"/>
              </w:rPr>
              <w:t>形态变化</w:t>
            </w:r>
            <w:r>
              <w:rPr>
                <w:rFonts w:hint="eastAsia" w:ascii="Times New Roman" w:hAnsi="Times New Roman" w:eastAsia="黑体" w:cs="Times New Roman"/>
                <w:sz w:val="18"/>
                <w:szCs w:val="18"/>
                <w:shd w:val="clear" w:color="auto" w:fill="FFFFFF"/>
              </w:rPr>
              <w:t>及流线叠加</w:t>
            </w:r>
          </w:p>
          <w:p w14:paraId="3CE22041">
            <w:pPr>
              <w:snapToGrid w:val="0"/>
              <w:spacing w:after="120"/>
              <w:jc w:val="center"/>
              <w:rPr>
                <w:rFonts w:ascii="Times New Roman" w:hAnsi="Times New Roman" w:eastAsia="黑体" w:cs="Times New Roman"/>
                <w:sz w:val="18"/>
                <w:szCs w:val="18"/>
              </w:rPr>
            </w:pPr>
            <w:r>
              <w:rPr>
                <w:rFonts w:ascii="Times New Roman" w:hAnsi="Times New Roman" w:eastAsia="黑体" w:cs="Times New Roman"/>
                <w:sz w:val="18"/>
                <w:szCs w:val="18"/>
                <w:shd w:val="clear" w:color="auto" w:fill="FFFFFF"/>
              </w:rPr>
              <w:t>Fig.1</w:t>
            </w:r>
            <w:r>
              <w:rPr>
                <w:rFonts w:hint="eastAsia" w:ascii="Times New Roman" w:hAnsi="Times New Roman" w:eastAsia="黑体" w:cs="Times New Roman"/>
                <w:sz w:val="18"/>
                <w:szCs w:val="18"/>
                <w:shd w:val="clear" w:color="auto" w:fill="FFFFFF"/>
              </w:rPr>
              <w:t>1</w:t>
            </w:r>
            <w:r>
              <w:rPr>
                <w:rFonts w:ascii="Times New Roman" w:hAnsi="Times New Roman" w:eastAsia="黑体" w:cs="Times New Roman"/>
                <w:sz w:val="18"/>
                <w:szCs w:val="18"/>
                <w:shd w:val="clear" w:color="auto" w:fill="FFFFFF"/>
              </w:rPr>
              <w:t xml:space="preserve">  </w:t>
            </w:r>
            <w:r>
              <w:rPr>
                <w:rFonts w:hint="eastAsia" w:ascii="Times New Roman" w:hAnsi="Times New Roman" w:eastAsia="黑体"/>
                <w:sz w:val="18"/>
                <w:szCs w:val="18"/>
                <w:shd w:val="clear" w:color="auto" w:fill="FFFFFF"/>
              </w:rPr>
              <w:t xml:space="preserve">Morphological </w:t>
            </w:r>
            <w:r>
              <w:rPr>
                <w:rFonts w:hint="eastAsia" w:ascii="Times New Roman" w:hAnsi="Times New Roman" w:eastAsia="黑体"/>
                <w:sz w:val="18"/>
                <w:szCs w:val="18"/>
                <w:shd w:val="clear" w:color="auto" w:fill="FFFFFF"/>
                <w:lang w:val="en-US" w:eastAsia="zh-CN"/>
              </w:rPr>
              <w:t>variations</w:t>
            </w:r>
            <w:r>
              <w:rPr>
                <w:rFonts w:ascii="Times New Roman" w:hAnsi="Times New Roman" w:eastAsia="黑体" w:cs="Times New Roman"/>
                <w:sz w:val="18"/>
                <w:szCs w:val="18"/>
                <w:shd w:val="clear" w:color="auto" w:fill="FFFFFF"/>
              </w:rPr>
              <w:t xml:space="preserve"> and superimposed streamlines</w:t>
            </w:r>
            <w:r>
              <w:rPr>
                <w:rFonts w:hint="eastAsia" w:ascii="Times New Roman" w:hAnsi="Times New Roman" w:eastAsia="黑体" w:cs="Times New Roman"/>
                <w:sz w:val="18"/>
                <w:szCs w:val="18"/>
                <w:shd w:val="clear" w:color="auto" w:fill="FFFFFF"/>
                <w:lang w:val="en-US" w:eastAsia="zh-CN"/>
              </w:rPr>
              <w:t xml:space="preserve"> of air pockets</w:t>
            </w:r>
            <w:r>
              <w:rPr>
                <w:rFonts w:ascii="Times New Roman" w:hAnsi="Times New Roman" w:eastAsia="黑体" w:cs="Times New Roman"/>
                <w:sz w:val="18"/>
                <w:szCs w:val="18"/>
                <w:shd w:val="clear" w:color="auto" w:fill="FFFFFF"/>
              </w:rPr>
              <w:t xml:space="preserve"> at first pressure peak under different conditions</w:t>
            </w:r>
          </w:p>
        </w:tc>
      </w:tr>
      <w:bookmarkEnd w:id="34"/>
      <w:bookmarkEnd w:id="35"/>
    </w:tbl>
    <w:p w14:paraId="6B21D7BC">
      <w:pPr>
        <w:pStyle w:val="2"/>
        <w:snapToGrid w:val="0"/>
        <w:spacing w:before="0" w:after="160"/>
        <w:rPr>
          <w:rFonts w:ascii="Times New Roman" w:hAnsi="Times New Roman" w:cs="Times New Roman" w:eastAsiaTheme="minorEastAsia"/>
          <w:color w:val="auto"/>
          <w:sz w:val="28"/>
          <w:szCs w:val="28"/>
          <w:shd w:val="clear" w:color="auto" w:fill="FFFFFF"/>
        </w:rPr>
      </w:pPr>
      <w:r>
        <w:rPr>
          <w:rFonts w:ascii="Times New Roman" w:hAnsi="Times New Roman" w:cs="Times New Roman" w:eastAsiaTheme="minorEastAsia"/>
          <w:color w:val="auto"/>
          <w:sz w:val="28"/>
          <w:szCs w:val="28"/>
          <w:shd w:val="clear" w:color="auto" w:fill="FFFFFF"/>
        </w:rPr>
        <w:t>3  结果讨论</w:t>
      </w:r>
    </w:p>
    <w:p w14:paraId="0C5E3080">
      <w:pPr>
        <w:adjustRightInd w:val="0"/>
        <w:snapToGrid w:val="0"/>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本文按照</w:t>
      </w:r>
      <w:r>
        <w:rPr>
          <w:rFonts w:ascii="Times New Roman" w:hAnsi="Times New Roman" w:cs="Times New Roman"/>
          <w:shd w:val="clear" w:color="auto" w:fill="FFFFFF"/>
        </w:rPr>
        <w:t>ZHOU</w:t>
      </w:r>
      <w:r>
        <w:rPr>
          <w:rFonts w:hint="eastAsia" w:ascii="Times New Roman" w:hAnsi="Times New Roman" w:cs="Times New Roman"/>
          <w:shd w:val="clear" w:color="auto" w:fill="FFFFFF"/>
        </w:rPr>
        <w:t>的水流冲击管道盲端滞留气团的物理模型，等尺寸构建数学模型，利用数值模拟技术研究了不同初始体积气团对水力瞬变特性的影响。已有工作与本研究在研究对象、假设边界、模拟方法、研究结论等方面的系统比较如表2所列。由表2信息可知，在这些代表性研究中，滞留气团位置或是管道高点盲端或近水平管道中间或驼峰处，通过三维CFD结合VOF的方法，均得到了较为准确的瞬变压力结果，但压力峰值随气团初始体积的变化特性存在较大差异。说明不同初始气团体积、气团滞留位置及管道边界约束条件均会影响水流对气团的冲击作用，而气团对水流冲击的响应又会反过来影响管道的瞬变压力过程，即水流</w:t>
      </w:r>
      <w:r>
        <w:rPr>
          <w:rFonts w:ascii="Times New Roman" w:hAnsi="Times New Roman" w:cs="Times New Roman"/>
          <w:shd w:val="clear" w:color="auto" w:fill="FFFFFF"/>
        </w:rPr>
        <w:t>-</w:t>
      </w:r>
      <w:r>
        <w:rPr>
          <w:rFonts w:hint="eastAsia" w:ascii="Times New Roman" w:hAnsi="Times New Roman" w:cs="Times New Roman"/>
          <w:shd w:val="clear" w:color="auto" w:fill="FFFFFF"/>
        </w:rPr>
        <w:t>气团</w:t>
      </w:r>
      <w:r>
        <w:rPr>
          <w:rFonts w:ascii="Times New Roman" w:hAnsi="Times New Roman" w:cs="Times New Roman"/>
          <w:shd w:val="clear" w:color="auto" w:fill="FFFFFF"/>
        </w:rPr>
        <w:t>-</w:t>
      </w:r>
      <w:r>
        <w:rPr>
          <w:rFonts w:hint="eastAsia" w:ascii="Times New Roman" w:hAnsi="Times New Roman" w:cs="Times New Roman"/>
          <w:shd w:val="clear" w:color="auto" w:fill="FFFFFF"/>
        </w:rPr>
        <w:t>管道边界之间的耦合响应会直接影响管道水力瞬变特性。</w:t>
      </w:r>
    </w:p>
    <w:p w14:paraId="147752E1">
      <w:pPr>
        <w:adjustRightInd w:val="0"/>
        <w:snapToGrid w:val="0"/>
        <w:ind w:firstLine="420" w:firstLineChars="200"/>
        <w:rPr>
          <w:rFonts w:ascii="Times New Roman" w:hAnsi="Times New Roman" w:cs="Times New Roman"/>
          <w:shd w:val="clear" w:color="auto" w:fill="FFFFFF"/>
        </w:rPr>
      </w:pPr>
      <w:r>
        <w:rPr>
          <w:rFonts w:ascii="Times New Roman" w:hAnsi="Times New Roman" w:cs="Times New Roman"/>
          <w:shd w:val="clear" w:color="auto" w:fill="FFFFFF"/>
        </w:rPr>
        <w:t>对于本文的研究案例而言，</w:t>
      </w:r>
      <w:r>
        <w:rPr>
          <w:rFonts w:hint="eastAsia" w:ascii="Times New Roman" w:hAnsi="Times New Roman" w:cs="Times New Roman"/>
          <w:shd w:val="clear" w:color="auto" w:fill="FFFFFF"/>
        </w:rPr>
        <w:t>当</w:t>
      </w:r>
      <w:r>
        <w:rPr>
          <w:rFonts w:ascii="Times New Roman" w:hAnsi="Times New Roman" w:cs="Times New Roman"/>
          <w:shd w:val="clear" w:color="auto" w:fill="FFFFFF"/>
        </w:rPr>
        <w:t>气团初始体积增加</w:t>
      </w:r>
      <w:r>
        <w:rPr>
          <w:rFonts w:hint="eastAsia" w:ascii="Times New Roman" w:hAnsi="Times New Roman" w:cs="Times New Roman"/>
          <w:shd w:val="clear" w:color="auto" w:fill="FFFFFF"/>
        </w:rPr>
        <w:t>至</w:t>
      </w:r>
      <w:r>
        <w:rPr>
          <w:rFonts w:ascii="Times New Roman" w:hAnsi="Times New Roman" w:cs="Times New Roman"/>
          <w:shd w:val="clear" w:color="auto" w:fill="FFFFFF"/>
        </w:rPr>
        <w:t>超出管道盲端时，</w:t>
      </w:r>
      <w:bookmarkStart w:id="36" w:name="_Hlk208849352"/>
      <w:r>
        <w:rPr>
          <w:rFonts w:ascii="Times New Roman" w:hAnsi="Times New Roman" w:cs="Times New Roman"/>
          <w:shd w:val="clear" w:color="auto" w:fill="FFFFFF"/>
        </w:rPr>
        <w:t>气团所处位置的管道边界发生了变化，从而水流对气团的压缩规律也随之变化，导致</w:t>
      </w:r>
      <w:r>
        <w:rPr>
          <w:rFonts w:hint="eastAsia" w:ascii="Times New Roman" w:hAnsi="Times New Roman" w:cs="Times New Roman"/>
          <w:shd w:val="clear" w:color="auto" w:fill="FFFFFF"/>
        </w:rPr>
        <w:t>瞬变压力峰值随初始气团体积增加而不再是简单的单调增长，说明管道边界对水气二相流瞬变过程的重要影响是不容忽视的。</w:t>
      </w:r>
    </w:p>
    <w:p w14:paraId="40B333F1">
      <w:pPr>
        <w:adjustRightInd w:val="0"/>
        <w:snapToGrid w:val="0"/>
        <w:ind w:firstLine="420" w:firstLineChars="200"/>
        <w:rPr>
          <w:rFonts w:ascii="Times New Roman" w:hAnsi="Times New Roman" w:cs="Times New Roman"/>
          <w:shd w:val="clear" w:color="auto" w:fill="FFFFFF"/>
        </w:rPr>
      </w:pPr>
      <w:r>
        <w:rPr>
          <w:rFonts w:ascii="Times New Roman" w:hAnsi="Times New Roman" w:cs="Times New Roman"/>
          <w:shd w:val="clear" w:color="auto" w:fill="FFFFFF"/>
        </w:rPr>
        <w:t>此外，本文所研究的滞留气团处于管道</w:t>
      </w:r>
      <w:r>
        <w:rPr>
          <w:rFonts w:hint="eastAsia" w:ascii="Times New Roman" w:hAnsi="Times New Roman" w:cs="Times New Roman"/>
          <w:shd w:val="clear" w:color="auto" w:fill="FFFFFF"/>
        </w:rPr>
        <w:t>局部高点的盲端位置，与位于局部高点的空气阀或空气罐类似，有一定的现实意义。对于此类情况，高点处的气团能起到缓冲水击压力的防护作用，气团的压缩膨胀不会导致极端的压力出现。对于实际工程而言，更应关注空气阀在负压吸气之后的升压排气过程，避免因排气过快而出现类弥合水锤的情况。</w:t>
      </w:r>
      <w:bookmarkEnd w:id="36"/>
    </w:p>
    <w:p w14:paraId="35DC72DA">
      <w:pPr>
        <w:snapToGrid w:val="0"/>
        <w:spacing w:after="120"/>
        <w:jc w:val="center"/>
        <w:rPr>
          <w:rFonts w:ascii="Times New Roman" w:hAnsi="Times New Roman" w:eastAsia="黑体" w:cs="Times New Roman"/>
          <w:sz w:val="18"/>
          <w:szCs w:val="18"/>
          <w:shd w:val="clear" w:color="auto" w:fill="FFFFFF"/>
        </w:rPr>
      </w:pPr>
      <w:bookmarkStart w:id="37" w:name="_Hlk208264823"/>
      <w:r>
        <w:rPr>
          <w:rFonts w:hint="eastAsia" w:ascii="Times New Roman" w:hAnsi="Times New Roman" w:eastAsia="黑体" w:cs="Times New Roman"/>
          <w:sz w:val="18"/>
          <w:szCs w:val="18"/>
          <w:shd w:val="clear" w:color="auto" w:fill="FFFFFF"/>
        </w:rPr>
        <w:t>表2</w:t>
      </w:r>
      <w:r>
        <w:rPr>
          <w:rFonts w:ascii="Times New Roman" w:hAnsi="Times New Roman" w:eastAsia="黑体" w:cs="Times New Roman"/>
          <w:sz w:val="18"/>
          <w:szCs w:val="18"/>
          <w:shd w:val="clear" w:color="auto" w:fill="FFFFFF"/>
        </w:rPr>
        <w:t xml:space="preserve"> 与</w:t>
      </w:r>
      <w:r>
        <w:rPr>
          <w:rFonts w:hint="eastAsia" w:ascii="Times New Roman" w:hAnsi="Times New Roman" w:eastAsia="黑体" w:cs="Times New Roman"/>
          <w:sz w:val="18"/>
          <w:szCs w:val="18"/>
          <w:shd w:val="clear" w:color="auto" w:fill="FFFFFF"/>
        </w:rPr>
        <w:t>已有研究成果的比较</w:t>
      </w:r>
    </w:p>
    <w:p w14:paraId="652EE7EA">
      <w:pPr>
        <w:snapToGrid w:val="0"/>
        <w:spacing w:after="120"/>
        <w:jc w:val="center"/>
        <w:rPr>
          <w:rFonts w:ascii="Times New Roman" w:hAnsi="Times New Roman" w:eastAsia="黑体" w:cs="Times New Roman"/>
          <w:sz w:val="18"/>
          <w:szCs w:val="18"/>
          <w:shd w:val="clear" w:color="auto" w:fill="FFFFFF"/>
        </w:rPr>
      </w:pPr>
      <w:r>
        <w:rPr>
          <w:rFonts w:ascii="Times New Roman" w:hAnsi="Times New Roman" w:eastAsia="黑体" w:cs="Times New Roman"/>
          <w:sz w:val="18"/>
          <w:szCs w:val="18"/>
          <w:shd w:val="clear" w:color="auto" w:fill="FFFFFF"/>
        </w:rPr>
        <w:t xml:space="preserve">Table </w:t>
      </w:r>
      <w:r>
        <w:rPr>
          <w:rFonts w:hint="eastAsia" w:ascii="Times New Roman" w:hAnsi="Times New Roman" w:eastAsia="黑体" w:cs="Times New Roman"/>
          <w:sz w:val="18"/>
          <w:szCs w:val="18"/>
          <w:shd w:val="clear" w:color="auto" w:fill="FFFFFF"/>
        </w:rPr>
        <w:t>2</w:t>
      </w:r>
      <w:r>
        <w:rPr>
          <w:rFonts w:ascii="Times New Roman" w:hAnsi="Times New Roman" w:eastAsia="黑体" w:cs="Times New Roman"/>
          <w:sz w:val="18"/>
          <w:szCs w:val="18"/>
          <w:shd w:val="clear" w:color="auto" w:fill="FFFFFF"/>
        </w:rPr>
        <w:t xml:space="preserve">  Comparison </w:t>
      </w:r>
      <w:r>
        <w:rPr>
          <w:rFonts w:hint="eastAsia" w:ascii="Times New Roman" w:hAnsi="Times New Roman" w:eastAsia="黑体" w:cs="Times New Roman"/>
          <w:sz w:val="18"/>
          <w:szCs w:val="18"/>
          <w:shd w:val="clear" w:color="auto" w:fill="FFFFFF"/>
        </w:rPr>
        <w:t>b</w:t>
      </w:r>
      <w:r>
        <w:rPr>
          <w:rFonts w:ascii="Times New Roman" w:hAnsi="Times New Roman" w:eastAsia="黑体" w:cs="Times New Roman"/>
          <w:sz w:val="18"/>
          <w:szCs w:val="18"/>
          <w:shd w:val="clear" w:color="auto" w:fill="FFFFFF"/>
        </w:rPr>
        <w:t xml:space="preserve">etween </w:t>
      </w:r>
      <w:r>
        <w:rPr>
          <w:rFonts w:hint="eastAsia" w:ascii="Times New Roman" w:hAnsi="Times New Roman" w:eastAsia="黑体" w:cs="Times New Roman"/>
          <w:sz w:val="18"/>
          <w:szCs w:val="18"/>
          <w:shd w:val="clear" w:color="auto" w:fill="FFFFFF"/>
        </w:rPr>
        <w:t>p</w:t>
      </w:r>
      <w:r>
        <w:rPr>
          <w:rFonts w:ascii="Times New Roman" w:hAnsi="Times New Roman" w:eastAsia="黑体" w:cs="Times New Roman"/>
          <w:sz w:val="18"/>
          <w:szCs w:val="18"/>
          <w:shd w:val="clear" w:color="auto" w:fill="FFFFFF"/>
        </w:rPr>
        <w:t xml:space="preserve">resent </w:t>
      </w:r>
      <w:r>
        <w:rPr>
          <w:rFonts w:hint="eastAsia" w:ascii="Times New Roman" w:hAnsi="Times New Roman" w:eastAsia="黑体" w:cs="Times New Roman"/>
          <w:sz w:val="18"/>
          <w:szCs w:val="18"/>
          <w:shd w:val="clear" w:color="auto" w:fill="FFFFFF"/>
        </w:rPr>
        <w:t>s</w:t>
      </w:r>
      <w:r>
        <w:rPr>
          <w:rFonts w:ascii="Times New Roman" w:hAnsi="Times New Roman" w:eastAsia="黑体" w:cs="Times New Roman"/>
          <w:sz w:val="18"/>
          <w:szCs w:val="18"/>
          <w:shd w:val="clear" w:color="auto" w:fill="FFFFFF"/>
        </w:rPr>
        <w:t>tudy and</w:t>
      </w:r>
      <w:r>
        <w:rPr>
          <w:rFonts w:hint="eastAsia" w:ascii="Times New Roman" w:hAnsi="Times New Roman" w:eastAsia="黑体" w:cs="Times New Roman"/>
          <w:sz w:val="18"/>
          <w:szCs w:val="18"/>
          <w:shd w:val="clear" w:color="auto" w:fill="FFFFFF"/>
        </w:rPr>
        <w:t xml:space="preserve"> p</w:t>
      </w:r>
      <w:r>
        <w:rPr>
          <w:rFonts w:ascii="Times New Roman" w:hAnsi="Times New Roman" w:eastAsia="黑体" w:cs="Times New Roman"/>
          <w:sz w:val="18"/>
          <w:szCs w:val="18"/>
          <w:shd w:val="clear" w:color="auto" w:fill="FFFFFF"/>
        </w:rPr>
        <w:t xml:space="preserve">revious </w:t>
      </w:r>
      <w:r>
        <w:rPr>
          <w:rFonts w:hint="eastAsia" w:ascii="Times New Roman" w:hAnsi="Times New Roman" w:eastAsia="黑体" w:cs="Times New Roman"/>
          <w:sz w:val="18"/>
          <w:szCs w:val="18"/>
          <w:shd w:val="clear" w:color="auto" w:fill="FFFFFF"/>
        </w:rPr>
        <w:t>r</w:t>
      </w:r>
      <w:r>
        <w:rPr>
          <w:rFonts w:ascii="Times New Roman" w:hAnsi="Times New Roman" w:eastAsia="黑体" w:cs="Times New Roman"/>
          <w:sz w:val="18"/>
          <w:szCs w:val="18"/>
          <w:shd w:val="clear" w:color="auto" w:fill="FFFFFF"/>
        </w:rPr>
        <w:t>esearch</w:t>
      </w:r>
    </w:p>
    <w:tbl>
      <w:tblPr>
        <w:tblStyle w:val="19"/>
        <w:tblW w:w="5000" w:type="pct"/>
        <w:tblInd w:w="0" w:type="dxa"/>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2"/>
        <w:gridCol w:w="1666"/>
        <w:gridCol w:w="1930"/>
        <w:gridCol w:w="1634"/>
        <w:gridCol w:w="2170"/>
      </w:tblGrid>
      <w:tr w14:paraId="5E996173">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 w:hRule="atLeast"/>
          <w:tblHeader/>
        </w:trPr>
        <w:tc>
          <w:tcPr>
            <w:tcW w:w="748" w:type="pct"/>
            <w:tcBorders>
              <w:top w:val="single" w:color="auto" w:sz="12" w:space="0"/>
              <w:bottom w:val="single" w:color="auto" w:sz="4" w:space="0"/>
            </w:tcBorders>
            <w:tcMar>
              <w:top w:w="90" w:type="dxa"/>
              <w:left w:w="195" w:type="dxa"/>
              <w:bottom w:w="90" w:type="dxa"/>
              <w:right w:w="195" w:type="dxa"/>
            </w:tcMar>
            <w:vAlign w:val="center"/>
          </w:tcPr>
          <w:p w14:paraId="5383EA3A">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研究文献</w:t>
            </w:r>
          </w:p>
        </w:tc>
        <w:tc>
          <w:tcPr>
            <w:tcW w:w="957" w:type="pct"/>
            <w:tcBorders>
              <w:top w:val="single" w:color="auto" w:sz="12" w:space="0"/>
              <w:bottom w:val="single" w:color="auto" w:sz="4" w:space="0"/>
            </w:tcBorders>
            <w:tcMar>
              <w:top w:w="90" w:type="dxa"/>
              <w:left w:w="195" w:type="dxa"/>
              <w:bottom w:w="90" w:type="dxa"/>
              <w:right w:w="195" w:type="dxa"/>
            </w:tcMar>
            <w:vAlign w:val="center"/>
          </w:tcPr>
          <w:p w14:paraId="06BD9455">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研究对象</w:t>
            </w:r>
          </w:p>
        </w:tc>
        <w:tc>
          <w:tcPr>
            <w:tcW w:w="1109" w:type="pct"/>
            <w:tcBorders>
              <w:top w:val="single" w:color="auto" w:sz="12" w:space="0"/>
              <w:bottom w:val="single" w:color="auto" w:sz="4" w:space="0"/>
            </w:tcBorders>
            <w:vAlign w:val="center"/>
          </w:tcPr>
          <w:p w14:paraId="31F02B84">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边界条件</w:t>
            </w:r>
          </w:p>
        </w:tc>
        <w:tc>
          <w:tcPr>
            <w:tcW w:w="939" w:type="pct"/>
            <w:tcBorders>
              <w:top w:val="single" w:color="auto" w:sz="12" w:space="0"/>
              <w:bottom w:val="single" w:color="auto" w:sz="4" w:space="0"/>
            </w:tcBorders>
            <w:tcMar>
              <w:top w:w="90" w:type="dxa"/>
              <w:left w:w="195" w:type="dxa"/>
              <w:bottom w:w="90" w:type="dxa"/>
              <w:right w:w="195" w:type="dxa"/>
            </w:tcMar>
            <w:vAlign w:val="center"/>
          </w:tcPr>
          <w:p w14:paraId="65C227FD">
            <w:pPr>
              <w:snapToGrid w:val="0"/>
              <w:jc w:val="center"/>
              <w:rPr>
                <w:rFonts w:asciiTheme="majorBidi" w:hAnsiTheme="majorBidi" w:cstheme="majorBidi"/>
                <w:sz w:val="18"/>
                <w:szCs w:val="18"/>
                <w:shd w:val="clear" w:color="auto" w:fill="FFFFFF"/>
              </w:rPr>
            </w:pPr>
            <w:r>
              <w:rPr>
                <w:rFonts w:hint="eastAsia" w:asciiTheme="majorBidi" w:hAnsiTheme="majorBidi" w:cstheme="majorBidi"/>
                <w:sz w:val="18"/>
                <w:szCs w:val="18"/>
                <w:shd w:val="clear" w:color="auto" w:fill="FFFFFF"/>
              </w:rPr>
              <w:t>研究</w:t>
            </w:r>
            <w:r>
              <w:rPr>
                <w:rFonts w:asciiTheme="majorBidi" w:hAnsiTheme="majorBidi" w:cstheme="majorBidi"/>
                <w:sz w:val="18"/>
                <w:szCs w:val="18"/>
                <w:shd w:val="clear" w:color="auto" w:fill="FFFFFF"/>
              </w:rPr>
              <w:t>方法</w:t>
            </w:r>
          </w:p>
        </w:tc>
        <w:tc>
          <w:tcPr>
            <w:tcW w:w="1247" w:type="pct"/>
            <w:tcBorders>
              <w:top w:val="single" w:color="auto" w:sz="12" w:space="0"/>
              <w:bottom w:val="single" w:color="auto" w:sz="4" w:space="0"/>
            </w:tcBorders>
            <w:tcMar>
              <w:top w:w="90" w:type="dxa"/>
              <w:left w:w="195" w:type="dxa"/>
              <w:bottom w:w="90" w:type="dxa"/>
              <w:right w:w="195" w:type="dxa"/>
            </w:tcMar>
            <w:vAlign w:val="center"/>
          </w:tcPr>
          <w:p w14:paraId="64850839">
            <w:pPr>
              <w:snapToGrid w:val="0"/>
              <w:jc w:val="center"/>
              <w:rPr>
                <w:rFonts w:asciiTheme="majorBidi" w:hAnsiTheme="majorBidi" w:cstheme="majorBidi"/>
                <w:sz w:val="18"/>
                <w:szCs w:val="18"/>
                <w:shd w:val="clear" w:color="auto" w:fill="FFFFFF"/>
              </w:rPr>
            </w:pPr>
            <w:r>
              <w:rPr>
                <w:rFonts w:hint="eastAsia" w:asciiTheme="majorBidi" w:hAnsiTheme="majorBidi" w:cstheme="majorBidi"/>
                <w:sz w:val="18"/>
                <w:szCs w:val="18"/>
                <w:shd w:val="clear" w:color="auto" w:fill="FFFFFF"/>
              </w:rPr>
              <w:t>研究</w:t>
            </w:r>
            <w:r>
              <w:rPr>
                <w:rFonts w:asciiTheme="majorBidi" w:hAnsiTheme="majorBidi" w:cstheme="majorBidi"/>
                <w:sz w:val="18"/>
                <w:szCs w:val="18"/>
                <w:shd w:val="clear" w:color="auto" w:fill="FFFFFF"/>
              </w:rPr>
              <w:t>结论</w:t>
            </w:r>
          </w:p>
        </w:tc>
      </w:tr>
      <w:tr w14:paraId="6F56AD02">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8" w:type="pct"/>
            <w:tcBorders>
              <w:top w:val="single" w:color="auto" w:sz="4" w:space="0"/>
            </w:tcBorders>
            <w:tcMar>
              <w:top w:w="90" w:type="dxa"/>
              <w:left w:w="195" w:type="dxa"/>
              <w:bottom w:w="90" w:type="dxa"/>
              <w:right w:w="195" w:type="dxa"/>
            </w:tcMar>
            <w:vAlign w:val="center"/>
          </w:tcPr>
          <w:p w14:paraId="3D3C6473">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ZHOU</w:t>
            </w:r>
            <w:r>
              <w:rPr>
                <w:rFonts w:asciiTheme="majorBidi" w:hAnsiTheme="majorBidi" w:cstheme="majorBidi"/>
                <w:kern w:val="0"/>
                <w:sz w:val="18"/>
                <w:szCs w:val="18"/>
                <w:shd w:val="clear" w:color="auto" w:fill="FFFFFF"/>
                <w:vertAlign w:val="superscript"/>
              </w:rPr>
              <w:t>[3</w:t>
            </w:r>
            <w:r>
              <w:rPr>
                <w:rFonts w:hint="eastAsia" w:asciiTheme="majorBidi" w:hAnsiTheme="majorBidi" w:cstheme="majorBidi"/>
                <w:kern w:val="0"/>
                <w:sz w:val="18"/>
                <w:szCs w:val="18"/>
                <w:shd w:val="clear" w:color="auto" w:fill="FFFFFF"/>
                <w:vertAlign w:val="superscript"/>
              </w:rPr>
              <w:t>6</w:t>
            </w:r>
            <w:r>
              <w:rPr>
                <w:rFonts w:asciiTheme="majorBidi" w:hAnsiTheme="majorBidi" w:cstheme="majorBidi"/>
                <w:kern w:val="0"/>
                <w:sz w:val="18"/>
                <w:szCs w:val="18"/>
                <w:shd w:val="clear" w:color="auto" w:fill="FFFFFF"/>
                <w:vertAlign w:val="superscript"/>
              </w:rPr>
              <w:t>]</w:t>
            </w:r>
          </w:p>
        </w:tc>
        <w:tc>
          <w:tcPr>
            <w:tcW w:w="957" w:type="pct"/>
            <w:tcBorders>
              <w:top w:val="single" w:color="auto" w:sz="4" w:space="0"/>
            </w:tcBorders>
            <w:tcMar>
              <w:top w:w="90" w:type="dxa"/>
              <w:left w:w="195" w:type="dxa"/>
              <w:bottom w:w="90" w:type="dxa"/>
              <w:right w:w="195" w:type="dxa"/>
            </w:tcMar>
            <w:vAlign w:val="center"/>
          </w:tcPr>
          <w:p w14:paraId="50E66A4A">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气团滞留于管道高点盲端</w:t>
            </w:r>
          </w:p>
        </w:tc>
        <w:tc>
          <w:tcPr>
            <w:tcW w:w="1109" w:type="pct"/>
            <w:tcBorders>
              <w:top w:val="single" w:color="auto" w:sz="4" w:space="0"/>
            </w:tcBorders>
            <w:vAlign w:val="center"/>
          </w:tcPr>
          <w:p w14:paraId="328882E8">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管道入口处瞬间施加7m水头，一种初始气团体积工况</w:t>
            </w:r>
          </w:p>
        </w:tc>
        <w:tc>
          <w:tcPr>
            <w:tcW w:w="939" w:type="pct"/>
            <w:tcBorders>
              <w:top w:val="single" w:color="auto" w:sz="4" w:space="0"/>
            </w:tcBorders>
            <w:tcMar>
              <w:top w:w="90" w:type="dxa"/>
              <w:left w:w="195" w:type="dxa"/>
              <w:bottom w:w="90" w:type="dxa"/>
              <w:right w:w="195" w:type="dxa"/>
            </w:tcMar>
            <w:vAlign w:val="center"/>
          </w:tcPr>
          <w:p w14:paraId="3A12D8F2">
            <w:pPr>
              <w:snapToGrid w:val="0"/>
              <w:rPr>
                <w:rFonts w:asciiTheme="majorBidi" w:hAnsiTheme="majorBidi" w:cstheme="majorBidi"/>
                <w:sz w:val="18"/>
                <w:szCs w:val="18"/>
                <w:shd w:val="clear" w:color="auto" w:fill="FFFFFF"/>
              </w:rPr>
            </w:pPr>
            <w:r>
              <w:rPr>
                <w:rFonts w:hint="eastAsia" w:ascii="Times New Roman" w:hAnsi="Times New Roman" w:cs="Times New Roman"/>
                <w:sz w:val="18"/>
                <w:szCs w:val="18"/>
                <w:shd w:val="clear" w:color="auto" w:fill="FFFFFF"/>
              </w:rPr>
              <w:t>一维、二维与三维VOF与物理模型试验</w:t>
            </w:r>
          </w:p>
        </w:tc>
        <w:tc>
          <w:tcPr>
            <w:tcW w:w="1247" w:type="pct"/>
            <w:tcBorders>
              <w:top w:val="single" w:color="auto" w:sz="4" w:space="0"/>
            </w:tcBorders>
            <w:tcMar>
              <w:top w:w="90" w:type="dxa"/>
              <w:left w:w="195" w:type="dxa"/>
              <w:bottom w:w="90" w:type="dxa"/>
              <w:right w:w="195" w:type="dxa"/>
            </w:tcMar>
            <w:vAlign w:val="center"/>
          </w:tcPr>
          <w:p w14:paraId="00198D84">
            <w:pPr>
              <w:snapToGrid w:val="0"/>
              <w:rPr>
                <w:rFonts w:asciiTheme="majorBidi" w:hAnsiTheme="majorBidi" w:cstheme="majorBidi"/>
                <w:sz w:val="18"/>
                <w:szCs w:val="18"/>
                <w:shd w:val="clear" w:color="auto" w:fill="FFFFFF"/>
              </w:rPr>
            </w:pPr>
            <w:r>
              <w:rPr>
                <w:rFonts w:hint="eastAsia" w:ascii="Times New Roman" w:hAnsi="Times New Roman" w:cs="Times New Roman"/>
                <w:sz w:val="18"/>
                <w:szCs w:val="18"/>
                <w:shd w:val="clear" w:color="auto" w:fill="FFFFFF"/>
              </w:rPr>
              <w:t>三维VOF优于一维模型，可用于分析水流冲击气团的瞬变压力，但未研究气团体积对瞬变特性的影响及其作用机制</w:t>
            </w:r>
          </w:p>
        </w:tc>
      </w:tr>
      <w:tr w14:paraId="0A49FC6E">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8" w:type="pct"/>
            <w:tcBorders>
              <w:bottom w:val="nil"/>
            </w:tcBorders>
            <w:tcMar>
              <w:top w:w="90" w:type="dxa"/>
              <w:left w:w="195" w:type="dxa"/>
              <w:bottom w:w="90" w:type="dxa"/>
              <w:right w:w="195" w:type="dxa"/>
            </w:tcMar>
            <w:vAlign w:val="center"/>
          </w:tcPr>
          <w:p w14:paraId="6B381E6F">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汪怡然等</w:t>
            </w:r>
            <w:r>
              <w:rPr>
                <w:rFonts w:asciiTheme="majorBidi" w:hAnsiTheme="majorBidi" w:cstheme="majorBidi"/>
                <w:kern w:val="0"/>
                <w:sz w:val="18"/>
                <w:szCs w:val="18"/>
                <w:shd w:val="clear" w:color="auto" w:fill="FFFFFF"/>
                <w:vertAlign w:val="superscript"/>
              </w:rPr>
              <w:t>[2</w:t>
            </w:r>
            <w:r>
              <w:rPr>
                <w:rFonts w:hint="eastAsia" w:asciiTheme="majorBidi" w:hAnsiTheme="majorBidi" w:cstheme="majorBidi"/>
                <w:kern w:val="0"/>
                <w:sz w:val="18"/>
                <w:szCs w:val="18"/>
                <w:shd w:val="clear" w:color="auto" w:fill="FFFFFF"/>
                <w:vertAlign w:val="superscript"/>
              </w:rPr>
              <w:t>5</w:t>
            </w:r>
            <w:r>
              <w:rPr>
                <w:rFonts w:asciiTheme="majorBidi" w:hAnsiTheme="majorBidi" w:cstheme="majorBidi"/>
                <w:kern w:val="0"/>
                <w:sz w:val="18"/>
                <w:szCs w:val="18"/>
                <w:shd w:val="clear" w:color="auto" w:fill="FFFFFF"/>
                <w:vertAlign w:val="superscript"/>
              </w:rPr>
              <w:t>]</w:t>
            </w:r>
          </w:p>
        </w:tc>
        <w:tc>
          <w:tcPr>
            <w:tcW w:w="957" w:type="pct"/>
            <w:tcBorders>
              <w:bottom w:val="nil"/>
            </w:tcBorders>
            <w:tcMar>
              <w:top w:w="90" w:type="dxa"/>
              <w:left w:w="195" w:type="dxa"/>
              <w:bottom w:w="90" w:type="dxa"/>
              <w:right w:w="195" w:type="dxa"/>
            </w:tcMar>
            <w:vAlign w:val="center"/>
          </w:tcPr>
          <w:p w14:paraId="62F487C7">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气团滞留于近水平管道中部</w:t>
            </w:r>
          </w:p>
        </w:tc>
        <w:tc>
          <w:tcPr>
            <w:tcW w:w="1109" w:type="pct"/>
            <w:tcBorders>
              <w:bottom w:val="nil"/>
            </w:tcBorders>
            <w:vAlign w:val="center"/>
          </w:tcPr>
          <w:p w14:paraId="5A09B615">
            <w:pPr>
              <w:snapToGrid w:val="0"/>
              <w:rPr>
                <w:rFonts w:asciiTheme="majorBidi" w:hAnsiTheme="majorBidi" w:cstheme="majorBidi"/>
                <w:sz w:val="18"/>
                <w:szCs w:val="18"/>
                <w:shd w:val="clear" w:color="auto" w:fill="FFFFFF"/>
              </w:rPr>
            </w:pPr>
            <w:r>
              <w:rPr>
                <w:rFonts w:hint="eastAsia" w:asciiTheme="majorBidi" w:hAnsiTheme="majorBidi" w:cstheme="majorBidi"/>
                <w:sz w:val="18"/>
                <w:szCs w:val="18"/>
                <w:shd w:val="clear" w:color="auto" w:fill="FFFFFF"/>
              </w:rPr>
              <w:t>气团</w:t>
            </w:r>
            <w:r>
              <w:rPr>
                <w:rFonts w:asciiTheme="majorBidi" w:hAnsiTheme="majorBidi" w:cstheme="majorBidi"/>
                <w:sz w:val="18"/>
                <w:szCs w:val="18"/>
                <w:shd w:val="clear" w:color="auto" w:fill="FFFFFF"/>
              </w:rPr>
              <w:t>两侧分别瞬间施加42.16m</w:t>
            </w:r>
            <w:r>
              <w:rPr>
                <w:rFonts w:asciiTheme="majorBidi" w:hAnsiTheme="majorBidi" w:cstheme="majorBidi"/>
                <w:sz w:val="18"/>
                <w:szCs w:val="18"/>
                <w:shd w:val="clear" w:color="auto" w:fill="FFFFFF"/>
                <w:vertAlign w:val="superscript"/>
              </w:rPr>
              <w:t>3</w:t>
            </w:r>
            <w:r>
              <w:rPr>
                <w:rFonts w:asciiTheme="majorBidi" w:hAnsiTheme="majorBidi" w:cstheme="majorBidi"/>
                <w:sz w:val="18"/>
                <w:szCs w:val="18"/>
                <w:shd w:val="clear" w:color="auto" w:fill="FFFFFF"/>
              </w:rPr>
              <w:t>/s与73.84m</w:t>
            </w:r>
            <w:r>
              <w:rPr>
                <w:rFonts w:asciiTheme="majorBidi" w:hAnsiTheme="majorBidi" w:cstheme="majorBidi"/>
                <w:sz w:val="18"/>
                <w:szCs w:val="18"/>
                <w:shd w:val="clear" w:color="auto" w:fill="FFFFFF"/>
                <w:vertAlign w:val="superscript"/>
              </w:rPr>
              <w:t>3</w:t>
            </w:r>
            <w:r>
              <w:rPr>
                <w:rFonts w:asciiTheme="majorBidi" w:hAnsiTheme="majorBidi" w:cstheme="majorBidi"/>
                <w:sz w:val="18"/>
                <w:szCs w:val="18"/>
                <w:shd w:val="clear" w:color="auto" w:fill="FFFFFF"/>
              </w:rPr>
              <w:t>/s的流量</w:t>
            </w:r>
            <w:r>
              <w:rPr>
                <w:rFonts w:hint="eastAsia" w:asciiTheme="majorBidi" w:hAnsiTheme="majorBidi" w:cstheme="majorBidi"/>
                <w:sz w:val="18"/>
                <w:szCs w:val="18"/>
                <w:shd w:val="clear" w:color="auto" w:fill="FFFFFF"/>
              </w:rPr>
              <w:t>，</w:t>
            </w:r>
            <w:r>
              <w:rPr>
                <w:rFonts w:asciiTheme="majorBidi" w:hAnsiTheme="majorBidi" w:cstheme="majorBidi"/>
                <w:sz w:val="18"/>
                <w:szCs w:val="18"/>
                <w:shd w:val="clear" w:color="auto" w:fill="FFFFFF"/>
              </w:rPr>
              <w:t>包含多组气团初始体积工况</w:t>
            </w:r>
          </w:p>
        </w:tc>
        <w:tc>
          <w:tcPr>
            <w:tcW w:w="939" w:type="pct"/>
            <w:tcBorders>
              <w:bottom w:val="nil"/>
            </w:tcBorders>
            <w:tcMar>
              <w:top w:w="90" w:type="dxa"/>
              <w:left w:w="195" w:type="dxa"/>
              <w:bottom w:w="90" w:type="dxa"/>
              <w:right w:w="195" w:type="dxa"/>
            </w:tcMar>
            <w:vAlign w:val="center"/>
          </w:tcPr>
          <w:p w14:paraId="419B26D6">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三维VOF与物理模型试验</w:t>
            </w:r>
          </w:p>
        </w:tc>
        <w:tc>
          <w:tcPr>
            <w:tcW w:w="1247" w:type="pct"/>
            <w:tcBorders>
              <w:bottom w:val="nil"/>
            </w:tcBorders>
            <w:tcMar>
              <w:top w:w="90" w:type="dxa"/>
              <w:left w:w="195" w:type="dxa"/>
              <w:bottom w:w="90" w:type="dxa"/>
              <w:right w:w="195" w:type="dxa"/>
            </w:tcMar>
            <w:vAlign w:val="center"/>
          </w:tcPr>
          <w:p w14:paraId="782DA619">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随着气团体积分数增大，滞留气团的最大相对压力增加</w:t>
            </w:r>
          </w:p>
        </w:tc>
      </w:tr>
      <w:tr w14:paraId="507E2E9A">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8" w:type="pct"/>
            <w:tcBorders>
              <w:top w:val="nil"/>
              <w:bottom w:val="nil"/>
            </w:tcBorders>
            <w:tcMar>
              <w:top w:w="90" w:type="dxa"/>
              <w:left w:w="195" w:type="dxa"/>
              <w:bottom w:w="90" w:type="dxa"/>
              <w:right w:w="195" w:type="dxa"/>
            </w:tcMar>
            <w:vAlign w:val="center"/>
          </w:tcPr>
          <w:p w14:paraId="5365B870">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孙华鑫</w:t>
            </w:r>
            <w:r>
              <w:rPr>
                <w:rFonts w:asciiTheme="majorBidi" w:hAnsiTheme="majorBidi" w:cstheme="majorBidi"/>
                <w:kern w:val="0"/>
                <w:sz w:val="18"/>
                <w:shd w:val="clear" w:color="auto" w:fill="FFFFFF"/>
                <w:vertAlign w:val="superscript"/>
              </w:rPr>
              <w:t>[</w:t>
            </w:r>
            <w:r>
              <w:rPr>
                <w:rFonts w:hint="eastAsia" w:asciiTheme="majorBidi" w:hAnsiTheme="majorBidi" w:cstheme="majorBidi"/>
                <w:kern w:val="0"/>
                <w:sz w:val="18"/>
                <w:shd w:val="clear" w:color="auto" w:fill="FFFFFF"/>
                <w:vertAlign w:val="superscript"/>
              </w:rPr>
              <w:t>39</w:t>
            </w:r>
            <w:r>
              <w:rPr>
                <w:rFonts w:asciiTheme="majorBidi" w:hAnsiTheme="majorBidi" w:cstheme="majorBidi"/>
                <w:kern w:val="0"/>
                <w:sz w:val="18"/>
                <w:shd w:val="clear" w:color="auto" w:fill="FFFFFF"/>
                <w:vertAlign w:val="superscript"/>
              </w:rPr>
              <w:t>]</w:t>
            </w:r>
          </w:p>
        </w:tc>
        <w:tc>
          <w:tcPr>
            <w:tcW w:w="957" w:type="pct"/>
            <w:tcBorders>
              <w:top w:val="nil"/>
              <w:bottom w:val="nil"/>
            </w:tcBorders>
            <w:tcMar>
              <w:top w:w="90" w:type="dxa"/>
              <w:left w:w="195" w:type="dxa"/>
              <w:bottom w:w="90" w:type="dxa"/>
              <w:right w:w="195" w:type="dxa"/>
            </w:tcMar>
            <w:vAlign w:val="center"/>
          </w:tcPr>
          <w:p w14:paraId="00618E89">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气团滞留于管道</w:t>
            </w:r>
            <w:r>
              <w:rPr>
                <w:rFonts w:hint="eastAsia" w:asciiTheme="majorBidi" w:hAnsiTheme="majorBidi" w:cstheme="majorBidi"/>
                <w:sz w:val="18"/>
                <w:szCs w:val="18"/>
                <w:shd w:val="clear" w:color="auto" w:fill="FFFFFF"/>
              </w:rPr>
              <w:t>驼峰</w:t>
            </w:r>
            <w:r>
              <w:rPr>
                <w:rFonts w:asciiTheme="majorBidi" w:hAnsiTheme="majorBidi" w:cstheme="majorBidi"/>
                <w:sz w:val="18"/>
                <w:szCs w:val="18"/>
                <w:shd w:val="clear" w:color="auto" w:fill="FFFFFF"/>
              </w:rPr>
              <w:t>处</w:t>
            </w:r>
          </w:p>
        </w:tc>
        <w:tc>
          <w:tcPr>
            <w:tcW w:w="1109" w:type="pct"/>
            <w:tcBorders>
              <w:top w:val="nil"/>
              <w:bottom w:val="nil"/>
            </w:tcBorders>
            <w:vAlign w:val="center"/>
          </w:tcPr>
          <w:p w14:paraId="39A5DC2F">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管道入口处分别瞬间施加15m、20m、25m、27.5m水头</w:t>
            </w:r>
            <w:r>
              <w:rPr>
                <w:rFonts w:hint="eastAsia" w:asciiTheme="majorBidi" w:hAnsiTheme="majorBidi" w:cstheme="majorBidi"/>
                <w:sz w:val="18"/>
                <w:szCs w:val="18"/>
                <w:shd w:val="clear" w:color="auto" w:fill="FFFFFF"/>
              </w:rPr>
              <w:t>，</w:t>
            </w:r>
            <w:r>
              <w:rPr>
                <w:rFonts w:asciiTheme="majorBidi" w:hAnsiTheme="majorBidi" w:cstheme="majorBidi"/>
                <w:sz w:val="18"/>
                <w:szCs w:val="18"/>
                <w:shd w:val="clear" w:color="auto" w:fill="FFFFFF"/>
              </w:rPr>
              <w:t>包含多组</w:t>
            </w:r>
            <w:r>
              <w:rPr>
                <w:rFonts w:hint="eastAsia" w:asciiTheme="majorBidi" w:hAnsiTheme="majorBidi" w:cstheme="majorBidi"/>
                <w:sz w:val="18"/>
                <w:szCs w:val="18"/>
                <w:shd w:val="clear" w:color="auto" w:fill="FFFFFF"/>
              </w:rPr>
              <w:t>管道横截面含气率</w:t>
            </w:r>
            <w:r>
              <w:rPr>
                <w:rFonts w:asciiTheme="majorBidi" w:hAnsiTheme="majorBidi" w:cstheme="majorBidi"/>
                <w:sz w:val="18"/>
                <w:szCs w:val="18"/>
                <w:shd w:val="clear" w:color="auto" w:fill="FFFFFF"/>
              </w:rPr>
              <w:t>工况</w:t>
            </w:r>
          </w:p>
        </w:tc>
        <w:tc>
          <w:tcPr>
            <w:tcW w:w="939" w:type="pct"/>
            <w:tcBorders>
              <w:top w:val="nil"/>
              <w:bottom w:val="nil"/>
            </w:tcBorders>
            <w:tcMar>
              <w:top w:w="90" w:type="dxa"/>
              <w:left w:w="195" w:type="dxa"/>
              <w:bottom w:w="90" w:type="dxa"/>
              <w:right w:w="195" w:type="dxa"/>
            </w:tcMar>
            <w:vAlign w:val="center"/>
          </w:tcPr>
          <w:p w14:paraId="2AFCDCAE">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三维VOF与物理模型试验</w:t>
            </w:r>
          </w:p>
        </w:tc>
        <w:tc>
          <w:tcPr>
            <w:tcW w:w="1247" w:type="pct"/>
            <w:tcBorders>
              <w:top w:val="nil"/>
              <w:bottom w:val="nil"/>
            </w:tcBorders>
            <w:tcMar>
              <w:top w:w="90" w:type="dxa"/>
              <w:left w:w="195" w:type="dxa"/>
              <w:bottom w:w="90" w:type="dxa"/>
              <w:right w:w="195" w:type="dxa"/>
            </w:tcMar>
            <w:vAlign w:val="center"/>
          </w:tcPr>
          <w:p w14:paraId="41AACCC3">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横截面含气率 &lt; 50% 时，瞬变压力峰值随含气率增加而增加</w:t>
            </w:r>
            <w:r>
              <w:rPr>
                <w:rFonts w:hint="eastAsia" w:asciiTheme="majorBidi" w:hAnsiTheme="majorBidi" w:cstheme="majorBidi"/>
                <w:sz w:val="18"/>
                <w:szCs w:val="18"/>
                <w:shd w:val="clear" w:color="auto" w:fill="FFFFFF"/>
              </w:rPr>
              <w:t>；</w:t>
            </w:r>
            <w:r>
              <w:rPr>
                <w:rFonts w:asciiTheme="majorBidi" w:hAnsiTheme="majorBidi" w:cstheme="majorBidi"/>
                <w:sz w:val="18"/>
                <w:szCs w:val="18"/>
                <w:shd w:val="clear" w:color="auto" w:fill="FFFFFF"/>
              </w:rPr>
              <w:t>横截面含气率 ≥ 50% 时，压力峰值基本不变</w:t>
            </w:r>
          </w:p>
        </w:tc>
      </w:tr>
      <w:tr w14:paraId="69AAA0F9">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8" w:type="pct"/>
            <w:tcBorders>
              <w:top w:val="nil"/>
              <w:bottom w:val="single" w:color="auto" w:sz="12" w:space="0"/>
            </w:tcBorders>
            <w:tcMar>
              <w:top w:w="90" w:type="dxa"/>
              <w:left w:w="195" w:type="dxa"/>
              <w:bottom w:w="90" w:type="dxa"/>
              <w:right w:w="195" w:type="dxa"/>
            </w:tcMar>
            <w:vAlign w:val="center"/>
          </w:tcPr>
          <w:p w14:paraId="13CEBB04">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本文</w:t>
            </w:r>
          </w:p>
        </w:tc>
        <w:tc>
          <w:tcPr>
            <w:tcW w:w="957" w:type="pct"/>
            <w:tcBorders>
              <w:top w:val="nil"/>
              <w:bottom w:val="single" w:color="auto" w:sz="12" w:space="0"/>
            </w:tcBorders>
            <w:tcMar>
              <w:top w:w="90" w:type="dxa"/>
              <w:left w:w="195" w:type="dxa"/>
              <w:bottom w:w="90" w:type="dxa"/>
              <w:right w:w="195" w:type="dxa"/>
            </w:tcMar>
            <w:vAlign w:val="center"/>
          </w:tcPr>
          <w:p w14:paraId="7CE93F99">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气团滞留于管道高点盲端</w:t>
            </w:r>
          </w:p>
        </w:tc>
        <w:tc>
          <w:tcPr>
            <w:tcW w:w="1109" w:type="pct"/>
            <w:tcBorders>
              <w:top w:val="nil"/>
              <w:bottom w:val="single" w:color="auto" w:sz="12" w:space="0"/>
            </w:tcBorders>
            <w:vAlign w:val="center"/>
          </w:tcPr>
          <w:p w14:paraId="1B39C4CC">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管道入口处瞬间施加7m水头，包含多组气团初始体积工况</w:t>
            </w:r>
          </w:p>
        </w:tc>
        <w:tc>
          <w:tcPr>
            <w:tcW w:w="939" w:type="pct"/>
            <w:tcBorders>
              <w:top w:val="nil"/>
              <w:bottom w:val="single" w:color="auto" w:sz="12" w:space="0"/>
            </w:tcBorders>
            <w:tcMar>
              <w:top w:w="90" w:type="dxa"/>
              <w:left w:w="195" w:type="dxa"/>
              <w:bottom w:w="90" w:type="dxa"/>
              <w:right w:w="195" w:type="dxa"/>
            </w:tcMar>
            <w:vAlign w:val="center"/>
          </w:tcPr>
          <w:p w14:paraId="123F9576">
            <w:pPr>
              <w:snapToGrid w:val="0"/>
              <w:jc w:val="center"/>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三维VOF</w:t>
            </w:r>
          </w:p>
        </w:tc>
        <w:tc>
          <w:tcPr>
            <w:tcW w:w="1247" w:type="pct"/>
            <w:tcBorders>
              <w:top w:val="nil"/>
              <w:bottom w:val="single" w:color="auto" w:sz="12" w:space="0"/>
            </w:tcBorders>
            <w:tcMar>
              <w:top w:w="90" w:type="dxa"/>
              <w:left w:w="195" w:type="dxa"/>
              <w:bottom w:w="90" w:type="dxa"/>
              <w:right w:w="195" w:type="dxa"/>
            </w:tcMar>
            <w:vAlign w:val="center"/>
          </w:tcPr>
          <w:p w14:paraId="2C55910E">
            <w:pPr>
              <w:snapToGrid w:val="0"/>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盲端的气团初始体积</w:t>
            </w:r>
            <w:r>
              <w:rPr>
                <w:rFonts w:hint="eastAsia" w:asciiTheme="majorBidi" w:hAnsiTheme="majorBidi" w:cstheme="majorBidi"/>
                <w:sz w:val="18"/>
                <w:szCs w:val="18"/>
                <w:shd w:val="clear" w:color="auto" w:fill="FFFFFF"/>
              </w:rPr>
              <w:t>占比&lt;</w:t>
            </w:r>
            <w:r>
              <w:rPr>
                <w:rFonts w:asciiTheme="majorBidi" w:hAnsiTheme="majorBidi" w:cstheme="majorBidi"/>
                <w:sz w:val="18"/>
                <w:szCs w:val="18"/>
                <w:shd w:val="clear" w:color="auto" w:fill="FFFFFF"/>
              </w:rPr>
              <w:t>100%时，瞬变压力</w:t>
            </w:r>
            <w:r>
              <w:rPr>
                <w:rFonts w:hint="eastAsia" w:asciiTheme="majorBidi" w:hAnsiTheme="majorBidi" w:cstheme="majorBidi"/>
                <w:sz w:val="18"/>
                <w:szCs w:val="18"/>
                <w:shd w:val="clear" w:color="auto" w:fill="FFFFFF"/>
              </w:rPr>
              <w:t>波峰</w:t>
            </w:r>
            <w:r>
              <w:rPr>
                <w:rFonts w:asciiTheme="majorBidi" w:hAnsiTheme="majorBidi" w:cstheme="majorBidi"/>
                <w:sz w:val="18"/>
                <w:szCs w:val="18"/>
                <w:shd w:val="clear" w:color="auto" w:fill="FFFFFF"/>
              </w:rPr>
              <w:t>、幅值及周期随气团体积增加明显上升；气团初始体积超过盲端容量后，上述瞬变参数随气团体积增加而趋于平稳，表明管道边界约束会显著影响水力瞬变特性</w:t>
            </w:r>
          </w:p>
        </w:tc>
      </w:tr>
    </w:tbl>
    <w:p w14:paraId="51EE56F5">
      <w:pPr>
        <w:snapToGrid w:val="0"/>
        <w:jc w:val="center"/>
        <w:rPr>
          <w:rFonts w:ascii="Times New Roman" w:hAnsi="Times New Roman" w:cs="Times New Roman"/>
          <w:shd w:val="clear" w:color="auto" w:fill="FFFFFF"/>
        </w:rPr>
      </w:pPr>
    </w:p>
    <w:bookmarkEnd w:id="37"/>
    <w:p w14:paraId="3F8AE16D">
      <w:pPr>
        <w:pStyle w:val="2"/>
        <w:spacing w:before="0" w:after="160"/>
        <w:rPr>
          <w:rFonts w:ascii="Times New Roman" w:hAnsi="Times New Roman" w:cs="Times New Roman" w:eastAsiaTheme="minorEastAsia"/>
          <w:color w:val="auto"/>
          <w:sz w:val="28"/>
          <w:szCs w:val="28"/>
          <w:shd w:val="clear" w:color="auto" w:fill="FFFFFF"/>
        </w:rPr>
      </w:pPr>
      <w:r>
        <w:rPr>
          <w:rFonts w:ascii="Times New Roman" w:hAnsi="Times New Roman" w:cs="Times New Roman" w:eastAsiaTheme="minorEastAsia"/>
          <w:color w:val="auto"/>
          <w:sz w:val="28"/>
          <w:szCs w:val="28"/>
          <w:shd w:val="clear" w:color="auto" w:fill="FFFFFF"/>
        </w:rPr>
        <w:t>4  结</w:t>
      </w:r>
      <w:r>
        <w:rPr>
          <w:rFonts w:hint="eastAsia" w:ascii="Times New Roman" w:hAnsi="Times New Roman" w:cs="Times New Roman" w:eastAsiaTheme="minorEastAsia"/>
          <w:color w:val="auto"/>
          <w:sz w:val="28"/>
          <w:szCs w:val="28"/>
          <w:shd w:val="clear" w:color="auto" w:fill="FFFFFF"/>
        </w:rPr>
        <w:t xml:space="preserve">  </w:t>
      </w:r>
      <w:r>
        <w:rPr>
          <w:rFonts w:ascii="Times New Roman" w:hAnsi="Times New Roman" w:cs="Times New Roman" w:eastAsiaTheme="minorEastAsia"/>
          <w:color w:val="auto"/>
          <w:sz w:val="28"/>
          <w:szCs w:val="28"/>
          <w:shd w:val="clear" w:color="auto" w:fill="FFFFFF"/>
        </w:rPr>
        <w:t>论</w:t>
      </w:r>
    </w:p>
    <w:p w14:paraId="4DF6E611">
      <w:pPr>
        <w:ind w:firstLine="420" w:firstLineChars="200"/>
        <w:rPr>
          <w:rFonts w:ascii="Times New Roman" w:hAnsi="Times New Roman" w:cs="Times New Roman"/>
          <w:shd w:val="clear" w:color="auto" w:fill="FFFFFF"/>
        </w:rPr>
      </w:pPr>
      <w:bookmarkStart w:id="38" w:name="_Hlk208850107"/>
      <w:bookmarkStart w:id="39" w:name="_Hlk208265306"/>
      <w:r>
        <w:rPr>
          <w:rFonts w:hint="eastAsia" w:ascii="Times New Roman" w:hAnsi="Times New Roman" w:cs="Times New Roman"/>
          <w:shd w:val="clear" w:color="auto" w:fill="FFFFFF"/>
        </w:rPr>
        <w:t>本研究采用</w:t>
      </w:r>
      <w:r>
        <w:rPr>
          <w:rFonts w:ascii="Times New Roman" w:hAnsi="Times New Roman" w:cs="Times New Roman"/>
          <w:shd w:val="clear" w:color="auto" w:fill="FFFFFF"/>
        </w:rPr>
        <w:t>CFD</w:t>
      </w:r>
      <w:r>
        <w:rPr>
          <w:rFonts w:hint="eastAsia" w:ascii="Times New Roman" w:hAnsi="Times New Roman" w:cs="Times New Roman"/>
          <w:shd w:val="clear" w:color="auto" w:fill="FFFFFF"/>
        </w:rPr>
        <w:t>数值模拟技术，研究了水流冲击管道盲端滞留气团的水力瞬变特性，分析了滞留气团初始体积对管道瞬变压力极值、幅值、振荡周期等关键水力参数的影响，并通过分析第一波峰时刻的气团形态变化，揭示了气团影响水力瞬变过程的作用机制，主要结论如下。</w:t>
      </w:r>
    </w:p>
    <w:p w14:paraId="13E5015B">
      <w:pPr>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w:t>
      </w:r>
      <w:r>
        <w:rPr>
          <w:rFonts w:ascii="Times New Roman" w:hAnsi="Times New Roman" w:cs="Times New Roman"/>
          <w:shd w:val="clear" w:color="auto" w:fill="FFFFFF"/>
        </w:rPr>
        <w:t>1</w:t>
      </w:r>
      <w:r>
        <w:rPr>
          <w:rFonts w:hint="eastAsia" w:ascii="Times New Roman" w:hAnsi="Times New Roman" w:cs="Times New Roman"/>
          <w:shd w:val="clear" w:color="auto" w:fill="FFFFFF"/>
        </w:rPr>
        <w:t>）随着管道高点盲端的滞留气团初始体积占比增加，管道最大瞬变压力、第一峰值峰谷压力幅值差值、</w:t>
      </w:r>
      <w:r>
        <w:rPr>
          <w:rFonts w:hint="eastAsia" w:ascii="Times New Roman" w:hAnsi="Times New Roman" w:cs="Times New Roman"/>
          <w:szCs w:val="21"/>
          <w:shd w:val="clear" w:color="auto" w:fill="FFFFFF"/>
        </w:rPr>
        <w:t>第一第二压力波峰差值</w:t>
      </w:r>
      <w:r>
        <w:rPr>
          <w:rFonts w:hint="eastAsia" w:ascii="Times New Roman" w:hAnsi="Times New Roman" w:cs="Times New Roman"/>
          <w:shd w:val="clear" w:color="auto" w:fill="FFFFFF"/>
        </w:rPr>
        <w:t>均呈现先上升后趋稳的态势。在滞留气团初始体积未完全占据管道盲端前，随着体积占比由</w:t>
      </w:r>
      <w:r>
        <w:rPr>
          <w:rFonts w:ascii="Times New Roman" w:hAnsi="Times New Roman" w:cs="Times New Roman"/>
          <w:shd w:val="clear" w:color="auto" w:fill="FFFFFF"/>
        </w:rPr>
        <w:t>15.55%</w:t>
      </w:r>
      <w:r>
        <w:rPr>
          <w:rFonts w:hint="eastAsia" w:ascii="Times New Roman" w:hAnsi="Times New Roman" w:cs="Times New Roman"/>
          <w:shd w:val="clear" w:color="auto" w:fill="FFFFFF"/>
        </w:rPr>
        <w:t>增至</w:t>
      </w:r>
      <w:r>
        <w:rPr>
          <w:rFonts w:ascii="Times New Roman" w:hAnsi="Times New Roman" w:cs="Times New Roman"/>
          <w:shd w:val="clear" w:color="auto" w:fill="FFFFFF"/>
        </w:rPr>
        <w:t>100%</w:t>
      </w:r>
      <w:r>
        <w:rPr>
          <w:rFonts w:hint="eastAsia" w:ascii="Times New Roman" w:hAnsi="Times New Roman" w:cs="Times New Roman"/>
          <w:shd w:val="clear" w:color="auto" w:fill="FFFFFF"/>
        </w:rPr>
        <w:t>，最大瞬变压力增幅为10.72</w:t>
      </w:r>
      <w:r>
        <w:rPr>
          <w:rFonts w:ascii="Times New Roman" w:hAnsi="Times New Roman" w:cs="Times New Roman"/>
          <w:shd w:val="clear" w:color="auto" w:fill="FFFFFF"/>
        </w:rPr>
        <w:t>%</w:t>
      </w:r>
      <w:r>
        <w:rPr>
          <w:rFonts w:hint="eastAsia" w:ascii="Times New Roman" w:hAnsi="Times New Roman" w:cs="Times New Roman"/>
          <w:shd w:val="clear" w:color="auto" w:fill="FFFFFF"/>
        </w:rPr>
        <w:t>，第一峰值、峰谷压力幅值差值增幅为14.04%、</w:t>
      </w:r>
      <w:r>
        <w:rPr>
          <w:rFonts w:hint="eastAsia" w:ascii="Times New Roman" w:hAnsi="Times New Roman" w:cs="Times New Roman"/>
          <w:szCs w:val="21"/>
          <w:shd w:val="clear" w:color="auto" w:fill="FFFFFF"/>
        </w:rPr>
        <w:t>第一第二压力波峰差值增</w:t>
      </w:r>
      <w:r>
        <w:rPr>
          <w:rFonts w:hint="eastAsia" w:ascii="Times New Roman" w:hAnsi="Times New Roman" w:cs="Times New Roman"/>
          <w:shd w:val="clear" w:color="auto" w:fill="FFFFFF"/>
        </w:rPr>
        <w:t>幅为82.42%。在滞留气团初始体积完全占据管道盲端后，随着初始气团体积占比增加，上述压力参数增势变缓，均基本趋稳。说明在滞留气团初始体积完全占据管道盲端后，随气团初始体积增加</w:t>
      </w:r>
      <w:r>
        <w:rPr>
          <w:rFonts w:hint="eastAsia" w:ascii="Times New Roman" w:hAnsi="Times New Roman" w:cs="Times New Roman"/>
          <w:szCs w:val="21"/>
          <w:shd w:val="clear" w:color="auto" w:fill="FFFFFF"/>
        </w:rPr>
        <w:t>，气团对水击波的缓冲作用趋于稳定，水力瞬变压力极值、波峰压力的衰减程度不再因气团初始体积增大而显著增加。</w:t>
      </w:r>
    </w:p>
    <w:p w14:paraId="5371B81B">
      <w:pPr>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w:t>
      </w:r>
      <w:r>
        <w:rPr>
          <w:rFonts w:ascii="Times New Roman" w:hAnsi="Times New Roman" w:cs="Times New Roman"/>
          <w:shd w:val="clear" w:color="auto" w:fill="FFFFFF"/>
        </w:rPr>
        <w:t>2</w:t>
      </w:r>
      <w:r>
        <w:rPr>
          <w:rFonts w:hint="eastAsia" w:ascii="Times New Roman" w:hAnsi="Times New Roman" w:cs="Times New Roman"/>
          <w:shd w:val="clear" w:color="auto" w:fill="FFFFFF"/>
        </w:rPr>
        <w:t>）压力波周期与气团初始体积占比之间呈现显著的正相关关系。随着气团初始体积占比的增加，在水力瞬变过程中气团由初始状态压缩至最小体积状态的时间延长，从宏观上表现出压力波的周期增加、波速降低的趋势。气团初始体积占比从</w:t>
      </w:r>
      <w:r>
        <w:rPr>
          <w:rFonts w:ascii="Times New Roman" w:hAnsi="Times New Roman" w:cs="Times New Roman"/>
          <w:shd w:val="clear" w:color="auto" w:fill="FFFFFF"/>
        </w:rPr>
        <w:t xml:space="preserve">15.55% </w:t>
      </w:r>
      <w:r>
        <w:rPr>
          <w:rFonts w:hint="eastAsia" w:ascii="Times New Roman" w:hAnsi="Times New Roman" w:cs="Times New Roman"/>
          <w:shd w:val="clear" w:color="auto" w:fill="FFFFFF"/>
        </w:rPr>
        <w:t>增至</w:t>
      </w:r>
      <w:r>
        <w:rPr>
          <w:rFonts w:ascii="Times New Roman" w:hAnsi="Times New Roman" w:cs="Times New Roman"/>
          <w:shd w:val="clear" w:color="auto" w:fill="FFFFFF"/>
        </w:rPr>
        <w:t xml:space="preserve">100% </w:t>
      </w:r>
      <w:r>
        <w:rPr>
          <w:rFonts w:hint="eastAsia" w:ascii="Times New Roman" w:hAnsi="Times New Roman" w:cs="Times New Roman"/>
          <w:shd w:val="clear" w:color="auto" w:fill="FFFFFF"/>
        </w:rPr>
        <w:t>时，压力波周期增长显著，涨幅为145.95%；气团初始体积占比超过</w:t>
      </w:r>
      <w:r>
        <w:rPr>
          <w:rFonts w:ascii="Times New Roman" w:hAnsi="Times New Roman" w:cs="Times New Roman"/>
          <w:shd w:val="clear" w:color="auto" w:fill="FFFFFF"/>
        </w:rPr>
        <w:t>100%</w:t>
      </w:r>
      <w:r>
        <w:rPr>
          <w:rFonts w:hint="eastAsia" w:ascii="Times New Roman" w:hAnsi="Times New Roman" w:cs="Times New Roman"/>
          <w:shd w:val="clear" w:color="auto" w:fill="FFFFFF"/>
        </w:rPr>
        <w:t>后，周期增速放缓。</w:t>
      </w:r>
    </w:p>
    <w:p w14:paraId="4CB0B88D">
      <w:pPr>
        <w:ind w:firstLine="420" w:firstLineChars="200"/>
        <w:rPr>
          <w:rFonts w:ascii="Times New Roman" w:hAnsi="Times New Roman" w:cs="Times New Roman"/>
          <w:shd w:val="clear" w:color="auto" w:fill="FFFFFF"/>
        </w:rPr>
      </w:pPr>
      <w:r>
        <w:rPr>
          <w:rFonts w:hint="eastAsia" w:ascii="Times New Roman" w:hAnsi="Times New Roman" w:cs="Times New Roman"/>
          <w:shd w:val="clear" w:color="auto" w:fill="FFFFFF"/>
        </w:rPr>
        <w:t>（3）当气团初始体积占比</w:t>
      </w:r>
      <w:r>
        <w:rPr>
          <w:rFonts w:ascii="Times New Roman" w:hAnsi="Times New Roman" w:cs="Times New Roman"/>
          <w:shd w:val="clear" w:color="auto" w:fill="FFFFFF"/>
        </w:rPr>
        <w:t xml:space="preserve"> &lt; 100% </w:t>
      </w:r>
      <w:r>
        <w:rPr>
          <w:rFonts w:hint="eastAsia" w:ascii="Times New Roman" w:hAnsi="Times New Roman" w:cs="Times New Roman"/>
          <w:shd w:val="clear" w:color="auto" w:fill="FFFFFF"/>
        </w:rPr>
        <w:t>时，水流能够从管道四壁均匀压缩气团，气团最大压缩率呈明显上升趋势；当气团初始体积占比≥100% 时，</w:t>
      </w:r>
      <w:r>
        <w:rPr>
          <w:rFonts w:ascii="Times New Roman" w:hAnsi="Times New Roman" w:cs="Times New Roman"/>
          <w:shd w:val="clear" w:color="auto" w:fill="FFFFFF"/>
        </w:rPr>
        <w:t>气团所处位置的管道边界发生了变化，从而水流对于气团的压缩规律也随之变化，</w:t>
      </w:r>
      <w:r>
        <w:rPr>
          <w:rFonts w:hint="eastAsia" w:ascii="Times New Roman" w:hAnsi="Times New Roman" w:cs="Times New Roman"/>
          <w:shd w:val="clear" w:color="auto" w:fill="FFFFFF"/>
        </w:rPr>
        <w:t>水流仅能沿顶部管壁冲击气团，所以气团最大压缩率基本趋于稳定，从而解释了随着气团初始体积增加，管道瞬变压力峰值、峰谷幅值增速呈现先快而后趋于稳定的原因。这一结果也说明气团所处管道边界对水气二相流瞬变过程具有重要影响。</w:t>
      </w:r>
    </w:p>
    <w:p w14:paraId="32A4E3C6">
      <w:pPr>
        <w:ind w:firstLine="420" w:firstLineChars="200"/>
        <w:rPr>
          <w:rFonts w:asciiTheme="majorBidi" w:hAnsiTheme="majorBidi" w:cstheme="majorBidi"/>
          <w:shd w:val="clear" w:color="auto" w:fill="FFFFFF"/>
        </w:rPr>
      </w:pPr>
      <w:r>
        <w:rPr>
          <w:rFonts w:hint="eastAsia" w:ascii="Times New Roman" w:hAnsi="Times New Roman" w:cs="Times New Roman"/>
          <w:shd w:val="clear" w:color="auto" w:fill="FFFFFF"/>
        </w:rPr>
        <w:t>（4）</w:t>
      </w:r>
      <w:r>
        <w:rPr>
          <w:rFonts w:ascii="Times New Roman" w:hAnsi="Times New Roman" w:cs="Times New Roman"/>
          <w:shd w:val="clear" w:color="auto" w:fill="FFFFFF"/>
        </w:rPr>
        <w:t>本文所研究的滞留气团处于管道</w:t>
      </w:r>
      <w:r>
        <w:rPr>
          <w:rFonts w:hint="eastAsia" w:ascii="Times New Roman" w:hAnsi="Times New Roman" w:cs="Times New Roman"/>
          <w:shd w:val="clear" w:color="auto" w:fill="FFFFFF"/>
        </w:rPr>
        <w:t>局部高点的盲端位置，与位于局部高点的空气阀或空气罐处的气团类似，高点处的气团能起到缓冲水击压力的防护作用，气团的压缩膨胀不会导致极端的水锤压力出现。对于实际工程而言，应关注气团在升压过程中自空气阀或通气孔排出的过程，需控制排气速度，以避免排气过快而出现类弥合水锤的情况。</w:t>
      </w:r>
    </w:p>
    <w:bookmarkEnd w:id="38"/>
    <w:p w14:paraId="7AC2E1A4">
      <w:pPr>
        <w:ind w:firstLine="420" w:firstLineChars="200"/>
        <w:rPr>
          <w:rFonts w:ascii="Times New Roman" w:hAnsi="Times New Roman" w:cs="Times New Roman"/>
          <w:shd w:val="clear" w:color="auto" w:fill="FFFFFF"/>
        </w:rPr>
      </w:pPr>
    </w:p>
    <w:bookmarkEnd w:id="39"/>
    <w:p w14:paraId="2157520E">
      <w:pPr>
        <w:pStyle w:val="2"/>
        <w:spacing w:before="0" w:after="160"/>
        <w:rPr>
          <w:rFonts w:ascii="Times New Roman" w:hAnsi="Times New Roman" w:cs="Times New Roman" w:eastAsiaTheme="minorEastAsia"/>
          <w:color w:val="auto"/>
          <w:sz w:val="28"/>
          <w:szCs w:val="28"/>
        </w:rPr>
      </w:pPr>
      <w:r>
        <w:rPr>
          <w:rFonts w:ascii="Times New Roman" w:hAnsi="Times New Roman" w:cs="Times New Roman" w:eastAsiaTheme="minorEastAsia"/>
          <w:color w:val="auto"/>
          <w:sz w:val="28"/>
          <w:szCs w:val="28"/>
        </w:rPr>
        <w:t>参考文献：</w:t>
      </w:r>
    </w:p>
    <w:p w14:paraId="3BC05911">
      <w:r>
        <w:rPr>
          <w:rFonts w:hint="eastAsia" w:ascii="Times New Roman" w:hAnsi="Times New Roman" w:cs="Times New Roman"/>
          <w:kern w:val="0"/>
          <w:sz w:val="15"/>
          <w:szCs w:val="15"/>
        </w:rPr>
        <w:t>[1] 李国英. 为以中国式现代化全面推进强国建设、民族复兴伟业提供有力的水安全保障[J]. 水利发展研究, 2024, 24(3): 1-3.</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LI G Y. Improved water security for China’s efforts to build itself into a stronger country and rejuvenate the Chinese nation on all fronts by pursuing Chinese modernization[J]. Water Resources Development Research, 2024, 24(3): 1-3. </w:t>
      </w:r>
    </w:p>
    <w:p w14:paraId="676780ED">
      <w:r>
        <w:rPr>
          <w:rFonts w:hint="eastAsia" w:ascii="Times New Roman" w:hAnsi="Times New Roman" w:cs="Times New Roman"/>
          <w:kern w:val="0"/>
          <w:sz w:val="15"/>
          <w:szCs w:val="15"/>
        </w:rPr>
        <w:t>[2] 穆祥鹏, 张哲琦, 包娟, 等. 基于外调水入渠的冰期渠道水力热力协同调控方法[J]. 南水北调与水利科技(中英文), 2023(6): 1089-1097.</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MU X P, ZHANG Z Q, BAO J, et al. Hydraulic-thermal synergistic control method of channel during ice period based on external water transfer into the channel[J]. South-to-North Water Transfers and Water Science &amp; Technology, 2023(6): 1089-1097. </w:t>
      </w:r>
    </w:p>
    <w:p w14:paraId="41E1C839">
      <w:r>
        <w:rPr>
          <w:rFonts w:hint="eastAsia" w:ascii="Times New Roman" w:hAnsi="Times New Roman" w:cs="Times New Roman"/>
          <w:kern w:val="0"/>
          <w:sz w:val="15"/>
          <w:szCs w:val="15"/>
        </w:rPr>
        <w:t xml:space="preserve">[3] SHI L, ZHANG J, YU X D, et al. Optimal volume selection of air vessels in long-distance water supply systems[J]. Journal of Water Supply: Research and Technology-Aqua, 2021, 70(7): 1053-1065. </w:t>
      </w:r>
    </w:p>
    <w:p w14:paraId="436E14B7">
      <w:r>
        <w:rPr>
          <w:rFonts w:hint="eastAsia" w:ascii="Times New Roman" w:hAnsi="Times New Roman" w:cs="Times New Roman"/>
          <w:kern w:val="0"/>
          <w:sz w:val="15"/>
          <w:szCs w:val="15"/>
        </w:rPr>
        <w:t xml:space="preserve">[4] LIU Y Y, ZHENG H, WAN W H, et al. Optimal operation toward energy efficiency of the long-distance water transfer project[J]. Journal of Hydrology, 2023, 618: 129152. </w:t>
      </w:r>
    </w:p>
    <w:p w14:paraId="64553F6A">
      <w:r>
        <w:rPr>
          <w:rFonts w:hint="eastAsia" w:ascii="Times New Roman" w:hAnsi="Times New Roman" w:cs="Times New Roman"/>
          <w:kern w:val="0"/>
          <w:sz w:val="15"/>
          <w:szCs w:val="15"/>
        </w:rPr>
        <w:t>[5] 罗爽, 陈奇, 刘霞, 等. 基于TFM模型的滞留气团数值模拟方法及PIV试验研究[J]. 排灌机械工程学报, 2023, 41(1): 50-55.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LUO S, CHEN Q, LIU X, et al. Numerical simulation investigation of entrapped air pocket based on TFM model and PIV test research[J]. Journal of Drainage and Irrigation Machinery Engineering, 2023, 41(1): 50-55. </w:t>
      </w:r>
    </w:p>
    <w:p w14:paraId="54AC94E7">
      <w:r>
        <w:rPr>
          <w:rFonts w:hint="eastAsia" w:ascii="Times New Roman" w:hAnsi="Times New Roman" w:cs="Times New Roman"/>
          <w:kern w:val="0"/>
          <w:sz w:val="15"/>
          <w:szCs w:val="15"/>
        </w:rPr>
        <w:t>[6] 王晓升, 钱尚拓, 陈曜辉, 等. 地下调蓄隧道系统井喷水力特性研究进展[J]. 水动力学研究与进展(A辑), 2021, 36(2): 273-287.</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WANG X S, QIAN S T, CHEN Y H, et al. Advances on the geysers in storage tunnel system[J]. Chinese Journal of Hydrodynamics, 2021, 36(2): 273-287. </w:t>
      </w:r>
    </w:p>
    <w:p w14:paraId="7B96804C">
      <w:r>
        <w:rPr>
          <w:rFonts w:hint="eastAsia" w:ascii="Times New Roman" w:hAnsi="Times New Roman" w:cs="Times New Roman"/>
          <w:kern w:val="0"/>
          <w:sz w:val="15"/>
          <w:szCs w:val="15"/>
        </w:rPr>
        <w:t xml:space="preserve">[7] TANG X L, LIU Z K, ZHANG L, et al. Experimental investigations on characteristics of water-air two-phase flows during water-fillings in undulation pipelines[J]. Journal of Hydrodynamics, 2024, 36(4): 706-724. </w:t>
      </w:r>
    </w:p>
    <w:p w14:paraId="42719E4A">
      <w:r>
        <w:rPr>
          <w:rFonts w:hint="eastAsia" w:ascii="Times New Roman" w:hAnsi="Times New Roman" w:cs="Times New Roman"/>
          <w:kern w:val="0"/>
          <w:sz w:val="15"/>
          <w:szCs w:val="15"/>
        </w:rPr>
        <w:t xml:space="preserve">[8] CHENG Y X, TANG Y, WU J H, et al. Research on hydraulic characteristics of water leakage phenomenon of waterproof hammer air valve in water supply pressure pipeline based on sustainable utilization of water resources in irrigation areas[J]. Sustainability, 2024, 16(22): 9868. </w:t>
      </w:r>
    </w:p>
    <w:p w14:paraId="029F1CF9">
      <w:r>
        <w:rPr>
          <w:rFonts w:hint="eastAsia" w:ascii="Times New Roman" w:hAnsi="Times New Roman" w:cs="Times New Roman"/>
          <w:kern w:val="0"/>
          <w:sz w:val="15"/>
          <w:szCs w:val="15"/>
        </w:rPr>
        <w:t xml:space="preserve">[9] 杨玉思, 高学贞, </w:t>
      </w:r>
      <w:r>
        <w:rPr>
          <w:rFonts w:hint="eastAsia" w:ascii="Times New Roman" w:hAnsi="Times New Roman" w:cs="Times New Roman"/>
          <w:kern w:val="0"/>
          <w:sz w:val="15"/>
          <w:szCs w:val="15"/>
          <w:shd w:val="clear" w:color="auto" w:fill="FFFFFF"/>
        </w:rPr>
        <w:t>闫</w:t>
      </w:r>
      <w:r>
        <w:rPr>
          <w:rFonts w:hint="eastAsia" w:ascii="Times New Roman" w:hAnsi="Times New Roman" w:cs="Times New Roman"/>
          <w:kern w:val="0"/>
          <w:sz w:val="15"/>
          <w:szCs w:val="15"/>
        </w:rPr>
        <w:t>明. 长距离大管径平坦地区输水管道水锤防护技术[J]. 给水排水, 2010, 36(9): 174-176.</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YANG Y S, GAO X Z, YAN M. Protection technology from the water hammer in long distance and huge diameter pipeline in flat terrain[J]. Water &amp; Wastewater Engineering, 2010, 36(9): 174-176. </w:t>
      </w:r>
    </w:p>
    <w:p w14:paraId="3131FC58">
      <w:r>
        <w:rPr>
          <w:rFonts w:hint="eastAsia" w:ascii="Times New Roman" w:hAnsi="Times New Roman" w:cs="Times New Roman"/>
          <w:kern w:val="0"/>
          <w:sz w:val="15"/>
          <w:szCs w:val="15"/>
        </w:rPr>
        <w:t>[10] 周雪杨, 许国栋, 李永成, 等. 超压泄压阀对调水工程有压输水管道的水锤防护分析[J]. 水利水电技术(中英文), 2024(S2): 22-31.</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ZHOU X Y, XU G D, LI Y C, et al. Analysis of the water hammer protection of surge relief valves in pressure water transmission pipelines[J]. Water Resources and Hydropower Engineering, 2024(S2): 22-31. </w:t>
      </w:r>
    </w:p>
    <w:p w14:paraId="19DF3B8D">
      <w:r>
        <w:rPr>
          <w:rFonts w:hint="eastAsia" w:ascii="Times New Roman" w:hAnsi="Times New Roman" w:cs="Times New Roman"/>
          <w:kern w:val="0"/>
          <w:sz w:val="15"/>
          <w:szCs w:val="15"/>
        </w:rPr>
        <w:t>[11] 李江云, 周飞. 长距离输水系统水锤影响因素及防护措施探究[J]. 给水排水, 2023, 59(8): 106-112.</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LI J Y, ZHOU F. Exploration on influencing factors of water hammer and protective measures in long distance water supply system[J]. Water &amp; Wastewater Engineering, 2023, 59(8): 106-112. </w:t>
      </w:r>
    </w:p>
    <w:p w14:paraId="7A03A6A8">
      <w:r>
        <w:rPr>
          <w:rFonts w:hint="eastAsia" w:ascii="Times New Roman" w:hAnsi="Times New Roman" w:cs="Times New Roman"/>
          <w:kern w:val="0"/>
          <w:sz w:val="15"/>
          <w:szCs w:val="15"/>
        </w:rPr>
        <w:t xml:space="preserve">[12] ZHANG X Y, WANG C, LI L, et al. Protection and parameter optimization of one-way surge tower for water conveyance pipelines under complex terrain conditions[J]. Scientific Reports, 2025, 15: 20498. </w:t>
      </w:r>
    </w:p>
    <w:p w14:paraId="6A1B179C">
      <w:r>
        <w:rPr>
          <w:rFonts w:hint="eastAsia" w:ascii="Times New Roman" w:hAnsi="Times New Roman" w:cs="Times New Roman"/>
          <w:kern w:val="0"/>
          <w:sz w:val="15"/>
          <w:szCs w:val="15"/>
        </w:rPr>
        <w:t>[13] 宋思怡. 长距离大管径输水管道水锤防护研究[D]. 西安: 长安大学, 2015.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SONG S Y. Research on Water to Water Hammer Prevention of Long-Distance, Heave Calibre Flow Water Supply Pipe[D]. Xi’an: Changan University, 2015. </w:t>
      </w:r>
    </w:p>
    <w:p w14:paraId="72BDA5C7">
      <w:r>
        <w:rPr>
          <w:rFonts w:hint="eastAsia" w:ascii="Times New Roman" w:hAnsi="Times New Roman" w:cs="Times New Roman"/>
          <w:kern w:val="0"/>
          <w:sz w:val="15"/>
          <w:szCs w:val="15"/>
        </w:rPr>
        <w:t>[14] 张巧玲, 黄铋匀, 杨振东, 等. 基于特征线法的含气输水管道水锤特性分析[J]. 农业工程学报, 2022, 38(5): 79-86.</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ZHANG Q L, HUANG B Y, YANG Z D, et al. Water hammer properties of gas-bearing water pipeline using characteristics method[J]. Transactions of the Chinese Society of Agricultural Engineering, 2022, 38(5): 79-86. </w:t>
      </w:r>
    </w:p>
    <w:p w14:paraId="56423F9F">
      <w:r>
        <w:rPr>
          <w:rFonts w:hint="eastAsia" w:ascii="Times New Roman" w:hAnsi="Times New Roman" w:cs="Times New Roman"/>
          <w:kern w:val="0"/>
          <w:sz w:val="15"/>
          <w:szCs w:val="15"/>
        </w:rPr>
        <w:t xml:space="preserve">[15] MA L, LIU S M, WEI G M, et al. Dynamic response characteristics of a sealing airbag under different impact types and impact pressures[J]. ACS Omega, 2022, 7(43): 38589-38599. </w:t>
      </w:r>
    </w:p>
    <w:p w14:paraId="417B64B6">
      <w:r>
        <w:rPr>
          <w:rFonts w:hint="eastAsia" w:ascii="Times New Roman" w:hAnsi="Times New Roman" w:cs="Times New Roman"/>
          <w:kern w:val="0"/>
          <w:sz w:val="15"/>
          <w:szCs w:val="15"/>
        </w:rPr>
        <w:t xml:space="preserve">[16] LI X Z, WANG T, ZHANG Y H, et al. Study on the factors influencing air valve protection against water hammer with column separation and rejoinder[J]. Journal of Water Supply: Research and Technology-Aqua, 2022, 71(9): 949-962. </w:t>
      </w:r>
    </w:p>
    <w:p w14:paraId="49E09AB0">
      <w:r>
        <w:rPr>
          <w:rFonts w:hint="eastAsia" w:ascii="Times New Roman" w:hAnsi="Times New Roman" w:cs="Times New Roman"/>
          <w:kern w:val="0"/>
          <w:sz w:val="15"/>
          <w:szCs w:val="15"/>
        </w:rPr>
        <w:t xml:space="preserve">[17] ZHOU L, LIU D Y, KARNEY B, et al. Influence of entrapped air pockets on hydraulic transients in water pipelines[J]. Journal of Hydraulic Engineering, 2011, 137(12): 1686-1692. </w:t>
      </w:r>
    </w:p>
    <w:p w14:paraId="226BC026">
      <w:r>
        <w:rPr>
          <w:rFonts w:hint="eastAsia" w:ascii="Times New Roman" w:hAnsi="Times New Roman" w:cs="Times New Roman"/>
          <w:kern w:val="0"/>
          <w:sz w:val="15"/>
          <w:szCs w:val="15"/>
        </w:rPr>
        <w:t xml:space="preserve">[18] ZHOU L, LIU D Y, KARNEY B. Investigation of hydraulic transients of two entrapped air pockets in a water pipeline[J]. Journal of Hydraulic Engineering, 2013, 139(9): 949-959. </w:t>
      </w:r>
    </w:p>
    <w:p w14:paraId="43B92F0C">
      <w:r>
        <w:rPr>
          <w:rFonts w:hint="eastAsia" w:ascii="Times New Roman" w:hAnsi="Times New Roman" w:cs="Times New Roman"/>
          <w:kern w:val="0"/>
          <w:sz w:val="15"/>
          <w:szCs w:val="15"/>
        </w:rPr>
        <w:t>[19] 周领, 蔡彬豪, 胡朝仲, 等. 输水管线启动充水多</w:t>
      </w:r>
      <w:r>
        <w:rPr>
          <w:rFonts w:hint="eastAsia" w:ascii="Times New Roman" w:hAnsi="Times New Roman" w:cs="Times New Roman"/>
          <w:kern w:val="0"/>
          <w:sz w:val="15"/>
          <w:szCs w:val="15"/>
          <w:shd w:val="clear" w:color="auto" w:fill="FFFFFF"/>
        </w:rPr>
        <w:t>段</w:t>
      </w:r>
      <w:r>
        <w:rPr>
          <w:rFonts w:hint="eastAsia" w:ascii="Times New Roman" w:hAnsi="Times New Roman" w:cs="Times New Roman"/>
          <w:kern w:val="0"/>
          <w:sz w:val="15"/>
          <w:szCs w:val="15"/>
        </w:rPr>
        <w:t>气团水力瞬变模拟研究[J]. 华中科技大学学报(自然科学版), 2025, 53(2): 158-165.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ZHOU L, CAI B H, HU C Z, et al. Research on transient flow of multiple entrapped air pockets in a rapidly filling pipe[J]. Journal of Huazhong University of Science and Technology (Nature Science Edition), 2025, 53(2): 158-165. </w:t>
      </w:r>
    </w:p>
    <w:p w14:paraId="7961A9CB">
      <w:r>
        <w:rPr>
          <w:rFonts w:hint="eastAsia" w:ascii="Times New Roman" w:hAnsi="Times New Roman" w:cs="Times New Roman"/>
          <w:kern w:val="0"/>
          <w:sz w:val="15"/>
          <w:szCs w:val="15"/>
        </w:rPr>
        <w:t xml:space="preserve">[20] MARTINS S C, RAMOS H M, ALMEIDA A B. Conceptual analogy for modelling entrapped air action in hydraulic systems[J]. Journal of Hydraulic Research, 2015, 53(5): 678-686. </w:t>
      </w:r>
    </w:p>
    <w:p w14:paraId="0B43FB35">
      <w:r>
        <w:rPr>
          <w:rFonts w:hint="eastAsia" w:ascii="Times New Roman" w:hAnsi="Times New Roman" w:cs="Times New Roman"/>
          <w:kern w:val="0"/>
          <w:sz w:val="15"/>
          <w:szCs w:val="15"/>
        </w:rPr>
        <w:t>[21] 卢坤铭, 周</w:t>
      </w:r>
      <w:r>
        <w:rPr>
          <w:rFonts w:hint="eastAsia" w:ascii="Times New Roman" w:hAnsi="Times New Roman" w:cs="Times New Roman"/>
          <w:kern w:val="0"/>
          <w:sz w:val="15"/>
          <w:szCs w:val="15"/>
          <w:shd w:val="clear" w:color="auto" w:fill="FFFFFF"/>
        </w:rPr>
        <w:t>领</w:t>
      </w:r>
      <w:r>
        <w:rPr>
          <w:rFonts w:hint="eastAsia" w:ascii="Times New Roman" w:hAnsi="Times New Roman" w:cs="Times New Roman"/>
          <w:kern w:val="0"/>
          <w:sz w:val="15"/>
          <w:szCs w:val="15"/>
        </w:rPr>
        <w:t>, 曹波, 等. 起伏管道内水流冲击滞留气团的三维动态特性模拟[J]. 排灌机械工程学报, 2020, 38(4): 384-389.</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LU K M, ZHOU L, CAO B, et al. Three-dimensional simulations on dynamic characteristics of flow impacting entrapped air pocket in undulating pipeline[J]. Journal of Drainage and Irrigation Machinery Engineering, 2020, 38(4): 384-389. </w:t>
      </w:r>
    </w:p>
    <w:p w14:paraId="0D58D1C8">
      <w:r>
        <w:rPr>
          <w:rFonts w:hint="eastAsia" w:ascii="Times New Roman" w:hAnsi="Times New Roman" w:cs="Times New Roman"/>
          <w:kern w:val="0"/>
          <w:sz w:val="15"/>
          <w:szCs w:val="15"/>
        </w:rPr>
        <w:t>[22] 卢坤铭. 水平-竖直管道内水流冲击滞留气团的三维数值模拟研究[J]. 水力发电, 2021, 47(12): 60-65.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LU K M. Three-dimensional numerical simulation of water impacting entrapped air pocket in horizontal-vertical pipeline[J]. Water Power, 2021, 47(12): 60-65. </w:t>
      </w:r>
    </w:p>
    <w:p w14:paraId="4E462C03">
      <w:r>
        <w:rPr>
          <w:rFonts w:hint="eastAsia" w:ascii="Times New Roman" w:hAnsi="Times New Roman" w:cs="Times New Roman"/>
          <w:kern w:val="0"/>
          <w:sz w:val="15"/>
          <w:szCs w:val="15"/>
        </w:rPr>
        <w:t xml:space="preserve">[23] ZHOU L, WANG H, KARNEY B, et al. Dynamic behavior of entrapped air pocket in a water filling pipeline[J]. Journal of Hydraulic Engineering, 2018, 144(8): 04018045. </w:t>
      </w:r>
    </w:p>
    <w:p w14:paraId="6204D7F3">
      <w:r>
        <w:rPr>
          <w:rFonts w:hint="eastAsia" w:ascii="Times New Roman" w:hAnsi="Times New Roman" w:cs="Times New Roman"/>
          <w:kern w:val="0"/>
          <w:sz w:val="15"/>
          <w:szCs w:val="15"/>
        </w:rPr>
        <w:t xml:space="preserve">[24] MARTINS N M C, DELGADO J N, RAMOS H M, et al. Maximum transient pressures in a rapidly filling pipeline with entrapped air using a CFD model[J]. Journal of Hydraulic Research, 2017, 55(4): 506-519. </w:t>
      </w:r>
    </w:p>
    <w:p w14:paraId="0545EA5D">
      <w:r>
        <w:rPr>
          <w:rFonts w:hint="eastAsia" w:ascii="Times New Roman" w:hAnsi="Times New Roman" w:cs="Times New Roman"/>
          <w:kern w:val="0"/>
          <w:sz w:val="15"/>
          <w:szCs w:val="15"/>
        </w:rPr>
        <w:t>[25] 汪怡然, 俞晓东, 刘甲春, 等. 深隧系统多工况入流冲击滞留气团分析[J]. 西南交通大学学报, 2024, 59(3): 685-690.</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WANG Y R, YU X D, LIU J C, et al. Multiple-mode transient inflow impact with entrapped air pocket in deep storage tunnel systems[J]. Journal of Southwest Jiaotong University, 2024, 59(3): 685-690. </w:t>
      </w:r>
    </w:p>
    <w:p w14:paraId="4F416927">
      <w:r>
        <w:rPr>
          <w:rFonts w:hint="eastAsia" w:ascii="Times New Roman" w:hAnsi="Times New Roman" w:cs="Times New Roman"/>
          <w:kern w:val="0"/>
          <w:sz w:val="15"/>
          <w:szCs w:val="15"/>
        </w:rPr>
        <w:t>[26] 周天忠, 钟有信, 林治宇, 等. 复杂地铁车站多工况洪水入侵规律与人员疏散路径分析[J]. 水利水电技术(中英文), 2023, 54(7): 27-35.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ZHOU T Z, ZHONG Y X, LIN Z Y, et al. Analysis of flood intrusion law and personnel evacuation route of complex metro station under multi-conditions[J]. Water Resources and Hydropower Engineering, 2023, 54(7): 27-35. </w:t>
      </w:r>
    </w:p>
    <w:p w14:paraId="4E352B9C">
      <w:r>
        <w:rPr>
          <w:rFonts w:hint="eastAsia" w:ascii="Times New Roman" w:hAnsi="Times New Roman" w:cs="Times New Roman"/>
          <w:kern w:val="0"/>
          <w:sz w:val="15"/>
          <w:szCs w:val="15"/>
        </w:rPr>
        <w:t>[27] 史晓阳, 杨玉锋, 赵子杰, 等. 基于VOF方法的尾水隧洞过渡过程明满流水力特性研究[J]. 水利水电技术(中英文), 2021, 52(1): 78-88.</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SHI X Y, YANG Y F, ZHAO Z J, et al. VOF-based study on hydraulic characteristics of free surface-pressurized flow in hydraulic transient process of tailrace tunnel[J]. Water Resources and Hydropower Engineering, 2021, 52(1): 78-88. </w:t>
      </w:r>
    </w:p>
    <w:p w14:paraId="56190974">
      <w:r>
        <w:rPr>
          <w:rFonts w:hint="eastAsia" w:ascii="Times New Roman" w:hAnsi="Times New Roman" w:cs="Times New Roman"/>
          <w:kern w:val="0"/>
          <w:sz w:val="15"/>
          <w:szCs w:val="15"/>
        </w:rPr>
        <w:t xml:space="preserve">[28] HIRT C W, NICHOLS B D. Volume of fluid (VOF) method for the dynamics of free boundaries[J]. Journal of Computational Physics, 1981, 39(1): 201-225. </w:t>
      </w:r>
    </w:p>
    <w:p w14:paraId="206B3263">
      <w:r>
        <w:rPr>
          <w:rFonts w:hint="eastAsia" w:ascii="Times New Roman" w:hAnsi="Times New Roman" w:cs="Times New Roman"/>
          <w:kern w:val="0"/>
          <w:sz w:val="15"/>
          <w:szCs w:val="15"/>
        </w:rPr>
        <w:t xml:space="preserve">[29] HUSSEIN E Q, LAFTA RASHID F, KADHIM HUSSEIN A, et al. Hydrodynamics of single bubble rising through water column using volume of fluid (VOF) method[J]. Journal of Thermal Engineering, 2021, 7(14): 2107-2114. </w:t>
      </w:r>
    </w:p>
    <w:p w14:paraId="20AA9874">
      <w:r>
        <w:rPr>
          <w:rFonts w:hint="eastAsia" w:ascii="Times New Roman" w:hAnsi="Times New Roman" w:cs="Times New Roman"/>
          <w:kern w:val="0"/>
          <w:sz w:val="15"/>
          <w:szCs w:val="15"/>
        </w:rPr>
        <w:t>[30] 马佳杰, 周</w:t>
      </w:r>
      <w:r>
        <w:rPr>
          <w:rFonts w:hint="eastAsia" w:ascii="Times New Roman" w:hAnsi="Times New Roman" w:cs="Times New Roman"/>
          <w:kern w:val="0"/>
          <w:sz w:val="15"/>
          <w:szCs w:val="15"/>
          <w:shd w:val="clear" w:color="auto" w:fill="FFFFFF"/>
        </w:rPr>
        <w:t>领</w:t>
      </w:r>
      <w:r>
        <w:rPr>
          <w:rFonts w:hint="eastAsia" w:ascii="Times New Roman" w:hAnsi="Times New Roman" w:cs="Times New Roman"/>
          <w:kern w:val="0"/>
          <w:sz w:val="15"/>
          <w:szCs w:val="15"/>
        </w:rPr>
        <w:t>, 刘德有, 等. 管内水流冲击滞留气团的CFD模拟方法验证[J]. 水电能源科学, 2016, 34(12): 110-113.</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MA J J, ZHOU L, LIU D Y, et al. Verification of CFD simulation on the filling of pipeline with standing air mass[J]. Water Resources and Power, 2016, 34(12): 110-113. </w:t>
      </w:r>
    </w:p>
    <w:p w14:paraId="569B7ACF">
      <w:r>
        <w:rPr>
          <w:rFonts w:hint="eastAsia" w:ascii="Times New Roman" w:hAnsi="Times New Roman" w:cs="Times New Roman"/>
          <w:kern w:val="0"/>
          <w:sz w:val="15"/>
          <w:szCs w:val="15"/>
        </w:rPr>
        <w:t>[31] 史晓阳, 杨玉锋, 赵子杰, 等. 基于FLUENT的导流隧洞水力特性模拟[J]. 水利水电技术, 2019, 50(S2): 86-90.</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SHI X Y, YANG Y F, ZHAO Z J, et al. Fluent-based simulation of hydraulic characteristics of diversion tunnel[J]. Water Resources and Hydropower Engineering, 2019, 50(S2): 86-90. </w:t>
      </w:r>
    </w:p>
    <w:p w14:paraId="3242EB8B">
      <w:r>
        <w:rPr>
          <w:rFonts w:hint="eastAsia" w:ascii="Times New Roman" w:hAnsi="Times New Roman" w:cs="Times New Roman"/>
          <w:kern w:val="0"/>
          <w:sz w:val="15"/>
          <w:szCs w:val="15"/>
        </w:rPr>
        <w:t>[32] 李晓超, 李晓鹤, 李君, 等. 不同湍流模型在泵站进水管道的应用研究[J]. 水电与抽水蓄能, 2023, 9(5): 61-67.</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LI X C, LI X H, LI J, et al. Application of different turbulence models in inlet pipe of pumping station[J]. Hydropower and Pumped Storage, 2023, 9(5): 61-67. </w:t>
      </w:r>
    </w:p>
    <w:p w14:paraId="001C48C8">
      <w:r>
        <w:rPr>
          <w:rFonts w:hint="eastAsia" w:ascii="Times New Roman" w:hAnsi="Times New Roman" w:cs="Times New Roman"/>
          <w:kern w:val="0"/>
          <w:sz w:val="15"/>
          <w:szCs w:val="15"/>
        </w:rPr>
        <w:t>[33] 魏杰, 顾莉, 许传勇, 等. 导流隧洞出口段负压研究[J]. 水利水电技术(中英文), 2021, 52(9): 78-86.</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WEI J, GU L, XU C Y, et al. Research on the negative pressure at the outlet of diversion tunnel[J]. Water Resources and Hydropower Engineering, 2021, 52(9): 78-86. </w:t>
      </w:r>
    </w:p>
    <w:p w14:paraId="37CFB820">
      <w:r>
        <w:rPr>
          <w:rFonts w:hint="eastAsia" w:ascii="Times New Roman" w:hAnsi="Times New Roman" w:cs="Times New Roman"/>
          <w:kern w:val="0"/>
          <w:sz w:val="15"/>
          <w:szCs w:val="15"/>
        </w:rPr>
        <w:t xml:space="preserve">[34] IMANIAN H, MOHAMMADIAN A, HOSHYAR P. Experimental and numerical study of flow over a broad-crested weir under different hydraulic head ratios[J]. Flow Measurement and Instrumentation, 2021, 80: 102004. </w:t>
      </w:r>
    </w:p>
    <w:p w14:paraId="2DF257B6">
      <w:r>
        <w:rPr>
          <w:rFonts w:hint="eastAsia" w:ascii="Times New Roman" w:hAnsi="Times New Roman" w:cs="Times New Roman"/>
          <w:kern w:val="0"/>
          <w:sz w:val="15"/>
          <w:szCs w:val="15"/>
        </w:rPr>
        <w:t xml:space="preserve">[35] ZHOU F, LI Q F, XIN L. Analysis of vortex evolution in the runner area of water pump turbine under runaway conditions[J]. Processes, 2023, 11(7): 2080. </w:t>
      </w:r>
    </w:p>
    <w:p w14:paraId="4F91373A">
      <w:r>
        <w:rPr>
          <w:rFonts w:hint="eastAsia" w:ascii="Times New Roman" w:hAnsi="Times New Roman" w:cs="Times New Roman"/>
          <w:kern w:val="0"/>
          <w:sz w:val="15"/>
          <w:szCs w:val="15"/>
        </w:rPr>
        <w:t xml:space="preserve">[36] ZHOU L, LIU D Y, OU C Q. Simulation of flow transients in a water filling pipe containing entrapped air pocket with VOF model[J]. Engineering Applications of Computational Fluid Mechanics, 2011, 5(1): 127-140. </w:t>
      </w:r>
    </w:p>
    <w:p w14:paraId="6928B0BF">
      <w:pPr>
        <w:rPr>
          <w:rFonts w:ascii="Times New Roman" w:hAnsi="Times New Roman" w:cs="Times New Roman"/>
          <w:kern w:val="0"/>
          <w:sz w:val="15"/>
          <w:szCs w:val="15"/>
        </w:rPr>
      </w:pPr>
      <w:r>
        <w:rPr>
          <w:rFonts w:hint="eastAsia" w:ascii="Times New Roman" w:hAnsi="Times New Roman" w:cs="Times New Roman"/>
          <w:kern w:val="0"/>
          <w:sz w:val="15"/>
          <w:szCs w:val="15"/>
        </w:rPr>
        <w:t>[37] 杨林家, 方舒杨. 基于FLUENT的弯曲</w:t>
      </w:r>
      <w:r>
        <w:rPr>
          <w:rFonts w:hint="eastAsia" w:ascii="Times New Roman" w:hAnsi="Times New Roman" w:cs="Times New Roman"/>
          <w:kern w:val="0"/>
          <w:sz w:val="15"/>
          <w:szCs w:val="15"/>
          <w:shd w:val="clear" w:color="auto" w:fill="FFFFFF"/>
        </w:rPr>
        <w:t>方</w:t>
      </w:r>
      <w:r>
        <w:rPr>
          <w:rFonts w:hint="eastAsia" w:ascii="Times New Roman" w:hAnsi="Times New Roman" w:cs="Times New Roman"/>
          <w:kern w:val="0"/>
          <w:sz w:val="15"/>
          <w:szCs w:val="15"/>
        </w:rPr>
        <w:t xml:space="preserve">管网格无关性验证[J]. 北部湾大学学报, 2023, 38(2): 63-69. </w:t>
      </w:r>
    </w:p>
    <w:p w14:paraId="6EB20A96">
      <w:pPr>
        <w:rPr>
          <w:rFonts w:ascii="Times New Roman" w:hAnsi="Times New Roman" w:cs="Times New Roman"/>
          <w:kern w:val="0"/>
          <w:sz w:val="15"/>
          <w:szCs w:val="15"/>
        </w:rPr>
      </w:pPr>
      <w:r>
        <w:rPr>
          <w:rFonts w:hint="eastAsia" w:ascii="Times New Roman" w:hAnsi="Times New Roman" w:cs="Times New Roman"/>
          <w:kern w:val="0"/>
          <w:sz w:val="15"/>
          <w:szCs w:val="15"/>
        </w:rPr>
        <w:t>YANG L J, FANG S Y. Grid independence verification of vurved pipe networks based on FLUENT[J].Journal of BeiBu Gulf University, 2023, 38(2):63-69.</w:t>
      </w:r>
    </w:p>
    <w:p w14:paraId="32397880">
      <w:r>
        <w:rPr>
          <w:rFonts w:hint="eastAsia" w:ascii="Times New Roman" w:hAnsi="Times New Roman" w:cs="Times New Roman"/>
          <w:kern w:val="0"/>
          <w:sz w:val="15"/>
          <w:szCs w:val="15"/>
        </w:rPr>
        <w:t>[38] 高凤. 水锤波速影响因素分析以及其对水力过渡过程的影响研究[D]. 西安: 长安大学, 2015.</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GAO F. The Influence Factors of Wave Velocity of Water Hammer Analysis and Research on the Influence to the Hydraulic Transition Process[D]. Xi’an: Changan University, 2015. </w:t>
      </w:r>
    </w:p>
    <w:p w14:paraId="77093358">
      <w:pPr>
        <w:rPr>
          <w:rFonts w:ascii="Times New Roman" w:hAnsi="Times New Roman" w:cs="Times New Roman"/>
          <w:kern w:val="0"/>
          <w:sz w:val="15"/>
          <w:szCs w:val="15"/>
        </w:rPr>
      </w:pPr>
      <w:r>
        <w:rPr>
          <w:rFonts w:hint="eastAsia" w:ascii="Times New Roman" w:hAnsi="Times New Roman" w:cs="Times New Roman"/>
          <w:kern w:val="0"/>
          <w:sz w:val="15"/>
          <w:szCs w:val="15"/>
        </w:rPr>
        <w:t>[39] 孙华鑫. 长输管线中水流冲击气团流场的数值模拟研究[D]. 哈尔滨: 哈尔滨工业大学, 2014.</w:t>
      </w:r>
      <w:r>
        <w:rPr>
          <w:rFonts w:hint="eastAsia" w:ascii="Times New Roman" w:hAnsi="Times New Roman" w:cs="Times New Roman"/>
          <w:kern w:val="0"/>
          <w:sz w:val="15"/>
          <w:szCs w:val="15"/>
        </w:rPr>
        <w:br w:type="textWrapping"/>
      </w:r>
      <w:r>
        <w:rPr>
          <w:rFonts w:hint="eastAsia" w:ascii="Times New Roman" w:hAnsi="Times New Roman" w:cs="Times New Roman"/>
          <w:kern w:val="0"/>
          <w:sz w:val="15"/>
          <w:szCs w:val="15"/>
        </w:rPr>
        <w:t xml:space="preserve">SUN H X. Numerical Simulation Study on </w:t>
      </w:r>
      <w:r>
        <w:rPr>
          <w:rFonts w:hint="eastAsia" w:ascii="Times New Roman" w:hAnsi="Times New Roman" w:cs="Times New Roman"/>
          <w:kern w:val="0"/>
          <w:sz w:val="15"/>
          <w:szCs w:val="15"/>
          <w:shd w:val="clear" w:color="auto" w:fill="FFFFFF"/>
        </w:rPr>
        <w:t xml:space="preserve">Pressure </w:t>
      </w:r>
      <w:r>
        <w:rPr>
          <w:rFonts w:hint="eastAsia" w:ascii="Times New Roman" w:hAnsi="Times New Roman" w:cs="Times New Roman"/>
          <w:kern w:val="0"/>
          <w:sz w:val="15"/>
          <w:szCs w:val="15"/>
        </w:rPr>
        <w:t xml:space="preserve">Flow </w:t>
      </w:r>
      <w:r>
        <w:rPr>
          <w:rFonts w:hint="eastAsia" w:ascii="Times New Roman" w:hAnsi="Times New Roman" w:cs="Times New Roman"/>
          <w:kern w:val="0"/>
          <w:sz w:val="15"/>
          <w:szCs w:val="15"/>
          <w:shd w:val="clear" w:color="auto" w:fill="FFFFFF"/>
        </w:rPr>
        <w:t>Currently Rush</w:t>
      </w:r>
      <w:r>
        <w:rPr>
          <w:rFonts w:hint="eastAsia" w:ascii="Times New Roman" w:hAnsi="Times New Roman" w:cs="Times New Roman"/>
          <w:kern w:val="0"/>
          <w:sz w:val="15"/>
          <w:szCs w:val="15"/>
        </w:rPr>
        <w:t xml:space="preserve"> Air-Mass in Long Distance Water Supply Pipelines[D]. Harbin: Harbin Institute of Technology, 2014. </w:t>
      </w:r>
    </w:p>
    <w:p w14:paraId="77EC11A5">
      <w:pPr>
        <w:jc w:val="right"/>
        <w:rPr>
          <w:rFonts w:ascii="Times New Roman" w:hAnsi="Times New Roman" w:cs="Times New Roman"/>
          <w:kern w:val="0"/>
          <w:sz w:val="15"/>
          <w:szCs w:val="15"/>
        </w:rPr>
      </w:pPr>
      <w:r>
        <w:rPr>
          <w:rFonts w:hint="eastAsia" w:ascii="Times New Roman" w:hAnsi="Times New Roman" w:cs="Times New Roman"/>
          <w:kern w:val="0"/>
          <w:sz w:val="15"/>
          <w:szCs w:val="15"/>
        </w:rPr>
        <w:t>（责任编辑 王  璐）</w:t>
      </w:r>
    </w:p>
    <w:p w14:paraId="05CE1F1D">
      <w:pPr>
        <w:rPr>
          <w:rFonts w:ascii="Times New Roman" w:hAnsi="Times New Roman" w:cs="Times New Roman"/>
          <w:kern w:val="0"/>
          <w:sz w:val="15"/>
          <w:szCs w:val="15"/>
        </w:rPr>
      </w:pPr>
    </w:p>
    <w:sectPr>
      <w:headerReference r:id="rId4" w:type="first"/>
      <w:footerReference r:id="rId6" w:type="first"/>
      <w:headerReference r:id="rId3" w:type="default"/>
      <w:footerReference r:id="rId5" w:type="default"/>
      <w:type w:val="continuous"/>
      <w:pgSz w:w="11906" w:h="16838"/>
      <w:pgMar w:top="1440" w:right="1797" w:bottom="1440"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7063F">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506A8">
    <w:pPr>
      <w:pStyle w:val="13"/>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sym w:font="Symbol" w:char="F020"/>
    </w:r>
    <w:r>
      <w:rPr>
        <w:rFonts w:hint="eastAsia" w:ascii="Times New Roman" w:hAnsi="Times New Roman" w:cs="Times New Roman"/>
        <w:color w:val="000000" w:themeColor="text1"/>
        <w14:textFill>
          <w14:solidFill>
            <w14:schemeClr w14:val="tx1"/>
          </w14:solidFill>
        </w14:textFill>
      </w:rPr>
      <w:t>收稿日期：</w:t>
    </w:r>
    <w:r>
      <w:rPr>
        <w:rFonts w:ascii="Times New Roman" w:hAnsi="Times New Roman" w:cs="Times New Roman"/>
        <w:color w:val="000000" w:themeColor="text1"/>
        <w14:textFill>
          <w14:solidFill>
            <w14:schemeClr w14:val="tx1"/>
          </w14:solidFill>
        </w14:textFill>
      </w:rPr>
      <w:t>2025-07-12</w:t>
    </w:r>
    <w:r>
      <w:rPr>
        <w:rFonts w:hint="eastAsia" w:ascii="Times New Roman" w:hAnsi="Times New Roman" w:cs="Times New Roman"/>
        <w:color w:val="000000" w:themeColor="text1"/>
        <w14:textFill>
          <w14:solidFill>
            <w14:schemeClr w14:val="tx1"/>
          </w14:solidFill>
        </w14:textFill>
      </w:rPr>
      <w:t>；修回日期：</w:t>
    </w:r>
    <w:r>
      <w:rPr>
        <w:rFonts w:ascii="Times New Roman" w:hAnsi="Times New Roman" w:cs="Times New Roman"/>
        <w:color w:val="000000" w:themeColor="text1"/>
        <w14:textFill>
          <w14:solidFill>
            <w14:schemeClr w14:val="tx1"/>
          </w14:solidFill>
        </w14:textFill>
      </w:rPr>
      <w:t>2025-10-21</w:t>
    </w:r>
    <w:r>
      <w:rPr>
        <w:rFonts w:hint="eastAsia" w:ascii="Times New Roman" w:hAnsi="Times New Roman" w:cs="Times New Roman"/>
        <w:color w:val="000000" w:themeColor="text1"/>
        <w14:textFill>
          <w14:solidFill>
            <w14:schemeClr w14:val="tx1"/>
          </w14:solidFill>
        </w14:textFill>
      </w:rPr>
      <w:t>；录用日期：</w:t>
    </w:r>
    <w:r>
      <w:rPr>
        <w:rFonts w:ascii="Times New Roman" w:hAnsi="Times New Roman" w:cs="Times New Roman"/>
        <w:color w:val="000000" w:themeColor="text1"/>
        <w14:textFill>
          <w14:solidFill>
            <w14:schemeClr w14:val="tx1"/>
          </w14:solidFill>
        </w14:textFill>
      </w:rPr>
      <w:t>2025-10-28</w:t>
    </w:r>
    <w:r>
      <w:rPr>
        <w:rFonts w:hint="eastAsia" w:ascii="Times New Roman" w:hAnsi="Times New Roman" w:cs="Times New Roman"/>
        <w:color w:val="000000" w:themeColor="text1"/>
        <w14:textFill>
          <w14:solidFill>
            <w14:schemeClr w14:val="tx1"/>
          </w14:solidFill>
        </w14:textFill>
      </w:rPr>
      <w:t>；网络出版日期：</w:t>
    </w:r>
    <w:r>
      <w:rPr>
        <w:rFonts w:ascii="Times New Roman" w:hAnsi="Times New Roman" w:cs="Times New Roman"/>
        <w:color w:val="000000" w:themeColor="text1"/>
        <w14:textFill>
          <w14:solidFill>
            <w14:schemeClr w14:val="tx1"/>
          </w14:solidFill>
        </w14:textFill>
      </w:rPr>
      <w:t>2025-1</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w:t>
    </w:r>
    <w:bookmarkStart w:id="40" w:name="_GoBack"/>
    <w:bookmarkEnd w:id="40"/>
    <w:r>
      <w:rPr>
        <w:rFonts w:hint="eastAsia" w:ascii="Times New Roman" w:hAnsi="Times New Roman" w:cs="Times New Roman"/>
        <w:color w:val="000000" w:themeColor="text1"/>
        <w:lang w:val="en-US" w:eastAsia="zh-CN"/>
        <w14:textFill>
          <w14:solidFill>
            <w14:schemeClr w14:val="tx1"/>
          </w14:solidFill>
        </w14:textFill>
      </w:rPr>
      <w:t>1</w:t>
    </w:r>
  </w:p>
  <w:p w14:paraId="06140641">
    <w:pPr>
      <w:pStyle w:val="13"/>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基金项目：环北部湾广东水资源配置工程长距离大流量输水系统水流态势与</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四预</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关键技术研究专题项目（</w:t>
    </w:r>
    <w:r>
      <w:rPr>
        <w:rFonts w:ascii="Times New Roman" w:hAnsi="Times New Roman" w:cs="Times New Roman"/>
        <w:color w:val="000000" w:themeColor="text1"/>
        <w14:textFill>
          <w14:solidFill>
            <w14:schemeClr w14:val="tx1"/>
          </w14:solidFill>
        </w14:textFill>
      </w:rPr>
      <w:t>XJLY-2022 HT-61</w:t>
    </w:r>
    <w:r>
      <w:rPr>
        <w:rFonts w:hint="eastAsia" w:ascii="Times New Roman" w:hAnsi="Times New Roman" w:cs="Times New Roman"/>
        <w:color w:val="000000" w:themeColor="text1"/>
        <w14:textFill>
          <w14:solidFill>
            <w14:schemeClr w14:val="tx1"/>
          </w14:solidFill>
        </w14:textFill>
      </w:rPr>
      <w:t>）；国家自然科学基金项目（</w:t>
    </w:r>
    <w:r>
      <w:rPr>
        <w:rFonts w:ascii="Times New Roman" w:hAnsi="Times New Roman" w:cs="Times New Roman"/>
        <w:color w:val="000000" w:themeColor="text1"/>
        <w14:textFill>
          <w14:solidFill>
            <w14:schemeClr w14:val="tx1"/>
          </w14:solidFill>
        </w14:textFill>
      </w:rPr>
      <w:t>52209105</w:t>
    </w:r>
    <w:r>
      <w:rPr>
        <w:rFonts w:hint="eastAsia" w:ascii="Times New Roman" w:hAnsi="Times New Roman" w:cs="Times New Roman"/>
        <w:color w:val="000000" w:themeColor="text1"/>
        <w14:textFill>
          <w14:solidFill>
            <w14:schemeClr w14:val="tx1"/>
          </w14:solidFill>
        </w14:textFill>
      </w:rPr>
      <w:t>）</w:t>
    </w:r>
  </w:p>
  <w:p w14:paraId="5B2CABB1">
    <w:pPr>
      <w:pStyle w:val="13"/>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作者简介：袁海光（</w:t>
    </w:r>
    <w:r>
      <w:rPr>
        <w:rFonts w:ascii="Times New Roman" w:hAnsi="Times New Roman" w:cs="Times New Roman"/>
        <w:color w:val="000000" w:themeColor="text1"/>
        <w14:textFill>
          <w14:solidFill>
            <w14:schemeClr w14:val="tx1"/>
          </w14:solidFill>
        </w14:textFill>
      </w:rPr>
      <w:t>1989—</w:t>
    </w:r>
    <w:r>
      <w:rPr>
        <w:rFonts w:hint="eastAsia" w:ascii="Times New Roman" w:hAnsi="Times New Roman" w:cs="Times New Roman"/>
        <w:color w:val="000000" w:themeColor="text1"/>
        <w14:textFill>
          <w14:solidFill>
            <w14:schemeClr w14:val="tx1"/>
          </w14:solidFill>
        </w14:textFill>
      </w:rPr>
      <w:t>），男，工程师，博士，主要从事调水工程水力学研究。</w:t>
    </w:r>
    <w:r>
      <w:rPr>
        <w:rFonts w:ascii="Times New Roman" w:hAnsi="Times New Roman" w:cs="Times New Roman"/>
        <w:color w:val="000000" w:themeColor="text1"/>
        <w14:textFill>
          <w14:solidFill>
            <w14:schemeClr w14:val="tx1"/>
          </w14:solidFill>
        </w14:textFill>
      </w:rPr>
      <w:t>E-mail</w:t>
    </w:r>
    <w:r>
      <w:rPr>
        <w:rFonts w:hint="eastAsia" w:ascii="Times New Roman" w:hAnsi="Times New Roman" w:cs="Times New Roman"/>
        <w:color w:val="000000" w:themeColor="text1"/>
        <w14:textFill>
          <w14:solidFill>
            <w14:schemeClr w14:val="tx1"/>
          </w14:solidFill>
        </w14:textFill>
      </w:rPr>
      <w:t>：</w:t>
    </w:r>
    <w:r>
      <w:fldChar w:fldCharType="begin"/>
    </w:r>
    <w:r>
      <w:instrText xml:space="preserve"> HYPERLINK "mailto:yuanhaigg@163.com" </w:instrText>
    </w:r>
    <w:r>
      <w:fldChar w:fldCharType="separate"/>
    </w:r>
    <w:r>
      <w:rPr>
        <w:rFonts w:ascii="Times New Roman" w:hAnsi="Times New Roman" w:cs="Times New Roman"/>
        <w:color w:val="000000" w:themeColor="text1"/>
        <w14:textFill>
          <w14:solidFill>
            <w14:schemeClr w14:val="tx1"/>
          </w14:solidFill>
        </w14:textFill>
      </w:rPr>
      <w:t>yuanhaigg@163.com</w:t>
    </w:r>
    <w:r>
      <w:rPr>
        <w:rFonts w:ascii="Times New Roman" w:hAnsi="Times New Roman" w:cs="Times New Roman"/>
        <w:color w:val="000000" w:themeColor="text1"/>
        <w14:textFill>
          <w14:solidFill>
            <w14:schemeClr w14:val="tx1"/>
          </w14:solidFill>
        </w14:textFill>
      </w:rPr>
      <w:fldChar w:fldCharType="end"/>
    </w:r>
  </w:p>
  <w:p w14:paraId="51EF70BD">
    <w:pPr>
      <w:pStyle w:val="13"/>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通信作者：穆祥鹏（</w:t>
    </w:r>
    <w:r>
      <w:rPr>
        <w:rFonts w:ascii="Times New Roman" w:hAnsi="Times New Roman" w:cs="Times New Roman"/>
        <w:color w:val="000000" w:themeColor="text1"/>
        <w14:textFill>
          <w14:solidFill>
            <w14:schemeClr w14:val="tx1"/>
          </w14:solidFill>
        </w14:textFill>
      </w:rPr>
      <w:t>1979—</w:t>
    </w:r>
    <w:r>
      <w:rPr>
        <w:rFonts w:hint="eastAsia" w:ascii="Times New Roman" w:hAnsi="Times New Roman" w:cs="Times New Roman"/>
        <w:color w:val="000000" w:themeColor="text1"/>
        <w14:textFill>
          <w14:solidFill>
            <w14:schemeClr w14:val="tx1"/>
          </w14:solidFill>
        </w14:textFill>
      </w:rPr>
      <w:t>），男，正高级工程师，博士，主要从事调水工程水力学、生态水力学研究。</w:t>
    </w:r>
    <w:r>
      <w:rPr>
        <w:rFonts w:ascii="Times New Roman" w:hAnsi="Times New Roman" w:cs="Times New Roman"/>
        <w:color w:val="000000" w:themeColor="text1"/>
        <w14:textFill>
          <w14:solidFill>
            <w14:schemeClr w14:val="tx1"/>
          </w14:solidFill>
        </w14:textFill>
      </w:rPr>
      <w:t>E-mail</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swood2002@163.com</w:t>
    </w:r>
  </w:p>
  <w:p w14:paraId="1603D963">
    <w:pPr>
      <w:pStyle w:val="13"/>
      <w:rPr>
        <w:rFonts w:ascii="Times New Roman" w:hAnsi="Times New Roman" w:cs="Times New Roman"/>
        <w:color w:val="000000" w:themeColor="text1"/>
        <w14:textFill>
          <w14:solidFill>
            <w14:schemeClr w14:val="tx1"/>
          </w14:solidFill>
        </w14:textFil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7968">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FC23">
    <w:pPr>
      <w:pStyle w:val="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F9"/>
    <w:rsid w:val="0000054C"/>
    <w:rsid w:val="00002624"/>
    <w:rsid w:val="000041A2"/>
    <w:rsid w:val="00004735"/>
    <w:rsid w:val="00007149"/>
    <w:rsid w:val="00007B88"/>
    <w:rsid w:val="00011086"/>
    <w:rsid w:val="00011E74"/>
    <w:rsid w:val="00012642"/>
    <w:rsid w:val="0001382E"/>
    <w:rsid w:val="00014943"/>
    <w:rsid w:val="00014CAF"/>
    <w:rsid w:val="00017C9A"/>
    <w:rsid w:val="00022FC9"/>
    <w:rsid w:val="00025121"/>
    <w:rsid w:val="00026677"/>
    <w:rsid w:val="0002682E"/>
    <w:rsid w:val="0003088A"/>
    <w:rsid w:val="00030D2D"/>
    <w:rsid w:val="00030E06"/>
    <w:rsid w:val="00031FEC"/>
    <w:rsid w:val="00032B15"/>
    <w:rsid w:val="000332A9"/>
    <w:rsid w:val="00033327"/>
    <w:rsid w:val="00033C3B"/>
    <w:rsid w:val="00036AC4"/>
    <w:rsid w:val="00040AD3"/>
    <w:rsid w:val="00041C86"/>
    <w:rsid w:val="000443B6"/>
    <w:rsid w:val="0005282D"/>
    <w:rsid w:val="00053FBD"/>
    <w:rsid w:val="000602BA"/>
    <w:rsid w:val="00060A28"/>
    <w:rsid w:val="0006437A"/>
    <w:rsid w:val="000650F8"/>
    <w:rsid w:val="00065D6F"/>
    <w:rsid w:val="0006667C"/>
    <w:rsid w:val="0006696D"/>
    <w:rsid w:val="00066ADB"/>
    <w:rsid w:val="00070443"/>
    <w:rsid w:val="00072C70"/>
    <w:rsid w:val="0007369C"/>
    <w:rsid w:val="0007687E"/>
    <w:rsid w:val="0008029B"/>
    <w:rsid w:val="00080E15"/>
    <w:rsid w:val="00081CA8"/>
    <w:rsid w:val="000866CA"/>
    <w:rsid w:val="000870CA"/>
    <w:rsid w:val="00087E3C"/>
    <w:rsid w:val="00092FDF"/>
    <w:rsid w:val="00095CC4"/>
    <w:rsid w:val="000964D6"/>
    <w:rsid w:val="00097219"/>
    <w:rsid w:val="000A1968"/>
    <w:rsid w:val="000A2CB0"/>
    <w:rsid w:val="000A2EEA"/>
    <w:rsid w:val="000A3A44"/>
    <w:rsid w:val="000A6578"/>
    <w:rsid w:val="000A7BCC"/>
    <w:rsid w:val="000B0370"/>
    <w:rsid w:val="000B312D"/>
    <w:rsid w:val="000B56A8"/>
    <w:rsid w:val="000B7386"/>
    <w:rsid w:val="000B7A37"/>
    <w:rsid w:val="000B7A66"/>
    <w:rsid w:val="000B7DA7"/>
    <w:rsid w:val="000C01D2"/>
    <w:rsid w:val="000C07C4"/>
    <w:rsid w:val="000C0812"/>
    <w:rsid w:val="000C2529"/>
    <w:rsid w:val="000C2F98"/>
    <w:rsid w:val="000C3472"/>
    <w:rsid w:val="000C35D3"/>
    <w:rsid w:val="000C39C9"/>
    <w:rsid w:val="000C47CD"/>
    <w:rsid w:val="000C545D"/>
    <w:rsid w:val="000C5DA1"/>
    <w:rsid w:val="000C67F1"/>
    <w:rsid w:val="000C67F2"/>
    <w:rsid w:val="000D1029"/>
    <w:rsid w:val="000D102B"/>
    <w:rsid w:val="000D1C94"/>
    <w:rsid w:val="000D32AC"/>
    <w:rsid w:val="000D50E2"/>
    <w:rsid w:val="000D5907"/>
    <w:rsid w:val="000D612F"/>
    <w:rsid w:val="000D62B1"/>
    <w:rsid w:val="000D66B5"/>
    <w:rsid w:val="000E240F"/>
    <w:rsid w:val="000E3055"/>
    <w:rsid w:val="000E314C"/>
    <w:rsid w:val="000E43FA"/>
    <w:rsid w:val="000E4A64"/>
    <w:rsid w:val="000E617A"/>
    <w:rsid w:val="000F0FE0"/>
    <w:rsid w:val="000F471B"/>
    <w:rsid w:val="000F4811"/>
    <w:rsid w:val="000F519B"/>
    <w:rsid w:val="001014D9"/>
    <w:rsid w:val="00101CBF"/>
    <w:rsid w:val="00102EE4"/>
    <w:rsid w:val="00105E01"/>
    <w:rsid w:val="00106630"/>
    <w:rsid w:val="0010708E"/>
    <w:rsid w:val="00107A0F"/>
    <w:rsid w:val="001105A6"/>
    <w:rsid w:val="00113BA5"/>
    <w:rsid w:val="00113FCD"/>
    <w:rsid w:val="00116801"/>
    <w:rsid w:val="00121C55"/>
    <w:rsid w:val="00122898"/>
    <w:rsid w:val="00122D46"/>
    <w:rsid w:val="0012415C"/>
    <w:rsid w:val="00124788"/>
    <w:rsid w:val="0012637D"/>
    <w:rsid w:val="00132A31"/>
    <w:rsid w:val="00134304"/>
    <w:rsid w:val="001351CF"/>
    <w:rsid w:val="00136CDB"/>
    <w:rsid w:val="00137815"/>
    <w:rsid w:val="001440AB"/>
    <w:rsid w:val="00144D92"/>
    <w:rsid w:val="001453F0"/>
    <w:rsid w:val="00146520"/>
    <w:rsid w:val="00150966"/>
    <w:rsid w:val="00152BF3"/>
    <w:rsid w:val="00152C7E"/>
    <w:rsid w:val="00153225"/>
    <w:rsid w:val="00154659"/>
    <w:rsid w:val="00155145"/>
    <w:rsid w:val="00157471"/>
    <w:rsid w:val="00157F9C"/>
    <w:rsid w:val="0016098E"/>
    <w:rsid w:val="00160A7A"/>
    <w:rsid w:val="00164ED2"/>
    <w:rsid w:val="00164F15"/>
    <w:rsid w:val="001703FE"/>
    <w:rsid w:val="001707A5"/>
    <w:rsid w:val="00171A6B"/>
    <w:rsid w:val="0017254C"/>
    <w:rsid w:val="00172F90"/>
    <w:rsid w:val="00174030"/>
    <w:rsid w:val="001768A8"/>
    <w:rsid w:val="00181468"/>
    <w:rsid w:val="001820AB"/>
    <w:rsid w:val="001823B7"/>
    <w:rsid w:val="00182E5C"/>
    <w:rsid w:val="00183007"/>
    <w:rsid w:val="0018310A"/>
    <w:rsid w:val="00183C7F"/>
    <w:rsid w:val="001879BA"/>
    <w:rsid w:val="0019181F"/>
    <w:rsid w:val="0019213C"/>
    <w:rsid w:val="00192480"/>
    <w:rsid w:val="00193867"/>
    <w:rsid w:val="00194FEA"/>
    <w:rsid w:val="001A4222"/>
    <w:rsid w:val="001A51F7"/>
    <w:rsid w:val="001A5CA5"/>
    <w:rsid w:val="001B18A1"/>
    <w:rsid w:val="001B2DB6"/>
    <w:rsid w:val="001B4165"/>
    <w:rsid w:val="001B57D1"/>
    <w:rsid w:val="001B5C6F"/>
    <w:rsid w:val="001B7269"/>
    <w:rsid w:val="001C0C9A"/>
    <w:rsid w:val="001C3087"/>
    <w:rsid w:val="001C4211"/>
    <w:rsid w:val="001C587C"/>
    <w:rsid w:val="001C6A5E"/>
    <w:rsid w:val="001C7882"/>
    <w:rsid w:val="001D0F46"/>
    <w:rsid w:val="001D25FD"/>
    <w:rsid w:val="001D3B9E"/>
    <w:rsid w:val="001D5253"/>
    <w:rsid w:val="001D6583"/>
    <w:rsid w:val="001D6631"/>
    <w:rsid w:val="001D7651"/>
    <w:rsid w:val="001D7B6F"/>
    <w:rsid w:val="001E0BAD"/>
    <w:rsid w:val="001E42E2"/>
    <w:rsid w:val="001E4E17"/>
    <w:rsid w:val="001F213D"/>
    <w:rsid w:val="001F28A5"/>
    <w:rsid w:val="001F3DAA"/>
    <w:rsid w:val="001F4299"/>
    <w:rsid w:val="001F5AF9"/>
    <w:rsid w:val="001F6D58"/>
    <w:rsid w:val="001F70F1"/>
    <w:rsid w:val="001F79F4"/>
    <w:rsid w:val="001F7B7C"/>
    <w:rsid w:val="002015D6"/>
    <w:rsid w:val="002018F0"/>
    <w:rsid w:val="00202398"/>
    <w:rsid w:val="002042E4"/>
    <w:rsid w:val="0020581C"/>
    <w:rsid w:val="00206219"/>
    <w:rsid w:val="002066C9"/>
    <w:rsid w:val="00206C3E"/>
    <w:rsid w:val="00207B6B"/>
    <w:rsid w:val="00207FAF"/>
    <w:rsid w:val="00210500"/>
    <w:rsid w:val="00210EC9"/>
    <w:rsid w:val="002116C1"/>
    <w:rsid w:val="00215966"/>
    <w:rsid w:val="00220957"/>
    <w:rsid w:val="002210A7"/>
    <w:rsid w:val="002217FB"/>
    <w:rsid w:val="00221EFB"/>
    <w:rsid w:val="00225D9D"/>
    <w:rsid w:val="002260B2"/>
    <w:rsid w:val="002267C5"/>
    <w:rsid w:val="00236A71"/>
    <w:rsid w:val="00240569"/>
    <w:rsid w:val="00240749"/>
    <w:rsid w:val="00244479"/>
    <w:rsid w:val="00246AA8"/>
    <w:rsid w:val="00247169"/>
    <w:rsid w:val="00254DB5"/>
    <w:rsid w:val="00255681"/>
    <w:rsid w:val="002558D9"/>
    <w:rsid w:val="00255EB8"/>
    <w:rsid w:val="00256B47"/>
    <w:rsid w:val="002605A7"/>
    <w:rsid w:val="0026071A"/>
    <w:rsid w:val="002614FB"/>
    <w:rsid w:val="002628D8"/>
    <w:rsid w:val="002636EA"/>
    <w:rsid w:val="00264383"/>
    <w:rsid w:val="00265F70"/>
    <w:rsid w:val="00266701"/>
    <w:rsid w:val="00266865"/>
    <w:rsid w:val="00270751"/>
    <w:rsid w:val="00275509"/>
    <w:rsid w:val="0027605D"/>
    <w:rsid w:val="00281D77"/>
    <w:rsid w:val="00282122"/>
    <w:rsid w:val="00282E3B"/>
    <w:rsid w:val="002830A8"/>
    <w:rsid w:val="0028403A"/>
    <w:rsid w:val="0029295A"/>
    <w:rsid w:val="00293F13"/>
    <w:rsid w:val="00294963"/>
    <w:rsid w:val="00294A38"/>
    <w:rsid w:val="00294F10"/>
    <w:rsid w:val="002A00FF"/>
    <w:rsid w:val="002A14FE"/>
    <w:rsid w:val="002A25D9"/>
    <w:rsid w:val="002A2947"/>
    <w:rsid w:val="002A3075"/>
    <w:rsid w:val="002A3EF5"/>
    <w:rsid w:val="002A52FE"/>
    <w:rsid w:val="002A57D9"/>
    <w:rsid w:val="002B7142"/>
    <w:rsid w:val="002B7B9C"/>
    <w:rsid w:val="002B7FE1"/>
    <w:rsid w:val="002C1093"/>
    <w:rsid w:val="002C1DB4"/>
    <w:rsid w:val="002C53AD"/>
    <w:rsid w:val="002C58D7"/>
    <w:rsid w:val="002C6C8D"/>
    <w:rsid w:val="002D0C3D"/>
    <w:rsid w:val="002D2A77"/>
    <w:rsid w:val="002D32B7"/>
    <w:rsid w:val="002D38B6"/>
    <w:rsid w:val="002D4616"/>
    <w:rsid w:val="002D4AA6"/>
    <w:rsid w:val="002D55B3"/>
    <w:rsid w:val="002D6F34"/>
    <w:rsid w:val="002E0A45"/>
    <w:rsid w:val="002E2B33"/>
    <w:rsid w:val="002E35DD"/>
    <w:rsid w:val="002E4CBB"/>
    <w:rsid w:val="002E57C8"/>
    <w:rsid w:val="002F321A"/>
    <w:rsid w:val="002F736E"/>
    <w:rsid w:val="00301501"/>
    <w:rsid w:val="0030226E"/>
    <w:rsid w:val="00304AB7"/>
    <w:rsid w:val="00305DFC"/>
    <w:rsid w:val="00310AC8"/>
    <w:rsid w:val="00310CF5"/>
    <w:rsid w:val="003117B5"/>
    <w:rsid w:val="00313491"/>
    <w:rsid w:val="0031463C"/>
    <w:rsid w:val="003221C1"/>
    <w:rsid w:val="00323848"/>
    <w:rsid w:val="00325055"/>
    <w:rsid w:val="00327893"/>
    <w:rsid w:val="00331A8A"/>
    <w:rsid w:val="00333A89"/>
    <w:rsid w:val="00334E40"/>
    <w:rsid w:val="00337621"/>
    <w:rsid w:val="00337FAD"/>
    <w:rsid w:val="00341B5B"/>
    <w:rsid w:val="00342F39"/>
    <w:rsid w:val="003434D0"/>
    <w:rsid w:val="00345A4E"/>
    <w:rsid w:val="00346EFC"/>
    <w:rsid w:val="00346F2B"/>
    <w:rsid w:val="00347408"/>
    <w:rsid w:val="00347A67"/>
    <w:rsid w:val="003502AE"/>
    <w:rsid w:val="003508DD"/>
    <w:rsid w:val="003522FF"/>
    <w:rsid w:val="00354117"/>
    <w:rsid w:val="003622EE"/>
    <w:rsid w:val="003629C1"/>
    <w:rsid w:val="0036468E"/>
    <w:rsid w:val="003650B8"/>
    <w:rsid w:val="003668E5"/>
    <w:rsid w:val="0036725E"/>
    <w:rsid w:val="003718DA"/>
    <w:rsid w:val="00373481"/>
    <w:rsid w:val="00374147"/>
    <w:rsid w:val="00375B3B"/>
    <w:rsid w:val="003800C5"/>
    <w:rsid w:val="00382C7E"/>
    <w:rsid w:val="00383B79"/>
    <w:rsid w:val="003874D4"/>
    <w:rsid w:val="00390A23"/>
    <w:rsid w:val="0039163C"/>
    <w:rsid w:val="00391EFA"/>
    <w:rsid w:val="003931D7"/>
    <w:rsid w:val="0039605E"/>
    <w:rsid w:val="003967C2"/>
    <w:rsid w:val="003975AF"/>
    <w:rsid w:val="0039788A"/>
    <w:rsid w:val="003A0360"/>
    <w:rsid w:val="003A0C51"/>
    <w:rsid w:val="003A10DC"/>
    <w:rsid w:val="003A25EB"/>
    <w:rsid w:val="003A2905"/>
    <w:rsid w:val="003A297D"/>
    <w:rsid w:val="003A343F"/>
    <w:rsid w:val="003A3967"/>
    <w:rsid w:val="003A402D"/>
    <w:rsid w:val="003A462C"/>
    <w:rsid w:val="003A52DA"/>
    <w:rsid w:val="003A649F"/>
    <w:rsid w:val="003A745C"/>
    <w:rsid w:val="003A7CCA"/>
    <w:rsid w:val="003B1C4F"/>
    <w:rsid w:val="003B64E6"/>
    <w:rsid w:val="003B68EA"/>
    <w:rsid w:val="003C0D1A"/>
    <w:rsid w:val="003C0FB2"/>
    <w:rsid w:val="003C1E95"/>
    <w:rsid w:val="003C2643"/>
    <w:rsid w:val="003C30F2"/>
    <w:rsid w:val="003C3112"/>
    <w:rsid w:val="003C3AAE"/>
    <w:rsid w:val="003C5392"/>
    <w:rsid w:val="003C60D9"/>
    <w:rsid w:val="003C6A11"/>
    <w:rsid w:val="003C73CF"/>
    <w:rsid w:val="003D1DE1"/>
    <w:rsid w:val="003D27B8"/>
    <w:rsid w:val="003D31C0"/>
    <w:rsid w:val="003D3933"/>
    <w:rsid w:val="003D3ED4"/>
    <w:rsid w:val="003D4494"/>
    <w:rsid w:val="003D6EB7"/>
    <w:rsid w:val="003D6F10"/>
    <w:rsid w:val="003D7E0F"/>
    <w:rsid w:val="003E466B"/>
    <w:rsid w:val="003E5AD6"/>
    <w:rsid w:val="003E7C30"/>
    <w:rsid w:val="003F2A6B"/>
    <w:rsid w:val="003F2C63"/>
    <w:rsid w:val="003F33A9"/>
    <w:rsid w:val="003F3CD9"/>
    <w:rsid w:val="003F472F"/>
    <w:rsid w:val="003F6837"/>
    <w:rsid w:val="004006D8"/>
    <w:rsid w:val="004025A4"/>
    <w:rsid w:val="00403827"/>
    <w:rsid w:val="0040446E"/>
    <w:rsid w:val="00405336"/>
    <w:rsid w:val="00405F1B"/>
    <w:rsid w:val="0040679A"/>
    <w:rsid w:val="004122AB"/>
    <w:rsid w:val="00413BCB"/>
    <w:rsid w:val="0041450F"/>
    <w:rsid w:val="0041506F"/>
    <w:rsid w:val="00415163"/>
    <w:rsid w:val="004169BF"/>
    <w:rsid w:val="00416AD4"/>
    <w:rsid w:val="00417BD9"/>
    <w:rsid w:val="00417CA8"/>
    <w:rsid w:val="00420800"/>
    <w:rsid w:val="00423004"/>
    <w:rsid w:val="0042394D"/>
    <w:rsid w:val="00424927"/>
    <w:rsid w:val="0042570D"/>
    <w:rsid w:val="00430756"/>
    <w:rsid w:val="004313CA"/>
    <w:rsid w:val="004315CB"/>
    <w:rsid w:val="0043438D"/>
    <w:rsid w:val="0043606A"/>
    <w:rsid w:val="0043794B"/>
    <w:rsid w:val="00437BC7"/>
    <w:rsid w:val="0044254E"/>
    <w:rsid w:val="0044294E"/>
    <w:rsid w:val="00442EC4"/>
    <w:rsid w:val="00443AA0"/>
    <w:rsid w:val="004443E2"/>
    <w:rsid w:val="004447FE"/>
    <w:rsid w:val="004454C7"/>
    <w:rsid w:val="00446575"/>
    <w:rsid w:val="00451AC5"/>
    <w:rsid w:val="004520E4"/>
    <w:rsid w:val="004539CE"/>
    <w:rsid w:val="004541B4"/>
    <w:rsid w:val="00455338"/>
    <w:rsid w:val="00455889"/>
    <w:rsid w:val="00460362"/>
    <w:rsid w:val="00460838"/>
    <w:rsid w:val="00461EC5"/>
    <w:rsid w:val="00463F0D"/>
    <w:rsid w:val="00467E60"/>
    <w:rsid w:val="00471FF2"/>
    <w:rsid w:val="00472746"/>
    <w:rsid w:val="00474EA2"/>
    <w:rsid w:val="00475099"/>
    <w:rsid w:val="00477BAB"/>
    <w:rsid w:val="004802BC"/>
    <w:rsid w:val="004835E9"/>
    <w:rsid w:val="00483B6D"/>
    <w:rsid w:val="00483D05"/>
    <w:rsid w:val="00485698"/>
    <w:rsid w:val="00487E90"/>
    <w:rsid w:val="00487EF1"/>
    <w:rsid w:val="00491AD9"/>
    <w:rsid w:val="00491E65"/>
    <w:rsid w:val="00492BCA"/>
    <w:rsid w:val="00493B0F"/>
    <w:rsid w:val="00494092"/>
    <w:rsid w:val="004946F9"/>
    <w:rsid w:val="004959FB"/>
    <w:rsid w:val="00495A6D"/>
    <w:rsid w:val="004963B2"/>
    <w:rsid w:val="00497ECA"/>
    <w:rsid w:val="004A0D76"/>
    <w:rsid w:val="004A1BD0"/>
    <w:rsid w:val="004A1BE1"/>
    <w:rsid w:val="004A28EC"/>
    <w:rsid w:val="004A304C"/>
    <w:rsid w:val="004A4449"/>
    <w:rsid w:val="004A66F6"/>
    <w:rsid w:val="004A6B98"/>
    <w:rsid w:val="004A6FB8"/>
    <w:rsid w:val="004B290C"/>
    <w:rsid w:val="004B535C"/>
    <w:rsid w:val="004B538C"/>
    <w:rsid w:val="004B7DF8"/>
    <w:rsid w:val="004C08CC"/>
    <w:rsid w:val="004C2C91"/>
    <w:rsid w:val="004C3E3C"/>
    <w:rsid w:val="004C5A07"/>
    <w:rsid w:val="004C5DBD"/>
    <w:rsid w:val="004C70DB"/>
    <w:rsid w:val="004D521A"/>
    <w:rsid w:val="004D631D"/>
    <w:rsid w:val="004D6A92"/>
    <w:rsid w:val="004D6BA4"/>
    <w:rsid w:val="004E1268"/>
    <w:rsid w:val="004E1635"/>
    <w:rsid w:val="004E493E"/>
    <w:rsid w:val="004E669F"/>
    <w:rsid w:val="004E6E58"/>
    <w:rsid w:val="004E743F"/>
    <w:rsid w:val="004E7E83"/>
    <w:rsid w:val="004F00B6"/>
    <w:rsid w:val="004F1268"/>
    <w:rsid w:val="004F1319"/>
    <w:rsid w:val="004F4D37"/>
    <w:rsid w:val="004F51AC"/>
    <w:rsid w:val="004F75B4"/>
    <w:rsid w:val="004F77BE"/>
    <w:rsid w:val="00500C5F"/>
    <w:rsid w:val="00503C32"/>
    <w:rsid w:val="00506BCE"/>
    <w:rsid w:val="00510111"/>
    <w:rsid w:val="00510A33"/>
    <w:rsid w:val="00510F46"/>
    <w:rsid w:val="00515037"/>
    <w:rsid w:val="0052388D"/>
    <w:rsid w:val="005238A5"/>
    <w:rsid w:val="00524011"/>
    <w:rsid w:val="00525339"/>
    <w:rsid w:val="00526E07"/>
    <w:rsid w:val="00531F7B"/>
    <w:rsid w:val="00535218"/>
    <w:rsid w:val="00543A11"/>
    <w:rsid w:val="00546654"/>
    <w:rsid w:val="00546A7A"/>
    <w:rsid w:val="005506D7"/>
    <w:rsid w:val="005527DA"/>
    <w:rsid w:val="005565B3"/>
    <w:rsid w:val="00560642"/>
    <w:rsid w:val="0056199F"/>
    <w:rsid w:val="005634AF"/>
    <w:rsid w:val="00565443"/>
    <w:rsid w:val="00567A30"/>
    <w:rsid w:val="00570EC7"/>
    <w:rsid w:val="0057450E"/>
    <w:rsid w:val="00580F23"/>
    <w:rsid w:val="00581617"/>
    <w:rsid w:val="0058277F"/>
    <w:rsid w:val="00585518"/>
    <w:rsid w:val="00585718"/>
    <w:rsid w:val="00585F6E"/>
    <w:rsid w:val="00590D93"/>
    <w:rsid w:val="00591B6F"/>
    <w:rsid w:val="0059374A"/>
    <w:rsid w:val="005937F4"/>
    <w:rsid w:val="00595C5F"/>
    <w:rsid w:val="00597A03"/>
    <w:rsid w:val="005A05DA"/>
    <w:rsid w:val="005A1AC1"/>
    <w:rsid w:val="005A3340"/>
    <w:rsid w:val="005A430E"/>
    <w:rsid w:val="005A4CB5"/>
    <w:rsid w:val="005B08C5"/>
    <w:rsid w:val="005B4807"/>
    <w:rsid w:val="005B4A9C"/>
    <w:rsid w:val="005B4E8E"/>
    <w:rsid w:val="005B547E"/>
    <w:rsid w:val="005B5812"/>
    <w:rsid w:val="005B5AAA"/>
    <w:rsid w:val="005C0554"/>
    <w:rsid w:val="005C3CC9"/>
    <w:rsid w:val="005C4C11"/>
    <w:rsid w:val="005C4C34"/>
    <w:rsid w:val="005C4CCB"/>
    <w:rsid w:val="005C7DB4"/>
    <w:rsid w:val="005D0160"/>
    <w:rsid w:val="005D064C"/>
    <w:rsid w:val="005D2794"/>
    <w:rsid w:val="005D3974"/>
    <w:rsid w:val="005D6BFB"/>
    <w:rsid w:val="005E195C"/>
    <w:rsid w:val="005E2837"/>
    <w:rsid w:val="005E327C"/>
    <w:rsid w:val="005E3555"/>
    <w:rsid w:val="005E4790"/>
    <w:rsid w:val="005E4F11"/>
    <w:rsid w:val="005E6089"/>
    <w:rsid w:val="005E62E3"/>
    <w:rsid w:val="005F06D8"/>
    <w:rsid w:val="005F0FBF"/>
    <w:rsid w:val="005F1178"/>
    <w:rsid w:val="005F27EE"/>
    <w:rsid w:val="005F6732"/>
    <w:rsid w:val="005F7276"/>
    <w:rsid w:val="005F78FC"/>
    <w:rsid w:val="00600EC5"/>
    <w:rsid w:val="00601511"/>
    <w:rsid w:val="00603237"/>
    <w:rsid w:val="00604027"/>
    <w:rsid w:val="00605E87"/>
    <w:rsid w:val="00605EDF"/>
    <w:rsid w:val="0061103B"/>
    <w:rsid w:val="00612170"/>
    <w:rsid w:val="00620FCD"/>
    <w:rsid w:val="00621F4A"/>
    <w:rsid w:val="006227C4"/>
    <w:rsid w:val="00622F43"/>
    <w:rsid w:val="00625D00"/>
    <w:rsid w:val="006267B0"/>
    <w:rsid w:val="00626934"/>
    <w:rsid w:val="00626EE7"/>
    <w:rsid w:val="00627FB0"/>
    <w:rsid w:val="00631931"/>
    <w:rsid w:val="00631BA0"/>
    <w:rsid w:val="00632F70"/>
    <w:rsid w:val="0063396D"/>
    <w:rsid w:val="0063527B"/>
    <w:rsid w:val="00635828"/>
    <w:rsid w:val="0063661C"/>
    <w:rsid w:val="00636BCC"/>
    <w:rsid w:val="00637774"/>
    <w:rsid w:val="006418C6"/>
    <w:rsid w:val="00643207"/>
    <w:rsid w:val="006434CD"/>
    <w:rsid w:val="006439AF"/>
    <w:rsid w:val="006459F9"/>
    <w:rsid w:val="006549D7"/>
    <w:rsid w:val="006575D4"/>
    <w:rsid w:val="00657687"/>
    <w:rsid w:val="006606F5"/>
    <w:rsid w:val="006607AE"/>
    <w:rsid w:val="00662EFF"/>
    <w:rsid w:val="0066306E"/>
    <w:rsid w:val="0066315F"/>
    <w:rsid w:val="00663BA0"/>
    <w:rsid w:val="00663E5C"/>
    <w:rsid w:val="00664EB9"/>
    <w:rsid w:val="00665829"/>
    <w:rsid w:val="006666E9"/>
    <w:rsid w:val="006679B6"/>
    <w:rsid w:val="00667A51"/>
    <w:rsid w:val="006752B5"/>
    <w:rsid w:val="006752F1"/>
    <w:rsid w:val="006753E6"/>
    <w:rsid w:val="00675A83"/>
    <w:rsid w:val="006773B0"/>
    <w:rsid w:val="00680767"/>
    <w:rsid w:val="00681444"/>
    <w:rsid w:val="0068145D"/>
    <w:rsid w:val="0068263E"/>
    <w:rsid w:val="006828BE"/>
    <w:rsid w:val="00684568"/>
    <w:rsid w:val="0068658D"/>
    <w:rsid w:val="0068665F"/>
    <w:rsid w:val="00687048"/>
    <w:rsid w:val="00691953"/>
    <w:rsid w:val="0069212B"/>
    <w:rsid w:val="00695BCE"/>
    <w:rsid w:val="00697BDF"/>
    <w:rsid w:val="006A075B"/>
    <w:rsid w:val="006A10F5"/>
    <w:rsid w:val="006A346B"/>
    <w:rsid w:val="006A410C"/>
    <w:rsid w:val="006A4BDA"/>
    <w:rsid w:val="006A58F5"/>
    <w:rsid w:val="006A6B3C"/>
    <w:rsid w:val="006A7E5D"/>
    <w:rsid w:val="006B0C1C"/>
    <w:rsid w:val="006B2A7B"/>
    <w:rsid w:val="006B416D"/>
    <w:rsid w:val="006C1746"/>
    <w:rsid w:val="006C306D"/>
    <w:rsid w:val="006C457A"/>
    <w:rsid w:val="006D22E9"/>
    <w:rsid w:val="006D40B0"/>
    <w:rsid w:val="006E0B96"/>
    <w:rsid w:val="006E2F7D"/>
    <w:rsid w:val="006E4BAF"/>
    <w:rsid w:val="006E5E89"/>
    <w:rsid w:val="006E6A51"/>
    <w:rsid w:val="006F38DF"/>
    <w:rsid w:val="006F39F6"/>
    <w:rsid w:val="006F46FA"/>
    <w:rsid w:val="006F490F"/>
    <w:rsid w:val="006F5531"/>
    <w:rsid w:val="006F61C8"/>
    <w:rsid w:val="0070064A"/>
    <w:rsid w:val="0070278B"/>
    <w:rsid w:val="00704149"/>
    <w:rsid w:val="00707BDD"/>
    <w:rsid w:val="00707D00"/>
    <w:rsid w:val="00712A81"/>
    <w:rsid w:val="00713C67"/>
    <w:rsid w:val="0071497A"/>
    <w:rsid w:val="00714D72"/>
    <w:rsid w:val="00715E94"/>
    <w:rsid w:val="00715F63"/>
    <w:rsid w:val="00721BEF"/>
    <w:rsid w:val="00724220"/>
    <w:rsid w:val="007259BC"/>
    <w:rsid w:val="00725FCD"/>
    <w:rsid w:val="0072638C"/>
    <w:rsid w:val="00731629"/>
    <w:rsid w:val="00731805"/>
    <w:rsid w:val="0073301F"/>
    <w:rsid w:val="00734C55"/>
    <w:rsid w:val="007411C4"/>
    <w:rsid w:val="00743384"/>
    <w:rsid w:val="00743DF9"/>
    <w:rsid w:val="00745F25"/>
    <w:rsid w:val="007470D2"/>
    <w:rsid w:val="007504E6"/>
    <w:rsid w:val="00750821"/>
    <w:rsid w:val="00752601"/>
    <w:rsid w:val="00754F41"/>
    <w:rsid w:val="007573B3"/>
    <w:rsid w:val="0076230F"/>
    <w:rsid w:val="007623E2"/>
    <w:rsid w:val="00762C97"/>
    <w:rsid w:val="00765EF8"/>
    <w:rsid w:val="00767A9B"/>
    <w:rsid w:val="00771EFF"/>
    <w:rsid w:val="00771F20"/>
    <w:rsid w:val="00772E53"/>
    <w:rsid w:val="00773FF1"/>
    <w:rsid w:val="00775945"/>
    <w:rsid w:val="00780AB3"/>
    <w:rsid w:val="00780AF0"/>
    <w:rsid w:val="00781A1A"/>
    <w:rsid w:val="00782D13"/>
    <w:rsid w:val="00784330"/>
    <w:rsid w:val="00784C43"/>
    <w:rsid w:val="00784CAA"/>
    <w:rsid w:val="007866F3"/>
    <w:rsid w:val="007904A3"/>
    <w:rsid w:val="00790B3A"/>
    <w:rsid w:val="00791548"/>
    <w:rsid w:val="007925DA"/>
    <w:rsid w:val="007925EF"/>
    <w:rsid w:val="00793A70"/>
    <w:rsid w:val="00794784"/>
    <w:rsid w:val="00794E2F"/>
    <w:rsid w:val="00796665"/>
    <w:rsid w:val="00796F5D"/>
    <w:rsid w:val="00797068"/>
    <w:rsid w:val="007972F3"/>
    <w:rsid w:val="007A1981"/>
    <w:rsid w:val="007A2A1D"/>
    <w:rsid w:val="007A627E"/>
    <w:rsid w:val="007A6679"/>
    <w:rsid w:val="007A6BE3"/>
    <w:rsid w:val="007A6CBD"/>
    <w:rsid w:val="007B343F"/>
    <w:rsid w:val="007B47E5"/>
    <w:rsid w:val="007C0E57"/>
    <w:rsid w:val="007C2FC1"/>
    <w:rsid w:val="007C3197"/>
    <w:rsid w:val="007C3F80"/>
    <w:rsid w:val="007D00F7"/>
    <w:rsid w:val="007D0CD7"/>
    <w:rsid w:val="007D28DE"/>
    <w:rsid w:val="007D3593"/>
    <w:rsid w:val="007D4EE7"/>
    <w:rsid w:val="007D6DA2"/>
    <w:rsid w:val="007E0F50"/>
    <w:rsid w:val="007E5499"/>
    <w:rsid w:val="007E674D"/>
    <w:rsid w:val="007F125B"/>
    <w:rsid w:val="007F1ED4"/>
    <w:rsid w:val="007F2CED"/>
    <w:rsid w:val="007F37DF"/>
    <w:rsid w:val="00802DAF"/>
    <w:rsid w:val="00803BD8"/>
    <w:rsid w:val="008042D2"/>
    <w:rsid w:val="00807324"/>
    <w:rsid w:val="00810ABC"/>
    <w:rsid w:val="0081181D"/>
    <w:rsid w:val="00816650"/>
    <w:rsid w:val="00816D60"/>
    <w:rsid w:val="0081787A"/>
    <w:rsid w:val="00820DFF"/>
    <w:rsid w:val="008211FA"/>
    <w:rsid w:val="0082297D"/>
    <w:rsid w:val="00823297"/>
    <w:rsid w:val="00827AB5"/>
    <w:rsid w:val="00832511"/>
    <w:rsid w:val="00833812"/>
    <w:rsid w:val="008342E8"/>
    <w:rsid w:val="008363E3"/>
    <w:rsid w:val="008369C6"/>
    <w:rsid w:val="0084138D"/>
    <w:rsid w:val="008414AB"/>
    <w:rsid w:val="008426D8"/>
    <w:rsid w:val="00843B16"/>
    <w:rsid w:val="00844628"/>
    <w:rsid w:val="008447A3"/>
    <w:rsid w:val="008473FC"/>
    <w:rsid w:val="008509D3"/>
    <w:rsid w:val="00853875"/>
    <w:rsid w:val="0085497B"/>
    <w:rsid w:val="00856010"/>
    <w:rsid w:val="008606CD"/>
    <w:rsid w:val="00861649"/>
    <w:rsid w:val="00862098"/>
    <w:rsid w:val="00864E32"/>
    <w:rsid w:val="00866C5D"/>
    <w:rsid w:val="00866E4C"/>
    <w:rsid w:val="00866E9A"/>
    <w:rsid w:val="008673EE"/>
    <w:rsid w:val="00867765"/>
    <w:rsid w:val="00867A1F"/>
    <w:rsid w:val="00870011"/>
    <w:rsid w:val="0087063B"/>
    <w:rsid w:val="00870F1C"/>
    <w:rsid w:val="00871F8C"/>
    <w:rsid w:val="00873AE1"/>
    <w:rsid w:val="008745C4"/>
    <w:rsid w:val="008749BB"/>
    <w:rsid w:val="00876F45"/>
    <w:rsid w:val="008838FB"/>
    <w:rsid w:val="00884914"/>
    <w:rsid w:val="00891B88"/>
    <w:rsid w:val="00893347"/>
    <w:rsid w:val="00893E2F"/>
    <w:rsid w:val="00894878"/>
    <w:rsid w:val="008A0609"/>
    <w:rsid w:val="008A2BE5"/>
    <w:rsid w:val="008A3178"/>
    <w:rsid w:val="008A43B6"/>
    <w:rsid w:val="008A44B9"/>
    <w:rsid w:val="008A506F"/>
    <w:rsid w:val="008A510E"/>
    <w:rsid w:val="008A6B0C"/>
    <w:rsid w:val="008A7F8D"/>
    <w:rsid w:val="008B1E39"/>
    <w:rsid w:val="008B3542"/>
    <w:rsid w:val="008B3B83"/>
    <w:rsid w:val="008B42E3"/>
    <w:rsid w:val="008B5D7C"/>
    <w:rsid w:val="008C062A"/>
    <w:rsid w:val="008C0E94"/>
    <w:rsid w:val="008C1838"/>
    <w:rsid w:val="008C19D7"/>
    <w:rsid w:val="008C246C"/>
    <w:rsid w:val="008C264F"/>
    <w:rsid w:val="008C28D9"/>
    <w:rsid w:val="008C3182"/>
    <w:rsid w:val="008C32DD"/>
    <w:rsid w:val="008C3719"/>
    <w:rsid w:val="008C6B6A"/>
    <w:rsid w:val="008D073A"/>
    <w:rsid w:val="008D0C72"/>
    <w:rsid w:val="008D1C59"/>
    <w:rsid w:val="008D3370"/>
    <w:rsid w:val="008D4053"/>
    <w:rsid w:val="008D4704"/>
    <w:rsid w:val="008D4F18"/>
    <w:rsid w:val="008D5829"/>
    <w:rsid w:val="008D6BAD"/>
    <w:rsid w:val="008D7EA5"/>
    <w:rsid w:val="008E106B"/>
    <w:rsid w:val="008E177A"/>
    <w:rsid w:val="008E38DB"/>
    <w:rsid w:val="008E4C6F"/>
    <w:rsid w:val="008F257E"/>
    <w:rsid w:val="008F3505"/>
    <w:rsid w:val="008F7B67"/>
    <w:rsid w:val="0090103F"/>
    <w:rsid w:val="00901274"/>
    <w:rsid w:val="00905CFD"/>
    <w:rsid w:val="00907823"/>
    <w:rsid w:val="00907EA7"/>
    <w:rsid w:val="00911360"/>
    <w:rsid w:val="00912115"/>
    <w:rsid w:val="00912B18"/>
    <w:rsid w:val="0091336C"/>
    <w:rsid w:val="0091576B"/>
    <w:rsid w:val="009169DD"/>
    <w:rsid w:val="00917D5C"/>
    <w:rsid w:val="00922874"/>
    <w:rsid w:val="00922B96"/>
    <w:rsid w:val="00922FCB"/>
    <w:rsid w:val="00924FD1"/>
    <w:rsid w:val="00926F6B"/>
    <w:rsid w:val="00927A52"/>
    <w:rsid w:val="00931FAE"/>
    <w:rsid w:val="00942AC7"/>
    <w:rsid w:val="00946015"/>
    <w:rsid w:val="00946BD2"/>
    <w:rsid w:val="00947F13"/>
    <w:rsid w:val="00951532"/>
    <w:rsid w:val="0095484A"/>
    <w:rsid w:val="00960BE7"/>
    <w:rsid w:val="0096106E"/>
    <w:rsid w:val="00963B38"/>
    <w:rsid w:val="0096470E"/>
    <w:rsid w:val="00964DA8"/>
    <w:rsid w:val="00964E59"/>
    <w:rsid w:val="00966034"/>
    <w:rsid w:val="00966CB0"/>
    <w:rsid w:val="009726A5"/>
    <w:rsid w:val="00973EBD"/>
    <w:rsid w:val="00974898"/>
    <w:rsid w:val="00975008"/>
    <w:rsid w:val="00975086"/>
    <w:rsid w:val="00980E00"/>
    <w:rsid w:val="00981AEC"/>
    <w:rsid w:val="00982614"/>
    <w:rsid w:val="00982D87"/>
    <w:rsid w:val="00983895"/>
    <w:rsid w:val="00986FF0"/>
    <w:rsid w:val="00990B84"/>
    <w:rsid w:val="00992353"/>
    <w:rsid w:val="00992857"/>
    <w:rsid w:val="0099691C"/>
    <w:rsid w:val="009A0DCF"/>
    <w:rsid w:val="009A280C"/>
    <w:rsid w:val="009A2EA4"/>
    <w:rsid w:val="009A544E"/>
    <w:rsid w:val="009A6093"/>
    <w:rsid w:val="009B453A"/>
    <w:rsid w:val="009B49CF"/>
    <w:rsid w:val="009B49F4"/>
    <w:rsid w:val="009B6F31"/>
    <w:rsid w:val="009C3DF6"/>
    <w:rsid w:val="009C68D7"/>
    <w:rsid w:val="009C742D"/>
    <w:rsid w:val="009C7781"/>
    <w:rsid w:val="009D2865"/>
    <w:rsid w:val="009D2F74"/>
    <w:rsid w:val="009D516B"/>
    <w:rsid w:val="009D7A0C"/>
    <w:rsid w:val="009D7A3A"/>
    <w:rsid w:val="009E07BE"/>
    <w:rsid w:val="009E1878"/>
    <w:rsid w:val="009E2581"/>
    <w:rsid w:val="009E27F7"/>
    <w:rsid w:val="009E2F2C"/>
    <w:rsid w:val="009E492D"/>
    <w:rsid w:val="009E4AD9"/>
    <w:rsid w:val="009E5305"/>
    <w:rsid w:val="009E580D"/>
    <w:rsid w:val="009E688E"/>
    <w:rsid w:val="009E7F27"/>
    <w:rsid w:val="009F1221"/>
    <w:rsid w:val="009F4EFA"/>
    <w:rsid w:val="009F61CF"/>
    <w:rsid w:val="009F676D"/>
    <w:rsid w:val="009F77BD"/>
    <w:rsid w:val="00A00D2B"/>
    <w:rsid w:val="00A030C8"/>
    <w:rsid w:val="00A04417"/>
    <w:rsid w:val="00A072E4"/>
    <w:rsid w:val="00A103EB"/>
    <w:rsid w:val="00A11357"/>
    <w:rsid w:val="00A11C12"/>
    <w:rsid w:val="00A1337E"/>
    <w:rsid w:val="00A159A0"/>
    <w:rsid w:val="00A16E19"/>
    <w:rsid w:val="00A220E0"/>
    <w:rsid w:val="00A23167"/>
    <w:rsid w:val="00A27550"/>
    <w:rsid w:val="00A27716"/>
    <w:rsid w:val="00A304D3"/>
    <w:rsid w:val="00A30FC3"/>
    <w:rsid w:val="00A31662"/>
    <w:rsid w:val="00A3200A"/>
    <w:rsid w:val="00A335A7"/>
    <w:rsid w:val="00A37ADF"/>
    <w:rsid w:val="00A37D50"/>
    <w:rsid w:val="00A37E38"/>
    <w:rsid w:val="00A41C43"/>
    <w:rsid w:val="00A42817"/>
    <w:rsid w:val="00A4452F"/>
    <w:rsid w:val="00A44570"/>
    <w:rsid w:val="00A4463F"/>
    <w:rsid w:val="00A455D2"/>
    <w:rsid w:val="00A45F49"/>
    <w:rsid w:val="00A50CB3"/>
    <w:rsid w:val="00A50E48"/>
    <w:rsid w:val="00A50F2A"/>
    <w:rsid w:val="00A52CDE"/>
    <w:rsid w:val="00A542F9"/>
    <w:rsid w:val="00A554D1"/>
    <w:rsid w:val="00A569BB"/>
    <w:rsid w:val="00A619DA"/>
    <w:rsid w:val="00A62363"/>
    <w:rsid w:val="00A65D7C"/>
    <w:rsid w:val="00A66274"/>
    <w:rsid w:val="00A7043D"/>
    <w:rsid w:val="00A70C49"/>
    <w:rsid w:val="00A71815"/>
    <w:rsid w:val="00A72C21"/>
    <w:rsid w:val="00A72D90"/>
    <w:rsid w:val="00A75311"/>
    <w:rsid w:val="00A77709"/>
    <w:rsid w:val="00A80A36"/>
    <w:rsid w:val="00A8504E"/>
    <w:rsid w:val="00A86805"/>
    <w:rsid w:val="00A90F4C"/>
    <w:rsid w:val="00A90F94"/>
    <w:rsid w:val="00A9220D"/>
    <w:rsid w:val="00A9433B"/>
    <w:rsid w:val="00A94E6F"/>
    <w:rsid w:val="00A9554E"/>
    <w:rsid w:val="00A96071"/>
    <w:rsid w:val="00A9639A"/>
    <w:rsid w:val="00A97E0F"/>
    <w:rsid w:val="00AA01EB"/>
    <w:rsid w:val="00AA1193"/>
    <w:rsid w:val="00AA24A5"/>
    <w:rsid w:val="00AA2CD9"/>
    <w:rsid w:val="00AA4B85"/>
    <w:rsid w:val="00AA4DDF"/>
    <w:rsid w:val="00AA5184"/>
    <w:rsid w:val="00AA6AA6"/>
    <w:rsid w:val="00AA7BFB"/>
    <w:rsid w:val="00AB1BD0"/>
    <w:rsid w:val="00AB4A93"/>
    <w:rsid w:val="00AB5B84"/>
    <w:rsid w:val="00AB614C"/>
    <w:rsid w:val="00AB6DEB"/>
    <w:rsid w:val="00AC0735"/>
    <w:rsid w:val="00AC1D89"/>
    <w:rsid w:val="00AC30D3"/>
    <w:rsid w:val="00AC431E"/>
    <w:rsid w:val="00AC5120"/>
    <w:rsid w:val="00AD0DF9"/>
    <w:rsid w:val="00AD10EF"/>
    <w:rsid w:val="00AD17FF"/>
    <w:rsid w:val="00AD3B1A"/>
    <w:rsid w:val="00AD3FA7"/>
    <w:rsid w:val="00AD4F97"/>
    <w:rsid w:val="00AD5BBE"/>
    <w:rsid w:val="00AD65B5"/>
    <w:rsid w:val="00AD66DC"/>
    <w:rsid w:val="00AD744F"/>
    <w:rsid w:val="00AD7B01"/>
    <w:rsid w:val="00AE0FB8"/>
    <w:rsid w:val="00AE4B50"/>
    <w:rsid w:val="00AE4E3D"/>
    <w:rsid w:val="00AE6303"/>
    <w:rsid w:val="00AE7054"/>
    <w:rsid w:val="00AE7C79"/>
    <w:rsid w:val="00AF4F9E"/>
    <w:rsid w:val="00AF5559"/>
    <w:rsid w:val="00AF5AB0"/>
    <w:rsid w:val="00AF5E31"/>
    <w:rsid w:val="00B01232"/>
    <w:rsid w:val="00B02C8B"/>
    <w:rsid w:val="00B049E7"/>
    <w:rsid w:val="00B06B48"/>
    <w:rsid w:val="00B0756C"/>
    <w:rsid w:val="00B0764F"/>
    <w:rsid w:val="00B07E00"/>
    <w:rsid w:val="00B139A0"/>
    <w:rsid w:val="00B204B8"/>
    <w:rsid w:val="00B2343B"/>
    <w:rsid w:val="00B245B3"/>
    <w:rsid w:val="00B250D7"/>
    <w:rsid w:val="00B252B3"/>
    <w:rsid w:val="00B258A0"/>
    <w:rsid w:val="00B316C6"/>
    <w:rsid w:val="00B32644"/>
    <w:rsid w:val="00B3374E"/>
    <w:rsid w:val="00B338B9"/>
    <w:rsid w:val="00B36E0F"/>
    <w:rsid w:val="00B37F14"/>
    <w:rsid w:val="00B42DC9"/>
    <w:rsid w:val="00B451DE"/>
    <w:rsid w:val="00B4626F"/>
    <w:rsid w:val="00B47986"/>
    <w:rsid w:val="00B50365"/>
    <w:rsid w:val="00B5311B"/>
    <w:rsid w:val="00B53C15"/>
    <w:rsid w:val="00B554A4"/>
    <w:rsid w:val="00B5693B"/>
    <w:rsid w:val="00B570D3"/>
    <w:rsid w:val="00B604BC"/>
    <w:rsid w:val="00B60922"/>
    <w:rsid w:val="00B62627"/>
    <w:rsid w:val="00B62D10"/>
    <w:rsid w:val="00B63378"/>
    <w:rsid w:val="00B6363C"/>
    <w:rsid w:val="00B64726"/>
    <w:rsid w:val="00B64FF0"/>
    <w:rsid w:val="00B67DB3"/>
    <w:rsid w:val="00B744C5"/>
    <w:rsid w:val="00B74CA6"/>
    <w:rsid w:val="00B74EC9"/>
    <w:rsid w:val="00B75BF9"/>
    <w:rsid w:val="00B763AD"/>
    <w:rsid w:val="00B805E7"/>
    <w:rsid w:val="00B81326"/>
    <w:rsid w:val="00B8219F"/>
    <w:rsid w:val="00B85BB9"/>
    <w:rsid w:val="00B86768"/>
    <w:rsid w:val="00B87074"/>
    <w:rsid w:val="00B91A72"/>
    <w:rsid w:val="00B9385C"/>
    <w:rsid w:val="00B93E94"/>
    <w:rsid w:val="00B94F34"/>
    <w:rsid w:val="00B95D57"/>
    <w:rsid w:val="00BA2DD0"/>
    <w:rsid w:val="00BA3C83"/>
    <w:rsid w:val="00BA5B9B"/>
    <w:rsid w:val="00BB24F4"/>
    <w:rsid w:val="00BB2D55"/>
    <w:rsid w:val="00BB360B"/>
    <w:rsid w:val="00BB367E"/>
    <w:rsid w:val="00BB3B20"/>
    <w:rsid w:val="00BB476B"/>
    <w:rsid w:val="00BB52A9"/>
    <w:rsid w:val="00BB7F4B"/>
    <w:rsid w:val="00BC0066"/>
    <w:rsid w:val="00BC0BF8"/>
    <w:rsid w:val="00BC1302"/>
    <w:rsid w:val="00BC1548"/>
    <w:rsid w:val="00BC2485"/>
    <w:rsid w:val="00BC5DB3"/>
    <w:rsid w:val="00BC671B"/>
    <w:rsid w:val="00BC67C7"/>
    <w:rsid w:val="00BD13BC"/>
    <w:rsid w:val="00BD1C69"/>
    <w:rsid w:val="00BD2B44"/>
    <w:rsid w:val="00BD44AF"/>
    <w:rsid w:val="00BD4B42"/>
    <w:rsid w:val="00BD6054"/>
    <w:rsid w:val="00BE02BE"/>
    <w:rsid w:val="00BE031E"/>
    <w:rsid w:val="00BE40B5"/>
    <w:rsid w:val="00BE5507"/>
    <w:rsid w:val="00BE6396"/>
    <w:rsid w:val="00BE6583"/>
    <w:rsid w:val="00BE6A8C"/>
    <w:rsid w:val="00BE71E7"/>
    <w:rsid w:val="00BF1DDE"/>
    <w:rsid w:val="00BF2A33"/>
    <w:rsid w:val="00BF3119"/>
    <w:rsid w:val="00BF3CE7"/>
    <w:rsid w:val="00BF6BD8"/>
    <w:rsid w:val="00C012E2"/>
    <w:rsid w:val="00C0383B"/>
    <w:rsid w:val="00C10876"/>
    <w:rsid w:val="00C1224E"/>
    <w:rsid w:val="00C12281"/>
    <w:rsid w:val="00C163C6"/>
    <w:rsid w:val="00C17662"/>
    <w:rsid w:val="00C17FE5"/>
    <w:rsid w:val="00C226EC"/>
    <w:rsid w:val="00C22DDE"/>
    <w:rsid w:val="00C23C62"/>
    <w:rsid w:val="00C25173"/>
    <w:rsid w:val="00C2534F"/>
    <w:rsid w:val="00C25456"/>
    <w:rsid w:val="00C258ED"/>
    <w:rsid w:val="00C25EAC"/>
    <w:rsid w:val="00C26868"/>
    <w:rsid w:val="00C27EF9"/>
    <w:rsid w:val="00C30322"/>
    <w:rsid w:val="00C318B6"/>
    <w:rsid w:val="00C31BA9"/>
    <w:rsid w:val="00C339E9"/>
    <w:rsid w:val="00C3539E"/>
    <w:rsid w:val="00C4229F"/>
    <w:rsid w:val="00C4236F"/>
    <w:rsid w:val="00C42E0B"/>
    <w:rsid w:val="00C44896"/>
    <w:rsid w:val="00C46217"/>
    <w:rsid w:val="00C476DB"/>
    <w:rsid w:val="00C47F9D"/>
    <w:rsid w:val="00C52485"/>
    <w:rsid w:val="00C55BCC"/>
    <w:rsid w:val="00C61F86"/>
    <w:rsid w:val="00C62CD3"/>
    <w:rsid w:val="00C6515E"/>
    <w:rsid w:val="00C66BBC"/>
    <w:rsid w:val="00C66FC9"/>
    <w:rsid w:val="00C67889"/>
    <w:rsid w:val="00C67FC1"/>
    <w:rsid w:val="00C70B53"/>
    <w:rsid w:val="00C7153E"/>
    <w:rsid w:val="00C72CAB"/>
    <w:rsid w:val="00C73866"/>
    <w:rsid w:val="00C73E26"/>
    <w:rsid w:val="00C746E7"/>
    <w:rsid w:val="00C75BBE"/>
    <w:rsid w:val="00C76478"/>
    <w:rsid w:val="00C800DF"/>
    <w:rsid w:val="00C905D8"/>
    <w:rsid w:val="00C92028"/>
    <w:rsid w:val="00C928EC"/>
    <w:rsid w:val="00C94D65"/>
    <w:rsid w:val="00C95DBC"/>
    <w:rsid w:val="00C973E8"/>
    <w:rsid w:val="00CA705C"/>
    <w:rsid w:val="00CB108E"/>
    <w:rsid w:val="00CB1302"/>
    <w:rsid w:val="00CB38BA"/>
    <w:rsid w:val="00CB584B"/>
    <w:rsid w:val="00CB7E60"/>
    <w:rsid w:val="00CC0D8E"/>
    <w:rsid w:val="00CC1034"/>
    <w:rsid w:val="00CC196A"/>
    <w:rsid w:val="00CC2E94"/>
    <w:rsid w:val="00CC377E"/>
    <w:rsid w:val="00CC5D0B"/>
    <w:rsid w:val="00CC6336"/>
    <w:rsid w:val="00CC6BE5"/>
    <w:rsid w:val="00CC72DC"/>
    <w:rsid w:val="00CD0A41"/>
    <w:rsid w:val="00CD0F4D"/>
    <w:rsid w:val="00CD1693"/>
    <w:rsid w:val="00CD199A"/>
    <w:rsid w:val="00CD2004"/>
    <w:rsid w:val="00CD2087"/>
    <w:rsid w:val="00CD4532"/>
    <w:rsid w:val="00CD4FB9"/>
    <w:rsid w:val="00CD575B"/>
    <w:rsid w:val="00CE31CF"/>
    <w:rsid w:val="00CE59E4"/>
    <w:rsid w:val="00CE68DD"/>
    <w:rsid w:val="00CF11F9"/>
    <w:rsid w:val="00CF3608"/>
    <w:rsid w:val="00CF36D8"/>
    <w:rsid w:val="00CF3CD7"/>
    <w:rsid w:val="00CF3FE2"/>
    <w:rsid w:val="00CF40F9"/>
    <w:rsid w:val="00CF411A"/>
    <w:rsid w:val="00CF59AF"/>
    <w:rsid w:val="00CF5AD6"/>
    <w:rsid w:val="00CF6EA1"/>
    <w:rsid w:val="00CF7C9F"/>
    <w:rsid w:val="00D007B3"/>
    <w:rsid w:val="00D04682"/>
    <w:rsid w:val="00D0475D"/>
    <w:rsid w:val="00D0488E"/>
    <w:rsid w:val="00D11354"/>
    <w:rsid w:val="00D1154B"/>
    <w:rsid w:val="00D1211C"/>
    <w:rsid w:val="00D13844"/>
    <w:rsid w:val="00D154D8"/>
    <w:rsid w:val="00D17843"/>
    <w:rsid w:val="00D20F4A"/>
    <w:rsid w:val="00D247E4"/>
    <w:rsid w:val="00D2644E"/>
    <w:rsid w:val="00D26A06"/>
    <w:rsid w:val="00D31502"/>
    <w:rsid w:val="00D32484"/>
    <w:rsid w:val="00D33699"/>
    <w:rsid w:val="00D33EF7"/>
    <w:rsid w:val="00D4169A"/>
    <w:rsid w:val="00D42DAC"/>
    <w:rsid w:val="00D45226"/>
    <w:rsid w:val="00D45A4A"/>
    <w:rsid w:val="00D510A7"/>
    <w:rsid w:val="00D5133C"/>
    <w:rsid w:val="00D51455"/>
    <w:rsid w:val="00D522A3"/>
    <w:rsid w:val="00D52DC3"/>
    <w:rsid w:val="00D566AE"/>
    <w:rsid w:val="00D56BC0"/>
    <w:rsid w:val="00D56F6C"/>
    <w:rsid w:val="00D57771"/>
    <w:rsid w:val="00D60751"/>
    <w:rsid w:val="00D62ED8"/>
    <w:rsid w:val="00D6363D"/>
    <w:rsid w:val="00D643C9"/>
    <w:rsid w:val="00D669C0"/>
    <w:rsid w:val="00D67BA5"/>
    <w:rsid w:val="00D71F22"/>
    <w:rsid w:val="00D728AE"/>
    <w:rsid w:val="00D73687"/>
    <w:rsid w:val="00D740E8"/>
    <w:rsid w:val="00D741DC"/>
    <w:rsid w:val="00D823A8"/>
    <w:rsid w:val="00D83099"/>
    <w:rsid w:val="00D83F61"/>
    <w:rsid w:val="00D84D85"/>
    <w:rsid w:val="00D87431"/>
    <w:rsid w:val="00D90A29"/>
    <w:rsid w:val="00D91FF9"/>
    <w:rsid w:val="00D92CE9"/>
    <w:rsid w:val="00D9493F"/>
    <w:rsid w:val="00D979A8"/>
    <w:rsid w:val="00DA110B"/>
    <w:rsid w:val="00DA5831"/>
    <w:rsid w:val="00DA6C7A"/>
    <w:rsid w:val="00DA7F30"/>
    <w:rsid w:val="00DB1008"/>
    <w:rsid w:val="00DB2164"/>
    <w:rsid w:val="00DB4B8B"/>
    <w:rsid w:val="00DB4C8C"/>
    <w:rsid w:val="00DB51C4"/>
    <w:rsid w:val="00DC327B"/>
    <w:rsid w:val="00DC4E4C"/>
    <w:rsid w:val="00DD1EEC"/>
    <w:rsid w:val="00DD258F"/>
    <w:rsid w:val="00DD4510"/>
    <w:rsid w:val="00DE0A7A"/>
    <w:rsid w:val="00DE2ECE"/>
    <w:rsid w:val="00DE2EE0"/>
    <w:rsid w:val="00DE3241"/>
    <w:rsid w:val="00DE6BBF"/>
    <w:rsid w:val="00DF1220"/>
    <w:rsid w:val="00DF4D53"/>
    <w:rsid w:val="00DF5193"/>
    <w:rsid w:val="00DF7816"/>
    <w:rsid w:val="00E0034D"/>
    <w:rsid w:val="00E01FEC"/>
    <w:rsid w:val="00E02D2F"/>
    <w:rsid w:val="00E02F86"/>
    <w:rsid w:val="00E048D6"/>
    <w:rsid w:val="00E07525"/>
    <w:rsid w:val="00E07B31"/>
    <w:rsid w:val="00E10377"/>
    <w:rsid w:val="00E10448"/>
    <w:rsid w:val="00E14C35"/>
    <w:rsid w:val="00E209AD"/>
    <w:rsid w:val="00E20EB9"/>
    <w:rsid w:val="00E216A4"/>
    <w:rsid w:val="00E225BF"/>
    <w:rsid w:val="00E225F3"/>
    <w:rsid w:val="00E226D9"/>
    <w:rsid w:val="00E22999"/>
    <w:rsid w:val="00E2335C"/>
    <w:rsid w:val="00E24D71"/>
    <w:rsid w:val="00E25536"/>
    <w:rsid w:val="00E27603"/>
    <w:rsid w:val="00E3140D"/>
    <w:rsid w:val="00E32AD9"/>
    <w:rsid w:val="00E343BB"/>
    <w:rsid w:val="00E35AA8"/>
    <w:rsid w:val="00E35B20"/>
    <w:rsid w:val="00E3627F"/>
    <w:rsid w:val="00E36D29"/>
    <w:rsid w:val="00E3725F"/>
    <w:rsid w:val="00E44DFA"/>
    <w:rsid w:val="00E450EC"/>
    <w:rsid w:val="00E45488"/>
    <w:rsid w:val="00E464D1"/>
    <w:rsid w:val="00E468F8"/>
    <w:rsid w:val="00E5048D"/>
    <w:rsid w:val="00E52293"/>
    <w:rsid w:val="00E525B1"/>
    <w:rsid w:val="00E53BB5"/>
    <w:rsid w:val="00E556D0"/>
    <w:rsid w:val="00E572CB"/>
    <w:rsid w:val="00E57980"/>
    <w:rsid w:val="00E609C2"/>
    <w:rsid w:val="00E62679"/>
    <w:rsid w:val="00E63354"/>
    <w:rsid w:val="00E64208"/>
    <w:rsid w:val="00E64BEA"/>
    <w:rsid w:val="00E72704"/>
    <w:rsid w:val="00E762F1"/>
    <w:rsid w:val="00E765CB"/>
    <w:rsid w:val="00E769DB"/>
    <w:rsid w:val="00E820A8"/>
    <w:rsid w:val="00E83AB4"/>
    <w:rsid w:val="00E83DA5"/>
    <w:rsid w:val="00E8579B"/>
    <w:rsid w:val="00E934CB"/>
    <w:rsid w:val="00E9485B"/>
    <w:rsid w:val="00E95AD4"/>
    <w:rsid w:val="00E971A8"/>
    <w:rsid w:val="00EA2589"/>
    <w:rsid w:val="00EA4323"/>
    <w:rsid w:val="00EA4F4F"/>
    <w:rsid w:val="00EA5011"/>
    <w:rsid w:val="00EA7743"/>
    <w:rsid w:val="00EB0BFC"/>
    <w:rsid w:val="00EB6F58"/>
    <w:rsid w:val="00EB76A0"/>
    <w:rsid w:val="00EC4F54"/>
    <w:rsid w:val="00EC5A3A"/>
    <w:rsid w:val="00EC5A8F"/>
    <w:rsid w:val="00EC669A"/>
    <w:rsid w:val="00EC6DA2"/>
    <w:rsid w:val="00EC6EBA"/>
    <w:rsid w:val="00EC6FC6"/>
    <w:rsid w:val="00EC76AF"/>
    <w:rsid w:val="00EC76F0"/>
    <w:rsid w:val="00ED0254"/>
    <w:rsid w:val="00ED05C5"/>
    <w:rsid w:val="00ED11BF"/>
    <w:rsid w:val="00ED1C1A"/>
    <w:rsid w:val="00ED2922"/>
    <w:rsid w:val="00ED2AD4"/>
    <w:rsid w:val="00ED4E13"/>
    <w:rsid w:val="00ED6BF7"/>
    <w:rsid w:val="00ED72EF"/>
    <w:rsid w:val="00EE1E75"/>
    <w:rsid w:val="00EE21A6"/>
    <w:rsid w:val="00EE3C1D"/>
    <w:rsid w:val="00EE5B38"/>
    <w:rsid w:val="00EF0209"/>
    <w:rsid w:val="00EF0442"/>
    <w:rsid w:val="00EF12CB"/>
    <w:rsid w:val="00EF1708"/>
    <w:rsid w:val="00EF1D10"/>
    <w:rsid w:val="00EF3889"/>
    <w:rsid w:val="00EF52EC"/>
    <w:rsid w:val="00EF6D57"/>
    <w:rsid w:val="00F028DC"/>
    <w:rsid w:val="00F02B2B"/>
    <w:rsid w:val="00F02CB0"/>
    <w:rsid w:val="00F03052"/>
    <w:rsid w:val="00F03754"/>
    <w:rsid w:val="00F03E0B"/>
    <w:rsid w:val="00F06579"/>
    <w:rsid w:val="00F0665B"/>
    <w:rsid w:val="00F076D8"/>
    <w:rsid w:val="00F10400"/>
    <w:rsid w:val="00F10591"/>
    <w:rsid w:val="00F114B3"/>
    <w:rsid w:val="00F11D6A"/>
    <w:rsid w:val="00F12D4A"/>
    <w:rsid w:val="00F16F73"/>
    <w:rsid w:val="00F210D9"/>
    <w:rsid w:val="00F222FF"/>
    <w:rsid w:val="00F2592B"/>
    <w:rsid w:val="00F26FA0"/>
    <w:rsid w:val="00F30805"/>
    <w:rsid w:val="00F30A68"/>
    <w:rsid w:val="00F31A9B"/>
    <w:rsid w:val="00F32A94"/>
    <w:rsid w:val="00F35903"/>
    <w:rsid w:val="00F35D1C"/>
    <w:rsid w:val="00F37960"/>
    <w:rsid w:val="00F37C31"/>
    <w:rsid w:val="00F37D2C"/>
    <w:rsid w:val="00F444E7"/>
    <w:rsid w:val="00F470D3"/>
    <w:rsid w:val="00F50617"/>
    <w:rsid w:val="00F529C4"/>
    <w:rsid w:val="00F56DC8"/>
    <w:rsid w:val="00F66A0D"/>
    <w:rsid w:val="00F677A8"/>
    <w:rsid w:val="00F678F6"/>
    <w:rsid w:val="00F71CDE"/>
    <w:rsid w:val="00F71EA2"/>
    <w:rsid w:val="00F7282F"/>
    <w:rsid w:val="00F759E6"/>
    <w:rsid w:val="00F76533"/>
    <w:rsid w:val="00F76BCC"/>
    <w:rsid w:val="00F76D47"/>
    <w:rsid w:val="00F76DD2"/>
    <w:rsid w:val="00F82D63"/>
    <w:rsid w:val="00F839CF"/>
    <w:rsid w:val="00F8571B"/>
    <w:rsid w:val="00F8675C"/>
    <w:rsid w:val="00F86A30"/>
    <w:rsid w:val="00F9052C"/>
    <w:rsid w:val="00F92B3F"/>
    <w:rsid w:val="00F92ED6"/>
    <w:rsid w:val="00F93C8A"/>
    <w:rsid w:val="00F93D4E"/>
    <w:rsid w:val="00F9404F"/>
    <w:rsid w:val="00F96A76"/>
    <w:rsid w:val="00F96E97"/>
    <w:rsid w:val="00F97D1D"/>
    <w:rsid w:val="00FA2C7D"/>
    <w:rsid w:val="00FA6486"/>
    <w:rsid w:val="00FA7DA2"/>
    <w:rsid w:val="00FB061F"/>
    <w:rsid w:val="00FB2FEC"/>
    <w:rsid w:val="00FB4E2B"/>
    <w:rsid w:val="00FB778E"/>
    <w:rsid w:val="00FC1D22"/>
    <w:rsid w:val="00FC223C"/>
    <w:rsid w:val="00FC239E"/>
    <w:rsid w:val="00FC25FF"/>
    <w:rsid w:val="00FC2D20"/>
    <w:rsid w:val="00FC34A3"/>
    <w:rsid w:val="00FC3E53"/>
    <w:rsid w:val="00FC59A8"/>
    <w:rsid w:val="00FC754D"/>
    <w:rsid w:val="00FC7B7D"/>
    <w:rsid w:val="00FD0270"/>
    <w:rsid w:val="00FD0AED"/>
    <w:rsid w:val="00FD1B95"/>
    <w:rsid w:val="00FD4180"/>
    <w:rsid w:val="00FD4239"/>
    <w:rsid w:val="00FD58B8"/>
    <w:rsid w:val="00FD5E95"/>
    <w:rsid w:val="00FD6878"/>
    <w:rsid w:val="00FD715F"/>
    <w:rsid w:val="00FD7688"/>
    <w:rsid w:val="00FE00DA"/>
    <w:rsid w:val="00FE23C4"/>
    <w:rsid w:val="00FE2B91"/>
    <w:rsid w:val="00FE3075"/>
    <w:rsid w:val="00FE3133"/>
    <w:rsid w:val="00FE48D7"/>
    <w:rsid w:val="00FE5BF7"/>
    <w:rsid w:val="00FE60BF"/>
    <w:rsid w:val="00FE7ECB"/>
    <w:rsid w:val="00FF082E"/>
    <w:rsid w:val="00FF1A20"/>
    <w:rsid w:val="00FF2214"/>
    <w:rsid w:val="00FF2ABF"/>
    <w:rsid w:val="00FF3083"/>
    <w:rsid w:val="00FF48E4"/>
    <w:rsid w:val="00FF56AA"/>
    <w:rsid w:val="00FF692C"/>
    <w:rsid w:val="00FF73DE"/>
    <w:rsid w:val="02B83FB0"/>
    <w:rsid w:val="03AC635A"/>
    <w:rsid w:val="05735131"/>
    <w:rsid w:val="05FC77F7"/>
    <w:rsid w:val="0687277D"/>
    <w:rsid w:val="07BF19AF"/>
    <w:rsid w:val="100722CE"/>
    <w:rsid w:val="130832FE"/>
    <w:rsid w:val="13626568"/>
    <w:rsid w:val="159C2105"/>
    <w:rsid w:val="1B9A5166"/>
    <w:rsid w:val="1BBD2F92"/>
    <w:rsid w:val="1C8409D2"/>
    <w:rsid w:val="1FBC2457"/>
    <w:rsid w:val="24216375"/>
    <w:rsid w:val="25F623DD"/>
    <w:rsid w:val="263870E7"/>
    <w:rsid w:val="2936586D"/>
    <w:rsid w:val="2BA334B7"/>
    <w:rsid w:val="2CA769CE"/>
    <w:rsid w:val="2DEF6B01"/>
    <w:rsid w:val="2F06424D"/>
    <w:rsid w:val="3DE91347"/>
    <w:rsid w:val="3F657637"/>
    <w:rsid w:val="411D409E"/>
    <w:rsid w:val="4160643C"/>
    <w:rsid w:val="416B7A5A"/>
    <w:rsid w:val="43B87ADC"/>
    <w:rsid w:val="46F91266"/>
    <w:rsid w:val="494D6B89"/>
    <w:rsid w:val="49D13669"/>
    <w:rsid w:val="4D8A6B5C"/>
    <w:rsid w:val="4DA4699A"/>
    <w:rsid w:val="50062DD9"/>
    <w:rsid w:val="50463BE0"/>
    <w:rsid w:val="512B5D60"/>
    <w:rsid w:val="535F7AB3"/>
    <w:rsid w:val="54881046"/>
    <w:rsid w:val="59A15799"/>
    <w:rsid w:val="5BE64154"/>
    <w:rsid w:val="5C06142A"/>
    <w:rsid w:val="61542785"/>
    <w:rsid w:val="63B951DE"/>
    <w:rsid w:val="6A807BD9"/>
    <w:rsid w:val="6AC35AEB"/>
    <w:rsid w:val="6C3F3738"/>
    <w:rsid w:val="6DEB6063"/>
    <w:rsid w:val="6E2C5D6A"/>
    <w:rsid w:val="6EBD65BB"/>
    <w:rsid w:val="709A4A56"/>
    <w:rsid w:val="70FB773A"/>
    <w:rsid w:val="72FE3636"/>
    <w:rsid w:val="74A31D3F"/>
    <w:rsid w:val="77FF3F3E"/>
    <w:rsid w:val="7FE40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7"/>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8"/>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9"/>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31"/>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3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2"/>
    <w:unhideWhenUsed/>
    <w:qFormat/>
    <w:uiPriority w:val="99"/>
    <w:pPr>
      <w:jc w:val="left"/>
    </w:pPr>
  </w:style>
  <w:style w:type="paragraph" w:styleId="12">
    <w:name w:val="Balloon Text"/>
    <w:basedOn w:val="1"/>
    <w:link w:val="54"/>
    <w:semiHidden/>
    <w:unhideWhenUsed/>
    <w:qFormat/>
    <w:uiPriority w:val="99"/>
    <w:rPr>
      <w:sz w:val="18"/>
      <w:szCs w:val="18"/>
    </w:rPr>
  </w:style>
  <w:style w:type="paragraph" w:styleId="13">
    <w:name w:val="footer"/>
    <w:basedOn w:val="1"/>
    <w:link w:val="45"/>
    <w:unhideWhenUsed/>
    <w:qFormat/>
    <w:uiPriority w:val="99"/>
    <w:pPr>
      <w:tabs>
        <w:tab w:val="center" w:pos="4153"/>
        <w:tab w:val="right" w:pos="8306"/>
      </w:tabs>
      <w:snapToGrid w:val="0"/>
      <w:jc w:val="left"/>
    </w:pPr>
    <w:rPr>
      <w:sz w:val="18"/>
      <w:szCs w:val="18"/>
    </w:rPr>
  </w:style>
  <w:style w:type="paragraph" w:styleId="14">
    <w:name w:val="header"/>
    <w:basedOn w:val="1"/>
    <w:link w:val="44"/>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footnote text"/>
    <w:basedOn w:val="1"/>
    <w:link w:val="59"/>
    <w:semiHidden/>
    <w:unhideWhenUsed/>
    <w:qFormat/>
    <w:uiPriority w:val="99"/>
    <w:pPr>
      <w:snapToGrid w:val="0"/>
      <w:ind w:firstLine="200" w:firstLineChars="200"/>
      <w:jc w:val="left"/>
    </w:pPr>
    <w:rPr>
      <w:rFonts w:ascii="Times New Roman" w:hAnsi="Times New Roman" w:eastAsia="宋体"/>
      <w:sz w:val="18"/>
      <w:szCs w:val="18"/>
      <w14:ligatures w14:val="none"/>
    </w:rPr>
  </w:style>
  <w:style w:type="paragraph" w:styleId="17">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53"/>
    <w:semiHidden/>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ndnote reference"/>
    <w:basedOn w:val="21"/>
    <w:semiHidden/>
    <w:unhideWhenUsed/>
    <w:qFormat/>
    <w:uiPriority w:val="99"/>
    <w:rPr>
      <w:vertAlign w:val="superscript"/>
    </w:rPr>
  </w:style>
  <w:style w:type="character" w:styleId="23">
    <w:name w:val="Hyperlink"/>
    <w:basedOn w:val="21"/>
    <w:qFormat/>
    <w:uiPriority w:val="0"/>
    <w:rPr>
      <w:color w:val="0000FF"/>
      <w:u w:val="single"/>
    </w:rPr>
  </w:style>
  <w:style w:type="character" w:styleId="24">
    <w:name w:val="annotation reference"/>
    <w:basedOn w:val="21"/>
    <w:semiHidden/>
    <w:unhideWhenUsed/>
    <w:qFormat/>
    <w:uiPriority w:val="99"/>
    <w:rPr>
      <w:sz w:val="21"/>
      <w:szCs w:val="21"/>
    </w:rPr>
  </w:style>
  <w:style w:type="character" w:styleId="25">
    <w:name w:val="footnote reference"/>
    <w:basedOn w:val="21"/>
    <w:semiHidden/>
    <w:unhideWhenUsed/>
    <w:qFormat/>
    <w:uiPriority w:val="99"/>
    <w:rPr>
      <w:vertAlign w:val="superscript"/>
    </w:rPr>
  </w:style>
  <w:style w:type="character" w:customStyle="1" w:styleId="26">
    <w:name w:val="标题 1 字符"/>
    <w:basedOn w:val="21"/>
    <w:link w:val="2"/>
    <w:qFormat/>
    <w:uiPriority w:val="9"/>
    <w:rPr>
      <w:rFonts w:asciiTheme="majorHAnsi" w:hAnsiTheme="majorHAnsi" w:eastAsiaTheme="majorEastAsia" w:cstheme="majorBidi"/>
      <w:color w:val="376092" w:themeColor="accent1" w:themeShade="BF"/>
      <w:sz w:val="48"/>
      <w:szCs w:val="48"/>
    </w:rPr>
  </w:style>
  <w:style w:type="character" w:customStyle="1" w:styleId="27">
    <w:name w:val="标题 2 字符"/>
    <w:basedOn w:val="21"/>
    <w:link w:val="3"/>
    <w:qFormat/>
    <w:uiPriority w:val="9"/>
    <w:rPr>
      <w:rFonts w:asciiTheme="majorHAnsi" w:hAnsiTheme="majorHAnsi" w:eastAsiaTheme="majorEastAsia" w:cstheme="majorBidi"/>
      <w:color w:val="376092" w:themeColor="accent1" w:themeShade="BF"/>
      <w:sz w:val="40"/>
      <w:szCs w:val="40"/>
    </w:rPr>
  </w:style>
  <w:style w:type="character" w:customStyle="1" w:styleId="28">
    <w:name w:val="标题 3 字符"/>
    <w:basedOn w:val="21"/>
    <w:link w:val="4"/>
    <w:qFormat/>
    <w:uiPriority w:val="9"/>
    <w:rPr>
      <w:rFonts w:asciiTheme="majorHAnsi" w:hAnsiTheme="majorHAnsi" w:eastAsiaTheme="majorEastAsia" w:cstheme="majorBidi"/>
      <w:color w:val="376092" w:themeColor="accent1" w:themeShade="BF"/>
      <w:sz w:val="32"/>
      <w:szCs w:val="32"/>
    </w:rPr>
  </w:style>
  <w:style w:type="character" w:customStyle="1" w:styleId="29">
    <w:name w:val="标题 4 字符"/>
    <w:basedOn w:val="21"/>
    <w:link w:val="5"/>
    <w:semiHidden/>
    <w:qFormat/>
    <w:uiPriority w:val="9"/>
    <w:rPr>
      <w:rFonts w:cstheme="majorBidi"/>
      <w:color w:val="376092" w:themeColor="accent1" w:themeShade="BF"/>
      <w:sz w:val="28"/>
      <w:szCs w:val="28"/>
    </w:rPr>
  </w:style>
  <w:style w:type="character" w:customStyle="1" w:styleId="30">
    <w:name w:val="标题 5 字符"/>
    <w:basedOn w:val="21"/>
    <w:link w:val="6"/>
    <w:semiHidden/>
    <w:qFormat/>
    <w:uiPriority w:val="9"/>
    <w:rPr>
      <w:rFonts w:cstheme="majorBidi"/>
      <w:color w:val="376092" w:themeColor="accent1" w:themeShade="BF"/>
      <w:sz w:val="24"/>
      <w:szCs w:val="24"/>
    </w:rPr>
  </w:style>
  <w:style w:type="character" w:customStyle="1" w:styleId="31">
    <w:name w:val="标题 6 字符"/>
    <w:basedOn w:val="21"/>
    <w:link w:val="7"/>
    <w:semiHidden/>
    <w:qFormat/>
    <w:uiPriority w:val="9"/>
    <w:rPr>
      <w:rFonts w:cstheme="majorBidi"/>
      <w:b/>
      <w:bCs/>
      <w:color w:val="376092" w:themeColor="accent1" w:themeShade="BF"/>
    </w:rPr>
  </w:style>
  <w:style w:type="character" w:customStyle="1" w:styleId="32">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字符"/>
    <w:basedOn w:val="21"/>
    <w:link w:val="17"/>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1"/>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明显强调1"/>
    <w:basedOn w:val="21"/>
    <w:qFormat/>
    <w:uiPriority w:val="21"/>
    <w:rPr>
      <w:i/>
      <w:iCs/>
      <w:color w:val="376092" w:themeColor="accent1" w:themeShade="BF"/>
    </w:rPr>
  </w:style>
  <w:style w:type="paragraph" w:styleId="41">
    <w:name w:val="Intense Quote"/>
    <w:basedOn w:val="1"/>
    <w:next w:val="1"/>
    <w:link w:val="42"/>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42">
    <w:name w:val="明显引用 字符"/>
    <w:basedOn w:val="21"/>
    <w:link w:val="41"/>
    <w:qFormat/>
    <w:uiPriority w:val="30"/>
    <w:rPr>
      <w:i/>
      <w:iCs/>
      <w:color w:val="376092" w:themeColor="accent1" w:themeShade="BF"/>
    </w:rPr>
  </w:style>
  <w:style w:type="character" w:customStyle="1" w:styleId="43">
    <w:name w:val="明显参考1"/>
    <w:basedOn w:val="21"/>
    <w:qFormat/>
    <w:uiPriority w:val="32"/>
    <w:rPr>
      <w:b/>
      <w:bCs/>
      <w:smallCaps/>
      <w:color w:val="376092" w:themeColor="accent1" w:themeShade="BF"/>
      <w:spacing w:val="5"/>
    </w:rPr>
  </w:style>
  <w:style w:type="character" w:customStyle="1" w:styleId="44">
    <w:name w:val="页眉 字符"/>
    <w:basedOn w:val="21"/>
    <w:link w:val="14"/>
    <w:qFormat/>
    <w:uiPriority w:val="99"/>
    <w:rPr>
      <w:sz w:val="18"/>
      <w:szCs w:val="18"/>
    </w:rPr>
  </w:style>
  <w:style w:type="character" w:customStyle="1" w:styleId="45">
    <w:name w:val="页脚 字符"/>
    <w:basedOn w:val="21"/>
    <w:link w:val="13"/>
    <w:qFormat/>
    <w:uiPriority w:val="99"/>
    <w:rPr>
      <w:sz w:val="18"/>
      <w:szCs w:val="18"/>
    </w:rPr>
  </w:style>
  <w:style w:type="paragraph" w:customStyle="1" w:styleId="46">
    <w:name w:val="p31"/>
    <w:basedOn w:val="1"/>
    <w:qFormat/>
    <w:uiPriority w:val="0"/>
    <w:pPr>
      <w:widowControl/>
      <w:spacing w:line="360" w:lineRule="atLeast"/>
    </w:pPr>
    <w:rPr>
      <w:rFonts w:ascii="Calibri" w:hAnsi="Calibri" w:eastAsia="宋体" w:cs="Times New Roman"/>
      <w:kern w:val="0"/>
      <w:sz w:val="24"/>
      <w:szCs w:val="21"/>
      <w14:ligatures w14:val="none"/>
    </w:rPr>
  </w:style>
  <w:style w:type="paragraph" w:customStyle="1" w:styleId="47">
    <w:name w:val="书目1"/>
    <w:basedOn w:val="1"/>
    <w:next w:val="1"/>
    <w:unhideWhenUsed/>
    <w:qFormat/>
    <w:uiPriority w:val="37"/>
    <w:pPr>
      <w:tabs>
        <w:tab w:val="left" w:pos="384"/>
      </w:tabs>
      <w:ind w:left="384" w:hanging="384"/>
    </w:pPr>
  </w:style>
  <w:style w:type="character" w:customStyle="1" w:styleId="48">
    <w:name w:val="MTEquationSection"/>
    <w:basedOn w:val="21"/>
    <w:qFormat/>
    <w:uiPriority w:val="0"/>
    <w:rPr>
      <w:vanish/>
      <w:color w:val="FF0000"/>
    </w:rPr>
  </w:style>
  <w:style w:type="paragraph" w:customStyle="1" w:styleId="49">
    <w:name w:val="MTDisplayEquation"/>
    <w:basedOn w:val="1"/>
    <w:next w:val="1"/>
    <w:link w:val="50"/>
    <w:qFormat/>
    <w:uiPriority w:val="0"/>
    <w:pPr>
      <w:tabs>
        <w:tab w:val="center" w:pos="4200"/>
        <w:tab w:val="right" w:pos="8400"/>
      </w:tabs>
      <w:ind w:firstLine="200" w:firstLineChars="200"/>
    </w:pPr>
    <w:rPr>
      <w:rFonts w:cs="Times New Roman"/>
      <w:szCs w:val="24"/>
    </w:rPr>
  </w:style>
  <w:style w:type="character" w:customStyle="1" w:styleId="50">
    <w:name w:val="MTDisplayEquation 字符"/>
    <w:basedOn w:val="21"/>
    <w:link w:val="49"/>
    <w:qFormat/>
    <w:uiPriority w:val="0"/>
    <w:rPr>
      <w:rFonts w:asciiTheme="minorHAnsi" w:hAnsiTheme="minorHAnsi" w:eastAsiaTheme="minorEastAsia"/>
      <w:kern w:val="2"/>
      <w:sz w:val="21"/>
      <w:szCs w:val="24"/>
      <w14:ligatures w14:val="standardContextual"/>
    </w:rPr>
  </w:style>
  <w:style w:type="paragraph" w:customStyle="1" w:styleId="51">
    <w:name w:val="书目2"/>
    <w:basedOn w:val="1"/>
    <w:next w:val="1"/>
    <w:unhideWhenUsed/>
    <w:qFormat/>
    <w:uiPriority w:val="37"/>
  </w:style>
  <w:style w:type="character" w:customStyle="1" w:styleId="52">
    <w:name w:val="批注文字 字符"/>
    <w:basedOn w:val="21"/>
    <w:link w:val="11"/>
    <w:qFormat/>
    <w:uiPriority w:val="99"/>
    <w:rPr>
      <w:rFonts w:asciiTheme="minorHAnsi" w:hAnsiTheme="minorHAnsi" w:eastAsiaTheme="minorEastAsia" w:cstheme="minorBidi"/>
      <w:kern w:val="2"/>
      <w:sz w:val="21"/>
      <w:szCs w:val="22"/>
      <w14:ligatures w14:val="standardContextual"/>
    </w:rPr>
  </w:style>
  <w:style w:type="character" w:customStyle="1" w:styleId="53">
    <w:name w:val="批注主题 字符"/>
    <w:basedOn w:val="52"/>
    <w:link w:val="18"/>
    <w:semiHidden/>
    <w:qFormat/>
    <w:uiPriority w:val="99"/>
    <w:rPr>
      <w:rFonts w:asciiTheme="minorHAnsi" w:hAnsiTheme="minorHAnsi" w:eastAsiaTheme="minorEastAsia" w:cstheme="minorBidi"/>
      <w:b/>
      <w:bCs/>
      <w:kern w:val="2"/>
      <w:sz w:val="21"/>
      <w:szCs w:val="22"/>
      <w14:ligatures w14:val="standardContextual"/>
    </w:rPr>
  </w:style>
  <w:style w:type="character" w:customStyle="1" w:styleId="54">
    <w:name w:val="批注框文本 字符"/>
    <w:basedOn w:val="21"/>
    <w:link w:val="12"/>
    <w:semiHidden/>
    <w:qFormat/>
    <w:uiPriority w:val="99"/>
    <w:rPr>
      <w:rFonts w:asciiTheme="minorHAnsi" w:hAnsiTheme="minorHAnsi" w:eastAsiaTheme="minorEastAsia" w:cstheme="minorBidi"/>
      <w:kern w:val="2"/>
      <w:sz w:val="18"/>
      <w:szCs w:val="18"/>
      <w14:ligatures w14:val="standardContextual"/>
    </w:rPr>
  </w:style>
  <w:style w:type="paragraph" w:customStyle="1" w:styleId="55">
    <w:name w:val="修订1"/>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56">
    <w:name w:val="书目3"/>
    <w:basedOn w:val="1"/>
    <w:next w:val="1"/>
    <w:unhideWhenUsed/>
    <w:qFormat/>
    <w:uiPriority w:val="37"/>
  </w:style>
  <w:style w:type="paragraph" w:customStyle="1" w:styleId="57">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58">
    <w:name w:val="书目4"/>
    <w:basedOn w:val="1"/>
    <w:next w:val="1"/>
    <w:unhideWhenUsed/>
    <w:qFormat/>
    <w:uiPriority w:val="37"/>
  </w:style>
  <w:style w:type="character" w:customStyle="1" w:styleId="59">
    <w:name w:val="脚注文本 字符"/>
    <w:basedOn w:val="21"/>
    <w:link w:val="16"/>
    <w:semiHidden/>
    <w:qFormat/>
    <w:uiPriority w:val="99"/>
    <w:rPr>
      <w:rFonts w:cstheme="minorBidi"/>
      <w:kern w:val="2"/>
      <w:sz w:val="18"/>
      <w:szCs w:val="18"/>
    </w:rPr>
  </w:style>
  <w:style w:type="paragraph" w:customStyle="1" w:styleId="60">
    <w:name w:val="单位"/>
    <w:basedOn w:val="1"/>
    <w:link w:val="61"/>
    <w:qFormat/>
    <w:uiPriority w:val="0"/>
    <w:pPr>
      <w:spacing w:after="120" w:line="200" w:lineRule="exact"/>
      <w:ind w:firstLine="200" w:firstLineChars="200"/>
      <w:jc w:val="center"/>
    </w:pPr>
    <w:rPr>
      <w:rFonts w:ascii="Times New Roman" w:hAnsi="Times New Roman" w:eastAsia="楷体" w:cs="Times New Roman"/>
      <w:szCs w:val="21"/>
      <w14:ligatures w14:val="none"/>
    </w:rPr>
  </w:style>
  <w:style w:type="character" w:customStyle="1" w:styleId="61">
    <w:name w:val="单位 字符"/>
    <w:basedOn w:val="21"/>
    <w:link w:val="60"/>
    <w:qFormat/>
    <w:uiPriority w:val="0"/>
    <w:rPr>
      <w:rFonts w:eastAsia="楷体"/>
      <w:kern w:val="2"/>
      <w:sz w:val="21"/>
      <w:szCs w:val="21"/>
    </w:rPr>
  </w:style>
  <w:style w:type="paragraph" w:customStyle="1" w:styleId="62">
    <w:name w:val="摘要"/>
    <w:basedOn w:val="1"/>
    <w:link w:val="63"/>
    <w:qFormat/>
    <w:uiPriority w:val="0"/>
    <w:pPr>
      <w:ind w:right="374"/>
    </w:pPr>
    <w:rPr>
      <w:rFonts w:ascii="Times New Roman" w:hAnsi="Times New Roman" w:eastAsia="宋体"/>
      <w14:ligatures w14:val="none"/>
    </w:rPr>
  </w:style>
  <w:style w:type="character" w:customStyle="1" w:styleId="63">
    <w:name w:val="摘要 字符"/>
    <w:basedOn w:val="21"/>
    <w:link w:val="62"/>
    <w:qFormat/>
    <w:uiPriority w:val="0"/>
    <w:rPr>
      <w:rFonts w:cstheme="minorBidi"/>
      <w:kern w:val="2"/>
      <w:sz w:val="21"/>
      <w:szCs w:val="22"/>
    </w:rPr>
  </w:style>
  <w:style w:type="character" w:customStyle="1" w:styleId="64">
    <w:name w:val="未处理的提及1"/>
    <w:basedOn w:val="21"/>
    <w:semiHidden/>
    <w:unhideWhenUsed/>
    <w:qFormat/>
    <w:uiPriority w:val="99"/>
    <w:rPr>
      <w:color w:val="605E5C"/>
      <w:shd w:val="clear" w:color="auto" w:fill="E1DFDD"/>
    </w:rPr>
  </w:style>
  <w:style w:type="paragraph" w:customStyle="1" w:styleId="65">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6">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7">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68">
    <w:name w:val="书目5"/>
    <w:basedOn w:val="1"/>
    <w:next w:val="1"/>
    <w:unhideWhenUsed/>
    <w:qFormat/>
    <w:uiPriority w:val="37"/>
  </w:style>
  <w:style w:type="paragraph" w:customStyle="1" w:styleId="69">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sv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svg"/><Relationship Id="rId94" Type="http://schemas.openxmlformats.org/officeDocument/2006/relationships/image" Target="media/image64.png"/><Relationship Id="rId93" Type="http://schemas.openxmlformats.org/officeDocument/2006/relationships/image" Target="media/image63.wmf"/><Relationship Id="rId92" Type="http://schemas.openxmlformats.org/officeDocument/2006/relationships/oleObject" Target="embeddings/oleObject23.bin"/><Relationship Id="rId91" Type="http://schemas.openxmlformats.org/officeDocument/2006/relationships/image" Target="media/image62.wmf"/><Relationship Id="rId90" Type="http://schemas.openxmlformats.org/officeDocument/2006/relationships/oleObject" Target="embeddings/oleObject22.bin"/><Relationship Id="rId9" Type="http://schemas.openxmlformats.org/officeDocument/2006/relationships/oleObject" Target="embeddings/oleObject1.bin"/><Relationship Id="rId89" Type="http://schemas.openxmlformats.org/officeDocument/2006/relationships/image" Target="media/image61.wmf"/><Relationship Id="rId88" Type="http://schemas.openxmlformats.org/officeDocument/2006/relationships/oleObject" Target="embeddings/oleObject21.bin"/><Relationship Id="rId87" Type="http://schemas.openxmlformats.org/officeDocument/2006/relationships/image" Target="media/image60.wmf"/><Relationship Id="rId86" Type="http://schemas.openxmlformats.org/officeDocument/2006/relationships/oleObject" Target="embeddings/oleObject20.bin"/><Relationship Id="rId85" Type="http://schemas.openxmlformats.org/officeDocument/2006/relationships/image" Target="media/image59.wmf"/><Relationship Id="rId84" Type="http://schemas.openxmlformats.org/officeDocument/2006/relationships/oleObject" Target="embeddings/oleObject19.bin"/><Relationship Id="rId83" Type="http://schemas.openxmlformats.org/officeDocument/2006/relationships/image" Target="media/image58.wmf"/><Relationship Id="rId82" Type="http://schemas.openxmlformats.org/officeDocument/2006/relationships/oleObject" Target="embeddings/oleObject18.bin"/><Relationship Id="rId81" Type="http://schemas.openxmlformats.org/officeDocument/2006/relationships/image" Target="media/image57.wmf"/><Relationship Id="rId80" Type="http://schemas.openxmlformats.org/officeDocument/2006/relationships/oleObject" Target="embeddings/oleObject17.bin"/><Relationship Id="rId8" Type="http://schemas.openxmlformats.org/officeDocument/2006/relationships/image" Target="media/image1.jpeg"/><Relationship Id="rId79" Type="http://schemas.openxmlformats.org/officeDocument/2006/relationships/image" Target="media/image56.wmf"/><Relationship Id="rId78" Type="http://schemas.openxmlformats.org/officeDocument/2006/relationships/oleObject" Target="embeddings/oleObject16.bin"/><Relationship Id="rId77" Type="http://schemas.openxmlformats.org/officeDocument/2006/relationships/image" Target="media/image55.wmf"/><Relationship Id="rId76" Type="http://schemas.openxmlformats.org/officeDocument/2006/relationships/oleObject" Target="embeddings/oleObject15.bin"/><Relationship Id="rId75" Type="http://schemas.openxmlformats.org/officeDocument/2006/relationships/image" Target="media/image54.wmf"/><Relationship Id="rId74" Type="http://schemas.openxmlformats.org/officeDocument/2006/relationships/oleObject" Target="embeddings/oleObject14.bin"/><Relationship Id="rId73" Type="http://schemas.openxmlformats.org/officeDocument/2006/relationships/image" Target="media/image53.svg"/><Relationship Id="rId72" Type="http://schemas.openxmlformats.org/officeDocument/2006/relationships/image" Target="media/image52.png"/><Relationship Id="rId71" Type="http://schemas.openxmlformats.org/officeDocument/2006/relationships/image" Target="media/image51.svg"/><Relationship Id="rId70" Type="http://schemas.openxmlformats.org/officeDocument/2006/relationships/image" Target="media/image50.png"/><Relationship Id="rId7" Type="http://schemas.openxmlformats.org/officeDocument/2006/relationships/theme" Target="theme/theme1.xml"/><Relationship Id="rId69" Type="http://schemas.openxmlformats.org/officeDocument/2006/relationships/image" Target="media/image49.svg"/><Relationship Id="rId68" Type="http://schemas.openxmlformats.org/officeDocument/2006/relationships/image" Target="media/image48.png"/><Relationship Id="rId67" Type="http://schemas.openxmlformats.org/officeDocument/2006/relationships/image" Target="media/image47.svg"/><Relationship Id="rId66" Type="http://schemas.openxmlformats.org/officeDocument/2006/relationships/image" Target="media/image46.png"/><Relationship Id="rId65" Type="http://schemas.openxmlformats.org/officeDocument/2006/relationships/image" Target="media/image45.svg"/><Relationship Id="rId64" Type="http://schemas.openxmlformats.org/officeDocument/2006/relationships/image" Target="media/image44.png"/><Relationship Id="rId63" Type="http://schemas.openxmlformats.org/officeDocument/2006/relationships/image" Target="media/image43.svg"/><Relationship Id="rId62" Type="http://schemas.openxmlformats.org/officeDocument/2006/relationships/image" Target="media/image42.png"/><Relationship Id="rId61" Type="http://schemas.openxmlformats.org/officeDocument/2006/relationships/image" Target="media/image41.svg"/><Relationship Id="rId60" Type="http://schemas.openxmlformats.org/officeDocument/2006/relationships/image" Target="media/image40.png"/><Relationship Id="rId6" Type="http://schemas.openxmlformats.org/officeDocument/2006/relationships/footer" Target="footer2.xml"/><Relationship Id="rId59" Type="http://schemas.openxmlformats.org/officeDocument/2006/relationships/image" Target="media/image39.svg"/><Relationship Id="rId58" Type="http://schemas.openxmlformats.org/officeDocument/2006/relationships/image" Target="media/image38.png"/><Relationship Id="rId57" Type="http://schemas.openxmlformats.org/officeDocument/2006/relationships/image" Target="media/image37.svg"/><Relationship Id="rId56" Type="http://schemas.openxmlformats.org/officeDocument/2006/relationships/image" Target="media/image36.png"/><Relationship Id="rId55" Type="http://schemas.openxmlformats.org/officeDocument/2006/relationships/image" Target="media/image35.svg"/><Relationship Id="rId54" Type="http://schemas.openxmlformats.org/officeDocument/2006/relationships/image" Target="media/image34.png"/><Relationship Id="rId53" Type="http://schemas.openxmlformats.org/officeDocument/2006/relationships/image" Target="media/image33.svg"/><Relationship Id="rId52" Type="http://schemas.openxmlformats.org/officeDocument/2006/relationships/image" Target="media/image32.png"/><Relationship Id="rId51" Type="http://schemas.openxmlformats.org/officeDocument/2006/relationships/image" Target="media/image31.svg"/><Relationship Id="rId50" Type="http://schemas.openxmlformats.org/officeDocument/2006/relationships/image" Target="media/image30.png"/><Relationship Id="rId5" Type="http://schemas.openxmlformats.org/officeDocument/2006/relationships/footer" Target="footer1.xml"/><Relationship Id="rId49" Type="http://schemas.openxmlformats.org/officeDocument/2006/relationships/image" Target="media/image29.svg"/><Relationship Id="rId48" Type="http://schemas.openxmlformats.org/officeDocument/2006/relationships/image" Target="media/image28.png"/><Relationship Id="rId47" Type="http://schemas.openxmlformats.org/officeDocument/2006/relationships/image" Target="media/image27.svg"/><Relationship Id="rId46" Type="http://schemas.openxmlformats.org/officeDocument/2006/relationships/image" Target="media/image26.png"/><Relationship Id="rId45" Type="http://schemas.openxmlformats.org/officeDocument/2006/relationships/image" Target="media/image25.svg"/><Relationship Id="rId44" Type="http://schemas.openxmlformats.org/officeDocument/2006/relationships/image" Target="media/image24.png"/><Relationship Id="rId43" Type="http://schemas.openxmlformats.org/officeDocument/2006/relationships/image" Target="media/image23.svg"/><Relationship Id="rId42" Type="http://schemas.openxmlformats.org/officeDocument/2006/relationships/image" Target="media/image22.png"/><Relationship Id="rId41" Type="http://schemas.openxmlformats.org/officeDocument/2006/relationships/image" Target="media/image21.sv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svg"/><Relationship Id="rId38" Type="http://schemas.openxmlformats.org/officeDocument/2006/relationships/image" Target="media/image18.png"/><Relationship Id="rId37" Type="http://schemas.openxmlformats.org/officeDocument/2006/relationships/image" Target="media/image17.svg"/><Relationship Id="rId36" Type="http://schemas.openxmlformats.org/officeDocument/2006/relationships/image" Target="media/image16.png"/><Relationship Id="rId35" Type="http://schemas.openxmlformats.org/officeDocument/2006/relationships/image" Target="media/image15.wmf"/><Relationship Id="rId34" Type="http://schemas.openxmlformats.org/officeDocument/2006/relationships/oleObject" Target="embeddings/oleObject13.bin"/><Relationship Id="rId33" Type="http://schemas.openxmlformats.org/officeDocument/2006/relationships/image" Target="media/image14.wmf"/><Relationship Id="rId32" Type="http://schemas.openxmlformats.org/officeDocument/2006/relationships/oleObject" Target="embeddings/oleObject12.bin"/><Relationship Id="rId31" Type="http://schemas.openxmlformats.org/officeDocument/2006/relationships/image" Target="media/image13.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image" Target="media/image76.svg"/><Relationship Id="rId105" Type="http://schemas.openxmlformats.org/officeDocument/2006/relationships/image" Target="media/image75.png"/><Relationship Id="rId104" Type="http://schemas.openxmlformats.org/officeDocument/2006/relationships/image" Target="media/image74.svg"/><Relationship Id="rId103" Type="http://schemas.openxmlformats.org/officeDocument/2006/relationships/image" Target="media/image73.png"/><Relationship Id="rId102" Type="http://schemas.openxmlformats.org/officeDocument/2006/relationships/image" Target="media/image72.svg"/><Relationship Id="rId101" Type="http://schemas.openxmlformats.org/officeDocument/2006/relationships/image" Target="media/image71.png"/><Relationship Id="rId100" Type="http://schemas.openxmlformats.org/officeDocument/2006/relationships/image" Target="media/image70.sv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C12CA-68CD-4DA2-8300-02DC13C01DF3}">
  <ds:schemaRefs/>
</ds:datastoreItem>
</file>

<file path=docProps/app.xml><?xml version="1.0" encoding="utf-8"?>
<Properties xmlns="http://schemas.openxmlformats.org/officeDocument/2006/extended-properties" xmlns:vt="http://schemas.openxmlformats.org/officeDocument/2006/docPropsVTypes">
  <Template>Normal</Template>
  <Pages>15</Pages>
  <Words>3454</Words>
  <Characters>5874</Characters>
  <Lines>197</Lines>
  <Paragraphs>55</Paragraphs>
  <TotalTime>13</TotalTime>
  <ScaleCrop>false</ScaleCrop>
  <LinksUpToDate>false</LinksUpToDate>
  <CharactersWithSpaces>6373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2025-11-07T09:33:00Z</dcterms:created>
  <dc:creator>zi niu</dc:creator>
  <cp:lastModifiedBy>王璐</cp:lastModifiedBy>
  <cp:lastPrinted>2025-11-10T07:59:00Z</cp:lastPrinted>
  <dcterms:modified xsi:type="dcterms:W3CDTF">2025-12-01T02:16:07Z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EA9BD48D60054C6FBE23C89AB3B3348D_13</vt:lpwstr>
  </property>
  <property fmtid="{D5CDD505-2E9C-101B-9397-08002B2CF9AE}" pid="4" name="ZOTERO_PREF_1">
    <vt:lpwstr>&lt;data data-version="3" zotero-version="6.0.36"&gt;&lt;session id="w1XXMQiy"/&gt;&lt;style id="http://www.zotero.org/styles/gb-t-7714-2015-numeric-bilingual-no-uppercase-no-url-doi" hasBibliography="1" bibliographyStyleHasBeenSet="1"/&gt;&lt;prefs&gt;&lt;pref name="fieldType" val</vt:lpwstr>
  </property>
  <property fmtid="{D5CDD505-2E9C-101B-9397-08002B2CF9AE}" pid="5" name="ZOTERO_PREF_2">
    <vt:lpwstr>ue="Field"/&gt;&lt;/prefs&gt;&lt;/data&gt;</vt:lpwstr>
  </property>
  <property fmtid="{D5CDD505-2E9C-101B-9397-08002B2CF9AE}" pid="6" name="MTEquationSection">
    <vt:lpwstr>1</vt:lpwstr>
  </property>
  <property fmtid="{D5CDD505-2E9C-101B-9397-08002B2CF9AE}" pid="7" name="MTWinEqns">
    <vt:bool>true</vt:bool>
  </property>
  <property fmtid="{D5CDD505-2E9C-101B-9397-08002B2CF9AE}" pid="8" name="KSOTemplateDocerSaveRecord">
    <vt:lpwstr>eyJoZGlkIjoiNGJjZWI2NmMzYjBlM2UyZGMwZjUwNDQyMjU3NjRlOGUiLCJ1c2VySWQiOiIzNjMyNDI1ODUifQ==</vt:lpwstr>
  </property>
  <property fmtid="{D5CDD505-2E9C-101B-9397-08002B2CF9AE}" pid="9" name="MTEquationNumber2">
    <vt:lpwstr>(#E1)</vt:lpwstr>
  </property>
</Properties>
</file>