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3EEE0D">
      <w:pPr>
        <w:pStyle w:val="28"/>
        <w:rPr>
          <w:sz w:val="44"/>
        </w:rPr>
      </w:pPr>
      <w:bookmarkStart w:id="36" w:name="_GoBack"/>
      <w:bookmarkEnd w:id="36"/>
      <w:r>
        <w:fldChar w:fldCharType="begin"/>
      </w:r>
      <w:r>
        <w:instrText xml:space="preserve"> MACROBUTTON MTEditEquationSection2 </w:instrText>
      </w:r>
      <w:r>
        <w:rPr>
          <w:rStyle w:val="90"/>
          <w:rFonts w:hint="eastAsia"/>
          <w:bCs w:val="0"/>
          <w:color w:val="auto"/>
        </w:rPr>
        <w:instrText xml:space="preserve">公式章</w:instrText>
      </w:r>
      <w:r>
        <w:rPr>
          <w:rStyle w:val="90"/>
          <w:bCs w:val="0"/>
          <w:color w:val="auto"/>
        </w:rPr>
        <w:instrText xml:space="preserve"> 1 节 1</w:instrText>
      </w:r>
      <w:r>
        <w:fldChar w:fldCharType="begin"/>
      </w:r>
      <w:r>
        <w:instrText xml:space="preserve"> SEQ MTEqn \r \h \* MERGEFORMAT </w:instrText>
      </w:r>
      <w:r>
        <w:fldChar w:fldCharType="end"/>
      </w:r>
      <w:r>
        <w:fldChar w:fldCharType="begin"/>
      </w:r>
      <w:r>
        <w:instrText xml:space="preserve"> SEQ MTSec \r 1 \h \* MERGEFORMAT </w:instrText>
      </w:r>
      <w:r>
        <w:fldChar w:fldCharType="end"/>
      </w:r>
      <w:r>
        <w:fldChar w:fldCharType="begin"/>
      </w:r>
      <w:r>
        <w:instrText xml:space="preserve"> SEQ MTChap \r 1 \h \* MERGEFORMAT </w:instrText>
      </w:r>
      <w:r>
        <w:fldChar w:fldCharType="end"/>
      </w:r>
      <w:r>
        <w:fldChar w:fldCharType="end"/>
      </w:r>
      <w:bookmarkStart w:id="0" w:name="_Hlk195274287"/>
      <w:bookmarkStart w:id="1" w:name="_Hlk207637892"/>
      <w:r>
        <w:rPr>
          <w:rFonts w:hint="eastAsia"/>
          <w:sz w:val="44"/>
        </w:rPr>
        <w:t>基于熵产的发电进水口无级分层取水</w:t>
      </w:r>
    </w:p>
    <w:p w14:paraId="07E3D4CA">
      <w:pPr>
        <w:pStyle w:val="29"/>
        <w:rPr>
          <w:rFonts w:ascii="黑体" w:hAnsi="黑体" w:eastAsia="黑体" w:cs="Times New Roman"/>
          <w:bCs/>
          <w:kern w:val="44"/>
          <w:sz w:val="36"/>
          <w:szCs w:val="36"/>
        </w:rPr>
      </w:pPr>
      <w:r>
        <w:rPr>
          <w:rFonts w:hint="eastAsia" w:ascii="黑体" w:hAnsi="黑体" w:eastAsia="黑体" w:cs="Times New Roman"/>
          <w:bCs/>
          <w:kern w:val="44"/>
          <w:sz w:val="44"/>
          <w:szCs w:val="44"/>
        </w:rPr>
        <w:t>能量损失研究</w:t>
      </w:r>
      <w:bookmarkEnd w:id="0"/>
    </w:p>
    <w:bookmarkEnd w:id="1"/>
    <w:p w14:paraId="4A66EFAC">
      <w:pPr>
        <w:pStyle w:val="29"/>
      </w:pPr>
      <w:r>
        <w:rPr>
          <w:rFonts w:hint="eastAsia"/>
        </w:rPr>
        <w:t>戚加欢</w:t>
      </w:r>
      <w:r>
        <w:rPr>
          <w:vertAlign w:val="superscript"/>
        </w:rPr>
        <w:t>1</w:t>
      </w:r>
      <w:r>
        <w:t>，</w:t>
      </w:r>
      <w:r>
        <w:rPr>
          <w:rFonts w:hint="eastAsia"/>
        </w:rPr>
        <w:t>刘珂</w:t>
      </w:r>
      <w:r>
        <w:rPr>
          <w:vertAlign w:val="superscript"/>
        </w:rPr>
        <w:t>1</w:t>
      </w:r>
      <w:r>
        <w:t>，</w:t>
      </w:r>
      <w:r>
        <w:rPr>
          <w:rFonts w:hint="eastAsia"/>
        </w:rPr>
        <w:t>王兴恩</w:t>
      </w:r>
      <w:r>
        <w:rPr>
          <w:vertAlign w:val="superscript"/>
        </w:rPr>
        <w:t>2</w:t>
      </w:r>
      <w:r>
        <w:rPr>
          <w:rFonts w:hint="eastAsia"/>
        </w:rPr>
        <w:t>，赵建平</w:t>
      </w:r>
      <w:r>
        <w:rPr>
          <w:vertAlign w:val="superscript"/>
        </w:rPr>
        <w:t>1</w:t>
      </w:r>
      <w:r>
        <w:t>，</w:t>
      </w:r>
      <w:r>
        <w:rPr>
          <w:rFonts w:hint="eastAsia"/>
        </w:rPr>
        <w:t>李君</w:t>
      </w:r>
      <w:r>
        <w:rPr>
          <w:vertAlign w:val="superscript"/>
        </w:rPr>
        <w:t>1</w:t>
      </w:r>
    </w:p>
    <w:p w14:paraId="6A056C5A">
      <w:pPr>
        <w:pStyle w:val="30"/>
        <w:spacing w:after="156" w:afterLines="50"/>
        <w:ind w:left="420" w:right="420" w:rightChars="200" w:firstLine="0"/>
        <w:rPr>
          <w:rFonts w:ascii="Times New Roman" w:hAnsi="Times New Roman" w:eastAsia="仿宋" w:cs="Times New Roman"/>
        </w:rPr>
      </w:pPr>
      <w:r>
        <w:rPr>
          <w:rFonts w:hint="eastAsia" w:ascii="Times New Roman" w:hAnsi="Times New Roman" w:eastAsia="仿宋" w:cs="Times New Roman"/>
        </w:rPr>
        <w:t>（1.</w:t>
      </w:r>
      <w:r>
        <w:rPr>
          <w:rFonts w:ascii="Times New Roman" w:hAnsi="Times New Roman" w:eastAsia="仿宋" w:cs="Times New Roman"/>
        </w:rPr>
        <w:t xml:space="preserve"> </w:t>
      </w:r>
      <w:bookmarkStart w:id="2" w:name="_Hlk207637928"/>
      <w:r>
        <w:rPr>
          <w:rFonts w:hint="eastAsia" w:ascii="Times New Roman" w:hAnsi="Times New Roman" w:eastAsia="仿宋" w:cs="Times New Roman"/>
        </w:rPr>
        <w:t>水利部 交通运输部 国家能源局 南京水利科学研究院</w:t>
      </w:r>
      <w:bookmarkEnd w:id="2"/>
      <w:r>
        <w:rPr>
          <w:rFonts w:hint="eastAsia" w:ascii="Times New Roman" w:hAnsi="Times New Roman" w:eastAsia="仿宋" w:cs="Times New Roman"/>
        </w:rPr>
        <w:t xml:space="preserve">，江苏 南京 </w:t>
      </w:r>
      <w:r>
        <w:rPr>
          <w:rFonts w:ascii="Times New Roman" w:hAnsi="Times New Roman" w:eastAsia="仿宋" w:cs="Times New Roman"/>
        </w:rPr>
        <w:t>210029</w:t>
      </w:r>
      <w:r>
        <w:rPr>
          <w:rFonts w:hint="eastAsia" w:ascii="Times New Roman" w:hAnsi="Times New Roman" w:eastAsia="仿宋" w:cs="Times New Roman"/>
        </w:rPr>
        <w:t>；</w:t>
      </w:r>
      <w:r>
        <w:rPr>
          <w:rFonts w:ascii="Times New Roman" w:hAnsi="Times New Roman" w:eastAsia="仿宋" w:cs="Times New Roman"/>
        </w:rPr>
        <w:br w:type="textWrapping"/>
      </w:r>
      <w:r>
        <w:rPr>
          <w:rFonts w:hint="eastAsia" w:ascii="Times New Roman" w:hAnsi="Times New Roman" w:eastAsia="仿宋" w:cs="Times New Roman"/>
        </w:rPr>
        <w:t>2. 中国电建集团贵阳勘测设计研究院有限公司，贵州</w:t>
      </w:r>
      <w:r>
        <w:rPr>
          <w:rFonts w:ascii="Times New Roman" w:hAnsi="Times New Roman" w:eastAsia="仿宋" w:cs="Times New Roman"/>
        </w:rPr>
        <w:t xml:space="preserve"> </w:t>
      </w:r>
      <w:r>
        <w:rPr>
          <w:rFonts w:hint="eastAsia" w:ascii="Times New Roman" w:hAnsi="Times New Roman" w:eastAsia="仿宋" w:cs="Times New Roman"/>
        </w:rPr>
        <w:t xml:space="preserve">贵阳 </w:t>
      </w:r>
      <w:r>
        <w:rPr>
          <w:rFonts w:ascii="Times New Roman" w:hAnsi="Times New Roman" w:eastAsia="仿宋" w:cs="Times New Roman"/>
        </w:rPr>
        <w:t>553304</w:t>
      </w:r>
      <w:r>
        <w:rPr>
          <w:rFonts w:hint="eastAsia" w:ascii="Times New Roman" w:hAnsi="Times New Roman" w:eastAsia="仿宋" w:cs="Times New Roman"/>
        </w:rPr>
        <w:t>）</w:t>
      </w:r>
    </w:p>
    <w:p w14:paraId="6D1AB4D9">
      <w:pPr>
        <w:pStyle w:val="32"/>
        <w:snapToGrid w:val="0"/>
        <w:spacing w:afterLines="0"/>
        <w:jc w:val="both"/>
        <w:rPr>
          <w:rFonts w:ascii="Times New Roman" w:hAnsi="Times New Roman" w:cs="Times New Roman"/>
        </w:rPr>
      </w:pPr>
      <w:r>
        <w:rPr>
          <w:rFonts w:ascii="黑体" w:hAnsi="黑体" w:eastAsia="黑体" w:cs="Times New Roman"/>
          <w:b/>
          <w:sz w:val="21"/>
          <w:szCs w:val="21"/>
        </w:rPr>
        <w:t>摘  要：</w:t>
      </w:r>
      <w:r>
        <w:rPr>
          <w:rFonts w:hint="eastAsia" w:ascii="黑体" w:hAnsi="黑体" w:eastAsia="黑体" w:cs="Times New Roman"/>
          <w:b/>
          <w:sz w:val="21"/>
          <w:szCs w:val="21"/>
        </w:rPr>
        <w:t>【</w:t>
      </w:r>
      <w:r>
        <w:rPr>
          <w:rFonts w:hint="eastAsia" w:ascii="楷体" w:hAnsi="楷体" w:eastAsia="楷体" w:cs="Times New Roman"/>
          <w:bCs/>
          <w:sz w:val="21"/>
          <w:szCs w:val="21"/>
        </w:rPr>
        <w:t>目的</w:t>
      </w:r>
      <w:r>
        <w:rPr>
          <w:rFonts w:hint="eastAsia" w:ascii="黑体" w:hAnsi="黑体" w:eastAsia="黑体" w:cs="Times New Roman"/>
          <w:b/>
          <w:sz w:val="21"/>
          <w:szCs w:val="21"/>
        </w:rPr>
        <w:t>】</w:t>
      </w:r>
      <w:r>
        <w:rPr>
          <w:rFonts w:hint="eastAsia" w:ascii="Times New Roman" w:hAnsi="Times New Roman" w:eastAsia="楷体" w:cs="Times New Roman"/>
          <w:bCs/>
          <w:sz w:val="21"/>
          <w:szCs w:val="21"/>
        </w:rPr>
        <w:t>针对无级分层取水系统中门叶组合与取水层位变化引发的局部流态扰动难以通过传统水头损失方法定量表征的问题，探究其复杂结构条件下的耗散特性及空间分布规律，为复杂水工结构条件下能量损失的识别与优化提供方法支撑。【方法】基于熵产理论构建分项能耗分析框架，在1:</w:t>
      </w:r>
      <w:r>
        <w:rPr>
          <w:rFonts w:ascii="Times New Roman" w:hAnsi="Times New Roman" w:eastAsia="楷体" w:cs="Times New Roman"/>
          <w:bCs/>
          <w:sz w:val="21"/>
          <w:szCs w:val="21"/>
        </w:rPr>
        <w:t>20</w:t>
      </w:r>
      <w:r>
        <w:rPr>
          <w:rFonts w:hint="eastAsia" w:ascii="Times New Roman" w:hAnsi="Times New Roman" w:eastAsia="楷体" w:cs="Times New Roman"/>
          <w:bCs/>
          <w:sz w:val="21"/>
          <w:szCs w:val="21"/>
        </w:rPr>
        <w:t>物理模型试验验证的基础上，利用三维数值模拟量化分析典型工况下进水口系统的</w:t>
      </w:r>
      <w:r>
        <w:rPr>
          <w:rFonts w:hint="eastAsia" w:ascii="Times New Roman" w:hAnsi="Times New Roman" w:eastAsia="楷体" w:cs="Times New Roman"/>
          <w:bCs/>
          <w:sz w:val="21"/>
          <w:szCs w:val="21"/>
          <w:shd w:val="clear" w:color="auto" w:fill="FFFFFF"/>
        </w:rPr>
        <w:t>黏性</w:t>
      </w:r>
      <w:r>
        <w:rPr>
          <w:rFonts w:hint="eastAsia" w:ascii="Times New Roman" w:hAnsi="Times New Roman" w:eastAsia="楷体" w:cs="Times New Roman"/>
          <w:bCs/>
          <w:sz w:val="21"/>
          <w:szCs w:val="21"/>
        </w:rPr>
        <w:t>耗散（E</w:t>
      </w:r>
      <w:r>
        <w:rPr>
          <w:rFonts w:ascii="Times New Roman" w:hAnsi="Times New Roman" w:eastAsia="楷体" w:cs="Times New Roman"/>
          <w:bCs/>
          <w:sz w:val="21"/>
          <w:szCs w:val="21"/>
        </w:rPr>
        <w:t>PD</w:t>
      </w:r>
      <w:r>
        <w:rPr>
          <w:rFonts w:ascii="Times New Roman" w:hAnsi="Times New Roman" w:eastAsia="楷体" w:cs="Times New Roman"/>
          <w:bCs/>
          <w:color w:val="000000"/>
          <w:sz w:val="21"/>
          <w:szCs w:val="21"/>
          <w:shd w:val="clear" w:color="auto" w:fill="FFFFFF"/>
        </w:rPr>
        <w:t>D</w:t>
      </w:r>
      <w:r>
        <w:rPr>
          <w:rFonts w:hint="eastAsia" w:ascii="Times New Roman" w:hAnsi="Times New Roman" w:eastAsia="楷体" w:cs="Times New Roman"/>
          <w:bCs/>
          <w:sz w:val="21"/>
          <w:szCs w:val="21"/>
        </w:rPr>
        <w:t>）、湍流耗散（E</w:t>
      </w:r>
      <w:r>
        <w:rPr>
          <w:rFonts w:ascii="Times New Roman" w:hAnsi="Times New Roman" w:eastAsia="楷体" w:cs="Times New Roman"/>
          <w:bCs/>
          <w:sz w:val="21"/>
          <w:szCs w:val="21"/>
        </w:rPr>
        <w:t>PT</w:t>
      </w:r>
      <w:r>
        <w:rPr>
          <w:rFonts w:ascii="Times New Roman" w:hAnsi="Times New Roman" w:eastAsia="楷体" w:cs="Times New Roman"/>
          <w:bCs/>
          <w:color w:val="000000"/>
          <w:sz w:val="21"/>
          <w:szCs w:val="21"/>
          <w:shd w:val="clear" w:color="auto" w:fill="FFFFFF"/>
        </w:rPr>
        <w:t>D</w:t>
      </w:r>
      <w:r>
        <w:rPr>
          <w:rFonts w:hint="eastAsia" w:ascii="Times New Roman" w:hAnsi="Times New Roman" w:eastAsia="楷体" w:cs="Times New Roman"/>
          <w:bCs/>
          <w:sz w:val="21"/>
          <w:szCs w:val="21"/>
        </w:rPr>
        <w:t>）和壁面摩擦耗散（E</w:t>
      </w:r>
      <w:r>
        <w:rPr>
          <w:rFonts w:ascii="Times New Roman" w:hAnsi="Times New Roman" w:eastAsia="楷体" w:cs="Times New Roman"/>
          <w:bCs/>
          <w:sz w:val="21"/>
          <w:szCs w:val="21"/>
        </w:rPr>
        <w:t>PW</w:t>
      </w:r>
      <w:r>
        <w:rPr>
          <w:rFonts w:ascii="Times New Roman" w:hAnsi="Times New Roman" w:eastAsia="楷体" w:cs="Times New Roman"/>
          <w:bCs/>
          <w:color w:val="000000"/>
          <w:sz w:val="21"/>
          <w:szCs w:val="21"/>
          <w:shd w:val="clear" w:color="auto" w:fill="FFFFFF"/>
        </w:rPr>
        <w:t>S</w:t>
      </w:r>
      <w:r>
        <w:rPr>
          <w:rFonts w:hint="eastAsia" w:ascii="Times New Roman" w:hAnsi="Times New Roman" w:eastAsia="楷体" w:cs="Times New Roman"/>
          <w:bCs/>
          <w:sz w:val="21"/>
          <w:szCs w:val="21"/>
        </w:rPr>
        <w:t>）。【结果】结果表明：系统总熵产随取水层位上移而提高，高位取水引发跌落冲击与竖井流动重构，竖井段为主要耗散区，系统最大熵产达2</w:t>
      </w:r>
      <w:r>
        <w:rPr>
          <w:rFonts w:ascii="Times New Roman" w:hAnsi="Times New Roman" w:eastAsia="楷体" w:cs="Times New Roman"/>
          <w:bCs/>
          <w:sz w:val="21"/>
          <w:szCs w:val="21"/>
        </w:rPr>
        <w:t>800.468 W</w:t>
      </w:r>
      <w:r>
        <w:rPr>
          <w:rFonts w:hint="eastAsia" w:ascii="Times New Roman" w:hAnsi="Times New Roman" w:eastAsia="楷体" w:cs="Times New Roman"/>
          <w:bCs/>
          <w:sz w:val="21"/>
          <w:szCs w:val="21"/>
        </w:rPr>
        <w:t>·</w:t>
      </w:r>
      <w:r>
        <w:rPr>
          <w:rFonts w:ascii="Times New Roman" w:hAnsi="Times New Roman" w:eastAsia="楷体" w:cs="Times New Roman"/>
          <w:bCs/>
          <w:sz w:val="21"/>
          <w:szCs w:val="21"/>
        </w:rPr>
        <w:t>K</w:t>
      </w:r>
      <w:r>
        <w:rPr>
          <w:rFonts w:ascii="Times New Roman" w:hAnsi="Times New Roman" w:eastAsia="楷体" w:cs="Times New Roman"/>
          <w:bCs/>
          <w:sz w:val="21"/>
          <w:szCs w:val="21"/>
          <w:vertAlign w:val="superscript"/>
        </w:rPr>
        <w:t>-1</w:t>
      </w:r>
      <w:r>
        <w:rPr>
          <w:rFonts w:hint="eastAsia" w:ascii="Times New Roman" w:hAnsi="Times New Roman" w:eastAsia="楷体" w:cs="Times New Roman"/>
          <w:bCs/>
          <w:sz w:val="21"/>
          <w:szCs w:val="21"/>
        </w:rPr>
        <w:t>；无级分层取水装置本体在不同工况下熵产贡献占比均低于8</w:t>
      </w:r>
      <w:r>
        <w:rPr>
          <w:rFonts w:ascii="Times New Roman" w:hAnsi="Times New Roman" w:eastAsia="楷体" w:cs="Times New Roman"/>
          <w:bCs/>
          <w:sz w:val="21"/>
          <w:szCs w:val="21"/>
        </w:rPr>
        <w:t>%</w:t>
      </w:r>
      <w:r>
        <w:rPr>
          <w:rFonts w:hint="eastAsia" w:ascii="Times New Roman" w:hAnsi="Times New Roman" w:eastAsia="楷体" w:cs="Times New Roman"/>
          <w:bCs/>
          <w:sz w:val="21"/>
          <w:szCs w:val="21"/>
        </w:rPr>
        <w:t>，显示出良好的水力稳定性；湍流耗散（E</w:t>
      </w:r>
      <w:r>
        <w:rPr>
          <w:rFonts w:ascii="Times New Roman" w:hAnsi="Times New Roman" w:eastAsia="楷体" w:cs="Times New Roman"/>
          <w:bCs/>
          <w:sz w:val="21"/>
          <w:szCs w:val="21"/>
        </w:rPr>
        <w:t>PTD</w:t>
      </w:r>
      <w:r>
        <w:rPr>
          <w:rFonts w:hint="eastAsia" w:ascii="Times New Roman" w:hAnsi="Times New Roman" w:eastAsia="楷体" w:cs="Times New Roman"/>
          <w:bCs/>
          <w:sz w:val="21"/>
          <w:szCs w:val="21"/>
        </w:rPr>
        <w:t>）为主导耗散机制，在各工况中熵产占比均超9</w:t>
      </w:r>
      <w:r>
        <w:rPr>
          <w:rFonts w:ascii="Times New Roman" w:hAnsi="Times New Roman" w:eastAsia="楷体" w:cs="Times New Roman"/>
          <w:bCs/>
          <w:sz w:val="21"/>
          <w:szCs w:val="21"/>
        </w:rPr>
        <w:t>8%</w:t>
      </w:r>
      <w:r>
        <w:rPr>
          <w:rFonts w:hint="eastAsia" w:ascii="Times New Roman" w:hAnsi="Times New Roman" w:eastAsia="楷体" w:cs="Times New Roman"/>
          <w:bCs/>
          <w:sz w:val="21"/>
          <w:szCs w:val="21"/>
        </w:rPr>
        <w:t>，；局部高耗散区主要集中于门叶—横撑交界区、竖井跌落区与管道入口区。【结论】熵产理论能够有效揭示复杂水工结构中能量损失的空间分布与成因，较传统水头损失法具备更高的诊断深度与优化指导价值。本研究明确了无级分层取水系统结构扰动与能耗分布的对应关系，为系统的结构优化与运行调度提供了理论支撑，对提升系统能效与运行安全具有重要意义。</w:t>
      </w:r>
    </w:p>
    <w:p w14:paraId="3498E836">
      <w:pPr>
        <w:pStyle w:val="30"/>
        <w:snapToGrid w:val="0"/>
        <w:ind w:left="0" w:firstLine="0"/>
        <w:jc w:val="left"/>
        <w:rPr>
          <w:rFonts w:ascii="楷体" w:hAnsi="楷体" w:eastAsia="楷体" w:cs="Times New Roman"/>
        </w:rPr>
      </w:pPr>
      <w:r>
        <w:rPr>
          <w:rFonts w:ascii="黑体" w:hAnsi="黑体" w:eastAsia="黑体" w:cs="Times New Roman"/>
          <w:b/>
        </w:rPr>
        <w:t>关键词：</w:t>
      </w:r>
      <w:r>
        <w:rPr>
          <w:rFonts w:hint="eastAsia" w:ascii="楷体" w:hAnsi="楷体" w:eastAsia="楷体" w:cs="Times New Roman"/>
        </w:rPr>
        <w:t>无级分层取水；熵产；能量损失；数值模拟；结构优化</w:t>
      </w:r>
    </w:p>
    <w:p w14:paraId="6911315D">
      <w:pPr>
        <w:pStyle w:val="32"/>
        <w:snapToGrid w:val="0"/>
        <w:spacing w:afterLines="0"/>
        <w:rPr>
          <w:rFonts w:hint="eastAsia" w:ascii="黑体" w:hAnsi="黑体" w:eastAsia="黑体" w:cs="Times New Roman"/>
          <w:bCs/>
          <w:w w:val="95"/>
          <w:lang w:eastAsia="zh-CN"/>
        </w:rPr>
      </w:pPr>
      <w:r>
        <w:rPr>
          <w:rFonts w:ascii="黑体" w:hAnsi="黑体" w:eastAsia="黑体" w:cs="Times New Roman"/>
          <w:b/>
        </w:rPr>
        <w:t>中图分类号：</w:t>
      </w:r>
      <w:r>
        <w:rPr>
          <w:rFonts w:ascii="Times New Roman" w:hAnsi="Times New Roman" w:eastAsia="黑体" w:cs="Times New Roman"/>
          <w:b/>
        </w:rPr>
        <w:t xml:space="preserve">TV671 </w:t>
      </w:r>
      <w:r>
        <w:rPr>
          <w:rFonts w:ascii="Times New Roman" w:hAnsi="Times New Roman" w:eastAsia="黑体" w:cs="Times New Roman"/>
          <w:bCs/>
        </w:rPr>
        <w:t xml:space="preserve"> </w:t>
      </w:r>
      <w:r>
        <w:rPr>
          <w:rFonts w:ascii="黑体" w:hAnsi="黑体" w:eastAsia="黑体" w:cs="Times New Roman"/>
          <w:bCs/>
        </w:rPr>
        <w:tab/>
      </w:r>
      <w:r>
        <w:rPr>
          <w:rFonts w:ascii="黑体" w:hAnsi="黑体" w:eastAsia="黑体" w:cs="Times New Roman"/>
          <w:bCs/>
        </w:rPr>
        <w:tab/>
      </w:r>
      <w:r>
        <w:rPr>
          <w:rFonts w:ascii="黑体" w:hAnsi="黑体" w:eastAsia="黑体" w:cs="Times New Roman"/>
          <w:b/>
        </w:rPr>
        <w:t>文献标志码：</w:t>
      </w:r>
      <w:r>
        <w:rPr>
          <w:rFonts w:ascii="Times New Roman" w:hAnsi="Times New Roman" w:eastAsia="黑体" w:cs="Times New Roman"/>
          <w:b/>
        </w:rPr>
        <w:t>A</w:t>
      </w:r>
      <w:r>
        <w:rPr>
          <w:rFonts w:ascii="Times New Roman" w:hAnsi="Times New Roman" w:eastAsia="黑体" w:cs="Times New Roman"/>
          <w:b/>
        </w:rPr>
        <w:tab/>
      </w:r>
      <w:r>
        <w:rPr>
          <w:rFonts w:ascii="黑体" w:hAnsi="黑体" w:eastAsia="黑体" w:cs="Times New Roman"/>
          <w:bCs/>
        </w:rPr>
        <w:tab/>
      </w:r>
      <w:r>
        <w:rPr>
          <w:rFonts w:ascii="黑体" w:hAnsi="黑体" w:eastAsia="黑体" w:cs="Times New Roman"/>
          <w:bCs/>
        </w:rPr>
        <w:tab/>
      </w:r>
      <w:r>
        <w:rPr>
          <w:rFonts w:ascii="黑体" w:hAnsi="黑体" w:eastAsia="黑体" w:cs="Times New Roman"/>
          <w:bCs/>
          <w:w w:val="95"/>
        </w:rPr>
        <w:t xml:space="preserve"> </w:t>
      </w:r>
      <w:r>
        <w:rPr>
          <w:rFonts w:hint="eastAsia" w:ascii="黑体" w:hAnsi="黑体" w:eastAsia="黑体" w:cs="Times New Roman"/>
          <w:bCs/>
          <w:w w:val="95"/>
          <w:lang w:eastAsia="zh-CN"/>
        </w:rPr>
        <w:drawing>
          <wp:inline distT="0" distB="0" distL="114300" distR="114300">
            <wp:extent cx="1567815" cy="1567815"/>
            <wp:effectExtent l="0" t="0" r="13335" b="13335"/>
            <wp:docPr id="6" name="图片 6" descr="基于熵产的发电进水口无级分层取水能量损失研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基于熵产的发电进水口无级分层取水能量损失研究"/>
                    <pic:cNvPicPr>
                      <a:picLocks noChangeAspect="1"/>
                    </pic:cNvPicPr>
                  </pic:nvPicPr>
                  <pic:blipFill>
                    <a:blip r:embed="rId11"/>
                    <a:stretch>
                      <a:fillRect/>
                    </a:stretch>
                  </pic:blipFill>
                  <pic:spPr>
                    <a:xfrm>
                      <a:off x="0" y="0"/>
                      <a:ext cx="1567815" cy="1567815"/>
                    </a:xfrm>
                    <a:prstGeom prst="rect">
                      <a:avLst/>
                    </a:prstGeom>
                  </pic:spPr>
                </pic:pic>
              </a:graphicData>
            </a:graphic>
          </wp:inline>
        </w:drawing>
      </w:r>
    </w:p>
    <w:p w14:paraId="3C0B8915">
      <w:pPr>
        <w:pStyle w:val="28"/>
        <w:snapToGrid w:val="0"/>
        <w:spacing w:after="156" w:afterLines="50" w:line="0" w:lineRule="atLeast"/>
        <w:rPr>
          <w:rFonts w:hint="default" w:ascii="Times New Roman" w:eastAsia="黑体" w:cs="Times New Roman"/>
          <w:b/>
          <w:sz w:val="28"/>
          <w:szCs w:val="28"/>
          <w:lang w:val="en-US" w:eastAsia="zh-CN"/>
        </w:rPr>
      </w:pPr>
      <w:bookmarkStart w:id="3" w:name="_Hlk207637916"/>
      <w:r>
        <w:rPr>
          <w:rFonts w:ascii="Times New Roman" w:cs="Times New Roman"/>
          <w:b/>
          <w:sz w:val="28"/>
          <w:szCs w:val="28"/>
        </w:rPr>
        <w:t>Study on energy loss of stepless stratifi</w:t>
      </w:r>
      <w:r>
        <w:rPr>
          <w:rFonts w:hint="eastAsia" w:ascii="Times New Roman" w:cs="Times New Roman"/>
          <w:b/>
          <w:sz w:val="28"/>
          <w:szCs w:val="28"/>
        </w:rPr>
        <w:t>ed</w:t>
      </w:r>
      <w:r>
        <w:rPr>
          <w:rFonts w:ascii="Times New Roman" w:cs="Times New Roman"/>
          <w:b/>
          <w:sz w:val="28"/>
          <w:szCs w:val="28"/>
        </w:rPr>
        <w:t xml:space="preserve"> water intake at power generation inlet</w:t>
      </w:r>
      <w:r>
        <w:rPr>
          <w:rFonts w:hint="eastAsia" w:ascii="Times New Roman" w:cs="Times New Roman"/>
          <w:b/>
          <w:sz w:val="28"/>
          <w:szCs w:val="28"/>
          <w:lang w:val="en-US" w:eastAsia="zh-CN"/>
        </w:rPr>
        <w:t>s</w:t>
      </w:r>
      <w:r>
        <w:rPr>
          <w:rFonts w:ascii="Times New Roman" w:cs="Times New Roman"/>
          <w:b/>
          <w:sz w:val="28"/>
          <w:szCs w:val="28"/>
        </w:rPr>
        <w:t xml:space="preserve"> based on entropy </w:t>
      </w:r>
      <w:bookmarkEnd w:id="3"/>
      <w:r>
        <w:rPr>
          <w:rFonts w:hint="eastAsia" w:ascii="Times New Roman" w:cs="Times New Roman"/>
          <w:b/>
          <w:sz w:val="28"/>
          <w:szCs w:val="28"/>
          <w:lang w:val="en-US" w:eastAsia="zh-CN"/>
        </w:rPr>
        <w:t>production</w:t>
      </w:r>
    </w:p>
    <w:p w14:paraId="2196BAE1">
      <w:pPr>
        <w:snapToGrid w:val="0"/>
        <w:spacing w:after="78" w:afterLines="25"/>
        <w:ind w:firstLine="420"/>
        <w:jc w:val="center"/>
        <w:rPr>
          <w:rFonts w:ascii="Times New Roman" w:hAnsi="Times New Roman" w:cs="Times New Roman"/>
          <w:szCs w:val="21"/>
          <w:vertAlign w:val="superscript"/>
        </w:rPr>
      </w:pPr>
      <w:r>
        <w:rPr>
          <w:rFonts w:ascii="Times New Roman" w:hAnsi="Times New Roman" w:cs="Times New Roman"/>
          <w:szCs w:val="21"/>
        </w:rPr>
        <w:t>QI Jiahuan</w:t>
      </w:r>
      <w:r>
        <w:rPr>
          <w:rFonts w:ascii="Times New Roman" w:hAnsi="Times New Roman" w:cs="Times New Roman"/>
          <w:szCs w:val="21"/>
          <w:vertAlign w:val="superscript"/>
        </w:rPr>
        <w:t>1</w:t>
      </w:r>
      <w:r>
        <w:rPr>
          <w:rFonts w:ascii="Times New Roman" w:hAnsi="Times New Roman" w:cs="Times New Roman"/>
          <w:szCs w:val="21"/>
        </w:rPr>
        <w:t>, LIU Ke</w:t>
      </w:r>
      <w:r>
        <w:rPr>
          <w:rFonts w:ascii="Times New Roman" w:hAnsi="Times New Roman" w:cs="Times New Roman"/>
          <w:szCs w:val="21"/>
          <w:vertAlign w:val="superscript"/>
        </w:rPr>
        <w:t>1</w:t>
      </w:r>
      <w:r>
        <w:rPr>
          <w:rFonts w:ascii="Times New Roman" w:hAnsi="Times New Roman" w:cs="Times New Roman"/>
          <w:szCs w:val="21"/>
        </w:rPr>
        <w:t>,</w:t>
      </w:r>
      <w:r>
        <w:rPr>
          <w:rFonts w:hint="eastAsia" w:ascii="Times New Roman" w:hAnsi="Times New Roman" w:cs="Times New Roman"/>
          <w:szCs w:val="21"/>
        </w:rPr>
        <w:t xml:space="preserve"> </w:t>
      </w:r>
      <w:r>
        <w:rPr>
          <w:rFonts w:ascii="Times New Roman" w:hAnsi="Times New Roman" w:cs="Times New Roman"/>
          <w:szCs w:val="21"/>
        </w:rPr>
        <w:t>WANG X</w:t>
      </w:r>
      <w:r>
        <w:rPr>
          <w:rFonts w:hint="eastAsia" w:ascii="Times New Roman" w:hAnsi="Times New Roman" w:cs="Times New Roman"/>
          <w:szCs w:val="21"/>
        </w:rPr>
        <w:t>ing</w:t>
      </w:r>
      <w:r>
        <w:rPr>
          <w:rFonts w:ascii="Times New Roman" w:hAnsi="Times New Roman" w:cs="Times New Roman"/>
          <w:szCs w:val="21"/>
        </w:rPr>
        <w:t>’</w:t>
      </w:r>
      <w:r>
        <w:rPr>
          <w:rFonts w:hint="eastAsia" w:ascii="Times New Roman" w:hAnsi="Times New Roman" w:cs="Times New Roman"/>
          <w:szCs w:val="21"/>
        </w:rPr>
        <w:t>en</w:t>
      </w:r>
      <w:r>
        <w:rPr>
          <w:rFonts w:ascii="Times New Roman" w:hAnsi="Times New Roman" w:cs="Times New Roman"/>
          <w:szCs w:val="21"/>
          <w:vertAlign w:val="superscript"/>
        </w:rPr>
        <w:t>2</w:t>
      </w:r>
      <w:r>
        <w:rPr>
          <w:rFonts w:ascii="Times New Roman" w:hAnsi="Times New Roman" w:cs="Times New Roman"/>
          <w:szCs w:val="21"/>
        </w:rPr>
        <w:t>, ZHAO Jianping</w:t>
      </w:r>
      <w:r>
        <w:rPr>
          <w:rFonts w:ascii="Times New Roman" w:hAnsi="Times New Roman" w:cs="Times New Roman"/>
          <w:szCs w:val="21"/>
          <w:vertAlign w:val="superscript"/>
        </w:rPr>
        <w:t>1</w:t>
      </w:r>
      <w:r>
        <w:rPr>
          <w:rFonts w:ascii="Times New Roman" w:hAnsi="Times New Roman" w:cs="Times New Roman"/>
          <w:szCs w:val="21"/>
        </w:rPr>
        <w:t>,</w:t>
      </w:r>
      <w:r>
        <w:rPr>
          <w:rFonts w:hint="eastAsia" w:ascii="Times New Roman" w:hAnsi="Times New Roman" w:cs="Times New Roman"/>
          <w:szCs w:val="21"/>
        </w:rPr>
        <w:t xml:space="preserve"> </w:t>
      </w:r>
      <w:r>
        <w:rPr>
          <w:rFonts w:ascii="Times New Roman" w:hAnsi="Times New Roman" w:cs="Times New Roman"/>
          <w:szCs w:val="21"/>
        </w:rPr>
        <w:t>L</w:t>
      </w:r>
      <w:r>
        <w:rPr>
          <w:rFonts w:hint="eastAsia" w:ascii="Times New Roman" w:hAnsi="Times New Roman" w:cs="Times New Roman"/>
          <w:szCs w:val="21"/>
          <w:shd w:val="clear" w:color="auto" w:fill="FFFFFF"/>
        </w:rPr>
        <w:t>I</w:t>
      </w:r>
      <w:r>
        <w:rPr>
          <w:rFonts w:ascii="Times New Roman" w:hAnsi="Times New Roman" w:cs="Times New Roman"/>
          <w:szCs w:val="21"/>
        </w:rPr>
        <w:t xml:space="preserve"> Jun</w:t>
      </w:r>
      <w:r>
        <w:rPr>
          <w:rFonts w:ascii="Times New Roman" w:hAnsi="Times New Roman" w:cs="Times New Roman"/>
          <w:szCs w:val="21"/>
          <w:vertAlign w:val="superscript"/>
        </w:rPr>
        <w:t>1</w:t>
      </w:r>
    </w:p>
    <w:p w14:paraId="2E8C11D2">
      <w:pPr>
        <w:snapToGrid w:val="0"/>
        <w:spacing w:after="156" w:afterLines="50"/>
        <w:ind w:left="420" w:leftChars="200" w:right="420" w:rightChars="200"/>
        <w:jc w:val="center"/>
        <w:rPr>
          <w:rFonts w:ascii="Times New Roman" w:hAnsi="Times New Roman" w:cs="Times New Roman"/>
          <w:sz w:val="18"/>
          <w:szCs w:val="18"/>
        </w:rPr>
      </w:pPr>
      <w:r>
        <w:rPr>
          <w:rFonts w:ascii="Times New Roman" w:hAnsi="Times New Roman" w:cs="Times New Roman"/>
          <w:sz w:val="18"/>
          <w:szCs w:val="18"/>
        </w:rPr>
        <w:t xml:space="preserve">(1. Nanjing Hydraulic Research Institute, </w:t>
      </w:r>
      <w:r>
        <w:rPr>
          <w:rFonts w:hint="eastAsia" w:ascii="Times New Roman" w:hAnsi="Times New Roman" w:cs="Times New Roman"/>
          <w:sz w:val="18"/>
          <w:szCs w:val="18"/>
        </w:rPr>
        <w:t>Ministry of Water Resources, Ministry of Transport, National Energy Administration,</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 xml:space="preserve">Nanjing 210029, </w:t>
      </w:r>
      <w:r>
        <w:rPr>
          <w:rFonts w:hint="eastAsia" w:ascii="Times New Roman" w:hAnsi="Times New Roman" w:cs="Times New Roman"/>
          <w:sz w:val="18"/>
          <w:szCs w:val="18"/>
        </w:rPr>
        <w:t xml:space="preserve">Jiangsu, </w:t>
      </w:r>
      <w:r>
        <w:rPr>
          <w:rFonts w:ascii="Times New Roman" w:hAnsi="Times New Roman" w:cs="Times New Roman"/>
          <w:sz w:val="18"/>
          <w:szCs w:val="18"/>
        </w:rPr>
        <w:t xml:space="preserve">China; </w:t>
      </w:r>
      <w:r>
        <w:rPr>
          <w:rFonts w:ascii="Times New Roman" w:hAnsi="Times New Roman" w:cs="Times New Roman"/>
          <w:sz w:val="18"/>
          <w:szCs w:val="18"/>
        </w:rPr>
        <w:br w:type="textWrapping"/>
      </w:r>
      <w:r>
        <w:rPr>
          <w:rFonts w:ascii="Times New Roman" w:hAnsi="Times New Roman" w:cs="Times New Roman"/>
          <w:sz w:val="18"/>
          <w:szCs w:val="18"/>
        </w:rPr>
        <w:t>2. P</w:t>
      </w:r>
      <w:r>
        <w:rPr>
          <w:rFonts w:hint="eastAsia" w:ascii="Times New Roman" w:hAnsi="Times New Roman" w:cs="Times New Roman"/>
          <w:sz w:val="18"/>
          <w:szCs w:val="18"/>
        </w:rPr>
        <w:t>ower</w:t>
      </w:r>
      <w:r>
        <w:rPr>
          <w:rFonts w:ascii="Times New Roman" w:hAnsi="Times New Roman" w:cs="Times New Roman"/>
          <w:sz w:val="18"/>
          <w:szCs w:val="18"/>
        </w:rPr>
        <w:t>C</w:t>
      </w:r>
      <w:r>
        <w:rPr>
          <w:rFonts w:hint="eastAsia" w:ascii="Times New Roman" w:hAnsi="Times New Roman" w:cs="Times New Roman"/>
          <w:sz w:val="18"/>
          <w:szCs w:val="18"/>
        </w:rPr>
        <w:t>hina</w:t>
      </w:r>
      <w:r>
        <w:rPr>
          <w:rFonts w:ascii="Times New Roman" w:hAnsi="Times New Roman" w:cs="Times New Roman"/>
          <w:sz w:val="18"/>
          <w:szCs w:val="18"/>
        </w:rPr>
        <w:t xml:space="preserve"> G</w:t>
      </w:r>
      <w:r>
        <w:rPr>
          <w:rFonts w:hint="eastAsia" w:ascii="Times New Roman" w:hAnsi="Times New Roman" w:cs="Times New Roman"/>
          <w:sz w:val="18"/>
          <w:szCs w:val="18"/>
        </w:rPr>
        <w:t>uiyang</w:t>
      </w:r>
      <w:r>
        <w:rPr>
          <w:rFonts w:ascii="Times New Roman" w:hAnsi="Times New Roman" w:cs="Times New Roman"/>
          <w:sz w:val="18"/>
          <w:szCs w:val="18"/>
        </w:rPr>
        <w:t xml:space="preserve"> E</w:t>
      </w:r>
      <w:r>
        <w:rPr>
          <w:rFonts w:hint="eastAsia" w:ascii="Times New Roman" w:hAnsi="Times New Roman" w:cs="Times New Roman"/>
          <w:sz w:val="18"/>
          <w:szCs w:val="18"/>
        </w:rPr>
        <w:t>ngineering</w:t>
      </w:r>
      <w:r>
        <w:rPr>
          <w:rFonts w:ascii="Times New Roman" w:hAnsi="Times New Roman" w:cs="Times New Roman"/>
          <w:sz w:val="18"/>
          <w:szCs w:val="18"/>
        </w:rPr>
        <w:t xml:space="preserve"> C</w:t>
      </w:r>
      <w:r>
        <w:rPr>
          <w:rFonts w:hint="eastAsia" w:ascii="Times New Roman" w:hAnsi="Times New Roman" w:cs="Times New Roman"/>
          <w:sz w:val="18"/>
          <w:szCs w:val="18"/>
        </w:rPr>
        <w:t>orporation</w:t>
      </w:r>
      <w:r>
        <w:rPr>
          <w:rFonts w:ascii="Times New Roman" w:hAnsi="Times New Roman" w:cs="Times New Roman"/>
          <w:sz w:val="18"/>
          <w:szCs w:val="18"/>
        </w:rPr>
        <w:t xml:space="preserve"> L</w:t>
      </w:r>
      <w:r>
        <w:rPr>
          <w:rFonts w:hint="eastAsia" w:ascii="Times New Roman" w:hAnsi="Times New Roman" w:cs="Times New Roman"/>
          <w:sz w:val="18"/>
          <w:szCs w:val="18"/>
        </w:rPr>
        <w:t>imited</w:t>
      </w:r>
      <w:r>
        <w:rPr>
          <w:rFonts w:ascii="Times New Roman" w:hAnsi="Times New Roman" w:cs="Times New Roman"/>
          <w:sz w:val="18"/>
          <w:szCs w:val="18"/>
        </w:rPr>
        <w:t>, G</w:t>
      </w:r>
      <w:r>
        <w:rPr>
          <w:rFonts w:hint="eastAsia" w:ascii="Times New Roman" w:hAnsi="Times New Roman" w:cs="Times New Roman"/>
          <w:sz w:val="18"/>
          <w:szCs w:val="18"/>
        </w:rPr>
        <w:t>uiyang</w:t>
      </w:r>
      <w:r>
        <w:rPr>
          <w:rFonts w:ascii="Times New Roman" w:hAnsi="Times New Roman" w:cs="Times New Roman"/>
          <w:sz w:val="18"/>
          <w:szCs w:val="18"/>
        </w:rPr>
        <w:t xml:space="preserve"> 553304, </w:t>
      </w:r>
      <w:r>
        <w:rPr>
          <w:rFonts w:hint="eastAsia" w:ascii="Times New Roman" w:hAnsi="Times New Roman" w:cs="Times New Roman"/>
          <w:sz w:val="18"/>
          <w:szCs w:val="18"/>
        </w:rPr>
        <w:t xml:space="preserve">Guizhou, </w:t>
      </w:r>
      <w:r>
        <w:rPr>
          <w:rFonts w:ascii="Times New Roman" w:hAnsi="Times New Roman" w:cs="Times New Roman"/>
          <w:sz w:val="18"/>
          <w:szCs w:val="18"/>
        </w:rPr>
        <w:t>China)</w:t>
      </w:r>
    </w:p>
    <w:p w14:paraId="4E947516">
      <w:pPr>
        <w:snapToGrid w:val="0"/>
        <w:rPr>
          <w:rFonts w:ascii="Times New Roman" w:hAnsi="Times New Roman" w:cs="Times New Roman"/>
          <w:szCs w:val="21"/>
        </w:rPr>
      </w:pPr>
      <w:r>
        <w:rPr>
          <w:rFonts w:ascii="Times New Roman" w:hAnsi="Times New Roman" w:eastAsia="黑体" w:cs="Times New Roman"/>
          <w:b/>
          <w:szCs w:val="21"/>
        </w:rPr>
        <w:t xml:space="preserve">Abstract: </w:t>
      </w:r>
      <w:r>
        <w:rPr>
          <w:rFonts w:hint="eastAsia" w:ascii="Times New Roman" w:hAnsi="Times New Roman" w:cs="Times New Roman"/>
          <w:b/>
          <w:bCs/>
          <w:szCs w:val="21"/>
        </w:rPr>
        <w:t>[</w:t>
      </w:r>
      <w:r>
        <w:rPr>
          <w:rFonts w:ascii="Times New Roman" w:hAnsi="Times New Roman" w:cs="Times New Roman"/>
          <w:b/>
          <w:bCs/>
          <w:szCs w:val="21"/>
        </w:rPr>
        <w:t>Objective]</w:t>
      </w:r>
      <w:r>
        <w:rPr>
          <w:b/>
          <w:bCs/>
        </w:rPr>
        <w:t xml:space="preserve"> </w:t>
      </w:r>
      <w:r>
        <w:rPr>
          <w:rFonts w:hint="eastAsia" w:ascii="Times New Roman" w:hAnsi="Times New Roman" w:cs="Times New Roman"/>
          <w:szCs w:val="21"/>
          <w:lang w:val="en-US" w:eastAsia="zh-CN"/>
        </w:rPr>
        <w:t>L</w:t>
      </w:r>
      <w:r>
        <w:rPr>
          <w:rFonts w:ascii="Times New Roman" w:hAnsi="Times New Roman" w:cs="Times New Roman"/>
          <w:szCs w:val="21"/>
        </w:rPr>
        <w:t xml:space="preserve">ocal flow disturbances caused by changes in gate leaf combinations and </w:t>
      </w:r>
      <w:r>
        <w:rPr>
          <w:rFonts w:hint="eastAsia" w:ascii="Times New Roman" w:hAnsi="Times New Roman" w:cs="Times New Roman"/>
          <w:szCs w:val="21"/>
          <w:lang w:val="en-US" w:eastAsia="zh-CN"/>
        </w:rPr>
        <w:t xml:space="preserve">water </w:t>
      </w:r>
      <w:r>
        <w:rPr>
          <w:rFonts w:hint="eastAsia" w:ascii="Times New Roman" w:hAnsi="Times New Roman" w:cs="Times New Roman"/>
          <w:szCs w:val="21"/>
        </w:rPr>
        <w:t xml:space="preserve">intake layers </w:t>
      </w:r>
      <w:r>
        <w:rPr>
          <w:rFonts w:hint="eastAsia" w:ascii="Times New Roman" w:hAnsi="Times New Roman" w:cs="Times New Roman"/>
          <w:szCs w:val="21"/>
          <w:lang w:val="en-US" w:eastAsia="zh-CN"/>
        </w:rPr>
        <w:t>in</w:t>
      </w:r>
      <w:r>
        <w:rPr>
          <w:rFonts w:ascii="Times New Roman" w:hAnsi="Times New Roman" w:cs="Times New Roman"/>
          <w:szCs w:val="21"/>
        </w:rPr>
        <w:t xml:space="preserve"> stepless stratified water intake system</w:t>
      </w:r>
      <w:r>
        <w:rPr>
          <w:rFonts w:hint="eastAsia" w:ascii="Times New Roman" w:hAnsi="Times New Roman" w:cs="Times New Roman"/>
          <w:szCs w:val="21"/>
          <w:lang w:val="en-US" w:eastAsia="zh-CN"/>
        </w:rPr>
        <w:t>s</w:t>
      </w:r>
      <w:r>
        <w:rPr>
          <w:rFonts w:ascii="Times New Roman" w:hAnsi="Times New Roman" w:cs="Times New Roman"/>
          <w:szCs w:val="21"/>
        </w:rPr>
        <w:t xml:space="preserve"> are difficult to quantitatively characterize using traditional head loss methods</w:t>
      </w:r>
      <w:r>
        <w:rPr>
          <w:rFonts w:hint="eastAsia" w:ascii="Times New Roman" w:hAnsi="Times New Roman" w:cs="Times New Roman"/>
          <w:szCs w:val="21"/>
          <w:lang w:val="en-US" w:eastAsia="zh-CN"/>
        </w:rPr>
        <w:t>. To address this challenge,</w:t>
      </w:r>
      <w:r>
        <w:rPr>
          <w:rFonts w:ascii="Times New Roman" w:hAnsi="Times New Roman" w:cs="Times New Roman"/>
          <w:szCs w:val="21"/>
        </w:rPr>
        <w:t xml:space="preserve"> </w:t>
      </w:r>
      <w:r>
        <w:rPr>
          <w:rFonts w:hint="eastAsia" w:ascii="Times New Roman" w:hAnsi="Times New Roman" w:cs="Times New Roman"/>
          <w:szCs w:val="21"/>
          <w:lang w:val="en-US" w:eastAsia="zh-CN"/>
        </w:rPr>
        <w:t>their</w:t>
      </w:r>
      <w:r>
        <w:rPr>
          <w:rFonts w:ascii="Times New Roman" w:hAnsi="Times New Roman" w:cs="Times New Roman"/>
          <w:szCs w:val="21"/>
        </w:rPr>
        <w:t xml:space="preserve"> dissipation characteristics and spatial distribution </w:t>
      </w:r>
      <w:r>
        <w:rPr>
          <w:rFonts w:hint="eastAsia" w:ascii="Times New Roman" w:hAnsi="Times New Roman" w:cs="Times New Roman"/>
          <w:szCs w:val="21"/>
        </w:rPr>
        <w:t>patterns</w:t>
      </w:r>
      <w:r>
        <w:rPr>
          <w:rFonts w:ascii="Times New Roman" w:hAnsi="Times New Roman" w:cs="Times New Roman"/>
          <w:szCs w:val="21"/>
        </w:rPr>
        <w:t xml:space="preserve"> under complex structural conditions</w:t>
      </w:r>
      <w:r>
        <w:rPr>
          <w:rFonts w:hint="eastAsia" w:ascii="Times New Roman" w:hAnsi="Times New Roman" w:cs="Times New Roman"/>
          <w:szCs w:val="21"/>
          <w:lang w:val="en-US" w:eastAsia="zh-CN"/>
        </w:rPr>
        <w:t xml:space="preserve"> are </w:t>
      </w:r>
      <w:r>
        <w:rPr>
          <w:rFonts w:hint="eastAsia" w:ascii="Times New Roman" w:hAnsi="Times New Roman"/>
          <w:szCs w:val="21"/>
          <w:lang w:val="en-US" w:eastAsia="zh-CN"/>
        </w:rPr>
        <w:t>investigated, thereby</w:t>
      </w:r>
      <w:r>
        <w:rPr>
          <w:rFonts w:ascii="Times New Roman" w:hAnsi="Times New Roman" w:cs="Times New Roman"/>
          <w:szCs w:val="21"/>
        </w:rPr>
        <w:t xml:space="preserve"> provid</w:t>
      </w:r>
      <w:r>
        <w:rPr>
          <w:rFonts w:hint="eastAsia" w:ascii="Times New Roman" w:hAnsi="Times New Roman" w:cs="Times New Roman"/>
          <w:szCs w:val="21"/>
          <w:lang w:val="en-US" w:eastAsia="zh-CN"/>
        </w:rPr>
        <w:t>ing</w:t>
      </w:r>
      <w:r>
        <w:rPr>
          <w:rFonts w:ascii="Times New Roman" w:hAnsi="Times New Roman" w:cs="Times New Roman"/>
          <w:szCs w:val="21"/>
        </w:rPr>
        <w:t xml:space="preserve"> methodological support for the identification and optimization of energy losses under complex hydraulic structures.</w:t>
      </w:r>
      <w:r>
        <w:rPr>
          <w:rFonts w:ascii="Times New Roman" w:hAnsi="Times New Roman" w:cs="Times New Roman"/>
          <w:b/>
          <w:bCs/>
          <w:szCs w:val="21"/>
        </w:rPr>
        <w:t>[Methods]</w:t>
      </w:r>
      <w:r>
        <w:rPr>
          <w:b/>
          <w:bCs/>
        </w:rPr>
        <w:t xml:space="preserve"> </w:t>
      </w:r>
      <w:r>
        <w:rPr>
          <w:rFonts w:ascii="Times New Roman" w:hAnsi="Times New Roman" w:cs="Times New Roman"/>
          <w:szCs w:val="21"/>
        </w:rPr>
        <w:t xml:space="preserve">Based on the entropy </w:t>
      </w:r>
      <w:r>
        <w:rPr>
          <w:rFonts w:hint="eastAsia" w:ascii="Times New Roman" w:hAnsi="Times New Roman" w:cs="Times New Roman"/>
          <w:szCs w:val="21"/>
          <w:lang w:val="en-US" w:eastAsia="zh-CN"/>
        </w:rPr>
        <w:t>production</w:t>
      </w:r>
      <w:r>
        <w:rPr>
          <w:rFonts w:ascii="Times New Roman" w:hAnsi="Times New Roman" w:cs="Times New Roman"/>
          <w:szCs w:val="21"/>
        </w:rPr>
        <w:t xml:space="preserve"> theory, a</w:t>
      </w:r>
      <w:r>
        <w:rPr>
          <w:rFonts w:hint="eastAsia" w:ascii="Times New Roman" w:hAnsi="Times New Roman" w:cs="Times New Roman"/>
          <w:szCs w:val="21"/>
          <w:lang w:val="en-US" w:eastAsia="zh-CN"/>
        </w:rPr>
        <w:t>n</w:t>
      </w:r>
      <w:r>
        <w:rPr>
          <w:rFonts w:ascii="Times New Roman" w:hAnsi="Times New Roman" w:cs="Times New Roman"/>
          <w:szCs w:val="21"/>
        </w:rPr>
        <w:t xml:space="preserve"> </w:t>
      </w:r>
      <w:r>
        <w:rPr>
          <w:rFonts w:hint="eastAsia" w:ascii="Times New Roman" w:hAnsi="Times New Roman" w:cs="Times New Roman"/>
          <w:szCs w:val="21"/>
        </w:rPr>
        <w:t>analytical framework for</w:t>
      </w:r>
      <w:r>
        <w:rPr>
          <w:rFonts w:hint="eastAsia" w:ascii="Times New Roman" w:hAnsi="Times New Roman" w:cs="Times New Roman"/>
          <w:szCs w:val="21"/>
          <w:lang w:val="en-US" w:eastAsia="zh-CN"/>
        </w:rPr>
        <w:t xml:space="preserve"> </w:t>
      </w:r>
      <w:r>
        <w:rPr>
          <w:rFonts w:ascii="Times New Roman" w:hAnsi="Times New Roman" w:cs="Times New Roman"/>
          <w:szCs w:val="21"/>
        </w:rPr>
        <w:t xml:space="preserve">sub-item energy consumption was constructed. On the basis of verification </w:t>
      </w:r>
      <w:r>
        <w:rPr>
          <w:rFonts w:hint="eastAsia" w:ascii="Times New Roman" w:hAnsi="Times New Roman" w:cs="Times New Roman"/>
          <w:szCs w:val="21"/>
          <w:lang w:val="en-US" w:eastAsia="zh-CN"/>
        </w:rPr>
        <w:t>through a</w:t>
      </w:r>
      <w:r>
        <w:rPr>
          <w:rFonts w:ascii="Times New Roman" w:hAnsi="Times New Roman" w:cs="Times New Roman"/>
          <w:szCs w:val="21"/>
        </w:rPr>
        <w:t xml:space="preserve"> 1:20 physical model test, three-dimensional numerical simulation was used to quantitatively analyze the viscous dissipation (EPDD), turbulent dissipation (EPTD), and wall friction dissipation (EPWS) of the inlet system under typical </w:t>
      </w:r>
      <w:r>
        <w:rPr>
          <w:rFonts w:hint="eastAsia" w:ascii="Times New Roman" w:hAnsi="Times New Roman" w:cs="Times New Roman"/>
          <w:szCs w:val="21"/>
          <w:lang w:val="en-US" w:eastAsia="zh-CN"/>
        </w:rPr>
        <w:t>operating</w:t>
      </w:r>
      <w:r>
        <w:rPr>
          <w:rFonts w:ascii="Times New Roman" w:hAnsi="Times New Roman" w:cs="Times New Roman"/>
          <w:szCs w:val="21"/>
        </w:rPr>
        <w:t xml:space="preserve"> conditions. </w:t>
      </w:r>
      <w:r>
        <w:rPr>
          <w:rFonts w:ascii="Times New Roman" w:hAnsi="Times New Roman" w:cs="Times New Roman"/>
          <w:b/>
          <w:bCs/>
          <w:szCs w:val="21"/>
        </w:rPr>
        <w:t>[Results]</w:t>
      </w:r>
      <w:r>
        <w:rPr>
          <w:b/>
          <w:bCs/>
        </w:rPr>
        <w:t xml:space="preserve"> </w:t>
      </w:r>
      <w:r>
        <w:rPr>
          <w:rFonts w:ascii="Times New Roman" w:hAnsi="Times New Roman" w:cs="Times New Roman"/>
          <w:szCs w:val="21"/>
        </w:rPr>
        <w:t>The results show</w:t>
      </w:r>
      <w:r>
        <w:rPr>
          <w:rFonts w:hint="eastAsia" w:ascii="Times New Roman" w:hAnsi="Times New Roman" w:cs="Times New Roman"/>
          <w:szCs w:val="21"/>
          <w:lang w:val="en-US" w:eastAsia="zh-CN"/>
        </w:rPr>
        <w:t>ed</w:t>
      </w:r>
      <w:r>
        <w:rPr>
          <w:rFonts w:ascii="Times New Roman" w:hAnsi="Times New Roman" w:cs="Times New Roman"/>
          <w:szCs w:val="21"/>
        </w:rPr>
        <w:t xml:space="preserve"> that the total entropy </w:t>
      </w:r>
      <w:r>
        <w:rPr>
          <w:rFonts w:hint="eastAsia" w:ascii="Times New Roman" w:hAnsi="Times New Roman" w:cs="Times New Roman"/>
          <w:szCs w:val="21"/>
          <w:lang w:val="en-US" w:eastAsia="zh-CN"/>
        </w:rPr>
        <w:t>production</w:t>
      </w:r>
      <w:r>
        <w:rPr>
          <w:rFonts w:ascii="Times New Roman" w:hAnsi="Times New Roman" w:cs="Times New Roman"/>
          <w:szCs w:val="21"/>
        </w:rPr>
        <w:t xml:space="preserve"> of the system increase</w:t>
      </w:r>
      <w:r>
        <w:rPr>
          <w:rFonts w:hint="eastAsia" w:ascii="Times New Roman" w:hAnsi="Times New Roman" w:cs="Times New Roman"/>
          <w:szCs w:val="21"/>
          <w:lang w:val="en-US" w:eastAsia="zh-CN"/>
        </w:rPr>
        <w:t>d</w:t>
      </w:r>
      <w:r>
        <w:rPr>
          <w:rFonts w:ascii="Times New Roman" w:hAnsi="Times New Roman" w:cs="Times New Roman"/>
          <w:szCs w:val="21"/>
        </w:rPr>
        <w:t xml:space="preserve"> with the upward movement of the water intake layer. High-level water intake trigger</w:t>
      </w:r>
      <w:r>
        <w:rPr>
          <w:rFonts w:hint="eastAsia" w:ascii="Times New Roman" w:hAnsi="Times New Roman" w:cs="Times New Roman"/>
          <w:szCs w:val="21"/>
          <w:lang w:val="en-US" w:eastAsia="zh-CN"/>
        </w:rPr>
        <w:t>ed</w:t>
      </w:r>
      <w:r>
        <w:rPr>
          <w:rFonts w:ascii="Times New Roman" w:hAnsi="Times New Roman" w:cs="Times New Roman"/>
          <w:szCs w:val="21"/>
        </w:rPr>
        <w:t xml:space="preserve"> drop impact and shaft flow reconstruction. The shaft section </w:t>
      </w:r>
      <w:r>
        <w:rPr>
          <w:rFonts w:hint="eastAsia" w:ascii="Times New Roman" w:hAnsi="Times New Roman" w:cs="Times New Roman"/>
          <w:szCs w:val="21"/>
          <w:lang w:val="en-US" w:eastAsia="zh-CN"/>
        </w:rPr>
        <w:t>was</w:t>
      </w:r>
      <w:r>
        <w:rPr>
          <w:rFonts w:ascii="Times New Roman" w:hAnsi="Times New Roman" w:cs="Times New Roman"/>
          <w:szCs w:val="21"/>
        </w:rPr>
        <w:t xml:space="preserve"> the main dissipation zone, and the maximum entropy </w:t>
      </w:r>
      <w:r>
        <w:rPr>
          <w:rFonts w:hint="eastAsia" w:ascii="Times New Roman" w:hAnsi="Times New Roman" w:cs="Times New Roman"/>
          <w:szCs w:val="21"/>
          <w:lang w:val="en-US" w:eastAsia="zh-CN"/>
        </w:rPr>
        <w:t>production</w:t>
      </w:r>
      <w:r>
        <w:rPr>
          <w:rFonts w:ascii="Times New Roman" w:hAnsi="Times New Roman" w:cs="Times New Roman"/>
          <w:szCs w:val="21"/>
        </w:rPr>
        <w:t xml:space="preserve"> of the system reach</w:t>
      </w:r>
      <w:r>
        <w:rPr>
          <w:rFonts w:hint="eastAsia" w:ascii="Times New Roman" w:hAnsi="Times New Roman" w:cs="Times New Roman"/>
          <w:szCs w:val="21"/>
          <w:lang w:val="en-US" w:eastAsia="zh-CN"/>
        </w:rPr>
        <w:t>ed</w:t>
      </w:r>
      <w:r>
        <w:rPr>
          <w:rFonts w:ascii="Times New Roman" w:hAnsi="Times New Roman" w:cs="Times New Roman"/>
          <w:szCs w:val="21"/>
        </w:rPr>
        <w:t xml:space="preserve"> 2</w:t>
      </w:r>
      <w:r>
        <w:rPr>
          <w:rFonts w:hint="eastAsia" w:ascii="Times New Roman" w:hAnsi="Times New Roman" w:cs="Times New Roman"/>
          <w:szCs w:val="21"/>
          <w:lang w:val="en-US" w:eastAsia="zh-CN"/>
        </w:rPr>
        <w:t xml:space="preserve"> </w:t>
      </w:r>
      <w:r>
        <w:rPr>
          <w:rFonts w:ascii="Times New Roman" w:hAnsi="Times New Roman" w:cs="Times New Roman"/>
          <w:szCs w:val="21"/>
        </w:rPr>
        <w:t>800.468 W·K</w:t>
      </w:r>
      <w:r>
        <w:rPr>
          <w:rFonts w:ascii="Times New Roman" w:hAnsi="Times New Roman" w:cs="Times New Roman"/>
          <w:szCs w:val="21"/>
          <w:vertAlign w:val="superscript"/>
        </w:rPr>
        <w:t>-1</w:t>
      </w:r>
      <w:r>
        <w:rPr>
          <w:rFonts w:ascii="Times New Roman" w:hAnsi="Times New Roman" w:cs="Times New Roman"/>
          <w:szCs w:val="21"/>
        </w:rPr>
        <w:t xml:space="preserve">. The entropy </w:t>
      </w:r>
      <w:r>
        <w:rPr>
          <w:rFonts w:hint="eastAsia" w:ascii="Times New Roman" w:hAnsi="Times New Roman" w:cs="Times New Roman"/>
          <w:szCs w:val="21"/>
          <w:lang w:val="en-US" w:eastAsia="zh-CN"/>
        </w:rPr>
        <w:t>production</w:t>
      </w:r>
      <w:r>
        <w:rPr>
          <w:rFonts w:ascii="Times New Roman" w:hAnsi="Times New Roman" w:cs="Times New Roman"/>
          <w:szCs w:val="21"/>
        </w:rPr>
        <w:t xml:space="preserve"> contribution of the stepless stratified water intake device </w:t>
      </w:r>
      <w:r>
        <w:rPr>
          <w:rFonts w:hint="eastAsia" w:ascii="Times New Roman" w:hAnsi="Times New Roman" w:cs="Times New Roman"/>
          <w:szCs w:val="21"/>
        </w:rPr>
        <w:t>remained below</w:t>
      </w:r>
      <w:r>
        <w:rPr>
          <w:rFonts w:ascii="Times New Roman" w:hAnsi="Times New Roman" w:cs="Times New Roman"/>
          <w:szCs w:val="21"/>
        </w:rPr>
        <w:t xml:space="preserve"> 8% under different </w:t>
      </w:r>
      <w:r>
        <w:rPr>
          <w:rFonts w:hint="eastAsia" w:ascii="Times New Roman" w:hAnsi="Times New Roman" w:cs="Times New Roman"/>
          <w:szCs w:val="21"/>
          <w:lang w:val="en-US" w:eastAsia="zh-CN"/>
        </w:rPr>
        <w:t>operating</w:t>
      </w:r>
      <w:r>
        <w:rPr>
          <w:rFonts w:ascii="Times New Roman" w:hAnsi="Times New Roman" w:cs="Times New Roman"/>
          <w:szCs w:val="21"/>
        </w:rPr>
        <w:t xml:space="preserve"> conditions, indicating good hydraulic stability. EPTD </w:t>
      </w:r>
      <w:r>
        <w:rPr>
          <w:rFonts w:hint="eastAsia" w:ascii="Times New Roman" w:hAnsi="Times New Roman" w:cs="Times New Roman"/>
          <w:szCs w:val="21"/>
        </w:rPr>
        <w:t>was</w:t>
      </w:r>
      <w:r>
        <w:rPr>
          <w:rFonts w:ascii="Times New Roman" w:hAnsi="Times New Roman" w:cs="Times New Roman"/>
          <w:szCs w:val="21"/>
        </w:rPr>
        <w:t xml:space="preserve"> the dominant dissipation mechanism, accounting for more than 98% of the entropy </w:t>
      </w:r>
      <w:r>
        <w:rPr>
          <w:rFonts w:hint="eastAsia" w:ascii="Times New Roman" w:hAnsi="Times New Roman" w:cs="Times New Roman"/>
          <w:szCs w:val="21"/>
          <w:lang w:val="en-US" w:eastAsia="zh-CN"/>
        </w:rPr>
        <w:t>production</w:t>
      </w:r>
      <w:r>
        <w:rPr>
          <w:rFonts w:ascii="Times New Roman" w:hAnsi="Times New Roman" w:cs="Times New Roman"/>
          <w:szCs w:val="21"/>
        </w:rPr>
        <w:t xml:space="preserve"> in all </w:t>
      </w:r>
      <w:r>
        <w:rPr>
          <w:rFonts w:hint="eastAsia" w:ascii="Times New Roman" w:hAnsi="Times New Roman" w:cs="Times New Roman"/>
          <w:szCs w:val="21"/>
          <w:lang w:val="en-US" w:eastAsia="zh-CN"/>
        </w:rPr>
        <w:t>operating</w:t>
      </w:r>
      <w:r>
        <w:rPr>
          <w:rFonts w:ascii="Times New Roman" w:hAnsi="Times New Roman" w:cs="Times New Roman"/>
          <w:szCs w:val="21"/>
        </w:rPr>
        <w:t xml:space="preserve"> conditions. Local high</w:t>
      </w:r>
      <w:r>
        <w:rPr>
          <w:rFonts w:hint="eastAsia" w:ascii="Times New Roman" w:hAnsi="Times New Roman" w:cs="Times New Roman"/>
          <w:szCs w:val="21"/>
          <w:lang w:val="en-US" w:eastAsia="zh-CN"/>
        </w:rPr>
        <w:t>-</w:t>
      </w:r>
      <w:r>
        <w:rPr>
          <w:rFonts w:ascii="Times New Roman" w:hAnsi="Times New Roman" w:cs="Times New Roman"/>
          <w:szCs w:val="21"/>
        </w:rPr>
        <w:t xml:space="preserve">dissipation </w:t>
      </w:r>
      <w:r>
        <w:rPr>
          <w:rFonts w:hint="eastAsia" w:ascii="Times New Roman" w:hAnsi="Times New Roman" w:cs="Times New Roman"/>
          <w:szCs w:val="21"/>
          <w:lang w:val="en-US" w:eastAsia="zh-CN"/>
        </w:rPr>
        <w:t>regions</w:t>
      </w:r>
      <w:r>
        <w:rPr>
          <w:rFonts w:ascii="Times New Roman" w:hAnsi="Times New Roman" w:cs="Times New Roman"/>
          <w:szCs w:val="21"/>
        </w:rPr>
        <w:t xml:space="preserve"> </w:t>
      </w:r>
      <w:r>
        <w:rPr>
          <w:rFonts w:hint="eastAsia" w:ascii="Times New Roman" w:hAnsi="Times New Roman" w:cs="Times New Roman"/>
          <w:szCs w:val="21"/>
          <w:lang w:val="en-US" w:eastAsia="zh-CN"/>
        </w:rPr>
        <w:t>were</w:t>
      </w:r>
      <w:r>
        <w:rPr>
          <w:rFonts w:ascii="Times New Roman" w:hAnsi="Times New Roman" w:cs="Times New Roman"/>
          <w:szCs w:val="21"/>
        </w:rPr>
        <w:t xml:space="preserve"> mainly concentrated in the gate leaf-</w:t>
      </w:r>
      <w:r>
        <w:rPr>
          <w:rFonts w:hint="eastAsia" w:ascii="Times New Roman" w:hAnsi="Times New Roman" w:cs="Times New Roman"/>
          <w:szCs w:val="21"/>
          <w:lang w:val="en-US" w:eastAsia="zh-CN"/>
        </w:rPr>
        <w:t>cross</w:t>
      </w:r>
      <w:r>
        <w:rPr>
          <w:rFonts w:hint="eastAsia" w:ascii="Times New Roman" w:hAnsi="Times New Roman" w:cs="Times New Roman"/>
          <w:szCs w:val="21"/>
        </w:rPr>
        <w:t xml:space="preserve"> bra</w:t>
      </w:r>
      <w:r>
        <w:rPr>
          <w:rFonts w:hint="eastAsia" w:ascii="Times New Roman" w:hAnsi="Times New Roman" w:cs="Times New Roman"/>
          <w:szCs w:val="21"/>
          <w:lang w:val="en-US" w:eastAsia="zh-CN"/>
        </w:rPr>
        <w:t>ce</w:t>
      </w:r>
      <w:r>
        <w:rPr>
          <w:rFonts w:ascii="Times New Roman" w:hAnsi="Times New Roman" w:cs="Times New Roman"/>
          <w:szCs w:val="21"/>
        </w:rPr>
        <w:t xml:space="preserve"> junction, shaft drop zone, and pipeline inlet </w:t>
      </w:r>
      <w:r>
        <w:rPr>
          <w:rFonts w:hint="eastAsia" w:ascii="Times New Roman" w:hAnsi="Times New Roman" w:cs="Times New Roman"/>
          <w:szCs w:val="21"/>
          <w:lang w:val="en-US" w:eastAsia="zh-CN"/>
        </w:rPr>
        <w:t>region</w:t>
      </w:r>
      <w:r>
        <w:rPr>
          <w:rFonts w:ascii="Times New Roman" w:hAnsi="Times New Roman" w:cs="Times New Roman"/>
          <w:szCs w:val="21"/>
        </w:rPr>
        <w:t xml:space="preserve">. </w:t>
      </w:r>
      <w:r>
        <w:rPr>
          <w:rFonts w:ascii="Times New Roman" w:hAnsi="Times New Roman" w:cs="Times New Roman"/>
          <w:b/>
          <w:bCs/>
          <w:szCs w:val="21"/>
        </w:rPr>
        <w:t>[Conclusion]</w:t>
      </w:r>
      <w:r>
        <w:t xml:space="preserve"> </w:t>
      </w:r>
      <w:r>
        <w:rPr>
          <w:rFonts w:ascii="Times New Roman" w:hAnsi="Times New Roman" w:cs="Times New Roman"/>
          <w:szCs w:val="21"/>
        </w:rPr>
        <w:t xml:space="preserve">Entropy </w:t>
      </w:r>
      <w:r>
        <w:rPr>
          <w:rFonts w:hint="eastAsia" w:ascii="Times New Roman" w:hAnsi="Times New Roman" w:cs="Times New Roman"/>
          <w:szCs w:val="21"/>
          <w:lang w:val="en-US" w:eastAsia="zh-CN"/>
        </w:rPr>
        <w:t>production</w:t>
      </w:r>
      <w:r>
        <w:rPr>
          <w:rFonts w:ascii="Times New Roman" w:hAnsi="Times New Roman" w:cs="Times New Roman"/>
          <w:szCs w:val="21"/>
        </w:rPr>
        <w:t xml:space="preserve"> theory can effectively reveal the spatial distribution and </w:t>
      </w:r>
      <w:r>
        <w:rPr>
          <w:rFonts w:hint="eastAsia" w:ascii="Times New Roman" w:hAnsi="Times New Roman"/>
          <w:szCs w:val="21"/>
        </w:rPr>
        <w:t>underlying</w:t>
      </w:r>
      <w:r>
        <w:rPr>
          <w:rFonts w:hint="eastAsia" w:ascii="Times New Roman" w:hAnsi="Times New Roman"/>
          <w:szCs w:val="21"/>
          <w:lang w:val="en-US" w:eastAsia="zh-CN"/>
        </w:rPr>
        <w:t xml:space="preserve"> </w:t>
      </w:r>
      <w:r>
        <w:rPr>
          <w:rFonts w:ascii="Times New Roman" w:hAnsi="Times New Roman" w:cs="Times New Roman"/>
          <w:szCs w:val="21"/>
        </w:rPr>
        <w:t xml:space="preserve">causes of energy loss in complex hydraulic structures, offering greater diagnostic depth and optimization guidance than traditional head loss methods. </w:t>
      </w:r>
      <w:r>
        <w:rPr>
          <w:rFonts w:hint="eastAsia" w:ascii="Times New Roman" w:hAnsi="Times New Roman" w:cs="Times New Roman"/>
          <w:szCs w:val="21"/>
          <w:lang w:val="en-US" w:eastAsia="zh-CN"/>
        </w:rPr>
        <w:t>The findings clarify</w:t>
      </w:r>
      <w:r>
        <w:rPr>
          <w:rFonts w:ascii="Times New Roman" w:hAnsi="Times New Roman" w:cs="Times New Roman"/>
          <w:szCs w:val="21"/>
        </w:rPr>
        <w:t xml:space="preserve"> the</w:t>
      </w:r>
      <w:r>
        <w:rPr>
          <w:rFonts w:hint="eastAsia" w:ascii="Times New Roman" w:hAnsi="Times New Roman" w:cs="Times New Roman"/>
          <w:szCs w:val="21"/>
          <w:lang w:val="en-US" w:eastAsia="zh-CN"/>
        </w:rPr>
        <w:t xml:space="preserve"> relationship</w:t>
      </w:r>
      <w:r>
        <w:rPr>
          <w:rFonts w:ascii="Times New Roman" w:hAnsi="Times New Roman" w:cs="Times New Roman"/>
          <w:szCs w:val="21"/>
        </w:rPr>
        <w:t xml:space="preserve"> between structural disturbances and energy consumption distribution in stepless stratified water intake system</w:t>
      </w:r>
      <w:r>
        <w:rPr>
          <w:rFonts w:hint="eastAsia" w:ascii="Times New Roman" w:hAnsi="Times New Roman" w:cs="Times New Roman"/>
          <w:szCs w:val="21"/>
          <w:lang w:val="en-US" w:eastAsia="zh-CN"/>
        </w:rPr>
        <w:t>s</w:t>
      </w:r>
      <w:r>
        <w:rPr>
          <w:rFonts w:ascii="Times New Roman" w:hAnsi="Times New Roman" w:cs="Times New Roman"/>
          <w:szCs w:val="21"/>
        </w:rPr>
        <w:t>, providing theoretical support for system structural optimization and operational scheduling</w:t>
      </w:r>
      <w:r>
        <w:rPr>
          <w:rFonts w:hint="eastAsia" w:ascii="Times New Roman" w:hAnsi="Times New Roman" w:cs="Times New Roman"/>
          <w:szCs w:val="21"/>
          <w:lang w:val="en-US" w:eastAsia="zh-CN"/>
        </w:rPr>
        <w:t xml:space="preserve"> and holding </w:t>
      </w:r>
      <w:r>
        <w:rPr>
          <w:rFonts w:hint="eastAsia" w:ascii="Times New Roman" w:hAnsi="Times New Roman"/>
          <w:szCs w:val="21"/>
          <w:lang w:val="en-US" w:eastAsia="zh-CN"/>
        </w:rPr>
        <w:t>significant implications</w:t>
      </w:r>
      <w:r>
        <w:rPr>
          <w:rFonts w:ascii="Times New Roman" w:hAnsi="Times New Roman" w:cs="Times New Roman"/>
          <w:szCs w:val="21"/>
        </w:rPr>
        <w:t xml:space="preserve"> for improving system energy efficiency and operational safety.</w:t>
      </w:r>
      <w:r>
        <w:t xml:space="preserve"> </w:t>
      </w:r>
    </w:p>
    <w:p w14:paraId="305CB7FE">
      <w:pPr>
        <w:snapToGrid w:val="0"/>
        <w:rPr>
          <w:rFonts w:ascii="Times New Roman" w:hAnsi="Times New Roman" w:cs="Times New Roman"/>
          <w:szCs w:val="21"/>
        </w:rPr>
      </w:pPr>
      <w:r>
        <w:rPr>
          <w:rFonts w:ascii="Times New Roman" w:hAnsi="Times New Roman" w:eastAsia="黑体" w:cs="Times New Roman"/>
          <w:b/>
          <w:szCs w:val="21"/>
        </w:rPr>
        <w:t>Keywords:</w:t>
      </w:r>
      <w:r>
        <w:rPr>
          <w:rFonts w:ascii="Times New Roman" w:hAnsi="Times New Roman" w:cs="Times New Roman"/>
          <w:szCs w:val="21"/>
        </w:rPr>
        <w:t xml:space="preserve"> </w:t>
      </w:r>
      <w:r>
        <w:rPr>
          <w:rFonts w:hint="eastAsia" w:ascii="Times New Roman" w:hAnsi="Times New Roman" w:cs="Times New Roman"/>
          <w:szCs w:val="21"/>
        </w:rPr>
        <w:t>stepless</w:t>
      </w:r>
      <w:r>
        <w:rPr>
          <w:rFonts w:ascii="Times New Roman" w:hAnsi="Times New Roman" w:cs="Times New Roman"/>
          <w:szCs w:val="21"/>
        </w:rPr>
        <w:t xml:space="preserve"> stratified water intake; entropy </w:t>
      </w:r>
      <w:r>
        <w:rPr>
          <w:rFonts w:hint="eastAsia" w:ascii="Times New Roman" w:hAnsi="Times New Roman" w:cs="Times New Roman"/>
          <w:szCs w:val="21"/>
          <w:lang w:val="en-US" w:eastAsia="zh-CN"/>
        </w:rPr>
        <w:t>production</w:t>
      </w:r>
      <w:r>
        <w:rPr>
          <w:rFonts w:ascii="Times New Roman" w:hAnsi="Times New Roman" w:cs="Times New Roman"/>
          <w:szCs w:val="21"/>
        </w:rPr>
        <w:t>; energy loss; numerical simulation; structural optimization</w:t>
      </w:r>
    </w:p>
    <w:p w14:paraId="71C8B66E"/>
    <w:p w14:paraId="539F9D24">
      <w:pPr>
        <w:pStyle w:val="2"/>
        <w:ind w:left="0" w:firstLine="0" w:firstLineChars="0"/>
      </w:pPr>
      <w:r>
        <w:t>0引</w:t>
      </w:r>
      <w:r>
        <w:rPr>
          <w:rFonts w:hint="eastAsia"/>
        </w:rPr>
        <w:t xml:space="preserve">  </w:t>
      </w:r>
      <w:r>
        <w:t>言</w:t>
      </w:r>
    </w:p>
    <w:p w14:paraId="2D5C5E8C">
      <w:pPr>
        <w:pStyle w:val="68"/>
        <w:ind w:firstLine="420"/>
      </w:pPr>
      <w:r>
        <w:t>水资源的高效利用</w:t>
      </w:r>
      <w:r>
        <w:rPr>
          <w:rFonts w:hint="eastAsia"/>
        </w:rPr>
        <w:t>一直</w:t>
      </w:r>
      <w:r>
        <w:t>是水利工程与可持续发展领域的核心议题之一。在大型水库、水电站及生态调水工程中，分层取水技术因</w:t>
      </w:r>
      <w:r>
        <w:rPr>
          <w:rFonts w:hint="eastAsia"/>
        </w:rPr>
        <w:t>其</w:t>
      </w:r>
      <w:r>
        <w:t>能</w:t>
      </w:r>
      <w:r>
        <w:rPr>
          <w:rFonts w:hint="eastAsia"/>
          <w:bCs/>
        </w:rPr>
        <w:t>满足大型水库取水需求</w:t>
      </w:r>
      <w:r>
        <w:t>、优化取水温度层结构而备受关</w:t>
      </w:r>
      <w:r>
        <w:rPr>
          <w:rFonts w:hint="eastAsia"/>
        </w:rPr>
        <w:t>注</w:t>
      </w:r>
      <w:r>
        <w:rPr>
          <w:kern w:val="0"/>
          <w:vertAlign w:val="superscript"/>
        </w:rPr>
        <w:t>[1]</w:t>
      </w:r>
      <w:r>
        <w:t>。</w:t>
      </w:r>
      <w:r>
        <w:rPr>
          <w:rFonts w:hint="eastAsia"/>
        </w:rPr>
        <w:t>多项研究表明，分层取水不仅能有效提升下泄水温</w:t>
      </w:r>
      <w:r>
        <w:rPr>
          <w:kern w:val="0"/>
          <w:vertAlign w:val="superscript"/>
        </w:rPr>
        <w:t>[2,3]</w:t>
      </w:r>
      <w:r>
        <w:rPr>
          <w:rFonts w:hint="eastAsia"/>
        </w:rPr>
        <w:t>，还能改善水质</w:t>
      </w:r>
      <w:r>
        <w:rPr>
          <w:kern w:val="0"/>
          <w:vertAlign w:val="superscript"/>
        </w:rPr>
        <w:t>[4,5]</w:t>
      </w:r>
      <w:r>
        <w:rPr>
          <w:rFonts w:hint="eastAsia"/>
        </w:rPr>
        <w:t>，尤其是在低温水体下泄时，对水生生物生态系统的保护具有积极作用</w:t>
      </w:r>
      <w:r>
        <w:rPr>
          <w:kern w:val="0"/>
          <w:vertAlign w:val="superscript"/>
        </w:rPr>
        <w:t>[6,7]</w:t>
      </w:r>
      <w:r>
        <w:rPr>
          <w:rFonts w:hint="eastAsia"/>
        </w:rPr>
        <w:t>。在水利工程实践中，传统分层取水系统主要采用多层取水流道或叠梁闸门等结构形式，虽具备基本的层位控制能力，但在调节精度、启闭响应速度及系统运行能效等方面仍存在明显不足</w:t>
      </w:r>
      <w:r>
        <w:rPr>
          <w:kern w:val="0"/>
          <w:vertAlign w:val="superscript"/>
        </w:rPr>
        <w:t>[8]</w:t>
      </w:r>
      <w:r>
        <w:rPr>
          <w:rFonts w:hint="eastAsia"/>
        </w:rPr>
        <w:t>。</w:t>
      </w:r>
    </w:p>
    <w:p w14:paraId="4BA3ECFC">
      <w:pPr>
        <w:pStyle w:val="68"/>
        <w:ind w:firstLine="420"/>
      </w:pPr>
      <w:r>
        <w:rPr>
          <w:rFonts w:hint="eastAsia"/>
        </w:rPr>
        <w:t>近年来，随着对水库运行智能化、调度精细化的要求不断提高，传统分层取水结构已难以充分满足复杂运行工况下的动态调控需求。现有研究多围绕叠梁门等传统分层取水设施的水力特性展开</w:t>
      </w:r>
      <w:r>
        <w:rPr>
          <w:kern w:val="0"/>
          <w:vertAlign w:val="superscript"/>
        </w:rPr>
        <w:t>[9,10]</w:t>
      </w:r>
      <w:r>
        <w:rPr>
          <w:rFonts w:hint="eastAsia"/>
        </w:rPr>
        <w:t>，但其调节层位多为离散布置，层位适应性与运行灵活性仍存在不足。为应对上述挑战，一种可实现“无级分层取水”的新型技术和闸门装置被提出</w:t>
      </w:r>
      <w:r>
        <w:rPr>
          <w:kern w:val="0"/>
          <w:vertAlign w:val="superscript"/>
        </w:rPr>
        <w:t>[11]</w:t>
      </w:r>
      <w:r>
        <w:rPr>
          <w:rFonts w:hint="eastAsia"/>
        </w:rPr>
        <w:t>。</w:t>
      </w:r>
      <w:bookmarkStart w:id="4" w:name="_Hlk213595848"/>
      <w:bookmarkStart w:id="5" w:name="_Hlk213510869"/>
      <w:r>
        <w:rPr>
          <w:rFonts w:hint="eastAsia"/>
        </w:rPr>
        <w:t>无级分层取水技术首次应用在所依托的电站工程中，具有较强的原创性。</w:t>
      </w:r>
      <w:bookmarkEnd w:id="4"/>
      <w:r>
        <w:rPr>
          <w:rFonts w:hint="eastAsia"/>
        </w:rPr>
        <w:t>该技术融合了叠梁闸门和百叶窗式分层取水装置的设计优势，通过在取水口竖井中布设多节可独立调节开度的活动门叶，实现了对任意层位水体的连续可控抽取。</w:t>
      </w:r>
      <w:bookmarkEnd w:id="5"/>
      <w:r>
        <w:rPr>
          <w:rFonts w:hint="eastAsia"/>
        </w:rPr>
        <w:t>实际运行中，此类结构易引发复杂流动效应，包括局部</w:t>
      </w:r>
      <w:r>
        <w:rPr>
          <w:rFonts w:hint="eastAsia"/>
          <w:color w:val="000000"/>
          <w:shd w:val="clear" w:color="auto" w:fill="FFFFFF"/>
        </w:rPr>
        <w:t>涡漩</w:t>
      </w:r>
      <w:r>
        <w:rPr>
          <w:rFonts w:hint="eastAsia"/>
        </w:rPr>
        <w:t>形成、剪切带强化及湍流耗散等典型不可逆过程。这些现象不仅加剧系统内部的能量衰减，还可能导致显著的机械能损失，进而对系统的</w:t>
      </w:r>
      <w:r>
        <w:t>运行效率与经济</w:t>
      </w:r>
      <w:r>
        <w:rPr>
          <w:rFonts w:hint="eastAsia"/>
        </w:rPr>
        <w:t>性能造成不利影响</w:t>
      </w:r>
      <w:r>
        <w:t>。</w:t>
      </w:r>
      <w:r>
        <w:rPr>
          <w:rFonts w:hint="eastAsia"/>
        </w:rPr>
        <w:t>因此，如何准确识别并定量评估无级分层取水装置中的能量损失特征，进而指导取水结构的水力优化设计，已成为当前水利工程水动力研究中的重要难点。</w:t>
      </w:r>
    </w:p>
    <w:p w14:paraId="4E982C59">
      <w:pPr>
        <w:pStyle w:val="68"/>
        <w:ind w:firstLine="420"/>
      </w:pPr>
      <w:r>
        <w:rPr>
          <w:rFonts w:hint="eastAsia"/>
        </w:rPr>
        <w:t>在传统水力学分析框架下，电站进水口的能量损失分析通常采用水头损失公式和阻力系数法进行评估，该方法基于伯努利方程，适用于规则流道和典型水工结构的总体能耗估算</w:t>
      </w:r>
      <w:r>
        <w:rPr>
          <w:kern w:val="0"/>
          <w:vertAlign w:val="superscript"/>
        </w:rPr>
        <w:t>[12]</w:t>
      </w:r>
      <w:r>
        <w:rPr>
          <w:rFonts w:hint="eastAsia"/>
        </w:rPr>
        <w:t>。然而，分层取水运行模式改变了常规底孔过流的流动路径，水流受结构布置显著扰动，流态复杂。尤其在无级分层取水装置中，为实现层位连续可调，装置采用高密度的门叶布置，竖井内构件布设密集，门叶开启组合多变，导致流道结构与水流路径随工况动态变化。此类结构</w:t>
      </w:r>
      <w:r>
        <w:rPr>
          <w:rFonts w:hint="eastAsia" w:hAnsi="Times New Roman"/>
        </w:rPr>
        <w:t>—</w:t>
      </w:r>
      <w:r>
        <w:rPr>
          <w:rFonts w:hint="eastAsia"/>
        </w:rPr>
        <w:t>流动高度耦合的系统，使得传统基于特征断面能量差估算的水头损失方法难以捕捉水流沿程发展过程中的局部耗散特性，亦难以揭示结构布置对能耗分布的耦合影响，导致分析维度与诊断能力受限，难以满足复杂水工系统下能量损失机理识别与优化设计的实际需求。因此，为突破传统评估方法在局部耗散识别方面的局限，有必要引入更具物理机制解析能力的能量损失评价方法。</w:t>
      </w:r>
    </w:p>
    <w:p w14:paraId="6AC76E5D">
      <w:pPr>
        <w:pStyle w:val="68"/>
        <w:ind w:firstLine="420"/>
      </w:pPr>
      <w:r>
        <w:rPr>
          <w:rFonts w:hint="eastAsia"/>
        </w:rPr>
        <w:t>熵产理论源于热力学第二定律，可用于表征不可逆过程中机械能向内能的退化。在近似等温、不可压流动条件下，系统的熵产率与局部速度梯度、湍流应变率及壁面剪切等紧密相关。相较于传统以水头损失或局部阻力系数进行整体评价的方法，熵产理论不仅能够给出系统总能量耗散水平，还可以分解为</w:t>
      </w:r>
      <w:r>
        <w:rPr>
          <w:rFonts w:hint="eastAsia"/>
          <w:shd w:val="clear" w:color="auto" w:fill="FFFFFF"/>
        </w:rPr>
        <w:t>黏性</w:t>
      </w:r>
      <w:r>
        <w:rPr>
          <w:rFonts w:hint="eastAsia"/>
        </w:rPr>
        <w:t>耗散、湍流耗散和壁面摩擦耗散等不同分量，从空间上识别“热点”耗散区域</w:t>
      </w:r>
      <w:r>
        <w:rPr>
          <w:kern w:val="0"/>
          <w:vertAlign w:val="superscript"/>
        </w:rPr>
        <w:t>[13]</w:t>
      </w:r>
      <w:r>
        <w:rPr>
          <w:rFonts w:hint="eastAsia"/>
        </w:rPr>
        <w:t>。因此，熵产理论逐步被引入复杂流动系统的能量损失研究中，为揭示局部结构与能量耗散之间的内在机理提供了更精细的量化手段。在湍流结构研究方面，KNOCK等</w:t>
      </w:r>
      <w:r>
        <w:rPr>
          <w:kern w:val="0"/>
          <w:vertAlign w:val="superscript"/>
        </w:rPr>
        <w:t>[14]</w:t>
      </w:r>
      <w:r>
        <w:rPr>
          <w:rFonts w:hint="eastAsia"/>
        </w:rPr>
        <w:t>将熵产机制整合入C</w:t>
      </w:r>
      <w:r>
        <w:t>FD</w:t>
      </w:r>
      <w:r>
        <w:rPr>
          <w:rFonts w:hint="eastAsia"/>
        </w:rPr>
        <w:t>模型，构建了适用于高雷诺数近壁区的壁面函数模型；H</w:t>
      </w:r>
      <w:r>
        <w:t>ERWIG等</w:t>
      </w:r>
      <w:r>
        <w:rPr>
          <w:kern w:val="0"/>
          <w:vertAlign w:val="superscript"/>
        </w:rPr>
        <w:t>[15]</w:t>
      </w:r>
      <w:r>
        <w:t>基于熵产理论构建等效粗糙</w:t>
      </w:r>
      <w:r>
        <w:rPr>
          <w:rFonts w:hint="eastAsia"/>
        </w:rPr>
        <w:t>度</w:t>
      </w:r>
      <w:r>
        <w:t>模型，拓展了粗糙壁面摩阻机理的热力学解释</w:t>
      </w:r>
      <w:r>
        <w:rPr>
          <w:rFonts w:hint="eastAsia"/>
        </w:rPr>
        <w:t>；M</w:t>
      </w:r>
      <w:r>
        <w:t>CELIGOT等</w:t>
      </w:r>
      <w:r>
        <w:rPr>
          <w:kern w:val="0"/>
          <w:vertAlign w:val="superscript"/>
        </w:rPr>
        <w:t>[16]</w:t>
      </w:r>
      <w:r>
        <w:rPr>
          <w:rFonts w:hint="eastAsia"/>
        </w:rPr>
        <w:t>采用D</w:t>
      </w:r>
      <w:r>
        <w:t>NS</w:t>
      </w:r>
      <w:r>
        <w:rPr>
          <w:rFonts w:hint="eastAsia"/>
        </w:rPr>
        <w:t>方法研究</w:t>
      </w:r>
      <w:r>
        <w:t>了压力梯度对湍流壁面熵产结构的影响</w:t>
      </w:r>
      <w:r>
        <w:rPr>
          <w:rFonts w:hint="eastAsia"/>
        </w:rPr>
        <w:t>，发现近壁黏性层在整体熵产中占主导地位。针对流体机械系统的内部能量损失评估，HOU等</w:t>
      </w:r>
      <w:r>
        <w:rPr>
          <w:kern w:val="0"/>
          <w:vertAlign w:val="superscript"/>
        </w:rPr>
        <w:t>[17]</w:t>
      </w:r>
      <w:r>
        <w:rPr>
          <w:rFonts w:hint="eastAsia"/>
        </w:rPr>
        <w:t>对L</w:t>
      </w:r>
      <w:r>
        <w:t>NG</w:t>
      </w:r>
      <w:r>
        <w:rPr>
          <w:rFonts w:hint="eastAsia"/>
        </w:rPr>
        <w:t>潜液泵内部流场展开熵产计算，明确了湍流耗散与壁面摩擦耗散为主导耗散机制；LI等</w:t>
      </w:r>
      <w:r>
        <w:rPr>
          <w:kern w:val="0"/>
          <w:vertAlign w:val="superscript"/>
        </w:rPr>
        <w:t>[18]</w:t>
      </w:r>
      <w:r>
        <w:rPr>
          <w:rFonts w:hint="eastAsia"/>
        </w:rPr>
        <w:t>将熵产方法引入水泵水轮机驼峰区机理识别，发现流动分离与叶片间回流是滞后现象的关键来源；YANG等</w:t>
      </w:r>
      <w:r>
        <w:rPr>
          <w:kern w:val="0"/>
          <w:vertAlign w:val="superscript"/>
        </w:rPr>
        <w:t>[19]</w:t>
      </w:r>
      <w:r>
        <w:rPr>
          <w:rFonts w:hint="eastAsia"/>
        </w:rPr>
        <w:t>在研究高速离心泵中的“钟表效应”，通过熵产分析揭示了诱导轮与叶轮间相位差对流动稳定性的影响；JI等</w:t>
      </w:r>
      <w:r>
        <w:rPr>
          <w:kern w:val="0"/>
          <w:vertAlign w:val="superscript"/>
        </w:rPr>
        <w:t>[20]</w:t>
      </w:r>
      <w:r>
        <w:rPr>
          <w:rFonts w:hint="eastAsia"/>
        </w:rPr>
        <w:t>分析了叶顶间隙变化对混流泵内部熵产结构的调控作用，结果显示叶顶流道构型的微调可显著改善局部流动效率。尽管熵产理论在湍流与流体机械中的应用已取得丰富成果，但在复杂水工结构，特别是分层取水系统中的相关应用仍较为缺乏。</w:t>
      </w:r>
    </w:p>
    <w:p w14:paraId="7FE1D86C">
      <w:pPr>
        <w:pStyle w:val="68"/>
        <w:ind w:firstLine="420"/>
      </w:pPr>
      <w:r>
        <w:t>本</w:t>
      </w:r>
      <w:r>
        <w:rPr>
          <w:rFonts w:hint="eastAsia"/>
        </w:rPr>
        <w:t>研究以应用无级分层取水装置的电站进水口为研究对象，</w:t>
      </w:r>
      <w:r>
        <w:t>采用数值模拟与</w:t>
      </w:r>
      <w:r>
        <w:rPr>
          <w:rFonts w:hint="eastAsia"/>
        </w:rPr>
        <w:t>试验</w:t>
      </w:r>
      <w:r>
        <w:t>验证相结合的方法，</w:t>
      </w:r>
      <w:r>
        <w:rPr>
          <w:rFonts w:hint="eastAsia"/>
        </w:rPr>
        <w:t>构建</w:t>
      </w:r>
      <w:r>
        <w:t>三维湍流模型，</w:t>
      </w:r>
      <w:r>
        <w:rPr>
          <w:rFonts w:hint="eastAsia"/>
        </w:rPr>
        <w:t>并</w:t>
      </w:r>
      <w:r>
        <w:t>基于熵产理论</w:t>
      </w:r>
      <w:r>
        <w:rPr>
          <w:rFonts w:hint="eastAsia"/>
        </w:rPr>
        <w:t>对</w:t>
      </w:r>
      <w:r>
        <w:t>黏性耗散、湍流耗散及壁面摩擦</w:t>
      </w:r>
      <w:r>
        <w:rPr>
          <w:rFonts w:hint="eastAsia"/>
        </w:rPr>
        <w:t>三类典型不可逆过程进行分项量化。研究成果可为复杂水工结构的能量耗散诊断与优化设计提供理论支持</w:t>
      </w:r>
      <w:r>
        <w:t>。</w:t>
      </w:r>
    </w:p>
    <w:p w14:paraId="1638A425">
      <w:pPr>
        <w:pStyle w:val="2"/>
        <w:ind w:left="560" w:hanging="560"/>
      </w:pPr>
      <w:r>
        <w:t>1</w:t>
      </w:r>
      <w:r>
        <w:rPr>
          <w:rFonts w:hint="eastAsia"/>
        </w:rPr>
        <w:t>模型构建</w:t>
      </w:r>
    </w:p>
    <w:p w14:paraId="15FDCB21">
      <w:pPr>
        <w:pStyle w:val="3"/>
        <w:spacing w:before="156"/>
      </w:pPr>
      <w:bookmarkStart w:id="6" w:name="_Hlk213191149"/>
      <w:r>
        <w:t>1.1</w:t>
      </w:r>
      <w:r>
        <w:rPr>
          <w:rFonts w:hint="eastAsia"/>
        </w:rPr>
        <w:t>无级分层取水装置概述</w:t>
      </w:r>
    </w:p>
    <w:bookmarkEnd w:id="6"/>
    <w:p w14:paraId="4355BF8F">
      <w:pPr>
        <w:pStyle w:val="68"/>
        <w:ind w:firstLine="420"/>
      </w:pPr>
      <w:bookmarkStart w:id="7" w:name="_Hlk200356250"/>
      <w:r>
        <w:rPr>
          <w:rFonts w:hint="eastAsia"/>
        </w:rPr>
        <w:t>本研究所依托的无级分层取水装置布设于坝体进水口两侧的竖向闸槽内，采用分节布置的门叶结构以实现多层位可控取水。单</w:t>
      </w:r>
      <w:r>
        <w:rPr>
          <w:rFonts w:hint="eastAsia"/>
          <w:color w:val="000000"/>
          <w:shd w:val="clear" w:color="auto" w:fill="FFFFFF"/>
        </w:rPr>
        <w:t>节</w:t>
      </w:r>
      <w:r>
        <w:rPr>
          <w:rFonts w:hint="eastAsia"/>
        </w:rPr>
        <w:t>高度约3m，由钢结构流道闸及其上游侧的活动门瓣（调节范围0°至</w:t>
      </w:r>
      <w:r>
        <w:t>90</w:t>
      </w:r>
      <w:r>
        <w:rPr>
          <w:rFonts w:hint="eastAsia"/>
        </w:rPr>
        <w:t>°）组成。装置通过液压启闭系统驱动，配合电缆</w:t>
      </w:r>
      <w:r>
        <w:rPr>
          <w:rFonts w:hint="eastAsia"/>
          <w:shd w:val="clear" w:color="auto" w:fill="FFFFFF"/>
        </w:rPr>
        <w:t>限位</w:t>
      </w:r>
      <w:r>
        <w:rPr>
          <w:rFonts w:hint="eastAsia"/>
        </w:rPr>
        <w:t>与多点同步控制系统，支持门叶的独立或联合启闭操作。在运行调度中，通过控制系统对目标门叶节进行选择性开启，并设定开度角度，形成对应层位的</w:t>
      </w:r>
      <w:r>
        <w:rPr>
          <w:rFonts w:hint="eastAsia"/>
          <w:shd w:val="clear" w:color="auto" w:fill="FFFFFF"/>
        </w:rPr>
        <w:t>流通</w:t>
      </w:r>
      <w:r>
        <w:rPr>
          <w:rFonts w:hint="eastAsia"/>
        </w:rPr>
        <w:t>通道，实现对目标水体的快速抽取。与采用叠梁门的传统分层取水布置相比，该装置在调度过程中仅需在竖井内小行程（</w:t>
      </w:r>
      <w:r>
        <w:t>＜2m</w:t>
      </w:r>
      <w:r>
        <w:rPr>
          <w:rFonts w:hint="eastAsia"/>
        </w:rPr>
        <w:t>）调节门叶开度，无需反复吊装叠梁，典型调度周期可控制在1</w:t>
      </w:r>
      <w:r>
        <w:t>0</w:t>
      </w:r>
      <w:r>
        <w:rPr>
          <w:rFonts w:hint="eastAsia"/>
        </w:rPr>
        <w:t>分钟以内，显著提升了系统的响应效率与运行灵活性。传统叠梁门布置多通过调整叠梁门堰顶高程改变入流水深，进水方式以表层溢流为主；无级分层取水则依托多</w:t>
      </w:r>
      <w:r>
        <w:rPr>
          <w:rFonts w:hint="eastAsia"/>
          <w:color w:val="000000"/>
          <w:shd w:val="clear" w:color="auto" w:fill="FFFFFF"/>
        </w:rPr>
        <w:t>节</w:t>
      </w:r>
      <w:r>
        <w:rPr>
          <w:rFonts w:hint="eastAsia"/>
        </w:rPr>
        <w:t>门叶，在不同水深处形成可调的分层孔口入流，实现对目标水层的定向取水。</w:t>
      </w:r>
      <w:r>
        <w:t>叠梁门与无级分层取水的布置形式对比</w:t>
      </w:r>
      <w:r>
        <w:rPr>
          <w:rFonts w:hint="eastAsia"/>
        </w:rPr>
        <w:t>如</w:t>
      </w:r>
      <w:r>
        <w:t>图1</w:t>
      </w:r>
      <w:r>
        <w:rPr>
          <w:rFonts w:hint="eastAsia"/>
        </w:rPr>
        <w:t>所示</w:t>
      </w:r>
      <w:r>
        <w:t>，无级分层取水装置运行过程如图2所示，其闸门结构示意</w:t>
      </w:r>
      <w:r>
        <w:rPr>
          <w:rFonts w:hint="eastAsia"/>
        </w:rPr>
        <w:t>如</w:t>
      </w:r>
      <w:r>
        <w:t>图3</w:t>
      </w:r>
      <w:r>
        <w:rPr>
          <w:rFonts w:hint="eastAsia"/>
        </w:rPr>
        <w:t>所示</w:t>
      </w:r>
      <w:r>
        <w:t>。</w:t>
      </w:r>
    </w:p>
    <w:tbl>
      <w:tblPr>
        <w:tblStyle w:val="2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606"/>
        <w:gridCol w:w="3940"/>
      </w:tblGrid>
      <w:tr w14:paraId="3E30F6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bottom"/>
          </w:tcPr>
          <w:p w14:paraId="0A9C5C44">
            <w:pPr>
              <w:pStyle w:val="75"/>
            </w:pPr>
            <w:r>
              <w:drawing>
                <wp:inline distT="0" distB="0" distL="0" distR="0">
                  <wp:extent cx="2148205" cy="2520315"/>
                  <wp:effectExtent l="0" t="0" r="444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2"/>
                          <a:stretch>
                            <a:fillRect/>
                          </a:stretch>
                        </pic:blipFill>
                        <pic:spPr>
                          <a:xfrm>
                            <a:off x="0" y="0"/>
                            <a:ext cx="2148706" cy="2520765"/>
                          </a:xfrm>
                          <a:prstGeom prst="rect">
                            <a:avLst/>
                          </a:prstGeom>
                        </pic:spPr>
                      </pic:pic>
                    </a:graphicData>
                  </a:graphic>
                </wp:inline>
              </w:drawing>
            </w:r>
          </w:p>
          <w:p w14:paraId="3CD51360">
            <w:pPr>
              <w:pStyle w:val="75"/>
            </w:pPr>
          </w:p>
        </w:tc>
        <w:tc>
          <w:tcPr>
            <w:tcW w:w="0" w:type="auto"/>
            <w:vAlign w:val="center"/>
          </w:tcPr>
          <w:p w14:paraId="5555231D">
            <w:pPr>
              <w:pStyle w:val="75"/>
            </w:pPr>
            <w:r>
              <w:drawing>
                <wp:inline distT="0" distB="0" distL="0" distR="0">
                  <wp:extent cx="2364740" cy="3376295"/>
                  <wp:effectExtent l="0" t="0" r="0" b="0"/>
                  <wp:docPr id="2048770329" name="图片 204877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0329" name="图片 2048770329"/>
                          <pic:cNvPicPr>
                            <a:picLocks noChangeAspect="1"/>
                          </pic:cNvPicPr>
                        </pic:nvPicPr>
                        <pic:blipFill>
                          <a:blip r:embed="rId13"/>
                          <a:stretch>
                            <a:fillRect/>
                          </a:stretch>
                        </pic:blipFill>
                        <pic:spPr>
                          <a:xfrm>
                            <a:off x="0" y="0"/>
                            <a:ext cx="2364828" cy="3376800"/>
                          </a:xfrm>
                          <a:prstGeom prst="rect">
                            <a:avLst/>
                          </a:prstGeom>
                        </pic:spPr>
                      </pic:pic>
                    </a:graphicData>
                  </a:graphic>
                </wp:inline>
              </w:drawing>
            </w:r>
          </w:p>
        </w:tc>
      </w:tr>
      <w:tr w14:paraId="518E5D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center"/>
          </w:tcPr>
          <w:p w14:paraId="7761636E">
            <w:pPr>
              <w:pStyle w:val="10"/>
            </w:pPr>
            <w:r>
              <w:rPr>
                <w:rFonts w:hint="eastAsia" w:eastAsia="宋体" w:cs="Times New Roman"/>
                <w:bCs/>
                <w:sz w:val="15"/>
              </w:rPr>
              <w:t>（a）叠梁门分层取水</w:t>
            </w:r>
          </w:p>
        </w:tc>
        <w:tc>
          <w:tcPr>
            <w:tcW w:w="0" w:type="auto"/>
            <w:vAlign w:val="center"/>
          </w:tcPr>
          <w:p w14:paraId="6E30648D">
            <w:pPr>
              <w:pStyle w:val="10"/>
            </w:pPr>
            <w:r>
              <w:rPr>
                <w:rFonts w:hint="eastAsia" w:eastAsia="宋体" w:cs="Times New Roman"/>
                <w:bCs/>
                <w:sz w:val="15"/>
              </w:rPr>
              <w:t>（b）无级分层取水</w:t>
            </w:r>
          </w:p>
        </w:tc>
      </w:tr>
    </w:tbl>
    <w:p w14:paraId="0588D80E">
      <w:pPr>
        <w:pStyle w:val="10"/>
      </w:pPr>
      <w:r>
        <w:rPr>
          <w:rFonts w:hint="eastAsia"/>
        </w:rPr>
        <w:t>图</w:t>
      </w:r>
      <w:r>
        <w:t>1</w:t>
      </w:r>
      <w:r>
        <w:rPr>
          <w:rFonts w:hint="eastAsia"/>
        </w:rPr>
        <w:t>分层取水布置对比</w:t>
      </w:r>
    </w:p>
    <w:p w14:paraId="29D1A75F">
      <w:pPr>
        <w:pStyle w:val="10"/>
      </w:pPr>
      <w:r>
        <w:t>Fig. 1 Comparison of stratified water intake layout</w:t>
      </w:r>
    </w:p>
    <w:p w14:paraId="3406EAD3">
      <w:pPr>
        <w:pStyle w:val="10"/>
      </w:pPr>
    </w:p>
    <w:tbl>
      <w:tblPr>
        <w:tblStyle w:val="2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074"/>
        <w:gridCol w:w="4780"/>
      </w:tblGrid>
      <w:tr w14:paraId="4ECD96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center"/>
          </w:tcPr>
          <w:p w14:paraId="4FE27D23">
            <w:pPr>
              <w:pStyle w:val="68"/>
              <w:keepNext/>
              <w:ind w:firstLine="0" w:firstLineChars="0"/>
              <w:jc w:val="center"/>
            </w:pPr>
            <w:r>
              <w:drawing>
                <wp:inline distT="0" distB="0" distL="0" distR="0">
                  <wp:extent cx="2515870" cy="2159000"/>
                  <wp:effectExtent l="0" t="0" r="0" b="0"/>
                  <wp:docPr id="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0"/>
                          <pic:cNvPicPr>
                            <a:picLocks noChangeAspect="1" noChangeArrowheads="1"/>
                          </pic:cNvPicPr>
                        </pic:nvPicPr>
                        <pic:blipFill>
                          <a:blip r:embed="rId14"/>
                          <a:stretch>
                            <a:fillRect/>
                          </a:stretch>
                        </pic:blipFill>
                        <pic:spPr>
                          <a:xfrm>
                            <a:off x="0" y="0"/>
                            <a:ext cx="2516020" cy="2159634"/>
                          </a:xfrm>
                          <a:prstGeom prst="rect">
                            <a:avLst/>
                          </a:prstGeom>
                          <a:noFill/>
                          <a:ln>
                            <a:noFill/>
                          </a:ln>
                        </pic:spPr>
                      </pic:pic>
                    </a:graphicData>
                  </a:graphic>
                </wp:inline>
              </w:drawing>
            </w:r>
          </w:p>
          <w:p w14:paraId="682D86FD">
            <w:pPr>
              <w:pStyle w:val="10"/>
            </w:pPr>
            <w:r>
              <w:rPr>
                <w:rFonts w:hint="eastAsia"/>
              </w:rPr>
              <w:t>1</w:t>
            </w:r>
            <w:r>
              <w:rPr>
                <w:rFonts w:hint="eastAsia" w:hAnsi="Times New Roman"/>
                <w:lang w:eastAsia="zh-CN"/>
              </w:rPr>
              <w:t>—</w:t>
            </w:r>
            <w:r>
              <w:rPr>
                <w:rFonts w:hint="eastAsia"/>
              </w:rPr>
              <w:t>进水口；2</w:t>
            </w:r>
            <w:r>
              <w:rPr>
                <w:rFonts w:hint="eastAsia" w:hAnsi="Times New Roman"/>
                <w:lang w:eastAsia="zh-CN"/>
              </w:rPr>
              <w:t>—</w:t>
            </w:r>
            <w:r>
              <w:rPr>
                <w:rFonts w:hint="eastAsia"/>
              </w:rPr>
              <w:t>取水闸门槽</w:t>
            </w:r>
          </w:p>
          <w:p w14:paraId="2F25E547">
            <w:pPr>
              <w:pStyle w:val="10"/>
            </w:pPr>
            <w:r>
              <w:rPr>
                <w:rFonts w:hint="eastAsia"/>
              </w:rPr>
              <w:t>图</w:t>
            </w:r>
            <w:r>
              <w:t>2</w:t>
            </w:r>
            <w:r>
              <w:rPr>
                <w:rFonts w:hint="eastAsia"/>
              </w:rPr>
              <w:t>无级分层取水装置运行示意</w:t>
            </w:r>
          </w:p>
          <w:p w14:paraId="4CECA0C7">
            <w:pPr>
              <w:pStyle w:val="10"/>
              <w:rPr>
                <w:rFonts w:hint="eastAsia" w:eastAsia="黑体"/>
                <w:lang w:val="en-US" w:eastAsia="zh-CN"/>
              </w:rPr>
            </w:pPr>
            <w:r>
              <w:t xml:space="preserve">Fig. 2 </w:t>
            </w:r>
            <w:r>
              <w:rPr>
                <w:rFonts w:hint="eastAsia"/>
              </w:rPr>
              <w:t xml:space="preserve">Schematic </w:t>
            </w:r>
            <w:r>
              <w:rPr>
                <w:rFonts w:hint="eastAsia"/>
                <w:lang w:val="en-US" w:eastAsia="zh-CN"/>
              </w:rPr>
              <w:t xml:space="preserve">diagram </w:t>
            </w:r>
            <w:r>
              <w:rPr>
                <w:rFonts w:hint="eastAsia"/>
              </w:rPr>
              <w:t>of</w:t>
            </w:r>
            <w:r>
              <w:rPr>
                <w:rFonts w:hint="eastAsia"/>
                <w:lang w:val="en-US" w:eastAsia="zh-CN"/>
              </w:rPr>
              <w:t xml:space="preserve"> </w:t>
            </w:r>
            <w:r>
              <w:rPr>
                <w:rFonts w:hint="eastAsia"/>
              </w:rPr>
              <w:t>operation</w:t>
            </w:r>
            <w:r>
              <w:rPr>
                <w:rFonts w:hint="eastAsia"/>
                <w:lang w:val="en-US" w:eastAsia="zh-CN"/>
              </w:rPr>
              <w:t xml:space="preserve"> of </w:t>
            </w:r>
            <w:r>
              <w:rPr>
                <w:color w:val="000000"/>
                <w:shd w:val="clear" w:color="auto" w:fill="FFFFFF"/>
              </w:rPr>
              <w:t>s</w:t>
            </w:r>
            <w:r>
              <w:t xml:space="preserve">tepless stratified water intake </w:t>
            </w:r>
            <w:r>
              <w:rPr>
                <w:rFonts w:hint="eastAsia"/>
                <w:lang w:val="en-US" w:eastAsia="zh-CN"/>
              </w:rPr>
              <w:t>device</w:t>
            </w:r>
          </w:p>
          <w:p w14:paraId="4ECBADA8">
            <w:pPr>
              <w:pStyle w:val="10"/>
            </w:pPr>
          </w:p>
        </w:tc>
        <w:tc>
          <w:tcPr>
            <w:tcW w:w="0" w:type="auto"/>
            <w:vAlign w:val="center"/>
          </w:tcPr>
          <w:p w14:paraId="2E423FA7">
            <w:pPr>
              <w:pStyle w:val="68"/>
              <w:keepNext/>
              <w:ind w:firstLine="0" w:firstLineChars="0"/>
              <w:jc w:val="center"/>
            </w:pPr>
            <w:r>
              <w:drawing>
                <wp:inline distT="0" distB="0" distL="0" distR="0">
                  <wp:extent cx="2519680" cy="2159635"/>
                  <wp:effectExtent l="0" t="0" r="0" b="0"/>
                  <wp:docPr id="204877036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0362" name="Picture 21"/>
                          <pic:cNvPicPr>
                            <a:picLocks noChangeAspect="1" noChangeArrowheads="1"/>
                          </pic:cNvPicPr>
                        </pic:nvPicPr>
                        <pic:blipFill>
                          <a:blip r:embed="rId15" cstate="print"/>
                          <a:srcRect/>
                          <a:stretch>
                            <a:fillRect/>
                          </a:stretch>
                        </pic:blipFill>
                        <pic:spPr>
                          <a:xfrm>
                            <a:off x="0" y="0"/>
                            <a:ext cx="2519680" cy="2159635"/>
                          </a:xfrm>
                          <a:prstGeom prst="rect">
                            <a:avLst/>
                          </a:prstGeom>
                          <a:noFill/>
                          <a:ln>
                            <a:noFill/>
                          </a:ln>
                        </pic:spPr>
                      </pic:pic>
                    </a:graphicData>
                  </a:graphic>
                </wp:inline>
              </w:drawing>
            </w:r>
          </w:p>
          <w:p w14:paraId="7CBC9FF5">
            <w:pPr>
              <w:pStyle w:val="10"/>
            </w:pPr>
            <w:r>
              <w:rPr>
                <w:rFonts w:hint="eastAsia"/>
              </w:rPr>
              <w:t>图</w:t>
            </w:r>
            <w:r>
              <w:t>3</w:t>
            </w:r>
            <w:r>
              <w:rPr>
                <w:rFonts w:hint="eastAsia"/>
              </w:rPr>
              <w:t>无级分层取水闸门装置示意</w:t>
            </w:r>
          </w:p>
          <w:p w14:paraId="2E7EBAB6">
            <w:pPr>
              <w:pStyle w:val="10"/>
            </w:pPr>
            <w:r>
              <w:t xml:space="preserve">Fig. 3 </w:t>
            </w:r>
            <w:r>
              <w:rPr>
                <w:rFonts w:hint="eastAsia"/>
              </w:rPr>
              <w:t xml:space="preserve">Schematic </w:t>
            </w:r>
            <w:r>
              <w:rPr>
                <w:rFonts w:hint="eastAsia"/>
                <w:lang w:val="en-US" w:eastAsia="zh-CN"/>
              </w:rPr>
              <w:t xml:space="preserve">diagram </w:t>
            </w:r>
            <w:r>
              <w:rPr>
                <w:rFonts w:hint="eastAsia"/>
              </w:rPr>
              <w:t>of</w:t>
            </w:r>
            <w:r>
              <w:rPr>
                <w:rFonts w:hint="eastAsia"/>
                <w:lang w:val="en-US" w:eastAsia="zh-CN"/>
              </w:rPr>
              <w:t xml:space="preserve"> </w:t>
            </w:r>
            <w:r>
              <w:t>stepless stratified water intake gate device</w:t>
            </w:r>
          </w:p>
        </w:tc>
      </w:tr>
      <w:bookmarkEnd w:id="7"/>
    </w:tbl>
    <w:p w14:paraId="2257C7FB">
      <w:pPr>
        <w:pStyle w:val="3"/>
        <w:spacing w:before="156"/>
      </w:pPr>
      <w:r>
        <w:t>1.2</w:t>
      </w:r>
      <w:r>
        <w:rPr>
          <w:rFonts w:hint="eastAsia"/>
        </w:rPr>
        <w:t>工况设置</w:t>
      </w:r>
    </w:p>
    <w:p w14:paraId="1C9FB596">
      <w:pPr>
        <w:pStyle w:val="4"/>
      </w:pPr>
      <w:r>
        <w:t>1.2.</w:t>
      </w:r>
      <w:r>
        <w:rPr>
          <w:rFonts w:hint="eastAsia"/>
        </w:rPr>
        <w:t>监测剖面布置</w:t>
      </w:r>
    </w:p>
    <w:p w14:paraId="36060752">
      <w:pPr>
        <w:pStyle w:val="68"/>
        <w:ind w:firstLine="420"/>
      </w:pPr>
      <w:r>
        <w:rPr>
          <w:rFonts w:hint="eastAsia"/>
        </w:rPr>
        <w:t>监测剖面如图</w:t>
      </w:r>
      <w:r>
        <w:t>4</w:t>
      </w:r>
      <w:r>
        <w:rPr>
          <w:rFonts w:hint="eastAsia"/>
        </w:rPr>
        <w:t>所示，沿着水流方向，发电进水口的四个流道从左至右分别编号为1、2、3和4号流道，1</w:t>
      </w:r>
      <w:r>
        <w:t>-1</w:t>
      </w:r>
      <w:r>
        <w:rPr>
          <w:rFonts w:hint="eastAsia"/>
        </w:rPr>
        <w:t>断面为</w:t>
      </w:r>
      <w:r>
        <w:t>2</w:t>
      </w:r>
      <w:r>
        <w:rPr>
          <w:rFonts w:hint="eastAsia"/>
        </w:rPr>
        <w:t>号流道中心剖面，2</w:t>
      </w:r>
      <w:r>
        <w:t>-2</w:t>
      </w:r>
      <w:r>
        <w:rPr>
          <w:rFonts w:hint="eastAsia"/>
        </w:rPr>
        <w:t>断面为面向下游方向的横撑与门叶剖面，3</w:t>
      </w:r>
      <w:r>
        <w:t>-3</w:t>
      </w:r>
      <w:r>
        <w:rPr>
          <w:rFonts w:hint="eastAsia"/>
        </w:rPr>
        <w:t>断面为竖井内纵撑剖面。考虑到进水口的对称性，研究重点将集中在1号和2号流道的中心纵剖面以及翻板门门框的中心横剖面。</w:t>
      </w:r>
    </w:p>
    <w:p w14:paraId="2AB8D8CC">
      <w:pPr>
        <w:pStyle w:val="68"/>
        <w:keepNext/>
        <w:ind w:firstLine="0" w:firstLineChars="0"/>
        <w:jc w:val="center"/>
      </w:pPr>
      <w:r>
        <w:rPr>
          <w:rFonts w:hint="eastAsia"/>
        </w:rPr>
        <w:drawing>
          <wp:inline distT="0" distB="0" distL="0" distR="0">
            <wp:extent cx="2876550" cy="150876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6"/>
                    <a:stretch>
                      <a:fillRect/>
                    </a:stretch>
                  </pic:blipFill>
                  <pic:spPr>
                    <a:xfrm>
                      <a:off x="0" y="0"/>
                      <a:ext cx="2876741" cy="1509188"/>
                    </a:xfrm>
                    <a:prstGeom prst="rect">
                      <a:avLst/>
                    </a:prstGeom>
                  </pic:spPr>
                </pic:pic>
              </a:graphicData>
            </a:graphic>
          </wp:inline>
        </w:drawing>
      </w:r>
    </w:p>
    <w:p w14:paraId="71CF9703">
      <w:pPr>
        <w:pStyle w:val="10"/>
      </w:pPr>
      <w:r>
        <w:rPr>
          <w:rFonts w:hint="eastAsia"/>
        </w:rPr>
        <w:t>图</w:t>
      </w:r>
      <w:r>
        <w:t>4</w:t>
      </w:r>
      <w:r>
        <w:rPr>
          <w:rFonts w:hint="eastAsia"/>
        </w:rPr>
        <w:t>监测剖面布置</w:t>
      </w:r>
    </w:p>
    <w:p w14:paraId="2053A7BD">
      <w:pPr>
        <w:pStyle w:val="10"/>
      </w:pPr>
      <w:r>
        <w:t xml:space="preserve">Fig. 4 Monitoring </w:t>
      </w:r>
      <w:r>
        <w:rPr>
          <w:rFonts w:hint="eastAsia"/>
          <w:lang w:val="en-US" w:eastAsia="zh-CN"/>
        </w:rPr>
        <w:t>profile</w:t>
      </w:r>
      <w:r>
        <w:t xml:space="preserve"> layout</w:t>
      </w:r>
    </w:p>
    <w:p w14:paraId="23839A18">
      <w:pPr>
        <w:pStyle w:val="4"/>
      </w:pPr>
      <w:r>
        <w:t>1.2.2</w:t>
      </w:r>
      <w:r>
        <w:rPr>
          <w:rFonts w:hint="eastAsia"/>
        </w:rPr>
        <w:t>工况设计</w:t>
      </w:r>
    </w:p>
    <w:p w14:paraId="0ABB4132">
      <w:pPr>
        <w:pStyle w:val="68"/>
        <w:ind w:firstLine="420"/>
      </w:pPr>
      <w:r>
        <w:rPr>
          <w:rFonts w:hint="eastAsia"/>
        </w:rPr>
        <w:t>基于不同取水层对流动特性与能量损失的调控作用，本文设置三种典型工况。在进水流量和结构参数一致的前提下，通过调整竖向开启门叶的层号位置，改变有效过流层位的竖向分布。无级分层取水装置共设有2</w:t>
      </w:r>
      <w:r>
        <w:t>0</w:t>
      </w:r>
      <w:r>
        <w:rPr>
          <w:color w:val="000000"/>
          <w:shd w:val="clear" w:color="auto" w:fill="FFFFFF"/>
        </w:rPr>
        <w:t>层</w:t>
      </w:r>
      <w:r>
        <w:t>门叶，</w:t>
      </w:r>
      <w:r>
        <w:rPr>
          <w:rFonts w:hint="eastAsia"/>
        </w:rPr>
        <w:t>自下而上编号为第1~</w:t>
      </w:r>
      <w:r>
        <w:t>20</w:t>
      </w:r>
      <w:r>
        <w:rPr>
          <w:rFonts w:hint="eastAsia"/>
        </w:rPr>
        <w:t>层</w:t>
      </w:r>
      <w:r>
        <w:t>，每层高</w:t>
      </w:r>
      <w:r>
        <w:rPr>
          <w:rFonts w:hint="eastAsia"/>
        </w:rPr>
        <w:t>3</w:t>
      </w:r>
      <w:r>
        <w:t xml:space="preserve"> m</w:t>
      </w:r>
      <w:r>
        <w:rPr>
          <w:rFonts w:hint="eastAsia"/>
        </w:rPr>
        <w:t>，门瓣开启角度统一设定为9</w:t>
      </w:r>
      <w:r>
        <w:t>0°。</w:t>
      </w:r>
      <w:r>
        <w:rPr>
          <w:rFonts w:hint="eastAsia"/>
        </w:rPr>
        <w:t>沿闸门宽度方向布置有4</w:t>
      </w:r>
      <w:r>
        <w:rPr>
          <w:rFonts w:hint="eastAsia"/>
          <w:color w:val="000000"/>
          <w:shd w:val="clear" w:color="auto" w:fill="FFFFFF"/>
        </w:rPr>
        <w:t>列</w:t>
      </w:r>
      <w:r>
        <w:rPr>
          <w:rFonts w:hint="eastAsia"/>
        </w:rPr>
        <w:t>流道，同一层的4个流道的翻板门在运行中同步启闭。三</w:t>
      </w:r>
      <w:r>
        <w:rPr>
          <w:rFonts w:hint="eastAsia"/>
          <w:color w:val="000000"/>
          <w:shd w:val="clear" w:color="auto" w:fill="FFFFFF"/>
        </w:rPr>
        <w:t>组</w:t>
      </w:r>
      <w:r>
        <w:rPr>
          <w:rFonts w:hint="eastAsia"/>
        </w:rPr>
        <w:t>工况均采用机组额定流量2</w:t>
      </w:r>
      <w:r>
        <w:t xml:space="preserve">96.7 </w:t>
      </w:r>
      <w:r>
        <w:rPr>
          <w:rFonts w:hint="eastAsia"/>
        </w:rPr>
        <w:t>m</w:t>
      </w:r>
      <w:r>
        <w:rPr>
          <w:color w:val="000000"/>
          <w:shd w:val="clear" w:color="auto" w:fill="FFFFFF"/>
          <w:vertAlign w:val="superscript"/>
        </w:rPr>
        <w:t>3</w:t>
      </w:r>
      <w:r>
        <w:t>/s，淹没水深</w:t>
      </w:r>
      <w:r>
        <w:rPr>
          <w:rFonts w:hint="eastAsia"/>
        </w:rPr>
        <w:t>为1</w:t>
      </w:r>
      <w:r>
        <w:t xml:space="preserve">8 </w:t>
      </w:r>
      <w:r>
        <w:rPr>
          <w:rFonts w:hint="eastAsia"/>
        </w:rPr>
        <w:t>m</w:t>
      </w:r>
      <w:r>
        <w:t>，</w:t>
      </w:r>
      <w:r>
        <w:rPr>
          <w:rFonts w:hint="eastAsia"/>
        </w:rPr>
        <w:t>对应的有效过流深度保持一致，仅通过调整开启层位在竖向上的位置实现取水层位的差异</w:t>
      </w:r>
      <w:r>
        <w:t>。</w:t>
      </w:r>
      <w:r>
        <w:rPr>
          <w:rFonts w:hint="eastAsia"/>
        </w:rPr>
        <w:t>三种工况的具体设置如表</w:t>
      </w:r>
      <w:r>
        <w:t>1所</w:t>
      </w:r>
      <w:r>
        <w:rPr>
          <w:rFonts w:hint="eastAsia"/>
          <w:color w:val="000000"/>
          <w:shd w:val="clear" w:color="auto" w:fill="FFFFFF"/>
        </w:rPr>
        <w:t>列</w:t>
      </w:r>
      <w:r>
        <w:t>。</w:t>
      </w:r>
    </w:p>
    <w:p w14:paraId="357AF3FF">
      <w:pPr>
        <w:pStyle w:val="10"/>
        <w:keepNext/>
      </w:pPr>
      <w:r>
        <w:rPr>
          <w:rFonts w:hint="eastAsia"/>
        </w:rPr>
        <w:t>表</w:t>
      </w:r>
      <w:r>
        <w:t>1</w:t>
      </w:r>
      <w:r>
        <w:rPr>
          <w:rFonts w:hint="eastAsia"/>
        </w:rPr>
        <w:t>进水口计算工况</w:t>
      </w:r>
    </w:p>
    <w:p w14:paraId="789D4834">
      <w:pPr>
        <w:pStyle w:val="10"/>
        <w:keepNext/>
      </w:pPr>
      <w:r>
        <w:t xml:space="preserve">Table 1 </w:t>
      </w:r>
      <w:r>
        <w:rPr>
          <w:rFonts w:hint="eastAsia"/>
          <w:lang w:val="en-US" w:eastAsia="zh-CN"/>
        </w:rPr>
        <w:t xml:space="preserve">Calculation operating </w:t>
      </w:r>
      <w:r>
        <w:rPr>
          <w:rFonts w:hint="eastAsia"/>
        </w:rPr>
        <w:t>conditions of</w:t>
      </w:r>
      <w:r>
        <w:t xml:space="preserve"> inlet</w:t>
      </w:r>
    </w:p>
    <w:tbl>
      <w:tblPr>
        <w:tblStyle w:val="2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16"/>
        <w:gridCol w:w="1716"/>
        <w:gridCol w:w="1416"/>
        <w:gridCol w:w="1116"/>
        <w:gridCol w:w="675"/>
      </w:tblGrid>
      <w:tr w14:paraId="13956E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3" w:hRule="atLeast"/>
          <w:jc w:val="center"/>
        </w:trPr>
        <w:tc>
          <w:tcPr>
            <w:tcW w:w="0" w:type="auto"/>
            <w:tcBorders>
              <w:top w:val="single" w:color="auto" w:sz="12" w:space="0"/>
              <w:bottom w:val="single" w:color="auto" w:sz="4" w:space="0"/>
            </w:tcBorders>
            <w:vAlign w:val="center"/>
          </w:tcPr>
          <w:p w14:paraId="738F0AAF">
            <w:pPr>
              <w:pStyle w:val="76"/>
              <w:snapToGrid w:val="0"/>
              <w:rPr>
                <w:sz w:val="15"/>
                <w:szCs w:val="15"/>
              </w:rPr>
            </w:pPr>
            <w:r>
              <w:rPr>
                <w:rFonts w:hint="eastAsia"/>
                <w:sz w:val="15"/>
                <w:szCs w:val="15"/>
              </w:rPr>
              <w:t>工况编号</w:t>
            </w:r>
          </w:p>
        </w:tc>
        <w:tc>
          <w:tcPr>
            <w:tcW w:w="0" w:type="auto"/>
            <w:tcBorders>
              <w:top w:val="single" w:color="auto" w:sz="12" w:space="0"/>
              <w:bottom w:val="single" w:color="auto" w:sz="4" w:space="0"/>
            </w:tcBorders>
            <w:vAlign w:val="center"/>
          </w:tcPr>
          <w:p w14:paraId="5199DA47">
            <w:pPr>
              <w:pStyle w:val="76"/>
              <w:snapToGrid w:val="0"/>
              <w:rPr>
                <w:sz w:val="15"/>
                <w:szCs w:val="15"/>
              </w:rPr>
            </w:pPr>
            <w:r>
              <w:rPr>
                <w:rFonts w:hint="eastAsia"/>
                <w:sz w:val="15"/>
                <w:szCs w:val="15"/>
              </w:rPr>
              <w:t>单流道翻板门关闭层数</w:t>
            </w:r>
          </w:p>
          <w:p w14:paraId="1657B5A1">
            <w:pPr>
              <w:pStyle w:val="76"/>
              <w:snapToGrid w:val="0"/>
              <w:rPr>
                <w:sz w:val="15"/>
                <w:szCs w:val="15"/>
              </w:rPr>
            </w:pPr>
            <w:r>
              <w:rPr>
                <w:rFonts w:hint="eastAsia"/>
                <w:sz w:val="15"/>
                <w:szCs w:val="15"/>
              </w:rPr>
              <w:t>（依次自下而上）</w:t>
            </w:r>
          </w:p>
        </w:tc>
        <w:tc>
          <w:tcPr>
            <w:tcW w:w="0" w:type="auto"/>
            <w:tcBorders>
              <w:top w:val="single" w:color="auto" w:sz="12" w:space="0"/>
              <w:bottom w:val="single" w:color="auto" w:sz="4" w:space="0"/>
            </w:tcBorders>
            <w:vAlign w:val="center"/>
          </w:tcPr>
          <w:p w14:paraId="3DDFA12E">
            <w:pPr>
              <w:pStyle w:val="76"/>
              <w:snapToGrid w:val="0"/>
              <w:rPr>
                <w:sz w:val="15"/>
                <w:szCs w:val="15"/>
              </w:rPr>
            </w:pPr>
            <w:r>
              <w:rPr>
                <w:rFonts w:hint="eastAsia"/>
                <w:sz w:val="15"/>
                <w:szCs w:val="15"/>
              </w:rPr>
              <w:t>翻板门关闭总数量</w:t>
            </w:r>
          </w:p>
          <w:p w14:paraId="47372452">
            <w:pPr>
              <w:pStyle w:val="76"/>
              <w:snapToGrid w:val="0"/>
              <w:rPr>
                <w:sz w:val="15"/>
                <w:szCs w:val="15"/>
              </w:rPr>
            </w:pPr>
            <w:r>
              <w:rPr>
                <w:rFonts w:hint="eastAsia"/>
                <w:sz w:val="15"/>
                <w:szCs w:val="15"/>
              </w:rPr>
              <w:t>（依次自下而上）</w:t>
            </w:r>
          </w:p>
        </w:tc>
        <w:tc>
          <w:tcPr>
            <w:tcW w:w="0" w:type="auto"/>
            <w:tcBorders>
              <w:top w:val="single" w:color="auto" w:sz="12" w:space="0"/>
              <w:bottom w:val="single" w:color="auto" w:sz="4" w:space="0"/>
            </w:tcBorders>
            <w:vAlign w:val="center"/>
          </w:tcPr>
          <w:p w14:paraId="297949FD">
            <w:pPr>
              <w:pStyle w:val="76"/>
              <w:snapToGrid w:val="0"/>
              <w:rPr>
                <w:sz w:val="15"/>
                <w:szCs w:val="15"/>
              </w:rPr>
            </w:pPr>
            <w:r>
              <w:rPr>
                <w:rFonts w:hint="eastAsia"/>
                <w:sz w:val="15"/>
                <w:szCs w:val="15"/>
              </w:rPr>
              <w:t>有效过流范围</w:t>
            </w:r>
          </w:p>
        </w:tc>
        <w:tc>
          <w:tcPr>
            <w:tcW w:w="0" w:type="auto"/>
            <w:tcBorders>
              <w:top w:val="single" w:color="auto" w:sz="12" w:space="0"/>
              <w:bottom w:val="single" w:color="auto" w:sz="4" w:space="0"/>
            </w:tcBorders>
            <w:vAlign w:val="center"/>
          </w:tcPr>
          <w:p w14:paraId="2D182D7A">
            <w:pPr>
              <w:pStyle w:val="76"/>
              <w:snapToGrid w:val="0"/>
              <w:rPr>
                <w:sz w:val="15"/>
                <w:szCs w:val="15"/>
              </w:rPr>
            </w:pPr>
            <w:r>
              <w:rPr>
                <w:rFonts w:hint="eastAsia"/>
                <w:sz w:val="15"/>
                <w:szCs w:val="15"/>
              </w:rPr>
              <w:t>水深/</w:t>
            </w:r>
            <w:r>
              <w:rPr>
                <w:sz w:val="15"/>
                <w:szCs w:val="15"/>
              </w:rPr>
              <w:t>m</w:t>
            </w:r>
          </w:p>
        </w:tc>
      </w:tr>
      <w:tr w14:paraId="5F5DEF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4" w:hRule="atLeast"/>
          <w:jc w:val="center"/>
        </w:trPr>
        <w:tc>
          <w:tcPr>
            <w:tcW w:w="0" w:type="auto"/>
            <w:tcBorders>
              <w:top w:val="single" w:color="auto" w:sz="4" w:space="0"/>
            </w:tcBorders>
            <w:vAlign w:val="center"/>
          </w:tcPr>
          <w:p w14:paraId="66BCDB6C">
            <w:pPr>
              <w:pStyle w:val="76"/>
              <w:rPr>
                <w:sz w:val="15"/>
                <w:szCs w:val="15"/>
              </w:rPr>
            </w:pPr>
            <w:r>
              <w:rPr>
                <w:sz w:val="15"/>
                <w:szCs w:val="15"/>
              </w:rPr>
              <w:t>1</w:t>
            </w:r>
          </w:p>
        </w:tc>
        <w:tc>
          <w:tcPr>
            <w:tcW w:w="0" w:type="auto"/>
            <w:tcBorders>
              <w:top w:val="single" w:color="auto" w:sz="4" w:space="0"/>
            </w:tcBorders>
            <w:vAlign w:val="center"/>
          </w:tcPr>
          <w:p w14:paraId="763A9D8A">
            <w:pPr>
              <w:pStyle w:val="76"/>
              <w:rPr>
                <w:sz w:val="15"/>
                <w:szCs w:val="15"/>
              </w:rPr>
            </w:pPr>
            <w:r>
              <w:rPr>
                <w:sz w:val="15"/>
                <w:szCs w:val="15"/>
              </w:rPr>
              <w:t>1</w:t>
            </w:r>
          </w:p>
        </w:tc>
        <w:tc>
          <w:tcPr>
            <w:tcW w:w="0" w:type="auto"/>
            <w:tcBorders>
              <w:top w:val="single" w:color="auto" w:sz="4" w:space="0"/>
            </w:tcBorders>
            <w:vAlign w:val="center"/>
          </w:tcPr>
          <w:p w14:paraId="41BAB922">
            <w:pPr>
              <w:pStyle w:val="76"/>
              <w:rPr>
                <w:sz w:val="15"/>
                <w:szCs w:val="15"/>
              </w:rPr>
            </w:pPr>
            <w:r>
              <w:rPr>
                <w:sz w:val="15"/>
                <w:szCs w:val="15"/>
              </w:rPr>
              <w:t>4</w:t>
            </w:r>
          </w:p>
        </w:tc>
        <w:tc>
          <w:tcPr>
            <w:tcW w:w="0" w:type="auto"/>
            <w:tcBorders>
              <w:top w:val="single" w:color="auto" w:sz="4" w:space="0"/>
            </w:tcBorders>
            <w:vAlign w:val="center"/>
          </w:tcPr>
          <w:p w14:paraId="335D2CE3">
            <w:pPr>
              <w:pStyle w:val="76"/>
              <w:rPr>
                <w:sz w:val="15"/>
                <w:szCs w:val="15"/>
              </w:rPr>
            </w:pPr>
            <w:r>
              <w:rPr>
                <w:rFonts w:hint="eastAsia"/>
                <w:sz w:val="15"/>
                <w:szCs w:val="15"/>
              </w:rPr>
              <w:t>第2~</w:t>
            </w:r>
            <w:r>
              <w:rPr>
                <w:sz w:val="15"/>
                <w:szCs w:val="15"/>
              </w:rPr>
              <w:t>7</w:t>
            </w:r>
            <w:r>
              <w:rPr>
                <w:rFonts w:hint="eastAsia"/>
                <w:sz w:val="15"/>
                <w:szCs w:val="15"/>
              </w:rPr>
              <w:t>层</w:t>
            </w:r>
          </w:p>
        </w:tc>
        <w:tc>
          <w:tcPr>
            <w:tcW w:w="0" w:type="auto"/>
            <w:tcBorders>
              <w:top w:val="single" w:color="auto" w:sz="4" w:space="0"/>
            </w:tcBorders>
            <w:vAlign w:val="center"/>
          </w:tcPr>
          <w:p w14:paraId="188FCAA6">
            <w:pPr>
              <w:pStyle w:val="76"/>
              <w:rPr>
                <w:sz w:val="15"/>
                <w:szCs w:val="15"/>
              </w:rPr>
            </w:pPr>
            <w:r>
              <w:rPr>
                <w:sz w:val="15"/>
                <w:szCs w:val="15"/>
              </w:rPr>
              <w:t>21</w:t>
            </w:r>
          </w:p>
        </w:tc>
      </w:tr>
      <w:tr w14:paraId="1F4EFA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4" w:hRule="atLeast"/>
          <w:jc w:val="center"/>
        </w:trPr>
        <w:tc>
          <w:tcPr>
            <w:tcW w:w="0" w:type="auto"/>
            <w:vAlign w:val="center"/>
          </w:tcPr>
          <w:p w14:paraId="31A816F8">
            <w:pPr>
              <w:pStyle w:val="76"/>
              <w:rPr>
                <w:sz w:val="15"/>
                <w:szCs w:val="15"/>
              </w:rPr>
            </w:pPr>
            <w:r>
              <w:rPr>
                <w:sz w:val="15"/>
                <w:szCs w:val="15"/>
              </w:rPr>
              <w:t>2</w:t>
            </w:r>
          </w:p>
        </w:tc>
        <w:tc>
          <w:tcPr>
            <w:tcW w:w="0" w:type="auto"/>
            <w:vAlign w:val="center"/>
          </w:tcPr>
          <w:p w14:paraId="1885F4C0">
            <w:pPr>
              <w:pStyle w:val="76"/>
              <w:rPr>
                <w:sz w:val="15"/>
                <w:szCs w:val="15"/>
              </w:rPr>
            </w:pPr>
            <w:r>
              <w:rPr>
                <w:sz w:val="15"/>
                <w:szCs w:val="15"/>
              </w:rPr>
              <w:t>10</w:t>
            </w:r>
          </w:p>
        </w:tc>
        <w:tc>
          <w:tcPr>
            <w:tcW w:w="0" w:type="auto"/>
            <w:vAlign w:val="center"/>
          </w:tcPr>
          <w:p w14:paraId="660B1641">
            <w:pPr>
              <w:pStyle w:val="76"/>
              <w:rPr>
                <w:sz w:val="15"/>
                <w:szCs w:val="15"/>
              </w:rPr>
            </w:pPr>
            <w:r>
              <w:rPr>
                <w:sz w:val="15"/>
                <w:szCs w:val="15"/>
              </w:rPr>
              <w:t>40</w:t>
            </w:r>
          </w:p>
        </w:tc>
        <w:tc>
          <w:tcPr>
            <w:tcW w:w="0" w:type="auto"/>
            <w:vAlign w:val="center"/>
          </w:tcPr>
          <w:p w14:paraId="5261B7C5">
            <w:pPr>
              <w:pStyle w:val="76"/>
              <w:rPr>
                <w:sz w:val="15"/>
                <w:szCs w:val="15"/>
              </w:rPr>
            </w:pPr>
            <w:r>
              <w:rPr>
                <w:rFonts w:hint="eastAsia"/>
                <w:sz w:val="15"/>
                <w:szCs w:val="15"/>
              </w:rPr>
              <w:t>第1</w:t>
            </w:r>
            <w:r>
              <w:rPr>
                <w:sz w:val="15"/>
                <w:szCs w:val="15"/>
              </w:rPr>
              <w:t>1</w:t>
            </w:r>
            <w:r>
              <w:rPr>
                <w:rFonts w:hint="eastAsia"/>
                <w:sz w:val="15"/>
                <w:szCs w:val="15"/>
              </w:rPr>
              <w:t>~</w:t>
            </w:r>
            <w:r>
              <w:rPr>
                <w:sz w:val="15"/>
                <w:szCs w:val="15"/>
              </w:rPr>
              <w:t>16</w:t>
            </w:r>
            <w:r>
              <w:rPr>
                <w:rFonts w:hint="eastAsia"/>
                <w:sz w:val="15"/>
                <w:szCs w:val="15"/>
              </w:rPr>
              <w:t>层</w:t>
            </w:r>
          </w:p>
        </w:tc>
        <w:tc>
          <w:tcPr>
            <w:tcW w:w="0" w:type="auto"/>
            <w:vAlign w:val="center"/>
          </w:tcPr>
          <w:p w14:paraId="09D3D996">
            <w:pPr>
              <w:pStyle w:val="76"/>
              <w:rPr>
                <w:sz w:val="15"/>
                <w:szCs w:val="15"/>
              </w:rPr>
            </w:pPr>
            <w:r>
              <w:rPr>
                <w:sz w:val="15"/>
                <w:szCs w:val="15"/>
              </w:rPr>
              <w:t>48</w:t>
            </w:r>
          </w:p>
        </w:tc>
      </w:tr>
      <w:tr w14:paraId="2B0AC1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0" w:type="auto"/>
            <w:tcBorders>
              <w:bottom w:val="single" w:color="auto" w:sz="12" w:space="0"/>
            </w:tcBorders>
            <w:vAlign w:val="center"/>
          </w:tcPr>
          <w:p w14:paraId="33FB43BC">
            <w:pPr>
              <w:pStyle w:val="76"/>
              <w:rPr>
                <w:sz w:val="15"/>
                <w:szCs w:val="15"/>
              </w:rPr>
            </w:pPr>
            <w:r>
              <w:rPr>
                <w:sz w:val="15"/>
                <w:szCs w:val="15"/>
              </w:rPr>
              <w:t>3</w:t>
            </w:r>
          </w:p>
        </w:tc>
        <w:tc>
          <w:tcPr>
            <w:tcW w:w="0" w:type="auto"/>
            <w:tcBorders>
              <w:bottom w:val="single" w:color="auto" w:sz="12" w:space="0"/>
            </w:tcBorders>
            <w:vAlign w:val="center"/>
          </w:tcPr>
          <w:p w14:paraId="49624D67">
            <w:pPr>
              <w:pStyle w:val="76"/>
              <w:rPr>
                <w:sz w:val="15"/>
                <w:szCs w:val="15"/>
              </w:rPr>
            </w:pPr>
            <w:r>
              <w:rPr>
                <w:sz w:val="15"/>
                <w:szCs w:val="15"/>
              </w:rPr>
              <w:t>14</w:t>
            </w:r>
          </w:p>
        </w:tc>
        <w:tc>
          <w:tcPr>
            <w:tcW w:w="0" w:type="auto"/>
            <w:tcBorders>
              <w:bottom w:val="single" w:color="auto" w:sz="12" w:space="0"/>
            </w:tcBorders>
            <w:vAlign w:val="center"/>
          </w:tcPr>
          <w:p w14:paraId="5B40348B">
            <w:pPr>
              <w:pStyle w:val="76"/>
              <w:rPr>
                <w:sz w:val="15"/>
                <w:szCs w:val="15"/>
              </w:rPr>
            </w:pPr>
            <w:r>
              <w:rPr>
                <w:sz w:val="15"/>
                <w:szCs w:val="15"/>
              </w:rPr>
              <w:t>56</w:t>
            </w:r>
          </w:p>
        </w:tc>
        <w:tc>
          <w:tcPr>
            <w:tcW w:w="0" w:type="auto"/>
            <w:tcBorders>
              <w:bottom w:val="single" w:color="auto" w:sz="12" w:space="0"/>
            </w:tcBorders>
            <w:vAlign w:val="center"/>
          </w:tcPr>
          <w:p w14:paraId="492CA751">
            <w:pPr>
              <w:pStyle w:val="76"/>
              <w:rPr>
                <w:sz w:val="15"/>
                <w:szCs w:val="15"/>
              </w:rPr>
            </w:pPr>
            <w:r>
              <w:rPr>
                <w:rFonts w:hint="eastAsia"/>
                <w:sz w:val="15"/>
                <w:szCs w:val="15"/>
              </w:rPr>
              <w:t>第1</w:t>
            </w:r>
            <w:r>
              <w:rPr>
                <w:sz w:val="15"/>
                <w:szCs w:val="15"/>
              </w:rPr>
              <w:t>5</w:t>
            </w:r>
            <w:r>
              <w:rPr>
                <w:rFonts w:hint="eastAsia"/>
                <w:sz w:val="15"/>
                <w:szCs w:val="15"/>
              </w:rPr>
              <w:t>~</w:t>
            </w:r>
            <w:r>
              <w:rPr>
                <w:sz w:val="15"/>
                <w:szCs w:val="15"/>
              </w:rPr>
              <w:t>20</w:t>
            </w:r>
            <w:r>
              <w:rPr>
                <w:rFonts w:hint="eastAsia"/>
                <w:sz w:val="15"/>
                <w:szCs w:val="15"/>
              </w:rPr>
              <w:t>层</w:t>
            </w:r>
          </w:p>
        </w:tc>
        <w:tc>
          <w:tcPr>
            <w:tcW w:w="0" w:type="auto"/>
            <w:tcBorders>
              <w:bottom w:val="single" w:color="auto" w:sz="12" w:space="0"/>
            </w:tcBorders>
            <w:vAlign w:val="center"/>
          </w:tcPr>
          <w:p w14:paraId="511B9AB4">
            <w:pPr>
              <w:pStyle w:val="76"/>
              <w:rPr>
                <w:sz w:val="15"/>
                <w:szCs w:val="15"/>
              </w:rPr>
            </w:pPr>
            <w:r>
              <w:rPr>
                <w:sz w:val="15"/>
                <w:szCs w:val="15"/>
              </w:rPr>
              <w:t>60</w:t>
            </w:r>
          </w:p>
        </w:tc>
      </w:tr>
    </w:tbl>
    <w:p w14:paraId="693C3B41"/>
    <w:p w14:paraId="56B9000E">
      <w:pPr>
        <w:pStyle w:val="3"/>
        <w:spacing w:before="156"/>
      </w:pPr>
      <w:r>
        <w:t>1.3</w:t>
      </w:r>
      <w:r>
        <w:rPr>
          <w:rFonts w:hint="eastAsia"/>
        </w:rPr>
        <w:t>研究区域划分</w:t>
      </w:r>
    </w:p>
    <w:p w14:paraId="1243F03B">
      <w:pPr>
        <w:pStyle w:val="68"/>
        <w:ind w:firstLine="420"/>
      </w:pPr>
      <w:r>
        <w:rPr>
          <w:rFonts w:hint="eastAsia"/>
        </w:rPr>
        <w:t>电站进水口系统结构复杂，沿主流路径不同部位的几何特征与边界条件存在明显差异，可能引发不同类型的局部能量耗散。为开展后续熵</w:t>
      </w:r>
      <w:r>
        <w:rPr>
          <w:rFonts w:hint="eastAsia"/>
          <w:color w:val="000000"/>
          <w:shd w:val="clear" w:color="auto" w:fill="FFFFFF"/>
        </w:rPr>
        <w:t>产</w:t>
      </w:r>
      <w:r>
        <w:rPr>
          <w:rFonts w:hint="eastAsia"/>
        </w:rPr>
        <w:t>分布的空间对比分析，本文依据结构功能与流动路径将进水口划分为三个典型区域（见图</w:t>
      </w:r>
      <w:r>
        <w:t>5</w:t>
      </w:r>
      <w:r>
        <w:rPr>
          <w:rFonts w:hint="eastAsia"/>
        </w:rPr>
        <w:t>）。各区域将在后续分析中分别计算熵产分项</w:t>
      </w:r>
      <w:r>
        <w:rPr>
          <w:rFonts w:hint="eastAsia"/>
          <w:color w:val="000000"/>
          <w:shd w:val="clear" w:color="auto" w:fill="FFFFFF"/>
        </w:rPr>
        <w:t>，</w:t>
      </w:r>
      <w:r>
        <w:rPr>
          <w:rFonts w:hint="eastAsia"/>
        </w:rPr>
        <w:t>识别主导能耗机制及其空间分布特征。</w:t>
      </w:r>
    </w:p>
    <w:tbl>
      <w:tblPr>
        <w:tblStyle w:val="8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209"/>
        <w:gridCol w:w="3209"/>
        <w:gridCol w:w="3210"/>
      </w:tblGrid>
      <w:tr w14:paraId="00D5B9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209" w:type="dxa"/>
            <w:vAlign w:val="center"/>
          </w:tcPr>
          <w:p w14:paraId="3A19429F">
            <w:pPr>
              <w:pStyle w:val="68"/>
              <w:keepNext/>
              <w:widowControl w:val="0"/>
              <w:ind w:firstLine="0" w:firstLineChars="0"/>
              <w:jc w:val="center"/>
            </w:pPr>
            <w:r>
              <w:drawing>
                <wp:inline distT="0" distB="0" distL="0" distR="0">
                  <wp:extent cx="1259840" cy="1922145"/>
                  <wp:effectExtent l="0" t="0" r="0" b="19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1260000" cy="1922400"/>
                          </a:xfrm>
                          <a:prstGeom prst="rect">
                            <a:avLst/>
                          </a:prstGeom>
                          <a:noFill/>
                        </pic:spPr>
                      </pic:pic>
                    </a:graphicData>
                  </a:graphic>
                </wp:inline>
              </w:drawing>
            </w:r>
          </w:p>
          <w:p w14:paraId="761D9025">
            <w:pPr>
              <w:pStyle w:val="10"/>
              <w:ind w:firstLine="420"/>
              <w:rPr>
                <w:rFonts w:eastAsia="宋体"/>
                <w:sz w:val="15"/>
              </w:rPr>
            </w:pPr>
            <w:r>
              <w:rPr>
                <w:rFonts w:hint="eastAsia" w:eastAsia="宋体"/>
                <w:sz w:val="15"/>
              </w:rPr>
              <w:t>（a）区域1</w:t>
            </w:r>
            <w:r>
              <w:rPr>
                <w:rFonts w:eastAsia="宋体"/>
                <w:sz w:val="15"/>
              </w:rPr>
              <w:t>-</w:t>
            </w:r>
            <w:r>
              <w:rPr>
                <w:rFonts w:hint="eastAsia" w:eastAsia="宋体"/>
                <w:sz w:val="15"/>
              </w:rPr>
              <w:t xml:space="preserve">进水通道 </w:t>
            </w:r>
          </w:p>
        </w:tc>
        <w:tc>
          <w:tcPr>
            <w:tcW w:w="3209" w:type="dxa"/>
            <w:vAlign w:val="center"/>
          </w:tcPr>
          <w:p w14:paraId="672FD918">
            <w:pPr>
              <w:pStyle w:val="68"/>
              <w:keepNext/>
              <w:widowControl w:val="0"/>
              <w:ind w:firstLine="0" w:firstLineChars="0"/>
              <w:jc w:val="center"/>
            </w:pPr>
            <w:r>
              <w:drawing>
                <wp:inline distT="0" distB="0" distL="0" distR="0">
                  <wp:extent cx="1259840" cy="1878965"/>
                  <wp:effectExtent l="0" t="0" r="0" b="698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1260000" cy="1879200"/>
                          </a:xfrm>
                          <a:prstGeom prst="rect">
                            <a:avLst/>
                          </a:prstGeom>
                          <a:noFill/>
                        </pic:spPr>
                      </pic:pic>
                    </a:graphicData>
                  </a:graphic>
                </wp:inline>
              </w:drawing>
            </w:r>
          </w:p>
          <w:p w14:paraId="31A85F16">
            <w:pPr>
              <w:pStyle w:val="10"/>
              <w:ind w:firstLine="420"/>
              <w:rPr>
                <w:rFonts w:eastAsia="宋体"/>
                <w:sz w:val="15"/>
              </w:rPr>
            </w:pPr>
            <w:r>
              <w:rPr>
                <w:rFonts w:hint="eastAsia" w:eastAsia="宋体"/>
                <w:sz w:val="15"/>
              </w:rPr>
              <w:t>（b）区域2</w:t>
            </w:r>
            <w:r>
              <w:rPr>
                <w:rFonts w:eastAsia="宋体"/>
                <w:sz w:val="15"/>
              </w:rPr>
              <w:t>-</w:t>
            </w:r>
            <w:r>
              <w:rPr>
                <w:rFonts w:hint="eastAsia" w:eastAsia="宋体"/>
                <w:sz w:val="15"/>
              </w:rPr>
              <w:t>竖井</w:t>
            </w:r>
          </w:p>
        </w:tc>
        <w:tc>
          <w:tcPr>
            <w:tcW w:w="3210" w:type="dxa"/>
            <w:vAlign w:val="center"/>
          </w:tcPr>
          <w:p w14:paraId="2354A204">
            <w:pPr>
              <w:pStyle w:val="68"/>
              <w:keepNext/>
              <w:widowControl w:val="0"/>
              <w:ind w:firstLine="0" w:firstLineChars="0"/>
              <w:jc w:val="center"/>
            </w:pPr>
            <w:r>
              <w:drawing>
                <wp:inline distT="0" distB="0" distL="0" distR="0">
                  <wp:extent cx="1259840" cy="185737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1260000" cy="1857600"/>
                          </a:xfrm>
                          <a:prstGeom prst="rect">
                            <a:avLst/>
                          </a:prstGeom>
                          <a:noFill/>
                        </pic:spPr>
                      </pic:pic>
                    </a:graphicData>
                  </a:graphic>
                </wp:inline>
              </w:drawing>
            </w:r>
          </w:p>
          <w:p w14:paraId="00D830D3">
            <w:pPr>
              <w:pStyle w:val="10"/>
              <w:keepNext/>
              <w:ind w:firstLine="420"/>
              <w:rPr>
                <w:rFonts w:eastAsia="宋体"/>
                <w:sz w:val="15"/>
              </w:rPr>
            </w:pPr>
            <w:r>
              <w:rPr>
                <w:rFonts w:hint="eastAsia" w:eastAsia="宋体"/>
                <w:sz w:val="15"/>
              </w:rPr>
              <w:t>（c）区域3</w:t>
            </w:r>
            <w:r>
              <w:rPr>
                <w:rFonts w:eastAsia="宋体"/>
                <w:sz w:val="15"/>
              </w:rPr>
              <w:t>-</w:t>
            </w:r>
            <w:r>
              <w:rPr>
                <w:rFonts w:hint="eastAsia" w:eastAsia="宋体"/>
                <w:sz w:val="15"/>
              </w:rPr>
              <w:t>下游管道</w:t>
            </w:r>
          </w:p>
        </w:tc>
      </w:tr>
    </w:tbl>
    <w:p w14:paraId="28783D21">
      <w:pPr>
        <w:pStyle w:val="10"/>
      </w:pPr>
      <w:r>
        <w:rPr>
          <w:rFonts w:hint="eastAsia"/>
        </w:rPr>
        <w:t>图</w:t>
      </w:r>
      <w:r>
        <w:t>5</w:t>
      </w:r>
      <w:r>
        <w:rPr>
          <w:rFonts w:hint="eastAsia"/>
        </w:rPr>
        <w:t>能量损失研究区域划分</w:t>
      </w:r>
    </w:p>
    <w:p w14:paraId="29DDF038">
      <w:pPr>
        <w:pStyle w:val="10"/>
      </w:pPr>
      <w:r>
        <w:t xml:space="preserve">Fig. 5 </w:t>
      </w:r>
      <w:r>
        <w:rPr>
          <w:rFonts w:hint="eastAsia"/>
        </w:rPr>
        <w:t>Division of energy</w:t>
      </w:r>
      <w:r>
        <w:rPr>
          <w:rFonts w:hint="eastAsia"/>
          <w:lang w:val="en-US" w:eastAsia="zh-CN"/>
        </w:rPr>
        <w:t xml:space="preserve"> </w:t>
      </w:r>
      <w:r>
        <w:rPr>
          <w:rFonts w:hint="eastAsia"/>
        </w:rPr>
        <w:t>loss study regions</w:t>
      </w:r>
    </w:p>
    <w:p w14:paraId="59DE0ADB">
      <w:pPr>
        <w:pStyle w:val="3"/>
        <w:spacing w:before="156"/>
      </w:pPr>
      <w:r>
        <w:t>1.4</w:t>
      </w:r>
      <w:r>
        <w:rPr>
          <w:rFonts w:hint="eastAsia"/>
        </w:rPr>
        <w:t>数值模型</w:t>
      </w:r>
    </w:p>
    <w:p w14:paraId="36534CE9">
      <w:pPr>
        <w:pStyle w:val="4"/>
      </w:pPr>
      <w:r>
        <w:rPr>
          <w:rFonts w:hint="eastAsia"/>
        </w:rPr>
        <w:t>1</w:t>
      </w:r>
      <w:r>
        <w:t>.4.1</w:t>
      </w:r>
      <w:r>
        <w:rPr>
          <w:rFonts w:hint="eastAsia"/>
        </w:rPr>
        <w:t>计算域</w:t>
      </w:r>
    </w:p>
    <w:p w14:paraId="34BA649B">
      <w:pPr>
        <w:pStyle w:val="68"/>
        <w:ind w:firstLine="420"/>
      </w:pPr>
      <w:r>
        <w:rPr>
          <w:rFonts w:hint="eastAsia"/>
        </w:rPr>
        <w:t>本研究以电站原型单台机组的进水口系统为研究对象，构建三维计算域，范围包括拦污栅、无级分层取水门叶、翻板门门框及竖井等主要过流结构。计算域自水库上游延伸至机组主管道，涵盖完整的进水通道系统。</w:t>
      </w:r>
    </w:p>
    <w:p w14:paraId="6DB25F9A">
      <w:pPr>
        <w:pStyle w:val="4"/>
      </w:pPr>
      <w:r>
        <w:t>1.4.2</w:t>
      </w:r>
      <w:r>
        <w:rPr>
          <w:rFonts w:hint="eastAsia"/>
        </w:rPr>
        <w:t>网格划分与无关性校验</w:t>
      </w:r>
    </w:p>
    <w:p w14:paraId="6F0A9A38">
      <w:pPr>
        <w:pStyle w:val="68"/>
        <w:ind w:firstLine="420"/>
      </w:pPr>
      <w:r>
        <w:rPr>
          <w:rFonts w:hint="eastAsia"/>
        </w:rPr>
        <w:t>无级分层取水系统进水口区域结构复杂，本文采用六面体结构网格对计算域进行划分，并在翻板门、横撑等壁面附近实施局部加密处理，靠近壁面的最小单元尺寸控制在1</w:t>
      </w:r>
      <w:r>
        <w:t xml:space="preserve">0 </w:t>
      </w:r>
      <w:r>
        <w:rPr>
          <w:rFonts w:hint="eastAsia"/>
        </w:rPr>
        <w:t>mm以内（见图</w:t>
      </w:r>
      <w:r>
        <w:t>6</w:t>
      </w:r>
      <w:r>
        <w:rPr>
          <w:rFonts w:hint="eastAsia"/>
        </w:rPr>
        <w:t>）。研究选取工况</w:t>
      </w:r>
      <w:r>
        <w:t>2</w:t>
      </w:r>
      <w:r>
        <w:rPr>
          <w:rFonts w:hint="eastAsia"/>
        </w:rPr>
        <w:t>进行网格无关性检验，共设置5组不同网格数量方案（2</w:t>
      </w:r>
      <w:r>
        <w:t>02</w:t>
      </w:r>
      <w:r>
        <w:rPr>
          <w:rFonts w:hint="eastAsia"/>
        </w:rPr>
        <w:t>万、3</w:t>
      </w:r>
      <w:r>
        <w:t>20</w:t>
      </w:r>
      <w:r>
        <w:rPr>
          <w:rFonts w:hint="eastAsia"/>
        </w:rPr>
        <w:t>万、5</w:t>
      </w:r>
      <w:r>
        <w:t>20</w:t>
      </w:r>
      <w:r>
        <w:rPr>
          <w:rFonts w:hint="eastAsia"/>
        </w:rPr>
        <w:t>万、1</w:t>
      </w:r>
      <w:r>
        <w:t>050</w:t>
      </w:r>
      <w:r>
        <w:rPr>
          <w:rFonts w:hint="eastAsia"/>
        </w:rPr>
        <w:t>万、1</w:t>
      </w:r>
      <w:r>
        <w:t>880</w:t>
      </w:r>
      <w:r>
        <w:rPr>
          <w:rFonts w:hint="eastAsia"/>
        </w:rPr>
        <w:t>万），重点关注进水口至快速闸门井之间的总水头损失。结果表明，当总网格数量达到5</w:t>
      </w:r>
      <w:r>
        <w:t>00</w:t>
      </w:r>
      <w:r>
        <w:rPr>
          <w:rFonts w:hint="eastAsia"/>
        </w:rPr>
        <w:t>万以上时，计算结果相对偏差低于0</w:t>
      </w:r>
      <w:r>
        <w:t>.2 %</w:t>
      </w:r>
      <w:r>
        <w:rPr>
          <w:rFonts w:hint="eastAsia"/>
        </w:rPr>
        <w:t>，可满足计算精度要求（见图</w:t>
      </w:r>
      <w:r>
        <w:t>7</w:t>
      </w:r>
      <w:r>
        <w:rPr>
          <w:rFonts w:hint="eastAsia"/>
        </w:rPr>
        <w:t>）。综合考虑计算精度与效率，最终确定模型网格总数为5</w:t>
      </w:r>
      <w:r>
        <w:t>2</w:t>
      </w:r>
      <w:r>
        <w:rPr>
          <w:rFonts w:hint="eastAsia"/>
        </w:rPr>
        <w:t>0万、节点数为1</w:t>
      </w:r>
      <w:r>
        <w:t>400</w:t>
      </w:r>
      <w:r>
        <w:rPr>
          <w:rFonts w:hint="eastAsia"/>
        </w:rPr>
        <w:t>万，不同工况门叶组合变化下，局部结构调整带来的网格差异控制在1</w:t>
      </w:r>
      <w:r>
        <w:t xml:space="preserve"> %</w:t>
      </w:r>
      <w:r>
        <w:rPr>
          <w:rFonts w:hint="eastAsia" w:ascii="宋体" w:hAnsi="宋体"/>
        </w:rPr>
        <w:t>～</w:t>
      </w:r>
      <w:r>
        <w:rPr>
          <w:rFonts w:hint="eastAsia"/>
        </w:rPr>
        <w:t>5</w:t>
      </w:r>
      <w:r>
        <w:t xml:space="preserve"> </w:t>
      </w:r>
      <w:r>
        <w:rPr>
          <w:rFonts w:hint="eastAsia"/>
        </w:rPr>
        <w:t>%范围内。</w:t>
      </w:r>
    </w:p>
    <w:tbl>
      <w:tblPr>
        <w:tblStyle w:val="2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751"/>
        <w:gridCol w:w="4686"/>
      </w:tblGrid>
      <w:tr w14:paraId="315C42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7" w:hRule="atLeast"/>
          <w:jc w:val="center"/>
        </w:trPr>
        <w:tc>
          <w:tcPr>
            <w:tcW w:w="0" w:type="auto"/>
            <w:vAlign w:val="bottom"/>
          </w:tcPr>
          <w:p w14:paraId="6F9FA159">
            <w:pPr>
              <w:pStyle w:val="12"/>
              <w:keepNext/>
              <w:spacing w:line="240" w:lineRule="atLeast"/>
              <w:ind w:firstLine="0" w:firstLineChars="0"/>
              <w:jc w:val="center"/>
            </w:pPr>
            <w:r>
              <w:drawing>
                <wp:inline distT="0" distB="0" distL="0" distR="0">
                  <wp:extent cx="2879725" cy="1371600"/>
                  <wp:effectExtent l="0" t="0" r="0" b="0"/>
                  <wp:docPr id="7985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54" name="图片 16"/>
                          <pic:cNvPicPr>
                            <a:picLocks noChangeAspect="1" noChangeArrowheads="1"/>
                          </pic:cNvPicPr>
                        </pic:nvPicPr>
                        <pic:blipFill>
                          <a:blip r:embed="rId20" cstate="print"/>
                          <a:stretch>
                            <a:fillRect/>
                          </a:stretch>
                        </pic:blipFill>
                        <pic:spPr>
                          <a:xfrm>
                            <a:off x="0" y="0"/>
                            <a:ext cx="2880000" cy="1372181"/>
                          </a:xfrm>
                          <a:prstGeom prst="rect">
                            <a:avLst/>
                          </a:prstGeom>
                          <a:noFill/>
                          <a:ln>
                            <a:noFill/>
                          </a:ln>
                        </pic:spPr>
                      </pic:pic>
                    </a:graphicData>
                  </a:graphic>
                </wp:inline>
              </w:drawing>
            </w:r>
          </w:p>
          <w:p w14:paraId="7E1A3771">
            <w:pPr>
              <w:pStyle w:val="10"/>
            </w:pPr>
            <w:r>
              <w:rPr>
                <w:rFonts w:hint="eastAsia"/>
              </w:rPr>
              <w:t>图</w:t>
            </w:r>
            <w:r>
              <w:t>6</w:t>
            </w:r>
            <w:r>
              <w:rPr>
                <w:rFonts w:hint="eastAsia"/>
              </w:rPr>
              <w:t>整体网格</w:t>
            </w:r>
          </w:p>
          <w:p w14:paraId="2B059787">
            <w:pPr>
              <w:pStyle w:val="10"/>
            </w:pPr>
            <w:r>
              <w:t xml:space="preserve">Fig. 6 Overall </w:t>
            </w:r>
            <w:r>
              <w:rPr>
                <w:rFonts w:hint="eastAsia"/>
                <w:lang w:val="en-US" w:eastAsia="zh-CN"/>
              </w:rPr>
              <w:t>mesh</w:t>
            </w:r>
          </w:p>
        </w:tc>
        <w:tc>
          <w:tcPr>
            <w:tcW w:w="0" w:type="auto"/>
            <w:vAlign w:val="center"/>
          </w:tcPr>
          <w:p w14:paraId="1763FF3B">
            <w:pPr>
              <w:pStyle w:val="12"/>
              <w:keepNext/>
              <w:spacing w:line="240" w:lineRule="atLeast"/>
              <w:ind w:firstLine="0" w:firstLineChars="0"/>
              <w:jc w:val="center"/>
            </w:pPr>
            <w:r>
              <w:drawing>
                <wp:inline distT="0" distB="0" distL="0" distR="0">
                  <wp:extent cx="2830830" cy="2314575"/>
                  <wp:effectExtent l="0" t="0" r="7620"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1"/>
                          <a:stretch>
                            <a:fillRect/>
                          </a:stretch>
                        </pic:blipFill>
                        <pic:spPr>
                          <a:xfrm>
                            <a:off x="0" y="0"/>
                            <a:ext cx="2841027" cy="2323110"/>
                          </a:xfrm>
                          <a:prstGeom prst="rect">
                            <a:avLst/>
                          </a:prstGeom>
                        </pic:spPr>
                      </pic:pic>
                    </a:graphicData>
                  </a:graphic>
                </wp:inline>
              </w:drawing>
            </w:r>
          </w:p>
          <w:p w14:paraId="1442DFCB">
            <w:pPr>
              <w:pStyle w:val="10"/>
            </w:pPr>
            <w:r>
              <w:rPr>
                <w:rFonts w:hint="eastAsia"/>
              </w:rPr>
              <w:t>图</w:t>
            </w:r>
            <w:r>
              <w:t>7</w:t>
            </w:r>
            <w:r>
              <w:rPr>
                <w:rFonts w:hint="eastAsia"/>
              </w:rPr>
              <w:t>网格独立性校验</w:t>
            </w:r>
          </w:p>
          <w:p w14:paraId="2A5C48A9">
            <w:pPr>
              <w:pStyle w:val="10"/>
            </w:pPr>
            <w:r>
              <w:t xml:space="preserve">Fig. 7 </w:t>
            </w:r>
            <w:r>
              <w:rPr>
                <w:rFonts w:hint="eastAsia"/>
                <w:lang w:val="en-US" w:eastAsia="zh-CN"/>
              </w:rPr>
              <w:t>Mesh</w:t>
            </w:r>
            <w:r>
              <w:t xml:space="preserve"> independence verification</w:t>
            </w:r>
          </w:p>
        </w:tc>
      </w:tr>
    </w:tbl>
    <w:p w14:paraId="3B6A510F">
      <w:pPr>
        <w:pStyle w:val="3"/>
        <w:spacing w:before="156"/>
      </w:pPr>
      <w:r>
        <w:rPr>
          <w:rFonts w:hint="eastAsia"/>
        </w:rPr>
        <w:t>1</w:t>
      </w:r>
      <w:r>
        <w:t xml:space="preserve">.4.3 </w:t>
      </w:r>
      <w:r>
        <w:rPr>
          <w:rFonts w:hint="eastAsia"/>
        </w:rPr>
        <w:t>控制方程与湍流模型</w:t>
      </w:r>
    </w:p>
    <w:p w14:paraId="78B48888">
      <w:pPr>
        <w:pStyle w:val="68"/>
        <w:ind w:firstLine="420"/>
      </w:pPr>
      <w:r>
        <w:rPr>
          <w:rFonts w:hint="eastAsia"/>
        </w:rPr>
        <w:t>本研究采用不可压缩雷诺时均方程（R</w:t>
      </w:r>
      <w:r>
        <w:t>ANS</w:t>
      </w:r>
      <w:r>
        <w:rPr>
          <w:rFonts w:hint="eastAsia"/>
        </w:rPr>
        <w:t>）来描述流动过程，根据《水电站分层取水规范》中推荐的Realizable</w:t>
      </w:r>
      <w:r>
        <w:t xml:space="preserve"> </w:t>
      </w:r>
      <w:r>
        <w:rPr>
          <w:position w:val="-6"/>
        </w:rPr>
        <w:object>
          <v:shape id="_x0000_i1025" o:spt="75" type="#_x0000_t75" style="height:12.65pt;width:26.25pt;" o:ole="t" filled="f" o:preferrelative="t" stroked="f" coordsize="21600,21600">
            <v:path/>
            <v:fill on="f" focussize="0,0"/>
            <v:stroke on="f" joinstyle="miter"/>
            <v:imagedata r:id="rId23" o:title=""/>
            <o:lock v:ext="edit" aspectratio="t"/>
            <w10:wrap type="none"/>
            <w10:anchorlock/>
          </v:shape>
          <o:OLEObject Type="Embed" ProgID="Equation.DSMT4" ShapeID="_x0000_i1025" DrawAspect="Content" ObjectID="_1468075725" r:id="rId22">
            <o:LockedField>false</o:LockedField>
          </o:OLEObject>
        </w:object>
      </w:r>
      <w:r>
        <w:rPr>
          <w:rFonts w:hint="eastAsia"/>
        </w:rPr>
        <w:t>湍流模型进行湍流封闭。该模型通过引入应变率相关性修正湍流黏度系数（</w:t>
      </w:r>
      <w:r>
        <w:rPr>
          <w:position w:val="-12"/>
        </w:rPr>
        <w:object>
          <v:shape id="_x0000_i1026" o:spt="75" type="#_x0000_t75" style="height:18.6pt;width:12.65pt;" o:ole="t" filled="f" o:preferrelative="t" stroked="f" coordsize="21600,21600">
            <v:path/>
            <v:fill on="f" focussize="0,0"/>
            <v:stroke on="f" joinstyle="miter"/>
            <v:imagedata r:id="rId25" o:title=""/>
            <o:lock v:ext="edit" aspectratio="t"/>
            <w10:wrap type="none"/>
            <w10:anchorlock/>
          </v:shape>
          <o:OLEObject Type="Embed" ProgID="Equation.DSMT4" ShapeID="_x0000_i1026" DrawAspect="Content" ObjectID="_1468075726" r:id="rId24">
            <o:LockedField>false</o:LockedField>
          </o:OLEObject>
        </w:object>
      </w:r>
      <w:r>
        <w:rPr>
          <w:rFonts w:hint="eastAsia"/>
        </w:rPr>
        <w:t>），并重构</w:t>
      </w:r>
      <w:r>
        <w:rPr>
          <w:position w:val="-6"/>
        </w:rPr>
        <w:object>
          <v:shape id="_x0000_i1027" o:spt="75" type="#_x0000_t75" style="height:11.9pt;width:10pt;" o:ole="t" filled="f" o:preferrelative="t" stroked="f" coordsize="21600,21600">
            <v:path/>
            <v:fill on="f" focussize="0,0"/>
            <v:stroke on="f" joinstyle="miter"/>
            <v:imagedata r:id="rId27" o:title=""/>
            <o:lock v:ext="edit" aspectratio="t"/>
            <w10:wrap type="none"/>
            <w10:anchorlock/>
          </v:shape>
          <o:OLEObject Type="Embed" ProgID="Equation.DSMT4" ShapeID="_x0000_i1027" DrawAspect="Content" ObjectID="_1468075727" r:id="rId26">
            <o:LockedField>false</o:LockedField>
          </o:OLEObject>
        </w:object>
      </w:r>
      <w:r>
        <w:rPr>
          <w:rFonts w:hint="eastAsia"/>
        </w:rPr>
        <w:t>输运方程以满足物理可实现性条件。相较于标准</w:t>
      </w:r>
      <w:r>
        <w:rPr>
          <w:position w:val="-6"/>
        </w:rPr>
        <w:object>
          <v:shape id="_x0000_i1028" o:spt="75" type="#_x0000_t75" style="height:12.65pt;width:26.25pt;" o:ole="t" filled="f" o:preferrelative="t" stroked="f" coordsize="21600,21600">
            <v:path/>
            <v:fill on="f" focussize="0,0"/>
            <v:stroke on="f" joinstyle="miter"/>
            <v:imagedata r:id="rId23" o:title=""/>
            <o:lock v:ext="edit" aspectratio="t"/>
            <w10:wrap type="none"/>
            <w10:anchorlock/>
          </v:shape>
          <o:OLEObject Type="Embed" ProgID="Equation.DSMT4" ShapeID="_x0000_i1028" DrawAspect="Content" ObjectID="_1468075728" r:id="rId28">
            <o:LockedField>false</o:LockedField>
          </o:OLEObject>
        </w:object>
      </w:r>
      <w:r>
        <w:rPr>
          <w:rFonts w:hint="eastAsia"/>
        </w:rPr>
        <w:t>模型，其具备更强的适应性</w:t>
      </w:r>
      <w:r>
        <w:rPr>
          <w:kern w:val="0"/>
          <w:vertAlign w:val="superscript"/>
        </w:rPr>
        <w:t>[21]</w:t>
      </w:r>
      <w:r>
        <w:rPr>
          <w:rFonts w:hint="eastAsia"/>
        </w:rPr>
        <w:t>，尤其在剪切增强、回流及分离流动条件下展现出更高的数值稳定性与预测能力</w:t>
      </w:r>
      <w:r>
        <w:rPr>
          <w:kern w:val="0"/>
          <w:vertAlign w:val="superscript"/>
        </w:rPr>
        <w:t>[22,23]</w:t>
      </w:r>
      <w:r>
        <w:rPr>
          <w:rFonts w:hint="eastAsia"/>
        </w:rPr>
        <w:t>。湍动能</w:t>
      </w:r>
      <w:r>
        <w:rPr>
          <w:position w:val="-6"/>
        </w:rPr>
        <w:object>
          <v:shape id="_x0000_i1029" o:spt="75" type="#_x0000_t75" style="height:13.6pt;width:10pt;" o:ole="t" filled="f" o:preferrelative="t" stroked="f" coordsize="21600,21600">
            <v:path/>
            <v:fill on="f" focussize="0,0"/>
            <v:stroke on="f" joinstyle="miter"/>
            <v:imagedata r:id="rId30" o:title=""/>
            <o:lock v:ext="edit" aspectratio="t"/>
            <w10:wrap type="none"/>
            <w10:anchorlock/>
          </v:shape>
          <o:OLEObject Type="Embed" ProgID="Equation.DSMT4" ShapeID="_x0000_i1029" DrawAspect="Content" ObjectID="_1468075729" r:id="rId29">
            <o:LockedField>false</o:LockedField>
          </o:OLEObject>
        </w:object>
      </w:r>
      <w:r>
        <w:rPr>
          <w:rFonts w:hint="eastAsia"/>
        </w:rPr>
        <w:t>与耗散率</w:t>
      </w:r>
      <w:r>
        <w:rPr>
          <w:position w:val="-6"/>
        </w:rPr>
        <w:object>
          <v:shape id="_x0000_i1030" o:spt="75" type="#_x0000_t75" style="height:11.2pt;width:10pt;" o:ole="t" filled="f" o:preferrelative="t" stroked="f" coordsize="21600,21600">
            <v:path/>
            <v:fill on="f" focussize="0,0"/>
            <v:stroke on="f" joinstyle="miter"/>
            <v:imagedata r:id="rId32" o:title=""/>
            <o:lock v:ext="edit" aspectratio="t"/>
            <w10:wrap type="none"/>
            <w10:anchorlock/>
          </v:shape>
          <o:OLEObject Type="Embed" ProgID="Equation.DSMT4" ShapeID="_x0000_i1030" DrawAspect="Content" ObjectID="_1468075730" r:id="rId31">
            <o:LockedField>false</o:LockedField>
          </o:OLEObject>
        </w:object>
      </w:r>
      <w:r>
        <w:rPr>
          <w:rFonts w:hint="eastAsia"/>
        </w:rPr>
        <w:t>由模型联立求解，</w:t>
      </w:r>
      <w:r>
        <w:rPr>
          <w:position w:val="-6"/>
        </w:rPr>
        <w:object>
          <v:shape id="_x0000_i1031" o:spt="75" type="#_x0000_t75" style="height:11.2pt;width:10pt;" o:ole="t" filled="f" o:preferrelative="t" stroked="f" coordsize="21600,21600">
            <v:path/>
            <v:fill on="f" focussize="0,0"/>
            <v:stroke on="f" joinstyle="miter"/>
            <v:imagedata r:id="rId34" o:title=""/>
            <o:lock v:ext="edit" aspectratio="t"/>
            <w10:wrap type="none"/>
            <w10:anchorlock/>
          </v:shape>
          <o:OLEObject Type="Embed" ProgID="Equation.DSMT4" ShapeID="_x0000_i1031" DrawAspect="Content" ObjectID="_1468075731" r:id="rId33">
            <o:LockedField>false</o:LockedField>
          </o:OLEObject>
        </w:object>
      </w:r>
      <w:r>
        <w:rPr>
          <w:rFonts w:hint="eastAsia"/>
        </w:rPr>
        <w:t>将用于湍流熵产项的分项量化分析。</w:t>
      </w:r>
    </w:p>
    <w:p w14:paraId="40E6D2AD">
      <w:pPr>
        <w:pStyle w:val="3"/>
        <w:spacing w:before="156"/>
      </w:pPr>
      <w:r>
        <w:t xml:space="preserve">1.4.4 </w:t>
      </w:r>
      <w:r>
        <w:rPr>
          <w:rFonts w:hint="eastAsia"/>
        </w:rPr>
        <w:t>边界条件设定</w:t>
      </w:r>
    </w:p>
    <w:p w14:paraId="722D07B1">
      <w:pPr>
        <w:pStyle w:val="68"/>
        <w:ind w:firstLine="420"/>
      </w:pPr>
      <w:r>
        <w:rPr>
          <w:rFonts w:hint="eastAsia"/>
        </w:rPr>
        <w:t>本研究主要关注无级分层取水装置在不同门叶组合与取水层位条件下的水力能量耗散特征，数值模型与物理模型均采用等温、不可压水流假定，故暂不显式考虑水库水温分层及密度差异的影响。计算采用V</w:t>
      </w:r>
      <w:r>
        <w:t>OF</w:t>
      </w:r>
      <w:r>
        <w:rPr>
          <w:rFonts w:hint="eastAsia"/>
        </w:rPr>
        <w:t>两相流模型模拟自由水面流动</w:t>
      </w:r>
      <w:r>
        <w:rPr>
          <w:kern w:val="0"/>
          <w:vertAlign w:val="superscript"/>
        </w:rPr>
        <w:t>[24]</w:t>
      </w:r>
      <w:r>
        <w:rPr>
          <w:rFonts w:hint="eastAsia"/>
        </w:rPr>
        <w:t>，重点关注翻板门开启组合下门区局部流态变化。计算域进口边界设为压力进口，根据各工况下门叶开启数量及相应蓄水位施加静水压力分布；出口边界设为流量出口，流量选取原型机组额定值2</w:t>
      </w:r>
      <w:r>
        <w:t>96</w:t>
      </w:r>
      <w:r>
        <w:rPr>
          <w:color w:val="000000"/>
          <w:shd w:val="clear" w:color="auto" w:fill="FFFFFF"/>
        </w:rPr>
        <w:t>.7</w:t>
      </w:r>
      <w:r>
        <w:t xml:space="preserve"> </w:t>
      </w:r>
      <w:r>
        <w:rPr>
          <w:rFonts w:hint="eastAsia"/>
        </w:rPr>
        <w:t>m</w:t>
      </w:r>
      <w:r>
        <w:rPr>
          <w:vertAlign w:val="superscript"/>
        </w:rPr>
        <w:t>3</w:t>
      </w:r>
      <w:r>
        <w:t>/</w:t>
      </w:r>
      <w:r>
        <w:rPr>
          <w:rFonts w:hint="eastAsia"/>
        </w:rPr>
        <w:t>s。计算过程中引入重力加速度（g</w:t>
      </w:r>
      <w:r>
        <w:t>=</w:t>
      </w:r>
      <w:r>
        <w:rPr>
          <w:color w:val="000000"/>
          <w:shd w:val="clear" w:color="auto" w:fill="FFFFFF"/>
        </w:rPr>
        <w:t>9.81</w:t>
      </w:r>
      <w:r>
        <w:t xml:space="preserve"> </w:t>
      </w:r>
      <w:r>
        <w:rPr>
          <w:rFonts w:hint="eastAsia"/>
        </w:rPr>
        <w:t>m/s</w:t>
      </w:r>
      <w:r>
        <w:rPr>
          <w:vertAlign w:val="superscript"/>
        </w:rPr>
        <w:t>2</w:t>
      </w:r>
      <w:r>
        <w:rPr>
          <w:rFonts w:hint="eastAsia"/>
        </w:rPr>
        <w:t>）以考虑水体重力作用。水体左右两侧设置为对称边界，其余壁面设为无滑移固壁。</w:t>
      </w:r>
    </w:p>
    <w:p w14:paraId="448D1121">
      <w:pPr>
        <w:pStyle w:val="3"/>
        <w:spacing w:before="156"/>
      </w:pPr>
      <w:r>
        <w:t>1.5</w:t>
      </w:r>
      <w:r>
        <w:rPr>
          <w:rFonts w:hint="eastAsia"/>
        </w:rPr>
        <w:t>物理模型</w:t>
      </w:r>
    </w:p>
    <w:p w14:paraId="72D6F454">
      <w:pPr>
        <w:pStyle w:val="68"/>
        <w:ind w:firstLine="420"/>
      </w:pPr>
      <w:r>
        <w:rPr>
          <w:rFonts w:hint="eastAsia"/>
        </w:rPr>
        <w:t>本次研究按照设计部门提供的电站进水口布置图，采用重力相似准则搭建了几何比例尺为1:20的物理模型（见图</w:t>
      </w:r>
      <w:r>
        <w:t>8</w:t>
      </w:r>
      <w:r>
        <w:rPr>
          <w:rFonts w:hint="eastAsia"/>
        </w:rPr>
        <w:t>）。模型结构范围涵盖进水口拦污栅、无级分层取水门体及下游闸门井，整体材料采用透明有机玻璃。模型的详细尺寸如表</w:t>
      </w:r>
      <w:r>
        <w:t>2</w:t>
      </w:r>
      <w:r>
        <w:rPr>
          <w:rFonts w:hint="eastAsia"/>
        </w:rPr>
        <w:t>所列。</w:t>
      </w:r>
    </w:p>
    <w:tbl>
      <w:tblPr>
        <w:tblStyle w:val="2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64"/>
        <w:gridCol w:w="4364"/>
      </w:tblGrid>
      <w:tr w14:paraId="0FD4F3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364" w:type="dxa"/>
            <w:tcMar>
              <w:left w:w="0" w:type="dxa"/>
              <w:right w:w="0" w:type="dxa"/>
            </w:tcMar>
            <w:vAlign w:val="center"/>
          </w:tcPr>
          <w:p w14:paraId="3B683673">
            <w:pPr>
              <w:pStyle w:val="68"/>
              <w:keepNext/>
              <w:spacing w:line="240" w:lineRule="atLeast"/>
              <w:ind w:firstLine="0" w:firstLineChars="0"/>
              <w:jc w:val="center"/>
            </w:pPr>
            <w:r>
              <w:rPr>
                <w:rFonts w:hint="eastAsia"/>
              </w:rPr>
              <w:drawing>
                <wp:inline distT="0" distB="0" distL="0" distR="0">
                  <wp:extent cx="2519680" cy="2163445"/>
                  <wp:effectExtent l="0" t="0" r="0" b="8255"/>
                  <wp:docPr id="62" name="图片 62"/>
                  <wp:cNvGraphicFramePr/>
                  <a:graphic xmlns:a="http://schemas.openxmlformats.org/drawingml/2006/main">
                    <a:graphicData uri="http://schemas.openxmlformats.org/drawingml/2006/picture">
                      <pic:pic xmlns:pic="http://schemas.openxmlformats.org/drawingml/2006/picture">
                        <pic:nvPicPr>
                          <pic:cNvPr id="62" name="图片 62"/>
                          <pic:cNvPicPr/>
                        </pic:nvPicPr>
                        <pic:blipFill>
                          <a:blip r:embed="rId35" cstate="print"/>
                          <a:stretch>
                            <a:fillRect/>
                          </a:stretch>
                        </pic:blipFill>
                        <pic:spPr>
                          <a:xfrm>
                            <a:off x="0" y="0"/>
                            <a:ext cx="2519680" cy="2163778"/>
                          </a:xfrm>
                          <a:prstGeom prst="rect">
                            <a:avLst/>
                          </a:prstGeom>
                        </pic:spPr>
                      </pic:pic>
                    </a:graphicData>
                  </a:graphic>
                </wp:inline>
              </w:drawing>
            </w:r>
          </w:p>
          <w:p w14:paraId="27FD9E0A">
            <w:pPr>
              <w:pStyle w:val="10"/>
              <w:rPr>
                <w:rFonts w:eastAsia="宋体" w:cs="Times New Roman"/>
                <w:bCs/>
                <w:sz w:val="15"/>
              </w:rPr>
            </w:pPr>
            <w:r>
              <w:rPr>
                <w:rFonts w:hint="eastAsia" w:eastAsia="宋体" w:cs="Times New Roman"/>
                <w:bCs/>
                <w:sz w:val="15"/>
              </w:rPr>
              <w:t>（a）整体水力学模型（俯视图）</w:t>
            </w:r>
          </w:p>
        </w:tc>
        <w:tc>
          <w:tcPr>
            <w:tcW w:w="4364" w:type="dxa"/>
            <w:tcMar>
              <w:left w:w="0" w:type="dxa"/>
              <w:right w:w="0" w:type="dxa"/>
            </w:tcMar>
            <w:vAlign w:val="center"/>
          </w:tcPr>
          <w:p w14:paraId="47A4AB51">
            <w:pPr>
              <w:pStyle w:val="68"/>
              <w:keepNext/>
              <w:spacing w:line="240" w:lineRule="atLeast"/>
              <w:ind w:firstLine="0" w:firstLineChars="0"/>
              <w:jc w:val="center"/>
            </w:pPr>
            <w:r>
              <w:rPr>
                <w:rFonts w:hint="eastAsia"/>
              </w:rPr>
              <w:drawing>
                <wp:inline distT="0" distB="0" distL="0" distR="0">
                  <wp:extent cx="2288540" cy="2159635"/>
                  <wp:effectExtent l="0" t="0" r="0" b="0"/>
                  <wp:docPr id="79815" name="图片 79815"/>
                  <wp:cNvGraphicFramePr/>
                  <a:graphic xmlns:a="http://schemas.openxmlformats.org/drawingml/2006/main">
                    <a:graphicData uri="http://schemas.openxmlformats.org/drawingml/2006/picture">
                      <pic:pic xmlns:pic="http://schemas.openxmlformats.org/drawingml/2006/picture">
                        <pic:nvPicPr>
                          <pic:cNvPr id="79815" name="图片 79815"/>
                          <pic:cNvPicPr/>
                        </pic:nvPicPr>
                        <pic:blipFill>
                          <a:blip r:embed="rId36"/>
                          <a:stretch>
                            <a:fillRect/>
                          </a:stretch>
                        </pic:blipFill>
                        <pic:spPr>
                          <a:xfrm>
                            <a:off x="0" y="0"/>
                            <a:ext cx="2297165" cy="2167613"/>
                          </a:xfrm>
                          <a:prstGeom prst="rect">
                            <a:avLst/>
                          </a:prstGeom>
                        </pic:spPr>
                      </pic:pic>
                    </a:graphicData>
                  </a:graphic>
                </wp:inline>
              </w:drawing>
            </w:r>
          </w:p>
          <w:p w14:paraId="134D196C">
            <w:pPr>
              <w:pStyle w:val="10"/>
              <w:keepNext/>
              <w:rPr>
                <w:rFonts w:eastAsia="宋体" w:cs="Times New Roman"/>
                <w:bCs/>
                <w:sz w:val="15"/>
              </w:rPr>
            </w:pPr>
            <w:r>
              <w:rPr>
                <w:rFonts w:hint="eastAsia" w:eastAsia="宋体" w:cs="Times New Roman"/>
                <w:bCs/>
                <w:sz w:val="15"/>
              </w:rPr>
              <w:t>（b）翻板门模型</w:t>
            </w:r>
          </w:p>
        </w:tc>
      </w:tr>
    </w:tbl>
    <w:p w14:paraId="5EF44B18">
      <w:pPr>
        <w:pStyle w:val="10"/>
      </w:pPr>
      <w:r>
        <w:rPr>
          <w:rFonts w:hint="eastAsia"/>
        </w:rPr>
        <w:t>图</w:t>
      </w:r>
      <w:r>
        <w:t>8</w:t>
      </w:r>
      <w:r>
        <w:rPr>
          <w:rFonts w:hint="eastAsia"/>
        </w:rPr>
        <w:t>进水口及翻板门模型示意</w:t>
      </w:r>
    </w:p>
    <w:p w14:paraId="4B877227">
      <w:pPr>
        <w:pStyle w:val="10"/>
      </w:pPr>
      <w:r>
        <w:t>Fig. 8 Schematic diagram of inlet and flap</w:t>
      </w:r>
      <w:r>
        <w:rPr>
          <w:rFonts w:hint="eastAsia"/>
          <w:lang w:val="en-US" w:eastAsia="zh-CN"/>
        </w:rPr>
        <w:t xml:space="preserve"> </w:t>
      </w:r>
      <w:r>
        <w:rPr>
          <w:rFonts w:hint="eastAsia"/>
        </w:rPr>
        <w:t>gate</w:t>
      </w:r>
      <w:r>
        <w:t xml:space="preserve"> model</w:t>
      </w:r>
    </w:p>
    <w:p w14:paraId="1790E155">
      <w:pPr>
        <w:pStyle w:val="75"/>
      </w:pPr>
      <w:r>
        <w:t xml:space="preserve">                                 </w:t>
      </w:r>
    </w:p>
    <w:p w14:paraId="326A9684">
      <w:pPr>
        <w:pStyle w:val="10"/>
      </w:pPr>
      <w:r>
        <w:rPr>
          <w:rFonts w:hint="eastAsia"/>
        </w:rPr>
        <w:t>表</w:t>
      </w:r>
      <w:r>
        <w:t>2</w:t>
      </w:r>
      <w:r>
        <w:rPr>
          <w:rFonts w:hint="eastAsia"/>
        </w:rPr>
        <w:t>进水口整体模型尺寸</w:t>
      </w:r>
    </w:p>
    <w:p w14:paraId="44DFC229">
      <w:pPr>
        <w:pStyle w:val="10"/>
      </w:pPr>
      <w:r>
        <w:t xml:space="preserve">Table 2 </w:t>
      </w:r>
      <w:r>
        <w:rPr>
          <w:rFonts w:hint="eastAsia"/>
        </w:rPr>
        <w:t xml:space="preserve">Overall model dimensions of </w:t>
      </w:r>
      <w:r>
        <w:rPr>
          <w:rFonts w:hint="eastAsia"/>
          <w:lang w:val="en-US" w:eastAsia="zh-CN"/>
        </w:rPr>
        <w:t>inlet</w:t>
      </w:r>
    </w:p>
    <w:tbl>
      <w:tblPr>
        <w:tblStyle w:val="20"/>
        <w:tblW w:w="0" w:type="auto"/>
        <w:jc w:val="center"/>
        <w:tblBorders>
          <w:top w:val="single" w:color="auto" w:sz="12"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316"/>
        <w:gridCol w:w="556"/>
        <w:gridCol w:w="556"/>
        <w:gridCol w:w="556"/>
        <w:gridCol w:w="932"/>
        <w:gridCol w:w="1308"/>
        <w:gridCol w:w="1308"/>
        <w:gridCol w:w="1308"/>
      </w:tblGrid>
      <w:tr w14:paraId="6DF88F6C">
        <w:tblPrEx>
          <w:tblBorders>
            <w:top w:val="single" w:color="auto" w:sz="12"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0" w:type="auto"/>
            <w:tcBorders>
              <w:top w:val="single" w:color="auto" w:sz="12" w:space="0"/>
              <w:bottom w:val="single" w:color="auto" w:sz="4" w:space="0"/>
              <w:right w:val="nil"/>
            </w:tcBorders>
            <w:vAlign w:val="center"/>
          </w:tcPr>
          <w:p w14:paraId="2C2138BF">
            <w:pPr>
              <w:pStyle w:val="39"/>
              <w:rPr>
                <w:sz w:val="15"/>
                <w:szCs w:val="15"/>
              </w:rPr>
            </w:pPr>
          </w:p>
        </w:tc>
        <w:tc>
          <w:tcPr>
            <w:tcW w:w="556" w:type="dxa"/>
            <w:tcBorders>
              <w:top w:val="single" w:color="auto" w:sz="12" w:space="0"/>
              <w:left w:val="nil"/>
              <w:bottom w:val="single" w:color="auto" w:sz="4" w:space="0"/>
              <w:right w:val="nil"/>
            </w:tcBorders>
            <w:vAlign w:val="center"/>
          </w:tcPr>
          <w:p w14:paraId="118ABA13">
            <w:pPr>
              <w:pStyle w:val="39"/>
              <w:rPr>
                <w:sz w:val="15"/>
                <w:szCs w:val="15"/>
              </w:rPr>
            </w:pPr>
            <w:r>
              <w:rPr>
                <w:rFonts w:hint="eastAsia"/>
                <w:sz w:val="15"/>
                <w:szCs w:val="15"/>
              </w:rPr>
              <w:t>长度/</w:t>
            </w:r>
            <w:r>
              <w:rPr>
                <w:sz w:val="15"/>
                <w:szCs w:val="15"/>
              </w:rPr>
              <w:t>m</w:t>
            </w:r>
          </w:p>
        </w:tc>
        <w:tc>
          <w:tcPr>
            <w:tcW w:w="556" w:type="dxa"/>
            <w:tcBorders>
              <w:top w:val="single" w:color="auto" w:sz="12" w:space="0"/>
              <w:left w:val="nil"/>
              <w:bottom w:val="single" w:color="auto" w:sz="4" w:space="0"/>
              <w:right w:val="nil"/>
            </w:tcBorders>
            <w:vAlign w:val="center"/>
          </w:tcPr>
          <w:p w14:paraId="121137B5">
            <w:pPr>
              <w:pStyle w:val="39"/>
              <w:rPr>
                <w:sz w:val="15"/>
                <w:szCs w:val="15"/>
              </w:rPr>
            </w:pPr>
            <w:r>
              <w:rPr>
                <w:rFonts w:hint="eastAsia"/>
                <w:sz w:val="15"/>
                <w:szCs w:val="15"/>
              </w:rPr>
              <w:t>宽度/</w:t>
            </w:r>
            <w:r>
              <w:rPr>
                <w:sz w:val="15"/>
                <w:szCs w:val="15"/>
              </w:rPr>
              <w:t>m</w:t>
            </w:r>
          </w:p>
        </w:tc>
        <w:tc>
          <w:tcPr>
            <w:tcW w:w="556" w:type="dxa"/>
            <w:tcBorders>
              <w:top w:val="single" w:color="auto" w:sz="12" w:space="0"/>
              <w:left w:val="nil"/>
              <w:bottom w:val="single" w:color="auto" w:sz="4" w:space="0"/>
              <w:right w:val="nil"/>
            </w:tcBorders>
            <w:vAlign w:val="center"/>
          </w:tcPr>
          <w:p w14:paraId="3992D533">
            <w:pPr>
              <w:pStyle w:val="39"/>
              <w:rPr>
                <w:sz w:val="15"/>
                <w:szCs w:val="15"/>
              </w:rPr>
            </w:pPr>
            <w:r>
              <w:rPr>
                <w:rFonts w:hint="eastAsia"/>
                <w:sz w:val="15"/>
                <w:szCs w:val="15"/>
              </w:rPr>
              <w:t>高度/</w:t>
            </w:r>
            <w:r>
              <w:rPr>
                <w:sz w:val="15"/>
                <w:szCs w:val="15"/>
              </w:rPr>
              <w:t>m</w:t>
            </w:r>
          </w:p>
        </w:tc>
        <w:tc>
          <w:tcPr>
            <w:tcW w:w="932" w:type="dxa"/>
            <w:tcBorders>
              <w:top w:val="single" w:color="auto" w:sz="12" w:space="0"/>
              <w:left w:val="nil"/>
              <w:bottom w:val="single" w:color="auto" w:sz="4" w:space="0"/>
              <w:right w:val="nil"/>
            </w:tcBorders>
            <w:vAlign w:val="center"/>
          </w:tcPr>
          <w:p w14:paraId="5109D314">
            <w:pPr>
              <w:pStyle w:val="39"/>
              <w:rPr>
                <w:sz w:val="15"/>
                <w:szCs w:val="15"/>
              </w:rPr>
            </w:pPr>
            <w:r>
              <w:rPr>
                <w:rFonts w:hint="eastAsia"/>
                <w:sz w:val="15"/>
                <w:szCs w:val="15"/>
              </w:rPr>
              <w:t>闸门高度/</w:t>
            </w:r>
            <w:r>
              <w:rPr>
                <w:sz w:val="15"/>
                <w:szCs w:val="15"/>
              </w:rPr>
              <w:t>m</w:t>
            </w:r>
          </w:p>
        </w:tc>
        <w:tc>
          <w:tcPr>
            <w:tcW w:w="1308" w:type="dxa"/>
            <w:tcBorders>
              <w:top w:val="single" w:color="auto" w:sz="12" w:space="0"/>
              <w:left w:val="nil"/>
              <w:bottom w:val="single" w:color="auto" w:sz="4" w:space="0"/>
              <w:right w:val="nil"/>
            </w:tcBorders>
            <w:vAlign w:val="center"/>
          </w:tcPr>
          <w:p w14:paraId="00F38009">
            <w:pPr>
              <w:pStyle w:val="39"/>
              <w:rPr>
                <w:sz w:val="15"/>
                <w:szCs w:val="15"/>
              </w:rPr>
            </w:pPr>
            <w:r>
              <w:rPr>
                <w:rFonts w:hint="eastAsia"/>
                <w:sz w:val="15"/>
                <w:szCs w:val="15"/>
              </w:rPr>
              <w:t>整体闸门宽度/</w:t>
            </w:r>
            <w:r>
              <w:rPr>
                <w:sz w:val="15"/>
                <w:szCs w:val="15"/>
              </w:rPr>
              <w:t>m</w:t>
            </w:r>
          </w:p>
        </w:tc>
        <w:tc>
          <w:tcPr>
            <w:tcW w:w="1308" w:type="dxa"/>
            <w:tcBorders>
              <w:top w:val="single" w:color="auto" w:sz="12" w:space="0"/>
              <w:left w:val="nil"/>
              <w:bottom w:val="single" w:color="auto" w:sz="4" w:space="0"/>
              <w:right w:val="nil"/>
            </w:tcBorders>
            <w:vAlign w:val="center"/>
          </w:tcPr>
          <w:p w14:paraId="18837D9D">
            <w:pPr>
              <w:pStyle w:val="39"/>
              <w:rPr>
                <w:sz w:val="15"/>
                <w:szCs w:val="15"/>
              </w:rPr>
            </w:pPr>
            <w:r>
              <w:rPr>
                <w:rFonts w:hint="eastAsia"/>
                <w:sz w:val="15"/>
                <w:szCs w:val="15"/>
              </w:rPr>
              <w:t>翻板闸门宽度/</w:t>
            </w:r>
            <w:r>
              <w:rPr>
                <w:sz w:val="15"/>
                <w:szCs w:val="15"/>
              </w:rPr>
              <w:t>m</w:t>
            </w:r>
          </w:p>
        </w:tc>
        <w:tc>
          <w:tcPr>
            <w:tcW w:w="1308" w:type="dxa"/>
            <w:tcBorders>
              <w:top w:val="single" w:color="auto" w:sz="12" w:space="0"/>
              <w:left w:val="nil"/>
              <w:bottom w:val="single" w:color="auto" w:sz="4" w:space="0"/>
            </w:tcBorders>
            <w:vAlign w:val="center"/>
          </w:tcPr>
          <w:p w14:paraId="0776A730">
            <w:pPr>
              <w:pStyle w:val="39"/>
              <w:rPr>
                <w:sz w:val="15"/>
                <w:szCs w:val="15"/>
              </w:rPr>
            </w:pPr>
            <w:r>
              <w:rPr>
                <w:rFonts w:hint="eastAsia"/>
                <w:sz w:val="15"/>
                <w:szCs w:val="15"/>
              </w:rPr>
              <w:t>单</w:t>
            </w:r>
            <w:r>
              <w:rPr>
                <w:rFonts w:hint="eastAsia"/>
                <w:color w:val="000000"/>
                <w:sz w:val="15"/>
                <w:szCs w:val="15"/>
                <w:shd w:val="clear" w:color="auto" w:fill="FFFFFF"/>
              </w:rPr>
              <w:t>节</w:t>
            </w:r>
            <w:r>
              <w:rPr>
                <w:rFonts w:hint="eastAsia"/>
                <w:sz w:val="15"/>
                <w:szCs w:val="15"/>
              </w:rPr>
              <w:t>孔口净高/</w:t>
            </w:r>
            <w:r>
              <w:rPr>
                <w:sz w:val="15"/>
                <w:szCs w:val="15"/>
              </w:rPr>
              <w:t>m</w:t>
            </w:r>
          </w:p>
        </w:tc>
      </w:tr>
      <w:tr w14:paraId="734729A9">
        <w:tblPrEx>
          <w:tblBorders>
            <w:top w:val="single" w:color="auto" w:sz="12"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0" w:type="auto"/>
            <w:tcBorders>
              <w:top w:val="single" w:color="auto" w:sz="4" w:space="0"/>
              <w:bottom w:val="nil"/>
              <w:right w:val="nil"/>
            </w:tcBorders>
            <w:vAlign w:val="center"/>
          </w:tcPr>
          <w:p w14:paraId="73A32684">
            <w:pPr>
              <w:pStyle w:val="39"/>
              <w:rPr>
                <w:sz w:val="15"/>
                <w:szCs w:val="15"/>
              </w:rPr>
            </w:pPr>
            <w:r>
              <w:rPr>
                <w:rFonts w:hint="eastAsia"/>
                <w:sz w:val="15"/>
                <w:szCs w:val="15"/>
              </w:rPr>
              <w:t>原型</w:t>
            </w:r>
          </w:p>
        </w:tc>
        <w:tc>
          <w:tcPr>
            <w:tcW w:w="556" w:type="dxa"/>
            <w:tcBorders>
              <w:top w:val="single" w:color="auto" w:sz="4" w:space="0"/>
              <w:left w:val="nil"/>
              <w:bottom w:val="nil"/>
              <w:right w:val="nil"/>
            </w:tcBorders>
            <w:vAlign w:val="center"/>
          </w:tcPr>
          <w:p w14:paraId="55099D59">
            <w:pPr>
              <w:pStyle w:val="39"/>
              <w:rPr>
                <w:sz w:val="15"/>
                <w:szCs w:val="15"/>
              </w:rPr>
            </w:pPr>
            <w:r>
              <w:rPr>
                <w:sz w:val="15"/>
                <w:szCs w:val="15"/>
              </w:rPr>
              <w:t>200</w:t>
            </w:r>
          </w:p>
        </w:tc>
        <w:tc>
          <w:tcPr>
            <w:tcW w:w="556" w:type="dxa"/>
            <w:tcBorders>
              <w:top w:val="single" w:color="auto" w:sz="4" w:space="0"/>
              <w:left w:val="nil"/>
              <w:bottom w:val="nil"/>
              <w:right w:val="nil"/>
            </w:tcBorders>
            <w:vAlign w:val="center"/>
          </w:tcPr>
          <w:p w14:paraId="6CE641DC">
            <w:pPr>
              <w:pStyle w:val="39"/>
              <w:rPr>
                <w:sz w:val="15"/>
                <w:szCs w:val="15"/>
              </w:rPr>
            </w:pPr>
            <w:r>
              <w:rPr>
                <w:sz w:val="15"/>
                <w:szCs w:val="15"/>
              </w:rPr>
              <w:t>125</w:t>
            </w:r>
          </w:p>
        </w:tc>
        <w:tc>
          <w:tcPr>
            <w:tcW w:w="556" w:type="dxa"/>
            <w:tcBorders>
              <w:top w:val="single" w:color="auto" w:sz="4" w:space="0"/>
              <w:left w:val="nil"/>
              <w:bottom w:val="nil"/>
              <w:right w:val="nil"/>
            </w:tcBorders>
            <w:vAlign w:val="center"/>
          </w:tcPr>
          <w:p w14:paraId="58798FA7">
            <w:pPr>
              <w:pStyle w:val="39"/>
              <w:rPr>
                <w:sz w:val="15"/>
                <w:szCs w:val="15"/>
              </w:rPr>
            </w:pPr>
            <w:r>
              <w:rPr>
                <w:sz w:val="15"/>
                <w:szCs w:val="15"/>
              </w:rPr>
              <w:t>80</w:t>
            </w:r>
          </w:p>
        </w:tc>
        <w:tc>
          <w:tcPr>
            <w:tcW w:w="932" w:type="dxa"/>
            <w:tcBorders>
              <w:top w:val="single" w:color="auto" w:sz="4" w:space="0"/>
              <w:left w:val="nil"/>
              <w:bottom w:val="nil"/>
              <w:right w:val="nil"/>
            </w:tcBorders>
            <w:vAlign w:val="center"/>
          </w:tcPr>
          <w:p w14:paraId="4A88E7E3">
            <w:pPr>
              <w:pStyle w:val="39"/>
              <w:rPr>
                <w:sz w:val="15"/>
                <w:szCs w:val="15"/>
              </w:rPr>
            </w:pPr>
            <w:r>
              <w:rPr>
                <w:sz w:val="15"/>
                <w:szCs w:val="15"/>
              </w:rPr>
              <w:t xml:space="preserve">3 </w:t>
            </w:r>
          </w:p>
        </w:tc>
        <w:tc>
          <w:tcPr>
            <w:tcW w:w="1308" w:type="dxa"/>
            <w:tcBorders>
              <w:top w:val="single" w:color="auto" w:sz="4" w:space="0"/>
              <w:left w:val="nil"/>
              <w:bottom w:val="nil"/>
              <w:right w:val="nil"/>
            </w:tcBorders>
            <w:vAlign w:val="center"/>
          </w:tcPr>
          <w:p w14:paraId="0134D0BA">
            <w:pPr>
              <w:pStyle w:val="39"/>
              <w:rPr>
                <w:sz w:val="15"/>
                <w:szCs w:val="15"/>
              </w:rPr>
            </w:pPr>
            <w:r>
              <w:rPr>
                <w:sz w:val="15"/>
                <w:szCs w:val="15"/>
              </w:rPr>
              <w:t xml:space="preserve">6 </w:t>
            </w:r>
          </w:p>
        </w:tc>
        <w:tc>
          <w:tcPr>
            <w:tcW w:w="1308" w:type="dxa"/>
            <w:tcBorders>
              <w:top w:val="single" w:color="auto" w:sz="4" w:space="0"/>
              <w:left w:val="nil"/>
              <w:bottom w:val="nil"/>
              <w:right w:val="nil"/>
            </w:tcBorders>
            <w:vAlign w:val="center"/>
          </w:tcPr>
          <w:p w14:paraId="62381A34">
            <w:pPr>
              <w:pStyle w:val="39"/>
              <w:rPr>
                <w:sz w:val="15"/>
                <w:szCs w:val="15"/>
              </w:rPr>
            </w:pPr>
            <w:r>
              <w:rPr>
                <w:sz w:val="15"/>
                <w:szCs w:val="15"/>
              </w:rPr>
              <w:t xml:space="preserve">4.5 </w:t>
            </w:r>
          </w:p>
        </w:tc>
        <w:tc>
          <w:tcPr>
            <w:tcW w:w="1308" w:type="dxa"/>
            <w:tcBorders>
              <w:top w:val="single" w:color="auto" w:sz="4" w:space="0"/>
              <w:left w:val="nil"/>
              <w:bottom w:val="nil"/>
            </w:tcBorders>
            <w:vAlign w:val="center"/>
          </w:tcPr>
          <w:p w14:paraId="1D52244C">
            <w:pPr>
              <w:pStyle w:val="39"/>
              <w:rPr>
                <w:sz w:val="15"/>
                <w:szCs w:val="15"/>
              </w:rPr>
            </w:pPr>
            <w:r>
              <w:rPr>
                <w:sz w:val="15"/>
                <w:szCs w:val="15"/>
              </w:rPr>
              <w:t xml:space="preserve">2.4 </w:t>
            </w:r>
          </w:p>
        </w:tc>
      </w:tr>
      <w:tr w14:paraId="7245C5D3">
        <w:tblPrEx>
          <w:tblBorders>
            <w:top w:val="single" w:color="auto" w:sz="12"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0" w:type="auto"/>
            <w:tcBorders>
              <w:top w:val="nil"/>
              <w:bottom w:val="single" w:color="auto" w:sz="12" w:space="0"/>
              <w:right w:val="nil"/>
            </w:tcBorders>
            <w:vAlign w:val="center"/>
          </w:tcPr>
          <w:p w14:paraId="0C161F20">
            <w:pPr>
              <w:pStyle w:val="39"/>
              <w:rPr>
                <w:sz w:val="15"/>
                <w:szCs w:val="15"/>
              </w:rPr>
            </w:pPr>
            <w:r>
              <w:rPr>
                <w:rFonts w:hint="eastAsia"/>
                <w:sz w:val="15"/>
                <w:szCs w:val="15"/>
              </w:rPr>
              <w:t>模型</w:t>
            </w:r>
          </w:p>
        </w:tc>
        <w:tc>
          <w:tcPr>
            <w:tcW w:w="556" w:type="dxa"/>
            <w:tcBorders>
              <w:top w:val="nil"/>
              <w:left w:val="nil"/>
              <w:bottom w:val="single" w:color="auto" w:sz="12" w:space="0"/>
              <w:right w:val="nil"/>
            </w:tcBorders>
            <w:vAlign w:val="center"/>
          </w:tcPr>
          <w:p w14:paraId="47B4C34D">
            <w:pPr>
              <w:pStyle w:val="39"/>
              <w:rPr>
                <w:sz w:val="15"/>
                <w:szCs w:val="15"/>
              </w:rPr>
            </w:pPr>
            <w:r>
              <w:rPr>
                <w:sz w:val="15"/>
                <w:szCs w:val="15"/>
              </w:rPr>
              <w:t>10</w:t>
            </w:r>
          </w:p>
        </w:tc>
        <w:tc>
          <w:tcPr>
            <w:tcW w:w="556" w:type="dxa"/>
            <w:tcBorders>
              <w:top w:val="nil"/>
              <w:left w:val="nil"/>
              <w:bottom w:val="single" w:color="auto" w:sz="12" w:space="0"/>
              <w:right w:val="nil"/>
            </w:tcBorders>
            <w:vAlign w:val="center"/>
          </w:tcPr>
          <w:p w14:paraId="7CB52F0B">
            <w:pPr>
              <w:pStyle w:val="39"/>
              <w:rPr>
                <w:sz w:val="15"/>
                <w:szCs w:val="15"/>
              </w:rPr>
            </w:pPr>
            <w:r>
              <w:rPr>
                <w:sz w:val="15"/>
                <w:szCs w:val="15"/>
              </w:rPr>
              <w:t>6.25</w:t>
            </w:r>
          </w:p>
        </w:tc>
        <w:tc>
          <w:tcPr>
            <w:tcW w:w="556" w:type="dxa"/>
            <w:tcBorders>
              <w:top w:val="nil"/>
              <w:left w:val="nil"/>
              <w:bottom w:val="single" w:color="auto" w:sz="12" w:space="0"/>
              <w:right w:val="nil"/>
            </w:tcBorders>
            <w:vAlign w:val="center"/>
          </w:tcPr>
          <w:p w14:paraId="4DDAC38A">
            <w:pPr>
              <w:pStyle w:val="39"/>
              <w:rPr>
                <w:sz w:val="15"/>
                <w:szCs w:val="15"/>
              </w:rPr>
            </w:pPr>
            <w:r>
              <w:rPr>
                <w:sz w:val="15"/>
                <w:szCs w:val="15"/>
              </w:rPr>
              <w:t>4</w:t>
            </w:r>
          </w:p>
        </w:tc>
        <w:tc>
          <w:tcPr>
            <w:tcW w:w="932" w:type="dxa"/>
            <w:tcBorders>
              <w:top w:val="nil"/>
              <w:left w:val="nil"/>
              <w:bottom w:val="single" w:color="auto" w:sz="12" w:space="0"/>
              <w:right w:val="nil"/>
            </w:tcBorders>
            <w:vAlign w:val="center"/>
          </w:tcPr>
          <w:p w14:paraId="5C8C596D">
            <w:pPr>
              <w:pStyle w:val="39"/>
              <w:rPr>
                <w:sz w:val="15"/>
                <w:szCs w:val="15"/>
              </w:rPr>
            </w:pPr>
            <w:r>
              <w:rPr>
                <w:sz w:val="15"/>
                <w:szCs w:val="15"/>
              </w:rPr>
              <w:t xml:space="preserve">0.15 </w:t>
            </w:r>
          </w:p>
        </w:tc>
        <w:tc>
          <w:tcPr>
            <w:tcW w:w="1308" w:type="dxa"/>
            <w:tcBorders>
              <w:top w:val="nil"/>
              <w:left w:val="nil"/>
              <w:bottom w:val="single" w:color="auto" w:sz="12" w:space="0"/>
              <w:right w:val="nil"/>
            </w:tcBorders>
            <w:vAlign w:val="center"/>
          </w:tcPr>
          <w:p w14:paraId="0F4F91B4">
            <w:pPr>
              <w:pStyle w:val="39"/>
              <w:rPr>
                <w:sz w:val="15"/>
                <w:szCs w:val="15"/>
              </w:rPr>
            </w:pPr>
            <w:r>
              <w:rPr>
                <w:sz w:val="15"/>
                <w:szCs w:val="15"/>
              </w:rPr>
              <w:t xml:space="preserve">0.3 </w:t>
            </w:r>
          </w:p>
        </w:tc>
        <w:tc>
          <w:tcPr>
            <w:tcW w:w="1308" w:type="dxa"/>
            <w:tcBorders>
              <w:top w:val="nil"/>
              <w:left w:val="nil"/>
              <w:bottom w:val="single" w:color="auto" w:sz="12" w:space="0"/>
              <w:right w:val="nil"/>
            </w:tcBorders>
            <w:vAlign w:val="center"/>
          </w:tcPr>
          <w:p w14:paraId="7A955777">
            <w:pPr>
              <w:pStyle w:val="39"/>
              <w:rPr>
                <w:sz w:val="15"/>
                <w:szCs w:val="15"/>
              </w:rPr>
            </w:pPr>
            <w:r>
              <w:rPr>
                <w:sz w:val="15"/>
                <w:szCs w:val="15"/>
              </w:rPr>
              <w:t xml:space="preserve">0.225 </w:t>
            </w:r>
          </w:p>
        </w:tc>
        <w:tc>
          <w:tcPr>
            <w:tcW w:w="1308" w:type="dxa"/>
            <w:tcBorders>
              <w:top w:val="nil"/>
              <w:left w:val="nil"/>
              <w:bottom w:val="single" w:color="auto" w:sz="12" w:space="0"/>
            </w:tcBorders>
            <w:vAlign w:val="center"/>
          </w:tcPr>
          <w:p w14:paraId="4E496F75">
            <w:pPr>
              <w:pStyle w:val="39"/>
              <w:rPr>
                <w:sz w:val="15"/>
                <w:szCs w:val="15"/>
              </w:rPr>
            </w:pPr>
            <w:r>
              <w:rPr>
                <w:sz w:val="15"/>
                <w:szCs w:val="15"/>
              </w:rPr>
              <w:t xml:space="preserve">0.12 </w:t>
            </w:r>
          </w:p>
        </w:tc>
      </w:tr>
    </w:tbl>
    <w:p w14:paraId="79C32630">
      <w:pPr>
        <w:pStyle w:val="3"/>
        <w:spacing w:before="156"/>
      </w:pPr>
      <w:r>
        <w:t>1.6</w:t>
      </w:r>
      <w:r>
        <w:rPr>
          <w:rFonts w:hint="eastAsia"/>
        </w:rPr>
        <w:t>模型验证</w:t>
      </w:r>
    </w:p>
    <w:p w14:paraId="4E9CE710">
      <w:pPr>
        <w:pStyle w:val="68"/>
        <w:ind w:firstLine="420"/>
      </w:pPr>
      <w:r>
        <w:t>为</w:t>
      </w:r>
      <w:r>
        <w:rPr>
          <w:rFonts w:hint="eastAsia"/>
        </w:rPr>
        <w:t>验证</w:t>
      </w:r>
      <w:r>
        <w:t>数值模拟结果的可靠性，</w:t>
      </w:r>
      <w:r>
        <w:rPr>
          <w:rFonts w:hint="eastAsia"/>
        </w:rPr>
        <w:t>本文以进水口至快速闸门井之间的总水头损失作为评价指标，针对三种典型工况下的数值模拟计算值与物理模型试验数据进行了对比分析（见图9）。该指标可反映进水系统的整体水力能量损失，是评估模型可信度的可靠依据</w:t>
      </w:r>
      <w:r>
        <w:rPr>
          <w:kern w:val="0"/>
          <w:vertAlign w:val="superscript"/>
        </w:rPr>
        <w:t>[25]</w:t>
      </w:r>
      <w:r>
        <w:rPr>
          <w:rFonts w:hint="eastAsia"/>
        </w:rPr>
        <w:t>。</w:t>
      </w:r>
      <w:r>
        <w:rPr>
          <w:rFonts w:hint="eastAsia"/>
          <w:shd w:val="clear" w:color="auto" w:fill="FFFFFF"/>
        </w:rPr>
        <w:t>对比结果表明，三</w:t>
      </w:r>
      <w:r>
        <w:rPr>
          <w:rFonts w:hint="eastAsia"/>
          <w:color w:val="000000"/>
          <w:shd w:val="clear" w:color="auto" w:fill="FFFFFF"/>
        </w:rPr>
        <w:t>组</w:t>
      </w:r>
      <w:r>
        <w:rPr>
          <w:rFonts w:hint="eastAsia"/>
          <w:shd w:val="clear" w:color="auto" w:fill="FFFFFF"/>
        </w:rPr>
        <w:t>工况的模拟值与实测值的相对偏差范围为</w:t>
      </w:r>
      <w:r>
        <w:rPr>
          <w:shd w:val="clear" w:color="auto" w:fill="FFFFFF"/>
        </w:rPr>
        <w:t>5.0%</w:t>
      </w:r>
      <w:r>
        <w:rPr>
          <w:rFonts w:hint="eastAsia" w:ascii="宋体" w:hAnsi="宋体"/>
          <w:shd w:val="clear" w:color="auto" w:fill="FFFFFF"/>
        </w:rPr>
        <w:t>～</w:t>
      </w:r>
      <w:r>
        <w:rPr>
          <w:shd w:val="clear" w:color="auto" w:fill="FFFFFF"/>
        </w:rPr>
        <w:t>8.6%</w:t>
      </w:r>
      <w:r>
        <w:rPr>
          <w:rFonts w:hint="eastAsia"/>
          <w:shd w:val="clear" w:color="auto" w:fill="FFFFFF"/>
        </w:rPr>
        <w:t>，</w:t>
      </w:r>
      <w:bookmarkStart w:id="8" w:name="_Hlk213596239"/>
      <w:r>
        <w:rPr>
          <w:rFonts w:hint="eastAsia"/>
          <w:shd w:val="clear" w:color="auto" w:fill="FFFFFF"/>
        </w:rPr>
        <w:t>整体误差处于工程允许范围内，显示数值模型在整体能量损失预测方面具有较高的精度。</w:t>
      </w:r>
      <w:bookmarkEnd w:id="8"/>
      <w:r>
        <w:rPr>
          <w:rFonts w:hint="eastAsia"/>
        </w:rPr>
        <w:t>此外，为进一步从流速分布角度验证数值模型的合理性，选取工况2作为代表工况，在其对应开启的翻板门门框中心处布设流速测点（见图1</w:t>
      </w:r>
      <w:r>
        <w:t>0</w:t>
      </w:r>
      <w:r>
        <w:rPr>
          <w:rFonts w:hint="eastAsia"/>
        </w:rPr>
        <w:t>），获取门前局部流速的实测值，并与数值模拟结果进行对比（见表3）。</w:t>
      </w:r>
      <w:r>
        <w:t>结果表明，</w:t>
      </w:r>
      <w:r>
        <w:rPr>
          <w:rFonts w:hint="eastAsia"/>
        </w:rPr>
        <w:t>数模和物模的流速沿程分布趋势基本一致。总体而言，数值模拟结果与物理模型试验值具有较好的一致性，验证结果符合工程误差容限，证明所建模型对水力性能的预测具备可靠性，模型可为后续基于熵产理论的局部耗散机制分项识别提供可信的流场基础与物理边界条件支撑。</w:t>
      </w:r>
    </w:p>
    <w:p w14:paraId="3C1FCEEC">
      <w:pPr>
        <w:pStyle w:val="10"/>
      </w:pPr>
      <w:r>
        <w:rPr>
          <w:rFonts w:hint="eastAsia"/>
        </w:rPr>
        <w:drawing>
          <wp:inline distT="0" distB="0" distL="0" distR="0">
            <wp:extent cx="2609850" cy="21209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7"/>
                    <a:stretch>
                      <a:fillRect/>
                    </a:stretch>
                  </pic:blipFill>
                  <pic:spPr>
                    <a:xfrm>
                      <a:off x="0" y="0"/>
                      <a:ext cx="2616918" cy="2126886"/>
                    </a:xfrm>
                    <a:prstGeom prst="rect">
                      <a:avLst/>
                    </a:prstGeom>
                  </pic:spPr>
                </pic:pic>
              </a:graphicData>
            </a:graphic>
          </wp:inline>
        </w:drawing>
      </w:r>
    </w:p>
    <w:p w14:paraId="2B5208A1">
      <w:pPr>
        <w:pStyle w:val="10"/>
      </w:pPr>
      <w:r>
        <w:rPr>
          <w:rFonts w:hint="eastAsia"/>
        </w:rPr>
        <w:t>图</w:t>
      </w:r>
      <w:r>
        <w:t>9</w:t>
      </w:r>
      <w:r>
        <w:rPr>
          <w:rFonts w:hint="eastAsia"/>
        </w:rPr>
        <w:t>水头损失对比验证</w:t>
      </w:r>
    </w:p>
    <w:p w14:paraId="65A1A8B8">
      <w:pPr>
        <w:pStyle w:val="68"/>
        <w:ind w:firstLine="0" w:firstLineChars="0"/>
        <w:jc w:val="center"/>
      </w:pPr>
      <w:r>
        <w:t xml:space="preserve">Fig. 9 </w:t>
      </w:r>
      <w:r>
        <w:rPr>
          <w:rFonts w:hint="eastAsia"/>
          <w:lang w:val="en-US" w:eastAsia="zh-CN"/>
        </w:rPr>
        <w:t>C</w:t>
      </w:r>
      <w:r>
        <w:t xml:space="preserve">omparison </w:t>
      </w:r>
      <w:r>
        <w:rPr>
          <w:rFonts w:hint="eastAsia"/>
          <w:lang w:val="en-US" w:eastAsia="zh-CN"/>
        </w:rPr>
        <w:t xml:space="preserve">and </w:t>
      </w:r>
      <w:r>
        <w:t xml:space="preserve">verification </w:t>
      </w:r>
      <w:r>
        <w:rPr>
          <w:rFonts w:hint="eastAsia"/>
          <w:lang w:val="en-US" w:eastAsia="zh-CN"/>
        </w:rPr>
        <w:t>of h</w:t>
      </w:r>
      <w:r>
        <w:t>ead loss</w:t>
      </w:r>
    </w:p>
    <w:tbl>
      <w:tblPr>
        <w:tblStyle w:val="2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14"/>
        <w:gridCol w:w="4814"/>
      </w:tblGrid>
      <w:tr w14:paraId="001CBB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814" w:type="dxa"/>
            <w:vAlign w:val="center"/>
          </w:tcPr>
          <w:p w14:paraId="61D2A14D">
            <w:pPr>
              <w:pStyle w:val="68"/>
              <w:ind w:firstLine="0" w:firstLineChars="0"/>
              <w:jc w:val="center"/>
            </w:pPr>
            <w:r>
              <w:rPr>
                <w:rFonts w:hint="eastAsia"/>
              </w:rPr>
              <w:drawing>
                <wp:inline distT="0" distB="0" distL="0" distR="0">
                  <wp:extent cx="2642235" cy="4190365"/>
                  <wp:effectExtent l="0" t="0" r="5715" b="63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8"/>
                          <a:stretch>
                            <a:fillRect/>
                          </a:stretch>
                        </pic:blipFill>
                        <pic:spPr>
                          <a:xfrm>
                            <a:off x="0" y="0"/>
                            <a:ext cx="2653004" cy="4206907"/>
                          </a:xfrm>
                          <a:prstGeom prst="rect">
                            <a:avLst/>
                          </a:prstGeom>
                        </pic:spPr>
                      </pic:pic>
                    </a:graphicData>
                  </a:graphic>
                </wp:inline>
              </w:drawing>
            </w:r>
          </w:p>
        </w:tc>
        <w:tc>
          <w:tcPr>
            <w:tcW w:w="4814" w:type="dxa"/>
          </w:tcPr>
          <w:p w14:paraId="6882E1C9">
            <w:pPr>
              <w:pStyle w:val="68"/>
              <w:ind w:firstLine="0" w:firstLineChars="0"/>
              <w:jc w:val="center"/>
            </w:pPr>
            <w:r>
              <w:rPr>
                <w:rFonts w:hint="eastAsia"/>
              </w:rPr>
              <w:drawing>
                <wp:inline distT="0" distB="0" distL="0" distR="0">
                  <wp:extent cx="2951480" cy="4117975"/>
                  <wp:effectExtent l="0" t="0" r="127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9"/>
                          <a:stretch>
                            <a:fillRect/>
                          </a:stretch>
                        </pic:blipFill>
                        <pic:spPr>
                          <a:xfrm>
                            <a:off x="0" y="0"/>
                            <a:ext cx="2952000" cy="4118400"/>
                          </a:xfrm>
                          <a:prstGeom prst="rect">
                            <a:avLst/>
                          </a:prstGeom>
                        </pic:spPr>
                      </pic:pic>
                    </a:graphicData>
                  </a:graphic>
                </wp:inline>
              </w:drawing>
            </w:r>
          </w:p>
        </w:tc>
      </w:tr>
      <w:tr w14:paraId="5AC470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814" w:type="dxa"/>
            <w:vAlign w:val="center"/>
          </w:tcPr>
          <w:p w14:paraId="4CD94B66">
            <w:pPr>
              <w:pStyle w:val="10"/>
              <w:rPr>
                <w:rFonts w:eastAsia="宋体" w:cs="Times New Roman"/>
                <w:bCs/>
                <w:sz w:val="15"/>
              </w:rPr>
            </w:pPr>
            <w:r>
              <w:rPr>
                <w:rFonts w:hint="eastAsia" w:eastAsia="宋体" w:cs="Times New Roman"/>
                <w:bCs/>
                <w:sz w:val="15"/>
              </w:rPr>
              <w:t>（a）正视</w:t>
            </w:r>
          </w:p>
        </w:tc>
        <w:tc>
          <w:tcPr>
            <w:tcW w:w="4814" w:type="dxa"/>
          </w:tcPr>
          <w:p w14:paraId="472E6ACF">
            <w:pPr>
              <w:pStyle w:val="10"/>
              <w:rPr>
                <w:rFonts w:eastAsia="宋体" w:cs="Times New Roman"/>
                <w:bCs/>
                <w:sz w:val="15"/>
              </w:rPr>
            </w:pPr>
            <w:r>
              <w:rPr>
                <w:rFonts w:hint="eastAsia" w:eastAsia="宋体" w:cs="Times New Roman"/>
                <w:bCs/>
                <w:sz w:val="15"/>
              </w:rPr>
              <w:t>（b）侧视</w:t>
            </w:r>
          </w:p>
        </w:tc>
      </w:tr>
    </w:tbl>
    <w:p w14:paraId="6A53CE92">
      <w:pPr>
        <w:pStyle w:val="10"/>
      </w:pPr>
      <w:r>
        <w:rPr>
          <w:rFonts w:hint="eastAsia"/>
        </w:rPr>
        <w:t>图</w:t>
      </w:r>
      <w:r>
        <w:t>10</w:t>
      </w:r>
      <w:r>
        <w:rPr>
          <w:rFonts w:hint="eastAsia"/>
        </w:rPr>
        <w:t>测点布置示</w:t>
      </w:r>
      <w:r>
        <w:rPr>
          <w:rFonts w:hint="eastAsia"/>
          <w:color w:val="000000"/>
          <w:shd w:val="clear" w:color="auto" w:fill="FFFFFF"/>
        </w:rPr>
        <w:t>意</w:t>
      </w:r>
    </w:p>
    <w:p w14:paraId="64701530">
      <w:pPr>
        <w:pStyle w:val="10"/>
      </w:pPr>
      <w:r>
        <w:t xml:space="preserve">Fig. 10 Schematic diagram of </w:t>
      </w:r>
      <w:r>
        <w:rPr>
          <w:rFonts w:hint="eastAsia"/>
        </w:rPr>
        <w:t>measurement</w:t>
      </w:r>
      <w:r>
        <w:t xml:space="preserve"> point layout</w:t>
      </w:r>
    </w:p>
    <w:p w14:paraId="6FE3EA7E">
      <w:pPr>
        <w:pStyle w:val="10"/>
      </w:pPr>
      <w:r>
        <w:rPr>
          <w:rFonts w:hint="eastAsia"/>
        </w:rPr>
        <w:t>表</w:t>
      </w:r>
      <w:r>
        <w:t>3</w:t>
      </w:r>
      <w:r>
        <w:rPr>
          <w:rFonts w:hint="eastAsia"/>
        </w:rPr>
        <w:t>流速对比验证</w:t>
      </w:r>
    </w:p>
    <w:p w14:paraId="0E1DA7D9">
      <w:pPr>
        <w:pStyle w:val="10"/>
      </w:pPr>
      <w:r>
        <w:t xml:space="preserve">Table 3 </w:t>
      </w:r>
      <w:r>
        <w:rPr>
          <w:rFonts w:hint="eastAsia"/>
          <w:lang w:val="en-US" w:eastAsia="zh-CN"/>
        </w:rPr>
        <w:t>C</w:t>
      </w:r>
      <w:r>
        <w:t xml:space="preserve">omparison </w:t>
      </w:r>
      <w:r>
        <w:rPr>
          <w:rFonts w:hint="eastAsia"/>
          <w:lang w:val="en-US" w:eastAsia="zh-CN"/>
        </w:rPr>
        <w:t xml:space="preserve">and </w:t>
      </w:r>
      <w:r>
        <w:t xml:space="preserve">verification </w:t>
      </w:r>
      <w:r>
        <w:rPr>
          <w:rFonts w:hint="eastAsia"/>
          <w:lang w:val="en-US" w:eastAsia="zh-CN"/>
        </w:rPr>
        <w:t>of flow v</w:t>
      </w:r>
      <w:r>
        <w:rPr>
          <w:rFonts w:hint="eastAsia"/>
        </w:rPr>
        <w:t>elocity</w:t>
      </w:r>
    </w:p>
    <w:tbl>
      <w:tblPr>
        <w:tblStyle w:val="20"/>
        <w:tblW w:w="0" w:type="auto"/>
        <w:jc w:val="center"/>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1"/>
        <w:gridCol w:w="532"/>
        <w:gridCol w:w="904"/>
        <w:gridCol w:w="945"/>
        <w:gridCol w:w="1023"/>
      </w:tblGrid>
      <w:tr w14:paraId="02F12981">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op w:val="single" w:color="auto" w:sz="12" w:space="0"/>
              <w:bottom w:val="single" w:color="auto" w:sz="4" w:space="0"/>
              <w:right w:val="nil"/>
            </w:tcBorders>
            <w:vAlign w:val="center"/>
          </w:tcPr>
          <w:p w14:paraId="2A272125">
            <w:pPr>
              <w:pStyle w:val="39"/>
              <w:rPr>
                <w:sz w:val="15"/>
                <w:szCs w:val="15"/>
              </w:rPr>
            </w:pPr>
          </w:p>
        </w:tc>
        <w:tc>
          <w:tcPr>
            <w:tcW w:w="0" w:type="auto"/>
            <w:tcBorders>
              <w:top w:val="single" w:color="auto" w:sz="12" w:space="0"/>
              <w:left w:val="nil"/>
              <w:bottom w:val="single" w:color="auto" w:sz="4" w:space="0"/>
              <w:right w:val="nil"/>
            </w:tcBorders>
            <w:vAlign w:val="center"/>
          </w:tcPr>
          <w:p w14:paraId="3A2F571E">
            <w:pPr>
              <w:pStyle w:val="39"/>
              <w:rPr>
                <w:sz w:val="15"/>
                <w:szCs w:val="15"/>
              </w:rPr>
            </w:pPr>
            <w:r>
              <w:rPr>
                <w:rFonts w:hint="eastAsia"/>
                <w:sz w:val="15"/>
                <w:szCs w:val="15"/>
              </w:rPr>
              <w:t>测点</w:t>
            </w:r>
          </w:p>
        </w:tc>
        <w:tc>
          <w:tcPr>
            <w:tcW w:w="0" w:type="auto"/>
            <w:tcBorders>
              <w:top w:val="single" w:color="auto" w:sz="12" w:space="0"/>
              <w:left w:val="nil"/>
              <w:bottom w:val="single" w:color="auto" w:sz="4" w:space="0"/>
              <w:right w:val="nil"/>
            </w:tcBorders>
            <w:vAlign w:val="center"/>
          </w:tcPr>
          <w:p w14:paraId="452DE919">
            <w:pPr>
              <w:pStyle w:val="39"/>
              <w:rPr>
                <w:sz w:val="15"/>
                <w:szCs w:val="15"/>
                <w:vertAlign w:val="superscript"/>
              </w:rPr>
            </w:pPr>
            <w:r>
              <w:rPr>
                <w:rFonts w:hint="eastAsia"/>
                <w:sz w:val="15"/>
                <w:szCs w:val="15"/>
              </w:rPr>
              <w:t>物模/</w:t>
            </w:r>
            <w:r>
              <w:rPr>
                <w:sz w:val="15"/>
                <w:szCs w:val="15"/>
              </w:rPr>
              <w:t>m·s</w:t>
            </w:r>
            <w:r>
              <w:rPr>
                <w:sz w:val="15"/>
                <w:szCs w:val="15"/>
                <w:vertAlign w:val="superscript"/>
              </w:rPr>
              <w:t>-1</w:t>
            </w:r>
          </w:p>
        </w:tc>
        <w:tc>
          <w:tcPr>
            <w:tcW w:w="0" w:type="auto"/>
            <w:tcBorders>
              <w:top w:val="single" w:color="auto" w:sz="12" w:space="0"/>
              <w:left w:val="nil"/>
              <w:bottom w:val="single" w:color="auto" w:sz="4" w:space="0"/>
              <w:right w:val="nil"/>
            </w:tcBorders>
            <w:vAlign w:val="center"/>
          </w:tcPr>
          <w:p w14:paraId="0D543DB3">
            <w:pPr>
              <w:pStyle w:val="39"/>
              <w:rPr>
                <w:sz w:val="15"/>
                <w:szCs w:val="15"/>
              </w:rPr>
            </w:pPr>
            <w:r>
              <w:rPr>
                <w:rFonts w:hint="eastAsia"/>
                <w:sz w:val="15"/>
                <w:szCs w:val="15"/>
              </w:rPr>
              <w:t>数模/</w:t>
            </w:r>
            <w:r>
              <w:rPr>
                <w:sz w:val="15"/>
                <w:szCs w:val="15"/>
              </w:rPr>
              <w:t xml:space="preserve"> m·s</w:t>
            </w:r>
            <w:r>
              <w:rPr>
                <w:sz w:val="15"/>
                <w:szCs w:val="15"/>
                <w:vertAlign w:val="superscript"/>
              </w:rPr>
              <w:t>-1</w:t>
            </w:r>
          </w:p>
        </w:tc>
        <w:tc>
          <w:tcPr>
            <w:tcW w:w="0" w:type="auto"/>
            <w:tcBorders>
              <w:top w:val="single" w:color="auto" w:sz="12" w:space="0"/>
              <w:left w:val="nil"/>
              <w:bottom w:val="single" w:color="auto" w:sz="4" w:space="0"/>
              <w:right w:val="nil"/>
            </w:tcBorders>
            <w:vAlign w:val="center"/>
          </w:tcPr>
          <w:p w14:paraId="73CFB8CB">
            <w:pPr>
              <w:pStyle w:val="39"/>
              <w:rPr>
                <w:sz w:val="15"/>
                <w:szCs w:val="15"/>
              </w:rPr>
            </w:pPr>
            <w:r>
              <w:rPr>
                <w:rFonts w:hint="eastAsia"/>
                <w:sz w:val="15"/>
                <w:szCs w:val="15"/>
              </w:rPr>
              <w:t>相对误差/</w:t>
            </w:r>
            <w:r>
              <w:rPr>
                <w:sz w:val="15"/>
                <w:szCs w:val="15"/>
              </w:rPr>
              <w:t>%</w:t>
            </w:r>
          </w:p>
        </w:tc>
      </w:tr>
      <w:tr w14:paraId="3ED728B8">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tcBorders>
              <w:top w:val="single" w:color="auto" w:sz="4" w:space="0"/>
            </w:tcBorders>
            <w:vAlign w:val="center"/>
          </w:tcPr>
          <w:p w14:paraId="78D1E0BF">
            <w:pPr>
              <w:pStyle w:val="39"/>
              <w:rPr>
                <w:sz w:val="15"/>
                <w:szCs w:val="15"/>
              </w:rPr>
            </w:pPr>
            <w:r>
              <w:rPr>
                <w:rFonts w:hint="eastAsia"/>
                <w:sz w:val="15"/>
                <w:szCs w:val="15"/>
              </w:rPr>
              <w:t>流道1</w:t>
            </w:r>
          </w:p>
        </w:tc>
        <w:tc>
          <w:tcPr>
            <w:tcW w:w="0" w:type="auto"/>
            <w:tcBorders>
              <w:top w:val="single" w:color="auto" w:sz="4" w:space="0"/>
            </w:tcBorders>
            <w:vAlign w:val="center"/>
          </w:tcPr>
          <w:p w14:paraId="26A80A02">
            <w:pPr>
              <w:pStyle w:val="39"/>
              <w:rPr>
                <w:sz w:val="15"/>
                <w:szCs w:val="15"/>
              </w:rPr>
            </w:pPr>
            <w:r>
              <w:rPr>
                <w:rFonts w:hint="eastAsia"/>
                <w:sz w:val="15"/>
                <w:szCs w:val="15"/>
              </w:rPr>
              <w:t>1</w:t>
            </w:r>
          </w:p>
        </w:tc>
        <w:tc>
          <w:tcPr>
            <w:tcW w:w="0" w:type="auto"/>
            <w:tcBorders>
              <w:top w:val="single" w:color="auto" w:sz="4" w:space="0"/>
            </w:tcBorders>
          </w:tcPr>
          <w:p w14:paraId="1794BAA2">
            <w:pPr>
              <w:pStyle w:val="39"/>
              <w:rPr>
                <w:sz w:val="15"/>
                <w:szCs w:val="15"/>
              </w:rPr>
            </w:pPr>
            <w:r>
              <w:rPr>
                <w:sz w:val="15"/>
                <w:szCs w:val="15"/>
              </w:rPr>
              <w:t>1.01</w:t>
            </w:r>
          </w:p>
        </w:tc>
        <w:tc>
          <w:tcPr>
            <w:tcW w:w="0" w:type="auto"/>
            <w:tcBorders>
              <w:top w:val="single" w:color="auto" w:sz="4" w:space="0"/>
            </w:tcBorders>
          </w:tcPr>
          <w:p w14:paraId="3FC88C67">
            <w:pPr>
              <w:pStyle w:val="39"/>
              <w:rPr>
                <w:sz w:val="15"/>
                <w:szCs w:val="15"/>
              </w:rPr>
            </w:pPr>
            <w:r>
              <w:rPr>
                <w:sz w:val="15"/>
                <w:szCs w:val="15"/>
              </w:rPr>
              <w:t>1.06</w:t>
            </w:r>
          </w:p>
        </w:tc>
        <w:tc>
          <w:tcPr>
            <w:tcW w:w="0" w:type="auto"/>
            <w:tcBorders>
              <w:top w:val="single" w:color="auto" w:sz="4" w:space="0"/>
            </w:tcBorders>
          </w:tcPr>
          <w:p w14:paraId="0BBF2410">
            <w:pPr>
              <w:pStyle w:val="39"/>
              <w:rPr>
                <w:sz w:val="15"/>
                <w:szCs w:val="15"/>
              </w:rPr>
            </w:pPr>
            <w:r>
              <w:rPr>
                <w:sz w:val="15"/>
                <w:szCs w:val="15"/>
              </w:rPr>
              <w:t>5.09</w:t>
            </w:r>
          </w:p>
        </w:tc>
      </w:tr>
      <w:tr w14:paraId="4404C962">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0150CD60">
            <w:pPr>
              <w:pStyle w:val="39"/>
              <w:rPr>
                <w:sz w:val="15"/>
                <w:szCs w:val="15"/>
              </w:rPr>
            </w:pPr>
          </w:p>
        </w:tc>
        <w:tc>
          <w:tcPr>
            <w:tcW w:w="0" w:type="auto"/>
            <w:vAlign w:val="center"/>
          </w:tcPr>
          <w:p w14:paraId="13E37BA6">
            <w:pPr>
              <w:pStyle w:val="39"/>
              <w:rPr>
                <w:sz w:val="15"/>
                <w:szCs w:val="15"/>
              </w:rPr>
            </w:pPr>
            <w:r>
              <w:rPr>
                <w:rFonts w:hint="eastAsia"/>
                <w:sz w:val="15"/>
                <w:szCs w:val="15"/>
              </w:rPr>
              <w:t>2</w:t>
            </w:r>
          </w:p>
        </w:tc>
        <w:tc>
          <w:tcPr>
            <w:tcW w:w="0" w:type="auto"/>
          </w:tcPr>
          <w:p w14:paraId="190B4362">
            <w:pPr>
              <w:pStyle w:val="39"/>
              <w:rPr>
                <w:sz w:val="15"/>
                <w:szCs w:val="15"/>
              </w:rPr>
            </w:pPr>
            <w:r>
              <w:rPr>
                <w:sz w:val="15"/>
                <w:szCs w:val="15"/>
              </w:rPr>
              <w:t>1.06</w:t>
            </w:r>
          </w:p>
        </w:tc>
        <w:tc>
          <w:tcPr>
            <w:tcW w:w="0" w:type="auto"/>
          </w:tcPr>
          <w:p w14:paraId="6024CECB">
            <w:pPr>
              <w:pStyle w:val="39"/>
              <w:rPr>
                <w:sz w:val="15"/>
                <w:szCs w:val="15"/>
              </w:rPr>
            </w:pPr>
            <w:r>
              <w:rPr>
                <w:sz w:val="15"/>
                <w:szCs w:val="15"/>
              </w:rPr>
              <w:t>1.12</w:t>
            </w:r>
          </w:p>
        </w:tc>
        <w:tc>
          <w:tcPr>
            <w:tcW w:w="0" w:type="auto"/>
          </w:tcPr>
          <w:p w14:paraId="7F1E2F2D">
            <w:pPr>
              <w:pStyle w:val="39"/>
              <w:rPr>
                <w:sz w:val="15"/>
                <w:szCs w:val="15"/>
              </w:rPr>
            </w:pPr>
            <w:r>
              <w:rPr>
                <w:sz w:val="15"/>
                <w:szCs w:val="15"/>
              </w:rPr>
              <w:t>5.30</w:t>
            </w:r>
          </w:p>
        </w:tc>
      </w:tr>
      <w:tr w14:paraId="3D6934F1">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5F41E971">
            <w:pPr>
              <w:pStyle w:val="39"/>
              <w:rPr>
                <w:sz w:val="15"/>
                <w:szCs w:val="15"/>
              </w:rPr>
            </w:pPr>
          </w:p>
        </w:tc>
        <w:tc>
          <w:tcPr>
            <w:tcW w:w="0" w:type="auto"/>
            <w:vAlign w:val="center"/>
          </w:tcPr>
          <w:p w14:paraId="7EA582A4">
            <w:pPr>
              <w:pStyle w:val="39"/>
              <w:rPr>
                <w:sz w:val="15"/>
                <w:szCs w:val="15"/>
              </w:rPr>
            </w:pPr>
            <w:r>
              <w:rPr>
                <w:sz w:val="15"/>
                <w:szCs w:val="15"/>
              </w:rPr>
              <w:t>3</w:t>
            </w:r>
          </w:p>
        </w:tc>
        <w:tc>
          <w:tcPr>
            <w:tcW w:w="0" w:type="auto"/>
          </w:tcPr>
          <w:p w14:paraId="2E91D1AE">
            <w:pPr>
              <w:pStyle w:val="39"/>
              <w:rPr>
                <w:sz w:val="15"/>
                <w:szCs w:val="15"/>
              </w:rPr>
            </w:pPr>
            <w:r>
              <w:rPr>
                <w:sz w:val="15"/>
                <w:szCs w:val="15"/>
              </w:rPr>
              <w:t>0.94</w:t>
            </w:r>
          </w:p>
        </w:tc>
        <w:tc>
          <w:tcPr>
            <w:tcW w:w="0" w:type="auto"/>
          </w:tcPr>
          <w:p w14:paraId="2B25BCAE">
            <w:pPr>
              <w:pStyle w:val="39"/>
              <w:rPr>
                <w:sz w:val="15"/>
                <w:szCs w:val="15"/>
              </w:rPr>
            </w:pPr>
            <w:r>
              <w:rPr>
                <w:sz w:val="15"/>
                <w:szCs w:val="15"/>
              </w:rPr>
              <w:t>0.93</w:t>
            </w:r>
          </w:p>
        </w:tc>
        <w:tc>
          <w:tcPr>
            <w:tcW w:w="0" w:type="auto"/>
          </w:tcPr>
          <w:p w14:paraId="61C42917">
            <w:pPr>
              <w:pStyle w:val="39"/>
              <w:rPr>
                <w:sz w:val="15"/>
                <w:szCs w:val="15"/>
              </w:rPr>
            </w:pPr>
            <w:r>
              <w:rPr>
                <w:sz w:val="15"/>
                <w:szCs w:val="15"/>
              </w:rPr>
              <w:t>-0.62</w:t>
            </w:r>
          </w:p>
        </w:tc>
      </w:tr>
      <w:tr w14:paraId="2DD33B13">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4DBF8D7E">
            <w:pPr>
              <w:pStyle w:val="39"/>
              <w:rPr>
                <w:sz w:val="15"/>
                <w:szCs w:val="15"/>
              </w:rPr>
            </w:pPr>
          </w:p>
        </w:tc>
        <w:tc>
          <w:tcPr>
            <w:tcW w:w="0" w:type="auto"/>
            <w:vAlign w:val="center"/>
          </w:tcPr>
          <w:p w14:paraId="48A407F2">
            <w:pPr>
              <w:pStyle w:val="39"/>
              <w:rPr>
                <w:sz w:val="15"/>
                <w:szCs w:val="15"/>
              </w:rPr>
            </w:pPr>
            <w:r>
              <w:rPr>
                <w:sz w:val="15"/>
                <w:szCs w:val="15"/>
              </w:rPr>
              <w:t>4</w:t>
            </w:r>
          </w:p>
        </w:tc>
        <w:tc>
          <w:tcPr>
            <w:tcW w:w="0" w:type="auto"/>
          </w:tcPr>
          <w:p w14:paraId="57D19B57">
            <w:pPr>
              <w:pStyle w:val="39"/>
              <w:rPr>
                <w:sz w:val="15"/>
                <w:szCs w:val="15"/>
              </w:rPr>
            </w:pPr>
            <w:r>
              <w:rPr>
                <w:sz w:val="15"/>
                <w:szCs w:val="15"/>
              </w:rPr>
              <w:t>0.90</w:t>
            </w:r>
          </w:p>
        </w:tc>
        <w:tc>
          <w:tcPr>
            <w:tcW w:w="0" w:type="auto"/>
          </w:tcPr>
          <w:p w14:paraId="1F413CF0">
            <w:pPr>
              <w:pStyle w:val="39"/>
              <w:rPr>
                <w:sz w:val="15"/>
                <w:szCs w:val="15"/>
              </w:rPr>
            </w:pPr>
            <w:r>
              <w:rPr>
                <w:sz w:val="15"/>
                <w:szCs w:val="15"/>
              </w:rPr>
              <w:t>0.95</w:t>
            </w:r>
          </w:p>
        </w:tc>
        <w:tc>
          <w:tcPr>
            <w:tcW w:w="0" w:type="auto"/>
          </w:tcPr>
          <w:p w14:paraId="24CB7EFB">
            <w:pPr>
              <w:pStyle w:val="39"/>
              <w:rPr>
                <w:sz w:val="15"/>
                <w:szCs w:val="15"/>
              </w:rPr>
            </w:pPr>
            <w:r>
              <w:rPr>
                <w:sz w:val="15"/>
                <w:szCs w:val="15"/>
              </w:rPr>
              <w:t>5.32</w:t>
            </w:r>
          </w:p>
        </w:tc>
      </w:tr>
      <w:tr w14:paraId="70A5D1A1">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14:paraId="0820D660">
            <w:pPr>
              <w:pStyle w:val="39"/>
              <w:rPr>
                <w:sz w:val="15"/>
                <w:szCs w:val="15"/>
              </w:rPr>
            </w:pPr>
            <w:r>
              <w:rPr>
                <w:rFonts w:hint="eastAsia"/>
                <w:sz w:val="15"/>
                <w:szCs w:val="15"/>
              </w:rPr>
              <w:t>流道2</w:t>
            </w:r>
          </w:p>
        </w:tc>
        <w:tc>
          <w:tcPr>
            <w:tcW w:w="0" w:type="auto"/>
            <w:vAlign w:val="center"/>
          </w:tcPr>
          <w:p w14:paraId="6ECCC5AA">
            <w:pPr>
              <w:pStyle w:val="39"/>
              <w:rPr>
                <w:sz w:val="15"/>
                <w:szCs w:val="15"/>
              </w:rPr>
            </w:pPr>
            <w:r>
              <w:rPr>
                <w:sz w:val="15"/>
                <w:szCs w:val="15"/>
              </w:rPr>
              <w:t>5</w:t>
            </w:r>
          </w:p>
        </w:tc>
        <w:tc>
          <w:tcPr>
            <w:tcW w:w="0" w:type="auto"/>
          </w:tcPr>
          <w:p w14:paraId="40C7EBB7">
            <w:pPr>
              <w:pStyle w:val="39"/>
              <w:rPr>
                <w:sz w:val="15"/>
                <w:szCs w:val="15"/>
              </w:rPr>
            </w:pPr>
            <w:r>
              <w:rPr>
                <w:sz w:val="15"/>
                <w:szCs w:val="15"/>
              </w:rPr>
              <w:t>1.05</w:t>
            </w:r>
          </w:p>
        </w:tc>
        <w:tc>
          <w:tcPr>
            <w:tcW w:w="0" w:type="auto"/>
          </w:tcPr>
          <w:p w14:paraId="50AAA71E">
            <w:pPr>
              <w:pStyle w:val="39"/>
              <w:rPr>
                <w:sz w:val="15"/>
                <w:szCs w:val="15"/>
              </w:rPr>
            </w:pPr>
            <w:r>
              <w:rPr>
                <w:sz w:val="15"/>
                <w:szCs w:val="15"/>
              </w:rPr>
              <w:t>1.11</w:t>
            </w:r>
          </w:p>
        </w:tc>
        <w:tc>
          <w:tcPr>
            <w:tcW w:w="0" w:type="auto"/>
          </w:tcPr>
          <w:p w14:paraId="3DDA095C">
            <w:pPr>
              <w:pStyle w:val="39"/>
              <w:rPr>
                <w:sz w:val="15"/>
                <w:szCs w:val="15"/>
              </w:rPr>
            </w:pPr>
            <w:r>
              <w:rPr>
                <w:sz w:val="15"/>
                <w:szCs w:val="15"/>
              </w:rPr>
              <w:t>5.40</w:t>
            </w:r>
          </w:p>
        </w:tc>
      </w:tr>
      <w:tr w14:paraId="55117824">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24680B12">
            <w:pPr>
              <w:pStyle w:val="39"/>
              <w:rPr>
                <w:sz w:val="15"/>
                <w:szCs w:val="15"/>
              </w:rPr>
            </w:pPr>
          </w:p>
        </w:tc>
        <w:tc>
          <w:tcPr>
            <w:tcW w:w="0" w:type="auto"/>
            <w:vAlign w:val="center"/>
          </w:tcPr>
          <w:p w14:paraId="467D7580">
            <w:pPr>
              <w:pStyle w:val="39"/>
              <w:rPr>
                <w:sz w:val="15"/>
                <w:szCs w:val="15"/>
              </w:rPr>
            </w:pPr>
            <w:r>
              <w:rPr>
                <w:rFonts w:hint="eastAsia"/>
                <w:sz w:val="15"/>
                <w:szCs w:val="15"/>
              </w:rPr>
              <w:t>6</w:t>
            </w:r>
          </w:p>
        </w:tc>
        <w:tc>
          <w:tcPr>
            <w:tcW w:w="0" w:type="auto"/>
          </w:tcPr>
          <w:p w14:paraId="56117FAC">
            <w:pPr>
              <w:pStyle w:val="39"/>
              <w:rPr>
                <w:sz w:val="15"/>
                <w:szCs w:val="15"/>
              </w:rPr>
            </w:pPr>
            <w:r>
              <w:rPr>
                <w:sz w:val="15"/>
                <w:szCs w:val="15"/>
              </w:rPr>
              <w:t>1.09</w:t>
            </w:r>
          </w:p>
        </w:tc>
        <w:tc>
          <w:tcPr>
            <w:tcW w:w="0" w:type="auto"/>
          </w:tcPr>
          <w:p w14:paraId="785BD0F5">
            <w:pPr>
              <w:pStyle w:val="39"/>
              <w:rPr>
                <w:sz w:val="15"/>
                <w:szCs w:val="15"/>
              </w:rPr>
            </w:pPr>
            <w:r>
              <w:rPr>
                <w:sz w:val="15"/>
                <w:szCs w:val="15"/>
              </w:rPr>
              <w:t>1.13</w:t>
            </w:r>
          </w:p>
        </w:tc>
        <w:tc>
          <w:tcPr>
            <w:tcW w:w="0" w:type="auto"/>
          </w:tcPr>
          <w:p w14:paraId="756C4149">
            <w:pPr>
              <w:pStyle w:val="39"/>
              <w:rPr>
                <w:sz w:val="15"/>
                <w:szCs w:val="15"/>
              </w:rPr>
            </w:pPr>
            <w:r>
              <w:rPr>
                <w:sz w:val="15"/>
                <w:szCs w:val="15"/>
              </w:rPr>
              <w:t>4.09</w:t>
            </w:r>
          </w:p>
        </w:tc>
      </w:tr>
      <w:tr w14:paraId="07F187DF">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28D9BFA1">
            <w:pPr>
              <w:pStyle w:val="39"/>
              <w:rPr>
                <w:sz w:val="15"/>
                <w:szCs w:val="15"/>
              </w:rPr>
            </w:pPr>
          </w:p>
        </w:tc>
        <w:tc>
          <w:tcPr>
            <w:tcW w:w="0" w:type="auto"/>
            <w:vAlign w:val="center"/>
          </w:tcPr>
          <w:p w14:paraId="44994341">
            <w:pPr>
              <w:pStyle w:val="39"/>
              <w:rPr>
                <w:sz w:val="15"/>
                <w:szCs w:val="15"/>
              </w:rPr>
            </w:pPr>
            <w:r>
              <w:rPr>
                <w:rFonts w:hint="eastAsia"/>
                <w:sz w:val="15"/>
                <w:szCs w:val="15"/>
              </w:rPr>
              <w:t>7</w:t>
            </w:r>
          </w:p>
        </w:tc>
        <w:tc>
          <w:tcPr>
            <w:tcW w:w="0" w:type="auto"/>
          </w:tcPr>
          <w:p w14:paraId="46B5DE31">
            <w:pPr>
              <w:pStyle w:val="39"/>
              <w:rPr>
                <w:sz w:val="15"/>
                <w:szCs w:val="15"/>
              </w:rPr>
            </w:pPr>
            <w:r>
              <w:rPr>
                <w:sz w:val="15"/>
                <w:szCs w:val="15"/>
              </w:rPr>
              <w:t>0.99</w:t>
            </w:r>
          </w:p>
        </w:tc>
        <w:tc>
          <w:tcPr>
            <w:tcW w:w="0" w:type="auto"/>
          </w:tcPr>
          <w:p w14:paraId="4A19E5E0">
            <w:pPr>
              <w:pStyle w:val="39"/>
              <w:rPr>
                <w:sz w:val="15"/>
                <w:szCs w:val="15"/>
              </w:rPr>
            </w:pPr>
            <w:r>
              <w:rPr>
                <w:sz w:val="15"/>
                <w:szCs w:val="15"/>
              </w:rPr>
              <w:t>1.04</w:t>
            </w:r>
          </w:p>
        </w:tc>
        <w:tc>
          <w:tcPr>
            <w:tcW w:w="0" w:type="auto"/>
          </w:tcPr>
          <w:p w14:paraId="5E94A7AD">
            <w:pPr>
              <w:pStyle w:val="39"/>
              <w:rPr>
                <w:sz w:val="15"/>
                <w:szCs w:val="15"/>
              </w:rPr>
            </w:pPr>
            <w:r>
              <w:rPr>
                <w:sz w:val="15"/>
                <w:szCs w:val="15"/>
              </w:rPr>
              <w:t>4.70</w:t>
            </w:r>
          </w:p>
        </w:tc>
      </w:tr>
      <w:tr w14:paraId="293B73A3">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77DAE855">
            <w:pPr>
              <w:pStyle w:val="39"/>
              <w:rPr>
                <w:sz w:val="15"/>
                <w:szCs w:val="15"/>
              </w:rPr>
            </w:pPr>
          </w:p>
        </w:tc>
        <w:tc>
          <w:tcPr>
            <w:tcW w:w="0" w:type="auto"/>
            <w:vAlign w:val="center"/>
          </w:tcPr>
          <w:p w14:paraId="240FEB02">
            <w:pPr>
              <w:pStyle w:val="39"/>
              <w:rPr>
                <w:sz w:val="15"/>
                <w:szCs w:val="15"/>
              </w:rPr>
            </w:pPr>
            <w:r>
              <w:rPr>
                <w:rFonts w:hint="eastAsia"/>
                <w:sz w:val="15"/>
                <w:szCs w:val="15"/>
              </w:rPr>
              <w:t>8</w:t>
            </w:r>
          </w:p>
        </w:tc>
        <w:tc>
          <w:tcPr>
            <w:tcW w:w="0" w:type="auto"/>
          </w:tcPr>
          <w:p w14:paraId="11B77562">
            <w:pPr>
              <w:pStyle w:val="39"/>
              <w:rPr>
                <w:sz w:val="15"/>
                <w:szCs w:val="15"/>
              </w:rPr>
            </w:pPr>
            <w:r>
              <w:rPr>
                <w:sz w:val="15"/>
                <w:szCs w:val="15"/>
              </w:rPr>
              <w:t>1.01</w:t>
            </w:r>
          </w:p>
        </w:tc>
        <w:tc>
          <w:tcPr>
            <w:tcW w:w="0" w:type="auto"/>
          </w:tcPr>
          <w:p w14:paraId="461EF948">
            <w:pPr>
              <w:pStyle w:val="39"/>
              <w:rPr>
                <w:sz w:val="15"/>
                <w:szCs w:val="15"/>
              </w:rPr>
            </w:pPr>
            <w:r>
              <w:rPr>
                <w:sz w:val="15"/>
                <w:szCs w:val="15"/>
              </w:rPr>
              <w:t>1.05</w:t>
            </w:r>
          </w:p>
        </w:tc>
        <w:tc>
          <w:tcPr>
            <w:tcW w:w="0" w:type="auto"/>
          </w:tcPr>
          <w:p w14:paraId="2D4E2057">
            <w:pPr>
              <w:pStyle w:val="39"/>
              <w:rPr>
                <w:sz w:val="15"/>
                <w:szCs w:val="15"/>
              </w:rPr>
            </w:pPr>
            <w:r>
              <w:rPr>
                <w:sz w:val="15"/>
                <w:szCs w:val="15"/>
              </w:rPr>
              <w:t>4.07</w:t>
            </w:r>
          </w:p>
        </w:tc>
      </w:tr>
    </w:tbl>
    <w:p w14:paraId="7055141F">
      <w:pPr>
        <w:pStyle w:val="2"/>
        <w:ind w:left="560" w:hanging="560"/>
      </w:pPr>
      <w:r>
        <w:t xml:space="preserve">2 </w:t>
      </w:r>
      <w:r>
        <w:rPr>
          <w:rFonts w:hint="eastAsia"/>
        </w:rPr>
        <w:t>熵产理论</w:t>
      </w:r>
    </w:p>
    <w:p w14:paraId="0AF1E80B">
      <w:pPr>
        <w:pStyle w:val="3"/>
        <w:spacing w:before="156"/>
      </w:pPr>
      <w:bookmarkStart w:id="9" w:name="_Hlk199234024"/>
      <w:r>
        <w:t>2</w:t>
      </w:r>
      <w:r>
        <w:rPr>
          <w:rFonts w:hint="eastAsia"/>
        </w:rPr>
        <w:t>.</w:t>
      </w:r>
      <w:r>
        <w:t xml:space="preserve">1 </w:t>
      </w:r>
      <w:r>
        <w:rPr>
          <w:rFonts w:hint="eastAsia"/>
        </w:rPr>
        <w:t>熵产基本原理</w:t>
      </w:r>
    </w:p>
    <w:bookmarkEnd w:id="9"/>
    <w:p w14:paraId="7D5FAE5B">
      <w:pPr>
        <w:pStyle w:val="68"/>
        <w:ind w:firstLine="420"/>
      </w:pPr>
      <w:r>
        <w:t>熵产理论</w:t>
      </w:r>
      <w:r>
        <w:rPr>
          <w:rFonts w:hint="eastAsia"/>
        </w:rPr>
        <w:t>基于</w:t>
      </w:r>
      <w:r>
        <w:t>热力学第二定律，其</w:t>
      </w:r>
      <w:r>
        <w:rPr>
          <w:rFonts w:hint="eastAsia"/>
        </w:rPr>
        <w:t>基本观点认为：所有</w:t>
      </w:r>
      <w:r>
        <w:t>实际</w:t>
      </w:r>
      <w:r>
        <w:rPr>
          <w:rFonts w:hint="eastAsia"/>
        </w:rPr>
        <w:t>流动</w:t>
      </w:r>
      <w:r>
        <w:t>过程均</w:t>
      </w:r>
      <w:r>
        <w:rPr>
          <w:rFonts w:hint="eastAsia"/>
        </w:rPr>
        <w:t>存在</w:t>
      </w:r>
      <w:r>
        <w:t>不可逆性，</w:t>
      </w:r>
      <w:r>
        <w:rPr>
          <w:rFonts w:hint="eastAsia"/>
        </w:rPr>
        <w:t>并伴随着</w:t>
      </w:r>
      <w:r>
        <w:t>系统总熵</w:t>
      </w:r>
      <w:r>
        <w:rPr>
          <w:rFonts w:hint="eastAsia"/>
        </w:rPr>
        <w:t>的持续增加</w:t>
      </w:r>
      <w:r>
        <w:t xml:space="preserve">。熵产（Entropy </w:t>
      </w:r>
      <w:r>
        <w:rPr>
          <w:rFonts w:hint="eastAsia"/>
          <w:lang w:val="en-US" w:eastAsia="zh-CN"/>
        </w:rPr>
        <w:t>Production</w:t>
      </w:r>
      <w:r>
        <w:t>）</w:t>
      </w:r>
      <w:r>
        <w:rPr>
          <w:rFonts w:hint="eastAsia"/>
        </w:rPr>
        <w:t>作为不可逆性的定量表征，反映了由于黏性作用、湍流演化及边界摩擦等机制所引起的能量品质退化，是流动系统能耗的内在表现</w:t>
      </w:r>
      <w:r>
        <w:rPr>
          <w:kern w:val="0"/>
          <w:vertAlign w:val="superscript"/>
        </w:rPr>
        <w:t>[26]</w:t>
      </w:r>
      <w:r>
        <w:rPr>
          <w:rFonts w:hint="eastAsia"/>
        </w:rPr>
        <w:t>。相较于传统基于能量守恒原理的水头损失法，熵产理论提供了一个更为精细的补充性分析框架，能够将复杂流动系统中的总能耗细化为来源明确的物理耗散项。通过对</w:t>
      </w:r>
      <w:r>
        <w:rPr>
          <w:rFonts w:hint="eastAsia"/>
          <w:shd w:val="clear" w:color="auto" w:fill="FFFFFF"/>
        </w:rPr>
        <w:t>黏性</w:t>
      </w:r>
      <w:r>
        <w:rPr>
          <w:rFonts w:hint="eastAsia"/>
        </w:rPr>
        <w:t>耗散、湍流耗散与壁面摩擦耗散的分项量化，可揭示不同不可逆过程在空间</w:t>
      </w:r>
      <w:r>
        <w:rPr>
          <w:rFonts w:hint="eastAsia"/>
          <w:shd w:val="clear" w:color="auto" w:fill="FFFFFF"/>
        </w:rPr>
        <w:t>上的</w:t>
      </w:r>
      <w:r>
        <w:rPr>
          <w:rFonts w:hint="eastAsia"/>
        </w:rPr>
        <w:t>分布特征及其相对贡献，并识别局部结构参数对能效的耦合影响。作为一种兼具物理阐释力与空间分辨能力的能量诊断工具，熵产理论有效弥补了传统水力学方法在局部能耗机制诊断方面的不足，为复杂水力系统中多机制能耗识别与结构优化提供了理论支持。</w:t>
      </w:r>
    </w:p>
    <w:p w14:paraId="5AB0DA62">
      <w:pPr>
        <w:pStyle w:val="68"/>
        <w:ind w:firstLine="420"/>
      </w:pPr>
      <w:r>
        <w:rPr>
          <w:rFonts w:hint="eastAsia"/>
        </w:rPr>
        <w:t>根据推导，熵的输运方程如下</w:t>
      </w:r>
    </w:p>
    <w:p w14:paraId="4DB6CF39">
      <w:pPr>
        <w:pStyle w:val="91"/>
        <w:snapToGrid w:val="0"/>
      </w:pPr>
      <w:r>
        <w:tab/>
      </w:r>
      <w:r>
        <w:object>
          <v:shape id="_x0000_i1032" o:spt="75" type="#_x0000_t75" style="height:35.05pt;width:230.05pt;" o:ole="t" filled="f" o:preferrelative="t" stroked="f" coordsize="21600,21600">
            <v:path/>
            <v:fill on="f" focussize="0,0"/>
            <v:stroke on="f" joinstyle="miter"/>
            <v:imagedata r:id="rId41" o:title=""/>
            <o:lock v:ext="edit" aspectratio="t"/>
            <w10:wrap type="none"/>
            <w10:anchorlock/>
          </v:shape>
          <o:OLEObject Type="Embed" ProgID="Equation.DSMT4" ShapeID="_x0000_i1032" DrawAspect="Content" ObjectID="_1468075732" r:id="rId40">
            <o:LockedField>false</o:LockedField>
          </o:OLEObject>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 xml:space="preserve">(1)</w:instrText>
      </w:r>
      <w:r>
        <w:fldChar w:fldCharType="end"/>
      </w:r>
    </w:p>
    <w:p w14:paraId="79388D94">
      <w:pPr>
        <w:pStyle w:val="12"/>
        <w:ind w:firstLine="0" w:firstLineChars="0"/>
      </w:pPr>
      <w:r>
        <w:rPr>
          <w:rFonts w:hint="eastAsia"/>
        </w:rPr>
        <w:t>式中，</w:t>
      </w:r>
      <w:r>
        <w:t xml:space="preserve"> </w:t>
      </w:r>
      <w:r>
        <w:rPr>
          <w:position w:val="-6"/>
        </w:rPr>
        <w:object>
          <v:shape id="_x0000_i1033" o:spt="75" type="#_x0000_t75" style="height:11.2pt;width:8.35pt;" o:ole="t" filled="f" o:preferrelative="t" stroked="f" coordsize="21600,21600">
            <v:path/>
            <v:fill on="f" focussize="0,0"/>
            <v:stroke on="f" joinstyle="miter"/>
            <v:imagedata r:id="rId43" o:title=""/>
            <o:lock v:ext="edit" aspectratio="t"/>
            <w10:wrap type="none"/>
            <w10:anchorlock/>
          </v:shape>
          <o:OLEObject Type="Embed" ProgID="Equation.DSMT4" ShapeID="_x0000_i1033" DrawAspect="Content" ObjectID="_1468075733" r:id="rId42">
            <o:LockedField>false</o:LockedField>
          </o:OLEObject>
        </w:object>
      </w:r>
      <w:r>
        <w:rPr>
          <w:rFonts w:hint="eastAsia"/>
        </w:rPr>
        <w:t>为</w:t>
      </w:r>
      <w:r>
        <w:rPr>
          <w:rFonts w:hint="eastAsia"/>
          <w:color w:val="000000"/>
          <w:shd w:val="clear" w:color="auto" w:fill="FFFFFF"/>
        </w:rPr>
        <w:t>比</w:t>
      </w:r>
      <w:r>
        <w:rPr>
          <w:rFonts w:hint="eastAsia"/>
        </w:rPr>
        <w:t>熵；</w:t>
      </w:r>
      <w:r>
        <w:rPr>
          <w:position w:val="-4"/>
        </w:rPr>
        <w:object>
          <v:shape id="_x0000_i1034" o:spt="75" type="#_x0000_t75" style="height:12.65pt;width:11.2pt;" o:ole="t" filled="f" o:preferrelative="t" stroked="f" coordsize="21600,21600">
            <v:path/>
            <v:fill on="f" focussize="0,0"/>
            <v:stroke on="f" joinstyle="miter"/>
            <v:imagedata r:id="rId45" o:title=""/>
            <o:lock v:ext="edit" aspectratio="t"/>
            <w10:wrap type="none"/>
            <w10:anchorlock/>
          </v:shape>
          <o:OLEObject Type="Embed" ProgID="Equation.DSMT4" ShapeID="_x0000_i1034" DrawAspect="Content" ObjectID="_1468075734" r:id="rId44">
            <o:LockedField>false</o:LockedField>
          </o:OLEObject>
        </w:object>
      </w:r>
      <w:r>
        <w:rPr>
          <w:rFonts w:hint="eastAsia"/>
        </w:rPr>
        <w:t>为温度（K）；</w:t>
      </w:r>
      <w:r>
        <w:rPr>
          <w:position w:val="-4"/>
        </w:rPr>
        <w:object>
          <v:shape id="_x0000_i1035" o:spt="75" type="#_x0000_t75" style="height:11.9pt;width:12.4pt;" o:ole="t" filled="f" o:preferrelative="t" stroked="f" coordsize="21600,21600">
            <v:path/>
            <v:fill on="f" focussize="0,0"/>
            <v:stroke on="f" joinstyle="miter"/>
            <v:imagedata r:id="rId47" o:title=""/>
            <o:lock v:ext="edit" aspectratio="t"/>
            <w10:wrap type="none"/>
            <w10:anchorlock/>
          </v:shape>
          <o:OLEObject Type="Embed" ProgID="Equation.DSMT4" ShapeID="_x0000_i1035" DrawAspect="Content" ObjectID="_1468075735" r:id="rId46">
            <o:LockedField>false</o:LockedField>
          </o:OLEObject>
        </w:object>
      </w:r>
      <w:r>
        <w:rPr>
          <w:rFonts w:hint="eastAsia"/>
          <w:shd w:val="clear" w:color="auto" w:fill="FFFFFF"/>
        </w:rPr>
        <w:t>黏性</w:t>
      </w:r>
      <w:r>
        <w:rPr>
          <w:rFonts w:hint="eastAsia"/>
        </w:rPr>
        <w:t>耗散产生的熵产（</w:t>
      </w:r>
      <w:r>
        <w:t>W·K</w:t>
      </w:r>
      <w:r>
        <w:rPr>
          <w:vertAlign w:val="superscript"/>
        </w:rPr>
        <w:t>-1</w:t>
      </w:r>
      <w:r>
        <w:rPr>
          <w:rFonts w:hint="eastAsia"/>
        </w:rPr>
        <w:t>）；</w:t>
      </w:r>
      <w:r>
        <w:rPr>
          <w:position w:val="-12"/>
        </w:rPr>
        <w:object>
          <v:shape id="_x0000_i1036" o:spt="75" type="#_x0000_t75" style="height:18.6pt;width:18.6pt;" o:ole="t" filled="f" o:preferrelative="t" stroked="f" coordsize="21600,21600">
            <v:path/>
            <v:fill on="f" focussize="0,0"/>
            <v:stroke on="f" joinstyle="miter"/>
            <v:imagedata r:id="rId49" o:title=""/>
            <o:lock v:ext="edit" aspectratio="t"/>
            <w10:wrap type="none"/>
            <w10:anchorlock/>
          </v:shape>
          <o:OLEObject Type="Embed" ProgID="Equation.DSMT4" ShapeID="_x0000_i1036" DrawAspect="Content" ObjectID="_1468075736" r:id="rId48">
            <o:LockedField>false</o:LockedField>
          </o:OLEObject>
        </w:object>
      </w:r>
      <w:r>
        <w:rPr>
          <w:rFonts w:hint="eastAsia"/>
        </w:rPr>
        <w:t>为由有限温度梯度引起的热传递所产生的熵产（</w:t>
      </w:r>
      <w:r>
        <w:t>W·K</w:t>
      </w:r>
      <w:r>
        <w:rPr>
          <w:vertAlign w:val="superscript"/>
        </w:rPr>
        <w:t>-1</w:t>
      </w:r>
      <w:r>
        <w:rPr>
          <w:rFonts w:hint="eastAsia"/>
        </w:rPr>
        <w:t>）。</w:t>
      </w:r>
    </w:p>
    <w:p w14:paraId="099C58BC">
      <w:pPr>
        <w:pStyle w:val="3"/>
        <w:spacing w:before="156"/>
      </w:pPr>
      <w:r>
        <w:t xml:space="preserve">2.2 </w:t>
      </w:r>
      <w:r>
        <w:rPr>
          <w:rFonts w:hint="eastAsia"/>
        </w:rPr>
        <w:t>熵产分项机制</w:t>
      </w:r>
    </w:p>
    <w:p w14:paraId="4E04E269">
      <w:pPr>
        <w:pStyle w:val="68"/>
        <w:ind w:firstLine="420"/>
      </w:pPr>
      <w:r>
        <w:rPr>
          <w:rFonts w:hint="eastAsia"/>
        </w:rPr>
        <w:t>在熵产理论框架下，本文以总熵产</w:t>
      </w:r>
      <w:r>
        <w:rPr>
          <w:position w:val="-12"/>
        </w:rPr>
        <w:object>
          <v:shape id="_x0000_i1037" o:spt="75" type="#_x0000_t75" style="height:18.6pt;width:21.2pt;" o:ole="t" filled="f" o:preferrelative="t" stroked="f" coordsize="21600,21600">
            <v:path/>
            <v:fill on="f" focussize="0,0"/>
            <v:stroke on="f" joinstyle="miter"/>
            <v:imagedata r:id="rId51" o:title=""/>
            <o:lock v:ext="edit" aspectratio="t"/>
            <w10:wrap type="none"/>
            <w10:anchorlock/>
          </v:shape>
          <o:OLEObject Type="Embed" ProgID="Equation.DSMT4" ShapeID="_x0000_i1037" DrawAspect="Content" ObjectID="_1468075737" r:id="rId50">
            <o:LockedField>false</o:LockedField>
          </o:OLEObject>
        </w:object>
      </w:r>
      <w:r>
        <w:rPr>
          <w:rFonts w:hint="eastAsia"/>
        </w:rPr>
        <w:t>作为表征进水系统整体能量耗散水平的统一指标，并按耗散机理将其分解为黏性耗散项（EPDD</w:t>
      </w:r>
      <w:r>
        <w:t>）</w:t>
      </w:r>
      <w:r>
        <w:rPr>
          <w:rFonts w:hint="eastAsia"/>
        </w:rPr>
        <w:t>、湍流耗散项（EPTD）和壁面摩擦耗散项（EPWS）</w:t>
      </w:r>
      <w:r>
        <w:rPr>
          <w:kern w:val="0"/>
          <w:vertAlign w:val="superscript"/>
        </w:rPr>
        <w:t>[27-30]</w:t>
      </w:r>
      <w:r>
        <w:rPr>
          <w:rFonts w:hint="eastAsia"/>
        </w:rPr>
        <w:t>，分别对应由于流场内部黏性剪切、湍流脉动及近壁摩擦所引起的耗散。</w:t>
      </w:r>
    </w:p>
    <w:p w14:paraId="7BD92372">
      <w:pPr>
        <w:pStyle w:val="12"/>
        <w:ind w:firstLine="0" w:firstLineChars="0"/>
        <w:rPr>
          <w:rStyle w:val="69"/>
        </w:rPr>
      </w:pPr>
      <w:r>
        <w:rPr>
          <w:rFonts w:hint="eastAsia"/>
        </w:rPr>
        <w:t>（1）黏性耗散（E</w:t>
      </w:r>
      <w:r>
        <w:t>PDD</w:t>
      </w:r>
      <w:r>
        <w:rPr>
          <w:rFonts w:hint="eastAsia"/>
        </w:rPr>
        <w:t>）</w:t>
      </w:r>
      <w:r>
        <w:rPr>
          <w:rStyle w:val="69"/>
          <w:rFonts w:hint="eastAsia"/>
          <w:shd w:val="clear" w:color="auto" w:fill="FFFFFF"/>
        </w:rPr>
        <w:t>黏性</w:t>
      </w:r>
      <w:r>
        <w:rPr>
          <w:rStyle w:val="69"/>
          <w:rFonts w:hint="eastAsia"/>
        </w:rPr>
        <w:t>耗散项反映的是流体内部因速度梯度引起的内摩擦效应，是连续介质中最基本的不可逆过程。</w:t>
      </w:r>
    </w:p>
    <w:p w14:paraId="195E9F43">
      <w:pPr>
        <w:pStyle w:val="91"/>
        <w:snapToGrid w:val="0"/>
        <w:rPr>
          <w:rStyle w:val="69"/>
        </w:rPr>
      </w:pPr>
      <w:r>
        <w:rPr>
          <w:rStyle w:val="69"/>
        </w:rPr>
        <w:tab/>
      </w:r>
      <w:r>
        <w:rPr>
          <w:rStyle w:val="69"/>
        </w:rPr>
        <w:object>
          <v:shape id="_x0000_i1038" o:spt="75" type="#_x0000_t75" style="height:45.75pt;width:401pt;" o:ole="t" filled="f" o:preferrelative="t" stroked="f" coordsize="21600,21600">
            <v:path/>
            <v:fill on="f" focussize="0,0"/>
            <v:stroke on="f" joinstyle="miter"/>
            <v:imagedata r:id="rId53" o:title=""/>
            <o:lock v:ext="edit" aspectratio="t"/>
            <w10:wrap type="none"/>
            <w10:anchorlock/>
          </v:shape>
          <o:OLEObject Type="Embed" ProgID="Equation.DSMT4" ShapeID="_x0000_i1038" DrawAspect="Content" ObjectID="_1468075738" r:id="rId52">
            <o:LockedField>false</o:LockedField>
          </o:OLEObject>
        </w:object>
      </w:r>
      <w:r>
        <w:rPr>
          <w:rStyle w:val="69"/>
        </w:rPr>
        <w:tab/>
      </w:r>
      <w:r>
        <w:rPr>
          <w:rStyle w:val="69"/>
        </w:rPr>
        <w:fldChar w:fldCharType="begin"/>
      </w:r>
      <w:r>
        <w:rPr>
          <w:rStyle w:val="69"/>
        </w:rPr>
        <w:instrText xml:space="preserve"> MACROBUTTON MTPlaceRef \* MERGEFORMAT </w:instrText>
      </w:r>
      <w:r>
        <w:rPr>
          <w:rStyle w:val="69"/>
        </w:rPr>
        <w:fldChar w:fldCharType="begin"/>
      </w:r>
      <w:r>
        <w:rPr>
          <w:rStyle w:val="69"/>
        </w:rPr>
        <w:instrText xml:space="preserve"> SEQ MTEqn \h \* MERGEFORMAT </w:instrText>
      </w:r>
      <w:r>
        <w:rPr>
          <w:rStyle w:val="69"/>
        </w:rPr>
        <w:fldChar w:fldCharType="end"/>
      </w:r>
      <w:r>
        <w:rPr>
          <w:rStyle w:val="69"/>
        </w:rPr>
        <w:instrText xml:space="preserve">(</w:instrText>
      </w:r>
      <w:r>
        <w:instrText xml:space="preserve">2</w:instrText>
      </w:r>
      <w:r>
        <w:rPr>
          <w:rStyle w:val="69"/>
        </w:rPr>
        <w:instrText xml:space="preserve">)</w:instrText>
      </w:r>
      <w:r>
        <w:rPr>
          <w:rStyle w:val="69"/>
        </w:rPr>
        <w:fldChar w:fldCharType="end"/>
      </w:r>
    </w:p>
    <w:p w14:paraId="5E1097BE">
      <w:pPr>
        <w:pStyle w:val="68"/>
        <w:ind w:firstLine="0" w:firstLineChars="0"/>
      </w:pPr>
      <w:r>
        <w:rPr>
          <w:rFonts w:hint="eastAsia"/>
        </w:rPr>
        <w:t>式中，</w:t>
      </w:r>
      <w:r>
        <w:rPr>
          <w:position w:val="-6"/>
        </w:rPr>
        <w:object>
          <v:shape id="_x0000_i1039" o:spt="75" type="#_x0000_t75" style="height:25.05pt;width:17.4pt;" o:ole="t" filled="f" o:preferrelative="t" stroked="f" coordsize="21600,21600">
            <v:path/>
            <v:fill on="f" focussize="0,0"/>
            <v:stroke on="f" joinstyle="miter"/>
            <v:imagedata r:id="rId55" o:title=""/>
            <o:lock v:ext="edit" aspectratio="t"/>
            <w10:wrap type="none"/>
            <w10:anchorlock/>
          </v:shape>
          <o:OLEObject Type="Embed" ProgID="Equation.DSMT4" ShapeID="_x0000_i1039" DrawAspect="Content" ObjectID="_1468075739" r:id="rId54">
            <o:LockedField>false</o:LockedField>
          </o:OLEObject>
        </w:object>
      </w:r>
      <w:r>
        <w:rPr>
          <w:rFonts w:hint="eastAsia"/>
        </w:rPr>
        <w:t>为直接耗散项（EPDD），</w:t>
      </w:r>
      <w:r>
        <w:rPr>
          <w:position w:val="-4"/>
        </w:rPr>
        <w:object>
          <v:shape id="_x0000_i1040" o:spt="75" type="#_x0000_t75" style="height:12.4pt;width:11.9pt;" o:ole="t" filled="f" o:preferrelative="t" stroked="f" coordsize="21600,21600">
            <v:path/>
            <v:fill on="f" focussize="0,0"/>
            <v:stroke on="f" joinstyle="miter"/>
            <v:imagedata r:id="rId57" o:title=""/>
            <o:lock v:ext="edit" aspectratio="t"/>
            <w10:wrap type="none"/>
            <w10:anchorlock/>
          </v:shape>
          <o:OLEObject Type="Embed" ProgID="Equation.DSMT4" ShapeID="_x0000_i1040" DrawAspect="Content" ObjectID="_1468075740" r:id="rId56">
            <o:LockedField>false</o:LockedField>
          </o:OLEObject>
        </w:object>
      </w:r>
      <w:r>
        <w:rPr>
          <w:rFonts w:hint="eastAsia"/>
        </w:rPr>
        <w:t>为温度，取2</w:t>
      </w:r>
      <w:r>
        <w:t>98.5 K</w:t>
      </w:r>
      <w:r>
        <w:rPr>
          <w:rFonts w:hint="eastAsia"/>
        </w:rPr>
        <w:t>。考虑到本次研究主要关</w:t>
      </w:r>
      <w:r>
        <w:t>注几何结构和流动特性对</w:t>
      </w:r>
      <w:r>
        <w:rPr>
          <w:rFonts w:hint="eastAsia"/>
        </w:rPr>
        <w:t>能量损失</w:t>
      </w:r>
      <w:r>
        <w:t>的影响</w:t>
      </w:r>
      <w:r>
        <w:rPr>
          <w:rFonts w:hint="eastAsia"/>
        </w:rPr>
        <w:t>，因此水温分层对能量损失的影响暂不考虑。</w:t>
      </w:r>
    </w:p>
    <w:p w14:paraId="7A883192">
      <w:pPr>
        <w:pStyle w:val="68"/>
        <w:ind w:firstLine="0" w:firstLineChars="0"/>
        <w:rPr>
          <w:rStyle w:val="69"/>
        </w:rPr>
      </w:pPr>
      <w:r>
        <w:rPr>
          <w:rFonts w:hint="eastAsia"/>
        </w:rPr>
        <w:t>（2）湍流耗散（E</w:t>
      </w:r>
      <w:r>
        <w:t>PTD</w:t>
      </w:r>
      <w:r>
        <w:rPr>
          <w:rFonts w:hint="eastAsia"/>
        </w:rPr>
        <w:t>）</w:t>
      </w:r>
      <w:r>
        <w:rPr>
          <w:rStyle w:val="69"/>
          <w:rFonts w:hint="eastAsia"/>
        </w:rPr>
        <w:t>湍流耗散项表示大尺度湍动能在黏性耗散尺度下转换为热能的不可逆过程，公式如下</w:t>
      </w:r>
    </w:p>
    <w:p w14:paraId="7A9DE5BA">
      <w:pPr>
        <w:pStyle w:val="91"/>
        <w:snapToGrid w:val="0"/>
      </w:pPr>
      <w:r>
        <w:tab/>
      </w:r>
      <w:r>
        <w:object>
          <v:shape id="_x0000_i1041" o:spt="75" type="#_x0000_t75" style="height:45.75pt;width:421.05pt;" o:ole="t" filled="f" o:preferrelative="t" stroked="f" coordsize="21600,21600">
            <v:path/>
            <v:fill on="f" focussize="0,0"/>
            <v:stroke on="f" joinstyle="miter"/>
            <v:imagedata r:id="rId59" o:title=""/>
            <o:lock v:ext="edit" aspectratio="t"/>
            <w10:wrap type="none"/>
            <w10:anchorlock/>
          </v:shape>
          <o:OLEObject Type="Embed" ProgID="Equation.DSMT4" ShapeID="_x0000_i1041" DrawAspect="Content" ObjectID="_1468075741" r:id="rId58">
            <o:LockedField>false</o:LockedField>
          </o:OLEObject>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 xml:space="preserve">(3)</w:instrText>
      </w:r>
      <w:r>
        <w:fldChar w:fldCharType="end"/>
      </w:r>
    </w:p>
    <w:p w14:paraId="1682FF3E">
      <w:pPr>
        <w:pStyle w:val="68"/>
        <w:ind w:firstLine="0" w:firstLineChars="0"/>
      </w:pPr>
      <w:r>
        <w:rPr>
          <w:rFonts w:hint="eastAsia"/>
        </w:rPr>
        <w:t>式中，</w:t>
      </w:r>
      <w:r>
        <w:rPr>
          <w:position w:val="-6"/>
        </w:rPr>
        <w:object>
          <v:shape id="_x0000_i1042" o:spt="75" type="#_x0000_t75" style="height:25.05pt;width:18.6pt;" o:ole="t" filled="f" o:preferrelative="t" stroked="f" coordsize="21600,21600">
            <v:path/>
            <v:fill on="f" focussize="0,0"/>
            <v:stroke on="f" joinstyle="miter"/>
            <v:imagedata r:id="rId61" o:title=""/>
            <o:lock v:ext="edit" aspectratio="t"/>
            <w10:wrap type="none"/>
            <w10:anchorlock/>
          </v:shape>
          <o:OLEObject Type="Embed" ProgID="Equation.DSMT4" ShapeID="_x0000_i1042" DrawAspect="Content" ObjectID="_1468075742" r:id="rId60">
            <o:LockedField>false</o:LockedField>
          </o:OLEObject>
        </w:object>
      </w:r>
      <w:r>
        <w:rPr>
          <w:rFonts w:hint="eastAsia"/>
        </w:rPr>
        <w:t>为湍流耗散项（E</w:t>
      </w:r>
      <w:r>
        <w:t>PTD</w:t>
      </w:r>
      <w:r>
        <w:rPr>
          <w:rFonts w:hint="eastAsia"/>
        </w:rPr>
        <w:t>）</w:t>
      </w:r>
      <w:r>
        <w:t xml:space="preserve"> </w:t>
      </w:r>
      <w:r>
        <w:rPr>
          <w:rFonts w:hint="eastAsia"/>
        </w:rPr>
        <w:t>；</w:t>
      </w:r>
      <w:r>
        <w:rPr>
          <w:position w:val="-14"/>
        </w:rPr>
        <w:object>
          <v:shape id="_x0000_i1043" o:spt="75" type="#_x0000_t75" style="height:18.6pt;width:21.2pt;" o:ole="t" filled="f" o:preferrelative="t" stroked="f" coordsize="21600,21600">
            <v:path/>
            <v:fill on="f" focussize="0,0"/>
            <v:stroke on="f" joinstyle="miter"/>
            <v:imagedata r:id="rId63" o:title=""/>
            <o:lock v:ext="edit" aspectratio="t"/>
            <w10:wrap type="none"/>
            <w10:anchorlock/>
          </v:shape>
          <o:OLEObject Type="Embed" ProgID="Equation.DSMT4" ShapeID="_x0000_i1043" DrawAspect="Content" ObjectID="_1468075743" r:id="rId62">
            <o:LockedField>false</o:LockedField>
          </o:OLEObject>
        </w:object>
      </w:r>
      <w:r>
        <w:rPr>
          <w:rFonts w:hint="eastAsia"/>
        </w:rPr>
        <w:t>为流体的有效动态黏度，其结合了湍流黏度</w:t>
      </w:r>
      <w:r>
        <w:rPr>
          <w:position w:val="-12"/>
        </w:rPr>
        <w:object>
          <v:shape id="_x0000_i1044" o:spt="75" type="#_x0000_t75" style="height:18.6pt;width:12.65pt;" o:ole="t" filled="f" o:preferrelative="t" stroked="f" coordsize="21600,21600">
            <v:path/>
            <v:fill on="f" focussize="0,0"/>
            <v:stroke on="f" joinstyle="miter"/>
            <v:imagedata r:id="rId65" o:title=""/>
            <o:lock v:ext="edit" aspectratio="t"/>
            <w10:wrap type="none"/>
            <w10:anchorlock/>
          </v:shape>
          <o:OLEObject Type="Embed" ProgID="Equation.DSMT4" ShapeID="_x0000_i1044" DrawAspect="Content" ObjectID="_1468075744" r:id="rId64">
            <o:LockedField>false</o:LockedField>
          </o:OLEObject>
        </w:object>
      </w:r>
      <w:r>
        <w:rPr>
          <w:rFonts w:hint="eastAsia"/>
        </w:rPr>
        <w:t>及动态黏度</w:t>
      </w:r>
      <w:r>
        <w:rPr>
          <w:position w:val="-10"/>
        </w:rPr>
        <w:object>
          <v:shape id="_x0000_i1045" o:spt="75" type="#_x0000_t75" style="height:12.4pt;width:11.9pt;" o:ole="t" filled="f" o:preferrelative="t" stroked="f" coordsize="21600,21600">
            <v:path/>
            <v:fill on="f" focussize="0,0"/>
            <v:stroke on="f" joinstyle="miter"/>
            <v:imagedata r:id="rId67" o:title=""/>
            <o:lock v:ext="edit" aspectratio="t"/>
            <w10:wrap type="none"/>
            <w10:anchorlock/>
          </v:shape>
          <o:OLEObject Type="Embed" ProgID="Equation.DSMT4" ShapeID="_x0000_i1045" DrawAspect="Content" ObjectID="_1468075745" r:id="rId66">
            <o:LockedField>false</o:LockedField>
          </o:OLEObject>
        </w:object>
      </w:r>
      <w:r>
        <w:rPr>
          <w:rFonts w:hint="eastAsia"/>
        </w:rPr>
        <w:t>。</w:t>
      </w:r>
    </w:p>
    <w:p w14:paraId="3A86ABF0">
      <w:pPr>
        <w:pStyle w:val="68"/>
        <w:ind w:firstLine="420"/>
      </w:pPr>
      <w:r>
        <w:rPr>
          <w:rFonts w:hint="eastAsia"/>
        </w:rPr>
        <w:t>在RANS数值计算中，脉动速度无法直接体现，Realizable</w:t>
      </w:r>
      <w:r>
        <w:t xml:space="preserve"> </w:t>
      </w:r>
      <w:r>
        <w:rPr>
          <w:position w:val="-6"/>
        </w:rPr>
        <w:object>
          <v:shape id="_x0000_i1046" o:spt="75" type="#_x0000_t75" style="height:12.65pt;width:26.25pt;" o:ole="t" filled="f" o:preferrelative="t" stroked="f" coordsize="21600,21600">
            <v:path/>
            <v:fill on="f" focussize="0,0"/>
            <v:stroke on="f" joinstyle="miter"/>
            <v:imagedata r:id="rId69" o:title=""/>
            <o:lock v:ext="edit" aspectratio="t"/>
            <w10:wrap type="none"/>
            <w10:anchorlock/>
          </v:shape>
          <o:OLEObject Type="Embed" ProgID="Equation.DSMT4" ShapeID="_x0000_i1046" DrawAspect="Content" ObjectID="_1468075746" r:id="rId68">
            <o:LockedField>false</o:LockedField>
          </o:OLEObject>
        </w:object>
      </w:r>
      <w:r>
        <w:rPr>
          <w:rFonts w:hint="eastAsia"/>
        </w:rPr>
        <w:t>紊流模型，通过</w:t>
      </w:r>
      <w:r>
        <w:t>湍动能耗散率</w:t>
      </w:r>
      <w:r>
        <w:rPr>
          <w:position w:val="-6"/>
        </w:rPr>
        <w:object>
          <v:shape id="_x0000_i1047" o:spt="75" type="#_x0000_t75" style="height:11.9pt;width:10pt;" o:ole="t" filled="f" o:preferrelative="t" stroked="f" coordsize="21600,21600">
            <v:path/>
            <v:fill on="f" focussize="0,0"/>
            <v:stroke on="f" joinstyle="miter"/>
            <v:imagedata r:id="rId71" o:title=""/>
            <o:lock v:ext="edit" aspectratio="t"/>
            <w10:wrap type="none"/>
            <w10:anchorlock/>
          </v:shape>
          <o:OLEObject Type="Embed" ProgID="Equation.DSMT4" ShapeID="_x0000_i1047" DrawAspect="Content" ObjectID="_1468075747" r:id="rId70">
            <o:LockedField>false</o:LockedField>
          </o:OLEObject>
        </w:object>
      </w:r>
      <w:r>
        <w:rPr>
          <w:rFonts w:hint="eastAsia"/>
        </w:rPr>
        <w:t>来</w:t>
      </w:r>
      <w:r>
        <w:t>表征湍流脉动引起的动能耗散</w:t>
      </w:r>
      <w:r>
        <w:rPr>
          <w:rFonts w:hint="eastAsia"/>
        </w:rPr>
        <w:t>，从而使局部熵产率</w:t>
      </w:r>
      <w:r>
        <w:rPr>
          <w:position w:val="-6"/>
        </w:rPr>
        <w:object>
          <v:shape id="_x0000_i1048" o:spt="75" type="#_x0000_t75" style="height:25.05pt;width:18.6pt;" o:ole="t" filled="f" o:preferrelative="t" stroked="f" coordsize="21600,21600">
            <v:path/>
            <v:fill on="f" focussize="0,0"/>
            <v:stroke on="f" joinstyle="miter"/>
            <v:imagedata r:id="rId73" o:title=""/>
            <o:lock v:ext="edit" aspectratio="t"/>
            <w10:wrap type="none"/>
            <w10:anchorlock/>
          </v:shape>
          <o:OLEObject Type="Embed" ProgID="Equation.DSMT4" ShapeID="_x0000_i1048" DrawAspect="Content" ObjectID="_1468075748" r:id="rId72">
            <o:LockedField>false</o:LockedField>
          </o:OLEObject>
        </w:object>
      </w:r>
      <w:r>
        <w:rPr>
          <w:rFonts w:hint="eastAsia"/>
        </w:rPr>
        <w:t>的近似表达为</w:t>
      </w:r>
    </w:p>
    <w:p w14:paraId="5B7EFBCA">
      <w:pPr>
        <w:pStyle w:val="91"/>
        <w:snapToGrid w:val="0"/>
      </w:pPr>
      <w:r>
        <w:tab/>
      </w:r>
      <w:r>
        <w:object>
          <v:shape id="_x0000_i1049" o:spt="75" type="#_x0000_t75" style="height:33.15pt;width:48.15pt;" o:ole="t" filled="f" o:preferrelative="t" stroked="f" coordsize="21600,21600">
            <v:path/>
            <v:fill on="f" focussize="0,0"/>
            <v:stroke on="f" joinstyle="miter"/>
            <v:imagedata r:id="rId75" o:title=""/>
            <o:lock v:ext="edit" aspectratio="t"/>
            <w10:wrap type="none"/>
            <w10:anchorlock/>
          </v:shape>
          <o:OLEObject Type="Embed" ProgID="Equation.DSMT4" ShapeID="_x0000_i1049" DrawAspect="Content" ObjectID="_1468075749" r:id="rId74">
            <o:LockedField>false</o:LockedField>
          </o:OLEObject>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 xml:space="preserve">(4)</w:instrText>
      </w:r>
      <w:r>
        <w:fldChar w:fldCharType="end"/>
      </w:r>
    </w:p>
    <w:p w14:paraId="1ADC98A9">
      <w:pPr>
        <w:pStyle w:val="68"/>
        <w:ind w:firstLine="0" w:firstLineChars="0"/>
      </w:pPr>
      <w:r>
        <w:rPr>
          <w:rFonts w:hint="eastAsia"/>
        </w:rPr>
        <w:t>（3）壁面摩擦耗散（E</w:t>
      </w:r>
      <w:r>
        <w:t>PWS</w:t>
      </w:r>
      <w:r>
        <w:rPr>
          <w:rFonts w:hint="eastAsia"/>
        </w:rPr>
        <w:t>）。壁面摩擦耗散项来源于流体与固体边界之间的剪切作用，公式如下</w:t>
      </w:r>
    </w:p>
    <w:p w14:paraId="7ABF9391">
      <w:pPr>
        <w:pStyle w:val="91"/>
        <w:snapToGrid w:val="0"/>
      </w:pPr>
      <w:r>
        <w:tab/>
      </w:r>
      <w:r>
        <w:object>
          <v:shape id="_x0000_i1050" o:spt="75" type="#_x0000_t75" style="height:33.85pt;width:50.05pt;" o:ole="t" filled="f" o:preferrelative="t" stroked="f" coordsize="21600,21600">
            <v:path/>
            <v:fill on="f" focussize="0,0"/>
            <v:stroke on="f" joinstyle="miter"/>
            <v:imagedata r:id="rId77" o:title=""/>
            <o:lock v:ext="edit" aspectratio="t"/>
            <w10:wrap type="none"/>
            <w10:anchorlock/>
          </v:shape>
          <o:OLEObject Type="Embed" ProgID="Equation.DSMT4" ShapeID="_x0000_i1050" DrawAspect="Content" ObjectID="_1468075750" r:id="rId76">
            <o:LockedField>false</o:LockedField>
          </o:OLEObject>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 xml:space="preserve">(5)</w:instrText>
      </w:r>
      <w:r>
        <w:fldChar w:fldCharType="end"/>
      </w:r>
    </w:p>
    <w:p w14:paraId="228D2A59">
      <w:pPr>
        <w:pStyle w:val="68"/>
        <w:ind w:firstLine="0" w:firstLineChars="0"/>
      </w:pPr>
      <w:r>
        <w:rPr>
          <w:rFonts w:hint="eastAsia"/>
        </w:rPr>
        <w:t>式中，</w:t>
      </w:r>
      <w:r>
        <w:rPr>
          <w:position w:val="-6"/>
        </w:rPr>
        <w:object>
          <v:shape id="_x0000_i1051" o:spt="75" type="#_x0000_t75" style="height:25.05pt;width:18.6pt;" o:ole="t" filled="f" o:preferrelative="t" stroked="f" coordsize="21600,21600">
            <v:path/>
            <v:fill on="f" focussize="0,0"/>
            <v:stroke on="f" joinstyle="miter"/>
            <v:imagedata r:id="rId79" o:title=""/>
            <o:lock v:ext="edit" aspectratio="t"/>
            <w10:wrap type="none"/>
            <w10:anchorlock/>
          </v:shape>
          <o:OLEObject Type="Embed" ProgID="Equation.DSMT4" ShapeID="_x0000_i1051" DrawAspect="Content" ObjectID="_1468075751" r:id="rId78">
            <o:LockedField>false</o:LockedField>
          </o:OLEObject>
        </w:object>
      </w:r>
      <w:r>
        <w:rPr>
          <w:rFonts w:hint="eastAsia"/>
        </w:rPr>
        <w:t>为壁面摩擦耗散项（E</w:t>
      </w:r>
      <w:r>
        <w:t>PWS</w:t>
      </w:r>
      <w:r>
        <w:rPr>
          <w:rFonts w:hint="eastAsia"/>
        </w:rPr>
        <w:t>）；</w:t>
      </w:r>
      <w:r>
        <w:rPr>
          <w:position w:val="-6"/>
        </w:rPr>
        <w:object>
          <v:shape id="_x0000_i1052" o:spt="75" type="#_x0000_t75" style="height:17.4pt;width:10pt;" o:ole="t" filled="f" o:preferrelative="t" stroked="f" coordsize="21600,21600">
            <v:path/>
            <v:fill on="f" focussize="0,0"/>
            <v:stroke on="f" joinstyle="miter"/>
            <v:imagedata r:id="rId81" o:title=""/>
            <o:lock v:ext="edit" aspectratio="t"/>
            <w10:wrap type="none"/>
            <w10:anchorlock/>
          </v:shape>
          <o:OLEObject Type="Embed" ProgID="Equation.DSMT4" ShapeID="_x0000_i1052" DrawAspect="Content" ObjectID="_1468075752" r:id="rId80">
            <o:LockedField>false</o:LockedField>
          </o:OLEObject>
        </w:object>
      </w:r>
      <w:r>
        <w:rPr>
          <w:rFonts w:hint="eastAsia"/>
        </w:rPr>
        <w:t>剪切应力,</w:t>
      </w:r>
      <w:r>
        <w:rPr>
          <w:position w:val="-6"/>
        </w:rPr>
        <w:object>
          <v:shape id="_x0000_i1053" o:spt="75" type="#_x0000_t75" style="height:17.4pt;width:8.35pt;" o:ole="t" filled="f" o:preferrelative="t" stroked="f" coordsize="21600,21600">
            <v:path/>
            <v:fill on="f" focussize="0,0"/>
            <v:stroke on="f" joinstyle="miter"/>
            <v:imagedata r:id="rId83" o:title=""/>
            <o:lock v:ext="edit" aspectratio="t"/>
            <w10:wrap type="none"/>
            <w10:anchorlock/>
          </v:shape>
          <o:OLEObject Type="Embed" ProgID="Equation.DSMT4" ShapeID="_x0000_i1053" DrawAspect="Content" ObjectID="_1468075753" r:id="rId82">
            <o:LockedField>false</o:LockedField>
          </o:OLEObject>
        </w:object>
      </w:r>
      <w:r>
        <w:rPr>
          <w:rFonts w:hint="eastAsia"/>
        </w:rPr>
        <w:t>为壁面附近的速度。</w:t>
      </w:r>
    </w:p>
    <w:p w14:paraId="1C9E57CC">
      <w:pPr>
        <w:pStyle w:val="68"/>
        <w:ind w:firstLine="420"/>
      </w:pPr>
      <w:r>
        <w:rPr>
          <w:rFonts w:hint="eastAsia"/>
        </w:rPr>
        <w:t>最终，通过积分可得到总熵</w:t>
      </w:r>
      <w:r>
        <w:rPr>
          <w:rFonts w:hint="eastAsia"/>
          <w:color w:val="000000"/>
          <w:shd w:val="clear" w:color="auto" w:fill="FFFFFF"/>
        </w:rPr>
        <w:t>产</w:t>
      </w:r>
      <w:r>
        <w:rPr>
          <w:position w:val="-12"/>
        </w:rPr>
        <w:object>
          <v:shape id="_x0000_i1054" o:spt="75" type="#_x0000_t75" style="height:18.6pt;width:21.2pt;" o:ole="t" filled="f" o:preferrelative="t" stroked="f" coordsize="21600,21600">
            <v:path/>
            <v:fill on="f" focussize="0,0"/>
            <v:stroke on="f" joinstyle="miter"/>
            <v:imagedata r:id="rId51" o:title=""/>
            <o:lock v:ext="edit" aspectratio="t"/>
            <w10:wrap type="none"/>
            <w10:anchorlock/>
          </v:shape>
          <o:OLEObject Type="Embed" ProgID="Equation.DSMT4" ShapeID="_x0000_i1054" DrawAspect="Content" ObjectID="_1468075754" r:id="rId84">
            <o:LockedField>false</o:LockedField>
          </o:OLEObject>
        </w:object>
      </w:r>
      <w:r>
        <w:rPr>
          <w:rFonts w:hint="eastAsia"/>
        </w:rPr>
        <w:t>，即</w:t>
      </w:r>
    </w:p>
    <w:p w14:paraId="019B012F">
      <w:pPr>
        <w:pStyle w:val="91"/>
        <w:snapToGrid w:val="0"/>
      </w:pPr>
      <w:r>
        <w:tab/>
      </w:r>
      <w:r>
        <w:object>
          <v:shape id="_x0000_i1055" o:spt="75" type="#_x0000_t75" style="height:30.05pt;width:180.95pt;" o:ole="t" filled="f" o:preferrelative="t" stroked="f" coordsize="21600,21600">
            <v:path/>
            <v:fill on="f" focussize="0,0"/>
            <v:stroke on="f" joinstyle="miter"/>
            <v:imagedata r:id="rId86" o:title=""/>
            <o:lock v:ext="edit" aspectratio="t"/>
            <w10:wrap type="none"/>
            <w10:anchorlock/>
          </v:shape>
          <o:OLEObject Type="Embed" ProgID="Equation.DSMT4" ShapeID="_x0000_i1055" DrawAspect="Content" ObjectID="_1468075755" r:id="rId85">
            <o:LockedField>false</o:LockedField>
          </o:OLEObject>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 xml:space="preserve">(6)</w:instrText>
      </w:r>
      <w:r>
        <w:fldChar w:fldCharType="end"/>
      </w:r>
    </w:p>
    <w:p w14:paraId="328913E9">
      <w:pPr>
        <w:pStyle w:val="68"/>
        <w:tabs>
          <w:tab w:val="center" w:pos="2258"/>
          <w:tab w:val="right" w:pos="4410"/>
          <w:tab w:val="right" w:pos="4515"/>
        </w:tabs>
        <w:ind w:firstLine="0" w:firstLineChars="0"/>
      </w:pPr>
      <w:r>
        <w:rPr>
          <w:rFonts w:hint="eastAsia"/>
        </w:rPr>
        <w:t>式中，</w:t>
      </w:r>
      <w:r>
        <w:rPr>
          <w:position w:val="-6"/>
        </w:rPr>
        <w:object>
          <v:shape id="_x0000_i1056" o:spt="75" type="#_x0000_t75" style="height:13.85pt;width:11.9pt;" o:ole="t" filled="f" o:preferrelative="t" stroked="f" coordsize="21600,21600">
            <v:path/>
            <v:fill on="f" focussize="0,0"/>
            <v:stroke on="f" joinstyle="miter"/>
            <v:imagedata r:id="rId88" o:title=""/>
            <o:lock v:ext="edit" aspectratio="t"/>
            <w10:wrap type="none"/>
            <w10:anchorlock/>
          </v:shape>
          <o:OLEObject Type="Embed" ProgID="Equation.DSMT4" ShapeID="_x0000_i1056" DrawAspect="Content" ObjectID="_1468075756" r:id="rId87">
            <o:LockedField>false</o:LockedField>
          </o:OLEObject>
        </w:object>
      </w:r>
      <w:r>
        <w:rPr>
          <w:rFonts w:hint="eastAsia"/>
        </w:rPr>
        <w:t>为体积（</w:t>
      </w:r>
      <w:r>
        <w:t>m</w:t>
      </w:r>
      <w:r>
        <w:rPr>
          <w:vertAlign w:val="superscript"/>
        </w:rPr>
        <w:t>3</w:t>
      </w:r>
      <w:r>
        <w:rPr>
          <w:rFonts w:hint="eastAsia"/>
        </w:rPr>
        <w:t>）；</w:t>
      </w:r>
      <w:r>
        <w:rPr>
          <w:position w:val="-4"/>
        </w:rPr>
        <w:object>
          <v:shape id="_x0000_i1057" o:spt="75" type="#_x0000_t75" style="height:13.1pt;width:11.9pt;" o:ole="t" filled="f" o:preferrelative="t" stroked="f" coordsize="21600,21600">
            <v:path/>
            <v:fill on="f" focussize="0,0"/>
            <v:stroke on="f" joinstyle="miter"/>
            <v:imagedata r:id="rId90" o:title=""/>
            <o:lock v:ext="edit" aspectratio="t"/>
            <w10:wrap type="none"/>
            <w10:anchorlock/>
          </v:shape>
          <o:OLEObject Type="Embed" ProgID="Equation.DSMT4" ShapeID="_x0000_i1057" DrawAspect="Content" ObjectID="_1468075757" r:id="rId89">
            <o:LockedField>false</o:LockedField>
          </o:OLEObject>
        </w:object>
      </w:r>
      <w:r>
        <w:rPr>
          <w:rFonts w:hint="eastAsia"/>
        </w:rPr>
        <w:t>为面积（m</w:t>
      </w:r>
      <w:r>
        <w:rPr>
          <w:vertAlign w:val="superscript"/>
        </w:rPr>
        <w:t>2</w:t>
      </w:r>
      <w:r>
        <w:rPr>
          <w:rFonts w:hint="eastAsia"/>
        </w:rPr>
        <w:t>）。</w:t>
      </w:r>
    </w:p>
    <w:p w14:paraId="4FCD8F16">
      <w:pPr>
        <w:pStyle w:val="2"/>
        <w:ind w:left="560" w:hanging="560"/>
      </w:pPr>
      <w:r>
        <w:t>3</w:t>
      </w:r>
      <w:r>
        <w:rPr>
          <w:rFonts w:hint="eastAsia"/>
        </w:rPr>
        <w:t xml:space="preserve"> 能量损失特性分析</w:t>
      </w:r>
    </w:p>
    <w:p w14:paraId="1BF7223D">
      <w:pPr>
        <w:pStyle w:val="68"/>
        <w:ind w:firstLine="420"/>
      </w:pPr>
      <w:r>
        <w:rPr>
          <w:rFonts w:hint="eastAsia"/>
        </w:rPr>
        <w:t>在前述数值模型构建与熵产理论的基础上本章围绕三种工况下发电进水口中典型结构区域的能量损失进行系统分析。通过熵产分项计算结果，识别不同区域与结构下的主导耗散机制，为结构优化提供理论依据。</w:t>
      </w:r>
    </w:p>
    <w:p w14:paraId="72E934DB">
      <w:pPr>
        <w:pStyle w:val="3"/>
        <w:spacing w:before="156"/>
        <w:rPr>
          <w:szCs w:val="22"/>
        </w:rPr>
      </w:pPr>
      <w:r>
        <w:t xml:space="preserve">3.1 </w:t>
      </w:r>
      <w:r>
        <w:rPr>
          <w:rFonts w:hint="eastAsia"/>
        </w:rPr>
        <w:t>区域</w:t>
      </w:r>
      <w:r>
        <w:rPr>
          <w:rFonts w:hint="eastAsia"/>
          <w:szCs w:val="22"/>
        </w:rPr>
        <w:t>熵产分布特征</w:t>
      </w:r>
    </w:p>
    <w:p w14:paraId="779DA653">
      <w:pPr>
        <w:pStyle w:val="4"/>
      </w:pPr>
      <w:r>
        <w:rPr>
          <w:rFonts w:hint="eastAsia"/>
        </w:rPr>
        <w:t>3</w:t>
      </w:r>
      <w:r>
        <w:t>.1.1</w:t>
      </w:r>
      <w:r>
        <w:rPr>
          <w:rFonts w:hint="eastAsia"/>
        </w:rPr>
        <w:t>进水通道（区域1）</w:t>
      </w:r>
    </w:p>
    <w:p w14:paraId="7602A63A">
      <w:pPr>
        <w:pStyle w:val="68"/>
        <w:ind w:firstLine="420"/>
      </w:pPr>
      <w:r>
        <w:rPr>
          <w:rFonts w:hint="eastAsia"/>
        </w:rPr>
        <w:t>进水通道（区域1）作为进水初段，熵产水平相对较低，三种工况下总熵产不超过5</w:t>
      </w:r>
      <w:r>
        <w:t>00 W·K</w:t>
      </w:r>
      <w:r>
        <w:rPr>
          <w:vertAlign w:val="superscript"/>
        </w:rPr>
        <w:t>-1</w:t>
      </w:r>
      <w:r>
        <w:rPr>
          <w:rFonts w:hint="eastAsia"/>
        </w:rPr>
        <w:t>。E</w:t>
      </w:r>
      <w:r>
        <w:t>PTD</w:t>
      </w:r>
      <w:r>
        <w:rPr>
          <w:rFonts w:hint="eastAsia"/>
        </w:rPr>
        <w:t>为绝对主导项，占比超过9</w:t>
      </w:r>
      <w:r>
        <w:t>9%</w:t>
      </w:r>
      <w:r>
        <w:rPr>
          <w:rFonts w:hint="eastAsia"/>
        </w:rPr>
        <w:t>。其中工况2熵产值最高，达到4</w:t>
      </w:r>
      <w:r>
        <w:t>77</w:t>
      </w:r>
      <w:r>
        <w:rPr>
          <w:color w:val="000000"/>
          <w:shd w:val="clear" w:color="auto" w:fill="FFFFFF"/>
        </w:rPr>
        <w:t>.779</w:t>
      </w:r>
      <w:r>
        <w:t xml:space="preserve"> W·K</w:t>
      </w:r>
      <w:r>
        <w:rPr>
          <w:vertAlign w:val="superscript"/>
        </w:rPr>
        <w:t>-1</w:t>
      </w:r>
      <w:r>
        <w:rPr>
          <w:rFonts w:hint="eastAsia"/>
        </w:rPr>
        <w:t>，约为工况1的两倍，表明中部取水导致水流冲击增强，剪切层扩大（见表</w:t>
      </w:r>
      <w:r>
        <w:t>4</w:t>
      </w:r>
      <w:r>
        <w:rPr>
          <w:rFonts w:hint="eastAsia"/>
        </w:rPr>
        <w:t>）。高速水流穿越门缝后</w:t>
      </w:r>
      <w:r>
        <w:rPr>
          <w:rFonts w:hint="eastAsia"/>
          <w:color w:val="000000"/>
          <w:shd w:val="clear" w:color="auto" w:fill="FFFFFF"/>
        </w:rPr>
        <w:t>在</w:t>
      </w:r>
      <w:r>
        <w:rPr>
          <w:rFonts w:hint="eastAsia"/>
        </w:rPr>
        <w:t>门框棱角处形成强流，是局部熵产峰值的主因（见图</w:t>
      </w:r>
      <w:r>
        <w:t>11</w:t>
      </w:r>
      <w:r>
        <w:rPr>
          <w:rFonts w:hint="eastAsia"/>
        </w:rPr>
        <w:t>）。工况3中水流从门顶下泄，撞击下方横撑构件，强化局部湍动，导致E</w:t>
      </w:r>
      <w:r>
        <w:t>PWS</w:t>
      </w:r>
      <w:r>
        <w:rPr>
          <w:rFonts w:hint="eastAsia"/>
        </w:rPr>
        <w:t>较工况1略有提升，上升至0</w:t>
      </w:r>
      <w:r>
        <w:rPr>
          <w:color w:val="000000"/>
          <w:shd w:val="clear" w:color="auto" w:fill="FFFFFF"/>
        </w:rPr>
        <w:t>.62</w:t>
      </w:r>
      <w:r>
        <w:t>%</w:t>
      </w:r>
      <w:r>
        <w:rPr>
          <w:rFonts w:hint="eastAsia"/>
        </w:rPr>
        <w:t>。此外，门底及侧壁等贴壁区仍有壁面摩擦熵产的累积，但整体能耗较为有限（见图1</w:t>
      </w:r>
      <w:r>
        <w:t>2</w:t>
      </w:r>
      <w:r>
        <w:rPr>
          <w:rFonts w:hint="eastAsia"/>
        </w:rPr>
        <w:t>）。</w:t>
      </w:r>
    </w:p>
    <w:tbl>
      <w:tblPr>
        <w:tblStyle w:val="85"/>
        <w:tblW w:w="818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286"/>
        <w:gridCol w:w="2436"/>
        <w:gridCol w:w="2708"/>
        <w:gridCol w:w="1072"/>
      </w:tblGrid>
      <w:tr w14:paraId="4A4FA5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64" w:hRule="atLeast"/>
          <w:jc w:val="center"/>
        </w:trPr>
        <w:tc>
          <w:tcPr>
            <w:tcW w:w="0" w:type="auto"/>
            <w:vAlign w:val="bottom"/>
          </w:tcPr>
          <w:p w14:paraId="5EAFE472">
            <w:pPr>
              <w:keepNext/>
              <w:jc w:val="center"/>
              <w:rPr>
                <w:rFonts w:ascii="Times New Roman" w:hAnsi="Times New Roman" w:cs="Times New Roman"/>
                <w:szCs w:val="24"/>
              </w:rPr>
            </w:pPr>
            <w:r>
              <w:rPr>
                <w:rFonts w:ascii="Times New Roman" w:hAnsi="Times New Roman" w:cs="Times New Roman"/>
                <w:szCs w:val="24"/>
              </w:rPr>
              <w:drawing>
                <wp:inline distT="0" distB="0" distL="0" distR="0">
                  <wp:extent cx="1306195" cy="986155"/>
                  <wp:effectExtent l="0" t="0" r="8255" b="44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1" cstate="print"/>
                          <a:stretch>
                            <a:fillRect/>
                          </a:stretch>
                        </pic:blipFill>
                        <pic:spPr>
                          <a:xfrm>
                            <a:off x="0" y="0"/>
                            <a:ext cx="1312421" cy="990876"/>
                          </a:xfrm>
                          <a:prstGeom prst="rect">
                            <a:avLst/>
                          </a:prstGeom>
                        </pic:spPr>
                      </pic:pic>
                    </a:graphicData>
                  </a:graphic>
                </wp:inline>
              </w:drawing>
            </w:r>
          </w:p>
          <w:p w14:paraId="1CDBE07A">
            <w:pPr>
              <w:jc w:val="center"/>
              <w:rPr>
                <w:rFonts w:ascii="Times New Roman" w:hAnsi="Times New Roman" w:cs="Times New Roman"/>
                <w:bCs/>
                <w:sz w:val="15"/>
                <w:szCs w:val="20"/>
              </w:rPr>
            </w:pPr>
            <w:r>
              <w:rPr>
                <w:rFonts w:hint="eastAsia" w:ascii="Times New Roman" w:hAnsi="Times New Roman" w:cs="Times New Roman"/>
                <w:bCs/>
                <w:sz w:val="15"/>
                <w:szCs w:val="20"/>
              </w:rPr>
              <w:t>（a）工况</w:t>
            </w:r>
            <w:r>
              <w:rPr>
                <w:rFonts w:ascii="Times New Roman" w:hAnsi="Times New Roman" w:cs="Times New Roman"/>
                <w:bCs/>
                <w:sz w:val="15"/>
                <w:szCs w:val="20"/>
              </w:rPr>
              <w:t>1</w:t>
            </w:r>
          </w:p>
        </w:tc>
        <w:tc>
          <w:tcPr>
            <w:tcW w:w="0" w:type="auto"/>
            <w:vAlign w:val="bottom"/>
          </w:tcPr>
          <w:p w14:paraId="3A3F73D9">
            <w:pPr>
              <w:keepNext/>
              <w:jc w:val="center"/>
              <w:rPr>
                <w:rFonts w:ascii="Times New Roman" w:hAnsi="Times New Roman" w:cs="Times New Roman"/>
                <w:szCs w:val="24"/>
              </w:rPr>
            </w:pPr>
            <w:r>
              <w:rPr>
                <w:rFonts w:ascii="Times New Roman" w:hAnsi="Times New Roman" w:cs="Times New Roman"/>
                <w:szCs w:val="24"/>
              </w:rPr>
              <w:drawing>
                <wp:inline distT="0" distB="0" distL="0" distR="0">
                  <wp:extent cx="1404620" cy="1805305"/>
                  <wp:effectExtent l="0" t="0" r="508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92" cstate="print"/>
                          <a:stretch>
                            <a:fillRect/>
                          </a:stretch>
                        </pic:blipFill>
                        <pic:spPr>
                          <a:xfrm>
                            <a:off x="0" y="0"/>
                            <a:ext cx="1409910" cy="1811733"/>
                          </a:xfrm>
                          <a:prstGeom prst="rect">
                            <a:avLst/>
                          </a:prstGeom>
                        </pic:spPr>
                      </pic:pic>
                    </a:graphicData>
                  </a:graphic>
                </wp:inline>
              </w:drawing>
            </w:r>
          </w:p>
          <w:p w14:paraId="2F4C2945">
            <w:pPr>
              <w:jc w:val="center"/>
              <w:rPr>
                <w:rFonts w:ascii="Times New Roman" w:hAnsi="Times New Roman" w:cs="Times New Roman"/>
                <w:bCs/>
                <w:sz w:val="15"/>
                <w:szCs w:val="20"/>
              </w:rPr>
            </w:pPr>
            <w:r>
              <w:rPr>
                <w:rFonts w:hint="eastAsia" w:ascii="Times New Roman" w:hAnsi="Times New Roman" w:cs="Times New Roman"/>
                <w:bCs/>
                <w:sz w:val="15"/>
                <w:szCs w:val="20"/>
              </w:rPr>
              <w:t>（b）工况</w:t>
            </w:r>
            <w:r>
              <w:rPr>
                <w:rFonts w:ascii="Times New Roman" w:hAnsi="Times New Roman" w:cs="Times New Roman"/>
                <w:bCs/>
                <w:sz w:val="15"/>
                <w:szCs w:val="20"/>
              </w:rPr>
              <w:t>2</w:t>
            </w:r>
          </w:p>
        </w:tc>
        <w:tc>
          <w:tcPr>
            <w:tcW w:w="0" w:type="auto"/>
            <w:vAlign w:val="bottom"/>
          </w:tcPr>
          <w:p w14:paraId="17D802F4">
            <w:pPr>
              <w:keepNext/>
              <w:jc w:val="center"/>
              <w:rPr>
                <w:rFonts w:ascii="Times New Roman" w:hAnsi="Times New Roman" w:cs="Times New Roman"/>
                <w:szCs w:val="24"/>
              </w:rPr>
            </w:pPr>
            <w:r>
              <w:rPr>
                <w:rFonts w:ascii="Times New Roman" w:hAnsi="Times New Roman" w:cs="Times New Roman"/>
                <w:szCs w:val="24"/>
              </w:rPr>
              <w:drawing>
                <wp:inline distT="0" distB="0" distL="0" distR="0">
                  <wp:extent cx="1582420" cy="2373630"/>
                  <wp:effectExtent l="0" t="0" r="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93"/>
                          <a:stretch>
                            <a:fillRect/>
                          </a:stretch>
                        </pic:blipFill>
                        <pic:spPr>
                          <a:xfrm>
                            <a:off x="0" y="0"/>
                            <a:ext cx="1584106" cy="2376159"/>
                          </a:xfrm>
                          <a:prstGeom prst="rect">
                            <a:avLst/>
                          </a:prstGeom>
                        </pic:spPr>
                      </pic:pic>
                    </a:graphicData>
                  </a:graphic>
                </wp:inline>
              </w:drawing>
            </w:r>
          </w:p>
          <w:p w14:paraId="54F5F7AC">
            <w:pPr>
              <w:jc w:val="center"/>
              <w:rPr>
                <w:rFonts w:ascii="Times New Roman" w:hAnsi="Times New Roman" w:cs="Times New Roman"/>
                <w:bCs/>
                <w:sz w:val="15"/>
                <w:szCs w:val="20"/>
              </w:rPr>
            </w:pPr>
            <w:r>
              <w:rPr>
                <w:rFonts w:hint="eastAsia" w:ascii="Times New Roman" w:hAnsi="Times New Roman" w:cs="Times New Roman"/>
                <w:bCs/>
                <w:sz w:val="15"/>
                <w:szCs w:val="20"/>
              </w:rPr>
              <w:t>（c）工况</w:t>
            </w:r>
            <w:r>
              <w:rPr>
                <w:rFonts w:ascii="Times New Roman" w:hAnsi="Times New Roman" w:cs="Times New Roman"/>
                <w:bCs/>
                <w:sz w:val="15"/>
                <w:szCs w:val="20"/>
              </w:rPr>
              <w:t>3</w:t>
            </w:r>
          </w:p>
        </w:tc>
        <w:tc>
          <w:tcPr>
            <w:tcW w:w="0" w:type="auto"/>
            <w:vAlign w:val="center"/>
          </w:tcPr>
          <w:p w14:paraId="7B2B61B0">
            <w:pPr>
              <w:keepNext/>
              <w:jc w:val="center"/>
              <w:rPr>
                <w:rFonts w:ascii="Times New Roman" w:hAnsi="Times New Roman" w:cs="Times New Roman"/>
                <w:szCs w:val="24"/>
              </w:rPr>
            </w:pPr>
            <w:r>
              <w:rPr>
                <w:rFonts w:hint="eastAsia" w:ascii="Times New Roman" w:hAnsi="Times New Roman" w:cs="Times New Roman"/>
                <w:szCs w:val="24"/>
              </w:rPr>
              <w:drawing>
                <wp:inline distT="0" distB="0" distL="0" distR="0">
                  <wp:extent cx="543560" cy="125984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94"/>
                          <a:stretch>
                            <a:fillRect/>
                          </a:stretch>
                        </pic:blipFill>
                        <pic:spPr>
                          <a:xfrm>
                            <a:off x="0" y="0"/>
                            <a:ext cx="543600" cy="1260000"/>
                          </a:xfrm>
                          <a:prstGeom prst="rect">
                            <a:avLst/>
                          </a:prstGeom>
                        </pic:spPr>
                      </pic:pic>
                    </a:graphicData>
                  </a:graphic>
                </wp:inline>
              </w:drawing>
            </w:r>
          </w:p>
        </w:tc>
      </w:tr>
    </w:tbl>
    <w:p w14:paraId="7D43CBD4">
      <w:pPr>
        <w:pStyle w:val="10"/>
      </w:pPr>
      <w:r>
        <w:rPr>
          <w:rFonts w:hint="eastAsia"/>
        </w:rPr>
        <w:t>图</w:t>
      </w:r>
      <w:r>
        <w:t>11  2号流道中心纵剖面（断面1-1）流速云图</w:t>
      </w:r>
    </w:p>
    <w:p w14:paraId="3F703FAB">
      <w:pPr>
        <w:pStyle w:val="10"/>
      </w:pPr>
      <w:r>
        <w:t>Fig. 1</w:t>
      </w:r>
      <w:r>
        <w:rPr>
          <w:rFonts w:hint="eastAsia"/>
          <w:lang w:val="en-US" w:eastAsia="zh-CN"/>
        </w:rPr>
        <w:t>1</w:t>
      </w:r>
      <w:r>
        <w:t xml:space="preserve">  Flow velocity contour </w:t>
      </w:r>
      <w:r>
        <w:rPr>
          <w:rFonts w:hint="eastAsia"/>
          <w:lang w:val="en-US" w:eastAsia="zh-CN"/>
        </w:rPr>
        <w:t xml:space="preserve">maps </w:t>
      </w:r>
      <w:r>
        <w:t>of center longitudinal section</w:t>
      </w:r>
      <w:r>
        <w:rPr>
          <w:rFonts w:hint="eastAsia"/>
          <w:lang w:val="en-US" w:eastAsia="zh-CN"/>
        </w:rPr>
        <w:t xml:space="preserve"> (section 1-1)</w:t>
      </w:r>
      <w:r>
        <w:t xml:space="preserve"> of flow channel 2</w:t>
      </w:r>
    </w:p>
    <w:p w14:paraId="40F2D835">
      <w:pPr>
        <w:pStyle w:val="10"/>
      </w:pPr>
      <w:r>
        <w:rPr>
          <w:rFonts w:hint="eastAsia"/>
        </w:rPr>
        <w:t>表</w:t>
      </w:r>
      <w:r>
        <w:t>4</w:t>
      </w:r>
      <w:r>
        <w:rPr>
          <w:rFonts w:hint="eastAsia"/>
        </w:rPr>
        <w:t>区域</w:t>
      </w:r>
      <w:r>
        <w:t>1各工况熵产及组成</w:t>
      </w:r>
    </w:p>
    <w:p w14:paraId="234B3499">
      <w:pPr>
        <w:pStyle w:val="10"/>
      </w:pPr>
      <w:r>
        <w:t xml:space="preserve">Table 4 Entropy </w:t>
      </w:r>
      <w:r>
        <w:rPr>
          <w:rFonts w:hint="eastAsia"/>
          <w:lang w:val="en-US" w:eastAsia="zh-CN"/>
        </w:rPr>
        <w:t>production</w:t>
      </w:r>
      <w:r>
        <w:t xml:space="preserve"> and </w:t>
      </w:r>
      <w:r>
        <w:rPr>
          <w:rFonts w:hint="eastAsia"/>
        </w:rPr>
        <w:t xml:space="preserve">composition </w:t>
      </w:r>
      <w:r>
        <w:rPr>
          <w:rFonts w:hint="eastAsia"/>
          <w:lang w:val="en-US" w:eastAsia="zh-CN"/>
        </w:rPr>
        <w:t>under</w:t>
      </w:r>
      <w:r>
        <w:rPr>
          <w:rFonts w:hint="eastAsia"/>
        </w:rPr>
        <w:t xml:space="preserve"> different </w:t>
      </w:r>
      <w:r>
        <w:rPr>
          <w:rFonts w:hint="eastAsia"/>
          <w:lang w:val="en-US" w:eastAsia="zh-CN"/>
        </w:rPr>
        <w:t xml:space="preserve">operating </w:t>
      </w:r>
      <w:r>
        <w:rPr>
          <w:rFonts w:hint="eastAsia"/>
        </w:rPr>
        <w:t>condition</w:t>
      </w:r>
      <w:r>
        <w:rPr>
          <w:rFonts w:hint="eastAsia"/>
          <w:lang w:val="en-US" w:eastAsia="zh-CN"/>
        </w:rPr>
        <w:t>s</w:t>
      </w:r>
      <w:r>
        <w:t xml:space="preserve"> in region 1</w:t>
      </w:r>
    </w:p>
    <w:tbl>
      <w:tblPr>
        <w:tblStyle w:val="2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16"/>
        <w:gridCol w:w="1224"/>
        <w:gridCol w:w="1133"/>
        <w:gridCol w:w="1158"/>
        <w:gridCol w:w="1150"/>
      </w:tblGrid>
      <w:tr w14:paraId="76B43D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tcBorders>
              <w:top w:val="single" w:color="auto" w:sz="12" w:space="0"/>
              <w:bottom w:val="single" w:color="auto" w:sz="4" w:space="0"/>
            </w:tcBorders>
            <w:vAlign w:val="center"/>
          </w:tcPr>
          <w:p w14:paraId="4472DBA1">
            <w:pPr>
              <w:pStyle w:val="68"/>
              <w:ind w:firstLine="0" w:firstLineChars="0"/>
              <w:jc w:val="center"/>
              <w:rPr>
                <w:sz w:val="15"/>
                <w:szCs w:val="15"/>
              </w:rPr>
            </w:pPr>
            <w:r>
              <w:rPr>
                <w:rFonts w:hint="eastAsia"/>
                <w:sz w:val="15"/>
                <w:szCs w:val="15"/>
              </w:rPr>
              <w:t>工况</w:t>
            </w:r>
          </w:p>
        </w:tc>
        <w:tc>
          <w:tcPr>
            <w:tcW w:w="0" w:type="auto"/>
            <w:tcBorders>
              <w:top w:val="single" w:color="auto" w:sz="12" w:space="0"/>
              <w:bottom w:val="single" w:color="auto" w:sz="4" w:space="0"/>
            </w:tcBorders>
            <w:vAlign w:val="center"/>
          </w:tcPr>
          <w:p w14:paraId="05609612">
            <w:pPr>
              <w:pStyle w:val="68"/>
              <w:ind w:firstLine="0" w:firstLineChars="0"/>
              <w:jc w:val="center"/>
              <w:rPr>
                <w:sz w:val="15"/>
                <w:szCs w:val="15"/>
                <w:vertAlign w:val="superscript"/>
              </w:rPr>
            </w:pPr>
            <w:r>
              <w:rPr>
                <w:rFonts w:hint="eastAsia"/>
                <w:sz w:val="15"/>
                <w:szCs w:val="15"/>
              </w:rPr>
              <w:t>总熵产</w:t>
            </w:r>
            <w:r>
              <w:rPr>
                <w:sz w:val="15"/>
                <w:szCs w:val="15"/>
              </w:rPr>
              <w:t>/ W</w:t>
            </w:r>
            <w:r>
              <w:rPr>
                <w:rFonts w:hint="eastAsia"/>
                <w:sz w:val="15"/>
                <w:szCs w:val="15"/>
              </w:rPr>
              <w:t>·</w:t>
            </w:r>
            <w:r>
              <w:rPr>
                <w:sz w:val="15"/>
                <w:szCs w:val="15"/>
              </w:rPr>
              <w:t>K</w:t>
            </w:r>
            <w:r>
              <w:rPr>
                <w:sz w:val="15"/>
                <w:szCs w:val="15"/>
                <w:vertAlign w:val="superscript"/>
              </w:rPr>
              <w:t>-1</w:t>
            </w:r>
          </w:p>
        </w:tc>
        <w:tc>
          <w:tcPr>
            <w:tcW w:w="0" w:type="auto"/>
            <w:tcBorders>
              <w:top w:val="single" w:color="auto" w:sz="12" w:space="0"/>
              <w:bottom w:val="single" w:color="auto" w:sz="4" w:space="0"/>
            </w:tcBorders>
            <w:vAlign w:val="center"/>
          </w:tcPr>
          <w:p w14:paraId="6569D733">
            <w:pPr>
              <w:pStyle w:val="68"/>
              <w:ind w:firstLine="0" w:firstLineChars="0"/>
              <w:jc w:val="center"/>
              <w:rPr>
                <w:sz w:val="15"/>
                <w:szCs w:val="15"/>
              </w:rPr>
            </w:pPr>
            <w:r>
              <w:rPr>
                <w:sz w:val="15"/>
                <w:szCs w:val="15"/>
              </w:rPr>
              <w:t>EPTD</w:t>
            </w:r>
            <w:r>
              <w:rPr>
                <w:rFonts w:hint="eastAsia"/>
                <w:sz w:val="15"/>
                <w:szCs w:val="15"/>
              </w:rPr>
              <w:t>占比/</w:t>
            </w:r>
            <w:r>
              <w:rPr>
                <w:sz w:val="15"/>
                <w:szCs w:val="15"/>
              </w:rPr>
              <w:t xml:space="preserve"> </w:t>
            </w:r>
            <w:r>
              <w:rPr>
                <w:rFonts w:hint="eastAsia"/>
                <w:sz w:val="15"/>
                <w:szCs w:val="15"/>
              </w:rPr>
              <w:t>%</w:t>
            </w:r>
          </w:p>
        </w:tc>
        <w:tc>
          <w:tcPr>
            <w:tcW w:w="0" w:type="auto"/>
            <w:tcBorders>
              <w:top w:val="single" w:color="auto" w:sz="12" w:space="0"/>
              <w:bottom w:val="single" w:color="auto" w:sz="4" w:space="0"/>
            </w:tcBorders>
            <w:vAlign w:val="center"/>
          </w:tcPr>
          <w:p w14:paraId="2871B53E">
            <w:pPr>
              <w:pStyle w:val="68"/>
              <w:ind w:firstLine="0" w:firstLineChars="0"/>
              <w:jc w:val="center"/>
              <w:rPr>
                <w:sz w:val="15"/>
                <w:szCs w:val="15"/>
              </w:rPr>
            </w:pPr>
            <w:r>
              <w:rPr>
                <w:sz w:val="15"/>
                <w:szCs w:val="15"/>
              </w:rPr>
              <w:t>EPWS</w:t>
            </w:r>
            <w:r>
              <w:rPr>
                <w:rFonts w:hint="eastAsia"/>
                <w:sz w:val="15"/>
                <w:szCs w:val="15"/>
              </w:rPr>
              <w:t>占比/</w:t>
            </w:r>
            <w:r>
              <w:rPr>
                <w:sz w:val="15"/>
                <w:szCs w:val="15"/>
              </w:rPr>
              <w:t xml:space="preserve"> </w:t>
            </w:r>
            <w:r>
              <w:rPr>
                <w:rFonts w:hint="eastAsia"/>
                <w:sz w:val="15"/>
                <w:szCs w:val="15"/>
              </w:rPr>
              <w:t>%</w:t>
            </w:r>
          </w:p>
        </w:tc>
        <w:tc>
          <w:tcPr>
            <w:tcW w:w="0" w:type="auto"/>
            <w:tcBorders>
              <w:top w:val="single" w:color="auto" w:sz="12" w:space="0"/>
              <w:bottom w:val="single" w:color="auto" w:sz="4" w:space="0"/>
            </w:tcBorders>
            <w:vAlign w:val="center"/>
          </w:tcPr>
          <w:p w14:paraId="2D42CCB6">
            <w:pPr>
              <w:pStyle w:val="68"/>
              <w:ind w:firstLine="0" w:firstLineChars="0"/>
              <w:jc w:val="center"/>
              <w:rPr>
                <w:sz w:val="15"/>
                <w:szCs w:val="15"/>
              </w:rPr>
            </w:pPr>
            <w:r>
              <w:rPr>
                <w:sz w:val="15"/>
                <w:szCs w:val="15"/>
              </w:rPr>
              <w:t>EPDD</w:t>
            </w:r>
            <w:r>
              <w:rPr>
                <w:rFonts w:hint="eastAsia"/>
                <w:sz w:val="15"/>
                <w:szCs w:val="15"/>
              </w:rPr>
              <w:t>占比/</w:t>
            </w:r>
            <w:r>
              <w:rPr>
                <w:sz w:val="15"/>
                <w:szCs w:val="15"/>
              </w:rPr>
              <w:t xml:space="preserve"> </w:t>
            </w:r>
            <w:r>
              <w:rPr>
                <w:rFonts w:hint="eastAsia"/>
                <w:sz w:val="15"/>
                <w:szCs w:val="15"/>
              </w:rPr>
              <w:t>%</w:t>
            </w:r>
          </w:p>
        </w:tc>
      </w:tr>
      <w:tr w14:paraId="54DBC5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tcBorders>
              <w:top w:val="single" w:color="auto" w:sz="4" w:space="0"/>
            </w:tcBorders>
            <w:vAlign w:val="center"/>
          </w:tcPr>
          <w:p w14:paraId="7B9535DD">
            <w:pPr>
              <w:pStyle w:val="68"/>
              <w:ind w:firstLine="0" w:firstLineChars="0"/>
              <w:jc w:val="center"/>
              <w:rPr>
                <w:sz w:val="15"/>
                <w:szCs w:val="15"/>
              </w:rPr>
            </w:pPr>
            <w:r>
              <w:rPr>
                <w:sz w:val="15"/>
                <w:szCs w:val="15"/>
              </w:rPr>
              <w:t>1</w:t>
            </w:r>
          </w:p>
        </w:tc>
        <w:tc>
          <w:tcPr>
            <w:tcW w:w="0" w:type="auto"/>
            <w:tcBorders>
              <w:top w:val="single" w:color="auto" w:sz="4" w:space="0"/>
            </w:tcBorders>
            <w:vAlign w:val="center"/>
          </w:tcPr>
          <w:p w14:paraId="26404BB5">
            <w:pPr>
              <w:pStyle w:val="68"/>
              <w:ind w:firstLine="0" w:firstLineChars="0"/>
              <w:jc w:val="center"/>
              <w:rPr>
                <w:sz w:val="15"/>
                <w:szCs w:val="15"/>
              </w:rPr>
            </w:pPr>
            <w:r>
              <w:rPr>
                <w:sz w:val="15"/>
                <w:szCs w:val="15"/>
              </w:rPr>
              <w:t>244.529</w:t>
            </w:r>
          </w:p>
        </w:tc>
        <w:tc>
          <w:tcPr>
            <w:tcW w:w="0" w:type="auto"/>
            <w:tcBorders>
              <w:top w:val="single" w:color="auto" w:sz="4" w:space="0"/>
            </w:tcBorders>
            <w:vAlign w:val="center"/>
          </w:tcPr>
          <w:p w14:paraId="0BA5324D">
            <w:pPr>
              <w:pStyle w:val="68"/>
              <w:ind w:firstLine="0" w:firstLineChars="0"/>
              <w:jc w:val="center"/>
              <w:rPr>
                <w:sz w:val="15"/>
                <w:szCs w:val="15"/>
              </w:rPr>
            </w:pPr>
            <w:r>
              <w:rPr>
                <w:sz w:val="15"/>
                <w:szCs w:val="15"/>
              </w:rPr>
              <w:t>99.58</w:t>
            </w:r>
          </w:p>
        </w:tc>
        <w:tc>
          <w:tcPr>
            <w:tcW w:w="0" w:type="auto"/>
            <w:tcBorders>
              <w:top w:val="single" w:color="auto" w:sz="4" w:space="0"/>
            </w:tcBorders>
            <w:vAlign w:val="center"/>
          </w:tcPr>
          <w:p w14:paraId="5B877BC1">
            <w:pPr>
              <w:pStyle w:val="68"/>
              <w:ind w:firstLine="0" w:firstLineChars="0"/>
              <w:jc w:val="center"/>
              <w:rPr>
                <w:sz w:val="15"/>
                <w:szCs w:val="15"/>
              </w:rPr>
            </w:pPr>
            <w:r>
              <w:rPr>
                <w:sz w:val="15"/>
                <w:szCs w:val="15"/>
              </w:rPr>
              <w:t>0.39</w:t>
            </w:r>
          </w:p>
        </w:tc>
        <w:tc>
          <w:tcPr>
            <w:tcW w:w="0" w:type="auto"/>
            <w:tcBorders>
              <w:top w:val="single" w:color="auto" w:sz="4" w:space="0"/>
            </w:tcBorders>
            <w:vAlign w:val="center"/>
          </w:tcPr>
          <w:p w14:paraId="77A37566">
            <w:pPr>
              <w:pStyle w:val="68"/>
              <w:ind w:firstLine="0" w:firstLineChars="0"/>
              <w:jc w:val="center"/>
              <w:rPr>
                <w:sz w:val="15"/>
                <w:szCs w:val="15"/>
              </w:rPr>
            </w:pPr>
            <w:r>
              <w:rPr>
                <w:sz w:val="15"/>
                <w:szCs w:val="15"/>
              </w:rPr>
              <w:t>0.03</w:t>
            </w:r>
          </w:p>
        </w:tc>
      </w:tr>
      <w:tr w14:paraId="6BCE1E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center"/>
          </w:tcPr>
          <w:p w14:paraId="0E35FFCD">
            <w:pPr>
              <w:pStyle w:val="68"/>
              <w:ind w:firstLine="0" w:firstLineChars="0"/>
              <w:jc w:val="center"/>
              <w:rPr>
                <w:sz w:val="15"/>
                <w:szCs w:val="15"/>
              </w:rPr>
            </w:pPr>
            <w:r>
              <w:rPr>
                <w:sz w:val="15"/>
                <w:szCs w:val="15"/>
              </w:rPr>
              <w:t>2</w:t>
            </w:r>
          </w:p>
        </w:tc>
        <w:tc>
          <w:tcPr>
            <w:tcW w:w="0" w:type="auto"/>
            <w:vAlign w:val="center"/>
          </w:tcPr>
          <w:p w14:paraId="48A30595">
            <w:pPr>
              <w:pStyle w:val="68"/>
              <w:ind w:firstLine="0" w:firstLineChars="0"/>
              <w:jc w:val="center"/>
              <w:rPr>
                <w:sz w:val="15"/>
                <w:szCs w:val="15"/>
              </w:rPr>
            </w:pPr>
            <w:r>
              <w:rPr>
                <w:sz w:val="15"/>
                <w:szCs w:val="15"/>
              </w:rPr>
              <w:t>477.779</w:t>
            </w:r>
          </w:p>
        </w:tc>
        <w:tc>
          <w:tcPr>
            <w:tcW w:w="0" w:type="auto"/>
            <w:vAlign w:val="center"/>
          </w:tcPr>
          <w:p w14:paraId="311A021E">
            <w:pPr>
              <w:pStyle w:val="68"/>
              <w:ind w:firstLine="0" w:firstLineChars="0"/>
              <w:jc w:val="center"/>
              <w:rPr>
                <w:sz w:val="15"/>
                <w:szCs w:val="15"/>
              </w:rPr>
            </w:pPr>
            <w:r>
              <w:rPr>
                <w:sz w:val="15"/>
                <w:szCs w:val="15"/>
              </w:rPr>
              <w:t>99.65</w:t>
            </w:r>
          </w:p>
        </w:tc>
        <w:tc>
          <w:tcPr>
            <w:tcW w:w="0" w:type="auto"/>
            <w:vAlign w:val="center"/>
          </w:tcPr>
          <w:p w14:paraId="4DCFFC55">
            <w:pPr>
              <w:pStyle w:val="68"/>
              <w:ind w:firstLine="0" w:firstLineChars="0"/>
              <w:jc w:val="center"/>
              <w:rPr>
                <w:sz w:val="15"/>
                <w:szCs w:val="15"/>
              </w:rPr>
            </w:pPr>
            <w:r>
              <w:rPr>
                <w:sz w:val="15"/>
                <w:szCs w:val="15"/>
              </w:rPr>
              <w:t>0.33</w:t>
            </w:r>
          </w:p>
        </w:tc>
        <w:tc>
          <w:tcPr>
            <w:tcW w:w="0" w:type="auto"/>
            <w:vAlign w:val="center"/>
          </w:tcPr>
          <w:p w14:paraId="3F103500">
            <w:pPr>
              <w:pStyle w:val="68"/>
              <w:ind w:firstLine="0" w:firstLineChars="0"/>
              <w:jc w:val="center"/>
              <w:rPr>
                <w:sz w:val="15"/>
                <w:szCs w:val="15"/>
              </w:rPr>
            </w:pPr>
            <w:r>
              <w:rPr>
                <w:sz w:val="15"/>
                <w:szCs w:val="15"/>
              </w:rPr>
              <w:t>0.02</w:t>
            </w:r>
          </w:p>
        </w:tc>
      </w:tr>
      <w:tr w14:paraId="668B77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tcBorders>
              <w:bottom w:val="single" w:color="auto" w:sz="12" w:space="0"/>
            </w:tcBorders>
            <w:vAlign w:val="center"/>
          </w:tcPr>
          <w:p w14:paraId="5D8694AA">
            <w:pPr>
              <w:pStyle w:val="68"/>
              <w:ind w:firstLine="0" w:firstLineChars="0"/>
              <w:jc w:val="center"/>
              <w:rPr>
                <w:sz w:val="15"/>
                <w:szCs w:val="15"/>
              </w:rPr>
            </w:pPr>
            <w:r>
              <w:rPr>
                <w:sz w:val="15"/>
                <w:szCs w:val="15"/>
              </w:rPr>
              <w:t>3</w:t>
            </w:r>
          </w:p>
        </w:tc>
        <w:tc>
          <w:tcPr>
            <w:tcW w:w="0" w:type="auto"/>
            <w:tcBorders>
              <w:bottom w:val="single" w:color="auto" w:sz="12" w:space="0"/>
            </w:tcBorders>
            <w:vAlign w:val="center"/>
          </w:tcPr>
          <w:p w14:paraId="0F021ABF">
            <w:pPr>
              <w:pStyle w:val="68"/>
              <w:ind w:firstLine="0" w:firstLineChars="0"/>
              <w:jc w:val="center"/>
              <w:rPr>
                <w:sz w:val="15"/>
                <w:szCs w:val="15"/>
              </w:rPr>
            </w:pPr>
            <w:r>
              <w:rPr>
                <w:sz w:val="15"/>
                <w:szCs w:val="15"/>
              </w:rPr>
              <w:t>445.081</w:t>
            </w:r>
          </w:p>
        </w:tc>
        <w:tc>
          <w:tcPr>
            <w:tcW w:w="0" w:type="auto"/>
            <w:tcBorders>
              <w:bottom w:val="single" w:color="auto" w:sz="12" w:space="0"/>
            </w:tcBorders>
            <w:vAlign w:val="center"/>
          </w:tcPr>
          <w:p w14:paraId="5EC8D4D2">
            <w:pPr>
              <w:pStyle w:val="68"/>
              <w:ind w:firstLine="0" w:firstLineChars="0"/>
              <w:jc w:val="center"/>
              <w:rPr>
                <w:sz w:val="15"/>
                <w:szCs w:val="15"/>
              </w:rPr>
            </w:pPr>
            <w:r>
              <w:rPr>
                <w:sz w:val="15"/>
                <w:szCs w:val="15"/>
              </w:rPr>
              <w:t>99.36</w:t>
            </w:r>
          </w:p>
        </w:tc>
        <w:tc>
          <w:tcPr>
            <w:tcW w:w="0" w:type="auto"/>
            <w:tcBorders>
              <w:bottom w:val="single" w:color="auto" w:sz="12" w:space="0"/>
            </w:tcBorders>
            <w:vAlign w:val="center"/>
          </w:tcPr>
          <w:p w14:paraId="59996869">
            <w:pPr>
              <w:pStyle w:val="68"/>
              <w:ind w:firstLine="0" w:firstLineChars="0"/>
              <w:jc w:val="center"/>
              <w:rPr>
                <w:sz w:val="15"/>
                <w:szCs w:val="15"/>
              </w:rPr>
            </w:pPr>
            <w:r>
              <w:rPr>
                <w:sz w:val="15"/>
                <w:szCs w:val="15"/>
              </w:rPr>
              <w:t>0.62</w:t>
            </w:r>
          </w:p>
        </w:tc>
        <w:tc>
          <w:tcPr>
            <w:tcW w:w="0" w:type="auto"/>
            <w:tcBorders>
              <w:bottom w:val="single" w:color="auto" w:sz="12" w:space="0"/>
            </w:tcBorders>
            <w:vAlign w:val="center"/>
          </w:tcPr>
          <w:p w14:paraId="6D47621A">
            <w:pPr>
              <w:pStyle w:val="68"/>
              <w:ind w:firstLine="0" w:firstLineChars="0"/>
              <w:jc w:val="center"/>
              <w:rPr>
                <w:sz w:val="15"/>
                <w:szCs w:val="15"/>
              </w:rPr>
            </w:pPr>
            <w:r>
              <w:rPr>
                <w:sz w:val="15"/>
                <w:szCs w:val="15"/>
              </w:rPr>
              <w:t>0.02</w:t>
            </w:r>
          </w:p>
        </w:tc>
      </w:tr>
    </w:tbl>
    <w:p w14:paraId="0F6523CC">
      <w:pPr>
        <w:pStyle w:val="68"/>
        <w:ind w:firstLine="0" w:firstLineChars="0"/>
        <w:rPr>
          <w:sz w:val="15"/>
        </w:rPr>
        <w:sectPr>
          <w:headerReference r:id="rId4" w:type="first"/>
          <w:footerReference r:id="rId6" w:type="first"/>
          <w:headerReference r:id="rId3" w:type="default"/>
          <w:footerReference r:id="rId5" w:type="default"/>
          <w:pgSz w:w="11906" w:h="16838"/>
          <w:pgMar w:top="2098" w:right="1134" w:bottom="1134" w:left="1134" w:header="1474" w:footer="992" w:gutter="0"/>
          <w:cols w:space="608" w:num="1"/>
          <w:titlePg/>
          <w:docGrid w:type="linesAndChars" w:linePitch="312" w:charSpace="0"/>
        </w:sectPr>
      </w:pPr>
    </w:p>
    <w:tbl>
      <w:tblPr>
        <w:tblStyle w:val="2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496"/>
        <w:gridCol w:w="2496"/>
        <w:gridCol w:w="2496"/>
        <w:gridCol w:w="1072"/>
      </w:tblGrid>
      <w:tr w14:paraId="4AFFDF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bottom"/>
          </w:tcPr>
          <w:p w14:paraId="63241054">
            <w:pPr>
              <w:widowControl/>
              <w:snapToGrid w:val="0"/>
              <w:spacing w:line="240" w:lineRule="atLeast"/>
              <w:jc w:val="center"/>
              <w:rPr>
                <w:rFonts w:ascii="Times New Roman" w:hAnsi="Times New Roman" w:cs="Times New Roman"/>
                <w:szCs w:val="24"/>
              </w:rPr>
            </w:pPr>
            <w:r>
              <w:rPr>
                <w:rFonts w:ascii="Times New Roman" w:hAnsi="Times New Roman" w:cs="Times New Roman"/>
                <w:szCs w:val="24"/>
              </w:rPr>
              <w:drawing>
                <wp:inline distT="0" distB="0" distL="0" distR="0">
                  <wp:extent cx="1439545" cy="1090295"/>
                  <wp:effectExtent l="0" t="0" r="825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95"/>
                          <a:stretch>
                            <a:fillRect/>
                          </a:stretch>
                        </pic:blipFill>
                        <pic:spPr>
                          <a:xfrm>
                            <a:off x="0" y="0"/>
                            <a:ext cx="1440000" cy="1090800"/>
                          </a:xfrm>
                          <a:prstGeom prst="rect">
                            <a:avLst/>
                          </a:prstGeom>
                        </pic:spPr>
                      </pic:pic>
                    </a:graphicData>
                  </a:graphic>
                </wp:inline>
              </w:drawing>
            </w:r>
          </w:p>
        </w:tc>
        <w:tc>
          <w:tcPr>
            <w:tcW w:w="0" w:type="auto"/>
            <w:vAlign w:val="bottom"/>
          </w:tcPr>
          <w:p w14:paraId="799361B2">
            <w:pPr>
              <w:widowControl/>
              <w:snapToGrid w:val="0"/>
              <w:spacing w:line="240" w:lineRule="atLeast"/>
              <w:jc w:val="center"/>
              <w:rPr>
                <w:rFonts w:ascii="Times New Roman" w:hAnsi="Times New Roman" w:cs="Times New Roman"/>
                <w:szCs w:val="24"/>
              </w:rPr>
            </w:pPr>
            <w:r>
              <w:rPr>
                <w:rFonts w:ascii="Times New Roman" w:hAnsi="Times New Roman" w:cs="Times New Roman"/>
                <w:szCs w:val="24"/>
              </w:rPr>
              <w:drawing>
                <wp:inline distT="0" distB="0" distL="0" distR="0">
                  <wp:extent cx="1439545" cy="2148840"/>
                  <wp:effectExtent l="0" t="0" r="8255" b="381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96"/>
                          <a:stretch>
                            <a:fillRect/>
                          </a:stretch>
                        </pic:blipFill>
                        <pic:spPr>
                          <a:xfrm>
                            <a:off x="0" y="0"/>
                            <a:ext cx="1440000" cy="2149200"/>
                          </a:xfrm>
                          <a:prstGeom prst="rect">
                            <a:avLst/>
                          </a:prstGeom>
                        </pic:spPr>
                      </pic:pic>
                    </a:graphicData>
                  </a:graphic>
                </wp:inline>
              </w:drawing>
            </w:r>
          </w:p>
        </w:tc>
        <w:tc>
          <w:tcPr>
            <w:tcW w:w="0" w:type="auto"/>
            <w:vAlign w:val="bottom"/>
          </w:tcPr>
          <w:p w14:paraId="2617DB2F">
            <w:pPr>
              <w:widowControl/>
              <w:snapToGrid w:val="0"/>
              <w:spacing w:line="240" w:lineRule="atLeast"/>
              <w:jc w:val="center"/>
              <w:rPr>
                <w:rFonts w:ascii="Times New Roman" w:hAnsi="Times New Roman" w:cs="Times New Roman"/>
                <w:szCs w:val="24"/>
              </w:rPr>
            </w:pPr>
            <w:r>
              <w:rPr>
                <w:rFonts w:ascii="Times New Roman" w:hAnsi="Times New Roman" w:cs="Times New Roman"/>
                <w:szCs w:val="24"/>
              </w:rPr>
              <w:drawing>
                <wp:inline distT="0" distB="0" distL="0" distR="0">
                  <wp:extent cx="1439545" cy="2397125"/>
                  <wp:effectExtent l="0" t="0" r="8255" b="317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97"/>
                          <a:stretch>
                            <a:fillRect/>
                          </a:stretch>
                        </pic:blipFill>
                        <pic:spPr>
                          <a:xfrm>
                            <a:off x="0" y="0"/>
                            <a:ext cx="1440000" cy="2397600"/>
                          </a:xfrm>
                          <a:prstGeom prst="rect">
                            <a:avLst/>
                          </a:prstGeom>
                        </pic:spPr>
                      </pic:pic>
                    </a:graphicData>
                  </a:graphic>
                </wp:inline>
              </w:drawing>
            </w:r>
          </w:p>
        </w:tc>
        <w:tc>
          <w:tcPr>
            <w:tcW w:w="0" w:type="auto"/>
            <w:vAlign w:val="center"/>
          </w:tcPr>
          <w:p w14:paraId="7C4054BD">
            <w:pPr>
              <w:widowControl/>
              <w:snapToGrid w:val="0"/>
              <w:spacing w:line="240" w:lineRule="atLeast"/>
              <w:jc w:val="center"/>
              <w:rPr>
                <w:rFonts w:ascii="Times New Roman" w:hAnsi="Times New Roman" w:cs="Times New Roman"/>
                <w:szCs w:val="24"/>
              </w:rPr>
            </w:pPr>
            <w:r>
              <w:rPr>
                <w:rFonts w:ascii="Times New Roman" w:hAnsi="Times New Roman" w:cs="Times New Roman"/>
                <w:szCs w:val="24"/>
              </w:rPr>
              <w:drawing>
                <wp:inline distT="0" distB="0" distL="0" distR="0">
                  <wp:extent cx="543560" cy="125984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98"/>
                          <a:stretch>
                            <a:fillRect/>
                          </a:stretch>
                        </pic:blipFill>
                        <pic:spPr>
                          <a:xfrm>
                            <a:off x="0" y="0"/>
                            <a:ext cx="543600" cy="1260000"/>
                          </a:xfrm>
                          <a:prstGeom prst="rect">
                            <a:avLst/>
                          </a:prstGeom>
                        </pic:spPr>
                      </pic:pic>
                    </a:graphicData>
                  </a:graphic>
                </wp:inline>
              </w:drawing>
            </w:r>
          </w:p>
        </w:tc>
      </w:tr>
      <w:tr w14:paraId="0FF49A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bottom"/>
          </w:tcPr>
          <w:p w14:paraId="71D64B0C">
            <w:pPr>
              <w:widowControl/>
              <w:snapToGrid w:val="0"/>
              <w:spacing w:line="240" w:lineRule="atLeast"/>
              <w:jc w:val="center"/>
              <w:rPr>
                <w:rFonts w:ascii="Times New Roman" w:hAnsi="Times New Roman" w:cs="Times New Roman"/>
                <w:sz w:val="15"/>
                <w:szCs w:val="15"/>
              </w:rPr>
            </w:pPr>
            <w:r>
              <w:rPr>
                <w:rFonts w:hint="eastAsia" w:ascii="Times New Roman" w:hAnsi="Times New Roman" w:cs="Times New Roman"/>
                <w:sz w:val="15"/>
                <w:szCs w:val="15"/>
              </w:rPr>
              <w:t>（a）工况</w:t>
            </w:r>
            <w:r>
              <w:rPr>
                <w:rFonts w:ascii="Times New Roman" w:hAnsi="Times New Roman" w:cs="Times New Roman"/>
                <w:sz w:val="15"/>
                <w:szCs w:val="15"/>
              </w:rPr>
              <w:t>1-</w:t>
            </w:r>
            <w:r>
              <w:rPr>
                <w:rFonts w:hint="eastAsia" w:ascii="Times New Roman" w:hAnsi="Times New Roman" w:cs="Times New Roman"/>
                <w:sz w:val="15"/>
                <w:szCs w:val="15"/>
              </w:rPr>
              <w:t>E</w:t>
            </w:r>
            <w:r>
              <w:rPr>
                <w:rFonts w:ascii="Times New Roman" w:hAnsi="Times New Roman" w:cs="Times New Roman"/>
                <w:sz w:val="15"/>
                <w:szCs w:val="15"/>
              </w:rPr>
              <w:t>PDD</w:t>
            </w:r>
          </w:p>
        </w:tc>
        <w:tc>
          <w:tcPr>
            <w:tcW w:w="0" w:type="auto"/>
            <w:vAlign w:val="bottom"/>
          </w:tcPr>
          <w:p w14:paraId="450A02DF">
            <w:pPr>
              <w:widowControl/>
              <w:snapToGrid w:val="0"/>
              <w:spacing w:line="240" w:lineRule="atLeast"/>
              <w:jc w:val="center"/>
              <w:rPr>
                <w:rFonts w:ascii="Times New Roman" w:hAnsi="Times New Roman" w:cs="Times New Roman"/>
                <w:szCs w:val="24"/>
              </w:rPr>
            </w:pPr>
            <w:r>
              <w:rPr>
                <w:rFonts w:hint="eastAsia" w:ascii="Times New Roman" w:hAnsi="Times New Roman" w:cs="Times New Roman"/>
                <w:sz w:val="15"/>
                <w:szCs w:val="15"/>
              </w:rPr>
              <w:t>（b）工况</w:t>
            </w:r>
            <w:r>
              <w:rPr>
                <w:rFonts w:ascii="Times New Roman" w:hAnsi="Times New Roman" w:cs="Times New Roman"/>
                <w:sz w:val="15"/>
                <w:szCs w:val="15"/>
              </w:rPr>
              <w:t>2-</w:t>
            </w:r>
            <w:r>
              <w:rPr>
                <w:rFonts w:hint="eastAsia" w:ascii="Times New Roman" w:hAnsi="Times New Roman" w:cs="Times New Roman"/>
                <w:sz w:val="15"/>
                <w:szCs w:val="15"/>
              </w:rPr>
              <w:t>E</w:t>
            </w:r>
            <w:r>
              <w:rPr>
                <w:rFonts w:ascii="Times New Roman" w:hAnsi="Times New Roman" w:cs="Times New Roman"/>
                <w:sz w:val="15"/>
                <w:szCs w:val="15"/>
              </w:rPr>
              <w:t>PDD</w:t>
            </w:r>
          </w:p>
        </w:tc>
        <w:tc>
          <w:tcPr>
            <w:tcW w:w="0" w:type="auto"/>
            <w:vAlign w:val="bottom"/>
          </w:tcPr>
          <w:p w14:paraId="2C1D0AFE">
            <w:pPr>
              <w:widowControl/>
              <w:snapToGrid w:val="0"/>
              <w:spacing w:line="240" w:lineRule="atLeast"/>
              <w:jc w:val="center"/>
              <w:rPr>
                <w:rFonts w:ascii="Times New Roman" w:hAnsi="Times New Roman" w:cs="Times New Roman"/>
                <w:szCs w:val="24"/>
              </w:rPr>
            </w:pPr>
            <w:r>
              <w:rPr>
                <w:rFonts w:hint="eastAsia" w:ascii="Times New Roman" w:hAnsi="Times New Roman" w:cs="Times New Roman"/>
                <w:sz w:val="15"/>
                <w:szCs w:val="15"/>
              </w:rPr>
              <w:t>（c）工况</w:t>
            </w:r>
            <w:r>
              <w:rPr>
                <w:rFonts w:ascii="Times New Roman" w:hAnsi="Times New Roman" w:cs="Times New Roman"/>
                <w:sz w:val="15"/>
                <w:szCs w:val="15"/>
              </w:rPr>
              <w:t>3-</w:t>
            </w:r>
            <w:r>
              <w:rPr>
                <w:rFonts w:hint="eastAsia" w:ascii="Times New Roman" w:hAnsi="Times New Roman" w:cs="Times New Roman"/>
                <w:sz w:val="15"/>
                <w:szCs w:val="15"/>
              </w:rPr>
              <w:t>E</w:t>
            </w:r>
            <w:r>
              <w:rPr>
                <w:rFonts w:ascii="Times New Roman" w:hAnsi="Times New Roman" w:cs="Times New Roman"/>
                <w:sz w:val="15"/>
                <w:szCs w:val="15"/>
              </w:rPr>
              <w:t>PDD</w:t>
            </w:r>
          </w:p>
        </w:tc>
        <w:tc>
          <w:tcPr>
            <w:tcW w:w="0" w:type="auto"/>
            <w:vAlign w:val="center"/>
          </w:tcPr>
          <w:p w14:paraId="713B6DEA">
            <w:pPr>
              <w:widowControl/>
              <w:snapToGrid w:val="0"/>
              <w:spacing w:line="240" w:lineRule="atLeast"/>
              <w:jc w:val="center"/>
              <w:rPr>
                <w:rFonts w:ascii="Times New Roman" w:hAnsi="Times New Roman" w:cs="Times New Roman"/>
                <w:szCs w:val="24"/>
              </w:rPr>
            </w:pPr>
          </w:p>
        </w:tc>
      </w:tr>
      <w:tr w14:paraId="75526B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bottom"/>
          </w:tcPr>
          <w:p w14:paraId="43DFBA90">
            <w:pPr>
              <w:widowControl/>
              <w:snapToGrid w:val="0"/>
              <w:spacing w:line="240" w:lineRule="atLeast"/>
              <w:jc w:val="center"/>
              <w:rPr>
                <w:rFonts w:ascii="Times New Roman" w:hAnsi="Times New Roman" w:cs="Times New Roman"/>
                <w:szCs w:val="24"/>
              </w:rPr>
            </w:pPr>
            <w:r>
              <w:rPr>
                <w:rFonts w:ascii="Times New Roman" w:hAnsi="Times New Roman" w:cs="Times New Roman"/>
                <w:szCs w:val="24"/>
              </w:rPr>
              <w:drawing>
                <wp:inline distT="0" distB="0" distL="0" distR="0">
                  <wp:extent cx="1439545" cy="1082040"/>
                  <wp:effectExtent l="0" t="0" r="8255" b="381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99"/>
                          <a:stretch>
                            <a:fillRect/>
                          </a:stretch>
                        </pic:blipFill>
                        <pic:spPr>
                          <a:xfrm>
                            <a:off x="0" y="0"/>
                            <a:ext cx="1440000" cy="1082057"/>
                          </a:xfrm>
                          <a:prstGeom prst="rect">
                            <a:avLst/>
                          </a:prstGeom>
                        </pic:spPr>
                      </pic:pic>
                    </a:graphicData>
                  </a:graphic>
                </wp:inline>
              </w:drawing>
            </w:r>
          </w:p>
        </w:tc>
        <w:tc>
          <w:tcPr>
            <w:tcW w:w="0" w:type="auto"/>
            <w:vAlign w:val="bottom"/>
          </w:tcPr>
          <w:p w14:paraId="7904F103">
            <w:pPr>
              <w:widowControl/>
              <w:snapToGrid w:val="0"/>
              <w:spacing w:line="240" w:lineRule="atLeast"/>
              <w:jc w:val="center"/>
              <w:rPr>
                <w:rFonts w:ascii="Times New Roman" w:hAnsi="Times New Roman" w:cs="Times New Roman"/>
                <w:szCs w:val="24"/>
              </w:rPr>
            </w:pPr>
            <w:r>
              <w:rPr>
                <w:rFonts w:ascii="Times New Roman" w:hAnsi="Times New Roman" w:cs="Times New Roman"/>
                <w:szCs w:val="24"/>
              </w:rPr>
              <w:drawing>
                <wp:inline distT="0" distB="0" distL="0" distR="0">
                  <wp:extent cx="1439545" cy="2179955"/>
                  <wp:effectExtent l="0" t="0" r="825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00"/>
                          <a:stretch>
                            <a:fillRect/>
                          </a:stretch>
                        </pic:blipFill>
                        <pic:spPr>
                          <a:xfrm>
                            <a:off x="0" y="0"/>
                            <a:ext cx="1440000" cy="2180571"/>
                          </a:xfrm>
                          <a:prstGeom prst="rect">
                            <a:avLst/>
                          </a:prstGeom>
                        </pic:spPr>
                      </pic:pic>
                    </a:graphicData>
                  </a:graphic>
                </wp:inline>
              </w:drawing>
            </w:r>
          </w:p>
        </w:tc>
        <w:tc>
          <w:tcPr>
            <w:tcW w:w="0" w:type="auto"/>
            <w:vAlign w:val="bottom"/>
          </w:tcPr>
          <w:p w14:paraId="4D9F03F7">
            <w:pPr>
              <w:widowControl/>
              <w:snapToGrid w:val="0"/>
              <w:spacing w:line="240" w:lineRule="atLeast"/>
              <w:jc w:val="center"/>
              <w:rPr>
                <w:rFonts w:ascii="Times New Roman" w:hAnsi="Times New Roman" w:cs="Times New Roman"/>
                <w:szCs w:val="24"/>
              </w:rPr>
            </w:pPr>
            <w:r>
              <w:rPr>
                <w:rFonts w:ascii="Times New Roman" w:hAnsi="Times New Roman" w:cs="Times New Roman"/>
                <w:szCs w:val="24"/>
              </w:rPr>
              <w:drawing>
                <wp:inline distT="0" distB="0" distL="0" distR="0">
                  <wp:extent cx="1439545" cy="2393950"/>
                  <wp:effectExtent l="0" t="0" r="8255" b="635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01"/>
                          <a:stretch>
                            <a:fillRect/>
                          </a:stretch>
                        </pic:blipFill>
                        <pic:spPr>
                          <a:xfrm>
                            <a:off x="0" y="0"/>
                            <a:ext cx="1440000" cy="2394000"/>
                          </a:xfrm>
                          <a:prstGeom prst="rect">
                            <a:avLst/>
                          </a:prstGeom>
                        </pic:spPr>
                      </pic:pic>
                    </a:graphicData>
                  </a:graphic>
                </wp:inline>
              </w:drawing>
            </w:r>
          </w:p>
        </w:tc>
        <w:tc>
          <w:tcPr>
            <w:tcW w:w="0" w:type="auto"/>
            <w:vAlign w:val="center"/>
          </w:tcPr>
          <w:p w14:paraId="6867E894">
            <w:pPr>
              <w:widowControl/>
              <w:snapToGrid w:val="0"/>
              <w:spacing w:line="240" w:lineRule="atLeast"/>
              <w:jc w:val="center"/>
              <w:rPr>
                <w:rFonts w:ascii="Times New Roman" w:hAnsi="Times New Roman" w:cs="Times New Roman"/>
                <w:szCs w:val="24"/>
              </w:rPr>
            </w:pPr>
            <w:r>
              <w:rPr>
                <w:rFonts w:hint="eastAsia" w:ascii="Times New Roman" w:hAnsi="Times New Roman" w:cs="Times New Roman"/>
                <w:szCs w:val="24"/>
              </w:rPr>
              <w:drawing>
                <wp:inline distT="0" distB="0" distL="0" distR="0">
                  <wp:extent cx="543560" cy="125984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02"/>
                          <a:stretch>
                            <a:fillRect/>
                          </a:stretch>
                        </pic:blipFill>
                        <pic:spPr>
                          <a:xfrm>
                            <a:off x="0" y="0"/>
                            <a:ext cx="543600" cy="1260000"/>
                          </a:xfrm>
                          <a:prstGeom prst="rect">
                            <a:avLst/>
                          </a:prstGeom>
                        </pic:spPr>
                      </pic:pic>
                    </a:graphicData>
                  </a:graphic>
                </wp:inline>
              </w:drawing>
            </w:r>
          </w:p>
        </w:tc>
      </w:tr>
      <w:tr w14:paraId="3672EA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bottom"/>
          </w:tcPr>
          <w:p w14:paraId="3E53C638">
            <w:pPr>
              <w:widowControl/>
              <w:snapToGrid w:val="0"/>
              <w:spacing w:line="240" w:lineRule="atLeast"/>
              <w:jc w:val="center"/>
              <w:rPr>
                <w:rFonts w:ascii="Times New Roman" w:hAnsi="Times New Roman" w:cs="Times New Roman"/>
                <w:szCs w:val="24"/>
              </w:rPr>
            </w:pPr>
            <w:r>
              <w:rPr>
                <w:rFonts w:hint="eastAsia" w:ascii="Times New Roman" w:hAnsi="Times New Roman" w:cs="Times New Roman"/>
                <w:sz w:val="15"/>
                <w:szCs w:val="15"/>
              </w:rPr>
              <w:t>（d）工况</w:t>
            </w:r>
            <w:r>
              <w:rPr>
                <w:rFonts w:ascii="Times New Roman" w:hAnsi="Times New Roman" w:cs="Times New Roman"/>
                <w:sz w:val="15"/>
                <w:szCs w:val="15"/>
              </w:rPr>
              <w:t>1-</w:t>
            </w:r>
            <w:r>
              <w:rPr>
                <w:rFonts w:hint="eastAsia" w:ascii="Times New Roman" w:hAnsi="Times New Roman" w:cs="Times New Roman"/>
                <w:sz w:val="15"/>
                <w:szCs w:val="15"/>
              </w:rPr>
              <w:t>E</w:t>
            </w:r>
            <w:r>
              <w:rPr>
                <w:rFonts w:ascii="Times New Roman" w:hAnsi="Times New Roman" w:cs="Times New Roman"/>
                <w:sz w:val="15"/>
                <w:szCs w:val="15"/>
              </w:rPr>
              <w:t>PTD</w:t>
            </w:r>
          </w:p>
        </w:tc>
        <w:tc>
          <w:tcPr>
            <w:tcW w:w="0" w:type="auto"/>
            <w:vAlign w:val="bottom"/>
          </w:tcPr>
          <w:p w14:paraId="2EE83819">
            <w:pPr>
              <w:widowControl/>
              <w:snapToGrid w:val="0"/>
              <w:spacing w:line="240" w:lineRule="atLeast"/>
              <w:jc w:val="center"/>
              <w:rPr>
                <w:rFonts w:ascii="Times New Roman" w:hAnsi="Times New Roman" w:cs="Times New Roman"/>
                <w:szCs w:val="24"/>
              </w:rPr>
            </w:pPr>
            <w:r>
              <w:rPr>
                <w:rFonts w:hint="eastAsia" w:ascii="Times New Roman" w:hAnsi="Times New Roman" w:cs="Times New Roman"/>
                <w:sz w:val="15"/>
                <w:szCs w:val="15"/>
              </w:rPr>
              <w:t>（</w:t>
            </w:r>
            <w:r>
              <w:rPr>
                <w:rFonts w:ascii="Times New Roman" w:hAnsi="Times New Roman" w:cs="Times New Roman"/>
                <w:sz w:val="15"/>
                <w:szCs w:val="15"/>
              </w:rPr>
              <w:t>e</w:t>
            </w:r>
            <w:r>
              <w:rPr>
                <w:rFonts w:hint="eastAsia" w:ascii="Times New Roman" w:hAnsi="Times New Roman" w:cs="Times New Roman"/>
                <w:sz w:val="15"/>
                <w:szCs w:val="15"/>
              </w:rPr>
              <w:t>）工况</w:t>
            </w:r>
            <w:r>
              <w:rPr>
                <w:rFonts w:ascii="Times New Roman" w:hAnsi="Times New Roman" w:cs="Times New Roman"/>
                <w:sz w:val="15"/>
                <w:szCs w:val="15"/>
              </w:rPr>
              <w:t>2-</w:t>
            </w:r>
            <w:r>
              <w:rPr>
                <w:rFonts w:hint="eastAsia" w:ascii="Times New Roman" w:hAnsi="Times New Roman" w:cs="Times New Roman"/>
                <w:sz w:val="15"/>
                <w:szCs w:val="15"/>
              </w:rPr>
              <w:t>E</w:t>
            </w:r>
            <w:r>
              <w:rPr>
                <w:rFonts w:ascii="Times New Roman" w:hAnsi="Times New Roman" w:cs="Times New Roman"/>
                <w:sz w:val="15"/>
                <w:szCs w:val="15"/>
              </w:rPr>
              <w:t>PTD</w:t>
            </w:r>
          </w:p>
        </w:tc>
        <w:tc>
          <w:tcPr>
            <w:tcW w:w="0" w:type="auto"/>
            <w:vAlign w:val="bottom"/>
          </w:tcPr>
          <w:p w14:paraId="1DBCEFA6">
            <w:pPr>
              <w:widowControl/>
              <w:snapToGrid w:val="0"/>
              <w:spacing w:line="240" w:lineRule="atLeast"/>
              <w:jc w:val="center"/>
              <w:rPr>
                <w:rFonts w:ascii="Times New Roman" w:hAnsi="Times New Roman" w:cs="Times New Roman"/>
                <w:szCs w:val="24"/>
              </w:rPr>
            </w:pPr>
            <w:r>
              <w:rPr>
                <w:rFonts w:hint="eastAsia" w:ascii="Times New Roman" w:hAnsi="Times New Roman" w:cs="Times New Roman"/>
                <w:sz w:val="15"/>
                <w:szCs w:val="15"/>
              </w:rPr>
              <w:t>（</w:t>
            </w:r>
            <w:r>
              <w:rPr>
                <w:rFonts w:ascii="Times New Roman" w:hAnsi="Times New Roman" w:cs="Times New Roman"/>
                <w:sz w:val="15"/>
                <w:szCs w:val="15"/>
              </w:rPr>
              <w:t>f</w:t>
            </w:r>
            <w:r>
              <w:rPr>
                <w:rFonts w:hint="eastAsia" w:ascii="Times New Roman" w:hAnsi="Times New Roman" w:cs="Times New Roman"/>
                <w:sz w:val="15"/>
                <w:szCs w:val="15"/>
              </w:rPr>
              <w:t>）工况</w:t>
            </w:r>
            <w:r>
              <w:rPr>
                <w:rFonts w:ascii="Times New Roman" w:hAnsi="Times New Roman" w:cs="Times New Roman"/>
                <w:sz w:val="15"/>
                <w:szCs w:val="15"/>
              </w:rPr>
              <w:t>3-</w:t>
            </w:r>
            <w:r>
              <w:rPr>
                <w:rFonts w:hint="eastAsia" w:ascii="Times New Roman" w:hAnsi="Times New Roman" w:cs="Times New Roman"/>
                <w:sz w:val="15"/>
                <w:szCs w:val="15"/>
              </w:rPr>
              <w:t>E</w:t>
            </w:r>
            <w:r>
              <w:rPr>
                <w:rFonts w:ascii="Times New Roman" w:hAnsi="Times New Roman" w:cs="Times New Roman"/>
                <w:sz w:val="15"/>
                <w:szCs w:val="15"/>
              </w:rPr>
              <w:t>PTD</w:t>
            </w:r>
          </w:p>
        </w:tc>
        <w:tc>
          <w:tcPr>
            <w:tcW w:w="0" w:type="auto"/>
            <w:vAlign w:val="center"/>
          </w:tcPr>
          <w:p w14:paraId="7442819A">
            <w:pPr>
              <w:widowControl/>
              <w:snapToGrid w:val="0"/>
              <w:spacing w:line="240" w:lineRule="atLeast"/>
              <w:jc w:val="center"/>
              <w:rPr>
                <w:rFonts w:ascii="Times New Roman" w:hAnsi="Times New Roman" w:cs="Times New Roman"/>
                <w:szCs w:val="24"/>
              </w:rPr>
            </w:pPr>
          </w:p>
        </w:tc>
      </w:tr>
      <w:tr w14:paraId="3857C9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bottom"/>
          </w:tcPr>
          <w:p w14:paraId="73EAF215">
            <w:pPr>
              <w:widowControl/>
              <w:snapToGrid w:val="0"/>
              <w:spacing w:line="240" w:lineRule="atLeast"/>
              <w:jc w:val="center"/>
              <w:rPr>
                <w:rFonts w:ascii="Times New Roman" w:hAnsi="Times New Roman" w:cs="Times New Roman"/>
                <w:szCs w:val="24"/>
              </w:rPr>
            </w:pPr>
            <w:r>
              <w:rPr>
                <w:rFonts w:ascii="Times New Roman" w:hAnsi="Times New Roman" w:cs="Times New Roman"/>
                <w:szCs w:val="24"/>
              </w:rPr>
              <w:drawing>
                <wp:inline distT="0" distB="0" distL="0" distR="0">
                  <wp:extent cx="1439545" cy="1085850"/>
                  <wp:effectExtent l="0" t="0" r="825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03"/>
                          <a:stretch>
                            <a:fillRect/>
                          </a:stretch>
                        </pic:blipFill>
                        <pic:spPr>
                          <a:xfrm>
                            <a:off x="0" y="0"/>
                            <a:ext cx="1440000" cy="1086171"/>
                          </a:xfrm>
                          <a:prstGeom prst="rect">
                            <a:avLst/>
                          </a:prstGeom>
                        </pic:spPr>
                      </pic:pic>
                    </a:graphicData>
                  </a:graphic>
                </wp:inline>
              </w:drawing>
            </w:r>
          </w:p>
        </w:tc>
        <w:tc>
          <w:tcPr>
            <w:tcW w:w="0" w:type="auto"/>
            <w:vAlign w:val="bottom"/>
          </w:tcPr>
          <w:p w14:paraId="1755FCCD">
            <w:pPr>
              <w:widowControl/>
              <w:snapToGrid w:val="0"/>
              <w:spacing w:line="240" w:lineRule="atLeast"/>
              <w:jc w:val="center"/>
              <w:rPr>
                <w:rFonts w:ascii="Times New Roman" w:hAnsi="Times New Roman" w:cs="Times New Roman"/>
                <w:szCs w:val="24"/>
              </w:rPr>
            </w:pPr>
            <w:r>
              <w:rPr>
                <w:rFonts w:ascii="Times New Roman" w:hAnsi="Times New Roman" w:cs="Times New Roman"/>
                <w:szCs w:val="24"/>
              </w:rPr>
              <w:drawing>
                <wp:inline distT="0" distB="0" distL="0" distR="0">
                  <wp:extent cx="1439545" cy="2131060"/>
                  <wp:effectExtent l="0" t="0" r="8255" b="254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04"/>
                          <a:stretch>
                            <a:fillRect/>
                          </a:stretch>
                        </pic:blipFill>
                        <pic:spPr>
                          <a:xfrm>
                            <a:off x="0" y="0"/>
                            <a:ext cx="1440000" cy="2131200"/>
                          </a:xfrm>
                          <a:prstGeom prst="rect">
                            <a:avLst/>
                          </a:prstGeom>
                        </pic:spPr>
                      </pic:pic>
                    </a:graphicData>
                  </a:graphic>
                </wp:inline>
              </w:drawing>
            </w:r>
          </w:p>
        </w:tc>
        <w:tc>
          <w:tcPr>
            <w:tcW w:w="0" w:type="auto"/>
            <w:vAlign w:val="bottom"/>
          </w:tcPr>
          <w:p w14:paraId="58D010F9">
            <w:pPr>
              <w:widowControl/>
              <w:snapToGrid w:val="0"/>
              <w:spacing w:line="240" w:lineRule="atLeast"/>
              <w:jc w:val="center"/>
              <w:rPr>
                <w:rFonts w:ascii="Times New Roman" w:hAnsi="Times New Roman" w:cs="Times New Roman"/>
                <w:szCs w:val="24"/>
              </w:rPr>
            </w:pPr>
            <w:r>
              <w:rPr>
                <w:rFonts w:ascii="Times New Roman" w:hAnsi="Times New Roman" w:cs="Times New Roman"/>
                <w:szCs w:val="24"/>
              </w:rPr>
              <w:drawing>
                <wp:inline distT="0" distB="0" distL="0" distR="0">
                  <wp:extent cx="1439545" cy="2393950"/>
                  <wp:effectExtent l="0" t="0" r="8255" b="635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05"/>
                          <a:stretch>
                            <a:fillRect/>
                          </a:stretch>
                        </pic:blipFill>
                        <pic:spPr>
                          <a:xfrm>
                            <a:off x="0" y="0"/>
                            <a:ext cx="1440000" cy="2394514"/>
                          </a:xfrm>
                          <a:prstGeom prst="rect">
                            <a:avLst/>
                          </a:prstGeom>
                        </pic:spPr>
                      </pic:pic>
                    </a:graphicData>
                  </a:graphic>
                </wp:inline>
              </w:drawing>
            </w:r>
          </w:p>
        </w:tc>
        <w:tc>
          <w:tcPr>
            <w:tcW w:w="0" w:type="auto"/>
            <w:vAlign w:val="center"/>
          </w:tcPr>
          <w:p w14:paraId="41280BC1">
            <w:pPr>
              <w:keepNext/>
              <w:widowControl/>
              <w:snapToGrid w:val="0"/>
              <w:spacing w:line="240" w:lineRule="atLeast"/>
              <w:jc w:val="center"/>
              <w:rPr>
                <w:rFonts w:ascii="Times New Roman" w:hAnsi="Times New Roman" w:cs="Times New Roman"/>
                <w:szCs w:val="24"/>
              </w:rPr>
            </w:pPr>
            <w:r>
              <w:rPr>
                <w:rFonts w:hint="eastAsia" w:ascii="Times New Roman" w:hAnsi="Times New Roman" w:cs="Times New Roman"/>
                <w:szCs w:val="24"/>
              </w:rPr>
              <w:drawing>
                <wp:inline distT="0" distB="0" distL="0" distR="0">
                  <wp:extent cx="543560" cy="125984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06"/>
                          <a:stretch>
                            <a:fillRect/>
                          </a:stretch>
                        </pic:blipFill>
                        <pic:spPr>
                          <a:xfrm>
                            <a:off x="0" y="0"/>
                            <a:ext cx="543600" cy="1260000"/>
                          </a:xfrm>
                          <a:prstGeom prst="rect">
                            <a:avLst/>
                          </a:prstGeom>
                        </pic:spPr>
                      </pic:pic>
                    </a:graphicData>
                  </a:graphic>
                </wp:inline>
              </w:drawing>
            </w:r>
          </w:p>
        </w:tc>
      </w:tr>
      <w:tr w14:paraId="3B34A5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bottom"/>
          </w:tcPr>
          <w:p w14:paraId="06381EA9">
            <w:pPr>
              <w:widowControl/>
              <w:snapToGrid w:val="0"/>
              <w:spacing w:line="240" w:lineRule="atLeast"/>
              <w:jc w:val="center"/>
              <w:rPr>
                <w:rFonts w:ascii="Times New Roman" w:hAnsi="Times New Roman" w:cs="Times New Roman"/>
                <w:szCs w:val="24"/>
              </w:rPr>
            </w:pPr>
            <w:r>
              <w:rPr>
                <w:rFonts w:hint="eastAsia" w:ascii="Times New Roman" w:hAnsi="Times New Roman" w:cs="Times New Roman"/>
                <w:sz w:val="15"/>
                <w:szCs w:val="15"/>
              </w:rPr>
              <w:t>（</w:t>
            </w:r>
            <w:r>
              <w:rPr>
                <w:rFonts w:ascii="Times New Roman" w:hAnsi="Times New Roman" w:cs="Times New Roman"/>
                <w:sz w:val="15"/>
                <w:szCs w:val="15"/>
              </w:rPr>
              <w:t>g</w:t>
            </w:r>
            <w:r>
              <w:rPr>
                <w:rFonts w:hint="eastAsia" w:ascii="Times New Roman" w:hAnsi="Times New Roman" w:cs="Times New Roman"/>
                <w:sz w:val="15"/>
                <w:szCs w:val="15"/>
              </w:rPr>
              <w:t>）工况</w:t>
            </w:r>
            <w:r>
              <w:rPr>
                <w:rFonts w:ascii="Times New Roman" w:hAnsi="Times New Roman" w:cs="Times New Roman"/>
                <w:sz w:val="15"/>
                <w:szCs w:val="15"/>
              </w:rPr>
              <w:t>1-</w:t>
            </w:r>
            <w:r>
              <w:rPr>
                <w:rFonts w:hint="eastAsia" w:ascii="Times New Roman" w:hAnsi="Times New Roman" w:cs="Times New Roman"/>
                <w:sz w:val="15"/>
                <w:szCs w:val="15"/>
              </w:rPr>
              <w:t>E</w:t>
            </w:r>
            <w:r>
              <w:rPr>
                <w:rFonts w:ascii="Times New Roman" w:hAnsi="Times New Roman" w:cs="Times New Roman"/>
                <w:sz w:val="15"/>
                <w:szCs w:val="15"/>
              </w:rPr>
              <w:t>PWS</w:t>
            </w:r>
          </w:p>
        </w:tc>
        <w:tc>
          <w:tcPr>
            <w:tcW w:w="0" w:type="auto"/>
            <w:vAlign w:val="bottom"/>
          </w:tcPr>
          <w:p w14:paraId="31FCF377">
            <w:pPr>
              <w:widowControl/>
              <w:snapToGrid w:val="0"/>
              <w:spacing w:line="240" w:lineRule="atLeast"/>
              <w:jc w:val="center"/>
              <w:rPr>
                <w:rFonts w:ascii="Times New Roman" w:hAnsi="Times New Roman" w:cs="Times New Roman"/>
                <w:szCs w:val="24"/>
              </w:rPr>
            </w:pPr>
            <w:r>
              <w:rPr>
                <w:rFonts w:hint="eastAsia" w:ascii="Times New Roman" w:hAnsi="Times New Roman" w:cs="Times New Roman"/>
                <w:sz w:val="15"/>
                <w:szCs w:val="15"/>
              </w:rPr>
              <w:t>（</w:t>
            </w:r>
            <w:r>
              <w:rPr>
                <w:rFonts w:ascii="Times New Roman" w:hAnsi="Times New Roman" w:cs="Times New Roman"/>
                <w:sz w:val="15"/>
                <w:szCs w:val="15"/>
              </w:rPr>
              <w:t>h</w:t>
            </w:r>
            <w:r>
              <w:rPr>
                <w:rFonts w:hint="eastAsia" w:ascii="Times New Roman" w:hAnsi="Times New Roman" w:cs="Times New Roman"/>
                <w:sz w:val="15"/>
                <w:szCs w:val="15"/>
              </w:rPr>
              <w:t>）工况</w:t>
            </w:r>
            <w:r>
              <w:rPr>
                <w:rFonts w:ascii="Times New Roman" w:hAnsi="Times New Roman" w:cs="Times New Roman"/>
                <w:sz w:val="15"/>
                <w:szCs w:val="15"/>
              </w:rPr>
              <w:t>2-</w:t>
            </w:r>
            <w:r>
              <w:rPr>
                <w:rFonts w:hint="eastAsia" w:ascii="Times New Roman" w:hAnsi="Times New Roman" w:cs="Times New Roman"/>
                <w:sz w:val="15"/>
                <w:szCs w:val="15"/>
              </w:rPr>
              <w:t>E</w:t>
            </w:r>
            <w:r>
              <w:rPr>
                <w:rFonts w:ascii="Times New Roman" w:hAnsi="Times New Roman" w:cs="Times New Roman"/>
                <w:sz w:val="15"/>
                <w:szCs w:val="15"/>
              </w:rPr>
              <w:t>PWS</w:t>
            </w:r>
          </w:p>
        </w:tc>
        <w:tc>
          <w:tcPr>
            <w:tcW w:w="0" w:type="auto"/>
            <w:vAlign w:val="bottom"/>
          </w:tcPr>
          <w:p w14:paraId="5014ED4D">
            <w:pPr>
              <w:widowControl/>
              <w:snapToGrid w:val="0"/>
              <w:spacing w:line="240" w:lineRule="atLeast"/>
              <w:jc w:val="center"/>
              <w:rPr>
                <w:rFonts w:ascii="Times New Roman" w:hAnsi="Times New Roman" w:cs="Times New Roman"/>
                <w:szCs w:val="24"/>
              </w:rPr>
            </w:pPr>
            <w:r>
              <w:rPr>
                <w:rFonts w:hint="eastAsia" w:ascii="Times New Roman" w:hAnsi="Times New Roman" w:cs="Times New Roman"/>
                <w:sz w:val="15"/>
                <w:szCs w:val="15"/>
              </w:rPr>
              <w:t>（</w:t>
            </w:r>
            <w:r>
              <w:rPr>
                <w:rFonts w:ascii="Times New Roman" w:hAnsi="Times New Roman" w:cs="Times New Roman"/>
                <w:sz w:val="15"/>
                <w:szCs w:val="15"/>
              </w:rPr>
              <w:t>i</w:t>
            </w:r>
            <w:r>
              <w:rPr>
                <w:rFonts w:hint="eastAsia" w:ascii="Times New Roman" w:hAnsi="Times New Roman" w:cs="Times New Roman"/>
                <w:sz w:val="15"/>
                <w:szCs w:val="15"/>
              </w:rPr>
              <w:t>）工况</w:t>
            </w:r>
            <w:r>
              <w:rPr>
                <w:rFonts w:ascii="Times New Roman" w:hAnsi="Times New Roman" w:cs="Times New Roman"/>
                <w:sz w:val="15"/>
                <w:szCs w:val="15"/>
              </w:rPr>
              <w:t>3-</w:t>
            </w:r>
            <w:r>
              <w:rPr>
                <w:rFonts w:hint="eastAsia" w:ascii="Times New Roman" w:hAnsi="Times New Roman" w:cs="Times New Roman"/>
                <w:sz w:val="15"/>
                <w:szCs w:val="15"/>
              </w:rPr>
              <w:t>E</w:t>
            </w:r>
            <w:r>
              <w:rPr>
                <w:rFonts w:ascii="Times New Roman" w:hAnsi="Times New Roman" w:cs="Times New Roman"/>
                <w:sz w:val="15"/>
                <w:szCs w:val="15"/>
              </w:rPr>
              <w:t>PWS</w:t>
            </w:r>
          </w:p>
        </w:tc>
        <w:tc>
          <w:tcPr>
            <w:tcW w:w="0" w:type="auto"/>
            <w:vAlign w:val="center"/>
          </w:tcPr>
          <w:p w14:paraId="4DE09157">
            <w:pPr>
              <w:keepNext/>
              <w:widowControl/>
              <w:snapToGrid w:val="0"/>
              <w:spacing w:line="240" w:lineRule="atLeast"/>
              <w:jc w:val="center"/>
              <w:rPr>
                <w:rFonts w:ascii="Times New Roman" w:hAnsi="Times New Roman" w:cs="Times New Roman"/>
                <w:szCs w:val="24"/>
              </w:rPr>
            </w:pPr>
          </w:p>
        </w:tc>
      </w:tr>
    </w:tbl>
    <w:p w14:paraId="2CD7A043">
      <w:pPr>
        <w:pStyle w:val="10"/>
      </w:pPr>
      <w:r>
        <w:rPr>
          <w:rFonts w:hint="eastAsia"/>
        </w:rPr>
        <w:t>图</w:t>
      </w:r>
      <w:r>
        <w:t>12</w:t>
      </w:r>
      <w:r>
        <w:rPr>
          <w:rFonts w:hint="eastAsia"/>
        </w:rPr>
        <w:t>区域</w:t>
      </w:r>
      <w:r>
        <w:t>1熵产来源分布</w:t>
      </w:r>
    </w:p>
    <w:p w14:paraId="31A0A0E5">
      <w:pPr>
        <w:pStyle w:val="10"/>
      </w:pPr>
      <w:r>
        <w:t>Fig. 1</w:t>
      </w:r>
      <w:r>
        <w:rPr>
          <w:rFonts w:hint="eastAsia"/>
          <w:lang w:val="en-US" w:eastAsia="zh-CN"/>
        </w:rPr>
        <w:t>2</w:t>
      </w:r>
      <w:r>
        <w:t xml:space="preserve"> Distribution of entropy </w:t>
      </w:r>
      <w:r>
        <w:rPr>
          <w:rFonts w:hint="eastAsia"/>
          <w:lang w:val="en-US" w:eastAsia="zh-CN"/>
        </w:rPr>
        <w:t>production</w:t>
      </w:r>
      <w:r>
        <w:t xml:space="preserve"> sources in region 1</w:t>
      </w:r>
    </w:p>
    <w:p w14:paraId="7F903FB8">
      <w:pPr>
        <w:pStyle w:val="4"/>
      </w:pPr>
      <w:r>
        <w:rPr>
          <w:rFonts w:hint="eastAsia"/>
        </w:rPr>
        <w:t>3</w:t>
      </w:r>
      <w:r>
        <w:t>.1.2</w:t>
      </w:r>
      <w:r>
        <w:rPr>
          <w:rFonts w:hint="eastAsia"/>
        </w:rPr>
        <w:t>竖井（区域2）</w:t>
      </w:r>
    </w:p>
    <w:p w14:paraId="5BE96290">
      <w:pPr>
        <w:pStyle w:val="68"/>
        <w:ind w:firstLine="420"/>
      </w:pPr>
      <w:r>
        <w:rPr>
          <w:rFonts w:hint="eastAsia"/>
        </w:rPr>
        <w:t>竖井（区域2）为结构变化最为剧烈的区域，是三工况中熵产最集中的部分。工况3总熵产高达</w:t>
      </w:r>
      <w:r>
        <w:t>1433</w:t>
      </w:r>
      <w:r>
        <w:rPr>
          <w:color w:val="000000"/>
          <w:shd w:val="clear" w:color="auto" w:fill="FFFFFF"/>
        </w:rPr>
        <w:t>.553</w:t>
      </w:r>
      <w:r>
        <w:t xml:space="preserve"> W·K</w:t>
      </w:r>
      <w:r>
        <w:rPr>
          <w:vertAlign w:val="superscript"/>
        </w:rPr>
        <w:t>-1</w:t>
      </w:r>
      <w:r>
        <w:rPr>
          <w:rFonts w:hint="eastAsia"/>
        </w:rPr>
        <w:t>，为区域1的三倍以上（见表</w:t>
      </w:r>
      <w:r>
        <w:t>5</w:t>
      </w:r>
      <w:r>
        <w:rPr>
          <w:rFonts w:hint="eastAsia"/>
        </w:rPr>
        <w:t>）。随着取水层位升高，水流竖向跌落增大，形成明显速度突变与湍流卷吸，造成竖井进口处湍流强度陡增（见图1</w:t>
      </w:r>
      <w:r>
        <w:t>1</w:t>
      </w:r>
      <w:r>
        <w:rPr>
          <w:rFonts w:hint="eastAsia"/>
        </w:rPr>
        <w:t>）。主要耗散集中于结构收缩与纵撑迎流面，E</w:t>
      </w:r>
      <w:r>
        <w:t>PTD</w:t>
      </w:r>
      <w:r>
        <w:rPr>
          <w:rFonts w:hint="eastAsia"/>
        </w:rPr>
        <w:t>在此区域表现显著，E</w:t>
      </w:r>
      <w:r>
        <w:t>PWS</w:t>
      </w:r>
      <w:r>
        <w:rPr>
          <w:rFonts w:hint="eastAsia"/>
        </w:rPr>
        <w:t>在高剪切区亦有增强。工况2和工况3中，高速水流撞击竖井内纵撑构件，导致局部扰动持续积聚。尽管E</w:t>
      </w:r>
      <w:r>
        <w:t>PDD</w:t>
      </w:r>
      <w:r>
        <w:rPr>
          <w:rFonts w:hint="eastAsia"/>
        </w:rPr>
        <w:t>整体占比极低（</w:t>
      </w:r>
      <w:r>
        <w:rPr>
          <w:rFonts w:hint="eastAsia" w:ascii="宋体" w:hAnsi="宋体"/>
        </w:rPr>
        <w:t>＜</w:t>
      </w:r>
      <w:r>
        <w:rPr>
          <w:rFonts w:hint="eastAsia"/>
          <w:color w:val="000000"/>
          <w:shd w:val="clear" w:color="auto" w:fill="FFFFFF"/>
        </w:rPr>
        <w:t>0</w:t>
      </w:r>
      <w:r>
        <w:rPr>
          <w:color w:val="000000"/>
          <w:shd w:val="clear" w:color="auto" w:fill="FFFFFF"/>
        </w:rPr>
        <w:t>.01</w:t>
      </w:r>
      <w:r>
        <w:t>%</w:t>
      </w:r>
      <w:r>
        <w:rPr>
          <w:rFonts w:hint="eastAsia"/>
        </w:rPr>
        <w:t>），但在壁面缓流区存在局部显现（见图</w:t>
      </w:r>
      <w:r>
        <w:t>13</w:t>
      </w:r>
      <w:r>
        <w:rPr>
          <w:rFonts w:hint="eastAsia"/>
        </w:rPr>
        <w:t>）。区域2的耗散机制高度依赖于流体的动量突变与竖井几何构造，其纵撑密度、竖井口径收缩比以及落水高差均对熵产形成有直接影响。</w:t>
      </w:r>
    </w:p>
    <w:p w14:paraId="709C4ED2">
      <w:pPr>
        <w:pStyle w:val="10"/>
      </w:pPr>
      <w:r>
        <w:rPr>
          <w:rFonts w:hint="eastAsia"/>
        </w:rPr>
        <w:t>表</w:t>
      </w:r>
      <w:r>
        <w:t>5</w:t>
      </w:r>
      <w:r>
        <w:rPr>
          <w:rFonts w:hint="eastAsia"/>
        </w:rPr>
        <w:t>区域</w:t>
      </w:r>
      <w:r>
        <w:t>2</w:t>
      </w:r>
      <w:r>
        <w:rPr>
          <w:color w:val="000000"/>
          <w:shd w:val="clear" w:color="auto" w:fill="FFFFFF"/>
        </w:rPr>
        <w:t>各</w:t>
      </w:r>
      <w:r>
        <w:t>工况熵产及组成</w:t>
      </w:r>
    </w:p>
    <w:p w14:paraId="0BF02F19">
      <w:pPr>
        <w:pStyle w:val="10"/>
      </w:pPr>
      <w:r>
        <w:t xml:space="preserve">Table 5 Entropy </w:t>
      </w:r>
      <w:r>
        <w:rPr>
          <w:rFonts w:hint="eastAsia"/>
        </w:rPr>
        <w:t>production</w:t>
      </w:r>
      <w:r>
        <w:t xml:space="preserve"> and </w:t>
      </w:r>
      <w:r>
        <w:rPr>
          <w:rFonts w:hint="eastAsia"/>
        </w:rPr>
        <w:t xml:space="preserve">composition </w:t>
      </w:r>
      <w:r>
        <w:rPr>
          <w:rFonts w:hint="eastAsia"/>
          <w:lang w:val="en-US" w:eastAsia="zh-CN"/>
        </w:rPr>
        <w:t>under different</w:t>
      </w:r>
      <w:r>
        <w:rPr>
          <w:rFonts w:hint="eastAsia"/>
        </w:rPr>
        <w:t xml:space="preserve"> </w:t>
      </w:r>
      <w:r>
        <w:rPr>
          <w:rFonts w:hint="eastAsia"/>
          <w:lang w:val="en-US" w:eastAsia="zh-CN"/>
        </w:rPr>
        <w:t xml:space="preserve">operating </w:t>
      </w:r>
      <w:r>
        <w:rPr>
          <w:rFonts w:hint="eastAsia"/>
        </w:rPr>
        <w:t>condition</w:t>
      </w:r>
      <w:r>
        <w:rPr>
          <w:rFonts w:hint="eastAsia"/>
          <w:lang w:val="en-US" w:eastAsia="zh-CN"/>
        </w:rPr>
        <w:t>s</w:t>
      </w:r>
      <w:r>
        <w:t xml:space="preserve"> in region 2</w:t>
      </w:r>
    </w:p>
    <w:tbl>
      <w:tblPr>
        <w:tblStyle w:val="2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16"/>
        <w:gridCol w:w="1224"/>
        <w:gridCol w:w="1133"/>
        <w:gridCol w:w="1158"/>
        <w:gridCol w:w="1150"/>
      </w:tblGrid>
      <w:tr w14:paraId="425A6B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0" w:type="auto"/>
            <w:tcBorders>
              <w:top w:val="single" w:color="auto" w:sz="12" w:space="0"/>
              <w:bottom w:val="single" w:color="auto" w:sz="4" w:space="0"/>
            </w:tcBorders>
            <w:vAlign w:val="center"/>
          </w:tcPr>
          <w:p w14:paraId="769EDF01">
            <w:pPr>
              <w:pStyle w:val="68"/>
              <w:ind w:firstLine="0" w:firstLineChars="0"/>
              <w:jc w:val="center"/>
              <w:rPr>
                <w:sz w:val="15"/>
                <w:szCs w:val="15"/>
              </w:rPr>
            </w:pPr>
            <w:r>
              <w:rPr>
                <w:rFonts w:hint="eastAsia"/>
                <w:sz w:val="15"/>
                <w:szCs w:val="15"/>
              </w:rPr>
              <w:t>工况</w:t>
            </w:r>
          </w:p>
        </w:tc>
        <w:tc>
          <w:tcPr>
            <w:tcW w:w="0" w:type="auto"/>
            <w:tcBorders>
              <w:top w:val="single" w:color="auto" w:sz="12" w:space="0"/>
              <w:bottom w:val="single" w:color="auto" w:sz="4" w:space="0"/>
            </w:tcBorders>
            <w:vAlign w:val="center"/>
          </w:tcPr>
          <w:p w14:paraId="47DE16C2">
            <w:pPr>
              <w:pStyle w:val="68"/>
              <w:ind w:firstLine="0" w:firstLineChars="0"/>
              <w:jc w:val="center"/>
              <w:rPr>
                <w:sz w:val="15"/>
                <w:szCs w:val="15"/>
              </w:rPr>
            </w:pPr>
            <w:r>
              <w:rPr>
                <w:rFonts w:hint="eastAsia"/>
                <w:sz w:val="15"/>
                <w:szCs w:val="15"/>
              </w:rPr>
              <w:t>总熵产</w:t>
            </w:r>
            <w:r>
              <w:rPr>
                <w:sz w:val="15"/>
                <w:szCs w:val="15"/>
              </w:rPr>
              <w:t>/ W</w:t>
            </w:r>
            <w:r>
              <w:rPr>
                <w:rFonts w:hint="eastAsia"/>
                <w:sz w:val="15"/>
                <w:szCs w:val="15"/>
              </w:rPr>
              <w:t>·</w:t>
            </w:r>
            <w:r>
              <w:rPr>
                <w:sz w:val="15"/>
                <w:szCs w:val="15"/>
              </w:rPr>
              <w:t>K</w:t>
            </w:r>
            <w:r>
              <w:rPr>
                <w:sz w:val="15"/>
                <w:szCs w:val="15"/>
                <w:vertAlign w:val="superscript"/>
              </w:rPr>
              <w:t>-1</w:t>
            </w:r>
          </w:p>
        </w:tc>
        <w:tc>
          <w:tcPr>
            <w:tcW w:w="0" w:type="auto"/>
            <w:tcBorders>
              <w:top w:val="single" w:color="auto" w:sz="12" w:space="0"/>
              <w:bottom w:val="single" w:color="auto" w:sz="4" w:space="0"/>
            </w:tcBorders>
            <w:vAlign w:val="center"/>
          </w:tcPr>
          <w:p w14:paraId="2E1BF1CF">
            <w:pPr>
              <w:pStyle w:val="68"/>
              <w:ind w:firstLine="0" w:firstLineChars="0"/>
              <w:jc w:val="center"/>
              <w:rPr>
                <w:sz w:val="15"/>
                <w:szCs w:val="15"/>
              </w:rPr>
            </w:pPr>
            <w:r>
              <w:rPr>
                <w:sz w:val="15"/>
                <w:szCs w:val="15"/>
              </w:rPr>
              <w:t>EPTD</w:t>
            </w:r>
            <w:r>
              <w:rPr>
                <w:rFonts w:hint="eastAsia"/>
                <w:sz w:val="15"/>
                <w:szCs w:val="15"/>
              </w:rPr>
              <w:t>占比/</w:t>
            </w:r>
            <w:r>
              <w:rPr>
                <w:sz w:val="15"/>
                <w:szCs w:val="15"/>
              </w:rPr>
              <w:t xml:space="preserve"> </w:t>
            </w:r>
            <w:r>
              <w:rPr>
                <w:rFonts w:hint="eastAsia"/>
                <w:sz w:val="15"/>
                <w:szCs w:val="15"/>
              </w:rPr>
              <w:t>%</w:t>
            </w:r>
          </w:p>
        </w:tc>
        <w:tc>
          <w:tcPr>
            <w:tcW w:w="0" w:type="auto"/>
            <w:tcBorders>
              <w:top w:val="single" w:color="auto" w:sz="12" w:space="0"/>
              <w:bottom w:val="single" w:color="auto" w:sz="4" w:space="0"/>
            </w:tcBorders>
            <w:vAlign w:val="center"/>
          </w:tcPr>
          <w:p w14:paraId="01186A2B">
            <w:pPr>
              <w:pStyle w:val="68"/>
              <w:ind w:firstLine="0" w:firstLineChars="0"/>
              <w:jc w:val="center"/>
              <w:rPr>
                <w:sz w:val="15"/>
                <w:szCs w:val="15"/>
              </w:rPr>
            </w:pPr>
            <w:r>
              <w:rPr>
                <w:sz w:val="15"/>
                <w:szCs w:val="15"/>
              </w:rPr>
              <w:t>EPWS</w:t>
            </w:r>
            <w:r>
              <w:rPr>
                <w:rFonts w:hint="eastAsia"/>
                <w:sz w:val="15"/>
                <w:szCs w:val="15"/>
              </w:rPr>
              <w:t>占比/</w:t>
            </w:r>
            <w:r>
              <w:rPr>
                <w:sz w:val="15"/>
                <w:szCs w:val="15"/>
              </w:rPr>
              <w:t xml:space="preserve"> </w:t>
            </w:r>
            <w:r>
              <w:rPr>
                <w:rFonts w:hint="eastAsia"/>
                <w:sz w:val="15"/>
                <w:szCs w:val="15"/>
              </w:rPr>
              <w:t>%</w:t>
            </w:r>
          </w:p>
        </w:tc>
        <w:tc>
          <w:tcPr>
            <w:tcW w:w="0" w:type="auto"/>
            <w:tcBorders>
              <w:top w:val="single" w:color="auto" w:sz="12" w:space="0"/>
              <w:bottom w:val="single" w:color="auto" w:sz="4" w:space="0"/>
            </w:tcBorders>
            <w:vAlign w:val="center"/>
          </w:tcPr>
          <w:p w14:paraId="20ADB08A">
            <w:pPr>
              <w:pStyle w:val="68"/>
              <w:ind w:firstLine="0" w:firstLineChars="0"/>
              <w:jc w:val="center"/>
              <w:rPr>
                <w:sz w:val="15"/>
                <w:szCs w:val="15"/>
              </w:rPr>
            </w:pPr>
            <w:r>
              <w:rPr>
                <w:sz w:val="15"/>
                <w:szCs w:val="15"/>
              </w:rPr>
              <w:t>EPDD</w:t>
            </w:r>
            <w:r>
              <w:rPr>
                <w:rFonts w:hint="eastAsia"/>
                <w:sz w:val="15"/>
                <w:szCs w:val="15"/>
              </w:rPr>
              <w:t>占比/</w:t>
            </w:r>
            <w:r>
              <w:rPr>
                <w:sz w:val="15"/>
                <w:szCs w:val="15"/>
              </w:rPr>
              <w:t xml:space="preserve"> </w:t>
            </w:r>
            <w:r>
              <w:rPr>
                <w:rFonts w:hint="eastAsia"/>
                <w:sz w:val="15"/>
                <w:szCs w:val="15"/>
              </w:rPr>
              <w:t>%</w:t>
            </w:r>
          </w:p>
        </w:tc>
      </w:tr>
      <w:tr w14:paraId="0A983F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tcBorders>
              <w:top w:val="single" w:color="auto" w:sz="4" w:space="0"/>
            </w:tcBorders>
            <w:vAlign w:val="center"/>
          </w:tcPr>
          <w:p w14:paraId="21D95E3B">
            <w:pPr>
              <w:pStyle w:val="68"/>
              <w:ind w:firstLine="0" w:firstLineChars="0"/>
              <w:jc w:val="center"/>
              <w:rPr>
                <w:sz w:val="15"/>
                <w:szCs w:val="15"/>
              </w:rPr>
            </w:pPr>
            <w:r>
              <w:rPr>
                <w:sz w:val="15"/>
                <w:szCs w:val="15"/>
              </w:rPr>
              <w:t>1</w:t>
            </w:r>
          </w:p>
        </w:tc>
        <w:tc>
          <w:tcPr>
            <w:tcW w:w="0" w:type="auto"/>
            <w:tcBorders>
              <w:top w:val="single" w:color="auto" w:sz="4" w:space="0"/>
            </w:tcBorders>
            <w:vAlign w:val="center"/>
          </w:tcPr>
          <w:p w14:paraId="2B00BCD3">
            <w:pPr>
              <w:pStyle w:val="68"/>
              <w:ind w:firstLine="0" w:firstLineChars="0"/>
              <w:jc w:val="center"/>
              <w:rPr>
                <w:sz w:val="15"/>
                <w:szCs w:val="15"/>
              </w:rPr>
            </w:pPr>
            <w:r>
              <w:rPr>
                <w:sz w:val="15"/>
                <w:szCs w:val="15"/>
              </w:rPr>
              <w:t>423.331</w:t>
            </w:r>
          </w:p>
        </w:tc>
        <w:tc>
          <w:tcPr>
            <w:tcW w:w="0" w:type="auto"/>
            <w:tcBorders>
              <w:top w:val="single" w:color="auto" w:sz="4" w:space="0"/>
            </w:tcBorders>
            <w:vAlign w:val="center"/>
          </w:tcPr>
          <w:p w14:paraId="5658B7C1">
            <w:pPr>
              <w:pStyle w:val="68"/>
              <w:ind w:firstLine="0" w:firstLineChars="0"/>
              <w:jc w:val="center"/>
              <w:rPr>
                <w:sz w:val="15"/>
                <w:szCs w:val="15"/>
              </w:rPr>
            </w:pPr>
            <w:r>
              <w:rPr>
                <w:sz w:val="15"/>
                <w:szCs w:val="15"/>
              </w:rPr>
              <w:t>99.02</w:t>
            </w:r>
          </w:p>
        </w:tc>
        <w:tc>
          <w:tcPr>
            <w:tcW w:w="0" w:type="auto"/>
            <w:tcBorders>
              <w:top w:val="single" w:color="auto" w:sz="4" w:space="0"/>
            </w:tcBorders>
            <w:vAlign w:val="center"/>
          </w:tcPr>
          <w:p w14:paraId="248E3D6F">
            <w:pPr>
              <w:pStyle w:val="68"/>
              <w:ind w:firstLine="0" w:firstLineChars="0"/>
              <w:jc w:val="center"/>
              <w:rPr>
                <w:sz w:val="15"/>
                <w:szCs w:val="15"/>
              </w:rPr>
            </w:pPr>
            <w:r>
              <w:rPr>
                <w:sz w:val="15"/>
                <w:szCs w:val="15"/>
              </w:rPr>
              <w:t>0.97</w:t>
            </w:r>
          </w:p>
        </w:tc>
        <w:tc>
          <w:tcPr>
            <w:tcW w:w="0" w:type="auto"/>
            <w:tcBorders>
              <w:top w:val="single" w:color="auto" w:sz="4" w:space="0"/>
            </w:tcBorders>
            <w:vAlign w:val="center"/>
          </w:tcPr>
          <w:p w14:paraId="7FD78863">
            <w:pPr>
              <w:pStyle w:val="68"/>
              <w:ind w:firstLine="0" w:firstLineChars="0"/>
              <w:jc w:val="center"/>
              <w:rPr>
                <w:sz w:val="15"/>
                <w:szCs w:val="15"/>
              </w:rPr>
            </w:pPr>
            <w:r>
              <w:rPr>
                <w:sz w:val="15"/>
                <w:szCs w:val="15"/>
              </w:rPr>
              <w:t>0.01</w:t>
            </w:r>
          </w:p>
        </w:tc>
      </w:tr>
      <w:tr w14:paraId="19283D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center"/>
          </w:tcPr>
          <w:p w14:paraId="0DCC66FD">
            <w:pPr>
              <w:pStyle w:val="68"/>
              <w:ind w:firstLine="0" w:firstLineChars="0"/>
              <w:jc w:val="center"/>
              <w:rPr>
                <w:sz w:val="15"/>
                <w:szCs w:val="15"/>
              </w:rPr>
            </w:pPr>
            <w:r>
              <w:rPr>
                <w:sz w:val="15"/>
                <w:szCs w:val="15"/>
              </w:rPr>
              <w:t>2</w:t>
            </w:r>
          </w:p>
        </w:tc>
        <w:tc>
          <w:tcPr>
            <w:tcW w:w="0" w:type="auto"/>
            <w:vAlign w:val="center"/>
          </w:tcPr>
          <w:p w14:paraId="7597B74C">
            <w:pPr>
              <w:pStyle w:val="68"/>
              <w:ind w:firstLine="0" w:firstLineChars="0"/>
              <w:jc w:val="center"/>
              <w:rPr>
                <w:sz w:val="15"/>
                <w:szCs w:val="15"/>
              </w:rPr>
            </w:pPr>
            <w:r>
              <w:rPr>
                <w:sz w:val="15"/>
                <w:szCs w:val="15"/>
              </w:rPr>
              <w:t>1345.457</w:t>
            </w:r>
          </w:p>
        </w:tc>
        <w:tc>
          <w:tcPr>
            <w:tcW w:w="0" w:type="auto"/>
            <w:vAlign w:val="center"/>
          </w:tcPr>
          <w:p w14:paraId="585FD213">
            <w:pPr>
              <w:pStyle w:val="68"/>
              <w:ind w:firstLine="0" w:firstLineChars="0"/>
              <w:jc w:val="center"/>
              <w:rPr>
                <w:sz w:val="15"/>
                <w:szCs w:val="15"/>
              </w:rPr>
            </w:pPr>
            <w:r>
              <w:rPr>
                <w:sz w:val="15"/>
                <w:szCs w:val="15"/>
              </w:rPr>
              <w:t>99.39</w:t>
            </w:r>
          </w:p>
        </w:tc>
        <w:tc>
          <w:tcPr>
            <w:tcW w:w="0" w:type="auto"/>
            <w:vAlign w:val="center"/>
          </w:tcPr>
          <w:p w14:paraId="6F0AF94B">
            <w:pPr>
              <w:pStyle w:val="68"/>
              <w:ind w:firstLine="0" w:firstLineChars="0"/>
              <w:jc w:val="center"/>
              <w:rPr>
                <w:sz w:val="15"/>
                <w:szCs w:val="15"/>
              </w:rPr>
            </w:pPr>
            <w:r>
              <w:rPr>
                <w:sz w:val="15"/>
                <w:szCs w:val="15"/>
              </w:rPr>
              <w:t>0.60</w:t>
            </w:r>
          </w:p>
        </w:tc>
        <w:tc>
          <w:tcPr>
            <w:tcW w:w="0" w:type="auto"/>
            <w:vAlign w:val="center"/>
          </w:tcPr>
          <w:p w14:paraId="130A9CA6">
            <w:pPr>
              <w:pStyle w:val="68"/>
              <w:ind w:firstLine="0" w:firstLineChars="0"/>
              <w:jc w:val="center"/>
              <w:rPr>
                <w:sz w:val="15"/>
                <w:szCs w:val="15"/>
              </w:rPr>
            </w:pPr>
            <w:r>
              <w:rPr>
                <w:sz w:val="15"/>
                <w:szCs w:val="15"/>
              </w:rPr>
              <w:t>0.01</w:t>
            </w:r>
          </w:p>
        </w:tc>
      </w:tr>
      <w:tr w14:paraId="0890BD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tcBorders>
              <w:bottom w:val="single" w:color="auto" w:sz="12" w:space="0"/>
            </w:tcBorders>
            <w:vAlign w:val="center"/>
          </w:tcPr>
          <w:p w14:paraId="37BC31FC">
            <w:pPr>
              <w:pStyle w:val="68"/>
              <w:ind w:firstLine="0" w:firstLineChars="0"/>
              <w:jc w:val="center"/>
              <w:rPr>
                <w:sz w:val="15"/>
                <w:szCs w:val="15"/>
              </w:rPr>
            </w:pPr>
            <w:r>
              <w:rPr>
                <w:sz w:val="15"/>
                <w:szCs w:val="15"/>
              </w:rPr>
              <w:t>3</w:t>
            </w:r>
          </w:p>
        </w:tc>
        <w:tc>
          <w:tcPr>
            <w:tcW w:w="0" w:type="auto"/>
            <w:tcBorders>
              <w:bottom w:val="single" w:color="auto" w:sz="12" w:space="0"/>
            </w:tcBorders>
            <w:vAlign w:val="center"/>
          </w:tcPr>
          <w:p w14:paraId="49D664D7">
            <w:pPr>
              <w:pStyle w:val="68"/>
              <w:ind w:firstLine="0" w:firstLineChars="0"/>
              <w:jc w:val="center"/>
              <w:rPr>
                <w:sz w:val="15"/>
                <w:szCs w:val="15"/>
              </w:rPr>
            </w:pPr>
            <w:r>
              <w:rPr>
                <w:sz w:val="15"/>
                <w:szCs w:val="15"/>
              </w:rPr>
              <w:t>1433.553</w:t>
            </w:r>
          </w:p>
        </w:tc>
        <w:tc>
          <w:tcPr>
            <w:tcW w:w="0" w:type="auto"/>
            <w:tcBorders>
              <w:bottom w:val="single" w:color="auto" w:sz="12" w:space="0"/>
            </w:tcBorders>
            <w:vAlign w:val="center"/>
          </w:tcPr>
          <w:p w14:paraId="40E77335">
            <w:pPr>
              <w:pStyle w:val="68"/>
              <w:ind w:firstLine="0" w:firstLineChars="0"/>
              <w:jc w:val="center"/>
              <w:rPr>
                <w:sz w:val="15"/>
                <w:szCs w:val="15"/>
              </w:rPr>
            </w:pPr>
            <w:r>
              <w:rPr>
                <w:sz w:val="15"/>
                <w:szCs w:val="15"/>
              </w:rPr>
              <w:t>99.44</w:t>
            </w:r>
          </w:p>
        </w:tc>
        <w:tc>
          <w:tcPr>
            <w:tcW w:w="0" w:type="auto"/>
            <w:tcBorders>
              <w:bottom w:val="single" w:color="auto" w:sz="12" w:space="0"/>
            </w:tcBorders>
            <w:vAlign w:val="center"/>
          </w:tcPr>
          <w:p w14:paraId="0A3B8FB3">
            <w:pPr>
              <w:pStyle w:val="68"/>
              <w:ind w:firstLine="0" w:firstLineChars="0"/>
              <w:jc w:val="center"/>
              <w:rPr>
                <w:sz w:val="15"/>
                <w:szCs w:val="15"/>
              </w:rPr>
            </w:pPr>
            <w:r>
              <w:rPr>
                <w:sz w:val="15"/>
                <w:szCs w:val="15"/>
              </w:rPr>
              <w:t>0.55</w:t>
            </w:r>
          </w:p>
        </w:tc>
        <w:tc>
          <w:tcPr>
            <w:tcW w:w="0" w:type="auto"/>
            <w:tcBorders>
              <w:bottom w:val="single" w:color="auto" w:sz="12" w:space="0"/>
            </w:tcBorders>
            <w:vAlign w:val="center"/>
          </w:tcPr>
          <w:p w14:paraId="2A047888">
            <w:pPr>
              <w:pStyle w:val="68"/>
              <w:ind w:firstLine="0" w:firstLineChars="0"/>
              <w:jc w:val="center"/>
              <w:rPr>
                <w:sz w:val="15"/>
                <w:szCs w:val="15"/>
              </w:rPr>
            </w:pPr>
            <w:r>
              <w:rPr>
                <w:sz w:val="15"/>
                <w:szCs w:val="15"/>
              </w:rPr>
              <w:t>0.01</w:t>
            </w:r>
          </w:p>
        </w:tc>
      </w:tr>
    </w:tbl>
    <w:p w14:paraId="33B7CF95"/>
    <w:tbl>
      <w:tblPr>
        <w:tblStyle w:val="86"/>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496"/>
        <w:gridCol w:w="2496"/>
        <w:gridCol w:w="2496"/>
        <w:gridCol w:w="1072"/>
      </w:tblGrid>
      <w:tr w14:paraId="089EC3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bottom"/>
          </w:tcPr>
          <w:p w14:paraId="3C6BE609">
            <w:pPr>
              <w:pStyle w:val="68"/>
              <w:widowControl w:val="0"/>
              <w:ind w:firstLine="0" w:firstLineChars="0"/>
              <w:jc w:val="center"/>
            </w:pPr>
            <w:r>
              <w:drawing>
                <wp:inline distT="0" distB="0" distL="0" distR="0">
                  <wp:extent cx="1439545" cy="1085850"/>
                  <wp:effectExtent l="0" t="0" r="825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07"/>
                          <a:stretch>
                            <a:fillRect/>
                          </a:stretch>
                        </pic:blipFill>
                        <pic:spPr>
                          <a:xfrm>
                            <a:off x="0" y="0"/>
                            <a:ext cx="1440000" cy="1086171"/>
                          </a:xfrm>
                          <a:prstGeom prst="rect">
                            <a:avLst/>
                          </a:prstGeom>
                        </pic:spPr>
                      </pic:pic>
                    </a:graphicData>
                  </a:graphic>
                </wp:inline>
              </w:drawing>
            </w:r>
          </w:p>
        </w:tc>
        <w:tc>
          <w:tcPr>
            <w:tcW w:w="0" w:type="auto"/>
            <w:vAlign w:val="bottom"/>
          </w:tcPr>
          <w:p w14:paraId="1264C7C8">
            <w:pPr>
              <w:pStyle w:val="68"/>
              <w:widowControl w:val="0"/>
              <w:ind w:firstLine="0" w:firstLineChars="0"/>
              <w:jc w:val="center"/>
            </w:pPr>
            <w:r>
              <w:drawing>
                <wp:inline distT="0" distB="0" distL="0" distR="0">
                  <wp:extent cx="1439545" cy="2131060"/>
                  <wp:effectExtent l="0" t="0" r="8255" b="254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08"/>
                          <a:stretch>
                            <a:fillRect/>
                          </a:stretch>
                        </pic:blipFill>
                        <pic:spPr>
                          <a:xfrm>
                            <a:off x="0" y="0"/>
                            <a:ext cx="1440000" cy="2131200"/>
                          </a:xfrm>
                          <a:prstGeom prst="rect">
                            <a:avLst/>
                          </a:prstGeom>
                        </pic:spPr>
                      </pic:pic>
                    </a:graphicData>
                  </a:graphic>
                </wp:inline>
              </w:drawing>
            </w:r>
          </w:p>
        </w:tc>
        <w:tc>
          <w:tcPr>
            <w:tcW w:w="0" w:type="auto"/>
            <w:vAlign w:val="bottom"/>
          </w:tcPr>
          <w:p w14:paraId="3F50F556">
            <w:pPr>
              <w:pStyle w:val="68"/>
              <w:widowControl w:val="0"/>
              <w:ind w:firstLine="0" w:firstLineChars="0"/>
              <w:jc w:val="center"/>
            </w:pPr>
            <w:r>
              <w:drawing>
                <wp:inline distT="0" distB="0" distL="0" distR="0">
                  <wp:extent cx="1439545" cy="2393950"/>
                  <wp:effectExtent l="0" t="0" r="8255" b="635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09"/>
                          <a:stretch>
                            <a:fillRect/>
                          </a:stretch>
                        </pic:blipFill>
                        <pic:spPr>
                          <a:xfrm>
                            <a:off x="0" y="0"/>
                            <a:ext cx="1440000" cy="2394514"/>
                          </a:xfrm>
                          <a:prstGeom prst="rect">
                            <a:avLst/>
                          </a:prstGeom>
                        </pic:spPr>
                      </pic:pic>
                    </a:graphicData>
                  </a:graphic>
                </wp:inline>
              </w:drawing>
            </w:r>
          </w:p>
        </w:tc>
        <w:tc>
          <w:tcPr>
            <w:tcW w:w="0" w:type="auto"/>
            <w:vAlign w:val="center"/>
          </w:tcPr>
          <w:p w14:paraId="1FE0A821">
            <w:pPr>
              <w:pStyle w:val="68"/>
              <w:widowControl w:val="0"/>
              <w:ind w:firstLine="0" w:firstLineChars="0"/>
              <w:jc w:val="center"/>
            </w:pPr>
            <w:r>
              <w:rPr>
                <w:rFonts w:hint="eastAsia"/>
              </w:rPr>
              <w:drawing>
                <wp:inline distT="0" distB="0" distL="0" distR="0">
                  <wp:extent cx="543560" cy="125984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10"/>
                          <a:stretch>
                            <a:fillRect/>
                          </a:stretch>
                        </pic:blipFill>
                        <pic:spPr>
                          <a:xfrm>
                            <a:off x="0" y="0"/>
                            <a:ext cx="543600" cy="1260000"/>
                          </a:xfrm>
                          <a:prstGeom prst="rect">
                            <a:avLst/>
                          </a:prstGeom>
                        </pic:spPr>
                      </pic:pic>
                    </a:graphicData>
                  </a:graphic>
                </wp:inline>
              </w:drawing>
            </w:r>
          </w:p>
        </w:tc>
      </w:tr>
      <w:tr w14:paraId="0D9D9A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bottom"/>
          </w:tcPr>
          <w:p w14:paraId="5D438082">
            <w:pPr>
              <w:pStyle w:val="68"/>
              <w:widowControl w:val="0"/>
              <w:ind w:firstLine="0" w:firstLineChars="0"/>
              <w:jc w:val="center"/>
            </w:pPr>
            <w:r>
              <w:rPr>
                <w:rFonts w:hint="eastAsia"/>
                <w:sz w:val="15"/>
                <w:szCs w:val="15"/>
              </w:rPr>
              <w:t>（a）工况</w:t>
            </w:r>
            <w:r>
              <w:rPr>
                <w:sz w:val="15"/>
                <w:szCs w:val="15"/>
              </w:rPr>
              <w:t>1-</w:t>
            </w:r>
            <w:r>
              <w:rPr>
                <w:rFonts w:hint="eastAsia"/>
                <w:sz w:val="15"/>
                <w:szCs w:val="15"/>
              </w:rPr>
              <w:t>E</w:t>
            </w:r>
            <w:r>
              <w:rPr>
                <w:sz w:val="15"/>
                <w:szCs w:val="15"/>
              </w:rPr>
              <w:t>PDD</w:t>
            </w:r>
          </w:p>
        </w:tc>
        <w:tc>
          <w:tcPr>
            <w:tcW w:w="0" w:type="auto"/>
            <w:vAlign w:val="bottom"/>
          </w:tcPr>
          <w:p w14:paraId="01A5F36A">
            <w:pPr>
              <w:pStyle w:val="68"/>
              <w:widowControl w:val="0"/>
              <w:ind w:firstLine="0" w:firstLineChars="0"/>
              <w:jc w:val="center"/>
            </w:pPr>
            <w:r>
              <w:rPr>
                <w:rFonts w:hint="eastAsia"/>
                <w:sz w:val="15"/>
                <w:szCs w:val="15"/>
              </w:rPr>
              <w:t>（b）工况</w:t>
            </w:r>
            <w:r>
              <w:rPr>
                <w:sz w:val="15"/>
                <w:szCs w:val="15"/>
              </w:rPr>
              <w:t>2-</w:t>
            </w:r>
            <w:r>
              <w:rPr>
                <w:rFonts w:hint="eastAsia"/>
                <w:sz w:val="15"/>
                <w:szCs w:val="15"/>
              </w:rPr>
              <w:t>E</w:t>
            </w:r>
            <w:r>
              <w:rPr>
                <w:sz w:val="15"/>
                <w:szCs w:val="15"/>
              </w:rPr>
              <w:t>PDD</w:t>
            </w:r>
          </w:p>
        </w:tc>
        <w:tc>
          <w:tcPr>
            <w:tcW w:w="0" w:type="auto"/>
            <w:vAlign w:val="bottom"/>
          </w:tcPr>
          <w:p w14:paraId="5677EA78">
            <w:pPr>
              <w:pStyle w:val="68"/>
              <w:widowControl w:val="0"/>
              <w:ind w:firstLine="0" w:firstLineChars="0"/>
              <w:jc w:val="center"/>
            </w:pPr>
            <w:r>
              <w:rPr>
                <w:rFonts w:hint="eastAsia"/>
                <w:sz w:val="15"/>
                <w:szCs w:val="15"/>
              </w:rPr>
              <w:t>（c）工况</w:t>
            </w:r>
            <w:r>
              <w:rPr>
                <w:sz w:val="15"/>
                <w:szCs w:val="15"/>
              </w:rPr>
              <w:t>3-</w:t>
            </w:r>
            <w:r>
              <w:rPr>
                <w:rFonts w:hint="eastAsia"/>
                <w:sz w:val="15"/>
                <w:szCs w:val="15"/>
              </w:rPr>
              <w:t>E</w:t>
            </w:r>
            <w:r>
              <w:rPr>
                <w:sz w:val="15"/>
                <w:szCs w:val="15"/>
              </w:rPr>
              <w:t>PDD</w:t>
            </w:r>
          </w:p>
        </w:tc>
        <w:tc>
          <w:tcPr>
            <w:tcW w:w="0" w:type="auto"/>
            <w:vAlign w:val="center"/>
          </w:tcPr>
          <w:p w14:paraId="516AE9F1">
            <w:pPr>
              <w:pStyle w:val="68"/>
              <w:widowControl w:val="0"/>
              <w:ind w:firstLine="0" w:firstLineChars="0"/>
              <w:jc w:val="center"/>
            </w:pPr>
          </w:p>
        </w:tc>
      </w:tr>
      <w:tr w14:paraId="2D2429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bottom"/>
          </w:tcPr>
          <w:p w14:paraId="6B088E99">
            <w:pPr>
              <w:pStyle w:val="68"/>
              <w:widowControl w:val="0"/>
              <w:ind w:firstLine="0" w:firstLineChars="0"/>
              <w:jc w:val="center"/>
            </w:pPr>
            <w:r>
              <w:drawing>
                <wp:inline distT="0" distB="0" distL="0" distR="0">
                  <wp:extent cx="1439545" cy="1085850"/>
                  <wp:effectExtent l="0" t="0" r="8255" b="0"/>
                  <wp:docPr id="2048770305" name="图片 204877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0305" name="图片 2048770305"/>
                          <pic:cNvPicPr>
                            <a:picLocks noChangeAspect="1"/>
                          </pic:cNvPicPr>
                        </pic:nvPicPr>
                        <pic:blipFill>
                          <a:blip r:embed="rId111"/>
                          <a:stretch>
                            <a:fillRect/>
                          </a:stretch>
                        </pic:blipFill>
                        <pic:spPr>
                          <a:xfrm>
                            <a:off x="0" y="0"/>
                            <a:ext cx="1440000" cy="1086171"/>
                          </a:xfrm>
                          <a:prstGeom prst="rect">
                            <a:avLst/>
                          </a:prstGeom>
                        </pic:spPr>
                      </pic:pic>
                    </a:graphicData>
                  </a:graphic>
                </wp:inline>
              </w:drawing>
            </w:r>
          </w:p>
        </w:tc>
        <w:tc>
          <w:tcPr>
            <w:tcW w:w="0" w:type="auto"/>
            <w:vAlign w:val="bottom"/>
          </w:tcPr>
          <w:p w14:paraId="425371BA">
            <w:pPr>
              <w:pStyle w:val="68"/>
              <w:widowControl w:val="0"/>
              <w:ind w:firstLine="0" w:firstLineChars="0"/>
              <w:jc w:val="center"/>
            </w:pPr>
            <w:r>
              <w:drawing>
                <wp:inline distT="0" distB="0" distL="0" distR="0">
                  <wp:extent cx="1439545" cy="2131060"/>
                  <wp:effectExtent l="0" t="0" r="0" b="254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12"/>
                          <a:stretch>
                            <a:fillRect/>
                          </a:stretch>
                        </pic:blipFill>
                        <pic:spPr>
                          <a:xfrm>
                            <a:off x="0" y="0"/>
                            <a:ext cx="1440000" cy="2131200"/>
                          </a:xfrm>
                          <a:prstGeom prst="rect">
                            <a:avLst/>
                          </a:prstGeom>
                        </pic:spPr>
                      </pic:pic>
                    </a:graphicData>
                  </a:graphic>
                </wp:inline>
              </w:drawing>
            </w:r>
          </w:p>
        </w:tc>
        <w:tc>
          <w:tcPr>
            <w:tcW w:w="0" w:type="auto"/>
            <w:vAlign w:val="bottom"/>
          </w:tcPr>
          <w:p w14:paraId="163EC703">
            <w:pPr>
              <w:pStyle w:val="68"/>
              <w:widowControl w:val="0"/>
              <w:ind w:firstLine="0" w:firstLineChars="0"/>
              <w:jc w:val="center"/>
            </w:pPr>
            <w:r>
              <w:drawing>
                <wp:inline distT="0" distB="0" distL="0" distR="0">
                  <wp:extent cx="1439545" cy="2393950"/>
                  <wp:effectExtent l="0" t="0" r="8255" b="635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13"/>
                          <a:stretch>
                            <a:fillRect/>
                          </a:stretch>
                        </pic:blipFill>
                        <pic:spPr>
                          <a:xfrm>
                            <a:off x="0" y="0"/>
                            <a:ext cx="1440000" cy="2394514"/>
                          </a:xfrm>
                          <a:prstGeom prst="rect">
                            <a:avLst/>
                          </a:prstGeom>
                        </pic:spPr>
                      </pic:pic>
                    </a:graphicData>
                  </a:graphic>
                </wp:inline>
              </w:drawing>
            </w:r>
          </w:p>
        </w:tc>
        <w:tc>
          <w:tcPr>
            <w:tcW w:w="0" w:type="auto"/>
            <w:vAlign w:val="center"/>
          </w:tcPr>
          <w:p w14:paraId="01657AC9">
            <w:pPr>
              <w:pStyle w:val="68"/>
              <w:widowControl w:val="0"/>
              <w:ind w:firstLine="0" w:firstLineChars="0"/>
              <w:jc w:val="center"/>
            </w:pPr>
            <w:r>
              <w:rPr>
                <w:rFonts w:hint="eastAsia"/>
              </w:rPr>
              <w:drawing>
                <wp:inline distT="0" distB="0" distL="0" distR="0">
                  <wp:extent cx="543560" cy="125984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14"/>
                          <a:stretch>
                            <a:fillRect/>
                          </a:stretch>
                        </pic:blipFill>
                        <pic:spPr>
                          <a:xfrm>
                            <a:off x="0" y="0"/>
                            <a:ext cx="543600" cy="1260000"/>
                          </a:xfrm>
                          <a:prstGeom prst="rect">
                            <a:avLst/>
                          </a:prstGeom>
                        </pic:spPr>
                      </pic:pic>
                    </a:graphicData>
                  </a:graphic>
                </wp:inline>
              </w:drawing>
            </w:r>
          </w:p>
        </w:tc>
      </w:tr>
      <w:tr w14:paraId="7DFF2E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bottom"/>
          </w:tcPr>
          <w:p w14:paraId="69478BD9">
            <w:pPr>
              <w:pStyle w:val="68"/>
              <w:widowControl w:val="0"/>
              <w:ind w:firstLine="0" w:firstLineChars="0"/>
              <w:jc w:val="center"/>
            </w:pPr>
            <w:r>
              <w:rPr>
                <w:rFonts w:hint="eastAsia"/>
                <w:sz w:val="15"/>
                <w:szCs w:val="15"/>
              </w:rPr>
              <w:t>（d）工况</w:t>
            </w:r>
            <w:r>
              <w:rPr>
                <w:sz w:val="15"/>
                <w:szCs w:val="15"/>
              </w:rPr>
              <w:t>1-</w:t>
            </w:r>
            <w:r>
              <w:rPr>
                <w:rFonts w:hint="eastAsia"/>
                <w:sz w:val="15"/>
                <w:szCs w:val="15"/>
              </w:rPr>
              <w:t>E</w:t>
            </w:r>
            <w:r>
              <w:rPr>
                <w:sz w:val="15"/>
                <w:szCs w:val="15"/>
              </w:rPr>
              <w:t>PTD</w:t>
            </w:r>
          </w:p>
        </w:tc>
        <w:tc>
          <w:tcPr>
            <w:tcW w:w="0" w:type="auto"/>
            <w:vAlign w:val="bottom"/>
          </w:tcPr>
          <w:p w14:paraId="78CCEEFA">
            <w:pPr>
              <w:pStyle w:val="68"/>
              <w:widowControl w:val="0"/>
              <w:ind w:firstLine="0" w:firstLineChars="0"/>
              <w:jc w:val="center"/>
            </w:pPr>
            <w:r>
              <w:rPr>
                <w:rFonts w:hint="eastAsia"/>
                <w:sz w:val="15"/>
                <w:szCs w:val="15"/>
              </w:rPr>
              <w:t>（</w:t>
            </w:r>
            <w:r>
              <w:rPr>
                <w:sz w:val="15"/>
                <w:szCs w:val="15"/>
              </w:rPr>
              <w:t>e</w:t>
            </w:r>
            <w:r>
              <w:rPr>
                <w:rFonts w:hint="eastAsia"/>
                <w:sz w:val="15"/>
                <w:szCs w:val="15"/>
              </w:rPr>
              <w:t>）工况</w:t>
            </w:r>
            <w:r>
              <w:rPr>
                <w:sz w:val="15"/>
                <w:szCs w:val="15"/>
              </w:rPr>
              <w:t>2-</w:t>
            </w:r>
            <w:r>
              <w:rPr>
                <w:rFonts w:hint="eastAsia"/>
                <w:sz w:val="15"/>
                <w:szCs w:val="15"/>
              </w:rPr>
              <w:t>E</w:t>
            </w:r>
            <w:r>
              <w:rPr>
                <w:sz w:val="15"/>
                <w:szCs w:val="15"/>
              </w:rPr>
              <w:t>PTD</w:t>
            </w:r>
          </w:p>
        </w:tc>
        <w:tc>
          <w:tcPr>
            <w:tcW w:w="0" w:type="auto"/>
            <w:vAlign w:val="bottom"/>
          </w:tcPr>
          <w:p w14:paraId="68F8E348">
            <w:pPr>
              <w:pStyle w:val="68"/>
              <w:widowControl w:val="0"/>
              <w:ind w:firstLine="0" w:firstLineChars="0"/>
              <w:jc w:val="center"/>
            </w:pPr>
            <w:r>
              <w:rPr>
                <w:rFonts w:hint="eastAsia"/>
                <w:sz w:val="15"/>
                <w:szCs w:val="15"/>
              </w:rPr>
              <w:t>（</w:t>
            </w:r>
            <w:r>
              <w:rPr>
                <w:sz w:val="15"/>
                <w:szCs w:val="15"/>
              </w:rPr>
              <w:t>f</w:t>
            </w:r>
            <w:r>
              <w:rPr>
                <w:rFonts w:hint="eastAsia"/>
                <w:sz w:val="15"/>
                <w:szCs w:val="15"/>
              </w:rPr>
              <w:t>）工况</w:t>
            </w:r>
            <w:r>
              <w:rPr>
                <w:sz w:val="15"/>
                <w:szCs w:val="15"/>
              </w:rPr>
              <w:t>3-</w:t>
            </w:r>
            <w:r>
              <w:rPr>
                <w:rFonts w:hint="eastAsia"/>
                <w:sz w:val="15"/>
                <w:szCs w:val="15"/>
              </w:rPr>
              <w:t>E</w:t>
            </w:r>
            <w:r>
              <w:rPr>
                <w:sz w:val="15"/>
                <w:szCs w:val="15"/>
              </w:rPr>
              <w:t>PTD</w:t>
            </w:r>
          </w:p>
        </w:tc>
        <w:tc>
          <w:tcPr>
            <w:tcW w:w="0" w:type="auto"/>
            <w:vAlign w:val="center"/>
          </w:tcPr>
          <w:p w14:paraId="2F3421BD">
            <w:pPr>
              <w:pStyle w:val="68"/>
              <w:widowControl w:val="0"/>
              <w:ind w:firstLine="0" w:firstLineChars="0"/>
              <w:jc w:val="center"/>
            </w:pPr>
          </w:p>
        </w:tc>
      </w:tr>
      <w:tr w14:paraId="126D9E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bottom"/>
          </w:tcPr>
          <w:p w14:paraId="1A0F4FE0">
            <w:pPr>
              <w:pStyle w:val="68"/>
              <w:widowControl w:val="0"/>
              <w:ind w:firstLine="0" w:firstLineChars="0"/>
              <w:jc w:val="center"/>
            </w:pPr>
            <w:r>
              <w:drawing>
                <wp:inline distT="0" distB="0" distL="0" distR="0">
                  <wp:extent cx="1439545" cy="1085850"/>
                  <wp:effectExtent l="0" t="0" r="8255" b="0"/>
                  <wp:docPr id="2048770306" name="图片 204877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0306" name="图片 2048770306"/>
                          <pic:cNvPicPr>
                            <a:picLocks noChangeAspect="1"/>
                          </pic:cNvPicPr>
                        </pic:nvPicPr>
                        <pic:blipFill>
                          <a:blip r:embed="rId115"/>
                          <a:stretch>
                            <a:fillRect/>
                          </a:stretch>
                        </pic:blipFill>
                        <pic:spPr>
                          <a:xfrm>
                            <a:off x="0" y="0"/>
                            <a:ext cx="1440000" cy="1086171"/>
                          </a:xfrm>
                          <a:prstGeom prst="rect">
                            <a:avLst/>
                          </a:prstGeom>
                        </pic:spPr>
                      </pic:pic>
                    </a:graphicData>
                  </a:graphic>
                </wp:inline>
              </w:drawing>
            </w:r>
          </w:p>
        </w:tc>
        <w:tc>
          <w:tcPr>
            <w:tcW w:w="0" w:type="auto"/>
            <w:vAlign w:val="bottom"/>
          </w:tcPr>
          <w:p w14:paraId="587813A6">
            <w:pPr>
              <w:pStyle w:val="68"/>
              <w:widowControl w:val="0"/>
              <w:ind w:firstLine="0" w:firstLineChars="0"/>
              <w:jc w:val="center"/>
            </w:pPr>
            <w:r>
              <w:drawing>
                <wp:inline distT="0" distB="0" distL="0" distR="0">
                  <wp:extent cx="1439545" cy="2131060"/>
                  <wp:effectExtent l="0" t="0" r="8255" b="2540"/>
                  <wp:docPr id="2048770304" name="图片 204877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0304" name="图片 2048770304"/>
                          <pic:cNvPicPr>
                            <a:picLocks noChangeAspect="1"/>
                          </pic:cNvPicPr>
                        </pic:nvPicPr>
                        <pic:blipFill>
                          <a:blip r:embed="rId116"/>
                          <a:stretch>
                            <a:fillRect/>
                          </a:stretch>
                        </pic:blipFill>
                        <pic:spPr>
                          <a:xfrm>
                            <a:off x="0" y="0"/>
                            <a:ext cx="1440000" cy="2131200"/>
                          </a:xfrm>
                          <a:prstGeom prst="rect">
                            <a:avLst/>
                          </a:prstGeom>
                        </pic:spPr>
                      </pic:pic>
                    </a:graphicData>
                  </a:graphic>
                </wp:inline>
              </w:drawing>
            </w:r>
          </w:p>
        </w:tc>
        <w:tc>
          <w:tcPr>
            <w:tcW w:w="0" w:type="auto"/>
            <w:vAlign w:val="bottom"/>
          </w:tcPr>
          <w:p w14:paraId="1196A7E4">
            <w:pPr>
              <w:pStyle w:val="68"/>
              <w:widowControl w:val="0"/>
              <w:ind w:firstLine="0" w:firstLineChars="0"/>
              <w:jc w:val="center"/>
            </w:pPr>
            <w:r>
              <w:drawing>
                <wp:inline distT="0" distB="0" distL="0" distR="0">
                  <wp:extent cx="1439545" cy="2393950"/>
                  <wp:effectExtent l="0" t="0" r="8255"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7"/>
                          <a:stretch>
                            <a:fillRect/>
                          </a:stretch>
                        </pic:blipFill>
                        <pic:spPr>
                          <a:xfrm>
                            <a:off x="0" y="0"/>
                            <a:ext cx="1440000" cy="2394514"/>
                          </a:xfrm>
                          <a:prstGeom prst="rect">
                            <a:avLst/>
                          </a:prstGeom>
                        </pic:spPr>
                      </pic:pic>
                    </a:graphicData>
                  </a:graphic>
                </wp:inline>
              </w:drawing>
            </w:r>
          </w:p>
        </w:tc>
        <w:tc>
          <w:tcPr>
            <w:tcW w:w="0" w:type="auto"/>
            <w:vAlign w:val="center"/>
          </w:tcPr>
          <w:p w14:paraId="5BB38E79">
            <w:pPr>
              <w:pStyle w:val="68"/>
              <w:keepNext/>
              <w:widowControl w:val="0"/>
              <w:ind w:firstLine="0" w:firstLineChars="0"/>
              <w:jc w:val="center"/>
            </w:pPr>
            <w:r>
              <w:rPr>
                <w:rFonts w:hint="eastAsia"/>
              </w:rPr>
              <w:drawing>
                <wp:inline distT="0" distB="0" distL="0" distR="0">
                  <wp:extent cx="543560" cy="125984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18"/>
                          <a:stretch>
                            <a:fillRect/>
                          </a:stretch>
                        </pic:blipFill>
                        <pic:spPr>
                          <a:xfrm>
                            <a:off x="0" y="0"/>
                            <a:ext cx="543600" cy="1260000"/>
                          </a:xfrm>
                          <a:prstGeom prst="rect">
                            <a:avLst/>
                          </a:prstGeom>
                        </pic:spPr>
                      </pic:pic>
                    </a:graphicData>
                  </a:graphic>
                </wp:inline>
              </w:drawing>
            </w:r>
          </w:p>
        </w:tc>
      </w:tr>
      <w:tr w14:paraId="2BC1E2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bottom"/>
          </w:tcPr>
          <w:p w14:paraId="50E9449F">
            <w:pPr>
              <w:pStyle w:val="68"/>
              <w:widowControl w:val="0"/>
              <w:ind w:firstLine="0" w:firstLineChars="0"/>
              <w:jc w:val="center"/>
            </w:pPr>
            <w:r>
              <w:rPr>
                <w:rFonts w:hint="eastAsia"/>
                <w:sz w:val="15"/>
                <w:szCs w:val="15"/>
              </w:rPr>
              <w:t>（</w:t>
            </w:r>
            <w:r>
              <w:rPr>
                <w:sz w:val="15"/>
                <w:szCs w:val="15"/>
              </w:rPr>
              <w:t>g</w:t>
            </w:r>
            <w:r>
              <w:rPr>
                <w:rFonts w:hint="eastAsia"/>
                <w:sz w:val="15"/>
                <w:szCs w:val="15"/>
              </w:rPr>
              <w:t>）工况</w:t>
            </w:r>
            <w:r>
              <w:rPr>
                <w:sz w:val="15"/>
                <w:szCs w:val="15"/>
              </w:rPr>
              <w:t>1-</w:t>
            </w:r>
            <w:r>
              <w:rPr>
                <w:rFonts w:hint="eastAsia"/>
                <w:sz w:val="15"/>
                <w:szCs w:val="15"/>
              </w:rPr>
              <w:t>E</w:t>
            </w:r>
            <w:r>
              <w:rPr>
                <w:sz w:val="15"/>
                <w:szCs w:val="15"/>
              </w:rPr>
              <w:t>PWS</w:t>
            </w:r>
          </w:p>
        </w:tc>
        <w:tc>
          <w:tcPr>
            <w:tcW w:w="0" w:type="auto"/>
            <w:vAlign w:val="bottom"/>
          </w:tcPr>
          <w:p w14:paraId="1FFA613A">
            <w:pPr>
              <w:pStyle w:val="68"/>
              <w:widowControl w:val="0"/>
              <w:ind w:firstLine="0" w:firstLineChars="0"/>
              <w:jc w:val="center"/>
            </w:pPr>
            <w:r>
              <w:rPr>
                <w:rFonts w:hint="eastAsia"/>
                <w:sz w:val="15"/>
                <w:szCs w:val="15"/>
              </w:rPr>
              <w:t>（</w:t>
            </w:r>
            <w:r>
              <w:rPr>
                <w:sz w:val="15"/>
                <w:szCs w:val="15"/>
              </w:rPr>
              <w:t>h</w:t>
            </w:r>
            <w:r>
              <w:rPr>
                <w:rFonts w:hint="eastAsia"/>
                <w:sz w:val="15"/>
                <w:szCs w:val="15"/>
              </w:rPr>
              <w:t>）工况</w:t>
            </w:r>
            <w:r>
              <w:rPr>
                <w:sz w:val="15"/>
                <w:szCs w:val="15"/>
              </w:rPr>
              <w:t>2-</w:t>
            </w:r>
            <w:r>
              <w:rPr>
                <w:rFonts w:hint="eastAsia"/>
                <w:sz w:val="15"/>
                <w:szCs w:val="15"/>
              </w:rPr>
              <w:t>E</w:t>
            </w:r>
            <w:r>
              <w:rPr>
                <w:sz w:val="15"/>
                <w:szCs w:val="15"/>
              </w:rPr>
              <w:t>PWS</w:t>
            </w:r>
          </w:p>
        </w:tc>
        <w:tc>
          <w:tcPr>
            <w:tcW w:w="0" w:type="auto"/>
            <w:vAlign w:val="bottom"/>
          </w:tcPr>
          <w:p w14:paraId="6370C343">
            <w:pPr>
              <w:pStyle w:val="68"/>
              <w:widowControl w:val="0"/>
              <w:ind w:firstLine="0" w:firstLineChars="0"/>
              <w:jc w:val="center"/>
            </w:pPr>
            <w:r>
              <w:rPr>
                <w:rFonts w:hint="eastAsia"/>
                <w:sz w:val="15"/>
                <w:szCs w:val="15"/>
              </w:rPr>
              <w:t>（</w:t>
            </w:r>
            <w:r>
              <w:rPr>
                <w:sz w:val="15"/>
                <w:szCs w:val="15"/>
              </w:rPr>
              <w:t>i</w:t>
            </w:r>
            <w:r>
              <w:rPr>
                <w:rFonts w:hint="eastAsia"/>
                <w:sz w:val="15"/>
                <w:szCs w:val="15"/>
              </w:rPr>
              <w:t>）工况</w:t>
            </w:r>
            <w:r>
              <w:rPr>
                <w:sz w:val="15"/>
                <w:szCs w:val="15"/>
              </w:rPr>
              <w:t>3-</w:t>
            </w:r>
            <w:r>
              <w:rPr>
                <w:rFonts w:hint="eastAsia"/>
                <w:sz w:val="15"/>
                <w:szCs w:val="15"/>
              </w:rPr>
              <w:t>E</w:t>
            </w:r>
            <w:r>
              <w:rPr>
                <w:sz w:val="15"/>
                <w:szCs w:val="15"/>
              </w:rPr>
              <w:t>PWS</w:t>
            </w:r>
          </w:p>
        </w:tc>
        <w:tc>
          <w:tcPr>
            <w:tcW w:w="0" w:type="auto"/>
            <w:vAlign w:val="center"/>
          </w:tcPr>
          <w:p w14:paraId="77FFCF55">
            <w:pPr>
              <w:pStyle w:val="68"/>
              <w:keepNext/>
              <w:widowControl w:val="0"/>
              <w:ind w:firstLine="0" w:firstLineChars="0"/>
              <w:jc w:val="center"/>
            </w:pPr>
          </w:p>
        </w:tc>
      </w:tr>
    </w:tbl>
    <w:p w14:paraId="5EB767D4">
      <w:pPr>
        <w:pStyle w:val="10"/>
      </w:pPr>
      <w:r>
        <w:rPr>
          <w:rFonts w:hint="eastAsia"/>
        </w:rPr>
        <w:t>图</w:t>
      </w:r>
      <w:r>
        <w:t>13</w:t>
      </w:r>
      <w:r>
        <w:rPr>
          <w:rFonts w:hint="eastAsia"/>
        </w:rPr>
        <w:t>区域</w:t>
      </w:r>
      <w:r>
        <w:t>2熵产来源分布图</w:t>
      </w:r>
    </w:p>
    <w:p w14:paraId="6007A31E">
      <w:pPr>
        <w:pStyle w:val="10"/>
      </w:pPr>
      <w:r>
        <w:t>Fig. 1</w:t>
      </w:r>
      <w:r>
        <w:rPr>
          <w:rFonts w:hint="eastAsia"/>
          <w:lang w:val="en-US" w:eastAsia="zh-CN"/>
        </w:rPr>
        <w:t>3</w:t>
      </w:r>
      <w:r>
        <w:t xml:space="preserve"> Distribution of entropy </w:t>
      </w:r>
      <w:r>
        <w:rPr>
          <w:rFonts w:hint="eastAsia"/>
          <w:lang w:val="en-US" w:eastAsia="zh-CN"/>
        </w:rPr>
        <w:t>production</w:t>
      </w:r>
      <w:r>
        <w:t xml:space="preserve"> sources in region 2</w:t>
      </w:r>
    </w:p>
    <w:p w14:paraId="243FD5D7">
      <w:pPr>
        <w:pStyle w:val="4"/>
      </w:pPr>
      <w:r>
        <w:rPr>
          <w:rFonts w:hint="eastAsia"/>
        </w:rPr>
        <w:t>3</w:t>
      </w:r>
      <w:r>
        <w:t>.1.3</w:t>
      </w:r>
      <w:r>
        <w:rPr>
          <w:rFonts w:hint="eastAsia"/>
        </w:rPr>
        <w:t>下游管道</w:t>
      </w:r>
      <w:r>
        <w:t>（</w:t>
      </w:r>
      <w:r>
        <w:rPr>
          <w:rFonts w:hint="eastAsia"/>
        </w:rPr>
        <w:t>区域3</w:t>
      </w:r>
      <w:r>
        <w:t>）</w:t>
      </w:r>
    </w:p>
    <w:p w14:paraId="3FFB62C3">
      <w:pPr>
        <w:pStyle w:val="68"/>
        <w:ind w:firstLine="420"/>
      </w:pPr>
      <w:r>
        <w:rPr>
          <w:rFonts w:hint="eastAsia"/>
        </w:rPr>
        <w:t>下游管道</w:t>
      </w:r>
      <w:r>
        <w:t>（</w:t>
      </w:r>
      <w:r>
        <w:rPr>
          <w:rFonts w:hint="eastAsia"/>
        </w:rPr>
        <w:t>区域3</w:t>
      </w:r>
      <w:r>
        <w:t>）</w:t>
      </w:r>
      <w:r>
        <w:rPr>
          <w:rFonts w:hint="eastAsia"/>
        </w:rPr>
        <w:t>为典型有压流通道，断面与流向稳定。三种工况中总熵产均高于区域1，但略低于区域2。工况1下为7</w:t>
      </w:r>
      <w:r>
        <w:t>66</w:t>
      </w:r>
      <w:r>
        <w:rPr>
          <w:color w:val="000000"/>
          <w:shd w:val="clear" w:color="auto" w:fill="FFFFFF"/>
        </w:rPr>
        <w:t>.816</w:t>
      </w:r>
      <w:r>
        <w:t xml:space="preserve"> W·K</w:t>
      </w:r>
      <w:r>
        <w:rPr>
          <w:vertAlign w:val="superscript"/>
        </w:rPr>
        <w:t>-1</w:t>
      </w:r>
      <w:r>
        <w:rPr>
          <w:rFonts w:hint="eastAsia"/>
        </w:rPr>
        <w:t>，整体波动较小。该段熵产主要集中于管道与门井连接处，局部存在结构微变，增强了湍流卷吸与壁面剪切（见图1</w:t>
      </w:r>
      <w:r>
        <w:t>4</w:t>
      </w:r>
      <w:r>
        <w:rPr>
          <w:rFonts w:hint="eastAsia"/>
        </w:rPr>
        <w:t>）。E</w:t>
      </w:r>
      <w:r>
        <w:t>PTD</w:t>
      </w:r>
      <w:r>
        <w:rPr>
          <w:rFonts w:hint="eastAsia"/>
        </w:rPr>
        <w:t>仍占据主导地位，E</w:t>
      </w:r>
      <w:r>
        <w:t>PWS</w:t>
      </w:r>
      <w:r>
        <w:rPr>
          <w:rFonts w:hint="eastAsia"/>
        </w:rPr>
        <w:t>在贴壁区的表现增强，工况1中占比达1</w:t>
      </w:r>
      <w:r>
        <w:rPr>
          <w:color w:val="000000"/>
          <w:shd w:val="clear" w:color="auto" w:fill="FFFFFF"/>
        </w:rPr>
        <w:t>.55</w:t>
      </w:r>
      <w:r>
        <w:t>%</w:t>
      </w:r>
      <w:r>
        <w:rPr>
          <w:rFonts w:hint="eastAsia"/>
        </w:rPr>
        <w:t>（见表</w:t>
      </w:r>
      <w:r>
        <w:t>6</w:t>
      </w:r>
      <w:r>
        <w:rPr>
          <w:rFonts w:hint="eastAsia"/>
        </w:rPr>
        <w:t>）。E</w:t>
      </w:r>
      <w:r>
        <w:t>PDD</w:t>
      </w:r>
      <w:r>
        <w:rPr>
          <w:rFonts w:hint="eastAsia"/>
        </w:rPr>
        <w:t>贡献虽小，但在底部近壁层内仍可见局部积累，尤其在低速层流段表现明显。值得注意的是，在工况3中，由于</w:t>
      </w:r>
      <w:r>
        <w:rPr>
          <w:rFonts w:hint="eastAsia"/>
          <w:color w:val="000000"/>
          <w:shd w:val="clear" w:color="auto" w:fill="FFFFFF"/>
        </w:rPr>
        <w:t>上游</w:t>
      </w:r>
      <w:r>
        <w:rPr>
          <w:rFonts w:hint="eastAsia"/>
        </w:rPr>
        <w:t>门叶全部关闭，流体整体势能较高，自由落体式流动使得管道内贴壁状态更加稳定，E</w:t>
      </w:r>
      <w:r>
        <w:t>PWS</w:t>
      </w:r>
      <w:r>
        <w:rPr>
          <w:rFonts w:hint="eastAsia"/>
        </w:rPr>
        <w:t>在管壁线性增强。</w:t>
      </w:r>
    </w:p>
    <w:p w14:paraId="6522155F">
      <w:pPr>
        <w:pStyle w:val="10"/>
      </w:pPr>
      <w:r>
        <w:rPr>
          <w:rFonts w:hint="eastAsia"/>
        </w:rPr>
        <w:t>表</w:t>
      </w:r>
      <w:r>
        <w:t>6</w:t>
      </w:r>
      <w:r>
        <w:rPr>
          <w:rFonts w:hint="eastAsia"/>
        </w:rPr>
        <w:t>区域</w:t>
      </w:r>
      <w:r>
        <w:t>3各工况熵产及组成</w:t>
      </w:r>
    </w:p>
    <w:p w14:paraId="1563F6BE">
      <w:pPr>
        <w:pStyle w:val="10"/>
      </w:pPr>
      <w:r>
        <w:t xml:space="preserve">Table 6 Entropy </w:t>
      </w:r>
      <w:r>
        <w:rPr>
          <w:rFonts w:hint="eastAsia"/>
          <w:lang w:val="en-US" w:eastAsia="zh-CN"/>
        </w:rPr>
        <w:t>production</w:t>
      </w:r>
      <w:r>
        <w:t xml:space="preserve"> and </w:t>
      </w:r>
      <w:r>
        <w:rPr>
          <w:rFonts w:hint="eastAsia"/>
        </w:rPr>
        <w:t xml:space="preserve">composition </w:t>
      </w:r>
      <w:r>
        <w:rPr>
          <w:rFonts w:hint="eastAsia"/>
          <w:lang w:val="en-US" w:eastAsia="zh-CN"/>
        </w:rPr>
        <w:t>under different</w:t>
      </w:r>
      <w:r>
        <w:rPr>
          <w:rFonts w:hint="eastAsia"/>
        </w:rPr>
        <w:t xml:space="preserve"> </w:t>
      </w:r>
      <w:r>
        <w:rPr>
          <w:rFonts w:hint="eastAsia"/>
          <w:lang w:val="en-US" w:eastAsia="zh-CN"/>
        </w:rPr>
        <w:t xml:space="preserve">operating </w:t>
      </w:r>
      <w:r>
        <w:rPr>
          <w:rFonts w:hint="eastAsia"/>
        </w:rPr>
        <w:t>condition</w:t>
      </w:r>
      <w:r>
        <w:rPr>
          <w:rFonts w:hint="eastAsia"/>
          <w:lang w:val="en-US" w:eastAsia="zh-CN"/>
        </w:rPr>
        <w:t>s</w:t>
      </w:r>
      <w:r>
        <w:t xml:space="preserve"> in region 3</w:t>
      </w:r>
    </w:p>
    <w:tbl>
      <w:tblPr>
        <w:tblStyle w:val="20"/>
        <w:tblpPr w:leftFromText="180" w:rightFromText="180" w:vertAnchor="text" w:tblpXSpec="center" w:tblpY="1"/>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16"/>
        <w:gridCol w:w="1224"/>
        <w:gridCol w:w="1133"/>
        <w:gridCol w:w="1158"/>
        <w:gridCol w:w="1150"/>
      </w:tblGrid>
      <w:tr w14:paraId="66772E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0" w:type="auto"/>
            <w:tcBorders>
              <w:top w:val="single" w:color="auto" w:sz="12" w:space="0"/>
              <w:bottom w:val="single" w:color="auto" w:sz="4" w:space="0"/>
            </w:tcBorders>
            <w:vAlign w:val="center"/>
          </w:tcPr>
          <w:p w14:paraId="54F5DE87">
            <w:pPr>
              <w:pStyle w:val="68"/>
              <w:ind w:firstLine="0" w:firstLineChars="0"/>
              <w:jc w:val="center"/>
              <w:rPr>
                <w:sz w:val="15"/>
                <w:szCs w:val="15"/>
              </w:rPr>
            </w:pPr>
            <w:r>
              <w:rPr>
                <w:rFonts w:hint="eastAsia"/>
                <w:sz w:val="15"/>
                <w:szCs w:val="15"/>
              </w:rPr>
              <w:t>工况</w:t>
            </w:r>
          </w:p>
        </w:tc>
        <w:tc>
          <w:tcPr>
            <w:tcW w:w="0" w:type="auto"/>
            <w:tcBorders>
              <w:top w:val="single" w:color="auto" w:sz="12" w:space="0"/>
              <w:bottom w:val="single" w:color="auto" w:sz="4" w:space="0"/>
            </w:tcBorders>
            <w:vAlign w:val="center"/>
          </w:tcPr>
          <w:p w14:paraId="7766CC90">
            <w:pPr>
              <w:pStyle w:val="68"/>
              <w:ind w:firstLine="0" w:firstLineChars="0"/>
              <w:jc w:val="center"/>
              <w:rPr>
                <w:sz w:val="15"/>
                <w:szCs w:val="15"/>
              </w:rPr>
            </w:pPr>
            <w:r>
              <w:rPr>
                <w:rFonts w:hint="eastAsia"/>
                <w:sz w:val="15"/>
                <w:szCs w:val="15"/>
              </w:rPr>
              <w:t>总熵产</w:t>
            </w:r>
            <w:r>
              <w:rPr>
                <w:sz w:val="15"/>
                <w:szCs w:val="15"/>
              </w:rPr>
              <w:t>/ W</w:t>
            </w:r>
            <w:r>
              <w:rPr>
                <w:rFonts w:hint="eastAsia"/>
                <w:sz w:val="15"/>
                <w:szCs w:val="15"/>
              </w:rPr>
              <w:t>·</w:t>
            </w:r>
            <w:r>
              <w:rPr>
                <w:sz w:val="15"/>
                <w:szCs w:val="15"/>
              </w:rPr>
              <w:t>K</w:t>
            </w:r>
            <w:r>
              <w:rPr>
                <w:sz w:val="15"/>
                <w:szCs w:val="15"/>
                <w:vertAlign w:val="superscript"/>
              </w:rPr>
              <w:t>-1</w:t>
            </w:r>
          </w:p>
        </w:tc>
        <w:tc>
          <w:tcPr>
            <w:tcW w:w="0" w:type="auto"/>
            <w:tcBorders>
              <w:top w:val="single" w:color="auto" w:sz="12" w:space="0"/>
              <w:bottom w:val="single" w:color="auto" w:sz="4" w:space="0"/>
            </w:tcBorders>
            <w:vAlign w:val="center"/>
          </w:tcPr>
          <w:p w14:paraId="3DC2A341">
            <w:pPr>
              <w:pStyle w:val="68"/>
              <w:ind w:firstLine="0" w:firstLineChars="0"/>
              <w:jc w:val="center"/>
              <w:rPr>
                <w:sz w:val="15"/>
                <w:szCs w:val="15"/>
              </w:rPr>
            </w:pPr>
            <w:r>
              <w:rPr>
                <w:sz w:val="15"/>
                <w:szCs w:val="15"/>
              </w:rPr>
              <w:t>EPTD</w:t>
            </w:r>
            <w:r>
              <w:rPr>
                <w:rFonts w:hint="eastAsia"/>
                <w:sz w:val="15"/>
                <w:szCs w:val="15"/>
              </w:rPr>
              <w:t>占比/</w:t>
            </w:r>
            <w:r>
              <w:rPr>
                <w:sz w:val="15"/>
                <w:szCs w:val="15"/>
              </w:rPr>
              <w:t xml:space="preserve"> </w:t>
            </w:r>
            <w:r>
              <w:rPr>
                <w:rFonts w:hint="eastAsia"/>
                <w:sz w:val="15"/>
                <w:szCs w:val="15"/>
              </w:rPr>
              <w:t>%</w:t>
            </w:r>
          </w:p>
        </w:tc>
        <w:tc>
          <w:tcPr>
            <w:tcW w:w="0" w:type="auto"/>
            <w:tcBorders>
              <w:top w:val="single" w:color="auto" w:sz="12" w:space="0"/>
              <w:bottom w:val="single" w:color="auto" w:sz="4" w:space="0"/>
            </w:tcBorders>
            <w:vAlign w:val="center"/>
          </w:tcPr>
          <w:p w14:paraId="6EFDC0AA">
            <w:pPr>
              <w:pStyle w:val="68"/>
              <w:ind w:firstLine="0" w:firstLineChars="0"/>
              <w:jc w:val="center"/>
              <w:rPr>
                <w:sz w:val="15"/>
                <w:szCs w:val="15"/>
              </w:rPr>
            </w:pPr>
            <w:r>
              <w:rPr>
                <w:sz w:val="15"/>
                <w:szCs w:val="15"/>
              </w:rPr>
              <w:t>EPWS</w:t>
            </w:r>
            <w:r>
              <w:rPr>
                <w:rFonts w:hint="eastAsia"/>
                <w:sz w:val="15"/>
                <w:szCs w:val="15"/>
              </w:rPr>
              <w:t>占比/</w:t>
            </w:r>
            <w:r>
              <w:rPr>
                <w:sz w:val="15"/>
                <w:szCs w:val="15"/>
              </w:rPr>
              <w:t xml:space="preserve"> </w:t>
            </w:r>
            <w:r>
              <w:rPr>
                <w:rFonts w:hint="eastAsia"/>
                <w:sz w:val="15"/>
                <w:szCs w:val="15"/>
              </w:rPr>
              <w:t>%</w:t>
            </w:r>
          </w:p>
        </w:tc>
        <w:tc>
          <w:tcPr>
            <w:tcW w:w="0" w:type="auto"/>
            <w:tcBorders>
              <w:top w:val="single" w:color="auto" w:sz="12" w:space="0"/>
              <w:bottom w:val="single" w:color="auto" w:sz="4" w:space="0"/>
            </w:tcBorders>
            <w:vAlign w:val="center"/>
          </w:tcPr>
          <w:p w14:paraId="17D5219C">
            <w:pPr>
              <w:pStyle w:val="68"/>
              <w:ind w:firstLine="0" w:firstLineChars="0"/>
              <w:jc w:val="center"/>
              <w:rPr>
                <w:sz w:val="15"/>
                <w:szCs w:val="15"/>
              </w:rPr>
            </w:pPr>
            <w:r>
              <w:rPr>
                <w:sz w:val="15"/>
                <w:szCs w:val="15"/>
              </w:rPr>
              <w:t>EPDD</w:t>
            </w:r>
            <w:r>
              <w:rPr>
                <w:rFonts w:hint="eastAsia"/>
                <w:sz w:val="15"/>
                <w:szCs w:val="15"/>
              </w:rPr>
              <w:t>占比/</w:t>
            </w:r>
            <w:r>
              <w:rPr>
                <w:sz w:val="15"/>
                <w:szCs w:val="15"/>
              </w:rPr>
              <w:t xml:space="preserve"> </w:t>
            </w:r>
            <w:r>
              <w:rPr>
                <w:rFonts w:hint="eastAsia"/>
                <w:sz w:val="15"/>
                <w:szCs w:val="15"/>
              </w:rPr>
              <w:t>%</w:t>
            </w:r>
          </w:p>
        </w:tc>
      </w:tr>
      <w:tr w14:paraId="2793D0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0" w:type="auto"/>
            <w:tcBorders>
              <w:top w:val="single" w:color="auto" w:sz="4" w:space="0"/>
            </w:tcBorders>
            <w:vAlign w:val="center"/>
          </w:tcPr>
          <w:p w14:paraId="0534FE4D">
            <w:pPr>
              <w:pStyle w:val="68"/>
              <w:ind w:firstLine="0" w:firstLineChars="0"/>
              <w:jc w:val="center"/>
              <w:rPr>
                <w:sz w:val="15"/>
                <w:szCs w:val="15"/>
              </w:rPr>
            </w:pPr>
            <w:bookmarkStart w:id="10" w:name="_Hlk195186386"/>
            <w:r>
              <w:rPr>
                <w:sz w:val="15"/>
                <w:szCs w:val="15"/>
              </w:rPr>
              <w:t>1</w:t>
            </w:r>
          </w:p>
        </w:tc>
        <w:tc>
          <w:tcPr>
            <w:tcW w:w="0" w:type="auto"/>
            <w:tcBorders>
              <w:top w:val="single" w:color="auto" w:sz="4" w:space="0"/>
            </w:tcBorders>
            <w:vAlign w:val="center"/>
          </w:tcPr>
          <w:p w14:paraId="5D0C8F49">
            <w:pPr>
              <w:pStyle w:val="68"/>
              <w:ind w:firstLine="0" w:firstLineChars="0"/>
              <w:jc w:val="center"/>
              <w:rPr>
                <w:sz w:val="15"/>
                <w:szCs w:val="15"/>
              </w:rPr>
            </w:pPr>
            <w:r>
              <w:rPr>
                <w:sz w:val="15"/>
                <w:szCs w:val="15"/>
              </w:rPr>
              <w:t>766.816</w:t>
            </w:r>
          </w:p>
        </w:tc>
        <w:tc>
          <w:tcPr>
            <w:tcW w:w="0" w:type="auto"/>
            <w:tcBorders>
              <w:top w:val="single" w:color="auto" w:sz="4" w:space="0"/>
            </w:tcBorders>
            <w:vAlign w:val="center"/>
          </w:tcPr>
          <w:p w14:paraId="45E1D004">
            <w:pPr>
              <w:pStyle w:val="68"/>
              <w:ind w:firstLine="0" w:firstLineChars="0"/>
              <w:jc w:val="center"/>
              <w:rPr>
                <w:sz w:val="15"/>
                <w:szCs w:val="15"/>
              </w:rPr>
            </w:pPr>
            <w:r>
              <w:rPr>
                <w:sz w:val="15"/>
                <w:szCs w:val="15"/>
              </w:rPr>
              <w:t>98.44</w:t>
            </w:r>
          </w:p>
        </w:tc>
        <w:tc>
          <w:tcPr>
            <w:tcW w:w="0" w:type="auto"/>
            <w:tcBorders>
              <w:top w:val="single" w:color="auto" w:sz="4" w:space="0"/>
            </w:tcBorders>
            <w:vAlign w:val="center"/>
          </w:tcPr>
          <w:p w14:paraId="02F603E5">
            <w:pPr>
              <w:pStyle w:val="68"/>
              <w:ind w:firstLine="0" w:firstLineChars="0"/>
              <w:jc w:val="center"/>
              <w:rPr>
                <w:sz w:val="15"/>
                <w:szCs w:val="15"/>
              </w:rPr>
            </w:pPr>
            <w:r>
              <w:rPr>
                <w:sz w:val="15"/>
                <w:szCs w:val="15"/>
              </w:rPr>
              <w:t>1.55</w:t>
            </w:r>
          </w:p>
        </w:tc>
        <w:tc>
          <w:tcPr>
            <w:tcW w:w="0" w:type="auto"/>
            <w:tcBorders>
              <w:top w:val="single" w:color="auto" w:sz="4" w:space="0"/>
            </w:tcBorders>
            <w:vAlign w:val="center"/>
          </w:tcPr>
          <w:p w14:paraId="330024E2">
            <w:pPr>
              <w:pStyle w:val="68"/>
              <w:ind w:firstLine="0" w:firstLineChars="0"/>
              <w:jc w:val="center"/>
              <w:rPr>
                <w:sz w:val="15"/>
                <w:szCs w:val="15"/>
              </w:rPr>
            </w:pPr>
            <w:r>
              <w:rPr>
                <w:sz w:val="15"/>
                <w:szCs w:val="15"/>
              </w:rPr>
              <w:t>0.01</w:t>
            </w:r>
          </w:p>
        </w:tc>
      </w:tr>
      <w:tr w14:paraId="33BF29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0" w:type="auto"/>
            <w:vAlign w:val="center"/>
          </w:tcPr>
          <w:p w14:paraId="6CC17CB0">
            <w:pPr>
              <w:pStyle w:val="68"/>
              <w:ind w:firstLine="0" w:firstLineChars="0"/>
              <w:jc w:val="center"/>
              <w:rPr>
                <w:sz w:val="15"/>
                <w:szCs w:val="15"/>
              </w:rPr>
            </w:pPr>
            <w:r>
              <w:rPr>
                <w:sz w:val="15"/>
                <w:szCs w:val="15"/>
              </w:rPr>
              <w:t>2</w:t>
            </w:r>
          </w:p>
        </w:tc>
        <w:tc>
          <w:tcPr>
            <w:tcW w:w="0" w:type="auto"/>
            <w:vAlign w:val="center"/>
          </w:tcPr>
          <w:p w14:paraId="55D95F2D">
            <w:pPr>
              <w:pStyle w:val="68"/>
              <w:ind w:firstLine="0" w:firstLineChars="0"/>
              <w:jc w:val="center"/>
              <w:rPr>
                <w:sz w:val="15"/>
                <w:szCs w:val="15"/>
              </w:rPr>
            </w:pPr>
            <w:r>
              <w:rPr>
                <w:sz w:val="15"/>
                <w:szCs w:val="15"/>
              </w:rPr>
              <w:t>950.482</w:t>
            </w:r>
          </w:p>
        </w:tc>
        <w:tc>
          <w:tcPr>
            <w:tcW w:w="0" w:type="auto"/>
            <w:vAlign w:val="center"/>
          </w:tcPr>
          <w:p w14:paraId="0F252947">
            <w:pPr>
              <w:pStyle w:val="68"/>
              <w:ind w:firstLine="0" w:firstLineChars="0"/>
              <w:jc w:val="center"/>
              <w:rPr>
                <w:sz w:val="15"/>
                <w:szCs w:val="15"/>
              </w:rPr>
            </w:pPr>
            <w:r>
              <w:rPr>
                <w:sz w:val="15"/>
                <w:szCs w:val="15"/>
              </w:rPr>
              <w:t>98.63</w:t>
            </w:r>
          </w:p>
        </w:tc>
        <w:tc>
          <w:tcPr>
            <w:tcW w:w="0" w:type="auto"/>
            <w:vAlign w:val="center"/>
          </w:tcPr>
          <w:p w14:paraId="1FAD39CC">
            <w:pPr>
              <w:pStyle w:val="68"/>
              <w:ind w:firstLine="0" w:firstLineChars="0"/>
              <w:jc w:val="center"/>
              <w:rPr>
                <w:sz w:val="15"/>
                <w:szCs w:val="15"/>
              </w:rPr>
            </w:pPr>
            <w:r>
              <w:rPr>
                <w:sz w:val="15"/>
                <w:szCs w:val="15"/>
              </w:rPr>
              <w:t>1.36</w:t>
            </w:r>
          </w:p>
        </w:tc>
        <w:tc>
          <w:tcPr>
            <w:tcW w:w="0" w:type="auto"/>
            <w:vAlign w:val="center"/>
          </w:tcPr>
          <w:p w14:paraId="538F1901">
            <w:pPr>
              <w:pStyle w:val="68"/>
              <w:ind w:firstLine="0" w:firstLineChars="0"/>
              <w:jc w:val="center"/>
              <w:rPr>
                <w:sz w:val="15"/>
                <w:szCs w:val="15"/>
              </w:rPr>
            </w:pPr>
            <w:r>
              <w:rPr>
                <w:sz w:val="15"/>
                <w:szCs w:val="15"/>
              </w:rPr>
              <w:t>0.01</w:t>
            </w:r>
          </w:p>
        </w:tc>
      </w:tr>
      <w:tr w14:paraId="1E21AE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0" w:type="auto"/>
            <w:tcBorders>
              <w:bottom w:val="single" w:color="auto" w:sz="12" w:space="0"/>
            </w:tcBorders>
            <w:vAlign w:val="center"/>
          </w:tcPr>
          <w:p w14:paraId="47ADFA42">
            <w:pPr>
              <w:pStyle w:val="68"/>
              <w:ind w:firstLine="0" w:firstLineChars="0"/>
              <w:jc w:val="center"/>
              <w:rPr>
                <w:sz w:val="15"/>
                <w:szCs w:val="15"/>
              </w:rPr>
            </w:pPr>
            <w:r>
              <w:rPr>
                <w:sz w:val="15"/>
                <w:szCs w:val="15"/>
              </w:rPr>
              <w:t>3</w:t>
            </w:r>
          </w:p>
        </w:tc>
        <w:tc>
          <w:tcPr>
            <w:tcW w:w="0" w:type="auto"/>
            <w:tcBorders>
              <w:bottom w:val="single" w:color="auto" w:sz="12" w:space="0"/>
            </w:tcBorders>
            <w:vAlign w:val="center"/>
          </w:tcPr>
          <w:p w14:paraId="786682DA">
            <w:pPr>
              <w:pStyle w:val="68"/>
              <w:ind w:firstLine="0" w:firstLineChars="0"/>
              <w:jc w:val="center"/>
              <w:rPr>
                <w:sz w:val="15"/>
                <w:szCs w:val="15"/>
              </w:rPr>
            </w:pPr>
            <w:r>
              <w:rPr>
                <w:sz w:val="15"/>
                <w:szCs w:val="15"/>
              </w:rPr>
              <w:t>921.834</w:t>
            </w:r>
          </w:p>
        </w:tc>
        <w:tc>
          <w:tcPr>
            <w:tcW w:w="0" w:type="auto"/>
            <w:tcBorders>
              <w:bottom w:val="single" w:color="auto" w:sz="12" w:space="0"/>
            </w:tcBorders>
            <w:vAlign w:val="center"/>
          </w:tcPr>
          <w:p w14:paraId="0FB6CCF9">
            <w:pPr>
              <w:pStyle w:val="68"/>
              <w:ind w:firstLine="0" w:firstLineChars="0"/>
              <w:jc w:val="center"/>
              <w:rPr>
                <w:sz w:val="15"/>
                <w:szCs w:val="15"/>
              </w:rPr>
            </w:pPr>
            <w:r>
              <w:rPr>
                <w:sz w:val="15"/>
                <w:szCs w:val="15"/>
              </w:rPr>
              <w:t>98.56</w:t>
            </w:r>
          </w:p>
        </w:tc>
        <w:tc>
          <w:tcPr>
            <w:tcW w:w="0" w:type="auto"/>
            <w:tcBorders>
              <w:bottom w:val="single" w:color="auto" w:sz="12" w:space="0"/>
            </w:tcBorders>
            <w:vAlign w:val="center"/>
          </w:tcPr>
          <w:p w14:paraId="72E235F5">
            <w:pPr>
              <w:pStyle w:val="68"/>
              <w:ind w:firstLine="0" w:firstLineChars="0"/>
              <w:jc w:val="center"/>
              <w:rPr>
                <w:sz w:val="15"/>
                <w:szCs w:val="15"/>
              </w:rPr>
            </w:pPr>
            <w:r>
              <w:rPr>
                <w:sz w:val="15"/>
                <w:szCs w:val="15"/>
              </w:rPr>
              <w:t>1.43</w:t>
            </w:r>
          </w:p>
        </w:tc>
        <w:tc>
          <w:tcPr>
            <w:tcW w:w="0" w:type="auto"/>
            <w:tcBorders>
              <w:bottom w:val="single" w:color="auto" w:sz="12" w:space="0"/>
            </w:tcBorders>
            <w:vAlign w:val="center"/>
          </w:tcPr>
          <w:p w14:paraId="6B3CFF79">
            <w:pPr>
              <w:pStyle w:val="68"/>
              <w:ind w:firstLine="0" w:firstLineChars="0"/>
              <w:jc w:val="center"/>
              <w:rPr>
                <w:sz w:val="15"/>
                <w:szCs w:val="15"/>
              </w:rPr>
            </w:pPr>
            <w:r>
              <w:rPr>
                <w:sz w:val="15"/>
                <w:szCs w:val="15"/>
              </w:rPr>
              <w:t>0.01</w:t>
            </w:r>
          </w:p>
        </w:tc>
      </w:tr>
      <w:bookmarkEnd w:id="10"/>
    </w:tbl>
    <w:p w14:paraId="0D2BAEF6">
      <w:pPr>
        <w:pStyle w:val="68"/>
        <w:ind w:firstLine="0" w:firstLineChars="0"/>
        <w:rPr>
          <w:vertAlign w:val="superscript"/>
        </w:rPr>
        <w:sectPr>
          <w:headerReference r:id="rId8" w:type="first"/>
          <w:headerReference r:id="rId7" w:type="even"/>
          <w:type w:val="continuous"/>
          <w:pgSz w:w="11906" w:h="16838"/>
          <w:pgMar w:top="2098" w:right="1134" w:bottom="1134" w:left="1134" w:header="1474" w:footer="992" w:gutter="0"/>
          <w:cols w:space="608" w:num="1"/>
          <w:titlePg/>
          <w:docGrid w:type="linesAndChars" w:linePitch="312" w:charSpace="0"/>
        </w:sectPr>
      </w:pPr>
    </w:p>
    <w:p w14:paraId="5FE3C02C">
      <w:pPr>
        <w:pStyle w:val="68"/>
        <w:ind w:firstLine="0" w:firstLineChars="0"/>
      </w:pPr>
    </w:p>
    <w:tbl>
      <w:tblPr>
        <w:tblStyle w:val="2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496"/>
        <w:gridCol w:w="2496"/>
        <w:gridCol w:w="2496"/>
        <w:gridCol w:w="1077"/>
      </w:tblGrid>
      <w:tr w14:paraId="2F30A3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center"/>
          </w:tcPr>
          <w:p w14:paraId="3CDD2E43">
            <w:pPr>
              <w:pStyle w:val="68"/>
              <w:ind w:firstLine="0" w:firstLineChars="0"/>
              <w:jc w:val="center"/>
            </w:pPr>
            <w:r>
              <w:drawing>
                <wp:inline distT="0" distB="0" distL="0" distR="0">
                  <wp:extent cx="1439545" cy="1442085"/>
                  <wp:effectExtent l="0" t="0" r="8255" b="5715"/>
                  <wp:docPr id="2048770314" name="图片 204877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0314" name="图片 2048770314"/>
                          <pic:cNvPicPr>
                            <a:picLocks noChangeAspect="1"/>
                          </pic:cNvPicPr>
                        </pic:nvPicPr>
                        <pic:blipFill>
                          <a:blip r:embed="rId119"/>
                          <a:stretch>
                            <a:fillRect/>
                          </a:stretch>
                        </pic:blipFill>
                        <pic:spPr>
                          <a:xfrm>
                            <a:off x="0" y="0"/>
                            <a:ext cx="1440000" cy="1442682"/>
                          </a:xfrm>
                          <a:prstGeom prst="rect">
                            <a:avLst/>
                          </a:prstGeom>
                        </pic:spPr>
                      </pic:pic>
                    </a:graphicData>
                  </a:graphic>
                </wp:inline>
              </w:drawing>
            </w:r>
          </w:p>
        </w:tc>
        <w:tc>
          <w:tcPr>
            <w:tcW w:w="0" w:type="auto"/>
            <w:vAlign w:val="center"/>
          </w:tcPr>
          <w:p w14:paraId="0C4495FD">
            <w:pPr>
              <w:pStyle w:val="68"/>
              <w:ind w:firstLine="0" w:firstLineChars="0"/>
              <w:jc w:val="center"/>
            </w:pPr>
            <w:r>
              <w:drawing>
                <wp:inline distT="0" distB="0" distL="0" distR="0">
                  <wp:extent cx="1439545" cy="1463040"/>
                  <wp:effectExtent l="0" t="0" r="8255" b="3810"/>
                  <wp:docPr id="2048770313" name="图片 2048770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0313" name="图片 2048770313"/>
                          <pic:cNvPicPr>
                            <a:picLocks noChangeAspect="1"/>
                          </pic:cNvPicPr>
                        </pic:nvPicPr>
                        <pic:blipFill>
                          <a:blip r:embed="rId120"/>
                          <a:stretch>
                            <a:fillRect/>
                          </a:stretch>
                        </pic:blipFill>
                        <pic:spPr>
                          <a:xfrm>
                            <a:off x="0" y="0"/>
                            <a:ext cx="1440000" cy="1463040"/>
                          </a:xfrm>
                          <a:prstGeom prst="rect">
                            <a:avLst/>
                          </a:prstGeom>
                        </pic:spPr>
                      </pic:pic>
                    </a:graphicData>
                  </a:graphic>
                </wp:inline>
              </w:drawing>
            </w:r>
          </w:p>
        </w:tc>
        <w:tc>
          <w:tcPr>
            <w:tcW w:w="0" w:type="auto"/>
            <w:vAlign w:val="center"/>
          </w:tcPr>
          <w:p w14:paraId="3E3AAFA0">
            <w:pPr>
              <w:pStyle w:val="68"/>
              <w:ind w:firstLine="0" w:firstLineChars="0"/>
              <w:jc w:val="center"/>
            </w:pPr>
            <w:r>
              <w:drawing>
                <wp:inline distT="0" distB="0" distL="0" distR="0">
                  <wp:extent cx="1439545" cy="1405255"/>
                  <wp:effectExtent l="0" t="0" r="8255" b="4445"/>
                  <wp:docPr id="2048770312" name="图片 204877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0312" name="图片 2048770312"/>
                          <pic:cNvPicPr>
                            <a:picLocks noChangeAspect="1"/>
                          </pic:cNvPicPr>
                        </pic:nvPicPr>
                        <pic:blipFill>
                          <a:blip r:embed="rId121"/>
                          <a:stretch>
                            <a:fillRect/>
                          </a:stretch>
                        </pic:blipFill>
                        <pic:spPr>
                          <a:xfrm>
                            <a:off x="0" y="0"/>
                            <a:ext cx="1440000" cy="1405508"/>
                          </a:xfrm>
                          <a:prstGeom prst="rect">
                            <a:avLst/>
                          </a:prstGeom>
                        </pic:spPr>
                      </pic:pic>
                    </a:graphicData>
                  </a:graphic>
                </wp:inline>
              </w:drawing>
            </w:r>
          </w:p>
        </w:tc>
        <w:tc>
          <w:tcPr>
            <w:tcW w:w="0" w:type="auto"/>
            <w:vAlign w:val="center"/>
          </w:tcPr>
          <w:p w14:paraId="6C70671D">
            <w:pPr>
              <w:pStyle w:val="68"/>
              <w:ind w:firstLine="0" w:firstLineChars="0"/>
              <w:jc w:val="center"/>
            </w:pPr>
            <w:r>
              <w:rPr>
                <w:rFonts w:hint="eastAsia"/>
              </w:rPr>
              <w:drawing>
                <wp:inline distT="0" distB="0" distL="0" distR="0">
                  <wp:extent cx="543560" cy="125984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22"/>
                          <a:stretch>
                            <a:fillRect/>
                          </a:stretch>
                        </pic:blipFill>
                        <pic:spPr>
                          <a:xfrm>
                            <a:off x="0" y="0"/>
                            <a:ext cx="543600" cy="1260000"/>
                          </a:xfrm>
                          <a:prstGeom prst="rect">
                            <a:avLst/>
                          </a:prstGeom>
                        </pic:spPr>
                      </pic:pic>
                    </a:graphicData>
                  </a:graphic>
                </wp:inline>
              </w:drawing>
            </w:r>
          </w:p>
        </w:tc>
      </w:tr>
      <w:tr w14:paraId="4E3FF0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bottom"/>
          </w:tcPr>
          <w:p w14:paraId="321B4BA2">
            <w:pPr>
              <w:pStyle w:val="68"/>
              <w:ind w:firstLine="0" w:firstLineChars="0"/>
              <w:jc w:val="center"/>
            </w:pPr>
            <w:r>
              <w:rPr>
                <w:rFonts w:hint="eastAsia"/>
                <w:sz w:val="15"/>
                <w:szCs w:val="15"/>
              </w:rPr>
              <w:t>（a）工况</w:t>
            </w:r>
            <w:r>
              <w:rPr>
                <w:sz w:val="15"/>
                <w:szCs w:val="15"/>
              </w:rPr>
              <w:t>1-</w:t>
            </w:r>
            <w:r>
              <w:rPr>
                <w:rFonts w:hint="eastAsia"/>
                <w:sz w:val="15"/>
                <w:szCs w:val="15"/>
              </w:rPr>
              <w:t>E</w:t>
            </w:r>
            <w:r>
              <w:rPr>
                <w:sz w:val="15"/>
                <w:szCs w:val="15"/>
              </w:rPr>
              <w:t>PDD</w:t>
            </w:r>
          </w:p>
        </w:tc>
        <w:tc>
          <w:tcPr>
            <w:tcW w:w="0" w:type="auto"/>
            <w:vAlign w:val="bottom"/>
          </w:tcPr>
          <w:p w14:paraId="5C316516">
            <w:pPr>
              <w:pStyle w:val="68"/>
              <w:ind w:firstLine="0" w:firstLineChars="0"/>
              <w:jc w:val="center"/>
            </w:pPr>
            <w:r>
              <w:rPr>
                <w:rFonts w:hint="eastAsia"/>
                <w:sz w:val="15"/>
                <w:szCs w:val="15"/>
              </w:rPr>
              <w:t>（b）工况</w:t>
            </w:r>
            <w:r>
              <w:rPr>
                <w:sz w:val="15"/>
                <w:szCs w:val="15"/>
              </w:rPr>
              <w:t>2-</w:t>
            </w:r>
            <w:r>
              <w:rPr>
                <w:rFonts w:hint="eastAsia"/>
                <w:sz w:val="15"/>
                <w:szCs w:val="15"/>
              </w:rPr>
              <w:t>E</w:t>
            </w:r>
            <w:r>
              <w:rPr>
                <w:sz w:val="15"/>
                <w:szCs w:val="15"/>
              </w:rPr>
              <w:t>PDD</w:t>
            </w:r>
          </w:p>
        </w:tc>
        <w:tc>
          <w:tcPr>
            <w:tcW w:w="0" w:type="auto"/>
            <w:vAlign w:val="bottom"/>
          </w:tcPr>
          <w:p w14:paraId="6DFFD1A9">
            <w:pPr>
              <w:pStyle w:val="68"/>
              <w:ind w:firstLine="0" w:firstLineChars="0"/>
              <w:jc w:val="center"/>
            </w:pPr>
            <w:r>
              <w:rPr>
                <w:rFonts w:hint="eastAsia"/>
                <w:sz w:val="15"/>
                <w:szCs w:val="15"/>
              </w:rPr>
              <w:t>（c）工况</w:t>
            </w:r>
            <w:r>
              <w:rPr>
                <w:sz w:val="15"/>
                <w:szCs w:val="15"/>
              </w:rPr>
              <w:t>3-</w:t>
            </w:r>
            <w:r>
              <w:rPr>
                <w:rFonts w:hint="eastAsia"/>
                <w:sz w:val="15"/>
                <w:szCs w:val="15"/>
              </w:rPr>
              <w:t>E</w:t>
            </w:r>
            <w:r>
              <w:rPr>
                <w:sz w:val="15"/>
                <w:szCs w:val="15"/>
              </w:rPr>
              <w:t>PDD</w:t>
            </w:r>
          </w:p>
        </w:tc>
        <w:tc>
          <w:tcPr>
            <w:tcW w:w="0" w:type="auto"/>
            <w:vAlign w:val="center"/>
          </w:tcPr>
          <w:p w14:paraId="0A1B23FA">
            <w:pPr>
              <w:pStyle w:val="68"/>
              <w:ind w:firstLine="0" w:firstLineChars="0"/>
              <w:jc w:val="center"/>
            </w:pPr>
          </w:p>
        </w:tc>
      </w:tr>
      <w:tr w14:paraId="162C92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center"/>
          </w:tcPr>
          <w:p w14:paraId="3CFDD6D5">
            <w:pPr>
              <w:pStyle w:val="68"/>
              <w:ind w:firstLine="0" w:firstLineChars="0"/>
              <w:jc w:val="center"/>
            </w:pPr>
            <w:r>
              <w:drawing>
                <wp:inline distT="0" distB="0" distL="0" distR="0">
                  <wp:extent cx="1439545" cy="1437005"/>
                  <wp:effectExtent l="0" t="0" r="8255" b="0"/>
                  <wp:docPr id="2048770317" name="图片 204877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0317" name="图片 2048770317"/>
                          <pic:cNvPicPr>
                            <a:picLocks noChangeAspect="1"/>
                          </pic:cNvPicPr>
                        </pic:nvPicPr>
                        <pic:blipFill>
                          <a:blip r:embed="rId123"/>
                          <a:stretch>
                            <a:fillRect/>
                          </a:stretch>
                        </pic:blipFill>
                        <pic:spPr>
                          <a:xfrm>
                            <a:off x="0" y="0"/>
                            <a:ext cx="1440000" cy="1437299"/>
                          </a:xfrm>
                          <a:prstGeom prst="rect">
                            <a:avLst/>
                          </a:prstGeom>
                        </pic:spPr>
                      </pic:pic>
                    </a:graphicData>
                  </a:graphic>
                </wp:inline>
              </w:drawing>
            </w:r>
          </w:p>
        </w:tc>
        <w:tc>
          <w:tcPr>
            <w:tcW w:w="0" w:type="auto"/>
            <w:vAlign w:val="center"/>
          </w:tcPr>
          <w:p w14:paraId="71276E3C">
            <w:pPr>
              <w:pStyle w:val="68"/>
              <w:ind w:firstLine="0" w:firstLineChars="0"/>
              <w:jc w:val="center"/>
            </w:pPr>
            <w:r>
              <w:drawing>
                <wp:inline distT="0" distB="0" distL="0" distR="0">
                  <wp:extent cx="1439545" cy="1451610"/>
                  <wp:effectExtent l="0" t="0" r="8255" b="0"/>
                  <wp:docPr id="2048770316" name="图片 204877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0316" name="图片 2048770316"/>
                          <pic:cNvPicPr>
                            <a:picLocks noChangeAspect="1"/>
                          </pic:cNvPicPr>
                        </pic:nvPicPr>
                        <pic:blipFill>
                          <a:blip r:embed="rId124"/>
                          <a:stretch>
                            <a:fillRect/>
                          </a:stretch>
                        </pic:blipFill>
                        <pic:spPr>
                          <a:xfrm>
                            <a:off x="0" y="0"/>
                            <a:ext cx="1440000" cy="1451708"/>
                          </a:xfrm>
                          <a:prstGeom prst="rect">
                            <a:avLst/>
                          </a:prstGeom>
                        </pic:spPr>
                      </pic:pic>
                    </a:graphicData>
                  </a:graphic>
                </wp:inline>
              </w:drawing>
            </w:r>
          </w:p>
        </w:tc>
        <w:tc>
          <w:tcPr>
            <w:tcW w:w="0" w:type="auto"/>
            <w:vAlign w:val="center"/>
          </w:tcPr>
          <w:p w14:paraId="10BCF13B">
            <w:pPr>
              <w:pStyle w:val="68"/>
              <w:ind w:firstLine="0" w:firstLineChars="0"/>
              <w:jc w:val="center"/>
            </w:pPr>
            <w:r>
              <w:drawing>
                <wp:inline distT="0" distB="0" distL="0" distR="0">
                  <wp:extent cx="1439545" cy="1469390"/>
                  <wp:effectExtent l="0" t="0" r="8255" b="0"/>
                  <wp:docPr id="2048770315" name="图片 204877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0315" name="图片 2048770315"/>
                          <pic:cNvPicPr>
                            <a:picLocks noChangeAspect="1"/>
                          </pic:cNvPicPr>
                        </pic:nvPicPr>
                        <pic:blipFill>
                          <a:blip r:embed="rId125"/>
                          <a:stretch>
                            <a:fillRect/>
                          </a:stretch>
                        </pic:blipFill>
                        <pic:spPr>
                          <a:xfrm>
                            <a:off x="0" y="0"/>
                            <a:ext cx="1440000" cy="1469839"/>
                          </a:xfrm>
                          <a:prstGeom prst="rect">
                            <a:avLst/>
                          </a:prstGeom>
                        </pic:spPr>
                      </pic:pic>
                    </a:graphicData>
                  </a:graphic>
                </wp:inline>
              </w:drawing>
            </w:r>
          </w:p>
        </w:tc>
        <w:tc>
          <w:tcPr>
            <w:tcW w:w="0" w:type="auto"/>
            <w:vAlign w:val="center"/>
          </w:tcPr>
          <w:p w14:paraId="3B7F1A9B">
            <w:pPr>
              <w:pStyle w:val="68"/>
              <w:ind w:firstLine="0" w:firstLineChars="0"/>
              <w:jc w:val="center"/>
            </w:pPr>
            <w:r>
              <w:rPr>
                <w:rFonts w:hint="eastAsia"/>
              </w:rPr>
              <w:drawing>
                <wp:inline distT="0" distB="0" distL="0" distR="0">
                  <wp:extent cx="543560" cy="125984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26"/>
                          <a:stretch>
                            <a:fillRect/>
                          </a:stretch>
                        </pic:blipFill>
                        <pic:spPr>
                          <a:xfrm>
                            <a:off x="0" y="0"/>
                            <a:ext cx="543600" cy="1260000"/>
                          </a:xfrm>
                          <a:prstGeom prst="rect">
                            <a:avLst/>
                          </a:prstGeom>
                        </pic:spPr>
                      </pic:pic>
                    </a:graphicData>
                  </a:graphic>
                </wp:inline>
              </w:drawing>
            </w:r>
          </w:p>
        </w:tc>
      </w:tr>
      <w:tr w14:paraId="377D36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bottom"/>
          </w:tcPr>
          <w:p w14:paraId="345142CD">
            <w:pPr>
              <w:pStyle w:val="68"/>
              <w:ind w:firstLine="0" w:firstLineChars="0"/>
              <w:jc w:val="center"/>
            </w:pPr>
            <w:r>
              <w:rPr>
                <w:rFonts w:hint="eastAsia"/>
                <w:sz w:val="15"/>
                <w:szCs w:val="15"/>
              </w:rPr>
              <w:t>（d）工况</w:t>
            </w:r>
            <w:r>
              <w:rPr>
                <w:sz w:val="15"/>
                <w:szCs w:val="15"/>
              </w:rPr>
              <w:t>1-</w:t>
            </w:r>
            <w:r>
              <w:rPr>
                <w:rFonts w:hint="eastAsia"/>
                <w:sz w:val="15"/>
                <w:szCs w:val="15"/>
              </w:rPr>
              <w:t>E</w:t>
            </w:r>
            <w:r>
              <w:rPr>
                <w:sz w:val="15"/>
                <w:szCs w:val="15"/>
              </w:rPr>
              <w:t>PTD</w:t>
            </w:r>
          </w:p>
        </w:tc>
        <w:tc>
          <w:tcPr>
            <w:tcW w:w="0" w:type="auto"/>
            <w:vAlign w:val="bottom"/>
          </w:tcPr>
          <w:p w14:paraId="2C7C7F93">
            <w:pPr>
              <w:pStyle w:val="68"/>
              <w:ind w:firstLine="0" w:firstLineChars="0"/>
              <w:jc w:val="center"/>
            </w:pPr>
            <w:r>
              <w:rPr>
                <w:rFonts w:hint="eastAsia"/>
                <w:sz w:val="15"/>
                <w:szCs w:val="15"/>
              </w:rPr>
              <w:t>（</w:t>
            </w:r>
            <w:r>
              <w:rPr>
                <w:sz w:val="15"/>
                <w:szCs w:val="15"/>
              </w:rPr>
              <w:t>e</w:t>
            </w:r>
            <w:r>
              <w:rPr>
                <w:rFonts w:hint="eastAsia"/>
                <w:sz w:val="15"/>
                <w:szCs w:val="15"/>
              </w:rPr>
              <w:t>）工况</w:t>
            </w:r>
            <w:r>
              <w:rPr>
                <w:sz w:val="15"/>
                <w:szCs w:val="15"/>
              </w:rPr>
              <w:t>2-</w:t>
            </w:r>
            <w:r>
              <w:rPr>
                <w:rFonts w:hint="eastAsia"/>
                <w:sz w:val="15"/>
                <w:szCs w:val="15"/>
              </w:rPr>
              <w:t>E</w:t>
            </w:r>
            <w:r>
              <w:rPr>
                <w:sz w:val="15"/>
                <w:szCs w:val="15"/>
              </w:rPr>
              <w:t>PTD</w:t>
            </w:r>
          </w:p>
        </w:tc>
        <w:tc>
          <w:tcPr>
            <w:tcW w:w="0" w:type="auto"/>
            <w:vAlign w:val="bottom"/>
          </w:tcPr>
          <w:p w14:paraId="3F3700B8">
            <w:pPr>
              <w:pStyle w:val="68"/>
              <w:ind w:firstLine="0" w:firstLineChars="0"/>
              <w:jc w:val="center"/>
            </w:pPr>
            <w:r>
              <w:rPr>
                <w:rFonts w:hint="eastAsia"/>
                <w:sz w:val="15"/>
                <w:szCs w:val="15"/>
              </w:rPr>
              <w:t>（</w:t>
            </w:r>
            <w:r>
              <w:rPr>
                <w:sz w:val="15"/>
                <w:szCs w:val="15"/>
              </w:rPr>
              <w:t>f</w:t>
            </w:r>
            <w:r>
              <w:rPr>
                <w:rFonts w:hint="eastAsia"/>
                <w:sz w:val="15"/>
                <w:szCs w:val="15"/>
              </w:rPr>
              <w:t>）工况</w:t>
            </w:r>
            <w:r>
              <w:rPr>
                <w:sz w:val="15"/>
                <w:szCs w:val="15"/>
              </w:rPr>
              <w:t>3-</w:t>
            </w:r>
            <w:r>
              <w:rPr>
                <w:rFonts w:hint="eastAsia"/>
                <w:sz w:val="15"/>
                <w:szCs w:val="15"/>
              </w:rPr>
              <w:t>E</w:t>
            </w:r>
            <w:r>
              <w:rPr>
                <w:sz w:val="15"/>
                <w:szCs w:val="15"/>
              </w:rPr>
              <w:t>PTD</w:t>
            </w:r>
          </w:p>
        </w:tc>
        <w:tc>
          <w:tcPr>
            <w:tcW w:w="0" w:type="auto"/>
            <w:vAlign w:val="center"/>
          </w:tcPr>
          <w:p w14:paraId="3C237646">
            <w:pPr>
              <w:pStyle w:val="68"/>
              <w:ind w:firstLine="0" w:firstLineChars="0"/>
              <w:jc w:val="center"/>
            </w:pPr>
          </w:p>
        </w:tc>
      </w:tr>
      <w:tr w14:paraId="47725B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center"/>
          </w:tcPr>
          <w:p w14:paraId="621D0273">
            <w:pPr>
              <w:pStyle w:val="68"/>
              <w:ind w:firstLine="0" w:firstLineChars="0"/>
              <w:jc w:val="center"/>
            </w:pPr>
            <w:r>
              <w:drawing>
                <wp:inline distT="0" distB="0" distL="0" distR="0">
                  <wp:extent cx="1439545" cy="1472565"/>
                  <wp:effectExtent l="0" t="0" r="8255" b="0"/>
                  <wp:docPr id="2048770320" name="图片 204877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0320" name="图片 2048770320"/>
                          <pic:cNvPicPr>
                            <a:picLocks noChangeAspect="1"/>
                          </pic:cNvPicPr>
                        </pic:nvPicPr>
                        <pic:blipFill>
                          <a:blip r:embed="rId127"/>
                          <a:stretch>
                            <a:fillRect/>
                          </a:stretch>
                        </pic:blipFill>
                        <pic:spPr>
                          <a:xfrm>
                            <a:off x="0" y="0"/>
                            <a:ext cx="1440000" cy="1472978"/>
                          </a:xfrm>
                          <a:prstGeom prst="rect">
                            <a:avLst/>
                          </a:prstGeom>
                        </pic:spPr>
                      </pic:pic>
                    </a:graphicData>
                  </a:graphic>
                </wp:inline>
              </w:drawing>
            </w:r>
          </w:p>
        </w:tc>
        <w:tc>
          <w:tcPr>
            <w:tcW w:w="0" w:type="auto"/>
            <w:vAlign w:val="center"/>
          </w:tcPr>
          <w:p w14:paraId="0DF3DC35">
            <w:pPr>
              <w:pStyle w:val="68"/>
              <w:ind w:firstLine="0" w:firstLineChars="0"/>
              <w:jc w:val="center"/>
            </w:pPr>
            <w:r>
              <w:drawing>
                <wp:inline distT="0" distB="0" distL="0" distR="0">
                  <wp:extent cx="1439545" cy="1450975"/>
                  <wp:effectExtent l="0" t="0" r="8255" b="0"/>
                  <wp:docPr id="2048770319" name="图片 2048770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0319" name="图片 2048770319"/>
                          <pic:cNvPicPr>
                            <a:picLocks noChangeAspect="1"/>
                          </pic:cNvPicPr>
                        </pic:nvPicPr>
                        <pic:blipFill>
                          <a:blip r:embed="rId128"/>
                          <a:stretch>
                            <a:fillRect/>
                          </a:stretch>
                        </pic:blipFill>
                        <pic:spPr>
                          <a:xfrm>
                            <a:off x="0" y="0"/>
                            <a:ext cx="1440000" cy="1451475"/>
                          </a:xfrm>
                          <a:prstGeom prst="rect">
                            <a:avLst/>
                          </a:prstGeom>
                        </pic:spPr>
                      </pic:pic>
                    </a:graphicData>
                  </a:graphic>
                </wp:inline>
              </w:drawing>
            </w:r>
          </w:p>
        </w:tc>
        <w:tc>
          <w:tcPr>
            <w:tcW w:w="0" w:type="auto"/>
            <w:vAlign w:val="center"/>
          </w:tcPr>
          <w:p w14:paraId="5F539C58">
            <w:pPr>
              <w:pStyle w:val="68"/>
              <w:ind w:firstLine="0" w:firstLineChars="0"/>
              <w:jc w:val="center"/>
            </w:pPr>
            <w:r>
              <w:drawing>
                <wp:inline distT="0" distB="0" distL="0" distR="0">
                  <wp:extent cx="1439545" cy="1473200"/>
                  <wp:effectExtent l="0" t="0" r="8255" b="0"/>
                  <wp:docPr id="2048770318" name="图片 204877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0318" name="图片 2048770318"/>
                          <pic:cNvPicPr>
                            <a:picLocks noChangeAspect="1"/>
                          </pic:cNvPicPr>
                        </pic:nvPicPr>
                        <pic:blipFill>
                          <a:blip r:embed="rId129"/>
                          <a:stretch>
                            <a:fillRect/>
                          </a:stretch>
                        </pic:blipFill>
                        <pic:spPr>
                          <a:xfrm>
                            <a:off x="0" y="0"/>
                            <a:ext cx="1440000" cy="1473758"/>
                          </a:xfrm>
                          <a:prstGeom prst="rect">
                            <a:avLst/>
                          </a:prstGeom>
                        </pic:spPr>
                      </pic:pic>
                    </a:graphicData>
                  </a:graphic>
                </wp:inline>
              </w:drawing>
            </w:r>
          </w:p>
        </w:tc>
        <w:tc>
          <w:tcPr>
            <w:tcW w:w="0" w:type="auto"/>
            <w:vAlign w:val="center"/>
          </w:tcPr>
          <w:p w14:paraId="25A1B390">
            <w:pPr>
              <w:pStyle w:val="68"/>
              <w:ind w:firstLine="0" w:firstLineChars="0"/>
              <w:jc w:val="center"/>
            </w:pPr>
            <w:r>
              <w:rPr>
                <w:rFonts w:hint="eastAsia"/>
              </w:rPr>
              <w:drawing>
                <wp:inline distT="0" distB="0" distL="0" distR="0">
                  <wp:extent cx="546735" cy="1259840"/>
                  <wp:effectExtent l="0" t="0" r="0" b="0"/>
                  <wp:docPr id="79808" name="图片 79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08" name="图片 79808"/>
                          <pic:cNvPicPr>
                            <a:picLocks noChangeAspect="1"/>
                          </pic:cNvPicPr>
                        </pic:nvPicPr>
                        <pic:blipFill>
                          <a:blip r:embed="rId130"/>
                          <a:stretch>
                            <a:fillRect/>
                          </a:stretch>
                        </pic:blipFill>
                        <pic:spPr>
                          <a:xfrm>
                            <a:off x="0" y="0"/>
                            <a:ext cx="547200" cy="1260000"/>
                          </a:xfrm>
                          <a:prstGeom prst="rect">
                            <a:avLst/>
                          </a:prstGeom>
                        </pic:spPr>
                      </pic:pic>
                    </a:graphicData>
                  </a:graphic>
                </wp:inline>
              </w:drawing>
            </w:r>
          </w:p>
        </w:tc>
      </w:tr>
      <w:tr w14:paraId="689F1E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bottom"/>
          </w:tcPr>
          <w:p w14:paraId="4C4FAC9B">
            <w:pPr>
              <w:pStyle w:val="68"/>
              <w:ind w:firstLine="0" w:firstLineChars="0"/>
              <w:jc w:val="center"/>
            </w:pPr>
            <w:r>
              <w:rPr>
                <w:rFonts w:hint="eastAsia"/>
                <w:sz w:val="15"/>
                <w:szCs w:val="15"/>
              </w:rPr>
              <w:t>（</w:t>
            </w:r>
            <w:r>
              <w:rPr>
                <w:sz w:val="15"/>
                <w:szCs w:val="15"/>
              </w:rPr>
              <w:t>g</w:t>
            </w:r>
            <w:r>
              <w:rPr>
                <w:rFonts w:hint="eastAsia"/>
                <w:sz w:val="15"/>
                <w:szCs w:val="15"/>
              </w:rPr>
              <w:t>）工况</w:t>
            </w:r>
            <w:r>
              <w:rPr>
                <w:sz w:val="15"/>
                <w:szCs w:val="15"/>
              </w:rPr>
              <w:t>1-</w:t>
            </w:r>
            <w:r>
              <w:rPr>
                <w:rFonts w:hint="eastAsia"/>
                <w:sz w:val="15"/>
                <w:szCs w:val="15"/>
              </w:rPr>
              <w:t>E</w:t>
            </w:r>
            <w:r>
              <w:rPr>
                <w:sz w:val="15"/>
                <w:szCs w:val="15"/>
              </w:rPr>
              <w:t>PWS</w:t>
            </w:r>
          </w:p>
        </w:tc>
        <w:tc>
          <w:tcPr>
            <w:tcW w:w="0" w:type="auto"/>
            <w:vAlign w:val="bottom"/>
          </w:tcPr>
          <w:p w14:paraId="279D8AFB">
            <w:pPr>
              <w:pStyle w:val="68"/>
              <w:ind w:firstLine="0" w:firstLineChars="0"/>
              <w:jc w:val="center"/>
            </w:pPr>
            <w:r>
              <w:rPr>
                <w:rFonts w:hint="eastAsia"/>
                <w:sz w:val="15"/>
                <w:szCs w:val="15"/>
              </w:rPr>
              <w:t>（</w:t>
            </w:r>
            <w:r>
              <w:rPr>
                <w:sz w:val="15"/>
                <w:szCs w:val="15"/>
              </w:rPr>
              <w:t>h</w:t>
            </w:r>
            <w:r>
              <w:rPr>
                <w:rFonts w:hint="eastAsia"/>
                <w:sz w:val="15"/>
                <w:szCs w:val="15"/>
              </w:rPr>
              <w:t>）工况</w:t>
            </w:r>
            <w:r>
              <w:rPr>
                <w:sz w:val="15"/>
                <w:szCs w:val="15"/>
              </w:rPr>
              <w:t>2-</w:t>
            </w:r>
            <w:r>
              <w:rPr>
                <w:rFonts w:hint="eastAsia"/>
                <w:sz w:val="15"/>
                <w:szCs w:val="15"/>
              </w:rPr>
              <w:t>E</w:t>
            </w:r>
            <w:r>
              <w:rPr>
                <w:sz w:val="15"/>
                <w:szCs w:val="15"/>
              </w:rPr>
              <w:t>PWS</w:t>
            </w:r>
          </w:p>
        </w:tc>
        <w:tc>
          <w:tcPr>
            <w:tcW w:w="0" w:type="auto"/>
            <w:vAlign w:val="bottom"/>
          </w:tcPr>
          <w:p w14:paraId="61E97C66">
            <w:pPr>
              <w:pStyle w:val="68"/>
              <w:ind w:firstLine="0" w:firstLineChars="0"/>
              <w:jc w:val="center"/>
            </w:pPr>
            <w:r>
              <w:rPr>
                <w:rFonts w:hint="eastAsia"/>
                <w:sz w:val="15"/>
                <w:szCs w:val="15"/>
              </w:rPr>
              <w:t>（</w:t>
            </w:r>
            <w:r>
              <w:rPr>
                <w:sz w:val="15"/>
                <w:szCs w:val="15"/>
              </w:rPr>
              <w:t>i</w:t>
            </w:r>
            <w:r>
              <w:rPr>
                <w:rFonts w:hint="eastAsia"/>
                <w:sz w:val="15"/>
                <w:szCs w:val="15"/>
              </w:rPr>
              <w:t>）工况</w:t>
            </w:r>
            <w:r>
              <w:rPr>
                <w:sz w:val="15"/>
                <w:szCs w:val="15"/>
              </w:rPr>
              <w:t>3-</w:t>
            </w:r>
            <w:r>
              <w:rPr>
                <w:rFonts w:hint="eastAsia"/>
                <w:sz w:val="15"/>
                <w:szCs w:val="15"/>
              </w:rPr>
              <w:t>E</w:t>
            </w:r>
            <w:r>
              <w:rPr>
                <w:sz w:val="15"/>
                <w:szCs w:val="15"/>
              </w:rPr>
              <w:t>PWS</w:t>
            </w:r>
          </w:p>
        </w:tc>
        <w:tc>
          <w:tcPr>
            <w:tcW w:w="0" w:type="auto"/>
            <w:vAlign w:val="center"/>
          </w:tcPr>
          <w:p w14:paraId="55563E41">
            <w:pPr>
              <w:pStyle w:val="68"/>
              <w:keepNext/>
              <w:ind w:firstLine="0" w:firstLineChars="0"/>
              <w:jc w:val="center"/>
            </w:pPr>
          </w:p>
        </w:tc>
      </w:tr>
    </w:tbl>
    <w:p w14:paraId="440E1F75">
      <w:pPr>
        <w:pStyle w:val="10"/>
      </w:pPr>
      <w:r>
        <w:rPr>
          <w:rFonts w:hint="eastAsia"/>
        </w:rPr>
        <w:t>图</w:t>
      </w:r>
      <w:r>
        <w:t>14</w:t>
      </w:r>
      <w:r>
        <w:rPr>
          <w:rFonts w:hint="eastAsia"/>
        </w:rPr>
        <w:t>区域</w:t>
      </w:r>
      <w:r>
        <w:t>3熵产来源分布</w:t>
      </w:r>
    </w:p>
    <w:p w14:paraId="5EEF5EDB">
      <w:pPr>
        <w:pStyle w:val="10"/>
      </w:pPr>
      <w:r>
        <w:t>Fig. 1</w:t>
      </w:r>
      <w:r>
        <w:rPr>
          <w:rFonts w:hint="eastAsia"/>
          <w:lang w:val="en-US" w:eastAsia="zh-CN"/>
        </w:rPr>
        <w:t>4</w:t>
      </w:r>
      <w:r>
        <w:t xml:space="preserve"> Distribution of entropy </w:t>
      </w:r>
      <w:r>
        <w:rPr>
          <w:rFonts w:hint="eastAsia"/>
          <w:lang w:val="en-US" w:eastAsia="zh-CN"/>
        </w:rPr>
        <w:t>production</w:t>
      </w:r>
      <w:r>
        <w:t xml:space="preserve"> sources in region 3</w:t>
      </w:r>
    </w:p>
    <w:p w14:paraId="2C06C8A0">
      <w:pPr>
        <w:pStyle w:val="3"/>
        <w:spacing w:before="156"/>
      </w:pPr>
      <w:r>
        <w:t xml:space="preserve">3.2 </w:t>
      </w:r>
      <w:r>
        <w:rPr>
          <w:rFonts w:hint="eastAsia"/>
        </w:rPr>
        <w:t>系统总熵</w:t>
      </w:r>
      <w:r>
        <w:rPr>
          <w:rFonts w:hint="eastAsia"/>
          <w:shd w:val="clear" w:color="auto" w:fill="FFFFFF"/>
        </w:rPr>
        <w:t>产</w:t>
      </w:r>
      <w:r>
        <w:rPr>
          <w:rFonts w:hint="eastAsia"/>
        </w:rPr>
        <w:t>与运行工况的响应特征</w:t>
      </w:r>
    </w:p>
    <w:p w14:paraId="1B4B7273">
      <w:pPr>
        <w:pStyle w:val="68"/>
        <w:ind w:firstLine="420"/>
      </w:pPr>
      <w:r>
        <w:rPr>
          <w:rFonts w:hint="eastAsia"/>
        </w:rPr>
        <w:t>不同运行工况下，无级分层取水系统的总熵产表现出显著差异，整体呈随取水层位升高而增大的趋势。在工况1中，门叶仅封闭最低层通道，水流主要沿结构下部通过，流态稳定，总熵产最低，仅1</w:t>
      </w:r>
      <w:r>
        <w:t>434</w:t>
      </w:r>
      <w:r>
        <w:rPr>
          <w:rFonts w:hint="eastAsia"/>
        </w:rPr>
        <w:t>.</w:t>
      </w:r>
      <w:r>
        <w:t>675 W·K</w:t>
      </w:r>
      <w:r>
        <w:rPr>
          <w:vertAlign w:val="superscript"/>
        </w:rPr>
        <w:t>-1</w:t>
      </w:r>
      <w:r>
        <w:rPr>
          <w:rFonts w:hint="eastAsia"/>
        </w:rPr>
        <w:t>。当取水层位提升至工况2和工况3（分别关闭</w:t>
      </w:r>
      <w:r>
        <w:rPr>
          <w:rFonts w:hint="eastAsia"/>
          <w:shd w:val="clear" w:color="auto" w:fill="FFFFFF"/>
        </w:rPr>
        <w:t>下部</w:t>
      </w:r>
      <w:r>
        <w:rPr>
          <w:rFonts w:hint="eastAsia"/>
        </w:rPr>
        <w:t>1</w:t>
      </w:r>
      <w:r>
        <w:t>0</w:t>
      </w:r>
      <w:r>
        <w:rPr>
          <w:rFonts w:hint="eastAsia"/>
        </w:rPr>
        <w:t>层及下部1</w:t>
      </w:r>
      <w:r>
        <w:t>4</w:t>
      </w:r>
      <w:r>
        <w:rPr>
          <w:rFonts w:hint="eastAsia"/>
        </w:rPr>
        <w:t>层）时，水流自高位跌入竖井后再进入下游系统，流动扰动显著增强，动量交换更为剧烈，导致熵产水平大幅升高，分别达到2</w:t>
      </w:r>
      <w:r>
        <w:t>773.718 W·K</w:t>
      </w:r>
      <w:r>
        <w:rPr>
          <w:vertAlign w:val="superscript"/>
        </w:rPr>
        <w:t>-1</w:t>
      </w:r>
      <w:r>
        <w:rPr>
          <w:rFonts w:hint="eastAsia"/>
        </w:rPr>
        <w:t>和2</w:t>
      </w:r>
      <w:r>
        <w:t>800.468 W·K</w:t>
      </w:r>
      <w:r>
        <w:rPr>
          <w:vertAlign w:val="superscript"/>
        </w:rPr>
        <w:t>-1</w:t>
      </w:r>
      <w:r>
        <w:rPr>
          <w:rFonts w:hint="eastAsia"/>
        </w:rPr>
        <w:t>，较工况1增幅接近一倍。</w:t>
      </w:r>
    </w:p>
    <w:p w14:paraId="387274D4">
      <w:pPr>
        <w:pStyle w:val="68"/>
        <w:ind w:firstLine="420"/>
      </w:pPr>
      <w:r>
        <w:rPr>
          <w:rFonts w:hint="eastAsia"/>
        </w:rPr>
        <w:t>空间分布结果显示，竖井段（区域2）是造成工况间总熵产差异的关键区段。在工况</w:t>
      </w:r>
      <w:r>
        <w:t>2</w:t>
      </w:r>
      <w:r>
        <w:rPr>
          <w:rFonts w:hint="eastAsia"/>
        </w:rPr>
        <w:t>与工况</w:t>
      </w:r>
      <w:r>
        <w:t>3</w:t>
      </w:r>
      <w:r>
        <w:rPr>
          <w:rFonts w:hint="eastAsia"/>
        </w:rPr>
        <w:t>中，该区域分别贡献了总熵产的4</w:t>
      </w:r>
      <w:r>
        <w:t>8.51 %</w:t>
      </w:r>
      <w:r>
        <w:rPr>
          <w:rFonts w:hint="eastAsia"/>
        </w:rPr>
        <w:t>与5</w:t>
      </w:r>
      <w:r>
        <w:t>1.19 %</w:t>
      </w:r>
      <w:r>
        <w:rPr>
          <w:rFonts w:hint="eastAsia"/>
        </w:rPr>
        <w:t>，为系统的主要能量损失来源。相比之下，进水通道段（区域1）的熵产占比始终较低，贡献变化不明显。下游管道段（区域</w:t>
      </w:r>
      <w:r>
        <w:t>3</w:t>
      </w:r>
      <w:r>
        <w:rPr>
          <w:rFonts w:hint="eastAsia"/>
        </w:rPr>
        <w:t>）在三种工况下的熵产总量相对稳定，尽管局部存在较高的耗散强度，但对整体趋势影响有限。值得注意的是，在工况1下，由于总耗散较低且水流集中于下部，区域3的贡献比例反升至最高，达到5</w:t>
      </w:r>
      <w:r>
        <w:t>3.45 %</w:t>
      </w:r>
      <w:r>
        <w:rPr>
          <w:rFonts w:hint="eastAsia"/>
        </w:rPr>
        <w:t>（见图1</w:t>
      </w:r>
      <w:r>
        <w:t>5</w:t>
      </w:r>
      <w:r>
        <w:rPr>
          <w:rFonts w:hint="eastAsia"/>
        </w:rPr>
        <w:t>）。</w:t>
      </w:r>
    </w:p>
    <w:p w14:paraId="19F8B4B2">
      <w:pPr>
        <w:pStyle w:val="68"/>
        <w:ind w:firstLine="420"/>
      </w:pPr>
      <w:r>
        <w:rPr>
          <w:rFonts w:hint="eastAsia"/>
        </w:rPr>
        <w:t>从耗散机理来看，湍流耗散（</w:t>
      </w:r>
      <w:r>
        <w:t>EPTD</w:t>
      </w:r>
      <w:r>
        <w:rPr>
          <w:rFonts w:hint="eastAsia"/>
        </w:rPr>
        <w:t>）在三种工况中均占据绝对主导地位，占比超过</w:t>
      </w:r>
      <w:r>
        <w:t>98%</w:t>
      </w:r>
      <w:r>
        <w:rPr>
          <w:rFonts w:hint="eastAsia"/>
        </w:rPr>
        <w:t>，是系统不可逆能量退化的主要来源。壁面摩擦耗散（</w:t>
      </w:r>
      <w:r>
        <w:t>EPWS</w:t>
      </w:r>
      <w:r>
        <w:rPr>
          <w:rFonts w:hint="eastAsia"/>
        </w:rPr>
        <w:t>）占比随工况变化略有波动，在结构贴附区与扰动区表现明显，在工况</w:t>
      </w:r>
      <w:r>
        <w:t>1</w:t>
      </w:r>
      <w:r>
        <w:rPr>
          <w:rFonts w:hint="eastAsia"/>
        </w:rPr>
        <w:t>中因贴壁流动增强，达</w:t>
      </w:r>
      <w:r>
        <w:t>1.17%</w:t>
      </w:r>
      <w:r>
        <w:rPr>
          <w:rFonts w:hint="eastAsia"/>
        </w:rPr>
        <w:t>；而在高取水工况下，虽然整体速度梯度增强，但附壁流动相对较弱，</w:t>
      </w:r>
      <w:r>
        <w:t>EPWS</w:t>
      </w:r>
      <w:r>
        <w:rPr>
          <w:rFonts w:hint="eastAsia"/>
        </w:rPr>
        <w:t>贡献比例略有下降。黏性耗散（</w:t>
      </w:r>
      <w:r>
        <w:t>EPDD</w:t>
      </w:r>
      <w:r>
        <w:rPr>
          <w:rFonts w:hint="eastAsia"/>
        </w:rPr>
        <w:t>）在各工况中均维持在</w:t>
      </w:r>
      <w:r>
        <w:t>0.01 %</w:t>
      </w:r>
      <w:r>
        <w:rPr>
          <w:rFonts w:hint="eastAsia"/>
        </w:rPr>
        <w:t>的低水平，主要分布于局部低速回流区，系统贡献极小（见表</w:t>
      </w:r>
      <w:r>
        <w:t>7</w:t>
      </w:r>
      <w:r>
        <w:rPr>
          <w:rFonts w:hint="eastAsia"/>
        </w:rPr>
        <w:t>）。</w:t>
      </w:r>
    </w:p>
    <w:p w14:paraId="7538D5AC">
      <w:pPr>
        <w:pStyle w:val="68"/>
        <w:ind w:firstLine="420"/>
      </w:pPr>
      <w:r>
        <w:rPr>
          <w:rFonts w:hint="eastAsia"/>
        </w:rPr>
        <w:t>总体而言，无级分层取水系统的总熵产对门叶组合方式高度敏感。取水层位的提升导致的水头差增大、流动结构重构及动量交换增强，是系统能量损失显著上升的根本原因，而竖井段则是这一能量转换与耗散过程的核心区域。</w:t>
      </w:r>
    </w:p>
    <w:p w14:paraId="00F54F85">
      <w:pPr>
        <w:pStyle w:val="10"/>
      </w:pPr>
      <w:r>
        <w:rPr>
          <w:rFonts w:hint="eastAsia"/>
        </w:rPr>
        <w:t>表</w:t>
      </w:r>
      <w:r>
        <w:t>7</w:t>
      </w:r>
      <w:r>
        <w:rPr>
          <w:rFonts w:hint="eastAsia"/>
          <w:color w:val="000000"/>
          <w:shd w:val="clear" w:color="auto" w:fill="FFFFFF"/>
        </w:rPr>
        <w:t>总</w:t>
      </w:r>
      <w:r>
        <w:rPr>
          <w:rFonts w:hint="eastAsia"/>
        </w:rPr>
        <w:t>熵产贡献占比</w:t>
      </w:r>
    </w:p>
    <w:p w14:paraId="221F2B6C">
      <w:pPr>
        <w:pStyle w:val="10"/>
        <w:rPr>
          <w:rFonts w:hint="eastAsia" w:eastAsia="黑体"/>
          <w:lang w:val="en-US" w:eastAsia="zh-CN"/>
        </w:rPr>
      </w:pPr>
      <w:r>
        <w:t xml:space="preserve">Table 7 </w:t>
      </w:r>
      <w:r>
        <w:rPr>
          <w:rFonts w:hint="eastAsia"/>
        </w:rPr>
        <w:t>Proportion of total</w:t>
      </w:r>
      <w:r>
        <w:t xml:space="preserve"> entropy production contribution</w:t>
      </w:r>
      <w:r>
        <w:rPr>
          <w:rFonts w:hint="eastAsia"/>
          <w:lang w:val="en-US" w:eastAsia="zh-CN"/>
        </w:rPr>
        <w:t>s</w:t>
      </w:r>
    </w:p>
    <w:tbl>
      <w:tblPr>
        <w:tblStyle w:val="2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16"/>
        <w:gridCol w:w="1133"/>
        <w:gridCol w:w="1158"/>
        <w:gridCol w:w="1150"/>
      </w:tblGrid>
      <w:tr w14:paraId="6E7370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0" w:type="auto"/>
            <w:tcBorders>
              <w:top w:val="single" w:color="auto" w:sz="12" w:space="0"/>
              <w:bottom w:val="single" w:color="auto" w:sz="4" w:space="0"/>
            </w:tcBorders>
            <w:vAlign w:val="center"/>
          </w:tcPr>
          <w:p w14:paraId="56F27FC0">
            <w:pPr>
              <w:pStyle w:val="68"/>
              <w:ind w:firstLine="0" w:firstLineChars="0"/>
              <w:jc w:val="center"/>
              <w:rPr>
                <w:sz w:val="15"/>
                <w:szCs w:val="15"/>
              </w:rPr>
            </w:pPr>
            <w:r>
              <w:rPr>
                <w:rFonts w:hint="eastAsia"/>
                <w:sz w:val="15"/>
                <w:szCs w:val="15"/>
              </w:rPr>
              <w:t>工况</w:t>
            </w:r>
          </w:p>
        </w:tc>
        <w:tc>
          <w:tcPr>
            <w:tcW w:w="0" w:type="auto"/>
            <w:tcBorders>
              <w:top w:val="single" w:color="auto" w:sz="12" w:space="0"/>
              <w:bottom w:val="single" w:color="auto" w:sz="4" w:space="0"/>
            </w:tcBorders>
            <w:vAlign w:val="center"/>
          </w:tcPr>
          <w:p w14:paraId="301BC86F">
            <w:pPr>
              <w:pStyle w:val="68"/>
              <w:ind w:firstLine="0" w:firstLineChars="0"/>
              <w:jc w:val="center"/>
              <w:rPr>
                <w:sz w:val="15"/>
                <w:szCs w:val="15"/>
              </w:rPr>
            </w:pPr>
            <w:r>
              <w:rPr>
                <w:sz w:val="15"/>
                <w:szCs w:val="15"/>
              </w:rPr>
              <w:t>EPTD</w:t>
            </w:r>
            <w:r>
              <w:rPr>
                <w:rFonts w:hint="eastAsia"/>
                <w:sz w:val="15"/>
                <w:szCs w:val="15"/>
              </w:rPr>
              <w:t>占比/</w:t>
            </w:r>
            <w:r>
              <w:rPr>
                <w:sz w:val="15"/>
                <w:szCs w:val="15"/>
              </w:rPr>
              <w:t xml:space="preserve"> </w:t>
            </w:r>
            <w:r>
              <w:rPr>
                <w:rFonts w:hint="eastAsia"/>
                <w:sz w:val="15"/>
                <w:szCs w:val="15"/>
              </w:rPr>
              <w:t>%</w:t>
            </w:r>
          </w:p>
        </w:tc>
        <w:tc>
          <w:tcPr>
            <w:tcW w:w="0" w:type="auto"/>
            <w:tcBorders>
              <w:top w:val="single" w:color="auto" w:sz="12" w:space="0"/>
              <w:bottom w:val="single" w:color="auto" w:sz="4" w:space="0"/>
            </w:tcBorders>
            <w:vAlign w:val="center"/>
          </w:tcPr>
          <w:p w14:paraId="34E52271">
            <w:pPr>
              <w:pStyle w:val="68"/>
              <w:ind w:firstLine="0" w:firstLineChars="0"/>
              <w:jc w:val="center"/>
              <w:rPr>
                <w:sz w:val="15"/>
                <w:szCs w:val="15"/>
              </w:rPr>
            </w:pPr>
            <w:r>
              <w:rPr>
                <w:sz w:val="15"/>
                <w:szCs w:val="15"/>
              </w:rPr>
              <w:t>EPWS</w:t>
            </w:r>
            <w:r>
              <w:rPr>
                <w:rFonts w:hint="eastAsia"/>
                <w:sz w:val="15"/>
                <w:szCs w:val="15"/>
              </w:rPr>
              <w:t>占比/</w:t>
            </w:r>
            <w:r>
              <w:rPr>
                <w:sz w:val="15"/>
                <w:szCs w:val="15"/>
              </w:rPr>
              <w:t xml:space="preserve"> </w:t>
            </w:r>
            <w:r>
              <w:rPr>
                <w:rFonts w:hint="eastAsia"/>
                <w:sz w:val="15"/>
                <w:szCs w:val="15"/>
              </w:rPr>
              <w:t>%</w:t>
            </w:r>
          </w:p>
        </w:tc>
        <w:tc>
          <w:tcPr>
            <w:tcW w:w="0" w:type="auto"/>
            <w:tcBorders>
              <w:top w:val="single" w:color="auto" w:sz="12" w:space="0"/>
              <w:bottom w:val="single" w:color="auto" w:sz="4" w:space="0"/>
            </w:tcBorders>
            <w:vAlign w:val="center"/>
          </w:tcPr>
          <w:p w14:paraId="556713E7">
            <w:pPr>
              <w:pStyle w:val="68"/>
              <w:ind w:firstLine="0" w:firstLineChars="0"/>
              <w:jc w:val="center"/>
              <w:rPr>
                <w:sz w:val="15"/>
                <w:szCs w:val="15"/>
              </w:rPr>
            </w:pPr>
            <w:r>
              <w:rPr>
                <w:sz w:val="15"/>
                <w:szCs w:val="15"/>
              </w:rPr>
              <w:t>EPDD</w:t>
            </w:r>
            <w:r>
              <w:rPr>
                <w:rFonts w:hint="eastAsia"/>
                <w:sz w:val="15"/>
                <w:szCs w:val="15"/>
              </w:rPr>
              <w:t>占比/</w:t>
            </w:r>
            <w:r>
              <w:rPr>
                <w:sz w:val="15"/>
                <w:szCs w:val="15"/>
              </w:rPr>
              <w:t xml:space="preserve"> </w:t>
            </w:r>
            <w:r>
              <w:rPr>
                <w:rFonts w:hint="eastAsia"/>
                <w:sz w:val="15"/>
                <w:szCs w:val="15"/>
              </w:rPr>
              <w:t>%</w:t>
            </w:r>
          </w:p>
        </w:tc>
      </w:tr>
      <w:tr w14:paraId="7AC8E1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tcBorders>
              <w:top w:val="single" w:color="auto" w:sz="4" w:space="0"/>
            </w:tcBorders>
            <w:vAlign w:val="center"/>
          </w:tcPr>
          <w:p w14:paraId="5DAA8BC1">
            <w:pPr>
              <w:pStyle w:val="68"/>
              <w:ind w:firstLine="0" w:firstLineChars="0"/>
              <w:jc w:val="center"/>
              <w:rPr>
                <w:sz w:val="15"/>
                <w:szCs w:val="15"/>
              </w:rPr>
            </w:pPr>
            <w:r>
              <w:rPr>
                <w:sz w:val="15"/>
                <w:szCs w:val="15"/>
              </w:rPr>
              <w:t>1</w:t>
            </w:r>
          </w:p>
        </w:tc>
        <w:tc>
          <w:tcPr>
            <w:tcW w:w="0" w:type="auto"/>
            <w:tcBorders>
              <w:top w:val="single" w:color="auto" w:sz="4" w:space="0"/>
            </w:tcBorders>
            <w:vAlign w:val="center"/>
          </w:tcPr>
          <w:p w14:paraId="72C06192">
            <w:pPr>
              <w:pStyle w:val="68"/>
              <w:ind w:firstLine="0" w:firstLineChars="0"/>
              <w:jc w:val="center"/>
              <w:rPr>
                <w:sz w:val="15"/>
                <w:szCs w:val="15"/>
              </w:rPr>
            </w:pPr>
            <w:r>
              <w:rPr>
                <w:sz w:val="15"/>
                <w:szCs w:val="15"/>
              </w:rPr>
              <w:t>98.82</w:t>
            </w:r>
          </w:p>
        </w:tc>
        <w:tc>
          <w:tcPr>
            <w:tcW w:w="0" w:type="auto"/>
            <w:tcBorders>
              <w:top w:val="single" w:color="auto" w:sz="4" w:space="0"/>
            </w:tcBorders>
            <w:vAlign w:val="center"/>
          </w:tcPr>
          <w:p w14:paraId="596C24E9">
            <w:pPr>
              <w:pStyle w:val="68"/>
              <w:ind w:firstLine="0" w:firstLineChars="0"/>
              <w:jc w:val="center"/>
              <w:rPr>
                <w:sz w:val="15"/>
                <w:szCs w:val="15"/>
              </w:rPr>
            </w:pPr>
            <w:r>
              <w:rPr>
                <w:sz w:val="15"/>
                <w:szCs w:val="15"/>
              </w:rPr>
              <w:t>1.17</w:t>
            </w:r>
          </w:p>
        </w:tc>
        <w:tc>
          <w:tcPr>
            <w:tcW w:w="0" w:type="auto"/>
            <w:tcBorders>
              <w:top w:val="single" w:color="auto" w:sz="4" w:space="0"/>
            </w:tcBorders>
            <w:vAlign w:val="center"/>
          </w:tcPr>
          <w:p w14:paraId="24D0D6B0">
            <w:pPr>
              <w:pStyle w:val="68"/>
              <w:ind w:firstLine="0" w:firstLineChars="0"/>
              <w:jc w:val="center"/>
              <w:rPr>
                <w:sz w:val="15"/>
                <w:szCs w:val="15"/>
              </w:rPr>
            </w:pPr>
            <w:r>
              <w:rPr>
                <w:sz w:val="15"/>
                <w:szCs w:val="15"/>
              </w:rPr>
              <w:t>0.01</w:t>
            </w:r>
          </w:p>
        </w:tc>
      </w:tr>
      <w:tr w14:paraId="35E338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center"/>
          </w:tcPr>
          <w:p w14:paraId="078C24DC">
            <w:pPr>
              <w:pStyle w:val="68"/>
              <w:ind w:firstLine="0" w:firstLineChars="0"/>
              <w:jc w:val="center"/>
              <w:rPr>
                <w:sz w:val="15"/>
                <w:szCs w:val="15"/>
              </w:rPr>
            </w:pPr>
            <w:r>
              <w:rPr>
                <w:sz w:val="15"/>
                <w:szCs w:val="15"/>
              </w:rPr>
              <w:t>2</w:t>
            </w:r>
          </w:p>
        </w:tc>
        <w:tc>
          <w:tcPr>
            <w:tcW w:w="0" w:type="auto"/>
            <w:vAlign w:val="center"/>
          </w:tcPr>
          <w:p w14:paraId="266ED13C">
            <w:pPr>
              <w:pStyle w:val="68"/>
              <w:ind w:firstLine="0" w:firstLineChars="0"/>
              <w:jc w:val="center"/>
              <w:rPr>
                <w:sz w:val="15"/>
                <w:szCs w:val="15"/>
              </w:rPr>
            </w:pPr>
            <w:r>
              <w:rPr>
                <w:sz w:val="15"/>
                <w:szCs w:val="15"/>
              </w:rPr>
              <w:t>99.18</w:t>
            </w:r>
          </w:p>
        </w:tc>
        <w:tc>
          <w:tcPr>
            <w:tcW w:w="0" w:type="auto"/>
            <w:vAlign w:val="center"/>
          </w:tcPr>
          <w:p w14:paraId="045D9EF3">
            <w:pPr>
              <w:pStyle w:val="68"/>
              <w:ind w:firstLine="0" w:firstLineChars="0"/>
              <w:jc w:val="center"/>
              <w:rPr>
                <w:sz w:val="15"/>
                <w:szCs w:val="15"/>
              </w:rPr>
            </w:pPr>
            <w:r>
              <w:rPr>
                <w:sz w:val="15"/>
                <w:szCs w:val="15"/>
              </w:rPr>
              <w:t>0.81</w:t>
            </w:r>
          </w:p>
        </w:tc>
        <w:tc>
          <w:tcPr>
            <w:tcW w:w="0" w:type="auto"/>
            <w:vAlign w:val="center"/>
          </w:tcPr>
          <w:p w14:paraId="16A793F1">
            <w:pPr>
              <w:pStyle w:val="68"/>
              <w:ind w:firstLine="0" w:firstLineChars="0"/>
              <w:jc w:val="center"/>
              <w:rPr>
                <w:sz w:val="15"/>
                <w:szCs w:val="15"/>
              </w:rPr>
            </w:pPr>
            <w:r>
              <w:rPr>
                <w:sz w:val="15"/>
                <w:szCs w:val="15"/>
              </w:rPr>
              <w:t>0.01</w:t>
            </w:r>
          </w:p>
        </w:tc>
      </w:tr>
      <w:tr w14:paraId="1602D7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tcBorders>
              <w:bottom w:val="single" w:color="auto" w:sz="12" w:space="0"/>
            </w:tcBorders>
            <w:vAlign w:val="center"/>
          </w:tcPr>
          <w:p w14:paraId="6908D4CA">
            <w:pPr>
              <w:pStyle w:val="68"/>
              <w:ind w:firstLine="0" w:firstLineChars="0"/>
              <w:jc w:val="center"/>
              <w:rPr>
                <w:sz w:val="15"/>
                <w:szCs w:val="15"/>
              </w:rPr>
            </w:pPr>
            <w:r>
              <w:rPr>
                <w:sz w:val="15"/>
                <w:szCs w:val="15"/>
              </w:rPr>
              <w:t>3</w:t>
            </w:r>
          </w:p>
        </w:tc>
        <w:tc>
          <w:tcPr>
            <w:tcW w:w="0" w:type="auto"/>
            <w:tcBorders>
              <w:bottom w:val="single" w:color="auto" w:sz="12" w:space="0"/>
            </w:tcBorders>
            <w:vAlign w:val="center"/>
          </w:tcPr>
          <w:p w14:paraId="12D8422C">
            <w:pPr>
              <w:pStyle w:val="68"/>
              <w:ind w:firstLine="0" w:firstLineChars="0"/>
              <w:jc w:val="center"/>
              <w:rPr>
                <w:sz w:val="15"/>
                <w:szCs w:val="15"/>
              </w:rPr>
            </w:pPr>
            <w:r>
              <w:rPr>
                <w:sz w:val="15"/>
                <w:szCs w:val="15"/>
              </w:rPr>
              <w:t>99.14</w:t>
            </w:r>
          </w:p>
        </w:tc>
        <w:tc>
          <w:tcPr>
            <w:tcW w:w="0" w:type="auto"/>
            <w:tcBorders>
              <w:bottom w:val="single" w:color="auto" w:sz="12" w:space="0"/>
            </w:tcBorders>
            <w:vAlign w:val="center"/>
          </w:tcPr>
          <w:p w14:paraId="0D6F3DF8">
            <w:pPr>
              <w:pStyle w:val="68"/>
              <w:ind w:firstLine="0" w:firstLineChars="0"/>
              <w:jc w:val="center"/>
              <w:rPr>
                <w:sz w:val="15"/>
                <w:szCs w:val="15"/>
              </w:rPr>
            </w:pPr>
            <w:r>
              <w:rPr>
                <w:sz w:val="15"/>
                <w:szCs w:val="15"/>
              </w:rPr>
              <w:t>0.85</w:t>
            </w:r>
          </w:p>
        </w:tc>
        <w:tc>
          <w:tcPr>
            <w:tcW w:w="0" w:type="auto"/>
            <w:tcBorders>
              <w:bottom w:val="single" w:color="auto" w:sz="12" w:space="0"/>
            </w:tcBorders>
            <w:vAlign w:val="center"/>
          </w:tcPr>
          <w:p w14:paraId="7FA91E78">
            <w:pPr>
              <w:pStyle w:val="68"/>
              <w:ind w:firstLine="0" w:firstLineChars="0"/>
              <w:jc w:val="center"/>
              <w:rPr>
                <w:sz w:val="15"/>
                <w:szCs w:val="15"/>
              </w:rPr>
            </w:pPr>
            <w:r>
              <w:rPr>
                <w:sz w:val="15"/>
                <w:szCs w:val="15"/>
              </w:rPr>
              <w:t>0.01</w:t>
            </w:r>
          </w:p>
        </w:tc>
      </w:tr>
    </w:tbl>
    <w:p w14:paraId="2A5020DB">
      <w:pPr>
        <w:pStyle w:val="68"/>
        <w:keepNext/>
        <w:ind w:firstLine="0" w:firstLineChars="0"/>
        <w:jc w:val="center"/>
      </w:pPr>
      <w:r>
        <w:drawing>
          <wp:inline distT="0" distB="0" distL="0" distR="0">
            <wp:extent cx="2280285" cy="1877060"/>
            <wp:effectExtent l="0" t="0" r="5715" b="889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31"/>
                    <a:stretch>
                      <a:fillRect/>
                    </a:stretch>
                  </pic:blipFill>
                  <pic:spPr>
                    <a:xfrm>
                      <a:off x="0" y="0"/>
                      <a:ext cx="2280592" cy="1877553"/>
                    </a:xfrm>
                    <a:prstGeom prst="rect">
                      <a:avLst/>
                    </a:prstGeom>
                  </pic:spPr>
                </pic:pic>
              </a:graphicData>
            </a:graphic>
          </wp:inline>
        </w:drawing>
      </w:r>
    </w:p>
    <w:p w14:paraId="2A56D659">
      <w:pPr>
        <w:pStyle w:val="10"/>
      </w:pPr>
      <w:r>
        <w:rPr>
          <w:rFonts w:hint="eastAsia"/>
        </w:rPr>
        <w:t>图</w:t>
      </w:r>
      <w:r>
        <w:t>15</w:t>
      </w:r>
      <w:r>
        <w:rPr>
          <w:rFonts w:hint="eastAsia"/>
        </w:rPr>
        <w:t>区域熵产贡献对比图</w:t>
      </w:r>
    </w:p>
    <w:p w14:paraId="061072B5">
      <w:pPr>
        <w:pStyle w:val="10"/>
      </w:pPr>
      <w:r>
        <w:t>Fig. 1</w:t>
      </w:r>
      <w:r>
        <w:rPr>
          <w:rFonts w:hint="eastAsia"/>
          <w:lang w:val="en-US" w:eastAsia="zh-CN"/>
        </w:rPr>
        <w:t>5</w:t>
      </w:r>
      <w:r>
        <w:t xml:space="preserve"> Comparison of regional entropy production contributions</w:t>
      </w:r>
    </w:p>
    <w:p w14:paraId="719FF186">
      <w:pPr>
        <w:pStyle w:val="3"/>
        <w:spacing w:before="156"/>
      </w:pPr>
      <w:r>
        <w:rPr>
          <w:rFonts w:hint="eastAsia"/>
        </w:rPr>
        <w:t>3</w:t>
      </w:r>
      <w:r>
        <w:t xml:space="preserve">.3 </w:t>
      </w:r>
      <w:r>
        <w:rPr>
          <w:rFonts w:hint="eastAsia"/>
        </w:rPr>
        <w:t>无级分层取水装备熵产影响机制分析</w:t>
      </w:r>
    </w:p>
    <w:p w14:paraId="20019525">
      <w:pPr>
        <w:pStyle w:val="12"/>
        <w:ind w:firstLine="420"/>
      </w:pPr>
      <w:r>
        <w:rPr>
          <w:rFonts w:hint="eastAsia"/>
        </w:rPr>
        <w:t>为识别无级分层取水装置本体结构对能量耗散的作用机制，本节聚焦装置的局部熵</w:t>
      </w:r>
      <w:r>
        <w:rPr>
          <w:rFonts w:hint="eastAsia"/>
          <w:color w:val="000000"/>
          <w:shd w:val="clear" w:color="auto" w:fill="FFFFFF"/>
        </w:rPr>
        <w:t>产</w:t>
      </w:r>
      <w:r>
        <w:rPr>
          <w:rFonts w:hint="eastAsia"/>
        </w:rPr>
        <w:t>特征，对其在多工况下的能耗表现进行定量解析。与传统叠梁门结构中水流经单一断面集中过流不同，无级分层取水通过多层可调翻板门组合实现取水高程的连续调控，水流需穿越多个局部开口汇入主流通道。由于门叶开启角度和布设位置的差异，导致过流断面呈现交替的“收缩</w:t>
      </w:r>
      <w:r>
        <w:rPr>
          <w:rFonts w:hint="eastAsia" w:hAnsi="Times New Roman"/>
        </w:rPr>
        <w:t>—</w:t>
      </w:r>
      <w:r>
        <w:rPr>
          <w:rFonts w:hint="eastAsia"/>
        </w:rPr>
        <w:t>扩张”特征，易诱发显著的绕流、分离与再附着现象，从而造成能量耗散的空间非均匀性增强。</w:t>
      </w:r>
    </w:p>
    <w:p w14:paraId="77C382D5">
      <w:pPr>
        <w:pStyle w:val="12"/>
        <w:ind w:firstLine="420"/>
      </w:pPr>
      <w:r>
        <w:rPr>
          <w:rFonts w:hint="eastAsia"/>
        </w:rPr>
        <w:t>从能耗总量分析，装置本体引起的熵产相对有限。在三种典型工况中，工况2的熵产值为1</w:t>
      </w:r>
      <w:r>
        <w:t>74</w:t>
      </w:r>
      <w:r>
        <w:rPr>
          <w:rFonts w:hint="eastAsia"/>
          <w:color w:val="000000"/>
          <w:shd w:val="clear" w:color="auto" w:fill="FFFFFF"/>
        </w:rPr>
        <w:t>.</w:t>
      </w:r>
      <w:r>
        <w:rPr>
          <w:color w:val="000000"/>
          <w:shd w:val="clear" w:color="auto" w:fill="FFFFFF"/>
        </w:rPr>
        <w:t>258</w:t>
      </w:r>
      <w:r>
        <w:t xml:space="preserve"> W·K</w:t>
      </w:r>
      <w:r>
        <w:rPr>
          <w:vertAlign w:val="superscript"/>
        </w:rPr>
        <w:t>-1</w:t>
      </w:r>
      <w:r>
        <w:rPr>
          <w:rFonts w:hint="eastAsia"/>
        </w:rPr>
        <w:t>，占系统总熵产比为6</w:t>
      </w:r>
      <w:r>
        <w:rPr>
          <w:color w:val="000000"/>
          <w:shd w:val="clear" w:color="auto" w:fill="FFFFFF"/>
        </w:rPr>
        <w:t>.28</w:t>
      </w:r>
      <w:r>
        <w:t xml:space="preserve"> %</w:t>
      </w:r>
      <w:r>
        <w:rPr>
          <w:rFonts w:hint="eastAsia"/>
        </w:rPr>
        <w:t>；工况3为</w:t>
      </w:r>
      <w:r>
        <w:t>138.954 W·K</w:t>
      </w:r>
      <w:r>
        <w:rPr>
          <w:vertAlign w:val="superscript"/>
        </w:rPr>
        <w:t>-1</w:t>
      </w:r>
      <w:r>
        <w:rPr>
          <w:rFonts w:hint="eastAsia"/>
        </w:rPr>
        <w:t>，占比4</w:t>
      </w:r>
      <w:r>
        <w:t>.95%</w:t>
      </w:r>
      <w:r>
        <w:rPr>
          <w:rFonts w:hint="eastAsia"/>
        </w:rPr>
        <w:t>；工况1为1</w:t>
      </w:r>
      <w:r>
        <w:t>10.622 W·K</w:t>
      </w:r>
      <w:r>
        <w:rPr>
          <w:vertAlign w:val="superscript"/>
        </w:rPr>
        <w:t>-1</w:t>
      </w:r>
      <w:r>
        <w:rPr>
          <w:rFonts w:hint="eastAsia"/>
        </w:rPr>
        <w:t>，占比7</w:t>
      </w:r>
      <w:r>
        <w:t>.71 %</w:t>
      </w:r>
      <w:r>
        <w:rPr>
          <w:rFonts w:hint="eastAsia"/>
        </w:rPr>
        <w:t>（见图1</w:t>
      </w:r>
      <w:r>
        <w:t>6</w:t>
      </w:r>
      <w:r>
        <w:rPr>
          <w:rFonts w:hint="eastAsia"/>
        </w:rPr>
        <w:t>）。这表明装置本体对系统总能耗的贡献较小，且在不同取水层位条件下表现出良好的水力稳定性与运行适应性。</w:t>
      </w:r>
    </w:p>
    <w:p w14:paraId="70C41C5C">
      <w:pPr>
        <w:pStyle w:val="12"/>
        <w:ind w:firstLine="420"/>
      </w:pPr>
      <w:r>
        <w:rPr>
          <w:rFonts w:hint="eastAsia"/>
        </w:rPr>
        <w:t>进一步分析发现，门叶开启层位与横撑的相对布置关系，是引发局部湍流强化与熵产差异的关键因素。具体表现为：工况1中，第4</w:t>
      </w:r>
      <w:r>
        <w:rPr>
          <w:rFonts w:hint="eastAsia"/>
          <w:color w:val="000000"/>
          <w:shd w:val="clear" w:color="auto" w:fill="FFFFFF"/>
        </w:rPr>
        <w:t>层</w:t>
      </w:r>
      <w:r>
        <w:rPr>
          <w:rFonts w:hint="eastAsia"/>
        </w:rPr>
        <w:t>门叶下缘与下部横撑齐平，局部扰动较弱，熵产最低；工况3中，第1</w:t>
      </w:r>
      <w:r>
        <w:rPr>
          <w:rFonts w:hint="eastAsia"/>
          <w:color w:val="000000"/>
          <w:shd w:val="clear" w:color="auto" w:fill="FFFFFF"/>
        </w:rPr>
        <w:t>层</w:t>
      </w:r>
      <w:r>
        <w:rPr>
          <w:rFonts w:hint="eastAsia"/>
        </w:rPr>
        <w:t>横撑略高于门叶上缘，第4</w:t>
      </w:r>
      <w:r>
        <w:rPr>
          <w:rFonts w:hint="eastAsia"/>
          <w:color w:val="000000"/>
          <w:shd w:val="clear" w:color="auto" w:fill="FFFFFF"/>
        </w:rPr>
        <w:t>层</w:t>
      </w:r>
      <w:r>
        <w:rPr>
          <w:rFonts w:hint="eastAsia"/>
        </w:rPr>
        <w:t>门叶与横撑下缘对齐，扰动范围扩大，熵产明显增加；而工况2中，横撑贯穿第1</w:t>
      </w:r>
      <w:r>
        <w:rPr>
          <w:rFonts w:hint="eastAsia"/>
          <w:color w:val="000000"/>
          <w:shd w:val="clear" w:color="auto" w:fill="FFFFFF"/>
        </w:rPr>
        <w:t>层</w:t>
      </w:r>
      <w:r>
        <w:rPr>
          <w:rFonts w:hint="eastAsia"/>
        </w:rPr>
        <w:t>门叶中部，第5</w:t>
      </w:r>
      <w:r>
        <w:rPr>
          <w:rFonts w:hint="eastAsia"/>
          <w:color w:val="000000"/>
          <w:shd w:val="clear" w:color="auto" w:fill="FFFFFF"/>
        </w:rPr>
        <w:t>层</w:t>
      </w:r>
      <w:r>
        <w:rPr>
          <w:rFonts w:hint="eastAsia"/>
        </w:rPr>
        <w:t>门叶略低于横撑上缘，局部结构干扰显著，诱发强烈流动分离，熵产值为工况中最高（见图1</w:t>
      </w:r>
      <w:r>
        <w:t>7</w:t>
      </w:r>
      <w:r>
        <w:rPr>
          <w:rFonts w:hint="eastAsia"/>
        </w:rPr>
        <w:t>）。分析表明，当横撑穿越过流断面（特别是位于门叶中部）时，对流场的扰动尤为剧烈，导致贴壁区及断面突变处的湍流耗散（E</w:t>
      </w:r>
      <w:r>
        <w:t>PTD</w:t>
      </w:r>
      <w:r>
        <w:rPr>
          <w:rFonts w:hint="eastAsia"/>
        </w:rPr>
        <w:t>）显著增大，这也是局部能量损失的主要来源（见图1</w:t>
      </w:r>
      <w:r>
        <w:t>8</w:t>
      </w:r>
      <w:r>
        <w:rPr>
          <w:rFonts w:hint="eastAsia"/>
        </w:rPr>
        <w:t>）。</w:t>
      </w:r>
    </w:p>
    <w:p w14:paraId="48F2FAB9">
      <w:pPr>
        <w:pStyle w:val="12"/>
        <w:ind w:firstLine="420"/>
      </w:pPr>
      <w:r>
        <w:rPr>
          <w:rFonts w:hint="eastAsia"/>
        </w:rPr>
        <w:t>总体上看，无级分层取水装置本体对系统总熵产贡献有限，但其结构配置对局部能耗分布具有显著影响。门叶开启组合与横撑布置的相对关系对流态扰动起决定性作用。</w:t>
      </w:r>
    </w:p>
    <w:p w14:paraId="227F0FC7">
      <w:pPr>
        <w:pStyle w:val="12"/>
        <w:ind w:firstLine="420"/>
      </w:pPr>
    </w:p>
    <w:tbl>
      <w:tblPr>
        <w:tblStyle w:val="2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919"/>
        <w:gridCol w:w="4936"/>
      </w:tblGrid>
      <w:tr w14:paraId="5E91DF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center"/>
          </w:tcPr>
          <w:p w14:paraId="1F03AF5B">
            <w:pPr>
              <w:pStyle w:val="12"/>
              <w:keepNext/>
              <w:ind w:firstLine="0" w:firstLineChars="0"/>
              <w:jc w:val="center"/>
            </w:pPr>
            <w:r>
              <w:drawing>
                <wp:inline distT="0" distB="0" distL="0" distR="0">
                  <wp:extent cx="2515870" cy="206565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132"/>
                          <a:stretch>
                            <a:fillRect/>
                          </a:stretch>
                        </pic:blipFill>
                        <pic:spPr>
                          <a:xfrm>
                            <a:off x="0" y="0"/>
                            <a:ext cx="2515998" cy="2065999"/>
                          </a:xfrm>
                          <a:prstGeom prst="rect">
                            <a:avLst/>
                          </a:prstGeom>
                        </pic:spPr>
                      </pic:pic>
                    </a:graphicData>
                  </a:graphic>
                </wp:inline>
              </w:drawing>
            </w:r>
          </w:p>
          <w:p w14:paraId="3ADE4ED0">
            <w:pPr>
              <w:pStyle w:val="10"/>
            </w:pPr>
            <w:r>
              <w:rPr>
                <w:rFonts w:hint="eastAsia"/>
              </w:rPr>
              <w:t>图</w:t>
            </w:r>
            <w:r>
              <w:t>16</w:t>
            </w:r>
            <w:r>
              <w:rPr>
                <w:rFonts w:hint="eastAsia"/>
              </w:rPr>
              <w:t>无级分层取水装置熵产对比</w:t>
            </w:r>
          </w:p>
          <w:p w14:paraId="6388B1AD">
            <w:pPr>
              <w:pStyle w:val="10"/>
            </w:pPr>
            <w:r>
              <w:t>Fig. 1</w:t>
            </w:r>
            <w:r>
              <w:rPr>
                <w:rFonts w:hint="eastAsia"/>
                <w:lang w:val="en-US" w:eastAsia="zh-CN"/>
              </w:rPr>
              <w:t>6</w:t>
            </w:r>
            <w:r>
              <w:t xml:space="preserve"> Comparison of entropy production of stepless stratified water intake device</w:t>
            </w:r>
          </w:p>
        </w:tc>
        <w:tc>
          <w:tcPr>
            <w:tcW w:w="0" w:type="auto"/>
            <w:vAlign w:val="center"/>
          </w:tcPr>
          <w:p w14:paraId="740E8F90">
            <w:pPr>
              <w:pStyle w:val="12"/>
              <w:keepNext/>
              <w:ind w:firstLine="0" w:firstLineChars="0"/>
              <w:jc w:val="center"/>
            </w:pPr>
            <w:r>
              <w:drawing>
                <wp:inline distT="0" distB="0" distL="0" distR="0">
                  <wp:extent cx="2519680" cy="210375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33"/>
                          <a:stretch>
                            <a:fillRect/>
                          </a:stretch>
                        </pic:blipFill>
                        <pic:spPr>
                          <a:xfrm>
                            <a:off x="0" y="0"/>
                            <a:ext cx="2520000" cy="2104164"/>
                          </a:xfrm>
                          <a:prstGeom prst="rect">
                            <a:avLst/>
                          </a:prstGeom>
                        </pic:spPr>
                      </pic:pic>
                    </a:graphicData>
                  </a:graphic>
                </wp:inline>
              </w:drawing>
            </w:r>
          </w:p>
          <w:p w14:paraId="6F3EB1DA">
            <w:pPr>
              <w:pStyle w:val="10"/>
            </w:pPr>
            <w:r>
              <w:rPr>
                <w:rFonts w:hint="eastAsia"/>
              </w:rPr>
              <w:t>图</w:t>
            </w:r>
            <w:r>
              <w:t>17</w:t>
            </w:r>
            <w:r>
              <w:rPr>
                <w:rFonts w:hint="eastAsia"/>
              </w:rPr>
              <w:t>翻板门与横撑空间关系示意</w:t>
            </w:r>
          </w:p>
          <w:p w14:paraId="0E1534A9">
            <w:pPr>
              <w:pStyle w:val="10"/>
            </w:pPr>
            <w:r>
              <w:t>Fig. 1</w:t>
            </w:r>
            <w:r>
              <w:rPr>
                <w:rFonts w:hint="eastAsia"/>
                <w:lang w:val="en-US" w:eastAsia="zh-CN"/>
              </w:rPr>
              <w:t>7</w:t>
            </w:r>
            <w:r>
              <w:t xml:space="preserve"> Schematic diagram of spatial relationship between flap </w:t>
            </w:r>
            <w:r>
              <w:rPr>
                <w:rFonts w:hint="eastAsia"/>
                <w:lang w:val="en-US" w:eastAsia="zh-CN"/>
              </w:rPr>
              <w:t>gate</w:t>
            </w:r>
            <w:r>
              <w:t xml:space="preserve"> and </w:t>
            </w:r>
            <w:r>
              <w:rPr>
                <w:rFonts w:hint="eastAsia"/>
                <w:lang w:val="en-US" w:eastAsia="zh-CN"/>
              </w:rPr>
              <w:t xml:space="preserve">cross </w:t>
            </w:r>
            <w:r>
              <w:rPr>
                <w:rFonts w:hint="eastAsia"/>
              </w:rPr>
              <w:t>brace</w:t>
            </w:r>
          </w:p>
        </w:tc>
      </w:tr>
    </w:tbl>
    <w:p w14:paraId="0DAF5103">
      <w:pPr>
        <w:pStyle w:val="12"/>
        <w:ind w:firstLine="0" w:firstLineChars="0"/>
      </w:pPr>
    </w:p>
    <w:tbl>
      <w:tblPr>
        <w:tblStyle w:val="2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767"/>
        <w:gridCol w:w="2767"/>
        <w:gridCol w:w="2767"/>
        <w:gridCol w:w="1072"/>
      </w:tblGrid>
      <w:tr w14:paraId="7C6AD9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center"/>
          </w:tcPr>
          <w:p w14:paraId="19C39D29">
            <w:pPr>
              <w:pStyle w:val="12"/>
              <w:keepNext/>
              <w:ind w:firstLine="0" w:firstLineChars="0"/>
              <w:jc w:val="center"/>
            </w:pPr>
            <w:r>
              <w:rPr>
                <w:rFonts w:hint="eastAsia"/>
              </w:rPr>
              <w:drawing>
                <wp:inline distT="0" distB="0" distL="0" distR="0">
                  <wp:extent cx="1619885" cy="1137285"/>
                  <wp:effectExtent l="0" t="0" r="0" b="571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34" cstate="print"/>
                          <a:srcRect/>
                          <a:stretch>
                            <a:fillRect/>
                          </a:stretch>
                        </pic:blipFill>
                        <pic:spPr>
                          <a:xfrm>
                            <a:off x="0" y="0"/>
                            <a:ext cx="1620000" cy="1137600"/>
                          </a:xfrm>
                          <a:prstGeom prst="rect">
                            <a:avLst/>
                          </a:prstGeom>
                          <a:ln>
                            <a:noFill/>
                          </a:ln>
                        </pic:spPr>
                      </pic:pic>
                    </a:graphicData>
                  </a:graphic>
                </wp:inline>
              </w:drawing>
            </w:r>
          </w:p>
        </w:tc>
        <w:tc>
          <w:tcPr>
            <w:tcW w:w="0" w:type="auto"/>
            <w:vAlign w:val="center"/>
          </w:tcPr>
          <w:p w14:paraId="0070E2CC">
            <w:pPr>
              <w:pStyle w:val="12"/>
              <w:keepNext/>
              <w:ind w:firstLine="0" w:firstLineChars="0"/>
              <w:jc w:val="center"/>
            </w:pPr>
            <w:r>
              <w:rPr>
                <w:rFonts w:hint="eastAsia"/>
              </w:rPr>
              <w:drawing>
                <wp:inline distT="0" distB="0" distL="0" distR="0">
                  <wp:extent cx="1619885" cy="1137285"/>
                  <wp:effectExtent l="0" t="0" r="0" b="571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35" cstate="hqprint"/>
                          <a:srcRect/>
                          <a:stretch>
                            <a:fillRect/>
                          </a:stretch>
                        </pic:blipFill>
                        <pic:spPr>
                          <a:xfrm>
                            <a:off x="0" y="0"/>
                            <a:ext cx="1620000" cy="1137600"/>
                          </a:xfrm>
                          <a:prstGeom prst="rect">
                            <a:avLst/>
                          </a:prstGeom>
                          <a:ln>
                            <a:noFill/>
                          </a:ln>
                        </pic:spPr>
                      </pic:pic>
                    </a:graphicData>
                  </a:graphic>
                </wp:inline>
              </w:drawing>
            </w:r>
          </w:p>
        </w:tc>
        <w:tc>
          <w:tcPr>
            <w:tcW w:w="0" w:type="auto"/>
            <w:vAlign w:val="center"/>
          </w:tcPr>
          <w:p w14:paraId="05B968BB">
            <w:pPr>
              <w:pStyle w:val="12"/>
              <w:keepNext/>
              <w:ind w:firstLine="0" w:firstLineChars="0"/>
              <w:jc w:val="center"/>
            </w:pPr>
            <w:r>
              <w:rPr>
                <w:rFonts w:hint="eastAsia"/>
              </w:rPr>
              <w:drawing>
                <wp:inline distT="0" distB="0" distL="0" distR="0">
                  <wp:extent cx="1619885" cy="1137285"/>
                  <wp:effectExtent l="0" t="0" r="0" b="571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36" cstate="hqprint"/>
                          <a:srcRect/>
                          <a:stretch>
                            <a:fillRect/>
                          </a:stretch>
                        </pic:blipFill>
                        <pic:spPr>
                          <a:xfrm>
                            <a:off x="0" y="0"/>
                            <a:ext cx="1620000" cy="1137600"/>
                          </a:xfrm>
                          <a:prstGeom prst="rect">
                            <a:avLst/>
                          </a:prstGeom>
                          <a:ln>
                            <a:noFill/>
                          </a:ln>
                        </pic:spPr>
                      </pic:pic>
                    </a:graphicData>
                  </a:graphic>
                </wp:inline>
              </w:drawing>
            </w:r>
          </w:p>
        </w:tc>
        <w:tc>
          <w:tcPr>
            <w:tcW w:w="0" w:type="auto"/>
            <w:vAlign w:val="center"/>
          </w:tcPr>
          <w:p w14:paraId="34F37F63">
            <w:pPr>
              <w:pStyle w:val="12"/>
              <w:ind w:firstLine="0" w:firstLineChars="0"/>
              <w:jc w:val="center"/>
            </w:pPr>
            <w:r>
              <w:drawing>
                <wp:inline distT="0" distB="0" distL="0" distR="0">
                  <wp:extent cx="543560" cy="1259840"/>
                  <wp:effectExtent l="0" t="0" r="0" b="0"/>
                  <wp:docPr id="2048770325" name="图片 204877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0325" name="图片 2048770325"/>
                          <pic:cNvPicPr>
                            <a:picLocks noChangeAspect="1"/>
                          </pic:cNvPicPr>
                        </pic:nvPicPr>
                        <pic:blipFill>
                          <a:blip r:embed="rId137"/>
                          <a:stretch>
                            <a:fillRect/>
                          </a:stretch>
                        </pic:blipFill>
                        <pic:spPr>
                          <a:xfrm>
                            <a:off x="0" y="0"/>
                            <a:ext cx="543600" cy="1260000"/>
                          </a:xfrm>
                          <a:prstGeom prst="rect">
                            <a:avLst/>
                          </a:prstGeom>
                        </pic:spPr>
                      </pic:pic>
                    </a:graphicData>
                  </a:graphic>
                </wp:inline>
              </w:drawing>
            </w:r>
          </w:p>
        </w:tc>
      </w:tr>
      <w:tr w14:paraId="624F71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center"/>
          </w:tcPr>
          <w:p w14:paraId="2A329069">
            <w:pPr>
              <w:pStyle w:val="10"/>
              <w:rPr>
                <w:rFonts w:eastAsia="宋体"/>
                <w:sz w:val="15"/>
              </w:rPr>
            </w:pPr>
            <w:r>
              <w:rPr>
                <w:rFonts w:hint="eastAsia" w:eastAsia="宋体"/>
                <w:sz w:val="15"/>
              </w:rPr>
              <w:t>（a）工况1</w:t>
            </w:r>
          </w:p>
        </w:tc>
        <w:tc>
          <w:tcPr>
            <w:tcW w:w="0" w:type="auto"/>
            <w:vAlign w:val="center"/>
          </w:tcPr>
          <w:p w14:paraId="70DAE2D5">
            <w:pPr>
              <w:pStyle w:val="10"/>
              <w:rPr>
                <w:rFonts w:eastAsia="宋体"/>
                <w:sz w:val="15"/>
              </w:rPr>
            </w:pPr>
            <w:r>
              <w:rPr>
                <w:rFonts w:hint="eastAsia" w:eastAsia="宋体"/>
                <w:sz w:val="15"/>
              </w:rPr>
              <w:t>（b）工况2</w:t>
            </w:r>
          </w:p>
        </w:tc>
        <w:tc>
          <w:tcPr>
            <w:tcW w:w="0" w:type="auto"/>
            <w:vAlign w:val="center"/>
          </w:tcPr>
          <w:p w14:paraId="183D0BA7">
            <w:pPr>
              <w:pStyle w:val="10"/>
              <w:rPr>
                <w:rFonts w:eastAsia="宋体"/>
                <w:sz w:val="15"/>
              </w:rPr>
            </w:pPr>
            <w:r>
              <w:rPr>
                <w:rFonts w:hint="eastAsia" w:eastAsia="宋体"/>
                <w:sz w:val="15"/>
              </w:rPr>
              <w:t>（c）工况3</w:t>
            </w:r>
          </w:p>
        </w:tc>
        <w:tc>
          <w:tcPr>
            <w:tcW w:w="0" w:type="auto"/>
            <w:vAlign w:val="center"/>
          </w:tcPr>
          <w:p w14:paraId="78F4CC52">
            <w:pPr>
              <w:pStyle w:val="12"/>
              <w:keepNext/>
              <w:ind w:firstLine="0" w:firstLineChars="0"/>
              <w:jc w:val="center"/>
            </w:pPr>
          </w:p>
        </w:tc>
      </w:tr>
    </w:tbl>
    <w:p w14:paraId="43F5830F">
      <w:pPr>
        <w:pStyle w:val="10"/>
      </w:pPr>
      <w:r>
        <w:rPr>
          <w:rFonts w:hint="eastAsia"/>
        </w:rPr>
        <w:t>图</w:t>
      </w:r>
      <w:r>
        <w:t>18</w:t>
      </w:r>
      <w:r>
        <w:rPr>
          <w:rFonts w:hint="eastAsia"/>
        </w:rPr>
        <w:t>无级分层取水装置局部熵产分布</w:t>
      </w:r>
    </w:p>
    <w:p w14:paraId="7433FCAC">
      <w:pPr>
        <w:pStyle w:val="10"/>
      </w:pPr>
      <w:r>
        <w:t>Fig. 1</w:t>
      </w:r>
      <w:r>
        <w:rPr>
          <w:rFonts w:hint="eastAsia"/>
          <w:lang w:val="en-US" w:eastAsia="zh-CN"/>
        </w:rPr>
        <w:t>8</w:t>
      </w:r>
      <w:r>
        <w:t xml:space="preserve"> Local entropy </w:t>
      </w:r>
      <w:r>
        <w:rPr>
          <w:rFonts w:hint="eastAsia"/>
          <w:lang w:val="en-US" w:eastAsia="zh-CN"/>
        </w:rPr>
        <w:t>production</w:t>
      </w:r>
      <w:r>
        <w:t xml:space="preserve"> distribution of stepless stratified water intake device</w:t>
      </w:r>
    </w:p>
    <w:p w14:paraId="2A6C7EDB">
      <w:pPr>
        <w:pStyle w:val="68"/>
        <w:ind w:firstLine="0" w:firstLineChars="0"/>
      </w:pPr>
    </w:p>
    <w:p w14:paraId="03218B27">
      <w:pPr>
        <w:pStyle w:val="3"/>
        <w:spacing w:before="156"/>
      </w:pPr>
      <w:r>
        <w:rPr>
          <w:rFonts w:hint="eastAsia"/>
        </w:rPr>
        <w:t>3</w:t>
      </w:r>
      <w:r>
        <w:t>.4</w:t>
      </w:r>
      <w:r>
        <w:rPr>
          <w:rFonts w:hint="eastAsia"/>
        </w:rPr>
        <w:t>局部高耗散结构能量损失机制</w:t>
      </w:r>
    </w:p>
    <w:p w14:paraId="20620324">
      <w:pPr>
        <w:pStyle w:val="12"/>
        <w:ind w:firstLine="420"/>
      </w:pPr>
      <w:r>
        <w:rPr>
          <w:rFonts w:hint="eastAsia"/>
        </w:rPr>
        <w:t>区域熵</w:t>
      </w:r>
      <w:r>
        <w:rPr>
          <w:rFonts w:hint="eastAsia"/>
          <w:color w:val="000000"/>
          <w:shd w:val="clear" w:color="auto" w:fill="FFFFFF"/>
        </w:rPr>
        <w:t>产</w:t>
      </w:r>
      <w:r>
        <w:rPr>
          <w:rFonts w:hint="eastAsia"/>
        </w:rPr>
        <w:t>分布分析表明，若干结构扰动区域表现出稳定的高耗散特征，成为无级分层取水系统能量损失的关键控制部分，主要包括门叶</w:t>
      </w:r>
      <w:r>
        <w:rPr>
          <w:rFonts w:hint="eastAsia" w:hAnsi="Times New Roman"/>
        </w:rPr>
        <w:t>—</w:t>
      </w:r>
      <w:r>
        <w:rPr>
          <w:rFonts w:hint="eastAsia"/>
        </w:rPr>
        <w:t>横撑交界区、竖井跌落区与管道入口区（见图1</w:t>
      </w:r>
      <w:r>
        <w:t>9</w:t>
      </w:r>
      <w:r>
        <w:rPr>
          <w:rFonts w:hint="eastAsia"/>
        </w:rPr>
        <w:t>）。这些区域的空间位置与结构特性，在无级分层取水系统中具有典型代表性，且其耗散强度随工况显著变化，直接影响系统总能耗。</w:t>
      </w:r>
    </w:p>
    <w:p w14:paraId="65860DD0">
      <w:pPr>
        <w:pStyle w:val="12"/>
        <w:ind w:firstLine="420"/>
      </w:pPr>
      <w:r>
        <w:rPr>
          <w:rFonts w:hint="eastAsia"/>
        </w:rPr>
        <w:t>（1）门叶</w:t>
      </w:r>
      <w:r>
        <w:rPr>
          <w:rFonts w:hint="eastAsia" w:hAnsi="Times New Roman"/>
        </w:rPr>
        <w:t>—</w:t>
      </w:r>
      <w:r>
        <w:rPr>
          <w:rFonts w:hint="eastAsia"/>
        </w:rPr>
        <w:t>横撑交界区在无</w:t>
      </w:r>
      <w:r>
        <w:rPr>
          <w:rFonts w:hint="eastAsia"/>
          <w:color w:val="000000"/>
          <w:shd w:val="clear" w:color="auto" w:fill="FFFFFF"/>
        </w:rPr>
        <w:t>级</w:t>
      </w:r>
      <w:r>
        <w:rPr>
          <w:rFonts w:hint="eastAsia"/>
        </w:rPr>
        <w:t>分层取水装置本体段，翻板门门叶的开启位置与横撑构件之</w:t>
      </w:r>
      <w:r>
        <w:rPr>
          <w:rFonts w:hint="eastAsia"/>
          <w:color w:val="000000"/>
          <w:shd w:val="clear" w:color="auto" w:fill="FFFFFF"/>
        </w:rPr>
        <w:t>间的</w:t>
      </w:r>
      <w:r>
        <w:rPr>
          <w:rFonts w:hint="eastAsia"/>
        </w:rPr>
        <w:t>空间关系直接影响局部水流扰动特性。由图1</w:t>
      </w:r>
      <w:r>
        <w:t>1</w:t>
      </w:r>
      <w:r>
        <w:rPr>
          <w:rFonts w:hint="eastAsia"/>
        </w:rPr>
        <w:t>可见，当横撑穿越门叶中部或贴近门叶边缘布置时，水流通道局部收缩，流</w:t>
      </w:r>
      <w:r>
        <w:rPr>
          <w:rFonts w:hint="eastAsia"/>
          <w:color w:val="000000"/>
          <w:shd w:val="clear" w:color="auto" w:fill="FFFFFF"/>
        </w:rPr>
        <w:t>束</w:t>
      </w:r>
      <w:r>
        <w:rPr>
          <w:rFonts w:hint="eastAsia"/>
        </w:rPr>
        <w:t>在门叶下缘及横撑前缘附近发生明显偏折，形成强化的剪切层和尾</w:t>
      </w:r>
      <w:r>
        <w:rPr>
          <w:rFonts w:hint="eastAsia"/>
          <w:color w:val="000000"/>
          <w:shd w:val="clear" w:color="auto" w:fill="FFFFFF"/>
        </w:rPr>
        <w:t>迹</w:t>
      </w:r>
      <w:r>
        <w:rPr>
          <w:rFonts w:hint="eastAsia"/>
        </w:rPr>
        <w:t>区，导致湍流耗散显著上升（见图1</w:t>
      </w:r>
      <w:r>
        <w:t>8</w:t>
      </w:r>
      <w:r>
        <w:rPr>
          <w:rFonts w:hint="eastAsia"/>
        </w:rPr>
        <w:t>）。</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29"/>
        <w:gridCol w:w="2929"/>
        <w:gridCol w:w="2929"/>
        <w:gridCol w:w="1068"/>
      </w:tblGrid>
      <w:tr w14:paraId="45950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4EB0AEBF">
            <w:pPr>
              <w:pStyle w:val="68"/>
              <w:ind w:firstLine="0" w:firstLineChars="0"/>
              <w:jc w:val="center"/>
            </w:pPr>
            <w:r>
              <w:rPr>
                <w:rFonts w:hint="eastAsia"/>
              </w:rPr>
              <w:drawing>
                <wp:inline distT="0" distB="0" distL="0" distR="0">
                  <wp:extent cx="1727835" cy="1151890"/>
                  <wp:effectExtent l="0" t="0" r="571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38"/>
                          <a:srcRect l="8690" r="7720"/>
                          <a:stretch>
                            <a:fillRect/>
                          </a:stretch>
                        </pic:blipFill>
                        <pic:spPr>
                          <a:xfrm>
                            <a:off x="0" y="0"/>
                            <a:ext cx="1728000" cy="1152000"/>
                          </a:xfrm>
                          <a:prstGeom prst="rect">
                            <a:avLst/>
                          </a:prstGeom>
                          <a:ln>
                            <a:noFill/>
                          </a:ln>
                        </pic:spPr>
                      </pic:pic>
                    </a:graphicData>
                  </a:graphic>
                </wp:inline>
              </w:drawing>
            </w:r>
          </w:p>
        </w:tc>
        <w:tc>
          <w:tcPr>
            <w:tcW w:w="0" w:type="auto"/>
            <w:vAlign w:val="center"/>
          </w:tcPr>
          <w:p w14:paraId="6B2CB6B7">
            <w:pPr>
              <w:pStyle w:val="68"/>
              <w:ind w:firstLine="0" w:firstLineChars="0"/>
              <w:jc w:val="center"/>
            </w:pPr>
            <w:r>
              <w:rPr>
                <w:rFonts w:hint="eastAsia"/>
              </w:rPr>
              <w:drawing>
                <wp:inline distT="0" distB="0" distL="0" distR="0">
                  <wp:extent cx="1727835" cy="1151890"/>
                  <wp:effectExtent l="0" t="0" r="571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39"/>
                          <a:srcRect l="7863" r="8339"/>
                          <a:stretch>
                            <a:fillRect/>
                          </a:stretch>
                        </pic:blipFill>
                        <pic:spPr>
                          <a:xfrm>
                            <a:off x="0" y="0"/>
                            <a:ext cx="1728000" cy="1152000"/>
                          </a:xfrm>
                          <a:prstGeom prst="rect">
                            <a:avLst/>
                          </a:prstGeom>
                          <a:ln>
                            <a:noFill/>
                          </a:ln>
                        </pic:spPr>
                      </pic:pic>
                    </a:graphicData>
                  </a:graphic>
                </wp:inline>
              </w:drawing>
            </w:r>
          </w:p>
        </w:tc>
        <w:tc>
          <w:tcPr>
            <w:tcW w:w="0" w:type="auto"/>
            <w:vAlign w:val="center"/>
          </w:tcPr>
          <w:p w14:paraId="2D6A88D0">
            <w:pPr>
              <w:pStyle w:val="68"/>
              <w:ind w:firstLine="0" w:firstLineChars="0"/>
              <w:jc w:val="center"/>
            </w:pPr>
            <w:r>
              <w:rPr>
                <w:rFonts w:hint="eastAsia"/>
              </w:rPr>
              <w:drawing>
                <wp:inline distT="0" distB="0" distL="0" distR="0">
                  <wp:extent cx="1727835" cy="1151890"/>
                  <wp:effectExtent l="0" t="0" r="5715"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40"/>
                          <a:srcRect l="7863" r="7926"/>
                          <a:stretch>
                            <a:fillRect/>
                          </a:stretch>
                        </pic:blipFill>
                        <pic:spPr>
                          <a:xfrm>
                            <a:off x="0" y="0"/>
                            <a:ext cx="1728000" cy="1152000"/>
                          </a:xfrm>
                          <a:prstGeom prst="rect">
                            <a:avLst/>
                          </a:prstGeom>
                          <a:ln>
                            <a:noFill/>
                          </a:ln>
                        </pic:spPr>
                      </pic:pic>
                    </a:graphicData>
                  </a:graphic>
                </wp:inline>
              </w:drawing>
            </w:r>
          </w:p>
        </w:tc>
        <w:tc>
          <w:tcPr>
            <w:tcW w:w="0" w:type="auto"/>
            <w:vAlign w:val="center"/>
          </w:tcPr>
          <w:p w14:paraId="6B0F50A0">
            <w:pPr>
              <w:pStyle w:val="68"/>
              <w:ind w:firstLine="0" w:firstLineChars="0"/>
              <w:jc w:val="center"/>
            </w:pPr>
            <w:r>
              <w:drawing>
                <wp:inline distT="0" distB="0" distL="0" distR="0">
                  <wp:extent cx="543560" cy="125984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37"/>
                          <a:stretch>
                            <a:fillRect/>
                          </a:stretch>
                        </pic:blipFill>
                        <pic:spPr>
                          <a:xfrm>
                            <a:off x="0" y="0"/>
                            <a:ext cx="543600" cy="1260000"/>
                          </a:xfrm>
                          <a:prstGeom prst="rect">
                            <a:avLst/>
                          </a:prstGeom>
                        </pic:spPr>
                      </pic:pic>
                    </a:graphicData>
                  </a:graphic>
                </wp:inline>
              </w:drawing>
            </w:r>
          </w:p>
        </w:tc>
      </w:tr>
      <w:tr w14:paraId="054EF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01F0A7E2">
            <w:pPr>
              <w:pStyle w:val="68"/>
              <w:ind w:firstLine="0" w:firstLineChars="0"/>
              <w:jc w:val="center"/>
            </w:pPr>
            <w:r>
              <w:rPr>
                <w:rFonts w:hint="eastAsia"/>
                <w:sz w:val="15"/>
              </w:rPr>
              <w:t>（a）工况1（第2</w:t>
            </w:r>
            <w:r>
              <w:rPr>
                <w:sz w:val="15"/>
              </w:rPr>
              <w:t>~7</w:t>
            </w:r>
            <w:r>
              <w:rPr>
                <w:rFonts w:hint="eastAsia"/>
                <w:sz w:val="15"/>
              </w:rPr>
              <w:t>层）</w:t>
            </w:r>
          </w:p>
        </w:tc>
        <w:tc>
          <w:tcPr>
            <w:tcW w:w="0" w:type="auto"/>
            <w:vAlign w:val="center"/>
          </w:tcPr>
          <w:p w14:paraId="0865487F">
            <w:pPr>
              <w:pStyle w:val="68"/>
              <w:ind w:firstLine="0" w:firstLineChars="0"/>
              <w:jc w:val="center"/>
            </w:pPr>
            <w:r>
              <w:rPr>
                <w:rFonts w:hint="eastAsia"/>
                <w:sz w:val="15"/>
              </w:rPr>
              <w:t>（b）工况2（第1</w:t>
            </w:r>
            <w:r>
              <w:rPr>
                <w:sz w:val="15"/>
              </w:rPr>
              <w:t>1~16</w:t>
            </w:r>
            <w:r>
              <w:rPr>
                <w:rFonts w:hint="eastAsia"/>
                <w:sz w:val="15"/>
              </w:rPr>
              <w:t>层）</w:t>
            </w:r>
          </w:p>
        </w:tc>
        <w:tc>
          <w:tcPr>
            <w:tcW w:w="0" w:type="auto"/>
            <w:vAlign w:val="center"/>
          </w:tcPr>
          <w:p w14:paraId="309AD6E1">
            <w:pPr>
              <w:pStyle w:val="68"/>
              <w:ind w:firstLine="0" w:firstLineChars="0"/>
              <w:jc w:val="center"/>
            </w:pPr>
            <w:r>
              <w:rPr>
                <w:rFonts w:hint="eastAsia"/>
                <w:sz w:val="15"/>
              </w:rPr>
              <w:t>（c）工况3（第1</w:t>
            </w:r>
            <w:r>
              <w:rPr>
                <w:sz w:val="15"/>
              </w:rPr>
              <w:t>5~20</w:t>
            </w:r>
            <w:r>
              <w:rPr>
                <w:rFonts w:hint="eastAsia"/>
                <w:sz w:val="15"/>
              </w:rPr>
              <w:t>层）</w:t>
            </w:r>
          </w:p>
        </w:tc>
        <w:tc>
          <w:tcPr>
            <w:tcW w:w="0" w:type="auto"/>
            <w:vAlign w:val="center"/>
          </w:tcPr>
          <w:p w14:paraId="3F323CB0">
            <w:pPr>
              <w:pStyle w:val="68"/>
              <w:keepNext/>
              <w:ind w:firstLine="0" w:firstLineChars="0"/>
              <w:jc w:val="center"/>
            </w:pPr>
          </w:p>
        </w:tc>
      </w:tr>
    </w:tbl>
    <w:p w14:paraId="0C08A99C">
      <w:pPr>
        <w:pStyle w:val="10"/>
      </w:pPr>
      <w:r>
        <w:rPr>
          <w:rFonts w:hint="eastAsia"/>
        </w:rPr>
        <w:t>图</w:t>
      </w:r>
      <w:r>
        <w:t>19</w:t>
      </w:r>
      <w:r>
        <w:rPr>
          <w:rFonts w:hint="eastAsia"/>
          <w:color w:val="000000"/>
          <w:shd w:val="clear" w:color="auto" w:fill="FFFFFF"/>
        </w:rPr>
        <w:t>面</w:t>
      </w:r>
      <w:r>
        <w:rPr>
          <w:rFonts w:hint="eastAsia"/>
        </w:rPr>
        <w:t>向下游方向的横撑与门叶剖面（断面</w:t>
      </w:r>
      <w:r>
        <w:t>2-2）熵产分布</w:t>
      </w:r>
    </w:p>
    <w:p w14:paraId="1A84FA7F">
      <w:pPr>
        <w:pStyle w:val="10"/>
      </w:pPr>
      <w:r>
        <w:t xml:space="preserve">Fig. </w:t>
      </w:r>
      <w:r>
        <w:rPr>
          <w:rFonts w:hint="eastAsia"/>
          <w:lang w:val="en-US" w:eastAsia="zh-CN"/>
        </w:rPr>
        <w:t>19</w:t>
      </w:r>
      <w:r>
        <w:t xml:space="preserve"> Entropy production distribution of </w:t>
      </w:r>
      <w:r>
        <w:rPr>
          <w:rFonts w:hint="eastAsia"/>
          <w:lang w:val="en-US" w:eastAsia="zh-CN"/>
        </w:rPr>
        <w:t>cross-section</w:t>
      </w:r>
      <w:r>
        <w:rPr>
          <w:rFonts w:hint="eastAsia"/>
        </w:rPr>
        <w:t xml:space="preserve"> of </w:t>
      </w:r>
      <w:r>
        <w:rPr>
          <w:rFonts w:hint="eastAsia"/>
          <w:lang w:val="en-US" w:eastAsia="zh-CN"/>
        </w:rPr>
        <w:t>cross</w:t>
      </w:r>
      <w:r>
        <w:rPr>
          <w:rFonts w:hint="eastAsia"/>
        </w:rPr>
        <w:t xml:space="preserve"> brace and gate </w:t>
      </w:r>
      <w:r>
        <w:rPr>
          <w:rFonts w:hint="eastAsia"/>
          <w:lang w:val="en-US" w:eastAsia="zh-CN"/>
        </w:rPr>
        <w:t>leaf</w:t>
      </w:r>
      <w:r>
        <w:t xml:space="preserve"> </w:t>
      </w:r>
      <w:r>
        <w:rPr>
          <w:rFonts w:hint="eastAsia"/>
        </w:rPr>
        <w:t>(</w:t>
      </w:r>
      <w:r>
        <w:rPr>
          <w:rFonts w:hint="eastAsia"/>
          <w:lang w:val="en-US" w:eastAsia="zh-CN"/>
        </w:rPr>
        <w:t>s</w:t>
      </w:r>
      <w:r>
        <w:rPr>
          <w:rFonts w:hint="eastAsia"/>
        </w:rPr>
        <w:t>ection 2</w:t>
      </w:r>
      <w:r>
        <w:rPr>
          <w:rFonts w:hint="eastAsia"/>
          <w:lang w:val="en-US" w:eastAsia="zh-CN"/>
        </w:rPr>
        <w:t>-</w:t>
      </w:r>
      <w:r>
        <w:rPr>
          <w:rFonts w:hint="eastAsia"/>
        </w:rPr>
        <w:t>2) facing downstream</w:t>
      </w:r>
    </w:p>
    <w:p w14:paraId="62CCC418">
      <w:pPr>
        <w:pStyle w:val="12"/>
        <w:ind w:firstLine="420"/>
      </w:pPr>
      <w:r>
        <w:rPr>
          <w:rFonts w:hint="eastAsia"/>
        </w:rPr>
        <w:t>（2）竖井跌落区。在中高取水工况下，由图1</w:t>
      </w:r>
      <w:r>
        <w:t>1</w:t>
      </w:r>
      <w:r>
        <w:rPr>
          <w:rFonts w:hint="eastAsia"/>
        </w:rPr>
        <w:t>可见水流自上部门叶跌落至竖井底部，形成典型的垂向冲击与再附着流态。该跌落过程受门叶开启高度与竖井内部构件共同调控。</w:t>
      </w:r>
      <w:r>
        <w:rPr>
          <w:rFonts w:hint="eastAsia"/>
          <w:shd w:val="clear" w:color="auto" w:fill="FFFFFF"/>
        </w:rPr>
        <w:t>在</w:t>
      </w:r>
      <w:r>
        <w:rPr>
          <w:rFonts w:hint="eastAsia"/>
        </w:rPr>
        <w:t>竖井内设置的纵向支撑构件造成跌落水体在空间中的分裂，增大了局部流动扰动程度，并在支撑后缘区域形成速度回流与</w:t>
      </w:r>
      <w:r>
        <w:rPr>
          <w:rFonts w:hint="eastAsia"/>
          <w:color w:val="000000"/>
          <w:shd w:val="clear" w:color="auto" w:fill="FFFFFF"/>
        </w:rPr>
        <w:t>涡漩</w:t>
      </w:r>
      <w:r>
        <w:rPr>
          <w:rFonts w:hint="eastAsia"/>
        </w:rPr>
        <w:t>滞留，是系统中熵</w:t>
      </w:r>
      <w:r>
        <w:rPr>
          <w:rFonts w:hint="eastAsia"/>
          <w:color w:val="000000"/>
          <w:shd w:val="clear" w:color="auto" w:fill="FFFFFF"/>
        </w:rPr>
        <w:t>产</w:t>
      </w:r>
      <w:r>
        <w:rPr>
          <w:rFonts w:hint="eastAsia"/>
        </w:rPr>
        <w:t>峰值最集中的区域（见图</w:t>
      </w:r>
      <w:r>
        <w:t>20</w:t>
      </w:r>
      <w:r>
        <w:rPr>
          <w:rFonts w:hint="eastAsia"/>
        </w:rPr>
        <w:t>）。</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7"/>
        <w:gridCol w:w="2767"/>
        <w:gridCol w:w="2767"/>
        <w:gridCol w:w="1072"/>
      </w:tblGrid>
      <w:tr w14:paraId="3C71A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bottom"/>
          </w:tcPr>
          <w:p w14:paraId="49BAD797">
            <w:pPr>
              <w:pStyle w:val="68"/>
              <w:ind w:firstLine="0" w:firstLineChars="0"/>
              <w:jc w:val="center"/>
            </w:pPr>
            <w:r>
              <w:rPr>
                <w:rFonts w:hint="eastAsia"/>
              </w:rPr>
              <w:drawing>
                <wp:inline distT="0" distB="0" distL="0" distR="0">
                  <wp:extent cx="1619885" cy="2289175"/>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41"/>
                          <a:srcRect l="28209" r="31928"/>
                          <a:stretch>
                            <a:fillRect/>
                          </a:stretch>
                        </pic:blipFill>
                        <pic:spPr>
                          <a:xfrm>
                            <a:off x="0" y="0"/>
                            <a:ext cx="1620000" cy="2289600"/>
                          </a:xfrm>
                          <a:prstGeom prst="rect">
                            <a:avLst/>
                          </a:prstGeom>
                          <a:ln>
                            <a:noFill/>
                          </a:ln>
                        </pic:spPr>
                      </pic:pic>
                    </a:graphicData>
                  </a:graphic>
                </wp:inline>
              </w:drawing>
            </w:r>
          </w:p>
        </w:tc>
        <w:tc>
          <w:tcPr>
            <w:tcW w:w="0" w:type="auto"/>
            <w:vAlign w:val="bottom"/>
          </w:tcPr>
          <w:p w14:paraId="1FEDA6C8">
            <w:pPr>
              <w:pStyle w:val="68"/>
              <w:ind w:firstLine="0" w:firstLineChars="0"/>
              <w:jc w:val="center"/>
            </w:pPr>
            <w:r>
              <w:rPr>
                <w:rFonts w:hint="eastAsia"/>
              </w:rPr>
              <w:drawing>
                <wp:inline distT="0" distB="0" distL="0" distR="0">
                  <wp:extent cx="1619885" cy="2969895"/>
                  <wp:effectExtent l="0" t="0" r="0" b="1905"/>
                  <wp:docPr id="2048770307" name="图片 204877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0307" name="图片 2048770307"/>
                          <pic:cNvPicPr>
                            <a:picLocks noChangeAspect="1"/>
                          </pic:cNvPicPr>
                        </pic:nvPicPr>
                        <pic:blipFill>
                          <a:blip r:embed="rId142"/>
                          <a:srcRect l="30516" r="38790"/>
                          <a:stretch>
                            <a:fillRect/>
                          </a:stretch>
                        </pic:blipFill>
                        <pic:spPr>
                          <a:xfrm>
                            <a:off x="0" y="0"/>
                            <a:ext cx="1620000" cy="2970000"/>
                          </a:xfrm>
                          <a:prstGeom prst="rect">
                            <a:avLst/>
                          </a:prstGeom>
                          <a:ln>
                            <a:noFill/>
                          </a:ln>
                        </pic:spPr>
                      </pic:pic>
                    </a:graphicData>
                  </a:graphic>
                </wp:inline>
              </w:drawing>
            </w:r>
          </w:p>
        </w:tc>
        <w:tc>
          <w:tcPr>
            <w:tcW w:w="0" w:type="auto"/>
            <w:vAlign w:val="center"/>
          </w:tcPr>
          <w:p w14:paraId="7B2401D9">
            <w:pPr>
              <w:pStyle w:val="68"/>
              <w:ind w:firstLine="0" w:firstLineChars="0"/>
              <w:jc w:val="center"/>
            </w:pPr>
            <w:r>
              <w:rPr>
                <w:rFonts w:hint="eastAsia"/>
              </w:rPr>
              <w:drawing>
                <wp:inline distT="0" distB="0" distL="0" distR="0">
                  <wp:extent cx="1619885" cy="3592830"/>
                  <wp:effectExtent l="0" t="0" r="0" b="7620"/>
                  <wp:docPr id="2048770309" name="图片 204877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0309" name="图片 2048770309"/>
                          <pic:cNvPicPr>
                            <a:picLocks noChangeAspect="1"/>
                          </pic:cNvPicPr>
                        </pic:nvPicPr>
                        <pic:blipFill>
                          <a:blip r:embed="rId143"/>
                          <a:srcRect l="33689" t="780" r="41159"/>
                          <a:stretch>
                            <a:fillRect/>
                          </a:stretch>
                        </pic:blipFill>
                        <pic:spPr>
                          <a:xfrm>
                            <a:off x="0" y="0"/>
                            <a:ext cx="1620000" cy="3593354"/>
                          </a:xfrm>
                          <a:prstGeom prst="rect">
                            <a:avLst/>
                          </a:prstGeom>
                          <a:ln>
                            <a:noFill/>
                          </a:ln>
                        </pic:spPr>
                      </pic:pic>
                    </a:graphicData>
                  </a:graphic>
                </wp:inline>
              </w:drawing>
            </w:r>
          </w:p>
        </w:tc>
        <w:tc>
          <w:tcPr>
            <w:tcW w:w="0" w:type="auto"/>
            <w:vAlign w:val="center"/>
          </w:tcPr>
          <w:p w14:paraId="2F67CEB4">
            <w:pPr>
              <w:pStyle w:val="68"/>
              <w:ind w:firstLine="0" w:firstLineChars="0"/>
              <w:jc w:val="center"/>
            </w:pPr>
            <w:r>
              <w:rPr>
                <w:rFonts w:hint="eastAsia"/>
              </w:rPr>
              <w:drawing>
                <wp:inline distT="0" distB="0" distL="0" distR="0">
                  <wp:extent cx="543560" cy="1259840"/>
                  <wp:effectExtent l="0" t="0" r="0" b="0"/>
                  <wp:docPr id="2048770326" name="图片 2048770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0326" name="图片 2048770326"/>
                          <pic:cNvPicPr>
                            <a:picLocks noChangeAspect="1"/>
                          </pic:cNvPicPr>
                        </pic:nvPicPr>
                        <pic:blipFill>
                          <a:blip r:embed="rId144"/>
                          <a:stretch>
                            <a:fillRect/>
                          </a:stretch>
                        </pic:blipFill>
                        <pic:spPr>
                          <a:xfrm>
                            <a:off x="0" y="0"/>
                            <a:ext cx="543790" cy="1260000"/>
                          </a:xfrm>
                          <a:prstGeom prst="rect">
                            <a:avLst/>
                          </a:prstGeom>
                        </pic:spPr>
                      </pic:pic>
                    </a:graphicData>
                  </a:graphic>
                </wp:inline>
              </w:drawing>
            </w:r>
          </w:p>
        </w:tc>
      </w:tr>
      <w:tr w14:paraId="7B0F7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6F08D304">
            <w:pPr>
              <w:pStyle w:val="68"/>
              <w:ind w:firstLine="0" w:firstLineChars="0"/>
              <w:jc w:val="center"/>
            </w:pPr>
            <w:r>
              <w:rPr>
                <w:rFonts w:hint="eastAsia"/>
                <w:sz w:val="15"/>
              </w:rPr>
              <w:t>（a）工况1</w:t>
            </w:r>
          </w:p>
        </w:tc>
        <w:tc>
          <w:tcPr>
            <w:tcW w:w="0" w:type="auto"/>
            <w:vAlign w:val="center"/>
          </w:tcPr>
          <w:p w14:paraId="4094435A">
            <w:pPr>
              <w:pStyle w:val="68"/>
              <w:ind w:firstLine="0" w:firstLineChars="0"/>
              <w:jc w:val="center"/>
            </w:pPr>
            <w:r>
              <w:rPr>
                <w:rFonts w:hint="eastAsia"/>
                <w:sz w:val="15"/>
              </w:rPr>
              <w:t>（b）工况2</w:t>
            </w:r>
          </w:p>
        </w:tc>
        <w:tc>
          <w:tcPr>
            <w:tcW w:w="0" w:type="auto"/>
            <w:vAlign w:val="center"/>
          </w:tcPr>
          <w:p w14:paraId="12E8BA20">
            <w:pPr>
              <w:pStyle w:val="68"/>
              <w:ind w:firstLine="0" w:firstLineChars="0"/>
              <w:jc w:val="center"/>
            </w:pPr>
            <w:r>
              <w:rPr>
                <w:rFonts w:hint="eastAsia"/>
                <w:sz w:val="15"/>
              </w:rPr>
              <w:t>（c）工况3</w:t>
            </w:r>
          </w:p>
        </w:tc>
        <w:tc>
          <w:tcPr>
            <w:tcW w:w="0" w:type="auto"/>
            <w:vAlign w:val="center"/>
          </w:tcPr>
          <w:p w14:paraId="05391CB8">
            <w:pPr>
              <w:pStyle w:val="68"/>
              <w:keepNext/>
              <w:ind w:firstLine="0" w:firstLineChars="0"/>
              <w:jc w:val="center"/>
            </w:pPr>
          </w:p>
        </w:tc>
      </w:tr>
    </w:tbl>
    <w:p w14:paraId="31928A19">
      <w:pPr>
        <w:pStyle w:val="10"/>
      </w:pPr>
      <w:r>
        <w:rPr>
          <w:rFonts w:hint="eastAsia"/>
        </w:rPr>
        <w:t>图</w:t>
      </w:r>
      <w:r>
        <w:t>20</w:t>
      </w:r>
      <w:r>
        <w:rPr>
          <w:rFonts w:hint="eastAsia"/>
        </w:rPr>
        <w:t>竖井内</w:t>
      </w:r>
      <w:r>
        <w:rPr>
          <w:rFonts w:hint="eastAsia"/>
          <w:color w:val="000000"/>
          <w:shd w:val="clear" w:color="auto" w:fill="FFFFFF"/>
        </w:rPr>
        <w:t>纵撑</w:t>
      </w:r>
      <w:r>
        <w:rPr>
          <w:rFonts w:hint="eastAsia"/>
        </w:rPr>
        <w:t>区域横剖面（断面</w:t>
      </w:r>
      <w:r>
        <w:t>3-3）熵产分布</w:t>
      </w:r>
    </w:p>
    <w:p w14:paraId="030F8CE1">
      <w:pPr>
        <w:pStyle w:val="10"/>
      </w:pPr>
      <w:r>
        <w:t>Fig. 2</w:t>
      </w:r>
      <w:r>
        <w:rPr>
          <w:rFonts w:hint="eastAsia"/>
          <w:lang w:val="en-US" w:eastAsia="zh-CN"/>
        </w:rPr>
        <w:t>0</w:t>
      </w:r>
      <w:r>
        <w:t xml:space="preserve"> Entropy production distribution </w:t>
      </w:r>
      <w:r>
        <w:rPr>
          <w:color w:val="000000"/>
          <w:shd w:val="clear" w:color="auto" w:fill="FFFFFF"/>
        </w:rPr>
        <w:t xml:space="preserve">of </w:t>
      </w:r>
      <w:r>
        <w:rPr>
          <w:rFonts w:hint="eastAsia"/>
        </w:rPr>
        <w:t>cross-</w:t>
      </w:r>
      <w:r>
        <w:rPr>
          <w:rFonts w:hint="eastAsia"/>
          <w:lang w:val="en-US" w:eastAsia="zh-CN"/>
        </w:rPr>
        <w:t>section</w:t>
      </w:r>
      <w:r>
        <w:t xml:space="preserve"> </w:t>
      </w:r>
      <w:r>
        <w:rPr>
          <w:rFonts w:hint="eastAsia"/>
          <w:lang w:val="en-US" w:eastAsia="zh-CN"/>
        </w:rPr>
        <w:t>of</w:t>
      </w:r>
      <w:r>
        <w:rPr>
          <w:rFonts w:hint="eastAsia"/>
        </w:rPr>
        <w:t xml:space="preserve"> </w:t>
      </w:r>
      <w:r>
        <w:rPr>
          <w:rFonts w:hint="eastAsia"/>
          <w:lang w:val="en-US" w:eastAsia="zh-CN"/>
        </w:rPr>
        <w:t>vertical</w:t>
      </w:r>
      <w:r>
        <w:rPr>
          <w:rFonts w:hint="eastAsia"/>
        </w:rPr>
        <w:t xml:space="preserve"> brace region </w:t>
      </w:r>
      <w:r>
        <w:rPr>
          <w:rFonts w:hint="eastAsia"/>
          <w:lang w:val="en-US" w:eastAsia="zh-CN"/>
        </w:rPr>
        <w:t>in</w:t>
      </w:r>
      <w:r>
        <w:t xml:space="preserve"> shaft </w:t>
      </w:r>
      <w:r>
        <w:rPr>
          <w:rFonts w:hint="eastAsia"/>
        </w:rPr>
        <w:t>(</w:t>
      </w:r>
      <w:r>
        <w:rPr>
          <w:rFonts w:hint="eastAsia"/>
          <w:lang w:val="en-US" w:eastAsia="zh-CN"/>
        </w:rPr>
        <w:t>s</w:t>
      </w:r>
      <w:r>
        <w:rPr>
          <w:rFonts w:hint="eastAsia"/>
        </w:rPr>
        <w:t>ection 3</w:t>
      </w:r>
      <w:r>
        <w:rPr>
          <w:rFonts w:hint="eastAsia"/>
          <w:lang w:val="en-US" w:eastAsia="zh-CN"/>
        </w:rPr>
        <w:t>-</w:t>
      </w:r>
      <w:r>
        <w:rPr>
          <w:rFonts w:hint="eastAsia"/>
        </w:rPr>
        <w:t>3)</w:t>
      </w:r>
    </w:p>
    <w:p w14:paraId="648BBD42">
      <w:pPr>
        <w:pStyle w:val="12"/>
        <w:ind w:firstLine="420"/>
      </w:pPr>
      <w:r>
        <w:rPr>
          <w:rFonts w:hint="eastAsia"/>
        </w:rPr>
        <w:t>（3）管道入口区。管道入</w:t>
      </w:r>
      <w:r>
        <w:rPr>
          <w:rFonts w:hint="eastAsia"/>
          <w:color w:val="000000"/>
          <w:shd w:val="clear" w:color="auto" w:fill="FFFFFF"/>
        </w:rPr>
        <w:t>口作</w:t>
      </w:r>
      <w:r>
        <w:rPr>
          <w:rFonts w:hint="eastAsia"/>
        </w:rPr>
        <w:t>为水流从竖向跌落向</w:t>
      </w:r>
      <w:r>
        <w:rPr>
          <w:rFonts w:hint="eastAsia"/>
          <w:color w:val="000000"/>
          <w:shd w:val="clear" w:color="auto" w:fill="FFFFFF"/>
        </w:rPr>
        <w:t>下游</w:t>
      </w:r>
      <w:r>
        <w:rPr>
          <w:rFonts w:hint="eastAsia"/>
        </w:rPr>
        <w:t>水平管道过渡的关键节点，具有显著的几何突变特征。流线在此处发生急剧转折，剪切层沿边界发展，伴随小尺度涡的生成与耗散，造成局部熵产强度显著上升。该区域虽不是熵产最高点，但由于其在水流路径上的必经性，对整体能效具有重要影响。</w:t>
      </w:r>
    </w:p>
    <w:p w14:paraId="1C17B32F">
      <w:pPr>
        <w:pStyle w:val="12"/>
        <w:ind w:firstLine="420"/>
      </w:pPr>
      <w:r>
        <w:rPr>
          <w:rFonts w:hint="eastAsia"/>
        </w:rPr>
        <w:t>上述高耗散结构的能量损失机制均归因于结构诱导下的局部流态突变，包括剪切层强化、流向偏折与冲击再附着等复杂现象。尽管类似结构并非无级分层取水系统所特有，但该类装置由于门</w:t>
      </w:r>
      <w:r>
        <w:rPr>
          <w:rFonts w:hint="eastAsia"/>
          <w:color w:val="000000"/>
          <w:shd w:val="clear" w:color="auto" w:fill="FFFFFF"/>
        </w:rPr>
        <w:t>叶</w:t>
      </w:r>
      <w:r>
        <w:rPr>
          <w:rFonts w:hint="eastAsia"/>
        </w:rPr>
        <w:t>可调性与</w:t>
      </w:r>
      <w:r>
        <w:rPr>
          <w:rFonts w:hint="eastAsia"/>
          <w:color w:val="000000"/>
          <w:shd w:val="clear" w:color="auto" w:fill="FFFFFF"/>
        </w:rPr>
        <w:t>布设</w:t>
      </w:r>
      <w:r>
        <w:rPr>
          <w:rFonts w:hint="eastAsia"/>
        </w:rPr>
        <w:t>密度更高，使得流动扰动更易被放大，系统对局部结构扰动的熵产更为敏感。</w:t>
      </w:r>
    </w:p>
    <w:p w14:paraId="7DA2F446">
      <w:pPr>
        <w:pStyle w:val="2"/>
        <w:ind w:left="560" w:hanging="560"/>
      </w:pPr>
      <w:r>
        <w:rPr>
          <w:rFonts w:hint="eastAsia"/>
        </w:rPr>
        <w:t>4</w:t>
      </w:r>
      <w:r>
        <w:t xml:space="preserve"> </w:t>
      </w:r>
      <w:r>
        <w:rPr>
          <w:rFonts w:hint="eastAsia"/>
        </w:rPr>
        <w:t>结果讨论</w:t>
      </w:r>
    </w:p>
    <w:p w14:paraId="57E5B384">
      <w:pPr>
        <w:pStyle w:val="68"/>
        <w:ind w:firstLine="420"/>
      </w:pPr>
      <w:bookmarkStart w:id="11" w:name="_Hlk213511068"/>
      <w:r>
        <w:rPr>
          <w:rFonts w:hint="eastAsia"/>
        </w:rPr>
        <w:t>本文所依托的电站工程是该无级分层取水技术在国内外的首次工程应用，研究结果表明，在满足有效过流深度和机组额定流量条件下，不同门叶组合与取水层位对进水系统整体水头损失的影响处于工程可接受范围内，其损失水平与叠梁门、多层取水口等分层取水工程的同类指标相近</w:t>
      </w:r>
      <w:r>
        <w:rPr>
          <w:kern w:val="0"/>
          <w:vertAlign w:val="superscript"/>
        </w:rPr>
        <w:t>[31]</w:t>
      </w:r>
      <w:r>
        <w:rPr>
          <w:rFonts w:hint="eastAsia"/>
        </w:rPr>
        <w:t>，证实了该新型装置在水力能效上的可行性。然而，无级分层取水装置依托多层门叶可调，实现了取水层位的连续可调和较短的响应时间，也带来了流态更加复杂、局部耗散更集中的特征。熵产分析显示，</w:t>
      </w:r>
      <w:r>
        <w:t>门叶</w:t>
      </w:r>
      <w:r>
        <w:rPr>
          <w:rFonts w:hAnsi="Times New Roman"/>
        </w:rPr>
        <w:t>—</w:t>
      </w:r>
      <w:r>
        <w:t>横撑交界区、竖井跌落区和管道入口区</w:t>
      </w:r>
      <w:r>
        <w:rPr>
          <w:rFonts w:hint="eastAsia"/>
        </w:rPr>
        <w:t>一带是无级分层取水系统能量耗散相对集中的区域。其中门叶下缘及横撑前缘的湍流熵产峰值较高，反映出门叶可调性与支撑构件布置共同塑造了该技术特有的局部高耗散特点。这一认识为后续在保</w:t>
      </w:r>
      <w:r>
        <w:rPr>
          <w:rFonts w:hint="eastAsia"/>
          <w:color w:val="000000"/>
          <w:shd w:val="clear" w:color="auto" w:fill="FFFFFF"/>
        </w:rPr>
        <w:t>持无级调控的优势下，</w:t>
      </w:r>
      <w:r>
        <w:rPr>
          <w:rFonts w:hint="eastAsia"/>
        </w:rPr>
        <w:t>对支撑构件与门叶组合进行有针对性的水力优化提供了依据。</w:t>
      </w:r>
    </w:p>
    <w:p w14:paraId="3ABD3526">
      <w:pPr>
        <w:pStyle w:val="68"/>
        <w:ind w:firstLine="420"/>
      </w:pPr>
      <w:r>
        <w:rPr>
          <w:rFonts w:hint="eastAsia"/>
        </w:rPr>
        <w:t>与传统基于整体水头损失与</w:t>
      </w:r>
      <w:r>
        <w:t>局部阻力系数</w:t>
      </w:r>
      <w:r>
        <w:rPr>
          <w:rFonts w:hint="eastAsia"/>
        </w:rPr>
        <w:t>的分析方法相比，本研究基于熵产理论的分项能耗分析框架在保持整体能耗评价能力的同时，能够分解</w:t>
      </w:r>
      <w:r>
        <w:rPr>
          <w:rFonts w:hint="eastAsia"/>
          <w:color w:val="000000"/>
          <w:shd w:val="clear" w:color="auto" w:fill="FFFFFF"/>
        </w:rPr>
        <w:t>黏性</w:t>
      </w:r>
      <w:r>
        <w:rPr>
          <w:rFonts w:hint="eastAsia"/>
        </w:rPr>
        <w:t>耗散、湍流耗散和壁面摩擦耗散三</w:t>
      </w:r>
      <w:r>
        <w:rPr>
          <w:rFonts w:hint="eastAsia"/>
          <w:color w:val="000000"/>
          <w:shd w:val="clear" w:color="auto" w:fill="FFFFFF"/>
        </w:rPr>
        <w:t>类</w:t>
      </w:r>
      <w:r>
        <w:rPr>
          <w:rFonts w:hint="eastAsia"/>
        </w:rPr>
        <w:t>机理，并以较高的空间分辨率识别具体构件及区域的能量损失贡献，</w:t>
      </w:r>
      <w:r>
        <w:t>为识别结构能量损失控制部位及其成因提供了更精细的定量依据</w:t>
      </w:r>
      <w:r>
        <w:rPr>
          <w:rFonts w:hint="eastAsia"/>
        </w:rPr>
        <w:t>，适用于无级分层取水这类多构件耦合的复杂进水系统。数值结果经总水头损失与典型断面流速的物理模型验证，误差处于工程允许范围内，典型工况下门框中心处的数值流速与实测流速沿程分布基本一致。</w:t>
      </w:r>
      <w:r>
        <w:t>整体而言，现有模型能够较</w:t>
      </w:r>
      <w:r>
        <w:rPr>
          <w:rFonts w:hint="eastAsia"/>
          <w:color w:val="000000"/>
          <w:shd w:val="clear" w:color="auto" w:fill="FFFFFF"/>
        </w:rPr>
        <w:t>好地</w:t>
      </w:r>
      <w:r>
        <w:t>再现无级分层取水进水口的主要水力特征，在此基础上获得的熵产耗散分布可作为分析能量损失特性的可靠基础。</w:t>
      </w:r>
      <w:r>
        <w:rPr>
          <w:rFonts w:hint="eastAsia"/>
        </w:rPr>
        <w:t>需要注意的是，物理和数值模型均在等温、不可压前提下建立，侧重刻画机械能耗散过程，尚未将水温分层及生态响应等因素纳入同一框架；熵产分布的定量分析结果仍受湍流模型、网格分辨率及支撑结构等细部几何表达的影响，这些影响主要影响局部熵产峰值的大小，对能量损失主控区域及相对大小的判别影响相对有限。</w:t>
      </w:r>
    </w:p>
    <w:p w14:paraId="4515CDAD">
      <w:pPr>
        <w:pStyle w:val="68"/>
        <w:ind w:firstLine="420"/>
      </w:pPr>
      <w:r>
        <w:t>基于本研究得到的高耗散区域识别结果，后续工作将围绕支撑构件的</w:t>
      </w:r>
      <w:r>
        <w:rPr>
          <w:rFonts w:hint="eastAsia"/>
        </w:rPr>
        <w:t>截面</w:t>
      </w:r>
      <w:r>
        <w:t>形态与布置</w:t>
      </w:r>
      <w:r>
        <w:rPr>
          <w:rFonts w:hint="eastAsia"/>
        </w:rPr>
        <w:t>位置</w:t>
      </w:r>
      <w:r>
        <w:t>、翻板门构型及门叶组合等参数</w:t>
      </w:r>
      <w:r>
        <w:rPr>
          <w:rFonts w:hint="eastAsia"/>
        </w:rPr>
        <w:t>，</w:t>
      </w:r>
      <w:r>
        <w:t>开展</w:t>
      </w:r>
      <w:r>
        <w:rPr>
          <w:rFonts w:hint="eastAsia"/>
        </w:rPr>
        <w:t>以</w:t>
      </w:r>
      <w:r>
        <w:rPr>
          <w:color w:val="000000"/>
          <w:shd w:val="clear" w:color="auto" w:fill="FFFFFF"/>
        </w:rPr>
        <w:t>熵</w:t>
      </w:r>
      <w:r>
        <w:t>产指标</w:t>
      </w:r>
      <w:r>
        <w:rPr>
          <w:rFonts w:hint="eastAsia"/>
        </w:rPr>
        <w:t>为核心，结合</w:t>
      </w:r>
      <w:r>
        <w:t>整体能耗、流场均匀性和运行安全等因素</w:t>
      </w:r>
      <w:r>
        <w:rPr>
          <w:rFonts w:hint="eastAsia"/>
        </w:rPr>
        <w:t>的对比分析</w:t>
      </w:r>
      <w:r>
        <w:t>，评估不同结构与运行方案</w:t>
      </w:r>
      <w:r>
        <w:rPr>
          <w:rFonts w:hint="eastAsia"/>
        </w:rPr>
        <w:t>对无</w:t>
      </w:r>
      <w:r>
        <w:rPr>
          <w:rFonts w:hint="eastAsia"/>
          <w:color w:val="000000"/>
          <w:shd w:val="clear" w:color="auto" w:fill="FFFFFF"/>
        </w:rPr>
        <w:t>级</w:t>
      </w:r>
      <w:r>
        <w:rPr>
          <w:rFonts w:hint="eastAsia"/>
        </w:rPr>
        <w:t>分层取水技术水力性能的综合影响</w:t>
      </w:r>
      <w:r>
        <w:t>。</w:t>
      </w:r>
      <w:r>
        <w:rPr>
          <w:rFonts w:hint="eastAsia"/>
        </w:rPr>
        <w:t>同时，在后续研究中</w:t>
      </w:r>
      <w:r>
        <w:t>可进一步</w:t>
      </w:r>
      <w:r>
        <w:rPr>
          <w:rFonts w:hint="eastAsia"/>
        </w:rPr>
        <w:t>考虑</w:t>
      </w:r>
      <w:r>
        <w:t>在现有水力耗散分析框架</w:t>
      </w:r>
      <w:r>
        <w:rPr>
          <w:rFonts w:hint="eastAsia"/>
        </w:rPr>
        <w:t>中</w:t>
      </w:r>
      <w:r>
        <w:t>引入温度</w:t>
      </w:r>
      <w:r>
        <w:rPr>
          <w:rFonts w:hAnsi="Times New Roman"/>
        </w:rPr>
        <w:t>—</w:t>
      </w:r>
      <w:r>
        <w:t>流动</w:t>
      </w:r>
      <w:r>
        <w:rPr>
          <w:rFonts w:hint="eastAsia"/>
        </w:rPr>
        <w:t>耦合计算</w:t>
      </w:r>
      <w:r>
        <w:t>与试验</w:t>
      </w:r>
      <w:r>
        <w:rPr>
          <w:rFonts w:hint="eastAsia"/>
        </w:rPr>
        <w:t>研究</w:t>
      </w:r>
      <w:r>
        <w:t>，</w:t>
      </w:r>
      <w:r>
        <w:rPr>
          <w:rFonts w:hint="eastAsia"/>
        </w:rPr>
        <w:t>分析密度分层对流场与能量耗散特性的影响</w:t>
      </w:r>
      <w:r>
        <w:t>，探索兼顾能量效率与</w:t>
      </w:r>
      <w:r>
        <w:rPr>
          <w:color w:val="000000"/>
          <w:shd w:val="clear" w:color="auto" w:fill="FFFFFF"/>
        </w:rPr>
        <w:t>水温</w:t>
      </w:r>
      <w:r>
        <w:t>调控目标的</w:t>
      </w:r>
      <w:r>
        <w:rPr>
          <w:color w:val="000000"/>
          <w:shd w:val="clear" w:color="auto" w:fill="FFFFFF"/>
        </w:rPr>
        <w:t>无级</w:t>
      </w:r>
      <w:r>
        <w:t>分层取水工程优化与评价思路。</w:t>
      </w:r>
    </w:p>
    <w:bookmarkEnd w:id="11"/>
    <w:p w14:paraId="71B7D5CA">
      <w:pPr>
        <w:pStyle w:val="2"/>
        <w:ind w:left="560" w:hanging="560"/>
      </w:pPr>
      <w:r>
        <w:t>5</w:t>
      </w:r>
      <w:r>
        <w:rPr>
          <w:rFonts w:hint="eastAsia"/>
        </w:rPr>
        <w:t xml:space="preserve"> 结论</w:t>
      </w:r>
    </w:p>
    <w:p w14:paraId="3491949A">
      <w:pPr>
        <w:pStyle w:val="68"/>
        <w:ind w:firstLine="420"/>
      </w:pPr>
      <w:r>
        <w:rPr>
          <w:rFonts w:hint="eastAsia"/>
        </w:rPr>
        <w:t>本研究针对采用新型无级分层取水装置的电站进水口系统，</w:t>
      </w:r>
      <w:r>
        <w:rPr>
          <w:rFonts w:hint="eastAsia"/>
          <w:bCs/>
        </w:rPr>
        <w:t>基于熵产理论构建分</w:t>
      </w:r>
      <w:r>
        <w:rPr>
          <w:rFonts w:hint="eastAsia"/>
          <w:bCs/>
          <w:color w:val="000000"/>
          <w:shd w:val="clear" w:color="auto" w:fill="FFFFFF"/>
        </w:rPr>
        <w:t>项</w:t>
      </w:r>
      <w:r>
        <w:rPr>
          <w:rFonts w:hint="eastAsia"/>
          <w:bCs/>
        </w:rPr>
        <w:t>能耗分析框架</w:t>
      </w:r>
      <w:r>
        <w:rPr>
          <w:rFonts w:hint="eastAsia"/>
        </w:rPr>
        <w:t>，结合三维数值模拟与物理模型试验，系统揭示了典型工况下的能量损失特征与机制，主要结论如下：</w:t>
      </w:r>
    </w:p>
    <w:p w14:paraId="4FFEB947">
      <w:pPr>
        <w:pStyle w:val="68"/>
        <w:numPr>
          <w:ilvl w:val="0"/>
          <w:numId w:val="0"/>
        </w:numPr>
        <w:ind w:left="0" w:leftChars="0" w:firstLine="0" w:firstLineChars="0"/>
      </w:pPr>
      <w:r>
        <w:rPr>
          <w:rFonts w:hint="default" w:ascii="Times New Roman" w:hAnsi="Times New Roman" w:eastAsia="宋体" w:cs="Times New Roman"/>
          <w:kern w:val="2"/>
          <w:sz w:val="21"/>
          <w:szCs w:val="24"/>
          <w:lang w:val="en-US" w:eastAsia="zh-CN" w:bidi="ar-SA"/>
        </w:rPr>
        <w:t>（1）</w:t>
      </w:r>
      <w:r>
        <w:rPr>
          <w:rFonts w:hint="eastAsia"/>
        </w:rPr>
        <w:t>系统总熵产随取水层位升高显著增加，竖井段为主耗散区域，最高总熵产达2</w:t>
      </w:r>
      <w:r>
        <w:t>800.468 W·K</w:t>
      </w:r>
      <w:r>
        <w:rPr>
          <w:vertAlign w:val="superscript"/>
        </w:rPr>
        <w:t>-1</w:t>
      </w:r>
      <w:r>
        <w:rPr>
          <w:rFonts w:hint="eastAsia"/>
        </w:rPr>
        <w:t>。高层取水引发跌落、冲击与流向重构，导致熵产水平大幅升高。尽管</w:t>
      </w:r>
      <w:r>
        <w:rPr>
          <w:rFonts w:hint="eastAsia"/>
          <w:color w:val="000000"/>
          <w:shd w:val="clear" w:color="auto" w:fill="FFFFFF"/>
        </w:rPr>
        <w:t>无级</w:t>
      </w:r>
      <w:r>
        <w:rPr>
          <w:rFonts w:hint="eastAsia"/>
        </w:rPr>
        <w:t>分层取水装置自身结构布设复杂，但其自身熵产贡献不超过8</w:t>
      </w:r>
      <w:r>
        <w:t xml:space="preserve"> %</w:t>
      </w:r>
      <w:r>
        <w:rPr>
          <w:rFonts w:hint="eastAsia"/>
        </w:rPr>
        <w:t>，表现出良好的水力适应性与能效稳定性。</w:t>
      </w:r>
    </w:p>
    <w:p w14:paraId="7A16B0C1">
      <w:pPr>
        <w:pStyle w:val="68"/>
        <w:numPr>
          <w:ilvl w:val="0"/>
          <w:numId w:val="0"/>
        </w:numPr>
        <w:ind w:left="0" w:leftChars="0" w:firstLine="0" w:firstLineChars="0"/>
      </w:pPr>
      <w:r>
        <w:rPr>
          <w:rFonts w:hint="default" w:ascii="Times New Roman" w:hAnsi="Times New Roman" w:eastAsia="宋体" w:cs="Times New Roman"/>
          <w:kern w:val="2"/>
          <w:sz w:val="21"/>
          <w:szCs w:val="24"/>
          <w:lang w:val="en-US" w:eastAsia="zh-CN" w:bidi="ar-SA"/>
        </w:rPr>
        <w:t>（2）</w:t>
      </w:r>
      <w:r>
        <w:rPr>
          <w:rFonts w:hint="eastAsia"/>
        </w:rPr>
        <w:t>湍流耗散（E</w:t>
      </w:r>
      <w:r>
        <w:t>PTD</w:t>
      </w:r>
      <w:r>
        <w:rPr>
          <w:rFonts w:hint="eastAsia"/>
        </w:rPr>
        <w:t>）为主导耗散机制，占比始终超过9</w:t>
      </w:r>
      <w:r>
        <w:t>8%</w:t>
      </w:r>
      <w:r>
        <w:rPr>
          <w:rFonts w:hint="eastAsia"/>
        </w:rPr>
        <w:t>。局部高耗散区域集中</w:t>
      </w:r>
      <w:r>
        <w:rPr>
          <w:rFonts w:hint="eastAsia"/>
          <w:color w:val="000000"/>
          <w:shd w:val="clear" w:color="auto" w:fill="FFFFFF"/>
        </w:rPr>
        <w:t>与</w:t>
      </w:r>
      <w:r>
        <w:rPr>
          <w:rFonts w:hint="eastAsia"/>
        </w:rPr>
        <w:t>门叶</w:t>
      </w:r>
      <w:r>
        <w:rPr>
          <w:rFonts w:hint="eastAsia" w:hAnsi="Times New Roman"/>
        </w:rPr>
        <w:t>—</w:t>
      </w:r>
      <w:r>
        <w:rPr>
          <w:rFonts w:hint="eastAsia"/>
        </w:rPr>
        <w:t>横撑交界区、竖井跌落区和管道入口区，结构诱导下的局部速度梯度突变引发强剪切与涡系强化，是局部熵</w:t>
      </w:r>
      <w:r>
        <w:rPr>
          <w:rFonts w:hint="eastAsia"/>
          <w:color w:val="000000"/>
          <w:shd w:val="clear" w:color="auto" w:fill="FFFFFF"/>
        </w:rPr>
        <w:t>产</w:t>
      </w:r>
      <w:r>
        <w:rPr>
          <w:rFonts w:hint="eastAsia"/>
        </w:rPr>
        <w:t>突增的主要成因。优化结构布置与门叶组合关系，可有效降低局部耗散。</w:t>
      </w:r>
    </w:p>
    <w:p w14:paraId="347DB11B">
      <w:pPr>
        <w:pStyle w:val="68"/>
        <w:numPr>
          <w:ilvl w:val="0"/>
          <w:numId w:val="0"/>
        </w:numPr>
        <w:ind w:left="0" w:leftChars="0" w:firstLine="0" w:firstLineChars="0"/>
      </w:pPr>
      <w:bookmarkStart w:id="12" w:name="_Hlk213595936"/>
      <w:r>
        <w:rPr>
          <w:rFonts w:hint="default" w:ascii="Times New Roman" w:hAnsi="Times New Roman" w:eastAsia="宋体" w:cs="Times New Roman"/>
          <w:kern w:val="2"/>
          <w:sz w:val="21"/>
          <w:szCs w:val="24"/>
          <w:lang w:val="en-US" w:eastAsia="zh-CN" w:bidi="ar-SA"/>
        </w:rPr>
        <w:t>（3）</w:t>
      </w:r>
      <w:r>
        <w:rPr>
          <w:rFonts w:hint="eastAsia"/>
        </w:rPr>
        <w:t>熵</w:t>
      </w:r>
      <w:r>
        <w:rPr>
          <w:rFonts w:hint="eastAsia"/>
          <w:color w:val="000000"/>
          <w:shd w:val="clear" w:color="auto" w:fill="FFFFFF"/>
        </w:rPr>
        <w:t>产</w:t>
      </w:r>
      <w:r>
        <w:rPr>
          <w:rFonts w:hint="eastAsia"/>
        </w:rPr>
        <w:t>理论在本研究中首次用于评估</w:t>
      </w:r>
      <w:r>
        <w:rPr>
          <w:rFonts w:hint="eastAsia"/>
          <w:color w:val="000000"/>
          <w:shd w:val="clear" w:color="auto" w:fill="FFFFFF"/>
        </w:rPr>
        <w:t>无级</w:t>
      </w:r>
      <w:r>
        <w:rPr>
          <w:rFonts w:hint="eastAsia"/>
        </w:rPr>
        <w:t>分层取水系统的能耗分布特征，结果表明该方法能够在</w:t>
      </w:r>
      <w:r>
        <w:rPr>
          <w:rFonts w:hint="eastAsia"/>
          <w:color w:val="000000"/>
          <w:shd w:val="clear" w:color="auto" w:fill="FFFFFF"/>
        </w:rPr>
        <w:t>统一</w:t>
      </w:r>
      <w:r>
        <w:rPr>
          <w:rFonts w:hint="eastAsia"/>
        </w:rPr>
        <w:t>框架下反映不同门</w:t>
      </w:r>
      <w:r>
        <w:rPr>
          <w:rFonts w:hint="eastAsia"/>
          <w:color w:val="000000"/>
          <w:shd w:val="clear" w:color="auto" w:fill="FFFFFF"/>
        </w:rPr>
        <w:t>叶</w:t>
      </w:r>
      <w:r>
        <w:rPr>
          <w:rFonts w:hint="eastAsia"/>
        </w:rPr>
        <w:t>组合和取水层位条件下的能量损失差异，并以较高空间分辨率识别高耗散构件及区域，适用于解析多门组合、结构扰动复杂的取水环境。相比仅基于水头损失或局部阻力系数的传统指标，</w:t>
      </w:r>
      <w:r>
        <w:rPr>
          <w:rFonts w:hint="eastAsia"/>
          <w:color w:val="000000"/>
          <w:shd w:val="clear" w:color="auto" w:fill="FFFFFF"/>
        </w:rPr>
        <w:t>熵</w:t>
      </w:r>
      <w:r>
        <w:rPr>
          <w:rFonts w:hint="eastAsia"/>
        </w:rPr>
        <w:t>产结果为无</w:t>
      </w:r>
      <w:r>
        <w:rPr>
          <w:rFonts w:hint="eastAsia"/>
          <w:color w:val="000000"/>
          <w:shd w:val="clear" w:color="auto" w:fill="FFFFFF"/>
        </w:rPr>
        <w:t>级</w:t>
      </w:r>
      <w:r>
        <w:rPr>
          <w:rFonts w:hint="eastAsia"/>
        </w:rPr>
        <w:t>分层取水结构的局部体型优化与运行调度策略制定提供了更加直观、定量的参考。</w:t>
      </w:r>
    </w:p>
    <w:bookmarkEnd w:id="12"/>
    <w:p w14:paraId="15C6B718">
      <w:pPr>
        <w:pStyle w:val="68"/>
        <w:ind w:firstLine="0" w:firstLineChars="0"/>
      </w:pPr>
    </w:p>
    <w:p w14:paraId="0FEA6C63">
      <w:pPr>
        <w:pStyle w:val="2"/>
        <w:ind w:left="560" w:hanging="560"/>
      </w:pPr>
      <w:r>
        <w:t>参考文献</w:t>
      </w:r>
    </w:p>
    <w:p w14:paraId="6DC0D4C2">
      <w:pPr>
        <w:rPr>
          <w:rFonts w:ascii="Times New Roman" w:hAnsi="Times New Roman"/>
        </w:rPr>
        <w:sectPr>
          <w:headerReference r:id="rId9" w:type="default"/>
          <w:type w:val="continuous"/>
          <w:pgSz w:w="11906" w:h="16838"/>
          <w:pgMar w:top="2098" w:right="1133" w:bottom="1134" w:left="1134" w:header="1474" w:footer="992" w:gutter="0"/>
          <w:cols w:space="720" w:num="1"/>
          <w:titlePg/>
          <w:docGrid w:type="linesAndChars" w:linePitch="312" w:charSpace="0"/>
        </w:sectPr>
      </w:pPr>
    </w:p>
    <w:p w14:paraId="40B335AC">
      <w:pPr>
        <w:pStyle w:val="96"/>
        <w:rPr>
          <w:rFonts w:ascii="Times New Roman" w:hAnsi="Times New Roman" w:cs="Times New Roman"/>
          <w:sz w:val="15"/>
          <w:szCs w:val="15"/>
        </w:rPr>
      </w:pPr>
      <w:bookmarkStart w:id="13" w:name="_Hlk213675776"/>
      <w:bookmarkStart w:id="14" w:name="_Hlk213676402"/>
      <w:r>
        <w:rPr>
          <w:rFonts w:ascii="Times New Roman" w:hAnsi="Times New Roman" w:cs="Times New Roman"/>
          <w:sz w:val="15"/>
          <w:szCs w:val="15"/>
        </w:rPr>
        <w:t>[1] 任玉峰, 胡光洋, 杨中华, 等. 溪洛渡水库分层取水对向家坝库区水温的影响分析[J]. 水电能源科学, 2024, 42(4): 128-132.</w:t>
      </w:r>
    </w:p>
    <w:p w14:paraId="065EAC73">
      <w:pPr>
        <w:pStyle w:val="96"/>
        <w:rPr>
          <w:rFonts w:ascii="Times New Roman" w:hAnsi="Times New Roman" w:cs="Times New Roman"/>
          <w:sz w:val="15"/>
          <w:szCs w:val="15"/>
        </w:rPr>
      </w:pPr>
      <w:r>
        <w:rPr>
          <w:rFonts w:ascii="Times New Roman" w:hAnsi="Times New Roman" w:cs="Times New Roman"/>
          <w:sz w:val="15"/>
          <w:szCs w:val="15"/>
        </w:rPr>
        <w:t xml:space="preserve">REN Y F, HU G Y, YANG Z H, et al. Analysis of effect of stratified water withdrawal in xiluodu reservoir on water temperature in xiangjiaba reservoir area[J]. Water Resources and Power, 2024, 42(4): 128-132. </w:t>
      </w:r>
      <w:bookmarkEnd w:id="13"/>
      <w:bookmarkStart w:id="15" w:name="_Hlk213675813"/>
    </w:p>
    <w:p w14:paraId="083FFB88">
      <w:pPr>
        <w:pStyle w:val="96"/>
        <w:rPr>
          <w:rFonts w:ascii="Times New Roman" w:hAnsi="Times New Roman" w:cs="Times New Roman"/>
          <w:sz w:val="15"/>
          <w:szCs w:val="15"/>
        </w:rPr>
      </w:pPr>
      <w:r>
        <w:rPr>
          <w:rFonts w:ascii="Times New Roman" w:hAnsi="Times New Roman" w:cs="Times New Roman"/>
          <w:sz w:val="15"/>
          <w:szCs w:val="15"/>
        </w:rPr>
        <w:t>[2] 张少雄, 高学平. 水库溢流式取水口下泄水温数值模拟[J]. 应用基础与工程科学学报, 2015, 23(1): 145-153.</w:t>
      </w:r>
    </w:p>
    <w:p w14:paraId="64A5E04F">
      <w:pPr>
        <w:pStyle w:val="96"/>
        <w:rPr>
          <w:rFonts w:ascii="Times New Roman" w:hAnsi="Times New Roman" w:cs="Times New Roman"/>
          <w:sz w:val="15"/>
          <w:szCs w:val="15"/>
        </w:rPr>
      </w:pPr>
      <w:r>
        <w:rPr>
          <w:rFonts w:ascii="Times New Roman" w:hAnsi="Times New Roman" w:cs="Times New Roman"/>
          <w:sz w:val="15"/>
          <w:szCs w:val="15"/>
        </w:rPr>
        <w:t xml:space="preserve">ZHANG S X, GAO X P. Numerical simulation on water temperature released from overflow intake in reservoirs[J]. Journal of Basic Science and Engineering, 2015, 23(1): 145-153. </w:t>
      </w:r>
      <w:bookmarkEnd w:id="15"/>
      <w:bookmarkStart w:id="16" w:name="_Hlk213675825"/>
    </w:p>
    <w:p w14:paraId="1D5E1E07">
      <w:pPr>
        <w:pStyle w:val="96"/>
        <w:rPr>
          <w:rFonts w:ascii="Times New Roman" w:hAnsi="Times New Roman" w:cs="Times New Roman"/>
          <w:sz w:val="15"/>
          <w:szCs w:val="15"/>
        </w:rPr>
      </w:pPr>
      <w:r>
        <w:rPr>
          <w:rFonts w:ascii="Times New Roman" w:hAnsi="Times New Roman" w:cs="Times New Roman"/>
          <w:sz w:val="15"/>
          <w:szCs w:val="15"/>
        </w:rPr>
        <w:t>[3] 杨宇, 蒋定国, 梁犁丽, 等. 溪洛渡水库</w:t>
      </w:r>
      <w:r>
        <w:rPr>
          <w:rFonts w:ascii="Times New Roman" w:hAnsi="Times New Roman" w:cs="Times New Roman"/>
          <w:sz w:val="15"/>
          <w:szCs w:val="15"/>
          <w:shd w:val="clear" w:color="auto" w:fill="FFFFFF"/>
        </w:rPr>
        <w:t>水温</w:t>
      </w:r>
      <w:r>
        <w:rPr>
          <w:rFonts w:ascii="Times New Roman" w:hAnsi="Times New Roman" w:cs="Times New Roman"/>
          <w:sz w:val="15"/>
          <w:szCs w:val="15"/>
        </w:rPr>
        <w:t>模拟与叠梁门分层取水效果分析[J]. 水利水电技术(中英文), 2025, 56(9): 143-155.</w:t>
      </w:r>
    </w:p>
    <w:p w14:paraId="73F82BDE">
      <w:pPr>
        <w:pStyle w:val="96"/>
        <w:rPr>
          <w:rFonts w:ascii="Times New Roman" w:hAnsi="Times New Roman" w:cs="Times New Roman"/>
          <w:sz w:val="15"/>
          <w:szCs w:val="15"/>
        </w:rPr>
      </w:pPr>
      <w:r>
        <w:rPr>
          <w:rFonts w:ascii="Times New Roman" w:hAnsi="Times New Roman" w:cs="Times New Roman"/>
          <w:sz w:val="15"/>
          <w:szCs w:val="15"/>
        </w:rPr>
        <w:t xml:space="preserve">YANG Y, JIANG D G, LIANG L L, et al. Simulation of water temperature and analysis of stratified water intake effect of stoplog gates at Xiluodu Reservoir[J]. Water Resources and Hydropower Engineering, 2025, 56(9): 143-155. </w:t>
      </w:r>
      <w:bookmarkEnd w:id="16"/>
      <w:bookmarkStart w:id="17" w:name="_Hlk213675834"/>
    </w:p>
    <w:bookmarkEnd w:id="17"/>
    <w:p w14:paraId="2418CC47">
      <w:pPr>
        <w:pStyle w:val="96"/>
        <w:rPr>
          <w:rFonts w:hint="eastAsia" w:ascii="Times New Roman" w:hAnsi="Times New Roman" w:eastAsia="宋体" w:cs="Times New Roman"/>
          <w:sz w:val="15"/>
          <w:szCs w:val="15"/>
          <w:lang w:eastAsia="zh-CN"/>
        </w:rPr>
      </w:pPr>
      <w:bookmarkStart w:id="18" w:name="_Hlk213675844"/>
      <w:r>
        <w:rPr>
          <w:rFonts w:hint="eastAsia" w:ascii="Times New Roman" w:hAnsi="Times New Roman" w:eastAsia="宋体" w:cs="Times New Roman"/>
          <w:sz w:val="15"/>
          <w:szCs w:val="15"/>
          <w:lang w:eastAsia="zh-CN"/>
        </w:rPr>
        <w:t>[4] SAADATPOUR M, JAVAHERI S, AFSHAR A, et al. Optimization of selective withdrawal systems in hydropower reservoir considering water quality and quantity aspects[J]. Expert Systems with Applications, 2021, 184: 115474.</w:t>
      </w:r>
    </w:p>
    <w:p w14:paraId="1E8B688D">
      <w:pPr>
        <w:pStyle w:val="96"/>
        <w:rPr>
          <w:rFonts w:hint="eastAsia" w:ascii="Times New Roman" w:hAnsi="Times New Roman" w:eastAsia="宋体" w:cs="Times New Roman"/>
          <w:sz w:val="15"/>
          <w:szCs w:val="15"/>
          <w:lang w:eastAsia="zh-CN"/>
        </w:rPr>
      </w:pPr>
      <w:r>
        <w:rPr>
          <w:rFonts w:hint="eastAsia" w:ascii="Times New Roman" w:hAnsi="Times New Roman" w:eastAsia="宋体" w:cs="Times New Roman"/>
          <w:sz w:val="15"/>
          <w:szCs w:val="15"/>
          <w:lang w:eastAsia="zh-CN"/>
        </w:rPr>
        <w:t xml:space="preserve">[5] MI C X, RINKE K, SHATWELL T. Optimizing selective withdrawal strategies to mitigate hypoxia under water-level reduction in Germany’s largest drinking water reservoir[J]. Journal of Environmental Sciences, 2024, 146: 127-139. </w:t>
      </w:r>
    </w:p>
    <w:p w14:paraId="43F1C851">
      <w:pPr>
        <w:pStyle w:val="96"/>
        <w:rPr>
          <w:rFonts w:ascii="Times New Roman" w:hAnsi="Times New Roman" w:cs="Times New Roman"/>
          <w:sz w:val="15"/>
          <w:szCs w:val="15"/>
        </w:rPr>
      </w:pPr>
      <w:r>
        <w:rPr>
          <w:rFonts w:ascii="Times New Roman" w:hAnsi="Times New Roman" w:cs="Times New Roman"/>
          <w:sz w:val="15"/>
          <w:szCs w:val="15"/>
        </w:rPr>
        <w:t xml:space="preserve"> </w:t>
      </w:r>
      <w:bookmarkEnd w:id="18"/>
      <w:bookmarkStart w:id="19" w:name="_Hlk213675850"/>
      <w:r>
        <w:rPr>
          <w:rFonts w:ascii="Times New Roman" w:hAnsi="Times New Roman" w:cs="Times New Roman"/>
          <w:sz w:val="15"/>
          <w:szCs w:val="15"/>
        </w:rPr>
        <w:t>[6] 张弛, 张洋, 吴雨娇, 等. 缓解水温失调问题的水库生态调控策略[J]. 水科学进展, 2023, 34(1): 134-143.</w:t>
      </w:r>
    </w:p>
    <w:p w14:paraId="2D9EA8CA">
      <w:pPr>
        <w:pStyle w:val="96"/>
        <w:rPr>
          <w:rFonts w:ascii="Times New Roman" w:hAnsi="Times New Roman" w:cs="Times New Roman"/>
          <w:sz w:val="15"/>
          <w:szCs w:val="15"/>
        </w:rPr>
      </w:pPr>
      <w:r>
        <w:rPr>
          <w:rFonts w:ascii="Times New Roman" w:hAnsi="Times New Roman" w:cs="Times New Roman"/>
          <w:sz w:val="15"/>
          <w:szCs w:val="15"/>
        </w:rPr>
        <w:t xml:space="preserve">ZHANG C, ZHANG Y, WU Y J, et al. Reservoir ecological regulation strategy to alleviate water temperature imbalances[J]. Advances in Water Science, 2023, 34(1): 134-143. </w:t>
      </w:r>
    </w:p>
    <w:bookmarkEnd w:id="19"/>
    <w:p w14:paraId="3199EF94">
      <w:pPr>
        <w:pStyle w:val="96"/>
        <w:rPr>
          <w:rFonts w:ascii="Times New Roman" w:hAnsi="Times New Roman" w:cs="Times New Roman"/>
          <w:sz w:val="15"/>
          <w:szCs w:val="15"/>
        </w:rPr>
      </w:pPr>
      <w:bookmarkStart w:id="20" w:name="_Hlk213675860"/>
      <w:r>
        <w:rPr>
          <w:rFonts w:ascii="Times New Roman" w:hAnsi="Times New Roman" w:cs="Times New Roman"/>
          <w:sz w:val="15"/>
          <w:szCs w:val="15"/>
        </w:rPr>
        <w:t>[7] 戴凌全, 王浩宇, 刘璇, 等. 乌东德水库分层取水策略及生态响应[J]. 水科学进展, 2025, 36(2): 264-274.</w:t>
      </w:r>
    </w:p>
    <w:p w14:paraId="7988D4E8">
      <w:pPr>
        <w:pStyle w:val="96"/>
        <w:rPr>
          <w:rFonts w:ascii="Times New Roman" w:hAnsi="Times New Roman" w:cs="Times New Roman"/>
          <w:sz w:val="15"/>
          <w:szCs w:val="15"/>
        </w:rPr>
      </w:pPr>
      <w:r>
        <w:rPr>
          <w:rFonts w:ascii="Times New Roman" w:hAnsi="Times New Roman" w:cs="Times New Roman"/>
          <w:sz w:val="15"/>
          <w:szCs w:val="15"/>
        </w:rPr>
        <w:t xml:space="preserve">DAI L Q, WANG H Y, LIU X, et al. Research on selective withdrawal strategy and ecological response of Wudongde Reservoir[J]. Advances in Water Science, 2025, 36(2): 264-274. </w:t>
      </w:r>
    </w:p>
    <w:bookmarkEnd w:id="14"/>
    <w:bookmarkEnd w:id="20"/>
    <w:p w14:paraId="2C9F33A3">
      <w:pPr>
        <w:pStyle w:val="96"/>
        <w:rPr>
          <w:rFonts w:ascii="Times New Roman" w:hAnsi="Times New Roman" w:cs="Times New Roman"/>
          <w:sz w:val="15"/>
          <w:szCs w:val="15"/>
        </w:rPr>
      </w:pPr>
      <w:r>
        <w:rPr>
          <w:rFonts w:ascii="Times New Roman" w:hAnsi="Times New Roman" w:cs="Times New Roman"/>
          <w:sz w:val="15"/>
          <w:szCs w:val="15"/>
        </w:rPr>
        <w:t>[8] 练继建, 杜慧超, 马超. 隔水幕布改善深水水库下泄低温水效果研究[J]. 水利学报, 2016, 47(7): 942-948.</w:t>
      </w:r>
    </w:p>
    <w:p w14:paraId="0EBC02D8">
      <w:pPr>
        <w:pStyle w:val="96"/>
        <w:rPr>
          <w:rFonts w:ascii="Times New Roman" w:hAnsi="Times New Roman" w:cs="Times New Roman"/>
          <w:sz w:val="15"/>
          <w:szCs w:val="15"/>
        </w:rPr>
      </w:pPr>
      <w:r>
        <w:rPr>
          <w:rFonts w:ascii="Times New Roman" w:hAnsi="Times New Roman" w:cs="Times New Roman"/>
          <w:sz w:val="15"/>
          <w:szCs w:val="15"/>
        </w:rPr>
        <w:t>LIAN J J, DU H C, MA C. Effects of temperature control curtain on water releases in deep water reservoirs[J]. Journal of Hydraulic Engineering, 2016, 47(7): 942-948.</w:t>
      </w:r>
    </w:p>
    <w:p w14:paraId="3C9454F2">
      <w:pPr>
        <w:pStyle w:val="96"/>
        <w:rPr>
          <w:rFonts w:ascii="Times New Roman" w:hAnsi="Times New Roman" w:cs="Times New Roman"/>
          <w:sz w:val="15"/>
          <w:szCs w:val="15"/>
        </w:rPr>
      </w:pPr>
      <w:bookmarkStart w:id="21" w:name="_Hlk213675967"/>
      <w:r>
        <w:rPr>
          <w:rFonts w:ascii="Times New Roman" w:hAnsi="Times New Roman" w:cs="Times New Roman"/>
          <w:sz w:val="15"/>
          <w:szCs w:val="15"/>
        </w:rPr>
        <w:t>[9] 张文远, 杨帆, 章晋雄, 等. 大石峡水电站进水口叠梁门分层取水试验研究[J]. 中国水利水电科学研究院学报(中英文), 2022, 20(6): 516-522.</w:t>
      </w:r>
    </w:p>
    <w:p w14:paraId="7B25CFB2">
      <w:pPr>
        <w:pStyle w:val="96"/>
        <w:rPr>
          <w:rFonts w:ascii="Times New Roman" w:hAnsi="Times New Roman" w:cs="Times New Roman"/>
          <w:sz w:val="15"/>
          <w:szCs w:val="15"/>
        </w:rPr>
      </w:pPr>
      <w:r>
        <w:rPr>
          <w:rFonts w:ascii="Times New Roman" w:hAnsi="Times New Roman" w:cs="Times New Roman"/>
          <w:sz w:val="15"/>
          <w:szCs w:val="15"/>
        </w:rPr>
        <w:t xml:space="preserve">ZHANG W Y, YANG F, ZHANG J X, et al. Model tests on the multi-level power intakes of Dashixia Project[J]. Journal of China Institute of Water Resources and Hydropower Research, 2022, 20(6): 516-522. </w:t>
      </w:r>
      <w:bookmarkEnd w:id="21"/>
    </w:p>
    <w:p w14:paraId="5CA1DD5E">
      <w:pPr>
        <w:pStyle w:val="96"/>
        <w:rPr>
          <w:rFonts w:ascii="Times New Roman" w:hAnsi="Times New Roman" w:cs="Times New Roman"/>
          <w:sz w:val="15"/>
          <w:szCs w:val="15"/>
        </w:rPr>
      </w:pPr>
      <w:bookmarkStart w:id="22" w:name="_Hlk213675982"/>
      <w:r>
        <w:rPr>
          <w:rFonts w:ascii="Times New Roman" w:hAnsi="Times New Roman" w:cs="Times New Roman"/>
          <w:sz w:val="15"/>
          <w:szCs w:val="15"/>
        </w:rPr>
        <w:t>[10] 周思佳, 秦鑫, 薛文豪, 等. 糯扎渡水电站不同调度下下泄低温水改善效果研究[J]. 水利水电技术(中英文), 2023, 54(9): 170-179.</w:t>
      </w:r>
    </w:p>
    <w:p w14:paraId="0DA1717D">
      <w:pPr>
        <w:pStyle w:val="96"/>
        <w:rPr>
          <w:rFonts w:ascii="Times New Roman" w:hAnsi="Times New Roman" w:cs="Times New Roman"/>
          <w:sz w:val="15"/>
          <w:szCs w:val="15"/>
        </w:rPr>
      </w:pPr>
      <w:r>
        <w:rPr>
          <w:rFonts w:ascii="Times New Roman" w:hAnsi="Times New Roman" w:cs="Times New Roman"/>
          <w:sz w:val="15"/>
          <w:szCs w:val="15"/>
        </w:rPr>
        <w:t xml:space="preserve">ZHOU S J, QIN X, XUE W H, et al. Research on the improvement effect of low outflow temperature under different reservoir operation at Nuozhadu Hydropower Station[J]. Water Resources and Hydropower Engineering, 2023, 54(9): 170-179. </w:t>
      </w:r>
      <w:bookmarkEnd w:id="22"/>
    </w:p>
    <w:p w14:paraId="56990E1B">
      <w:pPr>
        <w:pStyle w:val="96"/>
        <w:rPr>
          <w:rFonts w:ascii="Times New Roman" w:hAnsi="Times New Roman" w:cs="Times New Roman"/>
          <w:sz w:val="15"/>
          <w:szCs w:val="15"/>
        </w:rPr>
      </w:pPr>
      <w:bookmarkStart w:id="23" w:name="_Hlk213676000"/>
      <w:r>
        <w:rPr>
          <w:rFonts w:ascii="Times New Roman" w:hAnsi="Times New Roman" w:cs="Times New Roman"/>
          <w:sz w:val="15"/>
          <w:szCs w:val="15"/>
        </w:rPr>
        <w:t>[11] 龚朝晖, 蒋德成, 黄伟, 等. 水电站进水口分层取水设施布置设计综述[J]. 水力发电, 2025, 51(10): 61-69.</w:t>
      </w:r>
    </w:p>
    <w:p w14:paraId="48BEF3DB">
      <w:pPr>
        <w:pStyle w:val="96"/>
        <w:rPr>
          <w:rFonts w:ascii="Times New Roman" w:hAnsi="Times New Roman" w:cs="Times New Roman"/>
          <w:sz w:val="15"/>
          <w:szCs w:val="15"/>
        </w:rPr>
      </w:pPr>
      <w:r>
        <w:rPr>
          <w:rFonts w:ascii="Times New Roman" w:hAnsi="Times New Roman" w:cs="Times New Roman"/>
          <w:sz w:val="15"/>
          <w:szCs w:val="15"/>
        </w:rPr>
        <w:t xml:space="preserve">GONG Z H, JIANG D C, HUANG W, et al. Summary on layout design of stratified water intake facilities at hydropower station[J]. Water Power, 2025, 51(10): 61-69. </w:t>
      </w:r>
    </w:p>
    <w:bookmarkEnd w:id="23"/>
    <w:p w14:paraId="6F9AE95A">
      <w:pPr>
        <w:pStyle w:val="96"/>
        <w:rPr>
          <w:rFonts w:ascii="Times New Roman" w:hAnsi="Times New Roman" w:cs="Times New Roman"/>
          <w:sz w:val="15"/>
          <w:szCs w:val="15"/>
        </w:rPr>
      </w:pPr>
      <w:bookmarkStart w:id="24" w:name="_Hlk213676011"/>
      <w:r>
        <w:rPr>
          <w:rFonts w:ascii="Times New Roman" w:hAnsi="Times New Roman" w:cs="Times New Roman"/>
          <w:sz w:val="15"/>
          <w:szCs w:val="15"/>
        </w:rPr>
        <w:t>[12] 郑铁刚, 孙双科, 柳海涛, 等. 大型水电站通仓型进水口水力特性研究[J]. 水力发电学报, 2017, 36(1): 59-68.</w:t>
      </w:r>
    </w:p>
    <w:p w14:paraId="7A0B1652">
      <w:pPr>
        <w:pStyle w:val="96"/>
        <w:rPr>
          <w:rFonts w:ascii="Times New Roman" w:hAnsi="Times New Roman" w:cs="Times New Roman"/>
          <w:sz w:val="15"/>
          <w:szCs w:val="15"/>
        </w:rPr>
      </w:pPr>
      <w:r>
        <w:rPr>
          <w:rFonts w:ascii="Times New Roman" w:hAnsi="Times New Roman" w:cs="Times New Roman"/>
          <w:sz w:val="15"/>
          <w:szCs w:val="15"/>
        </w:rPr>
        <w:t xml:space="preserve">ZHENG T G, SUN S K, LIU H T, et al. Hydraulic characteristics of full length intakes of large hydropower stations[J]. Journal of Hydroelectric Engineering, 2017, 36(1): 59-68. </w:t>
      </w:r>
      <w:bookmarkEnd w:id="24"/>
    </w:p>
    <w:p w14:paraId="5A6C7627">
      <w:pPr>
        <w:pStyle w:val="96"/>
        <w:rPr>
          <w:rFonts w:ascii="Times New Roman" w:hAnsi="Times New Roman" w:cs="Times New Roman"/>
          <w:sz w:val="15"/>
          <w:szCs w:val="15"/>
        </w:rPr>
      </w:pPr>
      <w:bookmarkStart w:id="25" w:name="_Hlk213676056"/>
      <w:r>
        <w:rPr>
          <w:rFonts w:ascii="Times New Roman" w:hAnsi="Times New Roman" w:cs="Times New Roman"/>
          <w:sz w:val="15"/>
          <w:szCs w:val="15"/>
        </w:rPr>
        <w:t xml:space="preserve">[13] ZHOU L, HANG J W, BAI L, et al. Application of entropy production theory for energy losses and other investigation in pumps and turbines: A review[J]. Applied Energy, 2022, 318: 119211. </w:t>
      </w:r>
      <w:bookmarkEnd w:id="25"/>
    </w:p>
    <w:p w14:paraId="00A6FBB8">
      <w:pPr>
        <w:pStyle w:val="96"/>
        <w:rPr>
          <w:rFonts w:ascii="Times New Roman" w:hAnsi="Times New Roman" w:cs="Times New Roman"/>
          <w:sz w:val="15"/>
          <w:szCs w:val="15"/>
        </w:rPr>
      </w:pPr>
      <w:r>
        <w:rPr>
          <w:rFonts w:ascii="Times New Roman" w:hAnsi="Times New Roman" w:cs="Times New Roman"/>
          <w:sz w:val="15"/>
          <w:szCs w:val="15"/>
        </w:rPr>
        <w:t xml:space="preserve">[14] KOCK F, HERWIG H. Local entropy production in turbulent shear flows: A high-Reynolds number model with wall functions[J]. International Journal of Heat and Mass Transfer, 2004, 47(10/11): 2205-2215. </w:t>
      </w:r>
    </w:p>
    <w:p w14:paraId="0EC30331">
      <w:pPr>
        <w:rPr>
          <w:rFonts w:ascii="Times New Roman" w:hAnsi="Times New Roman" w:cs="Times New Roman"/>
          <w:sz w:val="15"/>
          <w:szCs w:val="15"/>
        </w:rPr>
      </w:pPr>
      <w:r>
        <w:rPr>
          <w:rFonts w:hint="eastAsia" w:ascii="Times New Roman" w:hAnsi="Times New Roman" w:eastAsia="Times New Roman" w:cs="Times New Roman"/>
          <w:sz w:val="15"/>
          <w:szCs w:val="15"/>
        </w:rPr>
        <w:t xml:space="preserve">[15] </w:t>
      </w:r>
      <w:r>
        <w:rPr>
          <w:rFonts w:ascii="Times New Roman" w:hAnsi="Times New Roman" w:cs="Times New Roman"/>
          <w:sz w:val="15"/>
          <w:szCs w:val="15"/>
        </w:rPr>
        <w:t xml:space="preserve">HERWIG H, GLOSS D, WENTERODT T. A new approach to understanding and modelling the influence of wall roughness on friction factors for pipe and channel flows[J]. Journal of Fluid Mechanics, 2008, 613: 35-53. </w:t>
      </w:r>
    </w:p>
    <w:p w14:paraId="6E8478EB">
      <w:pPr>
        <w:pStyle w:val="96"/>
        <w:rPr>
          <w:rFonts w:ascii="Times New Roman" w:hAnsi="Times New Roman" w:cs="Times New Roman"/>
          <w:sz w:val="15"/>
          <w:szCs w:val="15"/>
        </w:rPr>
      </w:pPr>
      <w:r>
        <w:rPr>
          <w:rFonts w:ascii="Times New Roman" w:hAnsi="Times New Roman" w:cs="Times New Roman"/>
          <w:sz w:val="15"/>
          <w:szCs w:val="15"/>
        </w:rPr>
        <w:t xml:space="preserve">[16] MCELIGOT D M, NOLAN K P, WALSH E J, et al. Effects of pressure gradients on entropy generation in the viscous layers of turbulent wall flows[J]. International Journal of Heat and Mass Transfer, 2008, 51(5/6): 1104-1114. </w:t>
      </w:r>
    </w:p>
    <w:p w14:paraId="7F69B61E">
      <w:pPr>
        <w:pStyle w:val="96"/>
        <w:rPr>
          <w:rFonts w:ascii="Times New Roman" w:hAnsi="Times New Roman" w:cs="Times New Roman"/>
          <w:sz w:val="15"/>
          <w:szCs w:val="15"/>
        </w:rPr>
      </w:pPr>
      <w:bookmarkStart w:id="26" w:name="_Hlk213676094"/>
      <w:r>
        <w:rPr>
          <w:rFonts w:ascii="Times New Roman" w:hAnsi="Times New Roman" w:cs="Times New Roman"/>
          <w:sz w:val="15"/>
          <w:szCs w:val="15"/>
        </w:rPr>
        <w:t xml:space="preserve">[17] HOU H C, ZHANG Y X, LI Z L, et al. Numerical analysis of entropy production on a LNG cryogenic submerged pump[J]. Journal of Natural Gas Science and Engineering, 2016, 36: 87-96. </w:t>
      </w:r>
      <w:bookmarkEnd w:id="26"/>
    </w:p>
    <w:p w14:paraId="6B2905B4">
      <w:pPr>
        <w:pStyle w:val="96"/>
        <w:rPr>
          <w:rFonts w:ascii="Times New Roman" w:hAnsi="Times New Roman" w:cs="Times New Roman"/>
          <w:sz w:val="15"/>
          <w:szCs w:val="15"/>
        </w:rPr>
      </w:pPr>
      <w:bookmarkStart w:id="27" w:name="_Hlk213676104"/>
      <w:r>
        <w:rPr>
          <w:rFonts w:ascii="Times New Roman" w:hAnsi="Times New Roman" w:cs="Times New Roman"/>
          <w:sz w:val="15"/>
          <w:szCs w:val="15"/>
        </w:rPr>
        <w:t xml:space="preserve">[18] LI D Y, WANG H J, QIN Y L, et al. Entropy production analysis of hysteresis characteristic of a pump-turbine model[J]. Energy Conversion and Management, 2017, 149: 175-191. </w:t>
      </w:r>
    </w:p>
    <w:bookmarkEnd w:id="27"/>
    <w:p w14:paraId="14D86388">
      <w:pPr>
        <w:pStyle w:val="96"/>
        <w:rPr>
          <w:rFonts w:ascii="Times New Roman" w:hAnsi="Times New Roman" w:cs="Times New Roman"/>
          <w:sz w:val="15"/>
          <w:szCs w:val="15"/>
        </w:rPr>
      </w:pPr>
      <w:bookmarkStart w:id="28" w:name="_Hlk213676115"/>
      <w:r>
        <w:rPr>
          <w:rFonts w:ascii="Times New Roman" w:hAnsi="Times New Roman" w:cs="Times New Roman"/>
          <w:sz w:val="15"/>
          <w:szCs w:val="15"/>
        </w:rPr>
        <w:t xml:space="preserve">[19] HABIBI S E, NEMATOLLAHI M A. Position and mass identification in nanotube mass sensor using neural networks[J]. Proceedings of the Institution of Mechanical Engineers, Part C: Journal of Mechanical Engineering Science, 2019, 233(15): 5377-5387. </w:t>
      </w:r>
      <w:bookmarkEnd w:id="28"/>
    </w:p>
    <w:p w14:paraId="20B0DA36">
      <w:pPr>
        <w:pStyle w:val="96"/>
        <w:rPr>
          <w:rFonts w:ascii="Times New Roman" w:hAnsi="Times New Roman" w:cs="Times New Roman"/>
          <w:sz w:val="15"/>
          <w:szCs w:val="15"/>
        </w:rPr>
      </w:pPr>
      <w:r>
        <w:rPr>
          <w:rFonts w:ascii="Times New Roman" w:hAnsi="Times New Roman" w:cs="Times New Roman"/>
          <w:sz w:val="15"/>
          <w:szCs w:val="15"/>
        </w:rPr>
        <w:t xml:space="preserve">[20] JI L L, LI W, SHI W D, et al. Energy characteristics of mixed-flow pump under different tip clearances based on entropy production analysis[J]. Energy, 2020, 199: 117447. </w:t>
      </w:r>
    </w:p>
    <w:p w14:paraId="78BC9D6B">
      <w:pPr>
        <w:pStyle w:val="96"/>
        <w:rPr>
          <w:rFonts w:ascii="Times New Roman" w:hAnsi="Times New Roman" w:cs="Times New Roman"/>
          <w:sz w:val="15"/>
          <w:szCs w:val="15"/>
        </w:rPr>
      </w:pPr>
      <w:bookmarkStart w:id="29" w:name="_Hlk213676173"/>
      <w:r>
        <w:rPr>
          <w:rFonts w:ascii="Times New Roman" w:hAnsi="Times New Roman" w:cs="Times New Roman"/>
          <w:sz w:val="15"/>
          <w:szCs w:val="15"/>
        </w:rPr>
        <w:t>[21]王福军. 计算流体动力学分析: CFD软件原理与应用[M]. 北京: 清华大学出版社, 2004.</w:t>
      </w:r>
    </w:p>
    <w:p w14:paraId="3AD11A92">
      <w:pPr>
        <w:pStyle w:val="96"/>
        <w:rPr>
          <w:rFonts w:ascii="Times New Roman" w:hAnsi="Times New Roman" w:cs="Times New Roman"/>
          <w:sz w:val="15"/>
          <w:szCs w:val="15"/>
        </w:rPr>
      </w:pPr>
      <w:r>
        <w:rPr>
          <w:rFonts w:ascii="Times New Roman" w:hAnsi="Times New Roman" w:cs="Times New Roman"/>
          <w:sz w:val="15"/>
          <w:szCs w:val="15"/>
        </w:rPr>
        <w:t>WANG Fujun. Computational Fluid Dynamics Analysis--Principles and Applications of CFD Software [M]. Beijing: Tsinghua University Press, 2004.</w:t>
      </w:r>
    </w:p>
    <w:bookmarkEnd w:id="29"/>
    <w:p w14:paraId="53A17CDF">
      <w:pPr>
        <w:pStyle w:val="96"/>
        <w:rPr>
          <w:rFonts w:ascii="Times New Roman" w:hAnsi="Times New Roman" w:cs="Times New Roman"/>
          <w:sz w:val="15"/>
          <w:szCs w:val="15"/>
        </w:rPr>
      </w:pPr>
      <w:bookmarkStart w:id="30" w:name="_Hlk213676183"/>
      <w:r>
        <w:rPr>
          <w:rFonts w:ascii="Times New Roman" w:hAnsi="Times New Roman" w:cs="Times New Roman"/>
          <w:sz w:val="15"/>
          <w:szCs w:val="15"/>
        </w:rPr>
        <w:t>[22] 高学平, 叶飞, 宋慧芳. 侧式进/出水口水流运动三维数值模拟[J]. 天津大学学报, 2006, 39(5): 518-522.</w:t>
      </w:r>
    </w:p>
    <w:p w14:paraId="6A895A3B">
      <w:pPr>
        <w:pStyle w:val="96"/>
        <w:rPr>
          <w:rFonts w:ascii="Times New Roman" w:hAnsi="Times New Roman" w:cs="Times New Roman"/>
          <w:sz w:val="15"/>
          <w:szCs w:val="15"/>
        </w:rPr>
      </w:pPr>
      <w:r>
        <w:rPr>
          <w:rFonts w:ascii="Times New Roman" w:hAnsi="Times New Roman" w:cs="Times New Roman"/>
          <w:sz w:val="15"/>
          <w:szCs w:val="15"/>
        </w:rPr>
        <w:t xml:space="preserve">GAO X P, YE F, SONG H F. 3D numerical simulation on the flow in side inlet/outlet[J]. Journal of Tianjin University, 2006, 39(5): 518-522. </w:t>
      </w:r>
      <w:bookmarkEnd w:id="30"/>
    </w:p>
    <w:p w14:paraId="29BD4FF9">
      <w:pPr>
        <w:pStyle w:val="96"/>
        <w:rPr>
          <w:rFonts w:ascii="Times New Roman" w:hAnsi="Times New Roman" w:cs="Times New Roman"/>
          <w:sz w:val="15"/>
          <w:szCs w:val="15"/>
        </w:rPr>
      </w:pPr>
      <w:r>
        <w:rPr>
          <w:rFonts w:ascii="Times New Roman" w:hAnsi="Times New Roman" w:cs="Times New Roman"/>
          <w:sz w:val="15"/>
          <w:szCs w:val="15"/>
        </w:rPr>
        <w:t xml:space="preserve">[23] 雷艳, 李进平, </w:t>
      </w:r>
      <w:r>
        <w:rPr>
          <w:rFonts w:ascii="Times New Roman" w:hAnsi="Times New Roman" w:cs="Times New Roman"/>
          <w:color w:val="000000"/>
          <w:sz w:val="15"/>
          <w:szCs w:val="15"/>
          <w:shd w:val="clear" w:color="auto" w:fill="FFFFFF"/>
        </w:rPr>
        <w:t>求</w:t>
      </w:r>
      <w:r>
        <w:rPr>
          <w:rFonts w:ascii="Times New Roman" w:hAnsi="Times New Roman" w:cs="Times New Roman"/>
          <w:sz w:val="15"/>
          <w:szCs w:val="15"/>
        </w:rPr>
        <w:t>晓明. 大型水电站分层取水进水口水力特性的研究[J]. 水力发电学报, 2010, 29(5): 209-215.</w:t>
      </w:r>
    </w:p>
    <w:p w14:paraId="3975E5F1">
      <w:pPr>
        <w:pStyle w:val="96"/>
        <w:rPr>
          <w:rFonts w:ascii="Times New Roman" w:hAnsi="Times New Roman" w:cs="Times New Roman"/>
          <w:sz w:val="15"/>
          <w:szCs w:val="15"/>
        </w:rPr>
      </w:pPr>
      <w:r>
        <w:rPr>
          <w:rFonts w:ascii="Times New Roman" w:hAnsi="Times New Roman" w:cs="Times New Roman"/>
          <w:sz w:val="15"/>
          <w:szCs w:val="15"/>
        </w:rPr>
        <w:t xml:space="preserve">LEI Y, LI J P, QIU X M. Study on the hydraulic characteristics of multi-elevations intake of hydropower station[J]. Journal of Hydroelectric Engineering, 2010, 29(5): 209-215. </w:t>
      </w:r>
    </w:p>
    <w:p w14:paraId="2DFC5F74">
      <w:pPr>
        <w:rPr>
          <w:rFonts w:ascii="Times New Roman" w:hAnsi="Times New Roman" w:cs="Times New Roman"/>
          <w:sz w:val="15"/>
          <w:szCs w:val="15"/>
        </w:rPr>
      </w:pPr>
      <w:r>
        <w:rPr>
          <w:rFonts w:hint="eastAsia" w:ascii="Times New Roman" w:hAnsi="Times New Roman" w:eastAsia="Times New Roman" w:cs="Times New Roman"/>
          <w:sz w:val="15"/>
          <w:szCs w:val="15"/>
        </w:rPr>
        <w:t xml:space="preserve">[24] </w:t>
      </w:r>
      <w:bookmarkStart w:id="31" w:name="_Hlk213676202"/>
      <w:r>
        <w:rPr>
          <w:rFonts w:hint="eastAsia" w:ascii="Times New Roman" w:hAnsi="Times New Roman" w:eastAsia="Times New Roman" w:cs="Times New Roman"/>
          <w:sz w:val="15"/>
          <w:szCs w:val="15"/>
        </w:rPr>
        <w:t>ZHANG X, TANG F, PAVESI G, et al. Influence of gate cutoff effect on flow mode conversion and energy dissipation during power-off of prototype tubular pump system[J]. Energy, 2024, 308: 132957.</w:t>
      </w:r>
      <w:bookmarkEnd w:id="31"/>
    </w:p>
    <w:p w14:paraId="6D8DB908">
      <w:pPr>
        <w:pStyle w:val="96"/>
        <w:rPr>
          <w:rFonts w:ascii="Times New Roman" w:hAnsi="Times New Roman" w:cs="Times New Roman"/>
          <w:sz w:val="15"/>
          <w:szCs w:val="15"/>
        </w:rPr>
      </w:pPr>
      <w:bookmarkStart w:id="32" w:name="_Hlk213676217"/>
      <w:r>
        <w:rPr>
          <w:rFonts w:ascii="Times New Roman" w:hAnsi="Times New Roman" w:cs="Times New Roman"/>
          <w:sz w:val="15"/>
          <w:szCs w:val="15"/>
        </w:rPr>
        <w:t>[25] 王才欢, 段文刚, 聂艳华, 等. 水电站进水口分层取水水力特性模型试验研究[J]. 水力发电学报, 2013, 32(5): 122-128.</w:t>
      </w:r>
    </w:p>
    <w:p w14:paraId="0DEEB107">
      <w:pPr>
        <w:pStyle w:val="96"/>
        <w:rPr>
          <w:rFonts w:ascii="Times New Roman" w:hAnsi="Times New Roman" w:cs="Times New Roman"/>
          <w:sz w:val="15"/>
          <w:szCs w:val="15"/>
        </w:rPr>
      </w:pPr>
      <w:r>
        <w:rPr>
          <w:rFonts w:ascii="Times New Roman" w:hAnsi="Times New Roman" w:cs="Times New Roman"/>
          <w:sz w:val="15"/>
          <w:szCs w:val="15"/>
        </w:rPr>
        <w:t xml:space="preserve">WANG C H, DUAN W G, NIE Y H, et al. The model test study on the multi-level intake structure of hydropower station[J]. Journal of Hydroelectric Engineering, 2013, 32(5): 122-128. </w:t>
      </w:r>
      <w:bookmarkEnd w:id="32"/>
    </w:p>
    <w:p w14:paraId="75EAF87C">
      <w:pPr>
        <w:pStyle w:val="96"/>
        <w:rPr>
          <w:rFonts w:ascii="Times New Roman" w:hAnsi="Times New Roman" w:cs="Times New Roman"/>
          <w:sz w:val="15"/>
          <w:szCs w:val="15"/>
        </w:rPr>
      </w:pPr>
      <w:bookmarkStart w:id="33" w:name="_Hlk213676226"/>
      <w:r>
        <w:rPr>
          <w:rFonts w:ascii="Times New Roman" w:hAnsi="Times New Roman" w:cs="Times New Roman"/>
          <w:sz w:val="15"/>
          <w:szCs w:val="15"/>
        </w:rPr>
        <w:t>[26] 秦允豪. 普通物理学教程-热学[M]. 4版. 北京: 高等教育出版社, 2018.</w:t>
      </w:r>
    </w:p>
    <w:p w14:paraId="76DEB8D2">
      <w:pPr>
        <w:pStyle w:val="96"/>
        <w:rPr>
          <w:rFonts w:ascii="Times New Roman" w:hAnsi="Times New Roman" w:cs="Times New Roman"/>
          <w:sz w:val="15"/>
          <w:szCs w:val="15"/>
        </w:rPr>
      </w:pPr>
      <w:r>
        <w:rPr>
          <w:rFonts w:hint="eastAsia" w:ascii="Times New Roman" w:hAnsi="Times New Roman" w:cs="Times New Roman"/>
          <w:sz w:val="15"/>
          <w:szCs w:val="15"/>
          <w:lang w:val="en-US" w:eastAsia="zh-CN"/>
        </w:rPr>
        <w:t>QIN Y H</w:t>
      </w:r>
      <w:r>
        <w:rPr>
          <w:rFonts w:ascii="Times New Roman" w:hAnsi="Times New Roman" w:cs="Times New Roman"/>
          <w:sz w:val="15"/>
          <w:szCs w:val="15"/>
        </w:rPr>
        <w:t xml:space="preserve">. General Physics Course. Thermodynamics: 4th Edition [M]. Higher Education Press, 2018. </w:t>
      </w:r>
    </w:p>
    <w:bookmarkEnd w:id="33"/>
    <w:p w14:paraId="31CD216F">
      <w:pPr>
        <w:pStyle w:val="96"/>
        <w:rPr>
          <w:rFonts w:ascii="Times New Roman" w:hAnsi="Times New Roman" w:cs="Times New Roman"/>
          <w:sz w:val="15"/>
          <w:szCs w:val="15"/>
        </w:rPr>
      </w:pPr>
      <w:bookmarkStart w:id="34" w:name="_Hlk213676233"/>
      <w:r>
        <w:rPr>
          <w:rFonts w:ascii="Times New Roman" w:hAnsi="Times New Roman" w:cs="Times New Roman"/>
          <w:sz w:val="15"/>
          <w:szCs w:val="15"/>
        </w:rPr>
        <w:t xml:space="preserve">[27] HERWIG H, KOCK F. Direct and indirect methods of calculating entropy generation rates in turbulent convective heat transfer problems[J]. Heat and Mass Transfer, 2007, 43(3): 207-215. </w:t>
      </w:r>
      <w:bookmarkEnd w:id="34"/>
    </w:p>
    <w:p w14:paraId="3F142F23">
      <w:pPr>
        <w:pStyle w:val="96"/>
        <w:rPr>
          <w:rFonts w:ascii="Times New Roman" w:hAnsi="Times New Roman" w:cs="Times New Roman"/>
          <w:sz w:val="15"/>
          <w:szCs w:val="15"/>
        </w:rPr>
      </w:pPr>
      <w:bookmarkStart w:id="35" w:name="_Hlk213676681"/>
      <w:r>
        <w:rPr>
          <w:rFonts w:ascii="Times New Roman" w:hAnsi="Times New Roman" w:cs="Times New Roman"/>
          <w:sz w:val="15"/>
          <w:szCs w:val="15"/>
        </w:rPr>
        <w:t xml:space="preserve">[28] SHEN S M, QIAN Z D, JI B. Numerical analysis of mechanical energy dissipation for an axial-flow pump based on entropy generation theory[J]. Energies, 2019, 12(21): 4162. </w:t>
      </w:r>
      <w:bookmarkEnd w:id="35"/>
    </w:p>
    <w:p w14:paraId="0C19A087">
      <w:pPr>
        <w:pStyle w:val="96"/>
        <w:rPr>
          <w:rFonts w:ascii="Times New Roman" w:hAnsi="Times New Roman" w:cs="Times New Roman"/>
          <w:sz w:val="15"/>
          <w:szCs w:val="15"/>
        </w:rPr>
      </w:pPr>
      <w:r>
        <w:rPr>
          <w:rFonts w:ascii="Times New Roman" w:hAnsi="Times New Roman" w:cs="Times New Roman"/>
          <w:sz w:val="15"/>
          <w:szCs w:val="15"/>
        </w:rPr>
        <w:t xml:space="preserve">[29] JI L L, LI W, SHI W D, et al. Effect of blade thickness on rotating stall of mixed-flow pump using entropy generation analysis[J]. Energy, 2021, 236: 121381. </w:t>
      </w:r>
    </w:p>
    <w:p w14:paraId="6808020A">
      <w:pPr>
        <w:pStyle w:val="96"/>
        <w:rPr>
          <w:rFonts w:ascii="Times New Roman" w:hAnsi="Times New Roman"/>
          <w:sz w:val="15"/>
          <w:szCs w:val="15"/>
        </w:rPr>
      </w:pPr>
      <w:r>
        <w:rPr>
          <w:rFonts w:ascii="Times New Roman" w:hAnsi="Times New Roman"/>
          <w:sz w:val="15"/>
          <w:szCs w:val="15"/>
        </w:rPr>
        <w:t xml:space="preserve">[30] XU Z, ZHENG Y, KAN K, et al. Flow instability and energy performance of a coastal axial-flow pump as turbine under the influence of upstream waves[J]. Energy, 2023, 272: 127121. </w:t>
      </w:r>
    </w:p>
    <w:p w14:paraId="391C44BB">
      <w:pPr>
        <w:pStyle w:val="96"/>
        <w:rPr>
          <w:rFonts w:ascii="Times New Roman" w:hAnsi="Times New Roman" w:cs="Times New Roman"/>
          <w:sz w:val="15"/>
          <w:szCs w:val="15"/>
        </w:rPr>
      </w:pPr>
      <w:r>
        <w:rPr>
          <w:rFonts w:ascii="Times New Roman" w:hAnsi="Times New Roman" w:cs="Times New Roman"/>
          <w:sz w:val="15"/>
          <w:szCs w:val="15"/>
        </w:rPr>
        <w:t>[31] 郑铁刚, 刘志国, 孙双科, 等. 叠梁门分层取水水力特性试验研究[J]. 水电能源科学, 2021, 39(10): 122-126.</w:t>
      </w:r>
    </w:p>
    <w:p w14:paraId="3D4F409D">
      <w:pPr>
        <w:pStyle w:val="96"/>
        <w:rPr>
          <w:rFonts w:ascii="Times New Roman" w:hAnsi="Times New Roman" w:cs="Times New Roman"/>
          <w:sz w:val="15"/>
          <w:szCs w:val="15"/>
        </w:rPr>
      </w:pPr>
      <w:r>
        <w:rPr>
          <w:rFonts w:ascii="Times New Roman" w:hAnsi="Times New Roman" w:cs="Times New Roman"/>
          <w:sz w:val="15"/>
          <w:szCs w:val="15"/>
        </w:rPr>
        <w:t xml:space="preserve">ZHENG T G, LIU Z G, SUN S K, et al. Experimental study on hydraulic characteristics of separated layer water intaking of stop log gate[J]. Water Resources and Power, 2021, 39(10): 122-126. </w:t>
      </w:r>
    </w:p>
    <w:p w14:paraId="6918F02B">
      <w:pPr>
        <w:jc w:val="right"/>
        <w:rPr>
          <w:rFonts w:ascii="宋体"/>
        </w:rPr>
      </w:pPr>
      <w:r>
        <w:rPr>
          <w:rFonts w:ascii="宋体"/>
        </w:rPr>
        <w:t>（责任编辑 王  璐）</w:t>
      </w:r>
    </w:p>
    <w:p w14:paraId="7BA771D1">
      <w:pPr>
        <w:pStyle w:val="96"/>
        <w:rPr>
          <w:rFonts w:hint="eastAsia" w:eastAsia="宋体"/>
          <w:lang w:eastAsia="zh-CN"/>
        </w:rPr>
      </w:pPr>
    </w:p>
    <w:p w14:paraId="152A28C3">
      <w:pPr>
        <w:rPr>
          <w:rFonts w:hint="eastAsia"/>
          <w:lang w:eastAsia="zh-CN"/>
        </w:rPr>
      </w:pPr>
    </w:p>
    <w:p w14:paraId="2DBA7E88">
      <w:pPr>
        <w:rPr>
          <w:rFonts w:hint="eastAsia"/>
          <w:lang w:eastAsia="zh-CN"/>
        </w:rPr>
      </w:pPr>
    </w:p>
    <w:sectPr>
      <w:type w:val="continuous"/>
      <w:pgSz w:w="11906" w:h="16838"/>
      <w:pgMar w:top="2098" w:right="1134" w:bottom="1134" w:left="1134" w:header="1474" w:footer="992" w:gutter="0"/>
      <w:cols w:space="608" w:num="1"/>
      <w:titlePg/>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A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2FF" w:usb1="400004FF" w:usb2="00000000" w:usb3="00000000" w:csb0="2000019F" w:csb1="00000000"/>
  </w:font>
  <w:font w:name="方正黑体_GBK">
    <w:altName w:val="微软雅黑"/>
    <w:panose1 w:val="00000000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Times bold">
    <w:altName w:val="Times New Roman"/>
    <w:panose1 w:val="00000000000000000000"/>
    <w:charset w:val="00"/>
    <w:family w:val="roman"/>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4DE36D">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962E9B">
    <w:pPr>
      <w:pBdr>
        <w:bottom w:val="single" w:color="auto" w:sz="6" w:space="1"/>
      </w:pBdr>
      <w:spacing w:after="48" w:afterLines="20" w:line="60" w:lineRule="exact"/>
      <w:ind w:right="2100" w:rightChars="1000" w:firstLine="300"/>
      <w:jc w:val="left"/>
      <w:rPr>
        <w:outline/>
        <w:color w:val="000000"/>
        <w:sz w:val="15"/>
        <w:szCs w:val="15"/>
        <w14:textOutline w14:w="9525" w14:cap="flat" w14:cmpd="sng" w14:algn="ctr">
          <w14:solidFill>
            <w14:srgbClr w14:val="000000"/>
          </w14:solidFill>
          <w14:prstDash w14:val="solid"/>
          <w14:round/>
        </w14:textOutline>
        <w14:textFill>
          <w14:noFill/>
        </w14:textFill>
      </w:rPr>
    </w:pPr>
  </w:p>
  <w:p w14:paraId="703227C8">
    <w:pPr>
      <w:jc w:val="left"/>
      <w:rPr>
        <w:rFonts w:ascii="Times New Roman" w:hAnsi="Times New Roman" w:cs="Times New Roman"/>
        <w:b/>
        <w:sz w:val="18"/>
        <w:szCs w:val="18"/>
      </w:rPr>
    </w:pPr>
    <w:r>
      <w:rPr>
        <w:rFonts w:hint="eastAsia" w:ascii="Times New Roman" w:hAnsi="Times New Roman" w:cs="Times New Roman"/>
        <w:b/>
        <w:sz w:val="18"/>
        <w:szCs w:val="18"/>
      </w:rPr>
      <w:t>收稿日期：2025-09-02；修回日期：2025-11-10；录用日期：2025-11-25；网络首发日期：202</w:t>
    </w:r>
    <w:r>
      <w:rPr>
        <w:rFonts w:hint="eastAsia" w:ascii="Times New Roman" w:hAnsi="Times New Roman" w:cs="Times New Roman"/>
        <w:b/>
        <w:sz w:val="18"/>
        <w:szCs w:val="18"/>
        <w:lang w:val="en-US" w:eastAsia="zh-CN"/>
      </w:rPr>
      <w:t>6</w:t>
    </w:r>
    <w:r>
      <w:rPr>
        <w:rFonts w:hint="eastAsia" w:ascii="Times New Roman" w:hAnsi="Times New Roman" w:cs="Times New Roman"/>
        <w:b/>
        <w:sz w:val="18"/>
        <w:szCs w:val="18"/>
      </w:rPr>
      <w:t>-</w:t>
    </w:r>
    <w:r>
      <w:rPr>
        <w:rFonts w:hint="eastAsia" w:ascii="Times New Roman" w:hAnsi="Times New Roman" w:cs="Times New Roman"/>
        <w:b/>
        <w:sz w:val="18"/>
        <w:szCs w:val="18"/>
        <w:lang w:val="en-US" w:eastAsia="zh-CN"/>
      </w:rPr>
      <w:t>01</w:t>
    </w:r>
    <w:r>
      <w:rPr>
        <w:rFonts w:hint="eastAsia" w:ascii="Times New Roman" w:hAnsi="Times New Roman" w:cs="Times New Roman"/>
        <w:b/>
        <w:sz w:val="18"/>
        <w:szCs w:val="18"/>
      </w:rPr>
      <w:t>-</w:t>
    </w:r>
  </w:p>
  <w:p w14:paraId="7147AB7B">
    <w:pPr>
      <w:jc w:val="left"/>
      <w:rPr>
        <w:rFonts w:ascii="Times New Roman" w:hAnsi="Times New Roman" w:cs="Times New Roman"/>
        <w:b/>
        <w:sz w:val="18"/>
        <w:szCs w:val="18"/>
      </w:rPr>
    </w:pPr>
    <w:r>
      <w:rPr>
        <w:rFonts w:ascii="Times New Roman" w:hAnsi="Times New Roman" w:cs="Times New Roman"/>
        <w:b/>
        <w:sz w:val="18"/>
        <w:szCs w:val="18"/>
      </w:rPr>
      <w:t>基金项目：</w:t>
    </w:r>
    <w:r>
      <w:rPr>
        <w:rFonts w:hint="eastAsia" w:ascii="Times New Roman" w:hAnsi="Times New Roman" w:cs="Times New Roman"/>
        <w:color w:val="FF0000"/>
        <w:sz w:val="18"/>
        <w:szCs w:val="18"/>
      </w:rPr>
      <w:t>国家重点研发计划</w:t>
    </w:r>
    <w:r>
      <w:rPr>
        <w:rFonts w:hint="eastAsia" w:ascii="Times New Roman" w:hAnsi="Times New Roman" w:cs="Times New Roman"/>
        <w:sz w:val="18"/>
        <w:szCs w:val="18"/>
      </w:rPr>
      <w:t>（2021YFC3090105）；中电建科技项目（D</w:t>
    </w:r>
    <w:r>
      <w:rPr>
        <w:rFonts w:ascii="Times New Roman" w:hAnsi="Times New Roman" w:cs="Times New Roman"/>
        <w:sz w:val="18"/>
        <w:szCs w:val="18"/>
      </w:rPr>
      <w:t>J-ZDXM-2022-05</w:t>
    </w:r>
    <w:r>
      <w:rPr>
        <w:rFonts w:hint="eastAsia" w:ascii="Times New Roman" w:hAnsi="Times New Roman" w:cs="Times New Roman"/>
        <w:sz w:val="18"/>
        <w:szCs w:val="18"/>
      </w:rPr>
      <w:t>）；贵州省科技创新人才团队建设项目[</w:t>
    </w:r>
    <w:r>
      <w:rPr>
        <w:rFonts w:hint="eastAsia" w:ascii="Times New Roman" w:hAnsi="Times New Roman" w:cs="Times New Roman"/>
        <w:color w:val="000000"/>
        <w:sz w:val="18"/>
        <w:szCs w:val="18"/>
        <w:shd w:val="clear" w:color="auto" w:fill="FFFFFF"/>
      </w:rPr>
      <w:t>C</w:t>
    </w:r>
    <w:r>
      <w:rPr>
        <w:rFonts w:ascii="Times New Roman" w:hAnsi="Times New Roman" w:cs="Times New Roman"/>
        <w:color w:val="000000"/>
        <w:sz w:val="18"/>
        <w:szCs w:val="18"/>
        <w:shd w:val="clear" w:color="auto" w:fill="FFFFFF"/>
      </w:rPr>
      <w:t>XTD</w:t>
    </w:r>
    <w:r>
      <w:rPr>
        <w:rFonts w:hint="eastAsia" w:ascii="Times New Roman" w:hAnsi="Times New Roman" w:cs="Times New Roman"/>
        <w:color w:val="000000"/>
        <w:sz w:val="18"/>
        <w:szCs w:val="18"/>
        <w:shd w:val="clear" w:color="auto" w:fill="FFFFFF"/>
      </w:rPr>
      <w:t>（2</w:t>
    </w:r>
    <w:r>
      <w:rPr>
        <w:rFonts w:ascii="Times New Roman" w:hAnsi="Times New Roman" w:cs="Times New Roman"/>
        <w:color w:val="000000"/>
        <w:sz w:val="18"/>
        <w:szCs w:val="18"/>
        <w:shd w:val="clear" w:color="auto" w:fill="FFFFFF"/>
      </w:rPr>
      <w:t>025</w:t>
    </w:r>
    <w:r>
      <w:rPr>
        <w:rFonts w:hint="eastAsia" w:ascii="Times New Roman" w:hAnsi="Times New Roman" w:cs="Times New Roman"/>
        <w:color w:val="000000"/>
        <w:sz w:val="18"/>
        <w:szCs w:val="18"/>
        <w:shd w:val="clear" w:color="auto" w:fill="FFFFFF"/>
      </w:rPr>
      <w:t>）0</w:t>
    </w:r>
    <w:r>
      <w:rPr>
        <w:rFonts w:ascii="Times New Roman" w:hAnsi="Times New Roman" w:cs="Times New Roman"/>
        <w:color w:val="000000"/>
        <w:sz w:val="18"/>
        <w:szCs w:val="18"/>
        <w:shd w:val="clear" w:color="auto" w:fill="FFFFFF"/>
      </w:rPr>
      <w:t>61</w:t>
    </w:r>
    <w:r>
      <w:rPr>
        <w:rFonts w:hint="eastAsia" w:ascii="Times New Roman" w:hAnsi="Times New Roman" w:cs="Times New Roman"/>
        <w:sz w:val="18"/>
        <w:szCs w:val="18"/>
      </w:rPr>
      <w:t>]</w:t>
    </w:r>
    <w:r>
      <w:rPr>
        <w:rFonts w:ascii="Times New Roman" w:hAnsi="Times New Roman" w:cs="Times New Roman"/>
        <w:b/>
        <w:sz w:val="18"/>
        <w:szCs w:val="18"/>
      </w:rPr>
      <w:t xml:space="preserve"> </w:t>
    </w:r>
  </w:p>
  <w:p w14:paraId="658A76BB">
    <w:pPr>
      <w:jc w:val="left"/>
      <w:rPr>
        <w:rFonts w:ascii="Times New Roman" w:hAnsi="Times New Roman" w:cs="Times New Roman"/>
        <w:sz w:val="18"/>
        <w:szCs w:val="18"/>
      </w:rPr>
    </w:pPr>
    <w:r>
      <w:rPr>
        <w:rFonts w:ascii="Times New Roman" w:hAnsi="Times New Roman" w:cs="Times New Roman"/>
        <w:b/>
        <w:sz w:val="18"/>
        <w:szCs w:val="18"/>
      </w:rPr>
      <w:t>作者简介：</w:t>
    </w:r>
    <w:r>
      <w:rPr>
        <w:rFonts w:ascii="Times New Roman" w:hAnsi="Times New Roman" w:cs="Times New Roman"/>
        <w:sz w:val="18"/>
        <w:szCs w:val="18"/>
      </w:rPr>
      <w:t>戚加欢</w:t>
    </w:r>
    <w:r>
      <w:rPr>
        <w:rFonts w:hint="eastAsia" w:ascii="Times New Roman" w:hAnsi="Times New Roman" w:cs="Times New Roman"/>
        <w:sz w:val="18"/>
        <w:szCs w:val="18"/>
      </w:rPr>
      <w:t>（2</w:t>
    </w:r>
    <w:r>
      <w:rPr>
        <w:rFonts w:ascii="Times New Roman" w:hAnsi="Times New Roman" w:cs="Times New Roman"/>
        <w:sz w:val="18"/>
        <w:szCs w:val="18"/>
      </w:rPr>
      <w:t>001</w:t>
    </w:r>
    <w:r>
      <w:rPr>
        <w:rFonts w:hint="eastAsia" w:ascii="Times New Roman" w:hAnsi="Times New Roman" w:cs="Times New Roman"/>
        <w:sz w:val="18"/>
        <w:szCs w:val="18"/>
      </w:rPr>
      <w:t>—），男，硕士研究生，主要从事工程水力学理论与应用研究。 E-mail:</w:t>
    </w:r>
    <w:r>
      <w:rPr>
        <w:rFonts w:ascii="Times New Roman" w:hAnsi="Times New Roman" w:cs="Times New Roman"/>
        <w:sz w:val="18"/>
        <w:szCs w:val="18"/>
      </w:rPr>
      <w:t xml:space="preserve"> </w:t>
    </w:r>
    <w:r>
      <w:rPr>
        <w:rFonts w:hint="eastAsia" w:ascii="Times New Roman" w:hAnsi="Times New Roman" w:cs="Times New Roman"/>
        <w:sz w:val="18"/>
        <w:szCs w:val="18"/>
      </w:rPr>
      <w:t>1</w:t>
    </w:r>
    <w:r>
      <w:rPr>
        <w:rFonts w:ascii="Times New Roman" w:hAnsi="Times New Roman" w:cs="Times New Roman"/>
        <w:sz w:val="18"/>
        <w:szCs w:val="18"/>
      </w:rPr>
      <w:t>339376438@qq</w:t>
    </w:r>
    <w:r>
      <w:rPr>
        <w:rFonts w:hint="eastAsia" w:ascii="Times New Roman" w:hAnsi="Times New Roman" w:cs="Times New Roman"/>
        <w:sz w:val="18"/>
        <w:szCs w:val="18"/>
      </w:rPr>
      <w:t>.</w:t>
    </w:r>
    <w:r>
      <w:rPr>
        <w:rFonts w:ascii="Times New Roman" w:hAnsi="Times New Roman" w:cs="Times New Roman"/>
        <w:sz w:val="18"/>
        <w:szCs w:val="18"/>
      </w:rPr>
      <w:t>com</w:t>
    </w:r>
  </w:p>
  <w:p w14:paraId="0BF9D740">
    <w:pPr>
      <w:jc w:val="left"/>
      <w:rPr>
        <w:rFonts w:ascii="Times New Roman" w:hAnsi="Times New Roman" w:cs="Times New Roman"/>
        <w:sz w:val="15"/>
        <w:szCs w:val="15"/>
      </w:rPr>
    </w:pPr>
    <w:r>
      <w:rPr>
        <w:rFonts w:hint="eastAsia" w:ascii="Times New Roman" w:hAnsi="Times New Roman" w:cs="Times New Roman"/>
        <w:b/>
        <w:sz w:val="18"/>
        <w:szCs w:val="18"/>
      </w:rPr>
      <w:t>通信作者：</w:t>
    </w:r>
    <w:r>
      <w:rPr>
        <w:rFonts w:hint="eastAsia" w:ascii="Times New Roman" w:hAnsi="Times New Roman" w:cs="Times New Roman"/>
        <w:sz w:val="18"/>
        <w:szCs w:val="18"/>
      </w:rPr>
      <w:t>李君（1</w:t>
    </w:r>
    <w:r>
      <w:rPr>
        <w:rFonts w:ascii="Times New Roman" w:hAnsi="Times New Roman" w:cs="Times New Roman"/>
        <w:sz w:val="18"/>
        <w:szCs w:val="18"/>
      </w:rPr>
      <w:t>982</w:t>
    </w:r>
    <w:r>
      <w:rPr>
        <w:rFonts w:hint="eastAsia" w:ascii="Times New Roman" w:hAnsi="Times New Roman" w:cs="Times New Roman"/>
        <w:sz w:val="18"/>
        <w:szCs w:val="18"/>
      </w:rPr>
      <w:t>—），男，正高级工程师，水工水力学研究所所长，硕士，主要从事水力学研究。 E-mail:</w:t>
    </w:r>
    <w:r>
      <w:rPr>
        <w:rFonts w:ascii="Times New Roman" w:hAnsi="Times New Roman" w:cs="Times New Roman"/>
        <w:color w:val="000000"/>
        <w:sz w:val="18"/>
        <w:szCs w:val="18"/>
        <w:shd w:val="clear" w:color="auto" w:fill="FFFFFF"/>
      </w:rPr>
      <w:t xml:space="preserve"> </w:t>
    </w:r>
    <w:r>
      <w:rPr>
        <w:rFonts w:hint="eastAsia" w:ascii="Times New Roman" w:hAnsi="Times New Roman" w:cs="Times New Roman"/>
        <w:color w:val="000000"/>
        <w:sz w:val="18"/>
        <w:szCs w:val="18"/>
        <w:shd w:val="clear" w:color="auto" w:fill="FFFFFF"/>
      </w:rPr>
      <w:t>lijun</w:t>
    </w:r>
    <w:r>
      <w:rPr>
        <w:rFonts w:ascii="Times New Roman" w:hAnsi="Times New Roman" w:cs="Times New Roman"/>
        <w:color w:val="000000"/>
        <w:sz w:val="18"/>
        <w:szCs w:val="18"/>
        <w:shd w:val="clear" w:color="auto" w:fill="FFFFFF"/>
      </w:rPr>
      <w:t>@nhri</w:t>
    </w:r>
    <w:r>
      <w:rPr>
        <w:rFonts w:hint="eastAsia" w:ascii="Times New Roman" w:hAnsi="Times New Roman" w:cs="Times New Roman"/>
        <w:color w:val="000000"/>
        <w:sz w:val="18"/>
        <w:szCs w:val="18"/>
        <w:shd w:val="clear" w:color="auto" w:fill="FFFFFF"/>
      </w:rPr>
      <w:t>.</w:t>
    </w:r>
    <w:r>
      <w:rPr>
        <w:rFonts w:ascii="Times New Roman" w:hAnsi="Times New Roman" w:cs="Times New Roman"/>
        <w:color w:val="000000"/>
        <w:sz w:val="18"/>
        <w:szCs w:val="18"/>
        <w:shd w:val="clear" w:color="auto" w:fill="FFFFFF"/>
      </w:rPr>
      <w:t>cn</w:t>
    </w:r>
    <w:r>
      <w:rPr>
        <w:rFonts w:hint="eastAsia" w:ascii="Times New Roman" w:hAnsi="Times New Roman" w:cs="Times New Roman"/>
        <w:color w:val="FF0000"/>
        <w:sz w:val="15"/>
        <w:szCs w:val="15"/>
      </w:rPr>
      <w:t xml:space="preserve"> </w:t>
    </w:r>
  </w:p>
  <w:p w14:paraId="6E9CF8C7">
    <w:pPr>
      <w:pStyle w:val="1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C5D2AE">
    <w:pPr>
      <w:pStyle w:val="15"/>
      <w:tabs>
        <w:tab w:val="right" w:pos="9498"/>
        <w:tab w:val="clear" w:pos="8306"/>
      </w:tabs>
      <w:ind w:firstLine="2160" w:firstLineChars="1200"/>
    </w:pPr>
    <w:r>
      <w:rPr>
        <w:rFonts w:hint="eastAsia"/>
      </w:rPr>
      <w:t>戚加欢</w:t>
    </w:r>
    <w:r>
      <w:t>，等：</w:t>
    </w:r>
    <w:r>
      <w:rPr>
        <w:rFonts w:hint="eastAsia"/>
      </w:rPr>
      <w:t>基于熵产的发电进水口无级分层取水能量损失研究</w:t>
    </w:r>
    <w:r>
      <w:tab/>
    </w:r>
    <w:r>
      <w:fldChar w:fldCharType="begin"/>
    </w:r>
    <w:r>
      <w:instrText xml:space="preserve">PAGE   \* MERGEFORMAT</w:instrText>
    </w:r>
    <w:r>
      <w:fldChar w:fldCharType="separate"/>
    </w:r>
    <w:r>
      <w:rPr>
        <w:lang w:val="zh-CN"/>
      </w:rPr>
      <w:t>8</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0C8DCF">
    <w:pPr>
      <w:pStyle w:val="15"/>
      <w:tabs>
        <w:tab w:val="right" w:pos="9498"/>
        <w:tab w:val="clear" w:pos="8306"/>
      </w:tabs>
      <w:ind w:firstLine="2160" w:firstLineChars="1200"/>
    </w:pPr>
    <w:r>
      <w:rPr>
        <w:rFonts w:hint="eastAsia"/>
      </w:rPr>
      <w:t>戚加欢</w:t>
    </w:r>
    <w:r>
      <w:t>，等：</w:t>
    </w:r>
    <w:r>
      <w:rPr>
        <w:rFonts w:hint="eastAsia"/>
      </w:rPr>
      <w:t>基于熵产的发电进水口无级分层取水能量损失研究</w:t>
    </w:r>
    <w:r>
      <w:tab/>
    </w:r>
    <w:r>
      <w:fldChar w:fldCharType="begin"/>
    </w:r>
    <w:r>
      <w:instrText xml:space="preserve">PAGE   \* MERGEFORMAT</w:instrText>
    </w:r>
    <w:r>
      <w:fldChar w:fldCharType="separate"/>
    </w:r>
    <w:r>
      <w:t>1</w:t>
    </w:r>
    <w: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DD2568">
    <w:pPr>
      <w:pStyle w:val="15"/>
      <w:jc w:val="right"/>
    </w:pPr>
    <w:r>
      <w:t>8</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52E980">
    <w:pPr>
      <w:pStyle w:val="15"/>
      <w:pBdr>
        <w:bottom w:val="single" w:color="auto" w:sz="4" w:space="1"/>
      </w:pBdr>
      <w:tabs>
        <w:tab w:val="left" w:pos="4512"/>
        <w:tab w:val="center" w:pos="4819"/>
        <w:tab w:val="right" w:pos="9638"/>
      </w:tabs>
      <w:jc w:val="left"/>
    </w:pPr>
    <w:r>
      <w:tab/>
    </w:r>
    <w:r>
      <w:rPr>
        <w:rFonts w:hint="eastAsia"/>
      </w:rPr>
      <w:t>戚加欢</w:t>
    </w:r>
    <w:r>
      <w:t>，等：</w:t>
    </w:r>
    <w:r>
      <w:rPr>
        <w:rFonts w:hint="eastAsia"/>
      </w:rPr>
      <w:t>基于熵产的发电进水口无级分层取水能量损失研究</w:t>
    </w:r>
    <w:r>
      <w:tab/>
    </w:r>
    <w:r>
      <w:tab/>
    </w:r>
    <w:r>
      <w:fldChar w:fldCharType="begin"/>
    </w:r>
    <w:r>
      <w:instrText xml:space="preserve">PAGE   \* MERGEFORMAT</w:instrText>
    </w:r>
    <w:r>
      <w:fldChar w:fldCharType="separate"/>
    </w:r>
    <w:r>
      <w:rPr>
        <w:lang w:val="zh-CN"/>
      </w:rPr>
      <w:t>1</w:t>
    </w:r>
    <w: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1ED60D">
    <w:pPr>
      <w:pStyle w:val="15"/>
      <w:tabs>
        <w:tab w:val="right" w:pos="9498"/>
        <w:tab w:val="clear" w:pos="8306"/>
      </w:tabs>
      <w:ind w:firstLine="2160" w:firstLineChars="1200"/>
    </w:pPr>
    <w:r>
      <w:rPr>
        <w:rFonts w:ascii="宋体"/>
      </w:rPr>
      <w:t>戚加欢，等：基于熵产的发电进水口无级分层取水能量损失研究</w:t>
    </w:r>
    <w:r>
      <w:tab/>
    </w:r>
    <w:r>
      <w:fldChar w:fldCharType="begin"/>
    </w:r>
    <w:r>
      <w:instrText xml:space="preserve">PAGE   \* MERGEFORMAT</w:instrText>
    </w:r>
    <w:r>
      <w:fldChar w:fldCharType="separate"/>
    </w:r>
    <w:r>
      <w:rPr>
        <w:lang w:val="zh-CN"/>
      </w:rPr>
      <w:t>12</w:t>
    </w:r>
    <w:r>
      <w:rPr>
        <w:lang w:val="zh-CN"/>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0A30A90"/>
    <w:multiLevelType w:val="multilevel"/>
    <w:tmpl w:val="30A30A90"/>
    <w:lvl w:ilvl="0" w:tentative="0">
      <w:start w:val="1"/>
      <w:numFmt w:val="decimal"/>
      <w:pStyle w:val="33"/>
      <w:lvlText w:val="[%1]"/>
      <w:lvlJc w:val="left"/>
      <w:pPr>
        <w:ind w:left="420" w:hanging="420"/>
      </w:pPr>
      <w:rPr>
        <w:rFonts w:hint="default" w:ascii="Times New Roman" w:hAnsi="Times New Roman"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52D04E9C"/>
    <w:multiLevelType w:val="multilevel"/>
    <w:tmpl w:val="52D04E9C"/>
    <w:lvl w:ilvl="0" w:tentative="0">
      <w:start w:val="5"/>
      <w:numFmt w:val="decimal"/>
      <w:suff w:val="space"/>
      <w:lvlText w:val="%1"/>
      <w:lvlJc w:val="left"/>
      <w:pPr>
        <w:ind w:left="397" w:hanging="397"/>
      </w:pPr>
      <w:rPr>
        <w:rFonts w:hint="eastAsia"/>
      </w:rPr>
    </w:lvl>
    <w:lvl w:ilvl="1" w:tentative="0">
      <w:start w:val="1"/>
      <w:numFmt w:val="decimal"/>
      <w:suff w:val="space"/>
      <w:lvlText w:val="%1.%2"/>
      <w:lvlJc w:val="left"/>
      <w:pPr>
        <w:ind w:left="397" w:hanging="397"/>
      </w:pPr>
      <w:rPr>
        <w:rFonts w:hint="eastAsia"/>
      </w:rPr>
    </w:lvl>
    <w:lvl w:ilvl="2" w:tentative="0">
      <w:start w:val="1"/>
      <w:numFmt w:val="decimal"/>
      <w:suff w:val="space"/>
      <w:lvlText w:val="%1.%2.%3"/>
      <w:lvlJc w:val="left"/>
      <w:pPr>
        <w:ind w:left="709" w:hanging="709"/>
      </w:pPr>
      <w:rPr>
        <w:rFonts w:hint="eastAsia"/>
      </w:rPr>
    </w:lvl>
    <w:lvl w:ilvl="3" w:tentative="0">
      <w:start w:val="0"/>
      <w:numFmt w:val="none"/>
      <w:lvlText w:val=""/>
      <w:lvlJc w:val="left"/>
      <w:pPr>
        <w:tabs>
          <w:tab w:val="left" w:pos="360"/>
        </w:tabs>
      </w:pPr>
    </w:lvl>
    <w:lvl w:ilvl="4" w:tentative="0">
      <w:start w:val="0"/>
      <w:numFmt w:val="none"/>
      <w:lvlText w:val=""/>
      <w:lvlJc w:val="left"/>
      <w:pPr>
        <w:tabs>
          <w:tab w:val="left" w:pos="360"/>
        </w:tabs>
      </w:pPr>
    </w:lvl>
    <w:lvl w:ilvl="5" w:tentative="0">
      <w:start w:val="0"/>
      <w:numFmt w:val="none"/>
      <w:pStyle w:val="6"/>
      <w:lvlText w:val=""/>
      <w:lvlJc w:val="left"/>
      <w:pPr>
        <w:tabs>
          <w:tab w:val="left" w:pos="360"/>
        </w:tabs>
      </w:pPr>
    </w:lvl>
    <w:lvl w:ilvl="6" w:tentative="0">
      <w:start w:val="0"/>
      <w:numFmt w:val="none"/>
      <w:pStyle w:val="7"/>
      <w:lvlText w:val=""/>
      <w:lvlJc w:val="left"/>
      <w:pPr>
        <w:tabs>
          <w:tab w:val="left" w:pos="360"/>
        </w:tabs>
      </w:pPr>
    </w:lvl>
    <w:lvl w:ilvl="7" w:tentative="0">
      <w:start w:val="0"/>
      <w:numFmt w:val="none"/>
      <w:pStyle w:val="8"/>
      <w:lvlText w:val=""/>
      <w:lvlJc w:val="left"/>
      <w:pPr>
        <w:tabs>
          <w:tab w:val="left" w:pos="360"/>
        </w:tabs>
      </w:pPr>
    </w:lvl>
    <w:lvl w:ilvl="8" w:tentative="0">
      <w:start w:val="0"/>
      <w:numFmt w:val="none"/>
      <w:pStyle w:val="9"/>
      <w:lvlText w:val=""/>
      <w:lvlJc w:val="left"/>
      <w:pPr>
        <w:tabs>
          <w:tab w:val="left" w:pos="360"/>
        </w:tabs>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D84"/>
    <w:rsid w:val="00001CC6"/>
    <w:rsid w:val="00001D91"/>
    <w:rsid w:val="00002696"/>
    <w:rsid w:val="000029E6"/>
    <w:rsid w:val="00003638"/>
    <w:rsid w:val="00003C90"/>
    <w:rsid w:val="00004330"/>
    <w:rsid w:val="00005A7A"/>
    <w:rsid w:val="0000616F"/>
    <w:rsid w:val="00006931"/>
    <w:rsid w:val="00006E38"/>
    <w:rsid w:val="00007943"/>
    <w:rsid w:val="0000796D"/>
    <w:rsid w:val="00007CF3"/>
    <w:rsid w:val="00007F33"/>
    <w:rsid w:val="0001123D"/>
    <w:rsid w:val="000115D4"/>
    <w:rsid w:val="0001162E"/>
    <w:rsid w:val="00012164"/>
    <w:rsid w:val="000121A2"/>
    <w:rsid w:val="000131FD"/>
    <w:rsid w:val="0001370E"/>
    <w:rsid w:val="00013842"/>
    <w:rsid w:val="00013BCD"/>
    <w:rsid w:val="00014108"/>
    <w:rsid w:val="00014251"/>
    <w:rsid w:val="00014AE6"/>
    <w:rsid w:val="00014BD9"/>
    <w:rsid w:val="00015266"/>
    <w:rsid w:val="00015291"/>
    <w:rsid w:val="00015934"/>
    <w:rsid w:val="00016884"/>
    <w:rsid w:val="0001788B"/>
    <w:rsid w:val="0002019E"/>
    <w:rsid w:val="00020676"/>
    <w:rsid w:val="00021A4A"/>
    <w:rsid w:val="00022C16"/>
    <w:rsid w:val="00022D66"/>
    <w:rsid w:val="00023769"/>
    <w:rsid w:val="00023CE9"/>
    <w:rsid w:val="0002425F"/>
    <w:rsid w:val="00025785"/>
    <w:rsid w:val="00025940"/>
    <w:rsid w:val="000260EC"/>
    <w:rsid w:val="00026154"/>
    <w:rsid w:val="0002636D"/>
    <w:rsid w:val="00026575"/>
    <w:rsid w:val="000268A6"/>
    <w:rsid w:val="00027D0A"/>
    <w:rsid w:val="000304D7"/>
    <w:rsid w:val="00030632"/>
    <w:rsid w:val="00031E6A"/>
    <w:rsid w:val="000333D7"/>
    <w:rsid w:val="00033641"/>
    <w:rsid w:val="00033F8F"/>
    <w:rsid w:val="00034146"/>
    <w:rsid w:val="00034DAA"/>
    <w:rsid w:val="00035367"/>
    <w:rsid w:val="00036738"/>
    <w:rsid w:val="00037279"/>
    <w:rsid w:val="00037DC2"/>
    <w:rsid w:val="0004189E"/>
    <w:rsid w:val="00042EC9"/>
    <w:rsid w:val="0004349D"/>
    <w:rsid w:val="00043646"/>
    <w:rsid w:val="000436EE"/>
    <w:rsid w:val="0004469A"/>
    <w:rsid w:val="00044C63"/>
    <w:rsid w:val="00045061"/>
    <w:rsid w:val="0004561F"/>
    <w:rsid w:val="00045F7A"/>
    <w:rsid w:val="00046489"/>
    <w:rsid w:val="000474A6"/>
    <w:rsid w:val="00047A54"/>
    <w:rsid w:val="00047AB7"/>
    <w:rsid w:val="00050A17"/>
    <w:rsid w:val="00051530"/>
    <w:rsid w:val="0005288C"/>
    <w:rsid w:val="0005295B"/>
    <w:rsid w:val="00053C28"/>
    <w:rsid w:val="0005453C"/>
    <w:rsid w:val="00054D2E"/>
    <w:rsid w:val="00055D2D"/>
    <w:rsid w:val="00055F5F"/>
    <w:rsid w:val="000563A0"/>
    <w:rsid w:val="00056BC9"/>
    <w:rsid w:val="00056DF3"/>
    <w:rsid w:val="000607D0"/>
    <w:rsid w:val="0006196A"/>
    <w:rsid w:val="00062031"/>
    <w:rsid w:val="000635A0"/>
    <w:rsid w:val="000639D6"/>
    <w:rsid w:val="00064680"/>
    <w:rsid w:val="000646DA"/>
    <w:rsid w:val="00064D31"/>
    <w:rsid w:val="00064D9A"/>
    <w:rsid w:val="00066E5C"/>
    <w:rsid w:val="000670A3"/>
    <w:rsid w:val="000672C8"/>
    <w:rsid w:val="00067689"/>
    <w:rsid w:val="00070718"/>
    <w:rsid w:val="000709C5"/>
    <w:rsid w:val="0007106E"/>
    <w:rsid w:val="000714ED"/>
    <w:rsid w:val="000719E4"/>
    <w:rsid w:val="00071FE3"/>
    <w:rsid w:val="000725C6"/>
    <w:rsid w:val="00072BF6"/>
    <w:rsid w:val="00072DC5"/>
    <w:rsid w:val="000730CE"/>
    <w:rsid w:val="00074B2C"/>
    <w:rsid w:val="0007576E"/>
    <w:rsid w:val="00076836"/>
    <w:rsid w:val="00076E7E"/>
    <w:rsid w:val="00076EB9"/>
    <w:rsid w:val="000778B6"/>
    <w:rsid w:val="00077B9F"/>
    <w:rsid w:val="0008056F"/>
    <w:rsid w:val="000808BF"/>
    <w:rsid w:val="00080A21"/>
    <w:rsid w:val="00081439"/>
    <w:rsid w:val="000814AC"/>
    <w:rsid w:val="00081768"/>
    <w:rsid w:val="00081E01"/>
    <w:rsid w:val="00082B30"/>
    <w:rsid w:val="000830BB"/>
    <w:rsid w:val="000832D2"/>
    <w:rsid w:val="00083736"/>
    <w:rsid w:val="00083A1F"/>
    <w:rsid w:val="0008406D"/>
    <w:rsid w:val="00084CDE"/>
    <w:rsid w:val="0008504B"/>
    <w:rsid w:val="00085E50"/>
    <w:rsid w:val="0008649C"/>
    <w:rsid w:val="00086614"/>
    <w:rsid w:val="00086656"/>
    <w:rsid w:val="00086B44"/>
    <w:rsid w:val="00086C7F"/>
    <w:rsid w:val="00087565"/>
    <w:rsid w:val="000908A0"/>
    <w:rsid w:val="00090A0C"/>
    <w:rsid w:val="00090F56"/>
    <w:rsid w:val="000919F3"/>
    <w:rsid w:val="00091F67"/>
    <w:rsid w:val="00092444"/>
    <w:rsid w:val="00093A75"/>
    <w:rsid w:val="0009517C"/>
    <w:rsid w:val="000951BB"/>
    <w:rsid w:val="00095AEF"/>
    <w:rsid w:val="000969B3"/>
    <w:rsid w:val="00096A3A"/>
    <w:rsid w:val="00096D7E"/>
    <w:rsid w:val="000979BF"/>
    <w:rsid w:val="000A08EC"/>
    <w:rsid w:val="000A0903"/>
    <w:rsid w:val="000A10EB"/>
    <w:rsid w:val="000A12A0"/>
    <w:rsid w:val="000A13F3"/>
    <w:rsid w:val="000A266F"/>
    <w:rsid w:val="000A35FF"/>
    <w:rsid w:val="000A4A28"/>
    <w:rsid w:val="000A518F"/>
    <w:rsid w:val="000A5502"/>
    <w:rsid w:val="000A5F76"/>
    <w:rsid w:val="000A6B25"/>
    <w:rsid w:val="000B0762"/>
    <w:rsid w:val="000B1D22"/>
    <w:rsid w:val="000B1F50"/>
    <w:rsid w:val="000B24F1"/>
    <w:rsid w:val="000B26D8"/>
    <w:rsid w:val="000B3C91"/>
    <w:rsid w:val="000B47E2"/>
    <w:rsid w:val="000B51E7"/>
    <w:rsid w:val="000B58D3"/>
    <w:rsid w:val="000B6A07"/>
    <w:rsid w:val="000B6E06"/>
    <w:rsid w:val="000B7028"/>
    <w:rsid w:val="000B73DF"/>
    <w:rsid w:val="000B740B"/>
    <w:rsid w:val="000B75C3"/>
    <w:rsid w:val="000B79DD"/>
    <w:rsid w:val="000B7A7F"/>
    <w:rsid w:val="000B7D99"/>
    <w:rsid w:val="000C021A"/>
    <w:rsid w:val="000C1F89"/>
    <w:rsid w:val="000C2366"/>
    <w:rsid w:val="000C32D8"/>
    <w:rsid w:val="000C33D2"/>
    <w:rsid w:val="000C467D"/>
    <w:rsid w:val="000C476F"/>
    <w:rsid w:val="000C4A63"/>
    <w:rsid w:val="000C4CC2"/>
    <w:rsid w:val="000C5362"/>
    <w:rsid w:val="000C6510"/>
    <w:rsid w:val="000C6FC3"/>
    <w:rsid w:val="000D05D6"/>
    <w:rsid w:val="000D0F15"/>
    <w:rsid w:val="000D12A6"/>
    <w:rsid w:val="000D13ED"/>
    <w:rsid w:val="000D1681"/>
    <w:rsid w:val="000D1865"/>
    <w:rsid w:val="000D33F8"/>
    <w:rsid w:val="000D5265"/>
    <w:rsid w:val="000D54C4"/>
    <w:rsid w:val="000D55A8"/>
    <w:rsid w:val="000D5F68"/>
    <w:rsid w:val="000D6B1C"/>
    <w:rsid w:val="000D6B91"/>
    <w:rsid w:val="000D6F25"/>
    <w:rsid w:val="000E01B6"/>
    <w:rsid w:val="000E04F0"/>
    <w:rsid w:val="000E1726"/>
    <w:rsid w:val="000E2C21"/>
    <w:rsid w:val="000E2D86"/>
    <w:rsid w:val="000E2E03"/>
    <w:rsid w:val="000E46C4"/>
    <w:rsid w:val="000E4711"/>
    <w:rsid w:val="000E4D02"/>
    <w:rsid w:val="000E6032"/>
    <w:rsid w:val="000E6B91"/>
    <w:rsid w:val="000E6DB5"/>
    <w:rsid w:val="000E6FDC"/>
    <w:rsid w:val="000E71B3"/>
    <w:rsid w:val="000E7B85"/>
    <w:rsid w:val="000F039B"/>
    <w:rsid w:val="000F0DEE"/>
    <w:rsid w:val="000F0FAB"/>
    <w:rsid w:val="000F1071"/>
    <w:rsid w:val="000F152E"/>
    <w:rsid w:val="000F1BA0"/>
    <w:rsid w:val="000F2FB8"/>
    <w:rsid w:val="000F4089"/>
    <w:rsid w:val="000F4514"/>
    <w:rsid w:val="000F542D"/>
    <w:rsid w:val="000F55B3"/>
    <w:rsid w:val="000F5AD5"/>
    <w:rsid w:val="000F6502"/>
    <w:rsid w:val="000F66FA"/>
    <w:rsid w:val="000F7458"/>
    <w:rsid w:val="000F7716"/>
    <w:rsid w:val="00100287"/>
    <w:rsid w:val="00100CD5"/>
    <w:rsid w:val="00101E30"/>
    <w:rsid w:val="001022D4"/>
    <w:rsid w:val="00102816"/>
    <w:rsid w:val="001029C2"/>
    <w:rsid w:val="001031E5"/>
    <w:rsid w:val="001037DE"/>
    <w:rsid w:val="00103C33"/>
    <w:rsid w:val="00104DDF"/>
    <w:rsid w:val="0010521B"/>
    <w:rsid w:val="0010601E"/>
    <w:rsid w:val="001075F9"/>
    <w:rsid w:val="00107600"/>
    <w:rsid w:val="001077A0"/>
    <w:rsid w:val="00107CF9"/>
    <w:rsid w:val="0011011E"/>
    <w:rsid w:val="00110CA2"/>
    <w:rsid w:val="001111BB"/>
    <w:rsid w:val="0011123F"/>
    <w:rsid w:val="001118A0"/>
    <w:rsid w:val="00112240"/>
    <w:rsid w:val="00113006"/>
    <w:rsid w:val="00113249"/>
    <w:rsid w:val="001138B1"/>
    <w:rsid w:val="00113A49"/>
    <w:rsid w:val="00113F38"/>
    <w:rsid w:val="0011434F"/>
    <w:rsid w:val="0011587E"/>
    <w:rsid w:val="001158AF"/>
    <w:rsid w:val="00116AA9"/>
    <w:rsid w:val="00117885"/>
    <w:rsid w:val="00117E4C"/>
    <w:rsid w:val="0012031C"/>
    <w:rsid w:val="00120666"/>
    <w:rsid w:val="0012078E"/>
    <w:rsid w:val="00120AD3"/>
    <w:rsid w:val="001210D2"/>
    <w:rsid w:val="0012163A"/>
    <w:rsid w:val="00121746"/>
    <w:rsid w:val="00122F8C"/>
    <w:rsid w:val="00123023"/>
    <w:rsid w:val="00124944"/>
    <w:rsid w:val="00124CBB"/>
    <w:rsid w:val="00125275"/>
    <w:rsid w:val="001255CA"/>
    <w:rsid w:val="00125718"/>
    <w:rsid w:val="001257C0"/>
    <w:rsid w:val="00126130"/>
    <w:rsid w:val="00126560"/>
    <w:rsid w:val="001269DB"/>
    <w:rsid w:val="00126FC9"/>
    <w:rsid w:val="001274E6"/>
    <w:rsid w:val="0012756B"/>
    <w:rsid w:val="00127A42"/>
    <w:rsid w:val="00127F6C"/>
    <w:rsid w:val="00130ADE"/>
    <w:rsid w:val="00130D55"/>
    <w:rsid w:val="00130F92"/>
    <w:rsid w:val="001321D6"/>
    <w:rsid w:val="001324B3"/>
    <w:rsid w:val="0013261F"/>
    <w:rsid w:val="001330DE"/>
    <w:rsid w:val="0013367F"/>
    <w:rsid w:val="00133A9A"/>
    <w:rsid w:val="00133D33"/>
    <w:rsid w:val="00133F33"/>
    <w:rsid w:val="0013502A"/>
    <w:rsid w:val="001358B6"/>
    <w:rsid w:val="0013618F"/>
    <w:rsid w:val="0013686C"/>
    <w:rsid w:val="00136D57"/>
    <w:rsid w:val="0013720A"/>
    <w:rsid w:val="0013748E"/>
    <w:rsid w:val="0013754F"/>
    <w:rsid w:val="00137605"/>
    <w:rsid w:val="001377C4"/>
    <w:rsid w:val="00137833"/>
    <w:rsid w:val="00137A7A"/>
    <w:rsid w:val="001403E7"/>
    <w:rsid w:val="00140543"/>
    <w:rsid w:val="00141128"/>
    <w:rsid w:val="00141F4A"/>
    <w:rsid w:val="00142916"/>
    <w:rsid w:val="00143198"/>
    <w:rsid w:val="00143EC7"/>
    <w:rsid w:val="00144CC0"/>
    <w:rsid w:val="001459BC"/>
    <w:rsid w:val="00146634"/>
    <w:rsid w:val="001500C3"/>
    <w:rsid w:val="00150D5A"/>
    <w:rsid w:val="0015162C"/>
    <w:rsid w:val="00152345"/>
    <w:rsid w:val="00153964"/>
    <w:rsid w:val="001539C9"/>
    <w:rsid w:val="00153ECB"/>
    <w:rsid w:val="00154209"/>
    <w:rsid w:val="001548AB"/>
    <w:rsid w:val="00154FAE"/>
    <w:rsid w:val="00155815"/>
    <w:rsid w:val="0015594B"/>
    <w:rsid w:val="001568D9"/>
    <w:rsid w:val="001574F8"/>
    <w:rsid w:val="001601F0"/>
    <w:rsid w:val="001606D7"/>
    <w:rsid w:val="00161798"/>
    <w:rsid w:val="0016182F"/>
    <w:rsid w:val="00161A12"/>
    <w:rsid w:val="00161E55"/>
    <w:rsid w:val="00162B98"/>
    <w:rsid w:val="00162CCB"/>
    <w:rsid w:val="00162D1C"/>
    <w:rsid w:val="001654C0"/>
    <w:rsid w:val="0016621D"/>
    <w:rsid w:val="00166871"/>
    <w:rsid w:val="00167B66"/>
    <w:rsid w:val="00167C33"/>
    <w:rsid w:val="00167CD3"/>
    <w:rsid w:val="00170290"/>
    <w:rsid w:val="001703D9"/>
    <w:rsid w:val="001707FC"/>
    <w:rsid w:val="00170B1C"/>
    <w:rsid w:val="00172A27"/>
    <w:rsid w:val="00172D73"/>
    <w:rsid w:val="00172ED0"/>
    <w:rsid w:val="00173167"/>
    <w:rsid w:val="00173916"/>
    <w:rsid w:val="0017407A"/>
    <w:rsid w:val="001747EA"/>
    <w:rsid w:val="0017591D"/>
    <w:rsid w:val="00175CEB"/>
    <w:rsid w:val="00177553"/>
    <w:rsid w:val="0017763E"/>
    <w:rsid w:val="00177F45"/>
    <w:rsid w:val="00180049"/>
    <w:rsid w:val="001803B9"/>
    <w:rsid w:val="001809BE"/>
    <w:rsid w:val="001814C7"/>
    <w:rsid w:val="0018165A"/>
    <w:rsid w:val="00182098"/>
    <w:rsid w:val="00182111"/>
    <w:rsid w:val="001822F9"/>
    <w:rsid w:val="00182961"/>
    <w:rsid w:val="00183D83"/>
    <w:rsid w:val="00184006"/>
    <w:rsid w:val="00184A7E"/>
    <w:rsid w:val="00184F96"/>
    <w:rsid w:val="001865C3"/>
    <w:rsid w:val="001868D3"/>
    <w:rsid w:val="00186E94"/>
    <w:rsid w:val="00187761"/>
    <w:rsid w:val="00187881"/>
    <w:rsid w:val="00187F0F"/>
    <w:rsid w:val="00190E53"/>
    <w:rsid w:val="00194835"/>
    <w:rsid w:val="00194EA1"/>
    <w:rsid w:val="00195162"/>
    <w:rsid w:val="00195AAB"/>
    <w:rsid w:val="0019627A"/>
    <w:rsid w:val="001973E6"/>
    <w:rsid w:val="001977C3"/>
    <w:rsid w:val="001A0CC5"/>
    <w:rsid w:val="001A16F5"/>
    <w:rsid w:val="001A2739"/>
    <w:rsid w:val="001A3057"/>
    <w:rsid w:val="001A4831"/>
    <w:rsid w:val="001A4E0F"/>
    <w:rsid w:val="001A5335"/>
    <w:rsid w:val="001A5602"/>
    <w:rsid w:val="001A5CAF"/>
    <w:rsid w:val="001A632B"/>
    <w:rsid w:val="001A6384"/>
    <w:rsid w:val="001A641B"/>
    <w:rsid w:val="001A68AC"/>
    <w:rsid w:val="001A6FA8"/>
    <w:rsid w:val="001A7462"/>
    <w:rsid w:val="001A74FE"/>
    <w:rsid w:val="001A7F37"/>
    <w:rsid w:val="001B0348"/>
    <w:rsid w:val="001B071B"/>
    <w:rsid w:val="001B17F5"/>
    <w:rsid w:val="001B1907"/>
    <w:rsid w:val="001B20E9"/>
    <w:rsid w:val="001B2261"/>
    <w:rsid w:val="001B25AC"/>
    <w:rsid w:val="001B345A"/>
    <w:rsid w:val="001B3F80"/>
    <w:rsid w:val="001B4013"/>
    <w:rsid w:val="001B441E"/>
    <w:rsid w:val="001B4F23"/>
    <w:rsid w:val="001B6642"/>
    <w:rsid w:val="001B6806"/>
    <w:rsid w:val="001B6A75"/>
    <w:rsid w:val="001B7BF4"/>
    <w:rsid w:val="001B7BF6"/>
    <w:rsid w:val="001C124A"/>
    <w:rsid w:val="001C12B3"/>
    <w:rsid w:val="001C1F39"/>
    <w:rsid w:val="001C2B6E"/>
    <w:rsid w:val="001C30B1"/>
    <w:rsid w:val="001C36F1"/>
    <w:rsid w:val="001C3746"/>
    <w:rsid w:val="001C3A70"/>
    <w:rsid w:val="001C3B3D"/>
    <w:rsid w:val="001C3BDE"/>
    <w:rsid w:val="001C3E81"/>
    <w:rsid w:val="001C4289"/>
    <w:rsid w:val="001C492E"/>
    <w:rsid w:val="001C4A11"/>
    <w:rsid w:val="001C4CD2"/>
    <w:rsid w:val="001C4ECA"/>
    <w:rsid w:val="001C5422"/>
    <w:rsid w:val="001C54F7"/>
    <w:rsid w:val="001C5562"/>
    <w:rsid w:val="001C6467"/>
    <w:rsid w:val="001C67D0"/>
    <w:rsid w:val="001D0109"/>
    <w:rsid w:val="001D047D"/>
    <w:rsid w:val="001D093E"/>
    <w:rsid w:val="001D0C70"/>
    <w:rsid w:val="001D1BBE"/>
    <w:rsid w:val="001D22F2"/>
    <w:rsid w:val="001D2377"/>
    <w:rsid w:val="001D3E7D"/>
    <w:rsid w:val="001D41DC"/>
    <w:rsid w:val="001D4323"/>
    <w:rsid w:val="001D4A53"/>
    <w:rsid w:val="001D5673"/>
    <w:rsid w:val="001D6A2A"/>
    <w:rsid w:val="001E0989"/>
    <w:rsid w:val="001E15C8"/>
    <w:rsid w:val="001E1B94"/>
    <w:rsid w:val="001E1CCD"/>
    <w:rsid w:val="001E1D9E"/>
    <w:rsid w:val="001E250E"/>
    <w:rsid w:val="001E304E"/>
    <w:rsid w:val="001E3870"/>
    <w:rsid w:val="001E3899"/>
    <w:rsid w:val="001E3FF3"/>
    <w:rsid w:val="001E5ABE"/>
    <w:rsid w:val="001E6B12"/>
    <w:rsid w:val="001E6CD6"/>
    <w:rsid w:val="001E72D9"/>
    <w:rsid w:val="001E7B42"/>
    <w:rsid w:val="001E7B5C"/>
    <w:rsid w:val="001E7CF8"/>
    <w:rsid w:val="001E7DE4"/>
    <w:rsid w:val="001F076F"/>
    <w:rsid w:val="001F2512"/>
    <w:rsid w:val="001F2797"/>
    <w:rsid w:val="001F281B"/>
    <w:rsid w:val="001F3476"/>
    <w:rsid w:val="001F42AF"/>
    <w:rsid w:val="001F4CF6"/>
    <w:rsid w:val="001F4E4F"/>
    <w:rsid w:val="001F5288"/>
    <w:rsid w:val="001F5C8D"/>
    <w:rsid w:val="001F6983"/>
    <w:rsid w:val="00200809"/>
    <w:rsid w:val="00200B59"/>
    <w:rsid w:val="00200CFE"/>
    <w:rsid w:val="00200DDD"/>
    <w:rsid w:val="00200F40"/>
    <w:rsid w:val="0020126C"/>
    <w:rsid w:val="00201F5E"/>
    <w:rsid w:val="00202DC0"/>
    <w:rsid w:val="00203447"/>
    <w:rsid w:val="002037AF"/>
    <w:rsid w:val="00206653"/>
    <w:rsid w:val="0020687F"/>
    <w:rsid w:val="0020695F"/>
    <w:rsid w:val="002076AC"/>
    <w:rsid w:val="00210810"/>
    <w:rsid w:val="002114A3"/>
    <w:rsid w:val="0021189B"/>
    <w:rsid w:val="00211958"/>
    <w:rsid w:val="00212361"/>
    <w:rsid w:val="002133D0"/>
    <w:rsid w:val="002138F6"/>
    <w:rsid w:val="00213AFE"/>
    <w:rsid w:val="002141C8"/>
    <w:rsid w:val="00215E8C"/>
    <w:rsid w:val="00217248"/>
    <w:rsid w:val="002177EC"/>
    <w:rsid w:val="002209F7"/>
    <w:rsid w:val="002222BF"/>
    <w:rsid w:val="002233F0"/>
    <w:rsid w:val="00223632"/>
    <w:rsid w:val="0022470F"/>
    <w:rsid w:val="0022475C"/>
    <w:rsid w:val="00224CD8"/>
    <w:rsid w:val="00225F45"/>
    <w:rsid w:val="002274C4"/>
    <w:rsid w:val="00227692"/>
    <w:rsid w:val="00230250"/>
    <w:rsid w:val="002303DD"/>
    <w:rsid w:val="00230898"/>
    <w:rsid w:val="00230C08"/>
    <w:rsid w:val="00231734"/>
    <w:rsid w:val="00231D0A"/>
    <w:rsid w:val="0023255A"/>
    <w:rsid w:val="00232899"/>
    <w:rsid w:val="00233061"/>
    <w:rsid w:val="0023356F"/>
    <w:rsid w:val="0023387B"/>
    <w:rsid w:val="0023428C"/>
    <w:rsid w:val="00235B15"/>
    <w:rsid w:val="00235EE0"/>
    <w:rsid w:val="00236B64"/>
    <w:rsid w:val="002370F1"/>
    <w:rsid w:val="002371EC"/>
    <w:rsid w:val="002408B8"/>
    <w:rsid w:val="00240CA7"/>
    <w:rsid w:val="00241371"/>
    <w:rsid w:val="002413B2"/>
    <w:rsid w:val="00241665"/>
    <w:rsid w:val="002418A8"/>
    <w:rsid w:val="002423FC"/>
    <w:rsid w:val="00242BA6"/>
    <w:rsid w:val="00242D03"/>
    <w:rsid w:val="00243028"/>
    <w:rsid w:val="0024589A"/>
    <w:rsid w:val="0024599D"/>
    <w:rsid w:val="00245D97"/>
    <w:rsid w:val="002467A9"/>
    <w:rsid w:val="00246DFB"/>
    <w:rsid w:val="00247728"/>
    <w:rsid w:val="00250541"/>
    <w:rsid w:val="00251083"/>
    <w:rsid w:val="0025118B"/>
    <w:rsid w:val="00252259"/>
    <w:rsid w:val="0025385A"/>
    <w:rsid w:val="00253F4F"/>
    <w:rsid w:val="002540C4"/>
    <w:rsid w:val="00254819"/>
    <w:rsid w:val="00255830"/>
    <w:rsid w:val="002567CD"/>
    <w:rsid w:val="00256F80"/>
    <w:rsid w:val="00260CEF"/>
    <w:rsid w:val="0026133B"/>
    <w:rsid w:val="00261B12"/>
    <w:rsid w:val="00261E77"/>
    <w:rsid w:val="0026200C"/>
    <w:rsid w:val="002620A1"/>
    <w:rsid w:val="00262793"/>
    <w:rsid w:val="002633EC"/>
    <w:rsid w:val="002640FE"/>
    <w:rsid w:val="002651D6"/>
    <w:rsid w:val="00265FD6"/>
    <w:rsid w:val="00265FF5"/>
    <w:rsid w:val="00267A49"/>
    <w:rsid w:val="00267DEA"/>
    <w:rsid w:val="00267EC5"/>
    <w:rsid w:val="002704A1"/>
    <w:rsid w:val="002706A7"/>
    <w:rsid w:val="0027094D"/>
    <w:rsid w:val="00270A0E"/>
    <w:rsid w:val="002712DD"/>
    <w:rsid w:val="00271346"/>
    <w:rsid w:val="00271377"/>
    <w:rsid w:val="002722B7"/>
    <w:rsid w:val="002729B1"/>
    <w:rsid w:val="00272F46"/>
    <w:rsid w:val="00272F51"/>
    <w:rsid w:val="00272FBA"/>
    <w:rsid w:val="002731BB"/>
    <w:rsid w:val="00273B0A"/>
    <w:rsid w:val="00273B83"/>
    <w:rsid w:val="002752DC"/>
    <w:rsid w:val="00275A9A"/>
    <w:rsid w:val="00275B04"/>
    <w:rsid w:val="00275BD0"/>
    <w:rsid w:val="00275DFA"/>
    <w:rsid w:val="00276099"/>
    <w:rsid w:val="002767AA"/>
    <w:rsid w:val="00276844"/>
    <w:rsid w:val="0027711F"/>
    <w:rsid w:val="002776C9"/>
    <w:rsid w:val="00277B60"/>
    <w:rsid w:val="00277CE6"/>
    <w:rsid w:val="00277DF9"/>
    <w:rsid w:val="002800EC"/>
    <w:rsid w:val="00280664"/>
    <w:rsid w:val="002806C1"/>
    <w:rsid w:val="00280724"/>
    <w:rsid w:val="002807C1"/>
    <w:rsid w:val="00281CDA"/>
    <w:rsid w:val="0028245C"/>
    <w:rsid w:val="00282637"/>
    <w:rsid w:val="002828B9"/>
    <w:rsid w:val="00282D41"/>
    <w:rsid w:val="00283BF6"/>
    <w:rsid w:val="00284710"/>
    <w:rsid w:val="00284B8C"/>
    <w:rsid w:val="00286460"/>
    <w:rsid w:val="00286AEB"/>
    <w:rsid w:val="002871FA"/>
    <w:rsid w:val="002873B0"/>
    <w:rsid w:val="00287534"/>
    <w:rsid w:val="00287A6C"/>
    <w:rsid w:val="00287B02"/>
    <w:rsid w:val="002909F9"/>
    <w:rsid w:val="00290E6E"/>
    <w:rsid w:val="00291FF2"/>
    <w:rsid w:val="00292391"/>
    <w:rsid w:val="002928E1"/>
    <w:rsid w:val="00293FBC"/>
    <w:rsid w:val="00294F37"/>
    <w:rsid w:val="00295055"/>
    <w:rsid w:val="002958F2"/>
    <w:rsid w:val="00295D3E"/>
    <w:rsid w:val="0029666B"/>
    <w:rsid w:val="002972A7"/>
    <w:rsid w:val="00297F67"/>
    <w:rsid w:val="002A0133"/>
    <w:rsid w:val="002A03DC"/>
    <w:rsid w:val="002A0834"/>
    <w:rsid w:val="002A0889"/>
    <w:rsid w:val="002A18CC"/>
    <w:rsid w:val="002A1EC0"/>
    <w:rsid w:val="002A23BC"/>
    <w:rsid w:val="002A324E"/>
    <w:rsid w:val="002A333C"/>
    <w:rsid w:val="002A354D"/>
    <w:rsid w:val="002A372F"/>
    <w:rsid w:val="002A3D00"/>
    <w:rsid w:val="002A47AE"/>
    <w:rsid w:val="002A5CE8"/>
    <w:rsid w:val="002A60B9"/>
    <w:rsid w:val="002A63F3"/>
    <w:rsid w:val="002A642C"/>
    <w:rsid w:val="002A6788"/>
    <w:rsid w:val="002A68E7"/>
    <w:rsid w:val="002A6D8B"/>
    <w:rsid w:val="002A7FBF"/>
    <w:rsid w:val="002B0269"/>
    <w:rsid w:val="002B0417"/>
    <w:rsid w:val="002B08E8"/>
    <w:rsid w:val="002B1572"/>
    <w:rsid w:val="002B2C66"/>
    <w:rsid w:val="002B2E39"/>
    <w:rsid w:val="002B30B5"/>
    <w:rsid w:val="002B4399"/>
    <w:rsid w:val="002B4819"/>
    <w:rsid w:val="002B50E0"/>
    <w:rsid w:val="002B5101"/>
    <w:rsid w:val="002B5192"/>
    <w:rsid w:val="002B6B88"/>
    <w:rsid w:val="002B6E9D"/>
    <w:rsid w:val="002B6FC3"/>
    <w:rsid w:val="002C0228"/>
    <w:rsid w:val="002C1907"/>
    <w:rsid w:val="002C20FB"/>
    <w:rsid w:val="002C344F"/>
    <w:rsid w:val="002C39BB"/>
    <w:rsid w:val="002C3A2D"/>
    <w:rsid w:val="002C42A0"/>
    <w:rsid w:val="002C505D"/>
    <w:rsid w:val="002C5461"/>
    <w:rsid w:val="002C592E"/>
    <w:rsid w:val="002C5A9C"/>
    <w:rsid w:val="002C6B19"/>
    <w:rsid w:val="002C6B7D"/>
    <w:rsid w:val="002D0527"/>
    <w:rsid w:val="002D0B1C"/>
    <w:rsid w:val="002D1699"/>
    <w:rsid w:val="002D1EE8"/>
    <w:rsid w:val="002D4624"/>
    <w:rsid w:val="002D46A0"/>
    <w:rsid w:val="002D48AF"/>
    <w:rsid w:val="002D4953"/>
    <w:rsid w:val="002D5710"/>
    <w:rsid w:val="002D59C7"/>
    <w:rsid w:val="002D6253"/>
    <w:rsid w:val="002D649B"/>
    <w:rsid w:val="002D7A8C"/>
    <w:rsid w:val="002D7E0B"/>
    <w:rsid w:val="002E12C9"/>
    <w:rsid w:val="002E322A"/>
    <w:rsid w:val="002E33B0"/>
    <w:rsid w:val="002E35F7"/>
    <w:rsid w:val="002E44C6"/>
    <w:rsid w:val="002E458F"/>
    <w:rsid w:val="002E48B2"/>
    <w:rsid w:val="002E51D0"/>
    <w:rsid w:val="002E7671"/>
    <w:rsid w:val="002E7B01"/>
    <w:rsid w:val="002F02AF"/>
    <w:rsid w:val="002F0587"/>
    <w:rsid w:val="002F077F"/>
    <w:rsid w:val="002F1312"/>
    <w:rsid w:val="002F1594"/>
    <w:rsid w:val="002F1B8A"/>
    <w:rsid w:val="002F1C4B"/>
    <w:rsid w:val="002F203F"/>
    <w:rsid w:val="002F26DE"/>
    <w:rsid w:val="002F2948"/>
    <w:rsid w:val="002F2AC0"/>
    <w:rsid w:val="002F2B1F"/>
    <w:rsid w:val="002F2C40"/>
    <w:rsid w:val="002F425F"/>
    <w:rsid w:val="002F51FF"/>
    <w:rsid w:val="002F56EC"/>
    <w:rsid w:val="002F5898"/>
    <w:rsid w:val="002F5CB4"/>
    <w:rsid w:val="002F63C1"/>
    <w:rsid w:val="002F66DB"/>
    <w:rsid w:val="00300219"/>
    <w:rsid w:val="00302FAA"/>
    <w:rsid w:val="00304087"/>
    <w:rsid w:val="003041F3"/>
    <w:rsid w:val="003058E3"/>
    <w:rsid w:val="00305E47"/>
    <w:rsid w:val="003064AB"/>
    <w:rsid w:val="00307947"/>
    <w:rsid w:val="0030797C"/>
    <w:rsid w:val="00310182"/>
    <w:rsid w:val="003107EC"/>
    <w:rsid w:val="0031129F"/>
    <w:rsid w:val="003134B5"/>
    <w:rsid w:val="00313CEF"/>
    <w:rsid w:val="00314D92"/>
    <w:rsid w:val="00314FA5"/>
    <w:rsid w:val="0031513A"/>
    <w:rsid w:val="00315A86"/>
    <w:rsid w:val="0031615E"/>
    <w:rsid w:val="003164A7"/>
    <w:rsid w:val="00320526"/>
    <w:rsid w:val="00320C03"/>
    <w:rsid w:val="00320E29"/>
    <w:rsid w:val="00321CB8"/>
    <w:rsid w:val="003228E9"/>
    <w:rsid w:val="00322B98"/>
    <w:rsid w:val="003232B3"/>
    <w:rsid w:val="00323C60"/>
    <w:rsid w:val="00324100"/>
    <w:rsid w:val="00325945"/>
    <w:rsid w:val="00325C0B"/>
    <w:rsid w:val="00326697"/>
    <w:rsid w:val="003267F9"/>
    <w:rsid w:val="00327015"/>
    <w:rsid w:val="00327976"/>
    <w:rsid w:val="00327B7B"/>
    <w:rsid w:val="00327C6C"/>
    <w:rsid w:val="00327E2D"/>
    <w:rsid w:val="00330E49"/>
    <w:rsid w:val="00330E80"/>
    <w:rsid w:val="003310CA"/>
    <w:rsid w:val="003314A5"/>
    <w:rsid w:val="003317C9"/>
    <w:rsid w:val="0033191F"/>
    <w:rsid w:val="0033214A"/>
    <w:rsid w:val="00332BE4"/>
    <w:rsid w:val="00332DEB"/>
    <w:rsid w:val="003342A3"/>
    <w:rsid w:val="003350A8"/>
    <w:rsid w:val="00335490"/>
    <w:rsid w:val="0033552D"/>
    <w:rsid w:val="00336583"/>
    <w:rsid w:val="00336964"/>
    <w:rsid w:val="00336BF2"/>
    <w:rsid w:val="00337806"/>
    <w:rsid w:val="00337EF3"/>
    <w:rsid w:val="00340D95"/>
    <w:rsid w:val="00342A47"/>
    <w:rsid w:val="00342B55"/>
    <w:rsid w:val="00342C49"/>
    <w:rsid w:val="00342E04"/>
    <w:rsid w:val="00343062"/>
    <w:rsid w:val="003430D0"/>
    <w:rsid w:val="00343106"/>
    <w:rsid w:val="003433D9"/>
    <w:rsid w:val="00343749"/>
    <w:rsid w:val="003446D7"/>
    <w:rsid w:val="003454E4"/>
    <w:rsid w:val="0034552C"/>
    <w:rsid w:val="00345986"/>
    <w:rsid w:val="00345C67"/>
    <w:rsid w:val="00345D6F"/>
    <w:rsid w:val="003460B9"/>
    <w:rsid w:val="003469FD"/>
    <w:rsid w:val="00346EB3"/>
    <w:rsid w:val="00347333"/>
    <w:rsid w:val="00347843"/>
    <w:rsid w:val="00347A25"/>
    <w:rsid w:val="00347F32"/>
    <w:rsid w:val="00350FEA"/>
    <w:rsid w:val="003511BB"/>
    <w:rsid w:val="00351EB7"/>
    <w:rsid w:val="003538F2"/>
    <w:rsid w:val="00353D47"/>
    <w:rsid w:val="00353DB3"/>
    <w:rsid w:val="003545C4"/>
    <w:rsid w:val="00354C3F"/>
    <w:rsid w:val="00355555"/>
    <w:rsid w:val="00355C63"/>
    <w:rsid w:val="0035690C"/>
    <w:rsid w:val="003569B9"/>
    <w:rsid w:val="00357957"/>
    <w:rsid w:val="00357DB9"/>
    <w:rsid w:val="00360469"/>
    <w:rsid w:val="00360949"/>
    <w:rsid w:val="003621FC"/>
    <w:rsid w:val="003623C4"/>
    <w:rsid w:val="00362E99"/>
    <w:rsid w:val="00363E25"/>
    <w:rsid w:val="00364723"/>
    <w:rsid w:val="00364E22"/>
    <w:rsid w:val="00364F89"/>
    <w:rsid w:val="00365783"/>
    <w:rsid w:val="00365992"/>
    <w:rsid w:val="00365DDA"/>
    <w:rsid w:val="00365F18"/>
    <w:rsid w:val="00365FB8"/>
    <w:rsid w:val="00366706"/>
    <w:rsid w:val="0037083A"/>
    <w:rsid w:val="00370F80"/>
    <w:rsid w:val="00371CAC"/>
    <w:rsid w:val="00371E62"/>
    <w:rsid w:val="0037296A"/>
    <w:rsid w:val="00373E73"/>
    <w:rsid w:val="00374CBC"/>
    <w:rsid w:val="00375097"/>
    <w:rsid w:val="003756F3"/>
    <w:rsid w:val="00375B0C"/>
    <w:rsid w:val="003779BD"/>
    <w:rsid w:val="00377D9F"/>
    <w:rsid w:val="00380655"/>
    <w:rsid w:val="00380973"/>
    <w:rsid w:val="00380CD5"/>
    <w:rsid w:val="00380E77"/>
    <w:rsid w:val="00381222"/>
    <w:rsid w:val="00381A79"/>
    <w:rsid w:val="003829A8"/>
    <w:rsid w:val="003833D9"/>
    <w:rsid w:val="00383603"/>
    <w:rsid w:val="003842A9"/>
    <w:rsid w:val="00385598"/>
    <w:rsid w:val="00385D2F"/>
    <w:rsid w:val="00386058"/>
    <w:rsid w:val="00386242"/>
    <w:rsid w:val="0038746A"/>
    <w:rsid w:val="00390F63"/>
    <w:rsid w:val="0039250C"/>
    <w:rsid w:val="00392A0F"/>
    <w:rsid w:val="00393002"/>
    <w:rsid w:val="00395699"/>
    <w:rsid w:val="00395B51"/>
    <w:rsid w:val="00397476"/>
    <w:rsid w:val="00397DAB"/>
    <w:rsid w:val="00397ECF"/>
    <w:rsid w:val="00397F64"/>
    <w:rsid w:val="003A0507"/>
    <w:rsid w:val="003A06F7"/>
    <w:rsid w:val="003A09B6"/>
    <w:rsid w:val="003A0DB4"/>
    <w:rsid w:val="003A10D9"/>
    <w:rsid w:val="003A1315"/>
    <w:rsid w:val="003A14B9"/>
    <w:rsid w:val="003A1F1B"/>
    <w:rsid w:val="003A2355"/>
    <w:rsid w:val="003A288A"/>
    <w:rsid w:val="003A2EB8"/>
    <w:rsid w:val="003A3F86"/>
    <w:rsid w:val="003A6839"/>
    <w:rsid w:val="003A6CBA"/>
    <w:rsid w:val="003A6CCA"/>
    <w:rsid w:val="003A7405"/>
    <w:rsid w:val="003B0843"/>
    <w:rsid w:val="003B0C7E"/>
    <w:rsid w:val="003B0E4D"/>
    <w:rsid w:val="003B175A"/>
    <w:rsid w:val="003B2629"/>
    <w:rsid w:val="003B2DF5"/>
    <w:rsid w:val="003B2F8C"/>
    <w:rsid w:val="003B35DD"/>
    <w:rsid w:val="003B39AF"/>
    <w:rsid w:val="003B3B18"/>
    <w:rsid w:val="003B442D"/>
    <w:rsid w:val="003B487B"/>
    <w:rsid w:val="003B4898"/>
    <w:rsid w:val="003B4911"/>
    <w:rsid w:val="003B4BCD"/>
    <w:rsid w:val="003B533F"/>
    <w:rsid w:val="003B6242"/>
    <w:rsid w:val="003B6268"/>
    <w:rsid w:val="003B6364"/>
    <w:rsid w:val="003B7F1F"/>
    <w:rsid w:val="003B7F73"/>
    <w:rsid w:val="003C03C4"/>
    <w:rsid w:val="003C0511"/>
    <w:rsid w:val="003C0D12"/>
    <w:rsid w:val="003C0F74"/>
    <w:rsid w:val="003C2D23"/>
    <w:rsid w:val="003C3ADF"/>
    <w:rsid w:val="003C3DAA"/>
    <w:rsid w:val="003C4244"/>
    <w:rsid w:val="003C4465"/>
    <w:rsid w:val="003C54CB"/>
    <w:rsid w:val="003C5C3F"/>
    <w:rsid w:val="003D02EE"/>
    <w:rsid w:val="003D062C"/>
    <w:rsid w:val="003D06EE"/>
    <w:rsid w:val="003D07A9"/>
    <w:rsid w:val="003D0D8C"/>
    <w:rsid w:val="003D27F2"/>
    <w:rsid w:val="003D29BD"/>
    <w:rsid w:val="003D362E"/>
    <w:rsid w:val="003D3AC6"/>
    <w:rsid w:val="003D3F8E"/>
    <w:rsid w:val="003D575B"/>
    <w:rsid w:val="003D5D8F"/>
    <w:rsid w:val="003D62EE"/>
    <w:rsid w:val="003D62F8"/>
    <w:rsid w:val="003D6FE8"/>
    <w:rsid w:val="003D7955"/>
    <w:rsid w:val="003D7DFE"/>
    <w:rsid w:val="003E0285"/>
    <w:rsid w:val="003E02FA"/>
    <w:rsid w:val="003E054A"/>
    <w:rsid w:val="003E0892"/>
    <w:rsid w:val="003E1321"/>
    <w:rsid w:val="003E1370"/>
    <w:rsid w:val="003E170A"/>
    <w:rsid w:val="003E290E"/>
    <w:rsid w:val="003E2D3E"/>
    <w:rsid w:val="003E2EEE"/>
    <w:rsid w:val="003E416C"/>
    <w:rsid w:val="003E688A"/>
    <w:rsid w:val="003E7384"/>
    <w:rsid w:val="003E7467"/>
    <w:rsid w:val="003E7915"/>
    <w:rsid w:val="003F0520"/>
    <w:rsid w:val="003F06E2"/>
    <w:rsid w:val="003F08AB"/>
    <w:rsid w:val="003F1466"/>
    <w:rsid w:val="003F1B7D"/>
    <w:rsid w:val="003F1B81"/>
    <w:rsid w:val="003F2DC6"/>
    <w:rsid w:val="003F38B6"/>
    <w:rsid w:val="003F4435"/>
    <w:rsid w:val="003F4C2E"/>
    <w:rsid w:val="003F64AB"/>
    <w:rsid w:val="003F6DC4"/>
    <w:rsid w:val="003F7038"/>
    <w:rsid w:val="003F73DB"/>
    <w:rsid w:val="003F7DC7"/>
    <w:rsid w:val="004004C3"/>
    <w:rsid w:val="004006CF"/>
    <w:rsid w:val="004007D6"/>
    <w:rsid w:val="00400FDA"/>
    <w:rsid w:val="00401050"/>
    <w:rsid w:val="004014A3"/>
    <w:rsid w:val="0040197F"/>
    <w:rsid w:val="0040278C"/>
    <w:rsid w:val="00403C8A"/>
    <w:rsid w:val="0040407F"/>
    <w:rsid w:val="004051CE"/>
    <w:rsid w:val="00405980"/>
    <w:rsid w:val="00405EEE"/>
    <w:rsid w:val="00407265"/>
    <w:rsid w:val="00407918"/>
    <w:rsid w:val="00407B03"/>
    <w:rsid w:val="00411243"/>
    <w:rsid w:val="00411931"/>
    <w:rsid w:val="00411D36"/>
    <w:rsid w:val="00411E4B"/>
    <w:rsid w:val="00413264"/>
    <w:rsid w:val="00414FC6"/>
    <w:rsid w:val="00416C92"/>
    <w:rsid w:val="004171FC"/>
    <w:rsid w:val="00417310"/>
    <w:rsid w:val="00417BFC"/>
    <w:rsid w:val="004213DC"/>
    <w:rsid w:val="004215E9"/>
    <w:rsid w:val="00423903"/>
    <w:rsid w:val="0042392E"/>
    <w:rsid w:val="004241DC"/>
    <w:rsid w:val="004248E8"/>
    <w:rsid w:val="00424BA9"/>
    <w:rsid w:val="0042508D"/>
    <w:rsid w:val="004259A5"/>
    <w:rsid w:val="00425ABA"/>
    <w:rsid w:val="00425DEE"/>
    <w:rsid w:val="004260F2"/>
    <w:rsid w:val="004263C5"/>
    <w:rsid w:val="004265F7"/>
    <w:rsid w:val="00426ECE"/>
    <w:rsid w:val="00430E59"/>
    <w:rsid w:val="00430FA9"/>
    <w:rsid w:val="004334B9"/>
    <w:rsid w:val="00433E06"/>
    <w:rsid w:val="00434763"/>
    <w:rsid w:val="00434BE5"/>
    <w:rsid w:val="00435133"/>
    <w:rsid w:val="004354FB"/>
    <w:rsid w:val="00435934"/>
    <w:rsid w:val="00435C78"/>
    <w:rsid w:val="00435F96"/>
    <w:rsid w:val="00436432"/>
    <w:rsid w:val="00436740"/>
    <w:rsid w:val="00436750"/>
    <w:rsid w:val="00436F7F"/>
    <w:rsid w:val="004401BD"/>
    <w:rsid w:val="004415A0"/>
    <w:rsid w:val="004419E5"/>
    <w:rsid w:val="00444662"/>
    <w:rsid w:val="004458A6"/>
    <w:rsid w:val="00445FFA"/>
    <w:rsid w:val="00446799"/>
    <w:rsid w:val="00447154"/>
    <w:rsid w:val="00450AD7"/>
    <w:rsid w:val="004531E4"/>
    <w:rsid w:val="00455AE0"/>
    <w:rsid w:val="00455E2A"/>
    <w:rsid w:val="00457131"/>
    <w:rsid w:val="0045742C"/>
    <w:rsid w:val="004576B3"/>
    <w:rsid w:val="004611EE"/>
    <w:rsid w:val="00462440"/>
    <w:rsid w:val="0046468F"/>
    <w:rsid w:val="004648D6"/>
    <w:rsid w:val="00464C71"/>
    <w:rsid w:val="00464C9F"/>
    <w:rsid w:val="00467B70"/>
    <w:rsid w:val="00467EDC"/>
    <w:rsid w:val="00470654"/>
    <w:rsid w:val="0047174C"/>
    <w:rsid w:val="0047179D"/>
    <w:rsid w:val="00471A1D"/>
    <w:rsid w:val="00471D78"/>
    <w:rsid w:val="0047209E"/>
    <w:rsid w:val="00473804"/>
    <w:rsid w:val="00473E85"/>
    <w:rsid w:val="00473F65"/>
    <w:rsid w:val="004748F3"/>
    <w:rsid w:val="004750A1"/>
    <w:rsid w:val="00475356"/>
    <w:rsid w:val="00475E4D"/>
    <w:rsid w:val="00477D2A"/>
    <w:rsid w:val="004816B3"/>
    <w:rsid w:val="0048191D"/>
    <w:rsid w:val="004820DE"/>
    <w:rsid w:val="00483545"/>
    <w:rsid w:val="00483685"/>
    <w:rsid w:val="00485E14"/>
    <w:rsid w:val="0048690F"/>
    <w:rsid w:val="004874A8"/>
    <w:rsid w:val="004879D3"/>
    <w:rsid w:val="00487ABD"/>
    <w:rsid w:val="00490D90"/>
    <w:rsid w:val="00491453"/>
    <w:rsid w:val="00492A1C"/>
    <w:rsid w:val="00492FD9"/>
    <w:rsid w:val="004931BC"/>
    <w:rsid w:val="0049326E"/>
    <w:rsid w:val="00493345"/>
    <w:rsid w:val="00493361"/>
    <w:rsid w:val="0049401D"/>
    <w:rsid w:val="004946A9"/>
    <w:rsid w:val="004946D5"/>
    <w:rsid w:val="0049479A"/>
    <w:rsid w:val="00494ED3"/>
    <w:rsid w:val="0049657A"/>
    <w:rsid w:val="004969D3"/>
    <w:rsid w:val="004969FA"/>
    <w:rsid w:val="0049732A"/>
    <w:rsid w:val="00497531"/>
    <w:rsid w:val="00497E11"/>
    <w:rsid w:val="004A024B"/>
    <w:rsid w:val="004A07E2"/>
    <w:rsid w:val="004A146C"/>
    <w:rsid w:val="004A1817"/>
    <w:rsid w:val="004A1BCC"/>
    <w:rsid w:val="004A20DD"/>
    <w:rsid w:val="004A286F"/>
    <w:rsid w:val="004A289C"/>
    <w:rsid w:val="004A3121"/>
    <w:rsid w:val="004A33B2"/>
    <w:rsid w:val="004A38D3"/>
    <w:rsid w:val="004A393B"/>
    <w:rsid w:val="004A3D3F"/>
    <w:rsid w:val="004A3DBC"/>
    <w:rsid w:val="004A3EA4"/>
    <w:rsid w:val="004A4118"/>
    <w:rsid w:val="004A4156"/>
    <w:rsid w:val="004A4A7D"/>
    <w:rsid w:val="004A5158"/>
    <w:rsid w:val="004A5AF4"/>
    <w:rsid w:val="004A666C"/>
    <w:rsid w:val="004A68FD"/>
    <w:rsid w:val="004A6C0E"/>
    <w:rsid w:val="004A7094"/>
    <w:rsid w:val="004A7746"/>
    <w:rsid w:val="004B0509"/>
    <w:rsid w:val="004B0AC0"/>
    <w:rsid w:val="004B150D"/>
    <w:rsid w:val="004B15A6"/>
    <w:rsid w:val="004B16AC"/>
    <w:rsid w:val="004B1D8C"/>
    <w:rsid w:val="004B1EE8"/>
    <w:rsid w:val="004B1F41"/>
    <w:rsid w:val="004B260A"/>
    <w:rsid w:val="004B270A"/>
    <w:rsid w:val="004B3EBE"/>
    <w:rsid w:val="004B42E0"/>
    <w:rsid w:val="004B4CD2"/>
    <w:rsid w:val="004B51A9"/>
    <w:rsid w:val="004B5F84"/>
    <w:rsid w:val="004B6016"/>
    <w:rsid w:val="004B653D"/>
    <w:rsid w:val="004B6997"/>
    <w:rsid w:val="004B70B2"/>
    <w:rsid w:val="004B7615"/>
    <w:rsid w:val="004B79B0"/>
    <w:rsid w:val="004B7A6D"/>
    <w:rsid w:val="004B7F06"/>
    <w:rsid w:val="004C0502"/>
    <w:rsid w:val="004C0873"/>
    <w:rsid w:val="004C131C"/>
    <w:rsid w:val="004C1C33"/>
    <w:rsid w:val="004C2003"/>
    <w:rsid w:val="004C236F"/>
    <w:rsid w:val="004C269E"/>
    <w:rsid w:val="004C2971"/>
    <w:rsid w:val="004C29E5"/>
    <w:rsid w:val="004C32C6"/>
    <w:rsid w:val="004C3B98"/>
    <w:rsid w:val="004C3FCF"/>
    <w:rsid w:val="004C4B2E"/>
    <w:rsid w:val="004C6077"/>
    <w:rsid w:val="004C6567"/>
    <w:rsid w:val="004C6739"/>
    <w:rsid w:val="004C7C0B"/>
    <w:rsid w:val="004D171A"/>
    <w:rsid w:val="004D1A45"/>
    <w:rsid w:val="004D252E"/>
    <w:rsid w:val="004D2CEE"/>
    <w:rsid w:val="004D3901"/>
    <w:rsid w:val="004D4BBD"/>
    <w:rsid w:val="004D4C3E"/>
    <w:rsid w:val="004D6CD0"/>
    <w:rsid w:val="004D7B8D"/>
    <w:rsid w:val="004E0A28"/>
    <w:rsid w:val="004E0C90"/>
    <w:rsid w:val="004E0CB9"/>
    <w:rsid w:val="004E0F8F"/>
    <w:rsid w:val="004E19F4"/>
    <w:rsid w:val="004E1C1F"/>
    <w:rsid w:val="004E3F99"/>
    <w:rsid w:val="004E4281"/>
    <w:rsid w:val="004E4728"/>
    <w:rsid w:val="004E49DD"/>
    <w:rsid w:val="004E4D55"/>
    <w:rsid w:val="004E528B"/>
    <w:rsid w:val="004E58D7"/>
    <w:rsid w:val="004E5D2D"/>
    <w:rsid w:val="004E649A"/>
    <w:rsid w:val="004E6FDB"/>
    <w:rsid w:val="004E79A1"/>
    <w:rsid w:val="004E7FE7"/>
    <w:rsid w:val="004F0791"/>
    <w:rsid w:val="004F0D1E"/>
    <w:rsid w:val="004F1A9E"/>
    <w:rsid w:val="004F327B"/>
    <w:rsid w:val="004F4DAF"/>
    <w:rsid w:val="004F537C"/>
    <w:rsid w:val="004F56E3"/>
    <w:rsid w:val="004F615C"/>
    <w:rsid w:val="004F6766"/>
    <w:rsid w:val="004F6BAB"/>
    <w:rsid w:val="004F72E1"/>
    <w:rsid w:val="004F7B6B"/>
    <w:rsid w:val="004F7C7D"/>
    <w:rsid w:val="005000DA"/>
    <w:rsid w:val="00500BD1"/>
    <w:rsid w:val="0050144A"/>
    <w:rsid w:val="00501450"/>
    <w:rsid w:val="00501B17"/>
    <w:rsid w:val="00501F53"/>
    <w:rsid w:val="005028C5"/>
    <w:rsid w:val="005030E5"/>
    <w:rsid w:val="00503827"/>
    <w:rsid w:val="00504E66"/>
    <w:rsid w:val="0050504A"/>
    <w:rsid w:val="005077FF"/>
    <w:rsid w:val="00510DE5"/>
    <w:rsid w:val="005110AA"/>
    <w:rsid w:val="00512461"/>
    <w:rsid w:val="00512561"/>
    <w:rsid w:val="00512DEC"/>
    <w:rsid w:val="00513006"/>
    <w:rsid w:val="0051309F"/>
    <w:rsid w:val="00513CD9"/>
    <w:rsid w:val="00514315"/>
    <w:rsid w:val="005145A5"/>
    <w:rsid w:val="00515A47"/>
    <w:rsid w:val="00517C6A"/>
    <w:rsid w:val="00520EFA"/>
    <w:rsid w:val="00522AA5"/>
    <w:rsid w:val="00522DBC"/>
    <w:rsid w:val="0052350C"/>
    <w:rsid w:val="00523581"/>
    <w:rsid w:val="00524676"/>
    <w:rsid w:val="00524F14"/>
    <w:rsid w:val="00530148"/>
    <w:rsid w:val="0053032E"/>
    <w:rsid w:val="005308F6"/>
    <w:rsid w:val="0053175E"/>
    <w:rsid w:val="00531FAF"/>
    <w:rsid w:val="005324F9"/>
    <w:rsid w:val="005325D4"/>
    <w:rsid w:val="00532730"/>
    <w:rsid w:val="00532B57"/>
    <w:rsid w:val="00533B8A"/>
    <w:rsid w:val="00534713"/>
    <w:rsid w:val="00534A04"/>
    <w:rsid w:val="00536072"/>
    <w:rsid w:val="0053684F"/>
    <w:rsid w:val="00537A4A"/>
    <w:rsid w:val="00540004"/>
    <w:rsid w:val="0054068C"/>
    <w:rsid w:val="0054070C"/>
    <w:rsid w:val="00543FC8"/>
    <w:rsid w:val="005441CB"/>
    <w:rsid w:val="00544466"/>
    <w:rsid w:val="00544A35"/>
    <w:rsid w:val="00545013"/>
    <w:rsid w:val="00545400"/>
    <w:rsid w:val="005461B7"/>
    <w:rsid w:val="00546E90"/>
    <w:rsid w:val="00547D29"/>
    <w:rsid w:val="00550D0D"/>
    <w:rsid w:val="00550D68"/>
    <w:rsid w:val="005510C4"/>
    <w:rsid w:val="0055137A"/>
    <w:rsid w:val="005521DA"/>
    <w:rsid w:val="0055298F"/>
    <w:rsid w:val="00552D9A"/>
    <w:rsid w:val="00553379"/>
    <w:rsid w:val="00553CDB"/>
    <w:rsid w:val="00554360"/>
    <w:rsid w:val="005544A5"/>
    <w:rsid w:val="00554639"/>
    <w:rsid w:val="00555085"/>
    <w:rsid w:val="005566D0"/>
    <w:rsid w:val="00556CB5"/>
    <w:rsid w:val="00556E8A"/>
    <w:rsid w:val="00557711"/>
    <w:rsid w:val="005605AB"/>
    <w:rsid w:val="005619DD"/>
    <w:rsid w:val="00561CEF"/>
    <w:rsid w:val="00562138"/>
    <w:rsid w:val="00562D4C"/>
    <w:rsid w:val="00562F36"/>
    <w:rsid w:val="005630AF"/>
    <w:rsid w:val="00563298"/>
    <w:rsid w:val="0056341E"/>
    <w:rsid w:val="005640F6"/>
    <w:rsid w:val="005652B4"/>
    <w:rsid w:val="00565BF1"/>
    <w:rsid w:val="00566A65"/>
    <w:rsid w:val="00567E98"/>
    <w:rsid w:val="00567EF2"/>
    <w:rsid w:val="00570139"/>
    <w:rsid w:val="0057025F"/>
    <w:rsid w:val="00571AE4"/>
    <w:rsid w:val="00572036"/>
    <w:rsid w:val="00572D6D"/>
    <w:rsid w:val="00573049"/>
    <w:rsid w:val="00573615"/>
    <w:rsid w:val="00573EBE"/>
    <w:rsid w:val="0057557E"/>
    <w:rsid w:val="00575635"/>
    <w:rsid w:val="0057619A"/>
    <w:rsid w:val="005764AB"/>
    <w:rsid w:val="005770F4"/>
    <w:rsid w:val="005775E8"/>
    <w:rsid w:val="00577821"/>
    <w:rsid w:val="00581952"/>
    <w:rsid w:val="00582FD6"/>
    <w:rsid w:val="00583253"/>
    <w:rsid w:val="00584CEF"/>
    <w:rsid w:val="00585216"/>
    <w:rsid w:val="00585859"/>
    <w:rsid w:val="005869CD"/>
    <w:rsid w:val="00586D2B"/>
    <w:rsid w:val="005874B4"/>
    <w:rsid w:val="00591AAC"/>
    <w:rsid w:val="00591C61"/>
    <w:rsid w:val="0059278D"/>
    <w:rsid w:val="00592B0D"/>
    <w:rsid w:val="00592E39"/>
    <w:rsid w:val="00593694"/>
    <w:rsid w:val="00593C3F"/>
    <w:rsid w:val="00594ECC"/>
    <w:rsid w:val="00596109"/>
    <w:rsid w:val="00596395"/>
    <w:rsid w:val="00596548"/>
    <w:rsid w:val="0059691C"/>
    <w:rsid w:val="0059721B"/>
    <w:rsid w:val="005975E0"/>
    <w:rsid w:val="0059798C"/>
    <w:rsid w:val="005A00F8"/>
    <w:rsid w:val="005A05F4"/>
    <w:rsid w:val="005A20A5"/>
    <w:rsid w:val="005A24DE"/>
    <w:rsid w:val="005A28ED"/>
    <w:rsid w:val="005A2BAF"/>
    <w:rsid w:val="005A31E9"/>
    <w:rsid w:val="005A3984"/>
    <w:rsid w:val="005A3D38"/>
    <w:rsid w:val="005A436B"/>
    <w:rsid w:val="005A4E77"/>
    <w:rsid w:val="005A55B8"/>
    <w:rsid w:val="005A5EC5"/>
    <w:rsid w:val="005A6713"/>
    <w:rsid w:val="005A72CC"/>
    <w:rsid w:val="005B0047"/>
    <w:rsid w:val="005B0621"/>
    <w:rsid w:val="005B0BBE"/>
    <w:rsid w:val="005B1200"/>
    <w:rsid w:val="005B281F"/>
    <w:rsid w:val="005B3A2B"/>
    <w:rsid w:val="005B4174"/>
    <w:rsid w:val="005B46EC"/>
    <w:rsid w:val="005B4B98"/>
    <w:rsid w:val="005B4C52"/>
    <w:rsid w:val="005B5DA0"/>
    <w:rsid w:val="005C0EF7"/>
    <w:rsid w:val="005C13F9"/>
    <w:rsid w:val="005C36DD"/>
    <w:rsid w:val="005C3720"/>
    <w:rsid w:val="005C3D0A"/>
    <w:rsid w:val="005C41A4"/>
    <w:rsid w:val="005C48AD"/>
    <w:rsid w:val="005C5205"/>
    <w:rsid w:val="005C6DFB"/>
    <w:rsid w:val="005C741D"/>
    <w:rsid w:val="005C74DF"/>
    <w:rsid w:val="005D09A4"/>
    <w:rsid w:val="005D0E91"/>
    <w:rsid w:val="005D1719"/>
    <w:rsid w:val="005D1C31"/>
    <w:rsid w:val="005D1D41"/>
    <w:rsid w:val="005D1EF3"/>
    <w:rsid w:val="005D24BA"/>
    <w:rsid w:val="005D2D64"/>
    <w:rsid w:val="005D2DB0"/>
    <w:rsid w:val="005D3772"/>
    <w:rsid w:val="005D49BF"/>
    <w:rsid w:val="005D4AE3"/>
    <w:rsid w:val="005D5579"/>
    <w:rsid w:val="005D6A30"/>
    <w:rsid w:val="005D6DF2"/>
    <w:rsid w:val="005D7C88"/>
    <w:rsid w:val="005D7FD2"/>
    <w:rsid w:val="005E0099"/>
    <w:rsid w:val="005E0C55"/>
    <w:rsid w:val="005E178D"/>
    <w:rsid w:val="005E1F7B"/>
    <w:rsid w:val="005E21A9"/>
    <w:rsid w:val="005E2DF2"/>
    <w:rsid w:val="005E2E77"/>
    <w:rsid w:val="005E364B"/>
    <w:rsid w:val="005E388D"/>
    <w:rsid w:val="005E3BFC"/>
    <w:rsid w:val="005E3EE9"/>
    <w:rsid w:val="005E40C0"/>
    <w:rsid w:val="005E4316"/>
    <w:rsid w:val="005E473F"/>
    <w:rsid w:val="005E4DD2"/>
    <w:rsid w:val="005E5A76"/>
    <w:rsid w:val="005E5BB4"/>
    <w:rsid w:val="005E6180"/>
    <w:rsid w:val="005F04BC"/>
    <w:rsid w:val="005F08EB"/>
    <w:rsid w:val="005F0CFE"/>
    <w:rsid w:val="005F123D"/>
    <w:rsid w:val="005F1E80"/>
    <w:rsid w:val="005F24B4"/>
    <w:rsid w:val="005F3C14"/>
    <w:rsid w:val="005F3E1B"/>
    <w:rsid w:val="005F5083"/>
    <w:rsid w:val="005F5D34"/>
    <w:rsid w:val="005F5FDD"/>
    <w:rsid w:val="005F6892"/>
    <w:rsid w:val="005F6903"/>
    <w:rsid w:val="005F6A0C"/>
    <w:rsid w:val="006000EA"/>
    <w:rsid w:val="00600545"/>
    <w:rsid w:val="00600759"/>
    <w:rsid w:val="00600FDF"/>
    <w:rsid w:val="00601BA4"/>
    <w:rsid w:val="00601D6B"/>
    <w:rsid w:val="00602562"/>
    <w:rsid w:val="006032FE"/>
    <w:rsid w:val="00603986"/>
    <w:rsid w:val="0060449D"/>
    <w:rsid w:val="006047C5"/>
    <w:rsid w:val="00604C73"/>
    <w:rsid w:val="0060500C"/>
    <w:rsid w:val="006052D0"/>
    <w:rsid w:val="00605F5F"/>
    <w:rsid w:val="00606361"/>
    <w:rsid w:val="00606A0B"/>
    <w:rsid w:val="00606BA2"/>
    <w:rsid w:val="0061017A"/>
    <w:rsid w:val="00610A0F"/>
    <w:rsid w:val="00610A69"/>
    <w:rsid w:val="00612E5D"/>
    <w:rsid w:val="006131FF"/>
    <w:rsid w:val="006134DA"/>
    <w:rsid w:val="006146B4"/>
    <w:rsid w:val="00615D4D"/>
    <w:rsid w:val="00616AAC"/>
    <w:rsid w:val="00617452"/>
    <w:rsid w:val="00617F88"/>
    <w:rsid w:val="0062016A"/>
    <w:rsid w:val="00620422"/>
    <w:rsid w:val="00620501"/>
    <w:rsid w:val="00621233"/>
    <w:rsid w:val="00621B7C"/>
    <w:rsid w:val="00621F3E"/>
    <w:rsid w:val="00622AB4"/>
    <w:rsid w:val="00622C35"/>
    <w:rsid w:val="00623DCD"/>
    <w:rsid w:val="00623F40"/>
    <w:rsid w:val="00625065"/>
    <w:rsid w:val="00625451"/>
    <w:rsid w:val="00625952"/>
    <w:rsid w:val="00625BF0"/>
    <w:rsid w:val="006278CA"/>
    <w:rsid w:val="00627B00"/>
    <w:rsid w:val="0063010C"/>
    <w:rsid w:val="00630859"/>
    <w:rsid w:val="00630AB1"/>
    <w:rsid w:val="00631688"/>
    <w:rsid w:val="00631727"/>
    <w:rsid w:val="0063226D"/>
    <w:rsid w:val="00632390"/>
    <w:rsid w:val="006334B9"/>
    <w:rsid w:val="006345D3"/>
    <w:rsid w:val="00634C2B"/>
    <w:rsid w:val="00634C30"/>
    <w:rsid w:val="0063532A"/>
    <w:rsid w:val="00635431"/>
    <w:rsid w:val="00635BD4"/>
    <w:rsid w:val="006374D8"/>
    <w:rsid w:val="0063780B"/>
    <w:rsid w:val="00640550"/>
    <w:rsid w:val="00640941"/>
    <w:rsid w:val="00640C36"/>
    <w:rsid w:val="0064107D"/>
    <w:rsid w:val="0064241E"/>
    <w:rsid w:val="00642557"/>
    <w:rsid w:val="00642D41"/>
    <w:rsid w:val="00643307"/>
    <w:rsid w:val="0064422B"/>
    <w:rsid w:val="00644633"/>
    <w:rsid w:val="0064481C"/>
    <w:rsid w:val="006450AD"/>
    <w:rsid w:val="0064564C"/>
    <w:rsid w:val="0064579A"/>
    <w:rsid w:val="00645819"/>
    <w:rsid w:val="00645B92"/>
    <w:rsid w:val="00646455"/>
    <w:rsid w:val="00646D1B"/>
    <w:rsid w:val="00646E43"/>
    <w:rsid w:val="006500F7"/>
    <w:rsid w:val="0065076B"/>
    <w:rsid w:val="00651EBB"/>
    <w:rsid w:val="006525A8"/>
    <w:rsid w:val="006526B0"/>
    <w:rsid w:val="00653A46"/>
    <w:rsid w:val="0065469F"/>
    <w:rsid w:val="0065508E"/>
    <w:rsid w:val="0065514D"/>
    <w:rsid w:val="00656727"/>
    <w:rsid w:val="00657593"/>
    <w:rsid w:val="00660C62"/>
    <w:rsid w:val="00661575"/>
    <w:rsid w:val="00662F6D"/>
    <w:rsid w:val="006633E6"/>
    <w:rsid w:val="00664082"/>
    <w:rsid w:val="00665757"/>
    <w:rsid w:val="00665A68"/>
    <w:rsid w:val="00665E76"/>
    <w:rsid w:val="0066657F"/>
    <w:rsid w:val="00666920"/>
    <w:rsid w:val="00667814"/>
    <w:rsid w:val="00667A3D"/>
    <w:rsid w:val="00667EC3"/>
    <w:rsid w:val="006704D7"/>
    <w:rsid w:val="006708B1"/>
    <w:rsid w:val="00670A3B"/>
    <w:rsid w:val="00673158"/>
    <w:rsid w:val="00673B7E"/>
    <w:rsid w:val="0067573E"/>
    <w:rsid w:val="00675811"/>
    <w:rsid w:val="00675CC3"/>
    <w:rsid w:val="00675E60"/>
    <w:rsid w:val="00676E2D"/>
    <w:rsid w:val="00676EB7"/>
    <w:rsid w:val="006779B1"/>
    <w:rsid w:val="006801DB"/>
    <w:rsid w:val="006803A7"/>
    <w:rsid w:val="006816F3"/>
    <w:rsid w:val="00681BDB"/>
    <w:rsid w:val="00681F9F"/>
    <w:rsid w:val="0068435D"/>
    <w:rsid w:val="00685D27"/>
    <w:rsid w:val="00685E0A"/>
    <w:rsid w:val="0068615F"/>
    <w:rsid w:val="00686F71"/>
    <w:rsid w:val="00687D20"/>
    <w:rsid w:val="00687DC8"/>
    <w:rsid w:val="0069004B"/>
    <w:rsid w:val="006927D8"/>
    <w:rsid w:val="00692B0B"/>
    <w:rsid w:val="00693AAF"/>
    <w:rsid w:val="00695277"/>
    <w:rsid w:val="006953F1"/>
    <w:rsid w:val="0069550A"/>
    <w:rsid w:val="00697065"/>
    <w:rsid w:val="00697459"/>
    <w:rsid w:val="006A008D"/>
    <w:rsid w:val="006A0671"/>
    <w:rsid w:val="006A0ECE"/>
    <w:rsid w:val="006A1568"/>
    <w:rsid w:val="006A17B4"/>
    <w:rsid w:val="006A20C4"/>
    <w:rsid w:val="006A2171"/>
    <w:rsid w:val="006A49A6"/>
    <w:rsid w:val="006A512E"/>
    <w:rsid w:val="006A5D39"/>
    <w:rsid w:val="006A6714"/>
    <w:rsid w:val="006A6C4B"/>
    <w:rsid w:val="006A73AB"/>
    <w:rsid w:val="006A7426"/>
    <w:rsid w:val="006B22CE"/>
    <w:rsid w:val="006B2333"/>
    <w:rsid w:val="006B269F"/>
    <w:rsid w:val="006B2BBD"/>
    <w:rsid w:val="006B2F43"/>
    <w:rsid w:val="006B3278"/>
    <w:rsid w:val="006B48DF"/>
    <w:rsid w:val="006B50BD"/>
    <w:rsid w:val="006B51CA"/>
    <w:rsid w:val="006B65DE"/>
    <w:rsid w:val="006B76A7"/>
    <w:rsid w:val="006C08F2"/>
    <w:rsid w:val="006C0B63"/>
    <w:rsid w:val="006C2254"/>
    <w:rsid w:val="006C2E94"/>
    <w:rsid w:val="006C4147"/>
    <w:rsid w:val="006C44DC"/>
    <w:rsid w:val="006C4B26"/>
    <w:rsid w:val="006C4D86"/>
    <w:rsid w:val="006C51FA"/>
    <w:rsid w:val="006C5477"/>
    <w:rsid w:val="006C5514"/>
    <w:rsid w:val="006C5563"/>
    <w:rsid w:val="006C5632"/>
    <w:rsid w:val="006C6224"/>
    <w:rsid w:val="006C68D7"/>
    <w:rsid w:val="006C69B9"/>
    <w:rsid w:val="006C6B4B"/>
    <w:rsid w:val="006C6B66"/>
    <w:rsid w:val="006C7830"/>
    <w:rsid w:val="006D0208"/>
    <w:rsid w:val="006D031A"/>
    <w:rsid w:val="006D1277"/>
    <w:rsid w:val="006D2115"/>
    <w:rsid w:val="006D25A9"/>
    <w:rsid w:val="006D2DDE"/>
    <w:rsid w:val="006D3C47"/>
    <w:rsid w:val="006D3FD8"/>
    <w:rsid w:val="006D4477"/>
    <w:rsid w:val="006D5259"/>
    <w:rsid w:val="006D57ED"/>
    <w:rsid w:val="006D5C1C"/>
    <w:rsid w:val="006D61D7"/>
    <w:rsid w:val="006E0849"/>
    <w:rsid w:val="006E0CBF"/>
    <w:rsid w:val="006E11ED"/>
    <w:rsid w:val="006E14D8"/>
    <w:rsid w:val="006E4AC7"/>
    <w:rsid w:val="006E4B52"/>
    <w:rsid w:val="006E4B95"/>
    <w:rsid w:val="006E5668"/>
    <w:rsid w:val="006E5807"/>
    <w:rsid w:val="006E6134"/>
    <w:rsid w:val="006E7131"/>
    <w:rsid w:val="006E7430"/>
    <w:rsid w:val="006F067A"/>
    <w:rsid w:val="006F1153"/>
    <w:rsid w:val="006F1B68"/>
    <w:rsid w:val="006F3096"/>
    <w:rsid w:val="006F3439"/>
    <w:rsid w:val="006F4AFB"/>
    <w:rsid w:val="006F5393"/>
    <w:rsid w:val="006F543D"/>
    <w:rsid w:val="006F55D2"/>
    <w:rsid w:val="006F5793"/>
    <w:rsid w:val="006F6689"/>
    <w:rsid w:val="006F6CEF"/>
    <w:rsid w:val="006F715B"/>
    <w:rsid w:val="00700D28"/>
    <w:rsid w:val="00700E8D"/>
    <w:rsid w:val="007027D8"/>
    <w:rsid w:val="007028FD"/>
    <w:rsid w:val="00702995"/>
    <w:rsid w:val="00702F53"/>
    <w:rsid w:val="00702F6D"/>
    <w:rsid w:val="00703074"/>
    <w:rsid w:val="00703B10"/>
    <w:rsid w:val="0070510D"/>
    <w:rsid w:val="00705696"/>
    <w:rsid w:val="00705C78"/>
    <w:rsid w:val="007071E5"/>
    <w:rsid w:val="0070735B"/>
    <w:rsid w:val="00707C55"/>
    <w:rsid w:val="00710541"/>
    <w:rsid w:val="00710C3D"/>
    <w:rsid w:val="00710D03"/>
    <w:rsid w:val="00710D7D"/>
    <w:rsid w:val="00710E2F"/>
    <w:rsid w:val="00711615"/>
    <w:rsid w:val="007122F3"/>
    <w:rsid w:val="00713AB7"/>
    <w:rsid w:val="00713BE8"/>
    <w:rsid w:val="0071441E"/>
    <w:rsid w:val="007148E3"/>
    <w:rsid w:val="007166BA"/>
    <w:rsid w:val="0071685D"/>
    <w:rsid w:val="00716DF4"/>
    <w:rsid w:val="00717360"/>
    <w:rsid w:val="00717743"/>
    <w:rsid w:val="00720528"/>
    <w:rsid w:val="0072077A"/>
    <w:rsid w:val="007215E4"/>
    <w:rsid w:val="00721BFF"/>
    <w:rsid w:val="00721E55"/>
    <w:rsid w:val="007221BC"/>
    <w:rsid w:val="00722518"/>
    <w:rsid w:val="0072275D"/>
    <w:rsid w:val="00722772"/>
    <w:rsid w:val="0072291A"/>
    <w:rsid w:val="00723DD4"/>
    <w:rsid w:val="00724095"/>
    <w:rsid w:val="0072411C"/>
    <w:rsid w:val="00724B63"/>
    <w:rsid w:val="007255F7"/>
    <w:rsid w:val="00725C13"/>
    <w:rsid w:val="00725F9E"/>
    <w:rsid w:val="007269A9"/>
    <w:rsid w:val="00727D15"/>
    <w:rsid w:val="00731183"/>
    <w:rsid w:val="00731D35"/>
    <w:rsid w:val="00731D84"/>
    <w:rsid w:val="007327CB"/>
    <w:rsid w:val="00732E24"/>
    <w:rsid w:val="00733618"/>
    <w:rsid w:val="0073379C"/>
    <w:rsid w:val="007346F4"/>
    <w:rsid w:val="00734D50"/>
    <w:rsid w:val="0073508A"/>
    <w:rsid w:val="00735452"/>
    <w:rsid w:val="00735476"/>
    <w:rsid w:val="00735A41"/>
    <w:rsid w:val="00736704"/>
    <w:rsid w:val="00736B3B"/>
    <w:rsid w:val="007374D0"/>
    <w:rsid w:val="00737F3F"/>
    <w:rsid w:val="00740954"/>
    <w:rsid w:val="0074123C"/>
    <w:rsid w:val="00741759"/>
    <w:rsid w:val="007419FA"/>
    <w:rsid w:val="00741F9C"/>
    <w:rsid w:val="00742089"/>
    <w:rsid w:val="00742A52"/>
    <w:rsid w:val="0074318D"/>
    <w:rsid w:val="007434CD"/>
    <w:rsid w:val="007447B6"/>
    <w:rsid w:val="00744A82"/>
    <w:rsid w:val="00744B7F"/>
    <w:rsid w:val="00745F82"/>
    <w:rsid w:val="00747046"/>
    <w:rsid w:val="0074740B"/>
    <w:rsid w:val="00750081"/>
    <w:rsid w:val="00750936"/>
    <w:rsid w:val="00750EE0"/>
    <w:rsid w:val="007510DA"/>
    <w:rsid w:val="007514F1"/>
    <w:rsid w:val="00751F7A"/>
    <w:rsid w:val="00752FC7"/>
    <w:rsid w:val="007533E1"/>
    <w:rsid w:val="007542C6"/>
    <w:rsid w:val="00754EAD"/>
    <w:rsid w:val="00755C2A"/>
    <w:rsid w:val="00756002"/>
    <w:rsid w:val="007567D2"/>
    <w:rsid w:val="00756A71"/>
    <w:rsid w:val="00760041"/>
    <w:rsid w:val="007610DF"/>
    <w:rsid w:val="00762B80"/>
    <w:rsid w:val="00763C7A"/>
    <w:rsid w:val="0076474F"/>
    <w:rsid w:val="00764B4F"/>
    <w:rsid w:val="00765F26"/>
    <w:rsid w:val="007661BF"/>
    <w:rsid w:val="00766222"/>
    <w:rsid w:val="00767121"/>
    <w:rsid w:val="007678ED"/>
    <w:rsid w:val="00767AFA"/>
    <w:rsid w:val="00767FC4"/>
    <w:rsid w:val="00770154"/>
    <w:rsid w:val="0077051E"/>
    <w:rsid w:val="0077117A"/>
    <w:rsid w:val="00771745"/>
    <w:rsid w:val="007718DD"/>
    <w:rsid w:val="00772913"/>
    <w:rsid w:val="007730EC"/>
    <w:rsid w:val="007735AE"/>
    <w:rsid w:val="00773DB6"/>
    <w:rsid w:val="00773DC3"/>
    <w:rsid w:val="00773DD0"/>
    <w:rsid w:val="007740DD"/>
    <w:rsid w:val="00774C71"/>
    <w:rsid w:val="00775369"/>
    <w:rsid w:val="007756AE"/>
    <w:rsid w:val="00777186"/>
    <w:rsid w:val="007772FA"/>
    <w:rsid w:val="007779D7"/>
    <w:rsid w:val="00777A1C"/>
    <w:rsid w:val="0078025E"/>
    <w:rsid w:val="007827A6"/>
    <w:rsid w:val="00782CD7"/>
    <w:rsid w:val="0078374B"/>
    <w:rsid w:val="007839A4"/>
    <w:rsid w:val="0078461C"/>
    <w:rsid w:val="00784DF2"/>
    <w:rsid w:val="007851DA"/>
    <w:rsid w:val="00785C07"/>
    <w:rsid w:val="007864FB"/>
    <w:rsid w:val="00786CD4"/>
    <w:rsid w:val="00786F37"/>
    <w:rsid w:val="0078739B"/>
    <w:rsid w:val="00787E39"/>
    <w:rsid w:val="00790848"/>
    <w:rsid w:val="0079193F"/>
    <w:rsid w:val="00791AEA"/>
    <w:rsid w:val="00791C26"/>
    <w:rsid w:val="007928E4"/>
    <w:rsid w:val="00792D5E"/>
    <w:rsid w:val="00793CAA"/>
    <w:rsid w:val="00795A7E"/>
    <w:rsid w:val="00795E47"/>
    <w:rsid w:val="0079747F"/>
    <w:rsid w:val="0079763B"/>
    <w:rsid w:val="00797CC9"/>
    <w:rsid w:val="007A06FD"/>
    <w:rsid w:val="007A0A4C"/>
    <w:rsid w:val="007A0D56"/>
    <w:rsid w:val="007A0D89"/>
    <w:rsid w:val="007A0E7F"/>
    <w:rsid w:val="007A1D3D"/>
    <w:rsid w:val="007A247F"/>
    <w:rsid w:val="007A24CE"/>
    <w:rsid w:val="007A33C1"/>
    <w:rsid w:val="007A367E"/>
    <w:rsid w:val="007A5B96"/>
    <w:rsid w:val="007A65D4"/>
    <w:rsid w:val="007A7FEE"/>
    <w:rsid w:val="007B0131"/>
    <w:rsid w:val="007B0503"/>
    <w:rsid w:val="007B083B"/>
    <w:rsid w:val="007B0F2B"/>
    <w:rsid w:val="007B0F89"/>
    <w:rsid w:val="007B1BB3"/>
    <w:rsid w:val="007B1CC0"/>
    <w:rsid w:val="007B1F7E"/>
    <w:rsid w:val="007B2971"/>
    <w:rsid w:val="007B2A9C"/>
    <w:rsid w:val="007B3658"/>
    <w:rsid w:val="007B3C46"/>
    <w:rsid w:val="007B3C5F"/>
    <w:rsid w:val="007B3DC7"/>
    <w:rsid w:val="007B5CBA"/>
    <w:rsid w:val="007B5EB0"/>
    <w:rsid w:val="007B62A2"/>
    <w:rsid w:val="007B6D22"/>
    <w:rsid w:val="007C0A91"/>
    <w:rsid w:val="007C136E"/>
    <w:rsid w:val="007C14AF"/>
    <w:rsid w:val="007C2016"/>
    <w:rsid w:val="007C2911"/>
    <w:rsid w:val="007C37BE"/>
    <w:rsid w:val="007C3ED4"/>
    <w:rsid w:val="007C402F"/>
    <w:rsid w:val="007C45B2"/>
    <w:rsid w:val="007C4646"/>
    <w:rsid w:val="007C4F2E"/>
    <w:rsid w:val="007C57DE"/>
    <w:rsid w:val="007C58F9"/>
    <w:rsid w:val="007C670C"/>
    <w:rsid w:val="007C67BA"/>
    <w:rsid w:val="007C7CC5"/>
    <w:rsid w:val="007D088C"/>
    <w:rsid w:val="007D0A5A"/>
    <w:rsid w:val="007D0F8A"/>
    <w:rsid w:val="007D1003"/>
    <w:rsid w:val="007D14E4"/>
    <w:rsid w:val="007D16F8"/>
    <w:rsid w:val="007D28CB"/>
    <w:rsid w:val="007D28FB"/>
    <w:rsid w:val="007D2A96"/>
    <w:rsid w:val="007D2CBD"/>
    <w:rsid w:val="007D40D2"/>
    <w:rsid w:val="007D4DA9"/>
    <w:rsid w:val="007D5B7A"/>
    <w:rsid w:val="007D5E73"/>
    <w:rsid w:val="007D6B77"/>
    <w:rsid w:val="007D7421"/>
    <w:rsid w:val="007D7876"/>
    <w:rsid w:val="007D7A85"/>
    <w:rsid w:val="007D7A94"/>
    <w:rsid w:val="007E08EA"/>
    <w:rsid w:val="007E11FB"/>
    <w:rsid w:val="007E1A3A"/>
    <w:rsid w:val="007E2E44"/>
    <w:rsid w:val="007E2E86"/>
    <w:rsid w:val="007E4247"/>
    <w:rsid w:val="007E4DCE"/>
    <w:rsid w:val="007E5466"/>
    <w:rsid w:val="007E653D"/>
    <w:rsid w:val="007E6790"/>
    <w:rsid w:val="007E6EA5"/>
    <w:rsid w:val="007E7661"/>
    <w:rsid w:val="007F0350"/>
    <w:rsid w:val="007F05B5"/>
    <w:rsid w:val="007F06E9"/>
    <w:rsid w:val="007F1024"/>
    <w:rsid w:val="007F1855"/>
    <w:rsid w:val="007F1977"/>
    <w:rsid w:val="007F25EC"/>
    <w:rsid w:val="007F2CEC"/>
    <w:rsid w:val="007F2F8D"/>
    <w:rsid w:val="007F38BE"/>
    <w:rsid w:val="007F42F9"/>
    <w:rsid w:val="007F52BA"/>
    <w:rsid w:val="007F5306"/>
    <w:rsid w:val="007F64F8"/>
    <w:rsid w:val="007F66CD"/>
    <w:rsid w:val="007F6709"/>
    <w:rsid w:val="007F6812"/>
    <w:rsid w:val="00800421"/>
    <w:rsid w:val="00800917"/>
    <w:rsid w:val="00803604"/>
    <w:rsid w:val="00803B81"/>
    <w:rsid w:val="00803E83"/>
    <w:rsid w:val="00804800"/>
    <w:rsid w:val="00804A00"/>
    <w:rsid w:val="008057C7"/>
    <w:rsid w:val="00805D42"/>
    <w:rsid w:val="00806552"/>
    <w:rsid w:val="00807C23"/>
    <w:rsid w:val="0081013B"/>
    <w:rsid w:val="008107A9"/>
    <w:rsid w:val="008108F4"/>
    <w:rsid w:val="00810CAE"/>
    <w:rsid w:val="00811280"/>
    <w:rsid w:val="0081133B"/>
    <w:rsid w:val="008115D6"/>
    <w:rsid w:val="008116C7"/>
    <w:rsid w:val="00811C09"/>
    <w:rsid w:val="008129DD"/>
    <w:rsid w:val="008138A2"/>
    <w:rsid w:val="00813D28"/>
    <w:rsid w:val="00813F25"/>
    <w:rsid w:val="008141B0"/>
    <w:rsid w:val="00814240"/>
    <w:rsid w:val="00814456"/>
    <w:rsid w:val="00814621"/>
    <w:rsid w:val="00814E24"/>
    <w:rsid w:val="0081534B"/>
    <w:rsid w:val="00815383"/>
    <w:rsid w:val="00815698"/>
    <w:rsid w:val="008165BC"/>
    <w:rsid w:val="00816EDB"/>
    <w:rsid w:val="00817D63"/>
    <w:rsid w:val="00820274"/>
    <w:rsid w:val="00820DEF"/>
    <w:rsid w:val="00821240"/>
    <w:rsid w:val="008215C0"/>
    <w:rsid w:val="008215EC"/>
    <w:rsid w:val="0082204C"/>
    <w:rsid w:val="008225AF"/>
    <w:rsid w:val="00822885"/>
    <w:rsid w:val="008228B6"/>
    <w:rsid w:val="00823565"/>
    <w:rsid w:val="00823875"/>
    <w:rsid w:val="008239B5"/>
    <w:rsid w:val="00823DB8"/>
    <w:rsid w:val="00824F52"/>
    <w:rsid w:val="00825128"/>
    <w:rsid w:val="0082584D"/>
    <w:rsid w:val="00825B49"/>
    <w:rsid w:val="00826950"/>
    <w:rsid w:val="0082695D"/>
    <w:rsid w:val="00830C9F"/>
    <w:rsid w:val="00832269"/>
    <w:rsid w:val="00832DA8"/>
    <w:rsid w:val="008332ED"/>
    <w:rsid w:val="00833F11"/>
    <w:rsid w:val="0083408B"/>
    <w:rsid w:val="0083452D"/>
    <w:rsid w:val="00834577"/>
    <w:rsid w:val="00835FEC"/>
    <w:rsid w:val="00836183"/>
    <w:rsid w:val="00836F9F"/>
    <w:rsid w:val="008377BF"/>
    <w:rsid w:val="00837C19"/>
    <w:rsid w:val="00840B23"/>
    <w:rsid w:val="00840E81"/>
    <w:rsid w:val="00840F3F"/>
    <w:rsid w:val="008413AD"/>
    <w:rsid w:val="00841643"/>
    <w:rsid w:val="008416E0"/>
    <w:rsid w:val="00841F28"/>
    <w:rsid w:val="00843939"/>
    <w:rsid w:val="0084398B"/>
    <w:rsid w:val="008441CE"/>
    <w:rsid w:val="008456CD"/>
    <w:rsid w:val="00845CAA"/>
    <w:rsid w:val="00845FC1"/>
    <w:rsid w:val="00846D59"/>
    <w:rsid w:val="00847613"/>
    <w:rsid w:val="0085014D"/>
    <w:rsid w:val="008510D5"/>
    <w:rsid w:val="00851401"/>
    <w:rsid w:val="00851733"/>
    <w:rsid w:val="00851913"/>
    <w:rsid w:val="00852593"/>
    <w:rsid w:val="008544B8"/>
    <w:rsid w:val="00854776"/>
    <w:rsid w:val="008549E0"/>
    <w:rsid w:val="00854C96"/>
    <w:rsid w:val="00855201"/>
    <w:rsid w:val="0085596A"/>
    <w:rsid w:val="00860051"/>
    <w:rsid w:val="00860751"/>
    <w:rsid w:val="0086177C"/>
    <w:rsid w:val="0086195B"/>
    <w:rsid w:val="00861A9F"/>
    <w:rsid w:val="00861F98"/>
    <w:rsid w:val="00862449"/>
    <w:rsid w:val="00862DDB"/>
    <w:rsid w:val="00863689"/>
    <w:rsid w:val="008636F1"/>
    <w:rsid w:val="008641AA"/>
    <w:rsid w:val="0086480B"/>
    <w:rsid w:val="00864BCC"/>
    <w:rsid w:val="008650D6"/>
    <w:rsid w:val="008653BE"/>
    <w:rsid w:val="00865A4B"/>
    <w:rsid w:val="00866336"/>
    <w:rsid w:val="00866E1D"/>
    <w:rsid w:val="00867970"/>
    <w:rsid w:val="00867AC9"/>
    <w:rsid w:val="00867FC2"/>
    <w:rsid w:val="008705D1"/>
    <w:rsid w:val="00871661"/>
    <w:rsid w:val="00872EAE"/>
    <w:rsid w:val="00873A83"/>
    <w:rsid w:val="008742D9"/>
    <w:rsid w:val="0087473E"/>
    <w:rsid w:val="008747A5"/>
    <w:rsid w:val="00874FD1"/>
    <w:rsid w:val="00875B57"/>
    <w:rsid w:val="00876A52"/>
    <w:rsid w:val="0087791F"/>
    <w:rsid w:val="00877AFF"/>
    <w:rsid w:val="0088028C"/>
    <w:rsid w:val="008807A9"/>
    <w:rsid w:val="00880911"/>
    <w:rsid w:val="0088091E"/>
    <w:rsid w:val="00881C86"/>
    <w:rsid w:val="00881F13"/>
    <w:rsid w:val="0088210C"/>
    <w:rsid w:val="008827EA"/>
    <w:rsid w:val="00883243"/>
    <w:rsid w:val="0088336F"/>
    <w:rsid w:val="00884880"/>
    <w:rsid w:val="00884FDC"/>
    <w:rsid w:val="0088505C"/>
    <w:rsid w:val="00886665"/>
    <w:rsid w:val="00887080"/>
    <w:rsid w:val="00887CA3"/>
    <w:rsid w:val="0089089B"/>
    <w:rsid w:val="0089094B"/>
    <w:rsid w:val="0089181B"/>
    <w:rsid w:val="0089183F"/>
    <w:rsid w:val="00891A9E"/>
    <w:rsid w:val="00891EED"/>
    <w:rsid w:val="00892A61"/>
    <w:rsid w:val="00892E94"/>
    <w:rsid w:val="00893D97"/>
    <w:rsid w:val="0089423E"/>
    <w:rsid w:val="00894405"/>
    <w:rsid w:val="00894D0A"/>
    <w:rsid w:val="008959CB"/>
    <w:rsid w:val="0089614E"/>
    <w:rsid w:val="008963B2"/>
    <w:rsid w:val="008964E2"/>
    <w:rsid w:val="008968B9"/>
    <w:rsid w:val="00897875"/>
    <w:rsid w:val="008A0370"/>
    <w:rsid w:val="008A03E0"/>
    <w:rsid w:val="008A0F3C"/>
    <w:rsid w:val="008A16FC"/>
    <w:rsid w:val="008A1EC1"/>
    <w:rsid w:val="008A28AC"/>
    <w:rsid w:val="008A34E3"/>
    <w:rsid w:val="008A36A8"/>
    <w:rsid w:val="008A3A85"/>
    <w:rsid w:val="008A549B"/>
    <w:rsid w:val="008A5A79"/>
    <w:rsid w:val="008A5E36"/>
    <w:rsid w:val="008A6204"/>
    <w:rsid w:val="008A756F"/>
    <w:rsid w:val="008A7CC0"/>
    <w:rsid w:val="008B09AA"/>
    <w:rsid w:val="008B0BB3"/>
    <w:rsid w:val="008B110A"/>
    <w:rsid w:val="008B225C"/>
    <w:rsid w:val="008B249E"/>
    <w:rsid w:val="008B270F"/>
    <w:rsid w:val="008B29E2"/>
    <w:rsid w:val="008B3816"/>
    <w:rsid w:val="008B3CED"/>
    <w:rsid w:val="008B4087"/>
    <w:rsid w:val="008B4691"/>
    <w:rsid w:val="008B4786"/>
    <w:rsid w:val="008B4AC6"/>
    <w:rsid w:val="008B50D2"/>
    <w:rsid w:val="008B5E9E"/>
    <w:rsid w:val="008B60DF"/>
    <w:rsid w:val="008B6A76"/>
    <w:rsid w:val="008B6BD4"/>
    <w:rsid w:val="008B6DEC"/>
    <w:rsid w:val="008B7575"/>
    <w:rsid w:val="008B79F3"/>
    <w:rsid w:val="008B7B9A"/>
    <w:rsid w:val="008C1109"/>
    <w:rsid w:val="008C11B7"/>
    <w:rsid w:val="008C1E8D"/>
    <w:rsid w:val="008C2BD5"/>
    <w:rsid w:val="008C33A9"/>
    <w:rsid w:val="008C35BB"/>
    <w:rsid w:val="008C35DF"/>
    <w:rsid w:val="008C3A37"/>
    <w:rsid w:val="008C3EEB"/>
    <w:rsid w:val="008C4161"/>
    <w:rsid w:val="008C448C"/>
    <w:rsid w:val="008C4744"/>
    <w:rsid w:val="008C4B13"/>
    <w:rsid w:val="008C4B37"/>
    <w:rsid w:val="008C4D5B"/>
    <w:rsid w:val="008C4F8A"/>
    <w:rsid w:val="008C4FD3"/>
    <w:rsid w:val="008C5037"/>
    <w:rsid w:val="008C6126"/>
    <w:rsid w:val="008C635B"/>
    <w:rsid w:val="008C661F"/>
    <w:rsid w:val="008C76EA"/>
    <w:rsid w:val="008C7D15"/>
    <w:rsid w:val="008D05C2"/>
    <w:rsid w:val="008D1528"/>
    <w:rsid w:val="008D2123"/>
    <w:rsid w:val="008D2D3A"/>
    <w:rsid w:val="008D2E98"/>
    <w:rsid w:val="008D319B"/>
    <w:rsid w:val="008D37E4"/>
    <w:rsid w:val="008D410C"/>
    <w:rsid w:val="008D429F"/>
    <w:rsid w:val="008D4364"/>
    <w:rsid w:val="008D47E5"/>
    <w:rsid w:val="008D480E"/>
    <w:rsid w:val="008D55B6"/>
    <w:rsid w:val="008D645C"/>
    <w:rsid w:val="008D68F1"/>
    <w:rsid w:val="008D6E6A"/>
    <w:rsid w:val="008D730E"/>
    <w:rsid w:val="008D7627"/>
    <w:rsid w:val="008E01E6"/>
    <w:rsid w:val="008E0516"/>
    <w:rsid w:val="008E0670"/>
    <w:rsid w:val="008E07AC"/>
    <w:rsid w:val="008E090B"/>
    <w:rsid w:val="008E0A26"/>
    <w:rsid w:val="008E0B00"/>
    <w:rsid w:val="008E1393"/>
    <w:rsid w:val="008E1AE5"/>
    <w:rsid w:val="008E2240"/>
    <w:rsid w:val="008E2DB9"/>
    <w:rsid w:val="008E367D"/>
    <w:rsid w:val="008E3D19"/>
    <w:rsid w:val="008E4568"/>
    <w:rsid w:val="008E49B8"/>
    <w:rsid w:val="008E4F25"/>
    <w:rsid w:val="008E53FB"/>
    <w:rsid w:val="008E5A35"/>
    <w:rsid w:val="008E6250"/>
    <w:rsid w:val="008E6BEE"/>
    <w:rsid w:val="008E711D"/>
    <w:rsid w:val="008F0311"/>
    <w:rsid w:val="008F0FD6"/>
    <w:rsid w:val="008F109F"/>
    <w:rsid w:val="008F1A8B"/>
    <w:rsid w:val="008F231A"/>
    <w:rsid w:val="008F350F"/>
    <w:rsid w:val="008F4193"/>
    <w:rsid w:val="008F431F"/>
    <w:rsid w:val="008F4635"/>
    <w:rsid w:val="008F4EBA"/>
    <w:rsid w:val="008F53C6"/>
    <w:rsid w:val="008F6882"/>
    <w:rsid w:val="008F692B"/>
    <w:rsid w:val="008F7083"/>
    <w:rsid w:val="008F7114"/>
    <w:rsid w:val="009020D0"/>
    <w:rsid w:val="00904FB3"/>
    <w:rsid w:val="0090561E"/>
    <w:rsid w:val="00906549"/>
    <w:rsid w:val="00910F16"/>
    <w:rsid w:val="0091103A"/>
    <w:rsid w:val="00911045"/>
    <w:rsid w:val="009110C5"/>
    <w:rsid w:val="009122FA"/>
    <w:rsid w:val="009125EB"/>
    <w:rsid w:val="009125EE"/>
    <w:rsid w:val="009134ED"/>
    <w:rsid w:val="00913606"/>
    <w:rsid w:val="00913B1C"/>
    <w:rsid w:val="00913B4B"/>
    <w:rsid w:val="00913F06"/>
    <w:rsid w:val="00914140"/>
    <w:rsid w:val="00915B36"/>
    <w:rsid w:val="00915BAE"/>
    <w:rsid w:val="0091601E"/>
    <w:rsid w:val="0091637C"/>
    <w:rsid w:val="00916444"/>
    <w:rsid w:val="00916633"/>
    <w:rsid w:val="00916916"/>
    <w:rsid w:val="00917984"/>
    <w:rsid w:val="00921F44"/>
    <w:rsid w:val="009233AD"/>
    <w:rsid w:val="0092674F"/>
    <w:rsid w:val="0092707B"/>
    <w:rsid w:val="0092732C"/>
    <w:rsid w:val="00927F91"/>
    <w:rsid w:val="00930BD0"/>
    <w:rsid w:val="00930E61"/>
    <w:rsid w:val="00931CBF"/>
    <w:rsid w:val="00931E93"/>
    <w:rsid w:val="00934124"/>
    <w:rsid w:val="00934295"/>
    <w:rsid w:val="00936132"/>
    <w:rsid w:val="009365DF"/>
    <w:rsid w:val="009378EE"/>
    <w:rsid w:val="00937A95"/>
    <w:rsid w:val="00940A19"/>
    <w:rsid w:val="0094135B"/>
    <w:rsid w:val="00941A56"/>
    <w:rsid w:val="009438B8"/>
    <w:rsid w:val="00943F6F"/>
    <w:rsid w:val="009445E0"/>
    <w:rsid w:val="00944E26"/>
    <w:rsid w:val="00945A3C"/>
    <w:rsid w:val="0094687D"/>
    <w:rsid w:val="00950501"/>
    <w:rsid w:val="00950916"/>
    <w:rsid w:val="00951403"/>
    <w:rsid w:val="009516D0"/>
    <w:rsid w:val="009517C8"/>
    <w:rsid w:val="0095269C"/>
    <w:rsid w:val="009527CF"/>
    <w:rsid w:val="00952867"/>
    <w:rsid w:val="00952A49"/>
    <w:rsid w:val="00954622"/>
    <w:rsid w:val="00955219"/>
    <w:rsid w:val="00955538"/>
    <w:rsid w:val="0095596E"/>
    <w:rsid w:val="00957CF5"/>
    <w:rsid w:val="00960117"/>
    <w:rsid w:val="009605BD"/>
    <w:rsid w:val="009605F9"/>
    <w:rsid w:val="00960A70"/>
    <w:rsid w:val="009614C0"/>
    <w:rsid w:val="00961733"/>
    <w:rsid w:val="00961FAD"/>
    <w:rsid w:val="00962CC2"/>
    <w:rsid w:val="00963167"/>
    <w:rsid w:val="009647C5"/>
    <w:rsid w:val="00964EE4"/>
    <w:rsid w:val="0096544C"/>
    <w:rsid w:val="0096560A"/>
    <w:rsid w:val="00965A83"/>
    <w:rsid w:val="00966BDA"/>
    <w:rsid w:val="009670CF"/>
    <w:rsid w:val="0097015C"/>
    <w:rsid w:val="00970907"/>
    <w:rsid w:val="0097326C"/>
    <w:rsid w:val="00973505"/>
    <w:rsid w:val="00974009"/>
    <w:rsid w:val="009741C2"/>
    <w:rsid w:val="009748ED"/>
    <w:rsid w:val="00974CD5"/>
    <w:rsid w:val="009751FF"/>
    <w:rsid w:val="009752C5"/>
    <w:rsid w:val="009754BB"/>
    <w:rsid w:val="00975BE2"/>
    <w:rsid w:val="00976160"/>
    <w:rsid w:val="009778DD"/>
    <w:rsid w:val="00980FA8"/>
    <w:rsid w:val="00981013"/>
    <w:rsid w:val="00981811"/>
    <w:rsid w:val="00982352"/>
    <w:rsid w:val="00982A11"/>
    <w:rsid w:val="00982F2D"/>
    <w:rsid w:val="00983247"/>
    <w:rsid w:val="009835B1"/>
    <w:rsid w:val="009836F3"/>
    <w:rsid w:val="00983B24"/>
    <w:rsid w:val="009843FA"/>
    <w:rsid w:val="00984EDE"/>
    <w:rsid w:val="009854FB"/>
    <w:rsid w:val="00985651"/>
    <w:rsid w:val="009868AE"/>
    <w:rsid w:val="00990B62"/>
    <w:rsid w:val="00990BFA"/>
    <w:rsid w:val="00990F88"/>
    <w:rsid w:val="009919D6"/>
    <w:rsid w:val="00991B7C"/>
    <w:rsid w:val="00992479"/>
    <w:rsid w:val="00992942"/>
    <w:rsid w:val="009930AD"/>
    <w:rsid w:val="009932F2"/>
    <w:rsid w:val="00993340"/>
    <w:rsid w:val="00994028"/>
    <w:rsid w:val="009945DE"/>
    <w:rsid w:val="00995814"/>
    <w:rsid w:val="00995886"/>
    <w:rsid w:val="009959D0"/>
    <w:rsid w:val="009962F9"/>
    <w:rsid w:val="00996FF0"/>
    <w:rsid w:val="009977DA"/>
    <w:rsid w:val="009A1A84"/>
    <w:rsid w:val="009A2531"/>
    <w:rsid w:val="009A2FFB"/>
    <w:rsid w:val="009A3B53"/>
    <w:rsid w:val="009A4785"/>
    <w:rsid w:val="009A4FD8"/>
    <w:rsid w:val="009A56ED"/>
    <w:rsid w:val="009A57B3"/>
    <w:rsid w:val="009A600E"/>
    <w:rsid w:val="009A6388"/>
    <w:rsid w:val="009A6FA7"/>
    <w:rsid w:val="009A77D3"/>
    <w:rsid w:val="009A799E"/>
    <w:rsid w:val="009A7A8A"/>
    <w:rsid w:val="009B013F"/>
    <w:rsid w:val="009B0192"/>
    <w:rsid w:val="009B1159"/>
    <w:rsid w:val="009B2D2B"/>
    <w:rsid w:val="009B40F7"/>
    <w:rsid w:val="009B4AAF"/>
    <w:rsid w:val="009B51FE"/>
    <w:rsid w:val="009B5C7C"/>
    <w:rsid w:val="009B5F1D"/>
    <w:rsid w:val="009B6162"/>
    <w:rsid w:val="009B654B"/>
    <w:rsid w:val="009B765C"/>
    <w:rsid w:val="009B7ED3"/>
    <w:rsid w:val="009C00DB"/>
    <w:rsid w:val="009C0458"/>
    <w:rsid w:val="009C076A"/>
    <w:rsid w:val="009C1253"/>
    <w:rsid w:val="009C1A60"/>
    <w:rsid w:val="009C1B2C"/>
    <w:rsid w:val="009C2600"/>
    <w:rsid w:val="009C266F"/>
    <w:rsid w:val="009C2C54"/>
    <w:rsid w:val="009C4D39"/>
    <w:rsid w:val="009C5ACC"/>
    <w:rsid w:val="009C5DF9"/>
    <w:rsid w:val="009C5FCA"/>
    <w:rsid w:val="009C632A"/>
    <w:rsid w:val="009C799A"/>
    <w:rsid w:val="009D0165"/>
    <w:rsid w:val="009D073A"/>
    <w:rsid w:val="009D0C02"/>
    <w:rsid w:val="009D1E6E"/>
    <w:rsid w:val="009D1EFD"/>
    <w:rsid w:val="009D27EB"/>
    <w:rsid w:val="009D2D2A"/>
    <w:rsid w:val="009D300A"/>
    <w:rsid w:val="009D31EB"/>
    <w:rsid w:val="009D45EF"/>
    <w:rsid w:val="009D4746"/>
    <w:rsid w:val="009D4C48"/>
    <w:rsid w:val="009D5080"/>
    <w:rsid w:val="009D6215"/>
    <w:rsid w:val="009D6585"/>
    <w:rsid w:val="009D67AA"/>
    <w:rsid w:val="009D7697"/>
    <w:rsid w:val="009D7917"/>
    <w:rsid w:val="009E13C7"/>
    <w:rsid w:val="009E1661"/>
    <w:rsid w:val="009E1ACA"/>
    <w:rsid w:val="009E2B65"/>
    <w:rsid w:val="009E5235"/>
    <w:rsid w:val="009E63E8"/>
    <w:rsid w:val="009E6431"/>
    <w:rsid w:val="009E7831"/>
    <w:rsid w:val="009E7A33"/>
    <w:rsid w:val="009F093F"/>
    <w:rsid w:val="009F0995"/>
    <w:rsid w:val="009F0AFD"/>
    <w:rsid w:val="009F10D8"/>
    <w:rsid w:val="009F1398"/>
    <w:rsid w:val="009F17CA"/>
    <w:rsid w:val="009F2502"/>
    <w:rsid w:val="009F2D9F"/>
    <w:rsid w:val="009F2DEC"/>
    <w:rsid w:val="009F2FAA"/>
    <w:rsid w:val="009F3844"/>
    <w:rsid w:val="009F3E73"/>
    <w:rsid w:val="009F4388"/>
    <w:rsid w:val="009F4B43"/>
    <w:rsid w:val="009F507E"/>
    <w:rsid w:val="009F5441"/>
    <w:rsid w:val="009F577E"/>
    <w:rsid w:val="009F6514"/>
    <w:rsid w:val="009F6AD0"/>
    <w:rsid w:val="009F73E3"/>
    <w:rsid w:val="00A0012B"/>
    <w:rsid w:val="00A00B54"/>
    <w:rsid w:val="00A015C0"/>
    <w:rsid w:val="00A015D4"/>
    <w:rsid w:val="00A0172A"/>
    <w:rsid w:val="00A017A7"/>
    <w:rsid w:val="00A023E0"/>
    <w:rsid w:val="00A02A03"/>
    <w:rsid w:val="00A032BB"/>
    <w:rsid w:val="00A03360"/>
    <w:rsid w:val="00A0408B"/>
    <w:rsid w:val="00A047F4"/>
    <w:rsid w:val="00A04DD6"/>
    <w:rsid w:val="00A050E3"/>
    <w:rsid w:val="00A06D3A"/>
    <w:rsid w:val="00A06EC9"/>
    <w:rsid w:val="00A07D87"/>
    <w:rsid w:val="00A1136D"/>
    <w:rsid w:val="00A1188E"/>
    <w:rsid w:val="00A11FF6"/>
    <w:rsid w:val="00A122F9"/>
    <w:rsid w:val="00A12982"/>
    <w:rsid w:val="00A12EF6"/>
    <w:rsid w:val="00A1351A"/>
    <w:rsid w:val="00A138B1"/>
    <w:rsid w:val="00A1391E"/>
    <w:rsid w:val="00A144E4"/>
    <w:rsid w:val="00A16331"/>
    <w:rsid w:val="00A16B16"/>
    <w:rsid w:val="00A20304"/>
    <w:rsid w:val="00A219F1"/>
    <w:rsid w:val="00A21A8B"/>
    <w:rsid w:val="00A21C74"/>
    <w:rsid w:val="00A2206C"/>
    <w:rsid w:val="00A223E2"/>
    <w:rsid w:val="00A22ECF"/>
    <w:rsid w:val="00A23F6F"/>
    <w:rsid w:val="00A26540"/>
    <w:rsid w:val="00A26766"/>
    <w:rsid w:val="00A26BAC"/>
    <w:rsid w:val="00A274C5"/>
    <w:rsid w:val="00A27A5A"/>
    <w:rsid w:val="00A30228"/>
    <w:rsid w:val="00A30824"/>
    <w:rsid w:val="00A312EF"/>
    <w:rsid w:val="00A31BD4"/>
    <w:rsid w:val="00A32125"/>
    <w:rsid w:val="00A330E2"/>
    <w:rsid w:val="00A3335A"/>
    <w:rsid w:val="00A333A1"/>
    <w:rsid w:val="00A339E1"/>
    <w:rsid w:val="00A33A45"/>
    <w:rsid w:val="00A34380"/>
    <w:rsid w:val="00A352A3"/>
    <w:rsid w:val="00A36069"/>
    <w:rsid w:val="00A36770"/>
    <w:rsid w:val="00A37FC3"/>
    <w:rsid w:val="00A401E1"/>
    <w:rsid w:val="00A413F6"/>
    <w:rsid w:val="00A418EE"/>
    <w:rsid w:val="00A41AF9"/>
    <w:rsid w:val="00A41E05"/>
    <w:rsid w:val="00A42466"/>
    <w:rsid w:val="00A42A3F"/>
    <w:rsid w:val="00A434B2"/>
    <w:rsid w:val="00A43678"/>
    <w:rsid w:val="00A4488A"/>
    <w:rsid w:val="00A45947"/>
    <w:rsid w:val="00A45B8B"/>
    <w:rsid w:val="00A4648B"/>
    <w:rsid w:val="00A46A01"/>
    <w:rsid w:val="00A470BC"/>
    <w:rsid w:val="00A4720C"/>
    <w:rsid w:val="00A472B8"/>
    <w:rsid w:val="00A50ED3"/>
    <w:rsid w:val="00A51BC9"/>
    <w:rsid w:val="00A520D7"/>
    <w:rsid w:val="00A5271A"/>
    <w:rsid w:val="00A528B5"/>
    <w:rsid w:val="00A53754"/>
    <w:rsid w:val="00A5398B"/>
    <w:rsid w:val="00A53F13"/>
    <w:rsid w:val="00A53FE0"/>
    <w:rsid w:val="00A5419A"/>
    <w:rsid w:val="00A548B0"/>
    <w:rsid w:val="00A549CF"/>
    <w:rsid w:val="00A54C38"/>
    <w:rsid w:val="00A55203"/>
    <w:rsid w:val="00A55486"/>
    <w:rsid w:val="00A55531"/>
    <w:rsid w:val="00A5596C"/>
    <w:rsid w:val="00A5601B"/>
    <w:rsid w:val="00A5618F"/>
    <w:rsid w:val="00A564A7"/>
    <w:rsid w:val="00A564C8"/>
    <w:rsid w:val="00A56752"/>
    <w:rsid w:val="00A56FD7"/>
    <w:rsid w:val="00A57357"/>
    <w:rsid w:val="00A607E6"/>
    <w:rsid w:val="00A6092D"/>
    <w:rsid w:val="00A60AE7"/>
    <w:rsid w:val="00A63827"/>
    <w:rsid w:val="00A6394D"/>
    <w:rsid w:val="00A645AB"/>
    <w:rsid w:val="00A656F0"/>
    <w:rsid w:val="00A6573C"/>
    <w:rsid w:val="00A66FE9"/>
    <w:rsid w:val="00A674E9"/>
    <w:rsid w:val="00A678AF"/>
    <w:rsid w:val="00A67F50"/>
    <w:rsid w:val="00A70677"/>
    <w:rsid w:val="00A70E4C"/>
    <w:rsid w:val="00A71BCF"/>
    <w:rsid w:val="00A71CB4"/>
    <w:rsid w:val="00A737EC"/>
    <w:rsid w:val="00A744C3"/>
    <w:rsid w:val="00A74D0C"/>
    <w:rsid w:val="00A74F04"/>
    <w:rsid w:val="00A75017"/>
    <w:rsid w:val="00A752A9"/>
    <w:rsid w:val="00A75BA7"/>
    <w:rsid w:val="00A75E18"/>
    <w:rsid w:val="00A7646A"/>
    <w:rsid w:val="00A76942"/>
    <w:rsid w:val="00A769FD"/>
    <w:rsid w:val="00A76B8B"/>
    <w:rsid w:val="00A7761E"/>
    <w:rsid w:val="00A776B7"/>
    <w:rsid w:val="00A77B87"/>
    <w:rsid w:val="00A77DF9"/>
    <w:rsid w:val="00A8044B"/>
    <w:rsid w:val="00A80DF8"/>
    <w:rsid w:val="00A813D0"/>
    <w:rsid w:val="00A81691"/>
    <w:rsid w:val="00A81CCE"/>
    <w:rsid w:val="00A82B16"/>
    <w:rsid w:val="00A840A2"/>
    <w:rsid w:val="00A8426B"/>
    <w:rsid w:val="00A842DE"/>
    <w:rsid w:val="00A847A0"/>
    <w:rsid w:val="00A849D5"/>
    <w:rsid w:val="00A854E1"/>
    <w:rsid w:val="00A85D7D"/>
    <w:rsid w:val="00A86491"/>
    <w:rsid w:val="00A8684E"/>
    <w:rsid w:val="00A86DB0"/>
    <w:rsid w:val="00A87F4F"/>
    <w:rsid w:val="00A90549"/>
    <w:rsid w:val="00A90B9E"/>
    <w:rsid w:val="00A90E29"/>
    <w:rsid w:val="00A90E49"/>
    <w:rsid w:val="00A90F70"/>
    <w:rsid w:val="00A91008"/>
    <w:rsid w:val="00A91FBF"/>
    <w:rsid w:val="00A936BD"/>
    <w:rsid w:val="00A9563A"/>
    <w:rsid w:val="00A9678D"/>
    <w:rsid w:val="00A9683D"/>
    <w:rsid w:val="00A9703F"/>
    <w:rsid w:val="00A970D4"/>
    <w:rsid w:val="00A97155"/>
    <w:rsid w:val="00A973C1"/>
    <w:rsid w:val="00A97457"/>
    <w:rsid w:val="00AA0078"/>
    <w:rsid w:val="00AA0C45"/>
    <w:rsid w:val="00AA0F3F"/>
    <w:rsid w:val="00AA0F47"/>
    <w:rsid w:val="00AA0FDC"/>
    <w:rsid w:val="00AA16B4"/>
    <w:rsid w:val="00AA22ED"/>
    <w:rsid w:val="00AA2DFD"/>
    <w:rsid w:val="00AA33E9"/>
    <w:rsid w:val="00AA4000"/>
    <w:rsid w:val="00AA479B"/>
    <w:rsid w:val="00AA5293"/>
    <w:rsid w:val="00AA52AF"/>
    <w:rsid w:val="00AA5780"/>
    <w:rsid w:val="00AA619B"/>
    <w:rsid w:val="00AA75B4"/>
    <w:rsid w:val="00AA75D6"/>
    <w:rsid w:val="00AA7B90"/>
    <w:rsid w:val="00AB21D1"/>
    <w:rsid w:val="00AB2879"/>
    <w:rsid w:val="00AB2910"/>
    <w:rsid w:val="00AB3112"/>
    <w:rsid w:val="00AB38FB"/>
    <w:rsid w:val="00AB417A"/>
    <w:rsid w:val="00AB4747"/>
    <w:rsid w:val="00AB5F90"/>
    <w:rsid w:val="00AB6284"/>
    <w:rsid w:val="00AB6AE8"/>
    <w:rsid w:val="00AB703E"/>
    <w:rsid w:val="00AB72D3"/>
    <w:rsid w:val="00AB76BE"/>
    <w:rsid w:val="00AC0690"/>
    <w:rsid w:val="00AC28F8"/>
    <w:rsid w:val="00AC3AB2"/>
    <w:rsid w:val="00AC3D0C"/>
    <w:rsid w:val="00AC4B52"/>
    <w:rsid w:val="00AC4BAF"/>
    <w:rsid w:val="00AC57D8"/>
    <w:rsid w:val="00AC5FC5"/>
    <w:rsid w:val="00AC6132"/>
    <w:rsid w:val="00AC6720"/>
    <w:rsid w:val="00AC6780"/>
    <w:rsid w:val="00AC6C5C"/>
    <w:rsid w:val="00AC6EE3"/>
    <w:rsid w:val="00AD03C8"/>
    <w:rsid w:val="00AD0DED"/>
    <w:rsid w:val="00AD1FFF"/>
    <w:rsid w:val="00AD25E0"/>
    <w:rsid w:val="00AD30C3"/>
    <w:rsid w:val="00AD4210"/>
    <w:rsid w:val="00AD6093"/>
    <w:rsid w:val="00AD6237"/>
    <w:rsid w:val="00AD66B4"/>
    <w:rsid w:val="00AD707D"/>
    <w:rsid w:val="00AD7404"/>
    <w:rsid w:val="00AD76F0"/>
    <w:rsid w:val="00AD7FB7"/>
    <w:rsid w:val="00AE0651"/>
    <w:rsid w:val="00AE0B04"/>
    <w:rsid w:val="00AE1179"/>
    <w:rsid w:val="00AE187E"/>
    <w:rsid w:val="00AE212D"/>
    <w:rsid w:val="00AE2B18"/>
    <w:rsid w:val="00AE2C2E"/>
    <w:rsid w:val="00AE2DBB"/>
    <w:rsid w:val="00AE4507"/>
    <w:rsid w:val="00AE5593"/>
    <w:rsid w:val="00AE5D7B"/>
    <w:rsid w:val="00AE61B2"/>
    <w:rsid w:val="00AE66BB"/>
    <w:rsid w:val="00AE6B5F"/>
    <w:rsid w:val="00AE729A"/>
    <w:rsid w:val="00AE7E62"/>
    <w:rsid w:val="00AF0D43"/>
    <w:rsid w:val="00AF1C27"/>
    <w:rsid w:val="00AF26B3"/>
    <w:rsid w:val="00AF2BA8"/>
    <w:rsid w:val="00AF318B"/>
    <w:rsid w:val="00AF36E4"/>
    <w:rsid w:val="00AF505E"/>
    <w:rsid w:val="00AF560F"/>
    <w:rsid w:val="00AF59FA"/>
    <w:rsid w:val="00AF5C1F"/>
    <w:rsid w:val="00AF6320"/>
    <w:rsid w:val="00AF656E"/>
    <w:rsid w:val="00B0017D"/>
    <w:rsid w:val="00B0058B"/>
    <w:rsid w:val="00B0071B"/>
    <w:rsid w:val="00B008E7"/>
    <w:rsid w:val="00B030A4"/>
    <w:rsid w:val="00B03485"/>
    <w:rsid w:val="00B03A6C"/>
    <w:rsid w:val="00B03DC7"/>
    <w:rsid w:val="00B03EAB"/>
    <w:rsid w:val="00B04404"/>
    <w:rsid w:val="00B0476C"/>
    <w:rsid w:val="00B04783"/>
    <w:rsid w:val="00B04A67"/>
    <w:rsid w:val="00B04BBB"/>
    <w:rsid w:val="00B04EBB"/>
    <w:rsid w:val="00B05527"/>
    <w:rsid w:val="00B05619"/>
    <w:rsid w:val="00B0651A"/>
    <w:rsid w:val="00B0693B"/>
    <w:rsid w:val="00B06ADF"/>
    <w:rsid w:val="00B07EBD"/>
    <w:rsid w:val="00B11387"/>
    <w:rsid w:val="00B11D6D"/>
    <w:rsid w:val="00B13B15"/>
    <w:rsid w:val="00B142F0"/>
    <w:rsid w:val="00B1439D"/>
    <w:rsid w:val="00B1445D"/>
    <w:rsid w:val="00B144BB"/>
    <w:rsid w:val="00B164F1"/>
    <w:rsid w:val="00B16B1F"/>
    <w:rsid w:val="00B16D22"/>
    <w:rsid w:val="00B17518"/>
    <w:rsid w:val="00B207BB"/>
    <w:rsid w:val="00B208EA"/>
    <w:rsid w:val="00B2171A"/>
    <w:rsid w:val="00B21C60"/>
    <w:rsid w:val="00B23067"/>
    <w:rsid w:val="00B2340E"/>
    <w:rsid w:val="00B235DB"/>
    <w:rsid w:val="00B2495C"/>
    <w:rsid w:val="00B25198"/>
    <w:rsid w:val="00B25338"/>
    <w:rsid w:val="00B26383"/>
    <w:rsid w:val="00B264DC"/>
    <w:rsid w:val="00B266A3"/>
    <w:rsid w:val="00B26AA3"/>
    <w:rsid w:val="00B274FF"/>
    <w:rsid w:val="00B27881"/>
    <w:rsid w:val="00B30148"/>
    <w:rsid w:val="00B306F1"/>
    <w:rsid w:val="00B31316"/>
    <w:rsid w:val="00B315F0"/>
    <w:rsid w:val="00B320E2"/>
    <w:rsid w:val="00B32194"/>
    <w:rsid w:val="00B324C3"/>
    <w:rsid w:val="00B3373A"/>
    <w:rsid w:val="00B33965"/>
    <w:rsid w:val="00B33EBC"/>
    <w:rsid w:val="00B33FF0"/>
    <w:rsid w:val="00B34AD8"/>
    <w:rsid w:val="00B34B20"/>
    <w:rsid w:val="00B35149"/>
    <w:rsid w:val="00B3532C"/>
    <w:rsid w:val="00B357C8"/>
    <w:rsid w:val="00B36269"/>
    <w:rsid w:val="00B3638A"/>
    <w:rsid w:val="00B363D3"/>
    <w:rsid w:val="00B36A97"/>
    <w:rsid w:val="00B3762F"/>
    <w:rsid w:val="00B4093E"/>
    <w:rsid w:val="00B413AE"/>
    <w:rsid w:val="00B413DE"/>
    <w:rsid w:val="00B41557"/>
    <w:rsid w:val="00B419F0"/>
    <w:rsid w:val="00B420C2"/>
    <w:rsid w:val="00B42259"/>
    <w:rsid w:val="00B4287F"/>
    <w:rsid w:val="00B429B2"/>
    <w:rsid w:val="00B42C01"/>
    <w:rsid w:val="00B4330C"/>
    <w:rsid w:val="00B4367A"/>
    <w:rsid w:val="00B43D78"/>
    <w:rsid w:val="00B452B2"/>
    <w:rsid w:val="00B46042"/>
    <w:rsid w:val="00B477CA"/>
    <w:rsid w:val="00B47835"/>
    <w:rsid w:val="00B47BB2"/>
    <w:rsid w:val="00B47BE6"/>
    <w:rsid w:val="00B47CFE"/>
    <w:rsid w:val="00B503DB"/>
    <w:rsid w:val="00B5179E"/>
    <w:rsid w:val="00B51E2C"/>
    <w:rsid w:val="00B5200A"/>
    <w:rsid w:val="00B525CE"/>
    <w:rsid w:val="00B52C4F"/>
    <w:rsid w:val="00B52D58"/>
    <w:rsid w:val="00B52F81"/>
    <w:rsid w:val="00B53B06"/>
    <w:rsid w:val="00B54108"/>
    <w:rsid w:val="00B54890"/>
    <w:rsid w:val="00B54D38"/>
    <w:rsid w:val="00B55F73"/>
    <w:rsid w:val="00B55FF6"/>
    <w:rsid w:val="00B56051"/>
    <w:rsid w:val="00B56355"/>
    <w:rsid w:val="00B570A9"/>
    <w:rsid w:val="00B5770D"/>
    <w:rsid w:val="00B60406"/>
    <w:rsid w:val="00B60879"/>
    <w:rsid w:val="00B613EC"/>
    <w:rsid w:val="00B62078"/>
    <w:rsid w:val="00B621CD"/>
    <w:rsid w:val="00B621D6"/>
    <w:rsid w:val="00B624C6"/>
    <w:rsid w:val="00B62884"/>
    <w:rsid w:val="00B62B18"/>
    <w:rsid w:val="00B62C4D"/>
    <w:rsid w:val="00B63231"/>
    <w:rsid w:val="00B6364F"/>
    <w:rsid w:val="00B6423B"/>
    <w:rsid w:val="00B64CBF"/>
    <w:rsid w:val="00B664CD"/>
    <w:rsid w:val="00B66982"/>
    <w:rsid w:val="00B66D9A"/>
    <w:rsid w:val="00B67052"/>
    <w:rsid w:val="00B70470"/>
    <w:rsid w:val="00B70BDE"/>
    <w:rsid w:val="00B70C65"/>
    <w:rsid w:val="00B70D29"/>
    <w:rsid w:val="00B71030"/>
    <w:rsid w:val="00B714B9"/>
    <w:rsid w:val="00B71849"/>
    <w:rsid w:val="00B731AD"/>
    <w:rsid w:val="00B738A6"/>
    <w:rsid w:val="00B7439C"/>
    <w:rsid w:val="00B75441"/>
    <w:rsid w:val="00B75EB6"/>
    <w:rsid w:val="00B76F17"/>
    <w:rsid w:val="00B772D9"/>
    <w:rsid w:val="00B77588"/>
    <w:rsid w:val="00B7784C"/>
    <w:rsid w:val="00B77BA9"/>
    <w:rsid w:val="00B77D40"/>
    <w:rsid w:val="00B800B6"/>
    <w:rsid w:val="00B80757"/>
    <w:rsid w:val="00B80BF6"/>
    <w:rsid w:val="00B8100F"/>
    <w:rsid w:val="00B8123B"/>
    <w:rsid w:val="00B814E9"/>
    <w:rsid w:val="00B8190D"/>
    <w:rsid w:val="00B82630"/>
    <w:rsid w:val="00B82F65"/>
    <w:rsid w:val="00B838D2"/>
    <w:rsid w:val="00B83917"/>
    <w:rsid w:val="00B84102"/>
    <w:rsid w:val="00B84178"/>
    <w:rsid w:val="00B85B72"/>
    <w:rsid w:val="00B8643E"/>
    <w:rsid w:val="00B86689"/>
    <w:rsid w:val="00B866CF"/>
    <w:rsid w:val="00B867B4"/>
    <w:rsid w:val="00B90A3F"/>
    <w:rsid w:val="00B91750"/>
    <w:rsid w:val="00B9392F"/>
    <w:rsid w:val="00B94352"/>
    <w:rsid w:val="00B95E69"/>
    <w:rsid w:val="00B97493"/>
    <w:rsid w:val="00BA162A"/>
    <w:rsid w:val="00BA175E"/>
    <w:rsid w:val="00BA2ACA"/>
    <w:rsid w:val="00BA2AF0"/>
    <w:rsid w:val="00BA387D"/>
    <w:rsid w:val="00BA41B6"/>
    <w:rsid w:val="00BA6D62"/>
    <w:rsid w:val="00BA6D66"/>
    <w:rsid w:val="00BA7B36"/>
    <w:rsid w:val="00BA7F1D"/>
    <w:rsid w:val="00BB0B57"/>
    <w:rsid w:val="00BB2198"/>
    <w:rsid w:val="00BB2410"/>
    <w:rsid w:val="00BB268D"/>
    <w:rsid w:val="00BB27E8"/>
    <w:rsid w:val="00BB3094"/>
    <w:rsid w:val="00BB3A35"/>
    <w:rsid w:val="00BB4132"/>
    <w:rsid w:val="00BB494E"/>
    <w:rsid w:val="00BB5142"/>
    <w:rsid w:val="00BB55FC"/>
    <w:rsid w:val="00BB56CD"/>
    <w:rsid w:val="00BB6B61"/>
    <w:rsid w:val="00BB6DEA"/>
    <w:rsid w:val="00BC003D"/>
    <w:rsid w:val="00BC01A5"/>
    <w:rsid w:val="00BC1DCF"/>
    <w:rsid w:val="00BC20E3"/>
    <w:rsid w:val="00BC21C6"/>
    <w:rsid w:val="00BC251B"/>
    <w:rsid w:val="00BC3FC9"/>
    <w:rsid w:val="00BC4B38"/>
    <w:rsid w:val="00BC6045"/>
    <w:rsid w:val="00BC684D"/>
    <w:rsid w:val="00BC693A"/>
    <w:rsid w:val="00BC7B17"/>
    <w:rsid w:val="00BD0453"/>
    <w:rsid w:val="00BD0A92"/>
    <w:rsid w:val="00BD11B5"/>
    <w:rsid w:val="00BD4B25"/>
    <w:rsid w:val="00BD52E5"/>
    <w:rsid w:val="00BD53B4"/>
    <w:rsid w:val="00BD5458"/>
    <w:rsid w:val="00BD6762"/>
    <w:rsid w:val="00BD694E"/>
    <w:rsid w:val="00BD6E01"/>
    <w:rsid w:val="00BD72DB"/>
    <w:rsid w:val="00BD7685"/>
    <w:rsid w:val="00BE092F"/>
    <w:rsid w:val="00BE11AB"/>
    <w:rsid w:val="00BE13CF"/>
    <w:rsid w:val="00BE1BBE"/>
    <w:rsid w:val="00BE1F6F"/>
    <w:rsid w:val="00BE292E"/>
    <w:rsid w:val="00BE2C9A"/>
    <w:rsid w:val="00BE3097"/>
    <w:rsid w:val="00BE3435"/>
    <w:rsid w:val="00BE3838"/>
    <w:rsid w:val="00BE473A"/>
    <w:rsid w:val="00BE4899"/>
    <w:rsid w:val="00BE4A07"/>
    <w:rsid w:val="00BE57CD"/>
    <w:rsid w:val="00BE5EC1"/>
    <w:rsid w:val="00BE6648"/>
    <w:rsid w:val="00BE6A40"/>
    <w:rsid w:val="00BE6B86"/>
    <w:rsid w:val="00BE71B9"/>
    <w:rsid w:val="00BE723B"/>
    <w:rsid w:val="00BE7EC1"/>
    <w:rsid w:val="00BF01F2"/>
    <w:rsid w:val="00BF068E"/>
    <w:rsid w:val="00BF0B53"/>
    <w:rsid w:val="00BF12B3"/>
    <w:rsid w:val="00BF159C"/>
    <w:rsid w:val="00BF1931"/>
    <w:rsid w:val="00BF1C3A"/>
    <w:rsid w:val="00BF229E"/>
    <w:rsid w:val="00BF26E2"/>
    <w:rsid w:val="00BF4DA3"/>
    <w:rsid w:val="00BF5AA8"/>
    <w:rsid w:val="00BF5D85"/>
    <w:rsid w:val="00BF687B"/>
    <w:rsid w:val="00BF728E"/>
    <w:rsid w:val="00C00151"/>
    <w:rsid w:val="00C010E3"/>
    <w:rsid w:val="00C014D9"/>
    <w:rsid w:val="00C01921"/>
    <w:rsid w:val="00C0192C"/>
    <w:rsid w:val="00C01983"/>
    <w:rsid w:val="00C02D65"/>
    <w:rsid w:val="00C02D75"/>
    <w:rsid w:val="00C0461B"/>
    <w:rsid w:val="00C04AAB"/>
    <w:rsid w:val="00C05DB6"/>
    <w:rsid w:val="00C05E74"/>
    <w:rsid w:val="00C05EA4"/>
    <w:rsid w:val="00C063A1"/>
    <w:rsid w:val="00C06B1F"/>
    <w:rsid w:val="00C06DFF"/>
    <w:rsid w:val="00C10257"/>
    <w:rsid w:val="00C1120E"/>
    <w:rsid w:val="00C12C78"/>
    <w:rsid w:val="00C13920"/>
    <w:rsid w:val="00C14978"/>
    <w:rsid w:val="00C14E06"/>
    <w:rsid w:val="00C150DF"/>
    <w:rsid w:val="00C1568E"/>
    <w:rsid w:val="00C1598E"/>
    <w:rsid w:val="00C15992"/>
    <w:rsid w:val="00C15A9B"/>
    <w:rsid w:val="00C15CAB"/>
    <w:rsid w:val="00C1609C"/>
    <w:rsid w:val="00C1716D"/>
    <w:rsid w:val="00C1732A"/>
    <w:rsid w:val="00C174E4"/>
    <w:rsid w:val="00C177F1"/>
    <w:rsid w:val="00C203FA"/>
    <w:rsid w:val="00C2051D"/>
    <w:rsid w:val="00C2061B"/>
    <w:rsid w:val="00C20C8D"/>
    <w:rsid w:val="00C21A66"/>
    <w:rsid w:val="00C21EA9"/>
    <w:rsid w:val="00C22213"/>
    <w:rsid w:val="00C2263F"/>
    <w:rsid w:val="00C2358C"/>
    <w:rsid w:val="00C23F76"/>
    <w:rsid w:val="00C2461A"/>
    <w:rsid w:val="00C25B15"/>
    <w:rsid w:val="00C261D2"/>
    <w:rsid w:val="00C26E8C"/>
    <w:rsid w:val="00C27516"/>
    <w:rsid w:val="00C278CE"/>
    <w:rsid w:val="00C31005"/>
    <w:rsid w:val="00C3221B"/>
    <w:rsid w:val="00C32AA0"/>
    <w:rsid w:val="00C33DB7"/>
    <w:rsid w:val="00C33F47"/>
    <w:rsid w:val="00C3509E"/>
    <w:rsid w:val="00C352B5"/>
    <w:rsid w:val="00C36025"/>
    <w:rsid w:val="00C36534"/>
    <w:rsid w:val="00C36C59"/>
    <w:rsid w:val="00C36DC9"/>
    <w:rsid w:val="00C37019"/>
    <w:rsid w:val="00C37157"/>
    <w:rsid w:val="00C379B7"/>
    <w:rsid w:val="00C379BB"/>
    <w:rsid w:val="00C41662"/>
    <w:rsid w:val="00C4242C"/>
    <w:rsid w:val="00C42D69"/>
    <w:rsid w:val="00C43531"/>
    <w:rsid w:val="00C43B97"/>
    <w:rsid w:val="00C43E8E"/>
    <w:rsid w:val="00C4437F"/>
    <w:rsid w:val="00C44499"/>
    <w:rsid w:val="00C44965"/>
    <w:rsid w:val="00C45E57"/>
    <w:rsid w:val="00C45E7F"/>
    <w:rsid w:val="00C4640E"/>
    <w:rsid w:val="00C46FC5"/>
    <w:rsid w:val="00C47269"/>
    <w:rsid w:val="00C5008E"/>
    <w:rsid w:val="00C50475"/>
    <w:rsid w:val="00C50DBD"/>
    <w:rsid w:val="00C51943"/>
    <w:rsid w:val="00C524CE"/>
    <w:rsid w:val="00C5366A"/>
    <w:rsid w:val="00C5494C"/>
    <w:rsid w:val="00C54C8A"/>
    <w:rsid w:val="00C54CD3"/>
    <w:rsid w:val="00C55B66"/>
    <w:rsid w:val="00C55DDE"/>
    <w:rsid w:val="00C56400"/>
    <w:rsid w:val="00C576D0"/>
    <w:rsid w:val="00C57E3D"/>
    <w:rsid w:val="00C60705"/>
    <w:rsid w:val="00C60731"/>
    <w:rsid w:val="00C6086E"/>
    <w:rsid w:val="00C60F2B"/>
    <w:rsid w:val="00C621B5"/>
    <w:rsid w:val="00C62946"/>
    <w:rsid w:val="00C62D5C"/>
    <w:rsid w:val="00C6356A"/>
    <w:rsid w:val="00C635E1"/>
    <w:rsid w:val="00C6456D"/>
    <w:rsid w:val="00C647EB"/>
    <w:rsid w:val="00C653B3"/>
    <w:rsid w:val="00C66714"/>
    <w:rsid w:val="00C668E8"/>
    <w:rsid w:val="00C66A68"/>
    <w:rsid w:val="00C66C09"/>
    <w:rsid w:val="00C70455"/>
    <w:rsid w:val="00C70B99"/>
    <w:rsid w:val="00C711EB"/>
    <w:rsid w:val="00C7188F"/>
    <w:rsid w:val="00C730A6"/>
    <w:rsid w:val="00C73436"/>
    <w:rsid w:val="00C736E9"/>
    <w:rsid w:val="00C7387C"/>
    <w:rsid w:val="00C7424D"/>
    <w:rsid w:val="00C747D2"/>
    <w:rsid w:val="00C74E26"/>
    <w:rsid w:val="00C75A47"/>
    <w:rsid w:val="00C75E43"/>
    <w:rsid w:val="00C76594"/>
    <w:rsid w:val="00C76609"/>
    <w:rsid w:val="00C76864"/>
    <w:rsid w:val="00C77A74"/>
    <w:rsid w:val="00C77FF7"/>
    <w:rsid w:val="00C81380"/>
    <w:rsid w:val="00C819C1"/>
    <w:rsid w:val="00C81A4B"/>
    <w:rsid w:val="00C82F4A"/>
    <w:rsid w:val="00C83076"/>
    <w:rsid w:val="00C83372"/>
    <w:rsid w:val="00C83726"/>
    <w:rsid w:val="00C83BF4"/>
    <w:rsid w:val="00C8466C"/>
    <w:rsid w:val="00C85F1E"/>
    <w:rsid w:val="00C85F3B"/>
    <w:rsid w:val="00C8659C"/>
    <w:rsid w:val="00C87198"/>
    <w:rsid w:val="00C8771B"/>
    <w:rsid w:val="00C87DC1"/>
    <w:rsid w:val="00C90410"/>
    <w:rsid w:val="00C90570"/>
    <w:rsid w:val="00C908B3"/>
    <w:rsid w:val="00C90CC5"/>
    <w:rsid w:val="00C90E19"/>
    <w:rsid w:val="00C916DB"/>
    <w:rsid w:val="00C91EB1"/>
    <w:rsid w:val="00C91FFF"/>
    <w:rsid w:val="00C93023"/>
    <w:rsid w:val="00C9351E"/>
    <w:rsid w:val="00C94AAA"/>
    <w:rsid w:val="00C95002"/>
    <w:rsid w:val="00C95781"/>
    <w:rsid w:val="00C95BE3"/>
    <w:rsid w:val="00C975DF"/>
    <w:rsid w:val="00C978EE"/>
    <w:rsid w:val="00CA00B0"/>
    <w:rsid w:val="00CA060E"/>
    <w:rsid w:val="00CA1192"/>
    <w:rsid w:val="00CA1391"/>
    <w:rsid w:val="00CA1B4A"/>
    <w:rsid w:val="00CA2D98"/>
    <w:rsid w:val="00CA331F"/>
    <w:rsid w:val="00CA334A"/>
    <w:rsid w:val="00CA3778"/>
    <w:rsid w:val="00CA4380"/>
    <w:rsid w:val="00CA48E1"/>
    <w:rsid w:val="00CA4FB6"/>
    <w:rsid w:val="00CA698F"/>
    <w:rsid w:val="00CA6CF4"/>
    <w:rsid w:val="00CA7642"/>
    <w:rsid w:val="00CA7A8B"/>
    <w:rsid w:val="00CA7B07"/>
    <w:rsid w:val="00CB07F3"/>
    <w:rsid w:val="00CB283C"/>
    <w:rsid w:val="00CB2B79"/>
    <w:rsid w:val="00CB318B"/>
    <w:rsid w:val="00CB3A2E"/>
    <w:rsid w:val="00CB4378"/>
    <w:rsid w:val="00CB4ECE"/>
    <w:rsid w:val="00CB50A8"/>
    <w:rsid w:val="00CB6B6E"/>
    <w:rsid w:val="00CB70EC"/>
    <w:rsid w:val="00CB72E6"/>
    <w:rsid w:val="00CB768B"/>
    <w:rsid w:val="00CB7D61"/>
    <w:rsid w:val="00CC0597"/>
    <w:rsid w:val="00CC0600"/>
    <w:rsid w:val="00CC164A"/>
    <w:rsid w:val="00CC185B"/>
    <w:rsid w:val="00CC2460"/>
    <w:rsid w:val="00CC47CA"/>
    <w:rsid w:val="00CC4802"/>
    <w:rsid w:val="00CC4BEF"/>
    <w:rsid w:val="00CC512A"/>
    <w:rsid w:val="00CC516E"/>
    <w:rsid w:val="00CC52C6"/>
    <w:rsid w:val="00CC5456"/>
    <w:rsid w:val="00CC5734"/>
    <w:rsid w:val="00CC5E1E"/>
    <w:rsid w:val="00CC5F7A"/>
    <w:rsid w:val="00CD0380"/>
    <w:rsid w:val="00CD0B07"/>
    <w:rsid w:val="00CD1095"/>
    <w:rsid w:val="00CD1429"/>
    <w:rsid w:val="00CD1EFB"/>
    <w:rsid w:val="00CD2373"/>
    <w:rsid w:val="00CD2514"/>
    <w:rsid w:val="00CD3D29"/>
    <w:rsid w:val="00CD42D8"/>
    <w:rsid w:val="00CD474B"/>
    <w:rsid w:val="00CD552E"/>
    <w:rsid w:val="00CD554B"/>
    <w:rsid w:val="00CD55CE"/>
    <w:rsid w:val="00CD5881"/>
    <w:rsid w:val="00CD65FA"/>
    <w:rsid w:val="00CD6CEC"/>
    <w:rsid w:val="00CE013F"/>
    <w:rsid w:val="00CE0853"/>
    <w:rsid w:val="00CE0B13"/>
    <w:rsid w:val="00CE0DBB"/>
    <w:rsid w:val="00CE16A8"/>
    <w:rsid w:val="00CE1E00"/>
    <w:rsid w:val="00CE3881"/>
    <w:rsid w:val="00CE3D9D"/>
    <w:rsid w:val="00CE4651"/>
    <w:rsid w:val="00CE5EDE"/>
    <w:rsid w:val="00CE6A06"/>
    <w:rsid w:val="00CE70D6"/>
    <w:rsid w:val="00CE7D83"/>
    <w:rsid w:val="00CF0B5A"/>
    <w:rsid w:val="00CF0CC8"/>
    <w:rsid w:val="00CF15EE"/>
    <w:rsid w:val="00CF1D17"/>
    <w:rsid w:val="00CF1E06"/>
    <w:rsid w:val="00CF2190"/>
    <w:rsid w:val="00CF2929"/>
    <w:rsid w:val="00CF2D01"/>
    <w:rsid w:val="00CF2F63"/>
    <w:rsid w:val="00CF4413"/>
    <w:rsid w:val="00CF47EF"/>
    <w:rsid w:val="00CF61B1"/>
    <w:rsid w:val="00CF6E01"/>
    <w:rsid w:val="00D009E7"/>
    <w:rsid w:val="00D01686"/>
    <w:rsid w:val="00D019BA"/>
    <w:rsid w:val="00D019BE"/>
    <w:rsid w:val="00D01B07"/>
    <w:rsid w:val="00D01EB7"/>
    <w:rsid w:val="00D0217E"/>
    <w:rsid w:val="00D02455"/>
    <w:rsid w:val="00D0372C"/>
    <w:rsid w:val="00D03F23"/>
    <w:rsid w:val="00D06ABA"/>
    <w:rsid w:val="00D06F64"/>
    <w:rsid w:val="00D06FAC"/>
    <w:rsid w:val="00D07A89"/>
    <w:rsid w:val="00D10600"/>
    <w:rsid w:val="00D109D5"/>
    <w:rsid w:val="00D11443"/>
    <w:rsid w:val="00D11897"/>
    <w:rsid w:val="00D12373"/>
    <w:rsid w:val="00D126CA"/>
    <w:rsid w:val="00D14328"/>
    <w:rsid w:val="00D14B38"/>
    <w:rsid w:val="00D15930"/>
    <w:rsid w:val="00D15F59"/>
    <w:rsid w:val="00D16201"/>
    <w:rsid w:val="00D17C4D"/>
    <w:rsid w:val="00D2126B"/>
    <w:rsid w:val="00D2126E"/>
    <w:rsid w:val="00D21F7B"/>
    <w:rsid w:val="00D2340F"/>
    <w:rsid w:val="00D23B11"/>
    <w:rsid w:val="00D23B20"/>
    <w:rsid w:val="00D241EE"/>
    <w:rsid w:val="00D2462A"/>
    <w:rsid w:val="00D24797"/>
    <w:rsid w:val="00D24848"/>
    <w:rsid w:val="00D249C3"/>
    <w:rsid w:val="00D2560C"/>
    <w:rsid w:val="00D2570F"/>
    <w:rsid w:val="00D2579D"/>
    <w:rsid w:val="00D25897"/>
    <w:rsid w:val="00D25E4A"/>
    <w:rsid w:val="00D25ED9"/>
    <w:rsid w:val="00D26A72"/>
    <w:rsid w:val="00D273ED"/>
    <w:rsid w:val="00D275CA"/>
    <w:rsid w:val="00D276F3"/>
    <w:rsid w:val="00D27D9B"/>
    <w:rsid w:val="00D30AF2"/>
    <w:rsid w:val="00D33CD1"/>
    <w:rsid w:val="00D340A0"/>
    <w:rsid w:val="00D345CC"/>
    <w:rsid w:val="00D353D7"/>
    <w:rsid w:val="00D35EEE"/>
    <w:rsid w:val="00D36D6E"/>
    <w:rsid w:val="00D37532"/>
    <w:rsid w:val="00D37D8E"/>
    <w:rsid w:val="00D37F3F"/>
    <w:rsid w:val="00D40059"/>
    <w:rsid w:val="00D402C1"/>
    <w:rsid w:val="00D406A0"/>
    <w:rsid w:val="00D40C63"/>
    <w:rsid w:val="00D4286C"/>
    <w:rsid w:val="00D4344F"/>
    <w:rsid w:val="00D43950"/>
    <w:rsid w:val="00D43BAA"/>
    <w:rsid w:val="00D44197"/>
    <w:rsid w:val="00D44366"/>
    <w:rsid w:val="00D44524"/>
    <w:rsid w:val="00D445A0"/>
    <w:rsid w:val="00D4497C"/>
    <w:rsid w:val="00D449C8"/>
    <w:rsid w:val="00D452D3"/>
    <w:rsid w:val="00D456D6"/>
    <w:rsid w:val="00D462FF"/>
    <w:rsid w:val="00D46443"/>
    <w:rsid w:val="00D47580"/>
    <w:rsid w:val="00D476F0"/>
    <w:rsid w:val="00D47F7B"/>
    <w:rsid w:val="00D50914"/>
    <w:rsid w:val="00D5155C"/>
    <w:rsid w:val="00D51F05"/>
    <w:rsid w:val="00D53121"/>
    <w:rsid w:val="00D537EA"/>
    <w:rsid w:val="00D5432A"/>
    <w:rsid w:val="00D559A2"/>
    <w:rsid w:val="00D55B86"/>
    <w:rsid w:val="00D56956"/>
    <w:rsid w:val="00D57CC7"/>
    <w:rsid w:val="00D603C4"/>
    <w:rsid w:val="00D607C5"/>
    <w:rsid w:val="00D60DD5"/>
    <w:rsid w:val="00D60E30"/>
    <w:rsid w:val="00D61050"/>
    <w:rsid w:val="00D610C8"/>
    <w:rsid w:val="00D61BEE"/>
    <w:rsid w:val="00D624E5"/>
    <w:rsid w:val="00D62F39"/>
    <w:rsid w:val="00D64E8F"/>
    <w:rsid w:val="00D656DD"/>
    <w:rsid w:val="00D65704"/>
    <w:rsid w:val="00D65F3E"/>
    <w:rsid w:val="00D662F7"/>
    <w:rsid w:val="00D664F6"/>
    <w:rsid w:val="00D66DE3"/>
    <w:rsid w:val="00D67263"/>
    <w:rsid w:val="00D675D9"/>
    <w:rsid w:val="00D67D4A"/>
    <w:rsid w:val="00D709DB"/>
    <w:rsid w:val="00D718F6"/>
    <w:rsid w:val="00D71CD7"/>
    <w:rsid w:val="00D71E55"/>
    <w:rsid w:val="00D7252A"/>
    <w:rsid w:val="00D7263D"/>
    <w:rsid w:val="00D727FC"/>
    <w:rsid w:val="00D72C24"/>
    <w:rsid w:val="00D7316E"/>
    <w:rsid w:val="00D735A4"/>
    <w:rsid w:val="00D73A45"/>
    <w:rsid w:val="00D73B16"/>
    <w:rsid w:val="00D73B56"/>
    <w:rsid w:val="00D73CFD"/>
    <w:rsid w:val="00D73F5A"/>
    <w:rsid w:val="00D74569"/>
    <w:rsid w:val="00D746F3"/>
    <w:rsid w:val="00D74801"/>
    <w:rsid w:val="00D74B1E"/>
    <w:rsid w:val="00D74E0D"/>
    <w:rsid w:val="00D75622"/>
    <w:rsid w:val="00D7599B"/>
    <w:rsid w:val="00D75C84"/>
    <w:rsid w:val="00D7667C"/>
    <w:rsid w:val="00D766B7"/>
    <w:rsid w:val="00D76B3E"/>
    <w:rsid w:val="00D7712C"/>
    <w:rsid w:val="00D772EC"/>
    <w:rsid w:val="00D77BDA"/>
    <w:rsid w:val="00D81080"/>
    <w:rsid w:val="00D822E1"/>
    <w:rsid w:val="00D82470"/>
    <w:rsid w:val="00D84324"/>
    <w:rsid w:val="00D8439C"/>
    <w:rsid w:val="00D84CED"/>
    <w:rsid w:val="00D84F2D"/>
    <w:rsid w:val="00D85892"/>
    <w:rsid w:val="00D86029"/>
    <w:rsid w:val="00D860D3"/>
    <w:rsid w:val="00D86A43"/>
    <w:rsid w:val="00D86EB4"/>
    <w:rsid w:val="00D87423"/>
    <w:rsid w:val="00D906C8"/>
    <w:rsid w:val="00D921F9"/>
    <w:rsid w:val="00D9411F"/>
    <w:rsid w:val="00D94759"/>
    <w:rsid w:val="00D94A1E"/>
    <w:rsid w:val="00D95032"/>
    <w:rsid w:val="00D95E27"/>
    <w:rsid w:val="00D95EB0"/>
    <w:rsid w:val="00D96B61"/>
    <w:rsid w:val="00DA0926"/>
    <w:rsid w:val="00DA0993"/>
    <w:rsid w:val="00DA0E47"/>
    <w:rsid w:val="00DA1252"/>
    <w:rsid w:val="00DA2555"/>
    <w:rsid w:val="00DA2B53"/>
    <w:rsid w:val="00DA4C67"/>
    <w:rsid w:val="00DA53F6"/>
    <w:rsid w:val="00DA6C2F"/>
    <w:rsid w:val="00DA7121"/>
    <w:rsid w:val="00DA72BF"/>
    <w:rsid w:val="00DA7522"/>
    <w:rsid w:val="00DA7884"/>
    <w:rsid w:val="00DB0479"/>
    <w:rsid w:val="00DB049E"/>
    <w:rsid w:val="00DB0773"/>
    <w:rsid w:val="00DB0814"/>
    <w:rsid w:val="00DB1311"/>
    <w:rsid w:val="00DB18E5"/>
    <w:rsid w:val="00DB1DF8"/>
    <w:rsid w:val="00DB225F"/>
    <w:rsid w:val="00DB24F5"/>
    <w:rsid w:val="00DB263D"/>
    <w:rsid w:val="00DB294A"/>
    <w:rsid w:val="00DB3BCB"/>
    <w:rsid w:val="00DB4A19"/>
    <w:rsid w:val="00DB65D2"/>
    <w:rsid w:val="00DB6CC1"/>
    <w:rsid w:val="00DB7611"/>
    <w:rsid w:val="00DB7A2A"/>
    <w:rsid w:val="00DC05D6"/>
    <w:rsid w:val="00DC09BE"/>
    <w:rsid w:val="00DC0A5B"/>
    <w:rsid w:val="00DC1822"/>
    <w:rsid w:val="00DC25A5"/>
    <w:rsid w:val="00DC278C"/>
    <w:rsid w:val="00DC4220"/>
    <w:rsid w:val="00DC4A03"/>
    <w:rsid w:val="00DC4C82"/>
    <w:rsid w:val="00DC732C"/>
    <w:rsid w:val="00DC7C8C"/>
    <w:rsid w:val="00DD076B"/>
    <w:rsid w:val="00DD276A"/>
    <w:rsid w:val="00DD3F57"/>
    <w:rsid w:val="00DD4882"/>
    <w:rsid w:val="00DD4A56"/>
    <w:rsid w:val="00DD4D80"/>
    <w:rsid w:val="00DD50C9"/>
    <w:rsid w:val="00DD58FA"/>
    <w:rsid w:val="00DD5C34"/>
    <w:rsid w:val="00DD5CE1"/>
    <w:rsid w:val="00DD5D45"/>
    <w:rsid w:val="00DD6106"/>
    <w:rsid w:val="00DD699A"/>
    <w:rsid w:val="00DD7BE6"/>
    <w:rsid w:val="00DE0D97"/>
    <w:rsid w:val="00DE19BE"/>
    <w:rsid w:val="00DE1A11"/>
    <w:rsid w:val="00DE1E08"/>
    <w:rsid w:val="00DE3CC2"/>
    <w:rsid w:val="00DE3E2C"/>
    <w:rsid w:val="00DE3F0B"/>
    <w:rsid w:val="00DE40A4"/>
    <w:rsid w:val="00DE505B"/>
    <w:rsid w:val="00DE6519"/>
    <w:rsid w:val="00DE6CA1"/>
    <w:rsid w:val="00DE7388"/>
    <w:rsid w:val="00DE7AAE"/>
    <w:rsid w:val="00DE7D0F"/>
    <w:rsid w:val="00DF0B72"/>
    <w:rsid w:val="00DF3435"/>
    <w:rsid w:val="00DF3967"/>
    <w:rsid w:val="00DF5FBF"/>
    <w:rsid w:val="00DF6146"/>
    <w:rsid w:val="00DF687E"/>
    <w:rsid w:val="00DF6DFA"/>
    <w:rsid w:val="00DF720B"/>
    <w:rsid w:val="00DF76FB"/>
    <w:rsid w:val="00DF7C6A"/>
    <w:rsid w:val="00E0033A"/>
    <w:rsid w:val="00E00991"/>
    <w:rsid w:val="00E00A34"/>
    <w:rsid w:val="00E0152A"/>
    <w:rsid w:val="00E01B69"/>
    <w:rsid w:val="00E028C2"/>
    <w:rsid w:val="00E0296A"/>
    <w:rsid w:val="00E03516"/>
    <w:rsid w:val="00E03930"/>
    <w:rsid w:val="00E03BA7"/>
    <w:rsid w:val="00E043FD"/>
    <w:rsid w:val="00E0458B"/>
    <w:rsid w:val="00E04C17"/>
    <w:rsid w:val="00E050AC"/>
    <w:rsid w:val="00E05C0D"/>
    <w:rsid w:val="00E06982"/>
    <w:rsid w:val="00E07539"/>
    <w:rsid w:val="00E10AB5"/>
    <w:rsid w:val="00E11A68"/>
    <w:rsid w:val="00E11F2F"/>
    <w:rsid w:val="00E12971"/>
    <w:rsid w:val="00E129F8"/>
    <w:rsid w:val="00E12BD7"/>
    <w:rsid w:val="00E12F1A"/>
    <w:rsid w:val="00E13CD9"/>
    <w:rsid w:val="00E142E3"/>
    <w:rsid w:val="00E145AE"/>
    <w:rsid w:val="00E157B5"/>
    <w:rsid w:val="00E15DF2"/>
    <w:rsid w:val="00E16182"/>
    <w:rsid w:val="00E16184"/>
    <w:rsid w:val="00E1643B"/>
    <w:rsid w:val="00E16630"/>
    <w:rsid w:val="00E16EAC"/>
    <w:rsid w:val="00E177AE"/>
    <w:rsid w:val="00E20785"/>
    <w:rsid w:val="00E20938"/>
    <w:rsid w:val="00E20E23"/>
    <w:rsid w:val="00E21919"/>
    <w:rsid w:val="00E21DE6"/>
    <w:rsid w:val="00E21FC6"/>
    <w:rsid w:val="00E22113"/>
    <w:rsid w:val="00E221AD"/>
    <w:rsid w:val="00E222EF"/>
    <w:rsid w:val="00E22BD6"/>
    <w:rsid w:val="00E23647"/>
    <w:rsid w:val="00E23E28"/>
    <w:rsid w:val="00E23F26"/>
    <w:rsid w:val="00E24D55"/>
    <w:rsid w:val="00E24F90"/>
    <w:rsid w:val="00E26A13"/>
    <w:rsid w:val="00E27927"/>
    <w:rsid w:val="00E279A2"/>
    <w:rsid w:val="00E27A6A"/>
    <w:rsid w:val="00E27A96"/>
    <w:rsid w:val="00E27B24"/>
    <w:rsid w:val="00E27D96"/>
    <w:rsid w:val="00E30B19"/>
    <w:rsid w:val="00E30B1B"/>
    <w:rsid w:val="00E313F3"/>
    <w:rsid w:val="00E31D53"/>
    <w:rsid w:val="00E32196"/>
    <w:rsid w:val="00E323CD"/>
    <w:rsid w:val="00E32408"/>
    <w:rsid w:val="00E32C38"/>
    <w:rsid w:val="00E334C8"/>
    <w:rsid w:val="00E3366F"/>
    <w:rsid w:val="00E34427"/>
    <w:rsid w:val="00E346F2"/>
    <w:rsid w:val="00E35044"/>
    <w:rsid w:val="00E36008"/>
    <w:rsid w:val="00E365B3"/>
    <w:rsid w:val="00E36768"/>
    <w:rsid w:val="00E3764F"/>
    <w:rsid w:val="00E40945"/>
    <w:rsid w:val="00E41844"/>
    <w:rsid w:val="00E43752"/>
    <w:rsid w:val="00E43860"/>
    <w:rsid w:val="00E44963"/>
    <w:rsid w:val="00E457BD"/>
    <w:rsid w:val="00E45869"/>
    <w:rsid w:val="00E4633D"/>
    <w:rsid w:val="00E47839"/>
    <w:rsid w:val="00E47D92"/>
    <w:rsid w:val="00E50167"/>
    <w:rsid w:val="00E502C1"/>
    <w:rsid w:val="00E50587"/>
    <w:rsid w:val="00E5241E"/>
    <w:rsid w:val="00E5378B"/>
    <w:rsid w:val="00E53AE0"/>
    <w:rsid w:val="00E53BE7"/>
    <w:rsid w:val="00E53C5F"/>
    <w:rsid w:val="00E54340"/>
    <w:rsid w:val="00E54CB9"/>
    <w:rsid w:val="00E56DC9"/>
    <w:rsid w:val="00E570A0"/>
    <w:rsid w:val="00E5751A"/>
    <w:rsid w:val="00E57848"/>
    <w:rsid w:val="00E578A1"/>
    <w:rsid w:val="00E6032B"/>
    <w:rsid w:val="00E604C1"/>
    <w:rsid w:val="00E612ED"/>
    <w:rsid w:val="00E6174F"/>
    <w:rsid w:val="00E62D01"/>
    <w:rsid w:val="00E646AD"/>
    <w:rsid w:val="00E64AFC"/>
    <w:rsid w:val="00E65926"/>
    <w:rsid w:val="00E66BEF"/>
    <w:rsid w:val="00E66C7D"/>
    <w:rsid w:val="00E6736D"/>
    <w:rsid w:val="00E67395"/>
    <w:rsid w:val="00E70007"/>
    <w:rsid w:val="00E701D3"/>
    <w:rsid w:val="00E713A3"/>
    <w:rsid w:val="00E71904"/>
    <w:rsid w:val="00E71969"/>
    <w:rsid w:val="00E71EC1"/>
    <w:rsid w:val="00E72203"/>
    <w:rsid w:val="00E722CF"/>
    <w:rsid w:val="00E739CF"/>
    <w:rsid w:val="00E73B9C"/>
    <w:rsid w:val="00E74CB6"/>
    <w:rsid w:val="00E75119"/>
    <w:rsid w:val="00E755FC"/>
    <w:rsid w:val="00E75ADC"/>
    <w:rsid w:val="00E761FA"/>
    <w:rsid w:val="00E7635B"/>
    <w:rsid w:val="00E80187"/>
    <w:rsid w:val="00E801AA"/>
    <w:rsid w:val="00E80671"/>
    <w:rsid w:val="00E80BDF"/>
    <w:rsid w:val="00E81234"/>
    <w:rsid w:val="00E821E8"/>
    <w:rsid w:val="00E833AA"/>
    <w:rsid w:val="00E83852"/>
    <w:rsid w:val="00E83CD6"/>
    <w:rsid w:val="00E8455D"/>
    <w:rsid w:val="00E84A31"/>
    <w:rsid w:val="00E84F0E"/>
    <w:rsid w:val="00E85106"/>
    <w:rsid w:val="00E85F9F"/>
    <w:rsid w:val="00E86A3B"/>
    <w:rsid w:val="00E86E13"/>
    <w:rsid w:val="00E87749"/>
    <w:rsid w:val="00E879F9"/>
    <w:rsid w:val="00E87EB7"/>
    <w:rsid w:val="00E90176"/>
    <w:rsid w:val="00E90505"/>
    <w:rsid w:val="00E9068D"/>
    <w:rsid w:val="00E91130"/>
    <w:rsid w:val="00E91F09"/>
    <w:rsid w:val="00E92103"/>
    <w:rsid w:val="00E92784"/>
    <w:rsid w:val="00E93A49"/>
    <w:rsid w:val="00E94D30"/>
    <w:rsid w:val="00E953A9"/>
    <w:rsid w:val="00E95A91"/>
    <w:rsid w:val="00E95B73"/>
    <w:rsid w:val="00E95C23"/>
    <w:rsid w:val="00E969E9"/>
    <w:rsid w:val="00E96A20"/>
    <w:rsid w:val="00E96ED4"/>
    <w:rsid w:val="00E97B4F"/>
    <w:rsid w:val="00EA01C7"/>
    <w:rsid w:val="00EA01F2"/>
    <w:rsid w:val="00EA03D8"/>
    <w:rsid w:val="00EA0562"/>
    <w:rsid w:val="00EA0927"/>
    <w:rsid w:val="00EA09FA"/>
    <w:rsid w:val="00EA1A27"/>
    <w:rsid w:val="00EA2B75"/>
    <w:rsid w:val="00EA3BF6"/>
    <w:rsid w:val="00EA4AC3"/>
    <w:rsid w:val="00EA5508"/>
    <w:rsid w:val="00EA5D58"/>
    <w:rsid w:val="00EA6623"/>
    <w:rsid w:val="00EA761A"/>
    <w:rsid w:val="00EB0367"/>
    <w:rsid w:val="00EB037F"/>
    <w:rsid w:val="00EB040F"/>
    <w:rsid w:val="00EB0D02"/>
    <w:rsid w:val="00EB295D"/>
    <w:rsid w:val="00EB3850"/>
    <w:rsid w:val="00EB3D5F"/>
    <w:rsid w:val="00EB3F67"/>
    <w:rsid w:val="00EB4136"/>
    <w:rsid w:val="00EC0C03"/>
    <w:rsid w:val="00EC0D3D"/>
    <w:rsid w:val="00EC10F2"/>
    <w:rsid w:val="00EC15EB"/>
    <w:rsid w:val="00EC1A17"/>
    <w:rsid w:val="00EC208F"/>
    <w:rsid w:val="00EC2152"/>
    <w:rsid w:val="00EC3A23"/>
    <w:rsid w:val="00EC3AAC"/>
    <w:rsid w:val="00EC3EC3"/>
    <w:rsid w:val="00EC44A1"/>
    <w:rsid w:val="00EC4519"/>
    <w:rsid w:val="00EC4C72"/>
    <w:rsid w:val="00EC51B1"/>
    <w:rsid w:val="00EC65E2"/>
    <w:rsid w:val="00EC6C41"/>
    <w:rsid w:val="00EC6DBD"/>
    <w:rsid w:val="00EC70A1"/>
    <w:rsid w:val="00EC7691"/>
    <w:rsid w:val="00EC7BF1"/>
    <w:rsid w:val="00ED031C"/>
    <w:rsid w:val="00ED0898"/>
    <w:rsid w:val="00ED08F1"/>
    <w:rsid w:val="00ED0F64"/>
    <w:rsid w:val="00ED2E15"/>
    <w:rsid w:val="00ED319D"/>
    <w:rsid w:val="00ED42B2"/>
    <w:rsid w:val="00ED43ED"/>
    <w:rsid w:val="00ED479B"/>
    <w:rsid w:val="00ED5BD0"/>
    <w:rsid w:val="00ED6769"/>
    <w:rsid w:val="00ED67DC"/>
    <w:rsid w:val="00ED6E9D"/>
    <w:rsid w:val="00ED7F86"/>
    <w:rsid w:val="00EE1A76"/>
    <w:rsid w:val="00EE2275"/>
    <w:rsid w:val="00EE299B"/>
    <w:rsid w:val="00EE382A"/>
    <w:rsid w:val="00EE3A26"/>
    <w:rsid w:val="00EE3B11"/>
    <w:rsid w:val="00EE4337"/>
    <w:rsid w:val="00EE51B6"/>
    <w:rsid w:val="00EE5FCC"/>
    <w:rsid w:val="00EE6074"/>
    <w:rsid w:val="00EE7CBF"/>
    <w:rsid w:val="00EF1046"/>
    <w:rsid w:val="00EF141E"/>
    <w:rsid w:val="00EF1DB6"/>
    <w:rsid w:val="00EF254B"/>
    <w:rsid w:val="00EF2835"/>
    <w:rsid w:val="00EF2A8A"/>
    <w:rsid w:val="00EF3229"/>
    <w:rsid w:val="00EF3D8F"/>
    <w:rsid w:val="00EF4778"/>
    <w:rsid w:val="00EF553B"/>
    <w:rsid w:val="00EF5564"/>
    <w:rsid w:val="00EF5F15"/>
    <w:rsid w:val="00EF6A17"/>
    <w:rsid w:val="00EF7684"/>
    <w:rsid w:val="00EF7F11"/>
    <w:rsid w:val="00EF7F68"/>
    <w:rsid w:val="00F00573"/>
    <w:rsid w:val="00F01B97"/>
    <w:rsid w:val="00F03335"/>
    <w:rsid w:val="00F035D4"/>
    <w:rsid w:val="00F043B1"/>
    <w:rsid w:val="00F04411"/>
    <w:rsid w:val="00F045A0"/>
    <w:rsid w:val="00F04C1C"/>
    <w:rsid w:val="00F058E3"/>
    <w:rsid w:val="00F06154"/>
    <w:rsid w:val="00F065C3"/>
    <w:rsid w:val="00F0694D"/>
    <w:rsid w:val="00F06E53"/>
    <w:rsid w:val="00F06E6B"/>
    <w:rsid w:val="00F07167"/>
    <w:rsid w:val="00F072A6"/>
    <w:rsid w:val="00F0782E"/>
    <w:rsid w:val="00F0794E"/>
    <w:rsid w:val="00F10685"/>
    <w:rsid w:val="00F117A4"/>
    <w:rsid w:val="00F11B4F"/>
    <w:rsid w:val="00F1255E"/>
    <w:rsid w:val="00F12713"/>
    <w:rsid w:val="00F129AE"/>
    <w:rsid w:val="00F12FE9"/>
    <w:rsid w:val="00F13F45"/>
    <w:rsid w:val="00F14092"/>
    <w:rsid w:val="00F1425E"/>
    <w:rsid w:val="00F14294"/>
    <w:rsid w:val="00F1476B"/>
    <w:rsid w:val="00F14D94"/>
    <w:rsid w:val="00F1575C"/>
    <w:rsid w:val="00F15FCF"/>
    <w:rsid w:val="00F166FD"/>
    <w:rsid w:val="00F16AD2"/>
    <w:rsid w:val="00F20289"/>
    <w:rsid w:val="00F20372"/>
    <w:rsid w:val="00F208D7"/>
    <w:rsid w:val="00F21527"/>
    <w:rsid w:val="00F218F1"/>
    <w:rsid w:val="00F21BA2"/>
    <w:rsid w:val="00F21D20"/>
    <w:rsid w:val="00F22240"/>
    <w:rsid w:val="00F22BC0"/>
    <w:rsid w:val="00F23E7C"/>
    <w:rsid w:val="00F2423A"/>
    <w:rsid w:val="00F2528B"/>
    <w:rsid w:val="00F256F9"/>
    <w:rsid w:val="00F27614"/>
    <w:rsid w:val="00F27B29"/>
    <w:rsid w:val="00F31418"/>
    <w:rsid w:val="00F31543"/>
    <w:rsid w:val="00F3167B"/>
    <w:rsid w:val="00F32010"/>
    <w:rsid w:val="00F32595"/>
    <w:rsid w:val="00F32726"/>
    <w:rsid w:val="00F32ED6"/>
    <w:rsid w:val="00F33ACA"/>
    <w:rsid w:val="00F340A3"/>
    <w:rsid w:val="00F34116"/>
    <w:rsid w:val="00F3434F"/>
    <w:rsid w:val="00F350CC"/>
    <w:rsid w:val="00F35F92"/>
    <w:rsid w:val="00F36421"/>
    <w:rsid w:val="00F37635"/>
    <w:rsid w:val="00F406A4"/>
    <w:rsid w:val="00F40C63"/>
    <w:rsid w:val="00F416E2"/>
    <w:rsid w:val="00F42A16"/>
    <w:rsid w:val="00F431C1"/>
    <w:rsid w:val="00F43BA4"/>
    <w:rsid w:val="00F44189"/>
    <w:rsid w:val="00F44D7F"/>
    <w:rsid w:val="00F45620"/>
    <w:rsid w:val="00F461C8"/>
    <w:rsid w:val="00F46A06"/>
    <w:rsid w:val="00F46D3F"/>
    <w:rsid w:val="00F47337"/>
    <w:rsid w:val="00F50A45"/>
    <w:rsid w:val="00F5247A"/>
    <w:rsid w:val="00F52F7B"/>
    <w:rsid w:val="00F53985"/>
    <w:rsid w:val="00F54745"/>
    <w:rsid w:val="00F54D34"/>
    <w:rsid w:val="00F55869"/>
    <w:rsid w:val="00F560F6"/>
    <w:rsid w:val="00F56327"/>
    <w:rsid w:val="00F564C0"/>
    <w:rsid w:val="00F565A2"/>
    <w:rsid w:val="00F56D34"/>
    <w:rsid w:val="00F56DFD"/>
    <w:rsid w:val="00F56E32"/>
    <w:rsid w:val="00F578D0"/>
    <w:rsid w:val="00F57965"/>
    <w:rsid w:val="00F60801"/>
    <w:rsid w:val="00F60807"/>
    <w:rsid w:val="00F60C4F"/>
    <w:rsid w:val="00F625A2"/>
    <w:rsid w:val="00F63072"/>
    <w:rsid w:val="00F6310C"/>
    <w:rsid w:val="00F64447"/>
    <w:rsid w:val="00F64819"/>
    <w:rsid w:val="00F65056"/>
    <w:rsid w:val="00F65ACD"/>
    <w:rsid w:val="00F66A39"/>
    <w:rsid w:val="00F6711B"/>
    <w:rsid w:val="00F6716C"/>
    <w:rsid w:val="00F6784A"/>
    <w:rsid w:val="00F678EC"/>
    <w:rsid w:val="00F67F11"/>
    <w:rsid w:val="00F713AC"/>
    <w:rsid w:val="00F72146"/>
    <w:rsid w:val="00F72A61"/>
    <w:rsid w:val="00F7401B"/>
    <w:rsid w:val="00F7467E"/>
    <w:rsid w:val="00F7468A"/>
    <w:rsid w:val="00F749AA"/>
    <w:rsid w:val="00F76312"/>
    <w:rsid w:val="00F764FA"/>
    <w:rsid w:val="00F775C4"/>
    <w:rsid w:val="00F808C7"/>
    <w:rsid w:val="00F80A9E"/>
    <w:rsid w:val="00F81CFB"/>
    <w:rsid w:val="00F82172"/>
    <w:rsid w:val="00F8247E"/>
    <w:rsid w:val="00F83D6A"/>
    <w:rsid w:val="00F8486D"/>
    <w:rsid w:val="00F859E1"/>
    <w:rsid w:val="00F861EA"/>
    <w:rsid w:val="00F861FD"/>
    <w:rsid w:val="00F869AD"/>
    <w:rsid w:val="00F86AEA"/>
    <w:rsid w:val="00F86BAF"/>
    <w:rsid w:val="00F86D6C"/>
    <w:rsid w:val="00F902F7"/>
    <w:rsid w:val="00F91397"/>
    <w:rsid w:val="00F91C83"/>
    <w:rsid w:val="00F92BB2"/>
    <w:rsid w:val="00F93F0E"/>
    <w:rsid w:val="00F95B84"/>
    <w:rsid w:val="00F9684E"/>
    <w:rsid w:val="00F96D7C"/>
    <w:rsid w:val="00F96EDC"/>
    <w:rsid w:val="00F9791C"/>
    <w:rsid w:val="00F97DAA"/>
    <w:rsid w:val="00FA277C"/>
    <w:rsid w:val="00FA37EE"/>
    <w:rsid w:val="00FA3EE2"/>
    <w:rsid w:val="00FA4534"/>
    <w:rsid w:val="00FA4554"/>
    <w:rsid w:val="00FA4971"/>
    <w:rsid w:val="00FA50B8"/>
    <w:rsid w:val="00FA5E59"/>
    <w:rsid w:val="00FA69AE"/>
    <w:rsid w:val="00FA6F6D"/>
    <w:rsid w:val="00FB03F1"/>
    <w:rsid w:val="00FB041C"/>
    <w:rsid w:val="00FB102D"/>
    <w:rsid w:val="00FB10C2"/>
    <w:rsid w:val="00FB1FA5"/>
    <w:rsid w:val="00FB282B"/>
    <w:rsid w:val="00FB284F"/>
    <w:rsid w:val="00FB4CE8"/>
    <w:rsid w:val="00FB69FE"/>
    <w:rsid w:val="00FB6E92"/>
    <w:rsid w:val="00FB7B1D"/>
    <w:rsid w:val="00FB7BB3"/>
    <w:rsid w:val="00FC053D"/>
    <w:rsid w:val="00FC0876"/>
    <w:rsid w:val="00FC0E8C"/>
    <w:rsid w:val="00FC181C"/>
    <w:rsid w:val="00FC1D6C"/>
    <w:rsid w:val="00FC33D6"/>
    <w:rsid w:val="00FC344C"/>
    <w:rsid w:val="00FC3794"/>
    <w:rsid w:val="00FC55C8"/>
    <w:rsid w:val="00FC5AEF"/>
    <w:rsid w:val="00FC5C32"/>
    <w:rsid w:val="00FC5E65"/>
    <w:rsid w:val="00FC67CB"/>
    <w:rsid w:val="00FC6DA1"/>
    <w:rsid w:val="00FC6DA3"/>
    <w:rsid w:val="00FC714A"/>
    <w:rsid w:val="00FC72C3"/>
    <w:rsid w:val="00FD0B76"/>
    <w:rsid w:val="00FD0D7F"/>
    <w:rsid w:val="00FD1336"/>
    <w:rsid w:val="00FD234D"/>
    <w:rsid w:val="00FD2C5F"/>
    <w:rsid w:val="00FD31A7"/>
    <w:rsid w:val="00FD5873"/>
    <w:rsid w:val="00FD5F97"/>
    <w:rsid w:val="00FD610F"/>
    <w:rsid w:val="00FD62C6"/>
    <w:rsid w:val="00FD7674"/>
    <w:rsid w:val="00FD7DFE"/>
    <w:rsid w:val="00FD7F0B"/>
    <w:rsid w:val="00FE04BA"/>
    <w:rsid w:val="00FE086F"/>
    <w:rsid w:val="00FE1C29"/>
    <w:rsid w:val="00FE25C5"/>
    <w:rsid w:val="00FE2E16"/>
    <w:rsid w:val="00FE2EF0"/>
    <w:rsid w:val="00FE32D8"/>
    <w:rsid w:val="00FE3B10"/>
    <w:rsid w:val="00FE3E7F"/>
    <w:rsid w:val="00FE476B"/>
    <w:rsid w:val="00FE542F"/>
    <w:rsid w:val="00FE6519"/>
    <w:rsid w:val="00FE7792"/>
    <w:rsid w:val="00FE7D51"/>
    <w:rsid w:val="00FF0845"/>
    <w:rsid w:val="00FF0A8F"/>
    <w:rsid w:val="00FF0E26"/>
    <w:rsid w:val="00FF118E"/>
    <w:rsid w:val="00FF1706"/>
    <w:rsid w:val="00FF393C"/>
    <w:rsid w:val="00FF3F55"/>
    <w:rsid w:val="00FF4091"/>
    <w:rsid w:val="00FF41C2"/>
    <w:rsid w:val="00FF4CE8"/>
    <w:rsid w:val="00FF4E5C"/>
    <w:rsid w:val="00FF4F42"/>
    <w:rsid w:val="00FF5505"/>
    <w:rsid w:val="00FF58FF"/>
    <w:rsid w:val="00FF5F4C"/>
    <w:rsid w:val="00FF7C4F"/>
    <w:rsid w:val="00FF7D04"/>
    <w:rsid w:val="019839AC"/>
    <w:rsid w:val="02D61651"/>
    <w:rsid w:val="03490949"/>
    <w:rsid w:val="055D4394"/>
    <w:rsid w:val="09A4385A"/>
    <w:rsid w:val="0FDD1BA7"/>
    <w:rsid w:val="105D71F9"/>
    <w:rsid w:val="114F6663"/>
    <w:rsid w:val="11547675"/>
    <w:rsid w:val="141169B5"/>
    <w:rsid w:val="16A40CB1"/>
    <w:rsid w:val="17C05958"/>
    <w:rsid w:val="1AD94039"/>
    <w:rsid w:val="1D746DE1"/>
    <w:rsid w:val="1F444C2F"/>
    <w:rsid w:val="202C5CD5"/>
    <w:rsid w:val="212F134D"/>
    <w:rsid w:val="21D32B8D"/>
    <w:rsid w:val="21ED7E0B"/>
    <w:rsid w:val="22317B17"/>
    <w:rsid w:val="289068AC"/>
    <w:rsid w:val="29077010"/>
    <w:rsid w:val="2C36372C"/>
    <w:rsid w:val="2EF73ED5"/>
    <w:rsid w:val="2FDF6042"/>
    <w:rsid w:val="346959F8"/>
    <w:rsid w:val="34A50DE1"/>
    <w:rsid w:val="34D14CDB"/>
    <w:rsid w:val="38DD575A"/>
    <w:rsid w:val="3A921CC0"/>
    <w:rsid w:val="3BBC7041"/>
    <w:rsid w:val="3D8E2E86"/>
    <w:rsid w:val="3E5A0659"/>
    <w:rsid w:val="413C1A16"/>
    <w:rsid w:val="420463A0"/>
    <w:rsid w:val="436F7EA2"/>
    <w:rsid w:val="449D3CF9"/>
    <w:rsid w:val="459E6813"/>
    <w:rsid w:val="45D4623F"/>
    <w:rsid w:val="46ED3E6B"/>
    <w:rsid w:val="48125136"/>
    <w:rsid w:val="4B1367B9"/>
    <w:rsid w:val="4EFB181F"/>
    <w:rsid w:val="50E449C6"/>
    <w:rsid w:val="510D2307"/>
    <w:rsid w:val="58EB4D70"/>
    <w:rsid w:val="5B6B0D14"/>
    <w:rsid w:val="600C6122"/>
    <w:rsid w:val="63D44B84"/>
    <w:rsid w:val="672538A8"/>
    <w:rsid w:val="67267B49"/>
    <w:rsid w:val="6960616F"/>
    <w:rsid w:val="6ABC6400"/>
    <w:rsid w:val="6B7F1541"/>
    <w:rsid w:val="714B0200"/>
    <w:rsid w:val="72504189"/>
    <w:rsid w:val="73D547B9"/>
    <w:rsid w:val="7AAA200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14:defaultImageDpi w14:val="33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nhideWhenUsed="0" w:uiPriority="0" w:name="heading 6"/>
    <w:lsdException w:qFormat="1" w:unhideWhenUsed="0" w:uiPriority="0" w:name="heading 7"/>
    <w:lsdException w:qFormat="1" w:unhideWhenUsed="0" w:uiPriority="0" w:name="heading 8"/>
    <w:lsdException w:qFormat="1" w:unhideWhenUsed="0"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0" w:name="Normal Indent"/>
    <w:lsdException w:qFormat="1" w:uiPriority="0" w:semiHidden="0" w:name="footnote text"/>
    <w:lsdException w:qFormat="1" w:uiPriority="99" w:semiHidden="0" w:name="annotation text"/>
    <w:lsdException w:qFormat="1" w:uiPriority="99" w:semiHidden="0" w:name="header"/>
    <w:lsdException w:qFormat="1" w:uiPriority="99" w:semiHidden="0" w:name="footer"/>
    <w:lsdException w:uiPriority="0" w:name="index heading"/>
    <w:lsdException w:qFormat="1" w:uiPriority="0" w:semiHidden="0" w:name="caption"/>
    <w:lsdException w:uiPriority="0" w:name="table of figures"/>
    <w:lsdException w:uiPriority="0" w:name="envelope address"/>
    <w:lsdException w:uiPriority="0" w:name="envelope return"/>
    <w:lsdException w:uiPriority="0" w:name="footnote reference"/>
    <w:lsdException w:qFormat="1" w:uiPriority="99" w:semiHidden="0" w:name="annotation reference"/>
    <w:lsdException w:qFormat="1" w:uiPriority="99" w:semiHidden="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qFormat="1" w:uiPriority="1" w:semiHidden="0" w:name="Default Paragraph Font"/>
    <w:lsdException w:qFormat="1" w:unhideWhenUsed="0" w:uiPriority="1" w:semiHidden="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20" w:semiHidden="0" w:name="Emphasis"/>
    <w:lsdException w:uiPriority="0" w:name="Document Map"/>
    <w:lsdException w:uiPriority="0" w:name="Plain Text"/>
    <w:lsdException w:uiPriority="0" w:name="E-mail Signature"/>
    <w:lsdException w:qFormat="1"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99"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黑体"/>
      <w:kern w:val="2"/>
      <w:sz w:val="21"/>
      <w:szCs w:val="22"/>
      <w:lang w:val="en-US" w:eastAsia="zh-CN" w:bidi="ar-SA"/>
    </w:rPr>
  </w:style>
  <w:style w:type="paragraph" w:styleId="2">
    <w:name w:val="heading 1"/>
    <w:basedOn w:val="1"/>
    <w:next w:val="1"/>
    <w:link w:val="50"/>
    <w:qFormat/>
    <w:uiPriority w:val="9"/>
    <w:pPr>
      <w:keepNext/>
      <w:keepLines/>
      <w:snapToGrid w:val="0"/>
      <w:ind w:left="200" w:hanging="200" w:hangingChars="200"/>
      <w:jc w:val="left"/>
      <w:outlineLvl w:val="0"/>
    </w:pPr>
    <w:rPr>
      <w:rFonts w:ascii="Times New Roman" w:hAnsi="Times New Roman"/>
      <w:bCs/>
      <w:kern w:val="44"/>
      <w:sz w:val="28"/>
      <w:szCs w:val="44"/>
    </w:rPr>
  </w:style>
  <w:style w:type="paragraph" w:styleId="3">
    <w:name w:val="heading 2"/>
    <w:basedOn w:val="1"/>
    <w:next w:val="1"/>
    <w:link w:val="47"/>
    <w:unhideWhenUsed/>
    <w:qFormat/>
    <w:uiPriority w:val="9"/>
    <w:pPr>
      <w:keepNext/>
      <w:keepLines/>
      <w:snapToGrid w:val="0"/>
      <w:jc w:val="left"/>
      <w:outlineLvl w:val="1"/>
    </w:pPr>
    <w:rPr>
      <w:rFonts w:ascii="Times New Roman" w:hAnsi="Times New Roman" w:eastAsia="黑体"/>
      <w:bCs/>
      <w:szCs w:val="32"/>
    </w:rPr>
  </w:style>
  <w:style w:type="paragraph" w:styleId="4">
    <w:name w:val="heading 3"/>
    <w:basedOn w:val="1"/>
    <w:next w:val="1"/>
    <w:link w:val="58"/>
    <w:unhideWhenUsed/>
    <w:qFormat/>
    <w:uiPriority w:val="9"/>
    <w:pPr>
      <w:keepNext/>
      <w:keepLines/>
      <w:snapToGrid w:val="0"/>
      <w:jc w:val="left"/>
      <w:outlineLvl w:val="2"/>
    </w:pPr>
    <w:rPr>
      <w:rFonts w:ascii="Times New Roman" w:hAnsi="Times New Roman" w:eastAsia="楷体"/>
      <w:bCs/>
      <w:szCs w:val="32"/>
    </w:rPr>
  </w:style>
  <w:style w:type="paragraph" w:styleId="5">
    <w:name w:val="heading 4"/>
    <w:basedOn w:val="1"/>
    <w:next w:val="1"/>
    <w:link w:val="94"/>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6">
    <w:name w:val="heading 6"/>
    <w:basedOn w:val="1"/>
    <w:next w:val="1"/>
    <w:link w:val="79"/>
    <w:semiHidden/>
    <w:qFormat/>
    <w:uiPriority w:val="0"/>
    <w:pPr>
      <w:keepNext/>
      <w:keepLines/>
      <w:numPr>
        <w:ilvl w:val="5"/>
        <w:numId w:val="1"/>
      </w:numPr>
      <w:spacing w:before="240" w:after="64" w:line="319" w:lineRule="auto"/>
      <w:ind w:firstLine="454"/>
      <w:outlineLvl w:val="5"/>
    </w:pPr>
    <w:rPr>
      <w:rFonts w:ascii="Arial" w:hAnsi="Arial" w:eastAsia="黑体" w:cs="Times New Roman"/>
      <w:b/>
      <w:bCs/>
      <w:spacing w:val="14"/>
      <w:sz w:val="24"/>
      <w:szCs w:val="24"/>
    </w:rPr>
  </w:style>
  <w:style w:type="paragraph" w:styleId="7">
    <w:name w:val="heading 7"/>
    <w:basedOn w:val="1"/>
    <w:next w:val="1"/>
    <w:link w:val="80"/>
    <w:semiHidden/>
    <w:qFormat/>
    <w:uiPriority w:val="0"/>
    <w:pPr>
      <w:keepNext/>
      <w:keepLines/>
      <w:numPr>
        <w:ilvl w:val="6"/>
        <w:numId w:val="1"/>
      </w:numPr>
      <w:spacing w:before="240" w:after="64" w:line="319" w:lineRule="auto"/>
      <w:ind w:firstLine="454"/>
      <w:outlineLvl w:val="6"/>
    </w:pPr>
    <w:rPr>
      <w:rFonts w:ascii="Times New Roman" w:hAnsi="Times New Roman" w:cs="Times New Roman"/>
      <w:b/>
      <w:bCs/>
      <w:spacing w:val="14"/>
      <w:sz w:val="24"/>
      <w:szCs w:val="24"/>
    </w:rPr>
  </w:style>
  <w:style w:type="paragraph" w:styleId="8">
    <w:name w:val="heading 8"/>
    <w:basedOn w:val="1"/>
    <w:next w:val="1"/>
    <w:link w:val="81"/>
    <w:semiHidden/>
    <w:qFormat/>
    <w:uiPriority w:val="0"/>
    <w:pPr>
      <w:keepNext/>
      <w:keepLines/>
      <w:numPr>
        <w:ilvl w:val="7"/>
        <w:numId w:val="1"/>
      </w:numPr>
      <w:spacing w:before="240" w:after="64" w:line="319" w:lineRule="auto"/>
      <w:ind w:firstLine="454"/>
      <w:outlineLvl w:val="7"/>
    </w:pPr>
    <w:rPr>
      <w:rFonts w:ascii="Arial" w:hAnsi="Arial" w:eastAsia="黑体" w:cs="Times New Roman"/>
      <w:spacing w:val="14"/>
      <w:sz w:val="24"/>
      <w:szCs w:val="24"/>
    </w:rPr>
  </w:style>
  <w:style w:type="paragraph" w:styleId="9">
    <w:name w:val="heading 9"/>
    <w:basedOn w:val="1"/>
    <w:next w:val="1"/>
    <w:link w:val="82"/>
    <w:semiHidden/>
    <w:qFormat/>
    <w:uiPriority w:val="0"/>
    <w:pPr>
      <w:keepNext/>
      <w:keepLines/>
      <w:numPr>
        <w:ilvl w:val="8"/>
        <w:numId w:val="1"/>
      </w:numPr>
      <w:spacing w:before="240" w:after="64" w:line="319" w:lineRule="auto"/>
      <w:ind w:firstLine="454"/>
      <w:outlineLvl w:val="8"/>
    </w:pPr>
    <w:rPr>
      <w:rFonts w:ascii="Arial" w:hAnsi="Arial" w:eastAsia="黑体" w:cs="Times New Roman"/>
      <w:spacing w:val="14"/>
      <w:szCs w:val="21"/>
    </w:rPr>
  </w:style>
  <w:style w:type="character" w:default="1" w:styleId="21">
    <w:name w:val="Default Paragraph Font"/>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10">
    <w:name w:val="caption"/>
    <w:basedOn w:val="1"/>
    <w:next w:val="1"/>
    <w:link w:val="77"/>
    <w:unhideWhenUsed/>
    <w:qFormat/>
    <w:uiPriority w:val="0"/>
    <w:pPr>
      <w:snapToGrid w:val="0"/>
      <w:spacing w:line="240" w:lineRule="atLeast"/>
      <w:jc w:val="center"/>
    </w:pPr>
    <w:rPr>
      <w:rFonts w:ascii="Times New Roman" w:hAnsi="Times New Roman" w:eastAsia="黑体" w:cstheme="majorBidi"/>
      <w:sz w:val="18"/>
      <w:szCs w:val="20"/>
    </w:rPr>
  </w:style>
  <w:style w:type="paragraph" w:styleId="11">
    <w:name w:val="annotation text"/>
    <w:basedOn w:val="1"/>
    <w:link w:val="63"/>
    <w:unhideWhenUsed/>
    <w:qFormat/>
    <w:uiPriority w:val="99"/>
    <w:pPr>
      <w:jc w:val="left"/>
    </w:pPr>
  </w:style>
  <w:style w:type="paragraph" w:styleId="12">
    <w:name w:val="Body Text"/>
    <w:basedOn w:val="1"/>
    <w:link w:val="65"/>
    <w:qFormat/>
    <w:uiPriority w:val="1"/>
    <w:pPr>
      <w:autoSpaceDE w:val="0"/>
      <w:autoSpaceDN w:val="0"/>
      <w:adjustRightInd w:val="0"/>
      <w:snapToGrid w:val="0"/>
      <w:ind w:firstLine="200" w:firstLineChars="200"/>
      <w:jc w:val="left"/>
    </w:pPr>
    <w:rPr>
      <w:rFonts w:ascii="Times New Roman" w:hAnsi="Times New Roman" w:cs="Times New Roman"/>
      <w:kern w:val="0"/>
      <w:szCs w:val="21"/>
    </w:rPr>
  </w:style>
  <w:style w:type="paragraph" w:styleId="13">
    <w:name w:val="Balloon Text"/>
    <w:basedOn w:val="1"/>
    <w:link w:val="51"/>
    <w:unhideWhenUsed/>
    <w:qFormat/>
    <w:uiPriority w:val="99"/>
    <w:rPr>
      <w:sz w:val="18"/>
      <w:szCs w:val="18"/>
    </w:rPr>
  </w:style>
  <w:style w:type="paragraph" w:styleId="14">
    <w:name w:val="footer"/>
    <w:basedOn w:val="1"/>
    <w:link w:val="49"/>
    <w:unhideWhenUsed/>
    <w:qFormat/>
    <w:uiPriority w:val="99"/>
    <w:pPr>
      <w:tabs>
        <w:tab w:val="center" w:pos="4153"/>
        <w:tab w:val="right" w:pos="8306"/>
      </w:tabs>
      <w:snapToGrid w:val="0"/>
      <w:jc w:val="left"/>
    </w:pPr>
    <w:rPr>
      <w:sz w:val="18"/>
      <w:szCs w:val="18"/>
    </w:rPr>
  </w:style>
  <w:style w:type="paragraph" w:styleId="15">
    <w:name w:val="header"/>
    <w:basedOn w:val="1"/>
    <w:link w:val="48"/>
    <w:unhideWhenUsed/>
    <w:qFormat/>
    <w:uiPriority w:val="99"/>
    <w:pPr>
      <w:pBdr>
        <w:bottom w:val="single" w:color="auto" w:sz="6" w:space="1"/>
      </w:pBdr>
      <w:tabs>
        <w:tab w:val="center" w:pos="4153"/>
        <w:tab w:val="right" w:pos="8306"/>
      </w:tabs>
      <w:snapToGrid w:val="0"/>
      <w:jc w:val="center"/>
    </w:pPr>
    <w:rPr>
      <w:sz w:val="18"/>
      <w:szCs w:val="18"/>
    </w:rPr>
  </w:style>
  <w:style w:type="paragraph" w:styleId="16">
    <w:name w:val="footnote text"/>
    <w:basedOn w:val="1"/>
    <w:unhideWhenUsed/>
    <w:qFormat/>
    <w:uiPriority w:val="0"/>
    <w:pPr>
      <w:snapToGrid w:val="0"/>
      <w:jc w:val="left"/>
    </w:pPr>
    <w:rPr>
      <w:sz w:val="18"/>
      <w:szCs w:val="20"/>
    </w:rPr>
  </w:style>
  <w:style w:type="paragraph" w:styleId="17">
    <w:name w:val="Normal (Web)"/>
    <w:basedOn w:val="1"/>
    <w:semiHidden/>
    <w:unhideWhenUsed/>
    <w:qFormat/>
    <w:uiPriority w:val="0"/>
    <w:rPr>
      <w:rFonts w:ascii="Times New Roman" w:hAnsi="Times New Roman" w:cs="Times New Roman"/>
      <w:sz w:val="24"/>
      <w:szCs w:val="24"/>
    </w:rPr>
  </w:style>
  <w:style w:type="paragraph" w:styleId="18">
    <w:name w:val="annotation subject"/>
    <w:basedOn w:val="11"/>
    <w:next w:val="11"/>
    <w:link w:val="64"/>
    <w:unhideWhenUsed/>
    <w:qFormat/>
    <w:uiPriority w:val="99"/>
    <w:rPr>
      <w:b/>
      <w:bCs/>
    </w:rPr>
  </w:style>
  <w:style w:type="table" w:styleId="20">
    <w:name w:val="Table Grid"/>
    <w:basedOn w:val="1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Strong"/>
    <w:basedOn w:val="21"/>
    <w:qFormat/>
    <w:uiPriority w:val="22"/>
    <w:rPr>
      <w:b/>
      <w:bCs/>
    </w:rPr>
  </w:style>
  <w:style w:type="character" w:styleId="23">
    <w:name w:val="line number"/>
    <w:basedOn w:val="21"/>
    <w:unhideWhenUsed/>
    <w:qFormat/>
    <w:uiPriority w:val="99"/>
  </w:style>
  <w:style w:type="character" w:styleId="24">
    <w:name w:val="Hyperlink"/>
    <w:basedOn w:val="21"/>
    <w:unhideWhenUsed/>
    <w:qFormat/>
    <w:uiPriority w:val="99"/>
    <w:rPr>
      <w:color w:val="0000FF"/>
      <w:u w:val="single"/>
    </w:rPr>
  </w:style>
  <w:style w:type="character" w:styleId="25">
    <w:name w:val="annotation reference"/>
    <w:basedOn w:val="21"/>
    <w:unhideWhenUsed/>
    <w:qFormat/>
    <w:uiPriority w:val="99"/>
    <w:rPr>
      <w:sz w:val="21"/>
      <w:szCs w:val="21"/>
    </w:rPr>
  </w:style>
  <w:style w:type="paragraph" w:customStyle="1" w:styleId="26">
    <w:name w:val="无间隔1"/>
    <w:qFormat/>
    <w:uiPriority w:val="1"/>
    <w:pPr>
      <w:widowControl w:val="0"/>
      <w:jc w:val="center"/>
    </w:pPr>
    <w:rPr>
      <w:rFonts w:ascii="Calibri" w:hAnsi="Calibri" w:eastAsia="楷体" w:cs="黑体"/>
      <w:kern w:val="2"/>
      <w:sz w:val="21"/>
      <w:szCs w:val="22"/>
      <w:lang w:val="en-US" w:eastAsia="zh-CN" w:bidi="ar-SA"/>
    </w:rPr>
  </w:style>
  <w:style w:type="paragraph" w:customStyle="1" w:styleId="27">
    <w:name w:val="列出段落1"/>
    <w:basedOn w:val="1"/>
    <w:qFormat/>
    <w:uiPriority w:val="34"/>
    <w:pPr>
      <w:ind w:firstLine="420" w:firstLineChars="200"/>
    </w:pPr>
    <w:rPr>
      <w:rFonts w:ascii="宋体" w:hAnsi="宋体"/>
      <w:sz w:val="24"/>
    </w:rPr>
  </w:style>
  <w:style w:type="paragraph" w:customStyle="1" w:styleId="28">
    <w:name w:val="01题目"/>
    <w:next w:val="1"/>
    <w:link w:val="52"/>
    <w:qFormat/>
    <w:uiPriority w:val="0"/>
    <w:pPr>
      <w:jc w:val="center"/>
    </w:pPr>
    <w:rPr>
      <w:rFonts w:ascii="方正黑体_GBK" w:hAnsi="Times New Roman" w:eastAsia="黑体" w:cs="黑体"/>
      <w:bCs/>
      <w:kern w:val="44"/>
      <w:sz w:val="48"/>
      <w:szCs w:val="44"/>
      <w:lang w:val="en-US" w:eastAsia="zh-CN" w:bidi="ar-SA"/>
    </w:rPr>
  </w:style>
  <w:style w:type="paragraph" w:customStyle="1" w:styleId="29">
    <w:name w:val="02作者"/>
    <w:next w:val="1"/>
    <w:link w:val="53"/>
    <w:qFormat/>
    <w:uiPriority w:val="0"/>
    <w:pPr>
      <w:jc w:val="center"/>
    </w:pPr>
    <w:rPr>
      <w:rFonts w:ascii="Times New Roman" w:hAnsi="Times New Roman" w:eastAsia="楷体" w:cs="黑体"/>
      <w:kern w:val="2"/>
      <w:sz w:val="28"/>
      <w:szCs w:val="28"/>
      <w:lang w:val="en-US" w:eastAsia="zh-CN" w:bidi="ar-SA"/>
    </w:rPr>
  </w:style>
  <w:style w:type="paragraph" w:customStyle="1" w:styleId="30">
    <w:name w:val="03单位"/>
    <w:next w:val="1"/>
    <w:link w:val="54"/>
    <w:qFormat/>
    <w:uiPriority w:val="0"/>
    <w:pPr>
      <w:ind w:left="170" w:hanging="170"/>
      <w:jc w:val="center"/>
    </w:pPr>
    <w:rPr>
      <w:rFonts w:ascii="宋体" w:hAnsi="宋体" w:eastAsia="宋体" w:cs="黑体"/>
      <w:kern w:val="2"/>
      <w:sz w:val="21"/>
      <w:szCs w:val="21"/>
      <w:lang w:val="en-US" w:eastAsia="zh-CN" w:bidi="ar-SA"/>
    </w:rPr>
  </w:style>
  <w:style w:type="paragraph" w:customStyle="1" w:styleId="31">
    <w:name w:val="04摘要"/>
    <w:next w:val="1"/>
    <w:link w:val="55"/>
    <w:qFormat/>
    <w:uiPriority w:val="0"/>
    <w:pPr>
      <w:spacing w:beforeLines="100"/>
    </w:pPr>
    <w:rPr>
      <w:rFonts w:ascii="宋体" w:hAnsi="宋体" w:eastAsia="宋体" w:cs="黑体"/>
      <w:kern w:val="2"/>
      <w:sz w:val="18"/>
      <w:szCs w:val="18"/>
      <w:lang w:val="en-US" w:eastAsia="zh-CN" w:bidi="ar-SA"/>
    </w:rPr>
  </w:style>
  <w:style w:type="paragraph" w:customStyle="1" w:styleId="32">
    <w:name w:val="05关键词"/>
    <w:next w:val="1"/>
    <w:link w:val="56"/>
    <w:qFormat/>
    <w:uiPriority w:val="0"/>
    <w:pPr>
      <w:spacing w:afterLines="100"/>
    </w:pPr>
    <w:rPr>
      <w:rFonts w:ascii="宋体" w:hAnsi="宋体" w:eastAsia="宋体" w:cs="黑体"/>
      <w:kern w:val="2"/>
      <w:sz w:val="18"/>
      <w:szCs w:val="18"/>
      <w:lang w:val="en-US" w:eastAsia="zh-CN" w:bidi="ar-SA"/>
    </w:rPr>
  </w:style>
  <w:style w:type="paragraph" w:customStyle="1" w:styleId="33">
    <w:name w:val="00参考文献"/>
    <w:link w:val="57"/>
    <w:qFormat/>
    <w:uiPriority w:val="0"/>
    <w:pPr>
      <w:numPr>
        <w:ilvl w:val="0"/>
        <w:numId w:val="2"/>
      </w:numPr>
    </w:pPr>
    <w:rPr>
      <w:rFonts w:ascii="宋体" w:hAnsi="宋体" w:eastAsia="宋体" w:cs="Times New Roman"/>
      <w:kern w:val="2"/>
      <w:sz w:val="18"/>
      <w:szCs w:val="18"/>
      <w:lang w:val="en-US" w:eastAsia="zh-CN" w:bidi="ar-SA"/>
    </w:rPr>
  </w:style>
  <w:style w:type="paragraph" w:customStyle="1" w:styleId="34">
    <w:name w:val="00公式"/>
    <w:link w:val="62"/>
    <w:qFormat/>
    <w:uiPriority w:val="0"/>
    <w:pPr>
      <w:tabs>
        <w:tab w:val="center" w:pos="2268"/>
        <w:tab w:val="right" w:pos="4536"/>
      </w:tabs>
      <w:jc w:val="center"/>
    </w:pPr>
    <w:rPr>
      <w:rFonts w:ascii="Calibri" w:hAnsi="Calibri" w:eastAsia="宋体" w:cs="黑体"/>
      <w:kern w:val="2"/>
      <w:sz w:val="21"/>
      <w:szCs w:val="22"/>
      <w:lang w:val="en-US" w:eastAsia="zh-CN" w:bidi="ar-SA"/>
    </w:rPr>
  </w:style>
  <w:style w:type="paragraph" w:customStyle="1" w:styleId="35">
    <w:name w:val="样式1"/>
    <w:basedOn w:val="28"/>
    <w:qFormat/>
    <w:uiPriority w:val="0"/>
    <w:rPr>
      <w:rFonts w:eastAsia="Times New Roman"/>
      <w:sz w:val="36"/>
    </w:rPr>
  </w:style>
  <w:style w:type="paragraph" w:customStyle="1" w:styleId="36">
    <w:name w:val="样式2"/>
    <w:link w:val="59"/>
    <w:qFormat/>
    <w:uiPriority w:val="0"/>
    <w:rPr>
      <w:rFonts w:ascii="宋体" w:hAnsi="宋体" w:eastAsia="宋体" w:cs="黑体"/>
      <w:b/>
      <w:bCs/>
      <w:kern w:val="2"/>
      <w:sz w:val="21"/>
      <w:szCs w:val="21"/>
      <w:lang w:val="en-US" w:eastAsia="zh-CN" w:bidi="ar-SA"/>
    </w:rPr>
  </w:style>
  <w:style w:type="paragraph" w:customStyle="1" w:styleId="37">
    <w:name w:val="样式3"/>
    <w:link w:val="60"/>
    <w:qFormat/>
    <w:uiPriority w:val="0"/>
    <w:rPr>
      <w:rFonts w:ascii="Cambria" w:hAnsi="Cambria" w:eastAsia="宋体" w:cs="黑体"/>
      <w:b/>
      <w:bCs/>
      <w:kern w:val="2"/>
      <w:sz w:val="30"/>
      <w:szCs w:val="32"/>
      <w:lang w:val="en-US" w:eastAsia="zh-CN" w:bidi="ar-SA"/>
    </w:rPr>
  </w:style>
  <w:style w:type="paragraph" w:customStyle="1" w:styleId="38">
    <w:name w:val="标题1"/>
    <w:next w:val="1"/>
    <w:link w:val="61"/>
    <w:qFormat/>
    <w:uiPriority w:val="0"/>
    <w:pPr>
      <w:ind w:firstLine="880"/>
    </w:pPr>
    <w:rPr>
      <w:rFonts w:ascii="Calibri" w:hAnsi="Calibri" w:eastAsia="宋体" w:cs="黑体"/>
      <w:b/>
      <w:bCs/>
      <w:kern w:val="44"/>
      <w:sz w:val="28"/>
      <w:szCs w:val="44"/>
      <w:lang w:val="en-US" w:eastAsia="zh-CN" w:bidi="ar-SA"/>
    </w:rPr>
  </w:style>
  <w:style w:type="paragraph" w:customStyle="1" w:styleId="39">
    <w:name w:val="17表格内容"/>
    <w:basedOn w:val="1"/>
    <w:qFormat/>
    <w:uiPriority w:val="0"/>
    <w:pPr>
      <w:widowControl/>
      <w:adjustRightInd w:val="0"/>
      <w:snapToGrid w:val="0"/>
      <w:jc w:val="center"/>
    </w:pPr>
    <w:rPr>
      <w:rFonts w:ascii="Times New Roman" w:hAnsi="Times New Roman"/>
      <w:spacing w:val="4"/>
      <w:sz w:val="18"/>
      <w:szCs w:val="44"/>
    </w:rPr>
  </w:style>
  <w:style w:type="paragraph" w:customStyle="1" w:styleId="40">
    <w:name w:val="15中文表题"/>
    <w:qFormat/>
    <w:uiPriority w:val="0"/>
    <w:pPr>
      <w:adjustRightInd w:val="0"/>
      <w:snapToGrid w:val="0"/>
      <w:spacing w:beforeLines="30"/>
      <w:jc w:val="center"/>
    </w:pPr>
    <w:rPr>
      <w:rFonts w:ascii="Times bold" w:hAnsi="Times bold" w:eastAsia="黑体" w:cs="黑体"/>
      <w:spacing w:val="4"/>
      <w:kern w:val="2"/>
      <w:sz w:val="18"/>
      <w:szCs w:val="22"/>
      <w:lang w:val="en-US" w:eastAsia="zh-CN" w:bidi="ar-SA"/>
    </w:rPr>
  </w:style>
  <w:style w:type="paragraph" w:customStyle="1" w:styleId="41">
    <w:name w:val="16英文表题"/>
    <w:qFormat/>
    <w:uiPriority w:val="0"/>
    <w:pPr>
      <w:adjustRightInd w:val="0"/>
      <w:snapToGrid w:val="0"/>
      <w:spacing w:afterLines="30"/>
      <w:jc w:val="center"/>
    </w:pPr>
    <w:rPr>
      <w:rFonts w:ascii="Times bold" w:hAnsi="Times bold" w:eastAsia="黑体" w:cs="黑体"/>
      <w:kern w:val="2"/>
      <w:sz w:val="18"/>
      <w:szCs w:val="22"/>
      <w:lang w:val="en-US" w:eastAsia="zh-CN" w:bidi="ar-SA"/>
    </w:rPr>
  </w:style>
  <w:style w:type="paragraph" w:customStyle="1" w:styleId="42">
    <w:name w:val="样式4"/>
    <w:basedOn w:val="38"/>
    <w:qFormat/>
    <w:uiPriority w:val="0"/>
    <w:pPr>
      <w:ind w:firstLine="0"/>
    </w:pPr>
    <w:rPr>
      <w:rFonts w:ascii="Times New Roman" w:hAnsi="Times New Roman" w:cs="Times New Roman"/>
    </w:rPr>
  </w:style>
  <w:style w:type="paragraph" w:customStyle="1" w:styleId="43">
    <w:name w:val="样式5"/>
    <w:basedOn w:val="42"/>
    <w:qFormat/>
    <w:uiPriority w:val="0"/>
    <w:pPr>
      <w:spacing w:before="50" w:beforeLines="50" w:after="50" w:afterLines="50"/>
    </w:pPr>
  </w:style>
  <w:style w:type="paragraph" w:customStyle="1" w:styleId="44">
    <w:name w:val="样式6"/>
    <w:basedOn w:val="43"/>
    <w:qFormat/>
    <w:uiPriority w:val="0"/>
    <w:pPr>
      <w:spacing w:before="0" w:beforeLines="0" w:after="0" w:afterLines="0"/>
    </w:pPr>
  </w:style>
  <w:style w:type="paragraph" w:customStyle="1" w:styleId="45">
    <w:name w:val="TableCHeading"/>
    <w:basedOn w:val="1"/>
    <w:next w:val="1"/>
    <w:qFormat/>
    <w:uiPriority w:val="0"/>
    <w:pPr>
      <w:spacing w:beforeLines="100"/>
      <w:jc w:val="center"/>
    </w:pPr>
    <w:rPr>
      <w:rFonts w:ascii="Times New Roman" w:hAnsi="Times New Roman" w:eastAsia="黑体" w:cs="Times New Roman"/>
      <w:b/>
      <w:bCs/>
      <w:sz w:val="18"/>
      <w:szCs w:val="20"/>
    </w:rPr>
  </w:style>
  <w:style w:type="paragraph" w:customStyle="1" w:styleId="46">
    <w:name w:val="EndNote Bibliography"/>
    <w:basedOn w:val="1"/>
    <w:link w:val="67"/>
    <w:qFormat/>
    <w:uiPriority w:val="0"/>
    <w:rPr>
      <w:rFonts w:ascii="Times New Roman" w:hAnsi="Times New Roman" w:cs="Times New Roman"/>
      <w:sz w:val="20"/>
    </w:rPr>
  </w:style>
  <w:style w:type="character" w:customStyle="1" w:styleId="47">
    <w:name w:val="标题 2 字符"/>
    <w:basedOn w:val="21"/>
    <w:link w:val="3"/>
    <w:qFormat/>
    <w:uiPriority w:val="9"/>
    <w:rPr>
      <w:rFonts w:eastAsia="黑体" w:cs="黑体"/>
      <w:bCs/>
      <w:kern w:val="2"/>
      <w:sz w:val="21"/>
      <w:szCs w:val="32"/>
    </w:rPr>
  </w:style>
  <w:style w:type="character" w:customStyle="1" w:styleId="48">
    <w:name w:val="页眉 字符"/>
    <w:basedOn w:val="21"/>
    <w:link w:val="15"/>
    <w:qFormat/>
    <w:uiPriority w:val="99"/>
    <w:rPr>
      <w:sz w:val="18"/>
      <w:szCs w:val="18"/>
    </w:rPr>
  </w:style>
  <w:style w:type="character" w:customStyle="1" w:styleId="49">
    <w:name w:val="页脚 字符"/>
    <w:basedOn w:val="21"/>
    <w:link w:val="14"/>
    <w:qFormat/>
    <w:uiPriority w:val="99"/>
    <w:rPr>
      <w:sz w:val="18"/>
      <w:szCs w:val="18"/>
    </w:rPr>
  </w:style>
  <w:style w:type="character" w:customStyle="1" w:styleId="50">
    <w:name w:val="标题 1 字符"/>
    <w:basedOn w:val="21"/>
    <w:link w:val="2"/>
    <w:qFormat/>
    <w:uiPriority w:val="9"/>
    <w:rPr>
      <w:rFonts w:cs="黑体"/>
      <w:bCs/>
      <w:kern w:val="44"/>
      <w:sz w:val="28"/>
      <w:szCs w:val="44"/>
    </w:rPr>
  </w:style>
  <w:style w:type="character" w:customStyle="1" w:styleId="51">
    <w:name w:val="批注框文本 字符"/>
    <w:basedOn w:val="21"/>
    <w:link w:val="13"/>
    <w:semiHidden/>
    <w:qFormat/>
    <w:uiPriority w:val="99"/>
    <w:rPr>
      <w:rFonts w:ascii="Times New Roman" w:hAnsi="Times New Roman"/>
      <w:sz w:val="18"/>
      <w:szCs w:val="18"/>
    </w:rPr>
  </w:style>
  <w:style w:type="character" w:customStyle="1" w:styleId="52">
    <w:name w:val="01题目 Char"/>
    <w:basedOn w:val="21"/>
    <w:link w:val="28"/>
    <w:qFormat/>
    <w:uiPriority w:val="0"/>
    <w:rPr>
      <w:rFonts w:ascii="方正黑体_GBK" w:eastAsia="黑体" w:cs="黑体"/>
      <w:bCs/>
      <w:kern w:val="44"/>
      <w:sz w:val="48"/>
      <w:szCs w:val="44"/>
    </w:rPr>
  </w:style>
  <w:style w:type="character" w:customStyle="1" w:styleId="53">
    <w:name w:val="02作者 Char"/>
    <w:basedOn w:val="21"/>
    <w:link w:val="29"/>
    <w:qFormat/>
    <w:uiPriority w:val="0"/>
    <w:rPr>
      <w:rFonts w:eastAsia="楷体" w:cs="黑体"/>
      <w:kern w:val="2"/>
      <w:sz w:val="28"/>
      <w:szCs w:val="28"/>
    </w:rPr>
  </w:style>
  <w:style w:type="character" w:customStyle="1" w:styleId="54">
    <w:name w:val="03单位 Char"/>
    <w:basedOn w:val="21"/>
    <w:link w:val="30"/>
    <w:qFormat/>
    <w:uiPriority w:val="0"/>
    <w:rPr>
      <w:rFonts w:ascii="宋体" w:hAnsi="宋体"/>
      <w:szCs w:val="21"/>
    </w:rPr>
  </w:style>
  <w:style w:type="character" w:customStyle="1" w:styleId="55">
    <w:name w:val="04摘要 Char"/>
    <w:basedOn w:val="21"/>
    <w:link w:val="31"/>
    <w:qFormat/>
    <w:uiPriority w:val="0"/>
    <w:rPr>
      <w:rFonts w:ascii="宋体" w:hAnsi="宋体"/>
      <w:sz w:val="18"/>
      <w:szCs w:val="18"/>
    </w:rPr>
  </w:style>
  <w:style w:type="character" w:customStyle="1" w:styleId="56">
    <w:name w:val="05关键词 Char"/>
    <w:basedOn w:val="21"/>
    <w:link w:val="32"/>
    <w:qFormat/>
    <w:uiPriority w:val="0"/>
    <w:rPr>
      <w:rFonts w:ascii="宋体" w:hAnsi="宋体"/>
      <w:sz w:val="18"/>
      <w:szCs w:val="18"/>
    </w:rPr>
  </w:style>
  <w:style w:type="character" w:customStyle="1" w:styleId="57">
    <w:name w:val="00参考文献 Char"/>
    <w:basedOn w:val="21"/>
    <w:link w:val="33"/>
    <w:qFormat/>
    <w:uiPriority w:val="0"/>
    <w:rPr>
      <w:rFonts w:ascii="宋体" w:hAnsi="宋体" w:cs="Times New Roman"/>
      <w:sz w:val="18"/>
      <w:szCs w:val="18"/>
    </w:rPr>
  </w:style>
  <w:style w:type="character" w:customStyle="1" w:styleId="58">
    <w:name w:val="标题 3 字符"/>
    <w:basedOn w:val="21"/>
    <w:link w:val="4"/>
    <w:qFormat/>
    <w:uiPriority w:val="9"/>
    <w:rPr>
      <w:rFonts w:eastAsia="楷体" w:cs="黑体"/>
      <w:bCs/>
      <w:kern w:val="2"/>
      <w:sz w:val="21"/>
      <w:szCs w:val="32"/>
    </w:rPr>
  </w:style>
  <w:style w:type="character" w:customStyle="1" w:styleId="59">
    <w:name w:val="样式2 Char"/>
    <w:basedOn w:val="21"/>
    <w:link w:val="36"/>
    <w:qFormat/>
    <w:uiPriority w:val="0"/>
    <w:rPr>
      <w:rFonts w:ascii="宋体" w:hAnsi="宋体" w:eastAsia="宋体"/>
      <w:b/>
      <w:bCs/>
      <w:szCs w:val="21"/>
    </w:rPr>
  </w:style>
  <w:style w:type="character" w:customStyle="1" w:styleId="60">
    <w:name w:val="样式3 Char"/>
    <w:basedOn w:val="21"/>
    <w:link w:val="37"/>
    <w:qFormat/>
    <w:uiPriority w:val="0"/>
    <w:rPr>
      <w:rFonts w:ascii="Cambria" w:hAnsi="Cambria" w:eastAsia="宋体" w:cs="黑体"/>
      <w:b/>
      <w:bCs/>
      <w:sz w:val="30"/>
      <w:szCs w:val="32"/>
    </w:rPr>
  </w:style>
  <w:style w:type="character" w:customStyle="1" w:styleId="61">
    <w:name w:val="标题1 Char"/>
    <w:basedOn w:val="21"/>
    <w:link w:val="38"/>
    <w:qFormat/>
    <w:uiPriority w:val="0"/>
    <w:rPr>
      <w:rFonts w:eastAsia="宋体"/>
      <w:b/>
      <w:bCs/>
      <w:kern w:val="44"/>
      <w:sz w:val="28"/>
      <w:szCs w:val="44"/>
    </w:rPr>
  </w:style>
  <w:style w:type="character" w:customStyle="1" w:styleId="62">
    <w:name w:val="00公式 Char"/>
    <w:basedOn w:val="21"/>
    <w:link w:val="34"/>
    <w:qFormat/>
    <w:uiPriority w:val="0"/>
  </w:style>
  <w:style w:type="character" w:customStyle="1" w:styleId="63">
    <w:name w:val="批注文字 字符"/>
    <w:basedOn w:val="21"/>
    <w:link w:val="11"/>
    <w:semiHidden/>
    <w:qFormat/>
    <w:uiPriority w:val="99"/>
  </w:style>
  <w:style w:type="character" w:customStyle="1" w:styleId="64">
    <w:name w:val="批注主题 字符"/>
    <w:basedOn w:val="63"/>
    <w:link w:val="18"/>
    <w:semiHidden/>
    <w:qFormat/>
    <w:uiPriority w:val="99"/>
    <w:rPr>
      <w:b/>
      <w:bCs/>
    </w:rPr>
  </w:style>
  <w:style w:type="character" w:customStyle="1" w:styleId="65">
    <w:name w:val="正文文本 字符"/>
    <w:basedOn w:val="21"/>
    <w:link w:val="12"/>
    <w:qFormat/>
    <w:uiPriority w:val="1"/>
    <w:rPr>
      <w:sz w:val="21"/>
      <w:szCs w:val="21"/>
    </w:rPr>
  </w:style>
  <w:style w:type="character" w:customStyle="1" w:styleId="66">
    <w:name w:val="占位符文本1"/>
    <w:basedOn w:val="21"/>
    <w:semiHidden/>
    <w:qFormat/>
    <w:uiPriority w:val="99"/>
    <w:rPr>
      <w:color w:val="808080"/>
    </w:rPr>
  </w:style>
  <w:style w:type="character" w:customStyle="1" w:styleId="67">
    <w:name w:val="EndNote Bibliography Char"/>
    <w:link w:val="46"/>
    <w:qFormat/>
    <w:uiPriority w:val="0"/>
    <w:rPr>
      <w:kern w:val="2"/>
      <w:szCs w:val="22"/>
    </w:rPr>
  </w:style>
  <w:style w:type="paragraph" w:customStyle="1" w:styleId="68">
    <w:name w:val="正文2缩进"/>
    <w:link w:val="69"/>
    <w:qFormat/>
    <w:uiPriority w:val="0"/>
    <w:pPr>
      <w:snapToGrid w:val="0"/>
      <w:ind w:firstLine="200" w:firstLineChars="200"/>
      <w:jc w:val="both"/>
    </w:pPr>
    <w:rPr>
      <w:rFonts w:ascii="Times New Roman" w:hAnsi="Times New Roman" w:eastAsia="宋体" w:cs="Times New Roman"/>
      <w:kern w:val="2"/>
      <w:sz w:val="21"/>
      <w:szCs w:val="24"/>
      <w:lang w:val="en-US" w:eastAsia="zh-CN" w:bidi="ar-SA"/>
    </w:rPr>
  </w:style>
  <w:style w:type="character" w:customStyle="1" w:styleId="69">
    <w:name w:val="正文2缩进 字符"/>
    <w:link w:val="68"/>
    <w:qFormat/>
    <w:uiPriority w:val="0"/>
    <w:rPr>
      <w:kern w:val="2"/>
      <w:sz w:val="21"/>
      <w:szCs w:val="24"/>
    </w:rPr>
  </w:style>
  <w:style w:type="paragraph" w:styleId="70">
    <w:name w:val="List Paragraph"/>
    <w:basedOn w:val="1"/>
    <w:qFormat/>
    <w:uiPriority w:val="99"/>
    <w:pPr>
      <w:ind w:firstLine="420" w:firstLineChars="200"/>
    </w:pPr>
  </w:style>
  <w:style w:type="paragraph" w:customStyle="1" w:styleId="71">
    <w:name w:val="书目1"/>
    <w:basedOn w:val="1"/>
    <w:next w:val="1"/>
    <w:link w:val="88"/>
    <w:unhideWhenUsed/>
    <w:qFormat/>
    <w:uiPriority w:val="37"/>
    <w:pPr>
      <w:tabs>
        <w:tab w:val="left" w:pos="504"/>
      </w:tabs>
      <w:ind w:left="504" w:hanging="504"/>
    </w:pPr>
    <w:rPr>
      <w:rFonts w:ascii="Times New Roman" w:hAnsi="Times New Roman"/>
      <w:sz w:val="15"/>
    </w:rPr>
  </w:style>
  <w:style w:type="paragraph" w:customStyle="1" w:styleId="72">
    <w:name w:val="公式"/>
    <w:basedOn w:val="1"/>
    <w:next w:val="1"/>
    <w:link w:val="74"/>
    <w:qFormat/>
    <w:uiPriority w:val="0"/>
    <w:pPr>
      <w:tabs>
        <w:tab w:val="center" w:pos="4830"/>
        <w:tab w:val="right" w:pos="9660"/>
      </w:tabs>
      <w:spacing w:line="240" w:lineRule="atLeast"/>
      <w:jc w:val="right"/>
      <w:textAlignment w:val="center"/>
    </w:pPr>
    <w:rPr>
      <w:rFonts w:ascii="Times New Roman" w:hAnsi="Times New Roman" w:cs="Times New Roman"/>
    </w:rPr>
  </w:style>
  <w:style w:type="table" w:customStyle="1" w:styleId="73">
    <w:name w:val="网格型1"/>
    <w:basedOn w:val="1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4">
    <w:name w:val="公式 字符"/>
    <w:basedOn w:val="21"/>
    <w:link w:val="72"/>
    <w:qFormat/>
    <w:uiPriority w:val="0"/>
    <w:rPr>
      <w:kern w:val="2"/>
      <w:sz w:val="21"/>
      <w:szCs w:val="22"/>
    </w:rPr>
  </w:style>
  <w:style w:type="paragraph" w:customStyle="1" w:styleId="75">
    <w:name w:val="英文题注"/>
    <w:basedOn w:val="10"/>
    <w:link w:val="78"/>
    <w:qFormat/>
    <w:uiPriority w:val="0"/>
    <w:pPr>
      <w:spacing w:line="0" w:lineRule="atLeast"/>
    </w:pPr>
  </w:style>
  <w:style w:type="paragraph" w:customStyle="1" w:styleId="76">
    <w:name w:val="图abc"/>
    <w:next w:val="1"/>
    <w:qFormat/>
    <w:uiPriority w:val="0"/>
    <w:pPr>
      <w:jc w:val="center"/>
    </w:pPr>
    <w:rPr>
      <w:rFonts w:ascii="Times New Roman" w:hAnsi="Times New Roman" w:eastAsia="宋体" w:cs="Times New Roman"/>
      <w:kern w:val="2"/>
      <w:sz w:val="21"/>
      <w:szCs w:val="22"/>
      <w:lang w:val="en-US" w:eastAsia="zh-CN" w:bidi="ar-SA"/>
    </w:rPr>
  </w:style>
  <w:style w:type="character" w:customStyle="1" w:styleId="77">
    <w:name w:val="题注 字符"/>
    <w:basedOn w:val="21"/>
    <w:link w:val="10"/>
    <w:qFormat/>
    <w:uiPriority w:val="0"/>
    <w:rPr>
      <w:rFonts w:eastAsia="黑体" w:cstheme="majorBidi"/>
      <w:kern w:val="2"/>
      <w:sz w:val="18"/>
    </w:rPr>
  </w:style>
  <w:style w:type="character" w:customStyle="1" w:styleId="78">
    <w:name w:val="英文题注 字符"/>
    <w:basedOn w:val="77"/>
    <w:link w:val="75"/>
    <w:qFormat/>
    <w:uiPriority w:val="0"/>
    <w:rPr>
      <w:rFonts w:eastAsia="黑体" w:asciiTheme="majorHAnsi" w:hAnsiTheme="majorHAnsi" w:cstheme="majorBidi"/>
      <w:kern w:val="2"/>
      <w:sz w:val="18"/>
    </w:rPr>
  </w:style>
  <w:style w:type="character" w:customStyle="1" w:styleId="79">
    <w:name w:val="标题 6 字符"/>
    <w:basedOn w:val="21"/>
    <w:link w:val="6"/>
    <w:semiHidden/>
    <w:qFormat/>
    <w:uiPriority w:val="0"/>
    <w:rPr>
      <w:rFonts w:ascii="Arial" w:hAnsi="Arial" w:eastAsia="黑体"/>
      <w:b/>
      <w:bCs/>
      <w:spacing w:val="14"/>
      <w:kern w:val="2"/>
      <w:sz w:val="24"/>
      <w:szCs w:val="24"/>
    </w:rPr>
  </w:style>
  <w:style w:type="character" w:customStyle="1" w:styleId="80">
    <w:name w:val="标题 7 字符"/>
    <w:basedOn w:val="21"/>
    <w:link w:val="7"/>
    <w:semiHidden/>
    <w:qFormat/>
    <w:uiPriority w:val="0"/>
    <w:rPr>
      <w:b/>
      <w:bCs/>
      <w:spacing w:val="14"/>
      <w:kern w:val="2"/>
      <w:sz w:val="24"/>
      <w:szCs w:val="24"/>
    </w:rPr>
  </w:style>
  <w:style w:type="character" w:customStyle="1" w:styleId="81">
    <w:name w:val="标题 8 字符"/>
    <w:basedOn w:val="21"/>
    <w:link w:val="8"/>
    <w:semiHidden/>
    <w:qFormat/>
    <w:uiPriority w:val="0"/>
    <w:rPr>
      <w:rFonts w:ascii="Arial" w:hAnsi="Arial" w:eastAsia="黑体"/>
      <w:spacing w:val="14"/>
      <w:kern w:val="2"/>
      <w:sz w:val="24"/>
      <w:szCs w:val="24"/>
    </w:rPr>
  </w:style>
  <w:style w:type="character" w:customStyle="1" w:styleId="82">
    <w:name w:val="标题 9 字符"/>
    <w:basedOn w:val="21"/>
    <w:link w:val="9"/>
    <w:semiHidden/>
    <w:qFormat/>
    <w:uiPriority w:val="0"/>
    <w:rPr>
      <w:rFonts w:ascii="Arial" w:hAnsi="Arial" w:eastAsia="黑体"/>
      <w:spacing w:val="14"/>
      <w:kern w:val="2"/>
      <w:sz w:val="21"/>
      <w:szCs w:val="21"/>
    </w:rPr>
  </w:style>
  <w:style w:type="table" w:customStyle="1" w:styleId="83">
    <w:name w:val="网格型2"/>
    <w:basedOn w:val="19"/>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4">
    <w:name w:val="网格型3"/>
    <w:basedOn w:val="19"/>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5">
    <w:name w:val="网格型4"/>
    <w:basedOn w:val="19"/>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6">
    <w:name w:val="网格型5"/>
    <w:basedOn w:val="19"/>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87">
    <w:name w:val="参考文献"/>
    <w:basedOn w:val="71"/>
    <w:link w:val="89"/>
    <w:qFormat/>
    <w:uiPriority w:val="0"/>
    <w:pPr>
      <w:snapToGrid w:val="0"/>
      <w:spacing w:after="25" w:afterLines="25"/>
      <w:ind w:left="200" w:hanging="200" w:hangingChars="200"/>
    </w:pPr>
  </w:style>
  <w:style w:type="character" w:customStyle="1" w:styleId="88">
    <w:name w:val="书目 字符"/>
    <w:basedOn w:val="21"/>
    <w:link w:val="71"/>
    <w:qFormat/>
    <w:uiPriority w:val="37"/>
    <w:rPr>
      <w:rFonts w:cs="黑体"/>
      <w:kern w:val="2"/>
      <w:sz w:val="15"/>
      <w:szCs w:val="22"/>
    </w:rPr>
  </w:style>
  <w:style w:type="character" w:customStyle="1" w:styleId="89">
    <w:name w:val="参考文献 字符"/>
    <w:basedOn w:val="88"/>
    <w:link w:val="87"/>
    <w:qFormat/>
    <w:uiPriority w:val="0"/>
    <w:rPr>
      <w:rFonts w:cs="黑体"/>
      <w:kern w:val="2"/>
      <w:sz w:val="15"/>
      <w:szCs w:val="22"/>
    </w:rPr>
  </w:style>
  <w:style w:type="character" w:customStyle="1" w:styleId="90">
    <w:name w:val="MTEquationSection"/>
    <w:basedOn w:val="21"/>
    <w:qFormat/>
    <w:uiPriority w:val="0"/>
    <w:rPr>
      <w:rFonts w:ascii="黑体" w:hAnsi="黑体" w:eastAsia="黑体" w:cs="Times New Roman"/>
      <w:bCs/>
      <w:vanish/>
      <w:color w:val="FF0000"/>
      <w:kern w:val="44"/>
      <w:sz w:val="36"/>
      <w:szCs w:val="36"/>
    </w:rPr>
  </w:style>
  <w:style w:type="paragraph" w:customStyle="1" w:styleId="91">
    <w:name w:val="MTDisplayEquation"/>
    <w:basedOn w:val="72"/>
    <w:next w:val="1"/>
    <w:link w:val="92"/>
    <w:qFormat/>
    <w:uiPriority w:val="0"/>
    <w:pPr>
      <w:tabs>
        <w:tab w:val="center" w:pos="4820"/>
        <w:tab w:val="right" w:pos="9640"/>
        <w:tab w:val="clear" w:pos="4830"/>
        <w:tab w:val="clear" w:pos="9660"/>
      </w:tabs>
      <w:jc w:val="center"/>
    </w:pPr>
  </w:style>
  <w:style w:type="character" w:customStyle="1" w:styleId="92">
    <w:name w:val="MTDisplayEquation 字符"/>
    <w:basedOn w:val="74"/>
    <w:link w:val="91"/>
    <w:qFormat/>
    <w:uiPriority w:val="0"/>
    <w:rPr>
      <w:kern w:val="2"/>
      <w:sz w:val="21"/>
      <w:szCs w:val="22"/>
    </w:rPr>
  </w:style>
  <w:style w:type="paragraph" w:customStyle="1" w:styleId="93">
    <w:name w:val="修订1"/>
    <w:hidden/>
    <w:semiHidden/>
    <w:qFormat/>
    <w:uiPriority w:val="99"/>
    <w:rPr>
      <w:rFonts w:ascii="Calibri" w:hAnsi="Calibri" w:eastAsia="宋体" w:cs="黑体"/>
      <w:kern w:val="2"/>
      <w:sz w:val="21"/>
      <w:szCs w:val="22"/>
      <w:lang w:val="en-US" w:eastAsia="zh-CN" w:bidi="ar-SA"/>
    </w:rPr>
  </w:style>
  <w:style w:type="character" w:customStyle="1" w:styleId="94">
    <w:name w:val="标题 4 字符"/>
    <w:basedOn w:val="21"/>
    <w:link w:val="5"/>
    <w:qFormat/>
    <w:uiPriority w:val="9"/>
    <w:rPr>
      <w:rFonts w:asciiTheme="majorHAnsi" w:hAnsiTheme="majorHAnsi" w:eastAsiaTheme="majorEastAsia" w:cstheme="majorBidi"/>
      <w:b/>
      <w:bCs/>
      <w:kern w:val="2"/>
      <w:sz w:val="28"/>
      <w:szCs w:val="28"/>
    </w:rPr>
  </w:style>
  <w:style w:type="paragraph" w:customStyle="1" w:styleId="95">
    <w:name w:val="书目2"/>
    <w:basedOn w:val="1"/>
    <w:next w:val="1"/>
    <w:unhideWhenUsed/>
    <w:qFormat/>
    <w:uiPriority w:val="37"/>
  </w:style>
  <w:style w:type="paragraph" w:customStyle="1" w:styleId="96">
    <w:name w:val="书目21"/>
    <w:basedOn w:val="1"/>
    <w:next w:val="1"/>
    <w:qFormat/>
    <w:uiPriority w:val="37"/>
  </w:style>
</w:styles>
</file>

<file path=word/_rels/document.xml.rels><?xml version="1.0" encoding="UTF-8" standalone="yes"?>
<Relationships xmlns="http://schemas.openxmlformats.org/package/2006/relationships"><Relationship Id="rId99" Type="http://schemas.openxmlformats.org/officeDocument/2006/relationships/image" Target="media/image56.png"/><Relationship Id="rId98" Type="http://schemas.openxmlformats.org/officeDocument/2006/relationships/image" Target="media/image55.png"/><Relationship Id="rId97" Type="http://schemas.openxmlformats.org/officeDocument/2006/relationships/image" Target="media/image54.png"/><Relationship Id="rId96" Type="http://schemas.openxmlformats.org/officeDocument/2006/relationships/image" Target="media/image53.png"/><Relationship Id="rId95" Type="http://schemas.openxmlformats.org/officeDocument/2006/relationships/image" Target="media/image52.png"/><Relationship Id="rId94" Type="http://schemas.openxmlformats.org/officeDocument/2006/relationships/image" Target="media/image51.png"/><Relationship Id="rId93" Type="http://schemas.openxmlformats.org/officeDocument/2006/relationships/image" Target="media/image50.png"/><Relationship Id="rId92" Type="http://schemas.openxmlformats.org/officeDocument/2006/relationships/image" Target="media/image49.png"/><Relationship Id="rId91" Type="http://schemas.openxmlformats.org/officeDocument/2006/relationships/image" Target="media/image48.png"/><Relationship Id="rId90" Type="http://schemas.openxmlformats.org/officeDocument/2006/relationships/image" Target="media/image47.wmf"/><Relationship Id="rId9" Type="http://schemas.openxmlformats.org/officeDocument/2006/relationships/header" Target="header5.xml"/><Relationship Id="rId89" Type="http://schemas.openxmlformats.org/officeDocument/2006/relationships/oleObject" Target="embeddings/oleObject33.bin"/><Relationship Id="rId88" Type="http://schemas.openxmlformats.org/officeDocument/2006/relationships/image" Target="media/image46.wmf"/><Relationship Id="rId87" Type="http://schemas.openxmlformats.org/officeDocument/2006/relationships/oleObject" Target="embeddings/oleObject32.bin"/><Relationship Id="rId86" Type="http://schemas.openxmlformats.org/officeDocument/2006/relationships/image" Target="media/image45.wmf"/><Relationship Id="rId85" Type="http://schemas.openxmlformats.org/officeDocument/2006/relationships/oleObject" Target="embeddings/oleObject31.bin"/><Relationship Id="rId84" Type="http://schemas.openxmlformats.org/officeDocument/2006/relationships/oleObject" Target="embeddings/oleObject30.bin"/><Relationship Id="rId83" Type="http://schemas.openxmlformats.org/officeDocument/2006/relationships/image" Target="media/image44.wmf"/><Relationship Id="rId82" Type="http://schemas.openxmlformats.org/officeDocument/2006/relationships/oleObject" Target="embeddings/oleObject29.bin"/><Relationship Id="rId81" Type="http://schemas.openxmlformats.org/officeDocument/2006/relationships/image" Target="media/image43.wmf"/><Relationship Id="rId80" Type="http://schemas.openxmlformats.org/officeDocument/2006/relationships/oleObject" Target="embeddings/oleObject28.bin"/><Relationship Id="rId8" Type="http://schemas.openxmlformats.org/officeDocument/2006/relationships/header" Target="header4.xml"/><Relationship Id="rId79" Type="http://schemas.openxmlformats.org/officeDocument/2006/relationships/image" Target="media/image42.wmf"/><Relationship Id="rId78" Type="http://schemas.openxmlformats.org/officeDocument/2006/relationships/oleObject" Target="embeddings/oleObject27.bin"/><Relationship Id="rId77" Type="http://schemas.openxmlformats.org/officeDocument/2006/relationships/image" Target="media/image41.wmf"/><Relationship Id="rId76" Type="http://schemas.openxmlformats.org/officeDocument/2006/relationships/oleObject" Target="embeddings/oleObject26.bin"/><Relationship Id="rId75" Type="http://schemas.openxmlformats.org/officeDocument/2006/relationships/image" Target="media/image40.wmf"/><Relationship Id="rId74" Type="http://schemas.openxmlformats.org/officeDocument/2006/relationships/oleObject" Target="embeddings/oleObject25.bin"/><Relationship Id="rId73" Type="http://schemas.openxmlformats.org/officeDocument/2006/relationships/image" Target="media/image39.wmf"/><Relationship Id="rId72" Type="http://schemas.openxmlformats.org/officeDocument/2006/relationships/oleObject" Target="embeddings/oleObject24.bin"/><Relationship Id="rId71" Type="http://schemas.openxmlformats.org/officeDocument/2006/relationships/image" Target="media/image38.wmf"/><Relationship Id="rId70" Type="http://schemas.openxmlformats.org/officeDocument/2006/relationships/oleObject" Target="embeddings/oleObject23.bin"/><Relationship Id="rId7" Type="http://schemas.openxmlformats.org/officeDocument/2006/relationships/header" Target="header3.xml"/><Relationship Id="rId69" Type="http://schemas.openxmlformats.org/officeDocument/2006/relationships/image" Target="media/image37.wmf"/><Relationship Id="rId68" Type="http://schemas.openxmlformats.org/officeDocument/2006/relationships/oleObject" Target="embeddings/oleObject22.bin"/><Relationship Id="rId67" Type="http://schemas.openxmlformats.org/officeDocument/2006/relationships/image" Target="media/image36.wmf"/><Relationship Id="rId66" Type="http://schemas.openxmlformats.org/officeDocument/2006/relationships/oleObject" Target="embeddings/oleObject21.bin"/><Relationship Id="rId65" Type="http://schemas.openxmlformats.org/officeDocument/2006/relationships/image" Target="media/image35.wmf"/><Relationship Id="rId64" Type="http://schemas.openxmlformats.org/officeDocument/2006/relationships/oleObject" Target="embeddings/oleObject20.bin"/><Relationship Id="rId63" Type="http://schemas.openxmlformats.org/officeDocument/2006/relationships/image" Target="media/image34.wmf"/><Relationship Id="rId62" Type="http://schemas.openxmlformats.org/officeDocument/2006/relationships/oleObject" Target="embeddings/oleObject19.bin"/><Relationship Id="rId61" Type="http://schemas.openxmlformats.org/officeDocument/2006/relationships/image" Target="media/image33.wmf"/><Relationship Id="rId60" Type="http://schemas.openxmlformats.org/officeDocument/2006/relationships/oleObject" Target="embeddings/oleObject18.bin"/><Relationship Id="rId6" Type="http://schemas.openxmlformats.org/officeDocument/2006/relationships/footer" Target="footer2.xml"/><Relationship Id="rId59" Type="http://schemas.openxmlformats.org/officeDocument/2006/relationships/image" Target="media/image32.wmf"/><Relationship Id="rId58" Type="http://schemas.openxmlformats.org/officeDocument/2006/relationships/oleObject" Target="embeddings/oleObject17.bin"/><Relationship Id="rId57" Type="http://schemas.openxmlformats.org/officeDocument/2006/relationships/image" Target="media/image31.wmf"/><Relationship Id="rId56" Type="http://schemas.openxmlformats.org/officeDocument/2006/relationships/oleObject" Target="embeddings/oleObject16.bin"/><Relationship Id="rId55" Type="http://schemas.openxmlformats.org/officeDocument/2006/relationships/image" Target="media/image30.wmf"/><Relationship Id="rId54" Type="http://schemas.openxmlformats.org/officeDocument/2006/relationships/oleObject" Target="embeddings/oleObject15.bin"/><Relationship Id="rId53" Type="http://schemas.openxmlformats.org/officeDocument/2006/relationships/image" Target="media/image29.wmf"/><Relationship Id="rId52" Type="http://schemas.openxmlformats.org/officeDocument/2006/relationships/oleObject" Target="embeddings/oleObject14.bin"/><Relationship Id="rId51" Type="http://schemas.openxmlformats.org/officeDocument/2006/relationships/image" Target="media/image28.wmf"/><Relationship Id="rId50" Type="http://schemas.openxmlformats.org/officeDocument/2006/relationships/oleObject" Target="embeddings/oleObject13.bin"/><Relationship Id="rId5" Type="http://schemas.openxmlformats.org/officeDocument/2006/relationships/footer" Target="footer1.xml"/><Relationship Id="rId49" Type="http://schemas.openxmlformats.org/officeDocument/2006/relationships/image" Target="media/image27.wmf"/><Relationship Id="rId48" Type="http://schemas.openxmlformats.org/officeDocument/2006/relationships/oleObject" Target="embeddings/oleObject12.bin"/><Relationship Id="rId47" Type="http://schemas.openxmlformats.org/officeDocument/2006/relationships/image" Target="media/image26.wmf"/><Relationship Id="rId46" Type="http://schemas.openxmlformats.org/officeDocument/2006/relationships/oleObject" Target="embeddings/oleObject11.bin"/><Relationship Id="rId45" Type="http://schemas.openxmlformats.org/officeDocument/2006/relationships/image" Target="media/image25.wmf"/><Relationship Id="rId44" Type="http://schemas.openxmlformats.org/officeDocument/2006/relationships/oleObject" Target="embeddings/oleObject10.bin"/><Relationship Id="rId43" Type="http://schemas.openxmlformats.org/officeDocument/2006/relationships/image" Target="media/image24.wmf"/><Relationship Id="rId42" Type="http://schemas.openxmlformats.org/officeDocument/2006/relationships/oleObject" Target="embeddings/oleObject9.bin"/><Relationship Id="rId41" Type="http://schemas.openxmlformats.org/officeDocument/2006/relationships/image" Target="media/image23.wmf"/><Relationship Id="rId40" Type="http://schemas.openxmlformats.org/officeDocument/2006/relationships/oleObject" Target="embeddings/oleObject8.bin"/><Relationship Id="rId4" Type="http://schemas.openxmlformats.org/officeDocument/2006/relationships/header" Target="header2.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jpeg"/><Relationship Id="rId34" Type="http://schemas.openxmlformats.org/officeDocument/2006/relationships/image" Target="media/image17.wmf"/><Relationship Id="rId33" Type="http://schemas.openxmlformats.org/officeDocument/2006/relationships/oleObject" Target="embeddings/oleObject7.bin"/><Relationship Id="rId32" Type="http://schemas.openxmlformats.org/officeDocument/2006/relationships/image" Target="media/image16.wmf"/><Relationship Id="rId31" Type="http://schemas.openxmlformats.org/officeDocument/2006/relationships/oleObject" Target="embeddings/oleObject6.bin"/><Relationship Id="rId30" Type="http://schemas.openxmlformats.org/officeDocument/2006/relationships/image" Target="media/image15.wmf"/><Relationship Id="rId3" Type="http://schemas.openxmlformats.org/officeDocument/2006/relationships/header" Target="header1.xml"/><Relationship Id="rId29" Type="http://schemas.openxmlformats.org/officeDocument/2006/relationships/oleObject" Target="embeddings/oleObject5.bin"/><Relationship Id="rId28" Type="http://schemas.openxmlformats.org/officeDocument/2006/relationships/oleObject" Target="embeddings/oleObject4.bin"/><Relationship Id="rId27" Type="http://schemas.openxmlformats.org/officeDocument/2006/relationships/image" Target="media/image14.wmf"/><Relationship Id="rId26" Type="http://schemas.openxmlformats.org/officeDocument/2006/relationships/oleObject" Target="embeddings/oleObject3.bin"/><Relationship Id="rId25" Type="http://schemas.openxmlformats.org/officeDocument/2006/relationships/image" Target="media/image13.wmf"/><Relationship Id="rId24" Type="http://schemas.openxmlformats.org/officeDocument/2006/relationships/oleObject" Target="embeddings/oleObject2.bin"/><Relationship Id="rId23" Type="http://schemas.openxmlformats.org/officeDocument/2006/relationships/image" Target="media/image12.wmf"/><Relationship Id="rId22" Type="http://schemas.openxmlformats.org/officeDocument/2006/relationships/oleObject" Target="embeddings/oleObject1.bin"/><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jpeg"/><Relationship Id="rId147" Type="http://schemas.openxmlformats.org/officeDocument/2006/relationships/fontTable" Target="fontTable.xml"/><Relationship Id="rId146" Type="http://schemas.openxmlformats.org/officeDocument/2006/relationships/customXml" Target="../customXml/item1.xml"/><Relationship Id="rId145" Type="http://schemas.openxmlformats.org/officeDocument/2006/relationships/numbering" Target="numbering.xml"/><Relationship Id="rId144" Type="http://schemas.openxmlformats.org/officeDocument/2006/relationships/image" Target="media/image101.png"/><Relationship Id="rId143" Type="http://schemas.openxmlformats.org/officeDocument/2006/relationships/image" Target="media/image100.png"/><Relationship Id="rId142" Type="http://schemas.openxmlformats.org/officeDocument/2006/relationships/image" Target="media/image99.png"/><Relationship Id="rId141" Type="http://schemas.openxmlformats.org/officeDocument/2006/relationships/image" Target="media/image98.png"/><Relationship Id="rId140" Type="http://schemas.openxmlformats.org/officeDocument/2006/relationships/image" Target="media/image97.png"/><Relationship Id="rId14" Type="http://schemas.openxmlformats.org/officeDocument/2006/relationships/image" Target="media/image4.png"/><Relationship Id="rId139" Type="http://schemas.openxmlformats.org/officeDocument/2006/relationships/image" Target="media/image96.png"/><Relationship Id="rId138" Type="http://schemas.openxmlformats.org/officeDocument/2006/relationships/image" Target="media/image95.png"/><Relationship Id="rId137" Type="http://schemas.openxmlformats.org/officeDocument/2006/relationships/image" Target="media/image94.png"/><Relationship Id="rId136" Type="http://schemas.openxmlformats.org/officeDocument/2006/relationships/image" Target="media/image93.png"/><Relationship Id="rId135" Type="http://schemas.openxmlformats.org/officeDocument/2006/relationships/image" Target="media/image92.png"/><Relationship Id="rId134" Type="http://schemas.openxmlformats.org/officeDocument/2006/relationships/image" Target="media/image91.png"/><Relationship Id="rId133" Type="http://schemas.openxmlformats.org/officeDocument/2006/relationships/image" Target="media/image90.png"/><Relationship Id="rId132" Type="http://schemas.openxmlformats.org/officeDocument/2006/relationships/image" Target="media/image89.png"/><Relationship Id="rId131" Type="http://schemas.openxmlformats.org/officeDocument/2006/relationships/image" Target="media/image88.png"/><Relationship Id="rId130" Type="http://schemas.openxmlformats.org/officeDocument/2006/relationships/image" Target="media/image87.png"/><Relationship Id="rId13" Type="http://schemas.openxmlformats.org/officeDocument/2006/relationships/image" Target="media/image3.png"/><Relationship Id="rId129" Type="http://schemas.openxmlformats.org/officeDocument/2006/relationships/image" Target="media/image86.png"/><Relationship Id="rId128" Type="http://schemas.openxmlformats.org/officeDocument/2006/relationships/image" Target="media/image85.png"/><Relationship Id="rId127" Type="http://schemas.openxmlformats.org/officeDocument/2006/relationships/image" Target="media/image84.png"/><Relationship Id="rId126" Type="http://schemas.openxmlformats.org/officeDocument/2006/relationships/image" Target="media/image83.png"/><Relationship Id="rId125" Type="http://schemas.openxmlformats.org/officeDocument/2006/relationships/image" Target="media/image82.png"/><Relationship Id="rId124" Type="http://schemas.openxmlformats.org/officeDocument/2006/relationships/image" Target="media/image81.png"/><Relationship Id="rId123" Type="http://schemas.openxmlformats.org/officeDocument/2006/relationships/image" Target="media/image80.png"/><Relationship Id="rId122" Type="http://schemas.openxmlformats.org/officeDocument/2006/relationships/image" Target="media/image79.png"/><Relationship Id="rId121" Type="http://schemas.openxmlformats.org/officeDocument/2006/relationships/image" Target="media/image78.png"/><Relationship Id="rId120" Type="http://schemas.openxmlformats.org/officeDocument/2006/relationships/image" Target="media/image77.png"/><Relationship Id="rId12" Type="http://schemas.openxmlformats.org/officeDocument/2006/relationships/image" Target="media/image2.png"/><Relationship Id="rId119" Type="http://schemas.openxmlformats.org/officeDocument/2006/relationships/image" Target="media/image76.png"/><Relationship Id="rId118" Type="http://schemas.openxmlformats.org/officeDocument/2006/relationships/image" Target="media/image75.png"/><Relationship Id="rId117" Type="http://schemas.openxmlformats.org/officeDocument/2006/relationships/image" Target="media/image74.png"/><Relationship Id="rId116" Type="http://schemas.openxmlformats.org/officeDocument/2006/relationships/image" Target="media/image73.png"/><Relationship Id="rId115" Type="http://schemas.openxmlformats.org/officeDocument/2006/relationships/image" Target="media/image72.png"/><Relationship Id="rId114" Type="http://schemas.openxmlformats.org/officeDocument/2006/relationships/image" Target="media/image71.png"/><Relationship Id="rId113" Type="http://schemas.openxmlformats.org/officeDocument/2006/relationships/image" Target="media/image70.png"/><Relationship Id="rId112" Type="http://schemas.openxmlformats.org/officeDocument/2006/relationships/image" Target="media/image69.png"/><Relationship Id="rId111" Type="http://schemas.openxmlformats.org/officeDocument/2006/relationships/image" Target="media/image68.png"/><Relationship Id="rId110" Type="http://schemas.openxmlformats.org/officeDocument/2006/relationships/image" Target="media/image67.png"/><Relationship Id="rId11" Type="http://schemas.openxmlformats.org/officeDocument/2006/relationships/image" Target="media/image1.jpeg"/><Relationship Id="rId109" Type="http://schemas.openxmlformats.org/officeDocument/2006/relationships/image" Target="media/image66.png"/><Relationship Id="rId108" Type="http://schemas.openxmlformats.org/officeDocument/2006/relationships/image" Target="media/image65.png"/><Relationship Id="rId107" Type="http://schemas.openxmlformats.org/officeDocument/2006/relationships/image" Target="media/image64.png"/><Relationship Id="rId106" Type="http://schemas.openxmlformats.org/officeDocument/2006/relationships/image" Target="media/image63.png"/><Relationship Id="rId105" Type="http://schemas.openxmlformats.org/officeDocument/2006/relationships/image" Target="media/image62.png"/><Relationship Id="rId104" Type="http://schemas.openxmlformats.org/officeDocument/2006/relationships/image" Target="media/image61.png"/><Relationship Id="rId103" Type="http://schemas.openxmlformats.org/officeDocument/2006/relationships/image" Target="media/image60.png"/><Relationship Id="rId102" Type="http://schemas.openxmlformats.org/officeDocument/2006/relationships/image" Target="media/image59.png"/><Relationship Id="rId101" Type="http://schemas.openxmlformats.org/officeDocument/2006/relationships/image" Target="media/image58.png"/><Relationship Id="rId100" Type="http://schemas.openxmlformats.org/officeDocument/2006/relationships/image" Target="media/image57.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97CD12-AD70-4B13-ADBF-ADD92CDA9498}">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19</Pages>
  <Words>3744</Words>
  <Characters>6220</Characters>
  <Lines>558</Lines>
  <Paragraphs>157</Paragraphs>
  <TotalTime>28</TotalTime>
  <ScaleCrop>false</ScaleCrop>
  <LinksUpToDate>false</LinksUpToDate>
  <CharactersWithSpaces>6651</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2025-11-04T03:08:00Z</dcterms:created>
  <dc:creator>ZXL</dc:creator>
  <cp:lastModifiedBy>王璐</cp:lastModifiedBy>
  <cp:lastPrinted>2015-06-29T09:44:00Z</cp:lastPrinted>
  <dcterms:modified xsi:type="dcterms:W3CDTF">2026-01-06T06:43:02Z</dcterms:modified>
  <dc:title>论文模板</dc:title>
  <cp:revision>786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KSOProductBuildVer">
    <vt:lpwstr>2052-12.1.0.24034</vt:lpwstr>
  </property>
  <property fmtid="{D5CDD505-2E9C-101B-9397-08002B2CF9AE}" pid="4" name="ZOTERO_PREF_1">
    <vt:lpwstr>&lt;data data-version="3" zotero-version="7.0.30"&gt;&lt;session id="CqqeRapU"/&gt;&lt;style id="http://www.zotero.org/styles/peking-university-numeric" hasBibliography="1" bibliographyStyleHasBeenSet="1"/&gt;&lt;prefs&gt;&lt;pref name="fieldType" value="Field"/&gt;&lt;/prefs&gt;&lt;/data&gt;</vt:lpwstr>
  </property>
  <property fmtid="{D5CDD505-2E9C-101B-9397-08002B2CF9AE}" pid="5" name="MTEquationSection">
    <vt:lpwstr>1</vt:lpwstr>
  </property>
  <property fmtid="{D5CDD505-2E9C-101B-9397-08002B2CF9AE}" pid="6" name="MTEquationNumber2">
    <vt:lpwstr>(#E1)</vt:lpwstr>
  </property>
  <property fmtid="{D5CDD505-2E9C-101B-9397-08002B2CF9AE}" pid="7" name="KSOTemplateDocerSaveRecord">
    <vt:lpwstr>eyJoZGlkIjoiNGJjZWI2NmMzYjBlM2UyZGMwZjUwNDQyMjU3NjRlOGUiLCJ1c2VySWQiOiIzNjMyNDI1ODUifQ==</vt:lpwstr>
  </property>
  <property fmtid="{D5CDD505-2E9C-101B-9397-08002B2CF9AE}" pid="8" name="ICV">
    <vt:lpwstr>49FB713C14CB47E4BA969FF46006ADF0_12</vt:lpwstr>
  </property>
</Properties>
</file>