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A71106">
      <w:pPr>
        <w:jc w:val="center"/>
        <w:rPr>
          <w:rFonts w:ascii="Times New Roman" w:hAnsi="Times New Roman" w:cs="Times New Roman" w:eastAsiaTheme="majorEastAsia"/>
          <w:b/>
          <w:bCs/>
          <w:sz w:val="48"/>
          <w:szCs w:val="48"/>
        </w:rPr>
      </w:pPr>
      <w:r>
        <w:rPr>
          <w:rFonts w:hint="eastAsia" w:ascii="Times New Roman" w:hAnsi="Times New Roman" w:cs="Times New Roman" w:eastAsiaTheme="majorEastAsia"/>
          <w:b/>
          <w:bCs/>
          <w:sz w:val="48"/>
          <w:szCs w:val="48"/>
        </w:rPr>
        <w:t>基于非支配排序遗传算法与熵权-TOPSIS的水电站悬沙排沙漏斗无量纲直径确定方法研究</w:t>
      </w:r>
      <w:r>
        <w:rPr>
          <w:rStyle w:val="11"/>
          <w:rFonts w:hint="eastAsia" w:ascii="Times New Roman" w:hAnsi="Times New Roman" w:cs="Times New Roman" w:eastAsiaTheme="majorEastAsia"/>
          <w:b/>
          <w:bCs/>
          <w:sz w:val="48"/>
          <w:szCs w:val="48"/>
        </w:rPr>
        <w:footnoteReference w:id="0" w:customMarkFollows="1"/>
        <w:t xml:space="preserve"> </w:t>
      </w:r>
    </w:p>
    <w:p w14:paraId="2144D20C">
      <w:pPr>
        <w:jc w:val="center"/>
        <w:rPr>
          <w:rFonts w:ascii="Times New Roman" w:hAnsi="Times New Roman" w:eastAsia="楷体" w:cs="Times New Roman"/>
          <w:sz w:val="28"/>
          <w:szCs w:val="28"/>
        </w:rPr>
      </w:pPr>
      <w:r>
        <w:rPr>
          <w:rFonts w:ascii="Times New Roman" w:hAnsi="Times New Roman" w:eastAsia="楷体" w:cs="Times New Roman"/>
          <w:sz w:val="28"/>
          <w:szCs w:val="28"/>
        </w:rPr>
        <w:t>侯大荣</w:t>
      </w:r>
      <w:r>
        <w:rPr>
          <w:rFonts w:ascii="Times New Roman" w:hAnsi="Times New Roman" w:eastAsia="楷体" w:cs="Times New Roman"/>
          <w:sz w:val="28"/>
          <w:szCs w:val="28"/>
          <w:vertAlign w:val="superscript"/>
        </w:rPr>
        <w:t>1,2</w:t>
      </w:r>
      <w:r>
        <w:rPr>
          <w:rFonts w:ascii="Times New Roman" w:hAnsi="Times New Roman" w:eastAsia="楷体" w:cs="Times New Roman"/>
          <w:sz w:val="28"/>
          <w:szCs w:val="28"/>
        </w:rPr>
        <w:t>，王 元</w:t>
      </w:r>
      <w:r>
        <w:rPr>
          <w:rFonts w:hint="eastAsia" w:ascii="Times New Roman" w:hAnsi="Times New Roman" w:eastAsia="楷体" w:cs="Times New Roman"/>
          <w:sz w:val="28"/>
          <w:szCs w:val="28"/>
          <w:vertAlign w:val="superscript"/>
          <w:lang w:val="en-US" w:eastAsia="zh-CN"/>
        </w:rPr>
        <w:t>3</w:t>
      </w:r>
      <w:r>
        <w:rPr>
          <w:rFonts w:ascii="Times New Roman" w:hAnsi="Times New Roman" w:eastAsia="楷体" w:cs="Times New Roman"/>
          <w:sz w:val="28"/>
          <w:szCs w:val="28"/>
        </w:rPr>
        <w:t>，李 琳</w:t>
      </w:r>
      <w:r>
        <w:rPr>
          <w:rFonts w:ascii="Times New Roman" w:hAnsi="Times New Roman" w:eastAsia="楷体" w:cs="Times New Roman"/>
          <w:sz w:val="28"/>
          <w:szCs w:val="28"/>
          <w:vertAlign w:val="superscript"/>
        </w:rPr>
        <w:t>1,2</w:t>
      </w:r>
      <w:r>
        <w:rPr>
          <w:rFonts w:hint="eastAsia" w:ascii="Times New Roman" w:hAnsi="Times New Roman" w:eastAsia="楷体" w:cs="Times New Roman"/>
          <w:sz w:val="28"/>
          <w:szCs w:val="28"/>
        </w:rPr>
        <w:t>，张宗浈</w:t>
      </w:r>
      <w:r>
        <w:rPr>
          <w:rFonts w:ascii="Times New Roman" w:hAnsi="Times New Roman" w:eastAsia="楷体" w:cs="Times New Roman"/>
          <w:sz w:val="28"/>
          <w:szCs w:val="28"/>
          <w:vertAlign w:val="superscript"/>
        </w:rPr>
        <w:t>1,2</w:t>
      </w:r>
      <w:r>
        <w:rPr>
          <w:rFonts w:hint="eastAsia" w:ascii="Times New Roman" w:hAnsi="Times New Roman" w:eastAsia="楷体" w:cs="Times New Roman"/>
          <w:sz w:val="28"/>
          <w:szCs w:val="28"/>
        </w:rPr>
        <w:t>，周辰星</w:t>
      </w:r>
      <w:r>
        <w:rPr>
          <w:rFonts w:ascii="Times New Roman" w:hAnsi="Times New Roman" w:eastAsia="楷体" w:cs="Times New Roman"/>
          <w:sz w:val="28"/>
          <w:szCs w:val="28"/>
          <w:vertAlign w:val="superscript"/>
        </w:rPr>
        <w:t>1,2</w:t>
      </w:r>
      <w:r>
        <w:rPr>
          <w:rFonts w:hint="eastAsia" w:ascii="Times New Roman" w:hAnsi="Times New Roman" w:eastAsia="楷体" w:cs="Times New Roman"/>
          <w:sz w:val="28"/>
          <w:szCs w:val="28"/>
        </w:rPr>
        <w:t>，</w:t>
      </w:r>
    </w:p>
    <w:p w14:paraId="683AD90B">
      <w:pPr>
        <w:jc w:val="center"/>
        <w:rPr>
          <w:rFonts w:ascii="Times New Roman" w:hAnsi="Times New Roman" w:eastAsia="楷体" w:cs="Times New Roman"/>
          <w:sz w:val="28"/>
          <w:szCs w:val="28"/>
        </w:rPr>
      </w:pPr>
      <w:r>
        <w:rPr>
          <w:rFonts w:hint="eastAsia" w:ascii="Times New Roman" w:hAnsi="Times New Roman" w:eastAsia="楷体" w:cs="Times New Roman"/>
          <w:sz w:val="28"/>
          <w:szCs w:val="28"/>
        </w:rPr>
        <w:t>季文彬</w:t>
      </w:r>
      <w:r>
        <w:rPr>
          <w:rFonts w:ascii="Times New Roman" w:hAnsi="Times New Roman" w:eastAsia="楷体" w:cs="Times New Roman"/>
          <w:sz w:val="28"/>
          <w:szCs w:val="28"/>
          <w:vertAlign w:val="superscript"/>
        </w:rPr>
        <w:t>1,2</w:t>
      </w:r>
      <w:r>
        <w:rPr>
          <w:rFonts w:hint="eastAsia" w:ascii="Times New Roman" w:hAnsi="Times New Roman" w:eastAsia="楷体" w:cs="Times New Roman"/>
          <w:sz w:val="28"/>
          <w:szCs w:val="28"/>
        </w:rPr>
        <w:t>，童嘉钰</w:t>
      </w:r>
      <w:r>
        <w:rPr>
          <w:rFonts w:ascii="Times New Roman" w:hAnsi="Times New Roman" w:eastAsia="楷体" w:cs="Times New Roman"/>
          <w:sz w:val="28"/>
          <w:szCs w:val="28"/>
          <w:vertAlign w:val="superscript"/>
        </w:rPr>
        <w:t>1,2</w:t>
      </w:r>
    </w:p>
    <w:p w14:paraId="09DCAFB3">
      <w:pPr>
        <w:jc w:val="center"/>
        <w:rPr>
          <w:rFonts w:hint="eastAsia" w:ascii="Times New Roman" w:hAnsi="Times New Roman" w:eastAsia="仿宋" w:cs="Times New Roman"/>
          <w:szCs w:val="21"/>
          <w:highlight w:val="none"/>
          <w:shd w:val="clear" w:color="auto" w:fill="auto"/>
          <w:lang w:eastAsia="zh-CN"/>
        </w:rPr>
      </w:pPr>
      <w:r>
        <w:rPr>
          <w:rFonts w:ascii="Times New Roman" w:hAnsi="Times New Roman" w:eastAsia="仿宋" w:cs="Times New Roman"/>
          <w:szCs w:val="21"/>
        </w:rPr>
        <w:t>(1</w:t>
      </w:r>
      <w:r>
        <w:rPr>
          <w:rFonts w:hint="eastAsia" w:ascii="Times New Roman" w:hAnsi="Times New Roman" w:eastAsia="仿宋" w:cs="Times New Roman"/>
          <w:szCs w:val="21"/>
        </w:rPr>
        <w:t>.</w:t>
      </w:r>
      <w:r>
        <w:rPr>
          <w:rFonts w:ascii="Times New Roman" w:hAnsi="Times New Roman" w:eastAsia="仿宋" w:cs="Times New Roman"/>
          <w:szCs w:val="21"/>
        </w:rPr>
        <w:t>新疆农业大学水利与土木工程学院，新疆</w:t>
      </w:r>
      <w:r>
        <w:rPr>
          <w:rFonts w:hint="eastAsia" w:ascii="Times New Roman" w:hAnsi="Times New Roman" w:eastAsia="仿宋" w:cs="Times New Roman"/>
          <w:szCs w:val="21"/>
        </w:rPr>
        <w:t xml:space="preserve"> </w:t>
      </w:r>
      <w:r>
        <w:rPr>
          <w:rFonts w:ascii="Times New Roman" w:hAnsi="Times New Roman" w:eastAsia="仿宋" w:cs="Times New Roman"/>
          <w:szCs w:val="21"/>
        </w:rPr>
        <w:t>乌鲁木齐 830052；2</w:t>
      </w:r>
      <w:r>
        <w:rPr>
          <w:rFonts w:hint="eastAsia" w:ascii="Times New Roman" w:hAnsi="Times New Roman" w:eastAsia="仿宋" w:cs="Times New Roman"/>
          <w:szCs w:val="21"/>
        </w:rPr>
        <w:t>.</w:t>
      </w:r>
      <w:r>
        <w:rPr>
          <w:rFonts w:ascii="Times New Roman" w:hAnsi="Times New Roman" w:eastAsia="仿宋" w:cs="Times New Roman"/>
          <w:szCs w:val="21"/>
        </w:rPr>
        <w:t>新疆水利工程安全与水灾害防治重点实验室，新疆</w:t>
      </w:r>
      <w:r>
        <w:rPr>
          <w:rFonts w:hint="eastAsia" w:ascii="Times New Roman" w:hAnsi="Times New Roman" w:eastAsia="仿宋" w:cs="Times New Roman"/>
          <w:szCs w:val="21"/>
        </w:rPr>
        <w:t xml:space="preserve"> </w:t>
      </w:r>
      <w:r>
        <w:rPr>
          <w:rFonts w:ascii="Times New Roman" w:hAnsi="Times New Roman" w:eastAsia="仿宋" w:cs="Times New Roman"/>
          <w:szCs w:val="21"/>
        </w:rPr>
        <w:t>乌鲁木齐 830052</w:t>
      </w:r>
      <w:r>
        <w:rPr>
          <w:rFonts w:hint="eastAsia" w:ascii="Times New Roman" w:hAnsi="Times New Roman" w:eastAsia="仿宋" w:cs="Times New Roman"/>
          <w:szCs w:val="21"/>
          <w:lang w:eastAsia="zh-CN"/>
        </w:rPr>
        <w:t>；</w:t>
      </w:r>
      <w:r>
        <w:rPr>
          <w:rFonts w:hint="eastAsia" w:ascii="Times New Roman" w:hAnsi="Times New Roman" w:eastAsia="仿宋" w:cs="Times New Roman"/>
          <w:szCs w:val="21"/>
          <w:highlight w:val="none"/>
          <w:shd w:val="clear" w:color="auto" w:fill="auto"/>
          <w:lang w:val="en-US" w:eastAsia="zh-CN"/>
        </w:rPr>
        <w:t>3.</w:t>
      </w:r>
      <w:r>
        <w:rPr>
          <w:rFonts w:hint="eastAsia" w:ascii="Times New Roman" w:hAnsi="Times New Roman" w:eastAsia="仿宋" w:cs="Times New Roman"/>
          <w:szCs w:val="21"/>
          <w:highlight w:val="none"/>
          <w:shd w:val="clear" w:color="auto" w:fill="auto"/>
          <w:lang w:eastAsia="zh-CN"/>
        </w:rPr>
        <w:t>新疆农业职业技术大学</w:t>
      </w:r>
    </w:p>
    <w:p w14:paraId="34A56E29">
      <w:pPr>
        <w:jc w:val="center"/>
        <w:rPr>
          <w:rFonts w:ascii="Times New Roman" w:hAnsi="Times New Roman" w:eastAsia="仿宋" w:cs="Times New Roman"/>
          <w:szCs w:val="21"/>
        </w:rPr>
      </w:pPr>
      <w:r>
        <w:rPr>
          <w:rFonts w:hint="eastAsia" w:ascii="Times New Roman" w:hAnsi="Times New Roman" w:eastAsia="仿宋" w:cs="Times New Roman"/>
          <w:szCs w:val="21"/>
          <w:highlight w:val="none"/>
          <w:shd w:val="clear" w:color="auto" w:fill="auto"/>
          <w:lang w:val="en-US" w:eastAsia="zh-CN"/>
        </w:rPr>
        <w:t>新疆 昌吉 831100</w:t>
      </w:r>
      <w:r>
        <w:rPr>
          <w:rFonts w:ascii="Times New Roman" w:hAnsi="Times New Roman" w:eastAsia="仿宋" w:cs="Times New Roman"/>
          <w:szCs w:val="21"/>
        </w:rPr>
        <w:t>)</w:t>
      </w:r>
    </w:p>
    <w:p w14:paraId="497FFBB4">
      <w:pPr>
        <w:rPr>
          <w:rFonts w:ascii="Times New Roman" w:hAnsi="Times New Roman" w:eastAsia="楷体" w:cs="Times New Roman"/>
          <w:szCs w:val="21"/>
        </w:rPr>
      </w:pPr>
      <w:r>
        <w:rPr>
          <w:rFonts w:hint="eastAsia" w:ascii="黑体" w:hAnsi="黑体" w:eastAsia="黑体" w:cs="黑体"/>
          <w:b/>
          <w:bCs/>
          <w:szCs w:val="21"/>
        </w:rPr>
        <w:t>摘要</w:t>
      </w:r>
      <w:r>
        <w:rPr>
          <w:rFonts w:hint="eastAsia" w:ascii="Times New Roman" w:hAnsi="Times New Roman" w:cs="Times New Roman" w:eastAsiaTheme="majorEastAsia"/>
          <w:b/>
          <w:bCs/>
          <w:sz w:val="28"/>
          <w:szCs w:val="28"/>
        </w:rPr>
        <w:t>：</w:t>
      </w:r>
      <w:bookmarkStart w:id="0" w:name="_Hlk202871235"/>
      <w:bookmarkStart w:id="1" w:name="_Hlk202871570"/>
      <w:r>
        <w:rPr>
          <w:rFonts w:hint="eastAsia" w:ascii="楷体" w:hAnsi="楷体" w:eastAsia="楷体" w:cs="楷体"/>
          <w:szCs w:val="21"/>
        </w:rPr>
        <w:t>【目的】悬沙排沙漏斗直径是影响其水沙分离性能的重要结构参数，而目前尚无明确方法指导工程确定直径尺寸，致使已建的不同悬沙排沙漏斗工程的悬沙沉降和排出效果差异显著，因此工程当中亟需一种悬沙排沙漏斗直径确定方法指导工程设计。</w:t>
      </w:r>
      <w:bookmarkEnd w:id="0"/>
      <w:r>
        <w:rPr>
          <w:rFonts w:hint="eastAsia" w:ascii="楷体" w:hAnsi="楷体" w:eastAsia="楷体" w:cs="楷体"/>
          <w:szCs w:val="21"/>
        </w:rPr>
        <w:t>【方法】</w:t>
      </w:r>
      <w:r>
        <w:rPr>
          <w:rFonts w:ascii="Times New Roman" w:hAnsi="Times New Roman" w:eastAsia="楷体" w:cs="Times New Roman"/>
          <w:szCs w:val="21"/>
        </w:rPr>
        <w:t>以无量纲化后的漏斗直径</w:t>
      </w:r>
      <w:r>
        <w:rPr>
          <w:rFonts w:ascii="Times New Roman" w:hAnsi="Times New Roman" w:eastAsia="楷体" w:cs="Times New Roman"/>
          <w:i/>
          <w:iCs/>
          <w:szCs w:val="21"/>
        </w:rPr>
        <w:t>L</w:t>
      </w:r>
      <w:r>
        <w:rPr>
          <w:rFonts w:hint="eastAsia" w:ascii="Times New Roman" w:hAnsi="Times New Roman" w:eastAsia="楷体" w:cs="Times New Roman"/>
          <w:szCs w:val="21"/>
        </w:rPr>
        <w:t>、含沙浓度</w:t>
      </w:r>
      <w:r>
        <w:rPr>
          <w:rFonts w:hint="eastAsia" w:ascii="Times New Roman" w:hAnsi="Times New Roman" w:eastAsia="楷体" w:cs="Times New Roman"/>
          <w:i/>
          <w:iCs/>
          <w:szCs w:val="21"/>
        </w:rPr>
        <w:t>S</w:t>
      </w:r>
      <w:r>
        <w:rPr>
          <w:rFonts w:ascii="Times New Roman" w:hAnsi="Times New Roman" w:eastAsia="楷体" w:cs="Times New Roman"/>
          <w:szCs w:val="21"/>
        </w:rPr>
        <w:t>作为</w:t>
      </w:r>
      <w:r>
        <w:rPr>
          <w:rFonts w:hint="eastAsia" w:ascii="Times New Roman" w:hAnsi="Times New Roman" w:eastAsia="楷体" w:cs="Times New Roman"/>
          <w:szCs w:val="21"/>
        </w:rPr>
        <w:t>自变量</w:t>
      </w:r>
      <w:r>
        <w:rPr>
          <w:rFonts w:ascii="Times New Roman" w:hAnsi="Times New Roman" w:eastAsia="楷体" w:cs="Times New Roman"/>
          <w:szCs w:val="21"/>
        </w:rPr>
        <w:t>开展浑水试验，在试验基础上，分别采用线性函数、指数函数和幂函数，构建泥沙截除率</w:t>
      </w:r>
      <w:r>
        <w:rPr>
          <w:rFonts w:ascii="Times New Roman" w:hAnsi="Times New Roman" w:eastAsia="楷体" w:cs="Times New Roman"/>
          <w:i/>
          <w:iCs/>
          <w:szCs w:val="21"/>
        </w:rPr>
        <w:t>η</w:t>
      </w:r>
      <w:r>
        <w:rPr>
          <w:rFonts w:ascii="Times New Roman" w:hAnsi="Times New Roman" w:eastAsia="楷体" w:cs="Times New Roman"/>
          <w:szCs w:val="21"/>
        </w:rPr>
        <w:t>及排沙耗水率</w:t>
      </w:r>
      <w:r>
        <w:rPr>
          <w:rFonts w:ascii="Times New Roman" w:hAnsi="Times New Roman" w:eastAsia="楷体" w:cs="Times New Roman"/>
          <w:i/>
          <w:iCs/>
          <w:szCs w:val="21"/>
        </w:rPr>
        <w:t>λ</w:t>
      </w:r>
      <w:r>
        <w:rPr>
          <w:rFonts w:ascii="Times New Roman" w:hAnsi="Times New Roman" w:eastAsia="楷体" w:cs="Times New Roman"/>
          <w:szCs w:val="21"/>
        </w:rPr>
        <w:t>之间的预测模型，并对模型拟合精度进行对比分析</w:t>
      </w:r>
      <w:r>
        <w:rPr>
          <w:rFonts w:hint="eastAsia" w:ascii="Times New Roman" w:hAnsi="Times New Roman" w:eastAsia="楷体" w:cs="Times New Roman"/>
          <w:szCs w:val="21"/>
        </w:rPr>
        <w:t>，</w:t>
      </w:r>
      <w:r>
        <w:rPr>
          <w:rFonts w:ascii="Times New Roman" w:hAnsi="Times New Roman" w:eastAsia="楷体" w:cs="Times New Roman"/>
          <w:szCs w:val="21"/>
        </w:rPr>
        <w:t>最终使用</w:t>
      </w:r>
      <w:r>
        <w:rPr>
          <w:rFonts w:hint="eastAsia" w:ascii="Times New Roman" w:hAnsi="Times New Roman" w:eastAsia="楷体" w:cs="Times New Roman"/>
          <w:szCs w:val="21"/>
        </w:rPr>
        <w:t>幂</w:t>
      </w:r>
      <w:r>
        <w:rPr>
          <w:rFonts w:ascii="Times New Roman" w:hAnsi="Times New Roman" w:eastAsia="楷体" w:cs="Times New Roman"/>
          <w:szCs w:val="21"/>
        </w:rPr>
        <w:t>函数对泥沙截除率</w:t>
      </w:r>
      <w:r>
        <w:rPr>
          <w:rFonts w:hint="eastAsia" w:ascii="Times New Roman" w:hAnsi="Times New Roman" w:eastAsia="楷体" w:cs="Times New Roman"/>
          <w:szCs w:val="21"/>
        </w:rPr>
        <w:t>和耗水率</w:t>
      </w:r>
      <w:r>
        <w:rPr>
          <w:rFonts w:ascii="Times New Roman" w:hAnsi="Times New Roman" w:eastAsia="楷体" w:cs="Times New Roman"/>
          <w:szCs w:val="21"/>
        </w:rPr>
        <w:t>进行预测</w:t>
      </w:r>
      <w:r>
        <w:rPr>
          <w:rFonts w:hint="eastAsia" w:ascii="Times New Roman" w:hAnsi="Times New Roman" w:eastAsia="楷体" w:cs="Times New Roman"/>
          <w:szCs w:val="21"/>
        </w:rPr>
        <w:t>，</w:t>
      </w:r>
      <w:r>
        <w:rPr>
          <w:rFonts w:ascii="Times New Roman" w:hAnsi="Times New Roman" w:eastAsia="楷体" w:cs="Times New Roman"/>
          <w:szCs w:val="21"/>
        </w:rPr>
        <w:t>进一步结合非支配排序遗传算法（NSGA II）与</w:t>
      </w:r>
      <w:r>
        <w:rPr>
          <w:rFonts w:hint="eastAsia" w:ascii="Times New Roman" w:hAnsi="Times New Roman" w:eastAsia="楷体" w:cs="Times New Roman"/>
          <w:szCs w:val="21"/>
        </w:rPr>
        <w:t>熵权-</w:t>
      </w:r>
      <w:r>
        <w:rPr>
          <w:rFonts w:ascii="Times New Roman" w:hAnsi="Times New Roman" w:eastAsia="楷体" w:cs="Times New Roman"/>
          <w:szCs w:val="21"/>
        </w:rPr>
        <w:t>TOPSIS方法，以高截除率和低耗水率为目标，寻优获得</w:t>
      </w:r>
      <w:r>
        <w:rPr>
          <w:rFonts w:hint="eastAsia" w:ascii="Times New Roman" w:hAnsi="Times New Roman" w:eastAsia="楷体" w:cs="Times New Roman"/>
          <w:szCs w:val="21"/>
        </w:rPr>
        <w:t>不同含沙浓度下的</w:t>
      </w:r>
      <w:r>
        <w:rPr>
          <w:rFonts w:ascii="Times New Roman" w:hAnsi="Times New Roman" w:eastAsia="楷体" w:cs="Times New Roman"/>
          <w:szCs w:val="21"/>
        </w:rPr>
        <w:t>最优</w:t>
      </w:r>
      <w:r>
        <w:rPr>
          <w:rFonts w:ascii="Times New Roman" w:hAnsi="Times New Roman" w:eastAsia="楷体" w:cs="Times New Roman"/>
          <w:i/>
          <w:iCs/>
          <w:szCs w:val="21"/>
        </w:rPr>
        <w:t>L</w:t>
      </w:r>
      <w:r>
        <w:rPr>
          <w:rFonts w:ascii="Times New Roman" w:hAnsi="Times New Roman" w:eastAsia="楷体" w:cs="Times New Roman"/>
          <w:szCs w:val="21"/>
        </w:rPr>
        <w:t>值。</w:t>
      </w:r>
      <w:r>
        <w:rPr>
          <w:rFonts w:hint="eastAsia" w:ascii="楷体" w:hAnsi="楷体" w:eastAsia="楷体" w:cs="楷体"/>
          <w:szCs w:val="21"/>
        </w:rPr>
        <w:t>【结果】所选</w:t>
      </w:r>
      <w:r>
        <w:rPr>
          <w:rFonts w:ascii="Times New Roman" w:hAnsi="Times New Roman" w:eastAsia="楷体" w:cs="Times New Roman"/>
          <w:szCs w:val="21"/>
        </w:rPr>
        <w:t>预测</w:t>
      </w:r>
      <w:r>
        <w:rPr>
          <w:rFonts w:hint="eastAsia" w:ascii="Times New Roman" w:hAnsi="Times New Roman" w:eastAsia="楷体" w:cs="Times New Roman"/>
          <w:szCs w:val="21"/>
        </w:rPr>
        <w:t>模型</w:t>
      </w:r>
      <w:r>
        <w:rPr>
          <w:rFonts w:ascii="Times New Roman" w:hAnsi="Times New Roman" w:eastAsia="楷体" w:cs="Times New Roman"/>
          <w:szCs w:val="21"/>
        </w:rPr>
        <w:t>直接误差均小于5%，</w:t>
      </w:r>
      <w:r>
        <w:rPr>
          <w:rFonts w:ascii="Times New Roman" w:hAnsi="Times New Roman" w:eastAsia="楷体" w:cs="Times New Roman"/>
          <w:i/>
          <w:iCs/>
          <w:szCs w:val="21"/>
        </w:rPr>
        <w:t>R</w:t>
      </w:r>
      <w:r>
        <w:rPr>
          <w:rFonts w:ascii="Times New Roman" w:hAnsi="Times New Roman" w:eastAsia="楷体" w:cs="Times New Roman"/>
          <w:szCs w:val="21"/>
          <w:vertAlign w:val="superscript"/>
        </w:rPr>
        <w:t>2</w:t>
      </w:r>
      <w:r>
        <w:rPr>
          <w:rFonts w:ascii="Times New Roman" w:hAnsi="Times New Roman" w:eastAsia="楷体" w:cs="Times New Roman"/>
          <w:szCs w:val="21"/>
        </w:rPr>
        <w:t>均大于0.9</w:t>
      </w:r>
      <w:r>
        <w:rPr>
          <w:rFonts w:hint="eastAsia" w:ascii="Times New Roman" w:hAnsi="Times New Roman" w:eastAsia="楷体" w:cs="Times New Roman"/>
          <w:szCs w:val="21"/>
        </w:rPr>
        <w:t>1，模型具有较高精度；不同含沙浓度下</w:t>
      </w:r>
      <w:r>
        <w:rPr>
          <w:rFonts w:ascii="Times New Roman" w:hAnsi="Times New Roman" w:eastAsia="楷体" w:cs="Times New Roman"/>
          <w:szCs w:val="21"/>
        </w:rPr>
        <w:t>最优</w:t>
      </w:r>
      <w:r>
        <w:rPr>
          <w:rFonts w:hint="eastAsia" w:ascii="Times New Roman" w:hAnsi="Times New Roman" w:eastAsia="楷体" w:cs="Times New Roman"/>
          <w:szCs w:val="21"/>
        </w:rPr>
        <w:t>无量纲直径</w:t>
      </w:r>
      <w:r>
        <w:rPr>
          <w:rFonts w:ascii="Times New Roman" w:hAnsi="Times New Roman" w:eastAsia="楷体" w:cs="Times New Roman"/>
          <w:i/>
          <w:iCs/>
          <w:szCs w:val="21"/>
        </w:rPr>
        <w:t>L</w:t>
      </w:r>
      <w:r>
        <w:rPr>
          <w:rFonts w:hint="eastAsia" w:ascii="Times New Roman" w:hAnsi="Times New Roman" w:eastAsia="楷体" w:cs="Times New Roman"/>
          <w:szCs w:val="21"/>
        </w:rPr>
        <w:t>接近</w:t>
      </w:r>
      <w:r>
        <w:rPr>
          <w:rFonts w:hint="eastAsia" w:ascii="Times New Roman" w:hAnsi="Times New Roman" w:eastAsia="楷体" w:cs="Times New Roman"/>
          <w:i/>
          <w:iCs/>
          <w:szCs w:val="21"/>
        </w:rPr>
        <w:t>，</w:t>
      </w:r>
      <w:r>
        <w:rPr>
          <w:rFonts w:ascii="Times New Roman" w:hAnsi="Times New Roman" w:eastAsia="楷体" w:cs="Times New Roman"/>
          <w:szCs w:val="21"/>
        </w:rPr>
        <w:t>为0.0003</w:t>
      </w:r>
      <w:r>
        <w:rPr>
          <w:rFonts w:hint="eastAsia" w:ascii="Times New Roman" w:hAnsi="Times New Roman" w:eastAsia="楷体" w:cs="Times New Roman"/>
          <w:szCs w:val="21"/>
        </w:rPr>
        <w:t>6~0.0004；以某工程为验证对象对其重新设计，漏斗泥沙截除率由30.34%提升至41.7%，提升11.36%</w:t>
      </w:r>
      <w:r>
        <w:rPr>
          <w:rFonts w:ascii="Times New Roman" w:hAnsi="Times New Roman" w:eastAsia="楷体" w:cs="Times New Roman"/>
          <w:szCs w:val="21"/>
        </w:rPr>
        <w:t>。</w:t>
      </w:r>
      <w:r>
        <w:rPr>
          <w:rFonts w:hint="eastAsia" w:ascii="楷体" w:hAnsi="楷体" w:eastAsia="楷体" w:cs="楷体"/>
          <w:szCs w:val="21"/>
        </w:rPr>
        <w:t>【结论】结果表明，所提</w:t>
      </w:r>
      <w:r>
        <w:rPr>
          <w:rFonts w:ascii="Times New Roman" w:hAnsi="Times New Roman" w:eastAsia="楷体" w:cs="Times New Roman"/>
          <w:szCs w:val="21"/>
        </w:rPr>
        <w:t>无量纲直径</w:t>
      </w:r>
      <w:r>
        <w:rPr>
          <w:rFonts w:hint="eastAsia" w:ascii="Times New Roman" w:hAnsi="Times New Roman" w:eastAsia="楷体" w:cs="Times New Roman"/>
          <w:szCs w:val="21"/>
        </w:rPr>
        <w:t>确定</w:t>
      </w:r>
      <w:r>
        <w:rPr>
          <w:rFonts w:ascii="Times New Roman" w:hAnsi="Times New Roman" w:eastAsia="楷体" w:cs="Times New Roman"/>
          <w:szCs w:val="21"/>
        </w:rPr>
        <w:t>方法可有效协调截除率与耗水率之间的关系，具有较强的工程适用性和推广价值，研究结果可为悬沙排沙漏斗的设计提供</w:t>
      </w:r>
      <w:r>
        <w:rPr>
          <w:rFonts w:hint="eastAsia" w:ascii="Times New Roman" w:hAnsi="Times New Roman" w:eastAsia="楷体" w:cs="Times New Roman"/>
          <w:szCs w:val="21"/>
        </w:rPr>
        <w:t>方法指导</w:t>
      </w:r>
      <w:r>
        <w:rPr>
          <w:rFonts w:ascii="Times New Roman" w:hAnsi="Times New Roman" w:eastAsia="楷体" w:cs="Times New Roman"/>
          <w:szCs w:val="21"/>
        </w:rPr>
        <w:t>。</w:t>
      </w:r>
    </w:p>
    <w:bookmarkEnd w:id="1"/>
    <w:p w14:paraId="4DE7F5F1">
      <w:pPr>
        <w:rPr>
          <w:rFonts w:hint="eastAsia" w:ascii="楷体" w:hAnsi="楷体" w:eastAsia="楷体" w:cs="楷体"/>
          <w:szCs w:val="21"/>
        </w:rPr>
      </w:pPr>
      <w:r>
        <w:rPr>
          <w:rFonts w:hint="eastAsia" w:ascii="黑体" w:hAnsi="黑体" w:eastAsia="黑体" w:cs="黑体"/>
          <w:b/>
          <w:bCs/>
          <w:szCs w:val="21"/>
        </w:rPr>
        <w:t>关键词:</w:t>
      </w:r>
      <w:r>
        <w:rPr>
          <w:rFonts w:hint="eastAsia" w:ascii="Times New Roman" w:hAnsi="Times New Roman" w:cs="Times New Roman" w:eastAsiaTheme="majorEastAsia"/>
          <w:b/>
          <w:bCs/>
          <w:sz w:val="28"/>
          <w:szCs w:val="28"/>
        </w:rPr>
        <w:t xml:space="preserve"> </w:t>
      </w:r>
      <w:r>
        <w:rPr>
          <w:rFonts w:hint="eastAsia" w:ascii="楷体" w:hAnsi="楷体" w:eastAsia="楷体" w:cs="楷体"/>
          <w:szCs w:val="21"/>
        </w:rPr>
        <w:t>悬沙排沙漏斗；无量纲直径</w:t>
      </w:r>
      <w:r>
        <w:rPr>
          <w:rFonts w:hint="eastAsia" w:ascii="楷体" w:hAnsi="楷体" w:eastAsia="楷体" w:cs="楷体"/>
          <w:b/>
          <w:bCs/>
          <w:szCs w:val="21"/>
        </w:rPr>
        <w:t>；</w:t>
      </w:r>
      <w:r>
        <w:rPr>
          <w:rFonts w:hint="eastAsia" w:ascii="楷体" w:hAnsi="楷体" w:eastAsia="楷体" w:cs="楷体"/>
          <w:szCs w:val="21"/>
        </w:rPr>
        <w:t>多目标寻优；截除率；耗水率</w:t>
      </w:r>
    </w:p>
    <w:p w14:paraId="56D2F850">
      <w:pPr>
        <w:rPr>
          <w:rFonts w:hint="eastAsia" w:ascii="楷体" w:hAnsi="楷体" w:eastAsia="楷体" w:cs="楷体"/>
          <w:szCs w:val="21"/>
        </w:rPr>
      </w:pPr>
      <w:r>
        <w:rPr>
          <w:rFonts w:hint="eastAsia" w:ascii="楷体" w:hAnsi="楷体" w:eastAsia="楷体" w:cs="楷体"/>
          <w:szCs w:val="21"/>
        </w:rPr>
        <w:t>DOI:          OSID:</w:t>
      </w:r>
    </w:p>
    <w:p w14:paraId="768D0620">
      <w:pPr>
        <w:rPr>
          <w:rFonts w:ascii="Times New Roman" w:hAnsi="Times New Roman" w:cs="Times New Roman"/>
          <w:sz w:val="18"/>
          <w:szCs w:val="18"/>
        </w:rPr>
      </w:pPr>
      <w:r>
        <w:rPr>
          <w:rFonts w:hint="eastAsia" w:ascii="黑体" w:hAnsi="黑体" w:eastAsia="黑体" w:cs="黑体"/>
          <w:b/>
          <w:bCs/>
          <w:sz w:val="18"/>
          <w:szCs w:val="18"/>
        </w:rPr>
        <w:t>中图分类号：</w:t>
      </w:r>
      <w:r>
        <w:rPr>
          <w:rFonts w:ascii="Times New Roman" w:hAnsi="Times New Roman" w:eastAsia="黑体" w:cs="Times New Roman"/>
          <w:sz w:val="18"/>
          <w:szCs w:val="18"/>
        </w:rPr>
        <w:t xml:space="preserve">TV673   </w:t>
      </w:r>
      <w:r>
        <w:rPr>
          <w:rFonts w:hint="eastAsia" w:ascii="黑体" w:hAnsi="黑体" w:eastAsia="黑体" w:cs="黑体"/>
          <w:b/>
          <w:bCs/>
          <w:sz w:val="18"/>
          <w:szCs w:val="18"/>
        </w:rPr>
        <w:t xml:space="preserve">              </w:t>
      </w:r>
      <w:r>
        <w:rPr>
          <w:rFonts w:ascii="Times New Roman" w:hAnsi="Times New Roman" w:eastAsia="黑体" w:cs="Times New Roman"/>
          <w:b/>
          <w:sz w:val="18"/>
          <w:szCs w:val="18"/>
        </w:rPr>
        <w:t>文献标志码</w:t>
      </w:r>
      <w:r>
        <w:rPr>
          <w:rFonts w:ascii="Times New Roman" w:hAnsi="Times New Roman" w:cs="Times New Roman"/>
          <w:b/>
          <w:sz w:val="18"/>
          <w:szCs w:val="18"/>
        </w:rPr>
        <w:t>：A</w:t>
      </w:r>
      <w:r>
        <w:rPr>
          <w:rFonts w:ascii="Times New Roman" w:hAnsi="Times New Roman" w:cs="Times New Roman"/>
          <w:sz w:val="18"/>
          <w:szCs w:val="18"/>
        </w:rPr>
        <w:t xml:space="preserve">  </w:t>
      </w:r>
      <w:r>
        <w:rPr>
          <w:rFonts w:hint="eastAsia" w:ascii="Times New Roman" w:hAnsi="Times New Roman" w:cs="Times New Roman"/>
          <w:sz w:val="18"/>
          <w:szCs w:val="18"/>
        </w:rPr>
        <w:t xml:space="preserve">       文章编号：w20250600</w:t>
      </w:r>
    </w:p>
    <w:p w14:paraId="1B30FD80">
      <w:pPr>
        <w:jc w:val="center"/>
        <w:rPr>
          <w:rFonts w:ascii="Times New Roman" w:hAnsi="Times New Roman" w:eastAsia="黑体" w:cs="Times New Roman"/>
          <w:b/>
          <w:bCs/>
          <w:sz w:val="28"/>
          <w:szCs w:val="28"/>
        </w:rPr>
      </w:pPr>
      <w:r>
        <w:rPr>
          <w:rFonts w:hint="eastAsia" w:ascii="Times New Roman" w:hAnsi="Times New Roman" w:eastAsia="黑体" w:cs="Times New Roman"/>
          <w:b/>
          <w:bCs/>
          <w:sz w:val="28"/>
          <w:szCs w:val="28"/>
          <w:lang w:val="en-US" w:eastAsia="zh-CN"/>
        </w:rPr>
        <w:t>D</w:t>
      </w:r>
      <w:r>
        <w:rPr>
          <w:rFonts w:hint="eastAsia" w:ascii="Times New Roman" w:hAnsi="Times New Roman" w:eastAsia="黑体" w:cs="Times New Roman"/>
          <w:b/>
          <w:bCs/>
          <w:sz w:val="28"/>
          <w:szCs w:val="28"/>
        </w:rPr>
        <w:t xml:space="preserve">etermination method for </w:t>
      </w:r>
      <w:r>
        <w:rPr>
          <w:rFonts w:hint="eastAsia" w:ascii="Times New Roman" w:hAnsi="Times New Roman" w:eastAsia="黑体" w:cs="Times New Roman"/>
          <w:b/>
          <w:bCs/>
          <w:sz w:val="28"/>
          <w:szCs w:val="28"/>
          <w:lang w:val="en-US" w:eastAsia="zh-CN"/>
        </w:rPr>
        <w:t>d</w:t>
      </w:r>
      <w:r>
        <w:rPr>
          <w:rFonts w:hint="eastAsia" w:ascii="Times New Roman" w:hAnsi="Times New Roman" w:eastAsia="黑体" w:cs="Times New Roman"/>
          <w:b/>
          <w:bCs/>
          <w:sz w:val="28"/>
          <w:szCs w:val="28"/>
        </w:rPr>
        <w:t xml:space="preserve">imensionless diameter </w:t>
      </w:r>
      <w:r>
        <w:rPr>
          <w:rFonts w:hint="eastAsia" w:ascii="Times New Roman" w:hAnsi="Times New Roman" w:eastAsia="黑体" w:cs="Times New Roman"/>
          <w:b/>
          <w:bCs/>
          <w:sz w:val="28"/>
          <w:szCs w:val="28"/>
          <w:lang w:val="en-US" w:eastAsia="zh-CN"/>
        </w:rPr>
        <w:t xml:space="preserve">of </w:t>
      </w:r>
      <w:r>
        <w:rPr>
          <w:rFonts w:hint="eastAsia" w:ascii="Times New Roman" w:hAnsi="Times New Roman" w:eastAsia="黑体" w:cs="Times New Roman"/>
          <w:b/>
          <w:bCs/>
          <w:sz w:val="28"/>
          <w:szCs w:val="28"/>
        </w:rPr>
        <w:t xml:space="preserve">vortex settling basin </w:t>
      </w:r>
      <w:r>
        <w:rPr>
          <w:rFonts w:hint="eastAsia" w:ascii="Times New Roman" w:hAnsi="Times New Roman" w:eastAsia="黑体" w:cs="Times New Roman"/>
          <w:b/>
          <w:bCs/>
          <w:sz w:val="28"/>
          <w:szCs w:val="28"/>
          <w:lang w:val="en-US" w:eastAsia="zh-CN"/>
        </w:rPr>
        <w:t>for</w:t>
      </w:r>
      <w:r>
        <w:rPr>
          <w:rFonts w:hint="eastAsia" w:ascii="Times New Roman" w:hAnsi="Times New Roman" w:eastAsia="黑体" w:cs="Times New Roman"/>
          <w:b/>
          <w:bCs/>
          <w:sz w:val="28"/>
          <w:szCs w:val="28"/>
        </w:rPr>
        <w:t xml:space="preserve"> suspended sediment in hydropower stations </w:t>
      </w:r>
      <w:r>
        <w:rPr>
          <w:rFonts w:hint="eastAsia" w:ascii="Times New Roman" w:hAnsi="Times New Roman" w:eastAsia="黑体" w:cs="Times New Roman"/>
          <w:b/>
          <w:bCs/>
          <w:sz w:val="28"/>
          <w:szCs w:val="28"/>
          <w:lang w:val="en-US" w:eastAsia="zh-CN"/>
        </w:rPr>
        <w:t>based on</w:t>
      </w:r>
      <w:r>
        <w:rPr>
          <w:rFonts w:hint="eastAsia" w:ascii="Times New Roman" w:hAnsi="Times New Roman" w:eastAsia="黑体" w:cs="Times New Roman"/>
          <w:b/>
          <w:bCs/>
          <w:sz w:val="28"/>
          <w:szCs w:val="28"/>
        </w:rPr>
        <w:t xml:space="preserve"> NSGA-II and </w:t>
      </w:r>
      <w:r>
        <w:rPr>
          <w:rFonts w:hint="eastAsia" w:ascii="Times New Roman" w:hAnsi="Times New Roman" w:eastAsia="黑体" w:cs="Times New Roman"/>
          <w:b/>
          <w:bCs/>
          <w:sz w:val="28"/>
          <w:szCs w:val="28"/>
          <w:lang w:val="en-US" w:eastAsia="zh-CN"/>
        </w:rPr>
        <w:t>e</w:t>
      </w:r>
      <w:r>
        <w:rPr>
          <w:rFonts w:hint="eastAsia" w:ascii="Times New Roman" w:hAnsi="Times New Roman" w:eastAsia="黑体" w:cs="Times New Roman"/>
          <w:b/>
          <w:bCs/>
          <w:sz w:val="28"/>
          <w:szCs w:val="28"/>
        </w:rPr>
        <w:t>ntropy</w:t>
      </w:r>
      <w:r>
        <w:rPr>
          <w:rFonts w:hint="eastAsia" w:ascii="Times New Roman" w:hAnsi="Times New Roman" w:eastAsia="黑体" w:cs="Times New Roman"/>
          <w:b/>
          <w:bCs/>
          <w:sz w:val="28"/>
          <w:szCs w:val="28"/>
          <w:lang w:val="en-US" w:eastAsia="zh-CN"/>
        </w:rPr>
        <w:t xml:space="preserve"> w</w:t>
      </w:r>
      <w:r>
        <w:rPr>
          <w:rFonts w:hint="eastAsia" w:ascii="Times New Roman" w:hAnsi="Times New Roman" w:eastAsia="黑体" w:cs="Times New Roman"/>
          <w:b/>
          <w:bCs/>
          <w:sz w:val="28"/>
          <w:szCs w:val="28"/>
        </w:rPr>
        <w:t>eight</w:t>
      </w:r>
      <w:r>
        <w:rPr>
          <w:rFonts w:hint="eastAsia" w:ascii="Times New Roman" w:hAnsi="Times New Roman" w:eastAsia="黑体" w:cs="Times New Roman"/>
          <w:b/>
          <w:bCs/>
          <w:sz w:val="28"/>
          <w:szCs w:val="28"/>
          <w:lang w:val="en-US" w:eastAsia="zh-CN"/>
        </w:rPr>
        <w:t>-</w:t>
      </w:r>
      <w:r>
        <w:rPr>
          <w:rFonts w:hint="eastAsia" w:ascii="Times New Roman" w:hAnsi="Times New Roman" w:eastAsia="黑体" w:cs="Times New Roman"/>
          <w:b/>
          <w:bCs/>
          <w:sz w:val="28"/>
          <w:szCs w:val="28"/>
        </w:rPr>
        <w:t>TOPSIS</w:t>
      </w:r>
    </w:p>
    <w:p w14:paraId="4179E55A">
      <w:pPr>
        <w:jc w:val="center"/>
        <w:rPr>
          <w:rFonts w:ascii="Times New Roman" w:hAnsi="Times New Roman" w:eastAsia="楷体" w:cs="Times New Roman"/>
          <w:szCs w:val="21"/>
        </w:rPr>
      </w:pPr>
      <w:r>
        <w:rPr>
          <w:rFonts w:ascii="Times New Roman" w:hAnsi="Times New Roman" w:eastAsia="黑体" w:cs="Times New Roman"/>
          <w:szCs w:val="21"/>
        </w:rPr>
        <w:t>HOU Darong</w:t>
      </w:r>
      <w:r>
        <w:rPr>
          <w:rFonts w:ascii="Times New Roman" w:hAnsi="Times New Roman" w:eastAsia="楷体" w:cs="Times New Roman"/>
          <w:szCs w:val="21"/>
          <w:vertAlign w:val="superscript"/>
        </w:rPr>
        <w:t>1,2</w:t>
      </w:r>
      <w:r>
        <w:rPr>
          <w:rFonts w:ascii="Times New Roman" w:hAnsi="Times New Roman" w:eastAsia="楷体" w:cs="Times New Roman"/>
          <w:szCs w:val="21"/>
        </w:rPr>
        <w:t>，WANG Yuan</w:t>
      </w:r>
      <w:r>
        <w:rPr>
          <w:rFonts w:hint="eastAsia" w:ascii="Times New Roman" w:hAnsi="Times New Roman" w:eastAsia="楷体" w:cs="Times New Roman"/>
          <w:szCs w:val="21"/>
          <w:vertAlign w:val="superscript"/>
          <w:lang w:val="en-US" w:eastAsia="zh-CN"/>
        </w:rPr>
        <w:t>3</w:t>
      </w:r>
      <w:r>
        <w:rPr>
          <w:rFonts w:ascii="Times New Roman" w:hAnsi="Times New Roman" w:eastAsia="楷体" w:cs="Times New Roman"/>
          <w:szCs w:val="21"/>
        </w:rPr>
        <w:t>，LI Lin</w:t>
      </w:r>
      <w:r>
        <w:rPr>
          <w:rFonts w:ascii="Times New Roman" w:hAnsi="Times New Roman" w:eastAsia="楷体" w:cs="Times New Roman"/>
          <w:szCs w:val="21"/>
          <w:vertAlign w:val="superscript"/>
        </w:rPr>
        <w:t>1,2</w:t>
      </w:r>
      <w:r>
        <w:rPr>
          <w:rFonts w:ascii="Times New Roman" w:hAnsi="Times New Roman" w:eastAsia="楷体" w:cs="Times New Roman"/>
          <w:szCs w:val="21"/>
        </w:rPr>
        <w:t>，ZHANG Zongzhen</w:t>
      </w:r>
      <w:r>
        <w:rPr>
          <w:rFonts w:ascii="Times New Roman" w:hAnsi="Times New Roman" w:eastAsia="楷体" w:cs="Times New Roman"/>
          <w:szCs w:val="21"/>
          <w:vertAlign w:val="superscript"/>
        </w:rPr>
        <w:t>1,2</w:t>
      </w:r>
      <w:r>
        <w:rPr>
          <w:rFonts w:ascii="Times New Roman" w:hAnsi="Times New Roman" w:eastAsia="楷体" w:cs="Times New Roman"/>
          <w:szCs w:val="21"/>
        </w:rPr>
        <w:t>，ZHOU Chenxing</w:t>
      </w:r>
      <w:r>
        <w:rPr>
          <w:rFonts w:ascii="Times New Roman" w:hAnsi="Times New Roman" w:eastAsia="楷体" w:cs="Times New Roman"/>
          <w:szCs w:val="21"/>
          <w:vertAlign w:val="superscript"/>
        </w:rPr>
        <w:t>1,2</w:t>
      </w:r>
      <w:r>
        <w:rPr>
          <w:rFonts w:ascii="Times New Roman" w:hAnsi="Times New Roman" w:eastAsia="楷体" w:cs="Times New Roman"/>
          <w:szCs w:val="21"/>
        </w:rPr>
        <w:t>，JI Wenbin</w:t>
      </w:r>
      <w:r>
        <w:rPr>
          <w:rFonts w:ascii="Times New Roman" w:hAnsi="Times New Roman" w:eastAsia="楷体" w:cs="Times New Roman"/>
          <w:szCs w:val="21"/>
          <w:vertAlign w:val="superscript"/>
        </w:rPr>
        <w:t>1,2</w:t>
      </w:r>
      <w:r>
        <w:rPr>
          <w:rFonts w:ascii="Times New Roman" w:hAnsi="Times New Roman" w:eastAsia="楷体" w:cs="Times New Roman"/>
          <w:szCs w:val="21"/>
        </w:rPr>
        <w:t>，TONG Jiayu</w:t>
      </w:r>
      <w:r>
        <w:rPr>
          <w:rFonts w:ascii="Times New Roman" w:hAnsi="Times New Roman" w:eastAsia="楷体" w:cs="Times New Roman"/>
          <w:szCs w:val="21"/>
          <w:vertAlign w:val="superscript"/>
        </w:rPr>
        <w:t>1,2</w:t>
      </w:r>
    </w:p>
    <w:p w14:paraId="7C607CF7">
      <w:pPr>
        <w:jc w:val="center"/>
        <w:rPr>
          <w:rFonts w:ascii="Times New Roman" w:hAnsi="Times New Roman" w:eastAsia="黑体" w:cs="Times New Roman"/>
          <w:sz w:val="18"/>
          <w:szCs w:val="18"/>
        </w:rPr>
      </w:pPr>
      <w:r>
        <w:rPr>
          <w:rFonts w:ascii="Times New Roman" w:hAnsi="Times New Roman" w:eastAsia="黑体" w:cs="Times New Roman"/>
          <w:sz w:val="18"/>
          <w:szCs w:val="18"/>
        </w:rPr>
        <w:t xml:space="preserve">(1. College of Hydraulic and Civil Engineering, Xinjiang Agricultural University, Urumqi 830052, </w:t>
      </w:r>
      <w:r>
        <w:rPr>
          <w:rFonts w:hint="eastAsia" w:ascii="Times New Roman" w:hAnsi="Times New Roman" w:eastAsia="黑体" w:cs="Times New Roman"/>
          <w:sz w:val="18"/>
          <w:szCs w:val="18"/>
        </w:rPr>
        <w:t xml:space="preserve">Xinjiang, </w:t>
      </w:r>
      <w:r>
        <w:rPr>
          <w:rFonts w:ascii="Times New Roman" w:hAnsi="Times New Roman" w:eastAsia="黑体" w:cs="Times New Roman"/>
          <w:sz w:val="18"/>
          <w:szCs w:val="18"/>
        </w:rPr>
        <w:t>China; 2.</w:t>
      </w:r>
      <w:r>
        <w:rPr>
          <w:rFonts w:hint="eastAsia" w:ascii="Times New Roman" w:hAnsi="Times New Roman" w:eastAsia="黑体" w:cs="Times New Roman"/>
          <w:sz w:val="18"/>
          <w:szCs w:val="18"/>
          <w:lang w:val="en-US" w:eastAsia="zh-CN"/>
        </w:rPr>
        <w:t xml:space="preserve"> </w:t>
      </w:r>
      <w:r>
        <w:rPr>
          <w:rFonts w:ascii="Times New Roman" w:hAnsi="Times New Roman" w:eastAsia="黑体" w:cs="Times New Roman"/>
          <w:sz w:val="18"/>
          <w:szCs w:val="18"/>
        </w:rPr>
        <w:t>Xinjiang Key Laboratory of</w:t>
      </w:r>
      <w:r>
        <w:rPr>
          <w:rFonts w:hint="eastAsia" w:ascii="Times New Roman" w:hAnsi="Times New Roman" w:eastAsia="黑体" w:cs="Times New Roman"/>
          <w:sz w:val="18"/>
          <w:szCs w:val="18"/>
        </w:rPr>
        <w:t xml:space="preserve"> </w:t>
      </w:r>
      <w:r>
        <w:rPr>
          <w:rFonts w:ascii="Times New Roman" w:hAnsi="Times New Roman" w:eastAsia="黑体" w:cs="Times New Roman"/>
          <w:sz w:val="18"/>
          <w:szCs w:val="18"/>
        </w:rPr>
        <w:t>Hydraulic Engineering Security and Water Disasters</w:t>
      </w:r>
      <w:r>
        <w:rPr>
          <w:rFonts w:hint="eastAsia" w:ascii="Times New Roman" w:hAnsi="Times New Roman" w:eastAsia="黑体" w:cs="Times New Roman"/>
          <w:sz w:val="18"/>
          <w:szCs w:val="18"/>
        </w:rPr>
        <w:t xml:space="preserve"> </w:t>
      </w:r>
      <w:r>
        <w:rPr>
          <w:rFonts w:ascii="Times New Roman" w:hAnsi="Times New Roman" w:eastAsia="黑体" w:cs="Times New Roman"/>
          <w:sz w:val="18"/>
          <w:szCs w:val="18"/>
        </w:rPr>
        <w:t xml:space="preserve">Prevention, Urumqi 830052, </w:t>
      </w:r>
      <w:r>
        <w:rPr>
          <w:rFonts w:hint="eastAsia" w:ascii="Times New Roman" w:hAnsi="Times New Roman" w:eastAsia="黑体" w:cs="Times New Roman"/>
          <w:sz w:val="18"/>
          <w:szCs w:val="18"/>
        </w:rPr>
        <w:t xml:space="preserve">Xinjiang, </w:t>
      </w:r>
      <w:r>
        <w:rPr>
          <w:rFonts w:ascii="Times New Roman" w:hAnsi="Times New Roman" w:eastAsia="黑体" w:cs="Times New Roman"/>
          <w:sz w:val="18"/>
          <w:szCs w:val="18"/>
        </w:rPr>
        <w:t>China</w:t>
      </w:r>
      <w:r>
        <w:rPr>
          <w:rFonts w:hint="eastAsia" w:ascii="Times New Roman" w:hAnsi="Times New Roman" w:eastAsia="黑体" w:cs="Times New Roman"/>
          <w:sz w:val="18"/>
          <w:szCs w:val="18"/>
          <w:lang w:eastAsia="zh-CN"/>
        </w:rPr>
        <w:t>；</w:t>
      </w:r>
      <w:r>
        <w:rPr>
          <w:rFonts w:hint="eastAsia" w:ascii="Times New Roman" w:hAnsi="Times New Roman" w:eastAsia="黑体" w:cs="Times New Roman"/>
          <w:sz w:val="18"/>
          <w:szCs w:val="18"/>
          <w:highlight w:val="none"/>
          <w:shd w:val="clear" w:color="auto" w:fill="auto"/>
          <w:lang w:val="en-US" w:eastAsia="zh-CN"/>
        </w:rPr>
        <w:t xml:space="preserve">3. </w:t>
      </w:r>
      <w:r>
        <w:rPr>
          <w:rFonts w:hint="eastAsia" w:ascii="Times New Roman" w:hAnsi="Times New Roman" w:eastAsia="黑体" w:cs="Times New Roman"/>
          <w:sz w:val="18"/>
          <w:szCs w:val="18"/>
          <w:highlight w:val="none"/>
          <w:shd w:val="clear" w:color="auto" w:fill="auto"/>
          <w:lang w:eastAsia="zh-CN"/>
        </w:rPr>
        <w:t>Xinjiang Agricultural Vocational and Technical University</w:t>
      </w:r>
      <w:r>
        <w:rPr>
          <w:rFonts w:hint="eastAsia" w:ascii="Times New Roman" w:hAnsi="Times New Roman" w:eastAsia="黑体" w:cs="Times New Roman"/>
          <w:sz w:val="18"/>
          <w:szCs w:val="18"/>
          <w:highlight w:val="none"/>
          <w:shd w:val="clear" w:color="auto" w:fill="auto"/>
          <w:lang w:val="en-US" w:eastAsia="zh-CN"/>
        </w:rPr>
        <w:t xml:space="preserve">, Changji 831100, </w:t>
      </w:r>
      <w:r>
        <w:rPr>
          <w:rFonts w:hint="eastAsia" w:ascii="Times New Roman" w:hAnsi="Times New Roman" w:eastAsia="黑体" w:cs="Times New Roman"/>
          <w:sz w:val="18"/>
          <w:szCs w:val="18"/>
          <w:highlight w:val="none"/>
          <w:shd w:val="clear" w:color="auto" w:fill="auto"/>
        </w:rPr>
        <w:t xml:space="preserve">Xinjiang, </w:t>
      </w:r>
      <w:r>
        <w:rPr>
          <w:rFonts w:ascii="Times New Roman" w:hAnsi="Times New Roman" w:eastAsia="黑体" w:cs="Times New Roman"/>
          <w:sz w:val="18"/>
          <w:szCs w:val="18"/>
          <w:highlight w:val="none"/>
          <w:shd w:val="clear" w:color="auto" w:fill="auto"/>
        </w:rPr>
        <w:t>China</w:t>
      </w:r>
      <w:r>
        <w:rPr>
          <w:rFonts w:ascii="Times New Roman" w:hAnsi="Times New Roman" w:eastAsia="黑体" w:cs="Times New Roman"/>
          <w:sz w:val="18"/>
          <w:szCs w:val="18"/>
        </w:rPr>
        <w:t>)</w:t>
      </w:r>
    </w:p>
    <w:p w14:paraId="1CA716AE">
      <w:pPr>
        <w:rPr>
          <w:rFonts w:ascii="Times New Roman" w:hAnsi="Times New Roman" w:eastAsia="黑体" w:cs="Times New Roman"/>
          <w:b/>
          <w:bCs/>
          <w:szCs w:val="21"/>
        </w:rPr>
      </w:pPr>
      <w:r>
        <w:rPr>
          <w:rFonts w:hint="eastAsia" w:ascii="Times New Roman" w:hAnsi="Times New Roman" w:eastAsia="黑体" w:cs="Times New Roman"/>
          <w:b/>
          <w:bCs/>
          <w:szCs w:val="21"/>
        </w:rPr>
        <w:t>Abstract: [Objective]</w:t>
      </w:r>
      <w:r>
        <w:t xml:space="preserve"> </w:t>
      </w:r>
      <w:r>
        <w:rPr>
          <w:rFonts w:ascii="Times New Roman" w:hAnsi="Times New Roman" w:eastAsia="黑体" w:cs="Times New Roman"/>
          <w:szCs w:val="21"/>
        </w:rPr>
        <w:t xml:space="preserve">The diameter of </w:t>
      </w:r>
      <w:r>
        <w:rPr>
          <w:rFonts w:hint="eastAsia" w:ascii="Times New Roman" w:hAnsi="Times New Roman" w:eastAsia="黑体" w:cs="Times New Roman"/>
          <w:szCs w:val="21"/>
          <w:lang w:val="en-US" w:eastAsia="zh-CN"/>
        </w:rPr>
        <w:t>a</w:t>
      </w:r>
      <w:r>
        <w:rPr>
          <w:rFonts w:ascii="Times New Roman" w:hAnsi="Times New Roman" w:eastAsia="黑体" w:cs="Times New Roman"/>
          <w:szCs w:val="21"/>
        </w:rPr>
        <w:t xml:space="preserve"> vortex settling basin for suspended sediment is a key structural parameter that significantly affects its sediment–water separation performance. </w:t>
      </w:r>
      <w:r>
        <w:rPr>
          <w:rFonts w:hint="eastAsia" w:ascii="Times New Roman" w:hAnsi="Times New Roman" w:eastAsia="黑体" w:cs="Times New Roman"/>
          <w:szCs w:val="21"/>
        </w:rPr>
        <w:t xml:space="preserve">Currently, </w:t>
      </w:r>
      <w:r>
        <w:rPr>
          <w:rFonts w:hint="eastAsia" w:ascii="Times New Roman" w:hAnsi="Times New Roman" w:eastAsia="黑体"/>
          <w:szCs w:val="21"/>
        </w:rPr>
        <w:t>there is no clear metho</w:t>
      </w:r>
      <w:r>
        <w:rPr>
          <w:rFonts w:hint="eastAsia" w:ascii="Times New Roman" w:hAnsi="Times New Roman" w:eastAsia="黑体"/>
          <w:szCs w:val="21"/>
          <w:lang w:val="en-US" w:eastAsia="zh-CN"/>
        </w:rPr>
        <w:t>d</w:t>
      </w:r>
      <w:r>
        <w:rPr>
          <w:rFonts w:ascii="Times New Roman" w:hAnsi="Times New Roman" w:eastAsia="黑体" w:cs="Times New Roman"/>
          <w:szCs w:val="21"/>
        </w:rPr>
        <w:t xml:space="preserve"> to guide the determination of this diameter in engineering practice, resulting in </w:t>
      </w:r>
      <w:r>
        <w:rPr>
          <w:rFonts w:hint="eastAsia" w:ascii="Times New Roman" w:hAnsi="Times New Roman" w:eastAsia="黑体"/>
          <w:szCs w:val="21"/>
        </w:rPr>
        <w:t>significant</w:t>
      </w:r>
      <w:r>
        <w:rPr>
          <w:rFonts w:ascii="Times New Roman" w:hAnsi="Times New Roman" w:eastAsia="黑体" w:cs="Times New Roman"/>
          <w:szCs w:val="21"/>
        </w:rPr>
        <w:t xml:space="preserve"> differences in sediment settling and discharge performance among existing projects. Therefore, it is urgent to establish a reliable method for determining the diameter </w:t>
      </w:r>
      <w:r>
        <w:rPr>
          <w:rFonts w:hint="eastAsia" w:ascii="Times New Roman" w:hAnsi="Times New Roman" w:eastAsia="黑体" w:cs="Times New Roman"/>
          <w:szCs w:val="21"/>
          <w:lang w:val="en-US" w:eastAsia="zh-CN"/>
        </w:rPr>
        <w:t>of the</w:t>
      </w:r>
      <w:r>
        <w:rPr>
          <w:rFonts w:ascii="Times New Roman" w:hAnsi="Times New Roman" w:eastAsia="黑体" w:cs="Times New Roman"/>
          <w:szCs w:val="21"/>
        </w:rPr>
        <w:t xml:space="preserve"> vortex settling basin</w:t>
      </w:r>
      <w:r>
        <w:rPr>
          <w:rFonts w:hint="eastAsia" w:ascii="Times New Roman" w:hAnsi="Times New Roman" w:eastAsia="黑体" w:cs="Times New Roman"/>
          <w:szCs w:val="21"/>
          <w:lang w:val="en-US" w:eastAsia="zh-CN"/>
        </w:rPr>
        <w:t xml:space="preserve"> to guide </w:t>
      </w:r>
      <w:r>
        <w:rPr>
          <w:rFonts w:ascii="Times New Roman" w:hAnsi="Times New Roman" w:eastAsia="黑体" w:cs="Times New Roman"/>
          <w:szCs w:val="21"/>
        </w:rPr>
        <w:t>engineering design.</w:t>
      </w:r>
      <w:r>
        <w:rPr>
          <w:rFonts w:hint="eastAsia" w:ascii="Times New Roman" w:hAnsi="Times New Roman" w:eastAsia="黑体" w:cs="Times New Roman"/>
          <w:szCs w:val="21"/>
        </w:rPr>
        <w:t xml:space="preserve"> </w:t>
      </w:r>
      <w:r>
        <w:rPr>
          <w:rFonts w:hint="eastAsia" w:ascii="Times New Roman" w:hAnsi="Times New Roman" w:eastAsia="黑体" w:cs="Times New Roman"/>
          <w:b/>
          <w:bCs/>
          <w:szCs w:val="21"/>
        </w:rPr>
        <w:t>[Method</w:t>
      </w:r>
      <w:r>
        <w:rPr>
          <w:rFonts w:hint="eastAsia" w:ascii="Times New Roman" w:hAnsi="Times New Roman" w:eastAsia="黑体" w:cs="Times New Roman"/>
          <w:b/>
          <w:bCs/>
          <w:szCs w:val="21"/>
          <w:lang w:val="en-US" w:eastAsia="zh-CN"/>
        </w:rPr>
        <w:t>s</w:t>
      </w:r>
      <w:r>
        <w:rPr>
          <w:rFonts w:hint="eastAsia" w:ascii="Times New Roman" w:hAnsi="Times New Roman" w:eastAsia="黑体" w:cs="Times New Roman"/>
          <w:b/>
          <w:bCs/>
          <w:szCs w:val="21"/>
        </w:rPr>
        <w:t>]</w:t>
      </w:r>
      <w:r>
        <w:rPr>
          <w:rFonts w:hint="eastAsia" w:ascii="Times New Roman" w:hAnsi="Times New Roman" w:eastAsia="黑体" w:cs="Times New Roman"/>
          <w:szCs w:val="21"/>
        </w:rPr>
        <w:t xml:space="preserve"> </w:t>
      </w:r>
      <w:r>
        <w:rPr>
          <w:rFonts w:ascii="Times New Roman" w:hAnsi="Times New Roman" w:eastAsia="黑体" w:cs="Times New Roman"/>
          <w:szCs w:val="21"/>
        </w:rPr>
        <w:t>Sediment-laden flow experiments were conducted using the dimensionless vortex settling basin diameter (</w:t>
      </w:r>
      <w:r>
        <w:rPr>
          <w:rFonts w:ascii="Times New Roman" w:hAnsi="Times New Roman" w:eastAsia="黑体" w:cs="Times New Roman"/>
          <w:i/>
          <w:iCs/>
          <w:szCs w:val="21"/>
        </w:rPr>
        <w:t>L</w:t>
      </w:r>
      <w:r>
        <w:rPr>
          <w:rFonts w:ascii="Times New Roman" w:hAnsi="Times New Roman" w:eastAsia="黑体" w:cs="Times New Roman"/>
          <w:szCs w:val="21"/>
        </w:rPr>
        <w:t>) and sediment concentration (</w:t>
      </w:r>
      <w:r>
        <w:rPr>
          <w:rFonts w:ascii="Times New Roman" w:hAnsi="Times New Roman" w:eastAsia="黑体" w:cs="Times New Roman"/>
          <w:i/>
          <w:iCs/>
          <w:szCs w:val="21"/>
        </w:rPr>
        <w:t>S</w:t>
      </w:r>
      <w:r>
        <w:rPr>
          <w:rFonts w:ascii="Times New Roman" w:hAnsi="Times New Roman" w:eastAsia="黑体" w:cs="Times New Roman"/>
          <w:szCs w:val="21"/>
        </w:rPr>
        <w:t>) as independent variables. Based on the experiments, linear, exponential, and power functions were employed to develop predicti</w:t>
      </w:r>
      <w:r>
        <w:rPr>
          <w:rFonts w:hint="eastAsia" w:ascii="Times New Roman" w:hAnsi="Times New Roman" w:eastAsia="黑体" w:cs="Times New Roman"/>
          <w:szCs w:val="21"/>
          <w:lang w:val="en-US" w:eastAsia="zh-CN"/>
        </w:rPr>
        <w:t>on</w:t>
      </w:r>
      <w:r>
        <w:rPr>
          <w:rFonts w:ascii="Times New Roman" w:hAnsi="Times New Roman" w:eastAsia="黑体" w:cs="Times New Roman"/>
          <w:szCs w:val="21"/>
        </w:rPr>
        <w:t xml:space="preserve"> models between sediment trapping efficiency (</w:t>
      </w:r>
      <w:r>
        <w:rPr>
          <w:rFonts w:ascii="Times New Roman" w:hAnsi="Times New Roman" w:eastAsia="黑体" w:cs="Times New Roman"/>
          <w:i/>
          <w:iCs/>
          <w:szCs w:val="21"/>
        </w:rPr>
        <w:t>η</w:t>
      </w:r>
      <w:r>
        <w:rPr>
          <w:rFonts w:ascii="Times New Roman" w:hAnsi="Times New Roman" w:eastAsia="黑体" w:cs="Times New Roman"/>
          <w:szCs w:val="21"/>
        </w:rPr>
        <w:t xml:space="preserve">) and water </w:t>
      </w:r>
      <w:r>
        <w:rPr>
          <w:rFonts w:hint="eastAsia" w:ascii="Times New Roman" w:hAnsi="Times New Roman" w:eastAsia="黑体" w:cs="Times New Roman"/>
          <w:szCs w:val="21"/>
          <w:lang w:eastAsia="zh-CN"/>
        </w:rPr>
        <w:t>consumption</w:t>
      </w:r>
      <w:r>
        <w:rPr>
          <w:rFonts w:ascii="Times New Roman" w:hAnsi="Times New Roman" w:eastAsia="黑体" w:cs="Times New Roman"/>
          <w:szCs w:val="21"/>
        </w:rPr>
        <w:t xml:space="preserve"> </w:t>
      </w:r>
      <w:r>
        <w:rPr>
          <w:rFonts w:hint="eastAsia" w:ascii="Times New Roman" w:hAnsi="Times New Roman" w:eastAsia="黑体" w:cs="Times New Roman"/>
          <w:szCs w:val="21"/>
          <w:lang w:val="en-US" w:eastAsia="zh-CN"/>
        </w:rPr>
        <w:t>rate</w:t>
      </w:r>
      <w:r>
        <w:rPr>
          <w:rFonts w:ascii="Times New Roman" w:hAnsi="Times New Roman" w:eastAsia="黑体" w:cs="Times New Roman"/>
          <w:szCs w:val="21"/>
        </w:rPr>
        <w:t xml:space="preserve"> (</w:t>
      </w:r>
      <w:r>
        <w:rPr>
          <w:rFonts w:ascii="Times New Roman" w:hAnsi="Times New Roman" w:eastAsia="黑体" w:cs="Times New Roman"/>
          <w:i/>
          <w:iCs/>
          <w:szCs w:val="21"/>
        </w:rPr>
        <w:t>λ</w:t>
      </w:r>
      <w:r>
        <w:rPr>
          <w:rFonts w:ascii="Times New Roman" w:hAnsi="Times New Roman" w:eastAsia="黑体" w:cs="Times New Roman"/>
          <w:szCs w:val="21"/>
        </w:rPr>
        <w:t xml:space="preserve">). The fitting </w:t>
      </w:r>
      <w:r>
        <w:rPr>
          <w:rFonts w:hint="eastAsia" w:ascii="Times New Roman" w:hAnsi="Times New Roman" w:eastAsia="黑体" w:cs="Times New Roman"/>
          <w:szCs w:val="21"/>
        </w:rPr>
        <w:t xml:space="preserve">accuracies </w:t>
      </w:r>
      <w:r>
        <w:rPr>
          <w:rFonts w:hint="eastAsia" w:ascii="Times New Roman" w:hAnsi="Times New Roman" w:eastAsia="黑体" w:cs="Times New Roman"/>
          <w:szCs w:val="21"/>
          <w:lang w:val="en-US" w:eastAsia="zh-CN"/>
        </w:rPr>
        <w:t xml:space="preserve">of the models </w:t>
      </w:r>
      <w:r>
        <w:rPr>
          <w:rFonts w:hint="eastAsia" w:ascii="Times New Roman" w:hAnsi="Times New Roman" w:eastAsia="黑体" w:cs="Times New Roman"/>
          <w:szCs w:val="21"/>
        </w:rPr>
        <w:t>were</w:t>
      </w:r>
      <w:r>
        <w:rPr>
          <w:rFonts w:ascii="Times New Roman" w:hAnsi="Times New Roman" w:eastAsia="黑体" w:cs="Times New Roman"/>
          <w:szCs w:val="21"/>
        </w:rPr>
        <w:t xml:space="preserve"> compared</w:t>
      </w:r>
      <w:r>
        <w:rPr>
          <w:rFonts w:hint="eastAsia" w:ascii="Times New Roman" w:hAnsi="Times New Roman" w:eastAsia="黑体" w:cs="Times New Roman"/>
          <w:szCs w:val="21"/>
          <w:lang w:val="en-US" w:eastAsia="zh-CN"/>
        </w:rPr>
        <w:t>. The</w:t>
      </w:r>
      <w:r>
        <w:rPr>
          <w:rFonts w:ascii="Times New Roman" w:hAnsi="Times New Roman" w:eastAsia="黑体" w:cs="Times New Roman"/>
          <w:szCs w:val="21"/>
        </w:rPr>
        <w:t xml:space="preserve"> power function was </w:t>
      </w:r>
      <w:r>
        <w:rPr>
          <w:rFonts w:hint="eastAsia" w:ascii="Times New Roman" w:hAnsi="Times New Roman" w:eastAsia="黑体" w:cs="Times New Roman"/>
          <w:szCs w:val="21"/>
          <w:lang w:val="en-US" w:eastAsia="zh-CN"/>
        </w:rPr>
        <w:t>used</w:t>
      </w:r>
      <w:r>
        <w:rPr>
          <w:rFonts w:ascii="Times New Roman" w:hAnsi="Times New Roman" w:eastAsia="黑体" w:cs="Times New Roman"/>
          <w:szCs w:val="21"/>
        </w:rPr>
        <w:t xml:space="preserve"> to predict sediment trapping efficiency and water </w:t>
      </w:r>
      <w:r>
        <w:rPr>
          <w:rFonts w:hint="eastAsia" w:ascii="Times New Roman" w:hAnsi="Times New Roman" w:eastAsia="黑体" w:cs="Times New Roman"/>
          <w:szCs w:val="21"/>
          <w:lang w:eastAsia="zh-CN"/>
        </w:rPr>
        <w:t>consumption</w:t>
      </w:r>
      <w:r>
        <w:rPr>
          <w:rFonts w:ascii="Times New Roman" w:hAnsi="Times New Roman" w:eastAsia="黑体" w:cs="Times New Roman"/>
          <w:szCs w:val="21"/>
        </w:rPr>
        <w:t xml:space="preserve"> </w:t>
      </w:r>
      <w:r>
        <w:rPr>
          <w:rFonts w:hint="eastAsia" w:ascii="Times New Roman" w:hAnsi="Times New Roman" w:eastAsia="黑体" w:cs="Times New Roman"/>
          <w:szCs w:val="21"/>
          <w:lang w:val="en-US" w:eastAsia="zh-CN"/>
        </w:rPr>
        <w:t>rate.</w:t>
      </w:r>
      <w:r>
        <w:rPr>
          <w:rFonts w:ascii="Times New Roman" w:hAnsi="Times New Roman" w:eastAsia="黑体" w:cs="Times New Roman"/>
          <w:szCs w:val="21"/>
        </w:rPr>
        <w:t xml:space="preserve"> </w:t>
      </w:r>
      <w:r>
        <w:rPr>
          <w:rFonts w:hint="eastAsia" w:ascii="Times New Roman" w:hAnsi="Times New Roman" w:eastAsia="黑体" w:cs="Times New Roman"/>
          <w:szCs w:val="21"/>
          <w:lang w:val="en-US" w:eastAsia="zh-CN"/>
        </w:rPr>
        <w:t>Furthermore, by combining the non-dominated sorting genetic algorithm (NSGA-II) with the entropy weight-TOPSIS method,</w:t>
      </w:r>
      <w:r>
        <w:rPr>
          <w:rFonts w:ascii="Times New Roman" w:hAnsi="Times New Roman" w:eastAsia="黑体" w:cs="Times New Roman"/>
          <w:szCs w:val="21"/>
        </w:rPr>
        <w:t xml:space="preserve"> </w:t>
      </w:r>
      <w:r>
        <w:rPr>
          <w:rFonts w:hint="eastAsia" w:ascii="Times New Roman" w:hAnsi="Times New Roman" w:eastAsia="黑体" w:cs="Times New Roman"/>
          <w:szCs w:val="21"/>
          <w:lang w:val="en-US" w:eastAsia="zh-CN"/>
        </w:rPr>
        <w:t xml:space="preserve">the </w:t>
      </w:r>
      <w:r>
        <w:rPr>
          <w:rFonts w:ascii="Times New Roman" w:hAnsi="Times New Roman" w:eastAsia="黑体" w:cs="Times New Roman"/>
          <w:szCs w:val="21"/>
        </w:rPr>
        <w:t>optimal</w:t>
      </w:r>
      <w:r>
        <w:rPr>
          <w:rFonts w:ascii="Times New Roman" w:hAnsi="Times New Roman" w:eastAsia="黑体" w:cs="Times New Roman"/>
          <w:i/>
          <w:iCs/>
          <w:szCs w:val="21"/>
        </w:rPr>
        <w:t xml:space="preserve"> L</w:t>
      </w:r>
      <w:r>
        <w:rPr>
          <w:rFonts w:ascii="Times New Roman" w:hAnsi="Times New Roman" w:eastAsia="黑体" w:cs="Times New Roman"/>
          <w:szCs w:val="21"/>
        </w:rPr>
        <w:t xml:space="preserve"> </w:t>
      </w:r>
      <w:r>
        <w:rPr>
          <w:rFonts w:hint="eastAsia" w:ascii="Times New Roman" w:hAnsi="Times New Roman" w:eastAsia="黑体" w:cs="Times New Roman"/>
          <w:szCs w:val="21"/>
        </w:rPr>
        <w:t xml:space="preserve">values under different </w:t>
      </w:r>
      <w:r>
        <w:rPr>
          <w:rFonts w:hint="eastAsia" w:ascii="Times New Roman" w:hAnsi="Times New Roman" w:eastAsia="黑体"/>
          <w:szCs w:val="21"/>
        </w:rPr>
        <w:t>sediment concentrations</w:t>
      </w:r>
      <w:r>
        <w:rPr>
          <w:rFonts w:hint="eastAsia" w:ascii="Times New Roman" w:hAnsi="Times New Roman" w:eastAsia="黑体" w:cs="Times New Roman"/>
          <w:szCs w:val="21"/>
          <w:lang w:val="en-US" w:eastAsia="zh-CN"/>
        </w:rPr>
        <w:t xml:space="preserve"> were</w:t>
      </w:r>
      <w:r>
        <w:rPr>
          <w:rFonts w:hint="eastAsia" w:ascii="Times New Roman" w:hAnsi="Times New Roman" w:eastAsia="黑体" w:cs="Times New Roman"/>
          <w:szCs w:val="21"/>
        </w:rPr>
        <w:t xml:space="preserve"> obtained by optimizing for</w:t>
      </w:r>
      <w:r>
        <w:rPr>
          <w:rFonts w:ascii="Times New Roman" w:hAnsi="Times New Roman" w:eastAsia="黑体" w:cs="Times New Roman"/>
          <w:szCs w:val="21"/>
        </w:rPr>
        <w:t xml:space="preserve"> high sediment trapping efficiency and low water </w:t>
      </w:r>
      <w:r>
        <w:rPr>
          <w:rFonts w:hint="eastAsia" w:ascii="Times New Roman" w:hAnsi="Times New Roman" w:eastAsia="黑体" w:cs="Times New Roman"/>
          <w:szCs w:val="21"/>
          <w:lang w:eastAsia="zh-CN"/>
        </w:rPr>
        <w:t>consumption</w:t>
      </w:r>
      <w:r>
        <w:rPr>
          <w:rFonts w:ascii="Times New Roman" w:hAnsi="Times New Roman" w:eastAsia="黑体" w:cs="Times New Roman"/>
          <w:szCs w:val="21"/>
        </w:rPr>
        <w:t xml:space="preserve"> </w:t>
      </w:r>
      <w:r>
        <w:rPr>
          <w:rFonts w:hint="eastAsia" w:ascii="Times New Roman" w:hAnsi="Times New Roman" w:eastAsia="黑体" w:cs="Times New Roman"/>
          <w:szCs w:val="21"/>
          <w:lang w:val="en-US" w:eastAsia="zh-CN"/>
        </w:rPr>
        <w:t>rate</w:t>
      </w:r>
      <w:r>
        <w:rPr>
          <w:rFonts w:ascii="Times New Roman" w:hAnsi="Times New Roman" w:eastAsia="黑体" w:cs="Times New Roman"/>
          <w:szCs w:val="21"/>
        </w:rPr>
        <w:t>.</w:t>
      </w:r>
      <w:r>
        <w:rPr>
          <w:rFonts w:hint="eastAsia" w:ascii="Times New Roman" w:hAnsi="Times New Roman" w:eastAsia="黑体" w:cs="Times New Roman"/>
          <w:szCs w:val="21"/>
        </w:rPr>
        <w:t xml:space="preserve"> </w:t>
      </w:r>
      <w:r>
        <w:rPr>
          <w:rFonts w:hint="eastAsia" w:ascii="Times New Roman" w:hAnsi="Times New Roman" w:eastAsia="黑体" w:cs="Times New Roman"/>
          <w:b/>
          <w:bCs/>
          <w:szCs w:val="21"/>
        </w:rPr>
        <w:t xml:space="preserve">[Results] </w:t>
      </w:r>
      <w:r>
        <w:rPr>
          <w:rFonts w:ascii="Times New Roman" w:hAnsi="Times New Roman" w:eastAsia="黑体" w:cs="Times New Roman"/>
          <w:szCs w:val="21"/>
        </w:rPr>
        <w:t>The selected predicti</w:t>
      </w:r>
      <w:r>
        <w:rPr>
          <w:rFonts w:hint="eastAsia" w:ascii="Times New Roman" w:hAnsi="Times New Roman" w:eastAsia="黑体" w:cs="Times New Roman"/>
          <w:szCs w:val="21"/>
          <w:lang w:val="en-US" w:eastAsia="zh-CN"/>
        </w:rPr>
        <w:t>on</w:t>
      </w:r>
      <w:r>
        <w:rPr>
          <w:rFonts w:ascii="Times New Roman" w:hAnsi="Times New Roman" w:eastAsia="黑体" w:cs="Times New Roman"/>
          <w:szCs w:val="21"/>
        </w:rPr>
        <w:t xml:space="preserve"> models exhibited direct errors of less than 5% and </w:t>
      </w:r>
      <w:r>
        <w:rPr>
          <w:rFonts w:ascii="Times New Roman" w:hAnsi="Times New Roman" w:eastAsia="黑体" w:cs="Times New Roman"/>
          <w:i/>
          <w:iCs/>
          <w:szCs w:val="21"/>
        </w:rPr>
        <w:t>R</w:t>
      </w:r>
      <w:r>
        <w:rPr>
          <w:rFonts w:ascii="Times New Roman" w:hAnsi="Times New Roman" w:eastAsia="黑体" w:cs="Times New Roman"/>
          <w:szCs w:val="21"/>
        </w:rPr>
        <w:t>² values greater than 0.9</w:t>
      </w:r>
      <w:r>
        <w:rPr>
          <w:rFonts w:hint="eastAsia" w:ascii="Times New Roman" w:hAnsi="Times New Roman" w:eastAsia="黑体" w:cs="Times New Roman"/>
          <w:szCs w:val="21"/>
          <w:lang w:val="en-US" w:eastAsia="zh-CN"/>
        </w:rPr>
        <w:t>1</w:t>
      </w:r>
      <w:r>
        <w:rPr>
          <w:rFonts w:ascii="Times New Roman" w:hAnsi="Times New Roman" w:eastAsia="黑体" w:cs="Times New Roman"/>
          <w:szCs w:val="21"/>
        </w:rPr>
        <w:t>, indicating high accuracy. The optim</w:t>
      </w:r>
      <w:r>
        <w:rPr>
          <w:rFonts w:hint="eastAsia" w:ascii="Times New Roman" w:hAnsi="Times New Roman" w:eastAsia="黑体" w:cs="Times New Roman"/>
          <w:szCs w:val="21"/>
          <w:lang w:val="en-US" w:eastAsia="zh-CN"/>
        </w:rPr>
        <w:t>al</w:t>
      </w:r>
      <w:r>
        <w:rPr>
          <w:rFonts w:ascii="Times New Roman" w:hAnsi="Times New Roman" w:eastAsia="黑体" w:cs="Times New Roman"/>
          <w:szCs w:val="21"/>
        </w:rPr>
        <w:t xml:space="preserve"> dimensionless diameter </w:t>
      </w:r>
      <w:r>
        <w:rPr>
          <w:rFonts w:ascii="Times New Roman" w:hAnsi="Times New Roman" w:eastAsia="黑体" w:cs="Times New Roman"/>
          <w:i/>
          <w:iCs/>
          <w:szCs w:val="21"/>
        </w:rPr>
        <w:t>L</w:t>
      </w:r>
      <w:r>
        <w:rPr>
          <w:rFonts w:ascii="Times New Roman" w:hAnsi="Times New Roman" w:eastAsia="黑体" w:cs="Times New Roman"/>
          <w:szCs w:val="21"/>
        </w:rPr>
        <w:t xml:space="preserve"> under different sediment concentrations was similar, ranging from 0.00036 to 0.0004. Taking the</w:t>
      </w:r>
      <w:r>
        <w:rPr>
          <w:rFonts w:hint="eastAsia" w:ascii="Times New Roman" w:hAnsi="Times New Roman" w:eastAsia="黑体" w:cs="Times New Roman"/>
          <w:color w:val="000000" w:themeColor="text1"/>
          <w:szCs w:val="21"/>
          <w14:textFill>
            <w14:solidFill>
              <w14:schemeClr w14:val="tx1"/>
            </w14:solidFill>
          </w14:textFill>
        </w:rPr>
        <w:t xml:space="preserve"> specific</w:t>
      </w:r>
      <w:r>
        <w:rPr>
          <w:rFonts w:ascii="Times New Roman" w:hAnsi="Times New Roman" w:eastAsia="黑体" w:cs="Times New Roman"/>
          <w:szCs w:val="21"/>
        </w:rPr>
        <w:t xml:space="preserve"> project as a validation case, the vortex settling basin for suspended sediment was redesigned using the optimized</w:t>
      </w:r>
      <w:r>
        <w:rPr>
          <w:rFonts w:ascii="Times New Roman" w:hAnsi="Times New Roman" w:eastAsia="黑体" w:cs="Times New Roman"/>
          <w:i/>
          <w:iCs/>
          <w:szCs w:val="21"/>
        </w:rPr>
        <w:t xml:space="preserve"> L</w:t>
      </w:r>
      <w:r>
        <w:rPr>
          <w:rFonts w:ascii="Times New Roman" w:hAnsi="Times New Roman" w:eastAsia="黑体" w:cs="Times New Roman"/>
          <w:szCs w:val="21"/>
        </w:rPr>
        <w:t>, resulting in an improvement in sediment trapping efficiency from 30.34</w:t>
      </w:r>
      <w:r>
        <w:rPr>
          <w:rFonts w:hint="eastAsia" w:ascii="Times New Roman" w:hAnsi="Times New Roman" w:eastAsia="黑体" w:cs="Times New Roman"/>
          <w:szCs w:val="21"/>
        </w:rPr>
        <w:t>%</w:t>
      </w:r>
      <w:r>
        <w:rPr>
          <w:rFonts w:ascii="Times New Roman" w:hAnsi="Times New Roman" w:eastAsia="黑体" w:cs="Times New Roman"/>
          <w:szCs w:val="21"/>
        </w:rPr>
        <w:t xml:space="preserve"> to 41.7</w:t>
      </w:r>
      <w:r>
        <w:rPr>
          <w:rFonts w:hint="eastAsia" w:ascii="Times New Roman" w:hAnsi="Times New Roman" w:eastAsia="黑体" w:cs="Times New Roman"/>
          <w:szCs w:val="21"/>
        </w:rPr>
        <w:t>%</w:t>
      </w:r>
      <w:r>
        <w:rPr>
          <w:rFonts w:ascii="Times New Roman" w:hAnsi="Times New Roman" w:eastAsia="黑体" w:cs="Times New Roman"/>
          <w:szCs w:val="21"/>
        </w:rPr>
        <w:t>, an increase of 11.36</w:t>
      </w:r>
      <w:r>
        <w:rPr>
          <w:rFonts w:hint="eastAsia" w:ascii="Times New Roman" w:hAnsi="Times New Roman" w:eastAsia="黑体" w:cs="Times New Roman"/>
          <w:szCs w:val="21"/>
        </w:rPr>
        <w:t>%</w:t>
      </w:r>
      <w:r>
        <w:rPr>
          <w:rFonts w:ascii="Times New Roman" w:hAnsi="Times New Roman" w:eastAsia="黑体" w:cs="Times New Roman"/>
          <w:szCs w:val="21"/>
        </w:rPr>
        <w:t>.</w:t>
      </w:r>
      <w:r>
        <w:rPr>
          <w:rFonts w:hint="eastAsia" w:ascii="Times New Roman" w:hAnsi="Times New Roman" w:eastAsia="黑体" w:cs="Times New Roman"/>
          <w:b/>
          <w:bCs/>
          <w:szCs w:val="21"/>
        </w:rPr>
        <w:t xml:space="preserve"> [Conclusion] </w:t>
      </w:r>
      <w:r>
        <w:rPr>
          <w:rFonts w:ascii="Times New Roman" w:hAnsi="Times New Roman" w:eastAsia="黑体" w:cs="Times New Roman"/>
          <w:szCs w:val="21"/>
        </w:rPr>
        <w:t xml:space="preserve">The proposed method for determining the dimensionless diameter effectively coordinates sediment trapping efficiency and water </w:t>
      </w:r>
      <w:r>
        <w:rPr>
          <w:rFonts w:hint="eastAsia" w:ascii="Times New Roman" w:hAnsi="Times New Roman" w:eastAsia="黑体" w:cs="Times New Roman"/>
          <w:szCs w:val="21"/>
          <w:lang w:eastAsia="zh-CN"/>
        </w:rPr>
        <w:t>consumption</w:t>
      </w:r>
      <w:r>
        <w:rPr>
          <w:rFonts w:ascii="Times New Roman" w:hAnsi="Times New Roman" w:eastAsia="黑体" w:cs="Times New Roman"/>
          <w:szCs w:val="21"/>
        </w:rPr>
        <w:t xml:space="preserve"> </w:t>
      </w:r>
      <w:r>
        <w:rPr>
          <w:rFonts w:hint="eastAsia" w:ascii="Times New Roman" w:hAnsi="Times New Roman" w:eastAsia="黑体" w:cs="Times New Roman"/>
          <w:szCs w:val="21"/>
          <w:lang w:val="en-US" w:eastAsia="zh-CN"/>
        </w:rPr>
        <w:t>rate, showing</w:t>
      </w:r>
      <w:r>
        <w:rPr>
          <w:rFonts w:ascii="Times New Roman" w:hAnsi="Times New Roman" w:eastAsia="黑体" w:cs="Times New Roman"/>
          <w:szCs w:val="21"/>
        </w:rPr>
        <w:t xml:space="preserve"> strong engineering applicability </w:t>
      </w:r>
      <w:r>
        <w:rPr>
          <w:rFonts w:hint="eastAsia" w:ascii="Times New Roman" w:hAnsi="Times New Roman" w:eastAsia="黑体"/>
          <w:szCs w:val="21"/>
        </w:rPr>
        <w:t>and promotion value</w:t>
      </w:r>
      <w:r>
        <w:rPr>
          <w:rFonts w:hint="eastAsia" w:ascii="Times New Roman" w:hAnsi="Times New Roman" w:eastAsia="黑体"/>
          <w:szCs w:val="21"/>
          <w:lang w:val="en-US" w:eastAsia="zh-CN"/>
        </w:rPr>
        <w:t xml:space="preserve">. </w:t>
      </w:r>
      <w:r>
        <w:rPr>
          <w:rFonts w:hint="eastAsia" w:ascii="Times New Roman" w:hAnsi="Times New Roman" w:eastAsia="黑体" w:cs="Times New Roman"/>
          <w:szCs w:val="21"/>
          <w:lang w:val="en-US" w:eastAsia="zh-CN"/>
        </w:rPr>
        <w:t>The findings</w:t>
      </w:r>
      <w:r>
        <w:rPr>
          <w:rFonts w:ascii="Times New Roman" w:hAnsi="Times New Roman" w:eastAsia="黑体" w:cs="Times New Roman"/>
          <w:szCs w:val="21"/>
        </w:rPr>
        <w:t xml:space="preserve"> provide methodological guidance for the design of vortex settling basins for suspended sediment.</w:t>
      </w:r>
    </w:p>
    <w:p w14:paraId="511DC9EE">
      <w:pPr>
        <w:rPr>
          <w:rFonts w:ascii="Times New Roman" w:hAnsi="Times New Roman" w:eastAsia="黑体" w:cs="Times New Roman"/>
          <w:szCs w:val="21"/>
        </w:rPr>
      </w:pPr>
      <w:r>
        <w:rPr>
          <w:rFonts w:ascii="Times New Roman" w:hAnsi="Times New Roman" w:eastAsia="黑体" w:cs="Times New Roman"/>
          <w:b/>
          <w:bCs/>
          <w:szCs w:val="21"/>
        </w:rPr>
        <w:t>Keywords</w:t>
      </w:r>
      <w:r>
        <w:rPr>
          <w:rFonts w:hint="eastAsia" w:ascii="Times New Roman" w:hAnsi="Times New Roman" w:eastAsia="黑体" w:cs="Times New Roman"/>
          <w:b/>
          <w:bCs/>
          <w:szCs w:val="21"/>
          <w:highlight w:val="none"/>
        </w:rPr>
        <w:t>：</w:t>
      </w:r>
      <w:r>
        <w:rPr>
          <w:rFonts w:ascii="Times New Roman" w:hAnsi="Times New Roman" w:eastAsia="黑体" w:cs="Times New Roman"/>
          <w:szCs w:val="21"/>
          <w:highlight w:val="none"/>
        </w:rPr>
        <w:t>vortex settling basin for suspended sediment</w:t>
      </w:r>
      <w:r>
        <w:rPr>
          <w:rFonts w:hint="eastAsia" w:ascii="Times New Roman" w:hAnsi="Times New Roman" w:eastAsia="黑体" w:cs="Times New Roman"/>
          <w:szCs w:val="21"/>
          <w:highlight w:val="none"/>
        </w:rPr>
        <w:t xml:space="preserve">; </w:t>
      </w:r>
      <w:r>
        <w:rPr>
          <w:rFonts w:ascii="Times New Roman" w:hAnsi="Times New Roman" w:eastAsia="黑体" w:cs="Times New Roman"/>
          <w:szCs w:val="21"/>
          <w:highlight w:val="none"/>
        </w:rPr>
        <w:t>dimensionless diameter</w:t>
      </w:r>
      <w:r>
        <w:rPr>
          <w:rFonts w:hint="eastAsia" w:ascii="Times New Roman" w:hAnsi="Times New Roman" w:eastAsia="黑体" w:cs="Times New Roman"/>
          <w:szCs w:val="21"/>
          <w:highlight w:val="none"/>
        </w:rPr>
        <w:t xml:space="preserve">; </w:t>
      </w:r>
      <w:r>
        <w:rPr>
          <w:rFonts w:ascii="Times New Roman" w:hAnsi="Times New Roman" w:eastAsia="黑体" w:cs="Times New Roman"/>
          <w:szCs w:val="21"/>
          <w:highlight w:val="none"/>
        </w:rPr>
        <w:t>multi-objective optimization</w:t>
      </w:r>
      <w:r>
        <w:rPr>
          <w:rFonts w:hint="eastAsia" w:ascii="Times New Roman" w:hAnsi="Times New Roman" w:eastAsia="黑体" w:cs="Times New Roman"/>
          <w:szCs w:val="21"/>
          <w:highlight w:val="none"/>
        </w:rPr>
        <w:t xml:space="preserve">; </w:t>
      </w:r>
      <w:r>
        <w:rPr>
          <w:rFonts w:ascii="Times New Roman" w:hAnsi="Times New Roman" w:eastAsia="黑体" w:cs="Times New Roman"/>
          <w:szCs w:val="21"/>
          <w:highlight w:val="none"/>
        </w:rPr>
        <w:t>sediment trapping efficiency</w:t>
      </w:r>
      <w:r>
        <w:rPr>
          <w:rFonts w:hint="eastAsia" w:ascii="Times New Roman" w:hAnsi="Times New Roman" w:eastAsia="黑体" w:cs="Times New Roman"/>
          <w:szCs w:val="21"/>
          <w:highlight w:val="none"/>
        </w:rPr>
        <w:t xml:space="preserve">; </w:t>
      </w:r>
      <w:r>
        <w:rPr>
          <w:rFonts w:ascii="Times New Roman" w:hAnsi="Times New Roman" w:eastAsia="黑体" w:cs="Times New Roman"/>
          <w:szCs w:val="21"/>
          <w:highlight w:val="none"/>
        </w:rPr>
        <w:t>water</w:t>
      </w:r>
      <w:r>
        <w:rPr>
          <w:rFonts w:ascii="Times New Roman" w:hAnsi="Times New Roman" w:eastAsia="黑体" w:cs="Times New Roman"/>
          <w:szCs w:val="21"/>
        </w:rPr>
        <w:t xml:space="preserve"> </w:t>
      </w:r>
      <w:r>
        <w:rPr>
          <w:rFonts w:hint="eastAsia" w:ascii="Times New Roman" w:hAnsi="Times New Roman" w:eastAsia="黑体" w:cs="Times New Roman"/>
          <w:szCs w:val="21"/>
          <w:lang w:eastAsia="zh-CN"/>
        </w:rPr>
        <w:t>consumption</w:t>
      </w:r>
      <w:r>
        <w:rPr>
          <w:rFonts w:ascii="Times New Roman" w:hAnsi="Times New Roman" w:eastAsia="黑体" w:cs="Times New Roman"/>
          <w:szCs w:val="21"/>
        </w:rPr>
        <w:t xml:space="preserve"> </w:t>
      </w:r>
      <w:r>
        <w:rPr>
          <w:rFonts w:hint="eastAsia" w:ascii="Times New Roman" w:hAnsi="Times New Roman" w:eastAsia="黑体" w:cs="Times New Roman"/>
          <w:szCs w:val="21"/>
          <w:lang w:val="en-US" w:eastAsia="zh-CN"/>
        </w:rPr>
        <w:t>rate</w:t>
      </w:r>
    </w:p>
    <w:p w14:paraId="7ED89C8E">
      <w:pPr>
        <w:rPr>
          <w:rFonts w:hint="eastAsia" w:ascii="宋体" w:hAnsi="宋体" w:eastAsia="宋体" w:cs="宋体"/>
          <w:sz w:val="28"/>
          <w:szCs w:val="28"/>
        </w:rPr>
      </w:pPr>
      <w:r>
        <w:rPr>
          <w:rFonts w:ascii="Times New Roman" w:hAnsi="Times New Roman" w:eastAsia="宋体" w:cs="Times New Roman"/>
          <w:sz w:val="28"/>
          <w:szCs w:val="28"/>
        </w:rPr>
        <w:t>0</w:t>
      </w:r>
      <w:r>
        <w:rPr>
          <w:rFonts w:hint="eastAsia" w:ascii="宋体" w:hAnsi="宋体" w:eastAsia="宋体" w:cs="宋体"/>
          <w:sz w:val="28"/>
          <w:szCs w:val="28"/>
        </w:rPr>
        <w:t>引 言</w:t>
      </w:r>
    </w:p>
    <w:p w14:paraId="56FADF68">
      <w:pPr>
        <w:ind w:firstLine="420" w:firstLineChars="200"/>
        <w:rPr>
          <w:rFonts w:ascii="Times New Roman" w:hAnsi="Times New Roman" w:eastAsia="宋体" w:cs="Times New Roman"/>
          <w:szCs w:val="21"/>
        </w:rPr>
      </w:pPr>
      <w:r>
        <w:rPr>
          <w:rFonts w:ascii="Times New Roman" w:hAnsi="Times New Roman" w:eastAsia="宋体" w:cs="Times New Roman"/>
          <w:szCs w:val="21"/>
        </w:rPr>
        <w:t>我国西北内陆地区气候干旱，植被覆盖率低，河流含沙量高，较高的含沙量会对流域内各类引水工程造成较大危害，在多沙河流地区修建引水式水库</w:t>
      </w:r>
      <w:r>
        <w:rPr>
          <w:rFonts w:ascii="Times New Roman" w:hAnsi="Times New Roman" w:eastAsia="宋体" w:cs="Times New Roman"/>
          <w:kern w:val="0"/>
          <w:szCs w:val="21"/>
          <w:vertAlign w:val="superscript"/>
        </w:rPr>
        <w:t>[1]</w:t>
      </w:r>
      <w:r>
        <w:rPr>
          <w:rFonts w:ascii="Times New Roman" w:hAnsi="Times New Roman" w:eastAsia="宋体" w:cs="Times New Roman"/>
          <w:szCs w:val="21"/>
        </w:rPr>
        <w:t>、引水式电站</w:t>
      </w:r>
      <w:r>
        <w:rPr>
          <w:rFonts w:ascii="Times New Roman" w:hAnsi="Times New Roman" w:eastAsia="宋体" w:cs="Times New Roman"/>
          <w:kern w:val="0"/>
          <w:szCs w:val="21"/>
          <w:vertAlign w:val="superscript"/>
        </w:rPr>
        <w:t>[2]</w:t>
      </w:r>
      <w:r>
        <w:rPr>
          <w:rFonts w:ascii="Times New Roman" w:hAnsi="Times New Roman" w:eastAsia="宋体" w:cs="Times New Roman"/>
          <w:szCs w:val="21"/>
        </w:rPr>
        <w:t>及灌溉工程</w:t>
      </w:r>
      <w:r>
        <w:rPr>
          <w:rFonts w:ascii="Times New Roman" w:hAnsi="Times New Roman" w:eastAsia="宋体" w:cs="Times New Roman"/>
          <w:kern w:val="0"/>
          <w:szCs w:val="21"/>
          <w:vertAlign w:val="superscript"/>
        </w:rPr>
        <w:t>[3]</w:t>
      </w:r>
      <w:r>
        <w:rPr>
          <w:rFonts w:ascii="Times New Roman" w:hAnsi="Times New Roman" w:eastAsia="宋体" w:cs="Times New Roman"/>
          <w:szCs w:val="21"/>
        </w:rPr>
        <w:t>时，首先要面对的问题就是如何拦截引水当中的泥沙使得水利工程的服役周期得以延长及灌溉工程的高效节水技术功能得以有效发挥</w:t>
      </w:r>
      <w:r>
        <w:rPr>
          <w:rFonts w:ascii="Times New Roman" w:hAnsi="Times New Roman" w:cs="Times New Roman"/>
          <w:kern w:val="0"/>
          <w:vertAlign w:val="superscript"/>
        </w:rPr>
        <w:t>[4,5]</w:t>
      </w:r>
      <w:r>
        <w:rPr>
          <w:rFonts w:ascii="Times New Roman" w:hAnsi="Times New Roman" w:eastAsia="宋体" w:cs="Times New Roman"/>
          <w:szCs w:val="21"/>
        </w:rPr>
        <w:t>。目前在多沙河流水利工程设计当中采取的主要措施是在引水干渠、水库、水电站上游修建排沙漏斗</w:t>
      </w:r>
      <w:r>
        <w:rPr>
          <w:rFonts w:ascii="Times New Roman" w:hAnsi="Times New Roman" w:cs="Times New Roman"/>
          <w:kern w:val="0"/>
          <w:vertAlign w:val="superscript"/>
        </w:rPr>
        <w:t>[6,7]</w:t>
      </w:r>
      <w:r>
        <w:rPr>
          <w:rFonts w:ascii="Times New Roman" w:hAnsi="Times New Roman" w:eastAsia="宋体" w:cs="Times New Roman"/>
          <w:szCs w:val="21"/>
        </w:rPr>
        <w:t>、涡流管</w:t>
      </w:r>
      <w:r>
        <w:rPr>
          <w:rFonts w:ascii="Times New Roman" w:hAnsi="Times New Roman" w:cs="Times New Roman"/>
          <w:kern w:val="0"/>
          <w:vertAlign w:val="superscript"/>
        </w:rPr>
        <w:t>[8]</w:t>
      </w:r>
      <w:r>
        <w:rPr>
          <w:rFonts w:ascii="Times New Roman" w:hAnsi="Times New Roman" w:eastAsia="宋体" w:cs="Times New Roman"/>
          <w:szCs w:val="21"/>
        </w:rPr>
        <w:t>、圆中环沉沙池</w:t>
      </w:r>
      <w:r>
        <w:rPr>
          <w:rFonts w:ascii="Times New Roman" w:hAnsi="Times New Roman" w:cs="Times New Roman"/>
          <w:kern w:val="0"/>
          <w:vertAlign w:val="superscript"/>
        </w:rPr>
        <w:t>[9]</w:t>
      </w:r>
      <w:r>
        <w:rPr>
          <w:rFonts w:hint="eastAsia" w:ascii="Times New Roman" w:hAnsi="Times New Roman" w:eastAsia="宋体" w:cs="Times New Roman"/>
          <w:szCs w:val="21"/>
        </w:rPr>
        <w:t>等</w:t>
      </w:r>
      <w:r>
        <w:rPr>
          <w:rFonts w:ascii="Times New Roman" w:hAnsi="Times New Roman" w:eastAsia="宋体" w:cs="Times New Roman"/>
          <w:szCs w:val="21"/>
        </w:rPr>
        <w:t>各类沉沙池。</w:t>
      </w:r>
      <w:r>
        <w:rPr>
          <w:rFonts w:ascii="Times New Roman" w:hAnsi="Times New Roman" w:eastAsia="宋体" w:cs="Times New Roman"/>
          <w:color w:val="000000"/>
          <w:szCs w:val="21"/>
        </w:rPr>
        <w:t>其中排沙漏斗是新疆农业大学周著</w:t>
      </w:r>
      <w:r>
        <w:rPr>
          <w:rFonts w:ascii="Times New Roman" w:hAnsi="Times New Roman" w:cs="Times New Roman"/>
          <w:kern w:val="0"/>
          <w:vertAlign w:val="superscript"/>
        </w:rPr>
        <w:t>[6]</w:t>
      </w:r>
      <w:r>
        <w:rPr>
          <w:rFonts w:ascii="Times New Roman" w:hAnsi="Times New Roman" w:eastAsia="宋体" w:cs="Times New Roman"/>
          <w:color w:val="000000"/>
          <w:szCs w:val="21"/>
        </w:rPr>
        <w:t>等人通过数百次试验提出的拦沙排沙技术，其在引水干渠、引水式电站等引水工程当中被广泛应用。</w:t>
      </w:r>
    </w:p>
    <w:p w14:paraId="7159814E">
      <w:pPr>
        <w:ind w:firstLine="420" w:firstLineChars="200"/>
        <w:rPr>
          <w:rFonts w:ascii="Times New Roman" w:hAnsi="Times New Roman" w:cs="Times New Roman"/>
          <w:szCs w:val="21"/>
          <w:lang w:val="de-DE"/>
        </w:rPr>
      </w:pPr>
      <w:r>
        <w:rPr>
          <w:rFonts w:ascii="Times New Roman" w:hAnsi="Times New Roman" w:cs="Times New Roman"/>
          <w:szCs w:val="21"/>
        </w:rPr>
        <w:t>排沙漏斗是利用涡流特性拦截水中泥沙的装置，依靠自身水力冲沙和排沙即可实现连续运行</w:t>
      </w:r>
      <w:r>
        <w:rPr>
          <w:rFonts w:ascii="Times New Roman" w:hAnsi="Times New Roman" w:eastAsia="宋体" w:cs="Times New Roman"/>
        </w:rPr>
        <w:t>自排沙漏斗问世以来相关研究一直延续不断，国内外学者在</w:t>
      </w:r>
      <w:r>
        <w:rPr>
          <w:szCs w:val="21"/>
        </w:rPr>
        <w:t>周著</w:t>
      </w:r>
      <w:r>
        <w:rPr>
          <w:szCs w:val="21"/>
          <w:vertAlign w:val="superscript"/>
        </w:rPr>
        <w:t>[</w:t>
      </w:r>
      <w:r>
        <w:rPr>
          <w:rFonts w:ascii="Times New Roman" w:hAnsi="Times New Roman" w:cs="Times New Roman"/>
          <w:szCs w:val="21"/>
          <w:vertAlign w:val="superscript"/>
        </w:rPr>
        <w:t>6</w:t>
      </w:r>
      <w:r>
        <w:rPr>
          <w:szCs w:val="21"/>
          <w:vertAlign w:val="superscript"/>
        </w:rPr>
        <w:t>]</w:t>
      </w:r>
      <w:r>
        <w:rPr>
          <w:szCs w:val="21"/>
        </w:rPr>
        <w:t>、</w:t>
      </w:r>
      <w:r>
        <w:rPr>
          <w:rFonts w:ascii="Times New Roman" w:hAnsi="Times New Roman" w:cs="Times New Roman"/>
          <w:szCs w:val="21"/>
        </w:rPr>
        <w:t>P</w:t>
      </w:r>
      <w:r>
        <w:rPr>
          <w:rFonts w:hint="eastAsia" w:ascii="Times New Roman" w:hAnsi="Times New Roman" w:cs="Times New Roman"/>
          <w:szCs w:val="21"/>
        </w:rPr>
        <w:t>AUL</w:t>
      </w:r>
      <w:r>
        <w:rPr>
          <w:rFonts w:ascii="Times New Roman" w:hAnsi="Times New Roman" w:cs="Times New Roman"/>
          <w:kern w:val="0"/>
          <w:vertAlign w:val="superscript"/>
        </w:rPr>
        <w:t>[7]</w:t>
      </w:r>
      <w:r>
        <w:rPr>
          <w:rFonts w:ascii="Times New Roman" w:hAnsi="Times New Roman" w:eastAsia="宋体" w:cs="Times New Roman"/>
        </w:rPr>
        <w:t>的基础上，</w:t>
      </w:r>
      <w:r>
        <w:rPr>
          <w:rFonts w:hint="eastAsia" w:ascii="Times New Roman" w:hAnsi="Times New Roman" w:eastAsia="宋体" w:cs="Times New Roman"/>
        </w:rPr>
        <w:t>早期以高效处理推移质泥沙为目标，</w:t>
      </w:r>
      <w:r>
        <w:rPr>
          <w:rFonts w:ascii="Times New Roman" w:hAnsi="Times New Roman" w:eastAsia="宋体" w:cs="Times New Roman"/>
        </w:rPr>
        <w:t>进一步优化并提出精度更高的水沙分离性能预测方法</w:t>
      </w:r>
      <w:r>
        <w:rPr>
          <w:rFonts w:ascii="Times New Roman" w:hAnsi="Times New Roman" w:cs="Times New Roman"/>
          <w:kern w:val="0"/>
          <w:vertAlign w:val="superscript"/>
        </w:rPr>
        <w:t>[10–12]</w:t>
      </w:r>
      <w:r>
        <w:rPr>
          <w:rFonts w:ascii="Times New Roman" w:hAnsi="Times New Roman" w:eastAsia="宋体" w:cs="Times New Roman"/>
        </w:rPr>
        <w:t>，亦或是通过借助流场测量设备及数值模拟方法探究排沙漏斗流场特性、揭示排沙漏斗水沙运动机理</w:t>
      </w:r>
      <w:r>
        <w:rPr>
          <w:rFonts w:ascii="Times New Roman" w:hAnsi="Times New Roman" w:cs="Times New Roman"/>
          <w:kern w:val="0"/>
          <w:vertAlign w:val="superscript"/>
        </w:rPr>
        <w:t>[13–17]</w:t>
      </w:r>
      <w:r>
        <w:rPr>
          <w:rFonts w:ascii="Times New Roman" w:hAnsi="Times New Roman" w:eastAsia="宋体" w:cs="Times New Roman"/>
        </w:rPr>
        <w:t>。</w:t>
      </w:r>
      <w:r>
        <w:rPr>
          <w:rFonts w:hint="eastAsia" w:ascii="Times New Roman" w:hAnsi="Times New Roman" w:eastAsia="宋体" w:cs="Times New Roman"/>
        </w:rPr>
        <w:t>近年来，众多学者以减少漏斗室及悬板表面淤积为目标，对排沙漏斗开展进一步研究</w:t>
      </w:r>
      <w:r>
        <w:rPr>
          <w:rFonts w:ascii="Times New Roman" w:hAnsi="Times New Roman" w:eastAsia="宋体" w:cs="Times New Roman"/>
        </w:rPr>
        <w:t>。</w:t>
      </w:r>
      <w:r>
        <w:rPr>
          <w:rFonts w:hint="eastAsia" w:ascii="Times New Roman" w:hAnsi="Times New Roman" w:eastAsia="宋体" w:cs="Times New Roman"/>
        </w:rPr>
        <w:t>李琳</w:t>
      </w:r>
      <w:r>
        <w:rPr>
          <w:rFonts w:ascii="Times New Roman" w:hAnsi="Times New Roman" w:cs="Times New Roman"/>
          <w:kern w:val="0"/>
          <w:vertAlign w:val="superscript"/>
        </w:rPr>
        <w:t>[18]</w:t>
      </w:r>
      <w:r>
        <w:rPr>
          <w:rFonts w:ascii="Times New Roman" w:hAnsi="Times New Roman" w:eastAsia="宋体" w:cs="Times New Roman"/>
        </w:rPr>
        <w:t>过模型试验揭示了</w:t>
      </w:r>
      <w:r>
        <w:rPr>
          <w:rFonts w:hint="eastAsia" w:ascii="Times New Roman" w:hAnsi="Times New Roman" w:eastAsia="宋体" w:cs="Times New Roman"/>
        </w:rPr>
        <w:t>淤积体改变排沙漏斗内部流场结构与旋流特性、导致截沙效率下降的机理</w:t>
      </w:r>
      <w:r>
        <w:rPr>
          <w:rFonts w:ascii="Times New Roman" w:hAnsi="Times New Roman" w:eastAsia="宋体" w:cs="Times New Roman"/>
        </w:rPr>
        <w:t>，建议在实际运行中</w:t>
      </w:r>
      <w:r>
        <w:rPr>
          <w:rFonts w:hint="eastAsia" w:ascii="Times New Roman" w:hAnsi="Times New Roman" w:eastAsia="宋体" w:cs="Times New Roman"/>
        </w:rPr>
        <w:t>当相对淤积厚度达到0.4~0.6时应及时清淤；LI</w:t>
      </w:r>
      <w:r>
        <w:rPr>
          <w:rFonts w:ascii="Times New Roman" w:hAnsi="Times New Roman" w:cs="Times New Roman"/>
          <w:kern w:val="0"/>
          <w:vertAlign w:val="superscript"/>
        </w:rPr>
        <w:t>[19,20]</w:t>
      </w:r>
      <w:r>
        <w:rPr>
          <w:rFonts w:hint="eastAsia" w:ascii="Times New Roman" w:hAnsi="Times New Roman" w:eastAsia="宋体" w:cs="Times New Roman"/>
        </w:rPr>
        <w:t>提出了通过悬板开孔的方式减少悬板淤积，结果表明悬板部分开孔效果优于完全开孔，在该方法下悬板淤积平均减少40%；MU</w:t>
      </w:r>
      <w:r>
        <w:rPr>
          <w:rFonts w:ascii="Times New Roman" w:hAnsi="Times New Roman" w:cs="Times New Roman"/>
          <w:kern w:val="0"/>
          <w:vertAlign w:val="superscript"/>
        </w:rPr>
        <w:t>[21]</w:t>
      </w:r>
      <w:r>
        <w:rPr>
          <w:rFonts w:hint="eastAsia" w:ascii="Times New Roman" w:hAnsi="Times New Roman" w:eastAsia="宋体" w:cs="Times New Roman"/>
        </w:rPr>
        <w:t>提出了悬板开孔的较优开孔率，并</w:t>
      </w:r>
      <w:r>
        <w:rPr>
          <w:rFonts w:ascii="Times New Roman" w:hAnsi="Times New Roman" w:eastAsia="宋体" w:cs="Times New Roman"/>
        </w:rPr>
        <w:t>建议在</w:t>
      </w:r>
      <w:r>
        <w:rPr>
          <w:rFonts w:hint="eastAsia" w:ascii="Times New Roman" w:hAnsi="Times New Roman" w:eastAsia="宋体" w:cs="Times New Roman"/>
        </w:rPr>
        <w:t>外围区域</w:t>
      </w:r>
      <w:r>
        <w:rPr>
          <w:rFonts w:ascii="Times New Roman" w:hAnsi="Times New Roman" w:eastAsia="宋体" w:cs="Times New Roman"/>
        </w:rPr>
        <w:t>打孔，开孔比率控制在8.67%</w:t>
      </w:r>
      <w:r>
        <w:rPr>
          <w:rFonts w:hint="eastAsia" w:ascii="Times New Roman" w:hAnsi="Times New Roman" w:eastAsia="宋体" w:cs="Times New Roman"/>
          <w:lang w:val="en-US" w:eastAsia="zh-CN"/>
        </w:rPr>
        <w:t>~</w:t>
      </w:r>
      <w:r>
        <w:rPr>
          <w:rFonts w:ascii="Times New Roman" w:hAnsi="Times New Roman" w:eastAsia="宋体" w:cs="Times New Roman"/>
        </w:rPr>
        <w:t>13%范围内</w:t>
      </w:r>
      <w:r>
        <w:rPr>
          <w:rFonts w:hint="eastAsia" w:ascii="Times New Roman" w:hAnsi="Times New Roman" w:eastAsia="宋体" w:cs="Times New Roman"/>
        </w:rPr>
        <w:t>较优。此外，LI</w:t>
      </w:r>
      <w:r>
        <w:rPr>
          <w:rFonts w:ascii="Times New Roman" w:hAnsi="Times New Roman" w:cs="Times New Roman"/>
          <w:kern w:val="0"/>
          <w:vertAlign w:val="superscript"/>
        </w:rPr>
        <w:t>[22]</w:t>
      </w:r>
      <w:r>
        <w:rPr>
          <w:rFonts w:hint="eastAsia" w:ascii="Times New Roman" w:hAnsi="Times New Roman" w:eastAsia="宋体" w:cs="Times New Roman"/>
        </w:rPr>
        <w:t>的研究表明布置立柱会增加漏斗室淤积，WANG</w:t>
      </w:r>
      <w:r>
        <w:rPr>
          <w:rFonts w:ascii="Times New Roman" w:hAnsi="Times New Roman" w:cs="Times New Roman"/>
          <w:kern w:val="0"/>
          <w:vertAlign w:val="superscript"/>
        </w:rPr>
        <w:t>[23]</w:t>
      </w:r>
      <w:r>
        <w:rPr>
          <w:rFonts w:hint="eastAsia" w:ascii="Times New Roman" w:hAnsi="Times New Roman" w:eastAsia="宋体" w:cs="Times New Roman"/>
        </w:rPr>
        <w:t>提出在立柱底部布置导片用于减少淤积，结果表明</w:t>
      </w:r>
      <w:r>
        <w:rPr>
          <w:rFonts w:ascii="Times New Roman" w:hAnsi="Times New Roman" w:eastAsia="宋体" w:cs="Times New Roman"/>
        </w:rPr>
        <w:t>安装叶片的排沙漏斗</w:t>
      </w:r>
      <w:r>
        <w:rPr>
          <w:rFonts w:hint="eastAsia" w:ascii="Times New Roman" w:hAnsi="Times New Roman" w:eastAsia="宋体" w:cs="Times New Roman"/>
        </w:rPr>
        <w:t>漏斗室淤沙量有所减少</w:t>
      </w:r>
      <w:r>
        <w:rPr>
          <w:rFonts w:ascii="Times New Roman" w:hAnsi="Times New Roman" w:eastAsia="宋体" w:cs="Times New Roman"/>
        </w:rPr>
        <w:t>，在进水量大于或等于设计流量时</w:t>
      </w:r>
      <w:r>
        <w:rPr>
          <w:rFonts w:hint="eastAsia" w:ascii="Times New Roman" w:hAnsi="Times New Roman" w:eastAsia="宋体" w:cs="Times New Roman"/>
        </w:rPr>
        <w:t>，漏斗室淤积</w:t>
      </w:r>
      <w:r>
        <w:rPr>
          <w:rFonts w:ascii="Times New Roman" w:hAnsi="Times New Roman" w:eastAsia="宋体" w:cs="Times New Roman"/>
        </w:rPr>
        <w:t>平均减少11.71%至22.25%。</w:t>
      </w:r>
    </w:p>
    <w:p w14:paraId="11C27617">
      <w:pPr>
        <w:pStyle w:val="12"/>
        <w:spacing w:line="240" w:lineRule="auto"/>
        <w:ind w:firstLine="420"/>
        <w:rPr>
          <w:color w:val="auto"/>
          <w:sz w:val="21"/>
          <w:szCs w:val="21"/>
        </w:rPr>
      </w:pPr>
      <w:r>
        <w:rPr>
          <w:color w:val="auto"/>
          <w:sz w:val="21"/>
          <w:szCs w:val="21"/>
        </w:rPr>
        <w:t>随着大型水库及高水头引水电站的开发建设，为了保证水库有效库容和使用寿命，保证水电站的发电效益，工程运行管理中对入库河水、电站引水中的含沙粒径的处理要求日益增高，排沙漏斗逐渐应用于悬移质泥沙的处理</w:t>
      </w:r>
      <w:r>
        <w:rPr>
          <w:color w:val="auto"/>
          <w:sz w:val="21"/>
          <w:szCs w:val="21"/>
          <w:lang w:eastAsia="zh-CN"/>
        </w:rPr>
        <w:t>（后称悬沙排沙漏斗）</w:t>
      </w:r>
      <w:r>
        <w:rPr>
          <w:color w:val="auto"/>
          <w:sz w:val="21"/>
          <w:szCs w:val="21"/>
        </w:rPr>
        <w:t>，实践表明悬沙排沙漏斗对悬移质泥沙具有较好截除效果，</w:t>
      </w:r>
      <w:r>
        <w:rPr>
          <w:rFonts w:hint="eastAsia"/>
          <w:color w:val="auto"/>
          <w:sz w:val="21"/>
          <w:szCs w:val="21"/>
          <w:lang w:eastAsia="zh-CN"/>
        </w:rPr>
        <w:t>研究人员目前针对悬沙排沙漏斗流场特性</w:t>
      </w:r>
      <w:r>
        <w:rPr>
          <w:rFonts w:hint="eastAsia"/>
          <w:color w:val="auto"/>
          <w:sz w:val="21"/>
          <w:szCs w:val="21"/>
          <w:vertAlign w:val="superscript"/>
          <w:lang w:eastAsia="zh-CN"/>
        </w:rPr>
        <w:t>[24]</w:t>
      </w:r>
      <w:r>
        <w:rPr>
          <w:rFonts w:hint="eastAsia"/>
          <w:color w:val="auto"/>
          <w:sz w:val="21"/>
          <w:szCs w:val="21"/>
          <w:lang w:eastAsia="zh-CN"/>
        </w:rPr>
        <w:t>、底坡</w:t>
      </w:r>
      <w:r>
        <w:rPr>
          <w:rFonts w:hint="eastAsia"/>
          <w:color w:val="auto"/>
          <w:sz w:val="21"/>
          <w:szCs w:val="21"/>
          <w:vertAlign w:val="superscript"/>
          <w:lang w:eastAsia="zh-CN"/>
        </w:rPr>
        <w:t>[25,26]</w:t>
      </w:r>
      <w:r>
        <w:rPr>
          <w:rFonts w:hint="eastAsia"/>
          <w:color w:val="auto"/>
          <w:sz w:val="21"/>
          <w:szCs w:val="21"/>
          <w:lang w:eastAsia="zh-CN"/>
        </w:rPr>
        <w:t>、减淤导片</w:t>
      </w:r>
      <w:r>
        <w:rPr>
          <w:rFonts w:hint="eastAsia"/>
          <w:color w:val="auto"/>
          <w:sz w:val="21"/>
          <w:szCs w:val="21"/>
          <w:vertAlign w:val="superscript"/>
          <w:lang w:eastAsia="zh-CN"/>
        </w:rPr>
        <w:t>[27]</w:t>
      </w:r>
      <w:r>
        <w:rPr>
          <w:rFonts w:hint="eastAsia"/>
          <w:color w:val="auto"/>
          <w:sz w:val="21"/>
          <w:szCs w:val="21"/>
          <w:lang w:eastAsia="zh-CN"/>
        </w:rPr>
        <w:t>、排沙底孔</w:t>
      </w:r>
      <w:r>
        <w:rPr>
          <w:rFonts w:hint="eastAsia"/>
          <w:color w:val="auto"/>
          <w:sz w:val="21"/>
          <w:szCs w:val="21"/>
          <w:vertAlign w:val="superscript"/>
          <w:lang w:eastAsia="zh-CN"/>
        </w:rPr>
        <w:t>[28]</w:t>
      </w:r>
      <w:r>
        <w:rPr>
          <w:rFonts w:hint="eastAsia"/>
          <w:color w:val="auto"/>
          <w:sz w:val="21"/>
          <w:szCs w:val="21"/>
          <w:lang w:eastAsia="zh-CN"/>
        </w:rPr>
        <w:t>、溢流出口</w:t>
      </w:r>
      <w:r>
        <w:rPr>
          <w:rFonts w:hint="eastAsia"/>
          <w:color w:val="auto"/>
          <w:sz w:val="21"/>
          <w:szCs w:val="21"/>
          <w:vertAlign w:val="superscript"/>
          <w:lang w:eastAsia="zh-CN"/>
        </w:rPr>
        <w:t>[29-30]</w:t>
      </w:r>
      <w:r>
        <w:rPr>
          <w:rFonts w:hint="eastAsia"/>
          <w:color w:val="auto"/>
          <w:sz w:val="21"/>
          <w:szCs w:val="21"/>
          <w:lang w:eastAsia="zh-CN"/>
        </w:rPr>
        <w:t>开展了相关研究，</w:t>
      </w:r>
      <w:r>
        <w:rPr>
          <w:color w:val="auto"/>
          <w:sz w:val="21"/>
          <w:szCs w:val="21"/>
        </w:rPr>
        <w:t>但是，</w:t>
      </w:r>
      <w:r>
        <w:rPr>
          <w:color w:val="auto"/>
          <w:sz w:val="21"/>
          <w:szCs w:val="21"/>
        </w:rPr>
        <w:fldChar w:fldCharType="begin"/>
      </w:r>
      <w:r>
        <w:rPr>
          <w:color w:val="auto"/>
          <w:sz w:val="21"/>
          <w:szCs w:val="21"/>
        </w:rPr>
        <w:instrText xml:space="preserve"> ADDIN ZOTERO_ITEM CSL_CITATION {"citationID":"hZOCg3kk","properties":{"formattedCitation":"\\super [5,6]\\nosupersub{}","plainCitation":"[5,6]","noteIndex":0},"citationItems":[{"id":320,"uris":["http://zotero.org/users/12251972/items/8RJ658MA"],"itemData":{"id":320,"type":"article-journal","abstract":"Vortex settling basins (VSBs) are efficient and economical structures that use free-surface vortex strength to remove sediment particles from flow. In this study, computational fluid dynamics was employed to predict and evaluate the effects of basin geometry on performance and flow field structure. The flow field was calculated using Reynolds-averaged Navier–Stokes modeling and large eddy simulation. Verification of the numerical simulations was carried out based on experimental data obtained using a typical VSB model. The Smagorinsky model results for abstraction ratio, velocity component, and free-surface flow were superior to those of the other turbulence models. The distinctive features of two previously proposed designs for vortex settling basins were investigated, and a new geometry to enhance these features is presented. The results indicated that the new geometry provided better performance in generating a symmetric central vortex, lengthening the particle settling path and decreasing the abstraction ratio. DOI: 10.1061/(ASCE)IR.1943-4774.0001628. © 2021 American Society of Civil Engineers.","call-number":"4","container-title":"Journal of Irrigation and Drainage Engineering","DOI":"10.1061/(ASCE)IR.1943-4774.0001628","ISSN":"0733-9437","issue":"12","journalAbbreviation":"J. Irrig. Drain Eng.","language":"en","note":"Aa","page":"04021056","source":"1.6 (Q3)","title":"Numerical Modeling of Flow Field in Three Types of Vortex Settling Basins","title-sh</w:instrText>
      </w:r>
      <w:r>
        <w:rPr>
          <w:rFonts w:hint="eastAsia"/>
          <w:color w:val="auto"/>
          <w:sz w:val="21"/>
          <w:szCs w:val="21"/>
        </w:rPr>
        <w:instrText xml:space="preserve">ort":"三种旋流沉淀池流场的数值模拟","volume":"147","author":[{"family":"Nikou","given":"N. S. R."},{"family":"Ziaei","given":"A. N."},{"family":"McDonough","given":"J. M."}],"issued":{"date-parts":[["2021",12]]}},"label":"page"},{"id":328,"uris":["http://zotero.org/use</w:instrText>
      </w:r>
      <w:r>
        <w:rPr>
          <w:color w:val="auto"/>
          <w:sz w:val="21"/>
          <w:szCs w:val="21"/>
        </w:rPr>
        <w:instrText xml:space="preserve">rs/12251972/items/L7QPJ5JU"],"itemData":{"id":328,"type":"article-journal","abstract":"In this study, the performance of a vortex settling basin (VSB) with a clockwise circulation was experimentally evaluated. The inlet flow rate was in the range of 8–22 L=s. Based on the Taguchi and response surface methods, the effects of inlet flow (Qin), central orifice diameter (do), sediment particle diameter (ds), end sill height (Sout), and outlet weir height (W) were investigated. The orthogonal array, signal-to-noise ratio (SNR), and ANOVA were used to study the performance of the VSB. The inlet canal efficiency, trapping efficiency, water abstraction ratio, and total performance were measured and the SNR calculated. The total performance of the VSB was calculated based on the inlet canal efficiency, trapping efficiency, and water abstraction ratio. The factors Qin, W, Sout, do, and ds were ranked first to fifth with respect to impact on total performance. Based on dimensional analysis and experimental data analysis, total performance receives direct influence from Qout=Qin while being inversely affected by Sout=Hin, W=Hin, and do=Hin. The highest total performance was obtained for Sout=Hin ¼ 0.265, W=Hin ¼ 0.159, Qout=Qin ¼ 0.915, D50=Hin ¼ 0.0019, and do=Hin ¼ 0.370. DOI: 10.1061/(ASCE)IR.1943-4774.0001648. © 2021 American Society of Civil Engineers.","archive_location":"1 </w:instrText>
      </w:r>
      <w:r>
        <w:rPr>
          <w:rFonts w:ascii="Segoe UI Emoji" w:hAnsi="Segoe UI Emoji" w:cs="Segoe UI Emoji"/>
          <w:color w:val="auto"/>
          <w:sz w:val="21"/>
          <w:szCs w:val="21"/>
        </w:rPr>
        <w:instrText xml:space="preserve">📊</w:instrText>
      </w:r>
      <w:r>
        <w:rPr>
          <w:color w:val="auto"/>
          <w:sz w:val="21"/>
          <w:szCs w:val="21"/>
        </w:rPr>
        <w:instrText xml:space="preserve">","call-number":"4","container-title":"Journal of Irrigation and Drainage Engineering","DOI":"10.1061/(ASCE)IR.1943-4774.0001648","ISSN":"0733-9437","issue":"2","journalAbbreviation":"J. Irrig. Drain Eng.","language":"en","note":"</w:instrText>
      </w:r>
      <w:r>
        <w:rPr>
          <w:rFonts w:ascii="Segoe UI Emoji" w:hAnsi="Segoe UI Emoji" w:cs="Segoe UI Emoji"/>
          <w:color w:val="auto"/>
          <w:sz w:val="21"/>
          <w:szCs w:val="21"/>
        </w:rPr>
        <w:instrText xml:space="preserve">🏷️</w:instrText>
      </w:r>
      <w:r>
        <w:rPr>
          <w:color w:val="auto"/>
          <w:sz w:val="21"/>
          <w:szCs w:val="21"/>
        </w:rPr>
        <w:instrText xml:space="preserve"> /reading","page":"04021070","source":"1.6 (Q3)","title":"Study of Effective Parameters on Performance of Vortex Settling Basins Using Taguchi Method","title-s</w:instrText>
      </w:r>
      <w:r>
        <w:rPr>
          <w:rFonts w:hint="eastAsia"/>
          <w:color w:val="auto"/>
          <w:sz w:val="21"/>
          <w:szCs w:val="21"/>
        </w:rPr>
        <w:instrText xml:space="preserve">hort":"用田口法研究影响涡流沉淀池性能的参数","volume":"148","author":[{"family":"Nikou","given":"N. S. R."},{"family":"Ziaei","given":"A. N."},{"family":"Dalir","given":"M."}],"issued":{"date-parts":[["2022",2]]}},"label":"page"}],"schema":"https://github.com/citation-styl</w:instrText>
      </w:r>
      <w:r>
        <w:rPr>
          <w:color w:val="auto"/>
          <w:sz w:val="21"/>
          <w:szCs w:val="21"/>
        </w:rPr>
        <w:instrText xml:space="preserve">e-language/schema/raw/master/csl-citation.json"} </w:instrText>
      </w:r>
      <w:r>
        <w:rPr>
          <w:color w:val="auto"/>
          <w:sz w:val="21"/>
          <w:szCs w:val="21"/>
        </w:rPr>
        <w:fldChar w:fldCharType="separate"/>
      </w:r>
      <w:r>
        <w:rPr>
          <w:color w:val="auto"/>
          <w:sz w:val="21"/>
          <w:szCs w:val="21"/>
        </w:rPr>
        <w:fldChar w:fldCharType="end"/>
      </w:r>
      <w:r>
        <w:rPr>
          <w:color w:val="auto"/>
          <w:sz w:val="21"/>
          <w:szCs w:val="21"/>
        </w:rPr>
        <w:t>实际运行过程当中存在已建的悬沙排沙漏斗工程之间悬沙沉降效果差异显著的问题，以</w:t>
      </w:r>
      <w:r>
        <w:rPr>
          <w:color w:val="auto"/>
          <w:sz w:val="21"/>
          <w:szCs w:val="21"/>
          <w:lang w:eastAsia="zh-CN"/>
        </w:rPr>
        <w:t>应用于东雷抽黄灌区</w:t>
      </w:r>
      <w:r>
        <w:rPr>
          <w:color w:val="auto"/>
          <w:sz w:val="21"/>
          <w:szCs w:val="21"/>
        </w:rPr>
        <w:t>和</w:t>
      </w:r>
      <w:r>
        <w:rPr>
          <w:color w:val="auto"/>
          <w:sz w:val="21"/>
          <w:szCs w:val="21"/>
          <w:lang w:eastAsia="zh-CN"/>
        </w:rPr>
        <w:t>应用于木扎提河三级水电站的悬沙排沙漏斗工程为例（分别简称为DL及MZT）</w:t>
      </w:r>
      <w:r>
        <w:rPr>
          <w:color w:val="auto"/>
          <w:sz w:val="21"/>
          <w:szCs w:val="21"/>
        </w:rPr>
        <w:t>，DL工程对小于0.1mm的悬沙截除率最高可达46.8%，而MZT工程仅为21.34%</w:t>
      </w:r>
      <w:r>
        <w:rPr>
          <w:color w:val="auto"/>
          <w:sz w:val="21"/>
          <w:szCs w:val="21"/>
          <w:lang w:eastAsia="zh-CN"/>
        </w:rPr>
        <w:t>，这种差异严重影响了工程的可靠性与经济性。深入分析表明，传统设计方法的局限性主要体现在以下方面：</w:t>
      </w:r>
      <w:r>
        <w:rPr>
          <w:rFonts w:hint="eastAsia"/>
          <w:color w:val="auto"/>
          <w:sz w:val="21"/>
          <w:szCs w:val="21"/>
        </w:rPr>
        <w:t>漏斗直径是决定悬沙沉降效率的重要体型参数</w:t>
      </w:r>
      <w:r>
        <w:rPr>
          <w:sz w:val="21"/>
          <w:vertAlign w:val="superscript"/>
        </w:rPr>
        <w:t>[24]</w:t>
      </w:r>
      <w:r>
        <w:rPr>
          <w:color w:val="auto"/>
          <w:sz w:val="21"/>
          <w:szCs w:val="21"/>
        </w:rPr>
        <w:t>，以往排沙漏斗设计可参考周著</w:t>
      </w:r>
      <w:r>
        <w:rPr>
          <w:sz w:val="21"/>
          <w:vertAlign w:val="superscript"/>
        </w:rPr>
        <w:t>[6]</w:t>
      </w:r>
      <w:r>
        <w:rPr>
          <w:color w:val="auto"/>
          <w:sz w:val="21"/>
          <w:szCs w:val="21"/>
        </w:rPr>
        <w:t>提出的排沙漏斗处理流量与直径的关系，</w:t>
      </w:r>
      <w:r>
        <w:rPr>
          <w:color w:val="auto"/>
          <w:sz w:val="21"/>
          <w:szCs w:val="21"/>
          <w:lang w:eastAsia="zh-CN"/>
        </w:rPr>
        <w:t>以</w:t>
      </w:r>
      <w:r>
        <w:rPr>
          <w:color w:val="auto"/>
          <w:sz w:val="21"/>
          <w:szCs w:val="21"/>
        </w:rPr>
        <w:t>处理流量</w:t>
      </w:r>
      <w:r>
        <w:rPr>
          <w:color w:val="auto"/>
          <w:sz w:val="21"/>
          <w:szCs w:val="21"/>
          <w:lang w:eastAsia="zh-CN"/>
        </w:rPr>
        <w:t>为设计依据</w:t>
      </w:r>
      <w:r>
        <w:rPr>
          <w:color w:val="auto"/>
          <w:sz w:val="21"/>
          <w:szCs w:val="21"/>
        </w:rPr>
        <w:t>来确定漏斗直径，</w:t>
      </w:r>
      <w:r>
        <w:rPr>
          <w:color w:val="auto"/>
          <w:sz w:val="21"/>
          <w:szCs w:val="21"/>
          <w:lang w:eastAsia="zh-CN"/>
        </w:rPr>
        <w:t>忽略了截除率与耗水率的协同优化</w:t>
      </w:r>
      <w:r>
        <w:rPr>
          <w:rFonts w:hint="eastAsia"/>
          <w:color w:val="auto"/>
          <w:sz w:val="21"/>
          <w:szCs w:val="21"/>
          <w:lang w:eastAsia="zh-CN"/>
        </w:rPr>
        <w:t>，</w:t>
      </w:r>
      <w:r>
        <w:rPr>
          <w:color w:val="auto"/>
          <w:sz w:val="21"/>
          <w:szCs w:val="21"/>
          <w:lang w:eastAsia="zh-CN"/>
        </w:rPr>
        <w:t>随着水利工程对泥沙处理精度的要求不断提高，</w:t>
      </w:r>
      <w:r>
        <w:rPr>
          <w:color w:val="auto"/>
          <w:sz w:val="21"/>
          <w:szCs w:val="21"/>
        </w:rPr>
        <w:t>亟需一种</w:t>
      </w:r>
      <w:r>
        <w:rPr>
          <w:color w:val="auto"/>
          <w:sz w:val="21"/>
          <w:szCs w:val="21"/>
          <w:lang w:eastAsia="zh-CN"/>
        </w:rPr>
        <w:t>针对</w:t>
      </w:r>
      <w:r>
        <w:rPr>
          <w:color w:val="auto"/>
          <w:sz w:val="21"/>
          <w:szCs w:val="21"/>
        </w:rPr>
        <w:t>悬沙</w:t>
      </w:r>
      <w:r>
        <w:rPr>
          <w:color w:val="auto"/>
          <w:sz w:val="21"/>
          <w:szCs w:val="21"/>
          <w:lang w:eastAsia="zh-CN"/>
        </w:rPr>
        <w:t>特性的</w:t>
      </w:r>
      <w:r>
        <w:rPr>
          <w:color w:val="auto"/>
          <w:sz w:val="21"/>
          <w:szCs w:val="21"/>
        </w:rPr>
        <w:t>排沙漏斗直径</w:t>
      </w:r>
      <w:r>
        <w:rPr>
          <w:color w:val="auto"/>
          <w:sz w:val="21"/>
          <w:szCs w:val="21"/>
          <w:lang w:eastAsia="zh-CN"/>
        </w:rPr>
        <w:t>设计</w:t>
      </w:r>
      <w:r>
        <w:rPr>
          <w:color w:val="auto"/>
          <w:sz w:val="21"/>
          <w:szCs w:val="21"/>
        </w:rPr>
        <w:t>新方法。</w:t>
      </w:r>
    </w:p>
    <w:p w14:paraId="6C39016E">
      <w:pPr>
        <w:pStyle w:val="3"/>
        <w:ind w:firstLine="420" w:firstLineChars="200"/>
        <w:rPr>
          <w:rFonts w:ascii="Times New Roman" w:hAnsi="Times New Roman" w:eastAsia="宋体" w:cs="Times New Roman"/>
          <w:sz w:val="24"/>
        </w:rPr>
      </w:pPr>
      <w:r>
        <w:rPr>
          <w:rFonts w:ascii="Times New Roman" w:hAnsi="Times New Roman" w:eastAsia="宋体" w:cs="Times New Roman"/>
          <w:szCs w:val="21"/>
        </w:rPr>
        <w:t>为此，研究以木扎提（MZT）悬沙排沙漏斗工程为原型，设计相关物理模型开展系列浑水试验，以试验结果为建模样本，采用线性函数、指数函数与幂函数分别建立了无量纲直径</w:t>
      </w:r>
      <w:r>
        <w:rPr>
          <w:rFonts w:ascii="Times New Roman" w:hAnsi="Times New Roman" w:eastAsia="宋体" w:cs="Times New Roman"/>
          <w:i/>
          <w:iCs/>
          <w:szCs w:val="21"/>
        </w:rPr>
        <w:t>L</w:t>
      </w:r>
      <w:r>
        <w:rPr>
          <w:rFonts w:hint="eastAsia" w:ascii="Times New Roman" w:hAnsi="Times New Roman" w:eastAsia="宋体" w:cs="Times New Roman"/>
          <w:szCs w:val="21"/>
        </w:rPr>
        <w:t>、含沙浓度</w:t>
      </w:r>
      <w:r>
        <w:rPr>
          <w:rFonts w:hint="eastAsia" w:ascii="Times New Roman" w:hAnsi="Times New Roman" w:eastAsia="宋体" w:cs="Times New Roman"/>
          <w:i/>
          <w:iCs/>
          <w:szCs w:val="21"/>
        </w:rPr>
        <w:t>S</w:t>
      </w:r>
      <w:r>
        <w:rPr>
          <w:rFonts w:ascii="Times New Roman" w:hAnsi="Times New Roman" w:eastAsia="宋体" w:cs="Times New Roman"/>
          <w:szCs w:val="21"/>
        </w:rPr>
        <w:t>为自变量，截除率</w:t>
      </w:r>
      <w:r>
        <w:rPr>
          <w:rFonts w:ascii="Times New Roman" w:hAnsi="Times New Roman" w:eastAsia="宋体" w:cs="Times New Roman"/>
          <w:i/>
          <w:iCs/>
          <w:szCs w:val="21"/>
        </w:rPr>
        <w:t>η</w:t>
      </w:r>
      <w:r>
        <w:rPr>
          <w:rFonts w:ascii="Times New Roman" w:hAnsi="Times New Roman" w:eastAsia="宋体" w:cs="Times New Roman"/>
          <w:szCs w:val="21"/>
        </w:rPr>
        <w:t>及耗水率</w:t>
      </w:r>
      <w:r>
        <w:rPr>
          <w:rFonts w:ascii="Times New Roman" w:hAnsi="Times New Roman" w:eastAsia="宋体" w:cs="Times New Roman"/>
          <w:i/>
          <w:iCs/>
          <w:szCs w:val="21"/>
        </w:rPr>
        <w:t>λ</w:t>
      </w:r>
      <w:r>
        <w:rPr>
          <w:rFonts w:ascii="Times New Roman" w:hAnsi="Times New Roman" w:eastAsia="宋体" w:cs="Times New Roman"/>
          <w:szCs w:val="21"/>
        </w:rPr>
        <w:t>预测模型，基于预测结果选择精度最高的预测模型。以高</w:t>
      </w:r>
      <w:r>
        <w:rPr>
          <w:rFonts w:ascii="Times New Roman" w:hAnsi="Times New Roman" w:eastAsia="宋体" w:cs="Times New Roman"/>
          <w:i/>
          <w:iCs/>
          <w:szCs w:val="21"/>
        </w:rPr>
        <w:t>η</w:t>
      </w:r>
      <w:r>
        <w:rPr>
          <w:rFonts w:ascii="Times New Roman" w:hAnsi="Times New Roman" w:eastAsia="宋体" w:cs="Times New Roman"/>
          <w:szCs w:val="21"/>
        </w:rPr>
        <w:t>与低</w:t>
      </w:r>
      <w:r>
        <w:rPr>
          <w:rFonts w:ascii="Times New Roman" w:hAnsi="Times New Roman" w:eastAsia="宋体" w:cs="Times New Roman"/>
          <w:i/>
          <w:iCs/>
          <w:szCs w:val="21"/>
        </w:rPr>
        <w:t>λ</w:t>
      </w:r>
      <w:r>
        <w:rPr>
          <w:rFonts w:ascii="Times New Roman" w:hAnsi="Times New Roman" w:eastAsia="宋体" w:cs="Times New Roman"/>
          <w:szCs w:val="21"/>
        </w:rPr>
        <w:t>为目标，结合NSGA-Ⅱ与熵权-TOPSIS方法进行了全局多目标优化。旨在建立一种基于多目标优化的悬沙排沙漏斗无量纲直径设计方法，研究结果可为悬沙排沙漏斗工程设计提供指导与方法依据，具有重要研究意义</w:t>
      </w:r>
      <w:r>
        <w:rPr>
          <w:rFonts w:ascii="Times New Roman" w:hAnsi="Times New Roman" w:eastAsia="宋体" w:cs="Times New Roman"/>
          <w:sz w:val="24"/>
        </w:rPr>
        <w:t>。</w:t>
      </w:r>
    </w:p>
    <w:p w14:paraId="61F8D830">
      <w:pPr>
        <w:pStyle w:val="3"/>
        <w:ind w:firstLine="480" w:firstLineChars="200"/>
        <w:rPr>
          <w:rFonts w:ascii="Times New Roman" w:hAnsi="Times New Roman" w:eastAsia="宋体" w:cs="Times New Roman"/>
          <w:sz w:val="24"/>
        </w:rPr>
      </w:pPr>
    </w:p>
    <w:p w14:paraId="228A93C3">
      <w:pPr>
        <w:rPr>
          <w:rFonts w:ascii="Times New Roman" w:hAnsi="Times New Roman" w:eastAsia="宋体" w:cs="Times New Roman"/>
          <w:bCs/>
          <w:sz w:val="28"/>
          <w:szCs w:val="28"/>
        </w:rPr>
      </w:pPr>
      <w:r>
        <w:rPr>
          <w:rFonts w:hint="eastAsia" w:ascii="Times New Roman" w:hAnsi="Times New Roman" w:eastAsia="宋体" w:cs="Times New Roman"/>
          <w:bCs/>
          <w:sz w:val="28"/>
          <w:szCs w:val="28"/>
        </w:rPr>
        <w:t>1</w:t>
      </w:r>
      <w:r>
        <w:rPr>
          <w:rFonts w:ascii="Times New Roman" w:hAnsi="Times New Roman" w:eastAsia="宋体" w:cs="Times New Roman"/>
          <w:bCs/>
          <w:sz w:val="28"/>
          <w:szCs w:val="28"/>
        </w:rPr>
        <w:t>材料与方法</w:t>
      </w:r>
    </w:p>
    <w:p w14:paraId="39537004">
      <w:pPr>
        <w:jc w:val="left"/>
        <w:rPr>
          <w:rFonts w:ascii="Times New Roman" w:hAnsi="Times New Roman" w:eastAsia="黑体" w:cs="Times New Roman"/>
          <w:bCs/>
          <w:szCs w:val="21"/>
        </w:rPr>
      </w:pPr>
      <w:r>
        <w:rPr>
          <w:rFonts w:hint="eastAsia" w:ascii="Times New Roman" w:hAnsi="Times New Roman" w:eastAsia="黑体" w:cs="Times New Roman"/>
          <w:bCs/>
          <w:szCs w:val="21"/>
        </w:rPr>
        <w:t>1</w:t>
      </w:r>
      <w:r>
        <w:rPr>
          <w:rFonts w:ascii="Times New Roman" w:hAnsi="Times New Roman" w:eastAsia="黑体" w:cs="Times New Roman"/>
          <w:bCs/>
          <w:szCs w:val="21"/>
        </w:rPr>
        <w:t>.1</w:t>
      </w:r>
      <w:r>
        <w:rPr>
          <w:rFonts w:hint="eastAsia" w:ascii="Times New Roman" w:hAnsi="Times New Roman" w:eastAsia="黑体" w:cs="Times New Roman"/>
          <w:bCs/>
          <w:szCs w:val="21"/>
        </w:rPr>
        <w:t>物理</w:t>
      </w:r>
      <w:r>
        <w:rPr>
          <w:rFonts w:ascii="Times New Roman" w:hAnsi="Times New Roman" w:eastAsia="黑体" w:cs="Times New Roman"/>
          <w:bCs/>
          <w:szCs w:val="21"/>
        </w:rPr>
        <w:t>模型设计</w:t>
      </w:r>
    </w:p>
    <w:p w14:paraId="50FD0A91">
      <w:pPr>
        <w:ind w:firstLine="420" w:firstLineChars="200"/>
        <w:rPr>
          <w:rFonts w:ascii="Times New Roman" w:hAnsi="Times New Roman" w:eastAsia="宋体" w:cs="Times New Roman"/>
          <w:bCs/>
          <w:szCs w:val="21"/>
        </w:rPr>
      </w:pPr>
      <w:r>
        <w:rPr>
          <w:rFonts w:ascii="Times New Roman" w:hAnsi="Times New Roman" w:eastAsia="宋体" w:cs="Times New Roman"/>
          <w:bCs/>
          <w:szCs w:val="21"/>
        </w:rPr>
        <w:t>研究以</w:t>
      </w:r>
      <w:r>
        <w:rPr>
          <w:rFonts w:hint="eastAsia" w:ascii="Times New Roman" w:hAnsi="Times New Roman" w:eastAsia="宋体" w:cs="Times New Roman"/>
          <w:bCs/>
          <w:szCs w:val="21"/>
        </w:rPr>
        <w:t>木扎提（</w:t>
      </w:r>
      <w:r>
        <w:rPr>
          <w:rFonts w:ascii="Times New Roman" w:hAnsi="Times New Roman" w:eastAsia="宋体" w:cs="Times New Roman"/>
          <w:bCs/>
          <w:szCs w:val="21"/>
        </w:rPr>
        <w:t>MZT</w:t>
      </w:r>
      <w:r>
        <w:rPr>
          <w:rFonts w:hint="eastAsia" w:ascii="Times New Roman" w:hAnsi="Times New Roman" w:eastAsia="宋体" w:cs="Times New Roman"/>
          <w:bCs/>
          <w:szCs w:val="21"/>
        </w:rPr>
        <w:t>）</w:t>
      </w:r>
      <w:r>
        <w:rPr>
          <w:rFonts w:ascii="Times New Roman" w:hAnsi="Times New Roman" w:eastAsia="宋体" w:cs="Times New Roman"/>
          <w:bCs/>
          <w:szCs w:val="21"/>
        </w:rPr>
        <w:t>工程为原型，</w:t>
      </w:r>
      <w:r>
        <w:rPr>
          <w:rFonts w:hint="eastAsia" w:ascii="Times New Roman" w:hAnsi="Times New Roman" w:eastAsia="宋体" w:cs="Times New Roman"/>
          <w:bCs/>
          <w:szCs w:val="21"/>
        </w:rPr>
        <w:t>MZT漏斗位于新疆维吾尔自治区阿克苏市拜城县境内的木扎提河流域的三级水电站上游，属于多沙河流区域，多年平均悬移质输沙量为480万吨，该流域年最大含沙浓度为7.2kg/m³。</w:t>
      </w:r>
      <w:r>
        <w:rPr>
          <w:rFonts w:ascii="Times New Roman" w:hAnsi="Times New Roman" w:eastAsia="宋体" w:cs="Times New Roman"/>
          <w:bCs/>
          <w:szCs w:val="21"/>
        </w:rPr>
        <w:t>模型采用正态模型，遵循重力相似准则进行设计，综合试验场地大小、试验任务要求和供水条件，排沙漏斗模型相应比尺</w:t>
      </w:r>
      <w:r>
        <w:rPr>
          <w:rFonts w:hint="eastAsia" w:ascii="Times New Roman" w:hAnsi="Times New Roman" w:eastAsia="宋体" w:cs="Times New Roman"/>
          <w:bCs/>
          <w:szCs w:val="21"/>
        </w:rPr>
        <w:t>如</w:t>
      </w:r>
      <w:r>
        <w:rPr>
          <w:rFonts w:ascii="Times New Roman" w:hAnsi="Times New Roman" w:eastAsia="宋体" w:cs="Times New Roman"/>
          <w:bCs/>
          <w:szCs w:val="21"/>
        </w:rPr>
        <w:t>表1所</w:t>
      </w:r>
      <w:r>
        <w:rPr>
          <w:rFonts w:hint="eastAsia" w:ascii="Times New Roman" w:hAnsi="Times New Roman" w:eastAsia="宋体" w:cs="Times New Roman"/>
          <w:bCs/>
          <w:szCs w:val="21"/>
        </w:rPr>
        <w:t>列</w:t>
      </w:r>
      <w:r>
        <w:rPr>
          <w:rFonts w:ascii="Times New Roman" w:hAnsi="Times New Roman" w:eastAsia="宋体" w:cs="Times New Roman"/>
          <w:bCs/>
          <w:szCs w:val="21"/>
        </w:rPr>
        <w:t>，排沙漏斗</w:t>
      </w:r>
      <w:r>
        <w:rPr>
          <w:rFonts w:hint="eastAsia" w:ascii="Times New Roman" w:hAnsi="Times New Roman" w:eastAsia="宋体" w:cs="Times New Roman"/>
          <w:bCs/>
          <w:szCs w:val="21"/>
        </w:rPr>
        <w:t>如</w:t>
      </w:r>
      <w:r>
        <w:rPr>
          <w:rFonts w:ascii="Times New Roman" w:hAnsi="Times New Roman" w:eastAsia="宋体" w:cs="Times New Roman"/>
          <w:bCs/>
          <w:szCs w:val="21"/>
        </w:rPr>
        <w:t>图1</w:t>
      </w:r>
      <w:r>
        <w:rPr>
          <w:rFonts w:hint="eastAsia" w:ascii="Times New Roman" w:hAnsi="Times New Roman" w:eastAsia="宋体" w:cs="Times New Roman"/>
          <w:bCs/>
          <w:szCs w:val="21"/>
        </w:rPr>
        <w:t>所示</w:t>
      </w:r>
      <w:r>
        <w:rPr>
          <w:rFonts w:ascii="Times New Roman" w:hAnsi="Times New Roman" w:eastAsia="宋体" w:cs="Times New Roman"/>
          <w:bCs/>
          <w:szCs w:val="21"/>
        </w:rPr>
        <w:t>，其中原型工程排沙漏斗直径</w:t>
      </w:r>
      <w:r>
        <w:rPr>
          <w:rFonts w:ascii="Times New Roman" w:hAnsi="Times New Roman" w:eastAsia="宋体" w:cs="Times New Roman"/>
          <w:bCs/>
          <w:i/>
          <w:iCs/>
          <w:szCs w:val="21"/>
        </w:rPr>
        <w:t>D</w:t>
      </w:r>
      <w:r>
        <w:rPr>
          <w:rFonts w:ascii="Times New Roman" w:hAnsi="Times New Roman" w:eastAsia="宋体" w:cs="Times New Roman"/>
          <w:bCs/>
          <w:szCs w:val="21"/>
        </w:rPr>
        <w:t>=70m，进水涵洞宽为</w:t>
      </w:r>
      <w:r>
        <w:rPr>
          <w:rFonts w:ascii="Times New Roman" w:hAnsi="Times New Roman" w:eastAsia="宋体" w:cs="Times New Roman"/>
          <w:bCs/>
          <w:i/>
          <w:iCs/>
          <w:szCs w:val="21"/>
        </w:rPr>
        <w:t>B</w:t>
      </w:r>
      <w:r>
        <w:rPr>
          <w:rFonts w:ascii="Times New Roman" w:hAnsi="Times New Roman" w:eastAsia="宋体" w:cs="Times New Roman"/>
          <w:bCs/>
          <w:szCs w:val="21"/>
        </w:rPr>
        <w:t>=10m，涵洞净高</w:t>
      </w:r>
      <w:r>
        <w:rPr>
          <w:rFonts w:ascii="Times New Roman" w:hAnsi="Times New Roman" w:eastAsia="宋体" w:cs="Times New Roman"/>
          <w:bCs/>
          <w:i/>
          <w:iCs/>
          <w:szCs w:val="21"/>
        </w:rPr>
        <w:t>H</w:t>
      </w:r>
      <w:r>
        <w:rPr>
          <w:rFonts w:ascii="Times New Roman" w:hAnsi="Times New Roman" w:eastAsia="宋体" w:cs="Times New Roman"/>
          <w:bCs/>
          <w:szCs w:val="21"/>
        </w:rPr>
        <w:t>=2.8 m，为双孔结构，漏斗径坡1:5，悬板高</w:t>
      </w:r>
      <w:r>
        <w:rPr>
          <w:rFonts w:ascii="Times New Roman" w:hAnsi="Times New Roman" w:eastAsia="宋体" w:cs="Times New Roman"/>
          <w:bCs/>
          <w:i/>
          <w:iCs/>
          <w:szCs w:val="21"/>
        </w:rPr>
        <w:t>h</w:t>
      </w:r>
      <w:r>
        <w:rPr>
          <w:rFonts w:ascii="Times New Roman" w:hAnsi="Times New Roman" w:eastAsia="宋体" w:cs="Times New Roman"/>
          <w:bCs/>
          <w:szCs w:val="21"/>
        </w:rPr>
        <w:t>=4.2m，悬板宽度</w:t>
      </w:r>
      <w:r>
        <w:rPr>
          <w:rFonts w:ascii="Times New Roman" w:hAnsi="Times New Roman" w:eastAsia="宋体" w:cs="Times New Roman"/>
          <w:bCs/>
          <w:i/>
          <w:iCs/>
          <w:szCs w:val="21"/>
        </w:rPr>
        <w:t>b</w:t>
      </w:r>
      <w:r>
        <w:rPr>
          <w:rFonts w:ascii="Times New Roman" w:hAnsi="Times New Roman" w:eastAsia="宋体" w:cs="Times New Roman"/>
          <w:bCs/>
          <w:szCs w:val="21"/>
        </w:rPr>
        <w:t>=12 m，排沙底孔孔径</w:t>
      </w:r>
      <w:r>
        <w:rPr>
          <w:rFonts w:ascii="Times New Roman" w:hAnsi="Times New Roman" w:eastAsia="宋体" w:cs="Times New Roman"/>
          <w:bCs/>
          <w:i/>
          <w:iCs/>
          <w:szCs w:val="21"/>
        </w:rPr>
        <w:t>d</w:t>
      </w:r>
      <w:r>
        <w:rPr>
          <w:rFonts w:ascii="Times New Roman" w:hAnsi="Times New Roman" w:eastAsia="宋体" w:cs="Times New Roman"/>
          <w:bCs/>
          <w:szCs w:val="21"/>
        </w:rPr>
        <w:t>=1.1m，漏斗进水口前通过渐变段与上游城门洞形无压引水洞相衔接。</w:t>
      </w:r>
    </w:p>
    <w:p w14:paraId="168B3099">
      <w:pPr>
        <w:ind w:firstLine="420" w:firstLineChars="200"/>
        <w:jc w:val="center"/>
        <w:rPr>
          <w:rFonts w:ascii="Times New Roman" w:hAnsi="Times New Roman" w:eastAsia="宋体" w:cs="Times New Roman"/>
          <w:bCs/>
          <w:szCs w:val="21"/>
        </w:rPr>
      </w:pPr>
      <w:r>
        <w:rPr>
          <w:rFonts w:ascii="Times New Roman" w:hAnsi="Times New Roman" w:eastAsia="宋体" w:cs="Times New Roman"/>
          <w:bCs/>
          <w:szCs w:val="21"/>
        </w:rPr>
        <w:t>表1模型比尺</w:t>
      </w:r>
    </w:p>
    <w:p w14:paraId="74D421D7">
      <w:pPr>
        <w:ind w:firstLine="420" w:firstLineChars="200"/>
        <w:jc w:val="center"/>
        <w:rPr>
          <w:rFonts w:ascii="Times New Roman" w:hAnsi="Times New Roman" w:eastAsia="宋体" w:cs="Times New Roman"/>
          <w:bCs/>
          <w:szCs w:val="21"/>
        </w:rPr>
      </w:pPr>
      <w:r>
        <w:rPr>
          <w:rFonts w:ascii="Times New Roman" w:hAnsi="Times New Roman" w:eastAsia="宋体" w:cs="Times New Roman"/>
          <w:bCs/>
          <w:szCs w:val="21"/>
        </w:rPr>
        <w:t>Table 1</w:t>
      </w:r>
      <w:r>
        <w:rPr>
          <w:rFonts w:hint="eastAsia" w:ascii="Times New Roman" w:hAnsi="Times New Roman" w:eastAsia="宋体" w:cs="Times New Roman"/>
          <w:bCs/>
          <w:szCs w:val="21"/>
        </w:rPr>
        <w:t xml:space="preserve"> </w:t>
      </w:r>
      <w:r>
        <w:rPr>
          <w:rFonts w:ascii="Times New Roman" w:hAnsi="Times New Roman" w:eastAsia="宋体" w:cs="Times New Roman"/>
          <w:bCs/>
          <w:szCs w:val="21"/>
        </w:rPr>
        <w:t xml:space="preserve">Model </w:t>
      </w:r>
      <w:r>
        <w:rPr>
          <w:rFonts w:hint="eastAsia" w:ascii="Times New Roman" w:hAnsi="Times New Roman" w:eastAsia="宋体" w:cs="Times New Roman"/>
          <w:bCs/>
          <w:szCs w:val="21"/>
        </w:rPr>
        <w:t>s</w:t>
      </w:r>
      <w:r>
        <w:rPr>
          <w:rFonts w:ascii="Times New Roman" w:hAnsi="Times New Roman" w:eastAsia="宋体" w:cs="Times New Roman"/>
          <w:bCs/>
          <w:szCs w:val="21"/>
        </w:rPr>
        <w:t>cale</w:t>
      </w:r>
    </w:p>
    <w:tbl>
      <w:tblPr>
        <w:tblStyle w:val="13"/>
        <w:tblW w:w="4380" w:type="pct"/>
        <w:jc w:val="center"/>
        <w:tblBorders>
          <w:top w:val="single" w:color="auto" w:sz="12" w:space="0"/>
          <w:left w:val="none" w:color="auto" w:sz="4" w:space="0"/>
          <w:bottom w:val="single" w:color="auto" w:sz="12" w:space="0"/>
          <w:right w:val="none" w:color="auto" w:sz="4" w:space="0"/>
          <w:insideH w:val="single" w:color="auto" w:sz="4" w:space="0"/>
          <w:insideV w:val="none" w:color="auto" w:sz="4" w:space="0"/>
        </w:tblBorders>
        <w:tblLayout w:type="autofit"/>
        <w:tblCellMar>
          <w:top w:w="0" w:type="dxa"/>
          <w:left w:w="108" w:type="dxa"/>
          <w:bottom w:w="0" w:type="dxa"/>
          <w:right w:w="108" w:type="dxa"/>
        </w:tblCellMar>
      </w:tblPr>
      <w:tblGrid>
        <w:gridCol w:w="1494"/>
        <w:gridCol w:w="1494"/>
        <w:gridCol w:w="1493"/>
        <w:gridCol w:w="1493"/>
        <w:gridCol w:w="1491"/>
      </w:tblGrid>
      <w:tr w14:paraId="729C93EA">
        <w:tblPrEx>
          <w:tblBorders>
            <w:top w:val="single" w:color="auto" w:sz="12" w:space="0"/>
            <w:left w:val="none" w:color="auto" w:sz="4" w:space="0"/>
            <w:bottom w:val="single" w:color="auto" w:sz="12" w:space="0"/>
            <w:right w:val="none" w:color="auto" w:sz="4" w:space="0"/>
            <w:insideH w:val="single" w:color="auto" w:sz="4" w:space="0"/>
            <w:insideV w:val="none" w:color="auto" w:sz="4" w:space="0"/>
          </w:tblBorders>
          <w:tblCellMar>
            <w:top w:w="0" w:type="dxa"/>
            <w:left w:w="108" w:type="dxa"/>
            <w:bottom w:w="0" w:type="dxa"/>
            <w:right w:w="108" w:type="dxa"/>
          </w:tblCellMar>
        </w:tblPrEx>
        <w:trPr>
          <w:trHeight w:val="188" w:hRule="atLeast"/>
          <w:jc w:val="center"/>
        </w:trPr>
        <w:tc>
          <w:tcPr>
            <w:tcW w:w="1001" w:type="pct"/>
            <w:tcBorders>
              <w:top w:val="single" w:color="auto" w:sz="12" w:space="0"/>
              <w:left w:val="nil"/>
              <w:bottom w:val="single" w:color="auto" w:sz="4" w:space="0"/>
              <w:right w:val="nil"/>
            </w:tcBorders>
          </w:tcPr>
          <w:p w14:paraId="09232128">
            <w:pPr>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几何比尺</w:t>
            </w:r>
          </w:p>
        </w:tc>
        <w:tc>
          <w:tcPr>
            <w:tcW w:w="1001" w:type="pct"/>
            <w:tcBorders>
              <w:top w:val="single" w:color="auto" w:sz="12" w:space="0"/>
              <w:left w:val="nil"/>
              <w:bottom w:val="single" w:color="auto" w:sz="4" w:space="0"/>
              <w:right w:val="nil"/>
            </w:tcBorders>
          </w:tcPr>
          <w:p w14:paraId="23BBAC50">
            <w:pPr>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流量比尺</w:t>
            </w:r>
          </w:p>
        </w:tc>
        <w:tc>
          <w:tcPr>
            <w:tcW w:w="1000" w:type="pct"/>
            <w:tcBorders>
              <w:top w:val="single" w:color="auto" w:sz="12" w:space="0"/>
              <w:left w:val="nil"/>
              <w:bottom w:val="single" w:color="auto" w:sz="4" w:space="0"/>
              <w:right w:val="nil"/>
            </w:tcBorders>
          </w:tcPr>
          <w:p w14:paraId="71CE360D">
            <w:pPr>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流速比尺</w:t>
            </w:r>
          </w:p>
        </w:tc>
        <w:tc>
          <w:tcPr>
            <w:tcW w:w="1000" w:type="pct"/>
            <w:tcBorders>
              <w:top w:val="single" w:color="auto" w:sz="12" w:space="0"/>
              <w:left w:val="nil"/>
              <w:bottom w:val="single" w:color="auto" w:sz="4" w:space="0"/>
              <w:right w:val="nil"/>
            </w:tcBorders>
          </w:tcPr>
          <w:p w14:paraId="0EFC8B62">
            <w:pPr>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糙率比尺</w:t>
            </w:r>
          </w:p>
        </w:tc>
        <w:tc>
          <w:tcPr>
            <w:tcW w:w="998" w:type="pct"/>
            <w:tcBorders>
              <w:top w:val="single" w:color="auto" w:sz="12" w:space="0"/>
              <w:left w:val="nil"/>
              <w:bottom w:val="single" w:color="auto" w:sz="4" w:space="0"/>
              <w:right w:val="nil"/>
            </w:tcBorders>
          </w:tcPr>
          <w:p w14:paraId="097BEF6B">
            <w:pPr>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输沙率比尺</w:t>
            </w:r>
          </w:p>
        </w:tc>
      </w:tr>
      <w:tr w14:paraId="54B708AC">
        <w:tblPrEx>
          <w:tblBorders>
            <w:top w:val="single" w:color="auto" w:sz="12" w:space="0"/>
            <w:left w:val="none" w:color="auto" w:sz="4" w:space="0"/>
            <w:bottom w:val="single" w:color="auto" w:sz="12" w:space="0"/>
            <w:right w:val="none" w:color="auto" w:sz="4" w:space="0"/>
            <w:insideH w:val="single" w:color="auto" w:sz="4" w:space="0"/>
            <w:insideV w:val="none" w:color="auto" w:sz="4" w:space="0"/>
          </w:tblBorders>
          <w:tblCellMar>
            <w:top w:w="0" w:type="dxa"/>
            <w:left w:w="108" w:type="dxa"/>
            <w:bottom w:w="0" w:type="dxa"/>
            <w:right w:w="108" w:type="dxa"/>
          </w:tblCellMar>
        </w:tblPrEx>
        <w:trPr>
          <w:trHeight w:val="188" w:hRule="atLeast"/>
          <w:jc w:val="center"/>
        </w:trPr>
        <w:tc>
          <w:tcPr>
            <w:tcW w:w="1001" w:type="pct"/>
            <w:tcBorders>
              <w:top w:val="single" w:color="auto" w:sz="4" w:space="0"/>
              <w:left w:val="nil"/>
              <w:bottom w:val="single" w:color="auto" w:sz="12" w:space="0"/>
              <w:right w:val="nil"/>
            </w:tcBorders>
          </w:tcPr>
          <w:p w14:paraId="7BE3731D">
            <w:pPr>
              <w:ind w:firstLine="420" w:firstLineChars="200"/>
              <w:rPr>
                <w:rFonts w:ascii="Times New Roman" w:hAnsi="Times New Roman" w:eastAsia="宋体" w:cs="Times New Roman"/>
                <w:bCs/>
                <w:szCs w:val="21"/>
              </w:rPr>
            </w:pPr>
            <w:r>
              <w:rPr>
                <w:rFonts w:ascii="Times New Roman" w:hAnsi="Times New Roman" w:eastAsia="宋体" w:cs="Times New Roman"/>
                <w:bCs/>
                <w:szCs w:val="21"/>
              </w:rPr>
              <w:t>28</w:t>
            </w:r>
          </w:p>
        </w:tc>
        <w:tc>
          <w:tcPr>
            <w:tcW w:w="1001" w:type="pct"/>
            <w:tcBorders>
              <w:top w:val="single" w:color="auto" w:sz="4" w:space="0"/>
              <w:left w:val="nil"/>
              <w:bottom w:val="single" w:color="auto" w:sz="12" w:space="0"/>
              <w:right w:val="nil"/>
            </w:tcBorders>
          </w:tcPr>
          <w:p w14:paraId="5FC40A28">
            <w:pPr>
              <w:ind w:firstLine="420" w:firstLineChars="200"/>
              <w:rPr>
                <w:rFonts w:ascii="Times New Roman" w:hAnsi="Times New Roman" w:eastAsia="宋体" w:cs="Times New Roman"/>
                <w:bCs/>
                <w:szCs w:val="21"/>
              </w:rPr>
            </w:pPr>
            <w:r>
              <w:rPr>
                <w:rFonts w:ascii="Times New Roman" w:hAnsi="Times New Roman" w:eastAsia="宋体" w:cs="Times New Roman"/>
                <w:bCs/>
                <w:szCs w:val="21"/>
              </w:rPr>
              <w:t>4148.5</w:t>
            </w:r>
          </w:p>
        </w:tc>
        <w:tc>
          <w:tcPr>
            <w:tcW w:w="1000" w:type="pct"/>
            <w:tcBorders>
              <w:top w:val="single" w:color="auto" w:sz="4" w:space="0"/>
              <w:left w:val="nil"/>
              <w:bottom w:val="single" w:color="auto" w:sz="12" w:space="0"/>
              <w:right w:val="nil"/>
            </w:tcBorders>
          </w:tcPr>
          <w:p w14:paraId="7EC68CA6">
            <w:pPr>
              <w:ind w:firstLine="420" w:firstLineChars="200"/>
              <w:rPr>
                <w:rFonts w:ascii="Times New Roman" w:hAnsi="Times New Roman" w:eastAsia="宋体" w:cs="Times New Roman"/>
                <w:bCs/>
                <w:szCs w:val="21"/>
              </w:rPr>
            </w:pPr>
            <w:r>
              <w:rPr>
                <w:rFonts w:ascii="Times New Roman" w:hAnsi="Times New Roman" w:eastAsia="宋体" w:cs="Times New Roman"/>
                <w:bCs/>
                <w:szCs w:val="21"/>
              </w:rPr>
              <w:t>5.29</w:t>
            </w:r>
          </w:p>
        </w:tc>
        <w:tc>
          <w:tcPr>
            <w:tcW w:w="1000" w:type="pct"/>
            <w:tcBorders>
              <w:top w:val="single" w:color="auto" w:sz="4" w:space="0"/>
              <w:left w:val="nil"/>
              <w:bottom w:val="single" w:color="auto" w:sz="12" w:space="0"/>
              <w:right w:val="nil"/>
            </w:tcBorders>
          </w:tcPr>
          <w:p w14:paraId="220EC0A1">
            <w:pPr>
              <w:ind w:firstLine="420" w:firstLineChars="200"/>
              <w:rPr>
                <w:rFonts w:ascii="Times New Roman" w:hAnsi="Times New Roman" w:eastAsia="宋体" w:cs="Times New Roman"/>
                <w:bCs/>
                <w:szCs w:val="21"/>
              </w:rPr>
            </w:pPr>
            <w:r>
              <w:rPr>
                <w:rFonts w:ascii="Times New Roman" w:hAnsi="Times New Roman" w:eastAsia="宋体" w:cs="Times New Roman"/>
                <w:bCs/>
                <w:szCs w:val="21"/>
              </w:rPr>
              <w:t>1.742</w:t>
            </w:r>
          </w:p>
        </w:tc>
        <w:tc>
          <w:tcPr>
            <w:tcW w:w="998" w:type="pct"/>
            <w:tcBorders>
              <w:top w:val="single" w:color="auto" w:sz="4" w:space="0"/>
              <w:left w:val="nil"/>
              <w:bottom w:val="single" w:color="auto" w:sz="12" w:space="0"/>
              <w:right w:val="nil"/>
            </w:tcBorders>
          </w:tcPr>
          <w:p w14:paraId="2B00B1F0">
            <w:pPr>
              <w:ind w:firstLine="420" w:firstLineChars="200"/>
              <w:rPr>
                <w:rFonts w:ascii="Times New Roman" w:hAnsi="Times New Roman" w:eastAsia="宋体" w:cs="Times New Roman"/>
                <w:bCs/>
                <w:szCs w:val="21"/>
              </w:rPr>
            </w:pPr>
            <w:r>
              <w:rPr>
                <w:rFonts w:ascii="Times New Roman" w:hAnsi="Times New Roman" w:eastAsia="宋体" w:cs="Times New Roman"/>
                <w:bCs/>
                <w:szCs w:val="21"/>
              </w:rPr>
              <w:t>148.1</w:t>
            </w:r>
          </w:p>
        </w:tc>
      </w:tr>
    </w:tbl>
    <w:p w14:paraId="0CD48913">
      <w:pPr>
        <w:ind w:firstLine="420" w:firstLineChars="200"/>
        <w:rPr>
          <w:rFonts w:ascii="Times New Roman" w:hAnsi="Times New Roman" w:eastAsia="宋体" w:cs="Times New Roman"/>
          <w:bCs/>
          <w:szCs w:val="21"/>
        </w:rPr>
      </w:pPr>
    </w:p>
    <w:p w14:paraId="509B6888">
      <w:pPr>
        <w:snapToGrid w:val="0"/>
        <w:jc w:val="center"/>
        <w:rPr>
          <w:rFonts w:ascii="Times New Roman" w:hAnsi="Times New Roman" w:eastAsia="宋体" w:cs="Times New Roman"/>
          <w:bCs/>
          <w:sz w:val="24"/>
        </w:rPr>
      </w:pPr>
      <w:bookmarkStart w:id="2" w:name="_Hlk202799649"/>
      <w:r>
        <w:drawing>
          <wp:inline distT="0" distB="0" distL="0" distR="0">
            <wp:extent cx="2854325" cy="1913890"/>
            <wp:effectExtent l="0" t="0" r="3175" b="635"/>
            <wp:docPr id="14759365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36522" name="图片 1"/>
                    <pic:cNvPicPr>
                      <a:picLocks noChangeAspect="1"/>
                    </pic:cNvPicPr>
                  </pic:nvPicPr>
                  <pic:blipFill>
                    <a:blip r:embed="rId6"/>
                    <a:srcRect t="3644" b="4802"/>
                    <a:stretch>
                      <a:fillRect/>
                    </a:stretch>
                  </pic:blipFill>
                  <pic:spPr>
                    <a:xfrm>
                      <a:off x="0" y="0"/>
                      <a:ext cx="2867830" cy="1922579"/>
                    </a:xfrm>
                    <a:prstGeom prst="rect">
                      <a:avLst/>
                    </a:prstGeom>
                    <a:ln>
                      <a:noFill/>
                    </a:ln>
                  </pic:spPr>
                </pic:pic>
              </a:graphicData>
            </a:graphic>
          </wp:inline>
        </w:drawing>
      </w:r>
      <w:r>
        <w:drawing>
          <wp:inline distT="0" distB="0" distL="0" distR="0">
            <wp:extent cx="2261235" cy="1473835"/>
            <wp:effectExtent l="0" t="0" r="5715" b="0"/>
            <wp:docPr id="391538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3853" name="图片 1"/>
                    <pic:cNvPicPr>
                      <a:picLocks noChangeAspect="1"/>
                    </pic:cNvPicPr>
                  </pic:nvPicPr>
                  <pic:blipFill>
                    <a:blip r:embed="rId7"/>
                    <a:srcRect t="1" b="-14633"/>
                    <a:stretch>
                      <a:fillRect/>
                    </a:stretch>
                  </pic:blipFill>
                  <pic:spPr>
                    <a:xfrm>
                      <a:off x="0" y="0"/>
                      <a:ext cx="2280057" cy="1486529"/>
                    </a:xfrm>
                    <a:prstGeom prst="rect">
                      <a:avLst/>
                    </a:prstGeom>
                    <a:ln>
                      <a:noFill/>
                    </a:ln>
                  </pic:spPr>
                </pic:pic>
              </a:graphicData>
            </a:graphic>
          </wp:inline>
        </w:drawing>
      </w:r>
    </w:p>
    <w:p w14:paraId="7505FFF2">
      <w:pPr>
        <w:snapToGrid w:val="0"/>
        <w:jc w:val="left"/>
        <w:rPr>
          <w:rFonts w:ascii="Times New Roman" w:hAnsi="Times New Roman" w:eastAsia="黑体" w:cs="Times New Roman"/>
          <w:sz w:val="18"/>
          <w:szCs w:val="18"/>
        </w:rPr>
      </w:pPr>
      <w:r>
        <w:rPr>
          <w:rFonts w:hint="eastAsia" w:ascii="Times New Roman" w:hAnsi="Times New Roman" w:eastAsia="黑体" w:cs="Times New Roman"/>
          <w:sz w:val="18"/>
          <w:szCs w:val="18"/>
        </w:rPr>
        <w:t xml:space="preserve">                      （a）俯视                             （b）A-A剖面</w:t>
      </w:r>
    </w:p>
    <w:p w14:paraId="0238DF41">
      <w:pPr>
        <w:snapToGrid w:val="0"/>
        <w:jc w:val="center"/>
        <w:rPr>
          <w:rFonts w:ascii="Times New Roman" w:hAnsi="Times New Roman" w:eastAsia="黑体" w:cs="Times New Roman"/>
          <w:sz w:val="18"/>
          <w:szCs w:val="18"/>
        </w:rPr>
      </w:pPr>
      <w:r>
        <w:rPr>
          <w:rFonts w:ascii="Times New Roman" w:hAnsi="Times New Roman" w:eastAsia="黑体" w:cs="Times New Roman"/>
          <w:sz w:val="18"/>
          <w:szCs w:val="18"/>
        </w:rPr>
        <w:t xml:space="preserve">图1 </w:t>
      </w:r>
      <w:bookmarkStart w:id="3" w:name="_Hlk202798637"/>
      <w:r>
        <w:rPr>
          <w:rFonts w:ascii="Times New Roman" w:hAnsi="Times New Roman" w:eastAsia="黑体" w:cs="Times New Roman"/>
          <w:sz w:val="18"/>
          <w:szCs w:val="18"/>
        </w:rPr>
        <w:t>排沙漏斗示意</w:t>
      </w:r>
      <w:bookmarkEnd w:id="3"/>
    </w:p>
    <w:p w14:paraId="5AD9694C">
      <w:pPr>
        <w:snapToGrid w:val="0"/>
        <w:spacing w:after="156" w:afterLines="50"/>
        <w:jc w:val="center"/>
        <w:rPr>
          <w:rFonts w:ascii="Times New Roman" w:hAnsi="Times New Roman" w:cs="Times New Roman" w:eastAsiaTheme="majorEastAsia"/>
          <w:sz w:val="18"/>
          <w:szCs w:val="18"/>
        </w:rPr>
      </w:pPr>
      <w:r>
        <w:rPr>
          <w:rFonts w:hint="eastAsia" w:ascii="Times New Roman" w:hAnsi="Times New Roman" w:cs="Times New Roman" w:eastAsiaTheme="majorEastAsia"/>
          <w:sz w:val="18"/>
          <w:szCs w:val="18"/>
        </w:rPr>
        <w:t xml:space="preserve">Fig. </w:t>
      </w:r>
      <w:r>
        <w:rPr>
          <w:rFonts w:ascii="Times New Roman" w:hAnsi="Times New Roman" w:cs="Times New Roman" w:eastAsiaTheme="majorEastAsia"/>
          <w:sz w:val="18"/>
          <w:szCs w:val="18"/>
        </w:rPr>
        <w:t>1</w:t>
      </w:r>
      <w:r>
        <w:rPr>
          <w:rFonts w:hint="eastAsia" w:ascii="Times New Roman" w:hAnsi="Times New Roman" w:cs="Times New Roman" w:eastAsiaTheme="majorEastAsia"/>
          <w:sz w:val="18"/>
          <w:szCs w:val="18"/>
        </w:rPr>
        <w:t xml:space="preserve"> </w:t>
      </w:r>
      <w:r>
        <w:rPr>
          <w:rFonts w:ascii="Times New Roman" w:hAnsi="Times New Roman" w:cs="Times New Roman" w:eastAsiaTheme="majorEastAsia"/>
          <w:sz w:val="18"/>
          <w:szCs w:val="18"/>
        </w:rPr>
        <w:t>Schematic diagram of vortex settling basin</w:t>
      </w:r>
    </w:p>
    <w:bookmarkEnd w:id="2"/>
    <w:p w14:paraId="61A97AA7">
      <w:pPr>
        <w:jc w:val="center"/>
        <w:rPr>
          <w:rFonts w:ascii="Times New Roman" w:hAnsi="Times New Roman" w:eastAsia="黑体" w:cs="Times New Roman"/>
          <w:sz w:val="18"/>
          <w:szCs w:val="18"/>
        </w:rPr>
      </w:pPr>
    </w:p>
    <w:p w14:paraId="3DD334AE">
      <w:pPr>
        <w:tabs>
          <w:tab w:val="center" w:pos="4200"/>
          <w:tab w:val="right" w:pos="8400"/>
        </w:tabs>
        <w:snapToGrid w:val="0"/>
        <w:spacing w:line="360" w:lineRule="auto"/>
        <w:ind w:firstLine="420" w:firstLineChars="200"/>
        <w:rPr>
          <w:rFonts w:ascii="Times New Roman" w:hAnsi="Times New Roman" w:eastAsia="宋体" w:cs="Times New Roman"/>
          <w:bCs/>
          <w:kern w:val="0"/>
          <w:szCs w:val="21"/>
        </w:rPr>
      </w:pPr>
      <w:bookmarkStart w:id="4" w:name="_Hlk202626356"/>
      <w:bookmarkStart w:id="5" w:name="_Hlk202802238"/>
      <w:r>
        <w:rPr>
          <w:rFonts w:hint="eastAsia" w:ascii="Times New Roman" w:hAnsi="Times New Roman" w:eastAsia="宋体" w:cs="Times New Roman"/>
          <w:bCs/>
          <w:kern w:val="0"/>
          <w:szCs w:val="21"/>
        </w:rPr>
        <w:t>悬移质泥沙模型除了满足水流运动相似之外，还需满足泥沙运动相似，考虑排沙漏斗主要作用为沉降泥沙，故需满足泥沙沉降相似，即</w:t>
      </w:r>
    </w:p>
    <w:p w14:paraId="6A98D325">
      <w:pPr>
        <w:tabs>
          <w:tab w:val="center" w:pos="4200"/>
          <w:tab w:val="right" w:pos="8400"/>
        </w:tabs>
        <w:snapToGrid w:val="0"/>
        <w:spacing w:line="360" w:lineRule="auto"/>
        <w:rPr>
          <w:rFonts w:ascii="Times New Roman" w:hAnsi="Times New Roman" w:eastAsia="宋体" w:cs="Times New Roman"/>
          <w:bCs/>
          <w:kern w:val="0"/>
          <w:szCs w:val="21"/>
          <w:vertAlign w:val="subscript"/>
        </w:rPr>
      </w:pPr>
      <w:r>
        <w:rPr>
          <w:rFonts w:ascii="Times New Roman" w:hAnsi="Times New Roman" w:eastAsia="宋体" w:cs="Times New Roman"/>
          <w:sz w:val="24"/>
        </w:rPr>
        <w:tab/>
      </w:r>
      <w:r>
        <w:rPr>
          <w:rFonts w:ascii="Times New Roman" w:hAnsi="Times New Roman" w:eastAsia="宋体" w:cs="Times New Roman"/>
          <w:position w:val="-12"/>
          <w:sz w:val="24"/>
        </w:rPr>
        <w:object>
          <v:shape id="_x0000_i1025" o:spt="75" type="#_x0000_t75" style="height:18.1pt;width:37.95pt;" o:ole="t" filled="f" o:preferrelative="t" stroked="f" coordsize="21600,21600">
            <v:path/>
            <v:fill on="f" focussize="0,0"/>
            <v:stroke on="f" joinstyle="miter"/>
            <v:imagedata r:id="rId9" o:title=""/>
            <o:lock v:ext="edit" aspectratio="t"/>
            <w10:wrap type="none"/>
            <w10:anchorlock/>
          </v:shape>
          <o:OLEObject Type="Embed" ProgID="Equation.DSMT4" ShapeID="_x0000_i1025" DrawAspect="Content" ObjectID="_1468075725" r:id="rId8">
            <o:LockedField>false</o:LockedField>
          </o:OLEObject>
        </w:object>
      </w:r>
      <w:r>
        <w:rPr>
          <w:rFonts w:ascii="Times New Roman" w:hAnsi="Times New Roman" w:eastAsia="宋体" w:cs="Times New Roman"/>
          <w:sz w:val="24"/>
        </w:rPr>
        <w:tab/>
      </w:r>
      <w:r>
        <w:rPr>
          <w:rFonts w:ascii="Times New Roman" w:hAnsi="Times New Roman" w:eastAsia="宋体" w:cs="Times New Roman"/>
          <w:szCs w:val="21"/>
        </w:rPr>
        <w:t>(</w:t>
      </w:r>
      <w:r>
        <w:rPr>
          <w:rFonts w:hint="eastAsia" w:ascii="Times New Roman" w:hAnsi="Times New Roman" w:eastAsia="宋体" w:cs="Times New Roman"/>
          <w:szCs w:val="21"/>
        </w:rPr>
        <w:t>1</w:t>
      </w:r>
      <w:r>
        <w:rPr>
          <w:rFonts w:ascii="Times New Roman" w:hAnsi="Times New Roman" w:eastAsia="宋体" w:cs="Times New Roman"/>
          <w:szCs w:val="21"/>
        </w:rPr>
        <w:t>)</w:t>
      </w:r>
    </w:p>
    <w:bookmarkEnd w:id="4"/>
    <w:p w14:paraId="03E92DC7">
      <w:pPr>
        <w:tabs>
          <w:tab w:val="center" w:pos="4200"/>
          <w:tab w:val="right" w:pos="8400"/>
        </w:tabs>
        <w:snapToGrid w:val="0"/>
        <w:spacing w:line="360" w:lineRule="auto"/>
        <w:rPr>
          <w:rFonts w:ascii="Times New Roman" w:hAnsi="Times New Roman" w:eastAsia="宋体" w:cs="Times New Roman"/>
          <w:bCs/>
          <w:kern w:val="0"/>
          <w:szCs w:val="21"/>
        </w:rPr>
      </w:pPr>
      <w:r>
        <w:rPr>
          <w:rFonts w:hint="eastAsia" w:ascii="Times New Roman" w:hAnsi="Times New Roman" w:eastAsia="宋体" w:cs="Times New Roman"/>
          <w:bCs/>
          <w:kern w:val="0"/>
          <w:szCs w:val="21"/>
        </w:rPr>
        <w:t>式</w:t>
      </w:r>
      <w:r>
        <w:rPr>
          <w:rFonts w:ascii="Times New Roman" w:hAnsi="Times New Roman" w:eastAsia="宋体" w:cs="Times New Roman"/>
          <w:bCs/>
          <w:kern w:val="0"/>
          <w:szCs w:val="21"/>
        </w:rPr>
        <w:t>中</w:t>
      </w:r>
      <w:r>
        <w:rPr>
          <w:rFonts w:hint="eastAsia" w:ascii="Times New Roman" w:hAnsi="Times New Roman" w:eastAsia="宋体" w:cs="Times New Roman"/>
          <w:bCs/>
          <w:kern w:val="0"/>
          <w:szCs w:val="21"/>
        </w:rPr>
        <w:t>，</w:t>
      </w:r>
      <w:r>
        <w:rPr>
          <w:rFonts w:ascii="Times New Roman" w:hAnsi="Times New Roman" w:eastAsia="宋体" w:cs="Times New Roman"/>
          <w:bCs/>
          <w:i/>
          <w:iCs/>
          <w:kern w:val="0"/>
          <w:szCs w:val="21"/>
        </w:rPr>
        <w:t>ω</w:t>
      </w:r>
      <w:r>
        <w:rPr>
          <w:rFonts w:ascii="Times New Roman" w:hAnsi="Times New Roman" w:eastAsia="宋体" w:cs="Times New Roman"/>
          <w:bCs/>
          <w:kern w:val="0"/>
          <w:szCs w:val="21"/>
        </w:rPr>
        <w:t>为泥沙沉降流速</w:t>
      </w:r>
      <w:r>
        <w:rPr>
          <w:rFonts w:hint="eastAsia" w:ascii="Times New Roman" w:hAnsi="Times New Roman" w:eastAsia="宋体" w:cs="Times New Roman"/>
          <w:bCs/>
          <w:kern w:val="0"/>
          <w:szCs w:val="21"/>
        </w:rPr>
        <w:t>；</w:t>
      </w:r>
      <w:r>
        <w:rPr>
          <w:rFonts w:hint="eastAsia" w:ascii="Times New Roman" w:hAnsi="Times New Roman" w:eastAsia="宋体" w:cs="Times New Roman"/>
          <w:bCs/>
          <w:i/>
          <w:iCs/>
          <w:kern w:val="0"/>
          <w:szCs w:val="21"/>
        </w:rPr>
        <w:t>v</w:t>
      </w:r>
      <w:r>
        <w:rPr>
          <w:rFonts w:hint="eastAsia" w:ascii="Times New Roman" w:hAnsi="Times New Roman" w:eastAsia="宋体" w:cs="Times New Roman"/>
          <w:bCs/>
          <w:kern w:val="0"/>
          <w:szCs w:val="21"/>
        </w:rPr>
        <w:t>为水流流速；</w:t>
      </w:r>
      <w:r>
        <w:rPr>
          <w:rFonts w:ascii="Times New Roman" w:hAnsi="Times New Roman" w:eastAsia="宋体" w:cs="Times New Roman"/>
          <w:bCs/>
          <w:i/>
          <w:iCs/>
          <w:kern w:val="0"/>
          <w:szCs w:val="21"/>
        </w:rPr>
        <w:t>λ</w:t>
      </w:r>
      <w:r>
        <w:rPr>
          <w:rFonts w:hint="eastAsia" w:ascii="Times New Roman" w:hAnsi="Times New Roman" w:eastAsia="宋体" w:cs="Times New Roman"/>
          <w:bCs/>
          <w:kern w:val="0"/>
          <w:szCs w:val="21"/>
        </w:rPr>
        <w:t>为比尺。</w:t>
      </w:r>
    </w:p>
    <w:p w14:paraId="238DDE06">
      <w:pPr>
        <w:tabs>
          <w:tab w:val="center" w:pos="4200"/>
          <w:tab w:val="right" w:pos="8400"/>
        </w:tabs>
        <w:snapToGrid w:val="0"/>
        <w:spacing w:line="360" w:lineRule="auto"/>
        <w:ind w:firstLine="420" w:firstLineChars="200"/>
        <w:rPr>
          <w:rFonts w:ascii="Times New Roman" w:hAnsi="Times New Roman" w:eastAsia="宋体" w:cs="Times New Roman"/>
          <w:bCs/>
          <w:kern w:val="0"/>
          <w:szCs w:val="21"/>
        </w:rPr>
      </w:pPr>
      <w:r>
        <w:rPr>
          <w:rFonts w:hint="eastAsia" w:ascii="Times New Roman" w:hAnsi="Times New Roman" w:eastAsia="宋体" w:cs="Times New Roman"/>
          <w:bCs/>
          <w:kern w:val="0"/>
          <w:szCs w:val="21"/>
        </w:rPr>
        <w:t>泥沙沉降流速选择斯托克斯公式计算</w:t>
      </w:r>
    </w:p>
    <w:p w14:paraId="148B3E89">
      <w:pPr>
        <w:tabs>
          <w:tab w:val="center" w:pos="4200"/>
          <w:tab w:val="right" w:pos="8400"/>
        </w:tabs>
        <w:snapToGrid w:val="0"/>
        <w:spacing w:line="360" w:lineRule="auto"/>
        <w:rPr>
          <w:rFonts w:ascii="Times New Roman" w:hAnsi="Times New Roman" w:eastAsia="宋体" w:cs="Times New Roman"/>
          <w:bCs/>
          <w:kern w:val="0"/>
          <w:szCs w:val="21"/>
        </w:rPr>
      </w:pPr>
      <w:r>
        <w:rPr>
          <w:rFonts w:ascii="Times New Roman" w:hAnsi="Times New Roman" w:eastAsia="宋体" w:cs="Times New Roman"/>
          <w:bCs/>
          <w:kern w:val="0"/>
          <w:szCs w:val="21"/>
        </w:rPr>
        <w:tab/>
      </w:r>
      <w:r>
        <w:rPr>
          <w:rFonts w:ascii="Times New Roman" w:hAnsi="Times New Roman" w:eastAsia="宋体" w:cs="Times New Roman"/>
          <w:bCs/>
          <w:kern w:val="0"/>
          <w:position w:val="-30"/>
          <w:szCs w:val="21"/>
        </w:rPr>
        <w:object>
          <v:shape id="_x0000_i1026" o:spt="75" type="#_x0000_t75" style="height:36pt;width:100pt;" o:ole="t" filled="f" o:preferrelative="t" stroked="f" coordsize="21600,21600">
            <v:path/>
            <v:fill on="f" focussize="0,0"/>
            <v:stroke on="f" joinstyle="miter"/>
            <v:imagedata r:id="rId11" o:title=""/>
            <o:lock v:ext="edit" aspectratio="t"/>
            <w10:wrap type="none"/>
            <w10:anchorlock/>
          </v:shape>
          <o:OLEObject Type="Embed" ProgID="Equation.DSMT4" ShapeID="_x0000_i1026" DrawAspect="Content" ObjectID="_1468075726" r:id="rId10">
            <o:LockedField>false</o:LockedField>
          </o:OLEObject>
        </w:object>
      </w:r>
      <w:r>
        <w:rPr>
          <w:rFonts w:ascii="Times New Roman" w:hAnsi="Times New Roman" w:eastAsia="宋体" w:cs="Times New Roman"/>
          <w:bCs/>
          <w:kern w:val="0"/>
          <w:szCs w:val="21"/>
        </w:rPr>
        <w:tab/>
      </w:r>
      <w:r>
        <w:rPr>
          <w:rFonts w:ascii="Times New Roman" w:hAnsi="Times New Roman" w:eastAsia="宋体" w:cs="Times New Roman"/>
          <w:bCs/>
          <w:kern w:val="0"/>
          <w:szCs w:val="21"/>
        </w:rPr>
        <w:t>(</w:t>
      </w:r>
      <w:r>
        <w:rPr>
          <w:rFonts w:hint="eastAsia" w:ascii="Times New Roman" w:hAnsi="Times New Roman" w:eastAsia="宋体" w:cs="Times New Roman"/>
          <w:bCs/>
          <w:kern w:val="0"/>
          <w:szCs w:val="21"/>
        </w:rPr>
        <w:t>2</w:t>
      </w:r>
      <w:r>
        <w:rPr>
          <w:rFonts w:ascii="Times New Roman" w:hAnsi="Times New Roman" w:eastAsia="宋体" w:cs="Times New Roman"/>
          <w:bCs/>
          <w:kern w:val="0"/>
          <w:szCs w:val="21"/>
        </w:rPr>
        <w:t>)</w:t>
      </w:r>
    </w:p>
    <w:p w14:paraId="3CEAC3A5">
      <w:pPr>
        <w:tabs>
          <w:tab w:val="center" w:pos="4200"/>
          <w:tab w:val="right" w:pos="8400"/>
        </w:tabs>
        <w:snapToGrid w:val="0"/>
        <w:spacing w:line="360" w:lineRule="auto"/>
        <w:rPr>
          <w:rFonts w:ascii="Times New Roman" w:hAnsi="Times New Roman" w:eastAsia="宋体" w:cs="Times New Roman"/>
          <w:bCs/>
          <w:kern w:val="0"/>
          <w:szCs w:val="21"/>
        </w:rPr>
      </w:pPr>
      <w:r>
        <w:rPr>
          <w:rFonts w:hint="eastAsia" w:ascii="Times New Roman" w:hAnsi="Times New Roman" w:eastAsia="宋体" w:cs="Times New Roman"/>
          <w:bCs/>
          <w:kern w:val="0"/>
          <w:szCs w:val="21"/>
        </w:rPr>
        <w:t>由式（1）可得</w:t>
      </w:r>
    </w:p>
    <w:p w14:paraId="15605B6C">
      <w:pPr>
        <w:tabs>
          <w:tab w:val="center" w:pos="4200"/>
          <w:tab w:val="right" w:pos="8400"/>
        </w:tabs>
        <w:snapToGrid w:val="0"/>
        <w:spacing w:line="360" w:lineRule="auto"/>
        <w:ind w:firstLine="420" w:firstLineChars="200"/>
        <w:rPr>
          <w:rFonts w:ascii="Times New Roman" w:hAnsi="Times New Roman" w:eastAsia="宋体" w:cs="Times New Roman"/>
          <w:bCs/>
          <w:kern w:val="0"/>
          <w:szCs w:val="21"/>
        </w:rPr>
      </w:pPr>
      <w:r>
        <w:rPr>
          <w:rFonts w:ascii="Times New Roman" w:hAnsi="Times New Roman" w:eastAsia="宋体" w:cs="Times New Roman"/>
          <w:bCs/>
          <w:kern w:val="0"/>
          <w:szCs w:val="21"/>
        </w:rPr>
        <w:tab/>
      </w:r>
      <w:r>
        <w:rPr>
          <w:rFonts w:ascii="Times New Roman" w:hAnsi="Times New Roman" w:eastAsia="宋体" w:cs="Times New Roman"/>
          <w:bCs/>
          <w:kern w:val="0"/>
          <w:position w:val="-30"/>
          <w:szCs w:val="21"/>
        </w:rPr>
        <w:object>
          <v:shape id="_x0000_i1027" o:spt="75" type="#_x0000_t75" style="height:36pt;width:40.7pt;" o:ole="t" filled="f" o:preferrelative="t" stroked="f" coordsize="21600,21600">
            <v:path/>
            <v:fill on="f" focussize="0,0"/>
            <v:stroke on="f" joinstyle="miter"/>
            <v:imagedata r:id="rId13" o:title=""/>
            <o:lock v:ext="edit" aspectratio="t"/>
            <w10:wrap type="none"/>
            <w10:anchorlock/>
          </v:shape>
          <o:OLEObject Type="Embed" ProgID="Equation.DSMT4" ShapeID="_x0000_i1027" DrawAspect="Content" ObjectID="_1468075727" r:id="rId12">
            <o:LockedField>false</o:LockedField>
          </o:OLEObject>
        </w:object>
      </w:r>
      <w:r>
        <w:rPr>
          <w:rFonts w:ascii="Times New Roman" w:hAnsi="Times New Roman" w:eastAsia="宋体" w:cs="Times New Roman"/>
          <w:bCs/>
          <w:kern w:val="0"/>
          <w:szCs w:val="21"/>
        </w:rPr>
        <w:tab/>
      </w:r>
      <w:r>
        <w:rPr>
          <w:rFonts w:ascii="Times New Roman" w:hAnsi="Times New Roman" w:eastAsia="宋体" w:cs="Times New Roman"/>
          <w:bCs/>
          <w:kern w:val="0"/>
          <w:szCs w:val="21"/>
        </w:rPr>
        <w:t>(</w:t>
      </w:r>
      <w:r>
        <w:rPr>
          <w:rFonts w:hint="eastAsia" w:ascii="Times New Roman" w:hAnsi="Times New Roman" w:eastAsia="宋体" w:cs="Times New Roman"/>
          <w:bCs/>
          <w:kern w:val="0"/>
          <w:szCs w:val="21"/>
        </w:rPr>
        <w:t>3</w:t>
      </w:r>
      <w:r>
        <w:rPr>
          <w:rFonts w:ascii="Times New Roman" w:hAnsi="Times New Roman" w:eastAsia="宋体" w:cs="Times New Roman"/>
          <w:bCs/>
          <w:kern w:val="0"/>
          <w:szCs w:val="21"/>
        </w:rPr>
        <w:t>)</w:t>
      </w:r>
    </w:p>
    <w:p w14:paraId="2CA006D7">
      <w:pPr>
        <w:tabs>
          <w:tab w:val="center" w:pos="4200"/>
          <w:tab w:val="right" w:pos="8400"/>
        </w:tabs>
        <w:snapToGrid w:val="0"/>
        <w:spacing w:line="360" w:lineRule="auto"/>
        <w:rPr>
          <w:rFonts w:ascii="Times New Roman" w:hAnsi="Times New Roman" w:eastAsia="宋体" w:cs="Times New Roman"/>
          <w:bCs/>
          <w:kern w:val="0"/>
          <w:szCs w:val="21"/>
        </w:rPr>
      </w:pPr>
      <w:r>
        <w:rPr>
          <w:rFonts w:hint="eastAsia" w:ascii="Times New Roman" w:hAnsi="Times New Roman" w:eastAsia="宋体" w:cs="Times New Roman"/>
          <w:bCs/>
          <w:kern w:val="0"/>
          <w:szCs w:val="21"/>
        </w:rPr>
        <w:t>式中，脚标</w:t>
      </w:r>
      <w:r>
        <w:rPr>
          <w:rFonts w:hint="eastAsia" w:ascii="Times New Roman" w:hAnsi="Times New Roman" w:eastAsia="宋体" w:cs="Times New Roman"/>
          <w:bCs/>
          <w:i/>
          <w:iCs/>
          <w:kern w:val="0"/>
          <w:szCs w:val="21"/>
        </w:rPr>
        <w:t>p</w:t>
      </w:r>
      <w:r>
        <w:rPr>
          <w:rFonts w:hint="eastAsia" w:ascii="Times New Roman" w:hAnsi="Times New Roman" w:eastAsia="宋体" w:cs="Times New Roman"/>
          <w:bCs/>
          <w:kern w:val="0"/>
          <w:szCs w:val="21"/>
        </w:rPr>
        <w:t>表示原型；</w:t>
      </w:r>
      <w:r>
        <w:rPr>
          <w:rFonts w:hint="eastAsia" w:ascii="Times New Roman" w:hAnsi="Times New Roman" w:eastAsia="宋体" w:cs="Times New Roman"/>
          <w:bCs/>
          <w:i/>
          <w:iCs/>
          <w:kern w:val="0"/>
          <w:szCs w:val="21"/>
        </w:rPr>
        <w:t>m</w:t>
      </w:r>
      <w:r>
        <w:rPr>
          <w:rFonts w:hint="eastAsia" w:ascii="Times New Roman" w:hAnsi="Times New Roman" w:eastAsia="宋体" w:cs="Times New Roman"/>
          <w:bCs/>
          <w:kern w:val="0"/>
          <w:szCs w:val="21"/>
        </w:rPr>
        <w:t>表示模型。</w:t>
      </w:r>
    </w:p>
    <w:p w14:paraId="12334052">
      <w:pPr>
        <w:tabs>
          <w:tab w:val="center" w:pos="4200"/>
          <w:tab w:val="right" w:pos="8400"/>
        </w:tabs>
        <w:snapToGrid w:val="0"/>
        <w:spacing w:line="360" w:lineRule="auto"/>
        <w:ind w:firstLine="420" w:firstLineChars="200"/>
        <w:rPr>
          <w:rFonts w:ascii="Times New Roman" w:hAnsi="Times New Roman" w:eastAsia="宋体" w:cs="Times New Roman"/>
          <w:bCs/>
          <w:kern w:val="0"/>
          <w:szCs w:val="21"/>
        </w:rPr>
      </w:pPr>
      <w:r>
        <w:rPr>
          <w:rFonts w:hint="eastAsia" w:ascii="Times New Roman" w:hAnsi="Times New Roman" w:eastAsia="宋体" w:cs="Times New Roman"/>
          <w:bCs/>
          <w:kern w:val="0"/>
          <w:szCs w:val="21"/>
        </w:rPr>
        <w:t>将式（2）带入式（3）得</w:t>
      </w:r>
    </w:p>
    <w:p w14:paraId="533757F0">
      <w:pPr>
        <w:tabs>
          <w:tab w:val="center" w:pos="4200"/>
          <w:tab w:val="right" w:pos="8400"/>
        </w:tabs>
        <w:snapToGrid w:val="0"/>
        <w:spacing w:line="360" w:lineRule="auto"/>
        <w:ind w:firstLine="420" w:firstLineChars="200"/>
        <w:rPr>
          <w:rFonts w:ascii="Times New Roman" w:hAnsi="Times New Roman" w:eastAsia="宋体" w:cs="Times New Roman"/>
          <w:bCs/>
          <w:kern w:val="0"/>
          <w:szCs w:val="21"/>
        </w:rPr>
      </w:pPr>
      <w:r>
        <w:rPr>
          <w:rFonts w:ascii="Times New Roman" w:hAnsi="Times New Roman" w:eastAsia="宋体" w:cs="Times New Roman"/>
          <w:bCs/>
          <w:kern w:val="0"/>
          <w:szCs w:val="21"/>
        </w:rPr>
        <w:tab/>
      </w:r>
      <w:r>
        <w:rPr>
          <w:rFonts w:ascii="Times New Roman" w:hAnsi="Times New Roman" w:eastAsia="宋体" w:cs="Times New Roman"/>
          <w:bCs/>
          <w:kern w:val="0"/>
          <w:position w:val="-64"/>
          <w:szCs w:val="21"/>
        </w:rPr>
        <w:object>
          <v:shape id="_x0000_i1028" o:spt="75" type="#_x0000_t75" style="height:71.35pt;width:118pt;" o:ole="t" filled="f" o:preferrelative="t" stroked="f" coordsize="21600,21600">
            <v:path/>
            <v:fill on="f" focussize="0,0"/>
            <v:stroke on="f" joinstyle="miter"/>
            <v:imagedata r:id="rId15" o:title=""/>
            <o:lock v:ext="edit" aspectratio="t"/>
            <w10:wrap type="none"/>
            <w10:anchorlock/>
          </v:shape>
          <o:OLEObject Type="Embed" ProgID="Equation.DSMT4" ShapeID="_x0000_i1028" DrawAspect="Content" ObjectID="_1468075728" r:id="rId14">
            <o:LockedField>false</o:LockedField>
          </o:OLEObject>
        </w:object>
      </w:r>
      <w:r>
        <w:rPr>
          <w:rFonts w:ascii="Times New Roman" w:hAnsi="Times New Roman" w:eastAsia="宋体" w:cs="Times New Roman"/>
          <w:bCs/>
          <w:kern w:val="0"/>
          <w:szCs w:val="21"/>
        </w:rPr>
        <w:tab/>
      </w:r>
      <w:r>
        <w:rPr>
          <w:rFonts w:ascii="Times New Roman" w:hAnsi="Times New Roman" w:eastAsia="宋体" w:cs="Times New Roman"/>
          <w:bCs/>
          <w:kern w:val="0"/>
          <w:szCs w:val="21"/>
        </w:rPr>
        <w:t>(</w:t>
      </w:r>
      <w:r>
        <w:rPr>
          <w:rFonts w:hint="eastAsia" w:ascii="Times New Roman" w:hAnsi="Times New Roman" w:eastAsia="宋体" w:cs="Times New Roman"/>
          <w:bCs/>
          <w:kern w:val="0"/>
          <w:szCs w:val="21"/>
        </w:rPr>
        <w:t>4</w:t>
      </w:r>
      <w:r>
        <w:rPr>
          <w:rFonts w:ascii="Times New Roman" w:hAnsi="Times New Roman" w:eastAsia="宋体" w:cs="Times New Roman"/>
          <w:bCs/>
          <w:kern w:val="0"/>
          <w:szCs w:val="21"/>
        </w:rPr>
        <w:t>)</w:t>
      </w:r>
    </w:p>
    <w:p w14:paraId="0D357D57">
      <w:pPr>
        <w:tabs>
          <w:tab w:val="center" w:pos="4200"/>
          <w:tab w:val="right" w:pos="8400"/>
        </w:tabs>
        <w:spacing w:line="360" w:lineRule="auto"/>
        <w:rPr>
          <w:rFonts w:ascii="Times New Roman" w:hAnsi="Times New Roman" w:eastAsia="宋体" w:cs="Times New Roman"/>
          <w:szCs w:val="21"/>
        </w:rPr>
      </w:pPr>
      <w:r>
        <w:rPr>
          <w:rFonts w:hint="eastAsia" w:ascii="Times New Roman" w:hAnsi="Times New Roman" w:eastAsia="宋体" w:cs="Times New Roman"/>
          <w:bCs/>
          <w:kern w:val="0"/>
          <w:szCs w:val="21"/>
        </w:rPr>
        <w:t>式中</w:t>
      </w:r>
      <w:r>
        <w:rPr>
          <w:rFonts w:ascii="Times New Roman" w:hAnsi="Times New Roman" w:eastAsia="宋体" w:cs="Times New Roman"/>
          <w:szCs w:val="21"/>
        </w:rPr>
        <w:t>，</w:t>
      </w:r>
      <w:r>
        <w:rPr>
          <w:rFonts w:ascii="Times New Roman" w:hAnsi="Times New Roman" w:eastAsia="宋体" w:cs="Times New Roman"/>
          <w:i/>
          <w:iCs/>
          <w:szCs w:val="21"/>
        </w:rPr>
        <w:t>d</w:t>
      </w:r>
      <w:r>
        <w:rPr>
          <w:rFonts w:ascii="Times New Roman" w:hAnsi="Times New Roman" w:eastAsia="宋体" w:cs="Times New Roman"/>
          <w:szCs w:val="21"/>
        </w:rPr>
        <w:t>为泥沙粒径</w:t>
      </w:r>
      <w:r>
        <w:rPr>
          <w:rFonts w:hint="eastAsia" w:ascii="Times New Roman" w:hAnsi="Times New Roman" w:eastAsia="宋体" w:cs="Times New Roman"/>
          <w:szCs w:val="21"/>
        </w:rPr>
        <w:t>；</w:t>
      </w:r>
      <w:r>
        <w:rPr>
          <w:rFonts w:ascii="Times New Roman" w:hAnsi="Times New Roman" w:eastAsia="宋体" w:cs="Times New Roman"/>
          <w:i/>
          <w:iCs/>
          <w:szCs w:val="21"/>
        </w:rPr>
        <w:t>ρ</w:t>
      </w:r>
      <w:r>
        <w:rPr>
          <w:rFonts w:ascii="Times New Roman" w:hAnsi="Times New Roman" w:eastAsia="宋体" w:cs="Times New Roman"/>
          <w:i/>
          <w:iCs/>
          <w:szCs w:val="21"/>
          <w:vertAlign w:val="subscript"/>
        </w:rPr>
        <w:t>s</w:t>
      </w:r>
      <w:r>
        <w:rPr>
          <w:rFonts w:ascii="Times New Roman" w:hAnsi="Times New Roman" w:eastAsia="宋体" w:cs="Times New Roman"/>
          <w:szCs w:val="21"/>
        </w:rPr>
        <w:t>为泥沙密度</w:t>
      </w:r>
      <w:bookmarkStart w:id="6" w:name="_Hlk202539693"/>
      <w:r>
        <w:rPr>
          <w:rFonts w:hint="eastAsia" w:ascii="Times New Roman" w:hAnsi="Times New Roman" w:eastAsia="宋体" w:cs="Times New Roman"/>
          <w:szCs w:val="21"/>
        </w:rPr>
        <w:t>；</w:t>
      </w:r>
      <w:r>
        <w:rPr>
          <w:rFonts w:ascii="Times New Roman" w:hAnsi="Times New Roman" w:eastAsia="宋体" w:cs="Times New Roman"/>
          <w:i/>
          <w:iCs/>
          <w:szCs w:val="21"/>
        </w:rPr>
        <w:t>ρ</w:t>
      </w:r>
      <w:bookmarkEnd w:id="6"/>
      <w:r>
        <w:rPr>
          <w:rFonts w:ascii="Times New Roman" w:hAnsi="Times New Roman" w:eastAsia="宋体" w:cs="Times New Roman"/>
          <w:szCs w:val="21"/>
        </w:rPr>
        <w:t>为流体密度</w:t>
      </w:r>
      <w:r>
        <w:rPr>
          <w:rFonts w:hint="eastAsia" w:ascii="Times New Roman" w:hAnsi="Times New Roman" w:eastAsia="宋体" w:cs="Times New Roman"/>
          <w:szCs w:val="21"/>
        </w:rPr>
        <w:t>；</w:t>
      </w:r>
      <w:r>
        <w:rPr>
          <w:rFonts w:ascii="Times New Roman" w:hAnsi="Times New Roman" w:eastAsia="宋体" w:cs="Times New Roman"/>
          <w:bCs/>
          <w:i/>
          <w:iCs/>
          <w:szCs w:val="21"/>
        </w:rPr>
        <w:t>ν</w:t>
      </w:r>
      <w:r>
        <w:rPr>
          <w:rFonts w:ascii="Times New Roman" w:hAnsi="Times New Roman" w:eastAsia="宋体" w:cs="Times New Roman"/>
          <w:bCs/>
          <w:szCs w:val="21"/>
        </w:rPr>
        <w:t>为液体运动</w:t>
      </w:r>
      <w:r>
        <w:rPr>
          <w:rFonts w:hint="eastAsia" w:ascii="Times New Roman" w:hAnsi="Times New Roman" w:eastAsia="宋体" w:cs="Times New Roman"/>
          <w:bCs/>
          <w:szCs w:val="21"/>
        </w:rPr>
        <w:t>黏</w:t>
      </w:r>
      <w:r>
        <w:rPr>
          <w:rFonts w:ascii="Times New Roman" w:hAnsi="Times New Roman" w:eastAsia="宋体" w:cs="Times New Roman"/>
          <w:bCs/>
          <w:szCs w:val="21"/>
        </w:rPr>
        <w:t>滞系数</w:t>
      </w:r>
      <w:r>
        <w:rPr>
          <w:rFonts w:hint="eastAsia" w:ascii="Times New Roman" w:hAnsi="Times New Roman" w:eastAsia="宋体" w:cs="Times New Roman"/>
          <w:szCs w:val="21"/>
        </w:rPr>
        <w:t>。</w:t>
      </w:r>
    </w:p>
    <w:p w14:paraId="58161C57">
      <w:pPr>
        <w:tabs>
          <w:tab w:val="center" w:pos="4200"/>
          <w:tab w:val="right" w:pos="8400"/>
        </w:tabs>
        <w:spacing w:line="360" w:lineRule="auto"/>
        <w:ind w:firstLine="420" w:firstLineChars="200"/>
        <w:rPr>
          <w:rFonts w:ascii="Times New Roman" w:hAnsi="Times New Roman" w:eastAsia="宋体" w:cs="Times New Roman"/>
          <w:bCs/>
          <w:kern w:val="0"/>
          <w:szCs w:val="21"/>
        </w:rPr>
      </w:pPr>
      <w:r>
        <w:rPr>
          <w:rFonts w:hint="eastAsia" w:ascii="Times New Roman" w:hAnsi="Times New Roman" w:eastAsia="宋体" w:cs="Times New Roman"/>
          <w:bCs/>
          <w:kern w:val="0"/>
          <w:szCs w:val="21"/>
        </w:rPr>
        <w:t>将式（4）左侧改写为比尺形式，由此得</w:t>
      </w:r>
    </w:p>
    <w:p w14:paraId="634A161C">
      <w:pPr>
        <w:tabs>
          <w:tab w:val="center" w:pos="4200"/>
          <w:tab w:val="right" w:pos="8400"/>
        </w:tabs>
        <w:snapToGrid w:val="0"/>
        <w:spacing w:line="360" w:lineRule="auto"/>
        <w:ind w:firstLine="420" w:firstLineChars="200"/>
        <w:rPr>
          <w:rFonts w:ascii="Times New Roman" w:hAnsi="Times New Roman" w:eastAsia="宋体" w:cs="Times New Roman"/>
          <w:bCs/>
          <w:kern w:val="0"/>
          <w:szCs w:val="21"/>
        </w:rPr>
      </w:pPr>
      <w:r>
        <w:rPr>
          <w:rFonts w:ascii="Times New Roman" w:hAnsi="Times New Roman" w:eastAsia="宋体" w:cs="Times New Roman"/>
          <w:bCs/>
          <w:kern w:val="0"/>
          <w:szCs w:val="21"/>
        </w:rPr>
        <w:tab/>
      </w:r>
      <w:r>
        <w:rPr>
          <w:rFonts w:ascii="Times New Roman" w:hAnsi="Times New Roman" w:eastAsia="宋体" w:cs="Times New Roman"/>
          <w:bCs/>
          <w:kern w:val="0"/>
          <w:position w:val="-34"/>
          <w:szCs w:val="21"/>
        </w:rPr>
        <w:object>
          <v:shape id="_x0000_i1029" o:spt="75" type="#_x0000_t75" style="height:30.05pt;width:62pt;" o:ole="t" filled="f" o:preferrelative="t" stroked="f" coordsize="21600,21600">
            <v:path/>
            <v:fill on="f" focussize="0,0"/>
            <v:stroke on="f" joinstyle="miter"/>
            <v:imagedata r:id="rId17" o:title=""/>
            <o:lock v:ext="edit" aspectratio="t"/>
            <w10:wrap type="none"/>
            <w10:anchorlock/>
          </v:shape>
          <o:OLEObject Type="Embed" ProgID="Equation.DSMT4" ShapeID="_x0000_i1029" DrawAspect="Content" ObjectID="_1468075729" r:id="rId16">
            <o:LockedField>false</o:LockedField>
          </o:OLEObject>
        </w:object>
      </w:r>
      <w:r>
        <w:rPr>
          <w:rFonts w:ascii="Times New Roman" w:hAnsi="Times New Roman" w:eastAsia="宋体" w:cs="Times New Roman"/>
          <w:bCs/>
          <w:kern w:val="0"/>
          <w:szCs w:val="21"/>
        </w:rPr>
        <w:tab/>
      </w:r>
      <w:r>
        <w:rPr>
          <w:rFonts w:ascii="Times New Roman" w:hAnsi="Times New Roman" w:eastAsia="宋体" w:cs="Times New Roman"/>
          <w:bCs/>
          <w:kern w:val="0"/>
          <w:szCs w:val="21"/>
        </w:rPr>
        <w:t>(</w:t>
      </w:r>
      <w:r>
        <w:rPr>
          <w:rFonts w:hint="eastAsia" w:ascii="Times New Roman" w:hAnsi="Times New Roman" w:eastAsia="宋体" w:cs="Times New Roman"/>
          <w:bCs/>
          <w:kern w:val="0"/>
          <w:szCs w:val="21"/>
        </w:rPr>
        <w:t>5</w:t>
      </w:r>
      <w:r>
        <w:rPr>
          <w:rFonts w:ascii="Times New Roman" w:hAnsi="Times New Roman" w:eastAsia="宋体" w:cs="Times New Roman"/>
          <w:bCs/>
          <w:kern w:val="0"/>
          <w:szCs w:val="21"/>
        </w:rPr>
        <w:t>)</w:t>
      </w:r>
    </w:p>
    <w:p w14:paraId="2C3F2E94">
      <w:pPr>
        <w:tabs>
          <w:tab w:val="center" w:pos="4200"/>
          <w:tab w:val="right" w:pos="8400"/>
        </w:tabs>
        <w:spacing w:line="360" w:lineRule="auto"/>
        <w:ind w:firstLine="420" w:firstLineChars="200"/>
        <w:rPr>
          <w:rFonts w:ascii="Times New Roman" w:hAnsi="Times New Roman" w:eastAsia="宋体" w:cs="Times New Roman"/>
          <w:bCs/>
          <w:kern w:val="0"/>
          <w:szCs w:val="21"/>
        </w:rPr>
      </w:pPr>
      <w:r>
        <w:rPr>
          <w:rFonts w:hint="eastAsia" w:ascii="Times New Roman" w:hAnsi="Times New Roman" w:eastAsia="宋体" w:cs="Times New Roman"/>
          <w:bCs/>
          <w:kern w:val="0"/>
          <w:szCs w:val="21"/>
        </w:rPr>
        <w:t>由式（5）得满足重力相似及泥沙沉降相似时的粒径比尺为</w:t>
      </w:r>
    </w:p>
    <w:p w14:paraId="0EEAA7A7">
      <w:pPr>
        <w:tabs>
          <w:tab w:val="center" w:pos="4200"/>
          <w:tab w:val="right" w:pos="8400"/>
        </w:tabs>
        <w:snapToGrid w:val="0"/>
        <w:spacing w:line="360" w:lineRule="auto"/>
        <w:ind w:firstLine="420" w:firstLineChars="200"/>
        <w:rPr>
          <w:rFonts w:ascii="Times New Roman" w:hAnsi="Times New Roman" w:eastAsia="宋体" w:cs="Times New Roman"/>
          <w:bCs/>
          <w:kern w:val="0"/>
          <w:szCs w:val="21"/>
        </w:rPr>
      </w:pPr>
      <w:r>
        <w:rPr>
          <w:rFonts w:ascii="Times New Roman" w:hAnsi="Times New Roman" w:eastAsia="宋体" w:cs="Times New Roman"/>
          <w:bCs/>
          <w:kern w:val="0"/>
          <w:szCs w:val="21"/>
        </w:rPr>
        <w:tab/>
      </w:r>
      <w:r>
        <w:rPr>
          <w:rFonts w:ascii="Times New Roman" w:hAnsi="Times New Roman" w:eastAsia="宋体" w:cs="Times New Roman"/>
          <w:bCs/>
          <w:kern w:val="0"/>
          <w:position w:val="-54"/>
          <w:szCs w:val="21"/>
        </w:rPr>
        <w:object>
          <v:shape id="_x0000_i1030" o:spt="75" type="#_x0000_t75" style="height:49.75pt;width:63.5pt;" o:ole="t" filled="f" o:preferrelative="t" stroked="f" coordsize="21600,21600">
            <v:path/>
            <v:fill on="f" focussize="0,0"/>
            <v:stroke on="f" joinstyle="miter"/>
            <v:imagedata r:id="rId19" o:title=""/>
            <o:lock v:ext="edit" aspectratio="t"/>
            <w10:wrap type="none"/>
            <w10:anchorlock/>
          </v:shape>
          <o:OLEObject Type="Embed" ProgID="Equation.DSMT4" ShapeID="_x0000_i1030" DrawAspect="Content" ObjectID="_1468075730" r:id="rId18">
            <o:LockedField>false</o:LockedField>
          </o:OLEObject>
        </w:object>
      </w:r>
      <w:r>
        <w:rPr>
          <w:rFonts w:ascii="Times New Roman" w:hAnsi="Times New Roman" w:eastAsia="宋体" w:cs="Times New Roman"/>
          <w:bCs/>
          <w:kern w:val="0"/>
          <w:szCs w:val="21"/>
        </w:rPr>
        <w:tab/>
      </w:r>
      <w:r>
        <w:rPr>
          <w:rFonts w:ascii="Times New Roman" w:hAnsi="Times New Roman" w:eastAsia="宋体" w:cs="Times New Roman"/>
          <w:bCs/>
          <w:kern w:val="0"/>
          <w:szCs w:val="21"/>
        </w:rPr>
        <w:t>(</w:t>
      </w:r>
      <w:r>
        <w:rPr>
          <w:rFonts w:hint="eastAsia" w:ascii="Times New Roman" w:hAnsi="Times New Roman" w:eastAsia="宋体" w:cs="Times New Roman"/>
          <w:bCs/>
          <w:kern w:val="0"/>
          <w:szCs w:val="21"/>
        </w:rPr>
        <w:t>6</w:t>
      </w:r>
      <w:r>
        <w:rPr>
          <w:rFonts w:ascii="Times New Roman" w:hAnsi="Times New Roman" w:eastAsia="宋体" w:cs="Times New Roman"/>
          <w:bCs/>
          <w:kern w:val="0"/>
          <w:szCs w:val="21"/>
        </w:rPr>
        <w:t>)</w:t>
      </w:r>
    </w:p>
    <w:p w14:paraId="5B2E7ADF">
      <w:pPr>
        <w:spacing w:line="360" w:lineRule="auto"/>
        <w:ind w:firstLine="420" w:firstLineChars="200"/>
        <w:rPr>
          <w:rFonts w:ascii="Times New Roman" w:hAnsi="Times New Roman" w:eastAsia="宋体" w:cs="Times New Roman"/>
          <w:szCs w:val="21"/>
        </w:rPr>
      </w:pPr>
      <w:bookmarkStart w:id="7" w:name="_Hlk202815440"/>
      <w:r>
        <w:rPr>
          <w:rFonts w:ascii="Times New Roman" w:hAnsi="Times New Roman" w:eastAsia="宋体" w:cs="Times New Roman"/>
          <w:szCs w:val="21"/>
        </w:rPr>
        <w:t>研究</w:t>
      </w:r>
      <w:r>
        <w:rPr>
          <w:rFonts w:ascii="Times New Roman" w:hAnsi="Times New Roman" w:eastAsia="宋体" w:cs="Times New Roman"/>
          <w:i/>
          <w:iCs/>
          <w:szCs w:val="21"/>
        </w:rPr>
        <w:t>λ</w:t>
      </w:r>
      <w:r>
        <w:rPr>
          <w:rFonts w:hint="eastAsia" w:ascii="Times New Roman" w:hAnsi="Times New Roman" w:eastAsia="宋体" w:cs="Times New Roman"/>
          <w:i/>
          <w:iCs/>
          <w:szCs w:val="21"/>
          <w:vertAlign w:val="subscript"/>
        </w:rPr>
        <w:t>v</w:t>
      </w:r>
      <w:r>
        <w:rPr>
          <w:rFonts w:hint="eastAsia" w:ascii="Times New Roman" w:hAnsi="Times New Roman" w:eastAsia="宋体" w:cs="Times New Roman"/>
          <w:szCs w:val="21"/>
        </w:rPr>
        <w:t>为5.29</w:t>
      </w:r>
      <w:r>
        <w:rPr>
          <w:rFonts w:ascii="Times New Roman" w:hAnsi="Times New Roman" w:eastAsia="宋体" w:cs="Times New Roman"/>
          <w:szCs w:val="21"/>
        </w:rPr>
        <w:t>，</w:t>
      </w:r>
      <w:r>
        <w:rPr>
          <w:rFonts w:hint="eastAsia" w:ascii="Times New Roman" w:hAnsi="Times New Roman" w:eastAsia="宋体" w:cs="Times New Roman"/>
          <w:szCs w:val="21"/>
        </w:rPr>
        <w:t>原型沙密度及模型沙密度均为2650kg/m³，故可得泥沙粒径比尺为2.3，MZT原型沙中值粒径为0.036mm，通过粒径比尺计算可得模型沙应为0.016mm，故选择与之接近的中值粒径为0.017mm的级配曲线1对应的天然沙为试验用沙</w:t>
      </w:r>
      <w:bookmarkEnd w:id="5"/>
      <w:r>
        <w:rPr>
          <w:rFonts w:hint="eastAsia" w:ascii="Times New Roman" w:hAnsi="Times New Roman" w:eastAsia="宋体" w:cs="Times New Roman"/>
          <w:szCs w:val="21"/>
        </w:rPr>
        <w:t>，</w:t>
      </w:r>
      <w:r>
        <w:rPr>
          <w:rFonts w:ascii="Times New Roman" w:hAnsi="Times New Roman" w:eastAsia="宋体" w:cs="Times New Roman"/>
          <w:szCs w:val="21"/>
        </w:rPr>
        <w:t xml:space="preserve"> </w:t>
      </w:r>
      <w:r>
        <w:rPr>
          <w:rFonts w:hint="eastAsia" w:ascii="Times New Roman" w:hAnsi="Times New Roman" w:eastAsia="宋体" w:cs="Times New Roman"/>
          <w:szCs w:val="21"/>
        </w:rPr>
        <w:t>木扎提</w:t>
      </w:r>
      <w:r>
        <w:rPr>
          <w:rFonts w:hint="eastAsia" w:ascii="Times New Roman" w:hAnsi="Times New Roman" w:eastAsia="宋体" w:cs="Times New Roman"/>
          <w:bCs/>
          <w:szCs w:val="21"/>
        </w:rPr>
        <w:t>（</w:t>
      </w:r>
      <w:r>
        <w:rPr>
          <w:rFonts w:ascii="Times New Roman" w:hAnsi="Times New Roman" w:eastAsia="宋体" w:cs="Times New Roman"/>
          <w:bCs/>
          <w:szCs w:val="21"/>
        </w:rPr>
        <w:t>MZT</w:t>
      </w:r>
      <w:r>
        <w:rPr>
          <w:rFonts w:hint="eastAsia" w:ascii="Times New Roman" w:hAnsi="Times New Roman" w:eastAsia="宋体" w:cs="Times New Roman"/>
          <w:bCs/>
          <w:szCs w:val="21"/>
        </w:rPr>
        <w:t>）原型工程的泥沙级配与本试验中所用模型沙的级配如图2所示。</w:t>
      </w:r>
    </w:p>
    <w:bookmarkEnd w:id="7"/>
    <w:p w14:paraId="212CA89C">
      <w:pPr>
        <w:tabs>
          <w:tab w:val="left" w:pos="7586"/>
        </w:tabs>
        <w:jc w:val="center"/>
        <w:rPr>
          <w:rFonts w:ascii="Times New Roman" w:hAnsi="Times New Roman" w:eastAsia="黑体" w:cs="Times New Roman"/>
          <w:sz w:val="18"/>
          <w:szCs w:val="18"/>
        </w:rPr>
      </w:pPr>
      <w:r>
        <w:drawing>
          <wp:inline distT="0" distB="0" distL="0" distR="0">
            <wp:extent cx="5274310" cy="3136265"/>
            <wp:effectExtent l="0" t="0" r="2540" b="6985"/>
            <wp:docPr id="17478207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20752" name="图片 1"/>
                    <pic:cNvPicPr>
                      <a:picLocks noChangeAspect="1"/>
                    </pic:cNvPicPr>
                  </pic:nvPicPr>
                  <pic:blipFill>
                    <a:blip r:embed="rId20"/>
                    <a:stretch>
                      <a:fillRect/>
                    </a:stretch>
                  </pic:blipFill>
                  <pic:spPr>
                    <a:xfrm>
                      <a:off x="0" y="0"/>
                      <a:ext cx="5274310" cy="3136265"/>
                    </a:xfrm>
                    <a:prstGeom prst="rect">
                      <a:avLst/>
                    </a:prstGeom>
                  </pic:spPr>
                </pic:pic>
              </a:graphicData>
            </a:graphic>
          </wp:inline>
        </w:drawing>
      </w:r>
    </w:p>
    <w:p w14:paraId="494D3C37">
      <w:pPr>
        <w:tabs>
          <w:tab w:val="left" w:pos="7586"/>
        </w:tabs>
        <w:ind w:firstLine="2700" w:firstLineChars="1500"/>
        <w:jc w:val="left"/>
        <w:rPr>
          <w:rFonts w:ascii="Times New Roman" w:hAnsi="Times New Roman" w:eastAsia="黑体" w:cs="Times New Roman"/>
          <w:bCs/>
          <w:sz w:val="18"/>
          <w:szCs w:val="18"/>
        </w:rPr>
      </w:pPr>
      <w:r>
        <w:rPr>
          <w:rFonts w:ascii="Times New Roman" w:hAnsi="Times New Roman" w:eastAsia="黑体" w:cs="Times New Roman"/>
          <w:sz w:val="18"/>
          <w:szCs w:val="18"/>
        </w:rPr>
        <w:t xml:space="preserve">图2 </w:t>
      </w:r>
      <w:r>
        <w:rPr>
          <w:rFonts w:ascii="Times New Roman" w:hAnsi="Times New Roman" w:eastAsia="黑体" w:cs="Times New Roman"/>
          <w:bCs/>
          <w:sz w:val="18"/>
          <w:szCs w:val="18"/>
        </w:rPr>
        <w:t>模型沙、原型沙泥沙粒径级配曲线</w:t>
      </w:r>
    </w:p>
    <w:p w14:paraId="330BF820">
      <w:pPr>
        <w:tabs>
          <w:tab w:val="left" w:pos="7586"/>
        </w:tabs>
        <w:jc w:val="center"/>
        <w:rPr>
          <w:rFonts w:ascii="Times New Roman" w:hAnsi="Times New Roman" w:eastAsia="黑体" w:cs="Times New Roman"/>
          <w:bCs/>
          <w:sz w:val="18"/>
          <w:szCs w:val="18"/>
        </w:rPr>
      </w:pPr>
      <w:r>
        <w:rPr>
          <w:rFonts w:hint="eastAsia" w:ascii="Times New Roman" w:hAnsi="Times New Roman" w:eastAsia="黑体" w:cs="Times New Roman"/>
          <w:bCs/>
          <w:sz w:val="18"/>
          <w:szCs w:val="18"/>
        </w:rPr>
        <w:t xml:space="preserve">Fig. </w:t>
      </w:r>
      <w:r>
        <w:rPr>
          <w:rFonts w:ascii="Times New Roman" w:hAnsi="Times New Roman" w:eastAsia="黑体" w:cs="Times New Roman"/>
          <w:bCs/>
          <w:sz w:val="18"/>
          <w:szCs w:val="18"/>
        </w:rPr>
        <w:t>2</w:t>
      </w:r>
      <w:r>
        <w:rPr>
          <w:rFonts w:hint="eastAsia" w:ascii="Times New Roman" w:hAnsi="Times New Roman" w:eastAsia="黑体" w:cs="Times New Roman"/>
          <w:bCs/>
          <w:sz w:val="18"/>
          <w:szCs w:val="18"/>
        </w:rPr>
        <w:t xml:space="preserve"> </w:t>
      </w:r>
      <w:r>
        <w:rPr>
          <w:rFonts w:ascii="Times New Roman" w:hAnsi="Times New Roman" w:eastAsia="黑体" w:cs="Times New Roman"/>
          <w:bCs/>
          <w:sz w:val="18"/>
          <w:szCs w:val="18"/>
        </w:rPr>
        <w:t xml:space="preserve">Grain </w:t>
      </w:r>
      <w:r>
        <w:rPr>
          <w:rFonts w:hint="eastAsia" w:ascii="Times New Roman" w:hAnsi="Times New Roman" w:eastAsia="黑体" w:cs="Times New Roman"/>
          <w:bCs/>
          <w:sz w:val="18"/>
          <w:szCs w:val="18"/>
        </w:rPr>
        <w:t>s</w:t>
      </w:r>
      <w:r>
        <w:rPr>
          <w:rFonts w:ascii="Times New Roman" w:hAnsi="Times New Roman" w:eastAsia="黑体" w:cs="Times New Roman"/>
          <w:bCs/>
          <w:sz w:val="18"/>
          <w:szCs w:val="18"/>
        </w:rPr>
        <w:t xml:space="preserve">ize </w:t>
      </w:r>
      <w:r>
        <w:rPr>
          <w:rFonts w:hint="eastAsia" w:ascii="Times New Roman" w:hAnsi="Times New Roman" w:eastAsia="黑体" w:cs="Times New Roman"/>
          <w:bCs/>
          <w:sz w:val="18"/>
          <w:szCs w:val="18"/>
        </w:rPr>
        <w:t>d</w:t>
      </w:r>
      <w:r>
        <w:rPr>
          <w:rFonts w:ascii="Times New Roman" w:hAnsi="Times New Roman" w:eastAsia="黑体" w:cs="Times New Roman"/>
          <w:bCs/>
          <w:sz w:val="18"/>
          <w:szCs w:val="18"/>
        </w:rPr>
        <w:t xml:space="preserve">istribution </w:t>
      </w:r>
      <w:r>
        <w:rPr>
          <w:rFonts w:hint="eastAsia" w:ascii="Times New Roman" w:hAnsi="Times New Roman" w:eastAsia="黑体" w:cs="Times New Roman"/>
          <w:bCs/>
          <w:sz w:val="18"/>
          <w:szCs w:val="18"/>
        </w:rPr>
        <w:t>c</w:t>
      </w:r>
      <w:r>
        <w:rPr>
          <w:rFonts w:ascii="Times New Roman" w:hAnsi="Times New Roman" w:eastAsia="黑体" w:cs="Times New Roman"/>
          <w:bCs/>
          <w:sz w:val="18"/>
          <w:szCs w:val="18"/>
        </w:rPr>
        <w:t xml:space="preserve">urves of </w:t>
      </w:r>
      <w:r>
        <w:rPr>
          <w:rFonts w:hint="eastAsia" w:ascii="Times New Roman" w:hAnsi="Times New Roman" w:eastAsia="黑体" w:cs="Times New Roman"/>
          <w:bCs/>
          <w:sz w:val="18"/>
          <w:szCs w:val="18"/>
        </w:rPr>
        <w:t>m</w:t>
      </w:r>
      <w:r>
        <w:rPr>
          <w:rFonts w:ascii="Times New Roman" w:hAnsi="Times New Roman" w:eastAsia="黑体" w:cs="Times New Roman"/>
          <w:bCs/>
          <w:sz w:val="18"/>
          <w:szCs w:val="18"/>
        </w:rPr>
        <w:t xml:space="preserve">odel </w:t>
      </w:r>
      <w:r>
        <w:rPr>
          <w:rFonts w:hint="eastAsia" w:ascii="Times New Roman" w:hAnsi="Times New Roman" w:eastAsia="黑体" w:cs="Times New Roman"/>
          <w:bCs/>
          <w:sz w:val="18"/>
          <w:szCs w:val="18"/>
        </w:rPr>
        <w:t>s</w:t>
      </w:r>
      <w:r>
        <w:rPr>
          <w:rFonts w:ascii="Times New Roman" w:hAnsi="Times New Roman" w:eastAsia="黑体" w:cs="Times New Roman"/>
          <w:bCs/>
          <w:sz w:val="18"/>
          <w:szCs w:val="18"/>
        </w:rPr>
        <w:t xml:space="preserve">and and </w:t>
      </w:r>
      <w:r>
        <w:rPr>
          <w:rFonts w:hint="eastAsia" w:ascii="Times New Roman" w:hAnsi="Times New Roman" w:eastAsia="黑体" w:cs="Times New Roman"/>
          <w:bCs/>
          <w:sz w:val="18"/>
          <w:szCs w:val="18"/>
        </w:rPr>
        <w:t>p</w:t>
      </w:r>
      <w:r>
        <w:rPr>
          <w:rFonts w:ascii="Times New Roman" w:hAnsi="Times New Roman" w:eastAsia="黑体" w:cs="Times New Roman"/>
          <w:bCs/>
          <w:sz w:val="18"/>
          <w:szCs w:val="18"/>
        </w:rPr>
        <w:t xml:space="preserve">rototype </w:t>
      </w:r>
      <w:r>
        <w:rPr>
          <w:rFonts w:hint="eastAsia" w:ascii="Times New Roman" w:hAnsi="Times New Roman" w:eastAsia="黑体" w:cs="Times New Roman"/>
          <w:bCs/>
          <w:sz w:val="18"/>
          <w:szCs w:val="18"/>
        </w:rPr>
        <w:t>s</w:t>
      </w:r>
      <w:r>
        <w:rPr>
          <w:rFonts w:ascii="Times New Roman" w:hAnsi="Times New Roman" w:eastAsia="黑体" w:cs="Times New Roman"/>
          <w:bCs/>
          <w:sz w:val="18"/>
          <w:szCs w:val="18"/>
        </w:rPr>
        <w:t>and</w:t>
      </w:r>
    </w:p>
    <w:p w14:paraId="6D3ABDE9">
      <w:pPr>
        <w:ind w:firstLine="420" w:firstLineChars="200"/>
      </w:pPr>
      <w:bookmarkStart w:id="8" w:name="_Hlk202800722"/>
      <w:r>
        <w:rPr>
          <w:rFonts w:hint="eastAsia" w:ascii="Times New Roman" w:hAnsi="Times New Roman" w:eastAsia="宋体" w:cs="Times New Roman"/>
          <w:szCs w:val="21"/>
        </w:rPr>
        <w:t>研究试验装置示意见图3所示，试验开始时，水泵1从蓄水池2将清水抽到高位水池3（高位水池中设有溢流口以保证水位不变），水流经供水管道4流经阀门5进入稳水箱6，流量大小可通过阀门5控制，水流稳定后流入引水渠7，引水渠上方设有投沙装置8，水流经引水渠后进入进水涵洞9流入漏斗室10，运行过程中，经排沙漏斗处理过后的“清水”经过悬板11流出，浑水则通过排沙底孔12流出，水流流出后进入预先校准的三角形薄壁堰13及矩形薄壁堰14中并读取相应流量，最终水流回蓄水池2。</w:t>
      </w:r>
      <w:bookmarkStart w:id="9" w:name="_Hlk202803878"/>
      <w:r>
        <w:rPr>
          <w:rFonts w:hint="eastAsia" w:ascii="Times New Roman" w:hAnsi="Times New Roman" w:eastAsia="宋体" w:cs="Times New Roman"/>
          <w:szCs w:val="21"/>
        </w:rPr>
        <w:t>试验过程中所有流量均通过预先校准的三角形及矩形薄壁堰测得，</w:t>
      </w:r>
      <w:r>
        <w:rPr>
          <w:rFonts w:ascii="Times New Roman" w:hAnsi="Times New Roman" w:eastAsia="宋体" w:cs="Times New Roman"/>
          <w:szCs w:val="21"/>
        </w:rPr>
        <w:t>为避免量测结果的偶然性，每5分钟在分别进水口、溢流出口及底孔均使用250mL经过严格率定的硬质透明玻璃容量瓶进行取样</w:t>
      </w:r>
      <w:r>
        <w:rPr>
          <w:rFonts w:hint="eastAsia" w:ascii="Times New Roman" w:hAnsi="Times New Roman" w:eastAsia="宋体" w:cs="Times New Roman"/>
          <w:szCs w:val="21"/>
        </w:rPr>
        <w:t>，并使用置换法计算相应含沙浓度，</w:t>
      </w:r>
      <w:r>
        <w:rPr>
          <w:rFonts w:ascii="Times New Roman" w:hAnsi="Times New Roman" w:eastAsia="宋体" w:cs="Times New Roman"/>
          <w:szCs w:val="21"/>
        </w:rPr>
        <w:t>共取样4次，最后取平均值，进而计算截除率</w:t>
      </w:r>
      <w:bookmarkEnd w:id="8"/>
      <w:bookmarkEnd w:id="9"/>
      <w:bookmarkStart w:id="10" w:name="_Hlk202800745"/>
      <w:r>
        <w:drawing>
          <wp:inline distT="0" distB="0" distL="0" distR="0">
            <wp:extent cx="5387340" cy="2433320"/>
            <wp:effectExtent l="0" t="0" r="3810" b="5080"/>
            <wp:docPr id="192416709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67094" name="图片 8"/>
                    <pic:cNvPicPr>
                      <a:picLocks noChangeAspect="1" noChangeArrowheads="1"/>
                    </pic:cNvPicPr>
                  </pic:nvPicPr>
                  <pic:blipFill>
                    <a:blip r:embed="rId21" cstate="print">
                      <a:lum bright="-6000"/>
                      <a:extLst>
                        <a:ext uri="{28A0092B-C50C-407E-A947-70E740481C1C}">
                          <a14:useLocalDpi xmlns:a14="http://schemas.microsoft.com/office/drawing/2010/main" val="0"/>
                        </a:ext>
                      </a:extLst>
                    </a:blip>
                    <a:srcRect l="4381" t="9389" r="4376" b="6128"/>
                    <a:stretch>
                      <a:fillRect/>
                    </a:stretch>
                  </pic:blipFill>
                  <pic:spPr>
                    <a:xfrm>
                      <a:off x="0" y="0"/>
                      <a:ext cx="5418738" cy="2447761"/>
                    </a:xfrm>
                    <a:prstGeom prst="rect">
                      <a:avLst/>
                    </a:prstGeom>
                    <a:noFill/>
                    <a:ln>
                      <a:noFill/>
                    </a:ln>
                  </pic:spPr>
                </pic:pic>
              </a:graphicData>
            </a:graphic>
          </wp:inline>
        </w:drawing>
      </w:r>
    </w:p>
    <w:p w14:paraId="01948F21">
      <w:pPr>
        <w:pStyle w:val="6"/>
        <w:rPr>
          <w:rFonts w:eastAsia="宋体"/>
          <w:sz w:val="18"/>
          <w:szCs w:val="21"/>
        </w:rPr>
      </w:pPr>
      <w:r>
        <w:rPr>
          <w:rFonts w:hint="eastAsia" w:eastAsia="宋体"/>
          <w:sz w:val="18"/>
          <w:szCs w:val="21"/>
        </w:rPr>
        <w:t>（a）试验装置示意</w:t>
      </w:r>
    </w:p>
    <w:p w14:paraId="3B43A5A7">
      <w:pPr>
        <w:pStyle w:val="6"/>
        <w:rPr>
          <w:sz w:val="24"/>
          <w:lang w:bidi="ar"/>
        </w:rPr>
      </w:pPr>
      <w:r>
        <w:rPr>
          <w:sz w:val="24"/>
          <w:lang w:bidi="ar"/>
        </w:rPr>
        <w:drawing>
          <wp:inline distT="0" distB="0" distL="0" distR="0">
            <wp:extent cx="5301615" cy="2333625"/>
            <wp:effectExtent l="0" t="0" r="3810" b="0"/>
            <wp:docPr id="21398764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876435" name="图片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321480" cy="2342331"/>
                    </a:xfrm>
                    <a:prstGeom prst="rect">
                      <a:avLst/>
                    </a:prstGeom>
                    <a:noFill/>
                    <a:ln>
                      <a:noFill/>
                    </a:ln>
                  </pic:spPr>
                </pic:pic>
              </a:graphicData>
            </a:graphic>
          </wp:inline>
        </w:drawing>
      </w:r>
    </w:p>
    <w:p w14:paraId="2D36C825">
      <w:pPr>
        <w:pStyle w:val="6"/>
        <w:rPr>
          <w:rFonts w:eastAsia="宋体"/>
          <w:sz w:val="18"/>
          <w:szCs w:val="21"/>
        </w:rPr>
      </w:pPr>
      <w:r>
        <w:rPr>
          <w:rFonts w:hint="eastAsia" w:eastAsia="宋体"/>
          <w:sz w:val="18"/>
          <w:szCs w:val="21"/>
        </w:rPr>
        <w:t>（b）试验装置实物</w:t>
      </w:r>
    </w:p>
    <w:p w14:paraId="29A8F588">
      <w:pPr>
        <w:pStyle w:val="6"/>
        <w:rPr>
          <w:rFonts w:eastAsia="宋体"/>
          <w:sz w:val="18"/>
          <w:szCs w:val="21"/>
        </w:rPr>
      </w:pPr>
      <w:r>
        <w:rPr>
          <w:rFonts w:eastAsia="宋体"/>
          <w:sz w:val="18"/>
          <w:szCs w:val="21"/>
        </w:rPr>
        <w:t>1</w:t>
      </w:r>
      <w:r>
        <w:rPr>
          <w:rFonts w:hint="eastAsia" w:eastAsia="宋体"/>
          <w:sz w:val="18"/>
          <w:szCs w:val="21"/>
        </w:rPr>
        <w:t>—</w:t>
      </w:r>
      <w:r>
        <w:rPr>
          <w:rFonts w:eastAsia="宋体"/>
          <w:sz w:val="18"/>
          <w:szCs w:val="21"/>
        </w:rPr>
        <w:t>水泵；2</w:t>
      </w:r>
      <w:r>
        <w:rPr>
          <w:rFonts w:hint="eastAsia" w:eastAsia="宋体"/>
          <w:sz w:val="18"/>
          <w:szCs w:val="21"/>
        </w:rPr>
        <w:t>—</w:t>
      </w:r>
      <w:r>
        <w:rPr>
          <w:rFonts w:eastAsia="宋体"/>
          <w:sz w:val="18"/>
          <w:szCs w:val="21"/>
        </w:rPr>
        <w:t>蓄水箱；3</w:t>
      </w:r>
      <w:r>
        <w:rPr>
          <w:rFonts w:hint="eastAsia" w:eastAsia="宋体"/>
          <w:sz w:val="18"/>
          <w:szCs w:val="21"/>
        </w:rPr>
        <w:t>—</w:t>
      </w:r>
      <w:r>
        <w:rPr>
          <w:rFonts w:eastAsia="宋体"/>
          <w:sz w:val="18"/>
          <w:szCs w:val="21"/>
        </w:rPr>
        <w:t>高位水箱；4</w:t>
      </w:r>
      <w:r>
        <w:rPr>
          <w:rFonts w:hint="eastAsia" w:eastAsia="宋体"/>
          <w:sz w:val="18"/>
          <w:szCs w:val="21"/>
        </w:rPr>
        <w:t>—</w:t>
      </w:r>
      <w:r>
        <w:rPr>
          <w:rFonts w:eastAsia="宋体"/>
          <w:sz w:val="18"/>
          <w:szCs w:val="21"/>
        </w:rPr>
        <w:t>管道；5</w:t>
      </w:r>
      <w:r>
        <w:rPr>
          <w:rFonts w:hint="eastAsia" w:eastAsia="宋体"/>
          <w:sz w:val="18"/>
          <w:szCs w:val="21"/>
        </w:rPr>
        <w:t>—</w:t>
      </w:r>
      <w:r>
        <w:rPr>
          <w:rFonts w:eastAsia="宋体"/>
          <w:sz w:val="18"/>
          <w:szCs w:val="21"/>
        </w:rPr>
        <w:t>阀门；6</w:t>
      </w:r>
      <w:r>
        <w:rPr>
          <w:rFonts w:hint="eastAsia" w:eastAsia="宋体"/>
          <w:sz w:val="18"/>
          <w:szCs w:val="21"/>
        </w:rPr>
        <w:t>—稳</w:t>
      </w:r>
      <w:r>
        <w:rPr>
          <w:rFonts w:eastAsia="宋体"/>
          <w:sz w:val="18"/>
          <w:szCs w:val="21"/>
        </w:rPr>
        <w:t>水箱；7</w:t>
      </w:r>
      <w:r>
        <w:rPr>
          <w:rFonts w:hint="eastAsia" w:eastAsia="宋体"/>
          <w:sz w:val="18"/>
          <w:szCs w:val="21"/>
        </w:rPr>
        <w:t>—</w:t>
      </w:r>
      <w:r>
        <w:rPr>
          <w:rFonts w:eastAsia="宋体"/>
          <w:sz w:val="18"/>
          <w:szCs w:val="21"/>
        </w:rPr>
        <w:t>引水渠；</w:t>
      </w:r>
    </w:p>
    <w:p w14:paraId="51E01DD3">
      <w:pPr>
        <w:pStyle w:val="6"/>
        <w:rPr>
          <w:rFonts w:eastAsia="宋体"/>
          <w:sz w:val="18"/>
          <w:szCs w:val="21"/>
        </w:rPr>
      </w:pPr>
      <w:r>
        <w:rPr>
          <w:rFonts w:hint="eastAsia" w:eastAsia="宋体"/>
          <w:sz w:val="18"/>
          <w:szCs w:val="21"/>
        </w:rPr>
        <w:t>8—投沙装置；9—</w:t>
      </w:r>
      <w:r>
        <w:rPr>
          <w:rFonts w:eastAsia="宋体"/>
          <w:sz w:val="18"/>
          <w:szCs w:val="21"/>
        </w:rPr>
        <w:t>进水涵洞；</w:t>
      </w:r>
      <w:r>
        <w:rPr>
          <w:rFonts w:hint="eastAsia" w:eastAsia="宋体"/>
          <w:sz w:val="18"/>
          <w:szCs w:val="21"/>
        </w:rPr>
        <w:t>10—</w:t>
      </w:r>
      <w:r>
        <w:rPr>
          <w:rFonts w:eastAsia="宋体"/>
          <w:sz w:val="18"/>
          <w:szCs w:val="21"/>
        </w:rPr>
        <w:t>漏斗室；</w:t>
      </w:r>
      <w:r>
        <w:rPr>
          <w:rFonts w:hint="eastAsia" w:eastAsia="宋体"/>
          <w:sz w:val="18"/>
          <w:szCs w:val="21"/>
        </w:rPr>
        <w:t>11—悬板</w:t>
      </w:r>
      <w:r>
        <w:rPr>
          <w:rFonts w:eastAsia="宋体"/>
          <w:sz w:val="18"/>
          <w:szCs w:val="21"/>
        </w:rPr>
        <w:t>；1</w:t>
      </w:r>
      <w:r>
        <w:rPr>
          <w:rFonts w:hint="eastAsia" w:eastAsia="宋体"/>
          <w:sz w:val="18"/>
          <w:szCs w:val="21"/>
        </w:rPr>
        <w:t>2—</w:t>
      </w:r>
      <w:r>
        <w:rPr>
          <w:rFonts w:eastAsia="宋体"/>
          <w:sz w:val="18"/>
          <w:szCs w:val="21"/>
        </w:rPr>
        <w:t>排沙底孔；1</w:t>
      </w:r>
      <w:r>
        <w:rPr>
          <w:rFonts w:hint="eastAsia" w:eastAsia="宋体"/>
          <w:sz w:val="18"/>
          <w:szCs w:val="21"/>
        </w:rPr>
        <w:t>3—三角形薄壁堰</w:t>
      </w:r>
      <w:r>
        <w:rPr>
          <w:rFonts w:eastAsia="宋体"/>
          <w:sz w:val="18"/>
          <w:szCs w:val="21"/>
        </w:rPr>
        <w:t>；</w:t>
      </w:r>
    </w:p>
    <w:p w14:paraId="1DE50311">
      <w:pPr>
        <w:pStyle w:val="6"/>
        <w:rPr>
          <w:rFonts w:eastAsia="宋体"/>
          <w:sz w:val="18"/>
          <w:szCs w:val="21"/>
        </w:rPr>
      </w:pPr>
      <w:r>
        <w:rPr>
          <w:rFonts w:eastAsia="宋体"/>
          <w:sz w:val="18"/>
          <w:szCs w:val="21"/>
        </w:rPr>
        <w:t>1</w:t>
      </w:r>
      <w:r>
        <w:rPr>
          <w:rFonts w:hint="eastAsia" w:eastAsia="宋体"/>
          <w:sz w:val="18"/>
          <w:szCs w:val="21"/>
        </w:rPr>
        <w:t>4—矩形</w:t>
      </w:r>
      <w:r>
        <w:rPr>
          <w:rFonts w:eastAsia="宋体"/>
          <w:sz w:val="18"/>
          <w:szCs w:val="21"/>
        </w:rPr>
        <w:t>形薄壁堰；1</w:t>
      </w:r>
      <w:r>
        <w:rPr>
          <w:rFonts w:hint="eastAsia" w:eastAsia="宋体"/>
          <w:sz w:val="18"/>
          <w:szCs w:val="21"/>
        </w:rPr>
        <w:t>5—</w:t>
      </w:r>
      <w:r>
        <w:rPr>
          <w:rFonts w:eastAsia="宋体"/>
          <w:sz w:val="18"/>
          <w:szCs w:val="21"/>
        </w:rPr>
        <w:t>回水廊道</w:t>
      </w:r>
      <w:r>
        <w:rPr>
          <w:rFonts w:hint="eastAsia" w:eastAsia="宋体"/>
          <w:sz w:val="18"/>
          <w:szCs w:val="21"/>
        </w:rPr>
        <w:t xml:space="preserve"> </w:t>
      </w:r>
    </w:p>
    <w:p w14:paraId="75B36DBA">
      <w:pPr>
        <w:pStyle w:val="6"/>
        <w:rPr>
          <w:sz w:val="15"/>
          <w:szCs w:val="15"/>
        </w:rPr>
      </w:pPr>
      <w:r>
        <w:rPr>
          <w:sz w:val="15"/>
          <w:szCs w:val="15"/>
        </w:rPr>
        <w:t>图</w:t>
      </w:r>
      <w:r>
        <w:rPr>
          <w:rFonts w:hint="eastAsia"/>
          <w:sz w:val="15"/>
          <w:szCs w:val="15"/>
        </w:rPr>
        <w:t>3</w:t>
      </w:r>
      <w:r>
        <w:rPr>
          <w:sz w:val="15"/>
          <w:szCs w:val="15"/>
        </w:rPr>
        <w:t xml:space="preserve"> </w:t>
      </w:r>
      <w:r>
        <w:rPr>
          <w:rFonts w:hint="eastAsia"/>
          <w:sz w:val="15"/>
          <w:szCs w:val="15"/>
        </w:rPr>
        <w:t>试验装置</w:t>
      </w:r>
    </w:p>
    <w:p w14:paraId="7F856E81">
      <w:pPr>
        <w:pStyle w:val="6"/>
        <w:rPr>
          <w:sz w:val="15"/>
          <w:szCs w:val="15"/>
        </w:rPr>
      </w:pPr>
      <w:r>
        <w:rPr>
          <w:rFonts w:hint="eastAsia"/>
          <w:sz w:val="15"/>
          <w:szCs w:val="15"/>
        </w:rPr>
        <w:t>Fig. 3 Experiment</w:t>
      </w:r>
      <w:r>
        <w:rPr>
          <w:rFonts w:hint="eastAsia"/>
          <w:sz w:val="15"/>
          <w:szCs w:val="15"/>
          <w:lang w:val="en-US" w:eastAsia="zh-CN"/>
        </w:rPr>
        <w:t>al</w:t>
      </w:r>
      <w:r>
        <w:rPr>
          <w:sz w:val="15"/>
          <w:szCs w:val="15"/>
        </w:rPr>
        <w:t xml:space="preserve"> setup</w:t>
      </w:r>
    </w:p>
    <w:bookmarkEnd w:id="10"/>
    <w:p w14:paraId="3CED4778">
      <w:pPr>
        <w:jc w:val="left"/>
        <w:rPr>
          <w:rFonts w:ascii="Times New Roman" w:hAnsi="Times New Roman" w:eastAsia="黑体" w:cs="Times New Roman"/>
          <w:bCs/>
          <w:szCs w:val="21"/>
        </w:rPr>
      </w:pPr>
      <w:bookmarkStart w:id="11" w:name="_Hlk202871699"/>
      <w:r>
        <w:rPr>
          <w:rFonts w:hint="eastAsia" w:ascii="Times New Roman" w:hAnsi="Times New Roman" w:eastAsia="黑体" w:cs="Times New Roman"/>
          <w:bCs/>
          <w:szCs w:val="21"/>
        </w:rPr>
        <w:t>1</w:t>
      </w:r>
      <w:r>
        <w:rPr>
          <w:rFonts w:ascii="Times New Roman" w:hAnsi="Times New Roman" w:eastAsia="黑体" w:cs="Times New Roman"/>
          <w:bCs/>
          <w:szCs w:val="21"/>
        </w:rPr>
        <w:t>.2试验方案</w:t>
      </w:r>
    </w:p>
    <w:p w14:paraId="75DBA321">
      <w:pPr>
        <w:tabs>
          <w:tab w:val="center" w:pos="4200"/>
          <w:tab w:val="right" w:pos="8400"/>
        </w:tabs>
        <w:snapToGrid w:val="0"/>
        <w:ind w:firstLine="420" w:firstLineChars="200"/>
        <w:rPr>
          <w:rFonts w:ascii="Times New Roman" w:hAnsi="Times New Roman" w:cs="Times New Roman"/>
          <w:szCs w:val="21"/>
        </w:rPr>
      </w:pPr>
      <w:bookmarkStart w:id="12" w:name="_Hlk202863025"/>
      <w:r>
        <w:rPr>
          <w:rFonts w:ascii="Times New Roman" w:hAnsi="Times New Roman" w:cs="Times New Roman"/>
          <w:szCs w:val="21"/>
        </w:rPr>
        <w:t>试验正式开始前，需探明含沙浓度与泥沙粒径对泥沙截除率的影响，从而合理设计正式试验方案。在进流量为设计流量下，原型工程所在塔河流域年最大含沙浓度为7.2kg/m³，为扩大结果适用范围，针对三组不同进流含沙浓度（9kg/m³、7kg/m³和5.4kg/m³）、两组泥沙粒径（中值粒径分别为0.017 mm和0.027 mm，对应图2级配曲线1和级配曲线2）开展浑水预试验，试验结果</w:t>
      </w:r>
      <w:r>
        <w:rPr>
          <w:rFonts w:hint="eastAsia" w:ascii="Times New Roman" w:hAnsi="Times New Roman" w:cs="Times New Roman"/>
          <w:szCs w:val="21"/>
        </w:rPr>
        <w:t>如</w:t>
      </w:r>
      <w:r>
        <w:rPr>
          <w:rFonts w:ascii="Times New Roman" w:hAnsi="Times New Roman" w:cs="Times New Roman"/>
          <w:szCs w:val="21"/>
        </w:rPr>
        <w:t>表2所</w:t>
      </w:r>
      <w:r>
        <w:rPr>
          <w:rFonts w:hint="eastAsia" w:ascii="Times New Roman" w:hAnsi="Times New Roman" w:cs="Times New Roman"/>
          <w:szCs w:val="21"/>
        </w:rPr>
        <w:t>列</w:t>
      </w:r>
      <w:r>
        <w:rPr>
          <w:rFonts w:ascii="Times New Roman" w:hAnsi="Times New Roman" w:cs="Times New Roman"/>
          <w:szCs w:val="21"/>
        </w:rPr>
        <w:t>。由表</w:t>
      </w:r>
      <w:r>
        <w:rPr>
          <w:rFonts w:hint="eastAsia" w:ascii="Times New Roman" w:hAnsi="Times New Roman" w:cs="Times New Roman"/>
          <w:szCs w:val="21"/>
        </w:rPr>
        <w:t>2</w:t>
      </w:r>
      <w:r>
        <w:rPr>
          <w:rFonts w:ascii="Times New Roman" w:hAnsi="Times New Roman" w:cs="Times New Roman"/>
          <w:szCs w:val="21"/>
        </w:rPr>
        <w:t>可知，在相同含沙浓度条件下，泥沙粒径变化引起的截除率最大变幅为3.3%，故后续正式试验未将泥沙粒径作为变量考虑；在相同泥沙级配条件下，含沙浓度变化引起的泥沙截除率最大变幅为12.36%，显然浓度变化对泥沙截除率产生了较大影响，故在寻优过程中需考虑浓度对结果的影响。</w:t>
      </w:r>
    </w:p>
    <w:p w14:paraId="060E0F58">
      <w:pPr>
        <w:tabs>
          <w:tab w:val="center" w:pos="4200"/>
          <w:tab w:val="right" w:pos="8400"/>
        </w:tabs>
        <w:snapToGrid w:val="0"/>
        <w:ind w:firstLine="420" w:firstLineChars="200"/>
        <w:rPr>
          <w:rFonts w:ascii="Times New Roman" w:hAnsi="Times New Roman" w:cs="Times New Roman"/>
          <w:szCs w:val="21"/>
        </w:rPr>
      </w:pPr>
    </w:p>
    <w:p w14:paraId="646F5B3D">
      <w:pPr>
        <w:tabs>
          <w:tab w:val="center" w:pos="4200"/>
          <w:tab w:val="right" w:pos="8400"/>
        </w:tabs>
        <w:snapToGrid w:val="0"/>
        <w:ind w:firstLine="420" w:firstLineChars="200"/>
        <w:rPr>
          <w:rFonts w:ascii="Times New Roman" w:hAnsi="Times New Roman" w:cs="Times New Roman"/>
          <w:szCs w:val="21"/>
        </w:rPr>
      </w:pPr>
    </w:p>
    <w:p w14:paraId="1F0C1CD0">
      <w:pPr>
        <w:tabs>
          <w:tab w:val="center" w:pos="4200"/>
          <w:tab w:val="right" w:pos="8400"/>
        </w:tabs>
        <w:snapToGrid w:val="0"/>
        <w:ind w:firstLine="420" w:firstLineChars="200"/>
        <w:rPr>
          <w:rFonts w:ascii="Times New Roman" w:hAnsi="Times New Roman" w:cs="Times New Roman"/>
          <w:szCs w:val="21"/>
        </w:rPr>
      </w:pPr>
    </w:p>
    <w:p w14:paraId="2EBA0F63">
      <w:pPr>
        <w:tabs>
          <w:tab w:val="center" w:pos="4200"/>
          <w:tab w:val="right" w:pos="8400"/>
        </w:tabs>
        <w:snapToGrid w:val="0"/>
        <w:ind w:firstLine="420" w:firstLineChars="200"/>
        <w:rPr>
          <w:rFonts w:ascii="Times New Roman" w:hAnsi="Times New Roman" w:cs="Times New Roman"/>
          <w:szCs w:val="21"/>
        </w:rPr>
      </w:pPr>
    </w:p>
    <w:p w14:paraId="32ED08CE">
      <w:pPr>
        <w:tabs>
          <w:tab w:val="center" w:pos="4200"/>
          <w:tab w:val="right" w:pos="8400"/>
        </w:tabs>
        <w:snapToGrid w:val="0"/>
        <w:ind w:firstLine="420" w:firstLineChars="200"/>
        <w:rPr>
          <w:rFonts w:ascii="Times New Roman" w:hAnsi="Times New Roman" w:cs="Times New Roman"/>
          <w:szCs w:val="21"/>
        </w:rPr>
      </w:pPr>
    </w:p>
    <w:p w14:paraId="4A779762">
      <w:pPr>
        <w:tabs>
          <w:tab w:val="center" w:pos="4200"/>
          <w:tab w:val="right" w:pos="8400"/>
        </w:tabs>
        <w:snapToGrid w:val="0"/>
        <w:ind w:firstLine="420" w:firstLineChars="200"/>
        <w:rPr>
          <w:rFonts w:ascii="Times New Roman" w:hAnsi="Times New Roman" w:cs="Times New Roman"/>
          <w:szCs w:val="21"/>
        </w:rPr>
      </w:pPr>
    </w:p>
    <w:bookmarkEnd w:id="12"/>
    <w:p w14:paraId="68F76E8E">
      <w:pPr>
        <w:jc w:val="center"/>
        <w:rPr>
          <w:rFonts w:ascii="Times New Roman" w:hAnsi="Times New Roman" w:eastAsia="黑体" w:cs="Times New Roman"/>
          <w:sz w:val="18"/>
          <w:szCs w:val="18"/>
        </w:rPr>
      </w:pPr>
      <w:bookmarkStart w:id="13" w:name="_Hlk202864105"/>
      <w:r>
        <w:rPr>
          <w:rFonts w:hint="eastAsia" w:ascii="Times New Roman" w:hAnsi="Times New Roman" w:eastAsia="黑体" w:cs="Times New Roman"/>
          <w:sz w:val="18"/>
          <w:szCs w:val="18"/>
        </w:rPr>
        <w:t>表2 不同含沙浓度及级配曲线下泥沙截除率</w:t>
      </w:r>
    </w:p>
    <w:p w14:paraId="77592343">
      <w:pPr>
        <w:jc w:val="center"/>
        <w:rPr>
          <w:rFonts w:ascii="Times New Roman" w:hAnsi="Times New Roman" w:eastAsia="黑体" w:cs="Times New Roman"/>
          <w:sz w:val="18"/>
          <w:szCs w:val="18"/>
        </w:rPr>
      </w:pPr>
      <w:r>
        <w:rPr>
          <w:rFonts w:ascii="Times New Roman" w:hAnsi="Times New Roman" w:eastAsia="黑体" w:cs="Times New Roman"/>
          <w:sz w:val="18"/>
          <w:szCs w:val="18"/>
        </w:rPr>
        <w:t>Tab</w:t>
      </w:r>
      <w:r>
        <w:rPr>
          <w:rFonts w:hint="eastAsia" w:ascii="Times New Roman" w:hAnsi="Times New Roman" w:eastAsia="黑体" w:cs="Times New Roman"/>
          <w:sz w:val="18"/>
          <w:szCs w:val="18"/>
        </w:rPr>
        <w:t>le 2</w:t>
      </w:r>
      <w:r>
        <w:rPr>
          <w:rFonts w:ascii="Times New Roman" w:hAnsi="Times New Roman" w:eastAsia="黑体" w:cs="Times New Roman"/>
          <w:sz w:val="18"/>
          <w:szCs w:val="18"/>
        </w:rPr>
        <w:t xml:space="preserve"> Sediment trapping efficiency under different sediment concentrations and </w:t>
      </w:r>
      <w:r>
        <w:rPr>
          <w:rFonts w:hint="eastAsia" w:ascii="Times New Roman" w:hAnsi="Times New Roman" w:eastAsia="黑体" w:cs="Times New Roman"/>
          <w:sz w:val="18"/>
          <w:szCs w:val="18"/>
        </w:rPr>
        <w:t>gradation</w:t>
      </w:r>
      <w:r>
        <w:rPr>
          <w:rFonts w:hint="eastAsia" w:ascii="Times New Roman" w:hAnsi="Times New Roman" w:eastAsia="黑体" w:cs="Times New Roman"/>
          <w:sz w:val="18"/>
          <w:szCs w:val="18"/>
          <w:lang w:val="en-US" w:eastAsia="zh-CN"/>
        </w:rPr>
        <w:t xml:space="preserve"> curves</w:t>
      </w:r>
    </w:p>
    <w:tbl>
      <w:tblPr>
        <w:tblStyle w:val="7"/>
        <w:tblW w:w="5000" w:type="pct"/>
        <w:jc w:val="center"/>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2"/>
        <w:gridCol w:w="2840"/>
        <w:gridCol w:w="2840"/>
      </w:tblGrid>
      <w:tr w14:paraId="5BE2362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1667" w:type="pct"/>
            <w:tcBorders>
              <w:top w:val="single" w:color="auto" w:sz="8" w:space="0"/>
              <w:bottom w:val="single" w:color="auto" w:sz="4" w:space="0"/>
            </w:tcBorders>
            <w:noWrap/>
            <w:vAlign w:val="center"/>
          </w:tcPr>
          <w:p w14:paraId="31AAADD6">
            <w:pPr>
              <w:jc w:val="center"/>
              <w:rPr>
                <w:rFonts w:ascii="Times New Roman" w:hAnsi="Times New Roman" w:eastAsia="宋体" w:cs="Times New Roman"/>
                <w:spacing w:val="10"/>
                <w:sz w:val="15"/>
                <w:szCs w:val="15"/>
              </w:rPr>
            </w:pPr>
            <w:r>
              <w:rPr>
                <w:rFonts w:hint="eastAsia" w:ascii="Times New Roman" w:hAnsi="Times New Roman" w:eastAsia="宋体" w:cs="Times New Roman"/>
                <w:spacing w:val="10"/>
                <w:sz w:val="15"/>
                <w:szCs w:val="15"/>
              </w:rPr>
              <w:t>泥沙级配</w:t>
            </w:r>
          </w:p>
        </w:tc>
        <w:tc>
          <w:tcPr>
            <w:tcW w:w="1666" w:type="pct"/>
            <w:tcBorders>
              <w:top w:val="single" w:color="auto" w:sz="8" w:space="0"/>
              <w:bottom w:val="single" w:color="auto" w:sz="4" w:space="0"/>
            </w:tcBorders>
            <w:noWrap/>
            <w:vAlign w:val="center"/>
          </w:tcPr>
          <w:p w14:paraId="7BDBC52D">
            <w:pPr>
              <w:jc w:val="center"/>
              <w:rPr>
                <w:rFonts w:ascii="Times New Roman" w:hAnsi="Times New Roman" w:eastAsia="宋体" w:cs="Times New Roman"/>
                <w:spacing w:val="10"/>
                <w:sz w:val="15"/>
                <w:szCs w:val="15"/>
              </w:rPr>
            </w:pPr>
            <w:r>
              <w:rPr>
                <w:rFonts w:hint="eastAsia" w:ascii="Times New Roman" w:hAnsi="Times New Roman" w:eastAsia="宋体" w:cs="Times New Roman"/>
                <w:spacing w:val="10"/>
                <w:sz w:val="15"/>
                <w:szCs w:val="15"/>
              </w:rPr>
              <w:t>浓度</w:t>
            </w:r>
            <w:r>
              <w:rPr>
                <w:rFonts w:hint="eastAsia" w:ascii="Times New Roman" w:hAnsi="Times New Roman" w:cs="Times New Roman"/>
                <w:i/>
                <w:iCs/>
                <w:kern w:val="0"/>
                <w:szCs w:val="21"/>
              </w:rPr>
              <w:t>/</w:t>
            </w:r>
            <w:r>
              <w:rPr>
                <w:rFonts w:ascii="Times New Roman" w:hAnsi="Times New Roman" w:cs="Times New Roman"/>
                <w:kern w:val="0"/>
                <w:szCs w:val="21"/>
              </w:rPr>
              <w:t>kg·m</w:t>
            </w:r>
            <w:r>
              <w:rPr>
                <w:rFonts w:hint="eastAsia" w:ascii="Times New Roman" w:hAnsi="Times New Roman" w:cs="Times New Roman"/>
                <w:kern w:val="0"/>
                <w:szCs w:val="21"/>
                <w:vertAlign w:val="superscript"/>
              </w:rPr>
              <w:t>-</w:t>
            </w:r>
            <w:r>
              <w:rPr>
                <w:rFonts w:ascii="Times New Roman" w:hAnsi="Times New Roman" w:cs="Times New Roman"/>
                <w:kern w:val="0"/>
                <w:szCs w:val="21"/>
              </w:rPr>
              <w:t>³</w:t>
            </w:r>
          </w:p>
        </w:tc>
        <w:tc>
          <w:tcPr>
            <w:tcW w:w="1666" w:type="pct"/>
            <w:tcBorders>
              <w:top w:val="single" w:color="auto" w:sz="8" w:space="0"/>
              <w:bottom w:val="single" w:color="auto" w:sz="4" w:space="0"/>
            </w:tcBorders>
            <w:noWrap/>
            <w:vAlign w:val="center"/>
          </w:tcPr>
          <w:p w14:paraId="392858C4">
            <w:pPr>
              <w:jc w:val="center"/>
              <w:rPr>
                <w:rFonts w:ascii="Times New Roman" w:hAnsi="Times New Roman" w:eastAsia="宋体" w:cs="Times New Roman"/>
                <w:spacing w:val="10"/>
                <w:sz w:val="15"/>
                <w:szCs w:val="15"/>
              </w:rPr>
            </w:pPr>
            <w:r>
              <w:rPr>
                <w:rFonts w:hint="eastAsia" w:ascii="Times New Roman" w:hAnsi="Times New Roman" w:eastAsia="宋体" w:cs="Times New Roman"/>
                <w:spacing w:val="10"/>
                <w:sz w:val="15"/>
                <w:szCs w:val="15"/>
              </w:rPr>
              <w:t>截除率</w:t>
            </w:r>
            <w:r>
              <w:rPr>
                <w:rFonts w:hint="eastAsia" w:ascii="Times New Roman" w:hAnsi="Times New Roman" w:cs="Times New Roman"/>
                <w:i/>
                <w:iCs/>
                <w:kern w:val="0"/>
                <w:szCs w:val="21"/>
              </w:rPr>
              <w:t>/</w:t>
            </w:r>
            <w:r>
              <w:rPr>
                <w:rFonts w:hint="eastAsia" w:ascii="Times New Roman" w:hAnsi="Times New Roman" w:eastAsia="宋体" w:cs="Times New Roman"/>
                <w:spacing w:val="10"/>
                <w:sz w:val="15"/>
                <w:szCs w:val="15"/>
              </w:rPr>
              <w:t>%</w:t>
            </w:r>
          </w:p>
        </w:tc>
      </w:tr>
      <w:tr w14:paraId="1752FAC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1667" w:type="pct"/>
            <w:vMerge w:val="restart"/>
            <w:tcBorders>
              <w:top w:val="single" w:color="auto" w:sz="4" w:space="0"/>
            </w:tcBorders>
            <w:noWrap/>
            <w:vAlign w:val="center"/>
          </w:tcPr>
          <w:p w14:paraId="1043BBE1">
            <w:pPr>
              <w:jc w:val="center"/>
              <w:rPr>
                <w:rFonts w:ascii="Times New Roman" w:hAnsi="Times New Roman" w:eastAsia="宋体" w:cs="Times New Roman"/>
                <w:spacing w:val="10"/>
                <w:sz w:val="15"/>
                <w:szCs w:val="15"/>
              </w:rPr>
            </w:pPr>
            <w:r>
              <w:rPr>
                <w:rFonts w:hint="eastAsia" w:ascii="Times New Roman" w:hAnsi="Times New Roman" w:eastAsia="宋体" w:cs="Times New Roman"/>
                <w:spacing w:val="10"/>
                <w:sz w:val="15"/>
                <w:szCs w:val="15"/>
              </w:rPr>
              <w:t>1</w:t>
            </w:r>
          </w:p>
        </w:tc>
        <w:tc>
          <w:tcPr>
            <w:tcW w:w="1666" w:type="pct"/>
            <w:tcBorders>
              <w:top w:val="single" w:color="auto" w:sz="4" w:space="0"/>
            </w:tcBorders>
            <w:noWrap/>
            <w:vAlign w:val="center"/>
          </w:tcPr>
          <w:p w14:paraId="118B4E14">
            <w:pPr>
              <w:jc w:val="center"/>
              <w:rPr>
                <w:rFonts w:ascii="Times New Roman" w:hAnsi="Times New Roman" w:eastAsia="宋体" w:cs="Times New Roman"/>
                <w:spacing w:val="10"/>
                <w:sz w:val="15"/>
                <w:szCs w:val="15"/>
              </w:rPr>
            </w:pPr>
            <w:r>
              <w:rPr>
                <w:rFonts w:hint="eastAsia" w:ascii="Times New Roman" w:hAnsi="Times New Roman" w:eastAsia="宋体" w:cs="Times New Roman"/>
                <w:spacing w:val="10"/>
                <w:sz w:val="15"/>
                <w:szCs w:val="15"/>
              </w:rPr>
              <w:t>9.0</w:t>
            </w:r>
          </w:p>
        </w:tc>
        <w:tc>
          <w:tcPr>
            <w:tcW w:w="1666" w:type="pct"/>
            <w:tcBorders>
              <w:top w:val="single" w:color="auto" w:sz="4" w:space="0"/>
            </w:tcBorders>
            <w:noWrap/>
            <w:vAlign w:val="center"/>
          </w:tcPr>
          <w:p w14:paraId="283F169B">
            <w:pPr>
              <w:jc w:val="center"/>
              <w:rPr>
                <w:rFonts w:ascii="Times New Roman" w:hAnsi="Times New Roman" w:eastAsia="宋体" w:cs="Times New Roman"/>
                <w:spacing w:val="10"/>
                <w:sz w:val="15"/>
                <w:szCs w:val="15"/>
              </w:rPr>
            </w:pPr>
            <w:r>
              <w:rPr>
                <w:rFonts w:hint="eastAsia" w:ascii="Times New Roman" w:hAnsi="Times New Roman" w:eastAsia="宋体" w:cs="Times New Roman"/>
                <w:spacing w:val="10"/>
                <w:sz w:val="15"/>
                <w:szCs w:val="15"/>
              </w:rPr>
              <w:t>36.80</w:t>
            </w:r>
          </w:p>
        </w:tc>
      </w:tr>
      <w:tr w14:paraId="6B2CEE9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1667" w:type="pct"/>
            <w:vMerge w:val="continue"/>
            <w:vAlign w:val="center"/>
          </w:tcPr>
          <w:p w14:paraId="656B35D3">
            <w:pPr>
              <w:jc w:val="center"/>
              <w:rPr>
                <w:rFonts w:ascii="Times New Roman" w:hAnsi="Times New Roman" w:eastAsia="宋体" w:cs="Times New Roman"/>
                <w:spacing w:val="10"/>
                <w:sz w:val="15"/>
                <w:szCs w:val="15"/>
              </w:rPr>
            </w:pPr>
          </w:p>
        </w:tc>
        <w:tc>
          <w:tcPr>
            <w:tcW w:w="1666" w:type="pct"/>
            <w:noWrap/>
            <w:vAlign w:val="center"/>
          </w:tcPr>
          <w:p w14:paraId="5CFCCCD2">
            <w:pPr>
              <w:jc w:val="center"/>
              <w:rPr>
                <w:rFonts w:ascii="Times New Roman" w:hAnsi="Times New Roman" w:eastAsia="宋体" w:cs="Times New Roman"/>
                <w:spacing w:val="10"/>
                <w:sz w:val="15"/>
                <w:szCs w:val="15"/>
              </w:rPr>
            </w:pPr>
            <w:r>
              <w:rPr>
                <w:rFonts w:hint="eastAsia" w:ascii="Times New Roman" w:hAnsi="Times New Roman" w:eastAsia="宋体" w:cs="Times New Roman"/>
                <w:spacing w:val="10"/>
                <w:sz w:val="15"/>
                <w:szCs w:val="15"/>
              </w:rPr>
              <w:t>7.2</w:t>
            </w:r>
          </w:p>
        </w:tc>
        <w:tc>
          <w:tcPr>
            <w:tcW w:w="1666" w:type="pct"/>
            <w:noWrap/>
            <w:vAlign w:val="center"/>
          </w:tcPr>
          <w:p w14:paraId="694A8714">
            <w:pPr>
              <w:jc w:val="center"/>
              <w:rPr>
                <w:rFonts w:ascii="Times New Roman" w:hAnsi="Times New Roman" w:eastAsia="宋体" w:cs="Times New Roman"/>
                <w:spacing w:val="10"/>
                <w:sz w:val="15"/>
                <w:szCs w:val="15"/>
              </w:rPr>
            </w:pPr>
            <w:r>
              <w:rPr>
                <w:rFonts w:hint="eastAsia" w:ascii="Times New Roman" w:hAnsi="Times New Roman" w:eastAsia="宋体" w:cs="Times New Roman"/>
                <w:spacing w:val="10"/>
                <w:sz w:val="15"/>
                <w:szCs w:val="15"/>
              </w:rPr>
              <w:t>27.83</w:t>
            </w:r>
          </w:p>
        </w:tc>
      </w:tr>
      <w:tr w14:paraId="4524012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1667" w:type="pct"/>
            <w:vMerge w:val="continue"/>
            <w:vAlign w:val="center"/>
          </w:tcPr>
          <w:p w14:paraId="35CA1F60">
            <w:pPr>
              <w:jc w:val="center"/>
              <w:rPr>
                <w:rFonts w:ascii="Times New Roman" w:hAnsi="Times New Roman" w:eastAsia="宋体" w:cs="Times New Roman"/>
                <w:spacing w:val="10"/>
                <w:sz w:val="15"/>
                <w:szCs w:val="15"/>
              </w:rPr>
            </w:pPr>
          </w:p>
        </w:tc>
        <w:tc>
          <w:tcPr>
            <w:tcW w:w="1666" w:type="pct"/>
            <w:noWrap/>
            <w:vAlign w:val="center"/>
          </w:tcPr>
          <w:p w14:paraId="26227DEB">
            <w:pPr>
              <w:jc w:val="center"/>
              <w:rPr>
                <w:rFonts w:ascii="Times New Roman" w:hAnsi="Times New Roman" w:eastAsia="宋体" w:cs="Times New Roman"/>
                <w:spacing w:val="10"/>
                <w:sz w:val="15"/>
                <w:szCs w:val="15"/>
              </w:rPr>
            </w:pPr>
            <w:r>
              <w:rPr>
                <w:rFonts w:hint="eastAsia" w:ascii="Times New Roman" w:hAnsi="Times New Roman" w:eastAsia="宋体" w:cs="Times New Roman"/>
                <w:spacing w:val="10"/>
                <w:sz w:val="15"/>
                <w:szCs w:val="15"/>
              </w:rPr>
              <w:t>5.4</w:t>
            </w:r>
          </w:p>
        </w:tc>
        <w:tc>
          <w:tcPr>
            <w:tcW w:w="1666" w:type="pct"/>
            <w:noWrap/>
            <w:vAlign w:val="center"/>
          </w:tcPr>
          <w:p w14:paraId="14456442">
            <w:pPr>
              <w:jc w:val="center"/>
              <w:rPr>
                <w:rFonts w:ascii="Times New Roman" w:hAnsi="Times New Roman" w:eastAsia="宋体" w:cs="Times New Roman"/>
                <w:spacing w:val="10"/>
                <w:sz w:val="15"/>
                <w:szCs w:val="15"/>
              </w:rPr>
            </w:pPr>
            <w:r>
              <w:rPr>
                <w:rFonts w:hint="eastAsia" w:ascii="Times New Roman" w:hAnsi="Times New Roman" w:eastAsia="宋体" w:cs="Times New Roman"/>
                <w:spacing w:val="10"/>
                <w:sz w:val="15"/>
                <w:szCs w:val="15"/>
              </w:rPr>
              <w:t>24.44</w:t>
            </w:r>
          </w:p>
        </w:tc>
      </w:tr>
      <w:tr w14:paraId="11172D9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1667" w:type="pct"/>
            <w:vMerge w:val="restart"/>
            <w:noWrap/>
            <w:vAlign w:val="center"/>
          </w:tcPr>
          <w:p w14:paraId="114E2D50">
            <w:pPr>
              <w:jc w:val="center"/>
              <w:rPr>
                <w:rFonts w:ascii="Times New Roman" w:hAnsi="Times New Roman" w:eastAsia="宋体" w:cs="Times New Roman"/>
                <w:spacing w:val="10"/>
                <w:sz w:val="15"/>
                <w:szCs w:val="15"/>
              </w:rPr>
            </w:pPr>
            <w:r>
              <w:rPr>
                <w:rFonts w:hint="eastAsia" w:ascii="Times New Roman" w:hAnsi="Times New Roman" w:eastAsia="宋体" w:cs="Times New Roman"/>
                <w:spacing w:val="10"/>
                <w:sz w:val="15"/>
                <w:szCs w:val="15"/>
              </w:rPr>
              <w:t>2</w:t>
            </w:r>
          </w:p>
        </w:tc>
        <w:tc>
          <w:tcPr>
            <w:tcW w:w="1666" w:type="pct"/>
            <w:noWrap/>
            <w:vAlign w:val="center"/>
          </w:tcPr>
          <w:p w14:paraId="7F2D033E">
            <w:pPr>
              <w:jc w:val="center"/>
              <w:rPr>
                <w:rFonts w:ascii="Times New Roman" w:hAnsi="Times New Roman" w:eastAsia="宋体" w:cs="Times New Roman"/>
                <w:spacing w:val="10"/>
                <w:sz w:val="15"/>
                <w:szCs w:val="15"/>
              </w:rPr>
            </w:pPr>
            <w:r>
              <w:rPr>
                <w:rFonts w:hint="eastAsia" w:ascii="Times New Roman" w:hAnsi="Times New Roman" w:eastAsia="宋体" w:cs="Times New Roman"/>
                <w:spacing w:val="10"/>
                <w:sz w:val="15"/>
                <w:szCs w:val="15"/>
              </w:rPr>
              <w:t>9.0</w:t>
            </w:r>
          </w:p>
        </w:tc>
        <w:tc>
          <w:tcPr>
            <w:tcW w:w="1666" w:type="pct"/>
            <w:noWrap/>
            <w:vAlign w:val="center"/>
          </w:tcPr>
          <w:p w14:paraId="7CE24FAA">
            <w:pPr>
              <w:jc w:val="center"/>
              <w:rPr>
                <w:rFonts w:ascii="Times New Roman" w:hAnsi="Times New Roman" w:eastAsia="宋体" w:cs="Times New Roman"/>
                <w:spacing w:val="10"/>
                <w:sz w:val="15"/>
                <w:szCs w:val="15"/>
              </w:rPr>
            </w:pPr>
            <w:r>
              <w:rPr>
                <w:rFonts w:hint="eastAsia" w:ascii="Times New Roman" w:hAnsi="Times New Roman" w:eastAsia="宋体" w:cs="Times New Roman"/>
                <w:spacing w:val="10"/>
                <w:sz w:val="15"/>
                <w:szCs w:val="15"/>
              </w:rPr>
              <w:t>38.20</w:t>
            </w:r>
          </w:p>
        </w:tc>
      </w:tr>
      <w:tr w14:paraId="496A08B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1667" w:type="pct"/>
            <w:vMerge w:val="continue"/>
            <w:vAlign w:val="center"/>
          </w:tcPr>
          <w:p w14:paraId="413BAA14">
            <w:pPr>
              <w:jc w:val="center"/>
              <w:rPr>
                <w:rFonts w:ascii="Times New Roman" w:hAnsi="Times New Roman" w:eastAsia="宋体" w:cs="Times New Roman"/>
                <w:spacing w:val="10"/>
                <w:sz w:val="15"/>
                <w:szCs w:val="15"/>
              </w:rPr>
            </w:pPr>
          </w:p>
        </w:tc>
        <w:tc>
          <w:tcPr>
            <w:tcW w:w="1666" w:type="pct"/>
            <w:noWrap/>
            <w:vAlign w:val="center"/>
          </w:tcPr>
          <w:p w14:paraId="28F8A705">
            <w:pPr>
              <w:jc w:val="center"/>
              <w:rPr>
                <w:rFonts w:ascii="Times New Roman" w:hAnsi="Times New Roman" w:eastAsia="宋体" w:cs="Times New Roman"/>
                <w:spacing w:val="10"/>
                <w:sz w:val="15"/>
                <w:szCs w:val="15"/>
              </w:rPr>
            </w:pPr>
            <w:r>
              <w:rPr>
                <w:rFonts w:hint="eastAsia" w:ascii="Times New Roman" w:hAnsi="Times New Roman" w:eastAsia="宋体" w:cs="Times New Roman"/>
                <w:spacing w:val="10"/>
                <w:sz w:val="15"/>
                <w:szCs w:val="15"/>
              </w:rPr>
              <w:t>7.2</w:t>
            </w:r>
          </w:p>
        </w:tc>
        <w:tc>
          <w:tcPr>
            <w:tcW w:w="1666" w:type="pct"/>
            <w:noWrap/>
            <w:vAlign w:val="center"/>
          </w:tcPr>
          <w:p w14:paraId="662C37EA">
            <w:pPr>
              <w:jc w:val="center"/>
              <w:rPr>
                <w:rFonts w:ascii="Times New Roman" w:hAnsi="Times New Roman" w:eastAsia="宋体" w:cs="Times New Roman"/>
                <w:spacing w:val="10"/>
                <w:sz w:val="15"/>
                <w:szCs w:val="15"/>
              </w:rPr>
            </w:pPr>
            <w:r>
              <w:rPr>
                <w:rFonts w:hint="eastAsia" w:ascii="Times New Roman" w:hAnsi="Times New Roman" w:eastAsia="宋体" w:cs="Times New Roman"/>
                <w:spacing w:val="10"/>
                <w:sz w:val="15"/>
                <w:szCs w:val="15"/>
              </w:rPr>
              <w:t>30.99</w:t>
            </w:r>
          </w:p>
        </w:tc>
      </w:tr>
      <w:tr w14:paraId="350A767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1667" w:type="pct"/>
            <w:vMerge w:val="continue"/>
            <w:vAlign w:val="center"/>
          </w:tcPr>
          <w:p w14:paraId="03DC2B5F">
            <w:pPr>
              <w:jc w:val="center"/>
              <w:rPr>
                <w:rFonts w:ascii="Times New Roman" w:hAnsi="Times New Roman" w:eastAsia="宋体" w:cs="Times New Roman"/>
                <w:spacing w:val="10"/>
                <w:sz w:val="15"/>
                <w:szCs w:val="15"/>
              </w:rPr>
            </w:pPr>
          </w:p>
        </w:tc>
        <w:tc>
          <w:tcPr>
            <w:tcW w:w="1666" w:type="pct"/>
            <w:noWrap/>
            <w:vAlign w:val="center"/>
          </w:tcPr>
          <w:p w14:paraId="3078906A">
            <w:pPr>
              <w:jc w:val="center"/>
              <w:rPr>
                <w:rFonts w:ascii="Times New Roman" w:hAnsi="Times New Roman" w:eastAsia="宋体" w:cs="Times New Roman"/>
                <w:spacing w:val="10"/>
                <w:sz w:val="15"/>
                <w:szCs w:val="15"/>
              </w:rPr>
            </w:pPr>
            <w:r>
              <w:rPr>
                <w:rFonts w:hint="eastAsia" w:ascii="Times New Roman" w:hAnsi="Times New Roman" w:eastAsia="宋体" w:cs="Times New Roman"/>
                <w:spacing w:val="10"/>
                <w:sz w:val="15"/>
                <w:szCs w:val="15"/>
              </w:rPr>
              <w:t>5.4</w:t>
            </w:r>
          </w:p>
        </w:tc>
        <w:tc>
          <w:tcPr>
            <w:tcW w:w="1666" w:type="pct"/>
            <w:noWrap/>
            <w:vAlign w:val="center"/>
          </w:tcPr>
          <w:p w14:paraId="1C48EF21">
            <w:pPr>
              <w:jc w:val="center"/>
              <w:rPr>
                <w:rFonts w:ascii="Times New Roman" w:hAnsi="Times New Roman" w:eastAsia="宋体" w:cs="Times New Roman"/>
                <w:spacing w:val="10"/>
                <w:sz w:val="15"/>
                <w:szCs w:val="15"/>
              </w:rPr>
            </w:pPr>
            <w:r>
              <w:rPr>
                <w:rFonts w:hint="eastAsia" w:ascii="Times New Roman" w:hAnsi="Times New Roman" w:eastAsia="宋体" w:cs="Times New Roman"/>
                <w:spacing w:val="10"/>
                <w:sz w:val="15"/>
                <w:szCs w:val="15"/>
              </w:rPr>
              <w:t>27.74</w:t>
            </w:r>
          </w:p>
        </w:tc>
      </w:tr>
      <w:bookmarkEnd w:id="13"/>
    </w:tbl>
    <w:p w14:paraId="6D6EA264">
      <w:pPr>
        <w:tabs>
          <w:tab w:val="center" w:pos="4200"/>
          <w:tab w:val="right" w:pos="8400"/>
        </w:tabs>
        <w:snapToGrid w:val="0"/>
        <w:ind w:firstLine="420" w:firstLineChars="200"/>
        <w:rPr>
          <w:rFonts w:ascii="Times New Roman" w:hAnsi="Times New Roman" w:eastAsia="宋体" w:cs="Times New Roman"/>
          <w:szCs w:val="21"/>
        </w:rPr>
      </w:pPr>
      <w:r>
        <w:rPr>
          <w:rFonts w:ascii="Times New Roman" w:hAnsi="Times New Roman" w:eastAsia="宋体" w:cs="Times New Roman"/>
          <w:szCs w:val="21"/>
        </w:rPr>
        <w:t>无量纲直径</w:t>
      </w:r>
      <w:r>
        <w:rPr>
          <w:rFonts w:ascii="Times New Roman" w:hAnsi="Times New Roman" w:eastAsia="宋体" w:cs="Times New Roman"/>
          <w:i/>
          <w:iCs/>
          <w:szCs w:val="21"/>
        </w:rPr>
        <w:t>L</w:t>
      </w:r>
      <w:r>
        <w:rPr>
          <w:rFonts w:ascii="Times New Roman" w:hAnsi="Times New Roman" w:eastAsia="宋体" w:cs="Times New Roman"/>
          <w:szCs w:val="21"/>
        </w:rPr>
        <w:t>的组成变量为漏斗直径</w:t>
      </w:r>
      <w:r>
        <w:rPr>
          <w:rFonts w:ascii="Times New Roman" w:hAnsi="Times New Roman" w:eastAsia="宋体" w:cs="Times New Roman"/>
          <w:i/>
          <w:iCs/>
          <w:szCs w:val="21"/>
        </w:rPr>
        <w:t>D</w:t>
      </w:r>
      <w:r>
        <w:rPr>
          <w:rFonts w:ascii="Times New Roman" w:hAnsi="Times New Roman" w:eastAsia="宋体" w:cs="Times New Roman"/>
          <w:szCs w:val="21"/>
        </w:rPr>
        <w:t>和进流量</w:t>
      </w:r>
      <w:r>
        <w:rPr>
          <w:rFonts w:ascii="Times New Roman" w:hAnsi="Times New Roman" w:eastAsia="宋体" w:cs="Times New Roman"/>
          <w:i/>
          <w:iCs/>
          <w:szCs w:val="21"/>
        </w:rPr>
        <w:t>Q</w:t>
      </w:r>
      <w:r>
        <w:rPr>
          <w:rFonts w:ascii="Times New Roman" w:hAnsi="Times New Roman" w:eastAsia="宋体" w:cs="Times New Roman"/>
          <w:szCs w:val="21"/>
          <w:vertAlign w:val="subscript"/>
        </w:rPr>
        <w:t>w</w:t>
      </w:r>
      <w:r>
        <w:rPr>
          <w:rFonts w:ascii="Times New Roman" w:hAnsi="Times New Roman" w:eastAsia="宋体" w:cs="Times New Roman"/>
          <w:szCs w:val="21"/>
        </w:rPr>
        <w:t>，其计算方法如式（</w:t>
      </w:r>
      <w:r>
        <w:rPr>
          <w:rFonts w:hint="eastAsia" w:ascii="Times New Roman" w:hAnsi="Times New Roman" w:eastAsia="宋体" w:cs="Times New Roman"/>
          <w:szCs w:val="21"/>
        </w:rPr>
        <w:t>7</w:t>
      </w:r>
      <w:r>
        <w:rPr>
          <w:rFonts w:ascii="Times New Roman" w:hAnsi="Times New Roman" w:eastAsia="宋体" w:cs="Times New Roman"/>
          <w:szCs w:val="21"/>
        </w:rPr>
        <w:t>）所示。以</w:t>
      </w:r>
      <w:r>
        <w:rPr>
          <w:rFonts w:ascii="Times New Roman" w:hAnsi="Times New Roman" w:eastAsia="宋体" w:cs="Times New Roman"/>
          <w:i/>
          <w:iCs/>
          <w:szCs w:val="21"/>
        </w:rPr>
        <w:t>L</w:t>
      </w:r>
      <w:r>
        <w:rPr>
          <w:rFonts w:ascii="Times New Roman" w:hAnsi="Times New Roman" w:eastAsia="宋体" w:cs="Times New Roman"/>
          <w:szCs w:val="21"/>
        </w:rPr>
        <w:t>为自变量设计相应的试验方案，试验流量范围为</w:t>
      </w:r>
      <w:r>
        <w:rPr>
          <w:rFonts w:hint="eastAsia" w:ascii="Times New Roman" w:hAnsi="Times New Roman" w:eastAsia="宋体" w:cs="Times New Roman"/>
          <w:szCs w:val="21"/>
        </w:rPr>
        <w:t>5</w:t>
      </w:r>
      <w:r>
        <w:rPr>
          <w:rFonts w:ascii="Times New Roman" w:hAnsi="Times New Roman" w:eastAsia="宋体" w:cs="Times New Roman"/>
          <w:szCs w:val="21"/>
        </w:rPr>
        <w:t xml:space="preserve"> L/s至</w:t>
      </w:r>
      <w:r>
        <w:rPr>
          <w:rFonts w:hint="eastAsia" w:ascii="Times New Roman" w:hAnsi="Times New Roman" w:eastAsia="宋体" w:cs="Times New Roman"/>
          <w:szCs w:val="21"/>
        </w:rPr>
        <w:t>20</w:t>
      </w:r>
      <w:r>
        <w:rPr>
          <w:rFonts w:ascii="Times New Roman" w:hAnsi="Times New Roman" w:eastAsia="宋体" w:cs="Times New Roman"/>
          <w:szCs w:val="21"/>
        </w:rPr>
        <w:t xml:space="preserve"> L/s，对应的原型流量为2</w:t>
      </w:r>
      <w:r>
        <w:rPr>
          <w:rFonts w:hint="eastAsia" w:ascii="Times New Roman" w:hAnsi="Times New Roman" w:eastAsia="宋体" w:cs="Times New Roman"/>
          <w:szCs w:val="21"/>
        </w:rPr>
        <w:t>0.74</w:t>
      </w:r>
      <w:r>
        <w:rPr>
          <w:rFonts w:ascii="Times New Roman" w:hAnsi="Times New Roman" w:eastAsia="宋体" w:cs="Times New Roman"/>
          <w:szCs w:val="21"/>
        </w:rPr>
        <w:t xml:space="preserve"> m³/s至8</w:t>
      </w:r>
      <w:r>
        <w:rPr>
          <w:rFonts w:hint="eastAsia" w:ascii="Times New Roman" w:hAnsi="Times New Roman" w:eastAsia="宋体" w:cs="Times New Roman"/>
          <w:szCs w:val="21"/>
        </w:rPr>
        <w:t>2.97</w:t>
      </w:r>
      <w:r>
        <w:rPr>
          <w:rFonts w:ascii="Times New Roman" w:hAnsi="Times New Roman" w:eastAsia="宋体" w:cs="Times New Roman"/>
          <w:szCs w:val="21"/>
        </w:rPr>
        <w:t xml:space="preserve"> m³/s，</w:t>
      </w:r>
      <w:r>
        <w:rPr>
          <w:rFonts w:ascii="Times New Roman" w:hAnsi="Times New Roman" w:eastAsia="宋体" w:cs="Times New Roman"/>
          <w:i/>
          <w:iCs/>
          <w:szCs w:val="21"/>
        </w:rPr>
        <w:t>L</w:t>
      </w:r>
      <w:r>
        <w:rPr>
          <w:rFonts w:ascii="Times New Roman" w:hAnsi="Times New Roman" w:eastAsia="宋体" w:cs="Times New Roman"/>
          <w:szCs w:val="21"/>
        </w:rPr>
        <w:t>的取值范围为0.00018至0.0007。</w:t>
      </w:r>
      <w:r>
        <w:rPr>
          <w:rFonts w:hint="eastAsia" w:ascii="Times New Roman" w:hAnsi="Times New Roman" w:eastAsia="宋体" w:cs="Times New Roman"/>
          <w:szCs w:val="21"/>
        </w:rPr>
        <w:t>选用级配曲线1所示的模型沙，并在表2的三种不同含沙浓度下分别改变</w:t>
      </w:r>
      <w:r>
        <w:rPr>
          <w:rFonts w:hint="eastAsia" w:ascii="Times New Roman" w:hAnsi="Times New Roman" w:eastAsia="宋体" w:cs="Times New Roman"/>
          <w:i/>
          <w:iCs/>
          <w:szCs w:val="21"/>
        </w:rPr>
        <w:t>L</w:t>
      </w:r>
      <w:r>
        <w:rPr>
          <w:rFonts w:hint="eastAsia" w:ascii="Times New Roman" w:hAnsi="Times New Roman" w:eastAsia="宋体" w:cs="Times New Roman"/>
          <w:szCs w:val="21"/>
        </w:rPr>
        <w:t>并开展试验，试验结果如表3所列。计算公式如下</w:t>
      </w:r>
    </w:p>
    <w:p w14:paraId="4858D242">
      <w:pPr>
        <w:tabs>
          <w:tab w:val="center" w:pos="4200"/>
          <w:tab w:val="right" w:pos="8400"/>
        </w:tabs>
        <w:snapToGrid w:val="0"/>
        <w:spacing w:line="360" w:lineRule="auto"/>
        <w:rPr>
          <w:rFonts w:ascii="Times New Roman" w:hAnsi="Times New Roman" w:eastAsia="宋体" w:cs="Times New Roman"/>
          <w:szCs w:val="21"/>
        </w:rPr>
      </w:pPr>
      <w:r>
        <w:rPr>
          <w:rFonts w:ascii="Times New Roman" w:hAnsi="Times New Roman" w:eastAsia="宋体" w:cs="Times New Roman"/>
          <w:sz w:val="24"/>
        </w:rPr>
        <w:tab/>
      </w:r>
      <w:r>
        <w:rPr>
          <w:rFonts w:ascii="Times New Roman" w:hAnsi="Times New Roman" w:eastAsia="宋体" w:cs="Times New Roman"/>
          <w:position w:val="-28"/>
          <w:sz w:val="24"/>
        </w:rPr>
        <w:object>
          <v:shape id="_x0000_i1031" o:spt="75" type="#_x0000_t75" style="height:33.2pt;width:59.95pt;" o:ole="t" filled="f" o:preferrelative="t" stroked="f" coordsize="21600,21600">
            <v:path/>
            <v:fill on="f" focussize="0,0"/>
            <v:stroke on="f" joinstyle="miter"/>
            <v:imagedata r:id="rId24" o:title=""/>
            <o:lock v:ext="edit" aspectratio="t"/>
            <w10:wrap type="none"/>
            <w10:anchorlock/>
          </v:shape>
          <o:OLEObject Type="Embed" ProgID="Equation.DSMT4" ShapeID="_x0000_i1031" DrawAspect="Content" ObjectID="_1468075731" r:id="rId23">
            <o:LockedField>false</o:LockedField>
          </o:OLEObject>
        </w:object>
      </w:r>
      <w:r>
        <w:rPr>
          <w:rFonts w:ascii="Times New Roman" w:hAnsi="Times New Roman" w:eastAsia="宋体" w:cs="Times New Roman"/>
          <w:sz w:val="24"/>
        </w:rPr>
        <w:tab/>
      </w:r>
      <w:r>
        <w:rPr>
          <w:rFonts w:ascii="Times New Roman" w:hAnsi="Times New Roman" w:eastAsia="宋体" w:cs="Times New Roman"/>
          <w:szCs w:val="21"/>
        </w:rPr>
        <w:t>(</w:t>
      </w:r>
      <w:r>
        <w:rPr>
          <w:rFonts w:hint="eastAsia" w:ascii="Times New Roman" w:hAnsi="Times New Roman" w:eastAsia="宋体" w:cs="Times New Roman"/>
          <w:szCs w:val="21"/>
        </w:rPr>
        <w:t>7</w:t>
      </w:r>
      <w:r>
        <w:rPr>
          <w:rFonts w:ascii="Times New Roman" w:hAnsi="Times New Roman" w:eastAsia="宋体" w:cs="Times New Roman"/>
          <w:szCs w:val="21"/>
        </w:rPr>
        <w:t>)</w:t>
      </w:r>
    </w:p>
    <w:p w14:paraId="1287189A">
      <w:pPr>
        <w:tabs>
          <w:tab w:val="center" w:pos="4200"/>
          <w:tab w:val="right" w:pos="8400"/>
        </w:tabs>
        <w:snapToGrid w:val="0"/>
        <w:rPr>
          <w:rFonts w:ascii="Times New Roman" w:hAnsi="Times New Roman" w:eastAsia="宋体" w:cs="Times New Roman"/>
          <w:szCs w:val="21"/>
        </w:rPr>
      </w:pPr>
      <w:r>
        <w:rPr>
          <w:rFonts w:ascii="Times New Roman" w:hAnsi="Times New Roman" w:eastAsia="宋体" w:cs="Times New Roman"/>
          <w:szCs w:val="21"/>
        </w:rPr>
        <w:t>式中</w:t>
      </w:r>
      <w:r>
        <w:rPr>
          <w:rFonts w:hint="eastAsia" w:ascii="Times New Roman" w:hAnsi="Times New Roman" w:eastAsia="宋体" w:cs="Times New Roman"/>
          <w:szCs w:val="21"/>
        </w:rPr>
        <w:t>，</w:t>
      </w:r>
      <w:r>
        <w:rPr>
          <w:rFonts w:hint="eastAsia" w:ascii="Times New Roman" w:hAnsi="Times New Roman" w:eastAsia="宋体" w:cs="Times New Roman"/>
          <w:i/>
          <w:iCs/>
          <w:szCs w:val="21"/>
        </w:rPr>
        <w:t>Q</w:t>
      </w:r>
      <w:r>
        <w:rPr>
          <w:rFonts w:hint="eastAsia" w:ascii="Times New Roman" w:hAnsi="Times New Roman" w:eastAsia="宋体" w:cs="Times New Roman"/>
          <w:i/>
          <w:iCs/>
          <w:szCs w:val="21"/>
          <w:vertAlign w:val="subscript"/>
        </w:rPr>
        <w:t>w</w:t>
      </w:r>
      <w:r>
        <w:rPr>
          <w:rFonts w:ascii="Times New Roman" w:hAnsi="Times New Roman" w:eastAsia="宋体" w:cs="Times New Roman"/>
          <w:szCs w:val="21"/>
        </w:rPr>
        <w:t>为流量</w:t>
      </w:r>
      <w:r>
        <w:rPr>
          <w:rFonts w:hint="eastAsia" w:ascii="Times New Roman" w:hAnsi="Times New Roman" w:eastAsia="宋体" w:cs="Times New Roman"/>
          <w:szCs w:val="21"/>
        </w:rPr>
        <w:t>（m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/s）；</w:t>
      </w:r>
      <w:r>
        <w:rPr>
          <w:rFonts w:ascii="Times New Roman" w:hAnsi="Times New Roman" w:eastAsia="宋体" w:cs="Times New Roman"/>
          <w:i/>
          <w:iCs/>
          <w:szCs w:val="21"/>
        </w:rPr>
        <w:t>D</w:t>
      </w:r>
      <w:r>
        <w:rPr>
          <w:rFonts w:ascii="Times New Roman" w:hAnsi="Times New Roman" w:eastAsia="宋体" w:cs="Times New Roman"/>
          <w:szCs w:val="21"/>
        </w:rPr>
        <w:t>为漏斗直径</w:t>
      </w:r>
      <w:r>
        <w:rPr>
          <w:rFonts w:hint="eastAsia" w:ascii="Times New Roman" w:hAnsi="Times New Roman" w:eastAsia="宋体" w:cs="Times New Roman"/>
          <w:szCs w:val="21"/>
        </w:rPr>
        <w:t>（m）；</w:t>
      </w:r>
      <w:r>
        <w:rPr>
          <w:rFonts w:ascii="Times New Roman" w:hAnsi="Times New Roman" w:eastAsia="宋体" w:cs="Times New Roman"/>
          <w:i/>
          <w:iCs/>
          <w:szCs w:val="21"/>
        </w:rPr>
        <w:t>g</w:t>
      </w:r>
      <w:r>
        <w:rPr>
          <w:rFonts w:ascii="Times New Roman" w:hAnsi="Times New Roman" w:eastAsia="宋体" w:cs="Times New Roman"/>
          <w:szCs w:val="21"/>
        </w:rPr>
        <w:t>为重力加速度</w:t>
      </w:r>
      <w:r>
        <w:rPr>
          <w:rFonts w:hint="eastAsia" w:ascii="Times New Roman" w:hAnsi="Times New Roman" w:eastAsia="宋体" w:cs="Times New Roman"/>
          <w:szCs w:val="21"/>
        </w:rPr>
        <w:t>（m/s</w:t>
      </w:r>
      <w:r>
        <w:rPr>
          <w:rFonts w:hint="eastAsia" w:ascii="Times New Roman" w:hAnsi="Times New Roman" w:eastAsia="宋体" w:cs="Times New Roman"/>
          <w:szCs w:val="21"/>
          <w:vertAlign w:val="superscript"/>
        </w:rPr>
        <w:t>2</w:t>
      </w:r>
      <w:r>
        <w:rPr>
          <w:rFonts w:hint="eastAsia" w:ascii="Times New Roman" w:hAnsi="Times New Roman" w:eastAsia="宋体" w:cs="Times New Roman"/>
          <w:szCs w:val="21"/>
        </w:rPr>
        <w:t>）。</w:t>
      </w:r>
    </w:p>
    <w:p w14:paraId="63C791A0">
      <w:pPr>
        <w:tabs>
          <w:tab w:val="center" w:pos="4200"/>
          <w:tab w:val="right" w:pos="8400"/>
        </w:tabs>
        <w:snapToGrid w:val="0"/>
        <w:jc w:val="center"/>
        <w:rPr>
          <w:rFonts w:ascii="Times New Roman" w:hAnsi="Times New Roman" w:eastAsia="黑体" w:cs="Times New Roman"/>
          <w:sz w:val="18"/>
          <w:szCs w:val="18"/>
        </w:rPr>
      </w:pPr>
    </w:p>
    <w:p w14:paraId="7A2AA47A">
      <w:pPr>
        <w:tabs>
          <w:tab w:val="center" w:pos="4200"/>
          <w:tab w:val="right" w:pos="8400"/>
        </w:tabs>
        <w:snapToGrid w:val="0"/>
        <w:jc w:val="center"/>
        <w:rPr>
          <w:rFonts w:ascii="Times New Roman" w:hAnsi="Times New Roman" w:eastAsia="黑体" w:cs="Times New Roman"/>
          <w:sz w:val="18"/>
          <w:szCs w:val="18"/>
        </w:rPr>
      </w:pPr>
    </w:p>
    <w:p w14:paraId="50F4D81A">
      <w:pPr>
        <w:tabs>
          <w:tab w:val="center" w:pos="4200"/>
          <w:tab w:val="right" w:pos="8400"/>
        </w:tabs>
        <w:snapToGrid w:val="0"/>
        <w:jc w:val="center"/>
        <w:rPr>
          <w:rFonts w:ascii="Times New Roman" w:hAnsi="Times New Roman" w:eastAsia="黑体" w:cs="Times New Roman"/>
          <w:sz w:val="18"/>
          <w:szCs w:val="18"/>
        </w:rPr>
      </w:pPr>
      <w:r>
        <w:rPr>
          <w:rFonts w:ascii="Times New Roman" w:hAnsi="Times New Roman" w:eastAsia="黑体" w:cs="Times New Roman"/>
          <w:sz w:val="18"/>
          <w:szCs w:val="18"/>
        </w:rPr>
        <w:t>表</w:t>
      </w:r>
      <w:r>
        <w:rPr>
          <w:rFonts w:hint="eastAsia" w:ascii="Times New Roman" w:hAnsi="Times New Roman" w:eastAsia="黑体" w:cs="Times New Roman"/>
          <w:sz w:val="18"/>
          <w:szCs w:val="18"/>
        </w:rPr>
        <w:t>3</w:t>
      </w:r>
      <w:r>
        <w:rPr>
          <w:rFonts w:ascii="Times New Roman" w:hAnsi="Times New Roman" w:eastAsia="黑体" w:cs="Times New Roman"/>
          <w:sz w:val="18"/>
          <w:szCs w:val="18"/>
        </w:rPr>
        <w:t xml:space="preserve"> 不同</w:t>
      </w:r>
      <w:r>
        <w:rPr>
          <w:rFonts w:ascii="Times New Roman" w:hAnsi="Times New Roman" w:eastAsia="黑体" w:cs="Times New Roman"/>
          <w:i/>
          <w:iCs/>
          <w:sz w:val="18"/>
          <w:szCs w:val="18"/>
        </w:rPr>
        <w:t>L</w:t>
      </w:r>
      <w:r>
        <w:rPr>
          <w:rFonts w:ascii="Times New Roman" w:hAnsi="Times New Roman" w:eastAsia="黑体" w:cs="Times New Roman"/>
          <w:sz w:val="18"/>
          <w:szCs w:val="18"/>
        </w:rPr>
        <w:t>及含沙浓度试验结果</w:t>
      </w:r>
    </w:p>
    <w:p w14:paraId="5C1339FB">
      <w:pPr>
        <w:tabs>
          <w:tab w:val="center" w:pos="4200"/>
          <w:tab w:val="right" w:pos="8400"/>
        </w:tabs>
        <w:snapToGrid w:val="0"/>
        <w:jc w:val="center"/>
        <w:rPr>
          <w:rFonts w:ascii="Times New Roman" w:hAnsi="Times New Roman" w:eastAsia="黑体" w:cs="Times New Roman"/>
          <w:sz w:val="18"/>
          <w:szCs w:val="18"/>
        </w:rPr>
      </w:pPr>
      <w:r>
        <w:rPr>
          <w:rFonts w:ascii="Times New Roman" w:hAnsi="Times New Roman" w:eastAsia="黑体" w:cs="Times New Roman"/>
          <w:sz w:val="18"/>
          <w:szCs w:val="18"/>
        </w:rPr>
        <w:t xml:space="preserve">Table 3 Test </w:t>
      </w:r>
      <w:r>
        <w:rPr>
          <w:rFonts w:hint="eastAsia" w:ascii="Times New Roman" w:hAnsi="Times New Roman" w:eastAsia="黑体" w:cs="Times New Roman"/>
          <w:sz w:val="18"/>
          <w:szCs w:val="18"/>
        </w:rPr>
        <w:t>r</w:t>
      </w:r>
      <w:r>
        <w:rPr>
          <w:rFonts w:ascii="Times New Roman" w:hAnsi="Times New Roman" w:eastAsia="黑体" w:cs="Times New Roman"/>
          <w:sz w:val="18"/>
          <w:szCs w:val="18"/>
        </w:rPr>
        <w:t xml:space="preserve">esults for </w:t>
      </w:r>
      <w:r>
        <w:rPr>
          <w:rFonts w:hint="eastAsia" w:ascii="Times New Roman" w:hAnsi="Times New Roman" w:eastAsia="黑体" w:cs="Times New Roman"/>
          <w:sz w:val="18"/>
          <w:szCs w:val="18"/>
        </w:rPr>
        <w:t>d</w:t>
      </w:r>
      <w:r>
        <w:rPr>
          <w:rFonts w:ascii="Times New Roman" w:hAnsi="Times New Roman" w:eastAsia="黑体" w:cs="Times New Roman"/>
          <w:sz w:val="18"/>
          <w:szCs w:val="18"/>
        </w:rPr>
        <w:t xml:space="preserve">ifferent </w:t>
      </w:r>
      <w:r>
        <w:rPr>
          <w:rFonts w:ascii="Times New Roman" w:hAnsi="Times New Roman" w:eastAsia="黑体" w:cs="Times New Roman"/>
          <w:i/>
          <w:iCs/>
          <w:sz w:val="18"/>
          <w:szCs w:val="18"/>
        </w:rPr>
        <w:t>L</w:t>
      </w:r>
      <w:r>
        <w:rPr>
          <w:rFonts w:ascii="Times New Roman" w:hAnsi="Times New Roman" w:eastAsia="黑体" w:cs="Times New Roman"/>
          <w:sz w:val="18"/>
          <w:szCs w:val="18"/>
        </w:rPr>
        <w:t xml:space="preserve"> </w:t>
      </w:r>
      <w:r>
        <w:rPr>
          <w:rFonts w:hint="eastAsia" w:ascii="Times New Roman" w:hAnsi="Times New Roman" w:eastAsia="黑体" w:cs="Times New Roman"/>
          <w:sz w:val="18"/>
          <w:szCs w:val="18"/>
        </w:rPr>
        <w:t>v</w:t>
      </w:r>
      <w:r>
        <w:rPr>
          <w:rFonts w:ascii="Times New Roman" w:hAnsi="Times New Roman" w:eastAsia="黑体" w:cs="Times New Roman"/>
          <w:sz w:val="18"/>
          <w:szCs w:val="18"/>
        </w:rPr>
        <w:t xml:space="preserve">alues and </w:t>
      </w:r>
      <w:r>
        <w:rPr>
          <w:rFonts w:hint="eastAsia" w:ascii="Times New Roman" w:hAnsi="Times New Roman" w:eastAsia="黑体" w:cs="Times New Roman"/>
          <w:sz w:val="18"/>
          <w:szCs w:val="18"/>
        </w:rPr>
        <w:t>s</w:t>
      </w:r>
      <w:r>
        <w:rPr>
          <w:rFonts w:ascii="Times New Roman" w:hAnsi="Times New Roman" w:eastAsia="黑体" w:cs="Times New Roman"/>
          <w:sz w:val="18"/>
          <w:szCs w:val="18"/>
        </w:rPr>
        <w:t xml:space="preserve">ediment </w:t>
      </w:r>
      <w:r>
        <w:rPr>
          <w:rFonts w:hint="eastAsia" w:ascii="Times New Roman" w:hAnsi="Times New Roman" w:eastAsia="黑体" w:cs="Times New Roman"/>
          <w:sz w:val="18"/>
          <w:szCs w:val="18"/>
        </w:rPr>
        <w:t>c</w:t>
      </w:r>
      <w:r>
        <w:rPr>
          <w:rFonts w:ascii="Times New Roman" w:hAnsi="Times New Roman" w:eastAsia="黑体" w:cs="Times New Roman"/>
          <w:sz w:val="18"/>
          <w:szCs w:val="18"/>
        </w:rPr>
        <w:t>oncentrations</w:t>
      </w:r>
    </w:p>
    <w:tbl>
      <w:tblPr>
        <w:tblStyle w:val="7"/>
        <w:tblW w:w="5000" w:type="pct"/>
        <w:tblInd w:w="0" w:type="dxa"/>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91"/>
        <w:gridCol w:w="2248"/>
        <w:gridCol w:w="2091"/>
        <w:gridCol w:w="2092"/>
      </w:tblGrid>
      <w:tr w14:paraId="02BF283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1227" w:type="pct"/>
            <w:tcBorders>
              <w:top w:val="single" w:color="auto" w:sz="8" w:space="0"/>
              <w:bottom w:val="single" w:color="auto" w:sz="4" w:space="0"/>
            </w:tcBorders>
            <w:vAlign w:val="center"/>
          </w:tcPr>
          <w:p w14:paraId="68A43889">
            <w:pPr>
              <w:widowControl/>
              <w:jc w:val="center"/>
              <w:rPr>
                <w:rFonts w:ascii="Times New Roman" w:hAnsi="Times New Roman" w:cs="Times New Roman"/>
                <w:kern w:val="0"/>
                <w:szCs w:val="21"/>
              </w:rPr>
            </w:pPr>
            <w:r>
              <w:rPr>
                <w:rFonts w:ascii="Times New Roman" w:hAnsi="Times New Roman" w:cs="Times New Roman"/>
                <w:i/>
                <w:iCs/>
                <w:kern w:val="0"/>
                <w:szCs w:val="21"/>
              </w:rPr>
              <w:t>S</w:t>
            </w:r>
            <w:r>
              <w:rPr>
                <w:rFonts w:hint="eastAsia" w:ascii="Times New Roman" w:hAnsi="Times New Roman" w:cs="Times New Roman"/>
                <w:kern w:val="0"/>
                <w:szCs w:val="21"/>
              </w:rPr>
              <w:t>/</w:t>
            </w:r>
            <w:r>
              <w:rPr>
                <w:rFonts w:ascii="Times New Roman" w:hAnsi="Times New Roman" w:cs="Times New Roman"/>
                <w:kern w:val="0"/>
                <w:szCs w:val="21"/>
              </w:rPr>
              <w:t>kg·m</w:t>
            </w:r>
            <w:r>
              <w:rPr>
                <w:rFonts w:hint="eastAsia" w:ascii="Times New Roman" w:hAnsi="Times New Roman" w:cs="Times New Roman"/>
                <w:kern w:val="0"/>
                <w:szCs w:val="21"/>
                <w:vertAlign w:val="superscript"/>
              </w:rPr>
              <w:t>-</w:t>
            </w:r>
            <w:r>
              <w:rPr>
                <w:rFonts w:ascii="Times New Roman" w:hAnsi="Times New Roman" w:cs="Times New Roman"/>
                <w:kern w:val="0"/>
                <w:szCs w:val="21"/>
              </w:rPr>
              <w:t>³</w:t>
            </w:r>
          </w:p>
        </w:tc>
        <w:tc>
          <w:tcPr>
            <w:tcW w:w="1319" w:type="pct"/>
            <w:tcBorders>
              <w:top w:val="single" w:color="auto" w:sz="8" w:space="0"/>
              <w:bottom w:val="single" w:color="auto" w:sz="4" w:space="0"/>
            </w:tcBorders>
            <w:vAlign w:val="center"/>
          </w:tcPr>
          <w:p w14:paraId="7F19BE40">
            <w:pPr>
              <w:widowControl/>
              <w:jc w:val="center"/>
              <w:rPr>
                <w:rFonts w:ascii="Times New Roman" w:hAnsi="Times New Roman" w:cs="Times New Roman"/>
                <w:i/>
                <w:iCs/>
                <w:kern w:val="0"/>
                <w:szCs w:val="21"/>
              </w:rPr>
            </w:pPr>
            <w:r>
              <w:rPr>
                <w:rFonts w:ascii="Times New Roman" w:hAnsi="Times New Roman" w:cs="Times New Roman"/>
                <w:i/>
                <w:iCs/>
                <w:kern w:val="0"/>
                <w:szCs w:val="21"/>
              </w:rPr>
              <w:t>L</w:t>
            </w:r>
          </w:p>
        </w:tc>
        <w:tc>
          <w:tcPr>
            <w:tcW w:w="1227" w:type="pct"/>
            <w:tcBorders>
              <w:top w:val="single" w:color="auto" w:sz="8" w:space="0"/>
              <w:bottom w:val="single" w:color="auto" w:sz="4" w:space="0"/>
            </w:tcBorders>
            <w:vAlign w:val="center"/>
          </w:tcPr>
          <w:p w14:paraId="19A49F54">
            <w:pPr>
              <w:widowControl/>
              <w:jc w:val="center"/>
              <w:rPr>
                <w:rFonts w:ascii="Times New Roman" w:hAnsi="Times New Roman" w:cs="Times New Roman"/>
                <w:kern w:val="0"/>
                <w:szCs w:val="21"/>
              </w:rPr>
            </w:pPr>
            <w:r>
              <w:rPr>
                <w:rFonts w:ascii="Times New Roman" w:hAnsi="Times New Roman" w:cs="Times New Roman"/>
                <w:i/>
                <w:iCs/>
                <w:kern w:val="0"/>
                <w:szCs w:val="21"/>
              </w:rPr>
              <w:t>η</w:t>
            </w:r>
            <w:r>
              <w:rPr>
                <w:rFonts w:hint="eastAsia" w:ascii="Times New Roman" w:hAnsi="Times New Roman" w:cs="Times New Roman"/>
                <w:i/>
                <w:iCs/>
                <w:kern w:val="0"/>
                <w:szCs w:val="21"/>
              </w:rPr>
              <w:t>/</w:t>
            </w:r>
            <w:r>
              <w:rPr>
                <w:rFonts w:ascii="Times New Roman" w:hAnsi="Times New Roman" w:cs="Times New Roman"/>
                <w:kern w:val="0"/>
                <w:szCs w:val="21"/>
              </w:rPr>
              <w:t>%</w:t>
            </w:r>
          </w:p>
        </w:tc>
        <w:tc>
          <w:tcPr>
            <w:tcW w:w="1227" w:type="pct"/>
            <w:tcBorders>
              <w:top w:val="single" w:color="auto" w:sz="8" w:space="0"/>
              <w:bottom w:val="single" w:color="auto" w:sz="4" w:space="0"/>
            </w:tcBorders>
            <w:vAlign w:val="center"/>
          </w:tcPr>
          <w:p w14:paraId="5B811994">
            <w:pPr>
              <w:widowControl/>
              <w:jc w:val="center"/>
              <w:rPr>
                <w:rFonts w:ascii="Times New Roman" w:hAnsi="Times New Roman" w:cs="Times New Roman"/>
                <w:kern w:val="0"/>
                <w:szCs w:val="21"/>
              </w:rPr>
            </w:pPr>
            <w:r>
              <w:rPr>
                <w:rFonts w:ascii="Times New Roman" w:hAnsi="Times New Roman" w:cs="Times New Roman"/>
                <w:i/>
                <w:iCs/>
                <w:kern w:val="0"/>
                <w:szCs w:val="21"/>
              </w:rPr>
              <w:t>λ</w:t>
            </w:r>
            <w:r>
              <w:rPr>
                <w:rFonts w:hint="eastAsia" w:ascii="Times New Roman" w:hAnsi="Times New Roman" w:cs="Times New Roman"/>
                <w:i/>
                <w:iCs/>
                <w:kern w:val="0"/>
                <w:szCs w:val="21"/>
              </w:rPr>
              <w:t>/</w:t>
            </w:r>
            <w:r>
              <w:rPr>
                <w:rFonts w:ascii="Times New Roman" w:hAnsi="Times New Roman" w:cs="Times New Roman"/>
                <w:kern w:val="0"/>
                <w:szCs w:val="21"/>
              </w:rPr>
              <w:t>%</w:t>
            </w:r>
          </w:p>
        </w:tc>
      </w:tr>
      <w:tr w14:paraId="10472D54">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1227" w:type="pct"/>
            <w:tcBorders>
              <w:top w:val="single" w:color="auto" w:sz="4" w:space="0"/>
            </w:tcBorders>
            <w:vAlign w:val="center"/>
          </w:tcPr>
          <w:p w14:paraId="7A76C3EF">
            <w:pPr>
              <w:widowControl/>
              <w:jc w:val="center"/>
              <w:rPr>
                <w:rFonts w:ascii="Times New Roman" w:hAnsi="Times New Roman" w:cs="Times New Roman"/>
                <w:kern w:val="0"/>
                <w:szCs w:val="21"/>
              </w:rPr>
            </w:pPr>
            <w:r>
              <w:rPr>
                <w:rFonts w:ascii="Times New Roman" w:hAnsi="Times New Roman" w:cs="Times New Roman"/>
                <w:kern w:val="0"/>
                <w:szCs w:val="21"/>
              </w:rPr>
              <w:t>5.4</w:t>
            </w:r>
          </w:p>
        </w:tc>
        <w:tc>
          <w:tcPr>
            <w:tcW w:w="1319" w:type="pct"/>
            <w:tcBorders>
              <w:top w:val="single" w:color="auto" w:sz="4" w:space="0"/>
            </w:tcBorders>
            <w:vAlign w:val="center"/>
          </w:tcPr>
          <w:p w14:paraId="39478EA1">
            <w:pPr>
              <w:widowControl/>
              <w:jc w:val="center"/>
              <w:rPr>
                <w:rFonts w:ascii="Times New Roman" w:hAnsi="Times New Roman" w:cs="Times New Roman"/>
                <w:kern w:val="0"/>
                <w:szCs w:val="21"/>
              </w:rPr>
            </w:pPr>
            <w:r>
              <w:rPr>
                <w:rFonts w:ascii="Times New Roman" w:hAnsi="Times New Roman" w:cs="Times New Roman"/>
                <w:kern w:val="0"/>
                <w:szCs w:val="21"/>
              </w:rPr>
              <w:t>0.00065</w:t>
            </w:r>
          </w:p>
        </w:tc>
        <w:tc>
          <w:tcPr>
            <w:tcW w:w="1227" w:type="pct"/>
            <w:tcBorders>
              <w:top w:val="single" w:color="auto" w:sz="4" w:space="0"/>
            </w:tcBorders>
            <w:vAlign w:val="center"/>
          </w:tcPr>
          <w:p w14:paraId="09378923">
            <w:pPr>
              <w:widowControl/>
              <w:jc w:val="center"/>
              <w:rPr>
                <w:rFonts w:ascii="Times New Roman" w:hAnsi="Times New Roman" w:cs="Times New Roman"/>
                <w:kern w:val="0"/>
                <w:szCs w:val="21"/>
              </w:rPr>
            </w:pPr>
            <w:r>
              <w:rPr>
                <w:rFonts w:ascii="Times New Roman" w:hAnsi="Times New Roman" w:cs="Times New Roman"/>
                <w:kern w:val="0"/>
                <w:szCs w:val="21"/>
              </w:rPr>
              <w:t>19.5</w:t>
            </w:r>
            <w:r>
              <w:rPr>
                <w:rFonts w:hint="eastAsia" w:ascii="Times New Roman" w:hAnsi="Times New Roman" w:cs="Times New Roman"/>
                <w:kern w:val="0"/>
                <w:szCs w:val="21"/>
              </w:rPr>
              <w:t>0</w:t>
            </w:r>
          </w:p>
        </w:tc>
        <w:tc>
          <w:tcPr>
            <w:tcW w:w="1227" w:type="pct"/>
            <w:tcBorders>
              <w:top w:val="single" w:color="auto" w:sz="4" w:space="0"/>
            </w:tcBorders>
            <w:vAlign w:val="center"/>
          </w:tcPr>
          <w:p w14:paraId="3294C49B">
            <w:pPr>
              <w:widowControl/>
              <w:jc w:val="center"/>
              <w:rPr>
                <w:rFonts w:ascii="Times New Roman" w:hAnsi="Times New Roman" w:cs="Times New Roman"/>
                <w:kern w:val="0"/>
                <w:szCs w:val="21"/>
              </w:rPr>
            </w:pPr>
            <w:r>
              <w:rPr>
                <w:rFonts w:ascii="Times New Roman" w:hAnsi="Times New Roman" w:cs="Times New Roman"/>
                <w:kern w:val="0"/>
                <w:szCs w:val="21"/>
              </w:rPr>
              <w:t>7.12</w:t>
            </w:r>
          </w:p>
        </w:tc>
      </w:tr>
      <w:tr w14:paraId="392817C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1227" w:type="pct"/>
            <w:vAlign w:val="center"/>
          </w:tcPr>
          <w:p w14:paraId="15A299C7">
            <w:pPr>
              <w:widowControl/>
              <w:jc w:val="center"/>
              <w:rPr>
                <w:rFonts w:ascii="Times New Roman" w:hAnsi="Times New Roman" w:cs="Times New Roman"/>
                <w:kern w:val="0"/>
                <w:szCs w:val="21"/>
              </w:rPr>
            </w:pPr>
            <w:r>
              <w:rPr>
                <w:rFonts w:ascii="Times New Roman" w:hAnsi="Times New Roman" w:cs="Times New Roman"/>
                <w:kern w:val="0"/>
                <w:szCs w:val="21"/>
              </w:rPr>
              <w:t>7.2</w:t>
            </w:r>
          </w:p>
        </w:tc>
        <w:tc>
          <w:tcPr>
            <w:tcW w:w="1319" w:type="pct"/>
            <w:vAlign w:val="center"/>
          </w:tcPr>
          <w:p w14:paraId="19F22BDB">
            <w:pPr>
              <w:widowControl/>
              <w:jc w:val="center"/>
              <w:rPr>
                <w:rFonts w:ascii="Times New Roman" w:hAnsi="Times New Roman" w:cs="Times New Roman"/>
                <w:kern w:val="0"/>
                <w:szCs w:val="21"/>
              </w:rPr>
            </w:pPr>
            <w:r>
              <w:rPr>
                <w:rFonts w:ascii="Times New Roman" w:hAnsi="Times New Roman" w:cs="Times New Roman"/>
                <w:kern w:val="0"/>
                <w:szCs w:val="21"/>
              </w:rPr>
              <w:t>0.00065</w:t>
            </w:r>
          </w:p>
        </w:tc>
        <w:tc>
          <w:tcPr>
            <w:tcW w:w="1227" w:type="pct"/>
            <w:vAlign w:val="center"/>
          </w:tcPr>
          <w:p w14:paraId="7A892BC0">
            <w:pPr>
              <w:widowControl/>
              <w:jc w:val="center"/>
              <w:rPr>
                <w:rFonts w:ascii="Times New Roman" w:hAnsi="Times New Roman" w:cs="Times New Roman"/>
                <w:kern w:val="0"/>
                <w:szCs w:val="21"/>
              </w:rPr>
            </w:pPr>
            <w:r>
              <w:rPr>
                <w:rFonts w:ascii="Times New Roman" w:hAnsi="Times New Roman" w:cs="Times New Roman"/>
                <w:kern w:val="0"/>
                <w:szCs w:val="21"/>
              </w:rPr>
              <w:t>22.8</w:t>
            </w:r>
            <w:r>
              <w:rPr>
                <w:rFonts w:hint="eastAsia" w:ascii="Times New Roman" w:hAnsi="Times New Roman" w:cs="Times New Roman"/>
                <w:kern w:val="0"/>
                <w:szCs w:val="21"/>
              </w:rPr>
              <w:t>0</w:t>
            </w:r>
          </w:p>
        </w:tc>
        <w:tc>
          <w:tcPr>
            <w:tcW w:w="1227" w:type="pct"/>
            <w:vAlign w:val="center"/>
          </w:tcPr>
          <w:p w14:paraId="7B60519E">
            <w:pPr>
              <w:widowControl/>
              <w:jc w:val="center"/>
              <w:rPr>
                <w:rFonts w:ascii="Times New Roman" w:hAnsi="Times New Roman" w:cs="Times New Roman"/>
                <w:kern w:val="0"/>
                <w:szCs w:val="21"/>
              </w:rPr>
            </w:pPr>
            <w:r>
              <w:rPr>
                <w:rFonts w:ascii="Times New Roman" w:hAnsi="Times New Roman" w:cs="Times New Roman"/>
                <w:kern w:val="0"/>
                <w:szCs w:val="21"/>
              </w:rPr>
              <w:t>7.12</w:t>
            </w:r>
          </w:p>
        </w:tc>
      </w:tr>
      <w:tr w14:paraId="3124968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1227" w:type="pct"/>
            <w:vAlign w:val="center"/>
          </w:tcPr>
          <w:p w14:paraId="52241C9B">
            <w:pPr>
              <w:widowControl/>
              <w:jc w:val="center"/>
              <w:rPr>
                <w:rFonts w:ascii="Times New Roman" w:hAnsi="Times New Roman" w:cs="Times New Roman"/>
                <w:kern w:val="0"/>
                <w:szCs w:val="21"/>
              </w:rPr>
            </w:pPr>
            <w:r>
              <w:rPr>
                <w:rFonts w:ascii="Times New Roman" w:hAnsi="Times New Roman" w:cs="Times New Roman"/>
                <w:kern w:val="0"/>
                <w:szCs w:val="21"/>
              </w:rPr>
              <w:t>9</w:t>
            </w:r>
            <w:r>
              <w:rPr>
                <w:rFonts w:hint="eastAsia" w:ascii="Times New Roman" w:hAnsi="Times New Roman" w:cs="Times New Roman"/>
                <w:kern w:val="0"/>
                <w:szCs w:val="21"/>
              </w:rPr>
              <w:t>.0</w:t>
            </w:r>
          </w:p>
        </w:tc>
        <w:tc>
          <w:tcPr>
            <w:tcW w:w="1319" w:type="pct"/>
            <w:vAlign w:val="center"/>
          </w:tcPr>
          <w:p w14:paraId="4E6A49D0">
            <w:pPr>
              <w:widowControl/>
              <w:jc w:val="center"/>
              <w:rPr>
                <w:rFonts w:ascii="Times New Roman" w:hAnsi="Times New Roman" w:cs="Times New Roman"/>
                <w:kern w:val="0"/>
                <w:szCs w:val="21"/>
              </w:rPr>
            </w:pPr>
            <w:r>
              <w:rPr>
                <w:rFonts w:ascii="Times New Roman" w:hAnsi="Times New Roman" w:cs="Times New Roman"/>
                <w:kern w:val="0"/>
                <w:szCs w:val="21"/>
              </w:rPr>
              <w:t>0.00065</w:t>
            </w:r>
          </w:p>
        </w:tc>
        <w:tc>
          <w:tcPr>
            <w:tcW w:w="1227" w:type="pct"/>
            <w:vAlign w:val="center"/>
          </w:tcPr>
          <w:p w14:paraId="5E9E92CB">
            <w:pPr>
              <w:widowControl/>
              <w:jc w:val="center"/>
              <w:rPr>
                <w:rFonts w:ascii="Times New Roman" w:hAnsi="Times New Roman" w:cs="Times New Roman"/>
                <w:kern w:val="0"/>
                <w:szCs w:val="21"/>
              </w:rPr>
            </w:pPr>
            <w:r>
              <w:rPr>
                <w:rFonts w:ascii="Times New Roman" w:hAnsi="Times New Roman" w:cs="Times New Roman"/>
                <w:kern w:val="0"/>
                <w:szCs w:val="21"/>
              </w:rPr>
              <w:t>27.5</w:t>
            </w:r>
            <w:r>
              <w:rPr>
                <w:rFonts w:hint="eastAsia" w:ascii="Times New Roman" w:hAnsi="Times New Roman" w:cs="Times New Roman"/>
                <w:kern w:val="0"/>
                <w:szCs w:val="21"/>
              </w:rPr>
              <w:t>0</w:t>
            </w:r>
          </w:p>
        </w:tc>
        <w:tc>
          <w:tcPr>
            <w:tcW w:w="1227" w:type="pct"/>
            <w:vAlign w:val="center"/>
          </w:tcPr>
          <w:p w14:paraId="0472549C">
            <w:pPr>
              <w:widowControl/>
              <w:jc w:val="center"/>
              <w:rPr>
                <w:rFonts w:ascii="Times New Roman" w:hAnsi="Times New Roman" w:cs="Times New Roman"/>
                <w:kern w:val="0"/>
                <w:szCs w:val="21"/>
              </w:rPr>
            </w:pPr>
            <w:r>
              <w:rPr>
                <w:rFonts w:ascii="Times New Roman" w:hAnsi="Times New Roman" w:cs="Times New Roman"/>
                <w:kern w:val="0"/>
                <w:szCs w:val="21"/>
              </w:rPr>
              <w:t>7.12</w:t>
            </w:r>
          </w:p>
        </w:tc>
      </w:tr>
      <w:tr w14:paraId="1302F83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1227" w:type="pct"/>
            <w:vAlign w:val="center"/>
          </w:tcPr>
          <w:p w14:paraId="63AE7E52">
            <w:pPr>
              <w:widowControl/>
              <w:jc w:val="center"/>
              <w:rPr>
                <w:rFonts w:ascii="Times New Roman" w:hAnsi="Times New Roman" w:cs="Times New Roman"/>
                <w:kern w:val="0"/>
                <w:szCs w:val="21"/>
              </w:rPr>
            </w:pPr>
            <w:r>
              <w:rPr>
                <w:rFonts w:ascii="Times New Roman" w:hAnsi="Times New Roman" w:cs="Times New Roman"/>
                <w:kern w:val="0"/>
                <w:szCs w:val="21"/>
              </w:rPr>
              <w:t>5.4</w:t>
            </w:r>
          </w:p>
        </w:tc>
        <w:tc>
          <w:tcPr>
            <w:tcW w:w="1319" w:type="pct"/>
            <w:vAlign w:val="center"/>
          </w:tcPr>
          <w:p w14:paraId="3830F71E">
            <w:pPr>
              <w:widowControl/>
              <w:jc w:val="center"/>
              <w:rPr>
                <w:rFonts w:ascii="Times New Roman" w:hAnsi="Times New Roman" w:cs="Times New Roman"/>
                <w:kern w:val="0"/>
                <w:szCs w:val="21"/>
              </w:rPr>
            </w:pPr>
            <w:r>
              <w:rPr>
                <w:rFonts w:ascii="Times New Roman" w:hAnsi="Times New Roman" w:cs="Times New Roman"/>
                <w:kern w:val="0"/>
                <w:szCs w:val="21"/>
              </w:rPr>
              <w:t>0.00049</w:t>
            </w:r>
          </w:p>
        </w:tc>
        <w:tc>
          <w:tcPr>
            <w:tcW w:w="1227" w:type="pct"/>
            <w:vAlign w:val="center"/>
          </w:tcPr>
          <w:p w14:paraId="4984FFE2">
            <w:pPr>
              <w:widowControl/>
              <w:jc w:val="center"/>
              <w:rPr>
                <w:rFonts w:ascii="Times New Roman" w:hAnsi="Times New Roman" w:cs="Times New Roman"/>
                <w:kern w:val="0"/>
                <w:szCs w:val="21"/>
              </w:rPr>
            </w:pPr>
            <w:r>
              <w:rPr>
                <w:rFonts w:ascii="Times New Roman" w:hAnsi="Times New Roman" w:cs="Times New Roman"/>
                <w:kern w:val="0"/>
                <w:szCs w:val="21"/>
              </w:rPr>
              <w:t>24.44</w:t>
            </w:r>
          </w:p>
        </w:tc>
        <w:tc>
          <w:tcPr>
            <w:tcW w:w="1227" w:type="pct"/>
            <w:vAlign w:val="center"/>
          </w:tcPr>
          <w:p w14:paraId="0E594D9B">
            <w:pPr>
              <w:widowControl/>
              <w:jc w:val="center"/>
              <w:rPr>
                <w:rFonts w:ascii="Times New Roman" w:hAnsi="Times New Roman" w:cs="Times New Roman"/>
                <w:kern w:val="0"/>
                <w:szCs w:val="21"/>
              </w:rPr>
            </w:pPr>
            <w:r>
              <w:rPr>
                <w:rFonts w:ascii="Times New Roman" w:hAnsi="Times New Roman" w:cs="Times New Roman"/>
                <w:kern w:val="0"/>
                <w:szCs w:val="21"/>
              </w:rPr>
              <w:t>10.58</w:t>
            </w:r>
          </w:p>
        </w:tc>
      </w:tr>
      <w:tr w14:paraId="3FC4F21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1227" w:type="pct"/>
            <w:vAlign w:val="center"/>
          </w:tcPr>
          <w:p w14:paraId="73FA408E">
            <w:pPr>
              <w:widowControl/>
              <w:jc w:val="center"/>
              <w:rPr>
                <w:rFonts w:ascii="Times New Roman" w:hAnsi="Times New Roman" w:cs="Times New Roman"/>
                <w:kern w:val="0"/>
                <w:szCs w:val="21"/>
              </w:rPr>
            </w:pPr>
            <w:r>
              <w:rPr>
                <w:rFonts w:ascii="Times New Roman" w:hAnsi="Times New Roman" w:cs="Times New Roman"/>
                <w:kern w:val="0"/>
                <w:szCs w:val="21"/>
              </w:rPr>
              <w:t>7.2</w:t>
            </w:r>
          </w:p>
        </w:tc>
        <w:tc>
          <w:tcPr>
            <w:tcW w:w="1319" w:type="pct"/>
            <w:vAlign w:val="center"/>
          </w:tcPr>
          <w:p w14:paraId="628B8637">
            <w:pPr>
              <w:widowControl/>
              <w:jc w:val="center"/>
              <w:rPr>
                <w:rFonts w:ascii="Times New Roman" w:hAnsi="Times New Roman" w:cs="Times New Roman"/>
                <w:kern w:val="0"/>
                <w:szCs w:val="21"/>
              </w:rPr>
            </w:pPr>
            <w:r>
              <w:rPr>
                <w:rFonts w:ascii="Times New Roman" w:hAnsi="Times New Roman" w:cs="Times New Roman"/>
                <w:kern w:val="0"/>
                <w:szCs w:val="21"/>
              </w:rPr>
              <w:t>0.00049</w:t>
            </w:r>
          </w:p>
        </w:tc>
        <w:tc>
          <w:tcPr>
            <w:tcW w:w="1227" w:type="pct"/>
            <w:vAlign w:val="center"/>
          </w:tcPr>
          <w:p w14:paraId="1DA8C4EC">
            <w:pPr>
              <w:widowControl/>
              <w:jc w:val="center"/>
              <w:rPr>
                <w:rFonts w:ascii="Times New Roman" w:hAnsi="Times New Roman" w:cs="Times New Roman"/>
                <w:kern w:val="0"/>
                <w:szCs w:val="21"/>
              </w:rPr>
            </w:pPr>
            <w:r>
              <w:rPr>
                <w:rFonts w:ascii="Times New Roman" w:hAnsi="Times New Roman" w:cs="Times New Roman"/>
                <w:kern w:val="0"/>
                <w:szCs w:val="21"/>
              </w:rPr>
              <w:t>27.83</w:t>
            </w:r>
          </w:p>
        </w:tc>
        <w:tc>
          <w:tcPr>
            <w:tcW w:w="1227" w:type="pct"/>
            <w:vAlign w:val="center"/>
          </w:tcPr>
          <w:p w14:paraId="6E975C83">
            <w:pPr>
              <w:widowControl/>
              <w:jc w:val="center"/>
              <w:rPr>
                <w:rFonts w:ascii="Times New Roman" w:hAnsi="Times New Roman" w:cs="Times New Roman"/>
                <w:kern w:val="0"/>
                <w:szCs w:val="21"/>
              </w:rPr>
            </w:pPr>
            <w:r>
              <w:rPr>
                <w:rFonts w:ascii="Times New Roman" w:hAnsi="Times New Roman" w:cs="Times New Roman"/>
                <w:kern w:val="0"/>
                <w:szCs w:val="21"/>
              </w:rPr>
              <w:t>10.58</w:t>
            </w:r>
          </w:p>
        </w:tc>
      </w:tr>
      <w:tr w14:paraId="6C70BE2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1227" w:type="pct"/>
            <w:vAlign w:val="center"/>
          </w:tcPr>
          <w:p w14:paraId="01876659">
            <w:pPr>
              <w:widowControl/>
              <w:jc w:val="center"/>
              <w:rPr>
                <w:rFonts w:ascii="Times New Roman" w:hAnsi="Times New Roman" w:cs="Times New Roman"/>
                <w:kern w:val="0"/>
                <w:szCs w:val="21"/>
              </w:rPr>
            </w:pPr>
            <w:r>
              <w:rPr>
                <w:rFonts w:ascii="Times New Roman" w:hAnsi="Times New Roman" w:cs="Times New Roman"/>
                <w:kern w:val="0"/>
                <w:szCs w:val="21"/>
              </w:rPr>
              <w:t>9</w:t>
            </w:r>
            <w:r>
              <w:rPr>
                <w:rFonts w:hint="eastAsia" w:ascii="Times New Roman" w:hAnsi="Times New Roman" w:cs="Times New Roman"/>
                <w:kern w:val="0"/>
                <w:szCs w:val="21"/>
              </w:rPr>
              <w:t>.0</w:t>
            </w:r>
          </w:p>
        </w:tc>
        <w:tc>
          <w:tcPr>
            <w:tcW w:w="1319" w:type="pct"/>
            <w:vAlign w:val="center"/>
          </w:tcPr>
          <w:p w14:paraId="426E1496">
            <w:pPr>
              <w:widowControl/>
              <w:jc w:val="center"/>
              <w:rPr>
                <w:rFonts w:ascii="Times New Roman" w:hAnsi="Times New Roman" w:cs="Times New Roman"/>
                <w:kern w:val="0"/>
                <w:szCs w:val="21"/>
              </w:rPr>
            </w:pPr>
            <w:r>
              <w:rPr>
                <w:rFonts w:ascii="Times New Roman" w:hAnsi="Times New Roman" w:cs="Times New Roman"/>
                <w:kern w:val="0"/>
                <w:szCs w:val="21"/>
              </w:rPr>
              <w:t>0.00049</w:t>
            </w:r>
          </w:p>
        </w:tc>
        <w:tc>
          <w:tcPr>
            <w:tcW w:w="1227" w:type="pct"/>
            <w:vAlign w:val="center"/>
          </w:tcPr>
          <w:p w14:paraId="14189770">
            <w:pPr>
              <w:widowControl/>
              <w:jc w:val="center"/>
              <w:rPr>
                <w:rFonts w:ascii="Times New Roman" w:hAnsi="Times New Roman" w:cs="Times New Roman"/>
                <w:kern w:val="0"/>
                <w:szCs w:val="21"/>
              </w:rPr>
            </w:pPr>
            <w:r>
              <w:rPr>
                <w:rFonts w:ascii="Times New Roman" w:hAnsi="Times New Roman" w:cs="Times New Roman"/>
                <w:kern w:val="0"/>
                <w:szCs w:val="21"/>
              </w:rPr>
              <w:t>36.8</w:t>
            </w:r>
            <w:r>
              <w:rPr>
                <w:rFonts w:hint="eastAsia" w:ascii="Times New Roman" w:hAnsi="Times New Roman" w:cs="Times New Roman"/>
                <w:kern w:val="0"/>
                <w:szCs w:val="21"/>
              </w:rPr>
              <w:t>0</w:t>
            </w:r>
          </w:p>
        </w:tc>
        <w:tc>
          <w:tcPr>
            <w:tcW w:w="1227" w:type="pct"/>
            <w:vAlign w:val="center"/>
          </w:tcPr>
          <w:p w14:paraId="0E765392">
            <w:pPr>
              <w:widowControl/>
              <w:jc w:val="center"/>
              <w:rPr>
                <w:rFonts w:ascii="Times New Roman" w:hAnsi="Times New Roman" w:cs="Times New Roman"/>
                <w:kern w:val="0"/>
                <w:szCs w:val="21"/>
              </w:rPr>
            </w:pPr>
            <w:r>
              <w:rPr>
                <w:rFonts w:ascii="Times New Roman" w:hAnsi="Times New Roman" w:cs="Times New Roman"/>
                <w:kern w:val="0"/>
                <w:szCs w:val="21"/>
              </w:rPr>
              <w:t>10.58</w:t>
            </w:r>
          </w:p>
        </w:tc>
      </w:tr>
      <w:tr w14:paraId="6C6DF42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1227" w:type="pct"/>
            <w:vAlign w:val="center"/>
          </w:tcPr>
          <w:p w14:paraId="3C3B2419">
            <w:pPr>
              <w:widowControl/>
              <w:jc w:val="center"/>
              <w:rPr>
                <w:rFonts w:ascii="Times New Roman" w:hAnsi="Times New Roman" w:cs="Times New Roman"/>
                <w:kern w:val="0"/>
                <w:szCs w:val="21"/>
              </w:rPr>
            </w:pPr>
            <w:r>
              <w:rPr>
                <w:rFonts w:ascii="Times New Roman" w:hAnsi="Times New Roman" w:cs="Times New Roman"/>
                <w:kern w:val="0"/>
                <w:szCs w:val="21"/>
              </w:rPr>
              <w:t>5.4</w:t>
            </w:r>
          </w:p>
        </w:tc>
        <w:tc>
          <w:tcPr>
            <w:tcW w:w="1319" w:type="pct"/>
            <w:vAlign w:val="center"/>
          </w:tcPr>
          <w:p w14:paraId="43E4B5C3">
            <w:pPr>
              <w:widowControl/>
              <w:jc w:val="center"/>
              <w:rPr>
                <w:rFonts w:ascii="Times New Roman" w:hAnsi="Times New Roman" w:cs="Times New Roman"/>
                <w:kern w:val="0"/>
                <w:szCs w:val="21"/>
              </w:rPr>
            </w:pPr>
            <w:r>
              <w:rPr>
                <w:rFonts w:ascii="Times New Roman" w:hAnsi="Times New Roman" w:cs="Times New Roman"/>
                <w:kern w:val="0"/>
                <w:szCs w:val="21"/>
              </w:rPr>
              <w:t>0.00031</w:t>
            </w:r>
          </w:p>
        </w:tc>
        <w:tc>
          <w:tcPr>
            <w:tcW w:w="1227" w:type="pct"/>
            <w:vAlign w:val="center"/>
          </w:tcPr>
          <w:p w14:paraId="381DDC26">
            <w:pPr>
              <w:widowControl/>
              <w:jc w:val="center"/>
              <w:rPr>
                <w:rFonts w:ascii="Times New Roman" w:hAnsi="Times New Roman" w:cs="Times New Roman"/>
                <w:kern w:val="0"/>
                <w:szCs w:val="21"/>
              </w:rPr>
            </w:pPr>
            <w:r>
              <w:rPr>
                <w:rFonts w:ascii="Times New Roman" w:hAnsi="Times New Roman" w:cs="Times New Roman"/>
                <w:kern w:val="0"/>
                <w:szCs w:val="21"/>
              </w:rPr>
              <w:t>23.6</w:t>
            </w:r>
            <w:r>
              <w:rPr>
                <w:rFonts w:hint="eastAsia" w:ascii="Times New Roman" w:hAnsi="Times New Roman" w:cs="Times New Roman"/>
                <w:kern w:val="0"/>
                <w:szCs w:val="21"/>
              </w:rPr>
              <w:t>0</w:t>
            </w:r>
          </w:p>
        </w:tc>
        <w:tc>
          <w:tcPr>
            <w:tcW w:w="1227" w:type="pct"/>
            <w:vAlign w:val="center"/>
          </w:tcPr>
          <w:p w14:paraId="6C935D44">
            <w:pPr>
              <w:widowControl/>
              <w:jc w:val="center"/>
              <w:rPr>
                <w:rFonts w:ascii="Times New Roman" w:hAnsi="Times New Roman" w:cs="Times New Roman"/>
                <w:kern w:val="0"/>
                <w:szCs w:val="21"/>
              </w:rPr>
            </w:pPr>
            <w:r>
              <w:rPr>
                <w:rFonts w:ascii="Times New Roman" w:hAnsi="Times New Roman" w:cs="Times New Roman"/>
                <w:kern w:val="0"/>
                <w:szCs w:val="21"/>
              </w:rPr>
              <w:t>13.3</w:t>
            </w:r>
            <w:r>
              <w:rPr>
                <w:rFonts w:hint="eastAsia" w:ascii="Times New Roman" w:hAnsi="Times New Roman" w:cs="Times New Roman"/>
                <w:kern w:val="0"/>
                <w:szCs w:val="21"/>
              </w:rPr>
              <w:t>0</w:t>
            </w:r>
          </w:p>
        </w:tc>
      </w:tr>
      <w:tr w14:paraId="10344FAD">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1227" w:type="pct"/>
            <w:vAlign w:val="center"/>
          </w:tcPr>
          <w:p w14:paraId="513BB50F">
            <w:pPr>
              <w:widowControl/>
              <w:jc w:val="center"/>
              <w:rPr>
                <w:rFonts w:ascii="Times New Roman" w:hAnsi="Times New Roman" w:cs="Times New Roman"/>
                <w:kern w:val="0"/>
                <w:szCs w:val="21"/>
              </w:rPr>
            </w:pPr>
            <w:r>
              <w:rPr>
                <w:rFonts w:ascii="Times New Roman" w:hAnsi="Times New Roman" w:cs="Times New Roman"/>
                <w:kern w:val="0"/>
                <w:szCs w:val="21"/>
              </w:rPr>
              <w:t>7.2</w:t>
            </w:r>
          </w:p>
        </w:tc>
        <w:tc>
          <w:tcPr>
            <w:tcW w:w="1319" w:type="pct"/>
            <w:vAlign w:val="center"/>
          </w:tcPr>
          <w:p w14:paraId="7A9DF243">
            <w:pPr>
              <w:widowControl/>
              <w:jc w:val="center"/>
              <w:rPr>
                <w:rFonts w:ascii="Times New Roman" w:hAnsi="Times New Roman" w:cs="Times New Roman"/>
                <w:kern w:val="0"/>
                <w:szCs w:val="21"/>
              </w:rPr>
            </w:pPr>
            <w:r>
              <w:rPr>
                <w:rFonts w:ascii="Times New Roman" w:hAnsi="Times New Roman" w:cs="Times New Roman"/>
                <w:kern w:val="0"/>
                <w:szCs w:val="21"/>
              </w:rPr>
              <w:t>0.00031</w:t>
            </w:r>
          </w:p>
        </w:tc>
        <w:tc>
          <w:tcPr>
            <w:tcW w:w="1227" w:type="pct"/>
            <w:vAlign w:val="center"/>
          </w:tcPr>
          <w:p w14:paraId="1863F12C">
            <w:pPr>
              <w:widowControl/>
              <w:jc w:val="center"/>
              <w:rPr>
                <w:rFonts w:ascii="Times New Roman" w:hAnsi="Times New Roman" w:cs="Times New Roman"/>
                <w:kern w:val="0"/>
                <w:szCs w:val="21"/>
              </w:rPr>
            </w:pPr>
            <w:r>
              <w:rPr>
                <w:rFonts w:ascii="Times New Roman" w:hAnsi="Times New Roman" w:cs="Times New Roman"/>
                <w:kern w:val="0"/>
                <w:szCs w:val="21"/>
              </w:rPr>
              <w:t>31.8</w:t>
            </w:r>
            <w:r>
              <w:rPr>
                <w:rFonts w:hint="eastAsia" w:ascii="Times New Roman" w:hAnsi="Times New Roman" w:cs="Times New Roman"/>
                <w:kern w:val="0"/>
                <w:szCs w:val="21"/>
              </w:rPr>
              <w:t>0</w:t>
            </w:r>
          </w:p>
        </w:tc>
        <w:tc>
          <w:tcPr>
            <w:tcW w:w="1227" w:type="pct"/>
            <w:vAlign w:val="center"/>
          </w:tcPr>
          <w:p w14:paraId="4D27F023">
            <w:pPr>
              <w:widowControl/>
              <w:jc w:val="center"/>
              <w:rPr>
                <w:rFonts w:ascii="Times New Roman" w:hAnsi="Times New Roman" w:cs="Times New Roman"/>
                <w:kern w:val="0"/>
                <w:szCs w:val="21"/>
              </w:rPr>
            </w:pPr>
            <w:r>
              <w:rPr>
                <w:rFonts w:ascii="Times New Roman" w:hAnsi="Times New Roman" w:cs="Times New Roman"/>
                <w:kern w:val="0"/>
                <w:szCs w:val="21"/>
              </w:rPr>
              <w:t>13.3</w:t>
            </w:r>
            <w:r>
              <w:rPr>
                <w:rFonts w:hint="eastAsia" w:ascii="Times New Roman" w:hAnsi="Times New Roman" w:cs="Times New Roman"/>
                <w:kern w:val="0"/>
                <w:szCs w:val="21"/>
              </w:rPr>
              <w:t>0</w:t>
            </w:r>
          </w:p>
        </w:tc>
      </w:tr>
      <w:tr w14:paraId="7F851C7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1227" w:type="pct"/>
            <w:vAlign w:val="center"/>
          </w:tcPr>
          <w:p w14:paraId="41E154F9">
            <w:pPr>
              <w:widowControl/>
              <w:jc w:val="center"/>
              <w:rPr>
                <w:rFonts w:ascii="Times New Roman" w:hAnsi="Times New Roman" w:cs="Times New Roman"/>
                <w:kern w:val="0"/>
                <w:szCs w:val="21"/>
              </w:rPr>
            </w:pPr>
            <w:r>
              <w:rPr>
                <w:rFonts w:ascii="Times New Roman" w:hAnsi="Times New Roman" w:cs="Times New Roman"/>
                <w:kern w:val="0"/>
                <w:szCs w:val="21"/>
              </w:rPr>
              <w:t>9</w:t>
            </w:r>
            <w:r>
              <w:rPr>
                <w:rFonts w:hint="eastAsia" w:ascii="Times New Roman" w:hAnsi="Times New Roman" w:cs="Times New Roman"/>
                <w:kern w:val="0"/>
                <w:szCs w:val="21"/>
              </w:rPr>
              <w:t>.0</w:t>
            </w:r>
          </w:p>
        </w:tc>
        <w:tc>
          <w:tcPr>
            <w:tcW w:w="1319" w:type="pct"/>
            <w:vAlign w:val="center"/>
          </w:tcPr>
          <w:p w14:paraId="7C85A5FA">
            <w:pPr>
              <w:widowControl/>
              <w:jc w:val="center"/>
              <w:rPr>
                <w:rFonts w:ascii="Times New Roman" w:hAnsi="Times New Roman" w:cs="Times New Roman"/>
                <w:kern w:val="0"/>
                <w:szCs w:val="21"/>
              </w:rPr>
            </w:pPr>
            <w:r>
              <w:rPr>
                <w:rFonts w:ascii="Times New Roman" w:hAnsi="Times New Roman" w:cs="Times New Roman"/>
                <w:kern w:val="0"/>
                <w:szCs w:val="21"/>
              </w:rPr>
              <w:t>0.00031</w:t>
            </w:r>
          </w:p>
        </w:tc>
        <w:tc>
          <w:tcPr>
            <w:tcW w:w="1227" w:type="pct"/>
            <w:vAlign w:val="center"/>
          </w:tcPr>
          <w:p w14:paraId="2E3D59A3">
            <w:pPr>
              <w:widowControl/>
              <w:jc w:val="center"/>
              <w:rPr>
                <w:rFonts w:ascii="Times New Roman" w:hAnsi="Times New Roman" w:cs="Times New Roman"/>
                <w:kern w:val="0"/>
                <w:szCs w:val="21"/>
              </w:rPr>
            </w:pPr>
            <w:r>
              <w:rPr>
                <w:rFonts w:ascii="Times New Roman" w:hAnsi="Times New Roman" w:cs="Times New Roman"/>
                <w:kern w:val="0"/>
                <w:szCs w:val="21"/>
              </w:rPr>
              <w:t>40.3</w:t>
            </w:r>
            <w:r>
              <w:rPr>
                <w:rFonts w:hint="eastAsia" w:ascii="Times New Roman" w:hAnsi="Times New Roman" w:cs="Times New Roman"/>
                <w:kern w:val="0"/>
                <w:szCs w:val="21"/>
              </w:rPr>
              <w:t>0</w:t>
            </w:r>
          </w:p>
        </w:tc>
        <w:tc>
          <w:tcPr>
            <w:tcW w:w="1227" w:type="pct"/>
            <w:vAlign w:val="center"/>
          </w:tcPr>
          <w:p w14:paraId="02A498C3">
            <w:pPr>
              <w:widowControl/>
              <w:jc w:val="center"/>
              <w:rPr>
                <w:rFonts w:ascii="Times New Roman" w:hAnsi="Times New Roman" w:cs="Times New Roman"/>
                <w:kern w:val="0"/>
                <w:szCs w:val="21"/>
              </w:rPr>
            </w:pPr>
            <w:r>
              <w:rPr>
                <w:rFonts w:ascii="Times New Roman" w:hAnsi="Times New Roman" w:cs="Times New Roman"/>
                <w:kern w:val="0"/>
                <w:szCs w:val="21"/>
              </w:rPr>
              <w:t>13.3</w:t>
            </w:r>
            <w:r>
              <w:rPr>
                <w:rFonts w:hint="eastAsia" w:ascii="Times New Roman" w:hAnsi="Times New Roman" w:cs="Times New Roman"/>
                <w:kern w:val="0"/>
                <w:szCs w:val="21"/>
              </w:rPr>
              <w:t>0</w:t>
            </w:r>
          </w:p>
        </w:tc>
      </w:tr>
      <w:tr w14:paraId="34EACD1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1227" w:type="pct"/>
            <w:vAlign w:val="center"/>
          </w:tcPr>
          <w:p w14:paraId="30A136AE">
            <w:pPr>
              <w:widowControl/>
              <w:jc w:val="center"/>
              <w:rPr>
                <w:rFonts w:ascii="Times New Roman" w:hAnsi="Times New Roman" w:cs="Times New Roman"/>
                <w:kern w:val="0"/>
                <w:szCs w:val="21"/>
              </w:rPr>
            </w:pPr>
            <w:r>
              <w:rPr>
                <w:rFonts w:ascii="Times New Roman" w:hAnsi="Times New Roman" w:cs="Times New Roman"/>
                <w:kern w:val="0"/>
                <w:szCs w:val="21"/>
              </w:rPr>
              <w:t>5.4</w:t>
            </w:r>
          </w:p>
        </w:tc>
        <w:tc>
          <w:tcPr>
            <w:tcW w:w="1319" w:type="pct"/>
            <w:vAlign w:val="center"/>
          </w:tcPr>
          <w:p w14:paraId="33BB85F5">
            <w:pPr>
              <w:widowControl/>
              <w:jc w:val="center"/>
              <w:rPr>
                <w:rFonts w:ascii="Times New Roman" w:hAnsi="Times New Roman" w:cs="Times New Roman"/>
                <w:kern w:val="0"/>
                <w:szCs w:val="21"/>
              </w:rPr>
            </w:pPr>
            <w:r>
              <w:rPr>
                <w:rFonts w:ascii="Times New Roman" w:hAnsi="Times New Roman" w:cs="Times New Roman"/>
                <w:kern w:val="0"/>
                <w:szCs w:val="21"/>
              </w:rPr>
              <w:t>0.00016</w:t>
            </w:r>
          </w:p>
        </w:tc>
        <w:tc>
          <w:tcPr>
            <w:tcW w:w="1227" w:type="pct"/>
            <w:vAlign w:val="center"/>
          </w:tcPr>
          <w:p w14:paraId="3C0ECC30">
            <w:pPr>
              <w:widowControl/>
              <w:jc w:val="center"/>
              <w:rPr>
                <w:rFonts w:ascii="Times New Roman" w:hAnsi="Times New Roman" w:cs="Times New Roman"/>
                <w:kern w:val="0"/>
                <w:szCs w:val="21"/>
              </w:rPr>
            </w:pPr>
            <w:r>
              <w:rPr>
                <w:rFonts w:ascii="Times New Roman" w:hAnsi="Times New Roman" w:cs="Times New Roman"/>
                <w:kern w:val="0"/>
                <w:szCs w:val="21"/>
              </w:rPr>
              <w:t>23.5</w:t>
            </w:r>
            <w:r>
              <w:rPr>
                <w:rFonts w:hint="eastAsia" w:ascii="Times New Roman" w:hAnsi="Times New Roman" w:cs="Times New Roman"/>
                <w:kern w:val="0"/>
                <w:szCs w:val="21"/>
              </w:rPr>
              <w:t>0</w:t>
            </w:r>
          </w:p>
        </w:tc>
        <w:tc>
          <w:tcPr>
            <w:tcW w:w="1227" w:type="pct"/>
            <w:vAlign w:val="center"/>
          </w:tcPr>
          <w:p w14:paraId="1EBC3285">
            <w:pPr>
              <w:widowControl/>
              <w:jc w:val="center"/>
              <w:rPr>
                <w:rFonts w:ascii="Times New Roman" w:hAnsi="Times New Roman" w:cs="Times New Roman"/>
                <w:kern w:val="0"/>
                <w:szCs w:val="21"/>
              </w:rPr>
            </w:pPr>
            <w:r>
              <w:rPr>
                <w:rFonts w:ascii="Times New Roman" w:hAnsi="Times New Roman" w:cs="Times New Roman"/>
                <w:kern w:val="0"/>
                <w:szCs w:val="21"/>
              </w:rPr>
              <w:t>27.18</w:t>
            </w:r>
          </w:p>
        </w:tc>
      </w:tr>
      <w:tr w14:paraId="2628255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1227" w:type="pct"/>
            <w:vAlign w:val="center"/>
          </w:tcPr>
          <w:p w14:paraId="2EC9DA39">
            <w:pPr>
              <w:widowControl/>
              <w:jc w:val="center"/>
              <w:rPr>
                <w:rFonts w:ascii="Times New Roman" w:hAnsi="Times New Roman" w:cs="Times New Roman"/>
                <w:kern w:val="0"/>
                <w:szCs w:val="21"/>
              </w:rPr>
            </w:pPr>
            <w:r>
              <w:rPr>
                <w:rFonts w:ascii="Times New Roman" w:hAnsi="Times New Roman" w:cs="Times New Roman"/>
                <w:kern w:val="0"/>
                <w:szCs w:val="21"/>
              </w:rPr>
              <w:t>7.2</w:t>
            </w:r>
          </w:p>
        </w:tc>
        <w:tc>
          <w:tcPr>
            <w:tcW w:w="1319" w:type="pct"/>
            <w:vAlign w:val="center"/>
          </w:tcPr>
          <w:p w14:paraId="10C57668">
            <w:pPr>
              <w:widowControl/>
              <w:jc w:val="center"/>
              <w:rPr>
                <w:rFonts w:ascii="Times New Roman" w:hAnsi="Times New Roman" w:cs="Times New Roman"/>
                <w:kern w:val="0"/>
                <w:szCs w:val="21"/>
              </w:rPr>
            </w:pPr>
            <w:r>
              <w:rPr>
                <w:rFonts w:ascii="Times New Roman" w:hAnsi="Times New Roman" w:cs="Times New Roman"/>
                <w:kern w:val="0"/>
                <w:szCs w:val="21"/>
              </w:rPr>
              <w:t>0.00016</w:t>
            </w:r>
          </w:p>
        </w:tc>
        <w:tc>
          <w:tcPr>
            <w:tcW w:w="1227" w:type="pct"/>
            <w:vAlign w:val="center"/>
          </w:tcPr>
          <w:p w14:paraId="025C2204">
            <w:pPr>
              <w:widowControl/>
              <w:jc w:val="center"/>
              <w:rPr>
                <w:rFonts w:ascii="Times New Roman" w:hAnsi="Times New Roman" w:cs="Times New Roman"/>
                <w:kern w:val="0"/>
                <w:szCs w:val="21"/>
              </w:rPr>
            </w:pPr>
            <w:r>
              <w:rPr>
                <w:rFonts w:ascii="Times New Roman" w:hAnsi="Times New Roman" w:cs="Times New Roman"/>
                <w:kern w:val="0"/>
                <w:szCs w:val="21"/>
              </w:rPr>
              <w:t>33.8</w:t>
            </w:r>
            <w:r>
              <w:rPr>
                <w:rFonts w:hint="eastAsia" w:ascii="Times New Roman" w:hAnsi="Times New Roman" w:cs="Times New Roman"/>
                <w:kern w:val="0"/>
                <w:szCs w:val="21"/>
              </w:rPr>
              <w:t>0</w:t>
            </w:r>
          </w:p>
        </w:tc>
        <w:tc>
          <w:tcPr>
            <w:tcW w:w="1227" w:type="pct"/>
            <w:vAlign w:val="center"/>
          </w:tcPr>
          <w:p w14:paraId="2391A9B4">
            <w:pPr>
              <w:widowControl/>
              <w:jc w:val="center"/>
              <w:rPr>
                <w:rFonts w:ascii="Times New Roman" w:hAnsi="Times New Roman" w:cs="Times New Roman"/>
                <w:kern w:val="0"/>
                <w:szCs w:val="21"/>
              </w:rPr>
            </w:pPr>
            <w:r>
              <w:rPr>
                <w:rFonts w:ascii="Times New Roman" w:hAnsi="Times New Roman" w:cs="Times New Roman"/>
                <w:kern w:val="0"/>
                <w:szCs w:val="21"/>
              </w:rPr>
              <w:t>27.18</w:t>
            </w:r>
          </w:p>
        </w:tc>
      </w:tr>
      <w:tr w14:paraId="1B35C17D">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1227" w:type="pct"/>
            <w:vAlign w:val="center"/>
          </w:tcPr>
          <w:p w14:paraId="6D2DB8B2">
            <w:pPr>
              <w:widowControl/>
              <w:jc w:val="center"/>
              <w:rPr>
                <w:rFonts w:ascii="Times New Roman" w:hAnsi="Times New Roman" w:cs="Times New Roman"/>
                <w:kern w:val="0"/>
                <w:szCs w:val="21"/>
              </w:rPr>
            </w:pPr>
            <w:r>
              <w:rPr>
                <w:rFonts w:ascii="Times New Roman" w:hAnsi="Times New Roman" w:cs="Times New Roman"/>
                <w:kern w:val="0"/>
                <w:szCs w:val="21"/>
              </w:rPr>
              <w:t>9</w:t>
            </w:r>
            <w:r>
              <w:rPr>
                <w:rFonts w:hint="eastAsia" w:ascii="Times New Roman" w:hAnsi="Times New Roman" w:cs="Times New Roman"/>
                <w:kern w:val="0"/>
                <w:szCs w:val="21"/>
              </w:rPr>
              <w:t>.0</w:t>
            </w:r>
          </w:p>
        </w:tc>
        <w:tc>
          <w:tcPr>
            <w:tcW w:w="1319" w:type="pct"/>
            <w:vAlign w:val="center"/>
          </w:tcPr>
          <w:p w14:paraId="0E137E0D">
            <w:pPr>
              <w:widowControl/>
              <w:jc w:val="center"/>
              <w:rPr>
                <w:rFonts w:ascii="Times New Roman" w:hAnsi="Times New Roman" w:cs="Times New Roman"/>
                <w:kern w:val="0"/>
                <w:szCs w:val="21"/>
              </w:rPr>
            </w:pPr>
            <w:r>
              <w:rPr>
                <w:rFonts w:ascii="Times New Roman" w:hAnsi="Times New Roman" w:cs="Times New Roman"/>
                <w:kern w:val="0"/>
                <w:szCs w:val="21"/>
              </w:rPr>
              <w:t>0.00016</w:t>
            </w:r>
          </w:p>
        </w:tc>
        <w:tc>
          <w:tcPr>
            <w:tcW w:w="1227" w:type="pct"/>
            <w:vAlign w:val="center"/>
          </w:tcPr>
          <w:p w14:paraId="1CD77617">
            <w:pPr>
              <w:widowControl/>
              <w:jc w:val="center"/>
              <w:rPr>
                <w:rFonts w:ascii="Times New Roman" w:hAnsi="Times New Roman" w:cs="Times New Roman"/>
                <w:kern w:val="0"/>
                <w:szCs w:val="21"/>
              </w:rPr>
            </w:pPr>
            <w:r>
              <w:rPr>
                <w:rFonts w:ascii="Times New Roman" w:hAnsi="Times New Roman" w:cs="Times New Roman"/>
                <w:kern w:val="0"/>
                <w:szCs w:val="21"/>
              </w:rPr>
              <w:t>53.6</w:t>
            </w:r>
            <w:r>
              <w:rPr>
                <w:rFonts w:hint="eastAsia" w:ascii="Times New Roman" w:hAnsi="Times New Roman" w:cs="Times New Roman"/>
                <w:kern w:val="0"/>
                <w:szCs w:val="21"/>
              </w:rPr>
              <w:t>0</w:t>
            </w:r>
          </w:p>
        </w:tc>
        <w:tc>
          <w:tcPr>
            <w:tcW w:w="1227" w:type="pct"/>
            <w:vAlign w:val="center"/>
          </w:tcPr>
          <w:p w14:paraId="10DA2122">
            <w:pPr>
              <w:widowControl/>
              <w:jc w:val="center"/>
              <w:rPr>
                <w:rFonts w:ascii="Times New Roman" w:hAnsi="Times New Roman" w:cs="Times New Roman"/>
                <w:kern w:val="0"/>
                <w:szCs w:val="21"/>
              </w:rPr>
            </w:pPr>
            <w:r>
              <w:rPr>
                <w:rFonts w:ascii="Times New Roman" w:hAnsi="Times New Roman" w:cs="Times New Roman"/>
                <w:kern w:val="0"/>
                <w:szCs w:val="21"/>
              </w:rPr>
              <w:t>27.18</w:t>
            </w:r>
          </w:p>
        </w:tc>
      </w:tr>
      <w:tr w14:paraId="18DB5E5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1227" w:type="pct"/>
            <w:vAlign w:val="center"/>
          </w:tcPr>
          <w:p w14:paraId="784C8B5C">
            <w:pPr>
              <w:widowControl/>
              <w:jc w:val="center"/>
              <w:rPr>
                <w:rFonts w:ascii="Times New Roman" w:hAnsi="Times New Roman" w:cs="Times New Roman"/>
                <w:kern w:val="0"/>
                <w:szCs w:val="21"/>
              </w:rPr>
            </w:pPr>
            <w:r>
              <w:rPr>
                <w:rFonts w:ascii="Times New Roman" w:hAnsi="Times New Roman" w:cs="Times New Roman"/>
                <w:kern w:val="0"/>
                <w:szCs w:val="21"/>
              </w:rPr>
              <w:t>9</w:t>
            </w:r>
            <w:r>
              <w:rPr>
                <w:rFonts w:hint="eastAsia" w:ascii="Times New Roman" w:hAnsi="Times New Roman" w:cs="Times New Roman"/>
                <w:kern w:val="0"/>
                <w:szCs w:val="21"/>
              </w:rPr>
              <w:t>.0</w:t>
            </w:r>
          </w:p>
        </w:tc>
        <w:tc>
          <w:tcPr>
            <w:tcW w:w="1319" w:type="pct"/>
            <w:vAlign w:val="center"/>
          </w:tcPr>
          <w:p w14:paraId="2B8B360B">
            <w:pPr>
              <w:widowControl/>
              <w:jc w:val="center"/>
              <w:rPr>
                <w:rFonts w:ascii="Times New Roman" w:hAnsi="Times New Roman" w:cs="Times New Roman"/>
                <w:kern w:val="0"/>
                <w:szCs w:val="21"/>
              </w:rPr>
            </w:pPr>
            <w:r>
              <w:rPr>
                <w:rFonts w:ascii="Times New Roman" w:hAnsi="Times New Roman" w:cs="Times New Roman"/>
                <w:kern w:val="0"/>
                <w:szCs w:val="21"/>
              </w:rPr>
              <w:t>0.00027</w:t>
            </w:r>
          </w:p>
        </w:tc>
        <w:tc>
          <w:tcPr>
            <w:tcW w:w="1227" w:type="pct"/>
            <w:vAlign w:val="center"/>
          </w:tcPr>
          <w:p w14:paraId="16A513F3">
            <w:pPr>
              <w:widowControl/>
              <w:jc w:val="center"/>
              <w:rPr>
                <w:rFonts w:ascii="Times New Roman" w:hAnsi="Times New Roman" w:cs="Times New Roman"/>
                <w:kern w:val="0"/>
                <w:szCs w:val="21"/>
              </w:rPr>
            </w:pPr>
            <w:r>
              <w:rPr>
                <w:rFonts w:ascii="Times New Roman" w:hAnsi="Times New Roman" w:cs="Times New Roman"/>
                <w:kern w:val="0"/>
                <w:szCs w:val="21"/>
              </w:rPr>
              <w:t>46.34</w:t>
            </w:r>
          </w:p>
        </w:tc>
        <w:tc>
          <w:tcPr>
            <w:tcW w:w="1227" w:type="pct"/>
            <w:vAlign w:val="center"/>
          </w:tcPr>
          <w:p w14:paraId="55FAFD7C">
            <w:pPr>
              <w:widowControl/>
              <w:jc w:val="center"/>
              <w:rPr>
                <w:rFonts w:ascii="Times New Roman" w:hAnsi="Times New Roman" w:cs="Times New Roman"/>
                <w:kern w:val="0"/>
                <w:szCs w:val="21"/>
              </w:rPr>
            </w:pPr>
            <w:r>
              <w:rPr>
                <w:rFonts w:ascii="Times New Roman" w:hAnsi="Times New Roman" w:cs="Times New Roman"/>
                <w:kern w:val="0"/>
                <w:szCs w:val="21"/>
              </w:rPr>
              <w:t>18.73</w:t>
            </w:r>
          </w:p>
        </w:tc>
      </w:tr>
      <w:tr w14:paraId="269B801D">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1227" w:type="pct"/>
            <w:vAlign w:val="center"/>
          </w:tcPr>
          <w:p w14:paraId="32BEA604">
            <w:pPr>
              <w:widowControl/>
              <w:jc w:val="center"/>
              <w:rPr>
                <w:rFonts w:ascii="Times New Roman" w:hAnsi="Times New Roman" w:cs="Times New Roman"/>
                <w:kern w:val="0"/>
                <w:szCs w:val="21"/>
              </w:rPr>
            </w:pPr>
            <w:r>
              <w:rPr>
                <w:rFonts w:ascii="Times New Roman" w:hAnsi="Times New Roman" w:cs="Times New Roman"/>
                <w:kern w:val="0"/>
                <w:szCs w:val="21"/>
              </w:rPr>
              <w:t>9</w:t>
            </w:r>
            <w:r>
              <w:rPr>
                <w:rFonts w:hint="eastAsia" w:ascii="Times New Roman" w:hAnsi="Times New Roman" w:cs="Times New Roman"/>
                <w:kern w:val="0"/>
                <w:szCs w:val="21"/>
              </w:rPr>
              <w:t>.0</w:t>
            </w:r>
          </w:p>
        </w:tc>
        <w:tc>
          <w:tcPr>
            <w:tcW w:w="1319" w:type="pct"/>
            <w:vAlign w:val="center"/>
          </w:tcPr>
          <w:p w14:paraId="56F3B7B3">
            <w:pPr>
              <w:widowControl/>
              <w:jc w:val="center"/>
              <w:rPr>
                <w:rFonts w:ascii="Times New Roman" w:hAnsi="Times New Roman" w:cs="Times New Roman"/>
                <w:kern w:val="0"/>
                <w:szCs w:val="21"/>
              </w:rPr>
            </w:pPr>
            <w:r>
              <w:rPr>
                <w:rFonts w:ascii="Times New Roman" w:hAnsi="Times New Roman" w:cs="Times New Roman"/>
                <w:kern w:val="0"/>
                <w:szCs w:val="21"/>
              </w:rPr>
              <w:t>0.00039</w:t>
            </w:r>
          </w:p>
        </w:tc>
        <w:tc>
          <w:tcPr>
            <w:tcW w:w="1227" w:type="pct"/>
            <w:vAlign w:val="center"/>
          </w:tcPr>
          <w:p w14:paraId="5EDB3C78">
            <w:pPr>
              <w:widowControl/>
              <w:jc w:val="center"/>
              <w:rPr>
                <w:rFonts w:ascii="Times New Roman" w:hAnsi="Times New Roman" w:cs="Times New Roman"/>
                <w:kern w:val="0"/>
                <w:szCs w:val="21"/>
              </w:rPr>
            </w:pPr>
            <w:r>
              <w:rPr>
                <w:rFonts w:ascii="Times New Roman" w:hAnsi="Times New Roman" w:cs="Times New Roman"/>
                <w:kern w:val="0"/>
                <w:szCs w:val="21"/>
              </w:rPr>
              <w:t>39.86</w:t>
            </w:r>
          </w:p>
        </w:tc>
        <w:tc>
          <w:tcPr>
            <w:tcW w:w="1227" w:type="pct"/>
            <w:vAlign w:val="center"/>
          </w:tcPr>
          <w:p w14:paraId="1BABBDC2">
            <w:pPr>
              <w:widowControl/>
              <w:jc w:val="center"/>
              <w:rPr>
                <w:rFonts w:ascii="Times New Roman" w:hAnsi="Times New Roman" w:cs="Times New Roman"/>
                <w:kern w:val="0"/>
                <w:szCs w:val="21"/>
              </w:rPr>
            </w:pPr>
            <w:r>
              <w:rPr>
                <w:rFonts w:ascii="Times New Roman" w:hAnsi="Times New Roman" w:cs="Times New Roman"/>
                <w:kern w:val="0"/>
                <w:szCs w:val="21"/>
              </w:rPr>
              <w:t>10.25</w:t>
            </w:r>
          </w:p>
        </w:tc>
      </w:tr>
      <w:tr w14:paraId="620EB67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1227" w:type="pct"/>
            <w:vAlign w:val="center"/>
          </w:tcPr>
          <w:p w14:paraId="368E9AB3">
            <w:pPr>
              <w:widowControl/>
              <w:jc w:val="center"/>
              <w:rPr>
                <w:rFonts w:ascii="Times New Roman" w:hAnsi="Times New Roman" w:cs="Times New Roman"/>
                <w:kern w:val="0"/>
                <w:szCs w:val="21"/>
              </w:rPr>
            </w:pPr>
            <w:r>
              <w:rPr>
                <w:rFonts w:ascii="Times New Roman" w:hAnsi="Times New Roman" w:cs="Times New Roman"/>
                <w:kern w:val="0"/>
                <w:szCs w:val="21"/>
              </w:rPr>
              <w:t>9</w:t>
            </w:r>
            <w:r>
              <w:rPr>
                <w:rFonts w:hint="eastAsia" w:ascii="Times New Roman" w:hAnsi="Times New Roman" w:cs="Times New Roman"/>
                <w:kern w:val="0"/>
                <w:szCs w:val="21"/>
              </w:rPr>
              <w:t>.0</w:t>
            </w:r>
          </w:p>
        </w:tc>
        <w:tc>
          <w:tcPr>
            <w:tcW w:w="1319" w:type="pct"/>
            <w:vAlign w:val="center"/>
          </w:tcPr>
          <w:p w14:paraId="17D1876B">
            <w:pPr>
              <w:widowControl/>
              <w:jc w:val="center"/>
              <w:rPr>
                <w:rFonts w:ascii="Times New Roman" w:hAnsi="Times New Roman" w:cs="Times New Roman"/>
                <w:kern w:val="0"/>
                <w:szCs w:val="21"/>
              </w:rPr>
            </w:pPr>
            <w:r>
              <w:rPr>
                <w:rFonts w:ascii="Times New Roman" w:hAnsi="Times New Roman" w:cs="Times New Roman"/>
                <w:kern w:val="0"/>
                <w:szCs w:val="21"/>
              </w:rPr>
              <w:t>0.00056</w:t>
            </w:r>
          </w:p>
        </w:tc>
        <w:tc>
          <w:tcPr>
            <w:tcW w:w="1227" w:type="pct"/>
            <w:vAlign w:val="center"/>
          </w:tcPr>
          <w:p w14:paraId="5C44C4CC">
            <w:pPr>
              <w:widowControl/>
              <w:jc w:val="center"/>
              <w:rPr>
                <w:rFonts w:ascii="Times New Roman" w:hAnsi="Times New Roman" w:cs="Times New Roman"/>
                <w:kern w:val="0"/>
                <w:szCs w:val="21"/>
              </w:rPr>
            </w:pPr>
            <w:r>
              <w:rPr>
                <w:rFonts w:ascii="Times New Roman" w:hAnsi="Times New Roman" w:cs="Times New Roman"/>
                <w:kern w:val="0"/>
                <w:szCs w:val="21"/>
              </w:rPr>
              <w:t>24.22</w:t>
            </w:r>
          </w:p>
        </w:tc>
        <w:tc>
          <w:tcPr>
            <w:tcW w:w="1227" w:type="pct"/>
            <w:vAlign w:val="center"/>
          </w:tcPr>
          <w:p w14:paraId="553EB766">
            <w:pPr>
              <w:widowControl/>
              <w:jc w:val="center"/>
              <w:rPr>
                <w:rFonts w:ascii="Times New Roman" w:hAnsi="Times New Roman" w:cs="Times New Roman"/>
                <w:kern w:val="0"/>
                <w:szCs w:val="21"/>
              </w:rPr>
            </w:pPr>
            <w:r>
              <w:rPr>
                <w:rFonts w:ascii="Times New Roman" w:hAnsi="Times New Roman" w:cs="Times New Roman"/>
                <w:kern w:val="0"/>
                <w:szCs w:val="21"/>
              </w:rPr>
              <w:t>7.24</w:t>
            </w:r>
          </w:p>
        </w:tc>
      </w:tr>
    </w:tbl>
    <w:p w14:paraId="697B0171">
      <w:pPr>
        <w:tabs>
          <w:tab w:val="center" w:pos="4200"/>
          <w:tab w:val="right" w:pos="8400"/>
        </w:tabs>
        <w:snapToGrid w:val="0"/>
        <w:jc w:val="center"/>
        <w:rPr>
          <w:rFonts w:ascii="Times New Roman" w:hAnsi="Times New Roman" w:eastAsia="宋体" w:cs="Times New Roman"/>
          <w:sz w:val="18"/>
          <w:szCs w:val="18"/>
        </w:rPr>
      </w:pPr>
    </w:p>
    <w:p w14:paraId="2EF342D0">
      <w:pPr>
        <w:tabs>
          <w:tab w:val="center" w:pos="4200"/>
          <w:tab w:val="right" w:pos="8400"/>
        </w:tabs>
        <w:snapToGrid w:val="0"/>
        <w:ind w:firstLine="420" w:firstLineChars="200"/>
        <w:rPr>
          <w:rFonts w:ascii="Times New Roman" w:hAnsi="Times New Roman" w:eastAsia="宋体" w:cs="Times New Roman"/>
          <w:szCs w:val="21"/>
        </w:rPr>
      </w:pPr>
      <w:r>
        <w:rPr>
          <w:rFonts w:ascii="Times New Roman" w:hAnsi="Times New Roman" w:eastAsia="宋体" w:cs="Times New Roman"/>
          <w:szCs w:val="21"/>
        </w:rPr>
        <w:t>为提高模型的稳健性，通常需将</w:t>
      </w:r>
      <w:r>
        <w:rPr>
          <w:rFonts w:hint="eastAsia" w:ascii="Times New Roman" w:hAnsi="Times New Roman" w:eastAsia="宋体" w:cs="Times New Roman"/>
          <w:szCs w:val="21"/>
        </w:rPr>
        <w:t>试验</w:t>
      </w:r>
      <w:r>
        <w:rPr>
          <w:rFonts w:ascii="Times New Roman" w:hAnsi="Times New Roman" w:eastAsia="宋体" w:cs="Times New Roman"/>
          <w:szCs w:val="21"/>
        </w:rPr>
        <w:t>数据划分为训练集和测试集。基于处理流量范围内的分布情况，研究共选取了</w:t>
      </w:r>
      <w:r>
        <w:rPr>
          <w:rFonts w:hint="eastAsia" w:ascii="Times New Roman" w:hAnsi="Times New Roman" w:eastAsia="宋体" w:cs="Times New Roman"/>
          <w:szCs w:val="21"/>
        </w:rPr>
        <w:t>15组</w:t>
      </w:r>
      <w:r>
        <w:rPr>
          <w:rFonts w:ascii="Times New Roman" w:hAnsi="Times New Roman" w:eastAsia="宋体" w:cs="Times New Roman"/>
          <w:szCs w:val="21"/>
        </w:rPr>
        <w:t>工况进行试验，其中</w:t>
      </w:r>
      <w:r>
        <w:rPr>
          <w:rFonts w:hint="eastAsia" w:ascii="Times New Roman" w:hAnsi="Times New Roman" w:eastAsia="宋体" w:cs="Times New Roman"/>
          <w:szCs w:val="21"/>
        </w:rPr>
        <w:t>12</w:t>
      </w:r>
      <w:r>
        <w:rPr>
          <w:rFonts w:ascii="Times New Roman" w:hAnsi="Times New Roman" w:eastAsia="宋体" w:cs="Times New Roman"/>
          <w:szCs w:val="21"/>
        </w:rPr>
        <w:t>组用于构建预测模型（训练集），其余3组用于模型验证（测试集）。当训练组与测试组的预测结果较为一致时，表明所建立的数学预测模型具有良好的拟合精度和推广能力。训练组与测试组的具体方案分别</w:t>
      </w:r>
      <w:r>
        <w:rPr>
          <w:rFonts w:hint="eastAsia" w:ascii="Times New Roman" w:hAnsi="Times New Roman" w:eastAsia="宋体" w:cs="Times New Roman"/>
          <w:szCs w:val="21"/>
        </w:rPr>
        <w:t>如</w:t>
      </w:r>
      <w:r>
        <w:rPr>
          <w:rFonts w:ascii="Times New Roman" w:hAnsi="Times New Roman" w:eastAsia="宋体" w:cs="Times New Roman"/>
          <w:szCs w:val="21"/>
        </w:rPr>
        <w:t>表</w:t>
      </w:r>
      <w:r>
        <w:rPr>
          <w:rFonts w:hint="eastAsia" w:ascii="Times New Roman" w:hAnsi="Times New Roman" w:eastAsia="宋体" w:cs="Times New Roman"/>
          <w:szCs w:val="21"/>
        </w:rPr>
        <w:t>4</w:t>
      </w:r>
      <w:r>
        <w:rPr>
          <w:rFonts w:ascii="Times New Roman" w:hAnsi="Times New Roman" w:eastAsia="宋体" w:cs="Times New Roman"/>
          <w:szCs w:val="21"/>
        </w:rPr>
        <w:t>和表</w:t>
      </w:r>
      <w:r>
        <w:rPr>
          <w:rFonts w:hint="eastAsia" w:ascii="Times New Roman" w:hAnsi="Times New Roman" w:eastAsia="宋体" w:cs="Times New Roman"/>
          <w:szCs w:val="21"/>
        </w:rPr>
        <w:t>5所列</w:t>
      </w:r>
      <w:r>
        <w:rPr>
          <w:rFonts w:ascii="Times New Roman" w:hAnsi="Times New Roman" w:eastAsia="宋体" w:cs="Times New Roman"/>
          <w:szCs w:val="21"/>
        </w:rPr>
        <w:t>。</w:t>
      </w:r>
    </w:p>
    <w:p w14:paraId="4556FB95">
      <w:pPr>
        <w:ind w:firstLine="360" w:firstLineChars="200"/>
        <w:jc w:val="center"/>
        <w:rPr>
          <w:rFonts w:ascii="Times New Roman" w:hAnsi="Times New Roman" w:eastAsia="黑体" w:cs="Times New Roman"/>
          <w:sz w:val="18"/>
          <w:szCs w:val="18"/>
        </w:rPr>
      </w:pPr>
      <w:r>
        <w:rPr>
          <w:rFonts w:ascii="Times New Roman" w:hAnsi="Times New Roman" w:eastAsia="黑体" w:cs="Times New Roman"/>
          <w:sz w:val="18"/>
          <w:szCs w:val="18"/>
        </w:rPr>
        <w:t>表</w:t>
      </w:r>
      <w:r>
        <w:rPr>
          <w:rFonts w:hint="eastAsia" w:ascii="Times New Roman" w:hAnsi="Times New Roman" w:eastAsia="黑体" w:cs="Times New Roman"/>
          <w:sz w:val="18"/>
          <w:szCs w:val="18"/>
        </w:rPr>
        <w:t>4</w:t>
      </w:r>
      <w:r>
        <w:rPr>
          <w:rFonts w:ascii="Times New Roman" w:hAnsi="Times New Roman" w:eastAsia="黑体" w:cs="Times New Roman"/>
          <w:sz w:val="18"/>
          <w:szCs w:val="18"/>
        </w:rPr>
        <w:t>训练组方案</w:t>
      </w:r>
    </w:p>
    <w:p w14:paraId="34FE4AB0">
      <w:pPr>
        <w:ind w:firstLine="360" w:firstLineChars="200"/>
        <w:jc w:val="center"/>
        <w:rPr>
          <w:rFonts w:ascii="Times New Roman" w:hAnsi="Times New Roman" w:eastAsia="黑体" w:cs="Times New Roman"/>
          <w:sz w:val="18"/>
          <w:szCs w:val="18"/>
        </w:rPr>
      </w:pPr>
      <w:r>
        <w:rPr>
          <w:rFonts w:ascii="Times New Roman" w:hAnsi="Times New Roman" w:eastAsia="黑体" w:cs="Times New Roman"/>
          <w:sz w:val="18"/>
          <w:szCs w:val="18"/>
        </w:rPr>
        <w:t xml:space="preserve">Table </w:t>
      </w:r>
      <w:r>
        <w:rPr>
          <w:rFonts w:hint="eastAsia" w:ascii="Times New Roman" w:hAnsi="Times New Roman" w:eastAsia="黑体" w:cs="Times New Roman"/>
          <w:sz w:val="18"/>
          <w:szCs w:val="18"/>
        </w:rPr>
        <w:t xml:space="preserve">4 </w:t>
      </w:r>
      <w:r>
        <w:rPr>
          <w:rFonts w:ascii="Times New Roman" w:hAnsi="Times New Roman" w:eastAsia="黑体" w:cs="Times New Roman"/>
          <w:sz w:val="18"/>
          <w:szCs w:val="18"/>
        </w:rPr>
        <w:t xml:space="preserve">Training </w:t>
      </w:r>
      <w:r>
        <w:rPr>
          <w:rFonts w:hint="eastAsia" w:ascii="Times New Roman" w:hAnsi="Times New Roman" w:eastAsia="黑体" w:cs="Times New Roman"/>
          <w:sz w:val="18"/>
          <w:szCs w:val="18"/>
        </w:rPr>
        <w:t>g</w:t>
      </w:r>
      <w:r>
        <w:rPr>
          <w:rFonts w:ascii="Times New Roman" w:hAnsi="Times New Roman" w:eastAsia="黑体" w:cs="Times New Roman"/>
          <w:sz w:val="18"/>
          <w:szCs w:val="18"/>
        </w:rPr>
        <w:t xml:space="preserve">roup </w:t>
      </w:r>
      <w:r>
        <w:rPr>
          <w:rFonts w:hint="eastAsia" w:ascii="Times New Roman" w:hAnsi="Times New Roman" w:eastAsia="黑体" w:cs="Times New Roman"/>
          <w:sz w:val="18"/>
          <w:szCs w:val="18"/>
        </w:rPr>
        <w:t>schemes</w:t>
      </w:r>
    </w:p>
    <w:tbl>
      <w:tblPr>
        <w:tblStyle w:val="14"/>
        <w:tblW w:w="0" w:type="auto"/>
        <w:tblInd w:w="0" w:type="dxa"/>
        <w:tblBorders>
          <w:top w:val="none" w:color="auto" w:sz="4" w:space="0"/>
          <w:left w:val="none" w:color="auto" w:sz="4" w:space="0"/>
          <w:bottom w:val="none" w:color="auto" w:sz="4" w:space="0"/>
          <w:right w:val="none" w:color="auto" w:sz="4" w:space="0"/>
          <w:insideH w:val="none" w:color="auto" w:sz="4" w:space="0"/>
          <w:insideV w:val="none" w:color="auto" w:sz="4" w:space="0"/>
        </w:tblBorders>
        <w:tblLayout w:type="autofit"/>
        <w:tblCellMar>
          <w:top w:w="0" w:type="dxa"/>
          <w:left w:w="108" w:type="dxa"/>
          <w:bottom w:w="0" w:type="dxa"/>
          <w:right w:w="108" w:type="dxa"/>
        </w:tblCellMar>
      </w:tblPr>
      <w:tblGrid>
        <w:gridCol w:w="1654"/>
        <w:gridCol w:w="1656"/>
        <w:gridCol w:w="1656"/>
        <w:gridCol w:w="1678"/>
        <w:gridCol w:w="1662"/>
      </w:tblGrid>
      <w:tr w14:paraId="214476C7">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c>
          <w:tcPr>
            <w:tcW w:w="1654" w:type="dxa"/>
            <w:tcBorders>
              <w:top w:val="single" w:color="auto" w:sz="12" w:space="0"/>
              <w:left w:val="nil"/>
              <w:bottom w:val="single" w:color="auto" w:sz="4" w:space="0"/>
              <w:right w:val="nil"/>
            </w:tcBorders>
          </w:tcPr>
          <w:p w14:paraId="1A840753">
            <w:pPr>
              <w:jc w:val="center"/>
              <w:rPr>
                <w:rFonts w:hint="default" w:ascii="Times New Roman" w:hAnsi="Times New Roman" w:eastAsia="宋体" w:cs="Times New Roman"/>
                <w:sz w:val="15"/>
                <w:szCs w:val="15"/>
              </w:rPr>
            </w:pPr>
            <w:r>
              <w:rPr>
                <w:rFonts w:hint="eastAsia" w:ascii="Times New Roman" w:hAnsi="Times New Roman" w:eastAsia="宋体" w:cs="Times New Roman"/>
                <w:sz w:val="15"/>
                <w:szCs w:val="15"/>
                <w:lang w:bidi="ar"/>
              </w:rPr>
              <w:t>序号</w:t>
            </w:r>
          </w:p>
        </w:tc>
        <w:tc>
          <w:tcPr>
            <w:tcW w:w="1656" w:type="dxa"/>
            <w:tcBorders>
              <w:top w:val="single" w:color="auto" w:sz="12" w:space="0"/>
              <w:left w:val="nil"/>
              <w:bottom w:val="single" w:color="auto" w:sz="4" w:space="0"/>
              <w:right w:val="nil"/>
            </w:tcBorders>
          </w:tcPr>
          <w:p w14:paraId="5619B645">
            <w:pPr>
              <w:jc w:val="center"/>
              <w:rPr>
                <w:rFonts w:hint="default" w:ascii="Times New Roman" w:hAnsi="Times New Roman" w:eastAsia="宋体" w:cs="Times New Roman"/>
                <w:sz w:val="15"/>
                <w:szCs w:val="15"/>
              </w:rPr>
            </w:pPr>
            <w:r>
              <w:rPr>
                <w:rFonts w:hint="eastAsia" w:ascii="Times New Roman" w:hAnsi="Times New Roman" w:eastAsia="宋体" w:cs="Times New Roman"/>
                <w:sz w:val="15"/>
                <w:szCs w:val="15"/>
                <w:lang w:bidi="ar"/>
              </w:rPr>
              <w:t>直径</w:t>
            </w:r>
            <w:r>
              <w:rPr>
                <w:rFonts w:hint="eastAsia" w:ascii="Times New Roman" w:hAnsi="Times New Roman" w:cs="Times New Roman"/>
                <w:i/>
                <w:iCs/>
                <w:kern w:val="0"/>
                <w:szCs w:val="21"/>
              </w:rPr>
              <w:t>/</w:t>
            </w:r>
            <w:r>
              <w:rPr>
                <w:rFonts w:hint="default" w:ascii="Times New Roman" w:hAnsi="Times New Roman" w:eastAsia="宋体" w:cs="Times New Roman"/>
                <w:sz w:val="15"/>
                <w:szCs w:val="15"/>
                <w:lang w:bidi="ar"/>
              </w:rPr>
              <w:t>m</w:t>
            </w:r>
          </w:p>
        </w:tc>
        <w:tc>
          <w:tcPr>
            <w:tcW w:w="1656" w:type="dxa"/>
            <w:tcBorders>
              <w:top w:val="single" w:color="auto" w:sz="12" w:space="0"/>
              <w:left w:val="nil"/>
              <w:bottom w:val="single" w:color="auto" w:sz="4" w:space="0"/>
              <w:right w:val="nil"/>
            </w:tcBorders>
          </w:tcPr>
          <w:p w14:paraId="33725AF8">
            <w:pPr>
              <w:jc w:val="center"/>
              <w:rPr>
                <w:rFonts w:hint="default" w:ascii="Times New Roman" w:hAnsi="Times New Roman" w:eastAsia="宋体" w:cs="Times New Roman"/>
                <w:sz w:val="15"/>
                <w:szCs w:val="15"/>
              </w:rPr>
            </w:pPr>
            <w:r>
              <w:rPr>
                <w:rFonts w:hint="eastAsia" w:ascii="Times New Roman" w:hAnsi="Times New Roman" w:eastAsia="宋体" w:cs="Times New Roman"/>
                <w:sz w:val="15"/>
                <w:szCs w:val="15"/>
                <w:lang w:bidi="ar"/>
              </w:rPr>
              <w:t>流量</w:t>
            </w:r>
            <w:r>
              <w:rPr>
                <w:rFonts w:hint="eastAsia" w:ascii="Times New Roman" w:hAnsi="Times New Roman" w:cs="Times New Roman"/>
                <w:i/>
                <w:iCs/>
                <w:kern w:val="0"/>
                <w:szCs w:val="21"/>
              </w:rPr>
              <w:t>/</w:t>
            </w:r>
            <w:r>
              <w:rPr>
                <w:rFonts w:hint="eastAsia" w:ascii="Times New Roman" w:hAnsi="Times New Roman" w:eastAsia="宋体" w:cs="Times New Roman"/>
                <w:sz w:val="15"/>
                <w:szCs w:val="15"/>
                <w:lang w:bidi="ar"/>
              </w:rPr>
              <w:t>/</w:t>
            </w:r>
            <w:r>
              <w:rPr>
                <w:rFonts w:hint="default" w:ascii="Times New Roman" w:hAnsi="Times New Roman" w:eastAsia="宋体" w:cs="Times New Roman"/>
                <w:sz w:val="15"/>
                <w:szCs w:val="15"/>
                <w:lang w:bidi="ar"/>
              </w:rPr>
              <w:t>L·s</w:t>
            </w:r>
            <w:r>
              <w:rPr>
                <w:rFonts w:hint="eastAsia" w:ascii="Times New Roman" w:hAnsi="Times New Roman" w:eastAsia="宋体" w:cs="Times New Roman"/>
                <w:sz w:val="15"/>
                <w:szCs w:val="15"/>
                <w:vertAlign w:val="superscript"/>
                <w:lang w:bidi="ar"/>
              </w:rPr>
              <w:t>-1</w:t>
            </w:r>
          </w:p>
        </w:tc>
        <w:tc>
          <w:tcPr>
            <w:tcW w:w="1678" w:type="dxa"/>
            <w:tcBorders>
              <w:top w:val="single" w:color="auto" w:sz="12" w:space="0"/>
              <w:left w:val="nil"/>
              <w:bottom w:val="single" w:color="auto" w:sz="4" w:space="0"/>
              <w:right w:val="nil"/>
            </w:tcBorders>
          </w:tcPr>
          <w:p w14:paraId="4518B722">
            <w:pPr>
              <w:jc w:val="center"/>
              <w:rPr>
                <w:rFonts w:hint="default" w:ascii="Times New Roman" w:hAnsi="Times New Roman" w:eastAsia="宋体" w:cs="Times New Roman"/>
                <w:i/>
                <w:iCs/>
                <w:sz w:val="15"/>
                <w:szCs w:val="15"/>
              </w:rPr>
            </w:pPr>
            <w:r>
              <w:rPr>
                <w:rFonts w:hint="default" w:ascii="Times New Roman" w:hAnsi="Times New Roman" w:eastAsia="宋体" w:cs="Times New Roman"/>
                <w:i/>
                <w:iCs/>
                <w:sz w:val="15"/>
                <w:szCs w:val="15"/>
                <w:lang w:bidi="ar"/>
              </w:rPr>
              <w:t>L</w:t>
            </w:r>
          </w:p>
        </w:tc>
        <w:tc>
          <w:tcPr>
            <w:tcW w:w="1662" w:type="dxa"/>
            <w:tcBorders>
              <w:top w:val="single" w:color="auto" w:sz="12" w:space="0"/>
              <w:left w:val="nil"/>
              <w:bottom w:val="single" w:color="auto" w:sz="4" w:space="0"/>
              <w:right w:val="nil"/>
            </w:tcBorders>
          </w:tcPr>
          <w:p w14:paraId="6036616D">
            <w:pPr>
              <w:jc w:val="center"/>
              <w:rPr>
                <w:rFonts w:hint="default" w:ascii="Times New Roman" w:hAnsi="Times New Roman" w:eastAsia="宋体" w:cs="Times New Roman"/>
                <w:i/>
                <w:iCs/>
                <w:sz w:val="15"/>
                <w:szCs w:val="15"/>
                <w:lang w:bidi="ar"/>
              </w:rPr>
            </w:pPr>
            <w:r>
              <w:rPr>
                <w:rFonts w:hint="default" w:ascii="Times New Roman" w:hAnsi="Times New Roman" w:eastAsia="宋体" w:cs="Times New Roman"/>
                <w:sz w:val="15"/>
                <w:szCs w:val="15"/>
              </w:rPr>
              <w:t>含沙浓度</w:t>
            </w:r>
            <w:r>
              <w:rPr>
                <w:rFonts w:hint="default" w:ascii="Times New Roman" w:hAnsi="Times New Roman" w:eastAsia="宋体" w:cs="Times New Roman"/>
                <w:i/>
                <w:iCs/>
                <w:sz w:val="15"/>
                <w:szCs w:val="15"/>
              </w:rPr>
              <w:t>S</w:t>
            </w:r>
            <w:r>
              <w:rPr>
                <w:rFonts w:hint="eastAsia" w:ascii="Times New Roman" w:hAnsi="Times New Roman" w:cs="Times New Roman"/>
                <w:i/>
                <w:iCs/>
                <w:kern w:val="0"/>
                <w:szCs w:val="21"/>
              </w:rPr>
              <w:t>/</w:t>
            </w:r>
            <w:r>
              <w:rPr>
                <w:rFonts w:hint="default" w:ascii="Times New Roman" w:hAnsi="Times New Roman"/>
                <w:kern w:val="0"/>
                <w:szCs w:val="21"/>
              </w:rPr>
              <w:t>kg·m</w:t>
            </w:r>
            <w:r>
              <w:rPr>
                <w:rFonts w:hint="eastAsia" w:ascii="Times New Roman" w:hAnsi="Times New Roman"/>
                <w:kern w:val="0"/>
                <w:szCs w:val="21"/>
                <w:vertAlign w:val="superscript"/>
              </w:rPr>
              <w:t>-</w:t>
            </w:r>
            <w:r>
              <w:rPr>
                <w:rFonts w:hint="default" w:ascii="Times New Roman" w:hAnsi="Times New Roman"/>
                <w:kern w:val="0"/>
                <w:szCs w:val="21"/>
              </w:rPr>
              <w:t>³</w:t>
            </w:r>
          </w:p>
        </w:tc>
      </w:tr>
      <w:tr w14:paraId="766EACCB">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c>
          <w:tcPr>
            <w:tcW w:w="1654" w:type="dxa"/>
            <w:tcBorders>
              <w:top w:val="single" w:color="auto" w:sz="4" w:space="0"/>
              <w:left w:val="nil"/>
              <w:bottom w:val="nil"/>
              <w:right w:val="nil"/>
            </w:tcBorders>
          </w:tcPr>
          <w:p w14:paraId="5A8D8483">
            <w:pPr>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lang w:bidi="ar"/>
              </w:rPr>
              <w:t>1</w:t>
            </w:r>
          </w:p>
        </w:tc>
        <w:tc>
          <w:tcPr>
            <w:tcW w:w="1656" w:type="dxa"/>
            <w:tcBorders>
              <w:top w:val="single" w:color="auto" w:sz="4" w:space="0"/>
              <w:left w:val="nil"/>
              <w:bottom w:val="nil"/>
              <w:right w:val="nil"/>
            </w:tcBorders>
          </w:tcPr>
          <w:p w14:paraId="022175BA">
            <w:pPr>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lang w:bidi="ar"/>
              </w:rPr>
              <w:t>2.5</w:t>
            </w:r>
          </w:p>
        </w:tc>
        <w:tc>
          <w:tcPr>
            <w:tcW w:w="1656" w:type="dxa"/>
            <w:tcBorders>
              <w:top w:val="single" w:color="auto" w:sz="4" w:space="0"/>
              <w:left w:val="nil"/>
              <w:bottom w:val="nil"/>
              <w:right w:val="nil"/>
            </w:tcBorders>
            <w:vAlign w:val="center"/>
          </w:tcPr>
          <w:p w14:paraId="58AE15C5">
            <w:pPr>
              <w:widowControl/>
              <w:jc w:val="center"/>
              <w:textAlignment w:val="center"/>
              <w:rPr>
                <w:rFonts w:hint="default" w:ascii="Times New Roman" w:hAnsi="Times New Roman" w:eastAsia="宋体" w:cs="Times New Roman"/>
                <w:sz w:val="15"/>
                <w:szCs w:val="15"/>
              </w:rPr>
            </w:pPr>
            <w:r>
              <w:rPr>
                <w:rFonts w:hint="default" w:ascii="Times New Roman" w:hAnsi="Times New Roman" w:eastAsia="宋体" w:cs="Times New Roman"/>
                <w:kern w:val="0"/>
                <w:sz w:val="15"/>
                <w:szCs w:val="15"/>
                <w:lang w:bidi="ar"/>
              </w:rPr>
              <w:t>20</w:t>
            </w:r>
            <w:r>
              <w:rPr>
                <w:rFonts w:hint="eastAsia" w:ascii="Times New Roman" w:hAnsi="Times New Roman" w:eastAsia="宋体" w:cs="Times New Roman"/>
                <w:kern w:val="0"/>
                <w:sz w:val="15"/>
                <w:szCs w:val="15"/>
                <w:lang w:bidi="ar"/>
              </w:rPr>
              <w:t>.0</w:t>
            </w:r>
          </w:p>
        </w:tc>
        <w:tc>
          <w:tcPr>
            <w:tcW w:w="1678" w:type="dxa"/>
            <w:tcBorders>
              <w:top w:val="single" w:color="auto" w:sz="4" w:space="0"/>
              <w:left w:val="nil"/>
              <w:bottom w:val="nil"/>
              <w:right w:val="nil"/>
            </w:tcBorders>
          </w:tcPr>
          <w:p w14:paraId="2985FF10">
            <w:pPr>
              <w:widowControl/>
              <w:jc w:val="center"/>
              <w:textAlignment w:val="center"/>
              <w:rPr>
                <w:rFonts w:hint="default" w:ascii="Times New Roman" w:hAnsi="Times New Roman" w:eastAsia="宋体" w:cs="Times New Roman"/>
                <w:kern w:val="0"/>
                <w:sz w:val="15"/>
                <w:szCs w:val="15"/>
                <w:lang w:bidi="ar"/>
              </w:rPr>
            </w:pPr>
            <w:r>
              <w:rPr>
                <w:rFonts w:hint="eastAsia" w:ascii="Times New Roman" w:hAnsi="Times New Roman" w:eastAsia="宋体" w:cs="Times New Roman"/>
                <w:kern w:val="0"/>
                <w:sz w:val="15"/>
                <w:szCs w:val="15"/>
                <w:lang w:bidi="ar"/>
              </w:rPr>
              <w:t xml:space="preserve">0.00065 </w:t>
            </w:r>
          </w:p>
        </w:tc>
        <w:tc>
          <w:tcPr>
            <w:tcW w:w="1662" w:type="dxa"/>
            <w:tcBorders>
              <w:top w:val="single" w:color="auto" w:sz="4" w:space="0"/>
              <w:left w:val="nil"/>
              <w:bottom w:val="nil"/>
              <w:right w:val="nil"/>
            </w:tcBorders>
            <w:vAlign w:val="center"/>
          </w:tcPr>
          <w:p w14:paraId="1496C0C9">
            <w:pPr>
              <w:widowControl/>
              <w:jc w:val="center"/>
              <w:textAlignment w:val="center"/>
              <w:rPr>
                <w:rFonts w:hint="default" w:ascii="Times New Roman" w:hAnsi="Times New Roman" w:eastAsia="宋体" w:cs="Times New Roman"/>
                <w:kern w:val="0"/>
                <w:sz w:val="15"/>
                <w:szCs w:val="15"/>
                <w:lang w:bidi="ar"/>
              </w:rPr>
            </w:pPr>
            <w:r>
              <w:rPr>
                <w:rFonts w:hint="default" w:ascii="Times New Roman" w:hAnsi="Times New Roman" w:eastAsia="宋体" w:cs="Times New Roman"/>
                <w:kern w:val="0"/>
                <w:sz w:val="15"/>
                <w:szCs w:val="15"/>
                <w:lang w:bidi="ar"/>
              </w:rPr>
              <w:t>5.4</w:t>
            </w:r>
          </w:p>
        </w:tc>
      </w:tr>
      <w:tr w14:paraId="2BB5D43C">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90" w:hRule="atLeast"/>
        </w:trPr>
        <w:tc>
          <w:tcPr>
            <w:tcW w:w="1654" w:type="dxa"/>
          </w:tcPr>
          <w:p w14:paraId="0EE7D66B">
            <w:pPr>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lang w:bidi="ar"/>
              </w:rPr>
              <w:t>2</w:t>
            </w:r>
          </w:p>
        </w:tc>
        <w:tc>
          <w:tcPr>
            <w:tcW w:w="1656" w:type="dxa"/>
          </w:tcPr>
          <w:p w14:paraId="6F198549">
            <w:pPr>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lang w:bidi="ar"/>
              </w:rPr>
              <w:t>2.5</w:t>
            </w:r>
          </w:p>
        </w:tc>
        <w:tc>
          <w:tcPr>
            <w:tcW w:w="1656" w:type="dxa"/>
            <w:vAlign w:val="center"/>
          </w:tcPr>
          <w:p w14:paraId="411B271F">
            <w:pPr>
              <w:widowControl/>
              <w:jc w:val="center"/>
              <w:textAlignment w:val="center"/>
              <w:rPr>
                <w:rFonts w:hint="default" w:ascii="Times New Roman" w:hAnsi="Times New Roman" w:eastAsia="宋体" w:cs="Times New Roman"/>
                <w:sz w:val="15"/>
                <w:szCs w:val="15"/>
              </w:rPr>
            </w:pPr>
            <w:r>
              <w:rPr>
                <w:rFonts w:hint="default" w:ascii="Times New Roman" w:hAnsi="Times New Roman" w:eastAsia="宋体" w:cs="Times New Roman"/>
                <w:kern w:val="0"/>
                <w:sz w:val="15"/>
                <w:szCs w:val="15"/>
                <w:lang w:bidi="ar"/>
              </w:rPr>
              <w:t>20.0</w:t>
            </w:r>
          </w:p>
        </w:tc>
        <w:tc>
          <w:tcPr>
            <w:tcW w:w="1678" w:type="dxa"/>
          </w:tcPr>
          <w:p w14:paraId="49B8B5CA">
            <w:pPr>
              <w:widowControl/>
              <w:jc w:val="center"/>
              <w:textAlignment w:val="center"/>
              <w:rPr>
                <w:rFonts w:hint="default" w:ascii="Times New Roman" w:hAnsi="Times New Roman" w:eastAsia="宋体" w:cs="Times New Roman"/>
                <w:kern w:val="0"/>
                <w:sz w:val="15"/>
                <w:szCs w:val="15"/>
                <w:lang w:bidi="ar"/>
              </w:rPr>
            </w:pPr>
            <w:r>
              <w:rPr>
                <w:rFonts w:hint="eastAsia" w:ascii="Times New Roman" w:hAnsi="Times New Roman" w:eastAsia="宋体" w:cs="Times New Roman"/>
                <w:kern w:val="0"/>
                <w:sz w:val="15"/>
                <w:szCs w:val="15"/>
                <w:lang w:bidi="ar"/>
              </w:rPr>
              <w:t xml:space="preserve">0.00065 </w:t>
            </w:r>
          </w:p>
        </w:tc>
        <w:tc>
          <w:tcPr>
            <w:tcW w:w="1662" w:type="dxa"/>
            <w:vAlign w:val="center"/>
          </w:tcPr>
          <w:p w14:paraId="4E22E4F1">
            <w:pPr>
              <w:widowControl/>
              <w:jc w:val="center"/>
              <w:textAlignment w:val="center"/>
              <w:rPr>
                <w:rFonts w:hint="default" w:ascii="Times New Roman" w:hAnsi="Times New Roman" w:eastAsia="宋体" w:cs="Times New Roman"/>
                <w:kern w:val="0"/>
                <w:sz w:val="15"/>
                <w:szCs w:val="15"/>
                <w:lang w:bidi="ar"/>
              </w:rPr>
            </w:pPr>
            <w:r>
              <w:rPr>
                <w:rFonts w:hint="default" w:ascii="Times New Roman" w:hAnsi="Times New Roman" w:eastAsia="宋体" w:cs="Times New Roman"/>
                <w:kern w:val="0"/>
                <w:sz w:val="15"/>
                <w:szCs w:val="15"/>
                <w:lang w:bidi="ar"/>
              </w:rPr>
              <w:t>7.2</w:t>
            </w:r>
          </w:p>
        </w:tc>
      </w:tr>
      <w:tr w14:paraId="3FA60771">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c>
          <w:tcPr>
            <w:tcW w:w="1654" w:type="dxa"/>
          </w:tcPr>
          <w:p w14:paraId="799BBDBC">
            <w:pPr>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lang w:bidi="ar"/>
              </w:rPr>
              <w:t>3</w:t>
            </w:r>
          </w:p>
        </w:tc>
        <w:tc>
          <w:tcPr>
            <w:tcW w:w="1656" w:type="dxa"/>
          </w:tcPr>
          <w:p w14:paraId="66CAE17C">
            <w:pPr>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lang w:bidi="ar"/>
              </w:rPr>
              <w:t>2.5</w:t>
            </w:r>
          </w:p>
        </w:tc>
        <w:tc>
          <w:tcPr>
            <w:tcW w:w="1656" w:type="dxa"/>
            <w:vAlign w:val="center"/>
          </w:tcPr>
          <w:p w14:paraId="10394C8F">
            <w:pPr>
              <w:widowControl/>
              <w:jc w:val="center"/>
              <w:textAlignment w:val="center"/>
              <w:rPr>
                <w:rFonts w:hint="default" w:ascii="Times New Roman" w:hAnsi="Times New Roman" w:eastAsia="宋体" w:cs="Times New Roman"/>
                <w:sz w:val="15"/>
                <w:szCs w:val="15"/>
              </w:rPr>
            </w:pPr>
            <w:r>
              <w:rPr>
                <w:rFonts w:hint="default" w:ascii="Times New Roman" w:hAnsi="Times New Roman" w:eastAsia="宋体" w:cs="Times New Roman"/>
                <w:kern w:val="0"/>
                <w:sz w:val="15"/>
                <w:szCs w:val="15"/>
                <w:lang w:bidi="ar"/>
              </w:rPr>
              <w:t>20.0</w:t>
            </w:r>
          </w:p>
        </w:tc>
        <w:tc>
          <w:tcPr>
            <w:tcW w:w="1678" w:type="dxa"/>
          </w:tcPr>
          <w:p w14:paraId="013ABCC1">
            <w:pPr>
              <w:widowControl/>
              <w:jc w:val="center"/>
              <w:textAlignment w:val="center"/>
              <w:rPr>
                <w:rFonts w:hint="default" w:ascii="Times New Roman" w:hAnsi="Times New Roman" w:eastAsia="宋体" w:cs="Times New Roman"/>
                <w:kern w:val="0"/>
                <w:sz w:val="15"/>
                <w:szCs w:val="15"/>
                <w:lang w:bidi="ar"/>
              </w:rPr>
            </w:pPr>
            <w:r>
              <w:rPr>
                <w:rFonts w:hint="eastAsia" w:ascii="Times New Roman" w:hAnsi="Times New Roman" w:eastAsia="宋体" w:cs="Times New Roman"/>
                <w:kern w:val="0"/>
                <w:sz w:val="15"/>
                <w:szCs w:val="15"/>
                <w:lang w:bidi="ar"/>
              </w:rPr>
              <w:t xml:space="preserve">0.00065 </w:t>
            </w:r>
          </w:p>
        </w:tc>
        <w:tc>
          <w:tcPr>
            <w:tcW w:w="1662" w:type="dxa"/>
            <w:vAlign w:val="center"/>
          </w:tcPr>
          <w:p w14:paraId="4567F16F">
            <w:pPr>
              <w:widowControl/>
              <w:jc w:val="center"/>
              <w:textAlignment w:val="center"/>
              <w:rPr>
                <w:rFonts w:hint="default" w:ascii="Times New Roman" w:hAnsi="Times New Roman" w:eastAsia="宋体" w:cs="Times New Roman"/>
                <w:kern w:val="0"/>
                <w:sz w:val="15"/>
                <w:szCs w:val="15"/>
                <w:lang w:bidi="ar"/>
              </w:rPr>
            </w:pPr>
            <w:r>
              <w:rPr>
                <w:rFonts w:hint="default" w:ascii="Times New Roman" w:hAnsi="Times New Roman" w:eastAsia="宋体" w:cs="Times New Roman"/>
                <w:kern w:val="0"/>
                <w:sz w:val="15"/>
                <w:szCs w:val="15"/>
                <w:lang w:bidi="ar"/>
              </w:rPr>
              <w:t>9</w:t>
            </w:r>
            <w:r>
              <w:rPr>
                <w:rFonts w:hint="eastAsia" w:ascii="Times New Roman" w:hAnsi="Times New Roman" w:eastAsia="宋体" w:cs="Times New Roman"/>
                <w:kern w:val="0"/>
                <w:sz w:val="15"/>
                <w:szCs w:val="15"/>
                <w:lang w:bidi="ar"/>
              </w:rPr>
              <w:t>.0</w:t>
            </w:r>
          </w:p>
        </w:tc>
      </w:tr>
      <w:tr w14:paraId="3B91A66D">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c>
          <w:tcPr>
            <w:tcW w:w="1654" w:type="dxa"/>
          </w:tcPr>
          <w:p w14:paraId="5F78505E">
            <w:pPr>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lang w:bidi="ar"/>
              </w:rPr>
              <w:t>4</w:t>
            </w:r>
          </w:p>
        </w:tc>
        <w:tc>
          <w:tcPr>
            <w:tcW w:w="1656" w:type="dxa"/>
          </w:tcPr>
          <w:p w14:paraId="25B00995">
            <w:pPr>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lang w:bidi="ar"/>
              </w:rPr>
              <w:t>2.5</w:t>
            </w:r>
          </w:p>
        </w:tc>
        <w:tc>
          <w:tcPr>
            <w:tcW w:w="1656" w:type="dxa"/>
            <w:vAlign w:val="center"/>
          </w:tcPr>
          <w:p w14:paraId="6D6C4E07">
            <w:pPr>
              <w:widowControl/>
              <w:jc w:val="center"/>
              <w:textAlignment w:val="center"/>
              <w:rPr>
                <w:rFonts w:hint="default" w:ascii="Times New Roman" w:hAnsi="Times New Roman" w:eastAsia="宋体" w:cs="Times New Roman"/>
                <w:sz w:val="15"/>
                <w:szCs w:val="15"/>
              </w:rPr>
            </w:pPr>
            <w:r>
              <w:rPr>
                <w:rFonts w:hint="default" w:ascii="Times New Roman" w:hAnsi="Times New Roman" w:eastAsia="宋体" w:cs="Times New Roman"/>
                <w:kern w:val="0"/>
                <w:sz w:val="15"/>
                <w:szCs w:val="15"/>
                <w:lang w:bidi="ar"/>
              </w:rPr>
              <w:t>15.0</w:t>
            </w:r>
          </w:p>
        </w:tc>
        <w:tc>
          <w:tcPr>
            <w:tcW w:w="1678" w:type="dxa"/>
          </w:tcPr>
          <w:p w14:paraId="6EFA4585">
            <w:pPr>
              <w:widowControl/>
              <w:jc w:val="center"/>
              <w:textAlignment w:val="center"/>
              <w:rPr>
                <w:rFonts w:hint="default" w:ascii="Times New Roman" w:hAnsi="Times New Roman" w:eastAsia="宋体" w:cs="Times New Roman"/>
                <w:kern w:val="0"/>
                <w:sz w:val="15"/>
                <w:szCs w:val="15"/>
                <w:lang w:bidi="ar"/>
              </w:rPr>
            </w:pPr>
            <w:r>
              <w:rPr>
                <w:rFonts w:hint="eastAsia" w:ascii="Times New Roman" w:hAnsi="Times New Roman" w:eastAsia="宋体" w:cs="Times New Roman"/>
                <w:kern w:val="0"/>
                <w:sz w:val="15"/>
                <w:szCs w:val="15"/>
                <w:lang w:bidi="ar"/>
              </w:rPr>
              <w:t xml:space="preserve">0.00049 </w:t>
            </w:r>
          </w:p>
        </w:tc>
        <w:tc>
          <w:tcPr>
            <w:tcW w:w="1662" w:type="dxa"/>
            <w:vAlign w:val="center"/>
          </w:tcPr>
          <w:p w14:paraId="1249FD93">
            <w:pPr>
              <w:widowControl/>
              <w:jc w:val="center"/>
              <w:textAlignment w:val="center"/>
              <w:rPr>
                <w:rFonts w:hint="default" w:ascii="Times New Roman" w:hAnsi="Times New Roman" w:eastAsia="宋体" w:cs="Times New Roman"/>
                <w:kern w:val="0"/>
                <w:sz w:val="15"/>
                <w:szCs w:val="15"/>
                <w:lang w:bidi="ar"/>
              </w:rPr>
            </w:pPr>
            <w:r>
              <w:rPr>
                <w:rFonts w:hint="default" w:ascii="Times New Roman" w:hAnsi="Times New Roman" w:eastAsia="宋体" w:cs="Times New Roman"/>
                <w:kern w:val="0"/>
                <w:sz w:val="15"/>
                <w:szCs w:val="15"/>
                <w:lang w:bidi="ar"/>
              </w:rPr>
              <w:t>5.4</w:t>
            </w:r>
          </w:p>
        </w:tc>
      </w:tr>
      <w:tr w14:paraId="7766323F">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c>
          <w:tcPr>
            <w:tcW w:w="1654" w:type="dxa"/>
          </w:tcPr>
          <w:p w14:paraId="5DAA7C03">
            <w:pPr>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lang w:bidi="ar"/>
              </w:rPr>
              <w:t>5</w:t>
            </w:r>
          </w:p>
        </w:tc>
        <w:tc>
          <w:tcPr>
            <w:tcW w:w="1656" w:type="dxa"/>
          </w:tcPr>
          <w:p w14:paraId="706465D0">
            <w:pPr>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lang w:bidi="ar"/>
              </w:rPr>
              <w:t>2.5</w:t>
            </w:r>
          </w:p>
        </w:tc>
        <w:tc>
          <w:tcPr>
            <w:tcW w:w="1656" w:type="dxa"/>
            <w:vAlign w:val="center"/>
          </w:tcPr>
          <w:p w14:paraId="56A2DDE3">
            <w:pPr>
              <w:widowControl/>
              <w:jc w:val="center"/>
              <w:textAlignment w:val="center"/>
              <w:rPr>
                <w:rFonts w:hint="default" w:ascii="Times New Roman" w:hAnsi="Times New Roman" w:eastAsia="宋体" w:cs="Times New Roman"/>
                <w:sz w:val="15"/>
                <w:szCs w:val="15"/>
              </w:rPr>
            </w:pPr>
            <w:r>
              <w:rPr>
                <w:rFonts w:hint="default" w:ascii="Times New Roman" w:hAnsi="Times New Roman" w:eastAsia="宋体" w:cs="Times New Roman"/>
                <w:kern w:val="0"/>
                <w:sz w:val="15"/>
                <w:szCs w:val="15"/>
                <w:lang w:bidi="ar"/>
              </w:rPr>
              <w:t>15.0</w:t>
            </w:r>
          </w:p>
        </w:tc>
        <w:tc>
          <w:tcPr>
            <w:tcW w:w="1678" w:type="dxa"/>
          </w:tcPr>
          <w:p w14:paraId="41273B16">
            <w:pPr>
              <w:widowControl/>
              <w:jc w:val="center"/>
              <w:textAlignment w:val="center"/>
              <w:rPr>
                <w:rFonts w:hint="default" w:ascii="Times New Roman" w:hAnsi="Times New Roman" w:eastAsia="宋体" w:cs="Times New Roman"/>
                <w:kern w:val="0"/>
                <w:sz w:val="15"/>
                <w:szCs w:val="15"/>
                <w:lang w:bidi="ar"/>
              </w:rPr>
            </w:pPr>
            <w:r>
              <w:rPr>
                <w:rFonts w:hint="eastAsia" w:ascii="Times New Roman" w:hAnsi="Times New Roman" w:eastAsia="宋体" w:cs="Times New Roman"/>
                <w:kern w:val="0"/>
                <w:sz w:val="15"/>
                <w:szCs w:val="15"/>
                <w:lang w:bidi="ar"/>
              </w:rPr>
              <w:t xml:space="preserve">0.00049 </w:t>
            </w:r>
          </w:p>
        </w:tc>
        <w:tc>
          <w:tcPr>
            <w:tcW w:w="1662" w:type="dxa"/>
            <w:vAlign w:val="center"/>
          </w:tcPr>
          <w:p w14:paraId="19128ADE">
            <w:pPr>
              <w:widowControl/>
              <w:jc w:val="center"/>
              <w:textAlignment w:val="center"/>
              <w:rPr>
                <w:rFonts w:hint="default" w:ascii="Times New Roman" w:hAnsi="Times New Roman" w:eastAsia="宋体" w:cs="Times New Roman"/>
                <w:kern w:val="0"/>
                <w:sz w:val="15"/>
                <w:szCs w:val="15"/>
                <w:lang w:bidi="ar"/>
              </w:rPr>
            </w:pPr>
            <w:r>
              <w:rPr>
                <w:rFonts w:hint="default" w:ascii="Times New Roman" w:hAnsi="Times New Roman" w:eastAsia="宋体" w:cs="Times New Roman"/>
                <w:kern w:val="0"/>
                <w:sz w:val="15"/>
                <w:szCs w:val="15"/>
                <w:lang w:bidi="ar"/>
              </w:rPr>
              <w:t>7.2</w:t>
            </w:r>
          </w:p>
        </w:tc>
      </w:tr>
      <w:tr w14:paraId="2CBF471B">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c>
          <w:tcPr>
            <w:tcW w:w="1654" w:type="dxa"/>
          </w:tcPr>
          <w:p w14:paraId="26A2A5A8">
            <w:pPr>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lang w:bidi="ar"/>
              </w:rPr>
              <w:t>6</w:t>
            </w:r>
          </w:p>
        </w:tc>
        <w:tc>
          <w:tcPr>
            <w:tcW w:w="1656" w:type="dxa"/>
          </w:tcPr>
          <w:p w14:paraId="48B9E0CB">
            <w:pPr>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lang w:bidi="ar"/>
              </w:rPr>
              <w:t>2.5</w:t>
            </w:r>
          </w:p>
        </w:tc>
        <w:tc>
          <w:tcPr>
            <w:tcW w:w="1656" w:type="dxa"/>
            <w:vAlign w:val="center"/>
          </w:tcPr>
          <w:p w14:paraId="1DF19F85">
            <w:pPr>
              <w:widowControl/>
              <w:jc w:val="center"/>
              <w:textAlignment w:val="center"/>
              <w:rPr>
                <w:rFonts w:hint="default" w:ascii="Times New Roman" w:hAnsi="Times New Roman" w:eastAsia="宋体" w:cs="Times New Roman"/>
                <w:sz w:val="15"/>
                <w:szCs w:val="15"/>
              </w:rPr>
            </w:pPr>
            <w:r>
              <w:rPr>
                <w:rFonts w:hint="default" w:ascii="Times New Roman" w:hAnsi="Times New Roman" w:eastAsia="宋体" w:cs="Times New Roman"/>
                <w:kern w:val="0"/>
                <w:sz w:val="15"/>
                <w:szCs w:val="15"/>
                <w:lang w:bidi="ar"/>
              </w:rPr>
              <w:t>15.0</w:t>
            </w:r>
          </w:p>
        </w:tc>
        <w:tc>
          <w:tcPr>
            <w:tcW w:w="1678" w:type="dxa"/>
          </w:tcPr>
          <w:p w14:paraId="598167A3">
            <w:pPr>
              <w:widowControl/>
              <w:jc w:val="center"/>
              <w:textAlignment w:val="center"/>
              <w:rPr>
                <w:rFonts w:hint="default" w:ascii="Times New Roman" w:hAnsi="Times New Roman" w:eastAsia="宋体" w:cs="Times New Roman"/>
                <w:kern w:val="0"/>
                <w:sz w:val="15"/>
                <w:szCs w:val="15"/>
                <w:lang w:bidi="ar"/>
              </w:rPr>
            </w:pPr>
            <w:r>
              <w:rPr>
                <w:rFonts w:hint="eastAsia" w:ascii="Times New Roman" w:hAnsi="Times New Roman" w:eastAsia="宋体" w:cs="Times New Roman"/>
                <w:kern w:val="0"/>
                <w:sz w:val="15"/>
                <w:szCs w:val="15"/>
                <w:lang w:bidi="ar"/>
              </w:rPr>
              <w:t xml:space="preserve">0.00049 </w:t>
            </w:r>
          </w:p>
        </w:tc>
        <w:tc>
          <w:tcPr>
            <w:tcW w:w="1662" w:type="dxa"/>
            <w:vAlign w:val="center"/>
          </w:tcPr>
          <w:p w14:paraId="5471CC81">
            <w:pPr>
              <w:widowControl/>
              <w:jc w:val="center"/>
              <w:textAlignment w:val="center"/>
              <w:rPr>
                <w:rFonts w:hint="default" w:ascii="Times New Roman" w:hAnsi="Times New Roman" w:eastAsia="宋体" w:cs="Times New Roman"/>
                <w:kern w:val="0"/>
                <w:sz w:val="15"/>
                <w:szCs w:val="15"/>
                <w:lang w:bidi="ar"/>
              </w:rPr>
            </w:pPr>
            <w:r>
              <w:rPr>
                <w:rFonts w:hint="default" w:ascii="Times New Roman" w:hAnsi="Times New Roman" w:eastAsia="宋体" w:cs="Times New Roman"/>
                <w:kern w:val="0"/>
                <w:sz w:val="15"/>
                <w:szCs w:val="15"/>
                <w:lang w:bidi="ar"/>
              </w:rPr>
              <w:t>9.0</w:t>
            </w:r>
          </w:p>
        </w:tc>
      </w:tr>
      <w:tr w14:paraId="22D38C90">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c>
          <w:tcPr>
            <w:tcW w:w="1654" w:type="dxa"/>
          </w:tcPr>
          <w:p w14:paraId="4117B345">
            <w:pPr>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lang w:bidi="ar"/>
              </w:rPr>
              <w:t>7</w:t>
            </w:r>
          </w:p>
        </w:tc>
        <w:tc>
          <w:tcPr>
            <w:tcW w:w="1656" w:type="dxa"/>
          </w:tcPr>
          <w:p w14:paraId="45453D73">
            <w:pPr>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lang w:bidi="ar"/>
              </w:rPr>
              <w:t>2.5</w:t>
            </w:r>
          </w:p>
        </w:tc>
        <w:tc>
          <w:tcPr>
            <w:tcW w:w="1656" w:type="dxa"/>
            <w:vAlign w:val="center"/>
          </w:tcPr>
          <w:p w14:paraId="0C534763">
            <w:pPr>
              <w:widowControl/>
              <w:jc w:val="center"/>
              <w:textAlignment w:val="center"/>
              <w:rPr>
                <w:rFonts w:hint="default" w:ascii="Times New Roman" w:hAnsi="Times New Roman" w:eastAsia="宋体" w:cs="Times New Roman"/>
                <w:sz w:val="15"/>
                <w:szCs w:val="15"/>
              </w:rPr>
            </w:pPr>
            <w:r>
              <w:rPr>
                <w:rFonts w:hint="default" w:ascii="Times New Roman" w:hAnsi="Times New Roman" w:eastAsia="宋体" w:cs="Times New Roman"/>
                <w:kern w:val="0"/>
                <w:sz w:val="15"/>
                <w:szCs w:val="15"/>
                <w:lang w:bidi="ar"/>
              </w:rPr>
              <w:t>9.5</w:t>
            </w:r>
          </w:p>
        </w:tc>
        <w:tc>
          <w:tcPr>
            <w:tcW w:w="1678" w:type="dxa"/>
          </w:tcPr>
          <w:p w14:paraId="71E655F0">
            <w:pPr>
              <w:widowControl/>
              <w:jc w:val="center"/>
              <w:textAlignment w:val="center"/>
              <w:rPr>
                <w:rFonts w:hint="default" w:ascii="Times New Roman" w:hAnsi="Times New Roman" w:eastAsia="宋体" w:cs="Times New Roman"/>
                <w:kern w:val="0"/>
                <w:sz w:val="15"/>
                <w:szCs w:val="15"/>
                <w:lang w:bidi="ar"/>
              </w:rPr>
            </w:pPr>
            <w:r>
              <w:rPr>
                <w:rFonts w:hint="eastAsia" w:ascii="Times New Roman" w:hAnsi="Times New Roman" w:eastAsia="宋体" w:cs="Times New Roman"/>
                <w:kern w:val="0"/>
                <w:sz w:val="15"/>
                <w:szCs w:val="15"/>
                <w:lang w:bidi="ar"/>
              </w:rPr>
              <w:t xml:space="preserve">0.00031 </w:t>
            </w:r>
          </w:p>
        </w:tc>
        <w:tc>
          <w:tcPr>
            <w:tcW w:w="1662" w:type="dxa"/>
            <w:vAlign w:val="center"/>
          </w:tcPr>
          <w:p w14:paraId="2C7BC223">
            <w:pPr>
              <w:widowControl/>
              <w:jc w:val="center"/>
              <w:textAlignment w:val="center"/>
              <w:rPr>
                <w:rFonts w:hint="default" w:ascii="Times New Roman" w:hAnsi="Times New Roman" w:eastAsia="宋体" w:cs="Times New Roman"/>
                <w:kern w:val="0"/>
                <w:sz w:val="15"/>
                <w:szCs w:val="15"/>
                <w:lang w:bidi="ar"/>
              </w:rPr>
            </w:pPr>
            <w:r>
              <w:rPr>
                <w:rFonts w:hint="default" w:ascii="Times New Roman" w:hAnsi="Times New Roman" w:eastAsia="宋体" w:cs="Times New Roman"/>
                <w:kern w:val="0"/>
                <w:sz w:val="15"/>
                <w:szCs w:val="15"/>
                <w:lang w:bidi="ar"/>
              </w:rPr>
              <w:t>5.4</w:t>
            </w:r>
          </w:p>
        </w:tc>
      </w:tr>
      <w:tr w14:paraId="4ED9ABC1">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c>
          <w:tcPr>
            <w:tcW w:w="1654" w:type="dxa"/>
          </w:tcPr>
          <w:p w14:paraId="28C42D9B">
            <w:pPr>
              <w:jc w:val="center"/>
              <w:rPr>
                <w:rFonts w:hint="default" w:ascii="Times New Roman" w:hAnsi="Times New Roman" w:eastAsia="宋体" w:cs="Times New Roman"/>
                <w:sz w:val="15"/>
                <w:szCs w:val="15"/>
                <w:lang w:bidi="ar"/>
              </w:rPr>
            </w:pPr>
            <w:r>
              <w:rPr>
                <w:rFonts w:hint="eastAsia" w:ascii="Times New Roman" w:hAnsi="Times New Roman" w:eastAsia="宋体" w:cs="Times New Roman"/>
                <w:sz w:val="15"/>
                <w:szCs w:val="15"/>
                <w:lang w:bidi="ar"/>
              </w:rPr>
              <w:t>8</w:t>
            </w:r>
          </w:p>
        </w:tc>
        <w:tc>
          <w:tcPr>
            <w:tcW w:w="1656" w:type="dxa"/>
          </w:tcPr>
          <w:p w14:paraId="09165D1E">
            <w:pPr>
              <w:jc w:val="center"/>
              <w:rPr>
                <w:rFonts w:hint="default" w:ascii="Times New Roman" w:hAnsi="Times New Roman" w:eastAsia="宋体" w:cs="Times New Roman"/>
                <w:sz w:val="15"/>
                <w:szCs w:val="15"/>
                <w:lang w:bidi="ar"/>
              </w:rPr>
            </w:pPr>
            <w:r>
              <w:rPr>
                <w:rFonts w:hint="eastAsia" w:ascii="Times New Roman" w:hAnsi="Times New Roman" w:eastAsia="宋体" w:cs="Times New Roman"/>
                <w:sz w:val="15"/>
                <w:szCs w:val="15"/>
                <w:lang w:bidi="ar"/>
              </w:rPr>
              <w:t>2.5</w:t>
            </w:r>
          </w:p>
        </w:tc>
        <w:tc>
          <w:tcPr>
            <w:tcW w:w="1656" w:type="dxa"/>
            <w:vAlign w:val="center"/>
          </w:tcPr>
          <w:p w14:paraId="39FEF827">
            <w:pPr>
              <w:widowControl/>
              <w:jc w:val="center"/>
              <w:textAlignment w:val="center"/>
              <w:rPr>
                <w:rFonts w:hint="default" w:ascii="Times New Roman" w:hAnsi="Times New Roman" w:eastAsia="宋体" w:cs="Times New Roman"/>
                <w:sz w:val="15"/>
                <w:szCs w:val="15"/>
                <w:lang w:bidi="ar"/>
              </w:rPr>
            </w:pPr>
            <w:r>
              <w:rPr>
                <w:rFonts w:hint="default" w:ascii="Times New Roman" w:hAnsi="Times New Roman" w:eastAsia="宋体" w:cs="Times New Roman"/>
                <w:kern w:val="0"/>
                <w:sz w:val="15"/>
                <w:szCs w:val="15"/>
                <w:lang w:bidi="ar"/>
              </w:rPr>
              <w:t>9.5</w:t>
            </w:r>
          </w:p>
        </w:tc>
        <w:tc>
          <w:tcPr>
            <w:tcW w:w="1678" w:type="dxa"/>
          </w:tcPr>
          <w:p w14:paraId="0582C91D">
            <w:pPr>
              <w:widowControl/>
              <w:jc w:val="center"/>
              <w:textAlignment w:val="center"/>
              <w:rPr>
                <w:rFonts w:hint="default" w:ascii="Times New Roman" w:hAnsi="Times New Roman" w:eastAsia="宋体" w:cs="Times New Roman"/>
                <w:kern w:val="0"/>
                <w:sz w:val="15"/>
                <w:szCs w:val="15"/>
                <w:lang w:bidi="ar"/>
              </w:rPr>
            </w:pPr>
            <w:r>
              <w:rPr>
                <w:rFonts w:hint="eastAsia" w:ascii="Times New Roman" w:hAnsi="Times New Roman" w:eastAsia="宋体" w:cs="Times New Roman"/>
                <w:kern w:val="0"/>
                <w:sz w:val="15"/>
                <w:szCs w:val="15"/>
                <w:lang w:bidi="ar"/>
              </w:rPr>
              <w:t xml:space="preserve">0.00031 </w:t>
            </w:r>
          </w:p>
        </w:tc>
        <w:tc>
          <w:tcPr>
            <w:tcW w:w="1662" w:type="dxa"/>
            <w:vAlign w:val="center"/>
          </w:tcPr>
          <w:p w14:paraId="056A01F4">
            <w:pPr>
              <w:widowControl/>
              <w:jc w:val="center"/>
              <w:textAlignment w:val="center"/>
              <w:rPr>
                <w:rFonts w:hint="default" w:ascii="Times New Roman" w:hAnsi="Times New Roman" w:eastAsia="宋体" w:cs="Times New Roman"/>
                <w:kern w:val="0"/>
                <w:sz w:val="15"/>
                <w:szCs w:val="15"/>
                <w:lang w:bidi="ar"/>
              </w:rPr>
            </w:pPr>
            <w:r>
              <w:rPr>
                <w:rFonts w:hint="default" w:ascii="Times New Roman" w:hAnsi="Times New Roman" w:eastAsia="宋体" w:cs="Times New Roman"/>
                <w:kern w:val="0"/>
                <w:sz w:val="15"/>
                <w:szCs w:val="15"/>
                <w:lang w:bidi="ar"/>
              </w:rPr>
              <w:t>7.2</w:t>
            </w:r>
          </w:p>
        </w:tc>
      </w:tr>
      <w:tr w14:paraId="141799FB">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c>
          <w:tcPr>
            <w:tcW w:w="1654" w:type="dxa"/>
          </w:tcPr>
          <w:p w14:paraId="0F9EFB36">
            <w:pPr>
              <w:jc w:val="center"/>
              <w:rPr>
                <w:rFonts w:hint="default" w:ascii="Times New Roman" w:hAnsi="Times New Roman" w:eastAsia="宋体" w:cs="Times New Roman"/>
                <w:sz w:val="15"/>
                <w:szCs w:val="15"/>
                <w:lang w:bidi="ar"/>
              </w:rPr>
            </w:pPr>
            <w:r>
              <w:rPr>
                <w:rFonts w:hint="eastAsia" w:ascii="Times New Roman" w:hAnsi="Times New Roman" w:eastAsia="宋体" w:cs="Times New Roman"/>
                <w:sz w:val="15"/>
                <w:szCs w:val="15"/>
                <w:lang w:bidi="ar"/>
              </w:rPr>
              <w:t>9</w:t>
            </w:r>
          </w:p>
        </w:tc>
        <w:tc>
          <w:tcPr>
            <w:tcW w:w="1656" w:type="dxa"/>
          </w:tcPr>
          <w:p w14:paraId="6117EFE7">
            <w:pPr>
              <w:jc w:val="center"/>
              <w:rPr>
                <w:rFonts w:hint="default" w:ascii="Times New Roman" w:hAnsi="Times New Roman" w:eastAsia="宋体" w:cs="Times New Roman"/>
                <w:sz w:val="15"/>
                <w:szCs w:val="15"/>
                <w:lang w:bidi="ar"/>
              </w:rPr>
            </w:pPr>
            <w:r>
              <w:rPr>
                <w:rFonts w:hint="eastAsia" w:ascii="Times New Roman" w:hAnsi="Times New Roman" w:eastAsia="宋体" w:cs="Times New Roman"/>
                <w:sz w:val="15"/>
                <w:szCs w:val="15"/>
                <w:lang w:bidi="ar"/>
              </w:rPr>
              <w:t>2.5</w:t>
            </w:r>
          </w:p>
        </w:tc>
        <w:tc>
          <w:tcPr>
            <w:tcW w:w="1656" w:type="dxa"/>
            <w:vAlign w:val="center"/>
          </w:tcPr>
          <w:p w14:paraId="6E5B4DFA">
            <w:pPr>
              <w:widowControl/>
              <w:jc w:val="center"/>
              <w:textAlignment w:val="center"/>
              <w:rPr>
                <w:rFonts w:hint="default" w:ascii="Times New Roman" w:hAnsi="Times New Roman" w:eastAsia="宋体" w:cs="Times New Roman"/>
                <w:sz w:val="15"/>
                <w:szCs w:val="15"/>
                <w:lang w:bidi="ar"/>
              </w:rPr>
            </w:pPr>
            <w:r>
              <w:rPr>
                <w:rFonts w:hint="default" w:ascii="Times New Roman" w:hAnsi="Times New Roman" w:eastAsia="宋体" w:cs="Times New Roman"/>
                <w:kern w:val="0"/>
                <w:sz w:val="15"/>
                <w:szCs w:val="15"/>
                <w:lang w:bidi="ar"/>
              </w:rPr>
              <w:t>9.5</w:t>
            </w:r>
          </w:p>
        </w:tc>
        <w:tc>
          <w:tcPr>
            <w:tcW w:w="1678" w:type="dxa"/>
          </w:tcPr>
          <w:p w14:paraId="3FCB6096">
            <w:pPr>
              <w:widowControl/>
              <w:jc w:val="center"/>
              <w:textAlignment w:val="center"/>
              <w:rPr>
                <w:rFonts w:hint="default" w:ascii="Times New Roman" w:hAnsi="Times New Roman" w:eastAsia="宋体" w:cs="Times New Roman"/>
                <w:kern w:val="0"/>
                <w:sz w:val="15"/>
                <w:szCs w:val="15"/>
                <w:lang w:bidi="ar"/>
              </w:rPr>
            </w:pPr>
            <w:r>
              <w:rPr>
                <w:rFonts w:hint="eastAsia" w:ascii="Times New Roman" w:hAnsi="Times New Roman" w:eastAsia="宋体" w:cs="Times New Roman"/>
                <w:kern w:val="0"/>
                <w:sz w:val="15"/>
                <w:szCs w:val="15"/>
                <w:lang w:bidi="ar"/>
              </w:rPr>
              <w:t xml:space="preserve">0.00031 </w:t>
            </w:r>
          </w:p>
        </w:tc>
        <w:tc>
          <w:tcPr>
            <w:tcW w:w="1662" w:type="dxa"/>
            <w:vAlign w:val="center"/>
          </w:tcPr>
          <w:p w14:paraId="78454291">
            <w:pPr>
              <w:widowControl/>
              <w:jc w:val="center"/>
              <w:textAlignment w:val="center"/>
              <w:rPr>
                <w:rFonts w:hint="default" w:ascii="Times New Roman" w:hAnsi="Times New Roman" w:eastAsia="宋体" w:cs="Times New Roman"/>
                <w:kern w:val="0"/>
                <w:sz w:val="15"/>
                <w:szCs w:val="15"/>
                <w:lang w:bidi="ar"/>
              </w:rPr>
            </w:pPr>
            <w:r>
              <w:rPr>
                <w:rFonts w:hint="default" w:ascii="Times New Roman" w:hAnsi="Times New Roman" w:eastAsia="宋体" w:cs="Times New Roman"/>
                <w:kern w:val="0"/>
                <w:sz w:val="15"/>
                <w:szCs w:val="15"/>
                <w:lang w:bidi="ar"/>
              </w:rPr>
              <w:t>9.0</w:t>
            </w:r>
          </w:p>
        </w:tc>
      </w:tr>
      <w:tr w14:paraId="0FE60AC5">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c>
          <w:tcPr>
            <w:tcW w:w="1654" w:type="dxa"/>
          </w:tcPr>
          <w:p w14:paraId="687AFBD6">
            <w:pPr>
              <w:jc w:val="center"/>
              <w:rPr>
                <w:rFonts w:hint="default" w:ascii="Times New Roman" w:hAnsi="Times New Roman" w:eastAsia="宋体" w:cs="Times New Roman"/>
                <w:sz w:val="15"/>
                <w:szCs w:val="15"/>
                <w:lang w:bidi="ar"/>
              </w:rPr>
            </w:pPr>
            <w:r>
              <w:rPr>
                <w:rFonts w:hint="eastAsia" w:ascii="Times New Roman" w:hAnsi="Times New Roman" w:eastAsia="宋体" w:cs="Times New Roman"/>
                <w:sz w:val="15"/>
                <w:szCs w:val="15"/>
                <w:lang w:bidi="ar"/>
              </w:rPr>
              <w:t>10</w:t>
            </w:r>
          </w:p>
        </w:tc>
        <w:tc>
          <w:tcPr>
            <w:tcW w:w="1656" w:type="dxa"/>
          </w:tcPr>
          <w:p w14:paraId="511C2FC9">
            <w:pPr>
              <w:jc w:val="center"/>
              <w:rPr>
                <w:rFonts w:hint="default" w:ascii="Times New Roman" w:hAnsi="Times New Roman" w:eastAsia="宋体" w:cs="Times New Roman"/>
                <w:sz w:val="15"/>
                <w:szCs w:val="15"/>
                <w:lang w:bidi="ar"/>
              </w:rPr>
            </w:pPr>
            <w:r>
              <w:rPr>
                <w:rFonts w:hint="eastAsia" w:ascii="Times New Roman" w:hAnsi="Times New Roman" w:eastAsia="宋体" w:cs="Times New Roman"/>
                <w:sz w:val="15"/>
                <w:szCs w:val="15"/>
                <w:lang w:bidi="ar"/>
              </w:rPr>
              <w:t>2.5</w:t>
            </w:r>
          </w:p>
        </w:tc>
        <w:tc>
          <w:tcPr>
            <w:tcW w:w="1656" w:type="dxa"/>
            <w:vAlign w:val="center"/>
          </w:tcPr>
          <w:p w14:paraId="41621334">
            <w:pPr>
              <w:widowControl/>
              <w:jc w:val="center"/>
              <w:textAlignment w:val="center"/>
              <w:rPr>
                <w:rFonts w:hint="default" w:ascii="Times New Roman" w:hAnsi="Times New Roman" w:eastAsia="宋体" w:cs="Times New Roman"/>
                <w:sz w:val="15"/>
                <w:szCs w:val="15"/>
                <w:lang w:bidi="ar"/>
              </w:rPr>
            </w:pPr>
            <w:r>
              <w:rPr>
                <w:rFonts w:hint="default" w:ascii="Times New Roman" w:hAnsi="Times New Roman" w:eastAsia="宋体" w:cs="Times New Roman"/>
                <w:kern w:val="0"/>
                <w:sz w:val="15"/>
                <w:szCs w:val="15"/>
                <w:lang w:bidi="ar"/>
              </w:rPr>
              <w:t>5.0</w:t>
            </w:r>
          </w:p>
        </w:tc>
        <w:tc>
          <w:tcPr>
            <w:tcW w:w="1678" w:type="dxa"/>
          </w:tcPr>
          <w:p w14:paraId="6A877BEB">
            <w:pPr>
              <w:widowControl/>
              <w:jc w:val="center"/>
              <w:textAlignment w:val="center"/>
              <w:rPr>
                <w:rFonts w:hint="default" w:ascii="Times New Roman" w:hAnsi="Times New Roman" w:eastAsia="宋体" w:cs="Times New Roman"/>
                <w:kern w:val="0"/>
                <w:sz w:val="15"/>
                <w:szCs w:val="15"/>
                <w:lang w:bidi="ar"/>
              </w:rPr>
            </w:pPr>
            <w:r>
              <w:rPr>
                <w:rFonts w:hint="eastAsia" w:ascii="Times New Roman" w:hAnsi="Times New Roman" w:eastAsia="宋体" w:cs="Times New Roman"/>
                <w:kern w:val="0"/>
                <w:sz w:val="15"/>
                <w:szCs w:val="15"/>
                <w:lang w:bidi="ar"/>
              </w:rPr>
              <w:t xml:space="preserve">0.00016 </w:t>
            </w:r>
          </w:p>
        </w:tc>
        <w:tc>
          <w:tcPr>
            <w:tcW w:w="1662" w:type="dxa"/>
            <w:vAlign w:val="center"/>
          </w:tcPr>
          <w:p w14:paraId="6AA9D1E4">
            <w:pPr>
              <w:widowControl/>
              <w:jc w:val="center"/>
              <w:textAlignment w:val="center"/>
              <w:rPr>
                <w:rFonts w:hint="default" w:ascii="Times New Roman" w:hAnsi="Times New Roman" w:eastAsia="宋体" w:cs="Times New Roman"/>
                <w:kern w:val="0"/>
                <w:sz w:val="15"/>
                <w:szCs w:val="15"/>
                <w:lang w:bidi="ar"/>
              </w:rPr>
            </w:pPr>
            <w:r>
              <w:rPr>
                <w:rFonts w:hint="default" w:ascii="Times New Roman" w:hAnsi="Times New Roman" w:eastAsia="宋体" w:cs="Times New Roman"/>
                <w:kern w:val="0"/>
                <w:sz w:val="15"/>
                <w:szCs w:val="15"/>
                <w:lang w:bidi="ar"/>
              </w:rPr>
              <w:t>5.4</w:t>
            </w:r>
          </w:p>
        </w:tc>
      </w:tr>
      <w:tr w14:paraId="6FA105AF">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c>
          <w:tcPr>
            <w:tcW w:w="1654" w:type="dxa"/>
          </w:tcPr>
          <w:p w14:paraId="0737F379">
            <w:pPr>
              <w:jc w:val="center"/>
              <w:rPr>
                <w:rFonts w:hint="default" w:ascii="Times New Roman" w:hAnsi="Times New Roman" w:eastAsia="宋体" w:cs="Times New Roman"/>
                <w:sz w:val="15"/>
                <w:szCs w:val="15"/>
                <w:lang w:bidi="ar"/>
              </w:rPr>
            </w:pPr>
            <w:r>
              <w:rPr>
                <w:rFonts w:hint="eastAsia" w:ascii="Times New Roman" w:hAnsi="Times New Roman" w:eastAsia="宋体" w:cs="Times New Roman"/>
                <w:sz w:val="15"/>
                <w:szCs w:val="15"/>
                <w:lang w:bidi="ar"/>
              </w:rPr>
              <w:t>11</w:t>
            </w:r>
          </w:p>
        </w:tc>
        <w:tc>
          <w:tcPr>
            <w:tcW w:w="1656" w:type="dxa"/>
          </w:tcPr>
          <w:p w14:paraId="08841C83">
            <w:pPr>
              <w:jc w:val="center"/>
              <w:rPr>
                <w:rFonts w:hint="default" w:ascii="Times New Roman" w:hAnsi="Times New Roman" w:eastAsia="宋体" w:cs="Times New Roman"/>
                <w:sz w:val="15"/>
                <w:szCs w:val="15"/>
                <w:lang w:bidi="ar"/>
              </w:rPr>
            </w:pPr>
            <w:r>
              <w:rPr>
                <w:rFonts w:hint="eastAsia" w:ascii="Times New Roman" w:hAnsi="Times New Roman" w:eastAsia="宋体" w:cs="Times New Roman"/>
                <w:sz w:val="15"/>
                <w:szCs w:val="15"/>
                <w:lang w:bidi="ar"/>
              </w:rPr>
              <w:t>2.5</w:t>
            </w:r>
          </w:p>
        </w:tc>
        <w:tc>
          <w:tcPr>
            <w:tcW w:w="1656" w:type="dxa"/>
            <w:vAlign w:val="center"/>
          </w:tcPr>
          <w:p w14:paraId="4F467FDE">
            <w:pPr>
              <w:widowControl/>
              <w:jc w:val="center"/>
              <w:textAlignment w:val="center"/>
              <w:rPr>
                <w:rFonts w:hint="default" w:ascii="Times New Roman" w:hAnsi="Times New Roman" w:eastAsia="宋体" w:cs="Times New Roman"/>
                <w:sz w:val="15"/>
                <w:szCs w:val="15"/>
                <w:lang w:bidi="ar"/>
              </w:rPr>
            </w:pPr>
            <w:r>
              <w:rPr>
                <w:rFonts w:hint="default" w:ascii="Times New Roman" w:hAnsi="Times New Roman" w:eastAsia="宋体" w:cs="Times New Roman"/>
                <w:kern w:val="0"/>
                <w:sz w:val="15"/>
                <w:szCs w:val="15"/>
                <w:lang w:bidi="ar"/>
              </w:rPr>
              <w:t>5.0</w:t>
            </w:r>
          </w:p>
        </w:tc>
        <w:tc>
          <w:tcPr>
            <w:tcW w:w="1678" w:type="dxa"/>
          </w:tcPr>
          <w:p w14:paraId="5EA43CEA">
            <w:pPr>
              <w:widowControl/>
              <w:jc w:val="center"/>
              <w:textAlignment w:val="center"/>
              <w:rPr>
                <w:rFonts w:hint="default" w:ascii="Times New Roman" w:hAnsi="Times New Roman" w:eastAsia="宋体" w:cs="Times New Roman"/>
                <w:kern w:val="0"/>
                <w:sz w:val="15"/>
                <w:szCs w:val="15"/>
                <w:lang w:bidi="ar"/>
              </w:rPr>
            </w:pPr>
            <w:r>
              <w:rPr>
                <w:rFonts w:hint="eastAsia" w:ascii="Times New Roman" w:hAnsi="Times New Roman" w:eastAsia="宋体" w:cs="Times New Roman"/>
                <w:kern w:val="0"/>
                <w:sz w:val="15"/>
                <w:szCs w:val="15"/>
                <w:lang w:bidi="ar"/>
              </w:rPr>
              <w:t xml:space="preserve">0.00016 </w:t>
            </w:r>
          </w:p>
        </w:tc>
        <w:tc>
          <w:tcPr>
            <w:tcW w:w="1662" w:type="dxa"/>
            <w:vAlign w:val="center"/>
          </w:tcPr>
          <w:p w14:paraId="5DC1D1F8">
            <w:pPr>
              <w:widowControl/>
              <w:jc w:val="center"/>
              <w:textAlignment w:val="center"/>
              <w:rPr>
                <w:rFonts w:hint="default" w:ascii="Times New Roman" w:hAnsi="Times New Roman" w:eastAsia="宋体" w:cs="Times New Roman"/>
                <w:kern w:val="0"/>
                <w:sz w:val="15"/>
                <w:szCs w:val="15"/>
                <w:lang w:bidi="ar"/>
              </w:rPr>
            </w:pPr>
            <w:r>
              <w:rPr>
                <w:rFonts w:hint="default" w:ascii="Times New Roman" w:hAnsi="Times New Roman" w:eastAsia="宋体" w:cs="Times New Roman"/>
                <w:kern w:val="0"/>
                <w:sz w:val="15"/>
                <w:szCs w:val="15"/>
                <w:lang w:bidi="ar"/>
              </w:rPr>
              <w:t>7.2</w:t>
            </w:r>
          </w:p>
        </w:tc>
      </w:tr>
      <w:tr w14:paraId="2A8C81BE">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c>
          <w:tcPr>
            <w:tcW w:w="1654" w:type="dxa"/>
            <w:tcBorders>
              <w:top w:val="nil"/>
              <w:left w:val="nil"/>
              <w:bottom w:val="single" w:color="auto" w:sz="12" w:space="0"/>
              <w:right w:val="nil"/>
            </w:tcBorders>
          </w:tcPr>
          <w:p w14:paraId="0F640EAD">
            <w:pPr>
              <w:jc w:val="center"/>
              <w:rPr>
                <w:rFonts w:hint="default" w:ascii="Times New Roman" w:hAnsi="Times New Roman" w:eastAsia="宋体" w:cs="Times New Roman"/>
                <w:sz w:val="15"/>
                <w:szCs w:val="15"/>
              </w:rPr>
            </w:pPr>
            <w:r>
              <w:rPr>
                <w:rFonts w:hint="eastAsia" w:ascii="Times New Roman" w:hAnsi="Times New Roman" w:eastAsia="宋体" w:cs="Times New Roman"/>
                <w:sz w:val="15"/>
                <w:szCs w:val="15"/>
                <w:lang w:bidi="ar"/>
              </w:rPr>
              <w:t>12</w:t>
            </w:r>
          </w:p>
        </w:tc>
        <w:tc>
          <w:tcPr>
            <w:tcW w:w="1656" w:type="dxa"/>
            <w:tcBorders>
              <w:top w:val="nil"/>
              <w:left w:val="nil"/>
              <w:bottom w:val="single" w:color="auto" w:sz="12" w:space="0"/>
              <w:right w:val="nil"/>
            </w:tcBorders>
          </w:tcPr>
          <w:p w14:paraId="0C93BF51">
            <w:pPr>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lang w:bidi="ar"/>
              </w:rPr>
              <w:t>2.5</w:t>
            </w:r>
          </w:p>
        </w:tc>
        <w:tc>
          <w:tcPr>
            <w:tcW w:w="1656" w:type="dxa"/>
            <w:tcBorders>
              <w:top w:val="nil"/>
              <w:left w:val="nil"/>
              <w:bottom w:val="single" w:color="auto" w:sz="12" w:space="0"/>
              <w:right w:val="nil"/>
            </w:tcBorders>
            <w:vAlign w:val="center"/>
          </w:tcPr>
          <w:p w14:paraId="1B1F504F">
            <w:pPr>
              <w:widowControl/>
              <w:jc w:val="center"/>
              <w:textAlignment w:val="center"/>
              <w:rPr>
                <w:rFonts w:hint="default" w:ascii="Times New Roman" w:hAnsi="Times New Roman" w:eastAsia="宋体" w:cs="Times New Roman"/>
                <w:sz w:val="15"/>
                <w:szCs w:val="15"/>
              </w:rPr>
            </w:pPr>
            <w:r>
              <w:rPr>
                <w:rFonts w:hint="default" w:ascii="Times New Roman" w:hAnsi="Times New Roman" w:eastAsia="宋体" w:cs="Times New Roman"/>
                <w:kern w:val="0"/>
                <w:sz w:val="15"/>
                <w:szCs w:val="15"/>
                <w:lang w:bidi="ar"/>
              </w:rPr>
              <w:t>5.0</w:t>
            </w:r>
          </w:p>
        </w:tc>
        <w:tc>
          <w:tcPr>
            <w:tcW w:w="1678" w:type="dxa"/>
            <w:tcBorders>
              <w:top w:val="nil"/>
              <w:left w:val="nil"/>
              <w:bottom w:val="single" w:color="auto" w:sz="12" w:space="0"/>
              <w:right w:val="nil"/>
            </w:tcBorders>
          </w:tcPr>
          <w:p w14:paraId="1B589DED">
            <w:pPr>
              <w:widowControl/>
              <w:jc w:val="center"/>
              <w:textAlignment w:val="center"/>
              <w:rPr>
                <w:rFonts w:hint="default" w:ascii="Times New Roman" w:hAnsi="Times New Roman" w:eastAsia="宋体" w:cs="Times New Roman"/>
                <w:kern w:val="0"/>
                <w:sz w:val="15"/>
                <w:szCs w:val="15"/>
                <w:lang w:bidi="ar"/>
              </w:rPr>
            </w:pPr>
            <w:r>
              <w:rPr>
                <w:rFonts w:hint="eastAsia" w:ascii="Times New Roman" w:hAnsi="Times New Roman" w:eastAsia="宋体" w:cs="Times New Roman"/>
                <w:kern w:val="0"/>
                <w:sz w:val="15"/>
                <w:szCs w:val="15"/>
                <w:lang w:bidi="ar"/>
              </w:rPr>
              <w:t xml:space="preserve">0.00016 </w:t>
            </w:r>
          </w:p>
        </w:tc>
        <w:tc>
          <w:tcPr>
            <w:tcW w:w="1662" w:type="dxa"/>
            <w:tcBorders>
              <w:top w:val="nil"/>
              <w:left w:val="nil"/>
              <w:bottom w:val="single" w:color="auto" w:sz="12" w:space="0"/>
              <w:right w:val="nil"/>
            </w:tcBorders>
            <w:vAlign w:val="center"/>
          </w:tcPr>
          <w:p w14:paraId="31AF3B8E">
            <w:pPr>
              <w:widowControl/>
              <w:jc w:val="center"/>
              <w:textAlignment w:val="center"/>
              <w:rPr>
                <w:rFonts w:hint="default" w:ascii="Times New Roman" w:hAnsi="Times New Roman" w:eastAsia="宋体" w:cs="Times New Roman"/>
                <w:kern w:val="0"/>
                <w:sz w:val="15"/>
                <w:szCs w:val="15"/>
                <w:lang w:bidi="ar"/>
              </w:rPr>
            </w:pPr>
            <w:r>
              <w:rPr>
                <w:rFonts w:hint="default" w:ascii="Times New Roman" w:hAnsi="Times New Roman" w:eastAsia="宋体" w:cs="Times New Roman"/>
                <w:kern w:val="0"/>
                <w:sz w:val="15"/>
                <w:szCs w:val="15"/>
                <w:lang w:bidi="ar"/>
              </w:rPr>
              <w:t>9.0</w:t>
            </w:r>
          </w:p>
        </w:tc>
      </w:tr>
    </w:tbl>
    <w:p w14:paraId="6B5A109D">
      <w:pPr>
        <w:ind w:firstLine="360" w:firstLineChars="200"/>
        <w:jc w:val="center"/>
        <w:rPr>
          <w:rFonts w:ascii="Times New Roman" w:hAnsi="Times New Roman" w:eastAsia="黑体" w:cs="Times New Roman"/>
          <w:sz w:val="18"/>
          <w:szCs w:val="18"/>
        </w:rPr>
      </w:pPr>
      <w:r>
        <w:rPr>
          <w:rFonts w:ascii="Times New Roman" w:hAnsi="Times New Roman" w:eastAsia="黑体" w:cs="Times New Roman"/>
          <w:sz w:val="18"/>
          <w:szCs w:val="18"/>
        </w:rPr>
        <w:t>表</w:t>
      </w:r>
      <w:r>
        <w:rPr>
          <w:rFonts w:hint="eastAsia" w:ascii="Times New Roman" w:hAnsi="Times New Roman" w:eastAsia="黑体" w:cs="Times New Roman"/>
          <w:sz w:val="18"/>
          <w:szCs w:val="18"/>
        </w:rPr>
        <w:t>5</w:t>
      </w:r>
      <w:r>
        <w:rPr>
          <w:rFonts w:ascii="Times New Roman" w:hAnsi="Times New Roman" w:eastAsia="黑体" w:cs="Times New Roman"/>
          <w:sz w:val="18"/>
          <w:szCs w:val="18"/>
        </w:rPr>
        <w:t>测试组方案</w:t>
      </w:r>
    </w:p>
    <w:p w14:paraId="793C58E2">
      <w:pPr>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Table 5 Testing group schemes</w:t>
      </w:r>
    </w:p>
    <w:tbl>
      <w:tblPr>
        <w:tblStyle w:val="15"/>
        <w:tblW w:w="0" w:type="auto"/>
        <w:tblInd w:w="0" w:type="dxa"/>
        <w:tblBorders>
          <w:top w:val="none" w:color="auto" w:sz="4" w:space="0"/>
          <w:left w:val="none" w:color="auto" w:sz="4" w:space="0"/>
          <w:bottom w:val="none" w:color="auto" w:sz="4" w:space="0"/>
          <w:right w:val="none" w:color="auto" w:sz="4" w:space="0"/>
          <w:insideH w:val="none" w:color="auto" w:sz="4" w:space="0"/>
          <w:insideV w:val="none" w:color="auto" w:sz="4" w:space="0"/>
        </w:tblBorders>
        <w:tblLayout w:type="autofit"/>
        <w:tblCellMar>
          <w:top w:w="0" w:type="dxa"/>
          <w:left w:w="108" w:type="dxa"/>
          <w:bottom w:w="0" w:type="dxa"/>
          <w:right w:w="108" w:type="dxa"/>
        </w:tblCellMar>
      </w:tblPr>
      <w:tblGrid>
        <w:gridCol w:w="1654"/>
        <w:gridCol w:w="1654"/>
        <w:gridCol w:w="1660"/>
        <w:gridCol w:w="1677"/>
        <w:gridCol w:w="1661"/>
      </w:tblGrid>
      <w:tr w14:paraId="5B19BAE0">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04" w:hRule="atLeast"/>
        </w:trPr>
        <w:tc>
          <w:tcPr>
            <w:tcW w:w="1654" w:type="dxa"/>
            <w:tcBorders>
              <w:top w:val="single" w:color="auto" w:sz="12" w:space="0"/>
              <w:left w:val="nil"/>
              <w:bottom w:val="single" w:color="auto" w:sz="4" w:space="0"/>
              <w:right w:val="nil"/>
            </w:tcBorders>
            <w:vAlign w:val="center"/>
          </w:tcPr>
          <w:p w14:paraId="1B2ACE10">
            <w:pPr>
              <w:spacing w:after="0" w:line="271" w:lineRule="auto"/>
              <w:jc w:val="center"/>
              <w:rPr>
                <w:rFonts w:hint="default" w:ascii="Times New Roman" w:hAnsi="Times New Roman" w:cs="Times New Roman"/>
                <w:sz w:val="15"/>
                <w:szCs w:val="15"/>
              </w:rPr>
            </w:pPr>
            <w:r>
              <w:rPr>
                <w:rFonts w:hint="eastAsia" w:ascii="宋体" w:hAnsi="宋体" w:eastAsia="宋体" w:cs="宋体"/>
                <w:sz w:val="15"/>
                <w:szCs w:val="15"/>
                <w:lang w:bidi="ar"/>
              </w:rPr>
              <w:t>序号</w:t>
            </w:r>
          </w:p>
        </w:tc>
        <w:tc>
          <w:tcPr>
            <w:tcW w:w="1654" w:type="dxa"/>
            <w:tcBorders>
              <w:top w:val="single" w:color="auto" w:sz="12" w:space="0"/>
              <w:left w:val="nil"/>
              <w:bottom w:val="single" w:color="auto" w:sz="4" w:space="0"/>
              <w:right w:val="nil"/>
            </w:tcBorders>
            <w:vAlign w:val="center"/>
          </w:tcPr>
          <w:p w14:paraId="54300E4F">
            <w:pPr>
              <w:spacing w:after="0" w:line="271" w:lineRule="auto"/>
              <w:jc w:val="center"/>
              <w:rPr>
                <w:rFonts w:hint="default" w:ascii="Times New Roman" w:hAnsi="Times New Roman" w:cs="Times New Roman"/>
                <w:sz w:val="15"/>
                <w:szCs w:val="15"/>
              </w:rPr>
            </w:pPr>
            <w:r>
              <w:rPr>
                <w:rFonts w:hint="eastAsia" w:ascii="宋体" w:hAnsi="宋体" w:eastAsia="宋体" w:cs="宋体"/>
                <w:sz w:val="15"/>
                <w:szCs w:val="15"/>
                <w:lang w:bidi="ar"/>
              </w:rPr>
              <w:t>直径</w:t>
            </w:r>
            <w:r>
              <w:rPr>
                <w:rFonts w:hint="eastAsia" w:ascii="Times New Roman" w:hAnsi="Times New Roman" w:cs="Times New Roman"/>
                <w:i/>
                <w:iCs/>
                <w:kern w:val="0"/>
                <w:szCs w:val="21"/>
              </w:rPr>
              <w:t>/</w:t>
            </w:r>
            <w:r>
              <w:rPr>
                <w:rFonts w:hint="default" w:ascii="Times New Roman" w:hAnsi="Times New Roman" w:eastAsia="宋体" w:cs="Times New Roman"/>
                <w:sz w:val="15"/>
                <w:szCs w:val="15"/>
                <w:lang w:bidi="ar"/>
              </w:rPr>
              <w:t>m</w:t>
            </w:r>
          </w:p>
        </w:tc>
        <w:tc>
          <w:tcPr>
            <w:tcW w:w="1660" w:type="dxa"/>
            <w:tcBorders>
              <w:top w:val="single" w:color="auto" w:sz="12" w:space="0"/>
              <w:left w:val="nil"/>
              <w:bottom w:val="single" w:color="auto" w:sz="4" w:space="0"/>
              <w:right w:val="nil"/>
            </w:tcBorders>
            <w:vAlign w:val="center"/>
          </w:tcPr>
          <w:p w14:paraId="52A1C603">
            <w:pPr>
              <w:spacing w:after="0" w:line="271" w:lineRule="auto"/>
              <w:jc w:val="center"/>
              <w:rPr>
                <w:rFonts w:hint="default" w:ascii="Times New Roman" w:hAnsi="Times New Roman" w:cs="Times New Roman"/>
                <w:sz w:val="15"/>
                <w:szCs w:val="15"/>
              </w:rPr>
            </w:pPr>
            <w:r>
              <w:rPr>
                <w:rFonts w:hint="eastAsia" w:ascii="宋体" w:hAnsi="宋体" w:eastAsia="宋体" w:cs="宋体"/>
                <w:sz w:val="15"/>
                <w:szCs w:val="15"/>
                <w:lang w:bidi="ar"/>
              </w:rPr>
              <w:t>流量</w:t>
            </w:r>
            <w:r>
              <w:rPr>
                <w:rFonts w:hint="eastAsia" w:ascii="Times New Roman" w:hAnsi="Times New Roman" w:cs="Times New Roman"/>
                <w:i/>
                <w:iCs/>
                <w:kern w:val="0"/>
                <w:szCs w:val="21"/>
              </w:rPr>
              <w:t>/</w:t>
            </w:r>
            <w:r>
              <w:rPr>
                <w:rFonts w:hint="default" w:ascii="Times New Roman" w:hAnsi="Times New Roman" w:eastAsia="宋体" w:cs="Times New Roman"/>
                <w:sz w:val="15"/>
                <w:szCs w:val="15"/>
                <w:lang w:bidi="ar"/>
              </w:rPr>
              <w:t>L·s</w:t>
            </w:r>
            <w:r>
              <w:rPr>
                <w:rFonts w:hint="eastAsia" w:ascii="Times New Roman" w:hAnsi="Times New Roman" w:eastAsia="宋体" w:cs="Times New Roman"/>
                <w:sz w:val="15"/>
                <w:szCs w:val="15"/>
                <w:vertAlign w:val="superscript"/>
                <w:lang w:bidi="ar"/>
              </w:rPr>
              <w:t>-1</w:t>
            </w:r>
          </w:p>
        </w:tc>
        <w:tc>
          <w:tcPr>
            <w:tcW w:w="1677" w:type="dxa"/>
            <w:tcBorders>
              <w:top w:val="single" w:color="auto" w:sz="12" w:space="0"/>
              <w:left w:val="nil"/>
              <w:bottom w:val="single" w:color="auto" w:sz="4" w:space="0"/>
              <w:right w:val="nil"/>
            </w:tcBorders>
            <w:vAlign w:val="center"/>
          </w:tcPr>
          <w:p w14:paraId="23364EB6">
            <w:pPr>
              <w:spacing w:after="0" w:line="271" w:lineRule="auto"/>
              <w:jc w:val="center"/>
              <w:rPr>
                <w:rFonts w:hint="default" w:ascii="Times New Roman" w:hAnsi="Times New Roman" w:cs="Times New Roman"/>
                <w:i/>
                <w:iCs/>
                <w:sz w:val="15"/>
                <w:szCs w:val="15"/>
              </w:rPr>
            </w:pPr>
            <w:r>
              <w:rPr>
                <w:rFonts w:hint="default" w:ascii="Times New Roman" w:hAnsi="Times New Roman" w:eastAsia="宋体" w:cs="Times New Roman"/>
                <w:i/>
                <w:iCs/>
                <w:sz w:val="15"/>
                <w:szCs w:val="15"/>
                <w:lang w:bidi="ar"/>
              </w:rPr>
              <w:t>L</w:t>
            </w:r>
          </w:p>
        </w:tc>
        <w:tc>
          <w:tcPr>
            <w:tcW w:w="1661" w:type="dxa"/>
            <w:tcBorders>
              <w:top w:val="single" w:color="auto" w:sz="12" w:space="0"/>
              <w:left w:val="nil"/>
              <w:bottom w:val="single" w:color="auto" w:sz="4" w:space="0"/>
              <w:right w:val="nil"/>
            </w:tcBorders>
            <w:vAlign w:val="center"/>
          </w:tcPr>
          <w:p w14:paraId="75766BFD">
            <w:pPr>
              <w:spacing w:after="0" w:line="271" w:lineRule="auto"/>
              <w:jc w:val="center"/>
              <w:rPr>
                <w:rFonts w:hint="default" w:ascii="Times New Roman" w:hAnsi="Times New Roman" w:eastAsia="宋体" w:cs="Times New Roman"/>
                <w:i/>
                <w:iCs/>
                <w:sz w:val="15"/>
                <w:szCs w:val="15"/>
                <w:lang w:bidi="ar"/>
              </w:rPr>
            </w:pPr>
            <w:r>
              <w:rPr>
                <w:rFonts w:hint="default" w:ascii="Times New Roman" w:hAnsi="Times New Roman" w:eastAsia="宋体" w:cs="Times New Roman"/>
                <w:sz w:val="15"/>
                <w:szCs w:val="15"/>
              </w:rPr>
              <w:t>含沙浓度</w:t>
            </w:r>
            <w:r>
              <w:rPr>
                <w:rFonts w:hint="default" w:ascii="Times New Roman" w:hAnsi="Times New Roman" w:eastAsia="宋体" w:cs="Times New Roman"/>
                <w:i/>
                <w:iCs/>
                <w:sz w:val="15"/>
                <w:szCs w:val="15"/>
              </w:rPr>
              <w:t>S</w:t>
            </w:r>
            <w:r>
              <w:rPr>
                <w:rFonts w:hint="eastAsia" w:ascii="Times New Roman" w:hAnsi="Times New Roman"/>
                <w:kern w:val="0"/>
                <w:szCs w:val="21"/>
              </w:rPr>
              <w:t>/</w:t>
            </w:r>
            <w:r>
              <w:rPr>
                <w:rFonts w:hint="default" w:ascii="Times New Roman" w:hAnsi="Times New Roman"/>
                <w:kern w:val="0"/>
                <w:szCs w:val="21"/>
              </w:rPr>
              <w:t>kg·m</w:t>
            </w:r>
            <w:r>
              <w:rPr>
                <w:rFonts w:hint="eastAsia" w:ascii="Times New Roman" w:hAnsi="Times New Roman"/>
                <w:kern w:val="0"/>
                <w:szCs w:val="21"/>
                <w:vertAlign w:val="superscript"/>
              </w:rPr>
              <w:t>-</w:t>
            </w:r>
            <w:r>
              <w:rPr>
                <w:rFonts w:hint="default" w:ascii="Times New Roman" w:hAnsi="Times New Roman"/>
                <w:kern w:val="0"/>
                <w:szCs w:val="21"/>
              </w:rPr>
              <w:t>³</w:t>
            </w:r>
          </w:p>
        </w:tc>
      </w:tr>
      <w:tr w14:paraId="0BCFE1A4">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04" w:hRule="atLeast"/>
        </w:trPr>
        <w:tc>
          <w:tcPr>
            <w:tcW w:w="1654" w:type="dxa"/>
            <w:tcBorders>
              <w:top w:val="single" w:color="auto" w:sz="4" w:space="0"/>
              <w:left w:val="nil"/>
              <w:bottom w:val="nil"/>
              <w:right w:val="nil"/>
            </w:tcBorders>
            <w:vAlign w:val="center"/>
          </w:tcPr>
          <w:p w14:paraId="052307DC">
            <w:pPr>
              <w:widowControl/>
              <w:spacing w:after="0" w:line="240" w:lineRule="auto"/>
              <w:jc w:val="center"/>
              <w:textAlignment w:val="center"/>
              <w:rPr>
                <w:rFonts w:hint="default" w:ascii="Times New Roman" w:hAnsi="Times New Roman" w:eastAsia="宋体" w:cs="Times New Roman"/>
                <w:kern w:val="0"/>
                <w:sz w:val="15"/>
                <w:szCs w:val="15"/>
                <w:lang w:bidi="ar"/>
              </w:rPr>
            </w:pPr>
            <w:r>
              <w:rPr>
                <w:rFonts w:hint="default" w:ascii="Times New Roman" w:hAnsi="Times New Roman" w:eastAsia="宋体" w:cs="Times New Roman"/>
                <w:kern w:val="0"/>
                <w:sz w:val="15"/>
                <w:szCs w:val="15"/>
                <w:lang w:bidi="ar"/>
              </w:rPr>
              <w:t>1</w:t>
            </w:r>
          </w:p>
        </w:tc>
        <w:tc>
          <w:tcPr>
            <w:tcW w:w="1654" w:type="dxa"/>
            <w:tcBorders>
              <w:top w:val="single" w:color="auto" w:sz="4" w:space="0"/>
              <w:left w:val="nil"/>
              <w:bottom w:val="nil"/>
              <w:right w:val="nil"/>
            </w:tcBorders>
            <w:vAlign w:val="center"/>
          </w:tcPr>
          <w:p w14:paraId="2BF1264A">
            <w:pPr>
              <w:widowControl/>
              <w:spacing w:after="0" w:line="240" w:lineRule="auto"/>
              <w:jc w:val="center"/>
              <w:textAlignment w:val="center"/>
              <w:rPr>
                <w:rFonts w:hint="default" w:ascii="Times New Roman" w:hAnsi="Times New Roman" w:eastAsia="宋体" w:cs="Times New Roman"/>
                <w:kern w:val="0"/>
                <w:sz w:val="15"/>
                <w:szCs w:val="15"/>
                <w:lang w:bidi="ar"/>
              </w:rPr>
            </w:pPr>
            <w:r>
              <w:rPr>
                <w:rFonts w:hint="default" w:ascii="Times New Roman" w:hAnsi="Times New Roman" w:eastAsia="宋体" w:cs="Times New Roman"/>
                <w:kern w:val="0"/>
                <w:sz w:val="15"/>
                <w:szCs w:val="15"/>
                <w:lang w:bidi="ar"/>
              </w:rPr>
              <w:t>2.5</w:t>
            </w:r>
          </w:p>
        </w:tc>
        <w:tc>
          <w:tcPr>
            <w:tcW w:w="1660" w:type="dxa"/>
            <w:tcBorders>
              <w:top w:val="single" w:color="auto" w:sz="4" w:space="0"/>
              <w:left w:val="nil"/>
              <w:bottom w:val="nil"/>
              <w:right w:val="nil"/>
            </w:tcBorders>
            <w:vAlign w:val="center"/>
          </w:tcPr>
          <w:p w14:paraId="5D56B488">
            <w:pPr>
              <w:widowControl/>
              <w:spacing w:after="160" w:line="240" w:lineRule="auto"/>
              <w:jc w:val="center"/>
              <w:textAlignment w:val="center"/>
              <w:rPr>
                <w:rFonts w:hint="default" w:ascii="Times New Roman" w:hAnsi="Times New Roman" w:eastAsia="宋体" w:cs="Times New Roman"/>
                <w:kern w:val="0"/>
                <w:sz w:val="15"/>
                <w:szCs w:val="15"/>
                <w:lang w:bidi="ar"/>
              </w:rPr>
            </w:pPr>
            <w:r>
              <w:rPr>
                <w:rFonts w:hint="default" w:ascii="Times New Roman" w:hAnsi="Times New Roman" w:eastAsia="宋体" w:cs="Times New Roman"/>
                <w:kern w:val="0"/>
                <w:sz w:val="15"/>
                <w:szCs w:val="15"/>
                <w:lang w:bidi="ar"/>
              </w:rPr>
              <w:t>8.31</w:t>
            </w:r>
          </w:p>
        </w:tc>
        <w:tc>
          <w:tcPr>
            <w:tcW w:w="1677" w:type="dxa"/>
            <w:tcBorders>
              <w:top w:val="single" w:color="auto" w:sz="4" w:space="0"/>
              <w:left w:val="nil"/>
              <w:bottom w:val="nil"/>
              <w:right w:val="nil"/>
            </w:tcBorders>
            <w:vAlign w:val="center"/>
          </w:tcPr>
          <w:p w14:paraId="6258A277">
            <w:pPr>
              <w:widowControl/>
              <w:snapToGrid w:val="0"/>
              <w:spacing w:after="0" w:line="240" w:lineRule="auto"/>
              <w:jc w:val="center"/>
              <w:textAlignment w:val="center"/>
              <w:rPr>
                <w:rFonts w:hint="default" w:ascii="Times New Roman" w:hAnsi="Times New Roman" w:eastAsia="宋体" w:cs="Times New Roman"/>
                <w:kern w:val="0"/>
                <w:sz w:val="15"/>
                <w:szCs w:val="15"/>
                <w:lang w:bidi="ar"/>
              </w:rPr>
            </w:pPr>
            <w:r>
              <w:rPr>
                <w:rFonts w:hint="eastAsia" w:ascii="Times New Roman" w:hAnsi="Times New Roman" w:eastAsia="宋体" w:cs="Times New Roman"/>
                <w:kern w:val="0"/>
                <w:sz w:val="15"/>
                <w:szCs w:val="15"/>
                <w:lang w:bidi="ar"/>
              </w:rPr>
              <w:t xml:space="preserve">0.00027 </w:t>
            </w:r>
          </w:p>
        </w:tc>
        <w:tc>
          <w:tcPr>
            <w:tcW w:w="1661" w:type="dxa"/>
            <w:tcBorders>
              <w:top w:val="single" w:color="auto" w:sz="4" w:space="0"/>
              <w:left w:val="nil"/>
              <w:bottom w:val="nil"/>
              <w:right w:val="nil"/>
            </w:tcBorders>
            <w:vAlign w:val="center"/>
          </w:tcPr>
          <w:p w14:paraId="7D5D9FFE">
            <w:pPr>
              <w:widowControl/>
              <w:spacing w:after="160" w:line="240" w:lineRule="auto"/>
              <w:jc w:val="center"/>
              <w:textAlignment w:val="center"/>
              <w:rPr>
                <w:rFonts w:hint="default" w:ascii="Times New Roman" w:hAnsi="Times New Roman" w:eastAsia="宋体" w:cs="Times New Roman"/>
                <w:kern w:val="0"/>
                <w:sz w:val="15"/>
                <w:szCs w:val="15"/>
                <w:lang w:bidi="ar"/>
              </w:rPr>
            </w:pPr>
            <w:r>
              <w:rPr>
                <w:rFonts w:hint="default" w:ascii="Times New Roman" w:hAnsi="Times New Roman" w:eastAsia="宋体" w:cs="Times New Roman"/>
                <w:kern w:val="0"/>
                <w:sz w:val="15"/>
                <w:szCs w:val="15"/>
                <w:lang w:bidi="ar"/>
              </w:rPr>
              <w:t>9</w:t>
            </w:r>
          </w:p>
        </w:tc>
      </w:tr>
      <w:tr w14:paraId="23A5AC5B">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04" w:hRule="atLeast"/>
        </w:trPr>
        <w:tc>
          <w:tcPr>
            <w:tcW w:w="1654" w:type="dxa"/>
            <w:vAlign w:val="center"/>
          </w:tcPr>
          <w:p w14:paraId="4110088D">
            <w:pPr>
              <w:widowControl/>
              <w:spacing w:after="0" w:line="240" w:lineRule="auto"/>
              <w:jc w:val="center"/>
              <w:textAlignment w:val="center"/>
              <w:rPr>
                <w:rFonts w:hint="default" w:ascii="Times New Roman" w:hAnsi="Times New Roman" w:eastAsia="宋体" w:cs="Times New Roman"/>
                <w:kern w:val="0"/>
                <w:sz w:val="15"/>
                <w:szCs w:val="15"/>
                <w:lang w:bidi="ar"/>
              </w:rPr>
            </w:pPr>
            <w:r>
              <w:rPr>
                <w:rFonts w:hint="default" w:ascii="Times New Roman" w:hAnsi="Times New Roman" w:eastAsia="宋体" w:cs="Times New Roman"/>
                <w:kern w:val="0"/>
                <w:sz w:val="15"/>
                <w:szCs w:val="15"/>
                <w:lang w:bidi="ar"/>
              </w:rPr>
              <w:t>2</w:t>
            </w:r>
          </w:p>
        </w:tc>
        <w:tc>
          <w:tcPr>
            <w:tcW w:w="1654" w:type="dxa"/>
            <w:vAlign w:val="center"/>
          </w:tcPr>
          <w:p w14:paraId="1F24D700">
            <w:pPr>
              <w:widowControl/>
              <w:spacing w:after="0" w:line="240" w:lineRule="auto"/>
              <w:jc w:val="center"/>
              <w:textAlignment w:val="center"/>
              <w:rPr>
                <w:rFonts w:hint="default" w:ascii="Times New Roman" w:hAnsi="Times New Roman" w:eastAsia="宋体" w:cs="Times New Roman"/>
                <w:kern w:val="0"/>
                <w:sz w:val="15"/>
                <w:szCs w:val="15"/>
                <w:lang w:bidi="ar"/>
              </w:rPr>
            </w:pPr>
            <w:r>
              <w:rPr>
                <w:rFonts w:hint="default" w:ascii="Times New Roman" w:hAnsi="Times New Roman" w:eastAsia="宋体" w:cs="Times New Roman"/>
                <w:kern w:val="0"/>
                <w:sz w:val="15"/>
                <w:szCs w:val="15"/>
                <w:lang w:bidi="ar"/>
              </w:rPr>
              <w:t>2.5</w:t>
            </w:r>
          </w:p>
        </w:tc>
        <w:tc>
          <w:tcPr>
            <w:tcW w:w="1660" w:type="dxa"/>
            <w:vAlign w:val="center"/>
          </w:tcPr>
          <w:p w14:paraId="6358E34E">
            <w:pPr>
              <w:widowControl/>
              <w:spacing w:after="160" w:line="240" w:lineRule="auto"/>
              <w:jc w:val="center"/>
              <w:textAlignment w:val="center"/>
              <w:rPr>
                <w:rFonts w:hint="default" w:ascii="Times New Roman" w:hAnsi="Times New Roman" w:eastAsia="宋体" w:cs="Times New Roman"/>
                <w:kern w:val="0"/>
                <w:sz w:val="15"/>
                <w:szCs w:val="15"/>
                <w:lang w:bidi="ar"/>
              </w:rPr>
            </w:pPr>
            <w:r>
              <w:rPr>
                <w:rFonts w:hint="default" w:ascii="Times New Roman" w:hAnsi="Times New Roman" w:eastAsia="宋体" w:cs="Times New Roman"/>
                <w:kern w:val="0"/>
                <w:sz w:val="15"/>
                <w:szCs w:val="15"/>
                <w:lang w:bidi="ar"/>
              </w:rPr>
              <w:t>12.04</w:t>
            </w:r>
          </w:p>
        </w:tc>
        <w:tc>
          <w:tcPr>
            <w:tcW w:w="1677" w:type="dxa"/>
            <w:vAlign w:val="center"/>
          </w:tcPr>
          <w:p w14:paraId="64150C0A">
            <w:pPr>
              <w:widowControl/>
              <w:snapToGrid w:val="0"/>
              <w:spacing w:after="0" w:line="240" w:lineRule="auto"/>
              <w:jc w:val="center"/>
              <w:textAlignment w:val="center"/>
              <w:rPr>
                <w:rFonts w:hint="default" w:ascii="Times New Roman" w:hAnsi="Times New Roman" w:eastAsia="宋体" w:cs="Times New Roman"/>
                <w:kern w:val="0"/>
                <w:sz w:val="15"/>
                <w:szCs w:val="15"/>
                <w:lang w:bidi="ar"/>
              </w:rPr>
            </w:pPr>
            <w:r>
              <w:rPr>
                <w:rFonts w:hint="eastAsia" w:ascii="Times New Roman" w:hAnsi="Times New Roman" w:eastAsia="宋体" w:cs="Times New Roman"/>
                <w:kern w:val="0"/>
                <w:sz w:val="15"/>
                <w:szCs w:val="15"/>
                <w:lang w:bidi="ar"/>
              </w:rPr>
              <w:t xml:space="preserve">0.00039 </w:t>
            </w:r>
          </w:p>
        </w:tc>
        <w:tc>
          <w:tcPr>
            <w:tcW w:w="1661" w:type="dxa"/>
            <w:vAlign w:val="center"/>
          </w:tcPr>
          <w:p w14:paraId="167BBA45">
            <w:pPr>
              <w:widowControl/>
              <w:spacing w:after="0" w:line="240" w:lineRule="auto"/>
              <w:jc w:val="center"/>
              <w:textAlignment w:val="center"/>
              <w:rPr>
                <w:rFonts w:hint="default" w:ascii="Times New Roman" w:hAnsi="Times New Roman" w:eastAsia="宋体" w:cs="Times New Roman"/>
                <w:kern w:val="0"/>
                <w:sz w:val="15"/>
                <w:szCs w:val="15"/>
                <w:lang w:bidi="ar"/>
              </w:rPr>
            </w:pPr>
            <w:r>
              <w:rPr>
                <w:rFonts w:hint="default" w:ascii="Times New Roman" w:hAnsi="Times New Roman" w:eastAsia="宋体" w:cs="Times New Roman"/>
                <w:kern w:val="0"/>
                <w:sz w:val="15"/>
                <w:szCs w:val="15"/>
                <w:lang w:bidi="ar"/>
              </w:rPr>
              <w:t>9</w:t>
            </w:r>
          </w:p>
        </w:tc>
      </w:tr>
      <w:tr w14:paraId="2EC80C4D">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04" w:hRule="atLeast"/>
        </w:trPr>
        <w:tc>
          <w:tcPr>
            <w:tcW w:w="1654" w:type="dxa"/>
            <w:tcBorders>
              <w:top w:val="nil"/>
              <w:left w:val="nil"/>
              <w:bottom w:val="single" w:color="auto" w:sz="12" w:space="0"/>
              <w:right w:val="nil"/>
            </w:tcBorders>
            <w:vAlign w:val="center"/>
          </w:tcPr>
          <w:p w14:paraId="25D1D6E2">
            <w:pPr>
              <w:widowControl/>
              <w:spacing w:after="0" w:line="240" w:lineRule="auto"/>
              <w:jc w:val="center"/>
              <w:textAlignment w:val="center"/>
              <w:rPr>
                <w:rFonts w:hint="default" w:ascii="Times New Roman" w:hAnsi="Times New Roman" w:eastAsia="宋体" w:cs="Times New Roman"/>
                <w:kern w:val="0"/>
                <w:sz w:val="15"/>
                <w:szCs w:val="15"/>
                <w:lang w:bidi="ar"/>
              </w:rPr>
            </w:pPr>
            <w:r>
              <w:rPr>
                <w:rFonts w:hint="default" w:ascii="Times New Roman" w:hAnsi="Times New Roman" w:eastAsia="宋体" w:cs="Times New Roman"/>
                <w:kern w:val="0"/>
                <w:sz w:val="15"/>
                <w:szCs w:val="15"/>
                <w:lang w:bidi="ar"/>
              </w:rPr>
              <w:t>3</w:t>
            </w:r>
          </w:p>
        </w:tc>
        <w:tc>
          <w:tcPr>
            <w:tcW w:w="1654" w:type="dxa"/>
            <w:tcBorders>
              <w:top w:val="nil"/>
              <w:left w:val="nil"/>
              <w:bottom w:val="single" w:color="auto" w:sz="12" w:space="0"/>
              <w:right w:val="nil"/>
            </w:tcBorders>
            <w:vAlign w:val="center"/>
          </w:tcPr>
          <w:p w14:paraId="7E2D5BF0">
            <w:pPr>
              <w:widowControl/>
              <w:spacing w:after="0" w:line="240" w:lineRule="auto"/>
              <w:jc w:val="center"/>
              <w:textAlignment w:val="center"/>
              <w:rPr>
                <w:rFonts w:hint="default" w:ascii="Times New Roman" w:hAnsi="Times New Roman" w:eastAsia="宋体" w:cs="Times New Roman"/>
                <w:kern w:val="0"/>
                <w:sz w:val="15"/>
                <w:szCs w:val="15"/>
                <w:lang w:bidi="ar"/>
              </w:rPr>
            </w:pPr>
            <w:r>
              <w:rPr>
                <w:rFonts w:hint="default" w:ascii="Times New Roman" w:hAnsi="Times New Roman" w:eastAsia="宋体" w:cs="Times New Roman"/>
                <w:kern w:val="0"/>
                <w:sz w:val="15"/>
                <w:szCs w:val="15"/>
                <w:lang w:bidi="ar"/>
              </w:rPr>
              <w:t>2.5</w:t>
            </w:r>
          </w:p>
        </w:tc>
        <w:tc>
          <w:tcPr>
            <w:tcW w:w="1660" w:type="dxa"/>
            <w:tcBorders>
              <w:top w:val="nil"/>
              <w:left w:val="nil"/>
              <w:bottom w:val="single" w:color="auto" w:sz="12" w:space="0"/>
              <w:right w:val="nil"/>
            </w:tcBorders>
            <w:vAlign w:val="center"/>
          </w:tcPr>
          <w:p w14:paraId="2D2CFD1A">
            <w:pPr>
              <w:widowControl/>
              <w:spacing w:after="160" w:line="240" w:lineRule="auto"/>
              <w:jc w:val="center"/>
              <w:textAlignment w:val="center"/>
              <w:rPr>
                <w:rFonts w:hint="default" w:ascii="Times New Roman" w:hAnsi="Times New Roman" w:eastAsia="宋体" w:cs="Times New Roman"/>
                <w:kern w:val="0"/>
                <w:sz w:val="15"/>
                <w:szCs w:val="15"/>
                <w:lang w:bidi="ar"/>
              </w:rPr>
            </w:pPr>
            <w:r>
              <w:rPr>
                <w:rFonts w:hint="default" w:ascii="Times New Roman" w:hAnsi="Times New Roman" w:eastAsia="宋体" w:cs="Times New Roman"/>
                <w:kern w:val="0"/>
                <w:sz w:val="15"/>
                <w:szCs w:val="15"/>
                <w:lang w:bidi="ar"/>
              </w:rPr>
              <w:t>17.26</w:t>
            </w:r>
          </w:p>
        </w:tc>
        <w:tc>
          <w:tcPr>
            <w:tcW w:w="1677" w:type="dxa"/>
            <w:tcBorders>
              <w:top w:val="nil"/>
              <w:left w:val="nil"/>
              <w:bottom w:val="single" w:color="auto" w:sz="12" w:space="0"/>
              <w:right w:val="nil"/>
            </w:tcBorders>
            <w:vAlign w:val="center"/>
          </w:tcPr>
          <w:p w14:paraId="31F68C1D">
            <w:pPr>
              <w:widowControl/>
              <w:snapToGrid w:val="0"/>
              <w:spacing w:after="0" w:line="240" w:lineRule="auto"/>
              <w:jc w:val="center"/>
              <w:textAlignment w:val="center"/>
              <w:rPr>
                <w:rFonts w:hint="default" w:ascii="Times New Roman" w:hAnsi="Times New Roman" w:eastAsia="宋体" w:cs="Times New Roman"/>
                <w:kern w:val="0"/>
                <w:sz w:val="15"/>
                <w:szCs w:val="15"/>
                <w:lang w:bidi="ar"/>
              </w:rPr>
            </w:pPr>
            <w:r>
              <w:rPr>
                <w:rFonts w:hint="eastAsia" w:ascii="Times New Roman" w:hAnsi="Times New Roman" w:eastAsia="宋体" w:cs="Times New Roman"/>
                <w:kern w:val="0"/>
                <w:sz w:val="15"/>
                <w:szCs w:val="15"/>
                <w:lang w:bidi="ar"/>
              </w:rPr>
              <w:t xml:space="preserve">0.00056 </w:t>
            </w:r>
          </w:p>
        </w:tc>
        <w:tc>
          <w:tcPr>
            <w:tcW w:w="1661" w:type="dxa"/>
            <w:tcBorders>
              <w:top w:val="nil"/>
              <w:left w:val="nil"/>
              <w:bottom w:val="single" w:color="auto" w:sz="12" w:space="0"/>
              <w:right w:val="nil"/>
            </w:tcBorders>
            <w:vAlign w:val="center"/>
          </w:tcPr>
          <w:p w14:paraId="5A69FAD1">
            <w:pPr>
              <w:widowControl/>
              <w:spacing w:after="0" w:line="240" w:lineRule="auto"/>
              <w:jc w:val="center"/>
              <w:textAlignment w:val="center"/>
              <w:rPr>
                <w:rFonts w:hint="default" w:ascii="Times New Roman" w:hAnsi="Times New Roman" w:eastAsia="宋体" w:cs="Times New Roman"/>
                <w:kern w:val="0"/>
                <w:sz w:val="15"/>
                <w:szCs w:val="15"/>
                <w:lang w:bidi="ar"/>
              </w:rPr>
            </w:pPr>
            <w:r>
              <w:rPr>
                <w:rFonts w:hint="default" w:ascii="Times New Roman" w:hAnsi="Times New Roman" w:eastAsia="宋体" w:cs="Times New Roman"/>
                <w:kern w:val="0"/>
                <w:sz w:val="15"/>
                <w:szCs w:val="15"/>
                <w:lang w:bidi="ar"/>
              </w:rPr>
              <w:t>9</w:t>
            </w:r>
          </w:p>
        </w:tc>
      </w:tr>
      <w:bookmarkEnd w:id="11"/>
    </w:tbl>
    <w:p w14:paraId="4B8CC0C9">
      <w:pPr>
        <w:jc w:val="left"/>
        <w:rPr>
          <w:rFonts w:ascii="Times New Roman" w:hAnsi="Times New Roman" w:eastAsia="黑体" w:cs="Times New Roman"/>
          <w:szCs w:val="21"/>
        </w:rPr>
      </w:pPr>
      <w:r>
        <w:rPr>
          <w:rFonts w:hint="eastAsia" w:ascii="Times New Roman" w:hAnsi="Times New Roman" w:eastAsia="黑体" w:cs="Times New Roman"/>
          <w:szCs w:val="21"/>
        </w:rPr>
        <w:t>1</w:t>
      </w:r>
      <w:r>
        <w:rPr>
          <w:rFonts w:ascii="Times New Roman" w:hAnsi="Times New Roman" w:eastAsia="黑体" w:cs="Times New Roman"/>
          <w:szCs w:val="21"/>
        </w:rPr>
        <w:t>.3评价指标</w:t>
      </w:r>
    </w:p>
    <w:p w14:paraId="71CCBE8D">
      <w:pPr>
        <w:ind w:firstLine="420" w:firstLineChars="200"/>
        <w:jc w:val="left"/>
        <w:rPr>
          <w:rFonts w:hint="eastAsia" w:ascii="宋体" w:hAnsi="宋体" w:eastAsia="宋体" w:cs="宋体"/>
          <w:szCs w:val="21"/>
        </w:rPr>
      </w:pPr>
      <w:r>
        <w:rPr>
          <w:rFonts w:hint="eastAsia" w:ascii="宋体" w:hAnsi="宋体" w:eastAsia="宋体" w:cs="宋体"/>
          <w:szCs w:val="21"/>
        </w:rPr>
        <w:t>为评价悬沙排沙漏斗对泥沙的处理效果，引入两评价指标：截除率、耗水率。截除率即漏斗对泥沙的截除效果，耗水率即漏斗的排沙耗水量占进口流量的百分比。我们以高截除率、低耗水率为目标寻找出悬沙排沙漏斗运行的最优运行条件。</w:t>
      </w:r>
    </w:p>
    <w:p w14:paraId="56B717C4">
      <w:pPr>
        <w:ind w:left="420" w:leftChars="200"/>
        <w:rPr>
          <w:rFonts w:ascii="Times New Roman" w:hAnsi="Times New Roman" w:eastAsia="宋体" w:cs="Times New Roman"/>
          <w:szCs w:val="21"/>
        </w:rPr>
      </w:pPr>
      <w:r>
        <w:rPr>
          <w:rFonts w:ascii="Times New Roman" w:hAnsi="Times New Roman" w:eastAsia="宋体" w:cs="Times New Roman"/>
          <w:szCs w:val="21"/>
        </w:rPr>
        <w:t>截除率计算公式</w:t>
      </w:r>
      <w:r>
        <w:rPr>
          <w:rFonts w:hint="eastAsia" w:ascii="Times New Roman" w:hAnsi="Times New Roman" w:eastAsia="宋体" w:cs="Times New Roman"/>
          <w:szCs w:val="21"/>
        </w:rPr>
        <w:t>如下</w:t>
      </w:r>
    </w:p>
    <w:p w14:paraId="49178D73">
      <w:pPr>
        <w:tabs>
          <w:tab w:val="center" w:pos="4200"/>
          <w:tab w:val="right" w:pos="8400"/>
        </w:tabs>
        <w:snapToGrid w:val="0"/>
        <w:spacing w:line="360" w:lineRule="auto"/>
        <w:rPr>
          <w:rFonts w:ascii="Times New Roman" w:hAnsi="Times New Roman" w:eastAsia="宋体" w:cs="Times New Roman"/>
          <w:szCs w:val="21"/>
        </w:rPr>
      </w:pPr>
      <w:r>
        <w:rPr>
          <w:rFonts w:ascii="Times New Roman" w:hAnsi="Times New Roman" w:eastAsia="宋体" w:cs="Times New Roman"/>
          <w:sz w:val="24"/>
        </w:rPr>
        <w:tab/>
      </w:r>
      <w:r>
        <w:rPr>
          <w:rFonts w:ascii="Times New Roman" w:hAnsi="Times New Roman" w:eastAsia="宋体" w:cs="Times New Roman"/>
          <w:position w:val="-32"/>
          <w:sz w:val="24"/>
        </w:rPr>
        <w:object>
          <v:shape id="_x0000_i1032" o:spt="75" type="#_x0000_t75" style="height:38.25pt;width:113.9pt;" o:ole="t" filled="f" o:preferrelative="t" stroked="f" coordsize="21600,21600">
            <v:path/>
            <v:fill on="f" focussize="0,0"/>
            <v:stroke on="f" joinstyle="miter"/>
            <v:imagedata r:id="rId26" o:title=""/>
            <o:lock v:ext="edit" aspectratio="t"/>
            <w10:wrap type="none"/>
            <w10:anchorlock/>
          </v:shape>
          <o:OLEObject Type="Embed" ProgID="Equation.DSMT4" ShapeID="_x0000_i1032" DrawAspect="Content" ObjectID="_1468075732" r:id="rId25">
            <o:LockedField>false</o:LockedField>
          </o:OLEObject>
        </w:object>
      </w:r>
      <w:r>
        <w:rPr>
          <w:rFonts w:ascii="Times New Roman" w:hAnsi="Times New Roman" w:eastAsia="宋体" w:cs="Times New Roman"/>
          <w:sz w:val="24"/>
        </w:rPr>
        <w:tab/>
      </w:r>
      <w:r>
        <w:rPr>
          <w:rFonts w:ascii="Times New Roman" w:hAnsi="Times New Roman" w:eastAsia="宋体" w:cs="Times New Roman"/>
          <w:szCs w:val="21"/>
        </w:rPr>
        <w:t>(</w:t>
      </w:r>
      <w:r>
        <w:rPr>
          <w:rFonts w:hint="eastAsia" w:ascii="Times New Roman" w:hAnsi="Times New Roman" w:eastAsia="宋体" w:cs="Times New Roman"/>
          <w:szCs w:val="21"/>
        </w:rPr>
        <w:t>8</w:t>
      </w:r>
      <w:r>
        <w:rPr>
          <w:rFonts w:ascii="Times New Roman" w:hAnsi="Times New Roman" w:eastAsia="宋体" w:cs="Times New Roman"/>
          <w:szCs w:val="21"/>
        </w:rPr>
        <w:t>)</w:t>
      </w:r>
    </w:p>
    <w:p w14:paraId="279A470D">
      <w:pPr>
        <w:jc w:val="left"/>
        <w:rPr>
          <w:rFonts w:ascii="Times New Roman" w:hAnsi="Times New Roman" w:eastAsia="宋体" w:cs="Times New Roman"/>
          <w:szCs w:val="21"/>
        </w:rPr>
      </w:pPr>
      <w:r>
        <w:rPr>
          <w:rFonts w:ascii="Times New Roman" w:hAnsi="Times New Roman" w:eastAsia="宋体" w:cs="Times New Roman"/>
          <w:szCs w:val="21"/>
        </w:rPr>
        <w:t>式中</w:t>
      </w:r>
      <w:r>
        <w:rPr>
          <w:rFonts w:hint="eastAsia" w:ascii="Times New Roman" w:hAnsi="Times New Roman" w:eastAsia="宋体" w:cs="Times New Roman"/>
          <w:szCs w:val="21"/>
        </w:rPr>
        <w:t>，</w:t>
      </w:r>
      <w:r>
        <w:rPr>
          <w:rFonts w:ascii="Times New Roman" w:hAnsi="Times New Roman" w:eastAsia="宋体" w:cs="Times New Roman"/>
          <w:i/>
          <w:iCs/>
          <w:szCs w:val="21"/>
        </w:rPr>
        <w:t>Q</w:t>
      </w:r>
      <w:r>
        <w:rPr>
          <w:rFonts w:ascii="Times New Roman" w:hAnsi="Times New Roman" w:eastAsia="宋体" w:cs="Times New Roman"/>
          <w:i/>
          <w:iCs/>
          <w:szCs w:val="21"/>
          <w:vertAlign w:val="subscript"/>
        </w:rPr>
        <w:t>w</w:t>
      </w:r>
      <w:r>
        <w:rPr>
          <w:rFonts w:hint="eastAsia" w:ascii="Times New Roman" w:hAnsi="Times New Roman" w:eastAsia="宋体" w:cs="Times New Roman"/>
          <w:szCs w:val="21"/>
        </w:rPr>
        <w:t>、</w:t>
      </w:r>
      <w:r>
        <w:rPr>
          <w:rFonts w:ascii="Times New Roman" w:hAnsi="Times New Roman" w:eastAsia="宋体" w:cs="Times New Roman"/>
          <w:i/>
          <w:iCs/>
          <w:szCs w:val="21"/>
        </w:rPr>
        <w:t>Q</w:t>
      </w:r>
      <w:r>
        <w:rPr>
          <w:rFonts w:ascii="Times New Roman" w:hAnsi="Times New Roman" w:eastAsia="宋体" w:cs="Times New Roman"/>
          <w:i/>
          <w:iCs/>
          <w:szCs w:val="21"/>
          <w:vertAlign w:val="subscript"/>
        </w:rPr>
        <w:t>o</w:t>
      </w:r>
      <w:r>
        <w:rPr>
          <w:rFonts w:ascii="Times New Roman" w:hAnsi="Times New Roman" w:eastAsia="宋体" w:cs="Times New Roman"/>
          <w:szCs w:val="21"/>
        </w:rPr>
        <w:t>分别为进口和溢流出口的模型流量</w:t>
      </w:r>
      <w:r>
        <w:rPr>
          <w:rFonts w:hint="eastAsia" w:ascii="Times New Roman" w:hAnsi="Times New Roman" w:eastAsia="宋体" w:cs="Times New Roman"/>
          <w:szCs w:val="21"/>
        </w:rPr>
        <w:t>（m</w:t>
      </w:r>
      <w:r>
        <w:rPr>
          <w:rFonts w:hint="eastAsia" w:ascii="Times New Roman" w:hAnsi="Times New Roman" w:eastAsia="宋体" w:cs="Times New Roman"/>
          <w:szCs w:val="21"/>
          <w:vertAlign w:val="superscript"/>
        </w:rPr>
        <w:t>3</w:t>
      </w:r>
      <w:r>
        <w:rPr>
          <w:rFonts w:ascii="Times New Roman" w:hAnsi="Times New Roman" w:eastAsia="宋体" w:cs="Times New Roman"/>
          <w:szCs w:val="21"/>
        </w:rPr>
        <w:t>/s</w:t>
      </w:r>
      <w:r>
        <w:rPr>
          <w:rFonts w:hint="eastAsia" w:ascii="Times New Roman" w:hAnsi="Times New Roman" w:eastAsia="宋体" w:cs="Times New Roman"/>
          <w:szCs w:val="21"/>
        </w:rPr>
        <w:t>）</w:t>
      </w:r>
      <w:r>
        <w:rPr>
          <w:rFonts w:ascii="Times New Roman" w:hAnsi="Times New Roman" w:eastAsia="宋体" w:cs="Times New Roman"/>
          <w:szCs w:val="21"/>
        </w:rPr>
        <w:t>;</w:t>
      </w:r>
      <w:r>
        <w:rPr>
          <w:rFonts w:hint="eastAsia" w:ascii="Times New Roman" w:hAnsi="Times New Roman" w:eastAsia="宋体" w:cs="Times New Roman"/>
          <w:szCs w:val="21"/>
        </w:rPr>
        <w:t xml:space="preserve"> </w:t>
      </w:r>
      <w:r>
        <w:rPr>
          <w:rFonts w:ascii="Times New Roman" w:hAnsi="Times New Roman" w:eastAsia="宋体" w:cs="Times New Roman"/>
          <w:i/>
          <w:iCs/>
          <w:szCs w:val="21"/>
        </w:rPr>
        <w:t>η</w:t>
      </w:r>
      <w:r>
        <w:rPr>
          <w:rFonts w:ascii="Times New Roman" w:hAnsi="Times New Roman" w:eastAsia="宋体" w:cs="Times New Roman"/>
          <w:szCs w:val="21"/>
        </w:rPr>
        <w:t>为泥沙总截除率</w:t>
      </w:r>
      <w:r>
        <w:rPr>
          <w:rFonts w:hint="eastAsia" w:ascii="Times New Roman" w:hAnsi="Times New Roman" w:eastAsia="宋体" w:cs="Times New Roman"/>
          <w:szCs w:val="21"/>
        </w:rPr>
        <w:t>（</w:t>
      </w:r>
      <w:r>
        <w:rPr>
          <w:rFonts w:ascii="Times New Roman" w:hAnsi="Times New Roman" w:eastAsia="宋体" w:cs="Times New Roman"/>
          <w:szCs w:val="21"/>
        </w:rPr>
        <w:t>%</w:t>
      </w:r>
      <w:r>
        <w:rPr>
          <w:rFonts w:hint="eastAsia" w:ascii="Times New Roman" w:hAnsi="Times New Roman" w:eastAsia="宋体" w:cs="Times New Roman"/>
          <w:szCs w:val="21"/>
        </w:rPr>
        <w:t>）</w:t>
      </w:r>
      <w:r>
        <w:rPr>
          <w:rFonts w:ascii="Times New Roman" w:hAnsi="Times New Roman" w:eastAsia="宋体" w:cs="Times New Roman"/>
          <w:szCs w:val="21"/>
        </w:rPr>
        <w:t>；</w:t>
      </w:r>
      <w:r>
        <w:rPr>
          <w:rFonts w:ascii="Times New Roman" w:hAnsi="Times New Roman" w:eastAsia="宋体" w:cs="Times New Roman"/>
          <w:i/>
          <w:iCs/>
          <w:szCs w:val="21"/>
        </w:rPr>
        <w:t>S</w:t>
      </w:r>
      <w:r>
        <w:rPr>
          <w:rFonts w:ascii="Times New Roman" w:hAnsi="Times New Roman" w:eastAsia="宋体" w:cs="Times New Roman"/>
          <w:i/>
          <w:iCs/>
          <w:szCs w:val="21"/>
          <w:vertAlign w:val="subscript"/>
        </w:rPr>
        <w:t>w</w:t>
      </w:r>
      <w:r>
        <w:rPr>
          <w:rFonts w:hint="eastAsia" w:ascii="Times New Roman" w:hAnsi="Times New Roman" w:eastAsia="宋体" w:cs="Times New Roman"/>
          <w:szCs w:val="21"/>
        </w:rPr>
        <w:t>、</w:t>
      </w:r>
      <w:r>
        <w:rPr>
          <w:rFonts w:ascii="Times New Roman" w:hAnsi="Times New Roman" w:eastAsia="宋体" w:cs="Times New Roman"/>
          <w:i/>
          <w:iCs/>
          <w:szCs w:val="21"/>
        </w:rPr>
        <w:t>S</w:t>
      </w:r>
      <w:r>
        <w:rPr>
          <w:rFonts w:ascii="Times New Roman" w:hAnsi="Times New Roman" w:eastAsia="宋体" w:cs="Times New Roman"/>
          <w:i/>
          <w:iCs/>
          <w:szCs w:val="21"/>
          <w:vertAlign w:val="subscript"/>
        </w:rPr>
        <w:t>o</w:t>
      </w:r>
      <w:r>
        <w:rPr>
          <w:rFonts w:ascii="Times New Roman" w:hAnsi="Times New Roman" w:eastAsia="宋体" w:cs="Times New Roman"/>
          <w:szCs w:val="21"/>
        </w:rPr>
        <w:t>分别为进水口、溢流出口相应的含沙浓度</w:t>
      </w:r>
      <w:r>
        <w:rPr>
          <w:rFonts w:hint="eastAsia" w:ascii="Times New Roman" w:hAnsi="Times New Roman" w:eastAsia="宋体" w:cs="Times New Roman"/>
          <w:szCs w:val="21"/>
        </w:rPr>
        <w:t>（</w:t>
      </w:r>
      <w:r>
        <w:rPr>
          <w:rFonts w:ascii="Times New Roman" w:hAnsi="Times New Roman" w:eastAsia="宋体" w:cs="Times New Roman"/>
          <w:szCs w:val="21"/>
        </w:rPr>
        <w:t>kg/m</w:t>
      </w:r>
      <w:r>
        <w:rPr>
          <w:rFonts w:ascii="Times New Roman" w:hAnsi="Times New Roman" w:eastAsia="宋体" w:cs="Times New Roman"/>
          <w:szCs w:val="21"/>
          <w:vertAlign w:val="superscript"/>
        </w:rPr>
        <w:t>3</w:t>
      </w:r>
      <w:r>
        <w:rPr>
          <w:rFonts w:hint="eastAsia" w:ascii="Times New Roman" w:hAnsi="Times New Roman" w:eastAsia="宋体" w:cs="Times New Roman"/>
          <w:szCs w:val="21"/>
        </w:rPr>
        <w:t>）。</w:t>
      </w:r>
    </w:p>
    <w:p w14:paraId="64A48221">
      <w:pPr>
        <w:ind w:left="420" w:leftChars="200"/>
        <w:jc w:val="left"/>
        <w:rPr>
          <w:rFonts w:ascii="Times New Roman" w:hAnsi="Times New Roman" w:eastAsia="宋体" w:cs="Times New Roman"/>
          <w:szCs w:val="21"/>
        </w:rPr>
      </w:pPr>
      <w:r>
        <w:rPr>
          <w:rFonts w:ascii="Times New Roman" w:hAnsi="Times New Roman" w:eastAsia="宋体" w:cs="Times New Roman"/>
          <w:szCs w:val="21"/>
        </w:rPr>
        <w:t>耗水率计算公式</w:t>
      </w:r>
      <w:r>
        <w:rPr>
          <w:rFonts w:hint="eastAsia" w:ascii="Times New Roman" w:hAnsi="Times New Roman" w:eastAsia="宋体" w:cs="Times New Roman"/>
          <w:szCs w:val="21"/>
        </w:rPr>
        <w:t>如下</w:t>
      </w:r>
    </w:p>
    <w:p w14:paraId="162125F9">
      <w:pPr>
        <w:tabs>
          <w:tab w:val="center" w:pos="4200"/>
          <w:tab w:val="right" w:pos="8400"/>
        </w:tabs>
        <w:snapToGrid w:val="0"/>
        <w:spacing w:line="360" w:lineRule="auto"/>
        <w:rPr>
          <w:rFonts w:ascii="Times New Roman" w:hAnsi="Times New Roman" w:eastAsia="宋体" w:cs="Times New Roman"/>
          <w:szCs w:val="21"/>
        </w:rPr>
      </w:pPr>
      <w:r>
        <w:rPr>
          <w:rFonts w:ascii="Times New Roman" w:hAnsi="Times New Roman" w:eastAsia="宋体" w:cs="Times New Roman"/>
          <w:sz w:val="24"/>
        </w:rPr>
        <w:tab/>
      </w:r>
      <w:r>
        <w:rPr>
          <w:rFonts w:ascii="Times New Roman" w:hAnsi="Times New Roman" w:eastAsia="宋体" w:cs="Times New Roman"/>
          <w:position w:val="-30"/>
          <w:sz w:val="24"/>
        </w:rPr>
        <w:object>
          <v:shape id="_x0000_i1033" o:spt="75" type="#_x0000_t75" style="height:36.2pt;width:74.95pt;" o:ole="t" filled="f" o:preferrelative="t" stroked="f" coordsize="21600,21600">
            <v:path/>
            <v:fill on="f" focussize="0,0"/>
            <v:stroke on="f" joinstyle="miter"/>
            <v:imagedata r:id="rId28" o:title=""/>
            <o:lock v:ext="edit" aspectratio="t"/>
            <w10:wrap type="none"/>
            <w10:anchorlock/>
          </v:shape>
          <o:OLEObject Type="Embed" ProgID="Equation.DSMT4" ShapeID="_x0000_i1033" DrawAspect="Content" ObjectID="_1468075733" r:id="rId27">
            <o:LockedField>false</o:LockedField>
          </o:OLEObject>
        </w:object>
      </w:r>
      <w:r>
        <w:rPr>
          <w:rFonts w:ascii="Times New Roman" w:hAnsi="Times New Roman" w:eastAsia="宋体" w:cs="Times New Roman"/>
          <w:sz w:val="24"/>
        </w:rPr>
        <w:tab/>
      </w:r>
      <w:r>
        <w:rPr>
          <w:rFonts w:ascii="Times New Roman" w:hAnsi="Times New Roman" w:eastAsia="宋体" w:cs="Times New Roman"/>
          <w:szCs w:val="21"/>
        </w:rPr>
        <w:t>(</w:t>
      </w:r>
      <w:r>
        <w:rPr>
          <w:rFonts w:hint="eastAsia" w:ascii="Times New Roman" w:hAnsi="Times New Roman" w:eastAsia="宋体" w:cs="Times New Roman"/>
          <w:szCs w:val="21"/>
        </w:rPr>
        <w:t>9</w:t>
      </w:r>
      <w:r>
        <w:rPr>
          <w:rFonts w:ascii="Times New Roman" w:hAnsi="Times New Roman" w:eastAsia="宋体" w:cs="Times New Roman"/>
          <w:szCs w:val="21"/>
        </w:rPr>
        <w:t>)</w:t>
      </w:r>
    </w:p>
    <w:p w14:paraId="10BA9036">
      <w:pPr>
        <w:rPr>
          <w:rFonts w:ascii="Times New Roman" w:hAnsi="Times New Roman" w:eastAsia="宋体" w:cs="Times New Roman"/>
          <w:szCs w:val="21"/>
        </w:rPr>
      </w:pPr>
      <w:r>
        <w:rPr>
          <w:rFonts w:ascii="Times New Roman" w:hAnsi="Times New Roman" w:eastAsia="宋体" w:cs="Times New Roman"/>
          <w:szCs w:val="21"/>
        </w:rPr>
        <w:t>式中</w:t>
      </w:r>
      <w:r>
        <w:rPr>
          <w:rFonts w:hint="eastAsia" w:ascii="Times New Roman" w:hAnsi="Times New Roman" w:eastAsia="宋体" w:cs="Times New Roman"/>
          <w:szCs w:val="21"/>
        </w:rPr>
        <w:t>，</w:t>
      </w:r>
      <w:r>
        <w:rPr>
          <w:rFonts w:ascii="Times New Roman" w:hAnsi="Times New Roman" w:eastAsia="宋体" w:cs="Times New Roman"/>
          <w:i/>
          <w:iCs/>
          <w:szCs w:val="21"/>
        </w:rPr>
        <w:t>λ</w:t>
      </w:r>
      <w:r>
        <w:rPr>
          <w:rFonts w:ascii="Times New Roman" w:hAnsi="Times New Roman" w:eastAsia="宋体" w:cs="Times New Roman"/>
          <w:szCs w:val="21"/>
        </w:rPr>
        <w:t>为漏斗排沙耗水率</w:t>
      </w:r>
      <w:r>
        <w:rPr>
          <w:rFonts w:hint="eastAsia" w:ascii="Times New Roman" w:hAnsi="Times New Roman" w:eastAsia="宋体" w:cs="Times New Roman"/>
          <w:szCs w:val="21"/>
        </w:rPr>
        <w:t>（</w:t>
      </w:r>
      <w:r>
        <w:rPr>
          <w:rFonts w:ascii="Times New Roman" w:hAnsi="Times New Roman" w:eastAsia="宋体" w:cs="Times New Roman"/>
          <w:szCs w:val="21"/>
        </w:rPr>
        <w:t>%</w:t>
      </w:r>
      <w:r>
        <w:rPr>
          <w:rFonts w:hint="eastAsia" w:ascii="Times New Roman" w:hAnsi="Times New Roman" w:eastAsia="宋体" w:cs="Times New Roman"/>
          <w:szCs w:val="21"/>
        </w:rPr>
        <w:t>）</w:t>
      </w:r>
      <w:r>
        <w:rPr>
          <w:rFonts w:ascii="Times New Roman" w:hAnsi="Times New Roman" w:eastAsia="宋体" w:cs="Times New Roman"/>
          <w:szCs w:val="21"/>
        </w:rPr>
        <w:t>；</w:t>
      </w:r>
      <w:r>
        <w:rPr>
          <w:rFonts w:ascii="Times New Roman" w:hAnsi="Times New Roman" w:eastAsia="宋体" w:cs="Times New Roman"/>
          <w:i/>
          <w:iCs/>
          <w:szCs w:val="21"/>
        </w:rPr>
        <w:t>Q</w:t>
      </w:r>
      <w:r>
        <w:rPr>
          <w:rFonts w:ascii="Times New Roman" w:hAnsi="Times New Roman" w:eastAsia="宋体" w:cs="Times New Roman"/>
          <w:i/>
          <w:iCs/>
          <w:szCs w:val="21"/>
          <w:vertAlign w:val="subscript"/>
        </w:rPr>
        <w:t>f</w:t>
      </w:r>
      <w:r>
        <w:rPr>
          <w:rFonts w:ascii="Times New Roman" w:hAnsi="Times New Roman" w:eastAsia="宋体" w:cs="Times New Roman"/>
          <w:szCs w:val="21"/>
        </w:rPr>
        <w:t>为底孔出流流量</w:t>
      </w:r>
      <w:r>
        <w:rPr>
          <w:rFonts w:hint="eastAsia" w:ascii="Times New Roman" w:hAnsi="Times New Roman" w:eastAsia="宋体" w:cs="Times New Roman"/>
          <w:szCs w:val="21"/>
        </w:rPr>
        <w:t>（%）；</w:t>
      </w:r>
      <w:r>
        <w:rPr>
          <w:rFonts w:ascii="Times New Roman" w:hAnsi="Times New Roman" w:eastAsia="宋体" w:cs="Times New Roman"/>
          <w:i/>
          <w:iCs/>
          <w:szCs w:val="21"/>
        </w:rPr>
        <w:t>Q</w:t>
      </w:r>
      <w:r>
        <w:rPr>
          <w:rFonts w:ascii="Times New Roman" w:hAnsi="Times New Roman" w:eastAsia="宋体" w:cs="Times New Roman"/>
          <w:i/>
          <w:iCs/>
          <w:szCs w:val="21"/>
          <w:vertAlign w:val="subscript"/>
        </w:rPr>
        <w:t>w</w:t>
      </w:r>
      <w:r>
        <w:rPr>
          <w:rFonts w:ascii="Times New Roman" w:hAnsi="Times New Roman" w:eastAsia="宋体" w:cs="Times New Roman"/>
          <w:szCs w:val="21"/>
        </w:rPr>
        <w:t>为进口流量</w:t>
      </w:r>
      <w:r>
        <w:rPr>
          <w:rFonts w:hint="eastAsia" w:ascii="Times New Roman" w:hAnsi="Times New Roman" w:eastAsia="宋体" w:cs="Times New Roman"/>
          <w:szCs w:val="21"/>
        </w:rPr>
        <w:t>（</w:t>
      </w:r>
      <w:r>
        <w:rPr>
          <w:rFonts w:ascii="Times New Roman" w:hAnsi="Times New Roman" w:eastAsia="宋体" w:cs="Times New Roman"/>
          <w:szCs w:val="21"/>
        </w:rPr>
        <w:t>m³/s</w:t>
      </w:r>
      <w:r>
        <w:rPr>
          <w:rFonts w:hint="eastAsia" w:ascii="Times New Roman" w:hAnsi="Times New Roman" w:eastAsia="宋体" w:cs="Times New Roman"/>
          <w:szCs w:val="21"/>
        </w:rPr>
        <w:t>）。</w:t>
      </w:r>
    </w:p>
    <w:p w14:paraId="603B176B">
      <w:pPr>
        <w:rPr>
          <w:rFonts w:ascii="Times New Roman" w:hAnsi="Times New Roman" w:eastAsia="黑体" w:cs="Times New Roman"/>
          <w:szCs w:val="21"/>
        </w:rPr>
      </w:pPr>
      <w:r>
        <w:rPr>
          <w:rFonts w:hint="eastAsia" w:ascii="Times New Roman" w:hAnsi="Times New Roman" w:eastAsia="黑体" w:cs="Times New Roman"/>
          <w:szCs w:val="21"/>
        </w:rPr>
        <w:t>1</w:t>
      </w:r>
      <w:r>
        <w:rPr>
          <w:rFonts w:ascii="Times New Roman" w:hAnsi="Times New Roman" w:eastAsia="黑体" w:cs="Times New Roman"/>
          <w:szCs w:val="21"/>
        </w:rPr>
        <w:t>.</w:t>
      </w:r>
      <w:r>
        <w:rPr>
          <w:rFonts w:hint="eastAsia" w:ascii="Times New Roman" w:hAnsi="Times New Roman" w:eastAsia="黑体" w:cs="Times New Roman"/>
          <w:szCs w:val="21"/>
        </w:rPr>
        <w:t xml:space="preserve">4 </w:t>
      </w:r>
      <w:r>
        <w:rPr>
          <w:rFonts w:ascii="Times New Roman" w:hAnsi="Times New Roman" w:eastAsia="黑体" w:cs="Times New Roman"/>
          <w:szCs w:val="21"/>
        </w:rPr>
        <w:t>泥沙截除率及排沙耗水率预测模型建立</w:t>
      </w:r>
    </w:p>
    <w:p w14:paraId="55FE5FBA">
      <w:pPr>
        <w:ind w:firstLine="420" w:firstLineChars="200"/>
        <w:rPr>
          <w:rFonts w:ascii="Times New Roman" w:hAnsi="Times New Roman" w:eastAsia="宋体" w:cs="Times New Roman"/>
          <w:bCs/>
          <w:szCs w:val="21"/>
        </w:rPr>
      </w:pPr>
      <w:r>
        <w:rPr>
          <w:rFonts w:ascii="Times New Roman" w:hAnsi="Times New Roman" w:eastAsia="宋体" w:cs="Times New Roman"/>
          <w:szCs w:val="21"/>
        </w:rPr>
        <w:t>在多目标优化过程中，试验数据覆盖范围有限，无法覆盖所有自变量组合，因此需要借助预测模型对未开展试验的自变量组合对应的结果进行有效预测，为后续全局寻优提供基础。研究以训练组试验结果为建模样本，选取线性函数、幂函数、指数函数分别建立</w:t>
      </w:r>
      <w:r>
        <w:rPr>
          <w:rFonts w:ascii="Times New Roman" w:hAnsi="Times New Roman" w:eastAsia="宋体" w:cs="Times New Roman"/>
          <w:i/>
          <w:iCs/>
          <w:szCs w:val="21"/>
        </w:rPr>
        <w:t>L</w:t>
      </w:r>
      <w:r>
        <w:rPr>
          <w:rFonts w:hint="eastAsia" w:ascii="Times New Roman" w:hAnsi="Times New Roman" w:eastAsia="宋体" w:cs="Times New Roman"/>
          <w:i/>
          <w:iCs/>
          <w:szCs w:val="21"/>
        </w:rPr>
        <w:t>、</w:t>
      </w:r>
      <w:r>
        <w:rPr>
          <w:rFonts w:hint="eastAsia" w:ascii="Times New Roman" w:hAnsi="Times New Roman" w:eastAsia="宋体" w:cs="Times New Roman"/>
          <w:szCs w:val="21"/>
        </w:rPr>
        <w:t>含沙浓度</w:t>
      </w:r>
      <w:r>
        <w:rPr>
          <w:rFonts w:hint="eastAsia" w:ascii="Times New Roman" w:hAnsi="Times New Roman" w:eastAsia="宋体" w:cs="Times New Roman"/>
          <w:i/>
          <w:iCs/>
          <w:szCs w:val="21"/>
        </w:rPr>
        <w:t>s</w:t>
      </w:r>
      <w:r>
        <w:rPr>
          <w:rFonts w:ascii="Times New Roman" w:hAnsi="Times New Roman" w:eastAsia="宋体" w:cs="Times New Roman"/>
          <w:szCs w:val="21"/>
        </w:rPr>
        <w:t>为自变量、泥沙截除率与排沙耗水率为因变量的预测模型</w:t>
      </w:r>
      <w:r>
        <w:rPr>
          <w:rFonts w:hint="eastAsia" w:ascii="Times New Roman" w:hAnsi="Times New Roman" w:eastAsia="宋体" w:cs="Times New Roman"/>
          <w:szCs w:val="21"/>
        </w:rPr>
        <w:t>。</w:t>
      </w:r>
      <w:r>
        <w:rPr>
          <w:rFonts w:ascii="Times New Roman" w:hAnsi="Times New Roman" w:eastAsia="宋体" w:cs="Times New Roman"/>
          <w:szCs w:val="21"/>
        </w:rPr>
        <w:t>最</w:t>
      </w:r>
      <w:r>
        <w:rPr>
          <w:rFonts w:ascii="Times New Roman" w:hAnsi="Times New Roman" w:eastAsia="宋体" w:cs="Times New Roman"/>
          <w:bCs/>
          <w:szCs w:val="21"/>
        </w:rPr>
        <w:t>终获得不同类型的泥沙截除率与排沙耗水率预测模型</w:t>
      </w:r>
      <w:r>
        <w:rPr>
          <w:rFonts w:hint="eastAsia" w:ascii="Times New Roman" w:hAnsi="Times New Roman" w:eastAsia="宋体" w:cs="Times New Roman"/>
          <w:bCs/>
          <w:szCs w:val="21"/>
        </w:rPr>
        <w:t>如</w:t>
      </w:r>
      <w:r>
        <w:rPr>
          <w:rFonts w:ascii="Times New Roman" w:hAnsi="Times New Roman" w:eastAsia="宋体" w:cs="Times New Roman"/>
          <w:bCs/>
          <w:szCs w:val="21"/>
        </w:rPr>
        <w:t>表</w:t>
      </w:r>
      <w:r>
        <w:rPr>
          <w:rFonts w:hint="eastAsia" w:ascii="Times New Roman" w:hAnsi="Times New Roman" w:eastAsia="宋体" w:cs="Times New Roman"/>
          <w:bCs/>
          <w:szCs w:val="21"/>
        </w:rPr>
        <w:t>6所列</w:t>
      </w:r>
      <w:r>
        <w:rPr>
          <w:rFonts w:ascii="Times New Roman" w:hAnsi="Times New Roman" w:eastAsia="宋体" w:cs="Times New Roman"/>
          <w:bCs/>
          <w:szCs w:val="21"/>
        </w:rPr>
        <w:t>。</w:t>
      </w:r>
    </w:p>
    <w:p w14:paraId="1AAB4614">
      <w:pPr>
        <w:ind w:firstLine="360" w:firstLineChars="200"/>
        <w:jc w:val="center"/>
        <w:rPr>
          <w:rFonts w:ascii="Times New Roman" w:hAnsi="Times New Roman" w:eastAsia="黑体" w:cs="Times New Roman"/>
          <w:bCs/>
          <w:sz w:val="18"/>
          <w:szCs w:val="18"/>
        </w:rPr>
      </w:pPr>
      <w:r>
        <w:rPr>
          <w:rFonts w:ascii="Times New Roman" w:hAnsi="Times New Roman" w:eastAsia="黑体" w:cs="Times New Roman"/>
          <w:bCs/>
          <w:sz w:val="18"/>
          <w:szCs w:val="18"/>
        </w:rPr>
        <w:t>表</w:t>
      </w:r>
      <w:r>
        <w:rPr>
          <w:rFonts w:hint="eastAsia" w:ascii="Times New Roman" w:hAnsi="Times New Roman" w:eastAsia="黑体" w:cs="Times New Roman"/>
          <w:bCs/>
          <w:sz w:val="18"/>
          <w:szCs w:val="18"/>
        </w:rPr>
        <w:t>6</w:t>
      </w:r>
      <w:r>
        <w:rPr>
          <w:rFonts w:ascii="Times New Roman" w:hAnsi="Times New Roman" w:eastAsia="黑体" w:cs="Times New Roman"/>
          <w:bCs/>
          <w:sz w:val="18"/>
          <w:szCs w:val="18"/>
        </w:rPr>
        <w:t>预测模型</w:t>
      </w:r>
    </w:p>
    <w:p w14:paraId="37AC2922">
      <w:pPr>
        <w:ind w:firstLine="360" w:firstLineChars="200"/>
        <w:jc w:val="center"/>
        <w:rPr>
          <w:rFonts w:hint="eastAsia" w:ascii="Times New Roman" w:hAnsi="Times New Roman" w:eastAsia="黑体" w:cs="Times New Roman"/>
          <w:bCs/>
          <w:sz w:val="18"/>
          <w:szCs w:val="18"/>
          <w:lang w:val="en-US" w:eastAsia="zh-CN"/>
        </w:rPr>
      </w:pPr>
      <w:r>
        <w:rPr>
          <w:rFonts w:ascii="Times New Roman" w:hAnsi="Times New Roman" w:eastAsia="黑体" w:cs="Times New Roman"/>
          <w:bCs/>
          <w:sz w:val="18"/>
          <w:szCs w:val="18"/>
        </w:rPr>
        <w:t xml:space="preserve">Table </w:t>
      </w:r>
      <w:r>
        <w:rPr>
          <w:rFonts w:hint="eastAsia" w:ascii="Times New Roman" w:hAnsi="Times New Roman" w:eastAsia="黑体" w:cs="Times New Roman"/>
          <w:bCs/>
          <w:sz w:val="18"/>
          <w:szCs w:val="18"/>
        </w:rPr>
        <w:t xml:space="preserve">6 </w:t>
      </w:r>
      <w:r>
        <w:rPr>
          <w:rFonts w:ascii="Times New Roman" w:hAnsi="Times New Roman" w:eastAsia="黑体" w:cs="Times New Roman"/>
          <w:bCs/>
          <w:sz w:val="18"/>
          <w:szCs w:val="18"/>
        </w:rPr>
        <w:t xml:space="preserve">Prediction </w:t>
      </w:r>
      <w:r>
        <w:rPr>
          <w:rFonts w:hint="eastAsia" w:ascii="Times New Roman" w:hAnsi="Times New Roman" w:eastAsia="黑体" w:cs="Times New Roman"/>
          <w:bCs/>
          <w:sz w:val="18"/>
          <w:szCs w:val="18"/>
        </w:rPr>
        <w:t>m</w:t>
      </w:r>
      <w:r>
        <w:rPr>
          <w:rFonts w:ascii="Times New Roman" w:hAnsi="Times New Roman" w:eastAsia="黑体" w:cs="Times New Roman"/>
          <w:bCs/>
          <w:sz w:val="18"/>
          <w:szCs w:val="18"/>
        </w:rPr>
        <w:t>odel</w:t>
      </w:r>
      <w:r>
        <w:rPr>
          <w:rFonts w:hint="eastAsia" w:ascii="Times New Roman" w:hAnsi="Times New Roman" w:eastAsia="黑体" w:cs="Times New Roman"/>
          <w:bCs/>
          <w:sz w:val="18"/>
          <w:szCs w:val="18"/>
          <w:lang w:val="en-US" w:eastAsia="zh-CN"/>
        </w:rPr>
        <w:t>s</w:t>
      </w:r>
    </w:p>
    <w:tbl>
      <w:tblPr>
        <w:tblStyle w:val="8"/>
        <w:tblW w:w="8334" w:type="dxa"/>
        <w:tblInd w:w="0" w:type="dxa"/>
        <w:tblBorders>
          <w:top w:val="single" w:color="auto" w:sz="12" w:space="0"/>
          <w:left w:val="none" w:color="auto" w:sz="4" w:space="0"/>
          <w:bottom w:val="single" w:color="auto" w:sz="12" w:space="0"/>
          <w:right w:val="none" w:color="auto" w:sz="4" w:space="0"/>
          <w:insideH w:val="none" w:color="auto" w:sz="4" w:space="0"/>
          <w:insideV w:val="none" w:color="auto" w:sz="4" w:space="0"/>
        </w:tblBorders>
        <w:tblLayout w:type="autofit"/>
        <w:tblCellMar>
          <w:top w:w="0" w:type="dxa"/>
          <w:left w:w="108" w:type="dxa"/>
          <w:bottom w:w="0" w:type="dxa"/>
          <w:right w:w="108" w:type="dxa"/>
        </w:tblCellMar>
      </w:tblPr>
      <w:tblGrid>
        <w:gridCol w:w="1131"/>
        <w:gridCol w:w="4564"/>
        <w:gridCol w:w="2639"/>
      </w:tblGrid>
      <w:tr w14:paraId="0225B526">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340" w:hRule="atLeast"/>
        </w:trPr>
        <w:tc>
          <w:tcPr>
            <w:tcW w:w="1131" w:type="dxa"/>
            <w:tcBorders>
              <w:top w:val="single" w:color="auto" w:sz="12" w:space="0"/>
              <w:left w:val="nil"/>
              <w:bottom w:val="single" w:color="auto" w:sz="4" w:space="0"/>
              <w:right w:val="nil"/>
            </w:tcBorders>
          </w:tcPr>
          <w:p w14:paraId="62B2DC36">
            <w:pPr>
              <w:spacing w:after="160" w:line="276" w:lineRule="auto"/>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rPr>
              <w:t>类别</w:t>
            </w:r>
          </w:p>
        </w:tc>
        <w:tc>
          <w:tcPr>
            <w:tcW w:w="4564" w:type="dxa"/>
            <w:tcBorders>
              <w:top w:val="single" w:color="auto" w:sz="12" w:space="0"/>
              <w:left w:val="nil"/>
              <w:bottom w:val="single" w:color="auto" w:sz="4" w:space="0"/>
              <w:right w:val="nil"/>
            </w:tcBorders>
          </w:tcPr>
          <w:p w14:paraId="02B6DBD0">
            <w:pPr>
              <w:spacing w:after="160" w:line="276" w:lineRule="auto"/>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lang w:bidi="ar"/>
              </w:rPr>
              <w:t>截除率预测模型</w:t>
            </w:r>
          </w:p>
        </w:tc>
        <w:tc>
          <w:tcPr>
            <w:tcW w:w="2639" w:type="dxa"/>
            <w:tcBorders>
              <w:top w:val="single" w:color="auto" w:sz="12" w:space="0"/>
              <w:left w:val="nil"/>
              <w:bottom w:val="single" w:color="auto" w:sz="4" w:space="0"/>
              <w:right w:val="nil"/>
            </w:tcBorders>
          </w:tcPr>
          <w:p w14:paraId="3C1B6605">
            <w:pPr>
              <w:spacing w:after="160" w:line="276" w:lineRule="auto"/>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lang w:bidi="ar"/>
              </w:rPr>
              <w:t>耗水率预测模型</w:t>
            </w:r>
          </w:p>
        </w:tc>
      </w:tr>
      <w:tr w14:paraId="3197BBB1">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340" w:hRule="atLeast"/>
        </w:trPr>
        <w:tc>
          <w:tcPr>
            <w:tcW w:w="1131" w:type="dxa"/>
            <w:tcBorders>
              <w:top w:val="single" w:color="auto" w:sz="4" w:space="0"/>
              <w:left w:val="nil"/>
              <w:bottom w:val="nil"/>
              <w:right w:val="nil"/>
            </w:tcBorders>
          </w:tcPr>
          <w:p w14:paraId="7BA3296D">
            <w:pPr>
              <w:spacing w:after="160" w:line="276" w:lineRule="auto"/>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lang w:bidi="ar"/>
              </w:rPr>
              <w:t>线性函数</w:t>
            </w:r>
          </w:p>
        </w:tc>
        <w:tc>
          <w:tcPr>
            <w:tcW w:w="4564" w:type="dxa"/>
            <w:tcBorders>
              <w:top w:val="single" w:color="auto" w:sz="4" w:space="0"/>
              <w:left w:val="nil"/>
              <w:bottom w:val="nil"/>
              <w:right w:val="nil"/>
            </w:tcBorders>
          </w:tcPr>
          <w:p w14:paraId="3D792466">
            <w:pPr>
              <w:spacing w:after="160" w:line="276" w:lineRule="auto"/>
              <w:jc w:val="center"/>
              <w:rPr>
                <w:rFonts w:hint="default" w:ascii="Times New Roman" w:hAnsi="Times New Roman" w:eastAsia="宋体" w:cs="Times New Roman"/>
                <w:sz w:val="15"/>
                <w:szCs w:val="15"/>
              </w:rPr>
            </w:pPr>
            <w:r>
              <w:rPr>
                <w:rFonts w:hint="eastAsia" w:ascii="Times New Roman" w:hAnsi="Times New Roman" w:eastAsia="宋体" w:cs="Times New Roman"/>
                <w:position w:val="-7"/>
                <w:sz w:val="15"/>
                <w:szCs w:val="15"/>
                <w:lang w:bidi="ar"/>
              </w:rPr>
              <w:drawing>
                <wp:inline distT="0" distB="0" distL="114300" distR="114300">
                  <wp:extent cx="57150" cy="138430"/>
                  <wp:effectExtent l="0" t="0" r="0" b="3175"/>
                  <wp:docPr id="1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8"/>
                          <pic:cNvPicPr>
                            <a:picLocks noChangeAspect="1"/>
                          </pic:cNvPicPr>
                        </pic:nvPicPr>
                        <pic:blipFill>
                          <a:blip r:embed="rId29">
                            <a:clrChange>
                              <a:clrFrom>
                                <a:srgbClr val="FFFFFF"/>
                              </a:clrFrom>
                              <a:clrTo>
                                <a:srgbClr val="FFFFFF">
                                  <a:alpha val="0"/>
                                </a:srgbClr>
                              </a:clrTo>
                            </a:clrChange>
                          </a:blip>
                          <a:stretch>
                            <a:fillRect/>
                          </a:stretch>
                        </pic:blipFill>
                        <pic:spPr>
                          <a:xfrm>
                            <a:off x="0" y="0"/>
                            <a:ext cx="57150" cy="138430"/>
                          </a:xfrm>
                          <a:prstGeom prst="rect">
                            <a:avLst/>
                          </a:prstGeom>
                          <a:noFill/>
                          <a:ln>
                            <a:noFill/>
                          </a:ln>
                        </pic:spPr>
                      </pic:pic>
                    </a:graphicData>
                  </a:graphic>
                </wp:inline>
              </w:drawing>
            </w:r>
            <w:r>
              <w:rPr>
                <w:rFonts w:hint="default" w:ascii="Times New Roman" w:hAnsi="Times New Roman" w:eastAsia="宋体" w:cs="Times New Roman"/>
                <w:sz w:val="15"/>
                <w:szCs w:val="15"/>
                <w:lang w:bidi="ar"/>
              </w:rPr>
              <w:t xml:space="preserve">= </w:t>
            </w:r>
            <w:r>
              <w:rPr>
                <w:rFonts w:hint="eastAsia" w:ascii="Times New Roman" w:hAnsi="Times New Roman" w:eastAsia="宋体" w:cs="Times New Roman"/>
                <w:sz w:val="15"/>
                <w:szCs w:val="15"/>
                <w:lang w:bidi="ar"/>
              </w:rPr>
              <w:t>-</w:t>
            </w:r>
            <w:r>
              <w:rPr>
                <w:rFonts w:hint="default" w:ascii="Times New Roman" w:hAnsi="Times New Roman" w:eastAsia="宋体" w:cs="Times New Roman"/>
                <w:sz w:val="15"/>
                <w:szCs w:val="15"/>
                <w:lang w:bidi="ar"/>
              </w:rPr>
              <w:t>4.9</w:t>
            </w:r>
            <w:r>
              <w:rPr>
                <w:rFonts w:hint="eastAsia" w:ascii="Times New Roman" w:hAnsi="Times New Roman" w:eastAsia="宋体" w:cs="Times New Roman"/>
                <w:sz w:val="15"/>
                <w:szCs w:val="15"/>
                <w:lang w:bidi="ar"/>
              </w:rPr>
              <w:t>1</w:t>
            </w:r>
            <w:r>
              <w:rPr>
                <w:rFonts w:hint="eastAsia" w:ascii="Times New Roman" w:hAnsi="Times New Roman" w:eastAsia="宋体" w:cs="Times New Roman"/>
                <w:i/>
                <w:iCs/>
                <w:sz w:val="15"/>
                <w:szCs w:val="15"/>
                <w:lang w:bidi="ar"/>
              </w:rPr>
              <w:t>L</w:t>
            </w:r>
            <w:r>
              <w:rPr>
                <w:rFonts w:hint="default" w:ascii="Times New Roman" w:hAnsi="Times New Roman" w:eastAsia="宋体" w:cs="Times New Roman"/>
                <w:sz w:val="15"/>
                <w:szCs w:val="15"/>
                <w:lang w:bidi="ar"/>
              </w:rPr>
              <w:t xml:space="preserve"> + 4.66</w:t>
            </w:r>
            <w:r>
              <w:rPr>
                <w:rFonts w:hint="eastAsia" w:ascii="Times New Roman" w:hAnsi="Times New Roman" w:eastAsia="宋体" w:cs="Times New Roman"/>
                <w:i/>
                <w:iCs/>
                <w:sz w:val="15"/>
                <w:szCs w:val="15"/>
                <w:lang w:bidi="ar"/>
              </w:rPr>
              <w:t>s</w:t>
            </w:r>
            <w:r>
              <w:rPr>
                <w:rFonts w:hint="default" w:ascii="Times New Roman" w:hAnsi="Times New Roman" w:eastAsia="宋体" w:cs="Times New Roman"/>
                <w:sz w:val="15"/>
                <w:szCs w:val="15"/>
                <w:lang w:bidi="ar"/>
              </w:rPr>
              <w:t xml:space="preserve"> + 7.4</w:t>
            </w:r>
            <w:r>
              <w:rPr>
                <w:rFonts w:hint="eastAsia" w:ascii="Times New Roman" w:hAnsi="Times New Roman" w:eastAsia="宋体" w:cs="Times New Roman"/>
                <w:sz w:val="15"/>
                <w:szCs w:val="15"/>
                <w:lang w:bidi="ar"/>
              </w:rPr>
              <w:t>4</w:t>
            </w:r>
          </w:p>
        </w:tc>
        <w:tc>
          <w:tcPr>
            <w:tcW w:w="2639" w:type="dxa"/>
            <w:tcBorders>
              <w:top w:val="single" w:color="auto" w:sz="4" w:space="0"/>
              <w:left w:val="nil"/>
              <w:bottom w:val="nil"/>
              <w:right w:val="nil"/>
            </w:tcBorders>
          </w:tcPr>
          <w:p w14:paraId="6B7639E3">
            <w:pPr>
              <w:spacing w:after="160" w:line="276" w:lineRule="auto"/>
              <w:jc w:val="center"/>
              <w:rPr>
                <w:rFonts w:hint="default" w:ascii="Times New Roman" w:hAnsi="Times New Roman" w:eastAsia="宋体" w:cs="Times New Roman"/>
                <w:sz w:val="15"/>
                <w:szCs w:val="15"/>
              </w:rPr>
            </w:pPr>
            <w:r>
              <w:rPr>
                <w:rFonts w:hint="eastAsia" w:ascii="Times New Roman" w:hAnsi="Times New Roman" w:eastAsia="宋体" w:cs="Times New Roman"/>
                <w:position w:val="-7"/>
                <w:sz w:val="15"/>
                <w:szCs w:val="15"/>
                <w:lang w:bidi="ar"/>
              </w:rPr>
              <w:drawing>
                <wp:inline distT="0" distB="0" distL="114300" distR="114300">
                  <wp:extent cx="52705" cy="138430"/>
                  <wp:effectExtent l="0" t="0" r="4445" b="0"/>
                  <wp:docPr id="2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0"/>
                          <pic:cNvPicPr>
                            <a:picLocks noChangeAspect="1"/>
                          </pic:cNvPicPr>
                        </pic:nvPicPr>
                        <pic:blipFill>
                          <a:blip r:embed="rId30">
                            <a:clrChange>
                              <a:clrFrom>
                                <a:srgbClr val="FFFFFF"/>
                              </a:clrFrom>
                              <a:clrTo>
                                <a:srgbClr val="FFFFFF">
                                  <a:alpha val="0"/>
                                </a:srgbClr>
                              </a:clrTo>
                            </a:clrChange>
                          </a:blip>
                          <a:stretch>
                            <a:fillRect/>
                          </a:stretch>
                        </pic:blipFill>
                        <pic:spPr>
                          <a:xfrm>
                            <a:off x="0" y="0"/>
                            <a:ext cx="52705" cy="138430"/>
                          </a:xfrm>
                          <a:prstGeom prst="rect">
                            <a:avLst/>
                          </a:prstGeom>
                          <a:noFill/>
                          <a:ln>
                            <a:noFill/>
                          </a:ln>
                        </pic:spPr>
                      </pic:pic>
                    </a:graphicData>
                  </a:graphic>
                </wp:inline>
              </w:drawing>
            </w:r>
            <w:r>
              <w:rPr>
                <w:rFonts w:hint="default" w:ascii="Times New Roman" w:hAnsi="Times New Roman" w:eastAsia="宋体" w:cs="Times New Roman"/>
                <w:sz w:val="15"/>
                <w:szCs w:val="15"/>
                <w:lang w:bidi="ar"/>
              </w:rPr>
              <w:t>=-38151.0</w:t>
            </w:r>
            <w:r>
              <w:rPr>
                <w:rFonts w:hint="eastAsia" w:ascii="Times New Roman" w:hAnsi="Times New Roman" w:eastAsia="宋体" w:cs="Times New Roman"/>
                <w:sz w:val="15"/>
                <w:szCs w:val="15"/>
                <w:lang w:bidi="ar"/>
              </w:rPr>
              <w:t>8</w:t>
            </w:r>
            <w:r>
              <w:rPr>
                <w:rFonts w:hint="eastAsia" w:ascii="Times New Roman" w:hAnsi="Times New Roman" w:eastAsia="宋体" w:cs="Times New Roman"/>
                <w:position w:val="-7"/>
                <w:sz w:val="15"/>
                <w:szCs w:val="15"/>
                <w:lang w:bidi="ar"/>
              </w:rPr>
              <w:drawing>
                <wp:inline distT="0" distB="0" distL="114300" distR="114300">
                  <wp:extent cx="57150" cy="138430"/>
                  <wp:effectExtent l="0" t="0" r="0" b="0"/>
                  <wp:docPr id="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1"/>
                          <pic:cNvPicPr>
                            <a:picLocks noChangeAspect="1"/>
                          </pic:cNvPicPr>
                        </pic:nvPicPr>
                        <pic:blipFill>
                          <a:blip r:embed="rId31">
                            <a:clrChange>
                              <a:clrFrom>
                                <a:srgbClr val="FFFFFF"/>
                              </a:clrFrom>
                              <a:clrTo>
                                <a:srgbClr val="FFFFFF">
                                  <a:alpha val="0"/>
                                </a:srgbClr>
                              </a:clrTo>
                            </a:clrChange>
                          </a:blip>
                          <a:stretch>
                            <a:fillRect/>
                          </a:stretch>
                        </pic:blipFill>
                        <pic:spPr>
                          <a:xfrm>
                            <a:off x="0" y="0"/>
                            <a:ext cx="57150" cy="138430"/>
                          </a:xfrm>
                          <a:prstGeom prst="rect">
                            <a:avLst/>
                          </a:prstGeom>
                          <a:noFill/>
                          <a:ln>
                            <a:noFill/>
                          </a:ln>
                        </pic:spPr>
                      </pic:pic>
                    </a:graphicData>
                  </a:graphic>
                </wp:inline>
              </w:drawing>
            </w:r>
            <w:r>
              <w:rPr>
                <w:rFonts w:hint="default" w:ascii="Times New Roman" w:hAnsi="Times New Roman" w:eastAsia="宋体" w:cs="Times New Roman"/>
                <w:sz w:val="15"/>
                <w:szCs w:val="15"/>
                <w:lang w:bidi="ar"/>
              </w:rPr>
              <w:t>+28.83</w:t>
            </w:r>
          </w:p>
        </w:tc>
      </w:tr>
      <w:tr w14:paraId="755607AB">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90" w:hRule="atLeast"/>
        </w:trPr>
        <w:tc>
          <w:tcPr>
            <w:tcW w:w="1131" w:type="dxa"/>
            <w:tcBorders>
              <w:top w:val="nil"/>
              <w:left w:val="nil"/>
              <w:bottom w:val="nil"/>
              <w:right w:val="nil"/>
            </w:tcBorders>
          </w:tcPr>
          <w:p w14:paraId="25084374">
            <w:pPr>
              <w:spacing w:after="160" w:line="276" w:lineRule="auto"/>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lang w:bidi="ar"/>
              </w:rPr>
              <w:t>指数函数</w:t>
            </w:r>
          </w:p>
        </w:tc>
        <w:tc>
          <w:tcPr>
            <w:tcW w:w="4564" w:type="dxa"/>
            <w:tcBorders>
              <w:top w:val="nil"/>
              <w:left w:val="nil"/>
              <w:bottom w:val="nil"/>
              <w:right w:val="nil"/>
            </w:tcBorders>
          </w:tcPr>
          <w:p w14:paraId="49107DED">
            <w:pPr>
              <w:spacing w:after="160" w:line="276" w:lineRule="auto"/>
              <w:jc w:val="center"/>
              <w:rPr>
                <w:rFonts w:hint="default" w:ascii="Times New Roman" w:hAnsi="Times New Roman" w:eastAsia="宋体" w:cs="Times New Roman"/>
                <w:sz w:val="15"/>
                <w:szCs w:val="15"/>
              </w:rPr>
            </w:pPr>
            <w:r>
              <w:rPr>
                <w:rFonts w:hint="eastAsia" w:ascii="Times New Roman" w:hAnsi="Times New Roman" w:eastAsia="宋体" w:cs="Times New Roman"/>
                <w:position w:val="-7"/>
                <w:sz w:val="15"/>
                <w:szCs w:val="15"/>
                <w:lang w:bidi="ar"/>
              </w:rPr>
              <w:drawing>
                <wp:inline distT="0" distB="0" distL="114300" distR="114300">
                  <wp:extent cx="57150" cy="138430"/>
                  <wp:effectExtent l="0" t="0" r="0" b="3175"/>
                  <wp:docPr id="1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8"/>
                          <pic:cNvPicPr>
                            <a:picLocks noChangeAspect="1"/>
                          </pic:cNvPicPr>
                        </pic:nvPicPr>
                        <pic:blipFill>
                          <a:blip r:embed="rId29">
                            <a:clrChange>
                              <a:clrFrom>
                                <a:srgbClr val="FFFFFF"/>
                              </a:clrFrom>
                              <a:clrTo>
                                <a:srgbClr val="FFFFFF">
                                  <a:alpha val="0"/>
                                </a:srgbClr>
                              </a:clrTo>
                            </a:clrChange>
                          </a:blip>
                          <a:stretch>
                            <a:fillRect/>
                          </a:stretch>
                        </pic:blipFill>
                        <pic:spPr>
                          <a:xfrm>
                            <a:off x="0" y="0"/>
                            <a:ext cx="57150" cy="138430"/>
                          </a:xfrm>
                          <a:prstGeom prst="rect">
                            <a:avLst/>
                          </a:prstGeom>
                          <a:noFill/>
                          <a:ln>
                            <a:noFill/>
                          </a:ln>
                        </pic:spPr>
                      </pic:pic>
                    </a:graphicData>
                  </a:graphic>
                </wp:inline>
              </w:drawing>
            </w:r>
            <w:r>
              <w:rPr>
                <w:rFonts w:hint="default" w:ascii="Times New Roman" w:hAnsi="Times New Roman" w:eastAsia="宋体" w:cs="Times New Roman"/>
                <w:sz w:val="15"/>
                <w:szCs w:val="15"/>
                <w:lang w:bidi="ar"/>
              </w:rPr>
              <w:t>=-17.06</w:t>
            </w:r>
            <w:r>
              <w:rPr>
                <w:rFonts w:hint="eastAsia" w:ascii="Times New Roman" w:hAnsi="Times New Roman" w:eastAsia="宋体" w:cs="Times New Roman"/>
                <w:sz w:val="15"/>
                <w:szCs w:val="15"/>
                <w:lang w:bidi="ar"/>
              </w:rPr>
              <w:t>e</w:t>
            </w:r>
            <w:r>
              <w:rPr>
                <w:rFonts w:hint="default" w:ascii="Times New Roman" w:hAnsi="Times New Roman" w:eastAsia="宋体" w:cs="Times New Roman"/>
                <w:sz w:val="15"/>
                <w:szCs w:val="15"/>
                <w:vertAlign w:val="superscript"/>
                <w:lang w:bidi="ar"/>
              </w:rPr>
              <w:t>0.1</w:t>
            </w:r>
            <w:r>
              <w:rPr>
                <w:rFonts w:hint="eastAsia" w:ascii="Times New Roman" w:hAnsi="Times New Roman" w:eastAsia="宋体" w:cs="Times New Roman"/>
                <w:sz w:val="15"/>
                <w:szCs w:val="15"/>
                <w:vertAlign w:val="superscript"/>
                <w:lang w:bidi="ar"/>
              </w:rPr>
              <w:t>9</w:t>
            </w:r>
            <w:r>
              <w:rPr>
                <w:rFonts w:hint="eastAsia" w:ascii="Times New Roman" w:hAnsi="Times New Roman" w:eastAsia="宋体" w:cs="Times New Roman"/>
                <w:i/>
                <w:iCs/>
                <w:sz w:val="15"/>
                <w:szCs w:val="15"/>
                <w:vertAlign w:val="superscript"/>
                <w:lang w:bidi="ar"/>
              </w:rPr>
              <w:t>L</w:t>
            </w:r>
            <w:r>
              <w:rPr>
                <w:rFonts w:hint="default" w:ascii="Times New Roman" w:hAnsi="Times New Roman" w:eastAsia="宋体" w:cs="Times New Roman"/>
                <w:sz w:val="15"/>
                <w:szCs w:val="15"/>
                <w:lang w:bidi="ar"/>
              </w:rPr>
              <w:t>+ 2.04</w:t>
            </w:r>
            <w:r>
              <w:rPr>
                <w:rFonts w:hint="eastAsia" w:ascii="Times New Roman" w:hAnsi="Times New Roman" w:eastAsia="宋体" w:cs="Times New Roman"/>
                <w:sz w:val="15"/>
                <w:szCs w:val="15"/>
                <w:lang w:bidi="ar"/>
              </w:rPr>
              <w:t>e</w:t>
            </w:r>
            <w:r>
              <w:rPr>
                <w:rFonts w:hint="default" w:ascii="Times New Roman" w:hAnsi="Times New Roman" w:eastAsia="宋体" w:cs="Times New Roman"/>
                <w:sz w:val="15"/>
                <w:szCs w:val="15"/>
                <w:vertAlign w:val="superscript"/>
                <w:lang w:bidi="ar"/>
              </w:rPr>
              <w:t>0.28</w:t>
            </w:r>
            <w:r>
              <w:rPr>
                <w:rFonts w:hint="eastAsia" w:ascii="Times New Roman" w:hAnsi="Times New Roman" w:eastAsia="宋体" w:cs="Times New Roman"/>
                <w:i/>
                <w:iCs/>
                <w:sz w:val="15"/>
                <w:szCs w:val="15"/>
                <w:vertAlign w:val="superscript"/>
                <w:lang w:bidi="ar"/>
              </w:rPr>
              <w:t>s</w:t>
            </w:r>
            <w:r>
              <w:rPr>
                <w:rFonts w:hint="default" w:ascii="Times New Roman" w:hAnsi="Times New Roman" w:eastAsia="宋体" w:cs="Times New Roman"/>
                <w:sz w:val="15"/>
                <w:szCs w:val="15"/>
                <w:lang w:bidi="ar"/>
              </w:rPr>
              <w:t>+ 39.37</w:t>
            </w:r>
          </w:p>
        </w:tc>
        <w:tc>
          <w:tcPr>
            <w:tcW w:w="2639" w:type="dxa"/>
            <w:tcBorders>
              <w:top w:val="nil"/>
              <w:left w:val="nil"/>
              <w:bottom w:val="nil"/>
              <w:right w:val="nil"/>
            </w:tcBorders>
          </w:tcPr>
          <w:p w14:paraId="18BBBD33">
            <w:pPr>
              <w:spacing w:after="160" w:line="276" w:lineRule="auto"/>
              <w:jc w:val="center"/>
              <w:rPr>
                <w:rFonts w:hint="default" w:ascii="Times New Roman" w:hAnsi="Times New Roman" w:eastAsia="宋体" w:cs="Times New Roman"/>
                <w:sz w:val="15"/>
                <w:szCs w:val="15"/>
                <w:vertAlign w:val="superscript"/>
                <w:lang w:bidi="ar"/>
              </w:rPr>
            </w:pPr>
            <w:r>
              <w:rPr>
                <w:rFonts w:hint="eastAsia" w:ascii="Times New Roman" w:hAnsi="Times New Roman" w:eastAsia="宋体" w:cs="Times New Roman"/>
                <w:position w:val="-7"/>
                <w:sz w:val="15"/>
                <w:szCs w:val="15"/>
                <w:lang w:bidi="ar"/>
              </w:rPr>
              <w:drawing>
                <wp:inline distT="0" distB="0" distL="114300" distR="114300">
                  <wp:extent cx="52705" cy="138430"/>
                  <wp:effectExtent l="0" t="0" r="4445" b="0"/>
                  <wp:docPr id="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0"/>
                          <pic:cNvPicPr>
                            <a:picLocks noChangeAspect="1"/>
                          </pic:cNvPicPr>
                        </pic:nvPicPr>
                        <pic:blipFill>
                          <a:blip r:embed="rId30">
                            <a:clrChange>
                              <a:clrFrom>
                                <a:srgbClr val="FFFFFF"/>
                              </a:clrFrom>
                              <a:clrTo>
                                <a:srgbClr val="FFFFFF">
                                  <a:alpha val="0"/>
                                </a:srgbClr>
                              </a:clrTo>
                            </a:clrChange>
                          </a:blip>
                          <a:stretch>
                            <a:fillRect/>
                          </a:stretch>
                        </pic:blipFill>
                        <pic:spPr>
                          <a:xfrm>
                            <a:off x="0" y="0"/>
                            <a:ext cx="52705" cy="138430"/>
                          </a:xfrm>
                          <a:prstGeom prst="rect">
                            <a:avLst/>
                          </a:prstGeom>
                          <a:noFill/>
                          <a:ln>
                            <a:noFill/>
                          </a:ln>
                        </pic:spPr>
                      </pic:pic>
                    </a:graphicData>
                  </a:graphic>
                </wp:inline>
              </w:drawing>
            </w:r>
            <w:r>
              <w:rPr>
                <w:rFonts w:hint="default" w:ascii="Times New Roman" w:hAnsi="Times New Roman" w:eastAsia="宋体" w:cs="Times New Roman"/>
                <w:sz w:val="15"/>
                <w:szCs w:val="15"/>
                <w:lang w:bidi="ar"/>
              </w:rPr>
              <w:t>=36.3</w:t>
            </w:r>
            <w:r>
              <w:rPr>
                <w:rFonts w:hint="eastAsia" w:ascii="Times New Roman" w:hAnsi="Times New Roman" w:eastAsia="宋体" w:cs="Times New Roman"/>
                <w:sz w:val="15"/>
                <w:szCs w:val="15"/>
                <w:lang w:bidi="ar"/>
              </w:rPr>
              <w:t>4e</w:t>
            </w:r>
            <w:r>
              <w:rPr>
                <w:rFonts w:hint="eastAsia" w:ascii="Times New Roman" w:hAnsi="Times New Roman" w:eastAsia="宋体" w:cs="Times New Roman"/>
                <w:sz w:val="15"/>
                <w:szCs w:val="15"/>
                <w:vertAlign w:val="superscript"/>
                <w:lang w:bidi="ar"/>
              </w:rPr>
              <w:t>-2734.83</w:t>
            </w:r>
            <w:r>
              <w:rPr>
                <w:rFonts w:hint="eastAsia" w:ascii="Times New Roman" w:hAnsi="Times New Roman" w:eastAsia="宋体" w:cs="Times New Roman"/>
                <w:i/>
                <w:iCs/>
                <w:sz w:val="15"/>
                <w:szCs w:val="15"/>
                <w:vertAlign w:val="superscript"/>
                <w:lang w:bidi="ar"/>
              </w:rPr>
              <w:t>L</w:t>
            </w:r>
          </w:p>
        </w:tc>
      </w:tr>
      <w:tr w14:paraId="7AC3DCBE">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340" w:hRule="atLeast"/>
        </w:trPr>
        <w:tc>
          <w:tcPr>
            <w:tcW w:w="1131" w:type="dxa"/>
            <w:tcBorders>
              <w:top w:val="nil"/>
              <w:left w:val="nil"/>
              <w:bottom w:val="single" w:color="auto" w:sz="12" w:space="0"/>
              <w:right w:val="nil"/>
            </w:tcBorders>
          </w:tcPr>
          <w:p w14:paraId="00712988">
            <w:pPr>
              <w:spacing w:after="160" w:line="276" w:lineRule="auto"/>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lang w:bidi="ar"/>
              </w:rPr>
              <w:t>幂函数</w:t>
            </w:r>
          </w:p>
        </w:tc>
        <w:tc>
          <w:tcPr>
            <w:tcW w:w="4564" w:type="dxa"/>
            <w:tcBorders>
              <w:top w:val="nil"/>
              <w:left w:val="nil"/>
              <w:bottom w:val="single" w:color="auto" w:sz="12" w:space="0"/>
              <w:right w:val="nil"/>
            </w:tcBorders>
          </w:tcPr>
          <w:p w14:paraId="1052E402">
            <w:pPr>
              <w:spacing w:after="160" w:line="276" w:lineRule="auto"/>
              <w:jc w:val="center"/>
              <w:rPr>
                <w:rFonts w:hint="default" w:ascii="Times New Roman" w:hAnsi="Times New Roman" w:eastAsia="宋体" w:cs="Times New Roman"/>
                <w:sz w:val="15"/>
                <w:szCs w:val="15"/>
              </w:rPr>
            </w:pPr>
            <w:r>
              <w:rPr>
                <w:rFonts w:hint="eastAsia" w:ascii="Times New Roman" w:hAnsi="Times New Roman" w:eastAsia="宋体" w:cs="Times New Roman"/>
                <w:position w:val="-7"/>
                <w:sz w:val="15"/>
                <w:szCs w:val="15"/>
                <w:lang w:bidi="ar"/>
              </w:rPr>
              <w:drawing>
                <wp:inline distT="0" distB="0" distL="114300" distR="114300">
                  <wp:extent cx="57150" cy="138430"/>
                  <wp:effectExtent l="0" t="0" r="0" b="3175"/>
                  <wp:docPr id="1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2"/>
                          <pic:cNvPicPr>
                            <a:picLocks noChangeAspect="1"/>
                          </pic:cNvPicPr>
                        </pic:nvPicPr>
                        <pic:blipFill>
                          <a:blip r:embed="rId29">
                            <a:clrChange>
                              <a:clrFrom>
                                <a:srgbClr val="FFFFFF"/>
                              </a:clrFrom>
                              <a:clrTo>
                                <a:srgbClr val="FFFFFF">
                                  <a:alpha val="0"/>
                                </a:srgbClr>
                              </a:clrTo>
                            </a:clrChange>
                          </a:blip>
                          <a:stretch>
                            <a:fillRect/>
                          </a:stretch>
                        </pic:blipFill>
                        <pic:spPr>
                          <a:xfrm>
                            <a:off x="0" y="0"/>
                            <a:ext cx="57150" cy="138430"/>
                          </a:xfrm>
                          <a:prstGeom prst="rect">
                            <a:avLst/>
                          </a:prstGeom>
                          <a:noFill/>
                          <a:ln>
                            <a:noFill/>
                          </a:ln>
                        </pic:spPr>
                      </pic:pic>
                    </a:graphicData>
                  </a:graphic>
                </wp:inline>
              </w:drawing>
            </w:r>
            <w:r>
              <w:rPr>
                <w:rFonts w:hint="default" w:ascii="Times New Roman" w:hAnsi="Times New Roman" w:eastAsia="宋体" w:cs="Times New Roman"/>
                <w:sz w:val="15"/>
                <w:szCs w:val="15"/>
                <w:lang w:bidi="ar"/>
              </w:rPr>
              <w:t>=</w:t>
            </w:r>
            <w:r>
              <w:rPr>
                <w:rFonts w:hint="eastAsia" w:ascii="Times New Roman" w:hAnsi="Times New Roman" w:eastAsia="宋体" w:cs="Times New Roman"/>
                <w:sz w:val="15"/>
                <w:szCs w:val="15"/>
                <w:lang w:bidi="ar"/>
              </w:rPr>
              <w:t>2.03</w:t>
            </w:r>
            <w:r>
              <w:rPr>
                <w:rFonts w:hint="default" w:ascii="Arial" w:hAnsi="Arial" w:eastAsia="宋体" w:cs="Arial"/>
                <w:sz w:val="15"/>
                <w:szCs w:val="15"/>
                <w:lang w:bidi="ar"/>
              </w:rPr>
              <w:t>×</w:t>
            </w:r>
            <w:r>
              <w:rPr>
                <w:rFonts w:hint="eastAsia" w:ascii="Times New Roman" w:hAnsi="Times New Roman" w:eastAsia="宋体" w:cs="Times New Roman"/>
                <w:sz w:val="15"/>
                <w:szCs w:val="15"/>
                <w:lang w:bidi="ar"/>
              </w:rPr>
              <w:t>10</w:t>
            </w:r>
            <w:r>
              <w:rPr>
                <w:rFonts w:hint="eastAsia" w:ascii="Times New Roman" w:hAnsi="Times New Roman" w:eastAsia="宋体" w:cs="Times New Roman"/>
                <w:sz w:val="15"/>
                <w:szCs w:val="15"/>
                <w:vertAlign w:val="superscript"/>
                <w:lang w:bidi="ar"/>
              </w:rPr>
              <w:t>-5</w:t>
            </w:r>
            <w:r>
              <w:rPr>
                <w:rFonts w:hint="eastAsia" w:ascii="Times New Roman" w:hAnsi="Times New Roman" w:eastAsia="宋体" w:cs="Times New Roman"/>
                <w:i/>
                <w:iCs/>
                <w:sz w:val="15"/>
                <w:szCs w:val="15"/>
                <w:lang w:bidi="ar"/>
              </w:rPr>
              <w:t>L</w:t>
            </w:r>
            <w:r>
              <w:rPr>
                <w:rFonts w:hint="default" w:ascii="Times New Roman" w:hAnsi="Times New Roman" w:eastAsia="宋体" w:cs="Times New Roman"/>
                <w:sz w:val="15"/>
                <w:szCs w:val="15"/>
                <w:vertAlign w:val="superscript"/>
                <w:lang w:bidi="ar"/>
              </w:rPr>
              <w:t>-0.77</w:t>
            </w:r>
            <w:r>
              <w:rPr>
                <w:rFonts w:hint="default" w:ascii="Times New Roman" w:hAnsi="Times New Roman" w:eastAsia="宋体" w:cs="Times New Roman"/>
                <w:i/>
                <w:iCs/>
                <w:sz w:val="15"/>
                <w:szCs w:val="15"/>
                <w:vertAlign w:val="superscript"/>
                <w:lang w:bidi="ar"/>
              </w:rPr>
              <w:t xml:space="preserve"> </w:t>
            </w:r>
            <w:r>
              <w:rPr>
                <w:rFonts w:hint="eastAsia" w:ascii="Times New Roman" w:hAnsi="Times New Roman" w:eastAsia="宋体" w:cs="Times New Roman"/>
                <w:i/>
                <w:iCs/>
                <w:sz w:val="15"/>
                <w:szCs w:val="15"/>
                <w:lang w:bidi="ar"/>
              </w:rPr>
              <w:t>s</w:t>
            </w:r>
            <w:r>
              <w:rPr>
                <w:rFonts w:hint="default" w:ascii="Times New Roman" w:hAnsi="Times New Roman" w:eastAsia="宋体" w:cs="Times New Roman"/>
                <w:sz w:val="15"/>
                <w:szCs w:val="15"/>
                <w:vertAlign w:val="superscript"/>
                <w:lang w:bidi="ar"/>
              </w:rPr>
              <w:t>3.546</w:t>
            </w:r>
            <w:r>
              <w:rPr>
                <w:rFonts w:hint="default" w:ascii="Times New Roman" w:hAnsi="Times New Roman" w:eastAsia="宋体" w:cs="Times New Roman"/>
                <w:sz w:val="15"/>
                <w:szCs w:val="15"/>
                <w:lang w:bidi="ar"/>
              </w:rPr>
              <w:t xml:space="preserve"> + 19.51</w:t>
            </w:r>
          </w:p>
        </w:tc>
        <w:tc>
          <w:tcPr>
            <w:tcW w:w="2639" w:type="dxa"/>
            <w:tcBorders>
              <w:top w:val="nil"/>
              <w:left w:val="nil"/>
              <w:bottom w:val="single" w:color="auto" w:sz="12" w:space="0"/>
              <w:right w:val="nil"/>
            </w:tcBorders>
          </w:tcPr>
          <w:p w14:paraId="5701CA89">
            <w:pPr>
              <w:spacing w:after="160" w:line="276" w:lineRule="auto"/>
              <w:jc w:val="center"/>
              <w:rPr>
                <w:rFonts w:hint="default" w:ascii="Times New Roman" w:hAnsi="Times New Roman" w:eastAsia="宋体" w:cs="Times New Roman"/>
                <w:sz w:val="15"/>
                <w:szCs w:val="15"/>
              </w:rPr>
            </w:pPr>
            <w:r>
              <w:rPr>
                <w:rFonts w:hint="eastAsia" w:ascii="Times New Roman" w:hAnsi="Times New Roman" w:eastAsia="宋体" w:cs="Times New Roman"/>
                <w:position w:val="-7"/>
                <w:sz w:val="15"/>
                <w:szCs w:val="15"/>
                <w:lang w:bidi="ar"/>
              </w:rPr>
              <w:drawing>
                <wp:inline distT="0" distB="0" distL="114300" distR="114300">
                  <wp:extent cx="52705" cy="138430"/>
                  <wp:effectExtent l="0" t="0" r="4445" b="0"/>
                  <wp:docPr id="2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4"/>
                          <pic:cNvPicPr>
                            <a:picLocks noChangeAspect="1"/>
                          </pic:cNvPicPr>
                        </pic:nvPicPr>
                        <pic:blipFill>
                          <a:blip r:embed="rId30">
                            <a:clrChange>
                              <a:clrFrom>
                                <a:srgbClr val="FFFFFF"/>
                              </a:clrFrom>
                              <a:clrTo>
                                <a:srgbClr val="FFFFFF">
                                  <a:alpha val="0"/>
                                </a:srgbClr>
                              </a:clrTo>
                            </a:clrChange>
                          </a:blip>
                          <a:stretch>
                            <a:fillRect/>
                          </a:stretch>
                        </pic:blipFill>
                        <pic:spPr>
                          <a:xfrm>
                            <a:off x="0" y="0"/>
                            <a:ext cx="52705" cy="138430"/>
                          </a:xfrm>
                          <a:prstGeom prst="rect">
                            <a:avLst/>
                          </a:prstGeom>
                          <a:noFill/>
                          <a:ln>
                            <a:noFill/>
                          </a:ln>
                        </pic:spPr>
                      </pic:pic>
                    </a:graphicData>
                  </a:graphic>
                </wp:inline>
              </w:drawing>
            </w:r>
            <w:r>
              <w:rPr>
                <w:rFonts w:hint="default" w:ascii="Times New Roman" w:hAnsi="Times New Roman" w:eastAsia="宋体" w:cs="Times New Roman"/>
                <w:sz w:val="15"/>
                <w:szCs w:val="15"/>
                <w:lang w:bidi="ar"/>
              </w:rPr>
              <w:t>=0.0044</w:t>
            </w:r>
            <w:r>
              <w:rPr>
                <w:rFonts w:hint="eastAsia" w:ascii="Times New Roman" w:hAnsi="Times New Roman" w:eastAsia="宋体" w:cs="Times New Roman"/>
                <w:i/>
                <w:iCs/>
                <w:sz w:val="15"/>
                <w:szCs w:val="15"/>
                <w:lang w:bidi="ar"/>
              </w:rPr>
              <w:t>L</w:t>
            </w:r>
            <w:r>
              <w:rPr>
                <w:rFonts w:hint="eastAsia" w:ascii="Times New Roman" w:hAnsi="Times New Roman" w:eastAsia="宋体" w:cs="Times New Roman"/>
                <w:sz w:val="15"/>
                <w:szCs w:val="15"/>
                <w:vertAlign w:val="superscript"/>
                <w:lang w:bidi="ar"/>
              </w:rPr>
              <w:t>-1.0005</w:t>
            </w:r>
          </w:p>
        </w:tc>
      </w:tr>
    </w:tbl>
    <w:p w14:paraId="46F86DFE">
      <w:pPr>
        <w:rPr>
          <w:rFonts w:hint="eastAsia" w:ascii="宋体" w:hAnsi="宋体" w:eastAsia="宋体" w:cs="宋体"/>
          <w:bCs/>
          <w:sz w:val="28"/>
          <w:szCs w:val="28"/>
        </w:rPr>
      </w:pPr>
      <w:r>
        <w:rPr>
          <w:rFonts w:hint="eastAsia" w:ascii="Times New Roman" w:hAnsi="Times New Roman" w:eastAsia="宋体" w:cs="Times New Roman"/>
          <w:bCs/>
          <w:sz w:val="28"/>
          <w:szCs w:val="28"/>
        </w:rPr>
        <w:t>2</w:t>
      </w:r>
      <w:r>
        <w:rPr>
          <w:rFonts w:hint="eastAsia" w:ascii="宋体" w:hAnsi="宋体" w:eastAsia="宋体" w:cs="宋体"/>
          <w:bCs/>
          <w:sz w:val="28"/>
          <w:szCs w:val="28"/>
        </w:rPr>
        <w:t>结果与分析</w:t>
      </w:r>
    </w:p>
    <w:p w14:paraId="43A0849C">
      <w:pPr>
        <w:jc w:val="left"/>
        <w:rPr>
          <w:rFonts w:ascii="Times New Roman" w:hAnsi="Times New Roman" w:eastAsia="黑体" w:cs="Times New Roman"/>
          <w:szCs w:val="21"/>
        </w:rPr>
      </w:pPr>
      <w:r>
        <w:rPr>
          <w:rFonts w:hint="eastAsia" w:ascii="Times New Roman" w:hAnsi="Times New Roman" w:eastAsia="黑体" w:cs="Times New Roman"/>
          <w:szCs w:val="21"/>
        </w:rPr>
        <w:t>2</w:t>
      </w:r>
      <w:r>
        <w:rPr>
          <w:rFonts w:ascii="Times New Roman" w:hAnsi="Times New Roman" w:eastAsia="黑体" w:cs="Times New Roman"/>
          <w:szCs w:val="21"/>
        </w:rPr>
        <w:t>.</w:t>
      </w:r>
      <w:r>
        <w:rPr>
          <w:rFonts w:hint="eastAsia" w:ascii="Times New Roman" w:hAnsi="Times New Roman" w:eastAsia="黑体" w:cs="Times New Roman"/>
          <w:szCs w:val="21"/>
        </w:rPr>
        <w:t>1 模型</w:t>
      </w:r>
      <w:r>
        <w:rPr>
          <w:rFonts w:ascii="Times New Roman" w:hAnsi="Times New Roman" w:eastAsia="黑体" w:cs="Times New Roman"/>
          <w:szCs w:val="21"/>
        </w:rPr>
        <w:t>预测性能评价</w:t>
      </w:r>
    </w:p>
    <w:p w14:paraId="000C3EA0">
      <w:pPr>
        <w:snapToGrid w:val="0"/>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研究采用决定系数</w:t>
      </w:r>
      <w:r>
        <w:rPr>
          <w:rFonts w:ascii="Times New Roman" w:hAnsi="Times New Roman" w:eastAsia="宋体" w:cs="Times New Roman"/>
          <w:position w:val="-4"/>
          <w:szCs w:val="21"/>
        </w:rPr>
        <w:object>
          <v:shape id="_x0000_i1034" o:spt="75" type="#_x0000_t75" style="height:15.35pt;width:15.65pt;" o:ole="t" filled="f" o:preferrelative="t" stroked="f" coordsize="21600,21600">
            <v:path/>
            <v:fill on="f" focussize="0,0"/>
            <v:stroke on="f" joinstyle="miter"/>
            <v:imagedata r:id="rId33" o:title=""/>
            <o:lock v:ext="edit" aspectratio="t"/>
            <w10:wrap type="none"/>
            <w10:anchorlock/>
          </v:shape>
          <o:OLEObject Type="Embed" ProgID="Equation.3" ShapeID="_x0000_i1034" DrawAspect="Content" ObjectID="_1468075734" r:id="rId32">
            <o:LockedField>false</o:LockedField>
          </o:OLEObject>
        </w:object>
      </w:r>
      <w:r>
        <w:rPr>
          <w:rFonts w:hint="eastAsia" w:ascii="Times New Roman" w:hAnsi="Times New Roman" w:eastAsia="宋体" w:cs="Times New Roman"/>
          <w:szCs w:val="21"/>
        </w:rPr>
        <w:t>，</w:t>
      </w:r>
      <w:r>
        <w:rPr>
          <w:rFonts w:ascii="Times New Roman" w:hAnsi="Times New Roman" w:eastAsia="宋体" w:cs="Times New Roman"/>
          <w:szCs w:val="21"/>
        </w:rPr>
        <w:t>均方根</w:t>
      </w:r>
      <w:r>
        <w:rPr>
          <w:rFonts w:ascii="Times New Roman" w:hAnsi="Times New Roman" w:eastAsia="宋体" w:cs="Times New Roman"/>
          <w:i/>
          <w:iCs/>
          <w:szCs w:val="21"/>
        </w:rPr>
        <w:t>RMSE</w:t>
      </w:r>
      <w:r>
        <w:rPr>
          <w:rFonts w:ascii="Times New Roman" w:hAnsi="Times New Roman" w:eastAsia="宋体" w:cs="Times New Roman"/>
          <w:szCs w:val="21"/>
        </w:rPr>
        <w:t>和平均绝对误差</w:t>
      </w:r>
      <w:r>
        <w:rPr>
          <w:rFonts w:ascii="Times New Roman" w:hAnsi="Times New Roman" w:eastAsia="宋体" w:cs="Times New Roman"/>
          <w:i/>
          <w:iCs/>
          <w:szCs w:val="21"/>
        </w:rPr>
        <w:t>MAE</w:t>
      </w:r>
      <w:r>
        <w:rPr>
          <w:rFonts w:ascii="Times New Roman" w:hAnsi="Times New Roman" w:eastAsia="宋体" w:cs="Times New Roman"/>
          <w:szCs w:val="21"/>
        </w:rPr>
        <w:t>作为预测精度评价指标，通过对比各预测模型训练组各项指标，选取精度最高的预测模型用于后续分析。</w:t>
      </w:r>
      <w:r>
        <w:rPr>
          <w:rFonts w:ascii="Times New Roman" w:hAnsi="Times New Roman" w:eastAsia="宋体" w:cs="Times New Roman"/>
          <w:position w:val="-4"/>
          <w:szCs w:val="21"/>
        </w:rPr>
        <w:object>
          <v:shape id="_x0000_i1035" o:spt="75" type="#_x0000_t75" style="height:15.35pt;width:15.65pt;" o:ole="t" filled="f" o:preferrelative="t" stroked="f" coordsize="21600,21600">
            <v:path/>
            <v:fill on="f" focussize="0,0"/>
            <v:stroke on="f" joinstyle="miter"/>
            <v:imagedata r:id="rId35" o:title=""/>
            <o:lock v:ext="edit" aspectratio="t"/>
            <w10:wrap type="none"/>
            <w10:anchorlock/>
          </v:shape>
          <o:OLEObject Type="Embed" ProgID="Equation.3" ShapeID="_x0000_i1035" DrawAspect="Content" ObjectID="_1468075735" r:id="rId34">
            <o:LockedField>false</o:LockedField>
          </o:OLEObject>
        </w:object>
      </w:r>
      <w:r>
        <w:rPr>
          <w:rFonts w:ascii="Times New Roman" w:hAnsi="Times New Roman" w:eastAsia="宋体" w:cs="Times New Roman"/>
          <w:szCs w:val="21"/>
        </w:rPr>
        <w:t>、</w:t>
      </w:r>
      <w:r>
        <w:rPr>
          <w:rFonts w:ascii="Times New Roman" w:hAnsi="Times New Roman" w:eastAsia="宋体" w:cs="Times New Roman"/>
          <w:i/>
          <w:iCs/>
          <w:szCs w:val="21"/>
        </w:rPr>
        <w:t>RMSE</w:t>
      </w:r>
      <w:r>
        <w:rPr>
          <w:rFonts w:ascii="Times New Roman" w:hAnsi="Times New Roman" w:eastAsia="宋体" w:cs="Times New Roman"/>
          <w:szCs w:val="21"/>
        </w:rPr>
        <w:t>、</w:t>
      </w:r>
      <w:r>
        <w:rPr>
          <w:rFonts w:ascii="Times New Roman" w:hAnsi="Times New Roman" w:eastAsia="宋体" w:cs="Times New Roman"/>
          <w:i/>
          <w:iCs/>
          <w:szCs w:val="21"/>
        </w:rPr>
        <w:t>MAE</w:t>
      </w:r>
      <w:r>
        <w:rPr>
          <w:rFonts w:ascii="Times New Roman" w:hAnsi="Times New Roman" w:eastAsia="宋体" w:cs="Times New Roman"/>
          <w:szCs w:val="21"/>
        </w:rPr>
        <w:t>计算公式分别如下</w:t>
      </w:r>
    </w:p>
    <w:p w14:paraId="70CB2D74">
      <w:pPr>
        <w:tabs>
          <w:tab w:val="center" w:pos="4200"/>
          <w:tab w:val="right" w:pos="8400"/>
        </w:tabs>
        <w:snapToGrid w:val="0"/>
        <w:spacing w:line="360" w:lineRule="auto"/>
        <w:rPr>
          <w:rFonts w:ascii="Times New Roman" w:hAnsi="Times New Roman" w:eastAsia="宋体" w:cs="Times New Roman"/>
          <w:szCs w:val="21"/>
        </w:rPr>
      </w:pPr>
      <w:r>
        <w:rPr>
          <w:rFonts w:ascii="Times New Roman" w:hAnsi="Times New Roman" w:eastAsia="宋体" w:cs="Times New Roman"/>
          <w:sz w:val="24"/>
        </w:rPr>
        <w:tab/>
      </w:r>
      <w:r>
        <w:rPr>
          <w:rFonts w:ascii="Times New Roman" w:hAnsi="Times New Roman" w:eastAsia="宋体" w:cs="Times New Roman"/>
          <w:position w:val="-50"/>
          <w:sz w:val="24"/>
        </w:rPr>
        <w:object>
          <v:shape id="_x0000_i1036" o:spt="75" type="#_x0000_t75" style="height:56.35pt;width:96.85pt;" o:ole="t" filled="f" o:preferrelative="t" stroked="f" coordsize="21600,21600">
            <v:path/>
            <v:fill on="f" focussize="0,0"/>
            <v:stroke on="f" joinstyle="miter"/>
            <v:imagedata r:id="rId37" o:title=""/>
            <o:lock v:ext="edit" aspectratio="t"/>
            <w10:wrap type="none"/>
            <w10:anchorlock/>
          </v:shape>
          <o:OLEObject Type="Embed" ProgID="Equation.DSMT4" ShapeID="_x0000_i1036" DrawAspect="Content" ObjectID="_1468075736" r:id="rId36">
            <o:LockedField>false</o:LockedField>
          </o:OLEObject>
        </w:object>
      </w:r>
      <w:r>
        <w:rPr>
          <w:rFonts w:ascii="Times New Roman" w:hAnsi="Times New Roman" w:eastAsia="宋体" w:cs="Times New Roman"/>
          <w:sz w:val="24"/>
        </w:rPr>
        <w:tab/>
      </w:r>
      <w:r>
        <w:rPr>
          <w:rFonts w:ascii="Times New Roman" w:hAnsi="Times New Roman" w:eastAsia="宋体" w:cs="Times New Roman"/>
          <w:szCs w:val="21"/>
        </w:rPr>
        <w:t>(</w:t>
      </w:r>
      <w:r>
        <w:rPr>
          <w:rFonts w:hint="eastAsia" w:ascii="Times New Roman" w:hAnsi="Times New Roman" w:eastAsia="宋体" w:cs="Times New Roman"/>
          <w:szCs w:val="21"/>
        </w:rPr>
        <w:t>10</w:t>
      </w:r>
      <w:r>
        <w:rPr>
          <w:rFonts w:ascii="Times New Roman" w:hAnsi="Times New Roman" w:eastAsia="宋体" w:cs="Times New Roman"/>
          <w:szCs w:val="21"/>
        </w:rPr>
        <w:t>)</w:t>
      </w:r>
    </w:p>
    <w:p w14:paraId="3D9BB739">
      <w:pPr>
        <w:tabs>
          <w:tab w:val="center" w:pos="4200"/>
          <w:tab w:val="right" w:pos="8400"/>
        </w:tabs>
        <w:snapToGrid w:val="0"/>
        <w:spacing w:line="360" w:lineRule="auto"/>
        <w:rPr>
          <w:rFonts w:ascii="Times New Roman" w:hAnsi="Times New Roman" w:eastAsia="宋体" w:cs="Times New Roman"/>
          <w:szCs w:val="21"/>
        </w:rPr>
      </w:pPr>
      <w:r>
        <w:rPr>
          <w:rFonts w:ascii="Times New Roman" w:hAnsi="Times New Roman" w:eastAsia="宋体" w:cs="Times New Roman"/>
          <w:sz w:val="24"/>
        </w:rPr>
        <w:tab/>
      </w:r>
      <w:r>
        <w:rPr>
          <w:rFonts w:ascii="Times New Roman" w:hAnsi="Times New Roman" w:eastAsia="宋体" w:cs="Times New Roman"/>
          <w:position w:val="-26"/>
          <w:sz w:val="24"/>
        </w:rPr>
        <w:object>
          <v:shape id="_x0000_i1037" o:spt="75" type="#_x0000_t75" style="height:47.3pt;width:109.9pt;" o:ole="t" filled="f" o:preferrelative="t" stroked="f" coordsize="21600,21600">
            <v:path/>
            <v:fill on="f" focussize="0,0"/>
            <v:stroke on="f" joinstyle="miter"/>
            <v:imagedata r:id="rId39" o:title=""/>
            <o:lock v:ext="edit" aspectratio="t"/>
            <w10:wrap type="none"/>
            <w10:anchorlock/>
          </v:shape>
          <o:OLEObject Type="Embed" ProgID="Equation.DSMT4" ShapeID="_x0000_i1037" DrawAspect="Content" ObjectID="_1468075737" r:id="rId38">
            <o:LockedField>false</o:LockedField>
          </o:OLEObject>
        </w:object>
      </w:r>
      <w:r>
        <w:rPr>
          <w:rFonts w:ascii="Times New Roman" w:hAnsi="Times New Roman" w:eastAsia="宋体" w:cs="Times New Roman"/>
          <w:sz w:val="24"/>
        </w:rPr>
        <w:tab/>
      </w:r>
      <w:r>
        <w:rPr>
          <w:rFonts w:ascii="Times New Roman" w:hAnsi="Times New Roman" w:eastAsia="宋体" w:cs="Times New Roman"/>
          <w:szCs w:val="21"/>
        </w:rPr>
        <w:t>(</w:t>
      </w:r>
      <w:r>
        <w:rPr>
          <w:rFonts w:hint="eastAsia" w:ascii="Times New Roman" w:hAnsi="Times New Roman" w:eastAsia="宋体" w:cs="Times New Roman"/>
          <w:szCs w:val="21"/>
        </w:rPr>
        <w:t>11</w:t>
      </w:r>
      <w:r>
        <w:rPr>
          <w:rFonts w:ascii="Times New Roman" w:hAnsi="Times New Roman" w:eastAsia="宋体" w:cs="Times New Roman"/>
          <w:szCs w:val="21"/>
        </w:rPr>
        <w:t>)</w:t>
      </w:r>
    </w:p>
    <w:p w14:paraId="19D0E58B">
      <w:pPr>
        <w:tabs>
          <w:tab w:val="center" w:pos="4200"/>
          <w:tab w:val="right" w:pos="8400"/>
        </w:tabs>
        <w:snapToGrid w:val="0"/>
        <w:spacing w:line="360" w:lineRule="auto"/>
        <w:rPr>
          <w:rFonts w:ascii="Times New Roman" w:hAnsi="Times New Roman" w:eastAsia="宋体" w:cs="Times New Roman"/>
          <w:szCs w:val="21"/>
        </w:rPr>
      </w:pPr>
      <w:r>
        <w:rPr>
          <w:rFonts w:ascii="Times New Roman" w:hAnsi="Times New Roman" w:eastAsia="宋体" w:cs="Times New Roman"/>
          <w:sz w:val="24"/>
        </w:rPr>
        <w:tab/>
      </w:r>
      <w:r>
        <w:rPr>
          <w:rFonts w:ascii="Times New Roman" w:hAnsi="Times New Roman" w:eastAsia="宋体" w:cs="Times New Roman"/>
          <w:position w:val="-24"/>
          <w:sz w:val="24"/>
        </w:rPr>
        <w:object>
          <v:shape id="_x0000_i1038" o:spt="75" type="#_x0000_t75" style="height:43.2pt;width:82.9pt;" o:ole="t" filled="f" o:preferrelative="t" stroked="f" coordsize="21600,21600">
            <v:path/>
            <v:fill on="f" focussize="0,0"/>
            <v:stroke on="f" joinstyle="miter"/>
            <v:imagedata r:id="rId41" o:title=""/>
            <o:lock v:ext="edit" aspectratio="t"/>
            <w10:wrap type="none"/>
            <w10:anchorlock/>
          </v:shape>
          <o:OLEObject Type="Embed" ProgID="Equation.DSMT4" ShapeID="_x0000_i1038" DrawAspect="Content" ObjectID="_1468075738" r:id="rId40">
            <o:LockedField>false</o:LockedField>
          </o:OLEObject>
        </w:object>
      </w:r>
      <w:r>
        <w:rPr>
          <w:rFonts w:ascii="Times New Roman" w:hAnsi="Times New Roman" w:eastAsia="宋体" w:cs="Times New Roman"/>
          <w:sz w:val="24"/>
        </w:rPr>
        <w:tab/>
      </w:r>
      <w:r>
        <w:rPr>
          <w:rFonts w:ascii="Times New Roman" w:hAnsi="Times New Roman" w:eastAsia="宋体" w:cs="Times New Roman"/>
          <w:szCs w:val="21"/>
        </w:rPr>
        <w:t>(</w:t>
      </w:r>
      <w:r>
        <w:rPr>
          <w:rFonts w:hint="eastAsia" w:ascii="Times New Roman" w:hAnsi="Times New Roman" w:eastAsia="宋体" w:cs="Times New Roman"/>
          <w:szCs w:val="21"/>
        </w:rPr>
        <w:t>12</w:t>
      </w:r>
      <w:r>
        <w:rPr>
          <w:rFonts w:ascii="Times New Roman" w:hAnsi="Times New Roman" w:eastAsia="宋体" w:cs="Times New Roman"/>
          <w:szCs w:val="21"/>
        </w:rPr>
        <w:t>)</w:t>
      </w:r>
    </w:p>
    <w:p w14:paraId="7E02C52F">
      <w:pPr>
        <w:rPr>
          <w:rFonts w:ascii="Times New Roman" w:hAnsi="Times New Roman" w:eastAsia="宋体" w:cs="Times New Roman"/>
          <w:szCs w:val="21"/>
        </w:rPr>
      </w:pPr>
      <w:r>
        <w:rPr>
          <w:rFonts w:ascii="Times New Roman" w:hAnsi="Times New Roman" w:eastAsia="宋体" w:cs="Times New Roman"/>
          <w:szCs w:val="21"/>
        </w:rPr>
        <w:t>式中</w:t>
      </w:r>
      <w:r>
        <w:rPr>
          <w:rFonts w:hint="eastAsia" w:ascii="Times New Roman" w:hAnsi="Times New Roman" w:eastAsia="宋体" w:cs="Times New Roman"/>
          <w:szCs w:val="21"/>
        </w:rPr>
        <w:t>，</w:t>
      </w:r>
      <m:oMath>
        <m:sSub>
          <m:sSubPr>
            <m:ctrlPr>
              <w:rPr>
                <w:rFonts w:ascii="Cambria Math" w:hAnsi="Cambria Math" w:cs="Times New Roman"/>
                <w:i/>
                <w:szCs w:val="21"/>
              </w:rPr>
            </m:ctrlPr>
          </m:sSubPr>
          <m:e>
            <m:acc>
              <m:accPr>
                <m:chr m:val="̅"/>
                <m:ctrlPr>
                  <w:rPr>
                    <w:rFonts w:ascii="Cambria Math" w:hAnsi="Cambria Math" w:cs="Times New Roman"/>
                    <w:i/>
                    <w:szCs w:val="21"/>
                  </w:rPr>
                </m:ctrlPr>
              </m:accPr>
              <m:e>
                <m:r>
                  <m:rPr/>
                  <w:rPr>
                    <w:rFonts w:ascii="Cambria Math" w:hAnsi="Cambria Math" w:cs="Times New Roman"/>
                    <w:szCs w:val="21"/>
                  </w:rPr>
                  <m:t>y</m:t>
                </m:r>
                <m:ctrlPr>
                  <w:rPr>
                    <w:rFonts w:ascii="Cambria Math" w:hAnsi="Cambria Math" w:cs="Times New Roman"/>
                    <w:i/>
                    <w:szCs w:val="21"/>
                  </w:rPr>
                </m:ctrlPr>
              </m:e>
            </m:acc>
            <m:ctrlPr>
              <w:rPr>
                <w:rFonts w:ascii="Cambria Math" w:hAnsi="Cambria Math" w:cs="Times New Roman"/>
                <w:i/>
                <w:szCs w:val="21"/>
              </w:rPr>
            </m:ctrlPr>
          </m:e>
          <m:sub>
            <m:r>
              <m:rPr/>
              <w:rPr>
                <w:rFonts w:ascii="Cambria Math" w:hAnsi="Cambria Math" w:cs="Times New Roman"/>
                <w:szCs w:val="21"/>
              </w:rPr>
              <m:t>i</m:t>
            </m:r>
            <m:ctrlPr>
              <w:rPr>
                <w:rFonts w:ascii="Cambria Math" w:hAnsi="Cambria Math" w:cs="Times New Roman"/>
                <w:i/>
                <w:szCs w:val="21"/>
              </w:rPr>
            </m:ctrlPr>
          </m:sub>
        </m:sSub>
      </m:oMath>
      <w:r>
        <w:rPr>
          <w:rFonts w:ascii="Times New Roman" w:hAnsi="Times New Roman" w:eastAsia="宋体" w:cs="Times New Roman"/>
          <w:szCs w:val="21"/>
        </w:rPr>
        <w:t>为因变量的样本均值</w:t>
      </w:r>
      <w:r>
        <w:rPr>
          <w:rFonts w:hint="eastAsia" w:ascii="Times New Roman" w:hAnsi="Times New Roman" w:eastAsia="宋体" w:cs="Times New Roman"/>
          <w:szCs w:val="21"/>
        </w:rPr>
        <w:t>；</w:t>
      </w:r>
      <w:r>
        <w:rPr>
          <w:rFonts w:ascii="Times New Roman" w:hAnsi="Times New Roman" w:eastAsia="宋体" w:cs="Times New Roman"/>
          <w:i/>
          <w:iCs/>
          <w:szCs w:val="21"/>
        </w:rPr>
        <w:t>m</w:t>
      </w:r>
      <w:r>
        <w:rPr>
          <w:rFonts w:ascii="Times New Roman" w:hAnsi="Times New Roman" w:eastAsia="宋体" w:cs="Times New Roman"/>
          <w:szCs w:val="21"/>
        </w:rPr>
        <w:t>为数据点的个数。</w:t>
      </w:r>
    </w:p>
    <w:p w14:paraId="4B53850C">
      <w:pPr>
        <w:snapToGrid w:val="0"/>
        <w:ind w:firstLine="420" w:firstLineChars="200"/>
        <w:rPr>
          <w:rFonts w:ascii="Times New Roman" w:hAnsi="Times New Roman" w:eastAsia="宋体" w:cs="Times New Roman"/>
          <w:szCs w:val="21"/>
        </w:rPr>
      </w:pPr>
      <w:r>
        <w:rPr>
          <w:rFonts w:ascii="Times New Roman" w:hAnsi="Times New Roman" w:eastAsia="宋体" w:cs="Times New Roman"/>
          <w:szCs w:val="21"/>
        </w:rPr>
        <w:t>其中</w:t>
      </w:r>
      <w:r>
        <w:rPr>
          <w:rFonts w:hint="eastAsia" w:ascii="Times New Roman" w:hAnsi="Times New Roman" w:eastAsia="宋体" w:cs="Times New Roman"/>
          <w:i/>
          <w:iCs/>
          <w:szCs w:val="21"/>
        </w:rPr>
        <w:t>R</w:t>
      </w:r>
      <w:r>
        <w:rPr>
          <w:rFonts w:hint="eastAsia" w:ascii="Times New Roman" w:hAnsi="Times New Roman" w:eastAsia="宋体" w:cs="Times New Roman"/>
          <w:szCs w:val="21"/>
          <w:vertAlign w:val="superscript"/>
        </w:rPr>
        <w:t>2</w:t>
      </w:r>
      <w:r>
        <w:rPr>
          <w:rFonts w:ascii="Times New Roman" w:hAnsi="Times New Roman" w:eastAsia="宋体" w:cs="Times New Roman"/>
          <w:szCs w:val="21"/>
        </w:rPr>
        <w:t>用于衡量模型对数据的拟合优度，其取值范围在0</w:t>
      </w:r>
      <w:r>
        <w:rPr>
          <w:rFonts w:hint="eastAsia" w:ascii="Times New Roman" w:hAnsi="Times New Roman" w:eastAsia="宋体" w:cs="Times New Roman"/>
          <w:szCs w:val="21"/>
        </w:rPr>
        <w:t>~</w:t>
      </w:r>
      <w:r>
        <w:rPr>
          <w:rFonts w:ascii="Times New Roman" w:hAnsi="Times New Roman" w:eastAsia="宋体" w:cs="Times New Roman"/>
          <w:szCs w:val="21"/>
        </w:rPr>
        <w:t>1之间。</w:t>
      </w:r>
      <w:r>
        <w:rPr>
          <w:rFonts w:hint="eastAsia" w:ascii="Times New Roman" w:hAnsi="Times New Roman" w:eastAsia="宋体" w:cs="Times New Roman"/>
          <w:i/>
          <w:iCs/>
          <w:szCs w:val="21"/>
        </w:rPr>
        <w:t>R</w:t>
      </w:r>
      <w:r>
        <w:rPr>
          <w:rFonts w:hint="eastAsia" w:ascii="Times New Roman" w:hAnsi="Times New Roman" w:eastAsia="宋体" w:cs="Times New Roman"/>
          <w:szCs w:val="21"/>
          <w:vertAlign w:val="superscript"/>
        </w:rPr>
        <w:t>2</w:t>
      </w:r>
      <w:r>
        <w:rPr>
          <w:rFonts w:ascii="Times New Roman" w:hAnsi="Times New Roman" w:eastAsia="宋体" w:cs="Times New Roman"/>
          <w:szCs w:val="21"/>
        </w:rPr>
        <w:t>越接近1，表示模型对数据的拟合效果越好。</w:t>
      </w:r>
      <w:r>
        <w:rPr>
          <w:rFonts w:ascii="Times New Roman" w:hAnsi="Times New Roman" w:eastAsia="宋体" w:cs="Times New Roman"/>
          <w:i/>
          <w:iCs/>
          <w:szCs w:val="21"/>
        </w:rPr>
        <w:t>RMSE</w:t>
      </w:r>
      <w:r>
        <w:rPr>
          <w:rFonts w:ascii="Times New Roman" w:hAnsi="Times New Roman" w:eastAsia="宋体" w:cs="Times New Roman"/>
          <w:szCs w:val="21"/>
        </w:rPr>
        <w:t>反映了模型预测值与实际观测值之间的平均误差程度，其值越小，说明模型的预测精度越高。</w:t>
      </w:r>
      <w:r>
        <w:rPr>
          <w:rFonts w:ascii="Times New Roman" w:hAnsi="Times New Roman" w:eastAsia="宋体" w:cs="Times New Roman"/>
          <w:i/>
          <w:iCs/>
          <w:szCs w:val="21"/>
        </w:rPr>
        <w:t>MAE</w:t>
      </w:r>
      <w:r>
        <w:rPr>
          <w:rFonts w:ascii="Times New Roman" w:hAnsi="Times New Roman" w:eastAsia="宋体" w:cs="Times New Roman"/>
          <w:szCs w:val="21"/>
        </w:rPr>
        <w:t>是预测值与实际值误差绝对值的平均值，它能够直观地反映模型预测误差的平均大小。</w:t>
      </w:r>
      <w:r>
        <w:rPr>
          <w:rFonts w:ascii="Times New Roman" w:hAnsi="Times New Roman" w:eastAsia="宋体" w:cs="Times New Roman"/>
          <w:i/>
          <w:iCs/>
          <w:szCs w:val="21"/>
        </w:rPr>
        <w:t>MAE</w:t>
      </w:r>
      <w:r>
        <w:rPr>
          <w:rFonts w:ascii="Times New Roman" w:hAnsi="Times New Roman" w:eastAsia="宋体" w:cs="Times New Roman"/>
          <w:szCs w:val="21"/>
        </w:rPr>
        <w:t>值越小，表明模型的预测效果越理想。</w:t>
      </w:r>
    </w:p>
    <w:p w14:paraId="5E2409A1">
      <w:pPr>
        <w:snapToGrid w:val="0"/>
        <w:ind w:firstLine="420" w:firstLineChars="200"/>
        <w:rPr>
          <w:rFonts w:ascii="Times New Roman" w:hAnsi="Times New Roman" w:eastAsia="宋体" w:cs="Times New Roman"/>
          <w:bCs/>
          <w:szCs w:val="21"/>
        </w:rPr>
      </w:pPr>
      <w:r>
        <w:rPr>
          <w:rFonts w:ascii="Times New Roman" w:hAnsi="Times New Roman" w:eastAsia="宋体" w:cs="Times New Roman"/>
          <w:bCs/>
          <w:szCs w:val="21"/>
        </w:rPr>
        <w:t>不同截除率预测模型性能评价指标</w:t>
      </w:r>
      <w:r>
        <w:rPr>
          <w:rFonts w:hint="eastAsia" w:ascii="Times New Roman" w:hAnsi="Times New Roman" w:eastAsia="宋体" w:cs="Times New Roman"/>
          <w:bCs/>
          <w:szCs w:val="21"/>
        </w:rPr>
        <w:t>如</w:t>
      </w:r>
      <w:r>
        <w:rPr>
          <w:rFonts w:ascii="Times New Roman" w:hAnsi="Times New Roman" w:eastAsia="宋体" w:cs="Times New Roman"/>
          <w:bCs/>
          <w:szCs w:val="21"/>
        </w:rPr>
        <w:t>表</w:t>
      </w:r>
      <w:r>
        <w:rPr>
          <w:rFonts w:hint="eastAsia" w:ascii="Times New Roman" w:hAnsi="Times New Roman" w:eastAsia="宋体" w:cs="Times New Roman"/>
          <w:bCs/>
          <w:szCs w:val="21"/>
        </w:rPr>
        <w:t>7</w:t>
      </w:r>
      <w:r>
        <w:rPr>
          <w:rFonts w:ascii="Times New Roman" w:hAnsi="Times New Roman" w:eastAsia="宋体" w:cs="Times New Roman"/>
          <w:bCs/>
          <w:szCs w:val="21"/>
        </w:rPr>
        <w:t>所</w:t>
      </w:r>
      <w:r>
        <w:rPr>
          <w:rFonts w:hint="eastAsia" w:ascii="Times New Roman" w:hAnsi="Times New Roman" w:eastAsia="宋体" w:cs="Times New Roman"/>
          <w:bCs/>
          <w:szCs w:val="21"/>
        </w:rPr>
        <w:t>列</w:t>
      </w:r>
      <w:r>
        <w:rPr>
          <w:rFonts w:ascii="Times New Roman" w:hAnsi="Times New Roman" w:eastAsia="宋体" w:cs="Times New Roman"/>
          <w:bCs/>
          <w:szCs w:val="21"/>
        </w:rPr>
        <w:t>。由表可得，在训练组、测试组结果当中，幂函数预测模型在所有预测模型中精度最高，其</w:t>
      </w:r>
      <m:oMath>
        <m:sSup>
          <m:sSupPr>
            <m:ctrlPr>
              <w:rPr>
                <w:rFonts w:ascii="Cambria Math" w:hAnsi="Cambria Math" w:eastAsia="宋体" w:cs="Times New Roman"/>
                <w:bCs/>
                <w:i/>
                <w:szCs w:val="21"/>
              </w:rPr>
            </m:ctrlPr>
          </m:sSupPr>
          <m:e>
            <m:r>
              <m:rPr/>
              <w:rPr>
                <w:rFonts w:ascii="Cambria Math" w:hAnsi="Cambria Math" w:eastAsia="宋体" w:cs="Times New Roman"/>
                <w:szCs w:val="21"/>
              </w:rPr>
              <m:t>R</m:t>
            </m:r>
            <m:ctrlPr>
              <w:rPr>
                <w:rFonts w:ascii="Cambria Math" w:hAnsi="Cambria Math" w:eastAsia="宋体" w:cs="Times New Roman"/>
                <w:bCs/>
                <w:i/>
                <w:szCs w:val="21"/>
              </w:rPr>
            </m:ctrlPr>
          </m:e>
          <m:sup>
            <m:r>
              <m:rPr/>
              <w:rPr>
                <w:rFonts w:ascii="Cambria Math" w:hAnsi="Cambria Math" w:eastAsia="宋体" w:cs="Times New Roman"/>
                <w:szCs w:val="21"/>
              </w:rPr>
              <m:t>2</m:t>
            </m:r>
            <m:ctrlPr>
              <w:rPr>
                <w:rFonts w:ascii="Cambria Math" w:hAnsi="Cambria Math" w:eastAsia="宋体" w:cs="Times New Roman"/>
                <w:bCs/>
                <w:i/>
                <w:szCs w:val="21"/>
              </w:rPr>
            </m:ctrlPr>
          </m:sup>
        </m:sSup>
      </m:oMath>
      <w:r>
        <w:rPr>
          <w:rFonts w:ascii="Times New Roman" w:hAnsi="Times New Roman" w:eastAsia="宋体" w:cs="Times New Roman"/>
          <w:bCs/>
          <w:szCs w:val="21"/>
        </w:rPr>
        <w:t>为</w:t>
      </w:r>
      <w:r>
        <w:rPr>
          <w:rFonts w:hint="eastAsia" w:ascii="Times New Roman" w:hAnsi="Times New Roman" w:eastAsia="宋体" w:cs="Times New Roman"/>
          <w:bCs/>
          <w:szCs w:val="21"/>
        </w:rPr>
        <w:t>0.95</w:t>
      </w:r>
      <w:r>
        <w:rPr>
          <w:rFonts w:ascii="Times New Roman" w:hAnsi="Times New Roman" w:eastAsia="宋体" w:cs="Times New Roman"/>
          <w:bCs/>
          <w:szCs w:val="21"/>
        </w:rPr>
        <w:t>及</w:t>
      </w:r>
      <w:r>
        <w:rPr>
          <w:rFonts w:hint="eastAsia" w:ascii="Times New Roman" w:hAnsi="Times New Roman" w:eastAsia="宋体" w:cs="Times New Roman"/>
          <w:bCs/>
          <w:szCs w:val="21"/>
        </w:rPr>
        <w:t>0.911</w:t>
      </w:r>
      <w:r>
        <w:rPr>
          <w:rFonts w:ascii="Times New Roman" w:hAnsi="Times New Roman" w:eastAsia="宋体" w:cs="Times New Roman"/>
          <w:bCs/>
          <w:i/>
          <w:iCs/>
          <w:szCs w:val="21"/>
        </w:rPr>
        <w:t>，RMSE</w:t>
      </w:r>
      <w:r>
        <w:rPr>
          <w:rFonts w:ascii="Times New Roman" w:hAnsi="Times New Roman" w:eastAsia="宋体" w:cs="Times New Roman"/>
          <w:bCs/>
          <w:szCs w:val="21"/>
        </w:rPr>
        <w:t>为</w:t>
      </w:r>
      <w:r>
        <w:rPr>
          <w:rFonts w:hint="eastAsia" w:ascii="Times New Roman" w:hAnsi="Times New Roman" w:eastAsia="宋体" w:cs="Times New Roman"/>
          <w:bCs/>
          <w:szCs w:val="21"/>
        </w:rPr>
        <w:t>2.054</w:t>
      </w:r>
      <w:r>
        <w:rPr>
          <w:rFonts w:ascii="Times New Roman" w:hAnsi="Times New Roman" w:eastAsia="宋体" w:cs="Times New Roman"/>
          <w:bCs/>
          <w:szCs w:val="21"/>
        </w:rPr>
        <w:t>及</w:t>
      </w:r>
      <w:r>
        <w:rPr>
          <w:rFonts w:hint="eastAsia" w:ascii="Times New Roman" w:hAnsi="Times New Roman" w:eastAsia="宋体" w:cs="Times New Roman"/>
          <w:bCs/>
          <w:szCs w:val="21"/>
        </w:rPr>
        <w:t>2.596</w:t>
      </w:r>
      <w:r>
        <w:rPr>
          <w:rFonts w:ascii="Times New Roman" w:hAnsi="Times New Roman" w:eastAsia="宋体" w:cs="Times New Roman"/>
          <w:bCs/>
          <w:szCs w:val="21"/>
        </w:rPr>
        <w:t>，</w:t>
      </w:r>
      <w:r>
        <w:rPr>
          <w:rFonts w:ascii="Times New Roman" w:hAnsi="Times New Roman" w:eastAsia="宋体" w:cs="Times New Roman"/>
          <w:bCs/>
          <w:i/>
          <w:iCs/>
          <w:szCs w:val="21"/>
        </w:rPr>
        <w:t>MAE</w:t>
      </w:r>
      <w:r>
        <w:rPr>
          <w:rFonts w:ascii="Times New Roman" w:hAnsi="Times New Roman" w:eastAsia="宋体" w:cs="Times New Roman"/>
          <w:bCs/>
          <w:szCs w:val="21"/>
        </w:rPr>
        <w:t>为</w:t>
      </w:r>
      <w:r>
        <w:rPr>
          <w:rFonts w:hint="eastAsia" w:ascii="Times New Roman" w:hAnsi="Times New Roman" w:eastAsia="宋体" w:cs="Times New Roman"/>
          <w:bCs/>
          <w:szCs w:val="21"/>
        </w:rPr>
        <w:t>2.741</w:t>
      </w:r>
      <w:r>
        <w:rPr>
          <w:rFonts w:ascii="Times New Roman" w:hAnsi="Times New Roman" w:eastAsia="宋体" w:cs="Times New Roman"/>
          <w:bCs/>
          <w:szCs w:val="21"/>
        </w:rPr>
        <w:t>及</w:t>
      </w:r>
      <w:r>
        <w:rPr>
          <w:rFonts w:hint="eastAsia" w:ascii="Times New Roman" w:hAnsi="Times New Roman" w:eastAsia="宋体" w:cs="Times New Roman"/>
          <w:bCs/>
          <w:szCs w:val="21"/>
        </w:rPr>
        <w:t>2.666</w:t>
      </w:r>
      <w:r>
        <w:rPr>
          <w:rFonts w:ascii="Times New Roman" w:hAnsi="Times New Roman" w:eastAsia="宋体" w:cs="Times New Roman"/>
          <w:bCs/>
          <w:szCs w:val="21"/>
        </w:rPr>
        <w:t>。故最终选定</w:t>
      </w:r>
      <w:r>
        <w:rPr>
          <w:rFonts w:hint="eastAsia" w:ascii="Times New Roman" w:hAnsi="Times New Roman" w:eastAsia="宋体" w:cs="Times New Roman"/>
          <w:bCs/>
          <w:szCs w:val="21"/>
        </w:rPr>
        <w:t>幂</w:t>
      </w:r>
      <w:r>
        <w:rPr>
          <w:rFonts w:ascii="Times New Roman" w:hAnsi="Times New Roman" w:eastAsia="宋体" w:cs="Times New Roman"/>
          <w:bCs/>
          <w:szCs w:val="21"/>
        </w:rPr>
        <w:t>函数</w:t>
      </w:r>
      <w:r>
        <w:rPr>
          <w:rFonts w:hint="eastAsia" w:ascii="Times New Roman" w:hAnsi="Times New Roman" w:eastAsia="宋体" w:cs="Times New Roman"/>
          <w:position w:val="-7"/>
          <w:sz w:val="15"/>
          <w:szCs w:val="15"/>
          <w:lang w:bidi="ar"/>
        </w:rPr>
        <w:drawing>
          <wp:inline distT="0" distB="0" distL="114300" distR="114300">
            <wp:extent cx="57150" cy="138430"/>
            <wp:effectExtent l="0" t="0" r="0" b="3175"/>
            <wp:docPr id="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2"/>
                    <pic:cNvPicPr>
                      <a:picLocks noChangeAspect="1"/>
                    </pic:cNvPicPr>
                  </pic:nvPicPr>
                  <pic:blipFill>
                    <a:blip r:embed="rId29">
                      <a:clrChange>
                        <a:clrFrom>
                          <a:srgbClr val="FFFFFF"/>
                        </a:clrFrom>
                        <a:clrTo>
                          <a:srgbClr val="FFFFFF">
                            <a:alpha val="0"/>
                          </a:srgbClr>
                        </a:clrTo>
                      </a:clrChange>
                    </a:blip>
                    <a:stretch>
                      <a:fillRect/>
                    </a:stretch>
                  </pic:blipFill>
                  <pic:spPr>
                    <a:xfrm>
                      <a:off x="0" y="0"/>
                      <a:ext cx="57150" cy="138430"/>
                    </a:xfrm>
                    <a:prstGeom prst="rect">
                      <a:avLst/>
                    </a:prstGeom>
                    <a:noFill/>
                    <a:ln>
                      <a:noFill/>
                    </a:ln>
                  </pic:spPr>
                </pic:pic>
              </a:graphicData>
            </a:graphic>
          </wp:inline>
        </w:drawing>
      </w:r>
      <w:r>
        <w:rPr>
          <w:rFonts w:ascii="Times New Roman" w:hAnsi="Times New Roman" w:eastAsia="宋体" w:cs="Times New Roman"/>
          <w:sz w:val="15"/>
          <w:szCs w:val="15"/>
          <w:lang w:bidi="ar"/>
        </w:rPr>
        <w:t>=</w:t>
      </w:r>
      <w:r>
        <w:rPr>
          <w:rFonts w:hint="eastAsia" w:ascii="Times New Roman" w:hAnsi="Times New Roman" w:eastAsia="宋体" w:cs="Times New Roman"/>
          <w:sz w:val="15"/>
          <w:szCs w:val="15"/>
          <w:lang w:bidi="ar"/>
        </w:rPr>
        <w:t>2.03</w:t>
      </w:r>
      <w:r>
        <w:rPr>
          <w:rFonts w:ascii="Arial" w:hAnsi="Arial" w:eastAsia="宋体" w:cs="Arial"/>
          <w:sz w:val="15"/>
          <w:szCs w:val="15"/>
          <w:lang w:bidi="ar"/>
        </w:rPr>
        <w:t>×</w:t>
      </w:r>
      <w:r>
        <w:rPr>
          <w:rFonts w:hint="eastAsia" w:ascii="Times New Roman" w:hAnsi="Times New Roman" w:eastAsia="宋体" w:cs="Times New Roman"/>
          <w:sz w:val="15"/>
          <w:szCs w:val="15"/>
          <w:lang w:bidi="ar"/>
        </w:rPr>
        <w:t>10</w:t>
      </w:r>
      <w:r>
        <w:rPr>
          <w:rFonts w:hint="eastAsia" w:ascii="Times New Roman" w:hAnsi="Times New Roman" w:eastAsia="宋体" w:cs="Times New Roman"/>
          <w:sz w:val="15"/>
          <w:szCs w:val="15"/>
          <w:vertAlign w:val="superscript"/>
          <w:lang w:bidi="ar"/>
        </w:rPr>
        <w:t>-5</w:t>
      </w:r>
      <w:r>
        <w:rPr>
          <w:rFonts w:hint="eastAsia" w:ascii="Times New Roman" w:hAnsi="Times New Roman" w:eastAsia="宋体" w:cs="Times New Roman"/>
          <w:i/>
          <w:iCs/>
          <w:sz w:val="15"/>
          <w:szCs w:val="15"/>
          <w:lang w:bidi="ar"/>
        </w:rPr>
        <w:t>L</w:t>
      </w:r>
      <w:r>
        <w:rPr>
          <w:rFonts w:ascii="Times New Roman" w:hAnsi="Times New Roman" w:eastAsia="宋体" w:cs="Times New Roman"/>
          <w:sz w:val="15"/>
          <w:szCs w:val="15"/>
          <w:vertAlign w:val="superscript"/>
          <w:lang w:bidi="ar"/>
        </w:rPr>
        <w:t>-0.77</w:t>
      </w:r>
      <w:r>
        <w:rPr>
          <w:rFonts w:ascii="Times New Roman" w:hAnsi="Times New Roman" w:eastAsia="宋体" w:cs="Times New Roman"/>
          <w:i/>
          <w:iCs/>
          <w:sz w:val="15"/>
          <w:szCs w:val="15"/>
          <w:vertAlign w:val="superscript"/>
          <w:lang w:bidi="ar"/>
        </w:rPr>
        <w:t xml:space="preserve"> </w:t>
      </w:r>
      <w:r>
        <w:rPr>
          <w:rFonts w:hint="eastAsia" w:ascii="Times New Roman" w:hAnsi="Times New Roman" w:eastAsia="宋体" w:cs="Times New Roman"/>
          <w:i/>
          <w:iCs/>
          <w:sz w:val="15"/>
          <w:szCs w:val="15"/>
          <w:lang w:bidi="ar"/>
        </w:rPr>
        <w:t>s</w:t>
      </w:r>
      <w:r>
        <w:rPr>
          <w:rFonts w:ascii="Times New Roman" w:hAnsi="Times New Roman" w:eastAsia="宋体" w:cs="Times New Roman"/>
          <w:sz w:val="15"/>
          <w:szCs w:val="15"/>
          <w:vertAlign w:val="superscript"/>
          <w:lang w:bidi="ar"/>
        </w:rPr>
        <w:t>3.546</w:t>
      </w:r>
      <w:r>
        <w:rPr>
          <w:rFonts w:ascii="Times New Roman" w:hAnsi="Times New Roman" w:eastAsia="宋体" w:cs="Times New Roman"/>
          <w:sz w:val="15"/>
          <w:szCs w:val="15"/>
          <w:lang w:bidi="ar"/>
        </w:rPr>
        <w:t xml:space="preserve"> + 19.51</w:t>
      </w:r>
      <w:r>
        <w:rPr>
          <w:rFonts w:ascii="Times New Roman" w:hAnsi="Times New Roman" w:eastAsia="宋体" w:cs="Times New Roman"/>
          <w:bCs/>
          <w:szCs w:val="21"/>
        </w:rPr>
        <w:t>作为截除率预测模型。</w:t>
      </w:r>
    </w:p>
    <w:p w14:paraId="27925163">
      <w:pPr>
        <w:ind w:firstLine="360" w:firstLineChars="200"/>
        <w:jc w:val="center"/>
        <w:rPr>
          <w:rFonts w:ascii="Times New Roman" w:hAnsi="Times New Roman" w:eastAsia="黑体" w:cs="Times New Roman"/>
          <w:bCs/>
          <w:sz w:val="18"/>
          <w:szCs w:val="18"/>
        </w:rPr>
      </w:pPr>
      <w:r>
        <w:rPr>
          <w:rFonts w:ascii="Times New Roman" w:hAnsi="Times New Roman" w:eastAsia="黑体" w:cs="Times New Roman"/>
          <w:bCs/>
          <w:sz w:val="18"/>
          <w:szCs w:val="18"/>
        </w:rPr>
        <w:t>表</w:t>
      </w:r>
      <w:r>
        <w:rPr>
          <w:rFonts w:hint="eastAsia" w:ascii="Times New Roman" w:hAnsi="Times New Roman" w:eastAsia="黑体" w:cs="Times New Roman"/>
          <w:bCs/>
          <w:sz w:val="18"/>
          <w:szCs w:val="18"/>
        </w:rPr>
        <w:t>7</w:t>
      </w:r>
      <w:r>
        <w:rPr>
          <w:rFonts w:ascii="Times New Roman" w:hAnsi="Times New Roman" w:eastAsia="黑体" w:cs="Times New Roman"/>
          <w:bCs/>
          <w:sz w:val="18"/>
          <w:szCs w:val="18"/>
        </w:rPr>
        <w:t>截除率拟合模型性能评价指标</w:t>
      </w:r>
    </w:p>
    <w:p w14:paraId="33490C05">
      <w:pPr>
        <w:ind w:firstLine="360" w:firstLineChars="200"/>
        <w:jc w:val="center"/>
        <w:rPr>
          <w:rFonts w:ascii="Times New Roman" w:hAnsi="Times New Roman" w:cs="Times New Roman"/>
          <w:bCs/>
          <w:sz w:val="18"/>
          <w:szCs w:val="18"/>
        </w:rPr>
      </w:pPr>
      <w:r>
        <w:rPr>
          <w:rFonts w:hint="eastAsia" w:ascii="Times New Roman" w:hAnsi="Times New Roman" w:cs="Times New Roman"/>
          <w:bCs/>
          <w:sz w:val="18"/>
          <w:szCs w:val="18"/>
        </w:rPr>
        <w:t>Table 7 Performance evaluation indicators for</w:t>
      </w:r>
      <w:r>
        <w:rPr>
          <w:rFonts w:hint="eastAsia" w:ascii="Times New Roman" w:hAnsi="Times New Roman" w:cs="Times New Roman"/>
          <w:bCs/>
          <w:sz w:val="18"/>
          <w:szCs w:val="18"/>
          <w:lang w:val="en-US" w:eastAsia="zh-CN"/>
        </w:rPr>
        <w:t xml:space="preserve"> sediment trapping efficiency</w:t>
      </w:r>
      <w:r>
        <w:rPr>
          <w:rFonts w:hint="eastAsia" w:ascii="Times New Roman" w:hAnsi="Times New Roman" w:cs="Times New Roman"/>
          <w:bCs/>
          <w:sz w:val="18"/>
          <w:szCs w:val="18"/>
        </w:rPr>
        <w:t xml:space="preserve"> fitting model</w:t>
      </w:r>
    </w:p>
    <w:tbl>
      <w:tblPr>
        <w:tblStyle w:val="8"/>
        <w:tblW w:w="0" w:type="auto"/>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85"/>
        <w:gridCol w:w="1185"/>
        <w:gridCol w:w="1185"/>
        <w:gridCol w:w="1185"/>
        <w:gridCol w:w="1185"/>
        <w:gridCol w:w="1185"/>
        <w:gridCol w:w="1186"/>
      </w:tblGrid>
      <w:tr w14:paraId="753B595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85" w:type="dxa"/>
            <w:tcBorders>
              <w:top w:val="single" w:color="auto" w:sz="12" w:space="0"/>
              <w:bottom w:val="single" w:color="auto" w:sz="4" w:space="0"/>
            </w:tcBorders>
          </w:tcPr>
          <w:p w14:paraId="145EF97B">
            <w:pPr>
              <w:jc w:val="center"/>
              <w:rPr>
                <w:rFonts w:hint="default" w:ascii="Times New Roman" w:hAnsi="Times New Roman" w:eastAsia="宋体" w:cs="Times New Roman"/>
                <w:sz w:val="15"/>
                <w:szCs w:val="15"/>
                <w14:ligatures w14:val="standardContextual"/>
              </w:rPr>
            </w:pPr>
            <w:r>
              <w:rPr>
                <w:rFonts w:hint="default" w:ascii="Times New Roman" w:hAnsi="Times New Roman" w:eastAsia="宋体" w:cs="Times New Roman"/>
                <w:sz w:val="15"/>
                <w:szCs w:val="15"/>
                <w14:ligatures w14:val="standardContextual"/>
              </w:rPr>
              <w:t>类别</w:t>
            </w:r>
          </w:p>
        </w:tc>
        <w:tc>
          <w:tcPr>
            <w:tcW w:w="1185" w:type="dxa"/>
            <w:tcBorders>
              <w:top w:val="single" w:color="auto" w:sz="12" w:space="0"/>
              <w:bottom w:val="single" w:color="auto" w:sz="4" w:space="0"/>
            </w:tcBorders>
          </w:tcPr>
          <w:p w14:paraId="1A95991C">
            <w:pPr>
              <w:jc w:val="center"/>
              <w:rPr>
                <w:rFonts w:hint="default" w:ascii="Times New Roman" w:hAnsi="Times New Roman" w:eastAsia="宋体" w:cs="Times New Roman"/>
                <w:sz w:val="15"/>
                <w:szCs w:val="15"/>
                <w14:ligatures w14:val="standardContextual"/>
              </w:rPr>
            </w:pPr>
          </w:p>
        </w:tc>
        <w:tc>
          <w:tcPr>
            <w:tcW w:w="1185" w:type="dxa"/>
            <w:tcBorders>
              <w:top w:val="single" w:color="auto" w:sz="12" w:space="0"/>
              <w:bottom w:val="single" w:color="auto" w:sz="4" w:space="0"/>
            </w:tcBorders>
          </w:tcPr>
          <w:p w14:paraId="781F8E33">
            <w:pPr>
              <w:jc w:val="center"/>
              <w:rPr>
                <w:rFonts w:hint="default" w:ascii="Times New Roman" w:hAnsi="Times New Roman" w:eastAsia="宋体" w:cs="Times New Roman"/>
                <w:sz w:val="15"/>
                <w:szCs w:val="15"/>
                <w14:ligatures w14:val="standardContextual"/>
              </w:rPr>
            </w:pPr>
            <w:r>
              <w:rPr>
                <w:rFonts w:hint="default" w:ascii="Times New Roman" w:hAnsi="Times New Roman" w:eastAsia="宋体" w:cs="Times New Roman"/>
                <w:sz w:val="15"/>
                <w:szCs w:val="15"/>
                <w14:ligatures w14:val="standardContextual"/>
              </w:rPr>
              <w:t>训练组</w:t>
            </w:r>
          </w:p>
        </w:tc>
        <w:tc>
          <w:tcPr>
            <w:tcW w:w="1185" w:type="dxa"/>
            <w:tcBorders>
              <w:top w:val="single" w:color="auto" w:sz="12" w:space="0"/>
              <w:bottom w:val="single" w:color="auto" w:sz="4" w:space="0"/>
            </w:tcBorders>
          </w:tcPr>
          <w:p w14:paraId="6D9F4238">
            <w:pPr>
              <w:jc w:val="center"/>
              <w:rPr>
                <w:rFonts w:hint="default" w:ascii="Times New Roman" w:hAnsi="Times New Roman" w:eastAsia="宋体" w:cs="Times New Roman"/>
                <w:sz w:val="15"/>
                <w:szCs w:val="15"/>
                <w14:ligatures w14:val="standardContextual"/>
              </w:rPr>
            </w:pPr>
          </w:p>
        </w:tc>
        <w:tc>
          <w:tcPr>
            <w:tcW w:w="1185" w:type="dxa"/>
            <w:tcBorders>
              <w:top w:val="single" w:color="auto" w:sz="12" w:space="0"/>
              <w:bottom w:val="single" w:color="auto" w:sz="4" w:space="0"/>
            </w:tcBorders>
          </w:tcPr>
          <w:p w14:paraId="11BC5CC0">
            <w:pPr>
              <w:jc w:val="center"/>
              <w:rPr>
                <w:rFonts w:hint="default" w:ascii="Times New Roman" w:hAnsi="Times New Roman" w:eastAsia="宋体" w:cs="Times New Roman"/>
                <w:sz w:val="15"/>
                <w:szCs w:val="15"/>
                <w14:ligatures w14:val="standardContextual"/>
              </w:rPr>
            </w:pPr>
          </w:p>
        </w:tc>
        <w:tc>
          <w:tcPr>
            <w:tcW w:w="1185" w:type="dxa"/>
            <w:tcBorders>
              <w:top w:val="single" w:color="auto" w:sz="12" w:space="0"/>
              <w:bottom w:val="single" w:color="auto" w:sz="4" w:space="0"/>
            </w:tcBorders>
          </w:tcPr>
          <w:p w14:paraId="023EF5B7">
            <w:pPr>
              <w:jc w:val="center"/>
              <w:rPr>
                <w:rFonts w:hint="default" w:ascii="Times New Roman" w:hAnsi="Times New Roman" w:eastAsia="宋体" w:cs="Times New Roman"/>
                <w:sz w:val="15"/>
                <w:szCs w:val="15"/>
                <w14:ligatures w14:val="standardContextual"/>
              </w:rPr>
            </w:pPr>
            <w:r>
              <w:rPr>
                <w:rFonts w:hint="default" w:ascii="Times New Roman" w:hAnsi="Times New Roman" w:eastAsia="宋体" w:cs="Times New Roman"/>
                <w:sz w:val="15"/>
                <w:szCs w:val="15"/>
                <w14:ligatures w14:val="standardContextual"/>
              </w:rPr>
              <w:t>测试组</w:t>
            </w:r>
          </w:p>
        </w:tc>
        <w:tc>
          <w:tcPr>
            <w:tcW w:w="1186" w:type="dxa"/>
            <w:tcBorders>
              <w:top w:val="single" w:color="auto" w:sz="12" w:space="0"/>
              <w:bottom w:val="single" w:color="auto" w:sz="4" w:space="0"/>
            </w:tcBorders>
          </w:tcPr>
          <w:p w14:paraId="4465174A">
            <w:pPr>
              <w:jc w:val="center"/>
              <w:rPr>
                <w:rFonts w:hint="default" w:ascii="Times New Roman" w:hAnsi="Times New Roman" w:eastAsia="宋体" w:cs="Times New Roman"/>
                <w:sz w:val="15"/>
                <w:szCs w:val="15"/>
                <w14:ligatures w14:val="standardContextual"/>
              </w:rPr>
            </w:pPr>
          </w:p>
        </w:tc>
      </w:tr>
      <w:tr w14:paraId="6C0B529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85" w:type="dxa"/>
            <w:tcBorders>
              <w:top w:val="single" w:color="auto" w:sz="4" w:space="0"/>
              <w:bottom w:val="single" w:color="auto" w:sz="6" w:space="0"/>
            </w:tcBorders>
          </w:tcPr>
          <w:p w14:paraId="00E00959">
            <w:pPr>
              <w:jc w:val="center"/>
              <w:rPr>
                <w:rFonts w:hint="default" w:ascii="Times New Roman" w:hAnsi="Times New Roman" w:eastAsia="宋体" w:cs="Times New Roman"/>
                <w:sz w:val="15"/>
                <w:szCs w:val="15"/>
                <w14:ligatures w14:val="standardContextual"/>
              </w:rPr>
            </w:pPr>
            <w:r>
              <w:rPr>
                <w:rFonts w:hint="default" w:ascii="Times New Roman" w:hAnsi="Times New Roman" w:eastAsia="宋体" w:cs="Times New Roman"/>
                <w:sz w:val="15"/>
                <w:szCs w:val="15"/>
                <w14:ligatures w14:val="standardContextual"/>
              </w:rPr>
              <w:t>函数类型</w:t>
            </w:r>
          </w:p>
        </w:tc>
        <w:tc>
          <w:tcPr>
            <w:tcW w:w="1185" w:type="dxa"/>
            <w:tcBorders>
              <w:top w:val="single" w:color="auto" w:sz="4" w:space="0"/>
              <w:bottom w:val="single" w:color="auto" w:sz="6" w:space="0"/>
            </w:tcBorders>
          </w:tcPr>
          <w:p w14:paraId="2DD3569A">
            <w:pPr>
              <w:jc w:val="center"/>
              <w:rPr>
                <w:rFonts w:hint="default" w:ascii="Times New Roman" w:hAnsi="Times New Roman" w:eastAsia="宋体" w:cs="Times New Roman"/>
                <w:sz w:val="15"/>
                <w:szCs w:val="15"/>
                <w14:ligatures w14:val="standardContextual"/>
              </w:rPr>
            </w:pPr>
            <m:oMathPara>
              <m:oMath>
                <m:sSup>
                  <m:sSupPr>
                    <m:ctrlPr>
                      <w:rPr>
                        <w:rFonts w:hint="default" w:ascii="Cambria Math" w:hAnsi="Cambria Math" w:eastAsia="宋体" w:cs="Times New Roman"/>
                        <w:i/>
                        <w:sz w:val="15"/>
                        <w:szCs w:val="15"/>
                      </w:rPr>
                    </m:ctrlPr>
                  </m:sSupPr>
                  <m:e>
                    <m:r>
                      <m:rPr/>
                      <w:rPr>
                        <w:rFonts w:hint="default" w:ascii="Cambria Math" w:hAnsi="Cambria Math" w:eastAsia="宋体" w:cs="Times New Roman"/>
                        <w:sz w:val="15"/>
                        <w:szCs w:val="15"/>
                      </w:rPr>
                      <m:t>R</m:t>
                    </m:r>
                    <m:ctrlPr>
                      <w:rPr>
                        <w:rFonts w:hint="default" w:ascii="Cambria Math" w:hAnsi="Cambria Math" w:eastAsia="宋体" w:cs="Times New Roman"/>
                        <w:i/>
                        <w:sz w:val="15"/>
                        <w:szCs w:val="15"/>
                      </w:rPr>
                    </m:ctrlPr>
                  </m:e>
                  <m:sup>
                    <m:r>
                      <m:rPr/>
                      <w:rPr>
                        <w:rFonts w:hint="default" w:ascii="Cambria Math" w:hAnsi="Cambria Math" w:eastAsia="宋体" w:cs="Times New Roman"/>
                        <w:sz w:val="15"/>
                        <w:szCs w:val="15"/>
                      </w:rPr>
                      <m:t>2</m:t>
                    </m:r>
                    <m:ctrlPr>
                      <w:rPr>
                        <w:rFonts w:hint="default" w:ascii="Cambria Math" w:hAnsi="Cambria Math" w:eastAsia="宋体" w:cs="Times New Roman"/>
                        <w:i/>
                        <w:sz w:val="15"/>
                        <w:szCs w:val="15"/>
                      </w:rPr>
                    </m:ctrlPr>
                  </m:sup>
                </m:sSup>
              </m:oMath>
            </m:oMathPara>
          </w:p>
        </w:tc>
        <w:tc>
          <w:tcPr>
            <w:tcW w:w="1185" w:type="dxa"/>
            <w:tcBorders>
              <w:top w:val="single" w:color="auto" w:sz="4" w:space="0"/>
              <w:bottom w:val="single" w:color="auto" w:sz="6" w:space="0"/>
            </w:tcBorders>
          </w:tcPr>
          <w:p w14:paraId="1FAE1F6D">
            <w:pPr>
              <w:jc w:val="center"/>
              <w:rPr>
                <w:rFonts w:hint="default" w:ascii="Times New Roman" w:hAnsi="Times New Roman" w:eastAsia="宋体" w:cs="Times New Roman"/>
                <w:sz w:val="15"/>
                <w:szCs w:val="15"/>
                <w14:ligatures w14:val="standardContextual"/>
              </w:rPr>
            </w:pPr>
            <w:r>
              <w:rPr>
                <w:rFonts w:hint="default" w:ascii="Times New Roman" w:hAnsi="Times New Roman" w:eastAsia="宋体" w:cs="Times New Roman"/>
                <w:i/>
                <w:iCs/>
                <w:sz w:val="15"/>
                <w:szCs w:val="15"/>
                <w14:ligatures w14:val="standardContextual"/>
              </w:rPr>
              <w:t>RMSE</w:t>
            </w:r>
          </w:p>
        </w:tc>
        <w:tc>
          <w:tcPr>
            <w:tcW w:w="1185" w:type="dxa"/>
            <w:tcBorders>
              <w:top w:val="single" w:color="auto" w:sz="4" w:space="0"/>
              <w:bottom w:val="single" w:color="auto" w:sz="6" w:space="0"/>
            </w:tcBorders>
          </w:tcPr>
          <w:p w14:paraId="75F85087">
            <w:pPr>
              <w:jc w:val="center"/>
              <w:rPr>
                <w:rFonts w:hint="default" w:ascii="Times New Roman" w:hAnsi="Times New Roman" w:eastAsia="宋体" w:cs="Times New Roman"/>
                <w:sz w:val="15"/>
                <w:szCs w:val="15"/>
                <w14:ligatures w14:val="standardContextual"/>
              </w:rPr>
            </w:pPr>
            <w:r>
              <w:rPr>
                <w:rFonts w:hint="default" w:ascii="Times New Roman" w:hAnsi="Times New Roman" w:eastAsia="宋体" w:cs="Times New Roman"/>
                <w:i/>
                <w:iCs/>
                <w:sz w:val="15"/>
                <w:szCs w:val="15"/>
                <w14:ligatures w14:val="standardContextual"/>
              </w:rPr>
              <w:t>MAE</w:t>
            </w:r>
          </w:p>
        </w:tc>
        <w:tc>
          <w:tcPr>
            <w:tcW w:w="1185" w:type="dxa"/>
            <w:tcBorders>
              <w:top w:val="single" w:color="auto" w:sz="4" w:space="0"/>
              <w:bottom w:val="single" w:color="auto" w:sz="6" w:space="0"/>
            </w:tcBorders>
          </w:tcPr>
          <w:p w14:paraId="52364EE1">
            <w:pPr>
              <w:jc w:val="center"/>
              <w:rPr>
                <w:rFonts w:hint="default" w:ascii="Times New Roman" w:hAnsi="Times New Roman" w:eastAsia="宋体" w:cs="Times New Roman"/>
                <w:sz w:val="15"/>
                <w:szCs w:val="15"/>
                <w14:ligatures w14:val="standardContextual"/>
              </w:rPr>
            </w:pPr>
            <m:oMathPara>
              <m:oMath>
                <m:sSup>
                  <m:sSupPr>
                    <m:ctrlPr>
                      <w:rPr>
                        <w:rFonts w:hint="default" w:ascii="Cambria Math" w:hAnsi="Cambria Math" w:eastAsia="宋体" w:cs="Times New Roman"/>
                        <w:i/>
                        <w:sz w:val="15"/>
                        <w:szCs w:val="15"/>
                      </w:rPr>
                    </m:ctrlPr>
                  </m:sSupPr>
                  <m:e>
                    <m:r>
                      <m:rPr/>
                      <w:rPr>
                        <w:rFonts w:hint="default" w:ascii="Cambria Math" w:hAnsi="Cambria Math" w:eastAsia="宋体" w:cs="Times New Roman"/>
                        <w:sz w:val="15"/>
                        <w:szCs w:val="15"/>
                      </w:rPr>
                      <m:t>R</m:t>
                    </m:r>
                    <m:ctrlPr>
                      <w:rPr>
                        <w:rFonts w:hint="default" w:ascii="Cambria Math" w:hAnsi="Cambria Math" w:eastAsia="宋体" w:cs="Times New Roman"/>
                        <w:i/>
                        <w:sz w:val="15"/>
                        <w:szCs w:val="15"/>
                      </w:rPr>
                    </m:ctrlPr>
                  </m:e>
                  <m:sup>
                    <m:r>
                      <m:rPr/>
                      <w:rPr>
                        <w:rFonts w:hint="default" w:ascii="Cambria Math" w:hAnsi="Cambria Math" w:eastAsia="宋体" w:cs="Times New Roman"/>
                        <w:sz w:val="15"/>
                        <w:szCs w:val="15"/>
                      </w:rPr>
                      <m:t>2</m:t>
                    </m:r>
                    <m:ctrlPr>
                      <w:rPr>
                        <w:rFonts w:hint="default" w:ascii="Cambria Math" w:hAnsi="Cambria Math" w:eastAsia="宋体" w:cs="Times New Roman"/>
                        <w:i/>
                        <w:sz w:val="15"/>
                        <w:szCs w:val="15"/>
                      </w:rPr>
                    </m:ctrlPr>
                  </m:sup>
                </m:sSup>
              </m:oMath>
            </m:oMathPara>
          </w:p>
        </w:tc>
        <w:tc>
          <w:tcPr>
            <w:tcW w:w="1185" w:type="dxa"/>
            <w:tcBorders>
              <w:top w:val="single" w:color="auto" w:sz="4" w:space="0"/>
              <w:bottom w:val="single" w:color="auto" w:sz="6" w:space="0"/>
            </w:tcBorders>
          </w:tcPr>
          <w:p w14:paraId="087CEB54">
            <w:pPr>
              <w:jc w:val="center"/>
              <w:rPr>
                <w:rFonts w:hint="default" w:ascii="Times New Roman" w:hAnsi="Times New Roman" w:eastAsia="宋体" w:cs="Times New Roman"/>
                <w:sz w:val="15"/>
                <w:szCs w:val="15"/>
                <w14:ligatures w14:val="standardContextual"/>
              </w:rPr>
            </w:pPr>
            <w:r>
              <w:rPr>
                <w:rFonts w:hint="default" w:ascii="Times New Roman" w:hAnsi="Times New Roman" w:eastAsia="宋体" w:cs="Times New Roman"/>
                <w:i/>
                <w:iCs/>
                <w:sz w:val="15"/>
                <w:szCs w:val="15"/>
                <w14:ligatures w14:val="standardContextual"/>
              </w:rPr>
              <w:t>RMSE</w:t>
            </w:r>
          </w:p>
        </w:tc>
        <w:tc>
          <w:tcPr>
            <w:tcW w:w="1186" w:type="dxa"/>
            <w:tcBorders>
              <w:top w:val="single" w:color="auto" w:sz="4" w:space="0"/>
              <w:bottom w:val="single" w:color="auto" w:sz="6" w:space="0"/>
            </w:tcBorders>
          </w:tcPr>
          <w:p w14:paraId="3B5CA3F9">
            <w:pPr>
              <w:jc w:val="center"/>
              <w:rPr>
                <w:rFonts w:hint="default" w:ascii="Times New Roman" w:hAnsi="Times New Roman" w:eastAsia="宋体" w:cs="Times New Roman"/>
                <w:sz w:val="15"/>
                <w:szCs w:val="15"/>
                <w14:ligatures w14:val="standardContextual"/>
              </w:rPr>
            </w:pPr>
            <w:r>
              <w:rPr>
                <w:rFonts w:hint="default" w:ascii="Times New Roman" w:hAnsi="Times New Roman" w:eastAsia="宋体" w:cs="Times New Roman"/>
                <w:i/>
                <w:iCs/>
                <w:sz w:val="15"/>
                <w:szCs w:val="15"/>
                <w14:ligatures w14:val="standardContextual"/>
              </w:rPr>
              <w:t>MAE</w:t>
            </w:r>
          </w:p>
        </w:tc>
      </w:tr>
      <w:tr w14:paraId="51C0A52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185" w:type="dxa"/>
            <w:tcBorders>
              <w:top w:val="single" w:color="auto" w:sz="6" w:space="0"/>
            </w:tcBorders>
          </w:tcPr>
          <w:p w14:paraId="096D0BA2">
            <w:pPr>
              <w:jc w:val="center"/>
              <w:rPr>
                <w:rFonts w:hint="default" w:ascii="Times New Roman" w:hAnsi="Times New Roman" w:eastAsia="宋体" w:cs="Times New Roman"/>
                <w:sz w:val="15"/>
                <w:szCs w:val="15"/>
                <w14:ligatures w14:val="standardContextual"/>
              </w:rPr>
            </w:pPr>
            <w:r>
              <w:rPr>
                <w:rFonts w:hint="default" w:ascii="Times New Roman" w:hAnsi="Times New Roman" w:eastAsia="宋体" w:cs="Times New Roman"/>
                <w:sz w:val="15"/>
                <w:szCs w:val="15"/>
                <w14:ligatures w14:val="standardContextual"/>
              </w:rPr>
              <w:t>线性函数</w:t>
            </w:r>
          </w:p>
        </w:tc>
        <w:tc>
          <w:tcPr>
            <w:tcW w:w="1185" w:type="dxa"/>
            <w:tcBorders>
              <w:top w:val="single" w:color="auto" w:sz="6" w:space="0"/>
            </w:tcBorders>
            <w:vAlign w:val="center"/>
          </w:tcPr>
          <w:p w14:paraId="3763FB20">
            <w:pPr>
              <w:jc w:val="center"/>
              <w:rPr>
                <w:rFonts w:hint="default" w:ascii="Times New Roman" w:hAnsi="Times New Roman" w:eastAsia="宋体" w:cs="Times New Roman"/>
                <w:sz w:val="15"/>
                <w:szCs w:val="15"/>
                <w14:ligatures w14:val="standardContextual"/>
              </w:rPr>
            </w:pPr>
            <w:r>
              <w:rPr>
                <w:rFonts w:hint="eastAsia" w:ascii="Times New Roman" w:hAnsi="Times New Roman" w:eastAsia="宋体" w:cs="Times New Roman"/>
                <w:sz w:val="15"/>
                <w:szCs w:val="15"/>
                <w14:ligatures w14:val="standardContextual"/>
              </w:rPr>
              <w:t>0.833</w:t>
            </w:r>
          </w:p>
        </w:tc>
        <w:tc>
          <w:tcPr>
            <w:tcW w:w="1185" w:type="dxa"/>
            <w:tcBorders>
              <w:top w:val="single" w:color="auto" w:sz="6" w:space="0"/>
            </w:tcBorders>
            <w:vAlign w:val="center"/>
          </w:tcPr>
          <w:p w14:paraId="11A5DA16">
            <w:pPr>
              <w:jc w:val="center"/>
              <w:rPr>
                <w:rFonts w:hint="default" w:ascii="Times New Roman" w:hAnsi="Times New Roman" w:eastAsia="宋体" w:cs="Times New Roman"/>
                <w:sz w:val="15"/>
                <w:szCs w:val="15"/>
                <w14:ligatures w14:val="standardContextual"/>
              </w:rPr>
            </w:pPr>
            <w:r>
              <w:rPr>
                <w:rFonts w:hint="eastAsia" w:ascii="Times New Roman" w:hAnsi="Times New Roman" w:eastAsia="宋体" w:cs="Times New Roman"/>
                <w:sz w:val="15"/>
                <w:szCs w:val="15"/>
                <w14:ligatures w14:val="standardContextual"/>
              </w:rPr>
              <w:t>3.75</w:t>
            </w:r>
          </w:p>
        </w:tc>
        <w:tc>
          <w:tcPr>
            <w:tcW w:w="1185" w:type="dxa"/>
            <w:tcBorders>
              <w:top w:val="single" w:color="auto" w:sz="6" w:space="0"/>
            </w:tcBorders>
            <w:vAlign w:val="center"/>
          </w:tcPr>
          <w:p w14:paraId="22AC4134">
            <w:pPr>
              <w:jc w:val="center"/>
              <w:rPr>
                <w:rFonts w:hint="default" w:ascii="Times New Roman" w:hAnsi="Times New Roman" w:eastAsia="宋体" w:cs="Times New Roman"/>
                <w:sz w:val="15"/>
                <w:szCs w:val="15"/>
                <w14:ligatures w14:val="standardContextual"/>
              </w:rPr>
            </w:pPr>
            <w:r>
              <w:rPr>
                <w:rFonts w:hint="eastAsia" w:ascii="Times New Roman" w:hAnsi="Times New Roman" w:eastAsia="宋体" w:cs="Times New Roman"/>
                <w:sz w:val="15"/>
                <w:szCs w:val="15"/>
                <w14:ligatures w14:val="standardContextual"/>
              </w:rPr>
              <w:t>2.869</w:t>
            </w:r>
          </w:p>
        </w:tc>
        <w:tc>
          <w:tcPr>
            <w:tcW w:w="1185" w:type="dxa"/>
            <w:tcBorders>
              <w:top w:val="single" w:color="auto" w:sz="6" w:space="0"/>
            </w:tcBorders>
          </w:tcPr>
          <w:p w14:paraId="454E3F1B">
            <w:pPr>
              <w:jc w:val="center"/>
              <w:rPr>
                <w:rFonts w:hint="default" w:ascii="Times New Roman" w:hAnsi="Times New Roman" w:eastAsia="宋体" w:cs="Times New Roman"/>
                <w:sz w:val="15"/>
                <w:szCs w:val="15"/>
                <w14:ligatures w14:val="standardContextual"/>
              </w:rPr>
            </w:pPr>
            <w:r>
              <w:rPr>
                <w:rFonts w:hint="default" w:ascii="Times New Roman" w:hAnsi="Times New Roman" w:eastAsia="宋体" w:cs="Times New Roman"/>
                <w:sz w:val="15"/>
                <w:szCs w:val="15"/>
                <w14:ligatures w14:val="standardContextual"/>
              </w:rPr>
              <w:t>0.</w:t>
            </w:r>
            <w:r>
              <w:rPr>
                <w:rFonts w:hint="eastAsia" w:ascii="Times New Roman" w:hAnsi="Times New Roman" w:eastAsia="宋体" w:cs="Times New Roman"/>
                <w:sz w:val="15"/>
                <w:szCs w:val="15"/>
                <w14:ligatures w14:val="standardContextual"/>
              </w:rPr>
              <w:t>8</w:t>
            </w:r>
            <w:r>
              <w:rPr>
                <w:rFonts w:hint="default" w:ascii="Times New Roman" w:hAnsi="Times New Roman" w:eastAsia="宋体" w:cs="Times New Roman"/>
                <w:sz w:val="15"/>
                <w:szCs w:val="15"/>
                <w14:ligatures w14:val="standardContextual"/>
              </w:rPr>
              <w:t>57</w:t>
            </w:r>
          </w:p>
        </w:tc>
        <w:tc>
          <w:tcPr>
            <w:tcW w:w="1185" w:type="dxa"/>
            <w:tcBorders>
              <w:top w:val="single" w:color="auto" w:sz="6" w:space="0"/>
            </w:tcBorders>
          </w:tcPr>
          <w:p w14:paraId="65D7D921">
            <w:pPr>
              <w:jc w:val="center"/>
              <w:rPr>
                <w:rFonts w:hint="default" w:ascii="Times New Roman" w:hAnsi="Times New Roman" w:eastAsia="宋体" w:cs="Times New Roman"/>
                <w:sz w:val="15"/>
                <w:szCs w:val="15"/>
                <w14:ligatures w14:val="standardContextual"/>
              </w:rPr>
            </w:pPr>
            <w:r>
              <w:rPr>
                <w:rFonts w:hint="eastAsia" w:ascii="Times New Roman" w:hAnsi="Times New Roman" w:eastAsia="宋体" w:cs="Times New Roman"/>
                <w:sz w:val="15"/>
                <w:szCs w:val="15"/>
                <w14:ligatures w14:val="standardContextual"/>
              </w:rPr>
              <w:t>3</w:t>
            </w:r>
            <w:r>
              <w:rPr>
                <w:rFonts w:hint="default" w:ascii="Times New Roman" w:hAnsi="Times New Roman" w:eastAsia="宋体" w:cs="Times New Roman"/>
                <w:sz w:val="15"/>
                <w:szCs w:val="15"/>
                <w14:ligatures w14:val="standardContextual"/>
              </w:rPr>
              <w:t>.</w:t>
            </w:r>
            <w:r>
              <w:rPr>
                <w:rFonts w:hint="eastAsia" w:ascii="Times New Roman" w:hAnsi="Times New Roman" w:eastAsia="宋体" w:cs="Times New Roman"/>
                <w:sz w:val="15"/>
                <w:szCs w:val="15"/>
                <w14:ligatures w14:val="standardContextual"/>
              </w:rPr>
              <w:t>562</w:t>
            </w:r>
          </w:p>
        </w:tc>
        <w:tc>
          <w:tcPr>
            <w:tcW w:w="1186" w:type="dxa"/>
            <w:tcBorders>
              <w:top w:val="single" w:color="auto" w:sz="6" w:space="0"/>
            </w:tcBorders>
          </w:tcPr>
          <w:p w14:paraId="24B1BD87">
            <w:pPr>
              <w:jc w:val="center"/>
              <w:rPr>
                <w:rFonts w:hint="default" w:ascii="Times New Roman" w:hAnsi="Times New Roman" w:eastAsia="宋体" w:cs="Times New Roman"/>
                <w:sz w:val="15"/>
                <w:szCs w:val="15"/>
                <w14:ligatures w14:val="standardContextual"/>
              </w:rPr>
            </w:pPr>
            <w:r>
              <w:rPr>
                <w:rFonts w:hint="eastAsia" w:ascii="Times New Roman" w:hAnsi="Times New Roman" w:eastAsia="宋体" w:cs="Times New Roman"/>
                <w:sz w:val="15"/>
                <w:szCs w:val="15"/>
                <w14:ligatures w14:val="standardContextual"/>
              </w:rPr>
              <w:t>2</w:t>
            </w:r>
            <w:r>
              <w:rPr>
                <w:rFonts w:hint="default" w:ascii="Times New Roman" w:hAnsi="Times New Roman" w:eastAsia="宋体" w:cs="Times New Roman"/>
                <w:sz w:val="15"/>
                <w:szCs w:val="15"/>
                <w14:ligatures w14:val="standardContextual"/>
              </w:rPr>
              <w:t>.96</w:t>
            </w:r>
            <w:r>
              <w:rPr>
                <w:rFonts w:hint="eastAsia" w:ascii="Times New Roman" w:hAnsi="Times New Roman" w:eastAsia="宋体" w:cs="Times New Roman"/>
                <w:sz w:val="15"/>
                <w:szCs w:val="15"/>
                <w14:ligatures w14:val="standardContextual"/>
              </w:rPr>
              <w:t>5</w:t>
            </w:r>
          </w:p>
        </w:tc>
      </w:tr>
      <w:tr w14:paraId="724AA64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85" w:type="dxa"/>
          </w:tcPr>
          <w:p w14:paraId="668CC373">
            <w:pPr>
              <w:jc w:val="center"/>
              <w:rPr>
                <w:rFonts w:hint="default" w:ascii="Times New Roman" w:hAnsi="Times New Roman" w:eastAsia="宋体" w:cs="Times New Roman"/>
                <w:sz w:val="15"/>
                <w:szCs w:val="15"/>
                <w14:ligatures w14:val="standardContextual"/>
              </w:rPr>
            </w:pPr>
            <w:r>
              <w:rPr>
                <w:rFonts w:hint="default" w:ascii="Times New Roman" w:hAnsi="Times New Roman" w:eastAsia="宋体" w:cs="Times New Roman"/>
                <w:sz w:val="15"/>
                <w:szCs w:val="15"/>
                <w14:ligatures w14:val="standardContextual"/>
              </w:rPr>
              <w:t>指数函数</w:t>
            </w:r>
          </w:p>
        </w:tc>
        <w:tc>
          <w:tcPr>
            <w:tcW w:w="1185" w:type="dxa"/>
            <w:vAlign w:val="center"/>
          </w:tcPr>
          <w:p w14:paraId="4132FD67">
            <w:pPr>
              <w:jc w:val="center"/>
              <w:rPr>
                <w:rFonts w:hint="default" w:ascii="Times New Roman" w:hAnsi="Times New Roman" w:eastAsia="宋体" w:cs="Times New Roman"/>
                <w:sz w:val="15"/>
                <w:szCs w:val="15"/>
                <w14:ligatures w14:val="standardContextual"/>
              </w:rPr>
            </w:pPr>
            <w:r>
              <w:rPr>
                <w:rFonts w:hint="default" w:ascii="Times New Roman" w:hAnsi="Times New Roman" w:eastAsia="宋体" w:cs="Times New Roman"/>
                <w:sz w:val="15"/>
                <w:szCs w:val="15"/>
                <w14:ligatures w14:val="standardContextual"/>
              </w:rPr>
              <w:t>0.</w:t>
            </w:r>
            <w:r>
              <w:rPr>
                <w:rFonts w:hint="eastAsia" w:ascii="Times New Roman" w:hAnsi="Times New Roman" w:eastAsia="宋体" w:cs="Times New Roman"/>
                <w:sz w:val="15"/>
                <w:szCs w:val="15"/>
                <w14:ligatures w14:val="standardContextual"/>
              </w:rPr>
              <w:t>846</w:t>
            </w:r>
          </w:p>
        </w:tc>
        <w:tc>
          <w:tcPr>
            <w:tcW w:w="1185" w:type="dxa"/>
            <w:vAlign w:val="center"/>
          </w:tcPr>
          <w:p w14:paraId="5C301E1A">
            <w:pPr>
              <w:jc w:val="center"/>
              <w:rPr>
                <w:rFonts w:hint="default" w:ascii="Times New Roman" w:hAnsi="Times New Roman" w:eastAsia="宋体" w:cs="Times New Roman"/>
                <w:sz w:val="15"/>
                <w:szCs w:val="15"/>
                <w14:ligatures w14:val="standardContextual"/>
              </w:rPr>
            </w:pPr>
            <w:r>
              <w:rPr>
                <w:rFonts w:hint="eastAsia" w:ascii="Times New Roman" w:hAnsi="Times New Roman" w:eastAsia="宋体" w:cs="Times New Roman"/>
                <w:sz w:val="15"/>
                <w:szCs w:val="15"/>
                <w14:ligatures w14:val="standardContextual"/>
              </w:rPr>
              <w:t>3.604</w:t>
            </w:r>
          </w:p>
        </w:tc>
        <w:tc>
          <w:tcPr>
            <w:tcW w:w="1185" w:type="dxa"/>
            <w:vAlign w:val="center"/>
          </w:tcPr>
          <w:p w14:paraId="3CFFA270">
            <w:pPr>
              <w:jc w:val="center"/>
              <w:rPr>
                <w:rFonts w:hint="default" w:ascii="Times New Roman" w:hAnsi="Times New Roman" w:eastAsia="宋体" w:cs="Times New Roman"/>
                <w:sz w:val="15"/>
                <w:szCs w:val="15"/>
                <w14:ligatures w14:val="standardContextual"/>
              </w:rPr>
            </w:pPr>
            <w:r>
              <w:rPr>
                <w:rFonts w:hint="default" w:ascii="Times New Roman" w:hAnsi="Times New Roman" w:eastAsia="宋体" w:cs="Times New Roman"/>
                <w:sz w:val="15"/>
                <w:szCs w:val="15"/>
                <w14:ligatures w14:val="standardContextual"/>
              </w:rPr>
              <w:t>2.</w:t>
            </w:r>
            <w:r>
              <w:rPr>
                <w:rFonts w:hint="eastAsia" w:ascii="Times New Roman" w:hAnsi="Times New Roman" w:eastAsia="宋体" w:cs="Times New Roman"/>
                <w:sz w:val="15"/>
                <w:szCs w:val="15"/>
                <w14:ligatures w14:val="standardContextual"/>
              </w:rPr>
              <w:t>741</w:t>
            </w:r>
          </w:p>
        </w:tc>
        <w:tc>
          <w:tcPr>
            <w:tcW w:w="1185" w:type="dxa"/>
          </w:tcPr>
          <w:p w14:paraId="3607781B">
            <w:pPr>
              <w:jc w:val="center"/>
              <w:rPr>
                <w:rFonts w:hint="default" w:ascii="Times New Roman" w:hAnsi="Times New Roman" w:eastAsia="宋体" w:cs="Times New Roman"/>
                <w:sz w:val="15"/>
                <w:szCs w:val="15"/>
                <w14:ligatures w14:val="standardContextual"/>
              </w:rPr>
            </w:pPr>
            <w:r>
              <w:rPr>
                <w:rFonts w:hint="default" w:ascii="Times New Roman" w:hAnsi="Times New Roman" w:eastAsia="宋体" w:cs="Times New Roman"/>
                <w:sz w:val="15"/>
                <w:szCs w:val="15"/>
                <w14:ligatures w14:val="standardContextual"/>
              </w:rPr>
              <w:t>0.</w:t>
            </w:r>
            <w:r>
              <w:rPr>
                <w:rFonts w:hint="eastAsia" w:ascii="Times New Roman" w:hAnsi="Times New Roman" w:eastAsia="宋体" w:cs="Times New Roman"/>
                <w:sz w:val="15"/>
                <w:szCs w:val="15"/>
                <w14:ligatures w14:val="standardContextual"/>
              </w:rPr>
              <w:t>8</w:t>
            </w:r>
            <w:r>
              <w:rPr>
                <w:rFonts w:hint="default" w:ascii="Times New Roman" w:hAnsi="Times New Roman" w:eastAsia="宋体" w:cs="Times New Roman"/>
                <w:sz w:val="15"/>
                <w:szCs w:val="15"/>
                <w14:ligatures w14:val="standardContextual"/>
              </w:rPr>
              <w:t>63</w:t>
            </w:r>
          </w:p>
        </w:tc>
        <w:tc>
          <w:tcPr>
            <w:tcW w:w="1185" w:type="dxa"/>
          </w:tcPr>
          <w:p w14:paraId="57978058">
            <w:pPr>
              <w:jc w:val="center"/>
              <w:rPr>
                <w:rFonts w:hint="default" w:ascii="Times New Roman" w:hAnsi="Times New Roman" w:eastAsia="宋体" w:cs="Times New Roman"/>
                <w:sz w:val="15"/>
                <w:szCs w:val="15"/>
                <w14:ligatures w14:val="standardContextual"/>
              </w:rPr>
            </w:pPr>
            <w:r>
              <w:rPr>
                <w:rFonts w:hint="eastAsia" w:ascii="Times New Roman" w:hAnsi="Times New Roman" w:eastAsia="宋体" w:cs="Times New Roman"/>
                <w:sz w:val="15"/>
                <w:szCs w:val="15"/>
                <w14:ligatures w14:val="standardContextual"/>
              </w:rPr>
              <w:t>3</w:t>
            </w:r>
            <w:r>
              <w:rPr>
                <w:rFonts w:hint="default" w:ascii="Times New Roman" w:hAnsi="Times New Roman" w:eastAsia="宋体" w:cs="Times New Roman"/>
                <w:sz w:val="15"/>
                <w:szCs w:val="15"/>
                <w14:ligatures w14:val="standardContextual"/>
              </w:rPr>
              <w:t>.00</w:t>
            </w:r>
            <w:r>
              <w:rPr>
                <w:rFonts w:hint="eastAsia" w:ascii="Times New Roman" w:hAnsi="Times New Roman" w:eastAsia="宋体" w:cs="Times New Roman"/>
                <w:sz w:val="15"/>
                <w:szCs w:val="15"/>
                <w14:ligatures w14:val="standardContextual"/>
              </w:rPr>
              <w:t>1</w:t>
            </w:r>
          </w:p>
        </w:tc>
        <w:tc>
          <w:tcPr>
            <w:tcW w:w="1186" w:type="dxa"/>
          </w:tcPr>
          <w:p w14:paraId="6A239652">
            <w:pPr>
              <w:jc w:val="center"/>
              <w:rPr>
                <w:rFonts w:hint="default" w:ascii="Times New Roman" w:hAnsi="Times New Roman" w:eastAsia="宋体" w:cs="Times New Roman"/>
                <w:sz w:val="15"/>
                <w:szCs w:val="15"/>
                <w14:ligatures w14:val="standardContextual"/>
              </w:rPr>
            </w:pPr>
            <w:r>
              <w:rPr>
                <w:rFonts w:hint="eastAsia" w:ascii="Times New Roman" w:hAnsi="Times New Roman" w:eastAsia="宋体" w:cs="Times New Roman"/>
                <w:sz w:val="15"/>
                <w:szCs w:val="15"/>
                <w14:ligatures w14:val="standardContextual"/>
              </w:rPr>
              <w:t>2</w:t>
            </w:r>
            <w:r>
              <w:rPr>
                <w:rFonts w:hint="default" w:ascii="Times New Roman" w:hAnsi="Times New Roman" w:eastAsia="宋体" w:cs="Times New Roman"/>
                <w:sz w:val="15"/>
                <w:szCs w:val="15"/>
                <w14:ligatures w14:val="standardContextual"/>
              </w:rPr>
              <w:t>.42</w:t>
            </w:r>
            <w:r>
              <w:rPr>
                <w:rFonts w:hint="eastAsia" w:ascii="Times New Roman" w:hAnsi="Times New Roman" w:eastAsia="宋体" w:cs="Times New Roman"/>
                <w:sz w:val="15"/>
                <w:szCs w:val="15"/>
                <w14:ligatures w14:val="standardContextual"/>
              </w:rPr>
              <w:t>6</w:t>
            </w:r>
          </w:p>
        </w:tc>
      </w:tr>
      <w:tr w14:paraId="611F3A5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85" w:type="dxa"/>
            <w:tcBorders>
              <w:bottom w:val="single" w:color="auto" w:sz="12" w:space="0"/>
            </w:tcBorders>
          </w:tcPr>
          <w:p w14:paraId="34D9A725">
            <w:pPr>
              <w:jc w:val="center"/>
              <w:rPr>
                <w:rFonts w:hint="default" w:ascii="Times New Roman" w:hAnsi="Times New Roman" w:eastAsia="宋体" w:cs="Times New Roman"/>
                <w:sz w:val="15"/>
                <w:szCs w:val="15"/>
                <w14:ligatures w14:val="standardContextual"/>
              </w:rPr>
            </w:pPr>
            <w:r>
              <w:rPr>
                <w:rFonts w:hint="default" w:ascii="Times New Roman" w:hAnsi="Times New Roman" w:eastAsia="宋体" w:cs="Times New Roman"/>
                <w:sz w:val="15"/>
                <w:szCs w:val="15"/>
                <w14:ligatures w14:val="standardContextual"/>
              </w:rPr>
              <w:t>幂函数</w:t>
            </w:r>
          </w:p>
        </w:tc>
        <w:tc>
          <w:tcPr>
            <w:tcW w:w="1185" w:type="dxa"/>
            <w:tcBorders>
              <w:bottom w:val="single" w:color="auto" w:sz="12" w:space="0"/>
            </w:tcBorders>
            <w:vAlign w:val="center"/>
          </w:tcPr>
          <w:p w14:paraId="1CEDF682">
            <w:pPr>
              <w:jc w:val="center"/>
              <w:rPr>
                <w:rFonts w:hint="default" w:ascii="Times New Roman" w:hAnsi="Times New Roman" w:eastAsia="宋体" w:cs="Times New Roman"/>
                <w:sz w:val="15"/>
                <w:szCs w:val="15"/>
                <w14:ligatures w14:val="standardContextual"/>
              </w:rPr>
            </w:pPr>
            <w:r>
              <w:rPr>
                <w:rFonts w:hint="default" w:ascii="Times New Roman" w:hAnsi="Times New Roman" w:eastAsia="宋体" w:cs="Times New Roman"/>
                <w:sz w:val="15"/>
                <w:szCs w:val="15"/>
                <w14:ligatures w14:val="standardContextual"/>
              </w:rPr>
              <w:t>0.</w:t>
            </w:r>
            <w:r>
              <w:rPr>
                <w:rFonts w:hint="eastAsia" w:ascii="Times New Roman" w:hAnsi="Times New Roman" w:eastAsia="宋体" w:cs="Times New Roman"/>
                <w:sz w:val="15"/>
                <w:szCs w:val="15"/>
                <w14:ligatures w14:val="standardContextual"/>
              </w:rPr>
              <w:t>950</w:t>
            </w:r>
          </w:p>
        </w:tc>
        <w:tc>
          <w:tcPr>
            <w:tcW w:w="1185" w:type="dxa"/>
            <w:tcBorders>
              <w:bottom w:val="single" w:color="auto" w:sz="12" w:space="0"/>
            </w:tcBorders>
            <w:vAlign w:val="center"/>
          </w:tcPr>
          <w:p w14:paraId="70169850">
            <w:pPr>
              <w:jc w:val="center"/>
              <w:rPr>
                <w:rFonts w:hint="default" w:ascii="Times New Roman" w:hAnsi="Times New Roman" w:eastAsia="宋体" w:cs="Times New Roman"/>
                <w:sz w:val="15"/>
                <w:szCs w:val="15"/>
                <w14:ligatures w14:val="standardContextual"/>
              </w:rPr>
            </w:pPr>
            <w:r>
              <w:rPr>
                <w:rFonts w:hint="eastAsia" w:ascii="Times New Roman" w:hAnsi="Times New Roman" w:eastAsia="宋体" w:cs="Times New Roman"/>
                <w:sz w:val="15"/>
                <w:szCs w:val="15"/>
                <w14:ligatures w14:val="standardContextual"/>
              </w:rPr>
              <w:t>2.054</w:t>
            </w:r>
          </w:p>
        </w:tc>
        <w:tc>
          <w:tcPr>
            <w:tcW w:w="1185" w:type="dxa"/>
            <w:tcBorders>
              <w:bottom w:val="single" w:color="auto" w:sz="12" w:space="0"/>
            </w:tcBorders>
            <w:vAlign w:val="center"/>
          </w:tcPr>
          <w:p w14:paraId="2DDE3305">
            <w:pPr>
              <w:jc w:val="center"/>
              <w:rPr>
                <w:rFonts w:hint="default" w:ascii="Times New Roman" w:hAnsi="Times New Roman" w:eastAsia="宋体" w:cs="Times New Roman"/>
                <w:sz w:val="15"/>
                <w:szCs w:val="15"/>
                <w14:ligatures w14:val="standardContextual"/>
              </w:rPr>
            </w:pPr>
            <w:r>
              <w:rPr>
                <w:rFonts w:hint="eastAsia" w:ascii="Times New Roman" w:hAnsi="Times New Roman" w:eastAsia="宋体" w:cs="Times New Roman"/>
                <w:sz w:val="15"/>
                <w:szCs w:val="15"/>
                <w14:ligatures w14:val="standardContextual"/>
              </w:rPr>
              <w:t>2.741</w:t>
            </w:r>
          </w:p>
        </w:tc>
        <w:tc>
          <w:tcPr>
            <w:tcW w:w="1185" w:type="dxa"/>
            <w:tcBorders>
              <w:bottom w:val="single" w:color="auto" w:sz="12" w:space="0"/>
            </w:tcBorders>
          </w:tcPr>
          <w:p w14:paraId="40580754">
            <w:pPr>
              <w:jc w:val="center"/>
              <w:rPr>
                <w:rFonts w:hint="default" w:ascii="Times New Roman" w:hAnsi="Times New Roman" w:eastAsia="宋体" w:cs="Times New Roman"/>
                <w:sz w:val="15"/>
                <w:szCs w:val="15"/>
                <w14:ligatures w14:val="standardContextual"/>
              </w:rPr>
            </w:pPr>
            <w:r>
              <w:rPr>
                <w:rFonts w:hint="default" w:ascii="Times New Roman" w:hAnsi="Times New Roman" w:eastAsia="宋体" w:cs="Times New Roman"/>
                <w:sz w:val="15"/>
                <w:szCs w:val="15"/>
                <w14:ligatures w14:val="standardContextual"/>
              </w:rPr>
              <w:t>0.</w:t>
            </w:r>
            <w:r>
              <w:rPr>
                <w:rFonts w:hint="eastAsia" w:ascii="Times New Roman" w:hAnsi="Times New Roman" w:eastAsia="宋体" w:cs="Times New Roman"/>
                <w:sz w:val="15"/>
                <w:szCs w:val="15"/>
                <w14:ligatures w14:val="standardContextual"/>
              </w:rPr>
              <w:t>9</w:t>
            </w:r>
            <w:r>
              <w:rPr>
                <w:rFonts w:hint="default" w:ascii="Times New Roman" w:hAnsi="Times New Roman" w:eastAsia="宋体" w:cs="Times New Roman"/>
                <w:sz w:val="15"/>
                <w:szCs w:val="15"/>
                <w14:ligatures w14:val="standardContextual"/>
              </w:rPr>
              <w:t>11</w:t>
            </w:r>
          </w:p>
        </w:tc>
        <w:tc>
          <w:tcPr>
            <w:tcW w:w="1185" w:type="dxa"/>
            <w:tcBorders>
              <w:bottom w:val="single" w:color="auto" w:sz="12" w:space="0"/>
            </w:tcBorders>
          </w:tcPr>
          <w:p w14:paraId="0C1E0A6B">
            <w:pPr>
              <w:jc w:val="center"/>
              <w:rPr>
                <w:rFonts w:hint="default" w:ascii="Times New Roman" w:hAnsi="Times New Roman" w:eastAsia="宋体" w:cs="Times New Roman"/>
                <w:sz w:val="15"/>
                <w:szCs w:val="15"/>
                <w14:ligatures w14:val="standardContextual"/>
              </w:rPr>
            </w:pPr>
            <w:r>
              <w:rPr>
                <w:rFonts w:hint="eastAsia" w:ascii="Times New Roman" w:hAnsi="Times New Roman" w:eastAsia="宋体" w:cs="Times New Roman"/>
                <w:sz w:val="15"/>
                <w:szCs w:val="15"/>
                <w14:ligatures w14:val="standardContextual"/>
              </w:rPr>
              <w:t>2</w:t>
            </w:r>
            <w:r>
              <w:rPr>
                <w:rFonts w:hint="default" w:ascii="Times New Roman" w:hAnsi="Times New Roman" w:eastAsia="宋体" w:cs="Times New Roman"/>
                <w:sz w:val="15"/>
                <w:szCs w:val="15"/>
                <w14:ligatures w14:val="standardContextual"/>
              </w:rPr>
              <w:t>.</w:t>
            </w:r>
            <w:r>
              <w:rPr>
                <w:rFonts w:hint="eastAsia" w:ascii="Times New Roman" w:hAnsi="Times New Roman" w:eastAsia="宋体" w:cs="Times New Roman"/>
                <w:sz w:val="15"/>
                <w:szCs w:val="15"/>
                <w14:ligatures w14:val="standardContextual"/>
              </w:rPr>
              <w:t>5</w:t>
            </w:r>
            <w:r>
              <w:rPr>
                <w:rFonts w:hint="default" w:ascii="Times New Roman" w:hAnsi="Times New Roman" w:eastAsia="宋体" w:cs="Times New Roman"/>
                <w:sz w:val="15"/>
                <w:szCs w:val="15"/>
                <w14:ligatures w14:val="standardContextual"/>
              </w:rPr>
              <w:t>96</w:t>
            </w:r>
          </w:p>
        </w:tc>
        <w:tc>
          <w:tcPr>
            <w:tcW w:w="1186" w:type="dxa"/>
            <w:tcBorders>
              <w:bottom w:val="single" w:color="auto" w:sz="12" w:space="0"/>
            </w:tcBorders>
          </w:tcPr>
          <w:p w14:paraId="778269BC">
            <w:pPr>
              <w:jc w:val="center"/>
              <w:rPr>
                <w:rFonts w:hint="default" w:ascii="Times New Roman" w:hAnsi="Times New Roman" w:eastAsia="宋体" w:cs="Times New Roman"/>
                <w:sz w:val="15"/>
                <w:szCs w:val="15"/>
                <w14:ligatures w14:val="standardContextual"/>
              </w:rPr>
            </w:pPr>
            <w:r>
              <w:rPr>
                <w:rFonts w:hint="eastAsia" w:ascii="Times New Roman" w:hAnsi="Times New Roman" w:eastAsia="宋体" w:cs="Times New Roman"/>
                <w:sz w:val="15"/>
                <w:szCs w:val="15"/>
                <w14:ligatures w14:val="standardContextual"/>
              </w:rPr>
              <w:t>2</w:t>
            </w:r>
            <w:r>
              <w:rPr>
                <w:rFonts w:hint="default" w:ascii="Times New Roman" w:hAnsi="Times New Roman" w:eastAsia="宋体" w:cs="Times New Roman"/>
                <w:sz w:val="15"/>
                <w:szCs w:val="15"/>
                <w14:ligatures w14:val="standardContextual"/>
              </w:rPr>
              <w:t>.</w:t>
            </w:r>
            <w:r>
              <w:rPr>
                <w:rFonts w:hint="eastAsia" w:ascii="Times New Roman" w:hAnsi="Times New Roman" w:eastAsia="宋体" w:cs="Times New Roman"/>
                <w:sz w:val="15"/>
                <w:szCs w:val="15"/>
                <w14:ligatures w14:val="standardContextual"/>
              </w:rPr>
              <w:t>6</w:t>
            </w:r>
            <w:r>
              <w:rPr>
                <w:rFonts w:hint="default" w:ascii="Times New Roman" w:hAnsi="Times New Roman" w:eastAsia="宋体" w:cs="Times New Roman"/>
                <w:sz w:val="15"/>
                <w:szCs w:val="15"/>
                <w14:ligatures w14:val="standardContextual"/>
              </w:rPr>
              <w:t>6</w:t>
            </w:r>
            <w:r>
              <w:rPr>
                <w:rFonts w:hint="eastAsia" w:ascii="Times New Roman" w:hAnsi="Times New Roman" w:eastAsia="宋体" w:cs="Times New Roman"/>
                <w:sz w:val="15"/>
                <w:szCs w:val="15"/>
                <w14:ligatures w14:val="standardContextual"/>
              </w:rPr>
              <w:t>6</w:t>
            </w:r>
          </w:p>
        </w:tc>
      </w:tr>
    </w:tbl>
    <w:p w14:paraId="060E354A">
      <w:pPr>
        <w:ind w:firstLine="420" w:firstLineChars="200"/>
        <w:rPr>
          <w:rFonts w:ascii="Times New Roman" w:hAnsi="Times New Roman" w:eastAsia="宋体" w:cs="Times New Roman"/>
          <w:bCs/>
          <w:szCs w:val="21"/>
        </w:rPr>
      </w:pPr>
      <w:r>
        <w:rPr>
          <w:rFonts w:ascii="Times New Roman" w:hAnsi="Times New Roman" w:eastAsia="宋体" w:cs="Times New Roman"/>
          <w:bCs/>
          <w:szCs w:val="21"/>
        </w:rPr>
        <w:t>不同耗水率拟合模型性能评价指标</w:t>
      </w:r>
      <w:r>
        <w:rPr>
          <w:rFonts w:hint="eastAsia" w:ascii="Times New Roman" w:hAnsi="Times New Roman" w:eastAsia="宋体" w:cs="Times New Roman"/>
          <w:bCs/>
          <w:szCs w:val="21"/>
        </w:rPr>
        <w:t>如</w:t>
      </w:r>
      <w:r>
        <w:rPr>
          <w:rFonts w:ascii="Times New Roman" w:hAnsi="Times New Roman" w:eastAsia="宋体" w:cs="Times New Roman"/>
          <w:bCs/>
          <w:szCs w:val="21"/>
        </w:rPr>
        <w:t>表</w:t>
      </w:r>
      <w:r>
        <w:rPr>
          <w:rFonts w:hint="eastAsia" w:ascii="Times New Roman" w:hAnsi="Times New Roman" w:eastAsia="宋体" w:cs="Times New Roman"/>
          <w:bCs/>
          <w:szCs w:val="21"/>
        </w:rPr>
        <w:t>8</w:t>
      </w:r>
      <w:r>
        <w:rPr>
          <w:rFonts w:ascii="Times New Roman" w:hAnsi="Times New Roman" w:eastAsia="宋体" w:cs="Times New Roman"/>
          <w:bCs/>
          <w:szCs w:val="21"/>
        </w:rPr>
        <w:t>所</w:t>
      </w:r>
      <w:r>
        <w:rPr>
          <w:rFonts w:hint="eastAsia" w:ascii="Times New Roman" w:hAnsi="Times New Roman" w:eastAsia="宋体" w:cs="Times New Roman"/>
          <w:bCs/>
          <w:szCs w:val="21"/>
        </w:rPr>
        <w:t>列</w:t>
      </w:r>
      <w:r>
        <w:rPr>
          <w:rFonts w:ascii="Times New Roman" w:hAnsi="Times New Roman" w:eastAsia="宋体" w:cs="Times New Roman"/>
          <w:bCs/>
          <w:szCs w:val="21"/>
        </w:rPr>
        <w:t>。由表可得，在训练组、测试组结果当中，幂函数预测模型在所有预测模型中精度最高，其</w:t>
      </w:r>
      <m:oMath>
        <m:sSup>
          <m:sSupPr>
            <m:ctrlPr>
              <w:rPr>
                <w:rFonts w:ascii="Cambria Math" w:hAnsi="Cambria Math" w:eastAsia="宋体" w:cs="Times New Roman"/>
                <w:bCs/>
                <w:i/>
                <w:szCs w:val="21"/>
              </w:rPr>
            </m:ctrlPr>
          </m:sSupPr>
          <m:e>
            <m:r>
              <m:rPr/>
              <w:rPr>
                <w:rFonts w:ascii="Cambria Math" w:hAnsi="Cambria Math" w:eastAsia="宋体" w:cs="Times New Roman"/>
                <w:szCs w:val="21"/>
              </w:rPr>
              <m:t>R</m:t>
            </m:r>
            <m:ctrlPr>
              <w:rPr>
                <w:rFonts w:ascii="Cambria Math" w:hAnsi="Cambria Math" w:eastAsia="宋体" w:cs="Times New Roman"/>
                <w:bCs/>
                <w:i/>
                <w:szCs w:val="21"/>
              </w:rPr>
            </m:ctrlPr>
          </m:e>
          <m:sup>
            <m:r>
              <m:rPr/>
              <w:rPr>
                <w:rFonts w:ascii="Cambria Math" w:hAnsi="Cambria Math" w:eastAsia="宋体" w:cs="Times New Roman"/>
                <w:szCs w:val="21"/>
              </w:rPr>
              <m:t>2</m:t>
            </m:r>
            <m:ctrlPr>
              <w:rPr>
                <w:rFonts w:ascii="Cambria Math" w:hAnsi="Cambria Math" w:eastAsia="宋体" w:cs="Times New Roman"/>
                <w:bCs/>
                <w:i/>
                <w:szCs w:val="21"/>
              </w:rPr>
            </m:ctrlPr>
          </m:sup>
        </m:sSup>
      </m:oMath>
      <w:r>
        <w:rPr>
          <w:rFonts w:ascii="Times New Roman" w:hAnsi="Times New Roman" w:eastAsia="宋体" w:cs="Times New Roman"/>
          <w:bCs/>
          <w:szCs w:val="21"/>
        </w:rPr>
        <w:t>为0.9</w:t>
      </w:r>
      <w:r>
        <w:rPr>
          <w:rFonts w:hint="eastAsia" w:ascii="Times New Roman" w:hAnsi="Times New Roman" w:eastAsia="宋体" w:cs="Times New Roman"/>
          <w:bCs/>
          <w:szCs w:val="21"/>
        </w:rPr>
        <w:t>67</w:t>
      </w:r>
      <w:r>
        <w:rPr>
          <w:rFonts w:ascii="Times New Roman" w:hAnsi="Times New Roman" w:eastAsia="宋体" w:cs="Times New Roman"/>
          <w:bCs/>
          <w:szCs w:val="21"/>
        </w:rPr>
        <w:t>及0.9</w:t>
      </w:r>
      <w:r>
        <w:rPr>
          <w:rFonts w:hint="eastAsia" w:ascii="Times New Roman" w:hAnsi="Times New Roman" w:eastAsia="宋体" w:cs="Times New Roman"/>
          <w:bCs/>
          <w:szCs w:val="21"/>
        </w:rPr>
        <w:t>24</w:t>
      </w:r>
      <w:r>
        <w:rPr>
          <w:rFonts w:ascii="Times New Roman" w:hAnsi="Times New Roman" w:eastAsia="宋体" w:cs="Times New Roman"/>
          <w:bCs/>
          <w:i/>
          <w:iCs/>
          <w:szCs w:val="21"/>
        </w:rPr>
        <w:t>，RMSE</w:t>
      </w:r>
      <w:r>
        <w:rPr>
          <w:rFonts w:ascii="Times New Roman" w:hAnsi="Times New Roman" w:eastAsia="宋体" w:cs="Times New Roman"/>
          <w:bCs/>
          <w:szCs w:val="21"/>
        </w:rPr>
        <w:t>为</w:t>
      </w:r>
      <w:r>
        <w:rPr>
          <w:rFonts w:hint="eastAsia" w:ascii="Times New Roman" w:hAnsi="Times New Roman" w:eastAsia="宋体" w:cs="Times New Roman"/>
          <w:bCs/>
          <w:szCs w:val="21"/>
        </w:rPr>
        <w:t>1.207</w:t>
      </w:r>
      <w:r>
        <w:rPr>
          <w:rFonts w:ascii="Times New Roman" w:hAnsi="Times New Roman" w:eastAsia="宋体" w:cs="Times New Roman"/>
          <w:bCs/>
          <w:szCs w:val="21"/>
        </w:rPr>
        <w:t>及</w:t>
      </w:r>
      <w:r>
        <w:rPr>
          <w:rFonts w:hint="eastAsia" w:ascii="Times New Roman" w:hAnsi="Times New Roman" w:eastAsia="宋体" w:cs="Times New Roman"/>
          <w:bCs/>
          <w:szCs w:val="21"/>
        </w:rPr>
        <w:t>1.378</w:t>
      </w:r>
      <w:r>
        <w:rPr>
          <w:rFonts w:ascii="Times New Roman" w:hAnsi="Times New Roman" w:eastAsia="宋体" w:cs="Times New Roman"/>
          <w:bCs/>
          <w:szCs w:val="21"/>
        </w:rPr>
        <w:t>，</w:t>
      </w:r>
      <w:r>
        <w:rPr>
          <w:rFonts w:ascii="Times New Roman" w:hAnsi="Times New Roman" w:eastAsia="宋体" w:cs="Times New Roman"/>
          <w:bCs/>
          <w:i/>
          <w:iCs/>
          <w:szCs w:val="21"/>
        </w:rPr>
        <w:t>MAE</w:t>
      </w:r>
      <w:r>
        <w:rPr>
          <w:rFonts w:ascii="Times New Roman" w:hAnsi="Times New Roman" w:eastAsia="宋体" w:cs="Times New Roman"/>
          <w:bCs/>
          <w:szCs w:val="21"/>
        </w:rPr>
        <w:t>为</w:t>
      </w:r>
      <w:r>
        <w:rPr>
          <w:rFonts w:hint="eastAsia" w:ascii="Times New Roman" w:hAnsi="Times New Roman" w:eastAsia="宋体" w:cs="Times New Roman"/>
          <w:bCs/>
          <w:szCs w:val="21"/>
        </w:rPr>
        <w:t>1.036</w:t>
      </w:r>
      <w:r>
        <w:rPr>
          <w:rFonts w:ascii="Times New Roman" w:hAnsi="Times New Roman" w:eastAsia="宋体" w:cs="Times New Roman"/>
          <w:bCs/>
          <w:szCs w:val="21"/>
        </w:rPr>
        <w:t>及</w:t>
      </w:r>
      <w:r>
        <w:rPr>
          <w:rFonts w:hint="eastAsia" w:ascii="Times New Roman" w:hAnsi="Times New Roman" w:eastAsia="宋体" w:cs="Times New Roman"/>
          <w:bCs/>
          <w:szCs w:val="21"/>
        </w:rPr>
        <w:t>1.008</w:t>
      </w:r>
      <w:r>
        <w:rPr>
          <w:rFonts w:ascii="Times New Roman" w:hAnsi="Times New Roman" w:eastAsia="宋体" w:cs="Times New Roman"/>
          <w:bCs/>
          <w:szCs w:val="21"/>
        </w:rPr>
        <w:t>。故最终选定幂函数</w:t>
      </w:r>
      <w:r>
        <w:rPr>
          <w:rFonts w:hint="eastAsia" w:ascii="Times New Roman" w:hAnsi="Times New Roman" w:eastAsia="宋体" w:cs="Times New Roman"/>
          <w:position w:val="-7"/>
          <w:sz w:val="15"/>
          <w:szCs w:val="15"/>
          <w:lang w:bidi="ar"/>
        </w:rPr>
        <w:drawing>
          <wp:inline distT="0" distB="0" distL="114300" distR="114300">
            <wp:extent cx="52705" cy="138430"/>
            <wp:effectExtent l="0" t="0" r="4445" b="0"/>
            <wp:docPr id="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4"/>
                    <pic:cNvPicPr>
                      <a:picLocks noChangeAspect="1"/>
                    </pic:cNvPicPr>
                  </pic:nvPicPr>
                  <pic:blipFill>
                    <a:blip r:embed="rId30">
                      <a:clrChange>
                        <a:clrFrom>
                          <a:srgbClr val="FFFFFF"/>
                        </a:clrFrom>
                        <a:clrTo>
                          <a:srgbClr val="FFFFFF">
                            <a:alpha val="0"/>
                          </a:srgbClr>
                        </a:clrTo>
                      </a:clrChange>
                    </a:blip>
                    <a:stretch>
                      <a:fillRect/>
                    </a:stretch>
                  </pic:blipFill>
                  <pic:spPr>
                    <a:xfrm>
                      <a:off x="0" y="0"/>
                      <a:ext cx="52705" cy="138430"/>
                    </a:xfrm>
                    <a:prstGeom prst="rect">
                      <a:avLst/>
                    </a:prstGeom>
                    <a:noFill/>
                    <a:ln>
                      <a:noFill/>
                    </a:ln>
                  </pic:spPr>
                </pic:pic>
              </a:graphicData>
            </a:graphic>
          </wp:inline>
        </w:drawing>
      </w:r>
      <w:r>
        <w:rPr>
          <w:rFonts w:ascii="Times New Roman" w:hAnsi="Times New Roman" w:eastAsia="宋体" w:cs="Times New Roman"/>
          <w:sz w:val="15"/>
          <w:szCs w:val="15"/>
          <w:lang w:bidi="ar"/>
        </w:rPr>
        <w:t>=0.0044</w:t>
      </w:r>
      <w:r>
        <w:rPr>
          <w:rFonts w:hint="eastAsia" w:ascii="Times New Roman" w:hAnsi="Times New Roman" w:eastAsia="宋体" w:cs="Times New Roman"/>
          <w:i/>
          <w:iCs/>
          <w:sz w:val="15"/>
          <w:szCs w:val="15"/>
          <w:lang w:bidi="ar"/>
        </w:rPr>
        <w:t>L</w:t>
      </w:r>
      <w:r>
        <w:rPr>
          <w:rFonts w:hint="eastAsia" w:ascii="Times New Roman" w:hAnsi="Times New Roman" w:eastAsia="宋体" w:cs="Times New Roman"/>
          <w:sz w:val="15"/>
          <w:szCs w:val="15"/>
          <w:vertAlign w:val="superscript"/>
          <w:lang w:bidi="ar"/>
        </w:rPr>
        <w:t>-1.0005</w:t>
      </w:r>
      <w:r>
        <w:rPr>
          <w:rFonts w:ascii="Times New Roman" w:hAnsi="Times New Roman" w:eastAsia="宋体" w:cs="Times New Roman"/>
          <w:bCs/>
          <w:szCs w:val="21"/>
        </w:rPr>
        <w:t>作为耗水率预测模型。</w:t>
      </w:r>
      <w:r>
        <w:rPr>
          <w:rFonts w:hint="eastAsia" w:ascii="Times New Roman" w:hAnsi="Times New Roman" w:eastAsia="宋体" w:cs="Times New Roman"/>
          <w:bCs/>
          <w:szCs w:val="21"/>
        </w:rPr>
        <w:t xml:space="preserve"> </w:t>
      </w:r>
    </w:p>
    <w:p w14:paraId="6A1EF9E6">
      <w:pPr>
        <w:ind w:firstLine="360" w:firstLineChars="200"/>
        <w:jc w:val="center"/>
        <w:rPr>
          <w:rFonts w:ascii="Times New Roman" w:hAnsi="Times New Roman" w:eastAsia="黑体" w:cs="Times New Roman"/>
          <w:bCs/>
          <w:sz w:val="18"/>
          <w:szCs w:val="18"/>
        </w:rPr>
      </w:pPr>
      <w:r>
        <w:rPr>
          <w:rFonts w:ascii="Times New Roman" w:hAnsi="Times New Roman" w:eastAsia="黑体" w:cs="Times New Roman"/>
          <w:bCs/>
          <w:sz w:val="18"/>
          <w:szCs w:val="18"/>
        </w:rPr>
        <w:t>表</w:t>
      </w:r>
      <w:r>
        <w:rPr>
          <w:rFonts w:hint="eastAsia" w:ascii="Times New Roman" w:hAnsi="Times New Roman" w:eastAsia="黑体" w:cs="Times New Roman"/>
          <w:bCs/>
          <w:sz w:val="18"/>
          <w:szCs w:val="18"/>
        </w:rPr>
        <w:t>8</w:t>
      </w:r>
      <w:r>
        <w:rPr>
          <w:rFonts w:ascii="Times New Roman" w:hAnsi="Times New Roman" w:eastAsia="黑体" w:cs="Times New Roman"/>
          <w:bCs/>
          <w:sz w:val="18"/>
          <w:szCs w:val="18"/>
        </w:rPr>
        <w:t>耗水率拟合模型性能评价指标</w:t>
      </w:r>
    </w:p>
    <w:p w14:paraId="4165D83A">
      <w:pPr>
        <w:ind w:firstLine="360" w:firstLineChars="200"/>
        <w:jc w:val="center"/>
        <w:rPr>
          <w:rFonts w:ascii="Times New Roman" w:hAnsi="Times New Roman" w:eastAsia="黑体" w:cs="Times New Roman"/>
          <w:bCs/>
          <w:sz w:val="18"/>
          <w:szCs w:val="18"/>
        </w:rPr>
      </w:pPr>
      <w:r>
        <w:rPr>
          <w:rFonts w:ascii="Times New Roman" w:hAnsi="Times New Roman" w:eastAsia="黑体" w:cs="Times New Roman"/>
          <w:bCs/>
          <w:sz w:val="18"/>
          <w:szCs w:val="18"/>
        </w:rPr>
        <w:t>Table</w:t>
      </w:r>
      <w:r>
        <w:rPr>
          <w:rFonts w:hint="eastAsia" w:ascii="Times New Roman" w:hAnsi="Times New Roman" w:eastAsia="黑体" w:cs="Times New Roman"/>
          <w:bCs/>
          <w:sz w:val="18"/>
          <w:szCs w:val="18"/>
        </w:rPr>
        <w:t xml:space="preserve"> 8 </w:t>
      </w:r>
      <w:r>
        <w:rPr>
          <w:rFonts w:ascii="Times New Roman" w:hAnsi="Times New Roman" w:eastAsia="黑体" w:cs="Times New Roman"/>
          <w:bCs/>
          <w:sz w:val="18"/>
          <w:szCs w:val="18"/>
        </w:rPr>
        <w:t xml:space="preserve">Performance </w:t>
      </w:r>
      <w:r>
        <w:rPr>
          <w:rFonts w:hint="eastAsia" w:ascii="Times New Roman" w:hAnsi="Times New Roman" w:eastAsia="黑体" w:cs="Times New Roman"/>
          <w:bCs/>
          <w:sz w:val="18"/>
          <w:szCs w:val="18"/>
        </w:rPr>
        <w:t>e</w:t>
      </w:r>
      <w:r>
        <w:rPr>
          <w:rFonts w:ascii="Times New Roman" w:hAnsi="Times New Roman" w:eastAsia="黑体" w:cs="Times New Roman"/>
          <w:bCs/>
          <w:sz w:val="18"/>
          <w:szCs w:val="18"/>
        </w:rPr>
        <w:t>valuation</w:t>
      </w:r>
      <w:r>
        <w:rPr>
          <w:rFonts w:hint="eastAsia" w:ascii="Times New Roman" w:hAnsi="Times New Roman" w:eastAsia="黑体" w:cs="Times New Roman"/>
          <w:bCs/>
          <w:sz w:val="18"/>
          <w:szCs w:val="18"/>
        </w:rPr>
        <w:t xml:space="preserve"> i</w:t>
      </w:r>
      <w:r>
        <w:rPr>
          <w:rFonts w:ascii="Times New Roman" w:hAnsi="Times New Roman" w:eastAsia="黑体" w:cs="Times New Roman"/>
          <w:bCs/>
          <w:sz w:val="18"/>
          <w:szCs w:val="18"/>
        </w:rPr>
        <w:t xml:space="preserve">ndicators for </w:t>
      </w:r>
      <w:r>
        <w:rPr>
          <w:rFonts w:hint="eastAsia" w:ascii="Times New Roman" w:hAnsi="Times New Roman" w:eastAsia="黑体" w:cs="Times New Roman"/>
          <w:bCs/>
          <w:sz w:val="18"/>
          <w:szCs w:val="18"/>
        </w:rPr>
        <w:t>w</w:t>
      </w:r>
      <w:r>
        <w:rPr>
          <w:rFonts w:ascii="Times New Roman" w:hAnsi="Times New Roman" w:eastAsia="黑体" w:cs="Times New Roman"/>
          <w:bCs/>
          <w:sz w:val="18"/>
          <w:szCs w:val="18"/>
        </w:rPr>
        <w:t xml:space="preserve">ater </w:t>
      </w:r>
      <w:r>
        <w:rPr>
          <w:rFonts w:hint="eastAsia" w:ascii="Times New Roman" w:hAnsi="Times New Roman" w:eastAsia="黑体" w:cs="Times New Roman"/>
          <w:bCs/>
          <w:sz w:val="18"/>
          <w:szCs w:val="18"/>
        </w:rPr>
        <w:t>c</w:t>
      </w:r>
      <w:r>
        <w:rPr>
          <w:rFonts w:ascii="Times New Roman" w:hAnsi="Times New Roman" w:eastAsia="黑体" w:cs="Times New Roman"/>
          <w:bCs/>
          <w:sz w:val="18"/>
          <w:szCs w:val="18"/>
        </w:rPr>
        <w:t xml:space="preserve">onsumption </w:t>
      </w:r>
      <w:r>
        <w:rPr>
          <w:rFonts w:hint="eastAsia" w:ascii="Times New Roman" w:hAnsi="Times New Roman" w:eastAsia="黑体" w:cs="Times New Roman"/>
          <w:bCs/>
          <w:sz w:val="18"/>
          <w:szCs w:val="18"/>
        </w:rPr>
        <w:t>r</w:t>
      </w:r>
      <w:r>
        <w:rPr>
          <w:rFonts w:ascii="Times New Roman" w:hAnsi="Times New Roman" w:eastAsia="黑体" w:cs="Times New Roman"/>
          <w:bCs/>
          <w:sz w:val="18"/>
          <w:szCs w:val="18"/>
        </w:rPr>
        <w:t>ate</w:t>
      </w:r>
      <w:r>
        <w:rPr>
          <w:rFonts w:hint="eastAsia" w:ascii="Times New Roman" w:hAnsi="Times New Roman" w:eastAsia="黑体" w:cs="Times New Roman"/>
          <w:bCs/>
          <w:sz w:val="18"/>
          <w:szCs w:val="18"/>
        </w:rPr>
        <w:t xml:space="preserve"> f</w:t>
      </w:r>
      <w:r>
        <w:rPr>
          <w:rFonts w:ascii="Times New Roman" w:hAnsi="Times New Roman" w:eastAsia="黑体" w:cs="Times New Roman"/>
          <w:bCs/>
          <w:sz w:val="18"/>
          <w:szCs w:val="18"/>
        </w:rPr>
        <w:t xml:space="preserve">itting </w:t>
      </w:r>
      <w:r>
        <w:rPr>
          <w:rFonts w:hint="eastAsia" w:ascii="Times New Roman" w:hAnsi="Times New Roman" w:eastAsia="黑体" w:cs="Times New Roman"/>
          <w:bCs/>
          <w:sz w:val="18"/>
          <w:szCs w:val="18"/>
        </w:rPr>
        <w:t>m</w:t>
      </w:r>
      <w:r>
        <w:rPr>
          <w:rFonts w:ascii="Times New Roman" w:hAnsi="Times New Roman" w:eastAsia="黑体" w:cs="Times New Roman"/>
          <w:bCs/>
          <w:sz w:val="18"/>
          <w:szCs w:val="18"/>
        </w:rPr>
        <w:t>odel</w:t>
      </w:r>
    </w:p>
    <w:tbl>
      <w:tblPr>
        <w:tblStyle w:val="8"/>
        <w:tblW w:w="0" w:type="auto"/>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85"/>
        <w:gridCol w:w="1185"/>
        <w:gridCol w:w="1185"/>
        <w:gridCol w:w="1185"/>
        <w:gridCol w:w="1185"/>
        <w:gridCol w:w="1185"/>
        <w:gridCol w:w="1185"/>
      </w:tblGrid>
      <w:tr w14:paraId="17EB492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185" w:type="dxa"/>
            <w:tcBorders>
              <w:bottom w:val="single" w:color="auto" w:sz="4" w:space="0"/>
            </w:tcBorders>
          </w:tcPr>
          <w:p w14:paraId="7B250395">
            <w:pPr>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rPr>
              <w:t>类别</w:t>
            </w:r>
          </w:p>
        </w:tc>
        <w:tc>
          <w:tcPr>
            <w:tcW w:w="1185" w:type="dxa"/>
            <w:tcBorders>
              <w:top w:val="single" w:color="auto" w:sz="12" w:space="0"/>
              <w:bottom w:val="single" w:color="auto" w:sz="4" w:space="0"/>
            </w:tcBorders>
          </w:tcPr>
          <w:p w14:paraId="56075527">
            <w:pPr>
              <w:jc w:val="center"/>
              <w:rPr>
                <w:rFonts w:hint="default" w:ascii="Times New Roman" w:hAnsi="Times New Roman" w:eastAsia="宋体" w:cs="Times New Roman"/>
                <w:sz w:val="15"/>
                <w:szCs w:val="15"/>
              </w:rPr>
            </w:pPr>
          </w:p>
        </w:tc>
        <w:tc>
          <w:tcPr>
            <w:tcW w:w="1185" w:type="dxa"/>
            <w:tcBorders>
              <w:top w:val="single" w:color="auto" w:sz="12" w:space="0"/>
              <w:bottom w:val="single" w:color="auto" w:sz="4" w:space="0"/>
            </w:tcBorders>
          </w:tcPr>
          <w:p w14:paraId="725A93E7">
            <w:pPr>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rPr>
              <w:t>训练组</w:t>
            </w:r>
          </w:p>
        </w:tc>
        <w:tc>
          <w:tcPr>
            <w:tcW w:w="1185" w:type="dxa"/>
            <w:tcBorders>
              <w:top w:val="single" w:color="auto" w:sz="12" w:space="0"/>
              <w:bottom w:val="single" w:color="auto" w:sz="4" w:space="0"/>
            </w:tcBorders>
          </w:tcPr>
          <w:p w14:paraId="17E903D9">
            <w:pPr>
              <w:jc w:val="center"/>
              <w:rPr>
                <w:rFonts w:hint="default" w:ascii="Times New Roman" w:hAnsi="Times New Roman" w:eastAsia="宋体" w:cs="Times New Roman"/>
                <w:sz w:val="15"/>
                <w:szCs w:val="15"/>
              </w:rPr>
            </w:pPr>
          </w:p>
        </w:tc>
        <w:tc>
          <w:tcPr>
            <w:tcW w:w="1185" w:type="dxa"/>
            <w:tcBorders>
              <w:top w:val="single" w:color="auto" w:sz="12" w:space="0"/>
              <w:bottom w:val="single" w:color="auto" w:sz="4" w:space="0"/>
            </w:tcBorders>
          </w:tcPr>
          <w:p w14:paraId="61456A48">
            <w:pPr>
              <w:jc w:val="center"/>
              <w:rPr>
                <w:rFonts w:hint="default" w:ascii="Times New Roman" w:hAnsi="Times New Roman" w:eastAsia="宋体" w:cs="Times New Roman"/>
                <w:sz w:val="15"/>
                <w:szCs w:val="15"/>
              </w:rPr>
            </w:pPr>
          </w:p>
        </w:tc>
        <w:tc>
          <w:tcPr>
            <w:tcW w:w="1185" w:type="dxa"/>
            <w:tcBorders>
              <w:top w:val="single" w:color="auto" w:sz="12" w:space="0"/>
              <w:bottom w:val="single" w:color="auto" w:sz="4" w:space="0"/>
            </w:tcBorders>
          </w:tcPr>
          <w:p w14:paraId="3F0B2CD0">
            <w:pPr>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rPr>
              <w:t>测试组</w:t>
            </w:r>
          </w:p>
        </w:tc>
        <w:tc>
          <w:tcPr>
            <w:tcW w:w="1185" w:type="dxa"/>
            <w:tcBorders>
              <w:top w:val="single" w:color="auto" w:sz="12" w:space="0"/>
              <w:bottom w:val="single" w:color="auto" w:sz="4" w:space="0"/>
            </w:tcBorders>
          </w:tcPr>
          <w:p w14:paraId="2AC30D8B">
            <w:pPr>
              <w:jc w:val="center"/>
              <w:rPr>
                <w:rFonts w:hint="default" w:ascii="Times New Roman" w:hAnsi="Times New Roman" w:eastAsia="宋体" w:cs="Times New Roman"/>
                <w:sz w:val="15"/>
                <w:szCs w:val="15"/>
              </w:rPr>
            </w:pPr>
          </w:p>
        </w:tc>
      </w:tr>
      <w:tr w14:paraId="14F550B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185" w:type="dxa"/>
            <w:tcBorders>
              <w:top w:val="single" w:color="auto" w:sz="4" w:space="0"/>
              <w:bottom w:val="single" w:color="auto" w:sz="6" w:space="0"/>
            </w:tcBorders>
          </w:tcPr>
          <w:p w14:paraId="3861B408">
            <w:pPr>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rPr>
              <w:t>函数类型</w:t>
            </w:r>
          </w:p>
        </w:tc>
        <w:tc>
          <w:tcPr>
            <w:tcW w:w="1185" w:type="dxa"/>
            <w:tcBorders>
              <w:top w:val="single" w:color="auto" w:sz="4" w:space="0"/>
              <w:bottom w:val="single" w:color="auto" w:sz="6" w:space="0"/>
            </w:tcBorders>
          </w:tcPr>
          <w:p w14:paraId="17447B76">
            <w:pPr>
              <w:jc w:val="center"/>
              <w:rPr>
                <w:rFonts w:hint="default" w:ascii="Times New Roman" w:hAnsi="Times New Roman" w:eastAsia="宋体" w:cs="Times New Roman"/>
                <w:sz w:val="15"/>
                <w:szCs w:val="15"/>
              </w:rPr>
            </w:pPr>
            <m:oMathPara>
              <m:oMath>
                <m:sSup>
                  <m:sSupPr>
                    <m:ctrlPr>
                      <w:rPr>
                        <w:rFonts w:hint="default" w:ascii="Cambria Math" w:hAnsi="Cambria Math" w:eastAsia="宋体" w:cs="Times New Roman"/>
                        <w:i/>
                        <w:sz w:val="15"/>
                        <w:szCs w:val="15"/>
                      </w:rPr>
                    </m:ctrlPr>
                  </m:sSupPr>
                  <m:e>
                    <m:r>
                      <m:rPr/>
                      <w:rPr>
                        <w:rFonts w:hint="default" w:ascii="Cambria Math" w:hAnsi="Cambria Math" w:eastAsia="宋体" w:cs="Times New Roman"/>
                        <w:sz w:val="15"/>
                        <w:szCs w:val="15"/>
                      </w:rPr>
                      <m:t>R</m:t>
                    </m:r>
                    <m:ctrlPr>
                      <w:rPr>
                        <w:rFonts w:hint="default" w:ascii="Cambria Math" w:hAnsi="Cambria Math" w:eastAsia="宋体" w:cs="Times New Roman"/>
                        <w:i/>
                        <w:sz w:val="15"/>
                        <w:szCs w:val="15"/>
                      </w:rPr>
                    </m:ctrlPr>
                  </m:e>
                  <m:sup>
                    <m:r>
                      <m:rPr/>
                      <w:rPr>
                        <w:rFonts w:hint="default" w:ascii="Cambria Math" w:hAnsi="Cambria Math" w:eastAsia="宋体" w:cs="Times New Roman"/>
                        <w:sz w:val="15"/>
                        <w:szCs w:val="15"/>
                      </w:rPr>
                      <m:t>2</m:t>
                    </m:r>
                    <m:ctrlPr>
                      <w:rPr>
                        <w:rFonts w:hint="default" w:ascii="Cambria Math" w:hAnsi="Cambria Math" w:eastAsia="宋体" w:cs="Times New Roman"/>
                        <w:i/>
                        <w:sz w:val="15"/>
                        <w:szCs w:val="15"/>
                      </w:rPr>
                    </m:ctrlPr>
                  </m:sup>
                </m:sSup>
              </m:oMath>
            </m:oMathPara>
          </w:p>
        </w:tc>
        <w:tc>
          <w:tcPr>
            <w:tcW w:w="1185" w:type="dxa"/>
            <w:tcBorders>
              <w:top w:val="single" w:color="auto" w:sz="4" w:space="0"/>
              <w:bottom w:val="single" w:color="auto" w:sz="6" w:space="0"/>
            </w:tcBorders>
          </w:tcPr>
          <w:p w14:paraId="39412E91">
            <w:pPr>
              <w:jc w:val="center"/>
              <w:rPr>
                <w:rFonts w:hint="default" w:ascii="Times New Roman" w:hAnsi="Times New Roman" w:eastAsia="宋体" w:cs="Times New Roman"/>
                <w:sz w:val="15"/>
                <w:szCs w:val="15"/>
              </w:rPr>
            </w:pPr>
            <w:r>
              <w:rPr>
                <w:rFonts w:hint="default" w:ascii="Times New Roman" w:hAnsi="Times New Roman" w:eastAsia="宋体" w:cs="Times New Roman"/>
                <w:i/>
                <w:iCs/>
                <w:sz w:val="15"/>
                <w:szCs w:val="15"/>
              </w:rPr>
              <w:t>RMSE</w:t>
            </w:r>
          </w:p>
        </w:tc>
        <w:tc>
          <w:tcPr>
            <w:tcW w:w="1185" w:type="dxa"/>
            <w:tcBorders>
              <w:top w:val="single" w:color="auto" w:sz="4" w:space="0"/>
              <w:bottom w:val="single" w:color="auto" w:sz="6" w:space="0"/>
            </w:tcBorders>
          </w:tcPr>
          <w:p w14:paraId="14A43C35">
            <w:pPr>
              <w:jc w:val="center"/>
              <w:rPr>
                <w:rFonts w:hint="default" w:ascii="Times New Roman" w:hAnsi="Times New Roman" w:eastAsia="宋体" w:cs="Times New Roman"/>
                <w:sz w:val="15"/>
                <w:szCs w:val="15"/>
              </w:rPr>
            </w:pPr>
            <w:r>
              <w:rPr>
                <w:rFonts w:hint="default" w:ascii="Times New Roman" w:hAnsi="Times New Roman" w:eastAsia="宋体" w:cs="Times New Roman"/>
                <w:i/>
                <w:iCs/>
                <w:sz w:val="15"/>
                <w:szCs w:val="15"/>
              </w:rPr>
              <w:t>MAE</w:t>
            </w:r>
          </w:p>
        </w:tc>
        <w:tc>
          <w:tcPr>
            <w:tcW w:w="1185" w:type="dxa"/>
            <w:tcBorders>
              <w:top w:val="single" w:color="auto" w:sz="4" w:space="0"/>
              <w:bottom w:val="single" w:color="auto" w:sz="6" w:space="0"/>
            </w:tcBorders>
          </w:tcPr>
          <w:p w14:paraId="7BA67453">
            <w:pPr>
              <w:jc w:val="center"/>
              <w:rPr>
                <w:rFonts w:hint="default" w:ascii="Times New Roman" w:hAnsi="Times New Roman" w:eastAsia="宋体" w:cs="Times New Roman"/>
                <w:sz w:val="15"/>
                <w:szCs w:val="15"/>
              </w:rPr>
            </w:pPr>
            <m:oMathPara>
              <m:oMath>
                <m:sSup>
                  <m:sSupPr>
                    <m:ctrlPr>
                      <w:rPr>
                        <w:rFonts w:hint="default" w:ascii="Cambria Math" w:hAnsi="Cambria Math" w:eastAsia="宋体" w:cs="Times New Roman"/>
                        <w:i/>
                        <w:sz w:val="15"/>
                        <w:szCs w:val="15"/>
                      </w:rPr>
                    </m:ctrlPr>
                  </m:sSupPr>
                  <m:e>
                    <m:r>
                      <m:rPr/>
                      <w:rPr>
                        <w:rFonts w:hint="default" w:ascii="Cambria Math" w:hAnsi="Cambria Math" w:eastAsia="宋体" w:cs="Times New Roman"/>
                        <w:sz w:val="15"/>
                        <w:szCs w:val="15"/>
                      </w:rPr>
                      <m:t>R</m:t>
                    </m:r>
                    <m:ctrlPr>
                      <w:rPr>
                        <w:rFonts w:hint="default" w:ascii="Cambria Math" w:hAnsi="Cambria Math" w:eastAsia="宋体" w:cs="Times New Roman"/>
                        <w:i/>
                        <w:sz w:val="15"/>
                        <w:szCs w:val="15"/>
                      </w:rPr>
                    </m:ctrlPr>
                  </m:e>
                  <m:sup>
                    <m:r>
                      <m:rPr/>
                      <w:rPr>
                        <w:rFonts w:hint="default" w:ascii="Cambria Math" w:hAnsi="Cambria Math" w:eastAsia="宋体" w:cs="Times New Roman"/>
                        <w:sz w:val="15"/>
                        <w:szCs w:val="15"/>
                      </w:rPr>
                      <m:t>2</m:t>
                    </m:r>
                    <m:ctrlPr>
                      <w:rPr>
                        <w:rFonts w:hint="default" w:ascii="Cambria Math" w:hAnsi="Cambria Math" w:eastAsia="宋体" w:cs="Times New Roman"/>
                        <w:i/>
                        <w:sz w:val="15"/>
                        <w:szCs w:val="15"/>
                      </w:rPr>
                    </m:ctrlPr>
                  </m:sup>
                </m:sSup>
              </m:oMath>
            </m:oMathPara>
          </w:p>
        </w:tc>
        <w:tc>
          <w:tcPr>
            <w:tcW w:w="1185" w:type="dxa"/>
            <w:tcBorders>
              <w:top w:val="single" w:color="auto" w:sz="4" w:space="0"/>
              <w:bottom w:val="single" w:color="auto" w:sz="6" w:space="0"/>
            </w:tcBorders>
          </w:tcPr>
          <w:p w14:paraId="3BC98166">
            <w:pPr>
              <w:jc w:val="center"/>
              <w:rPr>
                <w:rFonts w:hint="default" w:ascii="Times New Roman" w:hAnsi="Times New Roman" w:eastAsia="宋体" w:cs="Times New Roman"/>
                <w:sz w:val="15"/>
                <w:szCs w:val="15"/>
              </w:rPr>
            </w:pPr>
            <w:r>
              <w:rPr>
                <w:rFonts w:hint="default" w:ascii="Times New Roman" w:hAnsi="Times New Roman" w:eastAsia="宋体" w:cs="Times New Roman"/>
                <w:i/>
                <w:iCs/>
                <w:sz w:val="15"/>
                <w:szCs w:val="15"/>
              </w:rPr>
              <w:t>RMSE</w:t>
            </w:r>
          </w:p>
        </w:tc>
        <w:tc>
          <w:tcPr>
            <w:tcW w:w="1185" w:type="dxa"/>
            <w:tcBorders>
              <w:top w:val="single" w:color="auto" w:sz="4" w:space="0"/>
              <w:bottom w:val="single" w:color="auto" w:sz="6" w:space="0"/>
            </w:tcBorders>
          </w:tcPr>
          <w:p w14:paraId="3C75F99A">
            <w:pPr>
              <w:jc w:val="center"/>
              <w:rPr>
                <w:rFonts w:hint="default" w:ascii="Times New Roman" w:hAnsi="Times New Roman" w:eastAsia="宋体" w:cs="Times New Roman"/>
                <w:sz w:val="15"/>
                <w:szCs w:val="15"/>
              </w:rPr>
            </w:pPr>
            <w:r>
              <w:rPr>
                <w:rFonts w:hint="default" w:ascii="Times New Roman" w:hAnsi="Times New Roman" w:eastAsia="宋体" w:cs="Times New Roman"/>
                <w:i/>
                <w:iCs/>
                <w:sz w:val="15"/>
                <w:szCs w:val="15"/>
              </w:rPr>
              <w:t>MAE</w:t>
            </w:r>
          </w:p>
        </w:tc>
      </w:tr>
      <w:tr w14:paraId="6724278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185" w:type="dxa"/>
            <w:tcBorders>
              <w:top w:val="single" w:color="auto" w:sz="6" w:space="0"/>
            </w:tcBorders>
          </w:tcPr>
          <w:p w14:paraId="2226C9DC">
            <w:pPr>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rPr>
              <w:t>线性函数</w:t>
            </w:r>
          </w:p>
        </w:tc>
        <w:tc>
          <w:tcPr>
            <w:tcW w:w="1185" w:type="dxa"/>
            <w:tcBorders>
              <w:top w:val="nil"/>
              <w:left w:val="nil"/>
              <w:bottom w:val="nil"/>
              <w:right w:val="nil"/>
            </w:tcBorders>
            <w:vAlign w:val="center"/>
          </w:tcPr>
          <w:p w14:paraId="451AD20A">
            <w:pPr>
              <w:jc w:val="center"/>
              <w:rPr>
                <w:rFonts w:hint="default" w:ascii="Times New Roman" w:hAnsi="Times New Roman" w:eastAsia="宋体" w:cs="Times New Roman"/>
                <w:sz w:val="15"/>
                <w:szCs w:val="15"/>
              </w:rPr>
            </w:pPr>
            <w:r>
              <w:rPr>
                <w:rFonts w:hint="eastAsia" w:ascii="Times New Roman" w:hAnsi="Times New Roman" w:eastAsia="宋体" w:cs="Times New Roman"/>
                <w:sz w:val="15"/>
                <w:szCs w:val="15"/>
              </w:rPr>
              <w:t>0.816</w:t>
            </w:r>
          </w:p>
        </w:tc>
        <w:tc>
          <w:tcPr>
            <w:tcW w:w="1185" w:type="dxa"/>
            <w:tcBorders>
              <w:top w:val="nil"/>
              <w:left w:val="nil"/>
              <w:bottom w:val="nil"/>
              <w:right w:val="nil"/>
            </w:tcBorders>
            <w:vAlign w:val="center"/>
          </w:tcPr>
          <w:p w14:paraId="30F8B0A9">
            <w:pPr>
              <w:jc w:val="center"/>
              <w:rPr>
                <w:rFonts w:hint="default" w:ascii="Times New Roman" w:hAnsi="Times New Roman" w:eastAsia="宋体" w:cs="Times New Roman"/>
                <w:sz w:val="15"/>
                <w:szCs w:val="15"/>
              </w:rPr>
            </w:pPr>
            <w:r>
              <w:rPr>
                <w:rFonts w:hint="eastAsia" w:ascii="Times New Roman" w:hAnsi="Times New Roman" w:eastAsia="宋体" w:cs="Times New Roman"/>
                <w:sz w:val="15"/>
                <w:szCs w:val="15"/>
              </w:rPr>
              <w:t>3.399</w:t>
            </w:r>
          </w:p>
        </w:tc>
        <w:tc>
          <w:tcPr>
            <w:tcW w:w="1185" w:type="dxa"/>
            <w:tcBorders>
              <w:top w:val="nil"/>
              <w:left w:val="nil"/>
              <w:bottom w:val="nil"/>
              <w:right w:val="nil"/>
            </w:tcBorders>
            <w:vAlign w:val="center"/>
          </w:tcPr>
          <w:p w14:paraId="4F9E13DE">
            <w:pPr>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rPr>
              <w:t>2.</w:t>
            </w:r>
            <w:r>
              <w:rPr>
                <w:rFonts w:hint="eastAsia" w:ascii="Times New Roman" w:hAnsi="Times New Roman" w:eastAsia="宋体" w:cs="Times New Roman"/>
                <w:sz w:val="15"/>
                <w:szCs w:val="15"/>
              </w:rPr>
              <w:t>245</w:t>
            </w:r>
          </w:p>
        </w:tc>
        <w:tc>
          <w:tcPr>
            <w:tcW w:w="1185" w:type="dxa"/>
            <w:tcBorders>
              <w:top w:val="nil"/>
              <w:left w:val="nil"/>
              <w:bottom w:val="nil"/>
              <w:right w:val="nil"/>
            </w:tcBorders>
            <w:vAlign w:val="bottom"/>
          </w:tcPr>
          <w:p w14:paraId="7E6D08A2">
            <w:pPr>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rPr>
              <w:t>0.</w:t>
            </w:r>
            <w:r>
              <w:rPr>
                <w:rFonts w:hint="eastAsia" w:ascii="Times New Roman" w:hAnsi="Times New Roman" w:eastAsia="宋体" w:cs="Times New Roman"/>
                <w:sz w:val="15"/>
                <w:szCs w:val="15"/>
              </w:rPr>
              <w:t>8</w:t>
            </w:r>
            <w:r>
              <w:rPr>
                <w:rFonts w:hint="default" w:ascii="Times New Roman" w:hAnsi="Times New Roman" w:eastAsia="宋体" w:cs="Times New Roman"/>
                <w:sz w:val="15"/>
                <w:szCs w:val="15"/>
              </w:rPr>
              <w:t>37</w:t>
            </w:r>
          </w:p>
        </w:tc>
        <w:tc>
          <w:tcPr>
            <w:tcW w:w="1185" w:type="dxa"/>
            <w:tcBorders>
              <w:top w:val="nil"/>
              <w:left w:val="nil"/>
              <w:bottom w:val="nil"/>
              <w:right w:val="nil"/>
            </w:tcBorders>
            <w:vAlign w:val="bottom"/>
          </w:tcPr>
          <w:p w14:paraId="37F118A7">
            <w:pPr>
              <w:jc w:val="center"/>
              <w:rPr>
                <w:rFonts w:hint="default" w:ascii="Times New Roman" w:hAnsi="Times New Roman" w:eastAsia="宋体" w:cs="Times New Roman"/>
                <w:sz w:val="15"/>
                <w:szCs w:val="15"/>
              </w:rPr>
            </w:pPr>
            <w:r>
              <w:rPr>
                <w:rFonts w:hint="eastAsia" w:ascii="Times New Roman" w:hAnsi="Times New Roman" w:eastAsia="宋体" w:cs="Times New Roman"/>
                <w:sz w:val="15"/>
                <w:szCs w:val="15"/>
              </w:rPr>
              <w:t>3</w:t>
            </w:r>
            <w:r>
              <w:rPr>
                <w:rFonts w:hint="default" w:ascii="Times New Roman" w:hAnsi="Times New Roman" w:eastAsia="宋体" w:cs="Times New Roman"/>
                <w:sz w:val="15"/>
                <w:szCs w:val="15"/>
              </w:rPr>
              <w:t>.415</w:t>
            </w:r>
          </w:p>
        </w:tc>
        <w:tc>
          <w:tcPr>
            <w:tcW w:w="1185" w:type="dxa"/>
            <w:tcBorders>
              <w:top w:val="nil"/>
              <w:left w:val="nil"/>
              <w:bottom w:val="nil"/>
              <w:right w:val="nil"/>
            </w:tcBorders>
            <w:vAlign w:val="bottom"/>
          </w:tcPr>
          <w:p w14:paraId="374B846D">
            <w:pPr>
              <w:jc w:val="center"/>
              <w:rPr>
                <w:rFonts w:hint="default" w:ascii="Times New Roman" w:hAnsi="Times New Roman" w:eastAsia="宋体" w:cs="Times New Roman"/>
                <w:sz w:val="15"/>
                <w:szCs w:val="15"/>
              </w:rPr>
            </w:pPr>
            <w:r>
              <w:rPr>
                <w:rFonts w:hint="eastAsia" w:ascii="Times New Roman" w:hAnsi="Times New Roman" w:eastAsia="宋体" w:cs="Times New Roman"/>
                <w:sz w:val="15"/>
                <w:szCs w:val="15"/>
              </w:rPr>
              <w:t>2</w:t>
            </w:r>
            <w:r>
              <w:rPr>
                <w:rFonts w:hint="default" w:ascii="Times New Roman" w:hAnsi="Times New Roman" w:eastAsia="宋体" w:cs="Times New Roman"/>
                <w:sz w:val="15"/>
                <w:szCs w:val="15"/>
              </w:rPr>
              <w:t>.484</w:t>
            </w:r>
          </w:p>
        </w:tc>
      </w:tr>
      <w:tr w14:paraId="55DA368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185" w:type="dxa"/>
          </w:tcPr>
          <w:p w14:paraId="710E6A3E">
            <w:pPr>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rPr>
              <w:t>指数函数</w:t>
            </w:r>
          </w:p>
        </w:tc>
        <w:tc>
          <w:tcPr>
            <w:tcW w:w="1185" w:type="dxa"/>
            <w:tcBorders>
              <w:top w:val="nil"/>
              <w:left w:val="nil"/>
              <w:bottom w:val="nil"/>
              <w:right w:val="nil"/>
            </w:tcBorders>
            <w:vAlign w:val="center"/>
          </w:tcPr>
          <w:p w14:paraId="510ECFCC">
            <w:pPr>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rPr>
              <w:t>0.9</w:t>
            </w:r>
            <w:r>
              <w:rPr>
                <w:rFonts w:hint="eastAsia" w:ascii="Times New Roman" w:hAnsi="Times New Roman" w:eastAsia="宋体" w:cs="Times New Roman"/>
                <w:sz w:val="15"/>
                <w:szCs w:val="15"/>
              </w:rPr>
              <w:t>06</w:t>
            </w:r>
          </w:p>
        </w:tc>
        <w:tc>
          <w:tcPr>
            <w:tcW w:w="1185" w:type="dxa"/>
            <w:tcBorders>
              <w:top w:val="nil"/>
              <w:left w:val="nil"/>
              <w:bottom w:val="nil"/>
              <w:right w:val="nil"/>
            </w:tcBorders>
            <w:vAlign w:val="center"/>
          </w:tcPr>
          <w:p w14:paraId="4046A7F1">
            <w:pPr>
              <w:jc w:val="center"/>
              <w:rPr>
                <w:rFonts w:hint="default" w:ascii="Times New Roman" w:hAnsi="Times New Roman" w:eastAsia="宋体" w:cs="Times New Roman"/>
                <w:sz w:val="15"/>
                <w:szCs w:val="15"/>
              </w:rPr>
            </w:pPr>
            <w:r>
              <w:rPr>
                <w:rFonts w:hint="eastAsia" w:ascii="Times New Roman" w:hAnsi="Times New Roman" w:eastAsia="宋体" w:cs="Times New Roman"/>
                <w:sz w:val="15"/>
                <w:szCs w:val="15"/>
              </w:rPr>
              <w:t>2.049</w:t>
            </w:r>
          </w:p>
        </w:tc>
        <w:tc>
          <w:tcPr>
            <w:tcW w:w="1185" w:type="dxa"/>
            <w:tcBorders>
              <w:top w:val="nil"/>
              <w:left w:val="nil"/>
              <w:bottom w:val="nil"/>
              <w:right w:val="nil"/>
            </w:tcBorders>
            <w:vAlign w:val="center"/>
          </w:tcPr>
          <w:p w14:paraId="71A5926D">
            <w:pPr>
              <w:jc w:val="center"/>
              <w:rPr>
                <w:rFonts w:hint="default" w:ascii="Times New Roman" w:hAnsi="Times New Roman" w:eastAsia="宋体" w:cs="Times New Roman"/>
                <w:sz w:val="15"/>
                <w:szCs w:val="15"/>
              </w:rPr>
            </w:pPr>
            <w:r>
              <w:rPr>
                <w:rFonts w:hint="eastAsia" w:ascii="Times New Roman" w:hAnsi="Times New Roman" w:eastAsia="宋体" w:cs="Times New Roman"/>
                <w:sz w:val="15"/>
                <w:szCs w:val="15"/>
              </w:rPr>
              <w:t>1.759</w:t>
            </w:r>
          </w:p>
        </w:tc>
        <w:tc>
          <w:tcPr>
            <w:tcW w:w="1185" w:type="dxa"/>
            <w:tcBorders>
              <w:top w:val="nil"/>
              <w:left w:val="nil"/>
              <w:bottom w:val="nil"/>
              <w:right w:val="nil"/>
            </w:tcBorders>
            <w:vAlign w:val="bottom"/>
          </w:tcPr>
          <w:p w14:paraId="77EF638B">
            <w:pPr>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rPr>
              <w:t>0.890</w:t>
            </w:r>
          </w:p>
        </w:tc>
        <w:tc>
          <w:tcPr>
            <w:tcW w:w="1185" w:type="dxa"/>
            <w:tcBorders>
              <w:top w:val="nil"/>
              <w:left w:val="nil"/>
              <w:bottom w:val="nil"/>
              <w:right w:val="nil"/>
            </w:tcBorders>
            <w:vAlign w:val="bottom"/>
          </w:tcPr>
          <w:p w14:paraId="35CAC6C1">
            <w:pPr>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rPr>
              <w:t>2.</w:t>
            </w:r>
            <w:r>
              <w:rPr>
                <w:rFonts w:hint="eastAsia" w:ascii="Times New Roman" w:hAnsi="Times New Roman" w:eastAsia="宋体" w:cs="Times New Roman"/>
                <w:sz w:val="15"/>
                <w:szCs w:val="15"/>
              </w:rPr>
              <w:t>6</w:t>
            </w:r>
            <w:r>
              <w:rPr>
                <w:rFonts w:hint="default" w:ascii="Times New Roman" w:hAnsi="Times New Roman" w:eastAsia="宋体" w:cs="Times New Roman"/>
                <w:sz w:val="15"/>
                <w:szCs w:val="15"/>
              </w:rPr>
              <w:t>79</w:t>
            </w:r>
          </w:p>
        </w:tc>
        <w:tc>
          <w:tcPr>
            <w:tcW w:w="1185" w:type="dxa"/>
            <w:tcBorders>
              <w:top w:val="nil"/>
              <w:left w:val="nil"/>
              <w:bottom w:val="nil"/>
              <w:right w:val="nil"/>
            </w:tcBorders>
            <w:vAlign w:val="bottom"/>
          </w:tcPr>
          <w:p w14:paraId="3F37AC4F">
            <w:pPr>
              <w:jc w:val="center"/>
              <w:rPr>
                <w:rFonts w:hint="default" w:ascii="Times New Roman" w:hAnsi="Times New Roman" w:eastAsia="宋体" w:cs="Times New Roman"/>
                <w:sz w:val="15"/>
                <w:szCs w:val="15"/>
              </w:rPr>
            </w:pPr>
            <w:r>
              <w:rPr>
                <w:rFonts w:hint="eastAsia" w:ascii="Times New Roman" w:hAnsi="Times New Roman" w:eastAsia="宋体" w:cs="Times New Roman"/>
                <w:sz w:val="15"/>
                <w:szCs w:val="15"/>
              </w:rPr>
              <w:t>1</w:t>
            </w:r>
            <w:r>
              <w:rPr>
                <w:rFonts w:hint="default" w:ascii="Times New Roman" w:hAnsi="Times New Roman" w:eastAsia="宋体" w:cs="Times New Roman"/>
                <w:sz w:val="15"/>
                <w:szCs w:val="15"/>
              </w:rPr>
              <w:t>.710</w:t>
            </w:r>
          </w:p>
        </w:tc>
      </w:tr>
      <w:tr w14:paraId="5C185A1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185" w:type="dxa"/>
          </w:tcPr>
          <w:p w14:paraId="2F69CA9B">
            <w:pPr>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rPr>
              <w:t>幂函数</w:t>
            </w:r>
          </w:p>
        </w:tc>
        <w:tc>
          <w:tcPr>
            <w:tcW w:w="1185" w:type="dxa"/>
            <w:vAlign w:val="center"/>
          </w:tcPr>
          <w:p w14:paraId="088E6AB0">
            <w:pPr>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rPr>
              <w:t>0.9</w:t>
            </w:r>
            <w:r>
              <w:rPr>
                <w:rFonts w:hint="eastAsia" w:ascii="Times New Roman" w:hAnsi="Times New Roman" w:eastAsia="宋体" w:cs="Times New Roman"/>
                <w:sz w:val="15"/>
                <w:szCs w:val="15"/>
              </w:rPr>
              <w:t>67</w:t>
            </w:r>
          </w:p>
        </w:tc>
        <w:tc>
          <w:tcPr>
            <w:tcW w:w="1185" w:type="dxa"/>
            <w:vAlign w:val="center"/>
          </w:tcPr>
          <w:p w14:paraId="5A9F9543">
            <w:pPr>
              <w:jc w:val="center"/>
              <w:rPr>
                <w:rFonts w:hint="default" w:ascii="Times New Roman" w:hAnsi="Times New Roman" w:eastAsia="宋体" w:cs="Times New Roman"/>
                <w:sz w:val="15"/>
                <w:szCs w:val="15"/>
              </w:rPr>
            </w:pPr>
            <w:r>
              <w:rPr>
                <w:rFonts w:hint="eastAsia" w:ascii="Times New Roman" w:hAnsi="Times New Roman" w:eastAsia="宋体" w:cs="Times New Roman"/>
                <w:sz w:val="15"/>
                <w:szCs w:val="15"/>
              </w:rPr>
              <w:t>1.207</w:t>
            </w:r>
          </w:p>
        </w:tc>
        <w:tc>
          <w:tcPr>
            <w:tcW w:w="1185" w:type="dxa"/>
            <w:vAlign w:val="center"/>
          </w:tcPr>
          <w:p w14:paraId="372E1570">
            <w:pPr>
              <w:jc w:val="center"/>
              <w:rPr>
                <w:rFonts w:hint="default" w:ascii="Times New Roman" w:hAnsi="Times New Roman" w:eastAsia="宋体" w:cs="Times New Roman"/>
                <w:sz w:val="15"/>
                <w:szCs w:val="15"/>
              </w:rPr>
            </w:pPr>
            <w:r>
              <w:rPr>
                <w:rFonts w:hint="eastAsia" w:ascii="Times New Roman" w:hAnsi="Times New Roman" w:eastAsia="宋体" w:cs="Times New Roman"/>
                <w:sz w:val="15"/>
                <w:szCs w:val="15"/>
              </w:rPr>
              <w:t>1.036</w:t>
            </w:r>
          </w:p>
        </w:tc>
        <w:tc>
          <w:tcPr>
            <w:tcW w:w="1185" w:type="dxa"/>
          </w:tcPr>
          <w:p w14:paraId="7DF94B51">
            <w:pPr>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rPr>
              <w:t>0.924</w:t>
            </w:r>
          </w:p>
        </w:tc>
        <w:tc>
          <w:tcPr>
            <w:tcW w:w="1185" w:type="dxa"/>
          </w:tcPr>
          <w:p w14:paraId="5FCB5643">
            <w:pPr>
              <w:jc w:val="center"/>
              <w:rPr>
                <w:rFonts w:hint="default" w:ascii="Times New Roman" w:hAnsi="Times New Roman" w:eastAsia="宋体" w:cs="Times New Roman"/>
                <w:sz w:val="15"/>
                <w:szCs w:val="15"/>
              </w:rPr>
            </w:pPr>
            <w:r>
              <w:rPr>
                <w:rFonts w:hint="eastAsia" w:ascii="Times New Roman" w:hAnsi="Times New Roman" w:eastAsia="宋体" w:cs="Times New Roman"/>
                <w:sz w:val="15"/>
                <w:szCs w:val="15"/>
              </w:rPr>
              <w:t>1</w:t>
            </w:r>
            <w:r>
              <w:rPr>
                <w:rFonts w:hint="default" w:ascii="Times New Roman" w:hAnsi="Times New Roman" w:eastAsia="宋体" w:cs="Times New Roman"/>
                <w:sz w:val="15"/>
                <w:szCs w:val="15"/>
              </w:rPr>
              <w:t>.378</w:t>
            </w:r>
          </w:p>
        </w:tc>
        <w:tc>
          <w:tcPr>
            <w:tcW w:w="1185" w:type="dxa"/>
          </w:tcPr>
          <w:p w14:paraId="16B941A7">
            <w:pPr>
              <w:jc w:val="center"/>
              <w:rPr>
                <w:rFonts w:hint="default" w:ascii="Times New Roman" w:hAnsi="Times New Roman" w:eastAsia="宋体" w:cs="Times New Roman"/>
                <w:sz w:val="15"/>
                <w:szCs w:val="15"/>
              </w:rPr>
            </w:pPr>
            <w:r>
              <w:rPr>
                <w:rFonts w:hint="eastAsia" w:ascii="Times New Roman" w:hAnsi="Times New Roman" w:eastAsia="宋体" w:cs="Times New Roman"/>
                <w:sz w:val="15"/>
                <w:szCs w:val="15"/>
              </w:rPr>
              <w:t>1</w:t>
            </w:r>
            <w:r>
              <w:rPr>
                <w:rFonts w:hint="default" w:ascii="Times New Roman" w:hAnsi="Times New Roman" w:eastAsia="宋体" w:cs="Times New Roman"/>
                <w:sz w:val="15"/>
                <w:szCs w:val="15"/>
              </w:rPr>
              <w:t>.008</w:t>
            </w:r>
          </w:p>
        </w:tc>
      </w:tr>
    </w:tbl>
    <w:p w14:paraId="2D441312">
      <w:pPr>
        <w:widowControl/>
        <w:ind w:firstLine="420" w:firstLineChars="200"/>
        <w:jc w:val="left"/>
        <w:rPr>
          <w:rFonts w:ascii="Times New Roman" w:hAnsi="Times New Roman" w:eastAsia="宋体" w:cs="Times New Roman"/>
          <w:bCs/>
          <w:szCs w:val="21"/>
        </w:rPr>
      </w:pPr>
      <w:r>
        <w:rPr>
          <w:rFonts w:ascii="Times New Roman" w:hAnsi="Times New Roman" w:eastAsia="宋体" w:cs="Times New Roman"/>
          <w:bCs/>
          <w:szCs w:val="21"/>
        </w:rPr>
        <w:t>泥沙截除率训练组与测试组试验结果及用</w:t>
      </w:r>
      <w:r>
        <w:rPr>
          <w:rFonts w:hint="eastAsia" w:ascii="Times New Roman" w:hAnsi="Times New Roman" w:eastAsia="宋体" w:cs="Times New Roman"/>
          <w:bCs/>
          <w:szCs w:val="21"/>
        </w:rPr>
        <w:t>幂函数</w:t>
      </w:r>
      <w:r>
        <w:rPr>
          <w:rFonts w:ascii="Times New Roman" w:hAnsi="Times New Roman" w:eastAsia="宋体" w:cs="Times New Roman"/>
          <w:bCs/>
          <w:szCs w:val="21"/>
        </w:rPr>
        <w:t>模型计算的预测结果</w:t>
      </w:r>
      <w:r>
        <w:rPr>
          <w:rFonts w:hint="eastAsia" w:ascii="Times New Roman" w:hAnsi="Times New Roman" w:eastAsia="宋体" w:cs="Times New Roman"/>
          <w:bCs/>
          <w:szCs w:val="21"/>
        </w:rPr>
        <w:t>如</w:t>
      </w:r>
      <w:r>
        <w:rPr>
          <w:rFonts w:ascii="Times New Roman" w:hAnsi="Times New Roman" w:eastAsia="宋体" w:cs="Times New Roman"/>
          <w:bCs/>
          <w:szCs w:val="21"/>
        </w:rPr>
        <w:t>表</w:t>
      </w:r>
      <w:r>
        <w:rPr>
          <w:rFonts w:hint="eastAsia" w:ascii="Times New Roman" w:hAnsi="Times New Roman" w:eastAsia="宋体" w:cs="Times New Roman"/>
          <w:bCs/>
          <w:szCs w:val="21"/>
        </w:rPr>
        <w:t>9所列</w:t>
      </w:r>
      <w:r>
        <w:rPr>
          <w:rFonts w:ascii="Times New Roman" w:hAnsi="Times New Roman" w:eastAsia="宋体" w:cs="Times New Roman"/>
          <w:bCs/>
          <w:szCs w:val="21"/>
        </w:rPr>
        <w:t>，由表可得，最大绝对误差为</w:t>
      </w:r>
      <w:r>
        <w:rPr>
          <w:rFonts w:hint="eastAsia" w:ascii="Times New Roman" w:hAnsi="Times New Roman" w:eastAsia="宋体" w:cs="Times New Roman"/>
          <w:bCs/>
          <w:szCs w:val="21"/>
        </w:rPr>
        <w:t>3.83</w:t>
      </w:r>
      <w:r>
        <w:rPr>
          <w:rFonts w:ascii="Times New Roman" w:hAnsi="Times New Roman" w:eastAsia="宋体" w:cs="Times New Roman"/>
          <w:bCs/>
          <w:szCs w:val="21"/>
        </w:rPr>
        <w:t>%。泥沙耗水率预测结果</w:t>
      </w:r>
      <w:r>
        <w:rPr>
          <w:rFonts w:hint="eastAsia" w:ascii="Times New Roman" w:hAnsi="Times New Roman" w:eastAsia="宋体" w:cs="Times New Roman"/>
          <w:bCs/>
          <w:szCs w:val="21"/>
        </w:rPr>
        <w:t>与相对误差如</w:t>
      </w:r>
      <w:r>
        <w:rPr>
          <w:rFonts w:ascii="Times New Roman" w:hAnsi="Times New Roman" w:eastAsia="宋体" w:cs="Times New Roman"/>
          <w:bCs/>
          <w:szCs w:val="21"/>
        </w:rPr>
        <w:t>表</w:t>
      </w:r>
      <w:r>
        <w:rPr>
          <w:rFonts w:hint="eastAsia" w:ascii="Times New Roman" w:hAnsi="Times New Roman" w:eastAsia="宋体" w:cs="Times New Roman"/>
          <w:bCs/>
          <w:szCs w:val="21"/>
        </w:rPr>
        <w:t>10所列</w:t>
      </w:r>
      <w:r>
        <w:rPr>
          <w:rFonts w:ascii="Times New Roman" w:hAnsi="Times New Roman" w:eastAsia="宋体" w:cs="Times New Roman"/>
          <w:bCs/>
          <w:szCs w:val="21"/>
        </w:rPr>
        <w:t>，由表可得，模型预测值与实测值之间最大绝对误差为3.22%。结合前文各预测模型评价指标，表明建立的泥沙截除率、排沙耗水率模型具有较高精度。</w:t>
      </w:r>
    </w:p>
    <w:p w14:paraId="279C6BAA">
      <w:pPr>
        <w:widowControl/>
        <w:ind w:firstLine="360" w:firstLineChars="200"/>
        <w:jc w:val="center"/>
        <w:rPr>
          <w:rFonts w:ascii="Times New Roman" w:hAnsi="Times New Roman" w:eastAsia="黑体" w:cs="Times New Roman"/>
          <w:bCs/>
          <w:sz w:val="18"/>
          <w:szCs w:val="18"/>
        </w:rPr>
      </w:pPr>
      <w:r>
        <w:rPr>
          <w:rFonts w:ascii="Times New Roman" w:hAnsi="Times New Roman" w:eastAsia="黑体" w:cs="Times New Roman"/>
          <w:bCs/>
          <w:sz w:val="18"/>
          <w:szCs w:val="18"/>
        </w:rPr>
        <w:t>表</w:t>
      </w:r>
      <w:r>
        <w:rPr>
          <w:rFonts w:hint="eastAsia" w:ascii="Times New Roman" w:hAnsi="Times New Roman" w:eastAsia="黑体" w:cs="Times New Roman"/>
          <w:bCs/>
          <w:sz w:val="18"/>
          <w:szCs w:val="18"/>
        </w:rPr>
        <w:t>9</w:t>
      </w:r>
      <w:r>
        <w:rPr>
          <w:rFonts w:ascii="Times New Roman" w:hAnsi="Times New Roman" w:eastAsia="黑体" w:cs="Times New Roman"/>
          <w:bCs/>
          <w:sz w:val="18"/>
          <w:szCs w:val="18"/>
        </w:rPr>
        <w:t>截除率预测结果与相对误差</w:t>
      </w:r>
    </w:p>
    <w:p w14:paraId="36DB0F3B">
      <w:pPr>
        <w:widowControl/>
        <w:ind w:firstLine="360" w:firstLineChars="200"/>
        <w:jc w:val="center"/>
        <w:rPr>
          <w:rFonts w:ascii="Times New Roman" w:hAnsi="Times New Roman" w:eastAsia="宋体" w:cs="Times New Roman"/>
          <w:bCs/>
          <w:szCs w:val="21"/>
        </w:rPr>
      </w:pPr>
      <w:r>
        <w:rPr>
          <w:rFonts w:ascii="Times New Roman" w:hAnsi="Times New Roman" w:eastAsia="黑体" w:cs="Times New Roman"/>
          <w:bCs/>
          <w:sz w:val="18"/>
          <w:szCs w:val="18"/>
        </w:rPr>
        <w:t xml:space="preserve">Table </w:t>
      </w:r>
      <w:r>
        <w:rPr>
          <w:rFonts w:hint="eastAsia" w:ascii="Times New Roman" w:hAnsi="Times New Roman" w:eastAsia="黑体" w:cs="Times New Roman"/>
          <w:bCs/>
          <w:sz w:val="18"/>
          <w:szCs w:val="18"/>
        </w:rPr>
        <w:t xml:space="preserve">9 </w:t>
      </w:r>
      <w:r>
        <w:rPr>
          <w:rFonts w:ascii="Times New Roman" w:hAnsi="Times New Roman" w:eastAsia="黑体" w:cs="Times New Roman"/>
          <w:bCs/>
          <w:sz w:val="18"/>
          <w:szCs w:val="18"/>
        </w:rPr>
        <w:t xml:space="preserve">Prediction </w:t>
      </w:r>
      <w:r>
        <w:rPr>
          <w:rFonts w:hint="eastAsia" w:ascii="Times New Roman" w:hAnsi="Times New Roman" w:eastAsia="黑体" w:cs="Times New Roman"/>
          <w:bCs/>
          <w:sz w:val="18"/>
          <w:szCs w:val="18"/>
        </w:rPr>
        <w:t>r</w:t>
      </w:r>
      <w:r>
        <w:rPr>
          <w:rFonts w:ascii="Times New Roman" w:hAnsi="Times New Roman" w:eastAsia="黑体" w:cs="Times New Roman"/>
          <w:bCs/>
          <w:sz w:val="18"/>
          <w:szCs w:val="18"/>
        </w:rPr>
        <w:t xml:space="preserve">esults of </w:t>
      </w:r>
      <w:r>
        <w:rPr>
          <w:rFonts w:hint="eastAsia" w:ascii="Times New Roman" w:hAnsi="Times New Roman" w:eastAsia="黑体" w:cs="Times New Roman"/>
          <w:bCs/>
          <w:sz w:val="18"/>
          <w:szCs w:val="18"/>
          <w:lang w:val="en-US" w:eastAsia="zh-CN"/>
        </w:rPr>
        <w:t>sediment trapping efficiency</w:t>
      </w:r>
      <w:r>
        <w:rPr>
          <w:rFonts w:ascii="Times New Roman" w:hAnsi="Times New Roman" w:eastAsia="黑体" w:cs="Times New Roman"/>
          <w:bCs/>
          <w:sz w:val="18"/>
          <w:szCs w:val="18"/>
        </w:rPr>
        <w:t xml:space="preserve"> and </w:t>
      </w:r>
      <w:r>
        <w:rPr>
          <w:rFonts w:hint="eastAsia" w:ascii="Times New Roman" w:hAnsi="Times New Roman" w:eastAsia="黑体" w:cs="Times New Roman"/>
          <w:bCs/>
          <w:sz w:val="18"/>
          <w:szCs w:val="18"/>
        </w:rPr>
        <w:t>r</w:t>
      </w:r>
      <w:r>
        <w:rPr>
          <w:rFonts w:ascii="Times New Roman" w:hAnsi="Times New Roman" w:eastAsia="黑体" w:cs="Times New Roman"/>
          <w:bCs/>
          <w:sz w:val="18"/>
          <w:szCs w:val="18"/>
        </w:rPr>
        <w:t xml:space="preserve">elative </w:t>
      </w:r>
      <w:r>
        <w:rPr>
          <w:rFonts w:hint="eastAsia" w:ascii="Times New Roman" w:hAnsi="Times New Roman" w:eastAsia="黑体" w:cs="Times New Roman"/>
          <w:bCs/>
          <w:sz w:val="18"/>
          <w:szCs w:val="18"/>
        </w:rPr>
        <w:t>e</w:t>
      </w:r>
      <w:r>
        <w:rPr>
          <w:rFonts w:ascii="Times New Roman" w:hAnsi="Times New Roman" w:eastAsia="黑体" w:cs="Times New Roman"/>
          <w:bCs/>
          <w:sz w:val="18"/>
          <w:szCs w:val="18"/>
        </w:rPr>
        <w:t>rrors</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217"/>
        <w:gridCol w:w="1217"/>
        <w:gridCol w:w="1217"/>
        <w:gridCol w:w="1217"/>
        <w:gridCol w:w="1217"/>
        <w:gridCol w:w="1217"/>
      </w:tblGrid>
      <w:tr w14:paraId="16CC4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Borders>
              <w:top w:val="single" w:color="auto" w:sz="12" w:space="0"/>
              <w:left w:val="nil"/>
              <w:bottom w:val="single" w:color="auto" w:sz="4" w:space="0"/>
              <w:right w:val="nil"/>
            </w:tcBorders>
          </w:tcPr>
          <w:p w14:paraId="0CE4264D">
            <w:pPr>
              <w:jc w:val="center"/>
              <w:rPr>
                <w:rFonts w:hint="default" w:ascii="Times New Roman" w:hAnsi="Times New Roman" w:eastAsia="宋体" w:cs="Times New Roman"/>
                <w:bCs/>
                <w:szCs w:val="21"/>
              </w:rPr>
            </w:pPr>
            <w:r>
              <w:rPr>
                <w:rFonts w:hint="default" w:ascii="Times New Roman" w:hAnsi="Times New Roman" w:eastAsia="宋体" w:cs="Times New Roman"/>
                <w:bCs/>
                <w:sz w:val="15"/>
                <w:szCs w:val="15"/>
              </w:rPr>
              <w:t>类别</w:t>
            </w:r>
          </w:p>
        </w:tc>
        <w:tc>
          <w:tcPr>
            <w:tcW w:w="1217" w:type="dxa"/>
            <w:tcBorders>
              <w:top w:val="single" w:color="auto" w:sz="12" w:space="0"/>
              <w:left w:val="nil"/>
              <w:bottom w:val="single" w:color="auto" w:sz="4" w:space="0"/>
              <w:right w:val="nil"/>
            </w:tcBorders>
          </w:tcPr>
          <w:p w14:paraId="279DFF9D">
            <w:pPr>
              <w:jc w:val="center"/>
              <w:rPr>
                <w:rFonts w:hint="default" w:ascii="Times New Roman" w:hAnsi="Times New Roman" w:eastAsia="宋体" w:cs="Times New Roman"/>
                <w:bCs/>
                <w:szCs w:val="21"/>
              </w:rPr>
            </w:pPr>
            <w:r>
              <w:rPr>
                <w:rFonts w:hint="default" w:ascii="Times New Roman" w:hAnsi="Times New Roman" w:eastAsia="宋体" w:cs="Times New Roman"/>
                <w:bCs/>
                <w:sz w:val="15"/>
                <w:szCs w:val="15"/>
              </w:rPr>
              <w:t>序号</w:t>
            </w:r>
          </w:p>
        </w:tc>
        <w:tc>
          <w:tcPr>
            <w:tcW w:w="1217" w:type="dxa"/>
            <w:tcBorders>
              <w:top w:val="single" w:color="auto" w:sz="12" w:space="0"/>
              <w:left w:val="nil"/>
              <w:bottom w:val="single" w:color="auto" w:sz="4" w:space="0"/>
              <w:right w:val="nil"/>
            </w:tcBorders>
          </w:tcPr>
          <w:p w14:paraId="7363E0E1">
            <w:pPr>
              <w:jc w:val="center"/>
              <w:rPr>
                <w:rFonts w:hint="default" w:ascii="Times New Roman" w:hAnsi="Times New Roman" w:eastAsia="宋体" w:cs="Times New Roman"/>
                <w:bCs/>
                <w:szCs w:val="21"/>
              </w:rPr>
            </w:pPr>
            <w:r>
              <w:rPr>
                <w:rFonts w:hint="default" w:ascii="Times New Roman" w:hAnsi="Times New Roman" w:eastAsia="宋体" w:cs="Times New Roman"/>
                <w:i/>
                <w:iCs/>
                <w:sz w:val="15"/>
                <w:szCs w:val="15"/>
              </w:rPr>
              <w:t>L</w:t>
            </w:r>
          </w:p>
        </w:tc>
        <w:tc>
          <w:tcPr>
            <w:tcW w:w="1217" w:type="dxa"/>
            <w:tcBorders>
              <w:top w:val="single" w:color="auto" w:sz="12" w:space="0"/>
              <w:left w:val="nil"/>
              <w:bottom w:val="single" w:color="auto" w:sz="4" w:space="0"/>
              <w:right w:val="nil"/>
            </w:tcBorders>
          </w:tcPr>
          <w:p w14:paraId="59B71671">
            <w:pPr>
              <w:jc w:val="center"/>
              <w:rPr>
                <w:rFonts w:hint="default" w:ascii="Times New Roman" w:hAnsi="Times New Roman" w:eastAsia="宋体" w:cs="Times New Roman"/>
                <w:bCs/>
                <w:szCs w:val="21"/>
              </w:rPr>
            </w:pPr>
            <w:r>
              <w:rPr>
                <w:rFonts w:hint="eastAsia" w:ascii="Times New Roman" w:hAnsi="Times New Roman" w:eastAsia="宋体" w:cs="Times New Roman"/>
                <w:bCs/>
                <w:i/>
                <w:iCs/>
                <w:szCs w:val="21"/>
              </w:rPr>
              <w:t>s</w:t>
            </w:r>
            <w:r>
              <w:rPr>
                <w:rFonts w:hint="eastAsia" w:ascii="Times New Roman" w:hAnsi="Times New Roman" w:cs="Times New Roman"/>
                <w:i/>
                <w:iCs/>
                <w:kern w:val="0"/>
                <w:szCs w:val="21"/>
              </w:rPr>
              <w:t>/</w:t>
            </w:r>
            <w:r>
              <w:rPr>
                <w:rFonts w:hint="default" w:ascii="Times New Roman" w:hAnsi="Times New Roman"/>
                <w:kern w:val="0"/>
                <w:szCs w:val="21"/>
              </w:rPr>
              <w:t>kg·m</w:t>
            </w:r>
            <w:r>
              <w:rPr>
                <w:rFonts w:hint="eastAsia" w:ascii="Times New Roman" w:hAnsi="Times New Roman"/>
                <w:kern w:val="0"/>
                <w:szCs w:val="21"/>
                <w:vertAlign w:val="superscript"/>
              </w:rPr>
              <w:t>-</w:t>
            </w:r>
            <w:r>
              <w:rPr>
                <w:rFonts w:hint="default" w:ascii="Times New Roman" w:hAnsi="Times New Roman"/>
                <w:kern w:val="0"/>
                <w:szCs w:val="21"/>
              </w:rPr>
              <w:t>³</w:t>
            </w:r>
          </w:p>
        </w:tc>
        <w:tc>
          <w:tcPr>
            <w:tcW w:w="1217" w:type="dxa"/>
            <w:tcBorders>
              <w:top w:val="single" w:color="auto" w:sz="12" w:space="0"/>
              <w:left w:val="nil"/>
              <w:bottom w:val="single" w:color="auto" w:sz="4" w:space="0"/>
              <w:right w:val="nil"/>
            </w:tcBorders>
          </w:tcPr>
          <w:p w14:paraId="5FE4CCE2">
            <w:pPr>
              <w:jc w:val="center"/>
              <w:rPr>
                <w:rFonts w:hint="default" w:ascii="Times New Roman" w:hAnsi="Times New Roman" w:eastAsia="宋体" w:cs="Times New Roman"/>
                <w:sz w:val="15"/>
                <w:szCs w:val="15"/>
              </w:rPr>
            </w:pPr>
            <w:r>
              <w:rPr>
                <w:rFonts w:hint="default" w:ascii="Times New Roman" w:hAnsi="Times New Roman" w:eastAsia="宋体" w:cs="Times New Roman"/>
                <w:bCs/>
                <w:position w:val="-10"/>
                <w:sz w:val="15"/>
                <w:szCs w:val="15"/>
              </w:rPr>
              <w:object>
                <v:shape id="_x0000_i1039" o:spt="75" type="#_x0000_t75" style="height:11.5pt;width:8.95pt;" o:ole="t" filled="f" o:preferrelative="t" stroked="f" coordsize="21600,21600">
                  <v:path/>
                  <v:fill on="f" focussize="0,0"/>
                  <v:stroke on="f" joinstyle="miter"/>
                  <v:imagedata r:id="rId43" o:title=""/>
                  <o:lock v:ext="edit" aspectratio="t"/>
                  <w10:wrap type="none"/>
                  <w10:anchorlock/>
                </v:shape>
                <o:OLEObject Type="Embed" ProgID="Equation.3" ShapeID="_x0000_i1039" DrawAspect="Content" ObjectID="_1468075739" r:id="rId42">
                  <o:LockedField>false</o:LockedField>
                </o:OLEObject>
              </w:object>
            </w:r>
            <w:r>
              <w:rPr>
                <w:rFonts w:hint="eastAsia" w:ascii="Times New Roman" w:hAnsi="Times New Roman" w:cs="Times New Roman"/>
                <w:i/>
                <w:iCs/>
                <w:kern w:val="0"/>
                <w:szCs w:val="21"/>
              </w:rPr>
              <w:t>/</w:t>
            </w:r>
            <w:r>
              <w:rPr>
                <w:rFonts w:hint="eastAsia" w:ascii="Times New Roman" w:hAnsi="Times New Roman" w:cs="Times New Roman"/>
                <w:kern w:val="0"/>
                <w:szCs w:val="21"/>
              </w:rPr>
              <w:t>%</w:t>
            </w:r>
          </w:p>
        </w:tc>
        <w:tc>
          <w:tcPr>
            <w:tcW w:w="1217" w:type="dxa"/>
            <w:tcBorders>
              <w:top w:val="single" w:color="auto" w:sz="12" w:space="0"/>
              <w:left w:val="nil"/>
              <w:bottom w:val="single" w:color="auto" w:sz="4" w:space="0"/>
              <w:right w:val="nil"/>
            </w:tcBorders>
          </w:tcPr>
          <w:p w14:paraId="6794E027">
            <w:pPr>
              <w:jc w:val="center"/>
              <w:rPr>
                <w:rFonts w:hint="default" w:ascii="Times New Roman" w:hAnsi="Times New Roman" w:eastAsia="宋体" w:cs="Times New Roman"/>
                <w:bCs/>
                <w:position w:val="-10"/>
                <w:sz w:val="15"/>
                <w:szCs w:val="15"/>
              </w:rPr>
            </w:pPr>
            <w:r>
              <w:rPr>
                <w:rFonts w:hint="default" w:ascii="Times New Roman" w:hAnsi="Times New Roman" w:eastAsia="宋体" w:cs="Times New Roman"/>
                <w:bCs/>
                <w:position w:val="-10"/>
                <w:sz w:val="15"/>
                <w:szCs w:val="15"/>
              </w:rPr>
              <w:object>
                <v:shape id="_x0000_i1040" o:spt="75" type="#_x0000_t75" style="height:14.1pt;width:8.95pt;" o:ole="t" filled="f" o:preferrelative="t" stroked="f" coordsize="21600,21600">
                  <v:path/>
                  <v:fill on="f" focussize="0,0"/>
                  <v:stroke on="f" joinstyle="miter"/>
                  <v:imagedata r:id="rId45" o:title=""/>
                  <o:lock v:ext="edit" aspectratio="t"/>
                  <w10:wrap type="none"/>
                  <w10:anchorlock/>
                </v:shape>
                <o:OLEObject Type="Embed" ProgID="Equation.3" ShapeID="_x0000_i1040" DrawAspect="Content" ObjectID="_1468075740" r:id="rId44">
                  <o:LockedField>false</o:LockedField>
                </o:OLEObject>
              </w:object>
            </w:r>
            <w:r>
              <w:rPr>
                <w:rFonts w:hint="eastAsia" w:ascii="Times New Roman" w:hAnsi="Times New Roman" w:cs="Times New Roman"/>
                <w:i/>
                <w:iCs/>
                <w:kern w:val="0"/>
                <w:szCs w:val="21"/>
              </w:rPr>
              <w:t>/</w:t>
            </w:r>
            <w:r>
              <w:rPr>
                <w:rFonts w:hint="eastAsia" w:ascii="Times New Roman" w:hAnsi="Times New Roman" w:cs="Times New Roman"/>
                <w:kern w:val="0"/>
                <w:szCs w:val="21"/>
              </w:rPr>
              <w:t>%</w:t>
            </w:r>
          </w:p>
        </w:tc>
        <w:tc>
          <w:tcPr>
            <w:tcW w:w="1217" w:type="dxa"/>
            <w:tcBorders>
              <w:top w:val="single" w:color="auto" w:sz="12" w:space="0"/>
              <w:left w:val="nil"/>
              <w:bottom w:val="single" w:color="auto" w:sz="4" w:space="0"/>
              <w:right w:val="nil"/>
            </w:tcBorders>
          </w:tcPr>
          <w:p w14:paraId="55682124">
            <w:pPr>
              <w:jc w:val="center"/>
              <w:rPr>
                <w:rFonts w:hint="default" w:ascii="Times New Roman" w:hAnsi="Times New Roman" w:eastAsia="宋体" w:cs="Times New Roman"/>
                <w:bCs/>
                <w:position w:val="-10"/>
                <w:sz w:val="15"/>
                <w:szCs w:val="15"/>
              </w:rPr>
            </w:pPr>
            <w:r>
              <w:rPr>
                <w:rFonts w:hint="default" w:ascii="Times New Roman" w:hAnsi="Times New Roman" w:eastAsia="宋体" w:cs="Times New Roman"/>
                <w:sz w:val="15"/>
                <w:szCs w:val="15"/>
              </w:rPr>
              <w:t>相对误差</w:t>
            </w:r>
            <w:r>
              <w:rPr>
                <w:rFonts w:hint="eastAsia" w:ascii="Times New Roman" w:hAnsi="Times New Roman" w:cs="Times New Roman"/>
                <w:i/>
                <w:iCs/>
                <w:kern w:val="0"/>
                <w:szCs w:val="21"/>
              </w:rPr>
              <w:t>/</w:t>
            </w:r>
            <w:r>
              <w:rPr>
                <w:rFonts w:hint="default" w:ascii="Times New Roman" w:hAnsi="Times New Roman" w:eastAsia="宋体" w:cs="Times New Roman"/>
                <w:sz w:val="15"/>
                <w:szCs w:val="15"/>
              </w:rPr>
              <w:t>%</w:t>
            </w:r>
          </w:p>
        </w:tc>
      </w:tr>
      <w:tr w14:paraId="31A5A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Borders>
              <w:top w:val="single" w:color="auto" w:sz="4" w:space="0"/>
              <w:left w:val="nil"/>
              <w:bottom w:val="nil"/>
              <w:right w:val="nil"/>
            </w:tcBorders>
          </w:tcPr>
          <w:p w14:paraId="36E3B85C">
            <w:pPr>
              <w:jc w:val="center"/>
              <w:rPr>
                <w:rFonts w:hint="default" w:ascii="Times New Roman" w:hAnsi="Times New Roman" w:eastAsia="宋体" w:cs="Times New Roman"/>
                <w:bCs/>
                <w:sz w:val="15"/>
                <w:szCs w:val="15"/>
              </w:rPr>
            </w:pPr>
          </w:p>
        </w:tc>
        <w:tc>
          <w:tcPr>
            <w:tcW w:w="1217" w:type="dxa"/>
            <w:tcBorders>
              <w:top w:val="single" w:color="auto" w:sz="4" w:space="0"/>
              <w:left w:val="nil"/>
              <w:bottom w:val="nil"/>
              <w:right w:val="nil"/>
            </w:tcBorders>
          </w:tcPr>
          <w:p w14:paraId="59246E99">
            <w:pPr>
              <w:jc w:val="center"/>
              <w:rPr>
                <w:rFonts w:hint="default" w:ascii="Times New Roman" w:hAnsi="Times New Roman" w:eastAsia="宋体" w:cs="Times New Roman"/>
                <w:bCs/>
                <w:sz w:val="15"/>
                <w:szCs w:val="15"/>
              </w:rPr>
            </w:pPr>
            <w:r>
              <w:rPr>
                <w:rFonts w:hint="eastAsia" w:ascii="Times New Roman" w:hAnsi="Times New Roman" w:eastAsia="宋体" w:cs="Times New Roman"/>
                <w:bCs/>
                <w:sz w:val="15"/>
                <w:szCs w:val="15"/>
              </w:rPr>
              <w:t>1</w:t>
            </w:r>
          </w:p>
        </w:tc>
        <w:tc>
          <w:tcPr>
            <w:tcW w:w="1217" w:type="dxa"/>
            <w:tcBorders>
              <w:top w:val="single" w:color="auto" w:sz="4" w:space="0"/>
              <w:left w:val="nil"/>
              <w:bottom w:val="nil"/>
              <w:right w:val="nil"/>
            </w:tcBorders>
            <w:vAlign w:val="center"/>
          </w:tcPr>
          <w:p w14:paraId="65B3C0DE">
            <w:pPr>
              <w:widowControl/>
              <w:jc w:val="center"/>
              <w:textAlignment w:val="center"/>
              <w:rPr>
                <w:rFonts w:hint="default" w:ascii="Times New Roman" w:hAnsi="Times New Roman" w:eastAsia="宋体" w:cs="Times New Roman"/>
                <w:i/>
                <w:iCs/>
                <w:sz w:val="15"/>
                <w:szCs w:val="15"/>
              </w:rPr>
            </w:pPr>
            <w:r>
              <w:rPr>
                <w:rFonts w:hint="default" w:ascii="Times New Roman" w:hAnsi="Times New Roman" w:eastAsia="等线" w:cs="Times New Roman"/>
                <w:kern w:val="0"/>
                <w:sz w:val="15"/>
                <w:szCs w:val="15"/>
                <w:lang w:bidi="ar"/>
              </w:rPr>
              <w:t>3.4776</w:t>
            </w:r>
          </w:p>
        </w:tc>
        <w:tc>
          <w:tcPr>
            <w:tcW w:w="1217" w:type="dxa"/>
            <w:tcBorders>
              <w:top w:val="single" w:color="auto" w:sz="4" w:space="0"/>
              <w:left w:val="nil"/>
              <w:bottom w:val="nil"/>
              <w:right w:val="nil"/>
            </w:tcBorders>
            <w:vAlign w:val="center"/>
          </w:tcPr>
          <w:p w14:paraId="3BFAE3F5">
            <w:pPr>
              <w:widowControl/>
              <w:jc w:val="center"/>
              <w:textAlignment w:val="center"/>
              <w:rPr>
                <w:rFonts w:hint="default" w:ascii="Times New Roman" w:hAnsi="Times New Roman" w:eastAsia="宋体" w:cs="Times New Roman"/>
                <w:bCs/>
                <w:i/>
                <w:iCs/>
                <w:sz w:val="15"/>
                <w:szCs w:val="15"/>
              </w:rPr>
            </w:pPr>
            <w:r>
              <w:rPr>
                <w:rFonts w:hint="default" w:ascii="Times New Roman" w:hAnsi="Times New Roman" w:eastAsia="等线" w:cs="Times New Roman"/>
                <w:kern w:val="0"/>
                <w:sz w:val="15"/>
                <w:szCs w:val="15"/>
                <w:lang w:bidi="ar"/>
              </w:rPr>
              <w:t>5.4</w:t>
            </w:r>
          </w:p>
        </w:tc>
        <w:tc>
          <w:tcPr>
            <w:tcW w:w="1217" w:type="dxa"/>
            <w:tcBorders>
              <w:top w:val="single" w:color="auto" w:sz="4" w:space="0"/>
              <w:left w:val="nil"/>
              <w:bottom w:val="nil"/>
              <w:right w:val="nil"/>
            </w:tcBorders>
            <w:vAlign w:val="center"/>
          </w:tcPr>
          <w:p w14:paraId="230809A5">
            <w:pPr>
              <w:widowControl/>
              <w:jc w:val="center"/>
              <w:textAlignment w:val="center"/>
              <w:rPr>
                <w:rFonts w:hint="default" w:ascii="Times New Roman" w:hAnsi="Times New Roman" w:eastAsia="等线" w:cs="Times New Roman"/>
                <w:bCs/>
                <w:position w:val="-10"/>
                <w:sz w:val="15"/>
                <w:szCs w:val="15"/>
              </w:rPr>
            </w:pPr>
            <w:r>
              <w:rPr>
                <w:rFonts w:hint="default" w:ascii="Times New Roman" w:hAnsi="Times New Roman" w:eastAsia="等线" w:cs="Times New Roman"/>
                <w:kern w:val="0"/>
                <w:sz w:val="15"/>
                <w:szCs w:val="15"/>
                <w:lang w:bidi="ar"/>
              </w:rPr>
              <w:t>19.5</w:t>
            </w:r>
            <w:r>
              <w:rPr>
                <w:rFonts w:hint="eastAsia" w:ascii="Times New Roman" w:hAnsi="Times New Roman" w:eastAsia="等线" w:cs="Times New Roman"/>
                <w:kern w:val="0"/>
                <w:sz w:val="15"/>
                <w:szCs w:val="15"/>
                <w:lang w:bidi="ar"/>
              </w:rPr>
              <w:t>0</w:t>
            </w:r>
          </w:p>
        </w:tc>
        <w:tc>
          <w:tcPr>
            <w:tcW w:w="1217" w:type="dxa"/>
            <w:tcBorders>
              <w:top w:val="single" w:color="auto" w:sz="4" w:space="0"/>
              <w:left w:val="nil"/>
              <w:bottom w:val="nil"/>
              <w:right w:val="nil"/>
            </w:tcBorders>
            <w:vAlign w:val="center"/>
          </w:tcPr>
          <w:p w14:paraId="0666B80A">
            <w:pPr>
              <w:widowControl/>
              <w:jc w:val="center"/>
              <w:textAlignment w:val="center"/>
              <w:rPr>
                <w:rFonts w:hint="default" w:ascii="Times New Roman" w:hAnsi="Times New Roman" w:eastAsia="宋体" w:cs="Times New Roman"/>
                <w:bCs/>
                <w:position w:val="-10"/>
                <w:sz w:val="15"/>
                <w:szCs w:val="15"/>
              </w:rPr>
            </w:pPr>
            <w:r>
              <w:rPr>
                <w:rFonts w:hint="default" w:ascii="Times New Roman" w:hAnsi="Times New Roman" w:eastAsia="等线" w:cs="Times New Roman"/>
                <w:kern w:val="0"/>
                <w:sz w:val="15"/>
                <w:szCs w:val="15"/>
                <w:lang w:bidi="ar"/>
              </w:rPr>
              <w:t>21.426</w:t>
            </w:r>
          </w:p>
        </w:tc>
        <w:tc>
          <w:tcPr>
            <w:tcW w:w="1217" w:type="dxa"/>
            <w:tcBorders>
              <w:top w:val="single" w:color="auto" w:sz="4" w:space="0"/>
              <w:left w:val="nil"/>
              <w:bottom w:val="nil"/>
              <w:right w:val="nil"/>
            </w:tcBorders>
            <w:vAlign w:val="center"/>
          </w:tcPr>
          <w:p w14:paraId="2DAF1AD8">
            <w:pPr>
              <w:widowControl/>
              <w:jc w:val="center"/>
              <w:textAlignment w:val="center"/>
              <w:rPr>
                <w:rFonts w:hint="default" w:ascii="Times New Roman" w:hAnsi="Times New Roman" w:eastAsia="宋体" w:cs="Times New Roman"/>
                <w:sz w:val="15"/>
                <w:szCs w:val="15"/>
              </w:rPr>
            </w:pPr>
            <w:r>
              <w:rPr>
                <w:rFonts w:hint="default" w:ascii="Times New Roman" w:hAnsi="Times New Roman" w:eastAsia="等线" w:cs="Times New Roman"/>
                <w:kern w:val="0"/>
                <w:sz w:val="15"/>
                <w:szCs w:val="15"/>
                <w:lang w:bidi="ar"/>
              </w:rPr>
              <w:t>9.097</w:t>
            </w:r>
          </w:p>
        </w:tc>
      </w:tr>
      <w:tr w14:paraId="500E7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restart"/>
            <w:tcBorders>
              <w:top w:val="nil"/>
              <w:left w:val="nil"/>
              <w:bottom w:val="nil"/>
              <w:right w:val="nil"/>
            </w:tcBorders>
          </w:tcPr>
          <w:p w14:paraId="3B1ECEE6">
            <w:pPr>
              <w:jc w:val="center"/>
              <w:rPr>
                <w:rFonts w:hint="default" w:ascii="Times New Roman" w:hAnsi="Times New Roman" w:eastAsia="宋体" w:cs="Times New Roman"/>
                <w:bCs/>
                <w:sz w:val="15"/>
                <w:szCs w:val="15"/>
              </w:rPr>
            </w:pPr>
          </w:p>
          <w:p w14:paraId="27F41DBB">
            <w:pPr>
              <w:jc w:val="center"/>
              <w:rPr>
                <w:rFonts w:hint="default" w:ascii="Times New Roman" w:hAnsi="Times New Roman" w:eastAsia="宋体" w:cs="Times New Roman"/>
                <w:bCs/>
                <w:sz w:val="15"/>
                <w:szCs w:val="15"/>
              </w:rPr>
            </w:pPr>
          </w:p>
          <w:p w14:paraId="5B25500C">
            <w:pPr>
              <w:jc w:val="center"/>
              <w:rPr>
                <w:rFonts w:hint="default" w:ascii="Times New Roman" w:hAnsi="Times New Roman" w:eastAsia="宋体" w:cs="Times New Roman"/>
                <w:bCs/>
                <w:sz w:val="15"/>
                <w:szCs w:val="15"/>
              </w:rPr>
            </w:pPr>
          </w:p>
          <w:p w14:paraId="417CB048">
            <w:pPr>
              <w:jc w:val="center"/>
              <w:rPr>
                <w:rFonts w:hint="default" w:ascii="Times New Roman" w:hAnsi="Times New Roman" w:eastAsia="宋体" w:cs="Times New Roman"/>
                <w:bCs/>
                <w:szCs w:val="21"/>
              </w:rPr>
            </w:pPr>
            <w:r>
              <w:rPr>
                <w:rFonts w:hint="default" w:ascii="Times New Roman" w:hAnsi="Times New Roman" w:eastAsia="宋体" w:cs="Times New Roman"/>
                <w:bCs/>
                <w:sz w:val="15"/>
                <w:szCs w:val="15"/>
              </w:rPr>
              <w:t>训练组</w:t>
            </w:r>
          </w:p>
        </w:tc>
        <w:tc>
          <w:tcPr>
            <w:tcW w:w="1217" w:type="dxa"/>
            <w:tcBorders>
              <w:top w:val="nil"/>
              <w:left w:val="nil"/>
              <w:bottom w:val="nil"/>
              <w:right w:val="nil"/>
            </w:tcBorders>
          </w:tcPr>
          <w:p w14:paraId="67837E6A">
            <w:pPr>
              <w:jc w:val="center"/>
              <w:rPr>
                <w:rFonts w:hint="default" w:ascii="Times New Roman" w:hAnsi="Times New Roman" w:eastAsia="宋体" w:cs="Times New Roman"/>
                <w:bCs/>
                <w:szCs w:val="21"/>
              </w:rPr>
            </w:pPr>
            <w:r>
              <w:rPr>
                <w:rFonts w:hint="eastAsia" w:ascii="Times New Roman" w:hAnsi="Times New Roman" w:eastAsia="宋体" w:cs="Times New Roman"/>
                <w:bCs/>
                <w:sz w:val="15"/>
                <w:szCs w:val="15"/>
              </w:rPr>
              <w:t>2</w:t>
            </w:r>
          </w:p>
        </w:tc>
        <w:tc>
          <w:tcPr>
            <w:tcW w:w="1217" w:type="dxa"/>
            <w:tcBorders>
              <w:top w:val="nil"/>
              <w:left w:val="nil"/>
              <w:bottom w:val="nil"/>
              <w:right w:val="nil"/>
            </w:tcBorders>
            <w:vAlign w:val="center"/>
          </w:tcPr>
          <w:p w14:paraId="3A95948E">
            <w:pPr>
              <w:widowControl/>
              <w:jc w:val="center"/>
              <w:textAlignment w:val="center"/>
              <w:rPr>
                <w:rFonts w:hint="default" w:ascii="Times New Roman" w:hAnsi="Times New Roman" w:eastAsia="宋体" w:cs="Times New Roman"/>
                <w:bCs/>
                <w:sz w:val="15"/>
                <w:szCs w:val="15"/>
              </w:rPr>
            </w:pPr>
            <w:r>
              <w:rPr>
                <w:rFonts w:hint="default" w:ascii="Times New Roman" w:hAnsi="Times New Roman" w:eastAsia="等线" w:cs="Times New Roman"/>
                <w:kern w:val="0"/>
                <w:sz w:val="15"/>
                <w:szCs w:val="15"/>
                <w:lang w:bidi="ar"/>
              </w:rPr>
              <w:t>3.4776</w:t>
            </w:r>
          </w:p>
        </w:tc>
        <w:tc>
          <w:tcPr>
            <w:tcW w:w="1217" w:type="dxa"/>
            <w:tcBorders>
              <w:top w:val="nil"/>
              <w:left w:val="nil"/>
              <w:bottom w:val="nil"/>
              <w:right w:val="nil"/>
            </w:tcBorders>
            <w:vAlign w:val="center"/>
          </w:tcPr>
          <w:p w14:paraId="1770E295">
            <w:pPr>
              <w:widowControl/>
              <w:jc w:val="center"/>
              <w:textAlignment w:val="center"/>
              <w:rPr>
                <w:rFonts w:hint="default" w:ascii="Times New Roman" w:hAnsi="Times New Roman" w:eastAsia="宋体" w:cs="Times New Roman"/>
                <w:bCs/>
                <w:sz w:val="15"/>
                <w:szCs w:val="15"/>
              </w:rPr>
            </w:pPr>
            <w:r>
              <w:rPr>
                <w:rFonts w:hint="default" w:ascii="Times New Roman" w:hAnsi="Times New Roman" w:eastAsia="等线" w:cs="Times New Roman"/>
                <w:kern w:val="0"/>
                <w:sz w:val="15"/>
                <w:szCs w:val="15"/>
                <w:lang w:bidi="ar"/>
              </w:rPr>
              <w:t>7.2</w:t>
            </w:r>
          </w:p>
        </w:tc>
        <w:tc>
          <w:tcPr>
            <w:tcW w:w="1217" w:type="dxa"/>
            <w:tcBorders>
              <w:top w:val="nil"/>
              <w:left w:val="nil"/>
              <w:bottom w:val="nil"/>
              <w:right w:val="nil"/>
            </w:tcBorders>
            <w:vAlign w:val="center"/>
          </w:tcPr>
          <w:p w14:paraId="60B11D2F">
            <w:pPr>
              <w:widowControl/>
              <w:jc w:val="center"/>
              <w:textAlignment w:val="center"/>
              <w:rPr>
                <w:rFonts w:hint="default" w:ascii="Times New Roman" w:hAnsi="Times New Roman" w:eastAsia="等线" w:cs="Times New Roman"/>
                <w:sz w:val="15"/>
                <w:szCs w:val="15"/>
              </w:rPr>
            </w:pPr>
            <w:r>
              <w:rPr>
                <w:rFonts w:hint="default" w:ascii="Times New Roman" w:hAnsi="Times New Roman" w:eastAsia="等线" w:cs="Times New Roman"/>
                <w:kern w:val="0"/>
                <w:sz w:val="15"/>
                <w:szCs w:val="15"/>
                <w:lang w:bidi="ar"/>
              </w:rPr>
              <w:t>22.8</w:t>
            </w:r>
            <w:r>
              <w:rPr>
                <w:rFonts w:hint="eastAsia" w:ascii="Times New Roman" w:hAnsi="Times New Roman" w:eastAsia="等线" w:cs="Times New Roman"/>
                <w:kern w:val="0"/>
                <w:sz w:val="15"/>
                <w:szCs w:val="15"/>
                <w:lang w:bidi="ar"/>
              </w:rPr>
              <w:t>0</w:t>
            </w:r>
          </w:p>
        </w:tc>
        <w:tc>
          <w:tcPr>
            <w:tcW w:w="1217" w:type="dxa"/>
            <w:tcBorders>
              <w:top w:val="nil"/>
              <w:left w:val="nil"/>
              <w:bottom w:val="nil"/>
              <w:right w:val="nil"/>
            </w:tcBorders>
            <w:vAlign w:val="center"/>
          </w:tcPr>
          <w:p w14:paraId="05B9709D">
            <w:pPr>
              <w:widowControl/>
              <w:jc w:val="center"/>
              <w:textAlignment w:val="center"/>
              <w:rPr>
                <w:rFonts w:hint="default" w:ascii="Times New Roman" w:hAnsi="Times New Roman" w:eastAsia="宋体" w:cs="Times New Roman"/>
                <w:sz w:val="15"/>
                <w:szCs w:val="15"/>
              </w:rPr>
            </w:pPr>
            <w:r>
              <w:rPr>
                <w:rFonts w:hint="default" w:ascii="Times New Roman" w:hAnsi="Times New Roman" w:eastAsia="等线" w:cs="Times New Roman"/>
                <w:kern w:val="0"/>
                <w:sz w:val="15"/>
                <w:szCs w:val="15"/>
                <w:lang w:bidi="ar"/>
              </w:rPr>
              <w:t>24.822</w:t>
            </w:r>
          </w:p>
        </w:tc>
        <w:tc>
          <w:tcPr>
            <w:tcW w:w="1217" w:type="dxa"/>
            <w:tcBorders>
              <w:top w:val="nil"/>
              <w:left w:val="nil"/>
              <w:bottom w:val="nil"/>
              <w:right w:val="nil"/>
            </w:tcBorders>
            <w:vAlign w:val="center"/>
          </w:tcPr>
          <w:p w14:paraId="3621F706">
            <w:pPr>
              <w:widowControl/>
              <w:jc w:val="center"/>
              <w:textAlignment w:val="center"/>
              <w:rPr>
                <w:rFonts w:hint="default" w:ascii="Times New Roman" w:hAnsi="Times New Roman" w:eastAsia="宋体" w:cs="Times New Roman"/>
                <w:sz w:val="15"/>
                <w:szCs w:val="15"/>
              </w:rPr>
            </w:pPr>
            <w:r>
              <w:rPr>
                <w:rFonts w:hint="default" w:ascii="Times New Roman" w:hAnsi="Times New Roman" w:eastAsia="等线" w:cs="Times New Roman"/>
                <w:kern w:val="0"/>
                <w:sz w:val="15"/>
                <w:szCs w:val="15"/>
                <w:lang w:bidi="ar"/>
              </w:rPr>
              <w:t>1.564</w:t>
            </w:r>
          </w:p>
        </w:tc>
      </w:tr>
      <w:tr w14:paraId="5270B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continue"/>
            <w:tcBorders>
              <w:top w:val="nil"/>
              <w:left w:val="nil"/>
              <w:bottom w:val="nil"/>
              <w:right w:val="nil"/>
            </w:tcBorders>
          </w:tcPr>
          <w:p w14:paraId="57447878">
            <w:pPr>
              <w:jc w:val="center"/>
              <w:rPr>
                <w:rFonts w:hint="default" w:ascii="Times New Roman" w:hAnsi="Times New Roman" w:eastAsia="宋体" w:cs="Times New Roman"/>
                <w:bCs/>
                <w:szCs w:val="21"/>
              </w:rPr>
            </w:pPr>
          </w:p>
        </w:tc>
        <w:tc>
          <w:tcPr>
            <w:tcW w:w="1217" w:type="dxa"/>
            <w:tcBorders>
              <w:top w:val="nil"/>
              <w:left w:val="nil"/>
              <w:bottom w:val="nil"/>
              <w:right w:val="nil"/>
            </w:tcBorders>
          </w:tcPr>
          <w:p w14:paraId="78CE7A05">
            <w:pPr>
              <w:jc w:val="center"/>
              <w:rPr>
                <w:rFonts w:hint="default" w:ascii="Times New Roman" w:hAnsi="Times New Roman" w:eastAsia="宋体" w:cs="Times New Roman"/>
                <w:bCs/>
                <w:szCs w:val="21"/>
              </w:rPr>
            </w:pPr>
            <w:r>
              <w:rPr>
                <w:rFonts w:hint="eastAsia" w:ascii="Times New Roman" w:hAnsi="Times New Roman" w:eastAsia="宋体" w:cs="Times New Roman"/>
                <w:sz w:val="15"/>
                <w:szCs w:val="15"/>
              </w:rPr>
              <w:t>3</w:t>
            </w:r>
          </w:p>
        </w:tc>
        <w:tc>
          <w:tcPr>
            <w:tcW w:w="1217" w:type="dxa"/>
            <w:tcBorders>
              <w:top w:val="nil"/>
              <w:left w:val="nil"/>
              <w:bottom w:val="nil"/>
              <w:right w:val="nil"/>
            </w:tcBorders>
            <w:vAlign w:val="center"/>
          </w:tcPr>
          <w:p w14:paraId="242BF745">
            <w:pPr>
              <w:widowControl/>
              <w:jc w:val="center"/>
              <w:textAlignment w:val="center"/>
              <w:rPr>
                <w:rFonts w:hint="default" w:ascii="Times New Roman" w:hAnsi="Times New Roman" w:eastAsia="宋体" w:cs="Times New Roman"/>
                <w:bCs/>
                <w:sz w:val="15"/>
                <w:szCs w:val="15"/>
              </w:rPr>
            </w:pPr>
            <w:r>
              <w:rPr>
                <w:rFonts w:hint="default" w:ascii="Times New Roman" w:hAnsi="Times New Roman" w:eastAsia="等线" w:cs="Times New Roman"/>
                <w:kern w:val="0"/>
                <w:sz w:val="15"/>
                <w:szCs w:val="15"/>
                <w:lang w:bidi="ar"/>
              </w:rPr>
              <w:t>3.4776</w:t>
            </w:r>
          </w:p>
        </w:tc>
        <w:tc>
          <w:tcPr>
            <w:tcW w:w="1217" w:type="dxa"/>
            <w:tcBorders>
              <w:top w:val="nil"/>
              <w:left w:val="nil"/>
              <w:bottom w:val="nil"/>
              <w:right w:val="nil"/>
            </w:tcBorders>
            <w:vAlign w:val="center"/>
          </w:tcPr>
          <w:p w14:paraId="45B9E9CF">
            <w:pPr>
              <w:widowControl/>
              <w:jc w:val="center"/>
              <w:textAlignment w:val="center"/>
              <w:rPr>
                <w:rFonts w:hint="default" w:ascii="Times New Roman" w:hAnsi="Times New Roman" w:eastAsia="等线" w:cs="Times New Roman"/>
                <w:bCs/>
                <w:sz w:val="15"/>
                <w:szCs w:val="15"/>
              </w:rPr>
            </w:pPr>
            <w:r>
              <w:rPr>
                <w:rFonts w:hint="default" w:ascii="Times New Roman" w:hAnsi="Times New Roman" w:eastAsia="等线" w:cs="Times New Roman"/>
                <w:kern w:val="0"/>
                <w:sz w:val="15"/>
                <w:szCs w:val="15"/>
                <w:lang w:bidi="ar"/>
              </w:rPr>
              <w:t>9</w:t>
            </w:r>
            <w:r>
              <w:rPr>
                <w:rFonts w:hint="eastAsia" w:ascii="Times New Roman" w:hAnsi="Times New Roman" w:eastAsia="等线" w:cs="Times New Roman"/>
                <w:kern w:val="0"/>
                <w:sz w:val="15"/>
                <w:szCs w:val="15"/>
                <w:lang w:bidi="ar"/>
              </w:rPr>
              <w:t>.0</w:t>
            </w:r>
          </w:p>
        </w:tc>
        <w:tc>
          <w:tcPr>
            <w:tcW w:w="1217" w:type="dxa"/>
            <w:tcBorders>
              <w:top w:val="nil"/>
              <w:left w:val="nil"/>
              <w:bottom w:val="nil"/>
              <w:right w:val="nil"/>
            </w:tcBorders>
            <w:vAlign w:val="center"/>
          </w:tcPr>
          <w:p w14:paraId="084B7894">
            <w:pPr>
              <w:widowControl/>
              <w:jc w:val="center"/>
              <w:textAlignment w:val="center"/>
              <w:rPr>
                <w:rFonts w:hint="default" w:ascii="Times New Roman" w:hAnsi="Times New Roman" w:eastAsia="等线" w:cs="Times New Roman"/>
                <w:sz w:val="15"/>
                <w:szCs w:val="15"/>
              </w:rPr>
            </w:pPr>
            <w:r>
              <w:rPr>
                <w:rFonts w:hint="default" w:ascii="Times New Roman" w:hAnsi="Times New Roman" w:eastAsia="等线" w:cs="Times New Roman"/>
                <w:kern w:val="0"/>
                <w:sz w:val="15"/>
                <w:szCs w:val="15"/>
                <w:lang w:bidi="ar"/>
              </w:rPr>
              <w:t>27.5</w:t>
            </w:r>
            <w:r>
              <w:rPr>
                <w:rFonts w:hint="eastAsia" w:ascii="Times New Roman" w:hAnsi="Times New Roman" w:eastAsia="等线" w:cs="Times New Roman"/>
                <w:kern w:val="0"/>
                <w:sz w:val="15"/>
                <w:szCs w:val="15"/>
                <w:lang w:bidi="ar"/>
              </w:rPr>
              <w:t>0</w:t>
            </w:r>
          </w:p>
        </w:tc>
        <w:tc>
          <w:tcPr>
            <w:tcW w:w="1217" w:type="dxa"/>
            <w:tcBorders>
              <w:top w:val="nil"/>
              <w:left w:val="nil"/>
              <w:bottom w:val="nil"/>
              <w:right w:val="nil"/>
            </w:tcBorders>
            <w:vAlign w:val="center"/>
          </w:tcPr>
          <w:p w14:paraId="525D7917">
            <w:pPr>
              <w:widowControl/>
              <w:jc w:val="center"/>
              <w:textAlignment w:val="center"/>
              <w:rPr>
                <w:rFonts w:hint="default" w:ascii="Times New Roman" w:hAnsi="Times New Roman" w:eastAsia="宋体" w:cs="Times New Roman"/>
                <w:sz w:val="15"/>
                <w:szCs w:val="15"/>
              </w:rPr>
            </w:pPr>
            <w:r>
              <w:rPr>
                <w:rFonts w:hint="default" w:ascii="Times New Roman" w:hAnsi="Times New Roman" w:eastAsia="等线" w:cs="Times New Roman"/>
                <w:kern w:val="0"/>
                <w:sz w:val="15"/>
                <w:szCs w:val="15"/>
                <w:lang w:bidi="ar"/>
              </w:rPr>
              <w:t>31.227</w:t>
            </w:r>
          </w:p>
        </w:tc>
        <w:tc>
          <w:tcPr>
            <w:tcW w:w="1217" w:type="dxa"/>
            <w:tcBorders>
              <w:top w:val="nil"/>
              <w:left w:val="nil"/>
              <w:bottom w:val="nil"/>
              <w:right w:val="nil"/>
            </w:tcBorders>
            <w:vAlign w:val="center"/>
          </w:tcPr>
          <w:p w14:paraId="66FB5174">
            <w:pPr>
              <w:widowControl/>
              <w:jc w:val="center"/>
              <w:textAlignment w:val="center"/>
              <w:rPr>
                <w:rFonts w:hint="default" w:ascii="Times New Roman" w:hAnsi="Times New Roman" w:eastAsia="宋体" w:cs="Times New Roman"/>
                <w:sz w:val="15"/>
                <w:szCs w:val="15"/>
              </w:rPr>
            </w:pPr>
            <w:r>
              <w:rPr>
                <w:rFonts w:hint="default" w:ascii="Times New Roman" w:hAnsi="Times New Roman" w:eastAsia="等线" w:cs="Times New Roman"/>
                <w:kern w:val="0"/>
                <w:sz w:val="15"/>
                <w:szCs w:val="15"/>
                <w:lang w:bidi="ar"/>
              </w:rPr>
              <w:t>0.864</w:t>
            </w:r>
          </w:p>
        </w:tc>
      </w:tr>
      <w:tr w14:paraId="5F7C0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continue"/>
            <w:tcBorders>
              <w:top w:val="nil"/>
              <w:left w:val="nil"/>
              <w:bottom w:val="nil"/>
              <w:right w:val="nil"/>
            </w:tcBorders>
          </w:tcPr>
          <w:p w14:paraId="483A6968">
            <w:pPr>
              <w:jc w:val="center"/>
              <w:rPr>
                <w:rFonts w:hint="default" w:ascii="Times New Roman" w:hAnsi="Times New Roman" w:eastAsia="宋体" w:cs="Times New Roman"/>
                <w:bCs/>
                <w:szCs w:val="21"/>
              </w:rPr>
            </w:pPr>
          </w:p>
        </w:tc>
        <w:tc>
          <w:tcPr>
            <w:tcW w:w="1217" w:type="dxa"/>
            <w:tcBorders>
              <w:top w:val="nil"/>
              <w:left w:val="nil"/>
              <w:bottom w:val="nil"/>
              <w:right w:val="nil"/>
            </w:tcBorders>
          </w:tcPr>
          <w:p w14:paraId="03EA8D95">
            <w:pPr>
              <w:jc w:val="center"/>
              <w:rPr>
                <w:rFonts w:hint="default" w:ascii="Times New Roman" w:hAnsi="Times New Roman" w:eastAsia="宋体" w:cs="Times New Roman"/>
                <w:bCs/>
                <w:szCs w:val="21"/>
              </w:rPr>
            </w:pPr>
            <w:r>
              <w:rPr>
                <w:rFonts w:hint="eastAsia" w:ascii="Times New Roman" w:hAnsi="Times New Roman" w:eastAsia="宋体" w:cs="Times New Roman"/>
                <w:sz w:val="15"/>
                <w:szCs w:val="15"/>
              </w:rPr>
              <w:t>4</w:t>
            </w:r>
          </w:p>
        </w:tc>
        <w:tc>
          <w:tcPr>
            <w:tcW w:w="1217" w:type="dxa"/>
            <w:tcBorders>
              <w:top w:val="nil"/>
              <w:left w:val="nil"/>
              <w:bottom w:val="nil"/>
              <w:right w:val="nil"/>
            </w:tcBorders>
            <w:vAlign w:val="center"/>
          </w:tcPr>
          <w:p w14:paraId="58463597">
            <w:pPr>
              <w:widowControl/>
              <w:jc w:val="center"/>
              <w:textAlignment w:val="center"/>
              <w:rPr>
                <w:rFonts w:hint="default" w:ascii="Times New Roman" w:hAnsi="Times New Roman" w:eastAsia="宋体" w:cs="Times New Roman"/>
                <w:bCs/>
                <w:sz w:val="15"/>
                <w:szCs w:val="15"/>
              </w:rPr>
            </w:pPr>
            <w:r>
              <w:rPr>
                <w:rFonts w:hint="default" w:ascii="Times New Roman" w:hAnsi="Times New Roman" w:eastAsia="等线" w:cs="Times New Roman"/>
                <w:kern w:val="0"/>
                <w:sz w:val="15"/>
                <w:szCs w:val="15"/>
                <w:lang w:bidi="ar"/>
              </w:rPr>
              <w:t>2.6082</w:t>
            </w:r>
          </w:p>
        </w:tc>
        <w:tc>
          <w:tcPr>
            <w:tcW w:w="1217" w:type="dxa"/>
            <w:tcBorders>
              <w:top w:val="nil"/>
              <w:left w:val="nil"/>
              <w:bottom w:val="nil"/>
              <w:right w:val="nil"/>
            </w:tcBorders>
            <w:vAlign w:val="center"/>
          </w:tcPr>
          <w:p w14:paraId="1882BEFE">
            <w:pPr>
              <w:widowControl/>
              <w:jc w:val="center"/>
              <w:textAlignment w:val="center"/>
              <w:rPr>
                <w:rFonts w:hint="default" w:ascii="Times New Roman" w:hAnsi="Times New Roman" w:eastAsia="宋体" w:cs="Times New Roman"/>
                <w:bCs/>
                <w:sz w:val="15"/>
                <w:szCs w:val="15"/>
              </w:rPr>
            </w:pPr>
            <w:r>
              <w:rPr>
                <w:rFonts w:hint="default" w:ascii="Times New Roman" w:hAnsi="Times New Roman" w:eastAsia="等线" w:cs="Times New Roman"/>
                <w:kern w:val="0"/>
                <w:sz w:val="15"/>
                <w:szCs w:val="15"/>
                <w:lang w:bidi="ar"/>
              </w:rPr>
              <w:t>5.4</w:t>
            </w:r>
          </w:p>
        </w:tc>
        <w:tc>
          <w:tcPr>
            <w:tcW w:w="1217" w:type="dxa"/>
            <w:tcBorders>
              <w:top w:val="nil"/>
              <w:left w:val="nil"/>
              <w:bottom w:val="nil"/>
              <w:right w:val="nil"/>
            </w:tcBorders>
            <w:vAlign w:val="center"/>
          </w:tcPr>
          <w:p w14:paraId="6AE5E7A5">
            <w:pPr>
              <w:widowControl/>
              <w:jc w:val="center"/>
              <w:textAlignment w:val="center"/>
              <w:rPr>
                <w:rFonts w:hint="default" w:ascii="Times New Roman" w:hAnsi="Times New Roman" w:eastAsia="宋体" w:cs="Times New Roman"/>
                <w:sz w:val="15"/>
                <w:szCs w:val="15"/>
              </w:rPr>
            </w:pPr>
            <w:r>
              <w:rPr>
                <w:rFonts w:hint="default" w:ascii="Times New Roman" w:hAnsi="Times New Roman" w:eastAsia="等线" w:cs="Times New Roman"/>
                <w:kern w:val="0"/>
                <w:sz w:val="15"/>
                <w:szCs w:val="15"/>
                <w:lang w:bidi="ar"/>
              </w:rPr>
              <w:t>24.44</w:t>
            </w:r>
          </w:p>
        </w:tc>
        <w:tc>
          <w:tcPr>
            <w:tcW w:w="1217" w:type="dxa"/>
            <w:tcBorders>
              <w:top w:val="nil"/>
              <w:left w:val="nil"/>
              <w:bottom w:val="nil"/>
              <w:right w:val="nil"/>
            </w:tcBorders>
            <w:vAlign w:val="center"/>
          </w:tcPr>
          <w:p w14:paraId="10F488D3">
            <w:pPr>
              <w:widowControl/>
              <w:jc w:val="center"/>
              <w:textAlignment w:val="center"/>
              <w:rPr>
                <w:rFonts w:hint="default" w:ascii="Times New Roman" w:hAnsi="Times New Roman" w:eastAsia="宋体" w:cs="Times New Roman"/>
                <w:sz w:val="15"/>
                <w:szCs w:val="15"/>
              </w:rPr>
            </w:pPr>
            <w:r>
              <w:rPr>
                <w:rFonts w:hint="default" w:ascii="Times New Roman" w:hAnsi="Times New Roman" w:eastAsia="等线" w:cs="Times New Roman"/>
                <w:kern w:val="0"/>
                <w:sz w:val="15"/>
                <w:szCs w:val="15"/>
                <w:lang w:bidi="ar"/>
              </w:rPr>
              <w:t>21.901</w:t>
            </w:r>
          </w:p>
        </w:tc>
        <w:tc>
          <w:tcPr>
            <w:tcW w:w="1217" w:type="dxa"/>
            <w:tcBorders>
              <w:top w:val="nil"/>
              <w:left w:val="nil"/>
              <w:bottom w:val="nil"/>
              <w:right w:val="nil"/>
            </w:tcBorders>
            <w:vAlign w:val="center"/>
          </w:tcPr>
          <w:p w14:paraId="1031BF14">
            <w:pPr>
              <w:widowControl/>
              <w:jc w:val="center"/>
              <w:textAlignment w:val="center"/>
              <w:rPr>
                <w:rFonts w:hint="default" w:ascii="Times New Roman" w:hAnsi="Times New Roman" w:eastAsia="宋体" w:cs="Times New Roman"/>
                <w:sz w:val="15"/>
                <w:szCs w:val="15"/>
              </w:rPr>
            </w:pPr>
            <w:r>
              <w:rPr>
                <w:rFonts w:hint="default" w:ascii="Times New Roman" w:hAnsi="Times New Roman" w:eastAsia="等线" w:cs="Times New Roman"/>
                <w:kern w:val="0"/>
                <w:sz w:val="15"/>
                <w:szCs w:val="15"/>
                <w:lang w:bidi="ar"/>
              </w:rPr>
              <w:t>7.506</w:t>
            </w:r>
          </w:p>
        </w:tc>
      </w:tr>
      <w:tr w14:paraId="3B05F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continue"/>
            <w:tcBorders>
              <w:top w:val="nil"/>
              <w:left w:val="nil"/>
              <w:bottom w:val="nil"/>
              <w:right w:val="nil"/>
            </w:tcBorders>
          </w:tcPr>
          <w:p w14:paraId="35105A92">
            <w:pPr>
              <w:jc w:val="center"/>
              <w:rPr>
                <w:rFonts w:hint="default" w:ascii="Times New Roman" w:hAnsi="Times New Roman" w:eastAsia="宋体" w:cs="Times New Roman"/>
                <w:bCs/>
                <w:szCs w:val="21"/>
              </w:rPr>
            </w:pPr>
          </w:p>
        </w:tc>
        <w:tc>
          <w:tcPr>
            <w:tcW w:w="1217" w:type="dxa"/>
            <w:tcBorders>
              <w:top w:val="nil"/>
              <w:left w:val="nil"/>
              <w:bottom w:val="nil"/>
              <w:right w:val="nil"/>
            </w:tcBorders>
          </w:tcPr>
          <w:p w14:paraId="4F6F53A0">
            <w:pPr>
              <w:jc w:val="center"/>
              <w:rPr>
                <w:rFonts w:hint="default" w:ascii="Times New Roman" w:hAnsi="Times New Roman" w:eastAsia="宋体" w:cs="Times New Roman"/>
                <w:bCs/>
                <w:szCs w:val="21"/>
              </w:rPr>
            </w:pPr>
            <w:r>
              <w:rPr>
                <w:rFonts w:hint="eastAsia" w:ascii="Times New Roman" w:hAnsi="Times New Roman" w:eastAsia="宋体" w:cs="Times New Roman"/>
                <w:sz w:val="15"/>
                <w:szCs w:val="15"/>
              </w:rPr>
              <w:t>5</w:t>
            </w:r>
          </w:p>
        </w:tc>
        <w:tc>
          <w:tcPr>
            <w:tcW w:w="1217" w:type="dxa"/>
            <w:tcBorders>
              <w:top w:val="nil"/>
              <w:left w:val="nil"/>
              <w:bottom w:val="nil"/>
              <w:right w:val="nil"/>
            </w:tcBorders>
            <w:vAlign w:val="center"/>
          </w:tcPr>
          <w:p w14:paraId="7CE810FD">
            <w:pPr>
              <w:widowControl/>
              <w:jc w:val="center"/>
              <w:textAlignment w:val="center"/>
              <w:rPr>
                <w:rFonts w:hint="default" w:ascii="Times New Roman" w:hAnsi="Times New Roman" w:eastAsia="宋体" w:cs="Times New Roman"/>
                <w:bCs/>
                <w:sz w:val="15"/>
                <w:szCs w:val="15"/>
              </w:rPr>
            </w:pPr>
            <w:r>
              <w:rPr>
                <w:rFonts w:hint="default" w:ascii="Times New Roman" w:hAnsi="Times New Roman" w:eastAsia="等线" w:cs="Times New Roman"/>
                <w:kern w:val="0"/>
                <w:sz w:val="15"/>
                <w:szCs w:val="15"/>
                <w:lang w:bidi="ar"/>
              </w:rPr>
              <w:t>2.6082</w:t>
            </w:r>
          </w:p>
        </w:tc>
        <w:tc>
          <w:tcPr>
            <w:tcW w:w="1217" w:type="dxa"/>
            <w:tcBorders>
              <w:top w:val="nil"/>
              <w:left w:val="nil"/>
              <w:bottom w:val="nil"/>
              <w:right w:val="nil"/>
            </w:tcBorders>
            <w:vAlign w:val="center"/>
          </w:tcPr>
          <w:p w14:paraId="6DE0C161">
            <w:pPr>
              <w:widowControl/>
              <w:jc w:val="center"/>
              <w:textAlignment w:val="center"/>
              <w:rPr>
                <w:rFonts w:hint="default" w:ascii="Times New Roman" w:hAnsi="Times New Roman" w:eastAsia="宋体" w:cs="Times New Roman"/>
                <w:bCs/>
                <w:sz w:val="15"/>
                <w:szCs w:val="15"/>
              </w:rPr>
            </w:pPr>
            <w:r>
              <w:rPr>
                <w:rFonts w:hint="default" w:ascii="Times New Roman" w:hAnsi="Times New Roman" w:eastAsia="等线" w:cs="Times New Roman"/>
                <w:kern w:val="0"/>
                <w:sz w:val="15"/>
                <w:szCs w:val="15"/>
                <w:lang w:bidi="ar"/>
              </w:rPr>
              <w:t>7.2</w:t>
            </w:r>
          </w:p>
        </w:tc>
        <w:tc>
          <w:tcPr>
            <w:tcW w:w="1217" w:type="dxa"/>
            <w:tcBorders>
              <w:top w:val="nil"/>
              <w:left w:val="nil"/>
              <w:bottom w:val="nil"/>
              <w:right w:val="nil"/>
            </w:tcBorders>
            <w:vAlign w:val="center"/>
          </w:tcPr>
          <w:p w14:paraId="62678FA9">
            <w:pPr>
              <w:widowControl/>
              <w:jc w:val="center"/>
              <w:textAlignment w:val="center"/>
              <w:rPr>
                <w:rFonts w:hint="default" w:ascii="Times New Roman" w:hAnsi="Times New Roman" w:eastAsia="宋体" w:cs="Times New Roman"/>
                <w:sz w:val="15"/>
                <w:szCs w:val="15"/>
              </w:rPr>
            </w:pPr>
            <w:r>
              <w:rPr>
                <w:rFonts w:hint="default" w:ascii="Times New Roman" w:hAnsi="Times New Roman" w:eastAsia="等线" w:cs="Times New Roman"/>
                <w:kern w:val="0"/>
                <w:sz w:val="15"/>
                <w:szCs w:val="15"/>
                <w:lang w:bidi="ar"/>
              </w:rPr>
              <w:t>27.83</w:t>
            </w:r>
          </w:p>
        </w:tc>
        <w:tc>
          <w:tcPr>
            <w:tcW w:w="1217" w:type="dxa"/>
            <w:tcBorders>
              <w:top w:val="nil"/>
              <w:left w:val="nil"/>
              <w:bottom w:val="nil"/>
              <w:right w:val="nil"/>
            </w:tcBorders>
            <w:vAlign w:val="center"/>
          </w:tcPr>
          <w:p w14:paraId="39FF361D">
            <w:pPr>
              <w:widowControl/>
              <w:jc w:val="center"/>
              <w:textAlignment w:val="center"/>
              <w:rPr>
                <w:rFonts w:hint="default" w:ascii="Times New Roman" w:hAnsi="Times New Roman" w:eastAsia="等线" w:cs="Times New Roman"/>
                <w:sz w:val="15"/>
                <w:szCs w:val="15"/>
              </w:rPr>
            </w:pPr>
            <w:r>
              <w:rPr>
                <w:rFonts w:hint="default" w:ascii="Times New Roman" w:hAnsi="Times New Roman" w:eastAsia="等线" w:cs="Times New Roman"/>
                <w:kern w:val="0"/>
                <w:sz w:val="15"/>
                <w:szCs w:val="15"/>
                <w:lang w:bidi="ar"/>
              </w:rPr>
              <w:t>26.14</w:t>
            </w:r>
            <w:r>
              <w:rPr>
                <w:rFonts w:hint="eastAsia" w:ascii="Times New Roman" w:hAnsi="Times New Roman" w:eastAsia="等线" w:cs="Times New Roman"/>
                <w:kern w:val="0"/>
                <w:sz w:val="15"/>
                <w:szCs w:val="15"/>
                <w:lang w:bidi="ar"/>
              </w:rPr>
              <w:t>0</w:t>
            </w:r>
          </w:p>
        </w:tc>
        <w:tc>
          <w:tcPr>
            <w:tcW w:w="1217" w:type="dxa"/>
            <w:tcBorders>
              <w:top w:val="nil"/>
              <w:left w:val="nil"/>
              <w:bottom w:val="nil"/>
              <w:right w:val="nil"/>
            </w:tcBorders>
            <w:vAlign w:val="center"/>
          </w:tcPr>
          <w:p w14:paraId="0ECBC9B5">
            <w:pPr>
              <w:widowControl/>
              <w:jc w:val="center"/>
              <w:textAlignment w:val="center"/>
              <w:rPr>
                <w:rFonts w:hint="default" w:ascii="Times New Roman" w:hAnsi="Times New Roman" w:eastAsia="宋体" w:cs="Times New Roman"/>
                <w:sz w:val="15"/>
                <w:szCs w:val="15"/>
              </w:rPr>
            </w:pPr>
            <w:r>
              <w:rPr>
                <w:rFonts w:hint="default" w:ascii="Times New Roman" w:hAnsi="Times New Roman" w:eastAsia="等线" w:cs="Times New Roman"/>
                <w:kern w:val="0"/>
                <w:sz w:val="15"/>
                <w:szCs w:val="15"/>
                <w:lang w:bidi="ar"/>
              </w:rPr>
              <w:t>2.399</w:t>
            </w:r>
          </w:p>
        </w:tc>
      </w:tr>
      <w:tr w14:paraId="5F191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continue"/>
            <w:tcBorders>
              <w:top w:val="nil"/>
              <w:left w:val="nil"/>
              <w:bottom w:val="nil"/>
              <w:right w:val="nil"/>
            </w:tcBorders>
          </w:tcPr>
          <w:p w14:paraId="6DD737FA">
            <w:pPr>
              <w:jc w:val="center"/>
              <w:rPr>
                <w:rFonts w:hint="default" w:ascii="Times New Roman" w:hAnsi="Times New Roman" w:eastAsia="宋体" w:cs="Times New Roman"/>
                <w:bCs/>
                <w:szCs w:val="21"/>
              </w:rPr>
            </w:pPr>
          </w:p>
        </w:tc>
        <w:tc>
          <w:tcPr>
            <w:tcW w:w="1217" w:type="dxa"/>
            <w:tcBorders>
              <w:top w:val="nil"/>
              <w:left w:val="nil"/>
              <w:bottom w:val="nil"/>
              <w:right w:val="nil"/>
            </w:tcBorders>
          </w:tcPr>
          <w:p w14:paraId="748B6B6D">
            <w:pPr>
              <w:jc w:val="center"/>
              <w:rPr>
                <w:rFonts w:hint="default" w:ascii="Times New Roman" w:hAnsi="Times New Roman" w:eastAsia="宋体" w:cs="Times New Roman"/>
                <w:bCs/>
                <w:szCs w:val="21"/>
              </w:rPr>
            </w:pPr>
            <w:r>
              <w:rPr>
                <w:rFonts w:hint="eastAsia" w:ascii="Times New Roman" w:hAnsi="Times New Roman" w:eastAsia="宋体" w:cs="Times New Roman"/>
                <w:sz w:val="15"/>
                <w:szCs w:val="15"/>
              </w:rPr>
              <w:t>6</w:t>
            </w:r>
          </w:p>
        </w:tc>
        <w:tc>
          <w:tcPr>
            <w:tcW w:w="1217" w:type="dxa"/>
            <w:tcBorders>
              <w:top w:val="nil"/>
              <w:left w:val="nil"/>
              <w:bottom w:val="nil"/>
              <w:right w:val="nil"/>
            </w:tcBorders>
            <w:vAlign w:val="center"/>
          </w:tcPr>
          <w:p w14:paraId="23A52D4F">
            <w:pPr>
              <w:widowControl/>
              <w:jc w:val="center"/>
              <w:textAlignment w:val="center"/>
              <w:rPr>
                <w:rFonts w:hint="default" w:ascii="Times New Roman" w:hAnsi="Times New Roman" w:eastAsia="宋体" w:cs="Times New Roman"/>
                <w:bCs/>
                <w:sz w:val="15"/>
                <w:szCs w:val="15"/>
              </w:rPr>
            </w:pPr>
            <w:r>
              <w:rPr>
                <w:rFonts w:hint="default" w:ascii="Times New Roman" w:hAnsi="Times New Roman" w:eastAsia="等线" w:cs="Times New Roman"/>
                <w:kern w:val="0"/>
                <w:sz w:val="15"/>
                <w:szCs w:val="15"/>
                <w:lang w:bidi="ar"/>
              </w:rPr>
              <w:t>2.6082</w:t>
            </w:r>
          </w:p>
        </w:tc>
        <w:tc>
          <w:tcPr>
            <w:tcW w:w="1217" w:type="dxa"/>
            <w:tcBorders>
              <w:top w:val="nil"/>
              <w:left w:val="nil"/>
              <w:bottom w:val="nil"/>
              <w:right w:val="nil"/>
            </w:tcBorders>
            <w:vAlign w:val="center"/>
          </w:tcPr>
          <w:p w14:paraId="12C7FB28">
            <w:pPr>
              <w:widowControl/>
              <w:jc w:val="center"/>
              <w:textAlignment w:val="center"/>
              <w:rPr>
                <w:rFonts w:hint="default" w:ascii="Times New Roman" w:hAnsi="Times New Roman" w:eastAsia="等线" w:cs="Times New Roman"/>
                <w:bCs/>
                <w:sz w:val="15"/>
                <w:szCs w:val="15"/>
              </w:rPr>
            </w:pPr>
            <w:r>
              <w:rPr>
                <w:rFonts w:hint="default" w:ascii="Times New Roman" w:hAnsi="Times New Roman" w:eastAsia="等线" w:cs="Times New Roman"/>
                <w:kern w:val="0"/>
                <w:sz w:val="15"/>
                <w:szCs w:val="15"/>
                <w:lang w:bidi="ar"/>
              </w:rPr>
              <w:t>9</w:t>
            </w:r>
            <w:r>
              <w:rPr>
                <w:rFonts w:hint="eastAsia" w:ascii="Times New Roman" w:hAnsi="Times New Roman" w:eastAsia="等线" w:cs="Times New Roman"/>
                <w:kern w:val="0"/>
                <w:sz w:val="15"/>
                <w:szCs w:val="15"/>
                <w:lang w:bidi="ar"/>
              </w:rPr>
              <w:t>.0</w:t>
            </w:r>
          </w:p>
        </w:tc>
        <w:tc>
          <w:tcPr>
            <w:tcW w:w="1217" w:type="dxa"/>
            <w:tcBorders>
              <w:top w:val="nil"/>
              <w:left w:val="nil"/>
              <w:bottom w:val="nil"/>
              <w:right w:val="nil"/>
            </w:tcBorders>
            <w:vAlign w:val="center"/>
          </w:tcPr>
          <w:p w14:paraId="1CFADDA3">
            <w:pPr>
              <w:widowControl/>
              <w:jc w:val="center"/>
              <w:textAlignment w:val="center"/>
              <w:rPr>
                <w:rFonts w:hint="default" w:ascii="Times New Roman" w:hAnsi="Times New Roman" w:eastAsia="等线" w:cs="Times New Roman"/>
                <w:sz w:val="15"/>
                <w:szCs w:val="15"/>
              </w:rPr>
            </w:pPr>
            <w:r>
              <w:rPr>
                <w:rFonts w:hint="default" w:ascii="Times New Roman" w:hAnsi="Times New Roman" w:eastAsia="等线" w:cs="Times New Roman"/>
                <w:kern w:val="0"/>
                <w:sz w:val="15"/>
                <w:szCs w:val="15"/>
                <w:lang w:bidi="ar"/>
              </w:rPr>
              <w:t>36.8</w:t>
            </w:r>
            <w:r>
              <w:rPr>
                <w:rFonts w:hint="eastAsia" w:ascii="Times New Roman" w:hAnsi="Times New Roman" w:eastAsia="等线" w:cs="Times New Roman"/>
                <w:kern w:val="0"/>
                <w:sz w:val="15"/>
                <w:szCs w:val="15"/>
                <w:lang w:bidi="ar"/>
              </w:rPr>
              <w:t>0</w:t>
            </w:r>
          </w:p>
        </w:tc>
        <w:tc>
          <w:tcPr>
            <w:tcW w:w="1217" w:type="dxa"/>
            <w:tcBorders>
              <w:top w:val="nil"/>
              <w:left w:val="nil"/>
              <w:bottom w:val="nil"/>
              <w:right w:val="nil"/>
            </w:tcBorders>
            <w:vAlign w:val="center"/>
          </w:tcPr>
          <w:p w14:paraId="5F158137">
            <w:pPr>
              <w:widowControl/>
              <w:jc w:val="center"/>
              <w:textAlignment w:val="center"/>
              <w:rPr>
                <w:rFonts w:hint="default" w:ascii="Times New Roman" w:hAnsi="Times New Roman" w:eastAsia="宋体" w:cs="Times New Roman"/>
                <w:sz w:val="15"/>
                <w:szCs w:val="15"/>
              </w:rPr>
            </w:pPr>
            <w:r>
              <w:rPr>
                <w:rFonts w:hint="default" w:ascii="Times New Roman" w:hAnsi="Times New Roman" w:eastAsia="等线" w:cs="Times New Roman"/>
                <w:kern w:val="0"/>
                <w:sz w:val="15"/>
                <w:szCs w:val="15"/>
                <w:lang w:bidi="ar"/>
              </w:rPr>
              <w:t>3</w:t>
            </w:r>
            <w:r>
              <w:rPr>
                <w:rFonts w:hint="eastAsia" w:ascii="Times New Roman" w:hAnsi="Times New Roman" w:eastAsia="等线" w:cs="Times New Roman"/>
                <w:kern w:val="0"/>
                <w:sz w:val="15"/>
                <w:szCs w:val="15"/>
                <w:lang w:bidi="ar"/>
              </w:rPr>
              <w:t>5</w:t>
            </w:r>
            <w:r>
              <w:rPr>
                <w:rFonts w:hint="default" w:ascii="Times New Roman" w:hAnsi="Times New Roman" w:eastAsia="等线" w:cs="Times New Roman"/>
                <w:kern w:val="0"/>
                <w:sz w:val="15"/>
                <w:szCs w:val="15"/>
                <w:lang w:bidi="ar"/>
              </w:rPr>
              <w:t>.135</w:t>
            </w:r>
          </w:p>
        </w:tc>
        <w:tc>
          <w:tcPr>
            <w:tcW w:w="1217" w:type="dxa"/>
            <w:tcBorders>
              <w:top w:val="nil"/>
              <w:left w:val="nil"/>
              <w:bottom w:val="nil"/>
              <w:right w:val="nil"/>
            </w:tcBorders>
            <w:vAlign w:val="center"/>
          </w:tcPr>
          <w:p w14:paraId="570B145D">
            <w:pPr>
              <w:widowControl/>
              <w:jc w:val="center"/>
              <w:textAlignment w:val="center"/>
              <w:rPr>
                <w:rFonts w:hint="default" w:ascii="Times New Roman" w:hAnsi="Times New Roman" w:eastAsia="宋体" w:cs="Times New Roman"/>
                <w:sz w:val="15"/>
                <w:szCs w:val="15"/>
              </w:rPr>
            </w:pPr>
            <w:r>
              <w:rPr>
                <w:rFonts w:hint="default" w:ascii="Times New Roman" w:hAnsi="Times New Roman" w:eastAsia="等线" w:cs="Times New Roman"/>
                <w:kern w:val="0"/>
                <w:sz w:val="15"/>
                <w:szCs w:val="15"/>
                <w:lang w:bidi="ar"/>
              </w:rPr>
              <w:t>2.598</w:t>
            </w:r>
          </w:p>
        </w:tc>
      </w:tr>
      <w:tr w14:paraId="0CD1D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continue"/>
            <w:tcBorders>
              <w:top w:val="nil"/>
              <w:left w:val="nil"/>
              <w:bottom w:val="nil"/>
              <w:right w:val="nil"/>
            </w:tcBorders>
          </w:tcPr>
          <w:p w14:paraId="60A7F3B9">
            <w:pPr>
              <w:jc w:val="center"/>
              <w:rPr>
                <w:rFonts w:hint="default" w:ascii="Times New Roman" w:hAnsi="Times New Roman" w:eastAsia="宋体" w:cs="Times New Roman"/>
                <w:bCs/>
                <w:szCs w:val="21"/>
              </w:rPr>
            </w:pPr>
          </w:p>
        </w:tc>
        <w:tc>
          <w:tcPr>
            <w:tcW w:w="1217" w:type="dxa"/>
            <w:tcBorders>
              <w:top w:val="nil"/>
              <w:left w:val="nil"/>
              <w:bottom w:val="nil"/>
              <w:right w:val="nil"/>
            </w:tcBorders>
          </w:tcPr>
          <w:p w14:paraId="263DF911">
            <w:pPr>
              <w:jc w:val="center"/>
              <w:rPr>
                <w:rFonts w:hint="default" w:ascii="Times New Roman" w:hAnsi="Times New Roman" w:eastAsia="宋体" w:cs="Times New Roman"/>
                <w:bCs/>
                <w:szCs w:val="21"/>
              </w:rPr>
            </w:pPr>
            <w:r>
              <w:rPr>
                <w:rFonts w:hint="eastAsia" w:ascii="Times New Roman" w:hAnsi="Times New Roman" w:eastAsia="宋体" w:cs="Times New Roman"/>
                <w:sz w:val="15"/>
                <w:szCs w:val="15"/>
              </w:rPr>
              <w:t>7</w:t>
            </w:r>
          </w:p>
        </w:tc>
        <w:tc>
          <w:tcPr>
            <w:tcW w:w="1217" w:type="dxa"/>
            <w:tcBorders>
              <w:top w:val="nil"/>
              <w:left w:val="nil"/>
              <w:bottom w:val="nil"/>
              <w:right w:val="nil"/>
            </w:tcBorders>
            <w:vAlign w:val="center"/>
          </w:tcPr>
          <w:p w14:paraId="3288DA7E">
            <w:pPr>
              <w:widowControl/>
              <w:jc w:val="center"/>
              <w:textAlignment w:val="center"/>
              <w:rPr>
                <w:rFonts w:hint="default" w:ascii="Times New Roman" w:hAnsi="Times New Roman" w:eastAsia="宋体" w:cs="Times New Roman"/>
                <w:bCs/>
                <w:sz w:val="15"/>
                <w:szCs w:val="15"/>
              </w:rPr>
            </w:pPr>
            <w:r>
              <w:rPr>
                <w:rFonts w:hint="default" w:ascii="Times New Roman" w:hAnsi="Times New Roman" w:eastAsia="等线" w:cs="Times New Roman"/>
                <w:kern w:val="0"/>
                <w:sz w:val="15"/>
                <w:szCs w:val="15"/>
                <w:lang w:bidi="ar"/>
              </w:rPr>
              <w:t>1.6519</w:t>
            </w:r>
          </w:p>
        </w:tc>
        <w:tc>
          <w:tcPr>
            <w:tcW w:w="1217" w:type="dxa"/>
            <w:tcBorders>
              <w:top w:val="nil"/>
              <w:left w:val="nil"/>
              <w:bottom w:val="nil"/>
              <w:right w:val="nil"/>
            </w:tcBorders>
            <w:vAlign w:val="center"/>
          </w:tcPr>
          <w:p w14:paraId="4732DB08">
            <w:pPr>
              <w:widowControl/>
              <w:jc w:val="center"/>
              <w:textAlignment w:val="center"/>
              <w:rPr>
                <w:rFonts w:hint="default" w:ascii="Times New Roman" w:hAnsi="Times New Roman" w:eastAsia="宋体" w:cs="Times New Roman"/>
                <w:bCs/>
                <w:sz w:val="15"/>
                <w:szCs w:val="15"/>
              </w:rPr>
            </w:pPr>
            <w:r>
              <w:rPr>
                <w:rFonts w:hint="default" w:ascii="Times New Roman" w:hAnsi="Times New Roman" w:eastAsia="等线" w:cs="Times New Roman"/>
                <w:kern w:val="0"/>
                <w:sz w:val="15"/>
                <w:szCs w:val="15"/>
                <w:lang w:bidi="ar"/>
              </w:rPr>
              <w:t>5.4</w:t>
            </w:r>
          </w:p>
        </w:tc>
        <w:tc>
          <w:tcPr>
            <w:tcW w:w="1217" w:type="dxa"/>
            <w:tcBorders>
              <w:top w:val="nil"/>
              <w:left w:val="nil"/>
              <w:bottom w:val="nil"/>
              <w:right w:val="nil"/>
            </w:tcBorders>
            <w:vAlign w:val="center"/>
          </w:tcPr>
          <w:p w14:paraId="050991C9">
            <w:pPr>
              <w:widowControl/>
              <w:jc w:val="center"/>
              <w:textAlignment w:val="center"/>
              <w:rPr>
                <w:rFonts w:hint="default" w:ascii="Times New Roman" w:hAnsi="Times New Roman" w:eastAsia="等线" w:cs="Times New Roman"/>
                <w:sz w:val="15"/>
                <w:szCs w:val="15"/>
              </w:rPr>
            </w:pPr>
            <w:r>
              <w:rPr>
                <w:rFonts w:hint="default" w:ascii="Times New Roman" w:hAnsi="Times New Roman" w:eastAsia="等线" w:cs="Times New Roman"/>
                <w:kern w:val="0"/>
                <w:sz w:val="15"/>
                <w:szCs w:val="15"/>
                <w:lang w:bidi="ar"/>
              </w:rPr>
              <w:t>23.6</w:t>
            </w:r>
            <w:r>
              <w:rPr>
                <w:rFonts w:hint="eastAsia" w:ascii="Times New Roman" w:hAnsi="Times New Roman" w:eastAsia="等线" w:cs="Times New Roman"/>
                <w:kern w:val="0"/>
                <w:sz w:val="15"/>
                <w:szCs w:val="15"/>
                <w:lang w:bidi="ar"/>
              </w:rPr>
              <w:t>0</w:t>
            </w:r>
          </w:p>
        </w:tc>
        <w:tc>
          <w:tcPr>
            <w:tcW w:w="1217" w:type="dxa"/>
            <w:tcBorders>
              <w:top w:val="nil"/>
              <w:left w:val="nil"/>
              <w:bottom w:val="nil"/>
              <w:right w:val="nil"/>
            </w:tcBorders>
            <w:vAlign w:val="center"/>
          </w:tcPr>
          <w:p w14:paraId="5B2A7142">
            <w:pPr>
              <w:widowControl/>
              <w:jc w:val="center"/>
              <w:textAlignment w:val="center"/>
              <w:rPr>
                <w:rFonts w:hint="default" w:ascii="Times New Roman" w:hAnsi="Times New Roman" w:eastAsia="等线" w:cs="Times New Roman"/>
                <w:sz w:val="15"/>
                <w:szCs w:val="15"/>
              </w:rPr>
            </w:pPr>
            <w:r>
              <w:rPr>
                <w:rFonts w:hint="default" w:ascii="Times New Roman" w:hAnsi="Times New Roman" w:eastAsia="等线" w:cs="Times New Roman"/>
                <w:kern w:val="0"/>
                <w:sz w:val="15"/>
                <w:szCs w:val="15"/>
                <w:lang w:bidi="ar"/>
              </w:rPr>
              <w:t>22.91</w:t>
            </w:r>
            <w:r>
              <w:rPr>
                <w:rFonts w:hint="eastAsia" w:ascii="Times New Roman" w:hAnsi="Times New Roman" w:eastAsia="等线" w:cs="Times New Roman"/>
                <w:kern w:val="0"/>
                <w:sz w:val="15"/>
                <w:szCs w:val="15"/>
                <w:lang w:bidi="ar"/>
              </w:rPr>
              <w:t>0</w:t>
            </w:r>
          </w:p>
        </w:tc>
        <w:tc>
          <w:tcPr>
            <w:tcW w:w="1217" w:type="dxa"/>
            <w:tcBorders>
              <w:top w:val="nil"/>
              <w:left w:val="nil"/>
              <w:bottom w:val="nil"/>
              <w:right w:val="nil"/>
            </w:tcBorders>
            <w:vAlign w:val="center"/>
          </w:tcPr>
          <w:p w14:paraId="0647D562">
            <w:pPr>
              <w:widowControl/>
              <w:jc w:val="center"/>
              <w:textAlignment w:val="center"/>
              <w:rPr>
                <w:rFonts w:hint="default" w:ascii="Times New Roman" w:hAnsi="Times New Roman" w:eastAsia="宋体" w:cs="Times New Roman"/>
                <w:sz w:val="15"/>
                <w:szCs w:val="15"/>
              </w:rPr>
            </w:pPr>
            <w:r>
              <w:rPr>
                <w:rFonts w:hint="default" w:ascii="Times New Roman" w:hAnsi="Times New Roman" w:eastAsia="等线" w:cs="Times New Roman"/>
                <w:kern w:val="0"/>
                <w:sz w:val="15"/>
                <w:szCs w:val="15"/>
                <w:lang w:bidi="ar"/>
              </w:rPr>
              <w:t>0.643</w:t>
            </w:r>
          </w:p>
        </w:tc>
      </w:tr>
      <w:tr w14:paraId="7C631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continue"/>
            <w:tcBorders>
              <w:top w:val="nil"/>
              <w:left w:val="nil"/>
              <w:bottom w:val="nil"/>
              <w:right w:val="nil"/>
            </w:tcBorders>
          </w:tcPr>
          <w:p w14:paraId="68A66A8E">
            <w:pPr>
              <w:jc w:val="center"/>
              <w:rPr>
                <w:rFonts w:hint="default" w:ascii="Times New Roman" w:hAnsi="Times New Roman" w:eastAsia="宋体" w:cs="Times New Roman"/>
                <w:bCs/>
                <w:szCs w:val="21"/>
              </w:rPr>
            </w:pPr>
          </w:p>
        </w:tc>
        <w:tc>
          <w:tcPr>
            <w:tcW w:w="1217" w:type="dxa"/>
            <w:tcBorders>
              <w:top w:val="nil"/>
              <w:left w:val="nil"/>
              <w:bottom w:val="nil"/>
              <w:right w:val="nil"/>
            </w:tcBorders>
          </w:tcPr>
          <w:p w14:paraId="5352A645">
            <w:pPr>
              <w:jc w:val="center"/>
              <w:rPr>
                <w:rFonts w:hint="default" w:ascii="Times New Roman" w:hAnsi="Times New Roman" w:eastAsia="宋体" w:cs="Times New Roman"/>
                <w:bCs/>
                <w:szCs w:val="21"/>
              </w:rPr>
            </w:pPr>
            <w:r>
              <w:rPr>
                <w:rFonts w:hint="eastAsia" w:ascii="Times New Roman" w:hAnsi="Times New Roman" w:eastAsia="宋体" w:cs="Times New Roman"/>
                <w:sz w:val="15"/>
                <w:szCs w:val="15"/>
              </w:rPr>
              <w:t>8</w:t>
            </w:r>
          </w:p>
        </w:tc>
        <w:tc>
          <w:tcPr>
            <w:tcW w:w="1217" w:type="dxa"/>
            <w:tcBorders>
              <w:top w:val="nil"/>
              <w:left w:val="nil"/>
              <w:bottom w:val="nil"/>
              <w:right w:val="nil"/>
            </w:tcBorders>
            <w:vAlign w:val="center"/>
          </w:tcPr>
          <w:p w14:paraId="24C1995B">
            <w:pPr>
              <w:widowControl/>
              <w:jc w:val="center"/>
              <w:textAlignment w:val="center"/>
              <w:rPr>
                <w:rFonts w:hint="default" w:ascii="Times New Roman" w:hAnsi="Times New Roman" w:eastAsia="宋体" w:cs="Times New Roman"/>
                <w:bCs/>
                <w:sz w:val="15"/>
                <w:szCs w:val="15"/>
              </w:rPr>
            </w:pPr>
            <w:r>
              <w:rPr>
                <w:rFonts w:hint="default" w:ascii="Times New Roman" w:hAnsi="Times New Roman" w:eastAsia="等线" w:cs="Times New Roman"/>
                <w:kern w:val="0"/>
                <w:sz w:val="15"/>
                <w:szCs w:val="15"/>
                <w:lang w:bidi="ar"/>
              </w:rPr>
              <w:t>1.6519</w:t>
            </w:r>
          </w:p>
        </w:tc>
        <w:tc>
          <w:tcPr>
            <w:tcW w:w="1217" w:type="dxa"/>
            <w:tcBorders>
              <w:top w:val="nil"/>
              <w:left w:val="nil"/>
              <w:bottom w:val="nil"/>
              <w:right w:val="nil"/>
            </w:tcBorders>
            <w:vAlign w:val="center"/>
          </w:tcPr>
          <w:p w14:paraId="32250E4D">
            <w:pPr>
              <w:widowControl/>
              <w:jc w:val="center"/>
              <w:textAlignment w:val="center"/>
              <w:rPr>
                <w:rFonts w:hint="default" w:ascii="Times New Roman" w:hAnsi="Times New Roman" w:eastAsia="宋体" w:cs="Times New Roman"/>
                <w:bCs/>
                <w:sz w:val="15"/>
                <w:szCs w:val="15"/>
              </w:rPr>
            </w:pPr>
            <w:r>
              <w:rPr>
                <w:rFonts w:hint="default" w:ascii="Times New Roman" w:hAnsi="Times New Roman" w:eastAsia="等线" w:cs="Times New Roman"/>
                <w:kern w:val="0"/>
                <w:sz w:val="15"/>
                <w:szCs w:val="15"/>
                <w:lang w:bidi="ar"/>
              </w:rPr>
              <w:t>7.2</w:t>
            </w:r>
          </w:p>
        </w:tc>
        <w:tc>
          <w:tcPr>
            <w:tcW w:w="1217" w:type="dxa"/>
            <w:tcBorders>
              <w:top w:val="nil"/>
              <w:left w:val="nil"/>
              <w:bottom w:val="nil"/>
              <w:right w:val="nil"/>
            </w:tcBorders>
            <w:vAlign w:val="center"/>
          </w:tcPr>
          <w:p w14:paraId="52A27C6F">
            <w:pPr>
              <w:widowControl/>
              <w:jc w:val="center"/>
              <w:textAlignment w:val="center"/>
              <w:rPr>
                <w:rFonts w:hint="default" w:ascii="Times New Roman" w:hAnsi="Times New Roman" w:eastAsia="等线" w:cs="Times New Roman"/>
                <w:sz w:val="15"/>
                <w:szCs w:val="15"/>
              </w:rPr>
            </w:pPr>
            <w:r>
              <w:rPr>
                <w:rFonts w:hint="default" w:ascii="Times New Roman" w:hAnsi="Times New Roman" w:eastAsia="等线" w:cs="Times New Roman"/>
                <w:kern w:val="0"/>
                <w:sz w:val="15"/>
                <w:szCs w:val="15"/>
                <w:lang w:bidi="ar"/>
              </w:rPr>
              <w:t>31.8</w:t>
            </w:r>
            <w:r>
              <w:rPr>
                <w:rFonts w:hint="eastAsia" w:ascii="Times New Roman" w:hAnsi="Times New Roman" w:eastAsia="等线" w:cs="Times New Roman"/>
                <w:kern w:val="0"/>
                <w:sz w:val="15"/>
                <w:szCs w:val="15"/>
                <w:lang w:bidi="ar"/>
              </w:rPr>
              <w:t>0</w:t>
            </w:r>
          </w:p>
        </w:tc>
        <w:tc>
          <w:tcPr>
            <w:tcW w:w="1217" w:type="dxa"/>
            <w:tcBorders>
              <w:top w:val="nil"/>
              <w:left w:val="nil"/>
              <w:bottom w:val="nil"/>
              <w:right w:val="nil"/>
            </w:tcBorders>
            <w:vAlign w:val="center"/>
          </w:tcPr>
          <w:p w14:paraId="3E8C8DB5">
            <w:pPr>
              <w:widowControl/>
              <w:jc w:val="center"/>
              <w:textAlignment w:val="center"/>
              <w:rPr>
                <w:rFonts w:hint="default" w:ascii="Times New Roman" w:hAnsi="Times New Roman" w:eastAsia="宋体" w:cs="Times New Roman"/>
                <w:sz w:val="15"/>
                <w:szCs w:val="15"/>
              </w:rPr>
            </w:pPr>
            <w:r>
              <w:rPr>
                <w:rFonts w:hint="default" w:ascii="Times New Roman" w:hAnsi="Times New Roman" w:eastAsia="等线" w:cs="Times New Roman"/>
                <w:kern w:val="0"/>
                <w:sz w:val="15"/>
                <w:szCs w:val="15"/>
                <w:lang w:bidi="ar"/>
              </w:rPr>
              <w:t>28.937</w:t>
            </w:r>
          </w:p>
        </w:tc>
        <w:tc>
          <w:tcPr>
            <w:tcW w:w="1217" w:type="dxa"/>
            <w:tcBorders>
              <w:top w:val="nil"/>
              <w:left w:val="nil"/>
              <w:bottom w:val="nil"/>
              <w:right w:val="nil"/>
            </w:tcBorders>
            <w:vAlign w:val="center"/>
          </w:tcPr>
          <w:p w14:paraId="31253B5C">
            <w:pPr>
              <w:widowControl/>
              <w:jc w:val="center"/>
              <w:textAlignment w:val="center"/>
              <w:rPr>
                <w:rFonts w:hint="default" w:ascii="Times New Roman" w:hAnsi="Times New Roman" w:eastAsia="宋体" w:cs="Times New Roman"/>
                <w:sz w:val="15"/>
                <w:szCs w:val="15"/>
              </w:rPr>
            </w:pPr>
            <w:r>
              <w:rPr>
                <w:rFonts w:hint="default" w:ascii="Times New Roman" w:hAnsi="Times New Roman" w:eastAsia="等线" w:cs="Times New Roman"/>
                <w:kern w:val="0"/>
                <w:sz w:val="15"/>
                <w:szCs w:val="15"/>
                <w:lang w:bidi="ar"/>
              </w:rPr>
              <w:t>0.216</w:t>
            </w:r>
          </w:p>
        </w:tc>
      </w:tr>
      <w:tr w14:paraId="5BDE7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continue"/>
            <w:tcBorders>
              <w:top w:val="nil"/>
              <w:left w:val="nil"/>
              <w:bottom w:val="single" w:color="auto" w:sz="6" w:space="0"/>
              <w:right w:val="nil"/>
            </w:tcBorders>
          </w:tcPr>
          <w:p w14:paraId="7FF9E36C">
            <w:pPr>
              <w:jc w:val="center"/>
              <w:rPr>
                <w:rFonts w:hint="default" w:ascii="Times New Roman" w:hAnsi="Times New Roman" w:eastAsia="宋体" w:cs="Times New Roman"/>
                <w:bCs/>
                <w:szCs w:val="21"/>
              </w:rPr>
            </w:pPr>
          </w:p>
        </w:tc>
        <w:tc>
          <w:tcPr>
            <w:tcW w:w="1217" w:type="dxa"/>
            <w:tcBorders>
              <w:top w:val="nil"/>
              <w:left w:val="nil"/>
              <w:bottom w:val="single" w:color="auto" w:sz="6" w:space="0"/>
              <w:right w:val="nil"/>
            </w:tcBorders>
          </w:tcPr>
          <w:p w14:paraId="3096A072">
            <w:pPr>
              <w:jc w:val="center"/>
              <w:rPr>
                <w:rFonts w:hint="default" w:ascii="Times New Roman" w:hAnsi="Times New Roman" w:eastAsia="宋体" w:cs="Times New Roman"/>
                <w:sz w:val="15"/>
                <w:szCs w:val="15"/>
              </w:rPr>
            </w:pPr>
            <w:r>
              <w:rPr>
                <w:rFonts w:hint="eastAsia" w:ascii="Times New Roman" w:hAnsi="Times New Roman" w:eastAsia="宋体" w:cs="Times New Roman"/>
                <w:sz w:val="15"/>
                <w:szCs w:val="15"/>
              </w:rPr>
              <w:t>9</w:t>
            </w:r>
          </w:p>
        </w:tc>
        <w:tc>
          <w:tcPr>
            <w:tcW w:w="1217" w:type="dxa"/>
            <w:tcBorders>
              <w:top w:val="nil"/>
              <w:left w:val="nil"/>
              <w:bottom w:val="single" w:color="auto" w:sz="6" w:space="0"/>
              <w:right w:val="nil"/>
            </w:tcBorders>
            <w:vAlign w:val="center"/>
          </w:tcPr>
          <w:p w14:paraId="1D95F2C8">
            <w:pPr>
              <w:widowControl/>
              <w:jc w:val="center"/>
              <w:textAlignment w:val="center"/>
              <w:rPr>
                <w:rFonts w:hint="default" w:ascii="Times New Roman" w:hAnsi="Times New Roman" w:eastAsia="宋体" w:cs="Times New Roman"/>
                <w:sz w:val="15"/>
                <w:szCs w:val="15"/>
              </w:rPr>
            </w:pPr>
            <w:r>
              <w:rPr>
                <w:rFonts w:hint="default" w:ascii="Times New Roman" w:hAnsi="Times New Roman" w:eastAsia="等线" w:cs="Times New Roman"/>
                <w:kern w:val="0"/>
                <w:sz w:val="15"/>
                <w:szCs w:val="15"/>
                <w:lang w:bidi="ar"/>
              </w:rPr>
              <w:t>1.6519</w:t>
            </w:r>
          </w:p>
        </w:tc>
        <w:tc>
          <w:tcPr>
            <w:tcW w:w="1217" w:type="dxa"/>
            <w:tcBorders>
              <w:top w:val="nil"/>
              <w:left w:val="nil"/>
              <w:bottom w:val="single" w:color="auto" w:sz="6" w:space="0"/>
              <w:right w:val="nil"/>
            </w:tcBorders>
            <w:vAlign w:val="center"/>
          </w:tcPr>
          <w:p w14:paraId="1C8FB36E">
            <w:pPr>
              <w:widowControl/>
              <w:jc w:val="center"/>
              <w:textAlignment w:val="center"/>
              <w:rPr>
                <w:rFonts w:hint="default" w:ascii="Times New Roman" w:hAnsi="Times New Roman" w:eastAsia="等线" w:cs="Times New Roman"/>
                <w:sz w:val="15"/>
                <w:szCs w:val="15"/>
              </w:rPr>
            </w:pPr>
            <w:r>
              <w:rPr>
                <w:rFonts w:hint="default" w:ascii="Times New Roman" w:hAnsi="Times New Roman" w:eastAsia="等线" w:cs="Times New Roman"/>
                <w:kern w:val="0"/>
                <w:sz w:val="15"/>
                <w:szCs w:val="15"/>
                <w:lang w:bidi="ar"/>
              </w:rPr>
              <w:t>9</w:t>
            </w:r>
            <w:r>
              <w:rPr>
                <w:rFonts w:hint="eastAsia" w:ascii="Times New Roman" w:hAnsi="Times New Roman" w:eastAsia="等线" w:cs="Times New Roman"/>
                <w:kern w:val="0"/>
                <w:sz w:val="15"/>
                <w:szCs w:val="15"/>
                <w:lang w:bidi="ar"/>
              </w:rPr>
              <w:t>.0</w:t>
            </w:r>
          </w:p>
        </w:tc>
        <w:tc>
          <w:tcPr>
            <w:tcW w:w="1217" w:type="dxa"/>
            <w:tcBorders>
              <w:top w:val="nil"/>
              <w:left w:val="nil"/>
              <w:bottom w:val="single" w:color="auto" w:sz="6" w:space="0"/>
              <w:right w:val="nil"/>
            </w:tcBorders>
            <w:vAlign w:val="center"/>
          </w:tcPr>
          <w:p w14:paraId="4FE35575">
            <w:pPr>
              <w:widowControl/>
              <w:jc w:val="center"/>
              <w:textAlignment w:val="center"/>
              <w:rPr>
                <w:rFonts w:hint="default" w:ascii="Times New Roman" w:hAnsi="Times New Roman" w:eastAsia="等线" w:cs="Times New Roman"/>
                <w:sz w:val="15"/>
                <w:szCs w:val="15"/>
              </w:rPr>
            </w:pPr>
            <w:r>
              <w:rPr>
                <w:rFonts w:hint="default" w:ascii="Times New Roman" w:hAnsi="Times New Roman" w:eastAsia="等线" w:cs="Times New Roman"/>
                <w:kern w:val="0"/>
                <w:sz w:val="15"/>
                <w:szCs w:val="15"/>
                <w:lang w:bidi="ar"/>
              </w:rPr>
              <w:t>40.3</w:t>
            </w:r>
            <w:r>
              <w:rPr>
                <w:rFonts w:hint="eastAsia" w:ascii="Times New Roman" w:hAnsi="Times New Roman" w:eastAsia="等线" w:cs="Times New Roman"/>
                <w:kern w:val="0"/>
                <w:sz w:val="15"/>
                <w:szCs w:val="15"/>
                <w:lang w:bidi="ar"/>
              </w:rPr>
              <w:t>0</w:t>
            </w:r>
          </w:p>
        </w:tc>
        <w:tc>
          <w:tcPr>
            <w:tcW w:w="1217" w:type="dxa"/>
            <w:tcBorders>
              <w:top w:val="nil"/>
              <w:left w:val="nil"/>
              <w:bottom w:val="single" w:color="auto" w:sz="6" w:space="0"/>
              <w:right w:val="nil"/>
            </w:tcBorders>
            <w:vAlign w:val="center"/>
          </w:tcPr>
          <w:p w14:paraId="5F5242D1">
            <w:pPr>
              <w:widowControl/>
              <w:jc w:val="center"/>
              <w:textAlignment w:val="center"/>
              <w:rPr>
                <w:rFonts w:hint="default" w:ascii="Times New Roman" w:hAnsi="Times New Roman" w:eastAsia="宋体" w:cs="Times New Roman"/>
                <w:sz w:val="15"/>
                <w:szCs w:val="15"/>
              </w:rPr>
            </w:pPr>
            <w:r>
              <w:rPr>
                <w:rFonts w:hint="default" w:ascii="Times New Roman" w:hAnsi="Times New Roman" w:eastAsia="等线" w:cs="Times New Roman"/>
                <w:kern w:val="0"/>
                <w:sz w:val="15"/>
                <w:szCs w:val="15"/>
                <w:lang w:bidi="ar"/>
              </w:rPr>
              <w:t>40.306</w:t>
            </w:r>
          </w:p>
        </w:tc>
        <w:tc>
          <w:tcPr>
            <w:tcW w:w="1217" w:type="dxa"/>
            <w:tcBorders>
              <w:top w:val="nil"/>
              <w:left w:val="nil"/>
              <w:bottom w:val="single" w:color="auto" w:sz="6" w:space="0"/>
              <w:right w:val="nil"/>
            </w:tcBorders>
            <w:vAlign w:val="center"/>
          </w:tcPr>
          <w:p w14:paraId="71DA398B">
            <w:pPr>
              <w:widowControl/>
              <w:jc w:val="center"/>
              <w:textAlignment w:val="center"/>
              <w:rPr>
                <w:rFonts w:hint="default" w:ascii="Times New Roman" w:hAnsi="Times New Roman" w:eastAsia="宋体" w:cs="Times New Roman"/>
                <w:sz w:val="15"/>
                <w:szCs w:val="15"/>
              </w:rPr>
            </w:pPr>
            <w:r>
              <w:rPr>
                <w:rFonts w:hint="default" w:ascii="Times New Roman" w:hAnsi="Times New Roman" w:eastAsia="等线" w:cs="Times New Roman"/>
                <w:kern w:val="0"/>
                <w:sz w:val="15"/>
                <w:szCs w:val="15"/>
                <w:lang w:bidi="ar"/>
              </w:rPr>
              <w:t>9.527</w:t>
            </w:r>
          </w:p>
        </w:tc>
      </w:tr>
      <w:tr w14:paraId="19A5A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restart"/>
            <w:tcBorders>
              <w:top w:val="single" w:color="auto" w:sz="6" w:space="0"/>
              <w:left w:val="nil"/>
              <w:bottom w:val="nil"/>
              <w:right w:val="nil"/>
            </w:tcBorders>
          </w:tcPr>
          <w:p w14:paraId="01D71B0E">
            <w:pPr>
              <w:jc w:val="center"/>
              <w:rPr>
                <w:rFonts w:hint="default" w:ascii="Times New Roman" w:hAnsi="Times New Roman" w:eastAsia="宋体" w:cs="Times New Roman"/>
                <w:sz w:val="15"/>
                <w:szCs w:val="15"/>
              </w:rPr>
            </w:pPr>
          </w:p>
          <w:p w14:paraId="34358DB3">
            <w:pPr>
              <w:jc w:val="center"/>
              <w:rPr>
                <w:rFonts w:hint="default" w:ascii="Times New Roman" w:hAnsi="Times New Roman" w:eastAsia="宋体" w:cs="Times New Roman"/>
                <w:bCs/>
                <w:szCs w:val="21"/>
              </w:rPr>
            </w:pPr>
            <w:r>
              <w:rPr>
                <w:rFonts w:hint="default" w:ascii="Times New Roman" w:hAnsi="Times New Roman" w:eastAsia="宋体" w:cs="Times New Roman"/>
                <w:sz w:val="15"/>
                <w:szCs w:val="15"/>
              </w:rPr>
              <w:t>测试组</w:t>
            </w:r>
          </w:p>
        </w:tc>
        <w:tc>
          <w:tcPr>
            <w:tcW w:w="1217" w:type="dxa"/>
            <w:tcBorders>
              <w:top w:val="single" w:color="auto" w:sz="6" w:space="0"/>
              <w:left w:val="nil"/>
              <w:bottom w:val="nil"/>
              <w:right w:val="nil"/>
            </w:tcBorders>
          </w:tcPr>
          <w:p w14:paraId="0589ECEA">
            <w:pPr>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rPr>
              <w:t>1</w:t>
            </w:r>
          </w:p>
        </w:tc>
        <w:tc>
          <w:tcPr>
            <w:tcW w:w="1217" w:type="dxa"/>
            <w:tcBorders>
              <w:top w:val="single" w:color="auto" w:sz="6" w:space="0"/>
              <w:left w:val="nil"/>
              <w:bottom w:val="nil"/>
              <w:right w:val="nil"/>
            </w:tcBorders>
            <w:vAlign w:val="center"/>
          </w:tcPr>
          <w:p w14:paraId="1752922B">
            <w:pPr>
              <w:widowControl/>
              <w:jc w:val="center"/>
              <w:textAlignment w:val="center"/>
              <w:rPr>
                <w:rFonts w:hint="default" w:ascii="Times New Roman" w:hAnsi="Times New Roman" w:eastAsia="宋体" w:cs="Times New Roman"/>
                <w:sz w:val="15"/>
                <w:szCs w:val="15"/>
              </w:rPr>
            </w:pPr>
            <w:r>
              <w:rPr>
                <w:rFonts w:hint="default" w:ascii="Times New Roman" w:hAnsi="Times New Roman" w:eastAsia="等线" w:cs="Times New Roman"/>
                <w:kern w:val="0"/>
                <w:sz w:val="15"/>
                <w:szCs w:val="15"/>
                <w:lang w:bidi="ar"/>
              </w:rPr>
              <w:t>0.8694</w:t>
            </w:r>
          </w:p>
        </w:tc>
        <w:tc>
          <w:tcPr>
            <w:tcW w:w="1217" w:type="dxa"/>
            <w:tcBorders>
              <w:top w:val="single" w:color="auto" w:sz="6" w:space="0"/>
              <w:left w:val="nil"/>
              <w:bottom w:val="nil"/>
              <w:right w:val="nil"/>
            </w:tcBorders>
            <w:vAlign w:val="center"/>
          </w:tcPr>
          <w:p w14:paraId="55BE4832">
            <w:pPr>
              <w:widowControl/>
              <w:jc w:val="center"/>
              <w:textAlignment w:val="center"/>
              <w:rPr>
                <w:rFonts w:hint="default" w:ascii="Times New Roman" w:hAnsi="Times New Roman" w:eastAsia="宋体" w:cs="Times New Roman"/>
                <w:sz w:val="15"/>
                <w:szCs w:val="15"/>
              </w:rPr>
            </w:pPr>
            <w:r>
              <w:rPr>
                <w:rFonts w:hint="default" w:ascii="Times New Roman" w:hAnsi="Times New Roman" w:eastAsia="等线" w:cs="Times New Roman"/>
                <w:kern w:val="0"/>
                <w:sz w:val="15"/>
                <w:szCs w:val="15"/>
                <w:lang w:bidi="ar"/>
              </w:rPr>
              <w:t>5.4</w:t>
            </w:r>
          </w:p>
        </w:tc>
        <w:tc>
          <w:tcPr>
            <w:tcW w:w="1217" w:type="dxa"/>
            <w:tcBorders>
              <w:top w:val="single" w:color="auto" w:sz="6" w:space="0"/>
              <w:left w:val="nil"/>
              <w:bottom w:val="nil"/>
              <w:right w:val="nil"/>
            </w:tcBorders>
            <w:vAlign w:val="center"/>
          </w:tcPr>
          <w:p w14:paraId="7FE4986D">
            <w:pPr>
              <w:widowControl/>
              <w:jc w:val="center"/>
              <w:textAlignment w:val="center"/>
              <w:rPr>
                <w:rFonts w:hint="default" w:ascii="Times New Roman" w:hAnsi="Times New Roman" w:eastAsia="等线" w:cs="Times New Roman"/>
                <w:sz w:val="15"/>
                <w:szCs w:val="15"/>
              </w:rPr>
            </w:pPr>
            <w:r>
              <w:rPr>
                <w:rFonts w:hint="default" w:ascii="Times New Roman" w:hAnsi="Times New Roman" w:eastAsia="等线" w:cs="Times New Roman"/>
                <w:kern w:val="0"/>
                <w:sz w:val="15"/>
                <w:szCs w:val="15"/>
                <w:lang w:bidi="ar"/>
              </w:rPr>
              <w:t>23.5</w:t>
            </w:r>
            <w:r>
              <w:rPr>
                <w:rFonts w:hint="eastAsia" w:ascii="Times New Roman" w:hAnsi="Times New Roman" w:eastAsia="等线" w:cs="Times New Roman"/>
                <w:kern w:val="0"/>
                <w:sz w:val="15"/>
                <w:szCs w:val="15"/>
                <w:lang w:bidi="ar"/>
              </w:rPr>
              <w:t>0</w:t>
            </w:r>
          </w:p>
        </w:tc>
        <w:tc>
          <w:tcPr>
            <w:tcW w:w="1217" w:type="dxa"/>
            <w:tcBorders>
              <w:top w:val="single" w:color="auto" w:sz="6" w:space="0"/>
              <w:left w:val="nil"/>
              <w:bottom w:val="nil"/>
              <w:right w:val="nil"/>
            </w:tcBorders>
            <w:vAlign w:val="center"/>
          </w:tcPr>
          <w:p w14:paraId="7FB88DDF">
            <w:pPr>
              <w:widowControl/>
              <w:jc w:val="center"/>
              <w:textAlignment w:val="center"/>
              <w:rPr>
                <w:rFonts w:hint="default" w:ascii="Times New Roman" w:hAnsi="Times New Roman" w:eastAsia="宋体" w:cs="Times New Roman"/>
                <w:sz w:val="15"/>
                <w:szCs w:val="15"/>
              </w:rPr>
            </w:pPr>
            <w:r>
              <w:rPr>
                <w:rFonts w:hint="default" w:ascii="Times New Roman" w:hAnsi="Times New Roman" w:eastAsia="等线" w:cs="Times New Roman"/>
                <w:kern w:val="0"/>
                <w:sz w:val="15"/>
                <w:szCs w:val="15"/>
                <w:lang w:bidi="ar"/>
              </w:rPr>
              <w:t>25.084</w:t>
            </w:r>
          </w:p>
        </w:tc>
        <w:tc>
          <w:tcPr>
            <w:tcW w:w="1217" w:type="dxa"/>
            <w:tcBorders>
              <w:top w:val="single" w:color="auto" w:sz="6" w:space="0"/>
              <w:left w:val="nil"/>
              <w:bottom w:val="nil"/>
              <w:right w:val="nil"/>
            </w:tcBorders>
            <w:vAlign w:val="center"/>
          </w:tcPr>
          <w:p w14:paraId="6627A303">
            <w:pPr>
              <w:widowControl/>
              <w:jc w:val="center"/>
              <w:textAlignment w:val="center"/>
              <w:rPr>
                <w:rFonts w:hint="default" w:ascii="Times New Roman" w:hAnsi="Times New Roman" w:eastAsia="宋体" w:cs="Times New Roman"/>
                <w:sz w:val="15"/>
                <w:szCs w:val="15"/>
              </w:rPr>
            </w:pPr>
            <w:r>
              <w:rPr>
                <w:rFonts w:hint="default" w:ascii="Times New Roman" w:hAnsi="Times New Roman" w:eastAsia="等线" w:cs="Times New Roman"/>
                <w:kern w:val="0"/>
                <w:sz w:val="15"/>
                <w:szCs w:val="15"/>
                <w:lang w:bidi="ar"/>
              </w:rPr>
              <w:t>0.652</w:t>
            </w:r>
          </w:p>
        </w:tc>
      </w:tr>
      <w:tr w14:paraId="63BA6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continue"/>
            <w:tcBorders>
              <w:top w:val="nil"/>
              <w:left w:val="nil"/>
              <w:bottom w:val="nil"/>
              <w:right w:val="nil"/>
            </w:tcBorders>
          </w:tcPr>
          <w:p w14:paraId="02D658AE">
            <w:pPr>
              <w:jc w:val="center"/>
              <w:rPr>
                <w:rFonts w:hint="default" w:ascii="Times New Roman" w:hAnsi="Times New Roman" w:eastAsia="宋体" w:cs="Times New Roman"/>
                <w:bCs/>
                <w:szCs w:val="21"/>
              </w:rPr>
            </w:pPr>
          </w:p>
        </w:tc>
        <w:tc>
          <w:tcPr>
            <w:tcW w:w="1217" w:type="dxa"/>
            <w:tcBorders>
              <w:top w:val="nil"/>
              <w:left w:val="nil"/>
              <w:bottom w:val="nil"/>
              <w:right w:val="nil"/>
            </w:tcBorders>
          </w:tcPr>
          <w:p w14:paraId="7414CF51">
            <w:pPr>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rPr>
              <w:t>2</w:t>
            </w:r>
          </w:p>
        </w:tc>
        <w:tc>
          <w:tcPr>
            <w:tcW w:w="1217" w:type="dxa"/>
            <w:tcBorders>
              <w:top w:val="nil"/>
              <w:left w:val="nil"/>
              <w:bottom w:val="nil"/>
              <w:right w:val="nil"/>
            </w:tcBorders>
            <w:vAlign w:val="center"/>
          </w:tcPr>
          <w:p w14:paraId="5D625AE6">
            <w:pPr>
              <w:widowControl/>
              <w:jc w:val="center"/>
              <w:textAlignment w:val="center"/>
              <w:rPr>
                <w:rFonts w:hint="default" w:ascii="Times New Roman" w:hAnsi="Times New Roman" w:eastAsia="宋体" w:cs="Times New Roman"/>
                <w:sz w:val="15"/>
                <w:szCs w:val="15"/>
              </w:rPr>
            </w:pPr>
            <w:r>
              <w:rPr>
                <w:rFonts w:hint="default" w:ascii="Times New Roman" w:hAnsi="Times New Roman" w:eastAsia="等线" w:cs="Times New Roman"/>
                <w:kern w:val="0"/>
                <w:sz w:val="15"/>
                <w:szCs w:val="15"/>
                <w:lang w:bidi="ar"/>
              </w:rPr>
              <w:t>0.8694</w:t>
            </w:r>
          </w:p>
        </w:tc>
        <w:tc>
          <w:tcPr>
            <w:tcW w:w="1217" w:type="dxa"/>
            <w:tcBorders>
              <w:top w:val="nil"/>
              <w:left w:val="nil"/>
              <w:bottom w:val="nil"/>
              <w:right w:val="nil"/>
            </w:tcBorders>
            <w:vAlign w:val="center"/>
          </w:tcPr>
          <w:p w14:paraId="21461FDE">
            <w:pPr>
              <w:widowControl/>
              <w:jc w:val="center"/>
              <w:textAlignment w:val="center"/>
              <w:rPr>
                <w:rFonts w:hint="default" w:ascii="Times New Roman" w:hAnsi="Times New Roman" w:eastAsia="宋体" w:cs="Times New Roman"/>
                <w:sz w:val="15"/>
                <w:szCs w:val="15"/>
              </w:rPr>
            </w:pPr>
            <w:r>
              <w:rPr>
                <w:rFonts w:hint="default" w:ascii="Times New Roman" w:hAnsi="Times New Roman" w:eastAsia="等线" w:cs="Times New Roman"/>
                <w:kern w:val="0"/>
                <w:sz w:val="15"/>
                <w:szCs w:val="15"/>
                <w:lang w:bidi="ar"/>
              </w:rPr>
              <w:t>7.2</w:t>
            </w:r>
          </w:p>
        </w:tc>
        <w:tc>
          <w:tcPr>
            <w:tcW w:w="1217" w:type="dxa"/>
            <w:tcBorders>
              <w:top w:val="nil"/>
              <w:left w:val="nil"/>
              <w:bottom w:val="nil"/>
              <w:right w:val="nil"/>
            </w:tcBorders>
            <w:vAlign w:val="center"/>
          </w:tcPr>
          <w:p w14:paraId="1A415A39">
            <w:pPr>
              <w:widowControl/>
              <w:jc w:val="center"/>
              <w:textAlignment w:val="center"/>
              <w:rPr>
                <w:rFonts w:hint="default" w:ascii="Times New Roman" w:hAnsi="Times New Roman" w:eastAsia="等线" w:cs="Times New Roman"/>
                <w:sz w:val="15"/>
                <w:szCs w:val="15"/>
              </w:rPr>
            </w:pPr>
            <w:r>
              <w:rPr>
                <w:rFonts w:hint="default" w:ascii="Times New Roman" w:hAnsi="Times New Roman" w:eastAsia="等线" w:cs="Times New Roman"/>
                <w:kern w:val="0"/>
                <w:sz w:val="15"/>
                <w:szCs w:val="15"/>
                <w:lang w:bidi="ar"/>
              </w:rPr>
              <w:t>33.8</w:t>
            </w:r>
            <w:r>
              <w:rPr>
                <w:rFonts w:hint="eastAsia" w:ascii="Times New Roman" w:hAnsi="Times New Roman" w:eastAsia="等线" w:cs="Times New Roman"/>
                <w:kern w:val="0"/>
                <w:sz w:val="15"/>
                <w:szCs w:val="15"/>
                <w:lang w:bidi="ar"/>
              </w:rPr>
              <w:t>0</w:t>
            </w:r>
          </w:p>
        </w:tc>
        <w:tc>
          <w:tcPr>
            <w:tcW w:w="1217" w:type="dxa"/>
            <w:tcBorders>
              <w:top w:val="nil"/>
              <w:left w:val="nil"/>
              <w:bottom w:val="nil"/>
              <w:right w:val="nil"/>
            </w:tcBorders>
            <w:vAlign w:val="center"/>
          </w:tcPr>
          <w:p w14:paraId="582EF6A0">
            <w:pPr>
              <w:widowControl/>
              <w:jc w:val="center"/>
              <w:textAlignment w:val="center"/>
              <w:rPr>
                <w:rFonts w:hint="default" w:ascii="Times New Roman" w:hAnsi="Times New Roman" w:eastAsia="宋体" w:cs="Times New Roman"/>
                <w:sz w:val="15"/>
                <w:szCs w:val="15"/>
              </w:rPr>
            </w:pPr>
            <w:r>
              <w:rPr>
                <w:rFonts w:hint="default" w:ascii="Times New Roman" w:hAnsi="Times New Roman" w:eastAsia="等线" w:cs="Times New Roman"/>
                <w:kern w:val="0"/>
                <w:sz w:val="15"/>
                <w:szCs w:val="15"/>
                <w:lang w:bidi="ar"/>
              </w:rPr>
              <w:t>3</w:t>
            </w:r>
            <w:r>
              <w:rPr>
                <w:rFonts w:hint="eastAsia" w:ascii="Times New Roman" w:hAnsi="Times New Roman" w:eastAsia="等线" w:cs="Times New Roman"/>
                <w:kern w:val="0"/>
                <w:sz w:val="15"/>
                <w:szCs w:val="15"/>
                <w:lang w:bidi="ar"/>
              </w:rPr>
              <w:t>3</w:t>
            </w:r>
            <w:r>
              <w:rPr>
                <w:rFonts w:hint="default" w:ascii="Times New Roman" w:hAnsi="Times New Roman" w:eastAsia="等线" w:cs="Times New Roman"/>
                <w:kern w:val="0"/>
                <w:sz w:val="15"/>
                <w:szCs w:val="15"/>
                <w:lang w:bidi="ar"/>
              </w:rPr>
              <w:t>.969</w:t>
            </w:r>
          </w:p>
        </w:tc>
        <w:tc>
          <w:tcPr>
            <w:tcW w:w="1217" w:type="dxa"/>
            <w:tcBorders>
              <w:top w:val="nil"/>
              <w:left w:val="nil"/>
              <w:bottom w:val="nil"/>
              <w:right w:val="nil"/>
            </w:tcBorders>
            <w:vAlign w:val="center"/>
          </w:tcPr>
          <w:p w14:paraId="1CB841A0">
            <w:pPr>
              <w:widowControl/>
              <w:jc w:val="center"/>
              <w:textAlignment w:val="center"/>
              <w:rPr>
                <w:rFonts w:hint="default" w:ascii="Times New Roman" w:hAnsi="Times New Roman" w:eastAsia="宋体" w:cs="Times New Roman"/>
                <w:sz w:val="15"/>
                <w:szCs w:val="15"/>
              </w:rPr>
            </w:pPr>
            <w:r>
              <w:rPr>
                <w:rFonts w:hint="default" w:ascii="Times New Roman" w:hAnsi="Times New Roman" w:eastAsia="等线" w:cs="Times New Roman"/>
                <w:kern w:val="0"/>
                <w:sz w:val="15"/>
                <w:szCs w:val="15"/>
                <w:lang w:bidi="ar"/>
              </w:rPr>
              <w:t>3.506</w:t>
            </w:r>
          </w:p>
        </w:tc>
      </w:tr>
      <w:tr w14:paraId="6DE0D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continue"/>
            <w:tcBorders>
              <w:top w:val="nil"/>
              <w:left w:val="nil"/>
              <w:bottom w:val="single" w:color="auto" w:sz="12" w:space="0"/>
              <w:right w:val="nil"/>
            </w:tcBorders>
          </w:tcPr>
          <w:p w14:paraId="011C95F6">
            <w:pPr>
              <w:jc w:val="center"/>
              <w:rPr>
                <w:rFonts w:hint="default" w:ascii="Times New Roman" w:hAnsi="Times New Roman" w:eastAsia="宋体" w:cs="Times New Roman"/>
                <w:bCs/>
                <w:szCs w:val="21"/>
              </w:rPr>
            </w:pPr>
          </w:p>
        </w:tc>
        <w:tc>
          <w:tcPr>
            <w:tcW w:w="1217" w:type="dxa"/>
            <w:tcBorders>
              <w:top w:val="nil"/>
              <w:left w:val="nil"/>
              <w:bottom w:val="single" w:color="auto" w:sz="12" w:space="0"/>
              <w:right w:val="nil"/>
            </w:tcBorders>
          </w:tcPr>
          <w:p w14:paraId="40B1A7CE">
            <w:pPr>
              <w:jc w:val="center"/>
              <w:rPr>
                <w:rFonts w:hint="default" w:ascii="Times New Roman" w:hAnsi="Times New Roman" w:eastAsia="宋体" w:cs="Times New Roman"/>
                <w:sz w:val="15"/>
                <w:szCs w:val="15"/>
              </w:rPr>
            </w:pPr>
            <w:r>
              <w:rPr>
                <w:rFonts w:hint="default" w:ascii="Times New Roman" w:hAnsi="Times New Roman" w:eastAsia="宋体" w:cs="Times New Roman"/>
                <w:sz w:val="15"/>
                <w:szCs w:val="15"/>
              </w:rPr>
              <w:t>3</w:t>
            </w:r>
          </w:p>
        </w:tc>
        <w:tc>
          <w:tcPr>
            <w:tcW w:w="1217" w:type="dxa"/>
            <w:tcBorders>
              <w:top w:val="nil"/>
              <w:left w:val="nil"/>
              <w:bottom w:val="single" w:color="auto" w:sz="12" w:space="0"/>
              <w:right w:val="nil"/>
            </w:tcBorders>
            <w:vAlign w:val="center"/>
          </w:tcPr>
          <w:p w14:paraId="7A7F4E78">
            <w:pPr>
              <w:widowControl/>
              <w:jc w:val="center"/>
              <w:textAlignment w:val="center"/>
              <w:rPr>
                <w:rFonts w:hint="default" w:ascii="Times New Roman" w:hAnsi="Times New Roman" w:eastAsia="宋体" w:cs="Times New Roman"/>
                <w:sz w:val="15"/>
                <w:szCs w:val="15"/>
              </w:rPr>
            </w:pPr>
            <w:r>
              <w:rPr>
                <w:rFonts w:hint="default" w:ascii="Times New Roman" w:hAnsi="Times New Roman" w:eastAsia="等线" w:cs="Times New Roman"/>
                <w:kern w:val="0"/>
                <w:sz w:val="15"/>
                <w:szCs w:val="15"/>
                <w:lang w:bidi="ar"/>
              </w:rPr>
              <w:t>0.8694</w:t>
            </w:r>
          </w:p>
        </w:tc>
        <w:tc>
          <w:tcPr>
            <w:tcW w:w="1217" w:type="dxa"/>
            <w:tcBorders>
              <w:top w:val="nil"/>
              <w:left w:val="nil"/>
              <w:bottom w:val="single" w:color="auto" w:sz="12" w:space="0"/>
              <w:right w:val="nil"/>
            </w:tcBorders>
            <w:vAlign w:val="center"/>
          </w:tcPr>
          <w:p w14:paraId="00F24596">
            <w:pPr>
              <w:widowControl/>
              <w:jc w:val="center"/>
              <w:textAlignment w:val="center"/>
              <w:rPr>
                <w:rFonts w:hint="default" w:ascii="Times New Roman" w:hAnsi="Times New Roman" w:eastAsia="等线" w:cs="Times New Roman"/>
                <w:sz w:val="15"/>
                <w:szCs w:val="15"/>
              </w:rPr>
            </w:pPr>
            <w:r>
              <w:rPr>
                <w:rFonts w:hint="default" w:ascii="Times New Roman" w:hAnsi="Times New Roman" w:eastAsia="等线" w:cs="Times New Roman"/>
                <w:kern w:val="0"/>
                <w:sz w:val="15"/>
                <w:szCs w:val="15"/>
                <w:lang w:bidi="ar"/>
              </w:rPr>
              <w:t>9</w:t>
            </w:r>
            <w:r>
              <w:rPr>
                <w:rFonts w:hint="eastAsia" w:ascii="Times New Roman" w:hAnsi="Times New Roman" w:eastAsia="等线" w:cs="Times New Roman"/>
                <w:kern w:val="0"/>
                <w:sz w:val="15"/>
                <w:szCs w:val="15"/>
                <w:lang w:bidi="ar"/>
              </w:rPr>
              <w:t>.0</w:t>
            </w:r>
          </w:p>
        </w:tc>
        <w:tc>
          <w:tcPr>
            <w:tcW w:w="1217" w:type="dxa"/>
            <w:tcBorders>
              <w:top w:val="nil"/>
              <w:left w:val="nil"/>
              <w:bottom w:val="single" w:color="auto" w:sz="12" w:space="0"/>
              <w:right w:val="nil"/>
            </w:tcBorders>
            <w:vAlign w:val="center"/>
          </w:tcPr>
          <w:p w14:paraId="696445DC">
            <w:pPr>
              <w:widowControl/>
              <w:jc w:val="center"/>
              <w:textAlignment w:val="center"/>
              <w:rPr>
                <w:rFonts w:hint="default" w:ascii="Times New Roman" w:hAnsi="Times New Roman" w:eastAsia="等线" w:cs="Times New Roman"/>
                <w:sz w:val="15"/>
                <w:szCs w:val="15"/>
              </w:rPr>
            </w:pPr>
            <w:r>
              <w:rPr>
                <w:rFonts w:hint="default" w:ascii="Times New Roman" w:hAnsi="Times New Roman" w:eastAsia="等线" w:cs="Times New Roman"/>
                <w:kern w:val="0"/>
                <w:sz w:val="15"/>
                <w:szCs w:val="15"/>
                <w:lang w:bidi="ar"/>
              </w:rPr>
              <w:t>53.6</w:t>
            </w:r>
            <w:r>
              <w:rPr>
                <w:rFonts w:hint="eastAsia" w:ascii="Times New Roman" w:hAnsi="Times New Roman" w:eastAsia="等线" w:cs="Times New Roman"/>
                <w:kern w:val="0"/>
                <w:sz w:val="15"/>
                <w:szCs w:val="15"/>
                <w:lang w:bidi="ar"/>
              </w:rPr>
              <w:t>0</w:t>
            </w:r>
          </w:p>
        </w:tc>
        <w:tc>
          <w:tcPr>
            <w:tcW w:w="1217" w:type="dxa"/>
            <w:tcBorders>
              <w:top w:val="nil"/>
              <w:left w:val="nil"/>
              <w:bottom w:val="single" w:color="auto" w:sz="12" w:space="0"/>
              <w:right w:val="nil"/>
            </w:tcBorders>
            <w:vAlign w:val="center"/>
          </w:tcPr>
          <w:p w14:paraId="46D8F5DE">
            <w:pPr>
              <w:widowControl/>
              <w:jc w:val="center"/>
              <w:textAlignment w:val="center"/>
              <w:rPr>
                <w:rFonts w:hint="default" w:ascii="Times New Roman" w:hAnsi="Times New Roman" w:eastAsia="宋体" w:cs="Times New Roman"/>
                <w:sz w:val="15"/>
                <w:szCs w:val="15"/>
              </w:rPr>
            </w:pPr>
            <w:r>
              <w:rPr>
                <w:rFonts w:hint="default" w:ascii="Times New Roman" w:hAnsi="Times New Roman" w:eastAsia="等线" w:cs="Times New Roman"/>
                <w:kern w:val="0"/>
                <w:sz w:val="15"/>
                <w:szCs w:val="15"/>
                <w:lang w:bidi="ar"/>
              </w:rPr>
              <w:t>53.</w:t>
            </w:r>
            <w:r>
              <w:rPr>
                <w:rFonts w:hint="eastAsia" w:ascii="Times New Roman" w:hAnsi="Times New Roman" w:eastAsia="等线" w:cs="Times New Roman"/>
                <w:kern w:val="0"/>
                <w:sz w:val="15"/>
                <w:szCs w:val="15"/>
                <w:lang w:bidi="ar"/>
              </w:rPr>
              <w:t>4</w:t>
            </w:r>
            <w:r>
              <w:rPr>
                <w:rFonts w:hint="default" w:ascii="Times New Roman" w:hAnsi="Times New Roman" w:eastAsia="等线" w:cs="Times New Roman"/>
                <w:kern w:val="0"/>
                <w:sz w:val="15"/>
                <w:szCs w:val="15"/>
                <w:lang w:bidi="ar"/>
              </w:rPr>
              <w:t>14</w:t>
            </w:r>
          </w:p>
        </w:tc>
        <w:tc>
          <w:tcPr>
            <w:tcW w:w="1217" w:type="dxa"/>
            <w:tcBorders>
              <w:top w:val="nil"/>
              <w:left w:val="nil"/>
              <w:bottom w:val="single" w:color="auto" w:sz="12" w:space="0"/>
              <w:right w:val="nil"/>
            </w:tcBorders>
            <w:vAlign w:val="center"/>
          </w:tcPr>
          <w:p w14:paraId="0C5D2F00">
            <w:pPr>
              <w:widowControl/>
              <w:jc w:val="center"/>
              <w:textAlignment w:val="center"/>
              <w:rPr>
                <w:rFonts w:hint="default" w:ascii="Times New Roman" w:hAnsi="Times New Roman" w:eastAsia="宋体" w:cs="Times New Roman"/>
                <w:sz w:val="15"/>
                <w:szCs w:val="15"/>
              </w:rPr>
            </w:pPr>
            <w:r>
              <w:rPr>
                <w:rFonts w:hint="default" w:ascii="Times New Roman" w:hAnsi="Times New Roman" w:eastAsia="等线" w:cs="Times New Roman"/>
                <w:kern w:val="0"/>
                <w:sz w:val="15"/>
                <w:szCs w:val="15"/>
                <w:lang w:bidi="ar"/>
              </w:rPr>
              <w:t>5.893</w:t>
            </w:r>
          </w:p>
        </w:tc>
      </w:tr>
    </w:tbl>
    <w:p w14:paraId="65642E62">
      <w:pPr>
        <w:jc w:val="center"/>
        <w:rPr>
          <w:rFonts w:ascii="Times New Roman" w:hAnsi="Times New Roman" w:eastAsia="黑体" w:cs="Times New Roman"/>
          <w:bCs/>
          <w:sz w:val="18"/>
          <w:szCs w:val="18"/>
        </w:rPr>
      </w:pPr>
      <w:r>
        <w:rPr>
          <w:rFonts w:ascii="Times New Roman" w:hAnsi="Times New Roman" w:eastAsia="黑体" w:cs="Times New Roman"/>
          <w:bCs/>
          <w:sz w:val="18"/>
          <w:szCs w:val="18"/>
        </w:rPr>
        <w:t>表</w:t>
      </w:r>
      <w:r>
        <w:rPr>
          <w:rFonts w:hint="eastAsia" w:ascii="Times New Roman" w:hAnsi="Times New Roman" w:eastAsia="黑体" w:cs="Times New Roman"/>
          <w:bCs/>
          <w:sz w:val="18"/>
          <w:szCs w:val="18"/>
        </w:rPr>
        <w:t>10</w:t>
      </w:r>
      <w:r>
        <w:rPr>
          <w:rFonts w:ascii="Times New Roman" w:hAnsi="Times New Roman" w:eastAsia="黑体" w:cs="Times New Roman"/>
          <w:bCs/>
          <w:sz w:val="18"/>
          <w:szCs w:val="18"/>
        </w:rPr>
        <w:t>耗水率预测结果与相对误差</w:t>
      </w:r>
    </w:p>
    <w:p w14:paraId="4F545B03">
      <w:pPr>
        <w:ind w:firstLine="360" w:firstLineChars="200"/>
        <w:jc w:val="center"/>
        <w:rPr>
          <w:rFonts w:ascii="Times New Roman" w:hAnsi="Times New Roman" w:eastAsia="宋体" w:cs="Times New Roman"/>
          <w:bCs/>
          <w:szCs w:val="21"/>
        </w:rPr>
      </w:pPr>
      <w:r>
        <w:rPr>
          <w:rFonts w:ascii="Times New Roman" w:hAnsi="Times New Roman" w:eastAsia="黑体" w:cs="Times New Roman"/>
          <w:bCs/>
          <w:sz w:val="18"/>
          <w:szCs w:val="18"/>
        </w:rPr>
        <w:t>Table</w:t>
      </w:r>
      <w:r>
        <w:rPr>
          <w:rFonts w:hint="eastAsia" w:ascii="Times New Roman" w:hAnsi="Times New Roman" w:eastAsia="黑体" w:cs="Times New Roman"/>
          <w:bCs/>
          <w:sz w:val="18"/>
          <w:szCs w:val="18"/>
        </w:rPr>
        <w:t xml:space="preserve"> 10 </w:t>
      </w:r>
      <w:r>
        <w:rPr>
          <w:rFonts w:ascii="Times New Roman" w:hAnsi="Times New Roman" w:eastAsia="黑体" w:cs="Times New Roman"/>
          <w:bCs/>
          <w:sz w:val="18"/>
          <w:szCs w:val="18"/>
        </w:rPr>
        <w:t xml:space="preserve">Prediction </w:t>
      </w:r>
      <w:r>
        <w:rPr>
          <w:rFonts w:hint="eastAsia" w:ascii="Times New Roman" w:hAnsi="Times New Roman" w:eastAsia="黑体" w:cs="Times New Roman"/>
          <w:bCs/>
          <w:sz w:val="18"/>
          <w:szCs w:val="18"/>
        </w:rPr>
        <w:t>r</w:t>
      </w:r>
      <w:r>
        <w:rPr>
          <w:rFonts w:ascii="Times New Roman" w:hAnsi="Times New Roman" w:eastAsia="黑体" w:cs="Times New Roman"/>
          <w:bCs/>
          <w:sz w:val="18"/>
          <w:szCs w:val="18"/>
        </w:rPr>
        <w:t xml:space="preserve">esults of </w:t>
      </w:r>
      <w:r>
        <w:rPr>
          <w:rFonts w:hint="eastAsia" w:ascii="Times New Roman" w:hAnsi="Times New Roman" w:eastAsia="黑体" w:cs="Times New Roman"/>
          <w:bCs/>
          <w:sz w:val="18"/>
          <w:szCs w:val="18"/>
        </w:rPr>
        <w:t>w</w:t>
      </w:r>
      <w:r>
        <w:rPr>
          <w:rFonts w:ascii="Times New Roman" w:hAnsi="Times New Roman" w:eastAsia="黑体" w:cs="Times New Roman"/>
          <w:bCs/>
          <w:sz w:val="18"/>
          <w:szCs w:val="18"/>
        </w:rPr>
        <w:t xml:space="preserve">ater </w:t>
      </w:r>
      <w:r>
        <w:rPr>
          <w:rFonts w:hint="eastAsia" w:ascii="Times New Roman" w:hAnsi="Times New Roman" w:eastAsia="黑体" w:cs="Times New Roman"/>
          <w:bCs/>
          <w:sz w:val="18"/>
          <w:szCs w:val="18"/>
        </w:rPr>
        <w:t>c</w:t>
      </w:r>
      <w:r>
        <w:rPr>
          <w:rFonts w:ascii="Times New Roman" w:hAnsi="Times New Roman" w:eastAsia="黑体" w:cs="Times New Roman"/>
          <w:bCs/>
          <w:sz w:val="18"/>
          <w:szCs w:val="18"/>
        </w:rPr>
        <w:t>onsumption</w:t>
      </w:r>
      <w:r>
        <w:rPr>
          <w:rFonts w:hint="eastAsia" w:ascii="Times New Roman" w:hAnsi="Times New Roman" w:eastAsia="黑体" w:cs="Times New Roman"/>
          <w:bCs/>
          <w:sz w:val="18"/>
          <w:szCs w:val="18"/>
        </w:rPr>
        <w:t xml:space="preserve"> r</w:t>
      </w:r>
      <w:r>
        <w:rPr>
          <w:rFonts w:ascii="Times New Roman" w:hAnsi="Times New Roman" w:eastAsia="黑体" w:cs="Times New Roman"/>
          <w:bCs/>
          <w:sz w:val="18"/>
          <w:szCs w:val="18"/>
        </w:rPr>
        <w:t>ate and</w:t>
      </w:r>
      <w:r>
        <w:rPr>
          <w:rFonts w:hint="eastAsia" w:ascii="Times New Roman" w:hAnsi="Times New Roman" w:eastAsia="黑体" w:cs="Times New Roman"/>
          <w:bCs/>
          <w:sz w:val="18"/>
          <w:szCs w:val="18"/>
        </w:rPr>
        <w:t xml:space="preserve"> r</w:t>
      </w:r>
      <w:r>
        <w:rPr>
          <w:rFonts w:ascii="Times New Roman" w:hAnsi="Times New Roman" w:eastAsia="黑体" w:cs="Times New Roman"/>
          <w:bCs/>
          <w:sz w:val="18"/>
          <w:szCs w:val="18"/>
        </w:rPr>
        <w:t xml:space="preserve">elative </w:t>
      </w:r>
      <w:r>
        <w:rPr>
          <w:rFonts w:hint="eastAsia" w:ascii="Times New Roman" w:hAnsi="Times New Roman" w:eastAsia="黑体" w:cs="Times New Roman"/>
          <w:bCs/>
          <w:sz w:val="18"/>
          <w:szCs w:val="18"/>
        </w:rPr>
        <w:t>e</w:t>
      </w:r>
      <w:r>
        <w:rPr>
          <w:rFonts w:ascii="Times New Roman" w:hAnsi="Times New Roman" w:eastAsia="黑体" w:cs="Times New Roman"/>
          <w:bCs/>
          <w:sz w:val="18"/>
          <w:szCs w:val="18"/>
        </w:rPr>
        <w:t>rrors</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701"/>
        <w:gridCol w:w="1701"/>
        <w:gridCol w:w="1701"/>
        <w:gridCol w:w="1701"/>
      </w:tblGrid>
      <w:tr w14:paraId="516E9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12" w:space="0"/>
              <w:left w:val="nil"/>
              <w:bottom w:val="single" w:color="auto" w:sz="6" w:space="0"/>
              <w:right w:val="nil"/>
            </w:tcBorders>
          </w:tcPr>
          <w:p w14:paraId="72347421">
            <w:pPr>
              <w:jc w:val="center"/>
              <w:rPr>
                <w:rFonts w:hint="default" w:ascii="Times New Roman" w:hAnsi="Times New Roman" w:eastAsia="宋体" w:cs="Times New Roman"/>
                <w:bCs/>
                <w:szCs w:val="21"/>
              </w:rPr>
            </w:pPr>
            <w:r>
              <w:rPr>
                <w:rFonts w:hint="default" w:ascii="Times New Roman" w:hAnsi="Times New Roman" w:eastAsia="宋体" w:cs="Times New Roman"/>
                <w:bCs/>
                <w:sz w:val="15"/>
                <w:szCs w:val="15"/>
              </w:rPr>
              <w:t>序号</w:t>
            </w:r>
          </w:p>
        </w:tc>
        <w:tc>
          <w:tcPr>
            <w:tcW w:w="1701" w:type="dxa"/>
            <w:tcBorders>
              <w:top w:val="single" w:color="auto" w:sz="12" w:space="0"/>
              <w:left w:val="nil"/>
              <w:bottom w:val="single" w:color="auto" w:sz="6" w:space="0"/>
              <w:right w:val="nil"/>
            </w:tcBorders>
          </w:tcPr>
          <w:p w14:paraId="6158015C">
            <w:pPr>
              <w:jc w:val="center"/>
              <w:rPr>
                <w:rFonts w:hint="default" w:ascii="Times New Roman" w:hAnsi="Times New Roman" w:eastAsia="宋体" w:cs="Times New Roman"/>
                <w:bCs/>
                <w:szCs w:val="21"/>
              </w:rPr>
            </w:pPr>
            <w:r>
              <w:rPr>
                <w:rFonts w:hint="default" w:ascii="Times New Roman" w:hAnsi="Times New Roman" w:eastAsia="宋体" w:cs="Times New Roman"/>
                <w:bCs/>
                <w:i/>
                <w:iCs/>
                <w:sz w:val="15"/>
                <w:szCs w:val="15"/>
              </w:rPr>
              <w:t>L</w:t>
            </w:r>
          </w:p>
        </w:tc>
        <w:tc>
          <w:tcPr>
            <w:tcW w:w="1701" w:type="dxa"/>
            <w:tcBorders>
              <w:top w:val="single" w:color="auto" w:sz="12" w:space="0"/>
              <w:left w:val="nil"/>
              <w:bottom w:val="single" w:color="auto" w:sz="6" w:space="0"/>
              <w:right w:val="nil"/>
            </w:tcBorders>
          </w:tcPr>
          <w:p w14:paraId="08390B81">
            <w:pPr>
              <w:jc w:val="center"/>
              <w:rPr>
                <w:rFonts w:hint="default" w:ascii="Times New Roman" w:hAnsi="Times New Roman" w:eastAsia="宋体" w:cs="Times New Roman"/>
                <w:bCs/>
                <w:szCs w:val="21"/>
              </w:rPr>
            </w:pPr>
            <w:r>
              <w:rPr>
                <w:rFonts w:hint="eastAsia" w:ascii="Times New Roman" w:hAnsi="Times New Roman" w:eastAsia="宋体" w:cs="Times New Roman"/>
                <w:position w:val="-6"/>
                <w:sz w:val="15"/>
                <w:szCs w:val="15"/>
              </w:rPr>
              <w:drawing>
                <wp:inline distT="0" distB="0" distL="114300" distR="114300">
                  <wp:extent cx="124460" cy="179070"/>
                  <wp:effectExtent l="0" t="0" r="0" b="0"/>
                  <wp:docPr id="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9"/>
                          <pic:cNvPicPr>
                            <a:picLocks noChangeAspect="1"/>
                          </pic:cNvPicPr>
                        </pic:nvPicPr>
                        <pic:blipFill>
                          <a:blip r:embed="rId46" r:link="rId47"/>
                          <a:stretch>
                            <a:fillRect/>
                          </a:stretch>
                        </pic:blipFill>
                        <pic:spPr>
                          <a:xfrm>
                            <a:off x="0" y="0"/>
                            <a:ext cx="124460" cy="179070"/>
                          </a:xfrm>
                          <a:prstGeom prst="rect">
                            <a:avLst/>
                          </a:prstGeom>
                          <a:noFill/>
                          <a:ln>
                            <a:noFill/>
                          </a:ln>
                        </pic:spPr>
                      </pic:pic>
                    </a:graphicData>
                  </a:graphic>
                </wp:inline>
              </w:drawing>
            </w:r>
            <w:r>
              <w:rPr>
                <w:rFonts w:hint="eastAsia" w:ascii="Times New Roman" w:hAnsi="Times New Roman" w:cs="Times New Roman"/>
                <w:i/>
                <w:iCs/>
                <w:kern w:val="0"/>
                <w:szCs w:val="21"/>
              </w:rPr>
              <w:t>/</w:t>
            </w:r>
            <w:r>
              <w:rPr>
                <w:rFonts w:hint="eastAsia" w:ascii="Times New Roman" w:hAnsi="Times New Roman" w:cs="Times New Roman"/>
                <w:kern w:val="0"/>
                <w:szCs w:val="21"/>
              </w:rPr>
              <w:t>%</w:t>
            </w:r>
          </w:p>
        </w:tc>
        <w:tc>
          <w:tcPr>
            <w:tcW w:w="1701" w:type="dxa"/>
            <w:tcBorders>
              <w:top w:val="single" w:color="auto" w:sz="12" w:space="0"/>
              <w:left w:val="nil"/>
              <w:bottom w:val="single" w:color="auto" w:sz="6" w:space="0"/>
              <w:right w:val="nil"/>
            </w:tcBorders>
          </w:tcPr>
          <w:p w14:paraId="0F7B089E">
            <w:pPr>
              <w:jc w:val="center"/>
              <w:rPr>
                <w:rFonts w:hint="default" w:ascii="Times New Roman" w:hAnsi="Times New Roman" w:eastAsia="宋体" w:cs="Times New Roman"/>
                <w:bCs/>
                <w:szCs w:val="21"/>
              </w:rPr>
            </w:pPr>
            <w:r>
              <w:rPr>
                <w:rFonts w:hint="default" w:ascii="Times New Roman" w:hAnsi="Times New Roman" w:eastAsia="宋体" w:cs="Times New Roman"/>
                <w:i/>
                <w:iCs/>
                <w:position w:val="-6"/>
                <w:sz w:val="15"/>
                <w:szCs w:val="15"/>
              </w:rPr>
              <w:object>
                <v:shape id="_x0000_i1041" o:spt="75" type="#_x0000_t75" style="height:13.75pt;width:10pt;" o:ole="t" filled="f" o:preferrelative="t" stroked="f" coordsize="21600,21600">
                  <v:path/>
                  <v:fill on="f" focussize="0,0"/>
                  <v:stroke on="f" joinstyle="miter"/>
                  <v:imagedata r:id="rId49" o:title=""/>
                  <o:lock v:ext="edit" aspectratio="t"/>
                  <w10:wrap type="none"/>
                  <w10:anchorlock/>
                </v:shape>
                <o:OLEObject Type="Embed" ProgID="Equation.3" ShapeID="_x0000_i1041" DrawAspect="Content" ObjectID="_1468075741" r:id="rId48">
                  <o:LockedField>false</o:LockedField>
                </o:OLEObject>
              </w:object>
            </w:r>
            <w:r>
              <w:rPr>
                <w:rFonts w:hint="eastAsia" w:ascii="Times New Roman" w:hAnsi="Times New Roman" w:cs="Times New Roman"/>
                <w:i/>
                <w:iCs/>
                <w:kern w:val="0"/>
                <w:szCs w:val="21"/>
              </w:rPr>
              <w:t>/</w:t>
            </w:r>
            <w:r>
              <w:rPr>
                <w:rFonts w:hint="eastAsia" w:ascii="Times New Roman" w:hAnsi="Times New Roman" w:cs="Times New Roman"/>
                <w:kern w:val="0"/>
                <w:szCs w:val="21"/>
              </w:rPr>
              <w:t>%</w:t>
            </w:r>
          </w:p>
        </w:tc>
        <w:tc>
          <w:tcPr>
            <w:tcW w:w="1701" w:type="dxa"/>
            <w:tcBorders>
              <w:top w:val="single" w:color="auto" w:sz="12" w:space="0"/>
              <w:left w:val="nil"/>
              <w:bottom w:val="single" w:color="auto" w:sz="6" w:space="0"/>
              <w:right w:val="nil"/>
            </w:tcBorders>
          </w:tcPr>
          <w:p w14:paraId="7E064413">
            <w:pPr>
              <w:jc w:val="center"/>
              <w:rPr>
                <w:rFonts w:hint="default" w:ascii="Times New Roman" w:hAnsi="Times New Roman" w:eastAsia="宋体" w:cs="Times New Roman"/>
                <w:i/>
                <w:iCs/>
                <w:position w:val="-6"/>
                <w:sz w:val="15"/>
                <w:szCs w:val="15"/>
              </w:rPr>
            </w:pPr>
            <w:r>
              <w:rPr>
                <w:rFonts w:hint="default" w:ascii="Times New Roman" w:hAnsi="Times New Roman" w:eastAsia="宋体" w:cs="Times New Roman"/>
                <w:sz w:val="15"/>
                <w:szCs w:val="15"/>
              </w:rPr>
              <w:t>相对误差</w:t>
            </w:r>
            <w:r>
              <w:rPr>
                <w:rFonts w:hint="eastAsia" w:ascii="Times New Roman" w:hAnsi="Times New Roman" w:cs="Times New Roman"/>
                <w:i/>
                <w:iCs/>
                <w:kern w:val="0"/>
                <w:szCs w:val="21"/>
              </w:rPr>
              <w:t>/</w:t>
            </w:r>
            <w:r>
              <w:rPr>
                <w:rFonts w:hint="eastAsia" w:ascii="Times New Roman" w:hAnsi="Times New Roman" w:cs="Times New Roman"/>
                <w:kern w:val="0"/>
                <w:szCs w:val="21"/>
              </w:rPr>
              <w:t>%</w:t>
            </w:r>
          </w:p>
        </w:tc>
      </w:tr>
      <w:tr w14:paraId="2C18F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1" w:type="dxa"/>
            <w:tcBorders>
              <w:top w:val="single" w:color="auto" w:sz="6" w:space="0"/>
              <w:left w:val="nil"/>
              <w:bottom w:val="nil"/>
              <w:right w:val="nil"/>
            </w:tcBorders>
          </w:tcPr>
          <w:p w14:paraId="1A16ABE6">
            <w:pPr>
              <w:jc w:val="center"/>
              <w:rPr>
                <w:rFonts w:hint="default" w:ascii="Times New Roman" w:hAnsi="Times New Roman" w:eastAsia="宋体" w:cs="Times New Roman"/>
                <w:bCs/>
                <w:szCs w:val="21"/>
              </w:rPr>
            </w:pPr>
            <w:r>
              <w:rPr>
                <w:rFonts w:hint="default" w:ascii="Times New Roman" w:hAnsi="Times New Roman" w:eastAsia="宋体" w:cs="Times New Roman"/>
                <w:bCs/>
                <w:sz w:val="15"/>
                <w:szCs w:val="15"/>
              </w:rPr>
              <w:t>1</w:t>
            </w:r>
          </w:p>
        </w:tc>
        <w:tc>
          <w:tcPr>
            <w:tcW w:w="1701" w:type="dxa"/>
            <w:tcBorders>
              <w:top w:val="single" w:color="auto" w:sz="6" w:space="0"/>
              <w:left w:val="nil"/>
              <w:bottom w:val="nil"/>
              <w:right w:val="nil"/>
            </w:tcBorders>
            <w:vAlign w:val="center"/>
          </w:tcPr>
          <w:p w14:paraId="72CD5ABD">
            <w:pPr>
              <w:widowControl/>
              <w:jc w:val="center"/>
              <w:textAlignment w:val="center"/>
              <w:rPr>
                <w:rFonts w:hint="default" w:ascii="Times New Roman" w:hAnsi="Times New Roman" w:eastAsia="宋体" w:cs="Times New Roman"/>
                <w:bCs/>
                <w:sz w:val="15"/>
                <w:szCs w:val="15"/>
              </w:rPr>
            </w:pPr>
            <w:r>
              <w:rPr>
                <w:rFonts w:hint="default" w:ascii="Times New Roman" w:hAnsi="Times New Roman" w:eastAsia="宋体" w:cs="Times New Roman"/>
                <w:kern w:val="0"/>
                <w:sz w:val="15"/>
                <w:szCs w:val="15"/>
                <w:lang w:bidi="ar"/>
              </w:rPr>
              <w:t>0.000646498</w:t>
            </w:r>
          </w:p>
        </w:tc>
        <w:tc>
          <w:tcPr>
            <w:tcW w:w="1701" w:type="dxa"/>
            <w:tcBorders>
              <w:top w:val="single" w:color="auto" w:sz="6" w:space="0"/>
              <w:left w:val="nil"/>
              <w:bottom w:val="nil"/>
              <w:right w:val="nil"/>
            </w:tcBorders>
            <w:vAlign w:val="center"/>
          </w:tcPr>
          <w:p w14:paraId="4B1EE9BD">
            <w:pPr>
              <w:widowControl/>
              <w:jc w:val="center"/>
              <w:textAlignment w:val="center"/>
              <w:rPr>
                <w:rFonts w:hint="default" w:ascii="Times New Roman" w:hAnsi="Times New Roman" w:eastAsia="宋体" w:cs="Times New Roman"/>
                <w:bCs/>
                <w:sz w:val="15"/>
                <w:szCs w:val="15"/>
              </w:rPr>
            </w:pPr>
            <w:r>
              <w:rPr>
                <w:rFonts w:hint="default" w:ascii="Times New Roman" w:hAnsi="Times New Roman" w:eastAsia="宋体" w:cs="Times New Roman"/>
                <w:kern w:val="0"/>
                <w:sz w:val="15"/>
                <w:szCs w:val="15"/>
                <w:lang w:bidi="ar"/>
              </w:rPr>
              <w:t>7.12</w:t>
            </w:r>
          </w:p>
        </w:tc>
        <w:tc>
          <w:tcPr>
            <w:tcW w:w="1701" w:type="dxa"/>
            <w:tcBorders>
              <w:top w:val="single" w:color="auto" w:sz="6" w:space="0"/>
              <w:left w:val="nil"/>
              <w:bottom w:val="nil"/>
              <w:right w:val="nil"/>
            </w:tcBorders>
            <w:vAlign w:val="bottom"/>
          </w:tcPr>
          <w:p w14:paraId="7BF9D2D8">
            <w:pPr>
              <w:widowControl/>
              <w:jc w:val="center"/>
              <w:textAlignment w:val="bottom"/>
              <w:rPr>
                <w:rFonts w:hint="default" w:ascii="Times New Roman" w:hAnsi="Times New Roman" w:eastAsia="宋体" w:cs="Times New Roman"/>
                <w:bCs/>
                <w:sz w:val="15"/>
                <w:szCs w:val="15"/>
              </w:rPr>
            </w:pPr>
            <w:r>
              <w:rPr>
                <w:rFonts w:hint="default" w:ascii="Times New Roman" w:hAnsi="Times New Roman" w:eastAsia="宋体" w:cs="Times New Roman"/>
                <w:bCs/>
                <w:sz w:val="15"/>
                <w:szCs w:val="15"/>
              </w:rPr>
              <w:t>6.68</w:t>
            </w:r>
          </w:p>
        </w:tc>
        <w:tc>
          <w:tcPr>
            <w:tcW w:w="1701" w:type="dxa"/>
            <w:tcBorders>
              <w:top w:val="single" w:color="auto" w:sz="6" w:space="0"/>
              <w:left w:val="nil"/>
              <w:bottom w:val="nil"/>
              <w:right w:val="nil"/>
            </w:tcBorders>
            <w:vAlign w:val="bottom"/>
          </w:tcPr>
          <w:p w14:paraId="3A1AAAD8">
            <w:pPr>
              <w:widowControl/>
              <w:jc w:val="center"/>
              <w:textAlignment w:val="bottom"/>
              <w:rPr>
                <w:rFonts w:hint="default" w:ascii="Times New Roman" w:hAnsi="Times New Roman" w:eastAsia="宋体" w:cs="Times New Roman"/>
                <w:sz w:val="15"/>
                <w:szCs w:val="15"/>
              </w:rPr>
            </w:pPr>
            <w:r>
              <w:rPr>
                <w:rFonts w:hint="default" w:ascii="Times New Roman" w:hAnsi="Times New Roman" w:eastAsia="宋体" w:cs="Times New Roman"/>
                <w:kern w:val="0"/>
                <w:sz w:val="15"/>
                <w:szCs w:val="15"/>
                <w:lang w:bidi="ar"/>
              </w:rPr>
              <w:t>6.18</w:t>
            </w:r>
          </w:p>
        </w:tc>
      </w:tr>
      <w:tr w14:paraId="3AF3A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nil"/>
              <w:left w:val="nil"/>
              <w:bottom w:val="nil"/>
              <w:right w:val="nil"/>
            </w:tcBorders>
          </w:tcPr>
          <w:p w14:paraId="5597F6C0">
            <w:pPr>
              <w:jc w:val="center"/>
              <w:rPr>
                <w:rFonts w:hint="default" w:ascii="Times New Roman" w:hAnsi="Times New Roman" w:eastAsia="宋体" w:cs="Times New Roman"/>
                <w:bCs/>
                <w:szCs w:val="21"/>
              </w:rPr>
            </w:pPr>
            <w:r>
              <w:rPr>
                <w:rFonts w:hint="default" w:ascii="Times New Roman" w:hAnsi="Times New Roman" w:eastAsia="宋体" w:cs="Times New Roman"/>
                <w:sz w:val="15"/>
                <w:szCs w:val="15"/>
              </w:rPr>
              <w:t>2</w:t>
            </w:r>
          </w:p>
        </w:tc>
        <w:tc>
          <w:tcPr>
            <w:tcW w:w="1701" w:type="dxa"/>
            <w:tcBorders>
              <w:top w:val="nil"/>
              <w:left w:val="nil"/>
              <w:bottom w:val="nil"/>
              <w:right w:val="nil"/>
            </w:tcBorders>
            <w:vAlign w:val="center"/>
          </w:tcPr>
          <w:p w14:paraId="41E1FCD7">
            <w:pPr>
              <w:widowControl/>
              <w:jc w:val="center"/>
              <w:textAlignment w:val="center"/>
              <w:rPr>
                <w:rFonts w:hint="default" w:ascii="Times New Roman" w:hAnsi="Times New Roman" w:eastAsia="宋体" w:cs="Times New Roman"/>
                <w:bCs/>
                <w:sz w:val="15"/>
                <w:szCs w:val="15"/>
              </w:rPr>
            </w:pPr>
            <w:r>
              <w:rPr>
                <w:rFonts w:hint="default" w:ascii="Times New Roman" w:hAnsi="Times New Roman" w:eastAsia="宋体" w:cs="Times New Roman"/>
                <w:kern w:val="0"/>
                <w:sz w:val="15"/>
                <w:szCs w:val="15"/>
                <w:lang w:bidi="ar"/>
              </w:rPr>
              <w:t>0.000484873</w:t>
            </w:r>
          </w:p>
        </w:tc>
        <w:tc>
          <w:tcPr>
            <w:tcW w:w="1701" w:type="dxa"/>
            <w:tcBorders>
              <w:top w:val="nil"/>
              <w:left w:val="nil"/>
              <w:bottom w:val="nil"/>
              <w:right w:val="nil"/>
            </w:tcBorders>
            <w:vAlign w:val="center"/>
          </w:tcPr>
          <w:p w14:paraId="15AD9CD3">
            <w:pPr>
              <w:widowControl/>
              <w:jc w:val="center"/>
              <w:textAlignment w:val="center"/>
              <w:rPr>
                <w:rFonts w:hint="default" w:ascii="Times New Roman" w:hAnsi="Times New Roman" w:eastAsia="宋体" w:cs="Times New Roman"/>
                <w:bCs/>
                <w:sz w:val="15"/>
                <w:szCs w:val="15"/>
              </w:rPr>
            </w:pPr>
            <w:r>
              <w:rPr>
                <w:rFonts w:hint="default" w:ascii="Times New Roman" w:hAnsi="Times New Roman" w:eastAsia="宋体" w:cs="Times New Roman"/>
                <w:kern w:val="0"/>
                <w:sz w:val="15"/>
                <w:szCs w:val="15"/>
                <w:lang w:bidi="ar"/>
              </w:rPr>
              <w:t>10.58</w:t>
            </w:r>
          </w:p>
        </w:tc>
        <w:tc>
          <w:tcPr>
            <w:tcW w:w="1701" w:type="dxa"/>
            <w:tcBorders>
              <w:top w:val="nil"/>
              <w:left w:val="nil"/>
              <w:bottom w:val="nil"/>
              <w:right w:val="nil"/>
            </w:tcBorders>
            <w:vAlign w:val="bottom"/>
          </w:tcPr>
          <w:p w14:paraId="40660087">
            <w:pPr>
              <w:widowControl/>
              <w:jc w:val="center"/>
              <w:textAlignment w:val="bottom"/>
              <w:rPr>
                <w:rFonts w:hint="default" w:ascii="Times New Roman" w:hAnsi="Times New Roman" w:eastAsia="宋体" w:cs="Times New Roman"/>
                <w:bCs/>
                <w:sz w:val="15"/>
                <w:szCs w:val="15"/>
              </w:rPr>
            </w:pPr>
            <w:r>
              <w:rPr>
                <w:rFonts w:hint="default" w:ascii="Times New Roman" w:hAnsi="Times New Roman" w:eastAsia="宋体" w:cs="Times New Roman"/>
                <w:bCs/>
                <w:sz w:val="15"/>
                <w:szCs w:val="15"/>
              </w:rPr>
              <w:t>10.23</w:t>
            </w:r>
          </w:p>
        </w:tc>
        <w:tc>
          <w:tcPr>
            <w:tcW w:w="1701" w:type="dxa"/>
            <w:tcBorders>
              <w:top w:val="nil"/>
              <w:left w:val="nil"/>
              <w:bottom w:val="nil"/>
              <w:right w:val="nil"/>
            </w:tcBorders>
            <w:vAlign w:val="bottom"/>
          </w:tcPr>
          <w:p w14:paraId="242F0586">
            <w:pPr>
              <w:widowControl/>
              <w:jc w:val="center"/>
              <w:textAlignment w:val="bottom"/>
              <w:rPr>
                <w:rFonts w:hint="default" w:ascii="Times New Roman" w:hAnsi="Times New Roman" w:eastAsia="宋体" w:cs="Times New Roman"/>
                <w:sz w:val="15"/>
                <w:szCs w:val="15"/>
              </w:rPr>
            </w:pPr>
            <w:r>
              <w:rPr>
                <w:rFonts w:hint="eastAsia" w:ascii="Times New Roman" w:hAnsi="Times New Roman" w:eastAsia="宋体" w:cs="Times New Roman"/>
                <w:kern w:val="0"/>
                <w:sz w:val="15"/>
                <w:szCs w:val="15"/>
                <w:lang w:bidi="ar"/>
              </w:rPr>
              <w:t>3.31</w:t>
            </w:r>
          </w:p>
        </w:tc>
      </w:tr>
      <w:tr w14:paraId="3D3DF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nil"/>
              <w:left w:val="nil"/>
              <w:bottom w:val="nil"/>
              <w:right w:val="nil"/>
            </w:tcBorders>
          </w:tcPr>
          <w:p w14:paraId="317200BC">
            <w:pPr>
              <w:jc w:val="center"/>
              <w:rPr>
                <w:rFonts w:hint="default" w:ascii="Times New Roman" w:hAnsi="Times New Roman" w:eastAsia="宋体" w:cs="Times New Roman"/>
                <w:bCs/>
                <w:szCs w:val="21"/>
              </w:rPr>
            </w:pPr>
            <w:r>
              <w:rPr>
                <w:rFonts w:hint="default" w:ascii="Times New Roman" w:hAnsi="Times New Roman" w:eastAsia="宋体" w:cs="Times New Roman"/>
                <w:sz w:val="15"/>
                <w:szCs w:val="15"/>
              </w:rPr>
              <w:t>3</w:t>
            </w:r>
          </w:p>
        </w:tc>
        <w:tc>
          <w:tcPr>
            <w:tcW w:w="1701" w:type="dxa"/>
            <w:tcBorders>
              <w:top w:val="nil"/>
              <w:left w:val="nil"/>
              <w:bottom w:val="nil"/>
              <w:right w:val="nil"/>
            </w:tcBorders>
            <w:vAlign w:val="center"/>
          </w:tcPr>
          <w:p w14:paraId="7D92FA72">
            <w:pPr>
              <w:widowControl/>
              <w:jc w:val="center"/>
              <w:textAlignment w:val="center"/>
              <w:rPr>
                <w:rFonts w:hint="default" w:ascii="Times New Roman" w:hAnsi="Times New Roman" w:eastAsia="宋体" w:cs="Times New Roman"/>
                <w:bCs/>
                <w:sz w:val="15"/>
                <w:szCs w:val="15"/>
              </w:rPr>
            </w:pPr>
            <w:r>
              <w:rPr>
                <w:rFonts w:hint="default" w:ascii="Times New Roman" w:hAnsi="Times New Roman" w:eastAsia="宋体" w:cs="Times New Roman"/>
                <w:kern w:val="0"/>
                <w:sz w:val="15"/>
                <w:szCs w:val="15"/>
                <w:lang w:bidi="ar"/>
              </w:rPr>
              <w:t>0.000307086</w:t>
            </w:r>
          </w:p>
        </w:tc>
        <w:tc>
          <w:tcPr>
            <w:tcW w:w="1701" w:type="dxa"/>
            <w:tcBorders>
              <w:top w:val="nil"/>
              <w:left w:val="nil"/>
              <w:bottom w:val="nil"/>
              <w:right w:val="nil"/>
            </w:tcBorders>
            <w:vAlign w:val="center"/>
          </w:tcPr>
          <w:p w14:paraId="0A9ED291">
            <w:pPr>
              <w:widowControl/>
              <w:jc w:val="center"/>
              <w:textAlignment w:val="center"/>
              <w:rPr>
                <w:rFonts w:hint="default" w:ascii="Times New Roman" w:hAnsi="Times New Roman" w:eastAsia="宋体" w:cs="Times New Roman"/>
                <w:bCs/>
                <w:sz w:val="15"/>
                <w:szCs w:val="15"/>
              </w:rPr>
            </w:pPr>
            <w:r>
              <w:rPr>
                <w:rFonts w:hint="default" w:ascii="Times New Roman" w:hAnsi="Times New Roman" w:eastAsia="宋体" w:cs="Times New Roman"/>
                <w:kern w:val="0"/>
                <w:sz w:val="15"/>
                <w:szCs w:val="15"/>
                <w:lang w:bidi="ar"/>
              </w:rPr>
              <w:t>13.3</w:t>
            </w:r>
            <w:r>
              <w:rPr>
                <w:rFonts w:hint="eastAsia" w:ascii="Times New Roman" w:hAnsi="Times New Roman" w:eastAsia="宋体" w:cs="Times New Roman"/>
                <w:kern w:val="0"/>
                <w:sz w:val="15"/>
                <w:szCs w:val="15"/>
                <w:lang w:bidi="ar"/>
              </w:rPr>
              <w:t>0</w:t>
            </w:r>
          </w:p>
        </w:tc>
        <w:tc>
          <w:tcPr>
            <w:tcW w:w="1701" w:type="dxa"/>
            <w:tcBorders>
              <w:top w:val="nil"/>
              <w:left w:val="nil"/>
              <w:bottom w:val="nil"/>
              <w:right w:val="nil"/>
            </w:tcBorders>
            <w:vAlign w:val="bottom"/>
          </w:tcPr>
          <w:p w14:paraId="0A00AE90">
            <w:pPr>
              <w:widowControl/>
              <w:jc w:val="center"/>
              <w:textAlignment w:val="bottom"/>
              <w:rPr>
                <w:rFonts w:hint="default" w:ascii="Times New Roman" w:hAnsi="Times New Roman" w:eastAsia="宋体" w:cs="Times New Roman"/>
                <w:bCs/>
                <w:sz w:val="15"/>
                <w:szCs w:val="15"/>
              </w:rPr>
            </w:pPr>
            <w:r>
              <w:rPr>
                <w:rFonts w:hint="default" w:ascii="Times New Roman" w:hAnsi="Times New Roman" w:eastAsia="宋体" w:cs="Times New Roman"/>
                <w:bCs/>
                <w:sz w:val="15"/>
                <w:szCs w:val="15"/>
              </w:rPr>
              <w:t>13.14</w:t>
            </w:r>
          </w:p>
        </w:tc>
        <w:tc>
          <w:tcPr>
            <w:tcW w:w="1701" w:type="dxa"/>
            <w:tcBorders>
              <w:top w:val="nil"/>
              <w:left w:val="nil"/>
              <w:bottom w:val="nil"/>
              <w:right w:val="nil"/>
            </w:tcBorders>
            <w:vAlign w:val="bottom"/>
          </w:tcPr>
          <w:p w14:paraId="57359264">
            <w:pPr>
              <w:widowControl/>
              <w:jc w:val="center"/>
              <w:textAlignment w:val="bottom"/>
              <w:rPr>
                <w:rFonts w:hint="default" w:ascii="Times New Roman" w:hAnsi="Times New Roman" w:eastAsia="宋体" w:cs="Times New Roman"/>
                <w:sz w:val="15"/>
                <w:szCs w:val="15"/>
              </w:rPr>
            </w:pPr>
            <w:r>
              <w:rPr>
                <w:rFonts w:hint="eastAsia" w:ascii="Times New Roman" w:hAnsi="Times New Roman" w:eastAsia="宋体" w:cs="Times New Roman"/>
                <w:kern w:val="0"/>
                <w:sz w:val="15"/>
                <w:szCs w:val="15"/>
                <w:lang w:bidi="ar"/>
              </w:rPr>
              <w:t>1.20</w:t>
            </w:r>
          </w:p>
        </w:tc>
      </w:tr>
      <w:tr w14:paraId="63FB9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nil"/>
              <w:left w:val="nil"/>
              <w:bottom w:val="nil"/>
              <w:right w:val="nil"/>
            </w:tcBorders>
          </w:tcPr>
          <w:p w14:paraId="0E0C3269">
            <w:pPr>
              <w:jc w:val="center"/>
              <w:rPr>
                <w:rFonts w:hint="default" w:ascii="Times New Roman" w:hAnsi="Times New Roman" w:eastAsia="宋体" w:cs="Times New Roman"/>
                <w:bCs/>
                <w:szCs w:val="21"/>
              </w:rPr>
            </w:pPr>
            <w:r>
              <w:rPr>
                <w:rFonts w:hint="default" w:ascii="Times New Roman" w:hAnsi="Times New Roman" w:eastAsia="宋体" w:cs="Times New Roman"/>
                <w:sz w:val="15"/>
                <w:szCs w:val="15"/>
              </w:rPr>
              <w:t>4</w:t>
            </w:r>
          </w:p>
        </w:tc>
        <w:tc>
          <w:tcPr>
            <w:tcW w:w="1701" w:type="dxa"/>
            <w:tcBorders>
              <w:top w:val="nil"/>
              <w:left w:val="nil"/>
              <w:bottom w:val="nil"/>
              <w:right w:val="nil"/>
            </w:tcBorders>
            <w:vAlign w:val="center"/>
          </w:tcPr>
          <w:p w14:paraId="04F6A84F">
            <w:pPr>
              <w:widowControl/>
              <w:jc w:val="center"/>
              <w:textAlignment w:val="center"/>
              <w:rPr>
                <w:rFonts w:hint="default" w:ascii="Times New Roman" w:hAnsi="Times New Roman" w:eastAsia="宋体" w:cs="Times New Roman"/>
                <w:bCs/>
                <w:sz w:val="15"/>
                <w:szCs w:val="15"/>
              </w:rPr>
            </w:pPr>
            <w:r>
              <w:rPr>
                <w:rFonts w:hint="default" w:ascii="Times New Roman" w:hAnsi="Times New Roman" w:eastAsia="宋体" w:cs="Times New Roman"/>
                <w:kern w:val="0"/>
                <w:sz w:val="15"/>
                <w:szCs w:val="15"/>
                <w:lang w:bidi="ar"/>
              </w:rPr>
              <w:t>0.000161624</w:t>
            </w:r>
          </w:p>
        </w:tc>
        <w:tc>
          <w:tcPr>
            <w:tcW w:w="1701" w:type="dxa"/>
            <w:tcBorders>
              <w:top w:val="nil"/>
              <w:left w:val="nil"/>
              <w:bottom w:val="nil"/>
              <w:right w:val="nil"/>
            </w:tcBorders>
            <w:vAlign w:val="center"/>
          </w:tcPr>
          <w:p w14:paraId="05A3A117">
            <w:pPr>
              <w:widowControl/>
              <w:jc w:val="center"/>
              <w:textAlignment w:val="center"/>
              <w:rPr>
                <w:rFonts w:hint="default" w:ascii="Times New Roman" w:hAnsi="Times New Roman" w:eastAsia="宋体" w:cs="Times New Roman"/>
                <w:bCs/>
                <w:sz w:val="15"/>
                <w:szCs w:val="15"/>
              </w:rPr>
            </w:pPr>
            <w:r>
              <w:rPr>
                <w:rFonts w:hint="default" w:ascii="Times New Roman" w:hAnsi="Times New Roman" w:eastAsia="宋体" w:cs="Times New Roman"/>
                <w:kern w:val="0"/>
                <w:sz w:val="15"/>
                <w:szCs w:val="15"/>
                <w:lang w:bidi="ar"/>
              </w:rPr>
              <w:t>27.18</w:t>
            </w:r>
          </w:p>
        </w:tc>
        <w:tc>
          <w:tcPr>
            <w:tcW w:w="1701" w:type="dxa"/>
            <w:tcBorders>
              <w:top w:val="nil"/>
              <w:left w:val="nil"/>
              <w:bottom w:val="nil"/>
              <w:right w:val="nil"/>
            </w:tcBorders>
            <w:vAlign w:val="bottom"/>
          </w:tcPr>
          <w:p w14:paraId="7167A048">
            <w:pPr>
              <w:widowControl/>
              <w:jc w:val="center"/>
              <w:textAlignment w:val="bottom"/>
              <w:rPr>
                <w:rFonts w:hint="default" w:ascii="Times New Roman" w:hAnsi="Times New Roman" w:eastAsia="宋体" w:cs="Times New Roman"/>
                <w:bCs/>
                <w:sz w:val="15"/>
                <w:szCs w:val="15"/>
              </w:rPr>
            </w:pPr>
            <w:r>
              <w:rPr>
                <w:rFonts w:hint="default" w:ascii="Times New Roman" w:hAnsi="Times New Roman" w:eastAsia="宋体" w:cs="Times New Roman"/>
                <w:bCs/>
                <w:sz w:val="15"/>
                <w:szCs w:val="15"/>
              </w:rPr>
              <w:t>26.84</w:t>
            </w:r>
          </w:p>
        </w:tc>
        <w:tc>
          <w:tcPr>
            <w:tcW w:w="1701" w:type="dxa"/>
            <w:tcBorders>
              <w:top w:val="nil"/>
              <w:left w:val="nil"/>
              <w:bottom w:val="nil"/>
              <w:right w:val="nil"/>
            </w:tcBorders>
            <w:vAlign w:val="bottom"/>
          </w:tcPr>
          <w:p w14:paraId="2F7CDB73">
            <w:pPr>
              <w:widowControl/>
              <w:jc w:val="center"/>
              <w:textAlignment w:val="bottom"/>
              <w:rPr>
                <w:rFonts w:hint="default" w:ascii="Times New Roman" w:hAnsi="Times New Roman" w:eastAsia="宋体" w:cs="Times New Roman"/>
                <w:sz w:val="15"/>
                <w:szCs w:val="15"/>
              </w:rPr>
            </w:pPr>
            <w:r>
              <w:rPr>
                <w:rFonts w:hint="eastAsia" w:ascii="Times New Roman" w:hAnsi="Times New Roman" w:eastAsia="宋体" w:cs="Times New Roman"/>
                <w:kern w:val="0"/>
                <w:sz w:val="15"/>
                <w:szCs w:val="15"/>
                <w:lang w:bidi="ar"/>
              </w:rPr>
              <w:t>1.25</w:t>
            </w:r>
          </w:p>
        </w:tc>
      </w:tr>
      <w:tr w14:paraId="5C525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nil"/>
              <w:left w:val="nil"/>
              <w:bottom w:val="nil"/>
              <w:right w:val="nil"/>
            </w:tcBorders>
          </w:tcPr>
          <w:p w14:paraId="45D62ADE">
            <w:pPr>
              <w:jc w:val="center"/>
              <w:rPr>
                <w:rFonts w:hint="default" w:ascii="Times New Roman" w:hAnsi="Times New Roman" w:eastAsia="宋体" w:cs="Times New Roman"/>
                <w:bCs/>
                <w:szCs w:val="21"/>
              </w:rPr>
            </w:pPr>
            <w:r>
              <w:rPr>
                <w:rFonts w:hint="default" w:ascii="Times New Roman" w:hAnsi="Times New Roman" w:eastAsia="宋体" w:cs="Times New Roman"/>
                <w:sz w:val="15"/>
                <w:szCs w:val="15"/>
              </w:rPr>
              <w:t>5</w:t>
            </w:r>
          </w:p>
        </w:tc>
        <w:tc>
          <w:tcPr>
            <w:tcW w:w="1701" w:type="dxa"/>
            <w:tcBorders>
              <w:top w:val="nil"/>
              <w:left w:val="nil"/>
              <w:bottom w:val="nil"/>
              <w:right w:val="nil"/>
            </w:tcBorders>
            <w:vAlign w:val="center"/>
          </w:tcPr>
          <w:p w14:paraId="4437570C">
            <w:pPr>
              <w:widowControl/>
              <w:jc w:val="center"/>
              <w:textAlignment w:val="center"/>
              <w:rPr>
                <w:rFonts w:hint="default" w:ascii="Times New Roman" w:hAnsi="Times New Roman" w:eastAsia="宋体" w:cs="Times New Roman"/>
                <w:bCs/>
                <w:sz w:val="15"/>
                <w:szCs w:val="15"/>
              </w:rPr>
            </w:pPr>
            <w:r>
              <w:rPr>
                <w:rFonts w:hint="default" w:ascii="Times New Roman" w:hAnsi="Times New Roman" w:eastAsia="宋体" w:cs="Times New Roman"/>
                <w:kern w:val="0"/>
                <w:sz w:val="15"/>
                <w:szCs w:val="15"/>
                <w:lang w:bidi="ar"/>
              </w:rPr>
              <w:t>0.00026862</w:t>
            </w:r>
          </w:p>
        </w:tc>
        <w:tc>
          <w:tcPr>
            <w:tcW w:w="1701" w:type="dxa"/>
            <w:tcBorders>
              <w:top w:val="nil"/>
              <w:left w:val="nil"/>
              <w:bottom w:val="nil"/>
              <w:right w:val="nil"/>
            </w:tcBorders>
            <w:vAlign w:val="center"/>
          </w:tcPr>
          <w:p w14:paraId="1A133D61">
            <w:pPr>
              <w:widowControl/>
              <w:jc w:val="center"/>
              <w:textAlignment w:val="center"/>
              <w:rPr>
                <w:rFonts w:hint="default" w:ascii="Times New Roman" w:hAnsi="Times New Roman" w:eastAsia="宋体" w:cs="Times New Roman"/>
                <w:bCs/>
                <w:sz w:val="15"/>
                <w:szCs w:val="15"/>
              </w:rPr>
            </w:pPr>
            <w:r>
              <w:rPr>
                <w:rFonts w:hint="default" w:ascii="Times New Roman" w:hAnsi="Times New Roman" w:eastAsia="宋体" w:cs="Times New Roman"/>
                <w:kern w:val="0"/>
                <w:sz w:val="15"/>
                <w:szCs w:val="15"/>
                <w:lang w:bidi="ar"/>
              </w:rPr>
              <w:t>18.73</w:t>
            </w:r>
          </w:p>
        </w:tc>
        <w:tc>
          <w:tcPr>
            <w:tcW w:w="1701" w:type="dxa"/>
            <w:tcBorders>
              <w:top w:val="nil"/>
              <w:left w:val="nil"/>
              <w:bottom w:val="nil"/>
              <w:right w:val="nil"/>
            </w:tcBorders>
            <w:vAlign w:val="bottom"/>
          </w:tcPr>
          <w:p w14:paraId="6F2679CB">
            <w:pPr>
              <w:widowControl/>
              <w:jc w:val="center"/>
              <w:textAlignment w:val="bottom"/>
              <w:rPr>
                <w:rFonts w:hint="default" w:ascii="Times New Roman" w:hAnsi="Times New Roman" w:eastAsia="宋体" w:cs="Times New Roman"/>
                <w:bCs/>
                <w:sz w:val="15"/>
                <w:szCs w:val="15"/>
              </w:rPr>
            </w:pPr>
            <w:r>
              <w:rPr>
                <w:rFonts w:hint="default" w:ascii="Times New Roman" w:hAnsi="Times New Roman" w:eastAsia="宋体" w:cs="Times New Roman"/>
                <w:bCs/>
                <w:sz w:val="15"/>
                <w:szCs w:val="15"/>
              </w:rPr>
              <w:t>18.56</w:t>
            </w:r>
          </w:p>
        </w:tc>
        <w:tc>
          <w:tcPr>
            <w:tcW w:w="1701" w:type="dxa"/>
            <w:tcBorders>
              <w:top w:val="nil"/>
              <w:left w:val="nil"/>
              <w:bottom w:val="nil"/>
              <w:right w:val="nil"/>
            </w:tcBorders>
            <w:vAlign w:val="bottom"/>
          </w:tcPr>
          <w:p w14:paraId="321B4C7F">
            <w:pPr>
              <w:widowControl/>
              <w:jc w:val="center"/>
              <w:textAlignment w:val="bottom"/>
              <w:rPr>
                <w:rFonts w:hint="default" w:ascii="Times New Roman" w:hAnsi="Times New Roman" w:eastAsia="宋体" w:cs="Times New Roman"/>
                <w:sz w:val="15"/>
                <w:szCs w:val="15"/>
              </w:rPr>
            </w:pPr>
            <w:r>
              <w:rPr>
                <w:rFonts w:hint="eastAsia" w:ascii="Times New Roman" w:hAnsi="Times New Roman" w:eastAsia="宋体" w:cs="Times New Roman"/>
                <w:kern w:val="0"/>
                <w:sz w:val="15"/>
                <w:szCs w:val="15"/>
                <w:lang w:bidi="ar"/>
              </w:rPr>
              <w:t>0.91</w:t>
            </w:r>
          </w:p>
        </w:tc>
      </w:tr>
      <w:tr w14:paraId="380C3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nil"/>
              <w:left w:val="nil"/>
              <w:bottom w:val="nil"/>
              <w:right w:val="nil"/>
            </w:tcBorders>
          </w:tcPr>
          <w:p w14:paraId="5F22E641">
            <w:pPr>
              <w:jc w:val="center"/>
              <w:rPr>
                <w:rFonts w:hint="default" w:ascii="Times New Roman" w:hAnsi="Times New Roman" w:eastAsia="宋体" w:cs="Times New Roman"/>
                <w:bCs/>
                <w:szCs w:val="21"/>
              </w:rPr>
            </w:pPr>
            <w:r>
              <w:rPr>
                <w:rFonts w:hint="default" w:ascii="Times New Roman" w:hAnsi="Times New Roman" w:eastAsia="宋体" w:cs="Times New Roman"/>
                <w:sz w:val="15"/>
                <w:szCs w:val="15"/>
              </w:rPr>
              <w:t>6</w:t>
            </w:r>
          </w:p>
        </w:tc>
        <w:tc>
          <w:tcPr>
            <w:tcW w:w="1701" w:type="dxa"/>
            <w:tcBorders>
              <w:top w:val="nil"/>
              <w:left w:val="nil"/>
              <w:bottom w:val="nil"/>
              <w:right w:val="nil"/>
            </w:tcBorders>
            <w:vAlign w:val="center"/>
          </w:tcPr>
          <w:p w14:paraId="58E844C5">
            <w:pPr>
              <w:widowControl/>
              <w:jc w:val="center"/>
              <w:textAlignment w:val="center"/>
              <w:rPr>
                <w:rFonts w:hint="default" w:ascii="Times New Roman" w:hAnsi="Times New Roman" w:eastAsia="宋体" w:cs="Times New Roman"/>
                <w:bCs/>
                <w:sz w:val="15"/>
                <w:szCs w:val="15"/>
              </w:rPr>
            </w:pPr>
            <w:r>
              <w:rPr>
                <w:rFonts w:hint="default" w:ascii="Times New Roman" w:hAnsi="Times New Roman" w:eastAsia="宋体" w:cs="Times New Roman"/>
                <w:kern w:val="0"/>
                <w:sz w:val="15"/>
                <w:szCs w:val="15"/>
                <w:lang w:bidi="ar"/>
              </w:rPr>
              <w:t>0.000389192</w:t>
            </w:r>
          </w:p>
        </w:tc>
        <w:tc>
          <w:tcPr>
            <w:tcW w:w="1701" w:type="dxa"/>
            <w:tcBorders>
              <w:top w:val="nil"/>
              <w:left w:val="nil"/>
              <w:bottom w:val="nil"/>
              <w:right w:val="nil"/>
            </w:tcBorders>
            <w:vAlign w:val="center"/>
          </w:tcPr>
          <w:p w14:paraId="61A32EC1">
            <w:pPr>
              <w:widowControl/>
              <w:jc w:val="center"/>
              <w:textAlignment w:val="center"/>
              <w:rPr>
                <w:rFonts w:hint="default" w:ascii="Times New Roman" w:hAnsi="Times New Roman" w:eastAsia="宋体" w:cs="Times New Roman"/>
                <w:bCs/>
                <w:sz w:val="15"/>
                <w:szCs w:val="15"/>
              </w:rPr>
            </w:pPr>
            <w:r>
              <w:rPr>
                <w:rFonts w:hint="default" w:ascii="Times New Roman" w:hAnsi="Times New Roman" w:eastAsia="宋体" w:cs="Times New Roman"/>
                <w:kern w:val="0"/>
                <w:sz w:val="15"/>
                <w:szCs w:val="15"/>
                <w:lang w:bidi="ar"/>
              </w:rPr>
              <w:t>10.25</w:t>
            </w:r>
          </w:p>
        </w:tc>
        <w:tc>
          <w:tcPr>
            <w:tcW w:w="1701" w:type="dxa"/>
            <w:tcBorders>
              <w:top w:val="nil"/>
              <w:left w:val="nil"/>
              <w:bottom w:val="nil"/>
              <w:right w:val="nil"/>
            </w:tcBorders>
            <w:vAlign w:val="bottom"/>
          </w:tcPr>
          <w:p w14:paraId="4C457F40">
            <w:pPr>
              <w:widowControl/>
              <w:jc w:val="center"/>
              <w:textAlignment w:val="bottom"/>
              <w:rPr>
                <w:rFonts w:hint="default" w:ascii="Times New Roman" w:hAnsi="Times New Roman" w:eastAsia="宋体" w:cs="Times New Roman"/>
                <w:bCs/>
                <w:sz w:val="15"/>
                <w:szCs w:val="15"/>
              </w:rPr>
            </w:pPr>
            <w:r>
              <w:rPr>
                <w:rFonts w:hint="default" w:ascii="Times New Roman" w:hAnsi="Times New Roman" w:eastAsia="宋体" w:cs="Times New Roman"/>
                <w:bCs/>
                <w:sz w:val="15"/>
                <w:szCs w:val="15"/>
              </w:rPr>
              <w:t>10.16</w:t>
            </w:r>
          </w:p>
        </w:tc>
        <w:tc>
          <w:tcPr>
            <w:tcW w:w="1701" w:type="dxa"/>
            <w:tcBorders>
              <w:top w:val="nil"/>
              <w:left w:val="nil"/>
              <w:bottom w:val="nil"/>
              <w:right w:val="nil"/>
            </w:tcBorders>
            <w:vAlign w:val="bottom"/>
          </w:tcPr>
          <w:p w14:paraId="212F8BA0">
            <w:pPr>
              <w:widowControl/>
              <w:jc w:val="center"/>
              <w:textAlignment w:val="bottom"/>
              <w:rPr>
                <w:rFonts w:hint="default" w:ascii="Times New Roman" w:hAnsi="Times New Roman" w:eastAsia="宋体" w:cs="Times New Roman"/>
                <w:sz w:val="15"/>
                <w:szCs w:val="15"/>
              </w:rPr>
            </w:pPr>
            <w:r>
              <w:rPr>
                <w:rFonts w:hint="eastAsia" w:ascii="Times New Roman" w:hAnsi="Times New Roman" w:eastAsia="宋体" w:cs="Times New Roman"/>
                <w:kern w:val="0"/>
                <w:sz w:val="15"/>
                <w:szCs w:val="15"/>
                <w:lang w:bidi="ar"/>
              </w:rPr>
              <w:t>0.88</w:t>
            </w:r>
          </w:p>
        </w:tc>
      </w:tr>
      <w:tr w14:paraId="5A1F1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nil"/>
              <w:left w:val="nil"/>
              <w:bottom w:val="single" w:color="auto" w:sz="12" w:space="0"/>
              <w:right w:val="nil"/>
            </w:tcBorders>
          </w:tcPr>
          <w:p w14:paraId="4799104A">
            <w:pPr>
              <w:jc w:val="center"/>
              <w:rPr>
                <w:rFonts w:hint="default" w:ascii="Times New Roman" w:hAnsi="Times New Roman" w:eastAsia="宋体" w:cs="Times New Roman"/>
                <w:bCs/>
                <w:szCs w:val="21"/>
              </w:rPr>
            </w:pPr>
            <w:r>
              <w:rPr>
                <w:rFonts w:hint="default" w:ascii="Times New Roman" w:hAnsi="Times New Roman" w:eastAsia="宋体" w:cs="Times New Roman"/>
                <w:sz w:val="15"/>
                <w:szCs w:val="15"/>
              </w:rPr>
              <w:t>7</w:t>
            </w:r>
          </w:p>
        </w:tc>
        <w:tc>
          <w:tcPr>
            <w:tcW w:w="1701" w:type="dxa"/>
            <w:tcBorders>
              <w:top w:val="nil"/>
              <w:left w:val="nil"/>
              <w:bottom w:val="single" w:color="auto" w:sz="12" w:space="0"/>
              <w:right w:val="nil"/>
            </w:tcBorders>
            <w:vAlign w:val="center"/>
          </w:tcPr>
          <w:p w14:paraId="5612B123">
            <w:pPr>
              <w:widowControl/>
              <w:jc w:val="center"/>
              <w:textAlignment w:val="center"/>
              <w:rPr>
                <w:rFonts w:hint="default" w:ascii="Times New Roman" w:hAnsi="Times New Roman" w:eastAsia="宋体" w:cs="Times New Roman"/>
                <w:bCs/>
                <w:sz w:val="15"/>
                <w:szCs w:val="15"/>
              </w:rPr>
            </w:pPr>
            <w:r>
              <w:rPr>
                <w:rFonts w:hint="default" w:ascii="Times New Roman" w:hAnsi="Times New Roman" w:eastAsia="宋体" w:cs="Times New Roman"/>
                <w:kern w:val="0"/>
                <w:sz w:val="15"/>
                <w:szCs w:val="15"/>
                <w:lang w:bidi="ar"/>
              </w:rPr>
              <w:t>0.000557927</w:t>
            </w:r>
          </w:p>
        </w:tc>
        <w:tc>
          <w:tcPr>
            <w:tcW w:w="1701" w:type="dxa"/>
            <w:tcBorders>
              <w:top w:val="nil"/>
              <w:left w:val="nil"/>
              <w:bottom w:val="single" w:color="auto" w:sz="12" w:space="0"/>
              <w:right w:val="nil"/>
            </w:tcBorders>
            <w:vAlign w:val="center"/>
          </w:tcPr>
          <w:p w14:paraId="262265C8">
            <w:pPr>
              <w:widowControl/>
              <w:jc w:val="center"/>
              <w:textAlignment w:val="center"/>
              <w:rPr>
                <w:rFonts w:hint="default" w:ascii="Times New Roman" w:hAnsi="Times New Roman" w:eastAsia="宋体" w:cs="Times New Roman"/>
                <w:bCs/>
                <w:sz w:val="15"/>
                <w:szCs w:val="15"/>
              </w:rPr>
            </w:pPr>
            <w:r>
              <w:rPr>
                <w:rFonts w:hint="default" w:ascii="Times New Roman" w:hAnsi="Times New Roman" w:eastAsia="宋体" w:cs="Times New Roman"/>
                <w:kern w:val="0"/>
                <w:sz w:val="15"/>
                <w:szCs w:val="15"/>
                <w:lang w:bidi="ar"/>
              </w:rPr>
              <w:t>7.24</w:t>
            </w:r>
          </w:p>
        </w:tc>
        <w:tc>
          <w:tcPr>
            <w:tcW w:w="1701" w:type="dxa"/>
            <w:tcBorders>
              <w:top w:val="nil"/>
              <w:left w:val="nil"/>
              <w:bottom w:val="single" w:color="auto" w:sz="12" w:space="0"/>
              <w:right w:val="nil"/>
            </w:tcBorders>
            <w:vAlign w:val="bottom"/>
          </w:tcPr>
          <w:p w14:paraId="10A769DF">
            <w:pPr>
              <w:widowControl/>
              <w:jc w:val="center"/>
              <w:textAlignment w:val="bottom"/>
              <w:rPr>
                <w:rFonts w:hint="default" w:ascii="Times New Roman" w:hAnsi="Times New Roman" w:eastAsia="宋体" w:cs="Times New Roman"/>
                <w:bCs/>
                <w:sz w:val="15"/>
                <w:szCs w:val="15"/>
              </w:rPr>
            </w:pPr>
            <w:r>
              <w:rPr>
                <w:rFonts w:hint="default" w:ascii="Times New Roman" w:hAnsi="Times New Roman" w:eastAsia="宋体" w:cs="Times New Roman"/>
                <w:bCs/>
                <w:sz w:val="15"/>
                <w:szCs w:val="15"/>
              </w:rPr>
              <w:t>7.18</w:t>
            </w:r>
          </w:p>
        </w:tc>
        <w:tc>
          <w:tcPr>
            <w:tcW w:w="1701" w:type="dxa"/>
            <w:tcBorders>
              <w:top w:val="nil"/>
              <w:left w:val="nil"/>
              <w:bottom w:val="single" w:color="auto" w:sz="12" w:space="0"/>
              <w:right w:val="nil"/>
            </w:tcBorders>
            <w:vAlign w:val="bottom"/>
          </w:tcPr>
          <w:p w14:paraId="01955D0B">
            <w:pPr>
              <w:widowControl/>
              <w:jc w:val="center"/>
              <w:textAlignment w:val="bottom"/>
              <w:rPr>
                <w:rFonts w:hint="default" w:ascii="Times New Roman" w:hAnsi="Times New Roman" w:eastAsia="宋体" w:cs="Times New Roman"/>
                <w:sz w:val="15"/>
                <w:szCs w:val="15"/>
              </w:rPr>
            </w:pPr>
            <w:r>
              <w:rPr>
                <w:rFonts w:hint="eastAsia" w:ascii="Times New Roman" w:hAnsi="Times New Roman" w:eastAsia="宋体" w:cs="Times New Roman"/>
                <w:kern w:val="0"/>
                <w:sz w:val="15"/>
                <w:szCs w:val="15"/>
                <w:lang w:bidi="ar"/>
              </w:rPr>
              <w:t>0.83</w:t>
            </w:r>
          </w:p>
        </w:tc>
      </w:tr>
    </w:tbl>
    <w:p w14:paraId="75E7DFBC">
      <w:pPr>
        <w:rPr>
          <w:rFonts w:ascii="Times New Roman" w:hAnsi="Times New Roman" w:eastAsia="黑体" w:cs="Times New Roman"/>
          <w:szCs w:val="21"/>
        </w:rPr>
      </w:pPr>
      <w:r>
        <w:rPr>
          <w:rFonts w:hint="eastAsia" w:ascii="Times New Roman" w:hAnsi="Times New Roman" w:eastAsia="黑体" w:cs="Times New Roman"/>
          <w:szCs w:val="21"/>
        </w:rPr>
        <w:t>2</w:t>
      </w:r>
      <w:r>
        <w:rPr>
          <w:rFonts w:ascii="Times New Roman" w:hAnsi="Times New Roman" w:eastAsia="黑体" w:cs="Times New Roman"/>
          <w:szCs w:val="21"/>
        </w:rPr>
        <w:t>.</w:t>
      </w:r>
      <w:bookmarkStart w:id="14" w:name="_Hlk202872093"/>
      <w:r>
        <w:rPr>
          <w:rFonts w:hint="eastAsia" w:ascii="Times New Roman" w:hAnsi="Times New Roman" w:eastAsia="黑体" w:cs="Times New Roman"/>
          <w:szCs w:val="21"/>
        </w:rPr>
        <w:t>2最优无量纲直径</w:t>
      </w:r>
      <w:r>
        <w:rPr>
          <w:rFonts w:hint="eastAsia" w:ascii="Times New Roman" w:hAnsi="Times New Roman" w:eastAsia="黑体" w:cs="Times New Roman"/>
          <w:i/>
          <w:iCs/>
          <w:szCs w:val="21"/>
        </w:rPr>
        <w:t>L</w:t>
      </w:r>
      <w:r>
        <w:rPr>
          <w:rFonts w:hint="eastAsia" w:ascii="Times New Roman" w:hAnsi="Times New Roman" w:eastAsia="黑体" w:cs="Times New Roman"/>
          <w:szCs w:val="21"/>
        </w:rPr>
        <w:t>的确定</w:t>
      </w:r>
      <w:bookmarkEnd w:id="14"/>
    </w:p>
    <w:p w14:paraId="5B7F15A6">
      <w:pPr>
        <w:ind w:firstLine="480"/>
      </w:pPr>
      <w:r>
        <w:rPr>
          <w:rFonts w:ascii="Times New Roman" w:hAnsi="Times New Roman" w:eastAsia="宋体" w:cs="Times New Roman"/>
          <w:szCs w:val="21"/>
        </w:rPr>
        <w:t>截除率随</w:t>
      </w:r>
      <w:r>
        <w:rPr>
          <w:rFonts w:ascii="Times New Roman" w:hAnsi="Times New Roman" w:eastAsia="宋体" w:cs="Times New Roman"/>
          <w:i/>
          <w:iCs/>
          <w:szCs w:val="21"/>
        </w:rPr>
        <w:t>L</w:t>
      </w:r>
      <w:r>
        <w:rPr>
          <w:rFonts w:ascii="Times New Roman" w:hAnsi="Times New Roman" w:eastAsia="宋体" w:cs="Times New Roman"/>
          <w:szCs w:val="21"/>
        </w:rPr>
        <w:t>、含沙浓度</w:t>
      </w:r>
      <w:r>
        <w:rPr>
          <w:rFonts w:ascii="Times New Roman" w:hAnsi="Times New Roman" w:eastAsia="宋体" w:cs="Times New Roman"/>
          <w:i/>
          <w:iCs/>
          <w:szCs w:val="21"/>
        </w:rPr>
        <w:t>S</w:t>
      </w:r>
      <w:r>
        <w:rPr>
          <w:rFonts w:ascii="Times New Roman" w:hAnsi="Times New Roman" w:eastAsia="宋体" w:cs="Times New Roman"/>
          <w:szCs w:val="21"/>
        </w:rPr>
        <w:t>的函数图像</w:t>
      </w:r>
      <w:r>
        <w:rPr>
          <w:rFonts w:hint="eastAsia" w:ascii="Times New Roman" w:hAnsi="Times New Roman" w:eastAsia="宋体" w:cs="Times New Roman"/>
          <w:szCs w:val="21"/>
        </w:rPr>
        <w:t>如</w:t>
      </w:r>
      <w:r>
        <w:rPr>
          <w:rFonts w:ascii="Times New Roman" w:hAnsi="Times New Roman" w:eastAsia="宋体" w:cs="Times New Roman"/>
          <w:szCs w:val="21"/>
        </w:rPr>
        <w:t>图4(a)</w:t>
      </w:r>
      <w:r>
        <w:rPr>
          <w:rFonts w:hint="eastAsia" w:ascii="Times New Roman" w:hAnsi="Times New Roman" w:eastAsia="宋体" w:cs="Times New Roman"/>
          <w:szCs w:val="21"/>
        </w:rPr>
        <w:t>所示</w:t>
      </w:r>
      <w:r>
        <w:rPr>
          <w:rFonts w:ascii="Times New Roman" w:hAnsi="Times New Roman" w:eastAsia="宋体" w:cs="Times New Roman"/>
          <w:szCs w:val="21"/>
        </w:rPr>
        <w:t>，由耗水率定义式可知，耗水率不随浓度变化而变化，为一元幂函数图像，</w:t>
      </w:r>
      <w:r>
        <w:rPr>
          <w:rFonts w:hint="eastAsia" w:ascii="Times New Roman" w:hAnsi="Times New Roman" w:eastAsia="宋体" w:cs="Times New Roman"/>
          <w:szCs w:val="21"/>
        </w:rPr>
        <w:t>如</w:t>
      </w:r>
      <w:r>
        <w:rPr>
          <w:rFonts w:ascii="Times New Roman" w:hAnsi="Times New Roman" w:eastAsia="宋体" w:cs="Times New Roman"/>
          <w:szCs w:val="21"/>
        </w:rPr>
        <w:t>图4</w:t>
      </w:r>
      <w:r>
        <w:rPr>
          <w:rFonts w:hint="eastAsia" w:ascii="Times New Roman" w:hAnsi="Times New Roman" w:eastAsia="宋体" w:cs="Times New Roman"/>
          <w:szCs w:val="21"/>
        </w:rPr>
        <w:t>(</w:t>
      </w:r>
      <w:r>
        <w:rPr>
          <w:rFonts w:ascii="Times New Roman" w:hAnsi="Times New Roman" w:eastAsia="宋体" w:cs="Times New Roman"/>
          <w:szCs w:val="21"/>
        </w:rPr>
        <w:t>b</w:t>
      </w:r>
      <w:r>
        <w:rPr>
          <w:rFonts w:hint="eastAsia" w:ascii="Times New Roman" w:hAnsi="Times New Roman" w:eastAsia="宋体" w:cs="Times New Roman"/>
          <w:szCs w:val="21"/>
        </w:rPr>
        <w:t>)所示。</w:t>
      </w:r>
      <w:r>
        <w:rPr>
          <w:rFonts w:ascii="Times New Roman" w:hAnsi="Times New Roman" w:eastAsia="宋体" w:cs="Times New Roman"/>
          <w:szCs w:val="21"/>
        </w:rPr>
        <w:t>可以发现以高截除率、低耗水率为两个相互冲突的目标，当截除率增高时，耗水率也在升高。为获得高泥沙截除率和低排沙耗水率下的</w:t>
      </w:r>
      <w:r>
        <w:rPr>
          <w:rFonts w:ascii="Times New Roman" w:hAnsi="Times New Roman" w:eastAsia="宋体" w:cs="Times New Roman"/>
          <w:i/>
          <w:iCs/>
          <w:szCs w:val="21"/>
        </w:rPr>
        <w:t>L</w:t>
      </w:r>
      <w:r>
        <w:rPr>
          <w:rFonts w:ascii="Times New Roman" w:hAnsi="Times New Roman" w:eastAsia="宋体" w:cs="Times New Roman"/>
          <w:szCs w:val="21"/>
        </w:rPr>
        <w:t>最优取值，研究采用非支配排序遗传算法（NSGA-Ⅱ</w:t>
      </w:r>
      <w:r>
        <w:rPr>
          <w:rFonts w:ascii="Times New Roman" w:hAnsi="Times New Roman" w:eastAsia="宋体" w:cs="Times New Roman"/>
          <w:b/>
          <w:bCs/>
          <w:szCs w:val="21"/>
        </w:rPr>
        <w:t>）</w:t>
      </w:r>
      <w:r>
        <w:rPr>
          <w:rFonts w:ascii="Times New Roman" w:hAnsi="Times New Roman" w:eastAsia="宋体" w:cs="Times New Roman"/>
          <w:szCs w:val="21"/>
        </w:rPr>
        <w:t>对无量纲数</w:t>
      </w:r>
      <w:r>
        <w:rPr>
          <w:rFonts w:ascii="Times New Roman" w:hAnsi="Times New Roman" w:eastAsia="宋体" w:cs="Times New Roman"/>
          <w:i/>
          <w:iCs/>
          <w:szCs w:val="21"/>
        </w:rPr>
        <w:t>L</w:t>
      </w:r>
      <w:r>
        <w:rPr>
          <w:rFonts w:ascii="Times New Roman" w:hAnsi="Times New Roman" w:eastAsia="宋体" w:cs="Times New Roman"/>
          <w:szCs w:val="21"/>
        </w:rPr>
        <w:t>进行多目标寻优。</w:t>
      </w:r>
    </w:p>
    <w:p w14:paraId="356E5FF1">
      <w:pPr>
        <w:jc w:val="center"/>
      </w:pPr>
      <w:r>
        <w:drawing>
          <wp:inline distT="0" distB="0" distL="114300" distR="114300">
            <wp:extent cx="2704465" cy="2030095"/>
            <wp:effectExtent l="0" t="0" r="635" b="8255"/>
            <wp:docPr id="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
                    <pic:cNvPicPr>
                      <a:picLocks noChangeAspect="1"/>
                    </pic:cNvPicPr>
                  </pic:nvPicPr>
                  <pic:blipFill>
                    <a:blip r:embed="rId50"/>
                    <a:stretch>
                      <a:fillRect/>
                    </a:stretch>
                  </pic:blipFill>
                  <pic:spPr>
                    <a:xfrm>
                      <a:off x="0" y="0"/>
                      <a:ext cx="2704465" cy="2030095"/>
                    </a:xfrm>
                    <a:prstGeom prst="rect">
                      <a:avLst/>
                    </a:prstGeom>
                    <a:noFill/>
                    <a:ln>
                      <a:noFill/>
                    </a:ln>
                  </pic:spPr>
                </pic:pic>
              </a:graphicData>
            </a:graphic>
          </wp:inline>
        </w:drawing>
      </w:r>
      <w:r>
        <w:drawing>
          <wp:inline distT="0" distB="0" distL="114300" distR="114300">
            <wp:extent cx="2454910" cy="1842135"/>
            <wp:effectExtent l="0" t="0" r="0" b="0"/>
            <wp:docPr id="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4"/>
                    <pic:cNvPicPr>
                      <a:picLocks noChangeAspect="1"/>
                    </pic:cNvPicPr>
                  </pic:nvPicPr>
                  <pic:blipFill>
                    <a:blip r:embed="rId51"/>
                    <a:stretch>
                      <a:fillRect/>
                    </a:stretch>
                  </pic:blipFill>
                  <pic:spPr>
                    <a:xfrm>
                      <a:off x="0" y="0"/>
                      <a:ext cx="2454910" cy="1842135"/>
                    </a:xfrm>
                    <a:prstGeom prst="rect">
                      <a:avLst/>
                    </a:prstGeom>
                    <a:noFill/>
                    <a:ln>
                      <a:noFill/>
                    </a:ln>
                  </pic:spPr>
                </pic:pic>
              </a:graphicData>
            </a:graphic>
          </wp:inline>
        </w:drawing>
      </w:r>
    </w:p>
    <w:p w14:paraId="666363D6">
      <w:pPr>
        <w:ind w:firstLine="1650" w:firstLineChars="1100"/>
        <w:jc w:val="left"/>
        <w:rPr>
          <w:rFonts w:ascii="Times New Roman" w:hAnsi="Times New Roman" w:eastAsia="宋体" w:cs="Times New Roman"/>
          <w:sz w:val="15"/>
          <w:szCs w:val="15"/>
        </w:rPr>
      </w:pPr>
      <w:r>
        <w:rPr>
          <w:rFonts w:ascii="Times New Roman" w:hAnsi="Times New Roman" w:eastAsia="宋体" w:cs="Times New Roman"/>
          <w:sz w:val="15"/>
          <w:szCs w:val="15"/>
        </w:rPr>
        <w:t>（a）截除率图像</w:t>
      </w:r>
      <w:r>
        <w:rPr>
          <w:rFonts w:hint="eastAsia" w:ascii="Times New Roman" w:hAnsi="Times New Roman" w:eastAsia="宋体" w:cs="Times New Roman"/>
          <w:sz w:val="15"/>
          <w:szCs w:val="15"/>
        </w:rPr>
        <w:t xml:space="preserve">                                      </w:t>
      </w:r>
      <w:r>
        <w:rPr>
          <w:rFonts w:ascii="Times New Roman" w:hAnsi="Times New Roman" w:eastAsia="宋体" w:cs="Times New Roman"/>
          <w:sz w:val="15"/>
          <w:szCs w:val="15"/>
        </w:rPr>
        <w:t>（</w:t>
      </w:r>
      <w:r>
        <w:rPr>
          <w:rFonts w:hint="eastAsia" w:ascii="Times New Roman" w:hAnsi="Times New Roman" w:eastAsia="宋体" w:cs="Times New Roman"/>
          <w:sz w:val="15"/>
          <w:szCs w:val="15"/>
        </w:rPr>
        <w:t>b</w:t>
      </w:r>
      <w:r>
        <w:rPr>
          <w:rFonts w:ascii="Times New Roman" w:hAnsi="Times New Roman" w:eastAsia="宋体" w:cs="Times New Roman"/>
          <w:sz w:val="15"/>
          <w:szCs w:val="15"/>
        </w:rPr>
        <w:t>）</w:t>
      </w:r>
      <w:r>
        <w:rPr>
          <w:rFonts w:hint="eastAsia" w:ascii="Times New Roman" w:hAnsi="Times New Roman" w:eastAsia="宋体" w:cs="Times New Roman"/>
          <w:sz w:val="15"/>
          <w:szCs w:val="15"/>
        </w:rPr>
        <w:t>耗水</w:t>
      </w:r>
      <w:r>
        <w:rPr>
          <w:rFonts w:ascii="Times New Roman" w:hAnsi="Times New Roman" w:eastAsia="宋体" w:cs="Times New Roman"/>
          <w:sz w:val="15"/>
          <w:szCs w:val="15"/>
        </w:rPr>
        <w:t>率图像</w:t>
      </w:r>
    </w:p>
    <w:p w14:paraId="0DF9E6EE">
      <w:pPr>
        <w:jc w:val="center"/>
        <w:rPr>
          <w:rFonts w:hint="eastAsia" w:ascii="黑体" w:hAnsi="黑体" w:eastAsia="黑体" w:cs="黑体"/>
          <w:sz w:val="18"/>
          <w:szCs w:val="18"/>
        </w:rPr>
      </w:pPr>
      <w:r>
        <w:rPr>
          <w:rFonts w:ascii="Times New Roman" w:hAnsi="Times New Roman" w:eastAsia="黑体" w:cs="Times New Roman"/>
          <w:sz w:val="18"/>
          <w:szCs w:val="18"/>
        </w:rPr>
        <w:t>图4截除率与耗水率的函数图象</w:t>
      </w:r>
    </w:p>
    <w:p w14:paraId="471CF84D">
      <w:pPr>
        <w:jc w:val="center"/>
        <w:rPr>
          <w:rFonts w:ascii="Times New Roman" w:hAnsi="Times New Roman" w:cs="Times New Roman"/>
          <w:sz w:val="18"/>
          <w:szCs w:val="18"/>
        </w:rPr>
      </w:pPr>
      <w:r>
        <w:rPr>
          <w:rFonts w:hint="eastAsia" w:ascii="Times New Roman" w:hAnsi="Times New Roman" w:cs="Times New Roman"/>
          <w:sz w:val="18"/>
          <w:szCs w:val="18"/>
        </w:rPr>
        <w:t>Fig. 4 Functional relationship between</w:t>
      </w:r>
      <w:r>
        <w:rPr>
          <w:rFonts w:hint="eastAsia" w:ascii="Times New Roman" w:hAnsi="Times New Roman" w:cs="Times New Roman"/>
          <w:sz w:val="18"/>
          <w:szCs w:val="18"/>
          <w:lang w:val="en-US" w:eastAsia="zh-CN"/>
        </w:rPr>
        <w:t xml:space="preserve"> sediment trapping efficiency</w:t>
      </w:r>
      <w:r>
        <w:rPr>
          <w:rFonts w:hint="eastAsia" w:ascii="Times New Roman" w:hAnsi="Times New Roman" w:cs="Times New Roman"/>
          <w:sz w:val="18"/>
          <w:szCs w:val="18"/>
        </w:rPr>
        <w:t xml:space="preserve"> and water consumption rate</w:t>
      </w:r>
    </w:p>
    <w:p w14:paraId="3D6E7285">
      <w:pPr>
        <w:pStyle w:val="3"/>
        <w:rPr>
          <w:rFonts w:ascii="Times New Roman" w:hAnsi="Times New Roman" w:eastAsia="楷体" w:cs="Times New Roman"/>
          <w:szCs w:val="21"/>
          <w:lang w:bidi="en-US"/>
        </w:rPr>
      </w:pPr>
      <w:r>
        <w:rPr>
          <w:rFonts w:hint="eastAsia" w:ascii="Times New Roman" w:hAnsi="Times New Roman" w:eastAsia="楷体" w:cs="Times New Roman"/>
          <w:szCs w:val="21"/>
          <w:lang w:bidi="en-US"/>
        </w:rPr>
        <w:t>2</w:t>
      </w:r>
      <w:r>
        <w:rPr>
          <w:rFonts w:ascii="Times New Roman" w:hAnsi="Times New Roman" w:eastAsia="楷体" w:cs="Times New Roman"/>
          <w:szCs w:val="21"/>
          <w:lang w:bidi="en-US"/>
        </w:rPr>
        <w:t>.</w:t>
      </w:r>
      <w:r>
        <w:rPr>
          <w:rFonts w:hint="eastAsia" w:ascii="Times New Roman" w:hAnsi="Times New Roman" w:eastAsia="楷体" w:cs="Times New Roman"/>
          <w:szCs w:val="21"/>
          <w:lang w:bidi="en-US"/>
        </w:rPr>
        <w:t>2</w:t>
      </w:r>
      <w:r>
        <w:rPr>
          <w:rFonts w:ascii="Times New Roman" w:hAnsi="Times New Roman" w:eastAsia="楷体" w:cs="Times New Roman"/>
          <w:szCs w:val="21"/>
          <w:lang w:bidi="en-US"/>
        </w:rPr>
        <w:t xml:space="preserve">.1 </w:t>
      </w:r>
      <w:r>
        <w:rPr>
          <w:rFonts w:ascii="Times New Roman" w:hAnsi="Times New Roman" w:eastAsia="楷体" w:cs="Times New Roman"/>
          <w:szCs w:val="21"/>
        </w:rPr>
        <w:t>非支配遗传算法（</w:t>
      </w:r>
      <w:r>
        <w:rPr>
          <w:rFonts w:ascii="Times New Roman" w:hAnsi="Times New Roman" w:eastAsia="楷体" w:cs="Times New Roman"/>
          <w:kern w:val="0"/>
          <w:szCs w:val="21"/>
        </w:rPr>
        <w:t>NSGA-Ⅱ</w:t>
      </w:r>
      <w:r>
        <w:rPr>
          <w:rFonts w:ascii="Times New Roman" w:hAnsi="Times New Roman" w:eastAsia="楷体" w:cs="Times New Roman"/>
          <w:szCs w:val="21"/>
        </w:rPr>
        <w:t>）</w:t>
      </w:r>
    </w:p>
    <w:p w14:paraId="512C3C45">
      <w:pPr>
        <w:pStyle w:val="12"/>
        <w:spacing w:line="240" w:lineRule="auto"/>
        <w:ind w:firstLine="480"/>
        <w:rPr>
          <w:color w:val="auto"/>
          <w:sz w:val="21"/>
          <w:szCs w:val="21"/>
        </w:rPr>
      </w:pPr>
      <w:r>
        <w:rPr>
          <w:color w:val="auto"/>
          <w:szCs w:val="24"/>
        </w:rPr>
        <w:t>在</w:t>
      </w:r>
      <w:r>
        <w:rPr>
          <w:color w:val="auto"/>
          <w:sz w:val="21"/>
          <w:szCs w:val="21"/>
        </w:rPr>
        <w:t>多目标优化算法中，非支配排序遗传算法（NSGA-II）被广泛用于探索不同的帕累托前沿，是目前流行的一种多目标寻优算</w:t>
      </w:r>
      <w:bookmarkStart w:id="15" w:name="_Hlk188833252"/>
      <w:r>
        <w:rPr>
          <w:rFonts w:hint="eastAsia"/>
          <w:color w:val="auto"/>
          <w:sz w:val="21"/>
          <w:szCs w:val="21"/>
          <w:lang w:eastAsia="zh-CN"/>
        </w:rPr>
        <w:t>法</w:t>
      </w:r>
      <w:r>
        <w:rPr>
          <w:color w:val="auto"/>
          <w:sz w:val="21"/>
          <w:szCs w:val="21"/>
        </w:rPr>
        <w:t>，</w:t>
      </w:r>
      <w:bookmarkEnd w:id="15"/>
      <w:r>
        <w:rPr>
          <w:color w:val="auto"/>
          <w:sz w:val="21"/>
          <w:szCs w:val="21"/>
        </w:rPr>
        <w:t>具体流程</w:t>
      </w:r>
      <w:r>
        <w:rPr>
          <w:color w:val="auto"/>
          <w:sz w:val="21"/>
          <w:szCs w:val="21"/>
          <w:lang w:val="de-DE" w:eastAsia="zh-CN"/>
        </w:rPr>
        <w:t>为</w:t>
      </w:r>
      <w:r>
        <w:rPr>
          <w:color w:val="auto"/>
          <w:sz w:val="21"/>
          <w:szCs w:val="21"/>
        </w:rPr>
        <w:t>：</w:t>
      </w:r>
    </w:p>
    <w:p w14:paraId="291108BF">
      <w:pPr>
        <w:pStyle w:val="12"/>
        <w:spacing w:line="240" w:lineRule="auto"/>
        <w:ind w:firstLine="420"/>
        <w:rPr>
          <w:color w:val="auto"/>
          <w:sz w:val="21"/>
          <w:szCs w:val="21"/>
        </w:rPr>
      </w:pPr>
      <w:r>
        <w:rPr>
          <w:color w:val="auto"/>
          <w:sz w:val="21"/>
          <w:szCs w:val="21"/>
        </w:rPr>
        <w:t>（1）随机生成一组数量为</w:t>
      </w:r>
      <w:r>
        <w:rPr>
          <w:i/>
          <w:iCs/>
          <w:color w:val="auto"/>
          <w:sz w:val="21"/>
          <w:szCs w:val="21"/>
        </w:rPr>
        <w:t>N</w:t>
      </w:r>
      <w:r>
        <w:rPr>
          <w:color w:val="auto"/>
          <w:sz w:val="21"/>
          <w:szCs w:val="21"/>
        </w:rPr>
        <w:t>的初始种群，对初始种群的每个个体进行非支配排序，根据排序结果对个体进行分层，第一层为最优个体，次优解位于第二层，依此类推。</w:t>
      </w:r>
    </w:p>
    <w:p w14:paraId="0D894D86">
      <w:pPr>
        <w:pStyle w:val="12"/>
        <w:spacing w:line="240" w:lineRule="auto"/>
        <w:ind w:firstLine="420"/>
        <w:rPr>
          <w:color w:val="auto"/>
          <w:sz w:val="21"/>
          <w:szCs w:val="21"/>
        </w:rPr>
      </w:pPr>
      <w:r>
        <w:rPr>
          <w:color w:val="auto"/>
          <w:sz w:val="21"/>
          <w:szCs w:val="21"/>
        </w:rPr>
        <w:t>（2）在每个层次内，计算每个个体的拥挤距离，用于表示解在解空间中的分布情况，拥挤距离越大越好。接着随机从当前种群中选择一部分个体作为父代，对其进行交叉、变异，产生</w:t>
      </w:r>
      <w:r>
        <w:rPr>
          <w:i/>
          <w:iCs/>
          <w:color w:val="auto"/>
          <w:sz w:val="21"/>
          <w:szCs w:val="21"/>
        </w:rPr>
        <w:t>N</w:t>
      </w:r>
      <w:r>
        <w:rPr>
          <w:color w:val="auto"/>
          <w:sz w:val="21"/>
          <w:szCs w:val="21"/>
        </w:rPr>
        <w:t>个新个体作为子代种群，并将父代种群和子代种群合并获得2</w:t>
      </w:r>
      <w:r>
        <w:rPr>
          <w:i/>
          <w:iCs/>
          <w:color w:val="auto"/>
          <w:sz w:val="21"/>
          <w:szCs w:val="21"/>
        </w:rPr>
        <w:t>N</w:t>
      </w:r>
      <w:r>
        <w:rPr>
          <w:color w:val="auto"/>
          <w:sz w:val="21"/>
          <w:szCs w:val="21"/>
        </w:rPr>
        <w:t>个个体。</w:t>
      </w:r>
    </w:p>
    <w:p w14:paraId="676FC1C1">
      <w:pPr>
        <w:pStyle w:val="12"/>
        <w:spacing w:line="240" w:lineRule="auto"/>
        <w:ind w:firstLine="420"/>
        <w:rPr>
          <w:color w:val="auto"/>
          <w:sz w:val="21"/>
          <w:szCs w:val="21"/>
        </w:rPr>
      </w:pPr>
      <w:r>
        <w:rPr>
          <w:color w:val="auto"/>
          <w:sz w:val="21"/>
          <w:szCs w:val="21"/>
        </w:rPr>
        <w:t>（3）对合并的种群再次进行非支配排序和个体拥挤度计算，在2</w:t>
      </w:r>
      <w:r>
        <w:rPr>
          <w:i/>
          <w:iCs/>
          <w:color w:val="auto"/>
          <w:sz w:val="21"/>
          <w:szCs w:val="21"/>
        </w:rPr>
        <w:t>N</w:t>
      </w:r>
      <w:r>
        <w:rPr>
          <w:color w:val="auto"/>
          <w:sz w:val="21"/>
          <w:szCs w:val="21"/>
        </w:rPr>
        <w:t>个个体中选择优秀的前</w:t>
      </w:r>
      <w:r>
        <w:rPr>
          <w:i/>
          <w:iCs/>
          <w:color w:val="auto"/>
          <w:sz w:val="21"/>
          <w:szCs w:val="21"/>
        </w:rPr>
        <w:t>N</w:t>
      </w:r>
      <w:r>
        <w:rPr>
          <w:color w:val="auto"/>
          <w:sz w:val="21"/>
          <w:szCs w:val="21"/>
        </w:rPr>
        <w:t>个个体形成新种群继续重复上述操作，直到迭代完成，最终获得一组Pareto前沿。</w:t>
      </w:r>
    </w:p>
    <w:p w14:paraId="4568EC2B">
      <w:pPr>
        <w:ind w:firstLine="420" w:firstLineChars="200"/>
        <w:rPr>
          <w:rFonts w:ascii="Times New Roman" w:hAnsi="Times New Roman" w:eastAsia="宋体" w:cs="Times New Roman"/>
          <w:szCs w:val="21"/>
        </w:rPr>
      </w:pPr>
      <w:r>
        <w:rPr>
          <w:rFonts w:ascii="Times New Roman" w:hAnsi="Times New Roman" w:eastAsia="宋体" w:cs="Times New Roman"/>
          <w:szCs w:val="21"/>
        </w:rPr>
        <w:t>在研究中，规定初始种群的数量</w:t>
      </w:r>
      <w:r>
        <w:rPr>
          <w:rFonts w:ascii="Times New Roman" w:hAnsi="Times New Roman" w:eastAsia="宋体" w:cs="Times New Roman"/>
          <w:i/>
          <w:iCs/>
          <w:szCs w:val="21"/>
        </w:rPr>
        <w:t>N</w:t>
      </w:r>
      <w:r>
        <w:rPr>
          <w:rFonts w:ascii="Times New Roman" w:hAnsi="Times New Roman" w:eastAsia="宋体" w:cs="Times New Roman"/>
          <w:szCs w:val="21"/>
        </w:rPr>
        <w:t>=50，最大迭代次数为</w:t>
      </w:r>
      <w:r>
        <w:rPr>
          <w:rFonts w:hint="eastAsia" w:ascii="Times New Roman" w:hAnsi="Times New Roman" w:eastAsia="宋体" w:cs="Times New Roman"/>
          <w:szCs w:val="21"/>
        </w:rPr>
        <w:t>150</w:t>
      </w:r>
      <w:r>
        <w:rPr>
          <w:rFonts w:ascii="Times New Roman" w:hAnsi="Times New Roman" w:eastAsia="宋体" w:cs="Times New Roman"/>
          <w:szCs w:val="21"/>
        </w:rPr>
        <w:t>，每次选择作为父代的个体数量为100，结合</w:t>
      </w:r>
      <w:r>
        <w:rPr>
          <w:rFonts w:ascii="Times New Roman" w:hAnsi="Times New Roman" w:eastAsia="宋体" w:cs="Times New Roman"/>
          <w:i/>
          <w:iCs/>
          <w:szCs w:val="21"/>
        </w:rPr>
        <w:t>η</w:t>
      </w:r>
      <w:r>
        <w:rPr>
          <w:rFonts w:ascii="Times New Roman" w:hAnsi="Times New Roman" w:eastAsia="宋体" w:cs="Times New Roman"/>
          <w:szCs w:val="21"/>
        </w:rPr>
        <w:t>、</w:t>
      </w:r>
      <w:r>
        <w:rPr>
          <w:rFonts w:ascii="Times New Roman" w:hAnsi="Times New Roman" w:eastAsia="宋体" w:cs="Times New Roman"/>
          <w:i/>
          <w:iCs/>
          <w:szCs w:val="21"/>
        </w:rPr>
        <w:t>λ</w:t>
      </w:r>
      <w:r>
        <w:rPr>
          <w:rFonts w:ascii="Times New Roman" w:hAnsi="Times New Roman" w:eastAsia="宋体" w:cs="Times New Roman"/>
          <w:szCs w:val="21"/>
        </w:rPr>
        <w:t>预测模型，以高截除率低耗水率为目标，使用NSGA-Ⅱ方法，获取</w:t>
      </w:r>
      <w:r>
        <w:rPr>
          <w:rFonts w:hint="eastAsia" w:ascii="Times New Roman" w:hAnsi="Times New Roman" w:eastAsia="宋体" w:cs="Times New Roman"/>
          <w:szCs w:val="21"/>
        </w:rPr>
        <w:t>不同含沙浓度下</w:t>
      </w:r>
      <w:r>
        <w:rPr>
          <w:rFonts w:ascii="Times New Roman" w:hAnsi="Times New Roman" w:eastAsia="宋体" w:cs="Times New Roman"/>
          <w:i/>
          <w:iCs/>
          <w:szCs w:val="21"/>
        </w:rPr>
        <w:t>L</w:t>
      </w:r>
      <w:r>
        <w:rPr>
          <w:rFonts w:ascii="Times New Roman" w:hAnsi="Times New Roman" w:eastAsia="宋体" w:cs="Times New Roman"/>
          <w:szCs w:val="21"/>
        </w:rPr>
        <w:t>在</w:t>
      </w:r>
      <w:r>
        <w:rPr>
          <w:rFonts w:hint="eastAsia" w:ascii="Times New Roman" w:hAnsi="Times New Roman" w:eastAsia="宋体" w:cs="Times New Roman"/>
          <w:kern w:val="0"/>
          <w:szCs w:val="21"/>
          <w:lang w:bidi="ar"/>
        </w:rPr>
        <w:t>0.00016~ 0.00065</w:t>
      </w:r>
      <w:r>
        <w:rPr>
          <w:rFonts w:hint="eastAsia" w:ascii="Times New Roman" w:hAnsi="Times New Roman" w:eastAsia="宋体" w:cs="Times New Roman"/>
          <w:kern w:val="0"/>
          <w:sz w:val="15"/>
          <w:szCs w:val="15"/>
          <w:lang w:bidi="ar"/>
        </w:rPr>
        <w:t xml:space="preserve"> </w:t>
      </w:r>
      <w:r>
        <w:rPr>
          <w:rFonts w:ascii="Times New Roman" w:hAnsi="Times New Roman" w:eastAsia="宋体" w:cs="Times New Roman"/>
          <w:szCs w:val="21"/>
        </w:rPr>
        <w:t>范围中的帕累托前沿解</w:t>
      </w:r>
      <w:r>
        <w:rPr>
          <w:rFonts w:hint="eastAsia" w:ascii="Times New Roman" w:hAnsi="Times New Roman" w:eastAsia="宋体" w:cs="Times New Roman"/>
          <w:szCs w:val="21"/>
        </w:rPr>
        <w:t>，以</w:t>
      </w:r>
      <w:r>
        <w:rPr>
          <w:rFonts w:hint="eastAsia" w:ascii="Times New Roman" w:hAnsi="Times New Roman" w:eastAsia="宋体" w:cs="Times New Roman"/>
          <w:i/>
          <w:iCs/>
          <w:szCs w:val="21"/>
        </w:rPr>
        <w:t>S</w:t>
      </w:r>
      <w:r>
        <w:rPr>
          <w:rFonts w:hint="eastAsia" w:ascii="Times New Roman" w:hAnsi="Times New Roman" w:eastAsia="宋体" w:cs="Times New Roman"/>
          <w:szCs w:val="21"/>
        </w:rPr>
        <w:t>=5.4、7、9kg/m³为例，如</w:t>
      </w:r>
      <w:r>
        <w:rPr>
          <w:rFonts w:ascii="Times New Roman" w:hAnsi="Times New Roman" w:eastAsia="宋体" w:cs="Times New Roman"/>
          <w:szCs w:val="21"/>
        </w:rPr>
        <w:t>图5</w:t>
      </w:r>
      <w:r>
        <w:rPr>
          <w:rFonts w:hint="eastAsia" w:ascii="Times New Roman" w:hAnsi="Times New Roman" w:eastAsia="宋体" w:cs="Times New Roman"/>
          <w:szCs w:val="21"/>
        </w:rPr>
        <w:t>所示</w:t>
      </w:r>
      <w:r>
        <w:rPr>
          <w:rFonts w:ascii="Times New Roman" w:hAnsi="Times New Roman" w:eastAsia="宋体" w:cs="Times New Roman"/>
          <w:szCs w:val="21"/>
        </w:rPr>
        <w:t>。</w:t>
      </w:r>
    </w:p>
    <w:p w14:paraId="65390C67">
      <w:pPr>
        <w:jc w:val="center"/>
        <w:rPr>
          <w:rFonts w:ascii="Times New Roman" w:hAnsi="Times New Roman" w:eastAsia="黑体" w:cs="Times New Roman"/>
          <w:sz w:val="18"/>
          <w:szCs w:val="18"/>
        </w:rPr>
      </w:pPr>
      <w:r>
        <w:rPr>
          <w:rFonts w:ascii="Times New Roman" w:hAnsi="Times New Roman" w:eastAsia="黑体" w:cs="Times New Roman"/>
          <w:sz w:val="18"/>
          <w:szCs w:val="18"/>
        </w:rPr>
        <w:drawing>
          <wp:inline distT="0" distB="0" distL="0" distR="0">
            <wp:extent cx="1712595" cy="1439545"/>
            <wp:effectExtent l="0" t="0" r="1905" b="8255"/>
            <wp:docPr id="6816183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618335" name="图片 2"/>
                    <pic:cNvPicPr>
                      <a:picLocks noChangeAspect="1" noChangeArrowheads="1"/>
                    </pic:cNvPicPr>
                  </pic:nvPicPr>
                  <pic:blipFill>
                    <a:blip r:embed="rId52">
                      <a:extLst>
                        <a:ext uri="{28A0092B-C50C-407E-A947-70E740481C1C}">
                          <a14:useLocalDpi xmlns:a14="http://schemas.microsoft.com/office/drawing/2010/main" val="0"/>
                        </a:ext>
                      </a:extLst>
                    </a:blip>
                    <a:srcRect l="9180" t="8839" r="12202" b="5018"/>
                    <a:stretch>
                      <a:fillRect/>
                    </a:stretch>
                  </pic:blipFill>
                  <pic:spPr>
                    <a:xfrm>
                      <a:off x="0" y="0"/>
                      <a:ext cx="1712625" cy="1440000"/>
                    </a:xfrm>
                    <a:prstGeom prst="rect">
                      <a:avLst/>
                    </a:prstGeom>
                    <a:noFill/>
                    <a:ln>
                      <a:noFill/>
                    </a:ln>
                  </pic:spPr>
                </pic:pic>
              </a:graphicData>
            </a:graphic>
          </wp:inline>
        </w:drawing>
      </w:r>
      <w:r>
        <w:rPr>
          <w:rFonts w:ascii="Times New Roman" w:hAnsi="Times New Roman" w:eastAsia="黑体" w:cs="Times New Roman"/>
          <w:sz w:val="18"/>
          <w:szCs w:val="18"/>
        </w:rPr>
        <w:drawing>
          <wp:inline distT="0" distB="0" distL="0" distR="0">
            <wp:extent cx="1737360" cy="1439545"/>
            <wp:effectExtent l="0" t="0" r="0" b="8255"/>
            <wp:docPr id="195011369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13690" name="图片 3"/>
                    <pic:cNvPicPr>
                      <a:picLocks noChangeAspect="1" noChangeArrowheads="1"/>
                    </pic:cNvPicPr>
                  </pic:nvPicPr>
                  <pic:blipFill>
                    <a:blip r:embed="rId53">
                      <a:extLst>
                        <a:ext uri="{28A0092B-C50C-407E-A947-70E740481C1C}">
                          <a14:useLocalDpi xmlns:a14="http://schemas.microsoft.com/office/drawing/2010/main" val="0"/>
                        </a:ext>
                      </a:extLst>
                    </a:blip>
                    <a:srcRect l="8647" t="9358" r="12221" b="5188"/>
                    <a:stretch>
                      <a:fillRect/>
                    </a:stretch>
                  </pic:blipFill>
                  <pic:spPr>
                    <a:xfrm>
                      <a:off x="0" y="0"/>
                      <a:ext cx="1737752" cy="1440000"/>
                    </a:xfrm>
                    <a:prstGeom prst="rect">
                      <a:avLst/>
                    </a:prstGeom>
                    <a:noFill/>
                    <a:ln>
                      <a:noFill/>
                    </a:ln>
                  </pic:spPr>
                </pic:pic>
              </a:graphicData>
            </a:graphic>
          </wp:inline>
        </w:drawing>
      </w:r>
      <w:r>
        <w:rPr>
          <w:rFonts w:ascii="Times New Roman" w:hAnsi="Times New Roman" w:eastAsia="黑体" w:cs="Times New Roman"/>
          <w:sz w:val="18"/>
          <w:szCs w:val="18"/>
        </w:rPr>
        <w:drawing>
          <wp:inline distT="0" distB="0" distL="0" distR="0">
            <wp:extent cx="1728470" cy="1439545"/>
            <wp:effectExtent l="0" t="0" r="5080" b="8255"/>
            <wp:docPr id="16624782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478235" name="图片 4"/>
                    <pic:cNvPicPr>
                      <a:picLocks noChangeAspect="1" noChangeArrowheads="1"/>
                    </pic:cNvPicPr>
                  </pic:nvPicPr>
                  <pic:blipFill>
                    <a:blip r:embed="rId54">
                      <a:extLst>
                        <a:ext uri="{28A0092B-C50C-407E-A947-70E740481C1C}">
                          <a14:useLocalDpi xmlns:a14="http://schemas.microsoft.com/office/drawing/2010/main" val="0"/>
                        </a:ext>
                      </a:extLst>
                    </a:blip>
                    <a:srcRect l="8913" t="9185" r="12358" b="5362"/>
                    <a:stretch>
                      <a:fillRect/>
                    </a:stretch>
                  </pic:blipFill>
                  <pic:spPr>
                    <a:xfrm>
                      <a:off x="0" y="0"/>
                      <a:ext cx="1728920" cy="1440000"/>
                    </a:xfrm>
                    <a:prstGeom prst="rect">
                      <a:avLst/>
                    </a:prstGeom>
                    <a:noFill/>
                    <a:ln>
                      <a:noFill/>
                    </a:ln>
                  </pic:spPr>
                </pic:pic>
              </a:graphicData>
            </a:graphic>
          </wp:inline>
        </w:drawing>
      </w:r>
    </w:p>
    <w:p w14:paraId="589DC301">
      <w:pPr>
        <w:rPr>
          <w:rFonts w:ascii="Times New Roman" w:hAnsi="Times New Roman" w:eastAsia="黑体" w:cs="Times New Roman"/>
          <w:sz w:val="18"/>
          <w:szCs w:val="18"/>
        </w:rPr>
      </w:pPr>
      <w:r>
        <w:rPr>
          <w:rFonts w:hint="eastAsia" w:ascii="Times New Roman" w:hAnsi="Times New Roman" w:eastAsia="黑体" w:cs="Times New Roman"/>
          <w:sz w:val="18"/>
          <w:szCs w:val="18"/>
        </w:rPr>
        <w:t xml:space="preserve">          (a) </w:t>
      </w:r>
      <w:r>
        <w:rPr>
          <w:rFonts w:hint="eastAsia" w:ascii="Times New Roman" w:hAnsi="Times New Roman" w:eastAsia="黑体" w:cs="Times New Roman"/>
          <w:i/>
          <w:iCs/>
          <w:sz w:val="18"/>
          <w:szCs w:val="18"/>
        </w:rPr>
        <w:t>S</w:t>
      </w:r>
      <w:r>
        <w:rPr>
          <w:rFonts w:hint="eastAsia" w:ascii="Times New Roman" w:hAnsi="Times New Roman" w:eastAsia="黑体" w:cs="Times New Roman"/>
          <w:sz w:val="18"/>
          <w:szCs w:val="18"/>
        </w:rPr>
        <w:t xml:space="preserve">=5.4kg/m³                   (a) </w:t>
      </w:r>
      <w:r>
        <w:rPr>
          <w:rFonts w:hint="eastAsia" w:ascii="Times New Roman" w:hAnsi="Times New Roman" w:eastAsia="黑体" w:cs="Times New Roman"/>
          <w:i/>
          <w:iCs/>
          <w:sz w:val="18"/>
          <w:szCs w:val="18"/>
        </w:rPr>
        <w:t>S</w:t>
      </w:r>
      <w:r>
        <w:rPr>
          <w:rFonts w:hint="eastAsia" w:ascii="Times New Roman" w:hAnsi="Times New Roman" w:eastAsia="黑体" w:cs="Times New Roman"/>
          <w:sz w:val="18"/>
          <w:szCs w:val="18"/>
        </w:rPr>
        <w:t xml:space="preserve">=7kg/m³                    (a) </w:t>
      </w:r>
      <w:r>
        <w:rPr>
          <w:rFonts w:hint="eastAsia" w:ascii="Times New Roman" w:hAnsi="Times New Roman" w:eastAsia="黑体" w:cs="Times New Roman"/>
          <w:i/>
          <w:iCs/>
          <w:sz w:val="18"/>
          <w:szCs w:val="18"/>
        </w:rPr>
        <w:t>S</w:t>
      </w:r>
      <w:r>
        <w:rPr>
          <w:rFonts w:hint="eastAsia" w:ascii="Times New Roman" w:hAnsi="Times New Roman" w:eastAsia="黑体" w:cs="Times New Roman"/>
          <w:sz w:val="18"/>
          <w:szCs w:val="18"/>
        </w:rPr>
        <w:t>=9kg/m³</w:t>
      </w:r>
    </w:p>
    <w:p w14:paraId="374ED34F">
      <w:pPr>
        <w:jc w:val="center"/>
        <w:rPr>
          <w:rFonts w:ascii="Times New Roman" w:hAnsi="Times New Roman" w:eastAsia="黑体" w:cs="Times New Roman"/>
          <w:sz w:val="18"/>
          <w:szCs w:val="18"/>
        </w:rPr>
      </w:pPr>
      <w:r>
        <w:rPr>
          <w:rFonts w:ascii="Times New Roman" w:hAnsi="Times New Roman" w:eastAsia="黑体" w:cs="Times New Roman"/>
          <w:sz w:val="18"/>
          <w:szCs w:val="18"/>
        </w:rPr>
        <w:t>图5</w:t>
      </w:r>
      <w:r>
        <w:rPr>
          <w:rFonts w:hint="eastAsia" w:ascii="Times New Roman" w:hAnsi="Times New Roman" w:eastAsia="黑体" w:cs="Times New Roman"/>
          <w:sz w:val="18"/>
          <w:szCs w:val="18"/>
        </w:rPr>
        <w:t xml:space="preserve"> </w:t>
      </w:r>
      <w:r>
        <w:rPr>
          <w:rFonts w:ascii="Times New Roman" w:hAnsi="Times New Roman" w:eastAsia="黑体" w:cs="Times New Roman"/>
          <w:sz w:val="18"/>
          <w:szCs w:val="18"/>
        </w:rPr>
        <w:t>Pareto前沿</w:t>
      </w:r>
    </w:p>
    <w:p w14:paraId="660D3E49">
      <w:pPr>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 xml:space="preserve">Fig. </w:t>
      </w:r>
      <w:r>
        <w:rPr>
          <w:rFonts w:ascii="Times New Roman" w:hAnsi="Times New Roman" w:eastAsia="黑体" w:cs="Times New Roman"/>
          <w:sz w:val="18"/>
          <w:szCs w:val="18"/>
        </w:rPr>
        <w:t>5</w:t>
      </w:r>
      <w:r>
        <w:rPr>
          <w:rFonts w:hint="eastAsia" w:ascii="Times New Roman" w:hAnsi="Times New Roman" w:eastAsia="黑体" w:cs="Times New Roman"/>
          <w:sz w:val="18"/>
          <w:szCs w:val="18"/>
        </w:rPr>
        <w:t xml:space="preserve"> </w:t>
      </w:r>
      <w:r>
        <w:rPr>
          <w:rFonts w:ascii="Times New Roman" w:hAnsi="Times New Roman" w:eastAsia="黑体" w:cs="Times New Roman"/>
          <w:sz w:val="18"/>
          <w:szCs w:val="18"/>
        </w:rPr>
        <w:t>Pareto</w:t>
      </w:r>
      <w:r>
        <w:rPr>
          <w:rFonts w:hint="eastAsia" w:ascii="Times New Roman" w:hAnsi="Times New Roman" w:eastAsia="黑体" w:cs="Times New Roman"/>
          <w:sz w:val="18"/>
          <w:szCs w:val="18"/>
        </w:rPr>
        <w:t xml:space="preserve"> f</w:t>
      </w:r>
      <w:r>
        <w:rPr>
          <w:rFonts w:ascii="Times New Roman" w:hAnsi="Times New Roman" w:eastAsia="黑体" w:cs="Times New Roman"/>
          <w:sz w:val="18"/>
          <w:szCs w:val="18"/>
        </w:rPr>
        <w:t>ront</w:t>
      </w:r>
    </w:p>
    <w:p w14:paraId="251B6664">
      <w:pPr>
        <w:pStyle w:val="3"/>
        <w:rPr>
          <w:rFonts w:ascii="Times New Roman" w:hAnsi="Times New Roman" w:eastAsia="楷体" w:cs="Times New Roman"/>
          <w:szCs w:val="21"/>
          <w:lang w:bidi="en-US"/>
        </w:rPr>
      </w:pPr>
      <w:r>
        <w:rPr>
          <w:rFonts w:hint="eastAsia" w:ascii="Times New Roman" w:hAnsi="Times New Roman" w:eastAsia="楷体" w:cs="Times New Roman"/>
          <w:szCs w:val="21"/>
          <w:lang w:bidi="en-US"/>
        </w:rPr>
        <w:t>2</w:t>
      </w:r>
      <w:r>
        <w:rPr>
          <w:rFonts w:ascii="Times New Roman" w:hAnsi="Times New Roman" w:eastAsia="楷体" w:cs="Times New Roman"/>
          <w:szCs w:val="21"/>
          <w:lang w:bidi="en-US"/>
        </w:rPr>
        <w:t>.</w:t>
      </w:r>
      <w:r>
        <w:rPr>
          <w:rFonts w:hint="eastAsia" w:ascii="Times New Roman" w:hAnsi="Times New Roman" w:eastAsia="楷体" w:cs="Times New Roman"/>
          <w:szCs w:val="21"/>
          <w:lang w:bidi="en-US"/>
        </w:rPr>
        <w:t>2</w:t>
      </w:r>
      <w:r>
        <w:rPr>
          <w:rFonts w:ascii="Times New Roman" w:hAnsi="Times New Roman" w:eastAsia="楷体" w:cs="Times New Roman"/>
          <w:szCs w:val="21"/>
          <w:lang w:bidi="en-US"/>
        </w:rPr>
        <w:t>.</w:t>
      </w:r>
      <w:r>
        <w:rPr>
          <w:rFonts w:hint="eastAsia" w:ascii="Times New Roman" w:hAnsi="Times New Roman" w:eastAsia="楷体" w:cs="Times New Roman"/>
          <w:szCs w:val="21"/>
          <w:lang w:bidi="en-US"/>
        </w:rPr>
        <w:t>2 熵权法</w:t>
      </w:r>
    </w:p>
    <w:p w14:paraId="2733C513">
      <w:pPr>
        <w:snapToGrid w:val="0"/>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熵权法（EWM）是一种基于信息熵原理的多目标权重确定方法。它通过量化不同目标的不可确定性和重要性，实现了权重的合理分配。信息熵（</w:t>
      </w:r>
      <w:bookmarkStart w:id="16" w:name="_Hlk188834517"/>
      <w:r>
        <w:rPr>
          <w:rFonts w:ascii="Times New Roman" w:hAnsi="Times New Roman" w:eastAsia="宋体" w:cs="Times New Roman"/>
          <w:i/>
          <w:iCs/>
          <w:szCs w:val="21"/>
        </w:rPr>
        <w:t>E</w:t>
      </w:r>
      <w:r>
        <w:rPr>
          <w:rFonts w:ascii="Times New Roman" w:hAnsi="Times New Roman" w:eastAsia="宋体" w:cs="Times New Roman"/>
          <w:i/>
          <w:iCs/>
          <w:szCs w:val="21"/>
          <w:vertAlign w:val="subscript"/>
        </w:rPr>
        <w:t>j</w:t>
      </w:r>
      <w:bookmarkEnd w:id="16"/>
      <w:r>
        <w:rPr>
          <w:rFonts w:ascii="Times New Roman" w:hAnsi="Times New Roman" w:eastAsia="宋体" w:cs="Times New Roman"/>
          <w:szCs w:val="21"/>
        </w:rPr>
        <w:t>）是衡量系统不确定性的一种概念，其计算基于每个目标观测值的概率分布。较小的</w:t>
      </w:r>
      <w:r>
        <w:rPr>
          <w:rFonts w:ascii="Times New Roman" w:hAnsi="Times New Roman" w:eastAsia="宋体" w:cs="Times New Roman"/>
          <w:i/>
          <w:iCs/>
          <w:szCs w:val="21"/>
        </w:rPr>
        <w:t>E</w:t>
      </w:r>
      <w:r>
        <w:rPr>
          <w:rFonts w:ascii="Times New Roman" w:hAnsi="Times New Roman" w:eastAsia="宋体" w:cs="Times New Roman"/>
          <w:i/>
          <w:iCs/>
          <w:szCs w:val="21"/>
          <w:vertAlign w:val="subscript"/>
        </w:rPr>
        <w:t>j</w:t>
      </w:r>
      <w:r>
        <w:rPr>
          <w:rFonts w:ascii="Times New Roman" w:hAnsi="Times New Roman" w:eastAsia="宋体" w:cs="Times New Roman"/>
          <w:szCs w:val="21"/>
        </w:rPr>
        <w:t>表明获得了更多的信息，从而使相应目标的权重更大。具体步骤如下</w:t>
      </w:r>
      <w:r>
        <w:rPr>
          <w:rFonts w:hint="eastAsia" w:ascii="Times New Roman" w:hAnsi="Times New Roman" w:eastAsia="宋体" w:cs="Times New Roman"/>
          <w:szCs w:val="21"/>
        </w:rPr>
        <w:t>。</w:t>
      </w:r>
    </w:p>
    <w:p w14:paraId="081C2CF8">
      <w:pPr>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首先将各个解的目标值进行归一化处理，公式如下</w:t>
      </w:r>
    </w:p>
    <w:p w14:paraId="3BF5C903">
      <w:pPr>
        <w:tabs>
          <w:tab w:val="center" w:pos="4200"/>
          <w:tab w:val="right" w:pos="8400"/>
        </w:tabs>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ab/>
      </w:r>
      <w:r>
        <w:rPr>
          <w:rFonts w:ascii="Times New Roman" w:hAnsi="Times New Roman" w:eastAsia="宋体" w:cs="Times New Roman"/>
          <w:position w:val="-32"/>
          <w:szCs w:val="21"/>
        </w:rPr>
        <w:object>
          <v:shape id="_x0000_i1042" o:spt="75" type="#_x0000_t75" style="height:36.2pt;width:126.25pt;" o:ole="t" filled="f" o:preferrelative="t" stroked="f" coordsize="21600,21600">
            <v:path/>
            <v:fill on="f" focussize="0,0"/>
            <v:stroke on="f" joinstyle="miter"/>
            <v:imagedata r:id="rId56" o:title=""/>
            <o:lock v:ext="edit" aspectratio="t"/>
            <w10:wrap type="none"/>
            <w10:anchorlock/>
          </v:shape>
          <o:OLEObject Type="Embed" ProgID="Equation.DSMT4" ShapeID="_x0000_i1042" DrawAspect="Content" ObjectID="_1468075742" r:id="rId55">
            <o:LockedField>false</o:LockedField>
          </o:OLEObject>
        </w:object>
      </w:r>
      <w:r>
        <w:rPr>
          <w:rFonts w:ascii="Times New Roman" w:hAnsi="Times New Roman" w:eastAsia="宋体" w:cs="Times New Roman"/>
          <w:szCs w:val="21"/>
        </w:rPr>
        <w:tab/>
      </w:r>
      <w:r>
        <w:rPr>
          <w:rFonts w:ascii="Times New Roman" w:hAnsi="Times New Roman" w:eastAsia="宋体" w:cs="Times New Roman"/>
          <w:szCs w:val="21"/>
        </w:rPr>
        <w:t>(</w:t>
      </w:r>
      <w:r>
        <w:rPr>
          <w:rFonts w:hint="eastAsia" w:ascii="Times New Roman" w:hAnsi="Times New Roman" w:eastAsia="宋体" w:cs="Times New Roman"/>
          <w:szCs w:val="21"/>
        </w:rPr>
        <w:t>13</w:t>
      </w:r>
      <w:r>
        <w:rPr>
          <w:rFonts w:ascii="Times New Roman" w:hAnsi="Times New Roman" w:eastAsia="宋体" w:cs="Times New Roman"/>
          <w:szCs w:val="21"/>
        </w:rPr>
        <w:t>)</w:t>
      </w:r>
    </w:p>
    <w:p w14:paraId="5F2D444A">
      <w:pPr>
        <w:tabs>
          <w:tab w:val="center" w:pos="4200"/>
          <w:tab w:val="right" w:pos="8400"/>
        </w:tabs>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ab/>
      </w:r>
      <w:r>
        <w:rPr>
          <w:rFonts w:ascii="Times New Roman" w:hAnsi="Times New Roman" w:eastAsia="宋体" w:cs="Times New Roman"/>
          <w:position w:val="-32"/>
          <w:szCs w:val="21"/>
        </w:rPr>
        <w:object>
          <v:shape id="_x0000_i1043" o:spt="75" type="#_x0000_t75" style="height:36.2pt;width:126.25pt;" o:ole="t" filled="f" o:preferrelative="t" stroked="f" coordsize="21600,21600">
            <v:path/>
            <v:fill on="f" focussize="0,0"/>
            <v:stroke on="f" joinstyle="miter"/>
            <v:imagedata r:id="rId58" o:title=""/>
            <o:lock v:ext="edit" aspectratio="t"/>
            <w10:wrap type="none"/>
            <w10:anchorlock/>
          </v:shape>
          <o:OLEObject Type="Embed" ProgID="Equation.DSMT4" ShapeID="_x0000_i1043" DrawAspect="Content" ObjectID="_1468075743" r:id="rId57">
            <o:LockedField>false</o:LockedField>
          </o:OLEObject>
        </w:object>
      </w:r>
      <w:r>
        <w:rPr>
          <w:rFonts w:ascii="Times New Roman" w:hAnsi="Times New Roman" w:eastAsia="宋体" w:cs="Times New Roman"/>
          <w:szCs w:val="21"/>
        </w:rPr>
        <w:tab/>
      </w:r>
      <w:r>
        <w:rPr>
          <w:rFonts w:ascii="Times New Roman" w:hAnsi="Times New Roman" w:eastAsia="宋体" w:cs="Times New Roman"/>
          <w:szCs w:val="21"/>
        </w:rPr>
        <w:t>(</w:t>
      </w:r>
      <w:r>
        <w:rPr>
          <w:rFonts w:hint="eastAsia" w:ascii="Times New Roman" w:hAnsi="Times New Roman" w:eastAsia="宋体" w:cs="Times New Roman"/>
          <w:szCs w:val="21"/>
        </w:rPr>
        <w:t>14</w:t>
      </w:r>
      <w:r>
        <w:rPr>
          <w:rFonts w:ascii="Times New Roman" w:hAnsi="Times New Roman" w:eastAsia="宋体" w:cs="Times New Roman"/>
          <w:szCs w:val="21"/>
        </w:rPr>
        <w:t>)</w:t>
      </w:r>
    </w:p>
    <w:p w14:paraId="66A1C0AB">
      <w:pPr>
        <w:snapToGrid w:val="0"/>
        <w:spacing w:line="360" w:lineRule="auto"/>
        <w:rPr>
          <w:rFonts w:ascii="Times New Roman" w:hAnsi="Times New Roman" w:eastAsia="宋体" w:cs="Times New Roman"/>
          <w:szCs w:val="21"/>
        </w:rPr>
      </w:pPr>
      <w:r>
        <w:rPr>
          <w:rFonts w:hint="eastAsia" w:ascii="Times New Roman" w:hAnsi="Times New Roman" w:eastAsia="宋体" w:cs="Times New Roman"/>
          <w:szCs w:val="21"/>
        </w:rPr>
        <w:t>式</w:t>
      </w:r>
      <w:r>
        <w:rPr>
          <w:rFonts w:ascii="Times New Roman" w:hAnsi="Times New Roman" w:eastAsia="宋体" w:cs="Times New Roman"/>
          <w:szCs w:val="21"/>
        </w:rPr>
        <w:t>中</w:t>
      </w:r>
      <w:bookmarkStart w:id="17" w:name="_Hlk188834765"/>
      <w:r>
        <w:rPr>
          <w:rFonts w:hint="eastAsia" w:ascii="Times New Roman" w:hAnsi="Times New Roman" w:eastAsia="宋体" w:cs="Times New Roman"/>
          <w:szCs w:val="21"/>
        </w:rPr>
        <w:t>，</w:t>
      </w:r>
      <w:r>
        <w:rPr>
          <w:rFonts w:ascii="Times New Roman" w:hAnsi="Times New Roman" w:eastAsia="宋体" w:cs="Times New Roman"/>
          <w:i/>
          <w:iCs/>
          <w:szCs w:val="21"/>
        </w:rPr>
        <w:t>R</w:t>
      </w:r>
      <w:r>
        <w:rPr>
          <w:rFonts w:ascii="Times New Roman" w:hAnsi="Times New Roman" w:eastAsia="宋体" w:cs="Times New Roman"/>
          <w:i/>
          <w:iCs/>
          <w:szCs w:val="21"/>
          <w:vertAlign w:val="subscript"/>
        </w:rPr>
        <w:t>ij</w:t>
      </w:r>
      <w:bookmarkEnd w:id="17"/>
      <w:r>
        <w:rPr>
          <w:rFonts w:ascii="Times New Roman" w:hAnsi="Times New Roman" w:eastAsia="宋体" w:cs="Times New Roman"/>
          <w:szCs w:val="21"/>
        </w:rPr>
        <w:t>为归一化后的第</w:t>
      </w:r>
      <w:r>
        <w:rPr>
          <w:rFonts w:ascii="Times New Roman" w:hAnsi="Times New Roman" w:eastAsia="宋体" w:cs="Times New Roman"/>
          <w:i/>
          <w:iCs/>
          <w:szCs w:val="21"/>
        </w:rPr>
        <w:t>i</w:t>
      </w:r>
      <w:r>
        <w:rPr>
          <w:rFonts w:ascii="Times New Roman" w:hAnsi="Times New Roman" w:eastAsia="宋体" w:cs="Times New Roman"/>
          <w:szCs w:val="21"/>
        </w:rPr>
        <w:t>个解在第</w:t>
      </w:r>
      <w:r>
        <w:rPr>
          <w:rFonts w:ascii="Times New Roman" w:hAnsi="Times New Roman" w:eastAsia="宋体" w:cs="Times New Roman"/>
          <w:i/>
          <w:iCs/>
          <w:szCs w:val="21"/>
        </w:rPr>
        <w:t>j</w:t>
      </w:r>
      <w:r>
        <w:rPr>
          <w:rFonts w:ascii="Times New Roman" w:hAnsi="Times New Roman" w:eastAsia="宋体" w:cs="Times New Roman"/>
          <w:szCs w:val="21"/>
        </w:rPr>
        <w:t>个目标上的值</w:t>
      </w:r>
      <w:r>
        <w:rPr>
          <w:rFonts w:hint="eastAsia" w:ascii="Times New Roman" w:hAnsi="Times New Roman" w:eastAsia="宋体" w:cs="Times New Roman"/>
          <w:szCs w:val="21"/>
        </w:rPr>
        <w:t>；</w:t>
      </w:r>
      <w:r>
        <w:rPr>
          <w:rFonts w:ascii="Times New Roman" w:hAnsi="Times New Roman" w:eastAsia="宋体" w:cs="Times New Roman"/>
          <w:i/>
          <w:iCs/>
          <w:szCs w:val="21"/>
        </w:rPr>
        <w:t>η</w:t>
      </w:r>
      <w:r>
        <w:rPr>
          <w:rFonts w:ascii="Times New Roman" w:hAnsi="Times New Roman" w:eastAsia="宋体" w:cs="Times New Roman"/>
          <w:szCs w:val="21"/>
        </w:rPr>
        <w:t>、</w:t>
      </w:r>
      <w:r>
        <w:rPr>
          <w:rFonts w:ascii="Times New Roman" w:hAnsi="Times New Roman" w:eastAsia="宋体" w:cs="Times New Roman"/>
          <w:i/>
          <w:iCs/>
          <w:szCs w:val="21"/>
        </w:rPr>
        <w:t>λ</w:t>
      </w:r>
      <w:r>
        <w:rPr>
          <w:rFonts w:hint="eastAsia" w:ascii="Times New Roman" w:hAnsi="Times New Roman" w:eastAsia="宋体" w:cs="Times New Roman"/>
          <w:szCs w:val="21"/>
        </w:rPr>
        <w:t>分别为</w:t>
      </w:r>
      <w:r>
        <w:rPr>
          <w:rFonts w:ascii="Times New Roman" w:hAnsi="Times New Roman" w:eastAsia="宋体" w:cs="Times New Roman"/>
          <w:szCs w:val="21"/>
        </w:rPr>
        <w:t>截除率和耗水率；</w:t>
      </w:r>
      <w:r>
        <w:rPr>
          <w:rFonts w:ascii="Times New Roman" w:hAnsi="Times New Roman" w:eastAsia="宋体" w:cs="Times New Roman"/>
          <w:position w:val="-14"/>
          <w:szCs w:val="21"/>
        </w:rPr>
        <w:object>
          <v:shape id="_x0000_i1044" o:spt="75" type="#_x0000_t75" style="height:18.5pt;width:18.5pt;" o:ole="t" filled="f" o:preferrelative="t" stroked="f" coordsize="21600,21600">
            <v:path/>
            <v:fill on="f" focussize="0,0"/>
            <v:stroke on="f" joinstyle="miter"/>
            <v:imagedata r:id="rId60" o:title=""/>
            <o:lock v:ext="edit" aspectratio="t"/>
            <w10:wrap type="none"/>
            <w10:anchorlock/>
          </v:shape>
          <o:OLEObject Type="Embed" ProgID="Equation.DSMT4" ShapeID="_x0000_i1044" DrawAspect="Content" ObjectID="_1468075744" r:id="rId59">
            <o:LockedField>false</o:LockedField>
          </o:OLEObject>
        </w:object>
      </w:r>
      <w:r>
        <w:rPr>
          <w:rFonts w:hint="eastAsia" w:ascii="Times New Roman" w:hAnsi="Times New Roman" w:eastAsia="宋体" w:cs="Times New Roman"/>
          <w:szCs w:val="21"/>
        </w:rPr>
        <w:t>为</w:t>
      </w:r>
      <w:r>
        <w:rPr>
          <w:rFonts w:ascii="Times New Roman" w:hAnsi="Times New Roman" w:eastAsia="宋体" w:cs="Times New Roman"/>
          <w:szCs w:val="21"/>
        </w:rPr>
        <w:t>第</w:t>
      </w:r>
      <w:r>
        <w:rPr>
          <w:rFonts w:ascii="Times New Roman" w:hAnsi="Times New Roman" w:eastAsia="宋体" w:cs="Times New Roman"/>
          <w:i/>
          <w:iCs/>
          <w:szCs w:val="21"/>
        </w:rPr>
        <w:t>i</w:t>
      </w:r>
      <w:r>
        <w:rPr>
          <w:rFonts w:ascii="Times New Roman" w:hAnsi="Times New Roman" w:eastAsia="宋体" w:cs="Times New Roman"/>
          <w:szCs w:val="21"/>
        </w:rPr>
        <w:t>个解在第</w:t>
      </w:r>
      <w:r>
        <w:rPr>
          <w:rFonts w:ascii="Times New Roman" w:hAnsi="Times New Roman" w:eastAsia="宋体" w:cs="Times New Roman"/>
          <w:i/>
          <w:iCs/>
          <w:szCs w:val="21"/>
        </w:rPr>
        <w:t>j</w:t>
      </w:r>
      <w:r>
        <w:rPr>
          <w:rFonts w:ascii="Times New Roman" w:hAnsi="Times New Roman" w:eastAsia="宋体" w:cs="Times New Roman"/>
          <w:szCs w:val="21"/>
        </w:rPr>
        <w:t>个目标上的原始值；</w:t>
      </w:r>
      <w:bookmarkStart w:id="18" w:name="_Hlk188834789"/>
      <w:r>
        <w:rPr>
          <w:rFonts w:ascii="Times New Roman" w:hAnsi="Times New Roman" w:eastAsia="宋体" w:cs="Times New Roman"/>
          <w:szCs w:val="21"/>
        </w:rPr>
        <w:t>min(</w:t>
      </w:r>
      <w:r>
        <w:rPr>
          <w:rFonts w:ascii="Times New Roman" w:hAnsi="Times New Roman" w:eastAsia="宋体" w:cs="Times New Roman"/>
          <w:i/>
          <w:iCs/>
          <w:szCs w:val="21"/>
        </w:rPr>
        <w:t>f</w:t>
      </w:r>
      <w:r>
        <w:rPr>
          <w:rFonts w:hint="eastAsia" w:ascii="Times New Roman" w:hAnsi="Times New Roman" w:eastAsia="宋体" w:cs="Times New Roman"/>
          <w:i/>
          <w:iCs/>
          <w:szCs w:val="21"/>
          <w:vertAlign w:val="subscript"/>
        </w:rPr>
        <w:t>j</w:t>
      </w:r>
      <w:r>
        <w:rPr>
          <w:rFonts w:ascii="Times New Roman" w:hAnsi="Times New Roman" w:eastAsia="宋体" w:cs="Times New Roman"/>
          <w:szCs w:val="21"/>
        </w:rPr>
        <w:t>)</w:t>
      </w:r>
      <w:bookmarkEnd w:id="18"/>
      <w:r>
        <w:rPr>
          <w:rFonts w:ascii="Times New Roman" w:hAnsi="Times New Roman" w:eastAsia="宋体" w:cs="Times New Roman"/>
          <w:szCs w:val="21"/>
        </w:rPr>
        <w:t>及</w:t>
      </w:r>
      <w:bookmarkStart w:id="19" w:name="_Hlk188834793"/>
      <w:r>
        <w:rPr>
          <w:rFonts w:ascii="Times New Roman" w:hAnsi="Times New Roman" w:eastAsia="宋体" w:cs="Times New Roman"/>
          <w:szCs w:val="21"/>
        </w:rPr>
        <w:t>max(</w:t>
      </w:r>
      <w:r>
        <w:rPr>
          <w:rFonts w:hint="eastAsia" w:ascii="Times New Roman" w:hAnsi="Times New Roman" w:eastAsia="宋体" w:cs="Times New Roman"/>
          <w:i/>
          <w:iCs/>
          <w:szCs w:val="21"/>
        </w:rPr>
        <w:t>f</w:t>
      </w:r>
      <w:r>
        <w:rPr>
          <w:rFonts w:hint="eastAsia" w:ascii="Times New Roman" w:hAnsi="Times New Roman" w:eastAsia="宋体" w:cs="Times New Roman"/>
          <w:i/>
          <w:iCs/>
          <w:szCs w:val="21"/>
          <w:vertAlign w:val="subscript"/>
        </w:rPr>
        <w:t>j</w:t>
      </w:r>
      <w:r>
        <w:rPr>
          <w:rFonts w:ascii="Times New Roman" w:hAnsi="Times New Roman" w:eastAsia="宋体" w:cs="Times New Roman"/>
          <w:szCs w:val="21"/>
        </w:rPr>
        <w:t>)</w:t>
      </w:r>
      <w:bookmarkEnd w:id="19"/>
      <w:r>
        <w:rPr>
          <w:rFonts w:hint="eastAsia" w:ascii="Times New Roman" w:hAnsi="Times New Roman" w:eastAsia="宋体" w:cs="Times New Roman"/>
          <w:szCs w:val="21"/>
        </w:rPr>
        <w:t>分别为</w:t>
      </w:r>
      <w:r>
        <w:rPr>
          <w:rFonts w:ascii="Times New Roman" w:hAnsi="Times New Roman" w:eastAsia="宋体" w:cs="Times New Roman"/>
          <w:szCs w:val="21"/>
        </w:rPr>
        <w:t>第</w:t>
      </w:r>
      <w:r>
        <w:rPr>
          <w:rFonts w:ascii="Times New Roman" w:hAnsi="Times New Roman" w:eastAsia="宋体" w:cs="Times New Roman"/>
          <w:i/>
          <w:iCs/>
          <w:szCs w:val="21"/>
        </w:rPr>
        <w:t>j</w:t>
      </w:r>
      <w:r>
        <w:rPr>
          <w:rFonts w:ascii="Times New Roman" w:hAnsi="Times New Roman" w:eastAsia="宋体" w:cs="Times New Roman"/>
          <w:szCs w:val="21"/>
        </w:rPr>
        <w:t>个目标的最小值和最大值。</w:t>
      </w:r>
    </w:p>
    <w:p w14:paraId="66694EA3">
      <w:pPr>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接着，计算</w:t>
      </w:r>
      <w:r>
        <w:rPr>
          <w:rFonts w:hint="eastAsia" w:ascii="Times New Roman" w:hAnsi="Times New Roman" w:eastAsia="宋体" w:cs="Times New Roman"/>
          <w:i/>
          <w:iCs/>
          <w:szCs w:val="21"/>
        </w:rPr>
        <w:t>P</w:t>
      </w:r>
      <w:r>
        <w:rPr>
          <w:rFonts w:hint="eastAsia" w:ascii="Times New Roman" w:hAnsi="Times New Roman" w:eastAsia="宋体" w:cs="Times New Roman"/>
          <w:i/>
          <w:iCs/>
          <w:szCs w:val="21"/>
          <w:vertAlign w:val="subscript"/>
        </w:rPr>
        <w:t>ij</w:t>
      </w:r>
      <w:r>
        <w:rPr>
          <w:rFonts w:hint="eastAsia" w:ascii="Times New Roman" w:hAnsi="Times New Roman" w:eastAsia="宋体" w:cs="Times New Roman"/>
          <w:szCs w:val="21"/>
        </w:rPr>
        <w:t>，用于衡量每个解在目标中的重要性，即</w:t>
      </w:r>
    </w:p>
    <w:p w14:paraId="70FAC058">
      <w:pPr>
        <w:tabs>
          <w:tab w:val="center" w:pos="4200"/>
          <w:tab w:val="right" w:pos="8400"/>
        </w:tabs>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ab/>
      </w:r>
      <w:r>
        <w:rPr>
          <w:rFonts w:ascii="Times New Roman" w:hAnsi="Times New Roman" w:eastAsia="宋体" w:cs="Times New Roman"/>
          <w:position w:val="-50"/>
          <w:szCs w:val="21"/>
        </w:rPr>
        <w:object>
          <v:shape id="_x0000_i1045" o:spt="75" type="#_x0000_t75" style="height:47.75pt;width:54.3pt;" o:ole="t" filled="f" o:preferrelative="t" stroked="f" coordsize="21600,21600">
            <v:path/>
            <v:fill on="f" focussize="0,0"/>
            <v:stroke on="f" joinstyle="miter"/>
            <v:imagedata r:id="rId62" o:title=""/>
            <o:lock v:ext="edit" aspectratio="t"/>
            <w10:wrap type="none"/>
            <w10:anchorlock/>
          </v:shape>
          <o:OLEObject Type="Embed" ProgID="Equation.DSMT4" ShapeID="_x0000_i1045" DrawAspect="Content" ObjectID="_1468075745" r:id="rId61">
            <o:LockedField>false</o:LockedField>
          </o:OLEObject>
        </w:object>
      </w:r>
      <w:r>
        <w:rPr>
          <w:rFonts w:ascii="Times New Roman" w:hAnsi="Times New Roman" w:eastAsia="宋体" w:cs="Times New Roman"/>
          <w:szCs w:val="21"/>
        </w:rPr>
        <w:tab/>
      </w:r>
      <w:r>
        <w:rPr>
          <w:rFonts w:ascii="Times New Roman" w:hAnsi="Times New Roman" w:eastAsia="宋体" w:cs="Times New Roman"/>
          <w:szCs w:val="21"/>
        </w:rPr>
        <w:t>(</w:t>
      </w:r>
      <w:r>
        <w:rPr>
          <w:rFonts w:hint="eastAsia" w:ascii="Times New Roman" w:hAnsi="Times New Roman" w:eastAsia="宋体" w:cs="Times New Roman"/>
          <w:szCs w:val="21"/>
        </w:rPr>
        <w:t>15</w:t>
      </w:r>
      <w:r>
        <w:rPr>
          <w:rFonts w:ascii="Times New Roman" w:hAnsi="Times New Roman" w:eastAsia="宋体" w:cs="Times New Roman"/>
          <w:szCs w:val="21"/>
        </w:rPr>
        <w:t>)</w:t>
      </w:r>
    </w:p>
    <w:p w14:paraId="5EB1D6D8">
      <w:pPr>
        <w:snapToGrid w:val="0"/>
        <w:spacing w:line="360" w:lineRule="auto"/>
        <w:rPr>
          <w:rFonts w:ascii="Times New Roman" w:hAnsi="Times New Roman" w:eastAsia="宋体" w:cs="Times New Roman"/>
          <w:szCs w:val="21"/>
        </w:rPr>
      </w:pPr>
      <w:r>
        <w:rPr>
          <w:rFonts w:hint="eastAsia" w:ascii="Times New Roman" w:hAnsi="Times New Roman" w:eastAsia="宋体" w:cs="Times New Roman"/>
          <w:szCs w:val="21"/>
        </w:rPr>
        <w:t>式中，</w:t>
      </w:r>
      <w:r>
        <w:rPr>
          <w:rFonts w:hint="eastAsia" w:ascii="Times New Roman" w:hAnsi="Times New Roman" w:eastAsia="宋体" w:cs="Times New Roman"/>
          <w:i/>
          <w:iCs/>
          <w:szCs w:val="21"/>
        </w:rPr>
        <w:t>P</w:t>
      </w:r>
      <w:r>
        <w:rPr>
          <w:rFonts w:hint="eastAsia" w:ascii="Times New Roman" w:hAnsi="Times New Roman" w:eastAsia="宋体" w:cs="Times New Roman"/>
          <w:i/>
          <w:iCs/>
          <w:szCs w:val="21"/>
          <w:vertAlign w:val="subscript"/>
        </w:rPr>
        <w:t>ij</w:t>
      </w:r>
      <w:r>
        <w:rPr>
          <w:rFonts w:hint="eastAsia" w:ascii="Times New Roman" w:hAnsi="Times New Roman" w:eastAsia="宋体" w:cs="Times New Roman"/>
          <w:szCs w:val="21"/>
        </w:rPr>
        <w:t>为第</w:t>
      </w:r>
      <w:r>
        <w:rPr>
          <w:rFonts w:hint="eastAsia" w:ascii="Times New Roman" w:hAnsi="Times New Roman" w:eastAsia="宋体" w:cs="Times New Roman"/>
          <w:i/>
          <w:iCs/>
          <w:szCs w:val="21"/>
        </w:rPr>
        <w:t>i</w:t>
      </w:r>
      <w:r>
        <w:rPr>
          <w:rFonts w:hint="eastAsia" w:ascii="Times New Roman" w:hAnsi="Times New Roman" w:eastAsia="宋体" w:cs="Times New Roman"/>
          <w:szCs w:val="21"/>
        </w:rPr>
        <w:t>个解在第</w:t>
      </w:r>
      <w:r>
        <w:rPr>
          <w:rFonts w:hint="eastAsia" w:ascii="Times New Roman" w:hAnsi="Times New Roman" w:eastAsia="宋体" w:cs="Times New Roman"/>
          <w:i/>
          <w:iCs/>
          <w:szCs w:val="21"/>
        </w:rPr>
        <w:t>j</w:t>
      </w:r>
      <w:r>
        <w:rPr>
          <w:rFonts w:hint="eastAsia" w:ascii="Times New Roman" w:hAnsi="Times New Roman" w:eastAsia="宋体" w:cs="Times New Roman"/>
          <w:szCs w:val="21"/>
        </w:rPr>
        <w:t>个目标上的概率值；</w:t>
      </w:r>
      <w:r>
        <w:rPr>
          <w:rFonts w:hint="eastAsia" w:ascii="Times New Roman" w:hAnsi="Times New Roman" w:eastAsia="宋体" w:cs="Times New Roman"/>
          <w:i/>
          <w:iCs/>
          <w:szCs w:val="21"/>
        </w:rPr>
        <w:t>n</w:t>
      </w:r>
      <w:r>
        <w:rPr>
          <w:rFonts w:hint="eastAsia" w:ascii="Times New Roman" w:hAnsi="Times New Roman" w:eastAsia="宋体" w:cs="Times New Roman"/>
          <w:szCs w:val="21"/>
        </w:rPr>
        <w:t>为Pareto解的数量。</w:t>
      </w:r>
    </w:p>
    <w:p w14:paraId="678C0571">
      <w:pPr>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然后计算信息熵</w:t>
      </w:r>
      <w:r>
        <w:rPr>
          <w:rFonts w:hint="eastAsia" w:ascii="Times New Roman" w:hAnsi="Times New Roman" w:eastAsia="宋体" w:cs="Times New Roman"/>
          <w:i/>
          <w:iCs/>
          <w:szCs w:val="21"/>
        </w:rPr>
        <w:t>E</w:t>
      </w:r>
      <w:r>
        <w:rPr>
          <w:rFonts w:hint="eastAsia" w:ascii="Times New Roman" w:hAnsi="Times New Roman" w:eastAsia="宋体" w:cs="Times New Roman"/>
          <w:i/>
          <w:iCs/>
          <w:szCs w:val="21"/>
          <w:vertAlign w:val="subscript"/>
        </w:rPr>
        <w:t>j</w:t>
      </w:r>
      <w:r>
        <w:rPr>
          <w:rFonts w:hint="eastAsia" w:ascii="Times New Roman" w:hAnsi="Times New Roman" w:eastAsia="宋体" w:cs="Times New Roman"/>
          <w:szCs w:val="21"/>
        </w:rPr>
        <w:t>，用于衡量目标</w:t>
      </w:r>
      <w:r>
        <w:rPr>
          <w:rFonts w:hint="eastAsia" w:ascii="Times New Roman" w:hAnsi="Times New Roman" w:eastAsia="宋体" w:cs="Times New Roman"/>
          <w:i/>
          <w:iCs/>
          <w:szCs w:val="21"/>
        </w:rPr>
        <w:t>j</w:t>
      </w:r>
      <w:r>
        <w:rPr>
          <w:rFonts w:hint="eastAsia" w:ascii="Times New Roman" w:hAnsi="Times New Roman" w:eastAsia="宋体" w:cs="Times New Roman"/>
          <w:szCs w:val="21"/>
        </w:rPr>
        <w:t>的不确定性。分布越均匀说明该目标的信息贡献越小，即</w:t>
      </w:r>
    </w:p>
    <w:p w14:paraId="01B9AC40">
      <w:pPr>
        <w:tabs>
          <w:tab w:val="center" w:pos="4200"/>
          <w:tab w:val="right" w:pos="8400"/>
        </w:tabs>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ab/>
      </w:r>
      <w:r>
        <w:rPr>
          <w:rFonts w:ascii="Times New Roman" w:hAnsi="Times New Roman" w:eastAsia="宋体" w:cs="Times New Roman"/>
          <w:position w:val="-28"/>
          <w:szCs w:val="21"/>
        </w:rPr>
        <w:object>
          <v:shape id="_x0000_i1046" o:spt="75" type="#_x0000_t75" style="height:30.05pt;width:114pt;" o:ole="t" filled="f" o:preferrelative="t" stroked="f" coordsize="21600,21600">
            <v:path/>
            <v:fill on="f" focussize="0,0"/>
            <v:stroke on="f" joinstyle="miter"/>
            <v:imagedata r:id="rId64" o:title=""/>
            <o:lock v:ext="edit" aspectratio="t"/>
            <w10:wrap type="none"/>
            <w10:anchorlock/>
          </v:shape>
          <o:OLEObject Type="Embed" ProgID="Equation.DSMT4" ShapeID="_x0000_i1046" DrawAspect="Content" ObjectID="_1468075746" r:id="rId63">
            <o:LockedField>false</o:LockedField>
          </o:OLEObject>
        </w:object>
      </w:r>
      <w:r>
        <w:rPr>
          <w:rFonts w:ascii="Times New Roman" w:hAnsi="Times New Roman" w:eastAsia="宋体" w:cs="Times New Roman"/>
          <w:szCs w:val="21"/>
        </w:rPr>
        <w:tab/>
      </w:r>
      <w:r>
        <w:rPr>
          <w:rFonts w:ascii="Times New Roman" w:hAnsi="Times New Roman" w:eastAsia="宋体" w:cs="Times New Roman"/>
          <w:szCs w:val="21"/>
        </w:rPr>
        <w:t>(</w:t>
      </w:r>
      <w:r>
        <w:rPr>
          <w:rFonts w:hint="eastAsia" w:ascii="Times New Roman" w:hAnsi="Times New Roman" w:eastAsia="宋体" w:cs="Times New Roman"/>
          <w:szCs w:val="21"/>
        </w:rPr>
        <w:t>16</w:t>
      </w:r>
      <w:r>
        <w:rPr>
          <w:rFonts w:ascii="Times New Roman" w:hAnsi="Times New Roman" w:eastAsia="宋体" w:cs="Times New Roman"/>
          <w:szCs w:val="21"/>
        </w:rPr>
        <w:t>)</w:t>
      </w:r>
    </w:p>
    <w:p w14:paraId="4B11D1D1">
      <w:pPr>
        <w:tabs>
          <w:tab w:val="center" w:pos="4200"/>
          <w:tab w:val="right" w:pos="8400"/>
        </w:tabs>
        <w:snapToGrid w:val="0"/>
        <w:spacing w:line="360" w:lineRule="auto"/>
        <w:rPr>
          <w:rFonts w:ascii="Times New Roman" w:hAnsi="Times New Roman" w:eastAsia="宋体" w:cs="Times New Roman"/>
          <w:szCs w:val="21"/>
        </w:rPr>
      </w:pPr>
      <w:r>
        <w:rPr>
          <w:rFonts w:hint="eastAsia" w:ascii="Times New Roman" w:hAnsi="Times New Roman" w:eastAsia="宋体" w:cs="Times New Roman"/>
          <w:szCs w:val="21"/>
        </w:rPr>
        <w:t>式中，</w:t>
      </w:r>
      <w:r>
        <w:rPr>
          <w:rFonts w:hint="eastAsia" w:ascii="Times New Roman" w:hAnsi="Times New Roman" w:eastAsia="宋体" w:cs="Times New Roman"/>
          <w:i/>
          <w:iCs/>
          <w:szCs w:val="21"/>
        </w:rPr>
        <w:t>E</w:t>
      </w:r>
      <w:r>
        <w:rPr>
          <w:rFonts w:hint="eastAsia" w:ascii="Times New Roman" w:hAnsi="Times New Roman" w:eastAsia="宋体" w:cs="Times New Roman"/>
          <w:i/>
          <w:iCs/>
          <w:szCs w:val="21"/>
          <w:vertAlign w:val="subscript"/>
        </w:rPr>
        <w:t>j</w:t>
      </w:r>
      <w:r>
        <w:rPr>
          <w:rFonts w:hint="eastAsia" w:ascii="Times New Roman" w:hAnsi="Times New Roman" w:eastAsia="宋体" w:cs="Times New Roman"/>
          <w:szCs w:val="21"/>
        </w:rPr>
        <w:t>为第</w:t>
      </w:r>
      <w:r>
        <w:rPr>
          <w:rFonts w:hint="eastAsia" w:ascii="Times New Roman" w:hAnsi="Times New Roman" w:eastAsia="宋体" w:cs="Times New Roman"/>
          <w:i/>
          <w:iCs/>
          <w:szCs w:val="21"/>
        </w:rPr>
        <w:t>j</w:t>
      </w:r>
      <w:r>
        <w:rPr>
          <w:rFonts w:hint="eastAsia" w:ascii="Times New Roman" w:hAnsi="Times New Roman" w:eastAsia="宋体" w:cs="Times New Roman"/>
          <w:szCs w:val="21"/>
        </w:rPr>
        <w:t>个目标的信息熵。</w:t>
      </w:r>
    </w:p>
    <w:p w14:paraId="05AB0C1C">
      <w:pPr>
        <w:tabs>
          <w:tab w:val="center" w:pos="4200"/>
          <w:tab w:val="right" w:pos="8400"/>
        </w:tabs>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最后，根据信息熵</w:t>
      </w:r>
      <w:r>
        <w:rPr>
          <w:rFonts w:hint="eastAsia" w:ascii="Times New Roman" w:hAnsi="Times New Roman" w:eastAsia="宋体" w:cs="Times New Roman"/>
          <w:i/>
          <w:iCs/>
          <w:szCs w:val="21"/>
        </w:rPr>
        <w:t>E</w:t>
      </w:r>
      <w:r>
        <w:rPr>
          <w:rFonts w:hint="eastAsia" w:ascii="Times New Roman" w:hAnsi="Times New Roman" w:eastAsia="宋体" w:cs="Times New Roman"/>
          <w:i/>
          <w:iCs/>
          <w:szCs w:val="21"/>
          <w:vertAlign w:val="subscript"/>
        </w:rPr>
        <w:t>j</w:t>
      </w:r>
      <w:r>
        <w:rPr>
          <w:rFonts w:hint="eastAsia" w:ascii="Times New Roman" w:hAnsi="Times New Roman" w:eastAsia="宋体" w:cs="Times New Roman"/>
          <w:szCs w:val="21"/>
        </w:rPr>
        <w:t>计算每个目标的权重</w:t>
      </w:r>
      <w:r>
        <w:rPr>
          <w:rFonts w:hint="eastAsia" w:ascii="Times New Roman" w:hAnsi="Times New Roman" w:eastAsia="宋体" w:cs="Times New Roman"/>
          <w:i/>
          <w:iCs/>
          <w:szCs w:val="21"/>
        </w:rPr>
        <w:t>w</w:t>
      </w:r>
      <w:r>
        <w:rPr>
          <w:rFonts w:hint="eastAsia" w:ascii="Times New Roman" w:hAnsi="Times New Roman" w:eastAsia="宋体" w:cs="Times New Roman"/>
          <w:i/>
          <w:iCs/>
          <w:szCs w:val="21"/>
          <w:vertAlign w:val="subscript"/>
        </w:rPr>
        <w:t>j</w:t>
      </w:r>
      <w:r>
        <w:rPr>
          <w:rFonts w:hint="eastAsia" w:ascii="Times New Roman" w:hAnsi="Times New Roman" w:eastAsia="宋体" w:cs="Times New Roman"/>
          <w:szCs w:val="21"/>
        </w:rPr>
        <w:t>，熵值越小，权重越大，公式如下</w:t>
      </w:r>
    </w:p>
    <w:p w14:paraId="0DFC35BD">
      <w:pPr>
        <w:tabs>
          <w:tab w:val="center" w:pos="4200"/>
          <w:tab w:val="right" w:pos="8400"/>
        </w:tabs>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ab/>
      </w:r>
      <w:r>
        <w:rPr>
          <w:rFonts w:ascii="Times New Roman" w:hAnsi="Times New Roman" w:eastAsia="宋体" w:cs="Times New Roman"/>
          <w:position w:val="-54"/>
          <w:szCs w:val="21"/>
        </w:rPr>
        <w:object>
          <v:shape id="_x0000_i1047" o:spt="75" type="#_x0000_t75" style="height:47.75pt;width:72pt;" o:ole="t" filled="f" o:preferrelative="t" stroked="f" coordsize="21600,21600">
            <v:path/>
            <v:fill on="f" focussize="0,0"/>
            <v:stroke on="f" joinstyle="miter"/>
            <v:imagedata r:id="rId66" o:title=""/>
            <o:lock v:ext="edit" aspectratio="t"/>
            <w10:wrap type="none"/>
            <w10:anchorlock/>
          </v:shape>
          <o:OLEObject Type="Embed" ProgID="Equation.DSMT4" ShapeID="_x0000_i1047" DrawAspect="Content" ObjectID="_1468075747" r:id="rId65">
            <o:LockedField>false</o:LockedField>
          </o:OLEObject>
        </w:object>
      </w:r>
      <w:r>
        <w:rPr>
          <w:rFonts w:ascii="Times New Roman" w:hAnsi="Times New Roman" w:eastAsia="宋体" w:cs="Times New Roman"/>
          <w:szCs w:val="21"/>
        </w:rPr>
        <w:tab/>
      </w:r>
      <w:r>
        <w:rPr>
          <w:rFonts w:ascii="Times New Roman" w:hAnsi="Times New Roman" w:eastAsia="宋体" w:cs="Times New Roman"/>
          <w:szCs w:val="21"/>
        </w:rPr>
        <w:t>(</w:t>
      </w:r>
      <w:r>
        <w:rPr>
          <w:rFonts w:hint="eastAsia" w:ascii="Times New Roman" w:hAnsi="Times New Roman" w:eastAsia="宋体" w:cs="Times New Roman"/>
          <w:szCs w:val="21"/>
        </w:rPr>
        <w:t>17</w:t>
      </w:r>
      <w:r>
        <w:rPr>
          <w:rFonts w:ascii="Times New Roman" w:hAnsi="Times New Roman" w:eastAsia="宋体" w:cs="Times New Roman"/>
          <w:szCs w:val="21"/>
        </w:rPr>
        <w:t>)</w:t>
      </w:r>
    </w:p>
    <w:p w14:paraId="1FA6438B">
      <w:pPr>
        <w:tabs>
          <w:tab w:val="center" w:pos="4200"/>
          <w:tab w:val="right" w:pos="8400"/>
        </w:tabs>
        <w:snapToGrid w:val="0"/>
        <w:spacing w:line="360" w:lineRule="auto"/>
        <w:rPr>
          <w:rFonts w:ascii="Times New Roman" w:hAnsi="Times New Roman" w:eastAsia="宋体" w:cs="Times New Roman"/>
          <w:szCs w:val="21"/>
        </w:rPr>
      </w:pPr>
      <w:r>
        <w:rPr>
          <w:rFonts w:hint="eastAsia" w:ascii="Times New Roman" w:hAnsi="Times New Roman" w:eastAsia="宋体" w:cs="Times New Roman"/>
          <w:szCs w:val="21"/>
        </w:rPr>
        <w:t>式中</w:t>
      </w:r>
      <w:bookmarkStart w:id="20" w:name="_Hlk188835109"/>
      <w:r>
        <w:rPr>
          <w:rFonts w:hint="eastAsia" w:ascii="Times New Roman" w:hAnsi="Times New Roman" w:eastAsia="宋体" w:cs="Times New Roman"/>
          <w:szCs w:val="21"/>
        </w:rPr>
        <w:t>，</w:t>
      </w:r>
      <w:r>
        <w:rPr>
          <w:rFonts w:hint="eastAsia" w:ascii="Times New Roman" w:hAnsi="Times New Roman" w:eastAsia="宋体" w:cs="Times New Roman"/>
          <w:i/>
          <w:iCs/>
          <w:szCs w:val="21"/>
        </w:rPr>
        <w:t>w</w:t>
      </w:r>
      <w:r>
        <w:rPr>
          <w:rFonts w:hint="eastAsia" w:ascii="Times New Roman" w:hAnsi="Times New Roman" w:eastAsia="宋体" w:cs="Times New Roman"/>
          <w:i/>
          <w:iCs/>
          <w:szCs w:val="21"/>
          <w:vertAlign w:val="subscript"/>
        </w:rPr>
        <w:t>j</w:t>
      </w:r>
      <w:bookmarkEnd w:id="20"/>
      <w:r>
        <w:rPr>
          <w:rFonts w:hint="eastAsia" w:ascii="Times New Roman" w:hAnsi="Times New Roman" w:eastAsia="宋体" w:cs="Times New Roman"/>
          <w:szCs w:val="21"/>
        </w:rPr>
        <w:t>为第</w:t>
      </w:r>
      <w:r>
        <w:rPr>
          <w:rFonts w:hint="eastAsia" w:ascii="Times New Roman" w:hAnsi="Times New Roman" w:eastAsia="宋体" w:cs="Times New Roman"/>
          <w:i/>
          <w:iCs/>
          <w:szCs w:val="21"/>
        </w:rPr>
        <w:t>j</w:t>
      </w:r>
      <w:r>
        <w:rPr>
          <w:rFonts w:hint="eastAsia" w:ascii="Times New Roman" w:hAnsi="Times New Roman" w:eastAsia="宋体" w:cs="Times New Roman"/>
          <w:szCs w:val="21"/>
        </w:rPr>
        <w:t>个目标的权重；</w:t>
      </w:r>
      <w:r>
        <w:rPr>
          <w:rFonts w:hint="eastAsia" w:ascii="Times New Roman" w:hAnsi="Times New Roman" w:eastAsia="宋体" w:cs="Times New Roman"/>
          <w:i/>
          <w:iCs/>
          <w:szCs w:val="21"/>
        </w:rPr>
        <w:t>m</w:t>
      </w:r>
      <w:r>
        <w:rPr>
          <w:rFonts w:hint="eastAsia" w:ascii="Times New Roman" w:hAnsi="Times New Roman" w:eastAsia="宋体" w:cs="Times New Roman"/>
          <w:szCs w:val="21"/>
        </w:rPr>
        <w:t>为目标总数。</w:t>
      </w:r>
    </w:p>
    <w:p w14:paraId="4879E198">
      <w:pPr>
        <w:tabs>
          <w:tab w:val="center" w:pos="4200"/>
          <w:tab w:val="right" w:pos="8400"/>
        </w:tabs>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在本研究中，每个目标的权重均根据熵权法来确定，旨在提高决策的准确性和可靠性。</w:t>
      </w:r>
    </w:p>
    <w:p w14:paraId="06D0639B">
      <w:pPr>
        <w:rPr>
          <w:rFonts w:ascii="Times New Roman" w:hAnsi="Times New Roman" w:eastAsia="楷体" w:cs="Times New Roman"/>
          <w:szCs w:val="21"/>
        </w:rPr>
      </w:pPr>
      <w:r>
        <w:rPr>
          <w:rFonts w:hint="eastAsia" w:ascii="Times New Roman" w:hAnsi="Times New Roman" w:eastAsia="楷体" w:cs="Times New Roman"/>
          <w:szCs w:val="21"/>
        </w:rPr>
        <w:t>2</w:t>
      </w:r>
      <w:r>
        <w:rPr>
          <w:rFonts w:ascii="Times New Roman" w:hAnsi="Times New Roman" w:eastAsia="楷体" w:cs="Times New Roman"/>
          <w:szCs w:val="21"/>
        </w:rPr>
        <w:t>.</w:t>
      </w:r>
      <w:r>
        <w:rPr>
          <w:rFonts w:hint="eastAsia" w:ascii="Times New Roman" w:hAnsi="Times New Roman" w:eastAsia="楷体" w:cs="Times New Roman"/>
          <w:szCs w:val="21"/>
        </w:rPr>
        <w:t>2</w:t>
      </w:r>
      <w:r>
        <w:rPr>
          <w:rFonts w:ascii="Times New Roman" w:hAnsi="Times New Roman" w:eastAsia="楷体" w:cs="Times New Roman"/>
          <w:szCs w:val="21"/>
        </w:rPr>
        <w:t>.</w:t>
      </w:r>
      <w:r>
        <w:rPr>
          <w:rFonts w:hint="eastAsia" w:ascii="Times New Roman" w:hAnsi="Times New Roman" w:eastAsia="楷体" w:cs="Times New Roman"/>
          <w:szCs w:val="21"/>
        </w:rPr>
        <w:t>3</w:t>
      </w:r>
      <w:r>
        <w:rPr>
          <w:rFonts w:ascii="Times New Roman" w:hAnsi="Times New Roman" w:eastAsia="楷体" w:cs="Times New Roman"/>
          <w:szCs w:val="21"/>
        </w:rPr>
        <w:t xml:space="preserve"> TOPSIS</w:t>
      </w:r>
    </w:p>
    <w:p w14:paraId="0389ED8E">
      <w:pPr>
        <w:pStyle w:val="12"/>
        <w:spacing w:line="240" w:lineRule="auto"/>
        <w:ind w:firstLine="420"/>
        <w:rPr>
          <w:color w:val="auto"/>
          <w:sz w:val="21"/>
          <w:szCs w:val="21"/>
          <w:lang w:eastAsia="zh-CN"/>
        </w:rPr>
      </w:pPr>
      <w:r>
        <w:rPr>
          <w:color w:val="auto"/>
          <w:sz w:val="21"/>
          <w:szCs w:val="21"/>
        </w:rPr>
        <w:t>为了获取各</w:t>
      </w:r>
      <w:r>
        <w:rPr>
          <w:bCs/>
          <w:i/>
          <w:iCs/>
          <w:color w:val="auto"/>
          <w:sz w:val="21"/>
          <w:szCs w:val="21"/>
        </w:rPr>
        <w:t>Q</w:t>
      </w:r>
      <w:r>
        <w:rPr>
          <w:bCs/>
          <w:i/>
          <w:iCs/>
          <w:color w:val="auto"/>
          <w:sz w:val="21"/>
          <w:szCs w:val="21"/>
          <w:vertAlign w:val="subscript"/>
        </w:rPr>
        <w:t>I</w:t>
      </w:r>
      <w:r>
        <w:rPr>
          <w:color w:val="auto"/>
          <w:sz w:val="21"/>
          <w:szCs w:val="21"/>
        </w:rPr>
        <w:t>下Pareto前沿中最优</w:t>
      </w:r>
      <w:r>
        <w:rPr>
          <w:i/>
          <w:iCs/>
          <w:color w:val="auto"/>
          <w:sz w:val="21"/>
          <w:szCs w:val="21"/>
          <w:lang w:eastAsia="zh-CN"/>
        </w:rPr>
        <w:t>L</w:t>
      </w:r>
      <w:r>
        <w:rPr>
          <w:color w:val="auto"/>
          <w:sz w:val="21"/>
          <w:szCs w:val="21"/>
          <w:lang w:eastAsia="zh-CN"/>
        </w:rPr>
        <w:t>取值</w:t>
      </w:r>
      <w:r>
        <w:rPr>
          <w:color w:val="auto"/>
          <w:sz w:val="21"/>
          <w:szCs w:val="21"/>
        </w:rPr>
        <w:t>，研究使用了一种名为TOPSIS的排序方法，它是一种用于有限解多目标决策的综合评价方法，作为对评价对象进行优劣排序的技术。其基本概念包括对原始数据矩阵进行归一化处理，并确定理想解和最差解。随后，通过计算每个被评价解与理想解及最差解之间的距离，判断每个被评价解的优劣。然后从Pareto前沿中找出最佳折衷解。具体过程如下所示。</w:t>
      </w:r>
    </w:p>
    <w:p w14:paraId="5D6B158F">
      <w:pPr>
        <w:pStyle w:val="12"/>
        <w:spacing w:line="240" w:lineRule="auto"/>
        <w:ind w:firstLine="420"/>
        <w:rPr>
          <w:color w:val="auto"/>
          <w:sz w:val="21"/>
          <w:szCs w:val="21"/>
          <w:lang w:eastAsia="zh-CN"/>
        </w:rPr>
      </w:pPr>
      <w:r>
        <w:rPr>
          <w:color w:val="auto"/>
          <w:sz w:val="21"/>
          <w:szCs w:val="21"/>
        </w:rPr>
        <w:t>首先，计算加权归一化后的</w:t>
      </w:r>
      <w:r>
        <w:rPr>
          <w:i/>
          <w:iCs/>
          <w:color w:val="auto"/>
          <w:sz w:val="21"/>
          <w:szCs w:val="21"/>
        </w:rPr>
        <w:t>V</w:t>
      </w:r>
      <w:r>
        <w:rPr>
          <w:i/>
          <w:iCs/>
          <w:color w:val="auto"/>
          <w:sz w:val="21"/>
          <w:szCs w:val="21"/>
          <w:vertAlign w:val="subscript"/>
        </w:rPr>
        <w:t>ij</w:t>
      </w:r>
      <w:r>
        <w:rPr>
          <w:rFonts w:hint="eastAsia"/>
          <w:color w:val="auto"/>
          <w:sz w:val="21"/>
          <w:szCs w:val="21"/>
          <w:lang w:eastAsia="zh-CN"/>
        </w:rPr>
        <w:t>，即</w:t>
      </w:r>
    </w:p>
    <w:p w14:paraId="7026F8E5">
      <w:pPr>
        <w:pStyle w:val="16"/>
        <w:rPr>
          <w:sz w:val="21"/>
          <w:szCs w:val="21"/>
        </w:rPr>
      </w:pPr>
      <w:r>
        <w:rPr>
          <w:sz w:val="21"/>
          <w:szCs w:val="21"/>
        </w:rPr>
        <w:tab/>
      </w:r>
      <w:r>
        <w:rPr>
          <w:position w:val="-14"/>
          <w:sz w:val="21"/>
          <w:szCs w:val="21"/>
        </w:rPr>
        <w:object>
          <v:shape id="_x0000_i1048" o:spt="75" type="#_x0000_t75" style="height:18.45pt;width:54.15pt;" o:ole="t" filled="f" o:preferrelative="t" stroked="f" coordsize="21600,21600">
            <v:path/>
            <v:fill on="f" focussize="0,0"/>
            <v:stroke on="f" joinstyle="miter"/>
            <v:imagedata r:id="rId68" o:title=""/>
            <o:lock v:ext="edit" aspectratio="t"/>
            <w10:wrap type="none"/>
            <w10:anchorlock/>
          </v:shape>
          <o:OLEObject Type="Embed" ProgID="Equation.DSMT4" ShapeID="_x0000_i1048" DrawAspect="Content" ObjectID="_1468075748" r:id="rId67">
            <o:LockedField>false</o:LockedField>
          </o:OLEObject>
        </w:object>
      </w:r>
      <w:r>
        <w:rPr>
          <w:sz w:val="21"/>
          <w:szCs w:val="21"/>
        </w:rPr>
        <w:tab/>
      </w:r>
      <w:r>
        <w:rPr>
          <w:sz w:val="21"/>
          <w:szCs w:val="21"/>
        </w:rPr>
        <w:t>(</w:t>
      </w:r>
      <w:r>
        <w:rPr>
          <w:rFonts w:hint="eastAsia"/>
          <w:sz w:val="21"/>
          <w:szCs w:val="21"/>
        </w:rPr>
        <w:t>18</w:t>
      </w:r>
      <w:r>
        <w:rPr>
          <w:sz w:val="21"/>
          <w:szCs w:val="21"/>
        </w:rPr>
        <w:t>)</w:t>
      </w:r>
    </w:p>
    <w:p w14:paraId="22276340">
      <w:pPr>
        <w:pStyle w:val="12"/>
        <w:spacing w:line="240" w:lineRule="auto"/>
        <w:ind w:firstLine="0" w:firstLineChars="0"/>
        <w:rPr>
          <w:color w:val="auto"/>
          <w:sz w:val="21"/>
          <w:szCs w:val="21"/>
        </w:rPr>
      </w:pPr>
      <w:r>
        <w:rPr>
          <w:color w:val="auto"/>
          <w:sz w:val="21"/>
          <w:szCs w:val="21"/>
        </w:rPr>
        <w:t>式中</w:t>
      </w:r>
      <w:r>
        <w:rPr>
          <w:rFonts w:hint="eastAsia"/>
          <w:color w:val="auto"/>
          <w:sz w:val="21"/>
          <w:szCs w:val="21"/>
          <w:lang w:eastAsia="zh-CN"/>
        </w:rPr>
        <w:t>，</w:t>
      </w:r>
      <w:r>
        <w:rPr>
          <w:i/>
          <w:iCs/>
          <w:color w:val="auto"/>
          <w:sz w:val="21"/>
          <w:szCs w:val="21"/>
        </w:rPr>
        <w:t>V</w:t>
      </w:r>
      <w:r>
        <w:rPr>
          <w:i/>
          <w:iCs/>
          <w:color w:val="auto"/>
          <w:sz w:val="21"/>
          <w:szCs w:val="21"/>
          <w:vertAlign w:val="subscript"/>
        </w:rPr>
        <w:t>ij</w:t>
      </w:r>
      <w:r>
        <w:rPr>
          <w:rFonts w:hint="eastAsia"/>
          <w:color w:val="auto"/>
          <w:sz w:val="21"/>
          <w:szCs w:val="21"/>
        </w:rPr>
        <w:t>为</w:t>
      </w:r>
      <w:r>
        <w:rPr>
          <w:color w:val="auto"/>
          <w:sz w:val="21"/>
          <w:szCs w:val="21"/>
        </w:rPr>
        <w:t>第</w:t>
      </w:r>
      <w:r>
        <w:rPr>
          <w:i/>
          <w:iCs/>
          <w:color w:val="auto"/>
          <w:sz w:val="21"/>
          <w:szCs w:val="21"/>
        </w:rPr>
        <w:t>i</w:t>
      </w:r>
      <w:r>
        <w:rPr>
          <w:color w:val="auto"/>
          <w:sz w:val="21"/>
          <w:szCs w:val="21"/>
        </w:rPr>
        <w:t>个解在第</w:t>
      </w:r>
      <w:r>
        <w:rPr>
          <w:i/>
          <w:iCs/>
          <w:color w:val="auto"/>
          <w:sz w:val="21"/>
          <w:szCs w:val="21"/>
        </w:rPr>
        <w:t>j</w:t>
      </w:r>
      <w:r>
        <w:rPr>
          <w:color w:val="auto"/>
          <w:sz w:val="21"/>
          <w:szCs w:val="21"/>
        </w:rPr>
        <w:t>个目标上的加权结果</w:t>
      </w:r>
      <w:r>
        <w:rPr>
          <w:rFonts w:hint="eastAsia"/>
          <w:color w:val="auto"/>
          <w:sz w:val="21"/>
          <w:szCs w:val="21"/>
          <w:lang w:eastAsia="zh-CN"/>
        </w:rPr>
        <w:t>；</w:t>
      </w:r>
      <w:r>
        <w:rPr>
          <w:rFonts w:hint="eastAsia"/>
          <w:i/>
          <w:iCs/>
          <w:color w:val="auto"/>
          <w:sz w:val="21"/>
          <w:szCs w:val="21"/>
          <w:lang w:eastAsia="zh-CN"/>
        </w:rPr>
        <w:t>w</w:t>
      </w:r>
      <w:r>
        <w:rPr>
          <w:rFonts w:hint="eastAsia"/>
          <w:i/>
          <w:iCs/>
          <w:color w:val="auto"/>
          <w:sz w:val="21"/>
          <w:szCs w:val="21"/>
          <w:vertAlign w:val="subscript"/>
          <w:lang w:eastAsia="zh-CN"/>
        </w:rPr>
        <w:t>j</w:t>
      </w:r>
      <w:r>
        <w:rPr>
          <w:rFonts w:hint="eastAsia"/>
          <w:color w:val="auto"/>
          <w:sz w:val="21"/>
          <w:szCs w:val="21"/>
          <w:lang w:eastAsia="zh-CN"/>
        </w:rPr>
        <w:t>为通过熵权法计算而得的权重</w:t>
      </w:r>
      <w:r>
        <w:rPr>
          <w:color w:val="auto"/>
          <w:sz w:val="21"/>
          <w:szCs w:val="21"/>
        </w:rPr>
        <w:t>。</w:t>
      </w:r>
    </w:p>
    <w:p w14:paraId="5C17640B">
      <w:pPr>
        <w:pStyle w:val="12"/>
        <w:spacing w:line="240" w:lineRule="auto"/>
        <w:ind w:firstLine="420"/>
        <w:rPr>
          <w:color w:val="auto"/>
          <w:sz w:val="21"/>
          <w:szCs w:val="21"/>
        </w:rPr>
      </w:pPr>
      <w:r>
        <w:rPr>
          <w:color w:val="auto"/>
          <w:sz w:val="21"/>
          <w:szCs w:val="21"/>
        </w:rPr>
        <w:t>接着确定正理想解与负理想解</w:t>
      </w:r>
    </w:p>
    <w:p w14:paraId="0865D304">
      <w:pPr>
        <w:pStyle w:val="16"/>
        <w:rPr>
          <w:sz w:val="21"/>
          <w:szCs w:val="21"/>
        </w:rPr>
      </w:pPr>
      <w:r>
        <w:rPr>
          <w:sz w:val="21"/>
          <w:szCs w:val="21"/>
        </w:rPr>
        <w:tab/>
      </w:r>
      <w:r>
        <w:rPr>
          <w:position w:val="-14"/>
          <w:sz w:val="21"/>
          <w:szCs w:val="21"/>
        </w:rPr>
        <w:object>
          <v:shape id="_x0000_i1049" o:spt="75" type="#_x0000_t75" style="height:18.45pt;width:62.6pt;" o:ole="t" filled="f" o:preferrelative="t" stroked="f" coordsize="21600,21600">
            <v:path/>
            <v:fill on="f" focussize="0,0"/>
            <v:stroke on="f" joinstyle="miter"/>
            <v:imagedata r:id="rId70" o:title=""/>
            <o:lock v:ext="edit" aspectratio="t"/>
            <w10:wrap type="none"/>
            <w10:anchorlock/>
          </v:shape>
          <o:OLEObject Type="Embed" ProgID="Equation.DSMT4" ShapeID="_x0000_i1049" DrawAspect="Content" ObjectID="_1468075749" r:id="rId69">
            <o:LockedField>false</o:LockedField>
          </o:OLEObject>
        </w:object>
      </w:r>
      <w:r>
        <w:rPr>
          <w:sz w:val="21"/>
          <w:szCs w:val="21"/>
        </w:rPr>
        <w:tab/>
      </w:r>
      <w:r>
        <w:rPr>
          <w:sz w:val="21"/>
          <w:szCs w:val="21"/>
        </w:rPr>
        <w:t>(</w:t>
      </w:r>
      <w:r>
        <w:rPr>
          <w:rFonts w:hint="eastAsia"/>
          <w:sz w:val="21"/>
          <w:szCs w:val="21"/>
        </w:rPr>
        <w:t>19</w:t>
      </w:r>
      <w:r>
        <w:rPr>
          <w:sz w:val="21"/>
          <w:szCs w:val="21"/>
        </w:rPr>
        <w:t>)</w:t>
      </w:r>
    </w:p>
    <w:p w14:paraId="455CEBD6">
      <w:pPr>
        <w:pStyle w:val="16"/>
        <w:rPr>
          <w:sz w:val="21"/>
          <w:szCs w:val="21"/>
        </w:rPr>
      </w:pPr>
      <w:r>
        <w:rPr>
          <w:sz w:val="21"/>
          <w:szCs w:val="21"/>
        </w:rPr>
        <w:tab/>
      </w:r>
      <w:r>
        <w:rPr>
          <w:position w:val="-14"/>
          <w:sz w:val="21"/>
          <w:szCs w:val="21"/>
        </w:rPr>
        <w:object>
          <v:shape id="_x0000_i1050" o:spt="75" type="#_x0000_t75" style="height:18.8pt;width:61.4pt;" o:ole="t" filled="f" o:preferrelative="t" stroked="f" coordsize="21600,21600">
            <v:path/>
            <v:fill on="f" focussize="0,0"/>
            <v:stroke on="f" joinstyle="miter"/>
            <v:imagedata r:id="rId72" o:title=""/>
            <o:lock v:ext="edit" aspectratio="t"/>
            <w10:wrap type="none"/>
            <w10:anchorlock/>
          </v:shape>
          <o:OLEObject Type="Embed" ProgID="Equation.DSMT4" ShapeID="_x0000_i1050" DrawAspect="Content" ObjectID="_1468075750" r:id="rId71">
            <o:LockedField>false</o:LockedField>
          </o:OLEObject>
        </w:object>
      </w:r>
      <w:r>
        <w:rPr>
          <w:sz w:val="21"/>
          <w:szCs w:val="21"/>
        </w:rPr>
        <w:tab/>
      </w:r>
      <w:r>
        <w:rPr>
          <w:sz w:val="21"/>
          <w:szCs w:val="21"/>
        </w:rPr>
        <w:t>(</w:t>
      </w:r>
      <w:r>
        <w:rPr>
          <w:rFonts w:hint="eastAsia"/>
          <w:sz w:val="21"/>
          <w:szCs w:val="21"/>
        </w:rPr>
        <w:t>20</w:t>
      </w:r>
      <w:r>
        <w:rPr>
          <w:sz w:val="21"/>
          <w:szCs w:val="21"/>
        </w:rPr>
        <w:t>)</w:t>
      </w:r>
    </w:p>
    <w:p w14:paraId="18D0511A">
      <w:pPr>
        <w:pStyle w:val="12"/>
        <w:spacing w:line="240" w:lineRule="auto"/>
        <w:ind w:firstLine="420"/>
        <w:rPr>
          <w:color w:val="auto"/>
          <w:sz w:val="21"/>
          <w:szCs w:val="21"/>
        </w:rPr>
      </w:pPr>
      <w:r>
        <w:rPr>
          <w:color w:val="auto"/>
          <w:sz w:val="21"/>
          <w:szCs w:val="21"/>
        </w:rPr>
        <w:t>然后计算每个解到正理想解和负理想解的欧几里得距离</w:t>
      </w:r>
    </w:p>
    <w:p w14:paraId="0AC41C8E">
      <w:pPr>
        <w:pStyle w:val="16"/>
        <w:rPr>
          <w:sz w:val="21"/>
          <w:szCs w:val="21"/>
        </w:rPr>
      </w:pPr>
      <w:r>
        <w:rPr>
          <w:sz w:val="21"/>
          <w:szCs w:val="21"/>
        </w:rPr>
        <w:tab/>
      </w:r>
      <w:r>
        <w:rPr>
          <w:position w:val="-26"/>
          <w:sz w:val="21"/>
          <w:szCs w:val="21"/>
        </w:rPr>
        <w:object>
          <v:shape id="_x0000_i1051" o:spt="75" type="#_x0000_t75" style="height:29.1pt;width:83.55pt;" o:ole="t" filled="f" o:preferrelative="t" stroked="f" coordsize="21600,21600">
            <v:path/>
            <v:fill on="f" focussize="0,0"/>
            <v:stroke on="f" joinstyle="miter"/>
            <v:imagedata r:id="rId74" o:title=""/>
            <o:lock v:ext="edit" aspectratio="t"/>
            <w10:wrap type="none"/>
            <w10:anchorlock/>
          </v:shape>
          <o:OLEObject Type="Embed" ProgID="Equation.DSMT4" ShapeID="_x0000_i1051" DrawAspect="Content" ObjectID="_1468075751" r:id="rId73">
            <o:LockedField>false</o:LockedField>
          </o:OLEObject>
        </w:object>
      </w:r>
      <w:r>
        <w:rPr>
          <w:sz w:val="21"/>
          <w:szCs w:val="21"/>
        </w:rPr>
        <w:tab/>
      </w:r>
      <w:r>
        <w:rPr>
          <w:sz w:val="21"/>
          <w:szCs w:val="21"/>
        </w:rPr>
        <w:t>(</w:t>
      </w:r>
      <w:r>
        <w:rPr>
          <w:rFonts w:hint="eastAsia"/>
          <w:sz w:val="21"/>
          <w:szCs w:val="21"/>
        </w:rPr>
        <w:t>21</w:t>
      </w:r>
      <w:r>
        <w:rPr>
          <w:sz w:val="21"/>
          <w:szCs w:val="21"/>
        </w:rPr>
        <w:t>)</w:t>
      </w:r>
    </w:p>
    <w:p w14:paraId="2088195A">
      <w:pPr>
        <w:pStyle w:val="16"/>
        <w:rPr>
          <w:sz w:val="21"/>
          <w:szCs w:val="21"/>
        </w:rPr>
      </w:pPr>
      <w:r>
        <w:rPr>
          <w:sz w:val="21"/>
          <w:szCs w:val="21"/>
        </w:rPr>
        <w:tab/>
      </w:r>
      <w:r>
        <w:rPr>
          <w:position w:val="-26"/>
          <w:sz w:val="21"/>
          <w:szCs w:val="21"/>
        </w:rPr>
        <w:object>
          <v:shape id="_x0000_i1052" o:spt="75" type="#_x0000_t75" style="height:28.8pt;width:82.65pt;" o:ole="t" filled="f" o:preferrelative="t" stroked="f" coordsize="21600,21600">
            <v:path/>
            <v:fill on="f" focussize="0,0"/>
            <v:stroke on="f" joinstyle="miter"/>
            <v:imagedata r:id="rId76" o:title=""/>
            <o:lock v:ext="edit" aspectratio="t"/>
            <w10:wrap type="none"/>
            <w10:anchorlock/>
          </v:shape>
          <o:OLEObject Type="Embed" ProgID="Equation.DSMT4" ShapeID="_x0000_i1052" DrawAspect="Content" ObjectID="_1468075752" r:id="rId75">
            <o:LockedField>false</o:LockedField>
          </o:OLEObject>
        </w:object>
      </w:r>
      <w:r>
        <w:rPr>
          <w:sz w:val="21"/>
          <w:szCs w:val="21"/>
        </w:rPr>
        <w:tab/>
      </w:r>
      <w:r>
        <w:rPr>
          <w:sz w:val="21"/>
          <w:szCs w:val="21"/>
        </w:rPr>
        <w:t>(</w:t>
      </w:r>
      <w:r>
        <w:rPr>
          <w:rFonts w:hint="eastAsia"/>
          <w:sz w:val="21"/>
          <w:szCs w:val="21"/>
        </w:rPr>
        <w:t>22</w:t>
      </w:r>
      <w:r>
        <w:rPr>
          <w:sz w:val="21"/>
          <w:szCs w:val="21"/>
        </w:rPr>
        <w:t>)</w:t>
      </w:r>
    </w:p>
    <w:p w14:paraId="20415A27">
      <w:pPr>
        <w:pStyle w:val="16"/>
        <w:rPr>
          <w:sz w:val="21"/>
          <w:szCs w:val="21"/>
        </w:rPr>
      </w:pPr>
      <w:r>
        <w:rPr>
          <w:sz w:val="21"/>
          <w:szCs w:val="21"/>
        </w:rPr>
        <w:t>式中</w:t>
      </w:r>
      <w:bookmarkStart w:id="21" w:name="_Hlk188835451"/>
      <w:r>
        <w:rPr>
          <w:rFonts w:hint="eastAsia"/>
          <w:sz w:val="21"/>
          <w:szCs w:val="21"/>
        </w:rPr>
        <w:t>，</w:t>
      </w:r>
      <w:r>
        <w:rPr>
          <w:position w:val="-12"/>
          <w:sz w:val="21"/>
          <w:szCs w:val="21"/>
        </w:rPr>
        <w:object>
          <v:shape id="_x0000_i1053" o:spt="75" type="#_x0000_t75" style="height:18.15pt;width:18.15pt;" o:ole="t" filled="f" o:preferrelative="t" stroked="f" coordsize="21600,21600">
            <v:path/>
            <v:fill on="f" focussize="0,0"/>
            <v:stroke on="f" joinstyle="miter"/>
            <v:imagedata r:id="rId78" o:title=""/>
            <o:lock v:ext="edit" aspectratio="t"/>
            <w10:wrap type="none"/>
            <w10:anchorlock/>
          </v:shape>
          <o:OLEObject Type="Embed" ProgID="Equation.DSMT4" ShapeID="_x0000_i1053" DrawAspect="Content" ObjectID="_1468075753" r:id="rId77">
            <o:LockedField>false</o:LockedField>
          </o:OLEObject>
        </w:object>
      </w:r>
      <w:bookmarkEnd w:id="21"/>
      <w:r>
        <w:rPr>
          <w:rFonts w:hint="eastAsia"/>
          <w:sz w:val="21"/>
          <w:szCs w:val="21"/>
        </w:rPr>
        <w:t>为</w:t>
      </w:r>
      <w:r>
        <w:rPr>
          <w:sz w:val="21"/>
          <w:szCs w:val="21"/>
        </w:rPr>
        <w:t xml:space="preserve">第 </w:t>
      </w:r>
      <w:r>
        <w:rPr>
          <w:i/>
          <w:iCs/>
          <w:sz w:val="21"/>
          <w:szCs w:val="21"/>
        </w:rPr>
        <w:t xml:space="preserve">i </w:t>
      </w:r>
      <w:r>
        <w:rPr>
          <w:sz w:val="21"/>
          <w:szCs w:val="21"/>
        </w:rPr>
        <w:t>个解到正理想解的距离</w:t>
      </w:r>
      <w:r>
        <w:rPr>
          <w:rFonts w:hint="eastAsia"/>
          <w:sz w:val="21"/>
          <w:szCs w:val="21"/>
        </w:rPr>
        <w:t>；</w:t>
      </w:r>
      <w:bookmarkStart w:id="22" w:name="_Hlk188835460"/>
      <w:r>
        <w:rPr>
          <w:position w:val="-12"/>
          <w:sz w:val="21"/>
          <w:szCs w:val="21"/>
        </w:rPr>
        <w:object>
          <v:shape id="_x0000_i1054" o:spt="75" type="#_x0000_t75" style="height:18.15pt;width:18.15pt;" o:ole="t" filled="f" o:preferrelative="t" stroked="f" coordsize="21600,21600">
            <v:path/>
            <v:fill on="f" focussize="0,0"/>
            <v:stroke on="f" joinstyle="miter"/>
            <v:imagedata r:id="rId80" o:title=""/>
            <o:lock v:ext="edit" aspectratio="t"/>
            <w10:wrap type="none"/>
            <w10:anchorlock/>
          </v:shape>
          <o:OLEObject Type="Embed" ProgID="Equation.DSMT4" ShapeID="_x0000_i1054" DrawAspect="Content" ObjectID="_1468075754" r:id="rId79">
            <o:LockedField>false</o:LockedField>
          </o:OLEObject>
        </w:object>
      </w:r>
      <w:bookmarkEnd w:id="22"/>
      <w:r>
        <w:rPr>
          <w:rFonts w:hint="eastAsia"/>
          <w:sz w:val="21"/>
          <w:szCs w:val="21"/>
        </w:rPr>
        <w:t>为</w:t>
      </w:r>
      <w:r>
        <w:rPr>
          <w:sz w:val="21"/>
          <w:szCs w:val="21"/>
        </w:rPr>
        <w:t xml:space="preserve">第 </w:t>
      </w:r>
      <w:r>
        <w:rPr>
          <w:i/>
          <w:iCs/>
          <w:sz w:val="21"/>
          <w:szCs w:val="21"/>
        </w:rPr>
        <w:t xml:space="preserve">i </w:t>
      </w:r>
      <w:r>
        <w:rPr>
          <w:sz w:val="21"/>
          <w:szCs w:val="21"/>
        </w:rPr>
        <w:t>个解到负理想解的距离。</w:t>
      </w:r>
    </w:p>
    <w:p w14:paraId="062C5673">
      <w:pPr>
        <w:pStyle w:val="12"/>
        <w:spacing w:line="240" w:lineRule="auto"/>
        <w:ind w:firstLine="420"/>
        <w:rPr>
          <w:color w:val="auto"/>
          <w:sz w:val="21"/>
          <w:szCs w:val="21"/>
          <w:lang w:eastAsia="zh-CN"/>
        </w:rPr>
      </w:pPr>
      <w:r>
        <w:rPr>
          <w:color w:val="auto"/>
          <w:sz w:val="21"/>
          <w:szCs w:val="21"/>
        </w:rPr>
        <w:t>最后计算贴近度</w:t>
      </w:r>
      <w:bookmarkStart w:id="23" w:name="_Hlk188835488"/>
      <w:r>
        <w:rPr>
          <w:bCs/>
          <w:i/>
          <w:iCs/>
          <w:color w:val="auto"/>
          <w:sz w:val="21"/>
          <w:szCs w:val="21"/>
        </w:rPr>
        <w:t>C</w:t>
      </w:r>
      <w:r>
        <w:rPr>
          <w:bCs/>
          <w:i/>
          <w:iCs/>
          <w:color w:val="auto"/>
          <w:sz w:val="21"/>
          <w:szCs w:val="21"/>
          <w:vertAlign w:val="subscript"/>
        </w:rPr>
        <w:t>i</w:t>
      </w:r>
      <w:bookmarkEnd w:id="23"/>
      <w:r>
        <w:rPr>
          <w:color w:val="auto"/>
          <w:sz w:val="21"/>
          <w:szCs w:val="21"/>
        </w:rPr>
        <w:t>，贴近度的值越大，代表整体水平越好。</w:t>
      </w:r>
    </w:p>
    <w:p w14:paraId="6DFD29CE">
      <w:pPr>
        <w:pStyle w:val="16"/>
        <w:rPr>
          <w:sz w:val="21"/>
          <w:szCs w:val="21"/>
        </w:rPr>
      </w:pPr>
      <w:r>
        <w:rPr>
          <w:sz w:val="21"/>
          <w:szCs w:val="21"/>
        </w:rPr>
        <w:tab/>
      </w:r>
      <w:r>
        <w:rPr>
          <w:position w:val="-30"/>
          <w:sz w:val="21"/>
          <w:szCs w:val="21"/>
        </w:rPr>
        <w:object>
          <v:shape id="_x0000_i1055" o:spt="75" type="#_x0000_t75" style="height:29.75pt;width:56.35pt;" o:ole="t" filled="f" o:preferrelative="t" stroked="f" coordsize="21600,21600">
            <v:path/>
            <v:fill on="f" focussize="0,0"/>
            <v:stroke on="f" joinstyle="miter"/>
            <v:imagedata r:id="rId82" o:title=""/>
            <o:lock v:ext="edit" aspectratio="t"/>
            <w10:wrap type="none"/>
            <w10:anchorlock/>
          </v:shape>
          <o:OLEObject Type="Embed" ProgID="Equation.DSMT4" ShapeID="_x0000_i1055" DrawAspect="Content" ObjectID="_1468075755" r:id="rId81">
            <o:LockedField>false</o:LockedField>
          </o:OLEObject>
        </w:object>
      </w:r>
      <w:r>
        <w:rPr>
          <w:sz w:val="21"/>
          <w:szCs w:val="21"/>
        </w:rPr>
        <w:tab/>
      </w:r>
      <w:r>
        <w:rPr>
          <w:sz w:val="21"/>
          <w:szCs w:val="21"/>
        </w:rPr>
        <w:t>(</w:t>
      </w:r>
      <w:r>
        <w:rPr>
          <w:rFonts w:hint="eastAsia"/>
          <w:sz w:val="21"/>
          <w:szCs w:val="21"/>
        </w:rPr>
        <w:t>23</w:t>
      </w:r>
      <w:r>
        <w:rPr>
          <w:sz w:val="21"/>
          <w:szCs w:val="21"/>
        </w:rPr>
        <w:t>)</w:t>
      </w:r>
    </w:p>
    <w:p w14:paraId="2439AE3C">
      <w:pPr>
        <w:ind w:firstLine="420" w:firstLineChars="200"/>
        <w:rPr>
          <w:rFonts w:ascii="Times New Roman" w:hAnsi="Times New Roman" w:eastAsia="宋体" w:cs="Times New Roman"/>
          <w:szCs w:val="21"/>
        </w:rPr>
      </w:pPr>
      <w:r>
        <w:rPr>
          <w:rFonts w:ascii="Times New Roman" w:hAnsi="Times New Roman" w:eastAsia="宋体" w:cs="Times New Roman"/>
          <w:szCs w:val="21"/>
        </w:rPr>
        <w:t>通过上述流程，最终获得</w:t>
      </w:r>
      <w:r>
        <w:rPr>
          <w:rFonts w:hint="eastAsia" w:ascii="Times New Roman" w:hAnsi="Times New Roman" w:eastAsia="宋体" w:cs="Times New Roman"/>
          <w:szCs w:val="21"/>
        </w:rPr>
        <w:t>不同含沙浓度下</w:t>
      </w:r>
      <w:r>
        <w:rPr>
          <w:rFonts w:ascii="Times New Roman" w:hAnsi="Times New Roman" w:eastAsia="宋体" w:cs="Times New Roman"/>
          <w:szCs w:val="21"/>
        </w:rPr>
        <w:t>最优无量纲直径</w:t>
      </w:r>
      <w:r>
        <w:rPr>
          <w:rFonts w:ascii="Times New Roman" w:hAnsi="Times New Roman" w:eastAsia="宋体" w:cs="Times New Roman"/>
          <w:i/>
          <w:iCs/>
          <w:szCs w:val="21"/>
        </w:rPr>
        <w:t>L</w:t>
      </w:r>
      <w:r>
        <w:rPr>
          <w:rFonts w:ascii="Times New Roman" w:hAnsi="Times New Roman" w:eastAsia="宋体" w:cs="Times New Roman"/>
          <w:szCs w:val="21"/>
        </w:rPr>
        <w:t>取值</w:t>
      </w:r>
      <w:r>
        <w:rPr>
          <w:rFonts w:hint="eastAsia" w:ascii="Times New Roman" w:hAnsi="Times New Roman" w:eastAsia="宋体" w:cs="Times New Roman"/>
          <w:szCs w:val="21"/>
        </w:rPr>
        <w:t>如图6所示</w:t>
      </w:r>
      <w:r>
        <w:rPr>
          <w:rFonts w:ascii="Times New Roman" w:hAnsi="Times New Roman" w:eastAsia="宋体" w:cs="Times New Roman"/>
          <w:szCs w:val="21"/>
        </w:rPr>
        <w:t>，</w:t>
      </w:r>
      <w:r>
        <w:rPr>
          <w:rFonts w:hint="eastAsia" w:ascii="Times New Roman" w:hAnsi="Times New Roman" w:eastAsia="宋体" w:cs="Times New Roman"/>
          <w:szCs w:val="21"/>
        </w:rPr>
        <w:t>由图可得，不同含沙浓度下，</w:t>
      </w:r>
      <w:r>
        <w:rPr>
          <w:rFonts w:hint="eastAsia" w:ascii="Times New Roman" w:hAnsi="Times New Roman" w:eastAsia="宋体" w:cs="Times New Roman"/>
          <w:i/>
          <w:iCs/>
          <w:szCs w:val="21"/>
        </w:rPr>
        <w:t>L</w:t>
      </w:r>
      <w:r>
        <w:rPr>
          <w:rFonts w:hint="eastAsia" w:ascii="Times New Roman" w:hAnsi="Times New Roman" w:eastAsia="宋体" w:cs="Times New Roman"/>
          <w:szCs w:val="21"/>
        </w:rPr>
        <w:t>取值相近，为0.00036</w:t>
      </w:r>
      <w:r>
        <w:rPr>
          <w:rFonts w:ascii="Times New Roman" w:hAnsi="Times New Roman" w:cs="Times New Roman"/>
          <w:szCs w:val="21"/>
        </w:rPr>
        <w:t>~</w:t>
      </w:r>
      <w:r>
        <w:rPr>
          <w:rFonts w:hint="eastAsia" w:ascii="Times New Roman" w:hAnsi="Times New Roman" w:eastAsia="宋体" w:cs="Times New Roman"/>
          <w:szCs w:val="21"/>
        </w:rPr>
        <w:t>0.0004</w:t>
      </w:r>
      <w:r>
        <w:rPr>
          <w:rFonts w:ascii="Times New Roman" w:hAnsi="Times New Roman" w:eastAsia="宋体" w:cs="Times New Roman"/>
          <w:szCs w:val="21"/>
        </w:rPr>
        <w:t>。</w:t>
      </w:r>
      <w:bookmarkStart w:id="24" w:name="_Hlk202867830"/>
      <w:r>
        <w:rPr>
          <w:rFonts w:ascii="Times New Roman" w:hAnsi="Times New Roman" w:eastAsia="宋体" w:cs="Times New Roman"/>
          <w:szCs w:val="21"/>
        </w:rPr>
        <w:t>为比较模型试验所得最优方案与数学模型推算结果的一致性，研究以已开展的</w:t>
      </w:r>
      <w:r>
        <w:rPr>
          <w:rFonts w:hint="eastAsia" w:ascii="Times New Roman" w:hAnsi="Times New Roman" w:eastAsia="宋体" w:cs="Times New Roman"/>
          <w:szCs w:val="21"/>
        </w:rPr>
        <w:t>15</w:t>
      </w:r>
      <w:r>
        <w:rPr>
          <w:rFonts w:ascii="Times New Roman" w:hAnsi="Times New Roman" w:eastAsia="宋体" w:cs="Times New Roman"/>
          <w:szCs w:val="21"/>
        </w:rPr>
        <w:t>组试验为样本，采用熵权-TOPSIS方法计算各组试验工况的贴近度，结果</w:t>
      </w:r>
      <w:r>
        <w:rPr>
          <w:rFonts w:hint="eastAsia" w:ascii="Times New Roman" w:hAnsi="Times New Roman" w:eastAsia="宋体" w:cs="Times New Roman"/>
          <w:szCs w:val="21"/>
        </w:rPr>
        <w:t>如</w:t>
      </w:r>
      <w:r>
        <w:rPr>
          <w:rFonts w:ascii="Times New Roman" w:hAnsi="Times New Roman" w:eastAsia="宋体" w:cs="Times New Roman"/>
          <w:szCs w:val="21"/>
        </w:rPr>
        <w:t>表</w:t>
      </w:r>
      <w:r>
        <w:rPr>
          <w:rFonts w:hint="eastAsia" w:ascii="Times New Roman" w:hAnsi="Times New Roman" w:eastAsia="宋体" w:cs="Times New Roman"/>
          <w:szCs w:val="21"/>
        </w:rPr>
        <w:t>11所列</w:t>
      </w:r>
      <w:r>
        <w:rPr>
          <w:rFonts w:ascii="Times New Roman" w:hAnsi="Times New Roman" w:eastAsia="宋体" w:cs="Times New Roman"/>
          <w:szCs w:val="21"/>
        </w:rPr>
        <w:t>。由表可知，基于试验数据获得的最优方案为第</w:t>
      </w:r>
      <w:r>
        <w:rPr>
          <w:rFonts w:hint="eastAsia" w:ascii="Times New Roman" w:hAnsi="Times New Roman" w:eastAsia="宋体" w:cs="Times New Roman"/>
          <w:szCs w:val="21"/>
        </w:rPr>
        <w:t>14</w:t>
      </w:r>
      <w:r>
        <w:rPr>
          <w:rFonts w:ascii="Times New Roman" w:hAnsi="Times New Roman" w:eastAsia="宋体" w:cs="Times New Roman"/>
          <w:szCs w:val="21"/>
        </w:rPr>
        <w:t>组（</w:t>
      </w:r>
      <w:r>
        <w:rPr>
          <w:rFonts w:ascii="Times New Roman" w:hAnsi="Times New Roman" w:eastAsia="宋体" w:cs="Times New Roman"/>
          <w:i/>
          <w:iCs/>
          <w:szCs w:val="21"/>
        </w:rPr>
        <w:t>L</w:t>
      </w:r>
      <w:r>
        <w:rPr>
          <w:rFonts w:ascii="Times New Roman" w:hAnsi="Times New Roman" w:eastAsia="宋体" w:cs="Times New Roman"/>
          <w:szCs w:val="21"/>
        </w:rPr>
        <w:t xml:space="preserve"> = 0.000</w:t>
      </w:r>
      <w:r>
        <w:rPr>
          <w:rFonts w:hint="eastAsia" w:ascii="Times New Roman" w:hAnsi="Times New Roman" w:eastAsia="宋体" w:cs="Times New Roman"/>
          <w:szCs w:val="21"/>
        </w:rPr>
        <w:t>39</w:t>
      </w:r>
      <w:r>
        <w:rPr>
          <w:rFonts w:ascii="Times New Roman" w:hAnsi="Times New Roman" w:eastAsia="宋体" w:cs="Times New Roman"/>
          <w:szCs w:val="21"/>
        </w:rPr>
        <w:t>）</w:t>
      </w:r>
      <w:r>
        <w:rPr>
          <w:rFonts w:hint="eastAsia" w:ascii="Times New Roman" w:hAnsi="Times New Roman" w:eastAsia="宋体" w:cs="Times New Roman"/>
          <w:szCs w:val="21"/>
        </w:rPr>
        <w:t>，</w:t>
      </w:r>
      <w:r>
        <w:rPr>
          <w:rFonts w:ascii="Times New Roman" w:hAnsi="Times New Roman" w:eastAsia="宋体" w:cs="Times New Roman"/>
          <w:szCs w:val="21"/>
        </w:rPr>
        <w:t>对比数学模型推算所得的最优无量纲直径</w:t>
      </w:r>
      <w:r>
        <w:rPr>
          <w:rFonts w:ascii="Times New Roman" w:hAnsi="Times New Roman" w:eastAsia="宋体" w:cs="Times New Roman"/>
          <w:i/>
          <w:iCs/>
          <w:szCs w:val="21"/>
        </w:rPr>
        <w:t>L</w:t>
      </w:r>
      <w:r>
        <w:rPr>
          <w:rFonts w:ascii="Times New Roman" w:hAnsi="Times New Roman" w:eastAsia="宋体" w:cs="Times New Roman"/>
          <w:szCs w:val="21"/>
        </w:rPr>
        <w:t xml:space="preserve"> = 0.000</w:t>
      </w:r>
      <w:r>
        <w:rPr>
          <w:rFonts w:hint="eastAsia" w:ascii="Times New Roman" w:hAnsi="Times New Roman" w:eastAsia="宋体" w:cs="Times New Roman"/>
          <w:szCs w:val="21"/>
        </w:rPr>
        <w:t>36</w:t>
      </w:r>
      <w:r>
        <w:rPr>
          <w:rFonts w:ascii="Times New Roman" w:hAnsi="Times New Roman" w:cs="Times New Roman"/>
          <w:szCs w:val="21"/>
        </w:rPr>
        <w:t>~</w:t>
      </w:r>
      <w:r>
        <w:rPr>
          <w:rFonts w:hint="eastAsia" w:ascii="Times New Roman" w:hAnsi="Times New Roman" w:eastAsia="宋体" w:cs="Times New Roman"/>
          <w:szCs w:val="21"/>
        </w:rPr>
        <w:t>0.0004</w:t>
      </w:r>
      <w:r>
        <w:rPr>
          <w:rFonts w:ascii="Times New Roman" w:hAnsi="Times New Roman" w:eastAsia="宋体" w:cs="Times New Roman"/>
          <w:szCs w:val="21"/>
        </w:rPr>
        <w:t>，可见两者结果较为一致，且误差较小。这种差异主要源于模型试验仅基于</w:t>
      </w:r>
      <w:r>
        <w:rPr>
          <w:rFonts w:hint="eastAsia" w:ascii="Times New Roman" w:hAnsi="Times New Roman" w:eastAsia="宋体" w:cs="Times New Roman"/>
          <w:szCs w:val="21"/>
        </w:rPr>
        <w:t>15</w:t>
      </w:r>
      <w:r>
        <w:rPr>
          <w:rFonts w:ascii="Times New Roman" w:hAnsi="Times New Roman" w:eastAsia="宋体" w:cs="Times New Roman"/>
          <w:szCs w:val="21"/>
        </w:rPr>
        <w:t>组离散工况，而数学模型可实现对更广泛工况的连续性预测，从而在更大参数空间内寻找最优解。</w:t>
      </w:r>
    </w:p>
    <w:p w14:paraId="53DE0AF0">
      <w:pPr>
        <w:jc w:val="center"/>
        <w:rPr>
          <w:rFonts w:ascii="Times New Roman" w:hAnsi="Times New Roman" w:eastAsia="宋体" w:cs="Times New Roman"/>
          <w:szCs w:val="21"/>
        </w:rPr>
      </w:pPr>
      <w:r>
        <w:rPr>
          <w:rFonts w:hint="eastAsia" w:ascii="Times New Roman" w:hAnsi="Times New Roman" w:eastAsia="宋体" w:cs="Times New Roman"/>
          <w:szCs w:val="21"/>
        </w:rPr>
        <w:drawing>
          <wp:inline distT="0" distB="0" distL="0" distR="0">
            <wp:extent cx="2505075" cy="2118995"/>
            <wp:effectExtent l="0" t="0" r="0" b="5080"/>
            <wp:docPr id="165562418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24187" name="图片 6"/>
                    <pic:cNvPicPr>
                      <a:picLocks noChangeAspect="1" noChangeArrowheads="1"/>
                    </pic:cNvPicPr>
                  </pic:nvPicPr>
                  <pic:blipFill>
                    <a:blip r:embed="rId83">
                      <a:extLst>
                        <a:ext uri="{28A0092B-C50C-407E-A947-70E740481C1C}">
                          <a14:useLocalDpi xmlns:a14="http://schemas.microsoft.com/office/drawing/2010/main" val="0"/>
                        </a:ext>
                      </a:extLst>
                    </a:blip>
                    <a:srcRect l="10419" t="9503" r="13759" b="6915"/>
                    <a:stretch>
                      <a:fillRect/>
                    </a:stretch>
                  </pic:blipFill>
                  <pic:spPr>
                    <a:xfrm>
                      <a:off x="0" y="0"/>
                      <a:ext cx="2516047" cy="2128171"/>
                    </a:xfrm>
                    <a:prstGeom prst="rect">
                      <a:avLst/>
                    </a:prstGeom>
                    <a:noFill/>
                    <a:ln>
                      <a:noFill/>
                    </a:ln>
                  </pic:spPr>
                </pic:pic>
              </a:graphicData>
            </a:graphic>
          </wp:inline>
        </w:drawing>
      </w:r>
    </w:p>
    <w:p w14:paraId="08567C8C">
      <w:pPr>
        <w:jc w:val="center"/>
        <w:rPr>
          <w:rFonts w:ascii="Times New Roman" w:hAnsi="Times New Roman" w:eastAsia="宋体" w:cs="Times New Roman"/>
          <w:i/>
          <w:iCs/>
          <w:sz w:val="18"/>
          <w:szCs w:val="18"/>
        </w:rPr>
      </w:pPr>
      <w:r>
        <w:rPr>
          <w:rFonts w:hint="eastAsia" w:ascii="Times New Roman" w:hAnsi="Times New Roman" w:eastAsia="宋体" w:cs="Times New Roman"/>
          <w:sz w:val="18"/>
          <w:szCs w:val="18"/>
        </w:rPr>
        <w:t>图6 不同含沙浓度下最优</w:t>
      </w:r>
      <w:r>
        <w:rPr>
          <w:rFonts w:hint="eastAsia" w:ascii="Times New Roman" w:hAnsi="Times New Roman" w:eastAsia="宋体" w:cs="Times New Roman"/>
          <w:i/>
          <w:iCs/>
          <w:sz w:val="18"/>
          <w:szCs w:val="18"/>
        </w:rPr>
        <w:t>L</w:t>
      </w:r>
    </w:p>
    <w:p w14:paraId="78F4B4CA">
      <w:pPr>
        <w:jc w:val="center"/>
        <w:rPr>
          <w:rFonts w:ascii="Times New Roman" w:hAnsi="Times New Roman" w:eastAsia="宋体" w:cs="Times New Roman"/>
          <w:szCs w:val="21"/>
        </w:rPr>
      </w:pPr>
      <w:r>
        <w:rPr>
          <w:rFonts w:hint="eastAsia" w:ascii="Times New Roman" w:hAnsi="Times New Roman" w:eastAsia="宋体" w:cs="Times New Roman"/>
          <w:sz w:val="18"/>
          <w:szCs w:val="18"/>
        </w:rPr>
        <w:t xml:space="preserve">Fig. </w:t>
      </w:r>
      <w:r>
        <w:rPr>
          <w:rFonts w:ascii="Times New Roman" w:hAnsi="Times New Roman" w:eastAsia="宋体" w:cs="Times New Roman"/>
          <w:sz w:val="18"/>
          <w:szCs w:val="18"/>
        </w:rPr>
        <w:t>6 Optim</w:t>
      </w:r>
      <w:r>
        <w:rPr>
          <w:rFonts w:hint="eastAsia" w:ascii="Times New Roman" w:hAnsi="Times New Roman" w:eastAsia="宋体" w:cs="Times New Roman"/>
          <w:sz w:val="18"/>
          <w:szCs w:val="18"/>
          <w:lang w:val="en-US" w:eastAsia="zh-CN"/>
        </w:rPr>
        <w:t>al</w:t>
      </w:r>
      <w:r>
        <w:rPr>
          <w:rFonts w:ascii="Times New Roman" w:hAnsi="Times New Roman" w:eastAsia="宋体" w:cs="Times New Roman"/>
          <w:sz w:val="18"/>
          <w:szCs w:val="18"/>
        </w:rPr>
        <w:t xml:space="preserve"> </w:t>
      </w:r>
      <w:r>
        <w:rPr>
          <w:rFonts w:ascii="Times New Roman" w:hAnsi="Times New Roman" w:eastAsia="宋体" w:cs="Times New Roman"/>
          <w:i/>
          <w:iCs/>
          <w:sz w:val="18"/>
          <w:szCs w:val="18"/>
        </w:rPr>
        <w:t>L</w:t>
      </w:r>
      <w:r>
        <w:rPr>
          <w:rFonts w:ascii="Times New Roman" w:hAnsi="Times New Roman" w:eastAsia="宋体" w:cs="Times New Roman"/>
          <w:sz w:val="18"/>
          <w:szCs w:val="18"/>
        </w:rPr>
        <w:t xml:space="preserve"> under different sediment concentration</w:t>
      </w:r>
      <w:r>
        <w:rPr>
          <w:rFonts w:ascii="Times New Roman" w:hAnsi="Times New Roman" w:eastAsia="宋体" w:cs="Times New Roman"/>
          <w:szCs w:val="21"/>
        </w:rPr>
        <w:t>s</w:t>
      </w:r>
    </w:p>
    <w:p w14:paraId="5EC8907C">
      <w:pPr>
        <w:jc w:val="center"/>
        <w:rPr>
          <w:rFonts w:ascii="Times New Roman" w:hAnsi="Times New Roman" w:eastAsia="宋体" w:cs="Times New Roman"/>
          <w:szCs w:val="21"/>
        </w:rPr>
      </w:pPr>
      <w:r>
        <w:rPr>
          <w:rFonts w:hint="eastAsia" w:ascii="Times New Roman" w:hAnsi="Times New Roman" w:eastAsia="宋体" w:cs="Times New Roman"/>
          <w:szCs w:val="21"/>
        </w:rPr>
        <w:t>表11 试验结果贴近度计算</w:t>
      </w:r>
    </w:p>
    <w:p w14:paraId="4F5BBC7D">
      <w:pPr>
        <w:jc w:val="center"/>
        <w:rPr>
          <w:rFonts w:ascii="Times New Roman" w:hAnsi="Times New Roman" w:eastAsia="宋体" w:cs="Times New Roman"/>
          <w:szCs w:val="21"/>
        </w:rPr>
      </w:pPr>
      <w:r>
        <w:rPr>
          <w:rFonts w:hint="eastAsia" w:ascii="Times New Roman" w:hAnsi="Times New Roman" w:eastAsia="宋体" w:cs="Times New Roman"/>
          <w:szCs w:val="21"/>
        </w:rPr>
        <w:t>Table 11 Calculation of closeness degree for test results</w:t>
      </w:r>
    </w:p>
    <w:tbl>
      <w:tblPr>
        <w:tblStyle w:val="7"/>
        <w:tblW w:w="5301" w:type="pct"/>
        <w:tblInd w:w="0" w:type="dxa"/>
        <w:tblLayout w:type="autofit"/>
        <w:tblCellMar>
          <w:top w:w="0" w:type="dxa"/>
          <w:left w:w="108" w:type="dxa"/>
          <w:bottom w:w="0" w:type="dxa"/>
          <w:right w:w="108" w:type="dxa"/>
        </w:tblCellMar>
      </w:tblPr>
      <w:tblGrid>
        <w:gridCol w:w="601"/>
        <w:gridCol w:w="602"/>
        <w:gridCol w:w="602"/>
        <w:gridCol w:w="602"/>
        <w:gridCol w:w="602"/>
        <w:gridCol w:w="602"/>
        <w:gridCol w:w="602"/>
        <w:gridCol w:w="606"/>
        <w:gridCol w:w="602"/>
        <w:gridCol w:w="602"/>
        <w:gridCol w:w="602"/>
        <w:gridCol w:w="602"/>
        <w:gridCol w:w="602"/>
        <w:gridCol w:w="602"/>
        <w:gridCol w:w="604"/>
      </w:tblGrid>
      <w:tr w14:paraId="16E9457E">
        <w:tblPrEx>
          <w:tblCellMar>
            <w:top w:w="0" w:type="dxa"/>
            <w:left w:w="108" w:type="dxa"/>
            <w:bottom w:w="0" w:type="dxa"/>
            <w:right w:w="108" w:type="dxa"/>
          </w:tblCellMar>
        </w:tblPrEx>
        <w:trPr>
          <w:trHeight w:val="310" w:hRule="atLeast"/>
        </w:trPr>
        <w:tc>
          <w:tcPr>
            <w:tcW w:w="2666" w:type="pct"/>
            <w:gridSpan w:val="8"/>
            <w:tcBorders>
              <w:top w:val="single" w:color="000000" w:sz="8" w:space="0"/>
              <w:left w:val="nil"/>
              <w:bottom w:val="single" w:color="000000" w:sz="4" w:space="0"/>
              <w:right w:val="nil"/>
            </w:tcBorders>
            <w:noWrap/>
            <w:vAlign w:val="center"/>
          </w:tcPr>
          <w:p w14:paraId="0D5AE047">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建模组</w:t>
            </w:r>
          </w:p>
        </w:tc>
        <w:tc>
          <w:tcPr>
            <w:tcW w:w="333" w:type="pct"/>
            <w:tcBorders>
              <w:top w:val="single" w:color="000000" w:sz="8" w:space="0"/>
              <w:left w:val="nil"/>
              <w:bottom w:val="single" w:color="000000" w:sz="4" w:space="0"/>
              <w:right w:val="nil"/>
            </w:tcBorders>
            <w:noWrap/>
            <w:vAlign w:val="center"/>
          </w:tcPr>
          <w:p w14:paraId="725AC79A">
            <w:pPr>
              <w:widowControl/>
              <w:jc w:val="center"/>
              <w:rPr>
                <w:rFonts w:ascii="Times New Roman" w:hAnsi="Times New Roman" w:eastAsia="宋体" w:cs="Times New Roman"/>
                <w:kern w:val="0"/>
                <w:szCs w:val="21"/>
              </w:rPr>
            </w:pPr>
          </w:p>
        </w:tc>
        <w:tc>
          <w:tcPr>
            <w:tcW w:w="333" w:type="pct"/>
            <w:tcBorders>
              <w:top w:val="single" w:color="000000" w:sz="8" w:space="0"/>
              <w:left w:val="nil"/>
              <w:bottom w:val="single" w:color="000000" w:sz="4" w:space="0"/>
              <w:right w:val="nil"/>
            </w:tcBorders>
            <w:noWrap/>
            <w:vAlign w:val="center"/>
          </w:tcPr>
          <w:p w14:paraId="1FA8478C">
            <w:pPr>
              <w:widowControl/>
              <w:jc w:val="center"/>
              <w:rPr>
                <w:rFonts w:ascii="Times New Roman" w:hAnsi="Times New Roman" w:eastAsia="Times New Roman" w:cs="Times New Roman"/>
                <w:kern w:val="0"/>
                <w:szCs w:val="21"/>
              </w:rPr>
            </w:pPr>
          </w:p>
        </w:tc>
        <w:tc>
          <w:tcPr>
            <w:tcW w:w="333" w:type="pct"/>
            <w:tcBorders>
              <w:top w:val="single" w:color="000000" w:sz="8" w:space="0"/>
              <w:left w:val="nil"/>
              <w:bottom w:val="single" w:color="000000" w:sz="4" w:space="0"/>
              <w:right w:val="nil"/>
            </w:tcBorders>
            <w:noWrap/>
            <w:vAlign w:val="center"/>
          </w:tcPr>
          <w:p w14:paraId="15CD8F38">
            <w:pPr>
              <w:widowControl/>
              <w:jc w:val="left"/>
              <w:rPr>
                <w:rFonts w:ascii="Times New Roman" w:hAnsi="Times New Roman" w:eastAsia="Times New Roman" w:cs="Times New Roman"/>
                <w:kern w:val="0"/>
                <w:szCs w:val="21"/>
              </w:rPr>
            </w:pPr>
          </w:p>
        </w:tc>
        <w:tc>
          <w:tcPr>
            <w:tcW w:w="333" w:type="pct"/>
            <w:tcBorders>
              <w:top w:val="single" w:color="000000" w:sz="8" w:space="0"/>
              <w:left w:val="nil"/>
              <w:bottom w:val="single" w:color="000000" w:sz="4" w:space="0"/>
              <w:right w:val="nil"/>
            </w:tcBorders>
            <w:noWrap/>
            <w:vAlign w:val="center"/>
          </w:tcPr>
          <w:p w14:paraId="09FC0428">
            <w:pPr>
              <w:widowControl/>
              <w:jc w:val="left"/>
              <w:rPr>
                <w:rFonts w:ascii="Times New Roman" w:hAnsi="Times New Roman" w:eastAsia="Times New Roman" w:cs="Times New Roman"/>
                <w:kern w:val="0"/>
                <w:szCs w:val="21"/>
              </w:rPr>
            </w:pPr>
          </w:p>
        </w:tc>
        <w:tc>
          <w:tcPr>
            <w:tcW w:w="1000" w:type="pct"/>
            <w:gridSpan w:val="3"/>
            <w:tcBorders>
              <w:top w:val="single" w:color="000000" w:sz="8" w:space="0"/>
              <w:left w:val="nil"/>
              <w:bottom w:val="single" w:color="000000" w:sz="4" w:space="0"/>
              <w:right w:val="nil"/>
            </w:tcBorders>
            <w:noWrap/>
            <w:vAlign w:val="center"/>
          </w:tcPr>
          <w:p w14:paraId="24381779">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测试组</w:t>
            </w:r>
          </w:p>
        </w:tc>
      </w:tr>
      <w:tr w14:paraId="4E34EF5A">
        <w:tblPrEx>
          <w:tblCellMar>
            <w:top w:w="0" w:type="dxa"/>
            <w:left w:w="108" w:type="dxa"/>
            <w:bottom w:w="0" w:type="dxa"/>
            <w:right w:w="108" w:type="dxa"/>
          </w:tblCellMar>
        </w:tblPrEx>
        <w:trPr>
          <w:trHeight w:val="294" w:hRule="atLeast"/>
        </w:trPr>
        <w:tc>
          <w:tcPr>
            <w:tcW w:w="333" w:type="pct"/>
            <w:tcBorders>
              <w:top w:val="single" w:color="000000" w:sz="4" w:space="0"/>
              <w:left w:val="nil"/>
              <w:bottom w:val="nil"/>
              <w:right w:val="nil"/>
            </w:tcBorders>
            <w:noWrap/>
            <w:vAlign w:val="center"/>
          </w:tcPr>
          <w:p w14:paraId="0E1B9FA9">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333" w:type="pct"/>
            <w:tcBorders>
              <w:top w:val="single" w:color="000000" w:sz="4" w:space="0"/>
              <w:left w:val="nil"/>
              <w:bottom w:val="nil"/>
              <w:right w:val="nil"/>
            </w:tcBorders>
            <w:noWrap/>
            <w:vAlign w:val="center"/>
          </w:tcPr>
          <w:p w14:paraId="54C8C24D">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333" w:type="pct"/>
            <w:tcBorders>
              <w:top w:val="single" w:color="000000" w:sz="4" w:space="0"/>
              <w:left w:val="nil"/>
              <w:bottom w:val="nil"/>
              <w:right w:val="nil"/>
            </w:tcBorders>
            <w:noWrap/>
            <w:vAlign w:val="center"/>
          </w:tcPr>
          <w:p w14:paraId="34D2EEBF">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333" w:type="pct"/>
            <w:tcBorders>
              <w:top w:val="single" w:color="000000" w:sz="4" w:space="0"/>
              <w:left w:val="nil"/>
              <w:bottom w:val="nil"/>
              <w:right w:val="nil"/>
            </w:tcBorders>
            <w:noWrap/>
            <w:vAlign w:val="center"/>
          </w:tcPr>
          <w:p w14:paraId="1B1DE902">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4</w:t>
            </w:r>
          </w:p>
        </w:tc>
        <w:tc>
          <w:tcPr>
            <w:tcW w:w="333" w:type="pct"/>
            <w:tcBorders>
              <w:top w:val="single" w:color="000000" w:sz="4" w:space="0"/>
              <w:left w:val="nil"/>
              <w:bottom w:val="nil"/>
              <w:right w:val="nil"/>
            </w:tcBorders>
            <w:noWrap/>
            <w:vAlign w:val="center"/>
          </w:tcPr>
          <w:p w14:paraId="6580C079">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333" w:type="pct"/>
            <w:tcBorders>
              <w:top w:val="single" w:color="000000" w:sz="4" w:space="0"/>
              <w:left w:val="nil"/>
              <w:bottom w:val="nil"/>
              <w:right w:val="nil"/>
            </w:tcBorders>
            <w:noWrap/>
            <w:vAlign w:val="center"/>
          </w:tcPr>
          <w:p w14:paraId="1764DE7E">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6</w:t>
            </w:r>
          </w:p>
        </w:tc>
        <w:tc>
          <w:tcPr>
            <w:tcW w:w="333" w:type="pct"/>
            <w:tcBorders>
              <w:top w:val="single" w:color="000000" w:sz="4" w:space="0"/>
              <w:left w:val="nil"/>
              <w:bottom w:val="nil"/>
              <w:right w:val="nil"/>
            </w:tcBorders>
            <w:noWrap/>
            <w:vAlign w:val="center"/>
          </w:tcPr>
          <w:p w14:paraId="13B836E8">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7</w:t>
            </w:r>
          </w:p>
        </w:tc>
        <w:tc>
          <w:tcPr>
            <w:tcW w:w="333" w:type="pct"/>
            <w:tcBorders>
              <w:top w:val="single" w:color="000000" w:sz="4" w:space="0"/>
              <w:left w:val="nil"/>
              <w:bottom w:val="nil"/>
              <w:right w:val="nil"/>
            </w:tcBorders>
            <w:noWrap/>
            <w:vAlign w:val="center"/>
          </w:tcPr>
          <w:p w14:paraId="1D1F1F6D">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8</w:t>
            </w:r>
          </w:p>
        </w:tc>
        <w:tc>
          <w:tcPr>
            <w:tcW w:w="333" w:type="pct"/>
            <w:tcBorders>
              <w:top w:val="single" w:color="000000" w:sz="4" w:space="0"/>
              <w:left w:val="nil"/>
              <w:bottom w:val="nil"/>
              <w:right w:val="nil"/>
            </w:tcBorders>
            <w:noWrap/>
            <w:vAlign w:val="center"/>
          </w:tcPr>
          <w:p w14:paraId="4E055477">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9</w:t>
            </w:r>
          </w:p>
        </w:tc>
        <w:tc>
          <w:tcPr>
            <w:tcW w:w="333" w:type="pct"/>
            <w:tcBorders>
              <w:top w:val="single" w:color="000000" w:sz="4" w:space="0"/>
              <w:left w:val="nil"/>
              <w:bottom w:val="nil"/>
              <w:right w:val="nil"/>
            </w:tcBorders>
            <w:noWrap/>
            <w:vAlign w:val="center"/>
          </w:tcPr>
          <w:p w14:paraId="3D863817">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10</w:t>
            </w:r>
          </w:p>
        </w:tc>
        <w:tc>
          <w:tcPr>
            <w:tcW w:w="333" w:type="pct"/>
            <w:tcBorders>
              <w:top w:val="single" w:color="000000" w:sz="4" w:space="0"/>
              <w:left w:val="nil"/>
              <w:bottom w:val="nil"/>
              <w:right w:val="nil"/>
            </w:tcBorders>
            <w:noWrap/>
            <w:vAlign w:val="center"/>
          </w:tcPr>
          <w:p w14:paraId="6122A28B">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11</w:t>
            </w:r>
          </w:p>
        </w:tc>
        <w:tc>
          <w:tcPr>
            <w:tcW w:w="333" w:type="pct"/>
            <w:tcBorders>
              <w:top w:val="single" w:color="000000" w:sz="4" w:space="0"/>
              <w:left w:val="nil"/>
              <w:bottom w:val="nil"/>
              <w:right w:val="nil"/>
            </w:tcBorders>
            <w:noWrap/>
            <w:vAlign w:val="center"/>
          </w:tcPr>
          <w:p w14:paraId="08C2A6AF">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12</w:t>
            </w:r>
          </w:p>
        </w:tc>
        <w:tc>
          <w:tcPr>
            <w:tcW w:w="333" w:type="pct"/>
            <w:tcBorders>
              <w:top w:val="single" w:color="000000" w:sz="4" w:space="0"/>
              <w:left w:val="nil"/>
              <w:bottom w:val="nil"/>
              <w:right w:val="nil"/>
            </w:tcBorders>
            <w:noWrap/>
            <w:vAlign w:val="center"/>
          </w:tcPr>
          <w:p w14:paraId="2E81488A">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13</w:t>
            </w:r>
          </w:p>
        </w:tc>
        <w:tc>
          <w:tcPr>
            <w:tcW w:w="333" w:type="pct"/>
            <w:tcBorders>
              <w:top w:val="single" w:color="000000" w:sz="4" w:space="0"/>
              <w:left w:val="nil"/>
              <w:bottom w:val="nil"/>
              <w:right w:val="nil"/>
            </w:tcBorders>
            <w:noWrap/>
            <w:vAlign w:val="center"/>
          </w:tcPr>
          <w:p w14:paraId="30C89C1E">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14</w:t>
            </w:r>
          </w:p>
        </w:tc>
        <w:tc>
          <w:tcPr>
            <w:tcW w:w="333" w:type="pct"/>
            <w:tcBorders>
              <w:top w:val="single" w:color="000000" w:sz="4" w:space="0"/>
              <w:left w:val="nil"/>
              <w:bottom w:val="nil"/>
              <w:right w:val="nil"/>
            </w:tcBorders>
            <w:noWrap/>
            <w:vAlign w:val="center"/>
          </w:tcPr>
          <w:p w14:paraId="1B19F767">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15</w:t>
            </w:r>
          </w:p>
        </w:tc>
      </w:tr>
      <w:tr w14:paraId="345DECED">
        <w:tblPrEx>
          <w:tblCellMar>
            <w:top w:w="0" w:type="dxa"/>
            <w:left w:w="108" w:type="dxa"/>
            <w:bottom w:w="0" w:type="dxa"/>
            <w:right w:w="108" w:type="dxa"/>
          </w:tblCellMar>
        </w:tblPrEx>
        <w:trPr>
          <w:trHeight w:val="294" w:hRule="atLeast"/>
        </w:trPr>
        <w:tc>
          <w:tcPr>
            <w:tcW w:w="333" w:type="pct"/>
            <w:tcBorders>
              <w:top w:val="nil"/>
              <w:left w:val="nil"/>
              <w:bottom w:val="single" w:color="000000" w:sz="8" w:space="0"/>
              <w:right w:val="nil"/>
            </w:tcBorders>
            <w:vAlign w:val="center"/>
          </w:tcPr>
          <w:p w14:paraId="5FCF2DBB">
            <w:pPr>
              <w:widowControl/>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0.49 </w:t>
            </w:r>
          </w:p>
        </w:tc>
        <w:tc>
          <w:tcPr>
            <w:tcW w:w="333" w:type="pct"/>
            <w:tcBorders>
              <w:top w:val="nil"/>
              <w:left w:val="nil"/>
              <w:bottom w:val="single" w:color="000000" w:sz="8" w:space="0"/>
              <w:right w:val="nil"/>
            </w:tcBorders>
            <w:vAlign w:val="center"/>
          </w:tcPr>
          <w:p w14:paraId="2A1A3733">
            <w:pPr>
              <w:widowControl/>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0.52 </w:t>
            </w:r>
          </w:p>
        </w:tc>
        <w:tc>
          <w:tcPr>
            <w:tcW w:w="333" w:type="pct"/>
            <w:tcBorders>
              <w:top w:val="nil"/>
              <w:left w:val="nil"/>
              <w:bottom w:val="single" w:color="000000" w:sz="8" w:space="0"/>
              <w:right w:val="nil"/>
            </w:tcBorders>
            <w:vAlign w:val="center"/>
          </w:tcPr>
          <w:p w14:paraId="4AC47851">
            <w:pPr>
              <w:widowControl/>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0.57 </w:t>
            </w:r>
          </w:p>
        </w:tc>
        <w:tc>
          <w:tcPr>
            <w:tcW w:w="333" w:type="pct"/>
            <w:tcBorders>
              <w:top w:val="nil"/>
              <w:left w:val="nil"/>
              <w:bottom w:val="single" w:color="000000" w:sz="8" w:space="0"/>
              <w:right w:val="nil"/>
            </w:tcBorders>
            <w:vAlign w:val="center"/>
          </w:tcPr>
          <w:p w14:paraId="6E489EA1">
            <w:pPr>
              <w:widowControl/>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0.49 </w:t>
            </w:r>
          </w:p>
        </w:tc>
        <w:tc>
          <w:tcPr>
            <w:tcW w:w="333" w:type="pct"/>
            <w:tcBorders>
              <w:top w:val="nil"/>
              <w:left w:val="nil"/>
              <w:bottom w:val="single" w:color="000000" w:sz="8" w:space="0"/>
              <w:right w:val="nil"/>
            </w:tcBorders>
            <w:vAlign w:val="center"/>
          </w:tcPr>
          <w:p w14:paraId="72FA7335">
            <w:pPr>
              <w:widowControl/>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0.52 </w:t>
            </w:r>
          </w:p>
        </w:tc>
        <w:tc>
          <w:tcPr>
            <w:tcW w:w="333" w:type="pct"/>
            <w:tcBorders>
              <w:top w:val="nil"/>
              <w:left w:val="nil"/>
              <w:bottom w:val="single" w:color="000000" w:sz="8" w:space="0"/>
              <w:right w:val="nil"/>
            </w:tcBorders>
            <w:vAlign w:val="center"/>
          </w:tcPr>
          <w:p w14:paraId="0D22A7AD">
            <w:pPr>
              <w:widowControl/>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0.65 </w:t>
            </w:r>
          </w:p>
        </w:tc>
        <w:tc>
          <w:tcPr>
            <w:tcW w:w="333" w:type="pct"/>
            <w:tcBorders>
              <w:top w:val="nil"/>
              <w:left w:val="nil"/>
              <w:bottom w:val="single" w:color="000000" w:sz="8" w:space="0"/>
              <w:right w:val="nil"/>
            </w:tcBorders>
            <w:vAlign w:val="center"/>
          </w:tcPr>
          <w:p w14:paraId="05874F39">
            <w:pPr>
              <w:widowControl/>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0.42 </w:t>
            </w:r>
          </w:p>
        </w:tc>
        <w:tc>
          <w:tcPr>
            <w:tcW w:w="333" w:type="pct"/>
            <w:tcBorders>
              <w:top w:val="nil"/>
              <w:left w:val="nil"/>
              <w:bottom w:val="single" w:color="000000" w:sz="8" w:space="0"/>
              <w:right w:val="nil"/>
            </w:tcBorders>
            <w:vAlign w:val="center"/>
          </w:tcPr>
          <w:p w14:paraId="32F6FA1A">
            <w:pPr>
              <w:widowControl/>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0.52 </w:t>
            </w:r>
          </w:p>
        </w:tc>
        <w:tc>
          <w:tcPr>
            <w:tcW w:w="333" w:type="pct"/>
            <w:tcBorders>
              <w:top w:val="nil"/>
              <w:left w:val="nil"/>
              <w:bottom w:val="single" w:color="000000" w:sz="8" w:space="0"/>
              <w:right w:val="nil"/>
            </w:tcBorders>
            <w:vAlign w:val="center"/>
          </w:tcPr>
          <w:p w14:paraId="47E57A5B">
            <w:pPr>
              <w:widowControl/>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0.65 </w:t>
            </w:r>
          </w:p>
        </w:tc>
        <w:tc>
          <w:tcPr>
            <w:tcW w:w="333" w:type="pct"/>
            <w:tcBorders>
              <w:top w:val="nil"/>
              <w:left w:val="nil"/>
              <w:bottom w:val="single" w:color="000000" w:sz="8" w:space="0"/>
              <w:right w:val="nil"/>
            </w:tcBorders>
            <w:vAlign w:val="center"/>
          </w:tcPr>
          <w:p w14:paraId="4993D6C4">
            <w:pPr>
              <w:widowControl/>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0.08 </w:t>
            </w:r>
          </w:p>
        </w:tc>
        <w:tc>
          <w:tcPr>
            <w:tcW w:w="333" w:type="pct"/>
            <w:tcBorders>
              <w:top w:val="nil"/>
              <w:left w:val="nil"/>
              <w:bottom w:val="single" w:color="000000" w:sz="8" w:space="0"/>
              <w:right w:val="nil"/>
            </w:tcBorders>
            <w:vAlign w:val="center"/>
          </w:tcPr>
          <w:p w14:paraId="47A2F1A6">
            <w:pPr>
              <w:widowControl/>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0.27 </w:t>
            </w:r>
          </w:p>
        </w:tc>
        <w:tc>
          <w:tcPr>
            <w:tcW w:w="333" w:type="pct"/>
            <w:tcBorders>
              <w:top w:val="nil"/>
              <w:left w:val="nil"/>
              <w:bottom w:val="single" w:color="000000" w:sz="8" w:space="0"/>
              <w:right w:val="nil"/>
            </w:tcBorders>
            <w:vAlign w:val="center"/>
          </w:tcPr>
          <w:p w14:paraId="511D3BFB">
            <w:pPr>
              <w:widowControl/>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0.51 </w:t>
            </w:r>
          </w:p>
        </w:tc>
        <w:tc>
          <w:tcPr>
            <w:tcW w:w="333" w:type="pct"/>
            <w:tcBorders>
              <w:top w:val="nil"/>
              <w:left w:val="nil"/>
              <w:bottom w:val="single" w:color="000000" w:sz="8" w:space="0"/>
              <w:right w:val="nil"/>
            </w:tcBorders>
            <w:vAlign w:val="center"/>
          </w:tcPr>
          <w:p w14:paraId="6992DB61">
            <w:pPr>
              <w:widowControl/>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0.60 </w:t>
            </w:r>
          </w:p>
        </w:tc>
        <w:tc>
          <w:tcPr>
            <w:tcW w:w="333" w:type="pct"/>
            <w:tcBorders>
              <w:top w:val="nil"/>
              <w:left w:val="nil"/>
              <w:bottom w:val="single" w:color="000000" w:sz="8" w:space="0"/>
              <w:right w:val="nil"/>
            </w:tcBorders>
            <w:vAlign w:val="center"/>
          </w:tcPr>
          <w:p w14:paraId="41F71837">
            <w:pPr>
              <w:widowControl/>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0.70 </w:t>
            </w:r>
          </w:p>
        </w:tc>
        <w:tc>
          <w:tcPr>
            <w:tcW w:w="333" w:type="pct"/>
            <w:tcBorders>
              <w:top w:val="nil"/>
              <w:left w:val="nil"/>
              <w:bottom w:val="single" w:color="000000" w:sz="8" w:space="0"/>
              <w:right w:val="nil"/>
            </w:tcBorders>
            <w:vAlign w:val="center"/>
          </w:tcPr>
          <w:p w14:paraId="3F68D91C">
            <w:pPr>
              <w:widowControl/>
              <w:jc w:val="right"/>
              <w:rPr>
                <w:rFonts w:ascii="Times New Roman" w:hAnsi="Times New Roman" w:eastAsia="宋体" w:cs="Times New Roman"/>
                <w:kern w:val="0"/>
                <w:szCs w:val="21"/>
              </w:rPr>
            </w:pPr>
            <w:r>
              <w:rPr>
                <w:rFonts w:ascii="Times New Roman" w:hAnsi="Times New Roman" w:eastAsia="宋体" w:cs="Times New Roman"/>
                <w:kern w:val="0"/>
                <w:szCs w:val="21"/>
              </w:rPr>
              <w:t xml:space="preserve">0.53 </w:t>
            </w:r>
          </w:p>
        </w:tc>
      </w:tr>
    </w:tbl>
    <w:p w14:paraId="12570D34">
      <w:pPr>
        <w:jc w:val="center"/>
        <w:rPr>
          <w:rFonts w:ascii="Times New Roman" w:hAnsi="Times New Roman" w:eastAsia="宋体" w:cs="Times New Roman"/>
          <w:szCs w:val="21"/>
        </w:rPr>
      </w:pPr>
    </w:p>
    <w:bookmarkEnd w:id="24"/>
    <w:p w14:paraId="30A233D9">
      <w:pPr>
        <w:rPr>
          <w:rFonts w:hint="eastAsia" w:ascii="宋体" w:hAnsi="宋体" w:eastAsia="宋体" w:cs="宋体"/>
          <w:bCs/>
          <w:sz w:val="28"/>
          <w:szCs w:val="28"/>
        </w:rPr>
      </w:pPr>
      <w:r>
        <w:rPr>
          <w:rFonts w:hint="eastAsia" w:ascii="Times New Roman" w:hAnsi="Times New Roman" w:eastAsia="宋体" w:cs="Times New Roman"/>
          <w:bCs/>
          <w:sz w:val="28"/>
          <w:szCs w:val="28"/>
        </w:rPr>
        <w:t>3</w:t>
      </w:r>
      <w:r>
        <w:rPr>
          <w:rFonts w:hint="eastAsia" w:ascii="宋体" w:hAnsi="宋体" w:eastAsia="宋体" w:cs="宋体"/>
          <w:bCs/>
          <w:sz w:val="28"/>
          <w:szCs w:val="28"/>
        </w:rPr>
        <w:t>实例验证</w:t>
      </w:r>
    </w:p>
    <w:p w14:paraId="59ABC8E6">
      <w:pPr>
        <w:pStyle w:val="12"/>
        <w:spacing w:line="240" w:lineRule="auto"/>
        <w:ind w:firstLine="420"/>
        <w:rPr>
          <w:color w:val="auto"/>
          <w:sz w:val="21"/>
          <w:szCs w:val="21"/>
          <w:lang w:eastAsia="zh-CN"/>
        </w:rPr>
      </w:pPr>
      <w:r>
        <w:rPr>
          <w:color w:val="auto"/>
          <w:sz w:val="21"/>
          <w:szCs w:val="21"/>
        </w:rPr>
        <w:t>前文提出了悬沙排沙漏斗</w:t>
      </w:r>
      <w:r>
        <w:rPr>
          <w:color w:val="auto"/>
          <w:sz w:val="21"/>
          <w:szCs w:val="21"/>
          <w:lang w:eastAsia="zh-CN"/>
        </w:rPr>
        <w:t>无量纲</w:t>
      </w:r>
      <w:r>
        <w:rPr>
          <w:color w:val="auto"/>
          <w:sz w:val="21"/>
          <w:szCs w:val="21"/>
        </w:rPr>
        <w:t>直径的设计方法。为验证该方法的可靠性，本节将基于已建实际工程进行重新设计，通过对比重新设计前后悬沙排沙漏斗的悬沙截除效率，来检验所提方法的实际效果和可靠性。</w:t>
      </w:r>
    </w:p>
    <w:p w14:paraId="2E46FAD2">
      <w:pPr>
        <w:pStyle w:val="12"/>
        <w:spacing w:line="240" w:lineRule="auto"/>
        <w:ind w:firstLine="420"/>
        <w:rPr>
          <w:color w:val="auto"/>
          <w:sz w:val="21"/>
          <w:szCs w:val="21"/>
          <w:lang w:eastAsia="zh-CN"/>
        </w:rPr>
      </w:pPr>
      <w:r>
        <w:rPr>
          <w:color w:val="auto"/>
          <w:sz w:val="21"/>
          <w:szCs w:val="21"/>
          <w:lang w:eastAsia="zh-CN"/>
        </w:rPr>
        <w:t>研究选择了修建于塔里木河流域内的</w:t>
      </w:r>
      <w:r>
        <w:rPr>
          <w:rFonts w:hint="eastAsia"/>
          <w:color w:val="auto"/>
          <w:sz w:val="21"/>
          <w:szCs w:val="21"/>
          <w:lang w:eastAsia="zh-CN"/>
        </w:rPr>
        <w:t>台兰河（</w:t>
      </w:r>
      <w:r>
        <w:rPr>
          <w:color w:val="auto"/>
          <w:sz w:val="21"/>
          <w:szCs w:val="21"/>
          <w:lang w:eastAsia="zh-CN"/>
        </w:rPr>
        <w:t>TLH</w:t>
      </w:r>
      <w:r>
        <w:rPr>
          <w:rFonts w:hint="eastAsia"/>
          <w:color w:val="auto"/>
          <w:sz w:val="21"/>
          <w:szCs w:val="21"/>
          <w:lang w:eastAsia="zh-CN"/>
        </w:rPr>
        <w:t>）</w:t>
      </w:r>
      <w:r>
        <w:rPr>
          <w:color w:val="auto"/>
          <w:sz w:val="21"/>
          <w:szCs w:val="21"/>
          <w:lang w:eastAsia="zh-CN"/>
        </w:rPr>
        <w:t>悬沙排沙漏斗工程作为验证对象开展实例验证。</w:t>
      </w:r>
      <w:r>
        <w:rPr>
          <w:color w:val="auto"/>
          <w:sz w:val="21"/>
          <w:szCs w:val="21"/>
        </w:rPr>
        <w:t>已知TLH工程</w:t>
      </w:r>
      <w:r>
        <w:rPr>
          <w:color w:val="auto"/>
          <w:sz w:val="21"/>
          <w:szCs w:val="21"/>
          <w:lang w:eastAsia="zh-CN"/>
        </w:rPr>
        <w:t>漏斗直径为48m，</w:t>
      </w:r>
      <w:r>
        <w:rPr>
          <w:color w:val="auto"/>
          <w:sz w:val="21"/>
          <w:szCs w:val="21"/>
        </w:rPr>
        <w:t>设计引水流量为40.0m³/s，</w:t>
      </w:r>
      <w:r>
        <w:rPr>
          <w:color w:val="auto"/>
          <w:sz w:val="21"/>
          <w:szCs w:val="21"/>
          <w:lang w:eastAsia="zh-CN"/>
        </w:rPr>
        <w:t>处理泥沙中值粒径为0.08mm，泥沙截除率为30.34%，排沙耗水率为7.6%，根据式2计算无量纲直径</w:t>
      </w:r>
      <w:r>
        <w:rPr>
          <w:i/>
          <w:iCs/>
          <w:color w:val="auto"/>
          <w:sz w:val="21"/>
          <w:szCs w:val="21"/>
          <w:lang w:eastAsia="zh-CN"/>
        </w:rPr>
        <w:t>L</w:t>
      </w:r>
      <w:r>
        <w:rPr>
          <w:color w:val="auto"/>
          <w:sz w:val="21"/>
          <w:szCs w:val="21"/>
          <w:lang w:eastAsia="zh-CN"/>
        </w:rPr>
        <w:t>为</w:t>
      </w:r>
      <w:r>
        <w:rPr>
          <w:color w:val="auto"/>
          <w:sz w:val="21"/>
          <w:szCs w:val="21"/>
        </w:rPr>
        <w:t>0.000</w:t>
      </w:r>
      <w:r>
        <w:rPr>
          <w:color w:val="auto"/>
          <w:sz w:val="21"/>
          <w:szCs w:val="21"/>
          <w:lang w:eastAsia="zh-CN"/>
        </w:rPr>
        <w:t>4</w:t>
      </w:r>
      <w:r>
        <w:rPr>
          <w:color w:val="auto"/>
          <w:sz w:val="21"/>
          <w:szCs w:val="21"/>
        </w:rPr>
        <w:t>58</w:t>
      </w:r>
      <w:r>
        <w:rPr>
          <w:color w:val="auto"/>
          <w:sz w:val="21"/>
          <w:szCs w:val="21"/>
          <w:lang w:eastAsia="zh-CN"/>
        </w:rPr>
        <w:t>，大于最优无量纲直径，因此可对其进行进一步优化。</w:t>
      </w:r>
    </w:p>
    <w:p w14:paraId="741106E7">
      <w:pPr>
        <w:pStyle w:val="12"/>
        <w:spacing w:line="240" w:lineRule="auto"/>
        <w:ind w:firstLine="420"/>
        <w:rPr>
          <w:color w:val="auto"/>
          <w:sz w:val="21"/>
          <w:szCs w:val="21"/>
          <w:lang w:eastAsia="zh-CN"/>
        </w:rPr>
      </w:pPr>
      <w:r>
        <w:rPr>
          <w:color w:val="auto"/>
          <w:sz w:val="21"/>
          <w:szCs w:val="21"/>
        </w:rPr>
        <w:t>根据前文研究可知，在</w:t>
      </w:r>
      <w:r>
        <w:rPr>
          <w:i/>
          <w:iCs/>
          <w:color w:val="auto"/>
          <w:sz w:val="21"/>
          <w:szCs w:val="21"/>
        </w:rPr>
        <w:t>Q</w:t>
      </w:r>
      <w:r>
        <w:rPr>
          <w:color w:val="auto"/>
          <w:sz w:val="21"/>
          <w:szCs w:val="21"/>
        </w:rPr>
        <w:t>=40</w:t>
      </w:r>
      <w:r>
        <w:rPr>
          <w:color w:val="auto"/>
          <w:sz w:val="21"/>
          <w:szCs w:val="21"/>
          <w:lang w:eastAsia="zh-CN"/>
        </w:rPr>
        <w:t>m³</w:t>
      </w:r>
      <w:r>
        <w:rPr>
          <w:color w:val="auto"/>
          <w:sz w:val="21"/>
          <w:szCs w:val="21"/>
        </w:rPr>
        <w:t>/</w:t>
      </w:r>
      <w:r>
        <w:rPr>
          <w:color w:val="auto"/>
          <w:sz w:val="21"/>
          <w:szCs w:val="21"/>
          <w:lang w:eastAsia="zh-CN"/>
        </w:rPr>
        <w:t>s</w:t>
      </w:r>
      <w:r>
        <w:rPr>
          <w:rFonts w:hint="eastAsia"/>
          <w:color w:val="auto"/>
          <w:sz w:val="21"/>
          <w:szCs w:val="21"/>
          <w:lang w:eastAsia="zh-CN"/>
        </w:rPr>
        <w:t>，含沙浓度为5.4kg/m³</w:t>
      </w:r>
      <w:r>
        <w:rPr>
          <w:color w:val="auto"/>
          <w:sz w:val="21"/>
          <w:szCs w:val="21"/>
        </w:rPr>
        <w:t>时，最优无量纲直径</w:t>
      </w:r>
      <w:r>
        <w:rPr>
          <w:i/>
          <w:iCs/>
          <w:color w:val="auto"/>
          <w:sz w:val="21"/>
          <w:szCs w:val="21"/>
        </w:rPr>
        <w:t>L</w:t>
      </w:r>
      <w:r>
        <w:rPr>
          <w:rFonts w:hint="eastAsia"/>
          <w:color w:val="auto"/>
          <w:sz w:val="21"/>
          <w:szCs w:val="21"/>
          <w:lang w:eastAsia="zh-CN"/>
        </w:rPr>
        <w:t>约</w:t>
      </w:r>
      <w:r>
        <w:rPr>
          <w:color w:val="auto"/>
          <w:sz w:val="21"/>
          <w:szCs w:val="21"/>
        </w:rPr>
        <w:t>为0.0003</w:t>
      </w:r>
      <w:r>
        <w:rPr>
          <w:rFonts w:hint="eastAsia"/>
          <w:color w:val="auto"/>
          <w:sz w:val="21"/>
          <w:szCs w:val="21"/>
          <w:lang w:eastAsia="zh-CN"/>
        </w:rPr>
        <w:t>6</w:t>
      </w:r>
      <w:r>
        <w:rPr>
          <w:color w:val="auto"/>
          <w:sz w:val="21"/>
          <w:szCs w:val="21"/>
        </w:rPr>
        <w:t>，对应漏斗直径为66</w:t>
      </w:r>
      <w:r>
        <w:rPr>
          <w:color w:val="auto"/>
          <w:sz w:val="21"/>
          <w:szCs w:val="21"/>
          <w:lang w:eastAsia="zh-CN"/>
        </w:rPr>
        <w:t>m</w:t>
      </w:r>
      <w:r>
        <w:rPr>
          <w:color w:val="auto"/>
          <w:sz w:val="21"/>
          <w:szCs w:val="21"/>
        </w:rPr>
        <w:t>。将</w:t>
      </w:r>
      <w:r>
        <w:rPr>
          <w:color w:val="auto"/>
          <w:sz w:val="21"/>
          <w:szCs w:val="21"/>
          <w:lang w:eastAsia="zh-CN"/>
        </w:rPr>
        <w:t>重新设计前的</w:t>
      </w:r>
      <w:r>
        <w:rPr>
          <w:color w:val="auto"/>
          <w:sz w:val="21"/>
          <w:szCs w:val="21"/>
        </w:rPr>
        <w:t>排沙漏斗工程命名为T1，重新设计的排沙漏斗工程命名为T2</w:t>
      </w:r>
      <w:r>
        <w:rPr>
          <w:color w:val="auto"/>
          <w:sz w:val="21"/>
          <w:szCs w:val="21"/>
          <w:lang w:eastAsia="zh-CN"/>
        </w:rPr>
        <w:t xml:space="preserve"> </w:t>
      </w:r>
      <w:r>
        <w:rPr>
          <w:color w:val="auto"/>
          <w:sz w:val="21"/>
          <w:szCs w:val="21"/>
        </w:rPr>
        <w:t>(</w:t>
      </w:r>
      <w:r>
        <w:rPr>
          <w:i/>
          <w:iCs/>
          <w:color w:val="auto"/>
          <w:sz w:val="21"/>
          <w:szCs w:val="21"/>
        </w:rPr>
        <w:t>D</w:t>
      </w:r>
      <w:r>
        <w:rPr>
          <w:color w:val="auto"/>
          <w:sz w:val="21"/>
          <w:szCs w:val="21"/>
        </w:rPr>
        <w:t>=</w:t>
      </w:r>
      <w:r>
        <w:rPr>
          <w:color w:val="auto"/>
          <w:sz w:val="21"/>
          <w:szCs w:val="21"/>
          <w:lang w:eastAsia="zh-CN"/>
        </w:rPr>
        <w:t>66</w:t>
      </w:r>
      <w:r>
        <w:rPr>
          <w:color w:val="auto"/>
          <w:sz w:val="21"/>
          <w:szCs w:val="21"/>
        </w:rPr>
        <w:t>m)，对T1、T2分别进行浑水试验。漏斗模型按照重力相似准则设计，相应比尺</w:t>
      </w:r>
      <w:r>
        <w:rPr>
          <w:rFonts w:hint="eastAsia"/>
          <w:color w:val="auto"/>
          <w:sz w:val="21"/>
          <w:szCs w:val="21"/>
          <w:lang w:eastAsia="zh-CN"/>
        </w:rPr>
        <w:t>如</w:t>
      </w:r>
      <w:r>
        <w:rPr>
          <w:color w:val="auto"/>
          <w:sz w:val="21"/>
          <w:szCs w:val="21"/>
        </w:rPr>
        <w:t>表</w:t>
      </w:r>
      <w:r>
        <w:rPr>
          <w:rFonts w:hint="eastAsia"/>
          <w:color w:val="auto"/>
          <w:sz w:val="21"/>
          <w:szCs w:val="21"/>
          <w:lang w:eastAsia="zh-CN"/>
        </w:rPr>
        <w:t>12</w:t>
      </w:r>
      <w:r>
        <w:rPr>
          <w:color w:val="auto"/>
          <w:sz w:val="21"/>
          <w:szCs w:val="21"/>
        </w:rPr>
        <w:t>所</w:t>
      </w:r>
      <w:r>
        <w:rPr>
          <w:rFonts w:hint="eastAsia"/>
          <w:color w:val="auto"/>
          <w:sz w:val="21"/>
          <w:szCs w:val="21"/>
          <w:lang w:eastAsia="zh-CN"/>
        </w:rPr>
        <w:t>列</w:t>
      </w:r>
      <w:r>
        <w:rPr>
          <w:color w:val="auto"/>
          <w:sz w:val="21"/>
          <w:szCs w:val="21"/>
        </w:rPr>
        <w:t>。选择天然沙作为模型沙，</w:t>
      </w:r>
      <w:r>
        <w:rPr>
          <w:rFonts w:hint="eastAsia"/>
          <w:color w:val="auto"/>
          <w:sz w:val="21"/>
          <w:szCs w:val="21"/>
          <w:lang w:eastAsia="zh-CN"/>
        </w:rPr>
        <w:t>密度</w:t>
      </w:r>
      <w:r>
        <w:rPr>
          <w:color w:val="auto"/>
          <w:sz w:val="21"/>
          <w:szCs w:val="21"/>
        </w:rPr>
        <w:t>2650kg/m³，相应的中值粒径</w:t>
      </w:r>
      <w:r>
        <w:rPr>
          <w:i/>
          <w:iCs/>
          <w:color w:val="auto"/>
          <w:sz w:val="21"/>
          <w:szCs w:val="21"/>
        </w:rPr>
        <w:t>d</w:t>
      </w:r>
      <w:r>
        <w:rPr>
          <w:color w:val="auto"/>
          <w:sz w:val="21"/>
          <w:szCs w:val="21"/>
          <w:vertAlign w:val="subscript"/>
        </w:rPr>
        <w:t>50</w:t>
      </w:r>
      <w:r>
        <w:rPr>
          <w:color w:val="auto"/>
          <w:sz w:val="21"/>
          <w:szCs w:val="21"/>
        </w:rPr>
        <w:t>分别为0.038mm、0.03</w:t>
      </w:r>
      <w:r>
        <w:rPr>
          <w:color w:val="auto"/>
          <w:sz w:val="21"/>
          <w:szCs w:val="21"/>
          <w:lang w:eastAsia="zh-CN"/>
        </w:rPr>
        <w:t>5</w:t>
      </w:r>
      <w:r>
        <w:rPr>
          <w:color w:val="auto"/>
          <w:sz w:val="21"/>
          <w:szCs w:val="21"/>
        </w:rPr>
        <w:t>mm时，</w:t>
      </w:r>
      <w:r>
        <w:rPr>
          <w:color w:val="auto"/>
          <w:sz w:val="21"/>
          <w:szCs w:val="21"/>
          <w:lang w:val="de-DE" w:eastAsia="zh-CN"/>
        </w:rPr>
        <w:t>可见</w:t>
      </w:r>
      <w:r>
        <w:rPr>
          <w:color w:val="auto"/>
          <w:sz w:val="21"/>
          <w:szCs w:val="21"/>
        </w:rPr>
        <w:t>T1、T2模型沙的</w:t>
      </w:r>
      <w:r>
        <w:rPr>
          <w:color w:val="auto"/>
          <w:sz w:val="21"/>
          <w:szCs w:val="21"/>
          <w:lang w:val="de-DE" w:eastAsia="zh-CN"/>
        </w:rPr>
        <w:t>中值粒径</w:t>
      </w:r>
      <w:r>
        <w:rPr>
          <w:color w:val="auto"/>
          <w:sz w:val="21"/>
          <w:szCs w:val="21"/>
        </w:rPr>
        <w:t>非常接近，因此，按</w:t>
      </w:r>
      <w:r>
        <w:rPr>
          <w:rFonts w:hint="eastAsia"/>
          <w:color w:val="auto"/>
          <w:sz w:val="21"/>
          <w:szCs w:val="21"/>
          <w:lang w:eastAsia="zh-CN"/>
        </w:rPr>
        <w:t>（</w:t>
      </w:r>
      <w:r>
        <w:rPr>
          <w:color w:val="auto"/>
          <w:sz w:val="21"/>
          <w:szCs w:val="21"/>
        </w:rPr>
        <w:t>图</w:t>
      </w:r>
      <w:r>
        <w:rPr>
          <w:rFonts w:hint="eastAsia"/>
          <w:color w:val="auto"/>
          <w:sz w:val="21"/>
          <w:szCs w:val="21"/>
          <w:lang w:eastAsia="zh-CN"/>
        </w:rPr>
        <w:t>7）</w:t>
      </w:r>
      <w:r>
        <w:rPr>
          <w:color w:val="auto"/>
          <w:sz w:val="21"/>
          <w:szCs w:val="21"/>
          <w:lang w:eastAsia="zh-CN"/>
        </w:rPr>
        <w:t>试验用沙</w:t>
      </w:r>
      <w:r>
        <w:rPr>
          <w:color w:val="auto"/>
          <w:sz w:val="21"/>
          <w:szCs w:val="21"/>
        </w:rPr>
        <w:t>（</w:t>
      </w:r>
      <w:bookmarkStart w:id="25" w:name="_Hlk179512762"/>
      <w:r>
        <w:rPr>
          <w:i/>
          <w:iCs/>
          <w:color w:val="auto"/>
          <w:sz w:val="21"/>
          <w:szCs w:val="21"/>
        </w:rPr>
        <w:t>d</w:t>
      </w:r>
      <w:r>
        <w:rPr>
          <w:color w:val="auto"/>
          <w:sz w:val="21"/>
          <w:szCs w:val="21"/>
          <w:vertAlign w:val="subscript"/>
        </w:rPr>
        <w:t>50</w:t>
      </w:r>
      <w:bookmarkEnd w:id="25"/>
      <w:r>
        <w:rPr>
          <w:color w:val="auto"/>
          <w:sz w:val="21"/>
          <w:szCs w:val="21"/>
        </w:rPr>
        <w:t>=0.035mm）的级配曲线配置了本次试验所用的模型沙（</w:t>
      </w:r>
      <w:r>
        <w:rPr>
          <w:rFonts w:hint="eastAsia"/>
          <w:color w:val="auto"/>
          <w:sz w:val="21"/>
          <w:szCs w:val="21"/>
          <w:lang w:eastAsia="zh-CN"/>
        </w:rPr>
        <w:t>密度</w:t>
      </w:r>
      <w:r>
        <w:rPr>
          <w:color w:val="auto"/>
          <w:sz w:val="21"/>
          <w:szCs w:val="21"/>
        </w:rPr>
        <w:t>2650kg/m³）进行浑水试验。</w:t>
      </w:r>
    </w:p>
    <w:p w14:paraId="4C42CA19">
      <w:pPr>
        <w:pStyle w:val="6"/>
        <w:rPr>
          <w:sz w:val="18"/>
          <w:szCs w:val="18"/>
        </w:rPr>
      </w:pPr>
      <w:r>
        <w:rPr>
          <w:sz w:val="18"/>
          <w:szCs w:val="18"/>
        </w:rPr>
        <w:t>表</w:t>
      </w:r>
      <w:r>
        <w:rPr>
          <w:rFonts w:hint="eastAsia"/>
          <w:sz w:val="18"/>
          <w:szCs w:val="18"/>
        </w:rPr>
        <w:t>12</w:t>
      </w:r>
      <w:r>
        <w:rPr>
          <w:sz w:val="18"/>
          <w:szCs w:val="18"/>
        </w:rPr>
        <w:t>验证试验模型比尺</w:t>
      </w:r>
    </w:p>
    <w:p w14:paraId="394FF66D">
      <w:pPr>
        <w:jc w:val="center"/>
        <w:rPr>
          <w:rFonts w:ascii="Times New Roman" w:hAnsi="Times New Roman" w:cs="Times New Roman"/>
          <w:sz w:val="18"/>
          <w:szCs w:val="18"/>
        </w:rPr>
      </w:pPr>
      <w:r>
        <w:rPr>
          <w:rFonts w:ascii="Times New Roman" w:hAnsi="Times New Roman" w:cs="Times New Roman"/>
          <w:sz w:val="18"/>
          <w:szCs w:val="18"/>
        </w:rPr>
        <w:t>Table</w:t>
      </w:r>
      <w:r>
        <w:rPr>
          <w:rFonts w:hint="eastAsia" w:ascii="Times New Roman" w:hAnsi="Times New Roman" w:cs="Times New Roman"/>
          <w:sz w:val="18"/>
          <w:szCs w:val="18"/>
          <w:lang w:val="en-US" w:eastAsia="zh-CN"/>
        </w:rPr>
        <w:t xml:space="preserve"> </w:t>
      </w:r>
      <w:r>
        <w:rPr>
          <w:rFonts w:hint="eastAsia" w:ascii="Times New Roman" w:hAnsi="Times New Roman" w:cs="Times New Roman"/>
          <w:sz w:val="18"/>
          <w:szCs w:val="18"/>
        </w:rPr>
        <w:t>12</w:t>
      </w:r>
      <w:r>
        <w:rPr>
          <w:rFonts w:ascii="Times New Roman" w:hAnsi="Times New Roman" w:cs="Times New Roman"/>
          <w:sz w:val="18"/>
          <w:szCs w:val="18"/>
        </w:rPr>
        <w:t xml:space="preserve"> Scale of </w:t>
      </w:r>
      <w:r>
        <w:rPr>
          <w:rFonts w:hint="eastAsia" w:ascii="Times New Roman" w:hAnsi="Times New Roman" w:cs="Times New Roman"/>
          <w:sz w:val="18"/>
          <w:szCs w:val="18"/>
        </w:rPr>
        <w:t>v</w:t>
      </w:r>
      <w:r>
        <w:rPr>
          <w:rFonts w:ascii="Times New Roman" w:hAnsi="Times New Roman" w:cs="Times New Roman"/>
          <w:sz w:val="18"/>
          <w:szCs w:val="18"/>
        </w:rPr>
        <w:t>erification</w:t>
      </w:r>
      <w:r>
        <w:rPr>
          <w:rFonts w:hint="eastAsia" w:ascii="Times New Roman" w:hAnsi="Times New Roman" w:cs="Times New Roman"/>
          <w:sz w:val="18"/>
          <w:szCs w:val="18"/>
          <w:lang w:val="en-US" w:eastAsia="zh-CN"/>
        </w:rPr>
        <w:t xml:space="preserve"> </w:t>
      </w:r>
      <w:r>
        <w:rPr>
          <w:rFonts w:hint="eastAsia" w:ascii="Times New Roman" w:hAnsi="Times New Roman" w:cs="Times New Roman"/>
          <w:sz w:val="18"/>
          <w:szCs w:val="18"/>
        </w:rPr>
        <w:t>t</w:t>
      </w:r>
      <w:r>
        <w:rPr>
          <w:rFonts w:ascii="Times New Roman" w:hAnsi="Times New Roman" w:cs="Times New Roman"/>
          <w:sz w:val="18"/>
          <w:szCs w:val="18"/>
        </w:rPr>
        <w:t xml:space="preserve">est </w:t>
      </w:r>
      <w:r>
        <w:rPr>
          <w:rFonts w:hint="eastAsia" w:ascii="Times New Roman" w:hAnsi="Times New Roman" w:cs="Times New Roman"/>
          <w:sz w:val="18"/>
          <w:szCs w:val="18"/>
        </w:rPr>
        <w:t>m</w:t>
      </w:r>
      <w:r>
        <w:rPr>
          <w:rFonts w:ascii="Times New Roman" w:hAnsi="Times New Roman" w:cs="Times New Roman"/>
          <w:sz w:val="18"/>
          <w:szCs w:val="18"/>
        </w:rPr>
        <w:t>odel</w:t>
      </w:r>
    </w:p>
    <w:tbl>
      <w:tblPr>
        <w:tblStyle w:val="7"/>
        <w:tblW w:w="8358" w:type="dxa"/>
        <w:jc w:val="center"/>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1338"/>
        <w:gridCol w:w="1643"/>
        <w:gridCol w:w="1222"/>
        <w:gridCol w:w="1190"/>
        <w:gridCol w:w="1264"/>
      </w:tblGrid>
      <w:tr w14:paraId="6647CF1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 w:hRule="atLeast"/>
          <w:jc w:val="center"/>
        </w:trPr>
        <w:tc>
          <w:tcPr>
            <w:tcW w:w="1701" w:type="dxa"/>
            <w:tcBorders>
              <w:top w:val="single" w:color="auto" w:sz="12" w:space="0"/>
              <w:bottom w:val="single" w:color="auto" w:sz="4" w:space="0"/>
            </w:tcBorders>
            <w:noWrap/>
            <w:vAlign w:val="center"/>
          </w:tcPr>
          <w:p w14:paraId="4BAD892A">
            <w:pPr>
              <w:pStyle w:val="17"/>
              <w:spacing w:after="160" w:line="276" w:lineRule="auto"/>
              <w:jc w:val="center"/>
              <w:rPr>
                <w:rFonts w:ascii="Times New Roman" w:hAnsi="Times New Roman" w:eastAsia="宋体" w:cs="Times New Roman"/>
                <w:sz w:val="15"/>
                <w:szCs w:val="15"/>
              </w:rPr>
            </w:pPr>
            <w:r>
              <w:rPr>
                <w:rFonts w:ascii="Times New Roman" w:hAnsi="Times New Roman" w:eastAsia="宋体" w:cs="Times New Roman"/>
                <w:sz w:val="15"/>
                <w:szCs w:val="15"/>
              </w:rPr>
              <w:t>工况</w:t>
            </w:r>
          </w:p>
        </w:tc>
        <w:tc>
          <w:tcPr>
            <w:tcW w:w="1338" w:type="dxa"/>
            <w:tcBorders>
              <w:top w:val="single" w:color="auto" w:sz="12" w:space="0"/>
              <w:bottom w:val="single" w:color="auto" w:sz="4" w:space="0"/>
            </w:tcBorders>
            <w:noWrap/>
            <w:vAlign w:val="center"/>
          </w:tcPr>
          <w:p w14:paraId="5B73FABB">
            <w:pPr>
              <w:pStyle w:val="17"/>
              <w:spacing w:after="160" w:line="276" w:lineRule="auto"/>
              <w:ind w:firstLine="0"/>
              <w:jc w:val="center"/>
              <w:rPr>
                <w:rFonts w:ascii="Times New Roman" w:hAnsi="Times New Roman" w:eastAsia="宋体" w:cs="Times New Roman"/>
                <w:sz w:val="15"/>
                <w:szCs w:val="15"/>
              </w:rPr>
            </w:pPr>
            <w:r>
              <w:rPr>
                <w:rFonts w:ascii="Times New Roman" w:hAnsi="Times New Roman" w:eastAsia="宋体" w:cs="Times New Roman"/>
                <w:sz w:val="15"/>
                <w:szCs w:val="15"/>
              </w:rPr>
              <w:t>几何比尺</w:t>
            </w:r>
          </w:p>
        </w:tc>
        <w:tc>
          <w:tcPr>
            <w:tcW w:w="1643" w:type="dxa"/>
            <w:tcBorders>
              <w:top w:val="single" w:color="auto" w:sz="12" w:space="0"/>
              <w:bottom w:val="single" w:color="auto" w:sz="4" w:space="0"/>
            </w:tcBorders>
            <w:noWrap/>
            <w:vAlign w:val="center"/>
          </w:tcPr>
          <w:p w14:paraId="0B66B60C">
            <w:pPr>
              <w:pStyle w:val="17"/>
              <w:spacing w:after="160" w:line="276" w:lineRule="auto"/>
              <w:jc w:val="center"/>
              <w:rPr>
                <w:rFonts w:ascii="Times New Roman" w:hAnsi="Times New Roman" w:eastAsia="宋体" w:cs="Times New Roman"/>
                <w:sz w:val="15"/>
                <w:szCs w:val="15"/>
              </w:rPr>
            </w:pPr>
            <w:r>
              <w:rPr>
                <w:rFonts w:ascii="Times New Roman" w:hAnsi="Times New Roman" w:eastAsia="宋体" w:cs="Times New Roman"/>
                <w:sz w:val="15"/>
                <w:szCs w:val="15"/>
              </w:rPr>
              <w:t>流量比尺</w:t>
            </w:r>
          </w:p>
        </w:tc>
        <w:tc>
          <w:tcPr>
            <w:tcW w:w="1222" w:type="dxa"/>
            <w:tcBorders>
              <w:top w:val="single" w:color="auto" w:sz="12" w:space="0"/>
              <w:bottom w:val="single" w:color="auto" w:sz="4" w:space="0"/>
            </w:tcBorders>
            <w:noWrap/>
            <w:vAlign w:val="center"/>
          </w:tcPr>
          <w:p w14:paraId="7E62A33A">
            <w:pPr>
              <w:pStyle w:val="17"/>
              <w:spacing w:after="160" w:line="276" w:lineRule="auto"/>
              <w:ind w:firstLine="0"/>
              <w:jc w:val="center"/>
              <w:rPr>
                <w:rFonts w:ascii="Times New Roman" w:hAnsi="Times New Roman" w:eastAsia="宋体" w:cs="Times New Roman"/>
                <w:sz w:val="15"/>
                <w:szCs w:val="15"/>
              </w:rPr>
            </w:pPr>
            <w:r>
              <w:rPr>
                <w:rFonts w:ascii="Times New Roman" w:hAnsi="Times New Roman" w:eastAsia="宋体" w:cs="Times New Roman"/>
                <w:sz w:val="15"/>
                <w:szCs w:val="15"/>
              </w:rPr>
              <w:t>流速比尺</w:t>
            </w:r>
          </w:p>
        </w:tc>
        <w:tc>
          <w:tcPr>
            <w:tcW w:w="1190" w:type="dxa"/>
            <w:tcBorders>
              <w:top w:val="single" w:color="auto" w:sz="12" w:space="0"/>
              <w:bottom w:val="single" w:color="auto" w:sz="4" w:space="0"/>
            </w:tcBorders>
            <w:noWrap/>
            <w:vAlign w:val="center"/>
          </w:tcPr>
          <w:p w14:paraId="291CE31B">
            <w:pPr>
              <w:pStyle w:val="17"/>
              <w:spacing w:after="160" w:line="276" w:lineRule="auto"/>
              <w:ind w:firstLine="0"/>
              <w:jc w:val="center"/>
              <w:rPr>
                <w:rFonts w:ascii="Times New Roman" w:hAnsi="Times New Roman" w:eastAsia="宋体" w:cs="Times New Roman"/>
                <w:sz w:val="15"/>
                <w:szCs w:val="15"/>
              </w:rPr>
            </w:pPr>
            <w:r>
              <w:rPr>
                <w:rFonts w:ascii="Times New Roman" w:hAnsi="Times New Roman" w:eastAsia="宋体" w:cs="Times New Roman"/>
                <w:sz w:val="15"/>
                <w:szCs w:val="15"/>
              </w:rPr>
              <w:t>糙率比尺</w:t>
            </w:r>
          </w:p>
        </w:tc>
        <w:tc>
          <w:tcPr>
            <w:tcW w:w="1264" w:type="dxa"/>
            <w:tcBorders>
              <w:top w:val="single" w:color="auto" w:sz="12" w:space="0"/>
              <w:bottom w:val="single" w:color="auto" w:sz="4" w:space="0"/>
            </w:tcBorders>
            <w:noWrap/>
            <w:vAlign w:val="center"/>
          </w:tcPr>
          <w:p w14:paraId="5441402D">
            <w:pPr>
              <w:pStyle w:val="17"/>
              <w:spacing w:after="160" w:line="276" w:lineRule="auto"/>
              <w:ind w:firstLine="0"/>
              <w:jc w:val="center"/>
              <w:rPr>
                <w:rFonts w:ascii="Times New Roman" w:hAnsi="Times New Roman" w:eastAsia="宋体" w:cs="Times New Roman"/>
                <w:sz w:val="15"/>
                <w:szCs w:val="15"/>
              </w:rPr>
            </w:pPr>
            <w:r>
              <w:rPr>
                <w:rFonts w:ascii="Times New Roman" w:hAnsi="Times New Roman" w:eastAsia="宋体" w:cs="Times New Roman"/>
                <w:sz w:val="15"/>
                <w:szCs w:val="15"/>
              </w:rPr>
              <w:t>粒径比尺</w:t>
            </w:r>
          </w:p>
        </w:tc>
      </w:tr>
      <w:tr w14:paraId="3722FDA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 w:hRule="atLeast"/>
          <w:jc w:val="center"/>
        </w:trPr>
        <w:tc>
          <w:tcPr>
            <w:tcW w:w="1701" w:type="dxa"/>
            <w:tcBorders>
              <w:top w:val="single" w:color="auto" w:sz="4" w:space="0"/>
            </w:tcBorders>
            <w:noWrap/>
            <w:vAlign w:val="center"/>
          </w:tcPr>
          <w:p w14:paraId="6BE1AAC1">
            <w:pPr>
              <w:pStyle w:val="17"/>
              <w:spacing w:after="160" w:line="276" w:lineRule="auto"/>
              <w:jc w:val="center"/>
              <w:rPr>
                <w:rFonts w:ascii="Times New Roman" w:hAnsi="Times New Roman" w:eastAsia="宋体" w:cs="Times New Roman"/>
                <w:sz w:val="15"/>
                <w:szCs w:val="15"/>
              </w:rPr>
            </w:pPr>
            <w:r>
              <w:rPr>
                <w:rFonts w:ascii="Times New Roman" w:hAnsi="Times New Roman" w:eastAsia="宋体" w:cs="Times New Roman"/>
                <w:sz w:val="15"/>
                <w:szCs w:val="15"/>
              </w:rPr>
              <w:t>T1</w:t>
            </w:r>
          </w:p>
        </w:tc>
        <w:tc>
          <w:tcPr>
            <w:tcW w:w="1338" w:type="dxa"/>
            <w:tcBorders>
              <w:top w:val="single" w:color="auto" w:sz="4" w:space="0"/>
            </w:tcBorders>
            <w:noWrap/>
            <w:vAlign w:val="center"/>
          </w:tcPr>
          <w:p w14:paraId="4B60ADCA">
            <w:pPr>
              <w:pStyle w:val="17"/>
              <w:spacing w:after="160" w:line="276" w:lineRule="auto"/>
              <w:rPr>
                <w:rFonts w:ascii="Times New Roman" w:hAnsi="Times New Roman" w:eastAsia="宋体" w:cs="Times New Roman"/>
                <w:sz w:val="15"/>
                <w:szCs w:val="15"/>
              </w:rPr>
            </w:pPr>
            <w:r>
              <w:rPr>
                <w:rFonts w:ascii="Times New Roman" w:hAnsi="Times New Roman" w:eastAsia="宋体" w:cs="Times New Roman"/>
                <w:sz w:val="15"/>
                <w:szCs w:val="15"/>
              </w:rPr>
              <w:t>19.20</w:t>
            </w:r>
          </w:p>
        </w:tc>
        <w:tc>
          <w:tcPr>
            <w:tcW w:w="1643" w:type="dxa"/>
            <w:tcBorders>
              <w:top w:val="single" w:color="auto" w:sz="4" w:space="0"/>
            </w:tcBorders>
            <w:noWrap/>
            <w:vAlign w:val="center"/>
          </w:tcPr>
          <w:p w14:paraId="56F80C00">
            <w:pPr>
              <w:pStyle w:val="17"/>
              <w:spacing w:after="160" w:line="276" w:lineRule="auto"/>
              <w:jc w:val="center"/>
              <w:rPr>
                <w:rFonts w:ascii="Times New Roman" w:hAnsi="Times New Roman" w:eastAsia="宋体" w:cs="Times New Roman"/>
                <w:sz w:val="15"/>
                <w:szCs w:val="15"/>
              </w:rPr>
            </w:pPr>
            <w:r>
              <w:rPr>
                <w:rFonts w:ascii="Times New Roman" w:hAnsi="Times New Roman" w:eastAsia="宋体" w:cs="Times New Roman"/>
                <w:sz w:val="15"/>
                <w:szCs w:val="15"/>
              </w:rPr>
              <w:t>1615.30</w:t>
            </w:r>
          </w:p>
        </w:tc>
        <w:tc>
          <w:tcPr>
            <w:tcW w:w="1222" w:type="dxa"/>
            <w:tcBorders>
              <w:top w:val="single" w:color="auto" w:sz="4" w:space="0"/>
            </w:tcBorders>
            <w:noWrap/>
            <w:vAlign w:val="center"/>
          </w:tcPr>
          <w:p w14:paraId="04F1523E">
            <w:pPr>
              <w:pStyle w:val="17"/>
              <w:spacing w:after="160" w:line="276" w:lineRule="auto"/>
              <w:rPr>
                <w:rFonts w:ascii="Times New Roman" w:hAnsi="Times New Roman" w:eastAsia="宋体" w:cs="Times New Roman"/>
                <w:sz w:val="15"/>
                <w:szCs w:val="15"/>
              </w:rPr>
            </w:pPr>
            <w:r>
              <w:rPr>
                <w:rFonts w:ascii="Times New Roman" w:hAnsi="Times New Roman" w:eastAsia="宋体" w:cs="Times New Roman"/>
                <w:sz w:val="15"/>
                <w:szCs w:val="15"/>
              </w:rPr>
              <w:t>4.38</w:t>
            </w:r>
          </w:p>
        </w:tc>
        <w:tc>
          <w:tcPr>
            <w:tcW w:w="1190" w:type="dxa"/>
            <w:tcBorders>
              <w:top w:val="single" w:color="auto" w:sz="4" w:space="0"/>
            </w:tcBorders>
            <w:noWrap/>
            <w:vAlign w:val="center"/>
          </w:tcPr>
          <w:p w14:paraId="38ECB9C3">
            <w:pPr>
              <w:pStyle w:val="17"/>
              <w:spacing w:after="160" w:line="276" w:lineRule="auto"/>
              <w:rPr>
                <w:rFonts w:ascii="Times New Roman" w:hAnsi="Times New Roman" w:eastAsia="宋体" w:cs="Times New Roman"/>
                <w:sz w:val="15"/>
                <w:szCs w:val="15"/>
              </w:rPr>
            </w:pPr>
            <w:r>
              <w:rPr>
                <w:rFonts w:ascii="Times New Roman" w:hAnsi="Times New Roman" w:eastAsia="宋体" w:cs="Times New Roman"/>
                <w:sz w:val="15"/>
                <w:szCs w:val="15"/>
              </w:rPr>
              <w:t>1.64</w:t>
            </w:r>
          </w:p>
        </w:tc>
        <w:tc>
          <w:tcPr>
            <w:tcW w:w="1264" w:type="dxa"/>
            <w:tcBorders>
              <w:top w:val="single" w:color="auto" w:sz="4" w:space="0"/>
            </w:tcBorders>
            <w:noWrap/>
            <w:vAlign w:val="center"/>
          </w:tcPr>
          <w:p w14:paraId="6C9F523E">
            <w:pPr>
              <w:pStyle w:val="17"/>
              <w:spacing w:after="160" w:line="276" w:lineRule="auto"/>
              <w:rPr>
                <w:rFonts w:ascii="Times New Roman" w:hAnsi="Times New Roman" w:eastAsia="宋体" w:cs="Times New Roman"/>
                <w:sz w:val="15"/>
                <w:szCs w:val="15"/>
              </w:rPr>
            </w:pPr>
            <w:r>
              <w:rPr>
                <w:rFonts w:ascii="Times New Roman" w:hAnsi="Times New Roman" w:eastAsia="宋体" w:cs="Times New Roman"/>
                <w:sz w:val="15"/>
                <w:szCs w:val="15"/>
              </w:rPr>
              <w:t>2.09</w:t>
            </w:r>
          </w:p>
        </w:tc>
      </w:tr>
      <w:tr w14:paraId="09BB4AB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 w:hRule="atLeast"/>
          <w:jc w:val="center"/>
        </w:trPr>
        <w:tc>
          <w:tcPr>
            <w:tcW w:w="1701" w:type="dxa"/>
            <w:tcBorders>
              <w:bottom w:val="single" w:color="auto" w:sz="12" w:space="0"/>
            </w:tcBorders>
            <w:noWrap/>
            <w:vAlign w:val="center"/>
          </w:tcPr>
          <w:p w14:paraId="54699D26">
            <w:pPr>
              <w:pStyle w:val="17"/>
              <w:spacing w:after="160" w:line="276" w:lineRule="auto"/>
              <w:jc w:val="center"/>
              <w:rPr>
                <w:rFonts w:ascii="Times New Roman" w:hAnsi="Times New Roman" w:eastAsia="宋体" w:cs="Times New Roman"/>
                <w:sz w:val="15"/>
                <w:szCs w:val="15"/>
              </w:rPr>
            </w:pPr>
            <w:r>
              <w:rPr>
                <w:rFonts w:ascii="Times New Roman" w:hAnsi="Times New Roman" w:eastAsia="宋体" w:cs="Times New Roman"/>
                <w:sz w:val="15"/>
                <w:szCs w:val="15"/>
              </w:rPr>
              <w:t>T2</w:t>
            </w:r>
          </w:p>
        </w:tc>
        <w:tc>
          <w:tcPr>
            <w:tcW w:w="1338" w:type="dxa"/>
            <w:tcBorders>
              <w:bottom w:val="single" w:color="auto" w:sz="12" w:space="0"/>
            </w:tcBorders>
            <w:noWrap/>
            <w:vAlign w:val="center"/>
          </w:tcPr>
          <w:p w14:paraId="72BE9E75">
            <w:pPr>
              <w:pStyle w:val="17"/>
              <w:spacing w:after="160" w:line="276" w:lineRule="auto"/>
              <w:rPr>
                <w:rFonts w:ascii="Times New Roman" w:hAnsi="Times New Roman" w:eastAsia="宋体" w:cs="Times New Roman"/>
                <w:sz w:val="15"/>
                <w:szCs w:val="15"/>
              </w:rPr>
            </w:pPr>
            <w:r>
              <w:rPr>
                <w:rFonts w:ascii="Times New Roman" w:hAnsi="Times New Roman" w:eastAsia="宋体" w:cs="Times New Roman"/>
                <w:sz w:val="15"/>
                <w:szCs w:val="15"/>
              </w:rPr>
              <w:t>26.40</w:t>
            </w:r>
          </w:p>
        </w:tc>
        <w:tc>
          <w:tcPr>
            <w:tcW w:w="1643" w:type="dxa"/>
            <w:tcBorders>
              <w:bottom w:val="single" w:color="auto" w:sz="12" w:space="0"/>
            </w:tcBorders>
            <w:noWrap/>
            <w:vAlign w:val="center"/>
          </w:tcPr>
          <w:p w14:paraId="15D1DEAD">
            <w:pPr>
              <w:pStyle w:val="17"/>
              <w:spacing w:after="160" w:line="276" w:lineRule="auto"/>
              <w:jc w:val="center"/>
              <w:rPr>
                <w:rFonts w:ascii="Times New Roman" w:hAnsi="Times New Roman" w:eastAsia="宋体" w:cs="Times New Roman"/>
                <w:sz w:val="15"/>
                <w:szCs w:val="15"/>
              </w:rPr>
            </w:pPr>
            <w:r>
              <w:rPr>
                <w:rFonts w:ascii="Times New Roman" w:hAnsi="Times New Roman" w:eastAsia="宋体" w:cs="Times New Roman"/>
                <w:sz w:val="15"/>
                <w:szCs w:val="15"/>
              </w:rPr>
              <w:t>3581.05</w:t>
            </w:r>
          </w:p>
        </w:tc>
        <w:tc>
          <w:tcPr>
            <w:tcW w:w="1222" w:type="dxa"/>
            <w:tcBorders>
              <w:bottom w:val="single" w:color="auto" w:sz="12" w:space="0"/>
            </w:tcBorders>
            <w:noWrap/>
            <w:vAlign w:val="center"/>
          </w:tcPr>
          <w:p w14:paraId="2F58432E">
            <w:pPr>
              <w:pStyle w:val="17"/>
              <w:spacing w:after="160" w:line="276" w:lineRule="auto"/>
              <w:rPr>
                <w:rFonts w:ascii="Times New Roman" w:hAnsi="Times New Roman" w:eastAsia="宋体" w:cs="Times New Roman"/>
                <w:sz w:val="15"/>
                <w:szCs w:val="15"/>
              </w:rPr>
            </w:pPr>
            <w:r>
              <w:rPr>
                <w:rFonts w:ascii="Times New Roman" w:hAnsi="Times New Roman" w:eastAsia="宋体" w:cs="Times New Roman"/>
                <w:sz w:val="15"/>
                <w:szCs w:val="15"/>
              </w:rPr>
              <w:t>5.14</w:t>
            </w:r>
          </w:p>
        </w:tc>
        <w:tc>
          <w:tcPr>
            <w:tcW w:w="1190" w:type="dxa"/>
            <w:tcBorders>
              <w:bottom w:val="single" w:color="auto" w:sz="12" w:space="0"/>
            </w:tcBorders>
            <w:noWrap/>
            <w:vAlign w:val="center"/>
          </w:tcPr>
          <w:p w14:paraId="6815F541">
            <w:pPr>
              <w:pStyle w:val="17"/>
              <w:spacing w:after="160" w:line="276" w:lineRule="auto"/>
              <w:rPr>
                <w:rFonts w:ascii="Times New Roman" w:hAnsi="Times New Roman" w:eastAsia="宋体" w:cs="Times New Roman"/>
                <w:sz w:val="15"/>
                <w:szCs w:val="15"/>
              </w:rPr>
            </w:pPr>
            <w:r>
              <w:rPr>
                <w:rFonts w:ascii="Times New Roman" w:hAnsi="Times New Roman" w:eastAsia="宋体" w:cs="Times New Roman"/>
                <w:sz w:val="15"/>
                <w:szCs w:val="15"/>
              </w:rPr>
              <w:t>1.73</w:t>
            </w:r>
          </w:p>
        </w:tc>
        <w:tc>
          <w:tcPr>
            <w:tcW w:w="1264" w:type="dxa"/>
            <w:tcBorders>
              <w:bottom w:val="single" w:color="auto" w:sz="12" w:space="0"/>
            </w:tcBorders>
            <w:noWrap/>
            <w:vAlign w:val="center"/>
          </w:tcPr>
          <w:p w14:paraId="2D6EABA3">
            <w:pPr>
              <w:pStyle w:val="17"/>
              <w:spacing w:after="160" w:line="276" w:lineRule="auto"/>
              <w:rPr>
                <w:rFonts w:ascii="Times New Roman" w:hAnsi="Times New Roman" w:eastAsia="宋体" w:cs="Times New Roman"/>
                <w:sz w:val="15"/>
                <w:szCs w:val="15"/>
              </w:rPr>
            </w:pPr>
            <w:r>
              <w:rPr>
                <w:rFonts w:ascii="Times New Roman" w:hAnsi="Times New Roman" w:eastAsia="宋体" w:cs="Times New Roman"/>
                <w:sz w:val="15"/>
                <w:szCs w:val="15"/>
              </w:rPr>
              <w:t>2.27</w:t>
            </w:r>
          </w:p>
        </w:tc>
      </w:tr>
    </w:tbl>
    <w:p w14:paraId="712DC7F6">
      <w:pPr>
        <w:jc w:val="center"/>
        <w:rPr>
          <w:rFonts w:ascii="Times New Roman" w:hAnsi="Times New Roman" w:eastAsia="宋体" w:cs="Times New Roman"/>
          <w:szCs w:val="21"/>
          <w:lang w:bidi="en-US"/>
        </w:rPr>
      </w:pPr>
      <w:r>
        <w:rPr>
          <w:rFonts w:ascii="Times New Roman" w:hAnsi="Times New Roman" w:eastAsia="宋体" w:cs="Times New Roman"/>
          <w:szCs w:val="21"/>
        </w:rPr>
        <w:drawing>
          <wp:inline distT="0" distB="0" distL="0" distR="0">
            <wp:extent cx="3935095" cy="2289175"/>
            <wp:effectExtent l="0" t="0" r="8255" b="6350"/>
            <wp:docPr id="13728833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883392" name="图片 1"/>
                    <pic:cNvPicPr>
                      <a:picLocks noChangeAspect="1"/>
                    </pic:cNvPicPr>
                  </pic:nvPicPr>
                  <pic:blipFill>
                    <a:blip r:embed="rId84"/>
                    <a:stretch>
                      <a:fillRect/>
                    </a:stretch>
                  </pic:blipFill>
                  <pic:spPr>
                    <a:xfrm>
                      <a:off x="0" y="0"/>
                      <a:ext cx="3935095" cy="2289175"/>
                    </a:xfrm>
                    <a:prstGeom prst="rect">
                      <a:avLst/>
                    </a:prstGeom>
                  </pic:spPr>
                </pic:pic>
              </a:graphicData>
            </a:graphic>
          </wp:inline>
        </w:drawing>
      </w:r>
    </w:p>
    <w:p w14:paraId="045D09C7">
      <w:pPr>
        <w:pStyle w:val="3"/>
        <w:ind w:firstLine="360" w:firstLineChars="200"/>
        <w:jc w:val="center"/>
        <w:rPr>
          <w:rFonts w:ascii="Times New Roman" w:hAnsi="Times New Roman" w:eastAsia="黑体" w:cs="Times New Roman"/>
          <w:sz w:val="18"/>
          <w:szCs w:val="18"/>
          <w:lang w:bidi="en-US"/>
        </w:rPr>
      </w:pPr>
      <w:r>
        <w:rPr>
          <w:rFonts w:ascii="Times New Roman" w:hAnsi="Times New Roman" w:eastAsia="黑体" w:cs="Times New Roman"/>
          <w:sz w:val="18"/>
          <w:szCs w:val="18"/>
          <w:lang w:bidi="en-US"/>
        </w:rPr>
        <w:t>图</w:t>
      </w:r>
      <w:r>
        <w:rPr>
          <w:rFonts w:hint="eastAsia" w:ascii="Times New Roman" w:hAnsi="Times New Roman" w:eastAsia="黑体" w:cs="Times New Roman"/>
          <w:sz w:val="18"/>
          <w:szCs w:val="18"/>
          <w:lang w:bidi="en-US"/>
        </w:rPr>
        <w:t>7</w:t>
      </w:r>
      <w:r>
        <w:rPr>
          <w:rFonts w:ascii="Times New Roman" w:hAnsi="Times New Roman" w:eastAsia="黑体" w:cs="Times New Roman"/>
          <w:sz w:val="18"/>
          <w:szCs w:val="18"/>
          <w:lang w:bidi="en-US"/>
        </w:rPr>
        <w:t>验证试验级配曲线</w:t>
      </w:r>
    </w:p>
    <w:p w14:paraId="004CCFDE">
      <w:pPr>
        <w:pStyle w:val="3"/>
        <w:ind w:firstLine="360" w:firstLineChars="200"/>
        <w:jc w:val="center"/>
        <w:rPr>
          <w:rFonts w:ascii="Times New Roman" w:hAnsi="Times New Roman" w:eastAsia="黑体" w:cs="Times New Roman"/>
          <w:sz w:val="18"/>
          <w:szCs w:val="18"/>
          <w:lang w:bidi="en-US"/>
        </w:rPr>
      </w:pPr>
      <w:r>
        <w:rPr>
          <w:rFonts w:hint="eastAsia" w:ascii="Times New Roman" w:hAnsi="Times New Roman" w:eastAsia="黑体" w:cs="Times New Roman"/>
          <w:sz w:val="18"/>
          <w:szCs w:val="18"/>
          <w:lang w:bidi="en-US"/>
        </w:rPr>
        <w:t xml:space="preserve">Fig. 7 </w:t>
      </w:r>
      <w:r>
        <w:rPr>
          <w:rFonts w:ascii="Times New Roman" w:hAnsi="Times New Roman" w:eastAsia="黑体" w:cs="Times New Roman"/>
          <w:sz w:val="18"/>
          <w:szCs w:val="18"/>
          <w:lang w:bidi="en-US"/>
        </w:rPr>
        <w:t xml:space="preserve">Gradation </w:t>
      </w:r>
      <w:r>
        <w:rPr>
          <w:rFonts w:hint="eastAsia" w:ascii="Times New Roman" w:hAnsi="Times New Roman" w:eastAsia="黑体" w:cs="Times New Roman"/>
          <w:sz w:val="18"/>
          <w:szCs w:val="18"/>
          <w:lang w:bidi="en-US"/>
        </w:rPr>
        <w:t>c</w:t>
      </w:r>
      <w:r>
        <w:rPr>
          <w:rFonts w:ascii="Times New Roman" w:hAnsi="Times New Roman" w:eastAsia="黑体" w:cs="Times New Roman"/>
          <w:sz w:val="18"/>
          <w:szCs w:val="18"/>
          <w:lang w:bidi="en-US"/>
        </w:rPr>
        <w:t>urve</w:t>
      </w:r>
      <w:r>
        <w:rPr>
          <w:rFonts w:hint="eastAsia" w:ascii="Times New Roman" w:hAnsi="Times New Roman" w:eastAsia="黑体" w:cs="Times New Roman"/>
          <w:sz w:val="18"/>
          <w:szCs w:val="18"/>
          <w:lang w:val="en-US" w:eastAsia="zh-CN" w:bidi="en-US"/>
        </w:rPr>
        <w:t>s</w:t>
      </w:r>
      <w:r>
        <w:rPr>
          <w:rFonts w:ascii="Times New Roman" w:hAnsi="Times New Roman" w:eastAsia="黑体" w:cs="Times New Roman"/>
          <w:sz w:val="18"/>
          <w:szCs w:val="18"/>
          <w:lang w:bidi="en-US"/>
        </w:rPr>
        <w:t xml:space="preserve"> of </w:t>
      </w:r>
      <w:r>
        <w:rPr>
          <w:rFonts w:hint="eastAsia" w:ascii="Times New Roman" w:hAnsi="Times New Roman" w:eastAsia="黑体" w:cs="Times New Roman"/>
          <w:sz w:val="18"/>
          <w:szCs w:val="18"/>
          <w:lang w:bidi="en-US"/>
        </w:rPr>
        <w:t>v</w:t>
      </w:r>
      <w:r>
        <w:rPr>
          <w:rFonts w:ascii="Times New Roman" w:hAnsi="Times New Roman" w:eastAsia="黑体" w:cs="Times New Roman"/>
          <w:sz w:val="18"/>
          <w:szCs w:val="18"/>
          <w:lang w:bidi="en-US"/>
        </w:rPr>
        <w:t xml:space="preserve">erification </w:t>
      </w:r>
      <w:r>
        <w:rPr>
          <w:rFonts w:hint="eastAsia" w:ascii="Times New Roman" w:hAnsi="Times New Roman" w:eastAsia="黑体" w:cs="Times New Roman"/>
          <w:sz w:val="18"/>
          <w:szCs w:val="18"/>
          <w:lang w:bidi="en-US"/>
        </w:rPr>
        <w:t>t</w:t>
      </w:r>
      <w:r>
        <w:rPr>
          <w:rFonts w:ascii="Times New Roman" w:hAnsi="Times New Roman" w:eastAsia="黑体" w:cs="Times New Roman"/>
          <w:sz w:val="18"/>
          <w:szCs w:val="18"/>
          <w:lang w:bidi="en-US"/>
        </w:rPr>
        <w:t>est</w:t>
      </w:r>
    </w:p>
    <w:p w14:paraId="1DCF3072">
      <w:pPr>
        <w:pStyle w:val="12"/>
        <w:spacing w:line="240" w:lineRule="auto"/>
        <w:ind w:firstLine="420"/>
        <w:rPr>
          <w:color w:val="auto"/>
          <w:sz w:val="21"/>
          <w:szCs w:val="21"/>
          <w:lang w:eastAsia="zh-CN"/>
        </w:rPr>
      </w:pPr>
      <w:bookmarkStart w:id="26" w:name="_Hlk209039922"/>
      <w:r>
        <w:rPr>
          <w:color w:val="auto"/>
          <w:sz w:val="21"/>
          <w:szCs w:val="21"/>
        </w:rPr>
        <w:t>针对T1和T2工程，分别进行了浑水试验</w:t>
      </w:r>
      <w:r>
        <w:rPr>
          <w:rFonts w:hint="eastAsia"/>
          <w:color w:val="auto"/>
          <w:sz w:val="21"/>
          <w:szCs w:val="21"/>
          <w:lang w:eastAsia="zh-CN"/>
        </w:rPr>
        <w:t>，</w:t>
      </w:r>
      <w:r>
        <w:rPr>
          <w:color w:val="auto"/>
          <w:sz w:val="21"/>
          <w:szCs w:val="21"/>
        </w:rPr>
        <w:t>试验过程如图</w:t>
      </w:r>
      <w:r>
        <w:rPr>
          <w:rFonts w:hint="eastAsia"/>
          <w:color w:val="auto"/>
          <w:sz w:val="21"/>
          <w:szCs w:val="21"/>
          <w:lang w:eastAsia="zh-CN"/>
        </w:rPr>
        <w:t>8</w:t>
      </w:r>
      <w:r>
        <w:rPr>
          <w:color w:val="auto"/>
          <w:sz w:val="21"/>
          <w:szCs w:val="21"/>
        </w:rPr>
        <w:t>所示，其中图</w:t>
      </w:r>
      <w:r>
        <w:rPr>
          <w:rFonts w:hint="eastAsia"/>
          <w:color w:val="auto"/>
          <w:sz w:val="21"/>
          <w:szCs w:val="21"/>
          <w:lang w:eastAsia="zh-CN"/>
        </w:rPr>
        <w:t>8</w:t>
      </w:r>
      <w:r>
        <w:rPr>
          <w:color w:val="auto"/>
          <w:sz w:val="21"/>
          <w:szCs w:val="21"/>
        </w:rPr>
        <w:t>（a）展示了漏斗试验进行中的状态，而图</w:t>
      </w:r>
      <w:r>
        <w:rPr>
          <w:rFonts w:hint="eastAsia"/>
          <w:color w:val="auto"/>
          <w:sz w:val="21"/>
          <w:szCs w:val="21"/>
          <w:lang w:eastAsia="zh-CN"/>
        </w:rPr>
        <w:t>8</w:t>
      </w:r>
      <w:r>
        <w:rPr>
          <w:color w:val="auto"/>
          <w:sz w:val="21"/>
          <w:szCs w:val="21"/>
        </w:rPr>
        <w:t>（b）则为试验结束后漏斗内的情况。</w:t>
      </w:r>
      <w:bookmarkEnd w:id="26"/>
      <w:r>
        <w:rPr>
          <w:color w:val="auto"/>
          <w:sz w:val="21"/>
          <w:szCs w:val="21"/>
          <w:lang w:eastAsia="zh-CN"/>
        </w:rPr>
        <w:t>试验结果</w:t>
      </w:r>
      <w:r>
        <w:rPr>
          <w:rFonts w:hint="eastAsia"/>
          <w:color w:val="auto"/>
          <w:sz w:val="21"/>
          <w:szCs w:val="21"/>
          <w:lang w:eastAsia="zh-CN"/>
        </w:rPr>
        <w:t>如</w:t>
      </w:r>
      <w:r>
        <w:rPr>
          <w:color w:val="auto"/>
          <w:sz w:val="21"/>
          <w:szCs w:val="21"/>
          <w:lang w:eastAsia="zh-CN"/>
        </w:rPr>
        <w:t>表1</w:t>
      </w:r>
      <w:r>
        <w:rPr>
          <w:rFonts w:hint="eastAsia"/>
          <w:color w:val="auto"/>
          <w:sz w:val="21"/>
          <w:szCs w:val="21"/>
          <w:lang w:eastAsia="zh-CN"/>
        </w:rPr>
        <w:t>3</w:t>
      </w:r>
      <w:r>
        <w:rPr>
          <w:color w:val="auto"/>
          <w:sz w:val="21"/>
          <w:szCs w:val="21"/>
          <w:lang w:eastAsia="zh-CN"/>
        </w:rPr>
        <w:t>所</w:t>
      </w:r>
      <w:r>
        <w:rPr>
          <w:rFonts w:hint="eastAsia"/>
          <w:color w:val="auto"/>
          <w:sz w:val="21"/>
          <w:szCs w:val="21"/>
          <w:lang w:eastAsia="zh-CN"/>
        </w:rPr>
        <w:t>列</w:t>
      </w:r>
      <w:r>
        <w:rPr>
          <w:color w:val="auto"/>
          <w:sz w:val="21"/>
          <w:szCs w:val="21"/>
          <w:lang w:eastAsia="zh-CN"/>
        </w:rPr>
        <w:t>，</w:t>
      </w:r>
      <w:r>
        <w:rPr>
          <w:color w:val="auto"/>
          <w:sz w:val="21"/>
          <w:szCs w:val="21"/>
        </w:rPr>
        <w:t>由表可得，当漏斗直径从48.00m增加到</w:t>
      </w:r>
      <w:r>
        <w:rPr>
          <w:color w:val="auto"/>
          <w:sz w:val="21"/>
          <w:szCs w:val="21"/>
          <w:lang w:eastAsia="zh-CN"/>
        </w:rPr>
        <w:t>66</w:t>
      </w:r>
      <w:r>
        <w:rPr>
          <w:color w:val="auto"/>
          <w:sz w:val="21"/>
          <w:szCs w:val="21"/>
        </w:rPr>
        <w:t>m，</w:t>
      </w:r>
      <w:r>
        <w:rPr>
          <w:color w:val="auto"/>
          <w:sz w:val="21"/>
          <w:szCs w:val="21"/>
          <w:lang w:eastAsia="zh-CN"/>
        </w:rPr>
        <w:t>悬沙</w:t>
      </w:r>
      <w:r>
        <w:rPr>
          <w:color w:val="auto"/>
          <w:sz w:val="21"/>
          <w:szCs w:val="21"/>
        </w:rPr>
        <w:t>排沙漏斗的</w:t>
      </w:r>
      <w:r>
        <w:rPr>
          <w:color w:val="auto"/>
          <w:sz w:val="21"/>
          <w:szCs w:val="21"/>
          <w:lang w:eastAsia="zh-CN"/>
        </w:rPr>
        <w:t>悬沙</w:t>
      </w:r>
      <w:r>
        <w:rPr>
          <w:color w:val="auto"/>
          <w:sz w:val="21"/>
          <w:szCs w:val="21"/>
        </w:rPr>
        <w:t>截除率</w:t>
      </w:r>
      <w:r>
        <w:rPr>
          <w:color w:val="auto"/>
          <w:sz w:val="21"/>
          <w:szCs w:val="21"/>
          <w:lang w:eastAsia="zh-CN"/>
        </w:rPr>
        <w:t>大幅</w:t>
      </w:r>
      <w:r>
        <w:rPr>
          <w:color w:val="auto"/>
          <w:sz w:val="21"/>
          <w:szCs w:val="21"/>
        </w:rPr>
        <w:t>提升，</w:t>
      </w:r>
      <w:r>
        <w:rPr>
          <w:color w:val="auto"/>
          <w:sz w:val="21"/>
          <w:szCs w:val="21"/>
          <w:lang w:eastAsia="zh-CN"/>
        </w:rPr>
        <w:t>且排沙耗水率基本保持不变。</w:t>
      </w:r>
      <w:r>
        <w:rPr>
          <w:color w:val="auto"/>
          <w:sz w:val="21"/>
          <w:szCs w:val="21"/>
        </w:rPr>
        <w:t>漏斗</w:t>
      </w:r>
      <w:r>
        <w:rPr>
          <w:color w:val="auto"/>
          <w:sz w:val="21"/>
          <w:szCs w:val="21"/>
          <w:lang w:eastAsia="zh-CN"/>
        </w:rPr>
        <w:t>泥沙截除率由30.34</w:t>
      </w:r>
      <w:r>
        <w:rPr>
          <w:color w:val="auto"/>
          <w:sz w:val="21"/>
          <w:szCs w:val="21"/>
        </w:rPr>
        <w:t>%提升至</w:t>
      </w:r>
      <w:r>
        <w:rPr>
          <w:color w:val="auto"/>
          <w:sz w:val="21"/>
          <w:szCs w:val="21"/>
          <w:lang w:eastAsia="zh-CN"/>
        </w:rPr>
        <w:t>41.7</w:t>
      </w:r>
      <w:r>
        <w:rPr>
          <w:color w:val="auto"/>
          <w:sz w:val="21"/>
          <w:szCs w:val="21"/>
        </w:rPr>
        <w:t>%，</w:t>
      </w:r>
      <w:r>
        <w:rPr>
          <w:color w:val="auto"/>
          <w:sz w:val="21"/>
          <w:szCs w:val="21"/>
          <w:lang w:eastAsia="zh-CN"/>
        </w:rPr>
        <w:t>提升11.36%，排沙耗水率由7.6%提升至8.02%，仅提升0.42%</w:t>
      </w:r>
      <w:r>
        <w:rPr>
          <w:rFonts w:hint="eastAsia"/>
          <w:color w:val="auto"/>
          <w:sz w:val="21"/>
          <w:szCs w:val="21"/>
          <w:lang w:eastAsia="zh-CN"/>
        </w:rPr>
        <w:t>。</w:t>
      </w:r>
      <w:r>
        <w:rPr>
          <w:color w:val="auto"/>
          <w:sz w:val="21"/>
          <w:szCs w:val="21"/>
          <w:lang w:eastAsia="zh-CN"/>
        </w:rPr>
        <w:t xml:space="preserve"> </w:t>
      </w:r>
    </w:p>
    <w:p w14:paraId="3082531E">
      <w:pPr>
        <w:pStyle w:val="6"/>
        <w:rPr>
          <w:sz w:val="18"/>
          <w:szCs w:val="18"/>
        </w:rPr>
      </w:pPr>
      <w:r>
        <w:rPr>
          <w:sz w:val="18"/>
          <w:szCs w:val="18"/>
        </w:rPr>
        <w:t>表1</w:t>
      </w:r>
      <w:r>
        <w:rPr>
          <w:rFonts w:hint="eastAsia"/>
          <w:sz w:val="18"/>
          <w:szCs w:val="18"/>
        </w:rPr>
        <w:t>3</w:t>
      </w:r>
      <w:r>
        <w:rPr>
          <w:sz w:val="18"/>
          <w:szCs w:val="18"/>
        </w:rPr>
        <w:t xml:space="preserve"> T1与T2泥沙截除率对比</w:t>
      </w:r>
    </w:p>
    <w:tbl>
      <w:tblPr>
        <w:tblStyle w:val="7"/>
        <w:tblpPr w:leftFromText="180" w:rightFromText="180" w:vertAnchor="text" w:horzAnchor="page" w:tblpX="2101" w:tblpY="470"/>
        <w:tblOverlap w:val="never"/>
        <w:tblW w:w="7762"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72"/>
        <w:gridCol w:w="2994"/>
        <w:gridCol w:w="2296"/>
      </w:tblGrid>
      <w:tr w14:paraId="172B16E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2472" w:type="dxa"/>
            <w:tcBorders>
              <w:top w:val="single" w:color="auto" w:sz="12" w:space="0"/>
              <w:bottom w:val="single" w:color="auto" w:sz="4" w:space="0"/>
            </w:tcBorders>
            <w:noWrap/>
            <w:vAlign w:val="center"/>
          </w:tcPr>
          <w:p w14:paraId="12BB75A0">
            <w:pPr>
              <w:pStyle w:val="17"/>
              <w:spacing w:line="276" w:lineRule="auto"/>
              <w:jc w:val="center"/>
              <w:rPr>
                <w:rFonts w:ascii="Times New Roman" w:hAnsi="Times New Roman" w:eastAsia="宋体" w:cs="Times New Roman"/>
                <w:sz w:val="15"/>
                <w:szCs w:val="15"/>
              </w:rPr>
            </w:pPr>
            <w:r>
              <w:rPr>
                <w:rFonts w:ascii="Times New Roman" w:hAnsi="Times New Roman" w:eastAsia="宋体" w:cs="Times New Roman"/>
                <w:sz w:val="15"/>
                <w:szCs w:val="15"/>
              </w:rPr>
              <w:t>工程</w:t>
            </w:r>
          </w:p>
        </w:tc>
        <w:tc>
          <w:tcPr>
            <w:tcW w:w="2994" w:type="dxa"/>
            <w:tcBorders>
              <w:top w:val="single" w:color="auto" w:sz="12" w:space="0"/>
              <w:bottom w:val="single" w:color="auto" w:sz="4" w:space="0"/>
            </w:tcBorders>
            <w:noWrap/>
            <w:vAlign w:val="center"/>
          </w:tcPr>
          <w:p w14:paraId="3C9C38CB">
            <w:pPr>
              <w:pStyle w:val="17"/>
              <w:spacing w:line="276" w:lineRule="auto"/>
              <w:jc w:val="center"/>
              <w:rPr>
                <w:rFonts w:ascii="Times New Roman" w:hAnsi="Times New Roman" w:eastAsia="宋体" w:cs="Times New Roman"/>
                <w:sz w:val="15"/>
                <w:szCs w:val="15"/>
              </w:rPr>
            </w:pPr>
            <w:r>
              <w:rPr>
                <w:rFonts w:ascii="Times New Roman" w:hAnsi="Times New Roman" w:eastAsia="宋体" w:cs="Times New Roman"/>
                <w:sz w:val="15"/>
                <w:szCs w:val="15"/>
              </w:rPr>
              <w:t>T1</w:t>
            </w:r>
          </w:p>
        </w:tc>
        <w:tc>
          <w:tcPr>
            <w:tcW w:w="2296" w:type="dxa"/>
            <w:tcBorders>
              <w:top w:val="single" w:color="auto" w:sz="12" w:space="0"/>
              <w:bottom w:val="single" w:color="auto" w:sz="4" w:space="0"/>
            </w:tcBorders>
            <w:noWrap/>
            <w:vAlign w:val="center"/>
          </w:tcPr>
          <w:p w14:paraId="503B8A07">
            <w:pPr>
              <w:pStyle w:val="17"/>
              <w:spacing w:line="276" w:lineRule="auto"/>
              <w:jc w:val="center"/>
              <w:rPr>
                <w:rFonts w:ascii="Times New Roman" w:hAnsi="Times New Roman" w:eastAsia="宋体" w:cs="Times New Roman"/>
                <w:sz w:val="15"/>
                <w:szCs w:val="15"/>
              </w:rPr>
            </w:pPr>
            <w:r>
              <w:rPr>
                <w:rFonts w:ascii="Times New Roman" w:hAnsi="Times New Roman" w:eastAsia="宋体" w:cs="Times New Roman"/>
                <w:sz w:val="15"/>
                <w:szCs w:val="15"/>
              </w:rPr>
              <w:t>T2</w:t>
            </w:r>
          </w:p>
        </w:tc>
      </w:tr>
      <w:tr w14:paraId="4DFBAA2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2472" w:type="dxa"/>
            <w:tcBorders>
              <w:top w:val="single" w:color="auto" w:sz="4" w:space="0"/>
            </w:tcBorders>
            <w:noWrap/>
            <w:vAlign w:val="center"/>
          </w:tcPr>
          <w:p w14:paraId="6B1B102F">
            <w:pPr>
              <w:pStyle w:val="17"/>
              <w:spacing w:line="276" w:lineRule="auto"/>
              <w:jc w:val="center"/>
              <w:rPr>
                <w:rFonts w:ascii="Times New Roman" w:hAnsi="Times New Roman" w:eastAsia="宋体" w:cs="Times New Roman"/>
                <w:sz w:val="15"/>
                <w:szCs w:val="15"/>
              </w:rPr>
            </w:pPr>
            <w:r>
              <w:rPr>
                <w:rFonts w:ascii="Times New Roman" w:hAnsi="Times New Roman" w:eastAsia="宋体" w:cs="Times New Roman"/>
                <w:sz w:val="15"/>
                <w:szCs w:val="15"/>
              </w:rPr>
              <w:t>截除率</w:t>
            </w:r>
          </w:p>
        </w:tc>
        <w:tc>
          <w:tcPr>
            <w:tcW w:w="2994" w:type="dxa"/>
            <w:tcBorders>
              <w:top w:val="single" w:color="auto" w:sz="4" w:space="0"/>
            </w:tcBorders>
            <w:noWrap/>
            <w:vAlign w:val="center"/>
          </w:tcPr>
          <w:p w14:paraId="0848BA9D">
            <w:pPr>
              <w:pStyle w:val="17"/>
              <w:spacing w:line="276" w:lineRule="auto"/>
              <w:jc w:val="center"/>
              <w:rPr>
                <w:rFonts w:ascii="Times New Roman" w:hAnsi="Times New Roman" w:eastAsia="宋体" w:cs="Times New Roman"/>
                <w:sz w:val="15"/>
                <w:szCs w:val="15"/>
              </w:rPr>
            </w:pPr>
            <w:r>
              <w:rPr>
                <w:rFonts w:ascii="Times New Roman" w:hAnsi="Times New Roman" w:eastAsia="宋体" w:cs="Times New Roman"/>
                <w:sz w:val="15"/>
                <w:szCs w:val="15"/>
              </w:rPr>
              <w:t>30.34%</w:t>
            </w:r>
          </w:p>
        </w:tc>
        <w:tc>
          <w:tcPr>
            <w:tcW w:w="2296" w:type="dxa"/>
            <w:tcBorders>
              <w:top w:val="single" w:color="auto" w:sz="4" w:space="0"/>
            </w:tcBorders>
            <w:noWrap/>
            <w:vAlign w:val="center"/>
          </w:tcPr>
          <w:p w14:paraId="692BBCEC">
            <w:pPr>
              <w:pStyle w:val="17"/>
              <w:spacing w:line="276" w:lineRule="auto"/>
              <w:jc w:val="center"/>
              <w:rPr>
                <w:rFonts w:ascii="Times New Roman" w:hAnsi="Times New Roman" w:eastAsia="宋体" w:cs="Times New Roman"/>
                <w:sz w:val="15"/>
                <w:szCs w:val="15"/>
              </w:rPr>
            </w:pPr>
            <w:r>
              <w:rPr>
                <w:rFonts w:ascii="Times New Roman" w:hAnsi="Times New Roman" w:eastAsia="宋体" w:cs="Times New Roman"/>
                <w:sz w:val="15"/>
                <w:szCs w:val="15"/>
              </w:rPr>
              <w:t>41.7%</w:t>
            </w:r>
          </w:p>
        </w:tc>
      </w:tr>
      <w:tr w14:paraId="560C21B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252" w:hRule="atLeast"/>
        </w:trPr>
        <w:tc>
          <w:tcPr>
            <w:tcW w:w="2472" w:type="dxa"/>
            <w:tcBorders>
              <w:bottom w:val="single" w:color="auto" w:sz="12" w:space="0"/>
            </w:tcBorders>
            <w:noWrap/>
            <w:vAlign w:val="center"/>
          </w:tcPr>
          <w:p w14:paraId="4ABBCD79">
            <w:pPr>
              <w:pStyle w:val="17"/>
              <w:spacing w:line="276" w:lineRule="auto"/>
              <w:jc w:val="center"/>
              <w:rPr>
                <w:rFonts w:ascii="Times New Roman" w:hAnsi="Times New Roman" w:eastAsia="宋体" w:cs="Times New Roman"/>
                <w:sz w:val="15"/>
                <w:szCs w:val="15"/>
              </w:rPr>
            </w:pPr>
            <w:r>
              <w:rPr>
                <w:rFonts w:ascii="Times New Roman" w:hAnsi="Times New Roman" w:eastAsia="宋体" w:cs="Times New Roman"/>
                <w:sz w:val="15"/>
                <w:szCs w:val="15"/>
              </w:rPr>
              <w:t>耗水率</w:t>
            </w:r>
          </w:p>
        </w:tc>
        <w:tc>
          <w:tcPr>
            <w:tcW w:w="2994" w:type="dxa"/>
            <w:tcBorders>
              <w:bottom w:val="single" w:color="auto" w:sz="12" w:space="0"/>
            </w:tcBorders>
            <w:noWrap/>
            <w:vAlign w:val="center"/>
          </w:tcPr>
          <w:p w14:paraId="21C667FC">
            <w:pPr>
              <w:pStyle w:val="17"/>
              <w:spacing w:line="276" w:lineRule="auto"/>
              <w:jc w:val="center"/>
              <w:rPr>
                <w:rFonts w:ascii="Times New Roman" w:hAnsi="Times New Roman" w:eastAsia="宋体" w:cs="Times New Roman"/>
                <w:sz w:val="15"/>
                <w:szCs w:val="15"/>
              </w:rPr>
            </w:pPr>
            <w:r>
              <w:rPr>
                <w:rFonts w:ascii="Times New Roman" w:hAnsi="Times New Roman" w:eastAsia="宋体" w:cs="Times New Roman"/>
                <w:sz w:val="15"/>
                <w:szCs w:val="15"/>
              </w:rPr>
              <w:t>7.6</w:t>
            </w:r>
            <w:r>
              <w:rPr>
                <w:rFonts w:hint="eastAsia" w:ascii="Times New Roman" w:hAnsi="Times New Roman" w:eastAsia="宋体" w:cs="Times New Roman"/>
                <w:sz w:val="15"/>
                <w:szCs w:val="15"/>
              </w:rPr>
              <w:t>0</w:t>
            </w:r>
            <w:r>
              <w:rPr>
                <w:rFonts w:ascii="Times New Roman" w:hAnsi="Times New Roman" w:eastAsia="宋体" w:cs="Times New Roman"/>
                <w:sz w:val="15"/>
                <w:szCs w:val="15"/>
              </w:rPr>
              <w:t>%</w:t>
            </w:r>
          </w:p>
        </w:tc>
        <w:tc>
          <w:tcPr>
            <w:tcW w:w="2296" w:type="dxa"/>
            <w:tcBorders>
              <w:bottom w:val="single" w:color="auto" w:sz="12" w:space="0"/>
            </w:tcBorders>
            <w:noWrap/>
            <w:vAlign w:val="center"/>
          </w:tcPr>
          <w:p w14:paraId="538FFDE5">
            <w:pPr>
              <w:pStyle w:val="17"/>
              <w:spacing w:line="276" w:lineRule="auto"/>
              <w:jc w:val="center"/>
              <w:rPr>
                <w:rFonts w:ascii="Times New Roman" w:hAnsi="Times New Roman" w:eastAsia="宋体" w:cs="Times New Roman"/>
                <w:sz w:val="15"/>
                <w:szCs w:val="15"/>
              </w:rPr>
            </w:pPr>
            <w:r>
              <w:rPr>
                <w:rFonts w:ascii="Times New Roman" w:hAnsi="Times New Roman" w:eastAsia="宋体" w:cs="Times New Roman"/>
                <w:sz w:val="15"/>
                <w:szCs w:val="15"/>
              </w:rPr>
              <w:t>8.02%</w:t>
            </w:r>
          </w:p>
        </w:tc>
      </w:tr>
    </w:tbl>
    <w:p w14:paraId="2A7750EA">
      <w:pPr>
        <w:jc w:val="center"/>
        <w:rPr>
          <w:rFonts w:ascii="Times New Roman" w:hAnsi="Times New Roman" w:cs="Times New Roman"/>
          <w:sz w:val="18"/>
          <w:szCs w:val="18"/>
        </w:rPr>
      </w:pPr>
      <w:r>
        <w:rPr>
          <w:rFonts w:ascii="Times New Roman" w:hAnsi="Times New Roman" w:cs="Times New Roman"/>
          <w:sz w:val="18"/>
          <w:szCs w:val="18"/>
        </w:rPr>
        <w:t>Table 1</w:t>
      </w:r>
      <w:r>
        <w:rPr>
          <w:rFonts w:hint="eastAsia" w:ascii="Times New Roman" w:hAnsi="Times New Roman" w:cs="Times New Roman"/>
          <w:sz w:val="18"/>
          <w:szCs w:val="18"/>
        </w:rPr>
        <w:t xml:space="preserve">3 </w:t>
      </w:r>
      <w:r>
        <w:rPr>
          <w:rFonts w:ascii="Times New Roman" w:hAnsi="Times New Roman" w:cs="Times New Roman"/>
          <w:sz w:val="18"/>
          <w:szCs w:val="18"/>
        </w:rPr>
        <w:t xml:space="preserve">Comparison of </w:t>
      </w:r>
      <w:r>
        <w:rPr>
          <w:rFonts w:hint="eastAsia" w:ascii="Times New Roman" w:hAnsi="Times New Roman" w:cs="Times New Roman"/>
          <w:sz w:val="18"/>
          <w:szCs w:val="18"/>
        </w:rPr>
        <w:t>s</w:t>
      </w:r>
      <w:r>
        <w:rPr>
          <w:rFonts w:ascii="Times New Roman" w:hAnsi="Times New Roman" w:cs="Times New Roman"/>
          <w:sz w:val="18"/>
          <w:szCs w:val="18"/>
        </w:rPr>
        <w:t xml:space="preserve">ediment </w:t>
      </w:r>
      <w:r>
        <w:rPr>
          <w:rFonts w:hint="eastAsia" w:ascii="Times New Roman" w:hAnsi="Times New Roman" w:cs="Times New Roman"/>
          <w:sz w:val="18"/>
          <w:szCs w:val="18"/>
          <w:lang w:val="en-US" w:eastAsia="zh-CN"/>
        </w:rPr>
        <w:t>trapping</w:t>
      </w:r>
      <w:r>
        <w:rPr>
          <w:rFonts w:ascii="Times New Roman" w:hAnsi="Times New Roman" w:cs="Times New Roman"/>
          <w:sz w:val="18"/>
          <w:szCs w:val="18"/>
        </w:rPr>
        <w:t xml:space="preserve"> </w:t>
      </w:r>
      <w:r>
        <w:rPr>
          <w:rFonts w:hint="eastAsia" w:ascii="Times New Roman" w:hAnsi="Times New Roman" w:cs="Times New Roman"/>
          <w:sz w:val="18"/>
          <w:szCs w:val="18"/>
          <w:lang w:val="en-US" w:eastAsia="zh-CN"/>
        </w:rPr>
        <w:t>efficiency</w:t>
      </w:r>
      <w:r>
        <w:rPr>
          <w:rFonts w:ascii="Times New Roman" w:hAnsi="Times New Roman" w:cs="Times New Roman"/>
          <w:sz w:val="18"/>
          <w:szCs w:val="18"/>
        </w:rPr>
        <w:t xml:space="preserve"> between T1 and T2</w:t>
      </w:r>
    </w:p>
    <w:p w14:paraId="3E67E126">
      <w:pPr>
        <w:jc w:val="center"/>
        <w:rPr>
          <w:rFonts w:ascii="Times New Roman" w:hAnsi="Times New Roman" w:cs="Times New Roman"/>
          <w:sz w:val="18"/>
          <w:szCs w:val="18"/>
        </w:rPr>
      </w:pPr>
    </w:p>
    <w:p w14:paraId="323534DD">
      <w:pPr>
        <w:snapToGrid w:val="0"/>
        <w:jc w:val="center"/>
        <w:rPr>
          <w:rFonts w:ascii="Times New Roman" w:hAnsi="Times New Roman" w:eastAsia="宋体" w:cs="Times New Roman"/>
          <w:sz w:val="28"/>
          <w:szCs w:val="28"/>
        </w:rPr>
      </w:pPr>
      <w:r>
        <w:rPr>
          <w:rFonts w:ascii="Times New Roman" w:hAnsi="Times New Roman" w:eastAsia="宋体" w:cs="Times New Roman"/>
          <w:sz w:val="28"/>
          <w:szCs w:val="28"/>
        </w:rPr>
        <w:drawing>
          <wp:inline distT="0" distB="0" distL="0" distR="0">
            <wp:extent cx="2580005" cy="1517015"/>
            <wp:effectExtent l="0" t="0" r="1270" b="6985"/>
            <wp:docPr id="14522643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64314" name="图片 3"/>
                    <pic:cNvPicPr>
                      <a:picLocks noChangeAspect="1" noChangeArrowheads="1"/>
                    </pic:cNvPicPr>
                  </pic:nvPicPr>
                  <pic:blipFill>
                    <a:blip r:embed="rId85" cstate="print">
                      <a:extLst>
                        <a:ext uri="{28A0092B-C50C-407E-A947-70E740481C1C}">
                          <a14:useLocalDpi xmlns:a14="http://schemas.microsoft.com/office/drawing/2010/main" val="0"/>
                        </a:ext>
                      </a:extLst>
                    </a:blip>
                    <a:srcRect l="8330" t="32869" r="6072"/>
                    <a:stretch>
                      <a:fillRect/>
                    </a:stretch>
                  </pic:blipFill>
                  <pic:spPr>
                    <a:xfrm>
                      <a:off x="0" y="0"/>
                      <a:ext cx="2580005" cy="1517015"/>
                    </a:xfrm>
                    <a:prstGeom prst="rect">
                      <a:avLst/>
                    </a:prstGeom>
                    <a:noFill/>
                    <a:ln>
                      <a:noFill/>
                    </a:ln>
                  </pic:spPr>
                </pic:pic>
              </a:graphicData>
            </a:graphic>
          </wp:inline>
        </w:drawing>
      </w:r>
      <w:r>
        <w:drawing>
          <wp:inline distT="0" distB="0" distL="114300" distR="114300">
            <wp:extent cx="2432685" cy="1537335"/>
            <wp:effectExtent l="0" t="0" r="5715" b="5715"/>
            <wp:docPr id="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pic:cNvPicPr>
                      <a:picLocks noChangeAspect="1"/>
                    </pic:cNvPicPr>
                  </pic:nvPicPr>
                  <pic:blipFill>
                    <a:blip r:embed="rId86"/>
                    <a:srcRect l="52669"/>
                    <a:stretch>
                      <a:fillRect/>
                    </a:stretch>
                  </pic:blipFill>
                  <pic:spPr>
                    <a:xfrm>
                      <a:off x="0" y="0"/>
                      <a:ext cx="2432984" cy="1537335"/>
                    </a:xfrm>
                    <a:prstGeom prst="rect">
                      <a:avLst/>
                    </a:prstGeom>
                    <a:noFill/>
                    <a:ln>
                      <a:noFill/>
                    </a:ln>
                  </pic:spPr>
                </pic:pic>
              </a:graphicData>
            </a:graphic>
          </wp:inline>
        </w:drawing>
      </w:r>
    </w:p>
    <w:p w14:paraId="3E39D5C1">
      <w:pPr>
        <w:snapToGrid w:val="0"/>
        <w:rPr>
          <w:rFonts w:ascii="Times New Roman" w:hAnsi="Times New Roman" w:eastAsia="黑体" w:cs="Times New Roman"/>
          <w:sz w:val="18"/>
          <w:szCs w:val="18"/>
        </w:rPr>
      </w:pPr>
      <w:r>
        <w:rPr>
          <w:rFonts w:hint="eastAsia" w:ascii="Times New Roman" w:hAnsi="Times New Roman" w:eastAsia="黑体" w:cs="Times New Roman"/>
          <w:sz w:val="18"/>
          <w:szCs w:val="18"/>
        </w:rPr>
        <w:t xml:space="preserve">                 </w:t>
      </w:r>
      <w:r>
        <w:rPr>
          <w:rFonts w:hint="eastAsia" w:ascii="Times New Roman" w:hAnsi="Times New Roman" w:eastAsia="黑体" w:cs="Times New Roman"/>
          <w:sz w:val="15"/>
          <w:szCs w:val="15"/>
        </w:rPr>
        <w:t xml:space="preserve"> (a)试验进行中 </w:t>
      </w:r>
      <w:r>
        <w:rPr>
          <w:rFonts w:hint="eastAsia" w:ascii="Times New Roman" w:hAnsi="Times New Roman" w:eastAsia="黑体" w:cs="Times New Roman"/>
          <w:sz w:val="18"/>
          <w:szCs w:val="18"/>
        </w:rPr>
        <w:t xml:space="preserve">                              </w:t>
      </w:r>
      <w:r>
        <w:rPr>
          <w:rFonts w:hint="eastAsia" w:ascii="Times New Roman" w:hAnsi="Times New Roman" w:eastAsia="黑体" w:cs="Times New Roman"/>
          <w:sz w:val="15"/>
          <w:szCs w:val="15"/>
        </w:rPr>
        <w:t xml:space="preserve"> (b)试验结束后</w:t>
      </w:r>
    </w:p>
    <w:p w14:paraId="4BCA344A">
      <w:pPr>
        <w:snapToGrid w:val="0"/>
        <w:jc w:val="center"/>
        <w:rPr>
          <w:rFonts w:ascii="Times New Roman" w:hAnsi="Times New Roman" w:eastAsia="黑体" w:cs="Times New Roman"/>
          <w:sz w:val="18"/>
          <w:szCs w:val="18"/>
        </w:rPr>
      </w:pPr>
      <w:r>
        <w:rPr>
          <w:rFonts w:ascii="Times New Roman" w:hAnsi="Times New Roman" w:eastAsia="黑体" w:cs="Times New Roman"/>
          <w:sz w:val="18"/>
          <w:szCs w:val="18"/>
        </w:rPr>
        <w:t>图</w:t>
      </w:r>
      <w:r>
        <w:rPr>
          <w:rFonts w:hint="eastAsia" w:ascii="Times New Roman" w:hAnsi="Times New Roman" w:eastAsia="黑体" w:cs="Times New Roman"/>
          <w:sz w:val="18"/>
          <w:szCs w:val="18"/>
        </w:rPr>
        <w:t>8 浑水试验过程示意</w:t>
      </w:r>
      <w:r>
        <w:rPr>
          <w:rFonts w:ascii="Times New Roman" w:hAnsi="Times New Roman" w:eastAsia="黑体" w:cs="Times New Roman"/>
          <w:sz w:val="18"/>
          <w:szCs w:val="18"/>
        </w:rPr>
        <w:t xml:space="preserve"> </w:t>
      </w:r>
    </w:p>
    <w:p w14:paraId="2744D94B">
      <w:pPr>
        <w:snapToGrid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Fig. 8</w:t>
      </w:r>
      <w:r>
        <w:rPr>
          <w:rFonts w:ascii="Times New Roman" w:hAnsi="Times New Roman" w:eastAsia="宋体" w:cs="Times New Roman"/>
          <w:sz w:val="18"/>
          <w:szCs w:val="18"/>
        </w:rPr>
        <w:t xml:space="preserve"> Schematic diagram of sediment-laden flow experiment process</w:t>
      </w:r>
    </w:p>
    <w:p w14:paraId="1750E6FE">
      <w:pPr>
        <w:snapToGrid w:val="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4结果讨论</w:t>
      </w:r>
    </w:p>
    <w:p w14:paraId="15BA6276">
      <w:pPr>
        <w:snapToGrid w:val="0"/>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本研究提出了一种基于无量纲直径</w:t>
      </w:r>
      <w:r>
        <w:rPr>
          <w:rFonts w:ascii="Times New Roman" w:hAnsi="Times New Roman" w:eastAsia="宋体" w:cs="Times New Roman"/>
          <w:i/>
          <w:iCs/>
          <w:szCs w:val="21"/>
        </w:rPr>
        <w:t>L</w:t>
      </w:r>
      <w:r>
        <w:rPr>
          <w:rFonts w:ascii="Times New Roman" w:hAnsi="Times New Roman" w:eastAsia="宋体" w:cs="Times New Roman"/>
          <w:szCs w:val="21"/>
        </w:rPr>
        <w:t>的悬沙排沙漏斗设计方法，</w:t>
      </w:r>
      <w:r>
        <w:rPr>
          <w:rFonts w:ascii="Times New Roman" w:hAnsi="Times New Roman" w:eastAsia="宋体" w:cs="Times New Roman"/>
          <w:i/>
          <w:iCs/>
          <w:szCs w:val="21"/>
        </w:rPr>
        <w:t>L</w:t>
      </w:r>
      <w:r>
        <w:rPr>
          <w:rFonts w:ascii="Times New Roman" w:hAnsi="Times New Roman" w:eastAsia="宋体" w:cs="Times New Roman"/>
          <w:szCs w:val="21"/>
        </w:rPr>
        <w:t>由漏斗直径</w:t>
      </w:r>
      <w:r>
        <w:rPr>
          <w:rFonts w:ascii="Times New Roman" w:hAnsi="Times New Roman" w:eastAsia="宋体" w:cs="Times New Roman"/>
          <w:i/>
          <w:iCs/>
          <w:szCs w:val="21"/>
        </w:rPr>
        <w:t>D</w:t>
      </w:r>
      <w:r>
        <w:rPr>
          <w:rFonts w:ascii="Times New Roman" w:hAnsi="Times New Roman" w:eastAsia="宋体" w:cs="Times New Roman"/>
          <w:szCs w:val="21"/>
        </w:rPr>
        <w:t>与处理流量</w:t>
      </w:r>
      <w:r>
        <w:rPr>
          <w:rFonts w:ascii="Times New Roman" w:hAnsi="Times New Roman" w:eastAsia="宋体" w:cs="Times New Roman"/>
          <w:i/>
          <w:iCs/>
          <w:szCs w:val="21"/>
        </w:rPr>
        <w:t>Q</w:t>
      </w:r>
      <w:r>
        <w:rPr>
          <w:rFonts w:ascii="Times New Roman" w:hAnsi="Times New Roman" w:eastAsia="宋体" w:cs="Times New Roman"/>
          <w:i/>
          <w:iCs/>
          <w:szCs w:val="21"/>
          <w:vertAlign w:val="subscript"/>
        </w:rPr>
        <w:t>w</w:t>
      </w:r>
      <w:r>
        <w:rPr>
          <w:rFonts w:ascii="Times New Roman" w:hAnsi="Times New Roman" w:eastAsia="宋体" w:cs="Times New Roman"/>
          <w:szCs w:val="21"/>
        </w:rPr>
        <w:t>构成，在此基础上开展浑水试验，建立了以</w:t>
      </w:r>
      <w:r>
        <w:rPr>
          <w:rFonts w:ascii="Times New Roman" w:hAnsi="Times New Roman" w:eastAsia="宋体" w:cs="Times New Roman"/>
          <w:i/>
          <w:iCs/>
          <w:szCs w:val="21"/>
        </w:rPr>
        <w:t>L</w:t>
      </w:r>
      <w:r>
        <w:rPr>
          <w:rFonts w:hint="eastAsia" w:ascii="Times New Roman" w:hAnsi="Times New Roman" w:eastAsia="宋体" w:cs="Times New Roman"/>
          <w:i/>
          <w:iCs/>
          <w:szCs w:val="21"/>
        </w:rPr>
        <w:t>、</w:t>
      </w:r>
      <w:r>
        <w:rPr>
          <w:rFonts w:ascii="Times New Roman" w:hAnsi="Times New Roman" w:eastAsia="宋体" w:cs="Times New Roman"/>
          <w:szCs w:val="21"/>
        </w:rPr>
        <w:t>含沙浓度</w:t>
      </w:r>
      <w:r>
        <w:rPr>
          <w:rFonts w:ascii="Times New Roman" w:hAnsi="Times New Roman" w:eastAsia="宋体" w:cs="Times New Roman"/>
          <w:i/>
          <w:iCs/>
          <w:szCs w:val="21"/>
        </w:rPr>
        <w:t>S</w:t>
      </w:r>
      <w:r>
        <w:rPr>
          <w:rFonts w:ascii="Times New Roman" w:hAnsi="Times New Roman" w:eastAsia="宋体" w:cs="Times New Roman"/>
          <w:szCs w:val="21"/>
        </w:rPr>
        <w:t>为自变量、泥沙截除率与排沙耗水率为因变量的预测模型，并结合非支配排序遗传算法与TOPSIS方法确定</w:t>
      </w:r>
      <w:r>
        <w:rPr>
          <w:rFonts w:hint="eastAsia" w:ascii="Times New Roman" w:hAnsi="Times New Roman" w:eastAsia="宋体" w:cs="Times New Roman"/>
          <w:szCs w:val="21"/>
        </w:rPr>
        <w:t>了不同含沙浓度下的</w:t>
      </w:r>
      <w:r>
        <w:rPr>
          <w:rFonts w:ascii="Times New Roman" w:hAnsi="Times New Roman" w:eastAsia="宋体" w:cs="Times New Roman"/>
          <w:szCs w:val="21"/>
        </w:rPr>
        <w:t>最优</w:t>
      </w:r>
      <w:r>
        <w:rPr>
          <w:rFonts w:ascii="Times New Roman" w:hAnsi="Times New Roman" w:eastAsia="宋体" w:cs="Times New Roman"/>
          <w:i/>
          <w:iCs/>
          <w:szCs w:val="21"/>
        </w:rPr>
        <w:t>L</w:t>
      </w:r>
      <w:r>
        <w:rPr>
          <w:rFonts w:ascii="Times New Roman" w:hAnsi="Times New Roman" w:eastAsia="宋体" w:cs="Times New Roman"/>
          <w:szCs w:val="21"/>
        </w:rPr>
        <w:t>值，从而可在设计初期在已知流量的条件下合理确定漏斗直径。相较于传统以清水试验为基础的方法，本方法具有多方面优势：传统设计主要关注流场稳定性，常用于推移质泥沙排沙，未充分考虑截除率与耗水率的综合效益，且较强旋流对悬沙沉降不利；而本研究基于悬移质泥沙的浑水试验，兼顾截除率与耗水率的双目标优化，建立了适用于悬沙条件的系统设计流程。该方法实现了从试验建模到优化决策的一体化设计思路，一旦确定</w:t>
      </w:r>
      <w:r>
        <w:rPr>
          <w:rFonts w:ascii="Times New Roman" w:hAnsi="Times New Roman" w:eastAsia="宋体" w:cs="Times New Roman"/>
          <w:i/>
          <w:iCs/>
          <w:szCs w:val="21"/>
        </w:rPr>
        <w:t>L</w:t>
      </w:r>
      <w:r>
        <w:rPr>
          <w:rFonts w:ascii="Times New Roman" w:hAnsi="Times New Roman" w:eastAsia="宋体" w:cs="Times New Roman"/>
          <w:szCs w:val="21"/>
        </w:rPr>
        <w:t>值，工程实际应用中只需根据设计流量即可确定漏斗直径，使用便捷，具有良好的可实施性。</w:t>
      </w:r>
    </w:p>
    <w:p w14:paraId="2A600795">
      <w:pPr>
        <w:snapToGrid w:val="0"/>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然而，鉴于泥沙问题的复杂性以及本研究所选参数范围的局限性，尚难以覆盖所有实际工程工况。当工程中出现进流流量</w:t>
      </w:r>
      <w:r>
        <w:rPr>
          <w:rFonts w:ascii="Times New Roman" w:hAnsi="Times New Roman" w:eastAsia="宋体" w:cs="Times New Roman"/>
          <w:i/>
          <w:iCs/>
          <w:szCs w:val="21"/>
        </w:rPr>
        <w:t>Q</w:t>
      </w:r>
      <w:r>
        <w:rPr>
          <w:rFonts w:ascii="Times New Roman" w:hAnsi="Times New Roman" w:eastAsia="宋体" w:cs="Times New Roman"/>
          <w:i/>
          <w:iCs/>
          <w:szCs w:val="21"/>
          <w:vertAlign w:val="subscript"/>
        </w:rPr>
        <w:t>w</w:t>
      </w:r>
      <w:r>
        <w:rPr>
          <w:rFonts w:ascii="Times New Roman" w:hAnsi="Times New Roman" w:eastAsia="宋体" w:cs="Times New Roman"/>
          <w:szCs w:val="21"/>
        </w:rPr>
        <w:t>、泥沙级配或含沙浓度超出本研究范围的情况时，建议在初步确定悬沙排沙漏斗结构尺寸后，结合试验手段对其水沙分离性能进行验证，并据此对设计方案进行必要的调整与优化。此外，对于</w:t>
      </w:r>
      <w:r>
        <w:rPr>
          <w:rFonts w:ascii="Times New Roman" w:hAnsi="Times New Roman" w:eastAsia="宋体" w:cs="Times New Roman"/>
          <w:i/>
          <w:iCs/>
          <w:szCs w:val="21"/>
        </w:rPr>
        <w:t>Q</w:t>
      </w:r>
      <w:r>
        <w:rPr>
          <w:rFonts w:ascii="Times New Roman" w:hAnsi="Times New Roman" w:eastAsia="宋体" w:cs="Times New Roman"/>
          <w:i/>
          <w:iCs/>
          <w:szCs w:val="21"/>
          <w:vertAlign w:val="subscript"/>
        </w:rPr>
        <w:t>w</w:t>
      </w:r>
      <w:r>
        <w:rPr>
          <w:rFonts w:ascii="Times New Roman" w:hAnsi="Times New Roman" w:eastAsia="宋体" w:cs="Times New Roman"/>
          <w:szCs w:val="21"/>
        </w:rPr>
        <w:t>、泥沙级配或含沙浓度超出本研究取值范围时对分离性能的影响，仍需进一步深入开展相关研究。另一方面，悬沙排沙漏斗的截沙效果与其内部流场结构密切相关，后续可结合</w:t>
      </w:r>
      <w:r>
        <w:rPr>
          <w:rFonts w:hint="eastAsia" w:ascii="Times New Roman" w:hAnsi="Times New Roman" w:eastAsia="宋体" w:cs="Times New Roman"/>
          <w:szCs w:val="21"/>
        </w:rPr>
        <w:t>试验</w:t>
      </w:r>
      <w:r>
        <w:rPr>
          <w:rFonts w:ascii="Times New Roman" w:hAnsi="Times New Roman" w:eastAsia="宋体" w:cs="Times New Roman"/>
          <w:szCs w:val="21"/>
        </w:rPr>
        <w:t>与数值模拟方法，探究其内部高效沉沙流场特征，在此基础对其进一步优化。</w:t>
      </w:r>
    </w:p>
    <w:p w14:paraId="410FBA3E">
      <w:pPr>
        <w:pStyle w:val="17"/>
        <w:snapToGrid w:val="0"/>
        <w:ind w:firstLine="0"/>
        <w:rPr>
          <w:rFonts w:ascii="Times New Roman" w:hAnsi="Times New Roman" w:eastAsia="宋体" w:cs="Times New Roman"/>
          <w:b/>
          <w:bCs/>
          <w:szCs w:val="21"/>
        </w:rPr>
      </w:pPr>
      <w:r>
        <w:rPr>
          <w:rFonts w:hint="eastAsia" w:ascii="Times New Roman" w:hAnsi="Times New Roman" w:eastAsia="宋体" w:cs="Times New Roman"/>
          <w:sz w:val="28"/>
          <w:szCs w:val="28"/>
        </w:rPr>
        <w:t>5</w:t>
      </w:r>
      <w:r>
        <w:rPr>
          <w:rFonts w:ascii="Times New Roman" w:hAnsi="Times New Roman" w:eastAsia="宋体" w:cs="Times New Roman"/>
          <w:sz w:val="28"/>
          <w:szCs w:val="28"/>
        </w:rPr>
        <w:t>结论</w:t>
      </w:r>
    </w:p>
    <w:p w14:paraId="1368B192">
      <w:pPr>
        <w:pStyle w:val="12"/>
        <w:tabs>
          <w:tab w:val="left" w:pos="312"/>
        </w:tabs>
        <w:spacing w:line="240" w:lineRule="auto"/>
        <w:ind w:firstLine="420"/>
        <w:rPr>
          <w:color w:val="auto"/>
          <w:sz w:val="21"/>
          <w:szCs w:val="21"/>
          <w:lang w:eastAsia="zh-CN"/>
        </w:rPr>
      </w:pPr>
      <w:bookmarkStart w:id="27" w:name="_Hlk202874310"/>
      <w:r>
        <w:rPr>
          <w:rFonts w:hint="eastAsia"/>
          <w:color w:val="auto"/>
          <w:sz w:val="21"/>
          <w:szCs w:val="21"/>
          <w:lang w:eastAsia="zh-CN"/>
        </w:rPr>
        <w:t>（1）</w:t>
      </w:r>
      <w:r>
        <w:rPr>
          <w:color w:val="auto"/>
          <w:sz w:val="21"/>
          <w:szCs w:val="21"/>
          <w:lang w:eastAsia="zh-CN"/>
        </w:rPr>
        <w:t>研究以系列浑水模型试验结果为建模样本，使用线性函数、二次函数、指数函数与幂函数分别建立了无量纲直径</w:t>
      </w:r>
      <w:r>
        <w:rPr>
          <w:i/>
          <w:iCs/>
          <w:color w:val="auto"/>
          <w:sz w:val="21"/>
          <w:szCs w:val="21"/>
          <w:lang w:eastAsia="zh-CN"/>
        </w:rPr>
        <w:t>L</w:t>
      </w:r>
      <w:r>
        <w:rPr>
          <w:rFonts w:hint="eastAsia"/>
          <w:i/>
          <w:iCs/>
          <w:color w:val="auto"/>
          <w:sz w:val="21"/>
          <w:szCs w:val="21"/>
          <w:lang w:eastAsia="zh-CN"/>
        </w:rPr>
        <w:t>、</w:t>
      </w:r>
      <w:r>
        <w:rPr>
          <w:color w:val="auto"/>
          <w:sz w:val="21"/>
          <w:szCs w:val="21"/>
          <w:lang w:eastAsia="zh-CN"/>
        </w:rPr>
        <w:t>含沙浓度</w:t>
      </w:r>
      <w:r>
        <w:rPr>
          <w:i/>
          <w:iCs/>
          <w:color w:val="auto"/>
          <w:sz w:val="21"/>
          <w:szCs w:val="21"/>
          <w:lang w:eastAsia="zh-CN"/>
        </w:rPr>
        <w:t>S</w:t>
      </w:r>
      <w:r>
        <w:rPr>
          <w:color w:val="auto"/>
          <w:sz w:val="21"/>
          <w:szCs w:val="21"/>
          <w:lang w:eastAsia="zh-CN"/>
        </w:rPr>
        <w:t>为自变量，泥沙截除率</w:t>
      </w:r>
      <w:r>
        <w:rPr>
          <w:i/>
          <w:iCs/>
          <w:color w:val="auto"/>
          <w:sz w:val="21"/>
          <w:szCs w:val="21"/>
          <w:lang w:eastAsia="zh-CN"/>
        </w:rPr>
        <w:t>η</w:t>
      </w:r>
      <w:r>
        <w:rPr>
          <w:color w:val="auto"/>
          <w:sz w:val="21"/>
          <w:szCs w:val="21"/>
          <w:lang w:eastAsia="zh-CN"/>
        </w:rPr>
        <w:t>及排沙耗水率</w:t>
      </w:r>
      <w:r>
        <w:rPr>
          <w:i/>
          <w:iCs/>
          <w:color w:val="auto"/>
          <w:sz w:val="21"/>
          <w:szCs w:val="21"/>
          <w:lang w:eastAsia="zh-CN"/>
        </w:rPr>
        <w:t>λ</w:t>
      </w:r>
      <w:r>
        <w:rPr>
          <w:color w:val="auto"/>
          <w:sz w:val="21"/>
          <w:szCs w:val="21"/>
          <w:lang w:eastAsia="zh-CN"/>
        </w:rPr>
        <w:t>为因变量的预测模型，通过对训练组、测试组预测精度的对比分析，最终选择</w:t>
      </w:r>
      <w:r>
        <w:rPr>
          <w:rFonts w:hint="eastAsia"/>
          <w:color w:val="auto"/>
          <w:sz w:val="21"/>
          <w:szCs w:val="21"/>
          <w:lang w:eastAsia="zh-CN"/>
        </w:rPr>
        <w:t>幂</w:t>
      </w:r>
      <w:r>
        <w:rPr>
          <w:color w:val="auto"/>
          <w:sz w:val="21"/>
          <w:szCs w:val="21"/>
          <w:lang w:eastAsia="zh-CN"/>
        </w:rPr>
        <w:t>函数</w:t>
      </w:r>
      <w:r>
        <w:rPr>
          <w:rFonts w:hint="eastAsia"/>
          <w:color w:val="auto"/>
          <w:position w:val="-7"/>
          <w:sz w:val="15"/>
          <w:szCs w:val="15"/>
          <w:lang w:bidi="ar"/>
        </w:rPr>
        <w:drawing>
          <wp:inline distT="0" distB="0" distL="114300" distR="114300">
            <wp:extent cx="57150" cy="138430"/>
            <wp:effectExtent l="0" t="0" r="0" b="3175"/>
            <wp:docPr id="160015505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155054" name="图片 52"/>
                    <pic:cNvPicPr>
                      <a:picLocks noChangeAspect="1"/>
                    </pic:cNvPicPr>
                  </pic:nvPicPr>
                  <pic:blipFill>
                    <a:blip r:embed="rId29">
                      <a:clrChange>
                        <a:clrFrom>
                          <a:srgbClr val="FFFFFF"/>
                        </a:clrFrom>
                        <a:clrTo>
                          <a:srgbClr val="FFFFFF">
                            <a:alpha val="0"/>
                          </a:srgbClr>
                        </a:clrTo>
                      </a:clrChange>
                    </a:blip>
                    <a:stretch>
                      <a:fillRect/>
                    </a:stretch>
                  </pic:blipFill>
                  <pic:spPr>
                    <a:xfrm>
                      <a:off x="0" y="0"/>
                      <a:ext cx="57150" cy="138430"/>
                    </a:xfrm>
                    <a:prstGeom prst="rect">
                      <a:avLst/>
                    </a:prstGeom>
                    <a:noFill/>
                    <a:ln>
                      <a:noFill/>
                    </a:ln>
                  </pic:spPr>
                </pic:pic>
              </a:graphicData>
            </a:graphic>
          </wp:inline>
        </w:drawing>
      </w:r>
      <w:r>
        <w:rPr>
          <w:color w:val="auto"/>
          <w:sz w:val="15"/>
          <w:szCs w:val="15"/>
          <w:lang w:bidi="ar"/>
        </w:rPr>
        <w:t>=</w:t>
      </w:r>
      <w:r>
        <w:rPr>
          <w:rFonts w:hint="eastAsia"/>
          <w:color w:val="auto"/>
          <w:sz w:val="15"/>
          <w:szCs w:val="15"/>
          <w:lang w:bidi="ar"/>
        </w:rPr>
        <w:t>2.03</w:t>
      </w:r>
      <w:r>
        <w:rPr>
          <w:rFonts w:ascii="Arial" w:hAnsi="Arial" w:cs="Arial"/>
          <w:color w:val="auto"/>
          <w:sz w:val="15"/>
          <w:szCs w:val="15"/>
          <w:lang w:bidi="ar"/>
        </w:rPr>
        <w:t>×</w:t>
      </w:r>
      <w:r>
        <w:rPr>
          <w:rFonts w:hint="eastAsia"/>
          <w:color w:val="auto"/>
          <w:sz w:val="15"/>
          <w:szCs w:val="15"/>
          <w:lang w:bidi="ar"/>
        </w:rPr>
        <w:t>10</w:t>
      </w:r>
      <w:r>
        <w:rPr>
          <w:rFonts w:hint="eastAsia"/>
          <w:color w:val="auto"/>
          <w:sz w:val="15"/>
          <w:szCs w:val="15"/>
          <w:vertAlign w:val="superscript"/>
          <w:lang w:bidi="ar"/>
        </w:rPr>
        <w:t>-5</w:t>
      </w:r>
      <w:r>
        <w:rPr>
          <w:rFonts w:hint="eastAsia"/>
          <w:i/>
          <w:iCs/>
          <w:color w:val="auto"/>
          <w:sz w:val="15"/>
          <w:szCs w:val="15"/>
          <w:lang w:bidi="ar"/>
        </w:rPr>
        <w:t>L</w:t>
      </w:r>
      <w:r>
        <w:rPr>
          <w:color w:val="auto"/>
          <w:sz w:val="15"/>
          <w:szCs w:val="15"/>
          <w:vertAlign w:val="superscript"/>
          <w:lang w:bidi="ar"/>
        </w:rPr>
        <w:t>-0.77</w:t>
      </w:r>
      <w:r>
        <w:rPr>
          <w:i/>
          <w:iCs/>
          <w:color w:val="auto"/>
          <w:sz w:val="15"/>
          <w:szCs w:val="15"/>
          <w:vertAlign w:val="superscript"/>
          <w:lang w:bidi="ar"/>
        </w:rPr>
        <w:t xml:space="preserve"> </w:t>
      </w:r>
      <w:r>
        <w:rPr>
          <w:rFonts w:hint="eastAsia"/>
          <w:i/>
          <w:iCs/>
          <w:color w:val="auto"/>
          <w:sz w:val="15"/>
          <w:szCs w:val="15"/>
          <w:lang w:bidi="ar"/>
        </w:rPr>
        <w:t>s</w:t>
      </w:r>
      <w:r>
        <w:rPr>
          <w:color w:val="auto"/>
          <w:sz w:val="15"/>
          <w:szCs w:val="15"/>
          <w:vertAlign w:val="superscript"/>
          <w:lang w:bidi="ar"/>
        </w:rPr>
        <w:t>3.546</w:t>
      </w:r>
      <w:r>
        <w:rPr>
          <w:color w:val="auto"/>
          <w:sz w:val="15"/>
          <w:szCs w:val="15"/>
          <w:lang w:bidi="ar"/>
        </w:rPr>
        <w:t xml:space="preserve"> + 19.51</w:t>
      </w:r>
      <w:r>
        <w:rPr>
          <w:color w:val="auto"/>
          <w:sz w:val="21"/>
          <w:szCs w:val="21"/>
          <w:lang w:eastAsia="zh-CN"/>
        </w:rPr>
        <w:t>、幂函数</w:t>
      </w:r>
      <w:r>
        <w:rPr>
          <w:rFonts w:hint="eastAsia"/>
          <w:color w:val="auto"/>
          <w:position w:val="-7"/>
          <w:sz w:val="15"/>
          <w:szCs w:val="15"/>
          <w:lang w:bidi="ar"/>
        </w:rPr>
        <w:drawing>
          <wp:inline distT="0" distB="0" distL="114300" distR="114300">
            <wp:extent cx="52705" cy="138430"/>
            <wp:effectExtent l="0" t="0" r="4445" b="0"/>
            <wp:docPr id="13245187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518754" name="图片 54"/>
                    <pic:cNvPicPr>
                      <a:picLocks noChangeAspect="1"/>
                    </pic:cNvPicPr>
                  </pic:nvPicPr>
                  <pic:blipFill>
                    <a:blip r:embed="rId30">
                      <a:clrChange>
                        <a:clrFrom>
                          <a:srgbClr val="FFFFFF"/>
                        </a:clrFrom>
                        <a:clrTo>
                          <a:srgbClr val="FFFFFF">
                            <a:alpha val="0"/>
                          </a:srgbClr>
                        </a:clrTo>
                      </a:clrChange>
                    </a:blip>
                    <a:stretch>
                      <a:fillRect/>
                    </a:stretch>
                  </pic:blipFill>
                  <pic:spPr>
                    <a:xfrm>
                      <a:off x="0" y="0"/>
                      <a:ext cx="52705" cy="138430"/>
                    </a:xfrm>
                    <a:prstGeom prst="rect">
                      <a:avLst/>
                    </a:prstGeom>
                    <a:noFill/>
                    <a:ln>
                      <a:noFill/>
                    </a:ln>
                  </pic:spPr>
                </pic:pic>
              </a:graphicData>
            </a:graphic>
          </wp:inline>
        </w:drawing>
      </w:r>
      <w:r>
        <w:rPr>
          <w:color w:val="auto"/>
          <w:sz w:val="15"/>
          <w:szCs w:val="15"/>
          <w:lang w:bidi="ar"/>
        </w:rPr>
        <w:t>=0.0044</w:t>
      </w:r>
      <w:r>
        <w:rPr>
          <w:rFonts w:hint="eastAsia"/>
          <w:i/>
          <w:iCs/>
          <w:color w:val="auto"/>
          <w:sz w:val="15"/>
          <w:szCs w:val="15"/>
          <w:lang w:bidi="ar"/>
        </w:rPr>
        <w:t>L</w:t>
      </w:r>
      <w:r>
        <w:rPr>
          <w:rFonts w:hint="eastAsia"/>
          <w:color w:val="auto"/>
          <w:sz w:val="15"/>
          <w:szCs w:val="15"/>
          <w:vertAlign w:val="superscript"/>
          <w:lang w:bidi="ar"/>
        </w:rPr>
        <w:t>-1.0005</w:t>
      </w:r>
      <w:r>
        <w:rPr>
          <w:color w:val="auto"/>
          <w:sz w:val="21"/>
          <w:szCs w:val="21"/>
          <w:lang w:eastAsia="zh-CN"/>
        </w:rPr>
        <w:t>分别作为泥沙截除率与排沙耗水率预测模型，</w:t>
      </w:r>
      <w:r>
        <w:rPr>
          <w:color w:val="auto"/>
          <w:sz w:val="21"/>
          <w:szCs w:val="21"/>
        </w:rPr>
        <w:t>模型训练组和测试组的</w:t>
      </w:r>
      <w:r>
        <w:rPr>
          <w:color w:val="auto"/>
          <w:sz w:val="21"/>
          <w:szCs w:val="21"/>
          <w:lang w:eastAsia="zh-CN"/>
        </w:rPr>
        <w:t>直接</w:t>
      </w:r>
      <w:r>
        <w:rPr>
          <w:color w:val="auto"/>
          <w:sz w:val="21"/>
          <w:szCs w:val="21"/>
        </w:rPr>
        <w:t>误差均小于5%，且</w:t>
      </w:r>
      <w:r>
        <w:rPr>
          <w:i/>
          <w:iCs/>
          <w:color w:val="auto"/>
          <w:sz w:val="21"/>
          <w:szCs w:val="21"/>
        </w:rPr>
        <w:t>R</w:t>
      </w:r>
      <w:r>
        <w:rPr>
          <w:color w:val="auto"/>
          <w:sz w:val="21"/>
          <w:szCs w:val="21"/>
        </w:rPr>
        <w:t>²均大于0.9</w:t>
      </w:r>
      <w:r>
        <w:rPr>
          <w:rFonts w:hint="eastAsia"/>
          <w:color w:val="auto"/>
          <w:sz w:val="21"/>
          <w:szCs w:val="21"/>
          <w:lang w:eastAsia="zh-CN"/>
        </w:rPr>
        <w:t>1</w:t>
      </w:r>
      <w:r>
        <w:rPr>
          <w:color w:val="auto"/>
          <w:sz w:val="21"/>
          <w:szCs w:val="21"/>
          <w:lang w:eastAsia="zh-CN"/>
        </w:rPr>
        <w:t>。</w:t>
      </w:r>
    </w:p>
    <w:p w14:paraId="3270E7BC">
      <w:pPr>
        <w:pStyle w:val="12"/>
        <w:tabs>
          <w:tab w:val="left" w:pos="312"/>
        </w:tabs>
        <w:spacing w:line="240" w:lineRule="auto"/>
        <w:ind w:firstLine="420"/>
        <w:rPr>
          <w:color w:val="auto"/>
          <w:sz w:val="21"/>
          <w:szCs w:val="21"/>
          <w:lang w:eastAsia="zh-CN"/>
        </w:rPr>
      </w:pPr>
      <w:r>
        <w:rPr>
          <w:rFonts w:hint="eastAsia"/>
          <w:color w:val="auto"/>
          <w:sz w:val="21"/>
          <w:szCs w:val="21"/>
          <w:lang w:eastAsia="zh-CN"/>
        </w:rPr>
        <w:t>（2）</w:t>
      </w:r>
      <w:r>
        <w:rPr>
          <w:color w:val="auto"/>
          <w:sz w:val="21"/>
          <w:szCs w:val="21"/>
          <w:lang w:eastAsia="zh-CN"/>
        </w:rPr>
        <w:t>结合非支配遗传算法与TOPSIS方法，以高泥沙截除率与低排沙耗水率为目标，获得了</w:t>
      </w:r>
      <w:r>
        <w:rPr>
          <w:rFonts w:hint="eastAsia"/>
          <w:color w:val="auto"/>
          <w:sz w:val="21"/>
          <w:szCs w:val="21"/>
          <w:lang w:eastAsia="zh-CN"/>
        </w:rPr>
        <w:t>不同含沙浓度下</w:t>
      </w:r>
      <w:r>
        <w:rPr>
          <w:color w:val="auto"/>
          <w:sz w:val="21"/>
          <w:szCs w:val="21"/>
          <w:lang w:eastAsia="zh-CN"/>
        </w:rPr>
        <w:t>最优无量纲直径</w:t>
      </w:r>
      <w:r>
        <w:rPr>
          <w:i/>
          <w:iCs/>
          <w:color w:val="auto"/>
          <w:sz w:val="21"/>
          <w:szCs w:val="21"/>
          <w:lang w:eastAsia="zh-CN"/>
        </w:rPr>
        <w:t>L</w:t>
      </w:r>
      <w:r>
        <w:rPr>
          <w:color w:val="auto"/>
          <w:sz w:val="21"/>
          <w:szCs w:val="21"/>
          <w:lang w:eastAsia="zh-CN"/>
        </w:rPr>
        <w:t>=0.00036</w:t>
      </w:r>
      <w:r>
        <w:rPr>
          <w:szCs w:val="21"/>
        </w:rPr>
        <w:t>~</w:t>
      </w:r>
      <w:r>
        <w:rPr>
          <w:color w:val="auto"/>
          <w:sz w:val="21"/>
          <w:szCs w:val="21"/>
          <w:lang w:eastAsia="zh-CN"/>
        </w:rPr>
        <w:t>0.0004。应用所提无量纲直径的最优取值对TLH悬沙排沙漏斗直径重新设计，</w:t>
      </w:r>
      <w:r>
        <w:rPr>
          <w:color w:val="auto"/>
          <w:sz w:val="21"/>
          <w:szCs w:val="21"/>
          <w:lang w:val="de-DE" w:eastAsia="zh-CN"/>
        </w:rPr>
        <w:t>并开展浑水试验，</w:t>
      </w:r>
      <w:r>
        <w:rPr>
          <w:color w:val="auto"/>
          <w:sz w:val="21"/>
          <w:szCs w:val="21"/>
        </w:rPr>
        <w:t>结果表明重新设计后的</w:t>
      </w:r>
      <w:r>
        <w:rPr>
          <w:color w:val="auto"/>
          <w:sz w:val="21"/>
          <w:szCs w:val="21"/>
          <w:lang w:eastAsia="zh-CN"/>
        </w:rPr>
        <w:t>TLH漏斗泥沙截除率由30.34</w:t>
      </w:r>
      <w:r>
        <w:rPr>
          <w:color w:val="auto"/>
          <w:sz w:val="21"/>
          <w:szCs w:val="21"/>
        </w:rPr>
        <w:t>%提升至</w:t>
      </w:r>
      <w:r>
        <w:rPr>
          <w:color w:val="auto"/>
          <w:sz w:val="21"/>
          <w:szCs w:val="21"/>
          <w:lang w:eastAsia="zh-CN"/>
        </w:rPr>
        <w:t>41.7</w:t>
      </w:r>
      <w:r>
        <w:rPr>
          <w:color w:val="auto"/>
          <w:sz w:val="21"/>
          <w:szCs w:val="21"/>
        </w:rPr>
        <w:t>%，</w:t>
      </w:r>
      <w:r>
        <w:rPr>
          <w:color w:val="auto"/>
          <w:sz w:val="21"/>
          <w:szCs w:val="21"/>
          <w:lang w:eastAsia="zh-CN"/>
        </w:rPr>
        <w:t>提升11.36%，排沙耗水率由7.6%提升至8.02%，仅提升0.42%</w:t>
      </w:r>
      <w:r>
        <w:rPr>
          <w:color w:val="auto"/>
          <w:sz w:val="21"/>
          <w:szCs w:val="21"/>
        </w:rPr>
        <w:t>。</w:t>
      </w:r>
    </w:p>
    <w:p w14:paraId="3076EBE4">
      <w:pPr>
        <w:ind w:firstLine="420" w:firstLineChars="200"/>
        <w:rPr>
          <w:rFonts w:ascii="Times New Roman" w:hAnsi="Times New Roman" w:eastAsia="宋体" w:cs="Times New Roman"/>
          <w:szCs w:val="21"/>
        </w:rPr>
      </w:pPr>
      <w:bookmarkStart w:id="28" w:name="_Hlk202873761"/>
      <w:r>
        <w:rPr>
          <w:rFonts w:hint="eastAsia" w:ascii="Times New Roman" w:hAnsi="Times New Roman" w:eastAsia="宋体" w:cs="Times New Roman"/>
          <w:kern w:val="0"/>
          <w:szCs w:val="21"/>
          <w:lang w:bidi="en-US"/>
        </w:rPr>
        <w:t>（3）</w:t>
      </w:r>
      <w:r>
        <w:rPr>
          <w:rFonts w:ascii="Times New Roman" w:hAnsi="Times New Roman" w:eastAsia="宋体" w:cs="Times New Roman"/>
          <w:szCs w:val="21"/>
        </w:rPr>
        <w:t>由于本研究的建模与优化均在无量纲直径</w:t>
      </w:r>
      <w:r>
        <w:rPr>
          <w:rFonts w:ascii="Times New Roman" w:hAnsi="Times New Roman" w:eastAsia="宋体" w:cs="Times New Roman"/>
          <w:i/>
          <w:iCs/>
          <w:szCs w:val="21"/>
        </w:rPr>
        <w:t xml:space="preserve"> L </w:t>
      </w:r>
      <w:r>
        <w:rPr>
          <w:rFonts w:ascii="Times New Roman" w:hAnsi="Times New Roman" w:eastAsia="宋体" w:cs="Times New Roman"/>
          <w:szCs w:val="21"/>
        </w:rPr>
        <w:t>为 0.0001</w:t>
      </w:r>
      <w:r>
        <w:rPr>
          <w:rFonts w:hint="eastAsia" w:ascii="Times New Roman" w:hAnsi="Times New Roman" w:eastAsia="宋体" w:cs="Times New Roman"/>
          <w:szCs w:val="21"/>
        </w:rPr>
        <w:t>6</w:t>
      </w:r>
      <w:r>
        <w:rPr>
          <w:rFonts w:ascii="Times New Roman" w:hAnsi="Times New Roman" w:eastAsia="宋体" w:cs="Times New Roman"/>
          <w:szCs w:val="21"/>
        </w:rPr>
        <w:t xml:space="preserve"> 至 0.000</w:t>
      </w:r>
      <w:r>
        <w:rPr>
          <w:rFonts w:hint="eastAsia" w:ascii="Times New Roman" w:hAnsi="Times New Roman" w:eastAsia="宋体" w:cs="Times New Roman"/>
          <w:szCs w:val="21"/>
        </w:rPr>
        <w:t>65</w:t>
      </w:r>
      <w:r>
        <w:rPr>
          <w:rFonts w:ascii="Times New Roman" w:hAnsi="Times New Roman" w:eastAsia="宋体" w:cs="Times New Roman"/>
          <w:szCs w:val="21"/>
        </w:rPr>
        <w:t xml:space="preserve"> 的范围内开展，且试验采用的进流含沙浓度</w:t>
      </w:r>
      <w:r>
        <w:rPr>
          <w:rFonts w:hint="eastAsia" w:ascii="Times New Roman" w:hAnsi="Times New Roman" w:eastAsia="宋体" w:cs="Times New Roman"/>
          <w:szCs w:val="21"/>
        </w:rPr>
        <w:t>范围为5.4</w:t>
      </w:r>
      <w:r>
        <w:rPr>
          <w:rFonts w:ascii="Times New Roman" w:hAnsi="Times New Roman" w:cs="Times New Roman"/>
          <w:szCs w:val="21"/>
        </w:rPr>
        <w:t>~</w:t>
      </w:r>
      <w:r>
        <w:rPr>
          <w:rFonts w:hint="eastAsia" w:ascii="Times New Roman" w:hAnsi="Times New Roman" w:eastAsia="宋体" w:cs="Times New Roman"/>
          <w:szCs w:val="21"/>
        </w:rPr>
        <w:t>9</w:t>
      </w:r>
      <w:r>
        <w:rPr>
          <w:rFonts w:ascii="Times New Roman" w:hAnsi="Times New Roman" w:eastAsia="宋体" w:cs="Times New Roman"/>
          <w:szCs w:val="21"/>
        </w:rPr>
        <w:t xml:space="preserve"> kg/m³，因此所提出的建模与优化方法适用于</w:t>
      </w:r>
      <w:r>
        <w:rPr>
          <w:rFonts w:ascii="Times New Roman" w:hAnsi="Times New Roman" w:eastAsia="宋体" w:cs="Times New Roman"/>
          <w:i/>
          <w:iCs/>
          <w:szCs w:val="21"/>
        </w:rPr>
        <w:t xml:space="preserve"> L </w:t>
      </w:r>
      <w:r>
        <w:rPr>
          <w:rFonts w:ascii="Times New Roman" w:hAnsi="Times New Roman" w:eastAsia="宋体" w:cs="Times New Roman"/>
          <w:szCs w:val="21"/>
        </w:rPr>
        <w:t>处于 0.00018 至 0.00070 且含沙浓度</w:t>
      </w:r>
      <w:r>
        <w:rPr>
          <w:rFonts w:hint="eastAsia" w:ascii="Times New Roman" w:hAnsi="Times New Roman" w:eastAsia="宋体" w:cs="Times New Roman"/>
          <w:szCs w:val="21"/>
        </w:rPr>
        <w:t>范围为5.4</w:t>
      </w:r>
      <w:r>
        <w:rPr>
          <w:rFonts w:ascii="Times New Roman" w:hAnsi="Times New Roman" w:cs="Times New Roman"/>
          <w:szCs w:val="21"/>
        </w:rPr>
        <w:t>~</w:t>
      </w:r>
      <w:r>
        <w:rPr>
          <w:rFonts w:hint="eastAsia" w:ascii="Times New Roman" w:hAnsi="Times New Roman" w:eastAsia="宋体" w:cs="Times New Roman"/>
          <w:szCs w:val="21"/>
        </w:rPr>
        <w:t>9</w:t>
      </w:r>
      <w:r>
        <w:rPr>
          <w:rFonts w:ascii="Times New Roman" w:hAnsi="Times New Roman" w:eastAsia="宋体" w:cs="Times New Roman"/>
          <w:szCs w:val="21"/>
        </w:rPr>
        <w:t xml:space="preserve"> kg/m³的工况条件。</w:t>
      </w:r>
      <w:bookmarkEnd w:id="28"/>
    </w:p>
    <w:bookmarkEnd w:id="27"/>
    <w:p w14:paraId="5D446670">
      <w:pPr>
        <w:pStyle w:val="3"/>
        <w:rPr>
          <w:lang w:bidi="en-US"/>
        </w:rPr>
      </w:pPr>
    </w:p>
    <w:p w14:paraId="241AC403">
      <w:pPr>
        <w:snapToGrid w:val="0"/>
        <w:rPr>
          <w:rFonts w:ascii="Times New Roman" w:hAnsi="Times New Roman" w:eastAsia="宋体" w:cs="Times New Roman"/>
          <w:szCs w:val="21"/>
        </w:rPr>
        <w:sectPr>
          <w:footerReference r:id="rId4" w:type="default"/>
          <w:pgSz w:w="11906" w:h="16838"/>
          <w:pgMar w:top="1440" w:right="1800" w:bottom="1440" w:left="1800" w:header="851" w:footer="992" w:gutter="0"/>
          <w:cols w:space="425" w:num="1"/>
          <w:docGrid w:type="lines" w:linePitch="312" w:charSpace="0"/>
        </w:sectPr>
      </w:pPr>
    </w:p>
    <w:p w14:paraId="31DE5B17">
      <w:pPr>
        <w:spacing w:line="360" w:lineRule="auto"/>
        <w:rPr>
          <w:rFonts w:hint="eastAsia" w:asciiTheme="minorEastAsia" w:hAnsiTheme="minorEastAsia" w:cstheme="minorEastAsia"/>
          <w:bCs/>
          <w:sz w:val="28"/>
          <w:szCs w:val="28"/>
        </w:rPr>
      </w:pPr>
      <w:r>
        <w:rPr>
          <w:rFonts w:hint="eastAsia" w:asciiTheme="minorEastAsia" w:hAnsiTheme="minorEastAsia" w:cstheme="minorEastAsia"/>
          <w:bCs/>
          <w:sz w:val="28"/>
          <w:szCs w:val="28"/>
        </w:rPr>
        <w:t>参考文献：</w:t>
      </w:r>
    </w:p>
    <w:p w14:paraId="3A595D71">
      <w:pPr>
        <w:pStyle w:val="18"/>
        <w:ind w:left="300" w:hanging="300" w:hangingChars="200"/>
        <w:rPr>
          <w:rFonts w:ascii="Times New Roman" w:hAnsi="Times New Roman" w:cs="Times New Roman"/>
          <w:sz w:val="15"/>
          <w:szCs w:val="15"/>
        </w:rPr>
      </w:pPr>
      <w:bookmarkStart w:id="29" w:name="_Hlk213669377"/>
      <w:r>
        <w:rPr>
          <w:rFonts w:ascii="Times New Roman" w:hAnsi="Times New Roman" w:cs="Times New Roman"/>
          <w:sz w:val="15"/>
          <w:szCs w:val="15"/>
        </w:rPr>
        <w:t>[1]</w:t>
      </w:r>
      <w:r>
        <w:rPr>
          <w:rFonts w:ascii="Times New Roman" w:hAnsi="Times New Roman" w:cs="Times New Roman"/>
          <w:sz w:val="15"/>
          <w:szCs w:val="15"/>
        </w:rPr>
        <w:tab/>
      </w:r>
      <w:r>
        <w:rPr>
          <w:rFonts w:ascii="Times New Roman" w:hAnsi="Times New Roman" w:cs="Times New Roman"/>
          <w:sz w:val="15"/>
          <w:szCs w:val="15"/>
        </w:rPr>
        <w:t>SCHLEISS A J, FRANCA M J, JUEZ C, et al. Reservoir sedimentation[J]. Journal of Hydraulic Research, 2016, 54(6): 595–614.</w:t>
      </w:r>
    </w:p>
    <w:p w14:paraId="11629AF6">
      <w:pPr>
        <w:pStyle w:val="18"/>
        <w:ind w:left="300" w:hanging="300" w:hangingChars="200"/>
        <w:rPr>
          <w:rFonts w:ascii="Times New Roman" w:hAnsi="Times New Roman" w:cs="Times New Roman"/>
          <w:sz w:val="15"/>
          <w:szCs w:val="15"/>
        </w:rPr>
      </w:pPr>
      <w:r>
        <w:rPr>
          <w:rFonts w:ascii="Times New Roman" w:hAnsi="Times New Roman" w:cs="Times New Roman"/>
          <w:sz w:val="15"/>
          <w:szCs w:val="15"/>
        </w:rPr>
        <w:t>[2]</w:t>
      </w:r>
      <w:r>
        <w:rPr>
          <w:rFonts w:ascii="Times New Roman" w:hAnsi="Times New Roman" w:cs="Times New Roman"/>
          <w:sz w:val="15"/>
          <w:szCs w:val="15"/>
        </w:rPr>
        <w:tab/>
      </w:r>
      <w:r>
        <w:rPr>
          <w:rFonts w:ascii="Times New Roman" w:hAnsi="Times New Roman" w:cs="Times New Roman"/>
          <w:sz w:val="15"/>
          <w:szCs w:val="15"/>
        </w:rPr>
        <w:t>LIAN J, GOU W, LI H, et al. Effect of sediment size on damage caused by cavitation erosion and abrasive wear in sediment-water mixture[J]. Wear, 2018, 398–399: 201–208.</w:t>
      </w:r>
    </w:p>
    <w:p w14:paraId="0EDF79DB">
      <w:pPr>
        <w:pStyle w:val="18"/>
        <w:ind w:left="300" w:hanging="300" w:hangingChars="200"/>
        <w:rPr>
          <w:rFonts w:ascii="Times New Roman" w:hAnsi="Times New Roman" w:cs="Times New Roman"/>
          <w:sz w:val="15"/>
          <w:szCs w:val="15"/>
        </w:rPr>
      </w:pPr>
      <w:r>
        <w:rPr>
          <w:rFonts w:ascii="Times New Roman" w:hAnsi="Times New Roman" w:cs="Times New Roman"/>
          <w:sz w:val="15"/>
          <w:szCs w:val="15"/>
        </w:rPr>
        <w:t>[3]</w:t>
      </w:r>
      <w:r>
        <w:rPr>
          <w:rFonts w:ascii="Times New Roman" w:hAnsi="Times New Roman" w:cs="Times New Roman"/>
          <w:sz w:val="15"/>
          <w:szCs w:val="15"/>
        </w:rPr>
        <w:tab/>
      </w:r>
      <w:r>
        <w:rPr>
          <w:rFonts w:ascii="Times New Roman" w:hAnsi="Times New Roman" w:cs="Times New Roman"/>
          <w:sz w:val="15"/>
          <w:szCs w:val="15"/>
        </w:rPr>
        <w:t>THEOL S A, JAGERS B, SURYADI F X, et al. The Role of Gate Operation in Reducing Problems with Cohesive and Non-Cohesive Sediments in Irrigation Canals[J]. Water, 2019, 11(12): 2572.</w:t>
      </w:r>
    </w:p>
    <w:p w14:paraId="2E5279A9">
      <w:pPr>
        <w:pStyle w:val="18"/>
        <w:ind w:left="300" w:hanging="300" w:hangingChars="200"/>
        <w:rPr>
          <w:rFonts w:ascii="Times New Roman" w:hAnsi="Times New Roman" w:cs="Times New Roman"/>
          <w:sz w:val="15"/>
          <w:szCs w:val="15"/>
        </w:rPr>
      </w:pPr>
      <w:r>
        <w:rPr>
          <w:rFonts w:ascii="Times New Roman" w:hAnsi="Times New Roman" w:cs="Times New Roman"/>
          <w:sz w:val="15"/>
          <w:szCs w:val="15"/>
        </w:rPr>
        <w:t>[4]</w:t>
      </w:r>
      <w:r>
        <w:rPr>
          <w:rFonts w:ascii="Times New Roman" w:hAnsi="Times New Roman" w:cs="Times New Roman"/>
          <w:sz w:val="15"/>
          <w:szCs w:val="15"/>
        </w:rPr>
        <w:tab/>
      </w:r>
      <w:r>
        <w:rPr>
          <w:rFonts w:ascii="Times New Roman" w:hAnsi="Times New Roman" w:cs="Times New Roman"/>
          <w:sz w:val="15"/>
          <w:szCs w:val="15"/>
        </w:rPr>
        <w:t>郭市政, 张传杰, 郭彬, 等. 单内齿灌水器齿宽对其抗堵塞性能的影响[J]. 节水灌溉, 2022(6): 66–71.</w:t>
      </w:r>
    </w:p>
    <w:p w14:paraId="2D121D97">
      <w:pPr>
        <w:tabs>
          <w:tab w:val="left" w:pos="504"/>
        </w:tabs>
        <w:ind w:left="298" w:leftChars="142"/>
        <w:rPr>
          <w:rFonts w:ascii="Times New Roman" w:hAnsi="Times New Roman" w:cs="Times New Roman"/>
          <w:sz w:val="15"/>
          <w:szCs w:val="15"/>
        </w:rPr>
      </w:pPr>
      <w:r>
        <w:rPr>
          <w:rFonts w:ascii="Times New Roman" w:hAnsi="Times New Roman" w:cs="Times New Roman"/>
          <w:sz w:val="15"/>
          <w:szCs w:val="15"/>
        </w:rPr>
        <w:t>G</w:t>
      </w:r>
      <w:r>
        <w:rPr>
          <w:rFonts w:hint="eastAsia" w:ascii="Times New Roman" w:hAnsi="Times New Roman" w:cs="Times New Roman"/>
          <w:sz w:val="15"/>
          <w:szCs w:val="15"/>
        </w:rPr>
        <w:t>UO</w:t>
      </w:r>
      <w:r>
        <w:rPr>
          <w:rFonts w:ascii="Times New Roman" w:hAnsi="Times New Roman" w:cs="Times New Roman"/>
          <w:sz w:val="15"/>
          <w:szCs w:val="15"/>
        </w:rPr>
        <w:t xml:space="preserve"> S</w:t>
      </w:r>
      <w:r>
        <w:rPr>
          <w:rFonts w:hint="eastAsia" w:ascii="Times New Roman" w:hAnsi="Times New Roman" w:cs="Times New Roman"/>
          <w:sz w:val="15"/>
          <w:szCs w:val="15"/>
        </w:rPr>
        <w:t xml:space="preserve"> Z</w:t>
      </w:r>
      <w:r>
        <w:rPr>
          <w:rFonts w:ascii="Times New Roman" w:hAnsi="Times New Roman" w:cs="Times New Roman"/>
          <w:sz w:val="15"/>
          <w:szCs w:val="15"/>
        </w:rPr>
        <w:t>, Z</w:t>
      </w:r>
      <w:r>
        <w:rPr>
          <w:rFonts w:hint="eastAsia" w:ascii="Times New Roman" w:hAnsi="Times New Roman" w:cs="Times New Roman"/>
          <w:sz w:val="15"/>
          <w:szCs w:val="15"/>
        </w:rPr>
        <w:t>HANG</w:t>
      </w:r>
      <w:r>
        <w:rPr>
          <w:rFonts w:ascii="Times New Roman" w:hAnsi="Times New Roman" w:cs="Times New Roman"/>
          <w:sz w:val="15"/>
          <w:szCs w:val="15"/>
        </w:rPr>
        <w:t xml:space="preserve"> C</w:t>
      </w:r>
      <w:r>
        <w:rPr>
          <w:rFonts w:hint="eastAsia" w:ascii="Times New Roman" w:hAnsi="Times New Roman" w:cs="Times New Roman"/>
          <w:sz w:val="15"/>
          <w:szCs w:val="15"/>
        </w:rPr>
        <w:t xml:space="preserve"> J</w:t>
      </w:r>
      <w:r>
        <w:rPr>
          <w:rFonts w:ascii="Times New Roman" w:hAnsi="Times New Roman" w:cs="Times New Roman"/>
          <w:sz w:val="15"/>
          <w:szCs w:val="15"/>
        </w:rPr>
        <w:t>, G</w:t>
      </w:r>
      <w:r>
        <w:rPr>
          <w:rFonts w:hint="eastAsia" w:ascii="Times New Roman" w:hAnsi="Times New Roman" w:cs="Times New Roman"/>
          <w:sz w:val="15"/>
          <w:szCs w:val="15"/>
        </w:rPr>
        <w:t>UO</w:t>
      </w:r>
      <w:r>
        <w:rPr>
          <w:rFonts w:ascii="Times New Roman" w:hAnsi="Times New Roman" w:cs="Times New Roman"/>
          <w:sz w:val="15"/>
          <w:szCs w:val="15"/>
        </w:rPr>
        <w:t xml:space="preserve"> B, et al. Effect of tooth width on the anti-clogging performance of labyrinth-path emitters with a single internal tooth[J]. Water Saving Irrigation, 2022(6): 66–71.</w:t>
      </w:r>
    </w:p>
    <w:p w14:paraId="2B05F17D">
      <w:pPr>
        <w:pStyle w:val="18"/>
        <w:ind w:left="300" w:hanging="300" w:hangingChars="200"/>
        <w:rPr>
          <w:rFonts w:ascii="Times New Roman" w:hAnsi="Times New Roman" w:cs="Times New Roman"/>
          <w:sz w:val="15"/>
          <w:szCs w:val="15"/>
        </w:rPr>
      </w:pPr>
      <w:r>
        <w:rPr>
          <w:rFonts w:ascii="Times New Roman" w:hAnsi="Times New Roman" w:cs="Times New Roman"/>
          <w:sz w:val="15"/>
          <w:szCs w:val="15"/>
        </w:rPr>
        <w:t>[5]</w:t>
      </w:r>
      <w:r>
        <w:rPr>
          <w:rFonts w:ascii="Times New Roman" w:hAnsi="Times New Roman" w:cs="Times New Roman"/>
          <w:sz w:val="15"/>
          <w:szCs w:val="15"/>
        </w:rPr>
        <w:tab/>
      </w:r>
      <w:r>
        <w:rPr>
          <w:rFonts w:ascii="Times New Roman" w:hAnsi="Times New Roman" w:cs="Times New Roman"/>
          <w:sz w:val="15"/>
          <w:szCs w:val="15"/>
        </w:rPr>
        <w:t>姚玉南, 王韵琦, 韩承宇. 小型水库的水下清淤机器人设计及仿真[J]. 船舶工程, 2025, 47(9): 165–173.</w:t>
      </w:r>
    </w:p>
    <w:p w14:paraId="1E0E14C4">
      <w:pPr>
        <w:tabs>
          <w:tab w:val="left" w:pos="504"/>
        </w:tabs>
        <w:ind w:left="298" w:leftChars="142"/>
        <w:rPr>
          <w:rFonts w:ascii="Times New Roman" w:hAnsi="Times New Roman" w:cs="Times New Roman"/>
          <w:sz w:val="15"/>
          <w:szCs w:val="15"/>
        </w:rPr>
      </w:pPr>
      <w:r>
        <w:rPr>
          <w:rFonts w:ascii="Times New Roman" w:hAnsi="Times New Roman" w:cs="Times New Roman"/>
          <w:sz w:val="15"/>
          <w:szCs w:val="15"/>
        </w:rPr>
        <w:t>Y</w:t>
      </w:r>
      <w:r>
        <w:rPr>
          <w:rFonts w:hint="eastAsia" w:ascii="Times New Roman" w:hAnsi="Times New Roman" w:cs="Times New Roman"/>
          <w:sz w:val="15"/>
          <w:szCs w:val="15"/>
        </w:rPr>
        <w:t>AO</w:t>
      </w:r>
      <w:r>
        <w:rPr>
          <w:rFonts w:ascii="Times New Roman" w:hAnsi="Times New Roman" w:cs="Times New Roman"/>
          <w:sz w:val="15"/>
          <w:szCs w:val="15"/>
        </w:rPr>
        <w:t xml:space="preserve"> Y</w:t>
      </w:r>
      <w:r>
        <w:rPr>
          <w:rFonts w:hint="eastAsia" w:ascii="Times New Roman" w:hAnsi="Times New Roman" w:cs="Times New Roman"/>
          <w:sz w:val="15"/>
          <w:szCs w:val="15"/>
        </w:rPr>
        <w:t xml:space="preserve"> N</w:t>
      </w:r>
      <w:r>
        <w:rPr>
          <w:rFonts w:ascii="Times New Roman" w:hAnsi="Times New Roman" w:cs="Times New Roman"/>
          <w:sz w:val="15"/>
          <w:szCs w:val="15"/>
        </w:rPr>
        <w:t>, W</w:t>
      </w:r>
      <w:r>
        <w:rPr>
          <w:rFonts w:hint="eastAsia" w:ascii="Times New Roman" w:hAnsi="Times New Roman" w:cs="Times New Roman"/>
          <w:sz w:val="15"/>
          <w:szCs w:val="15"/>
        </w:rPr>
        <w:t>ANG</w:t>
      </w:r>
      <w:r>
        <w:rPr>
          <w:rFonts w:ascii="Times New Roman" w:hAnsi="Times New Roman" w:cs="Times New Roman"/>
          <w:sz w:val="15"/>
          <w:szCs w:val="15"/>
        </w:rPr>
        <w:t xml:space="preserve"> Y</w:t>
      </w:r>
      <w:r>
        <w:rPr>
          <w:rFonts w:hint="eastAsia" w:ascii="Times New Roman" w:hAnsi="Times New Roman" w:cs="Times New Roman"/>
          <w:sz w:val="15"/>
          <w:szCs w:val="15"/>
        </w:rPr>
        <w:t xml:space="preserve"> Q</w:t>
      </w:r>
      <w:r>
        <w:rPr>
          <w:rFonts w:ascii="Times New Roman" w:hAnsi="Times New Roman" w:cs="Times New Roman"/>
          <w:sz w:val="15"/>
          <w:szCs w:val="15"/>
        </w:rPr>
        <w:t>, H</w:t>
      </w:r>
      <w:r>
        <w:rPr>
          <w:rFonts w:hint="eastAsia" w:ascii="Times New Roman" w:hAnsi="Times New Roman" w:cs="Times New Roman"/>
          <w:sz w:val="15"/>
          <w:szCs w:val="15"/>
        </w:rPr>
        <w:t>AN</w:t>
      </w:r>
      <w:r>
        <w:rPr>
          <w:rFonts w:ascii="Times New Roman" w:hAnsi="Times New Roman" w:cs="Times New Roman"/>
          <w:sz w:val="15"/>
          <w:szCs w:val="15"/>
        </w:rPr>
        <w:t xml:space="preserve"> C</w:t>
      </w:r>
      <w:r>
        <w:rPr>
          <w:rFonts w:hint="eastAsia" w:ascii="Times New Roman" w:hAnsi="Times New Roman" w:cs="Times New Roman"/>
          <w:sz w:val="15"/>
          <w:szCs w:val="15"/>
        </w:rPr>
        <w:t xml:space="preserve"> Y</w:t>
      </w:r>
      <w:r>
        <w:rPr>
          <w:rFonts w:ascii="Times New Roman" w:hAnsi="Times New Roman" w:cs="Times New Roman"/>
          <w:sz w:val="15"/>
          <w:szCs w:val="15"/>
        </w:rPr>
        <w:t>. Design and simulation of an underwater desilting robot for small reservoirs[J]. Ship Engineering, 2025, 47(9): 165–173.</w:t>
      </w:r>
    </w:p>
    <w:p w14:paraId="1D3F5A34">
      <w:pPr>
        <w:pStyle w:val="18"/>
        <w:ind w:left="300" w:hanging="300" w:hangingChars="200"/>
        <w:rPr>
          <w:rFonts w:ascii="Times New Roman" w:hAnsi="Times New Roman" w:cs="Times New Roman"/>
          <w:sz w:val="15"/>
          <w:szCs w:val="15"/>
        </w:rPr>
      </w:pPr>
      <w:r>
        <w:rPr>
          <w:rFonts w:ascii="Times New Roman" w:hAnsi="Times New Roman" w:cs="Times New Roman"/>
          <w:sz w:val="15"/>
          <w:szCs w:val="15"/>
        </w:rPr>
        <w:t>[6]</w:t>
      </w:r>
      <w:r>
        <w:rPr>
          <w:rFonts w:ascii="Times New Roman" w:hAnsi="Times New Roman" w:cs="Times New Roman"/>
          <w:sz w:val="15"/>
          <w:szCs w:val="15"/>
        </w:rPr>
        <w:tab/>
      </w:r>
      <w:r>
        <w:rPr>
          <w:rFonts w:ascii="Times New Roman" w:hAnsi="Times New Roman" w:cs="Times New Roman"/>
          <w:sz w:val="15"/>
          <w:szCs w:val="15"/>
        </w:rPr>
        <w:t>周著, 王长新, 侯杰. 强螺旋流排沙漏斗的模型试验和原型观测[J]. 水利水电技术, 1991, (11): 44–48.</w:t>
      </w:r>
    </w:p>
    <w:p w14:paraId="22743CCE">
      <w:pPr>
        <w:tabs>
          <w:tab w:val="left" w:pos="504"/>
        </w:tabs>
        <w:ind w:left="298" w:leftChars="142"/>
      </w:pPr>
      <w:r>
        <w:rPr>
          <w:rFonts w:ascii="Times New Roman" w:hAnsi="Times New Roman" w:cs="Times New Roman"/>
          <w:sz w:val="15"/>
          <w:szCs w:val="15"/>
        </w:rPr>
        <w:t>Z</w:t>
      </w:r>
      <w:r>
        <w:rPr>
          <w:rFonts w:hint="eastAsia" w:ascii="Times New Roman" w:hAnsi="Times New Roman" w:cs="Times New Roman"/>
          <w:sz w:val="15"/>
          <w:szCs w:val="15"/>
        </w:rPr>
        <w:t>HOU</w:t>
      </w:r>
      <w:r>
        <w:rPr>
          <w:rFonts w:ascii="Times New Roman" w:hAnsi="Times New Roman" w:cs="Times New Roman"/>
          <w:sz w:val="15"/>
          <w:szCs w:val="15"/>
        </w:rPr>
        <w:t xml:space="preserve"> Z, W</w:t>
      </w:r>
      <w:r>
        <w:rPr>
          <w:rFonts w:hint="eastAsia" w:ascii="Times New Roman" w:hAnsi="Times New Roman" w:cs="Times New Roman"/>
          <w:sz w:val="15"/>
          <w:szCs w:val="15"/>
        </w:rPr>
        <w:t>ANG</w:t>
      </w:r>
      <w:r>
        <w:rPr>
          <w:rFonts w:ascii="Times New Roman" w:hAnsi="Times New Roman" w:cs="Times New Roman"/>
          <w:sz w:val="15"/>
          <w:szCs w:val="15"/>
        </w:rPr>
        <w:t xml:space="preserve"> C</w:t>
      </w:r>
      <w:r>
        <w:rPr>
          <w:rFonts w:hint="eastAsia" w:ascii="Times New Roman" w:hAnsi="Times New Roman" w:cs="Times New Roman"/>
          <w:sz w:val="15"/>
          <w:szCs w:val="15"/>
        </w:rPr>
        <w:t xml:space="preserve"> X</w:t>
      </w:r>
      <w:r>
        <w:rPr>
          <w:rFonts w:ascii="Times New Roman" w:hAnsi="Times New Roman" w:cs="Times New Roman"/>
          <w:sz w:val="15"/>
          <w:szCs w:val="15"/>
        </w:rPr>
        <w:t>, H</w:t>
      </w:r>
      <w:r>
        <w:rPr>
          <w:rFonts w:hint="eastAsia" w:ascii="Times New Roman" w:hAnsi="Times New Roman" w:cs="Times New Roman"/>
          <w:sz w:val="15"/>
          <w:szCs w:val="15"/>
        </w:rPr>
        <w:t>OU</w:t>
      </w:r>
      <w:r>
        <w:rPr>
          <w:rFonts w:ascii="Times New Roman" w:hAnsi="Times New Roman" w:cs="Times New Roman"/>
          <w:sz w:val="15"/>
          <w:szCs w:val="15"/>
        </w:rPr>
        <w:t xml:space="preserve"> J. Model Experiment and Prototype Observation of the Strong - Spiral Vortex Sand Sluicing Device.Water Resources and Hydropower Engineering, 1991, (11): 44–48.</w:t>
      </w:r>
    </w:p>
    <w:p w14:paraId="604D825A">
      <w:pPr>
        <w:pStyle w:val="18"/>
        <w:ind w:left="300" w:hanging="300" w:hangingChars="200"/>
        <w:rPr>
          <w:rFonts w:ascii="Times New Roman" w:hAnsi="Times New Roman" w:cs="Times New Roman"/>
          <w:sz w:val="15"/>
          <w:szCs w:val="15"/>
        </w:rPr>
      </w:pPr>
      <w:r>
        <w:rPr>
          <w:rFonts w:ascii="Times New Roman" w:hAnsi="Times New Roman" w:cs="Times New Roman"/>
          <w:sz w:val="15"/>
          <w:szCs w:val="15"/>
        </w:rPr>
        <w:t>[7]</w:t>
      </w:r>
      <w:r>
        <w:rPr>
          <w:rFonts w:ascii="Times New Roman" w:hAnsi="Times New Roman" w:cs="Times New Roman"/>
          <w:sz w:val="15"/>
          <w:szCs w:val="15"/>
        </w:rPr>
        <w:tab/>
      </w:r>
      <w:r>
        <w:rPr>
          <w:rFonts w:ascii="Times New Roman" w:hAnsi="Times New Roman" w:cs="Times New Roman"/>
          <w:sz w:val="15"/>
          <w:szCs w:val="15"/>
        </w:rPr>
        <w:t>PAUL T C, SAYAL S K, SAKHUJA V S, et al. Vortex‐Settling Basin Design Considerations[J]. Journal of Hydraulic Engineering, 1991, 117(2): 172–189.</w:t>
      </w:r>
    </w:p>
    <w:p w14:paraId="188E9688">
      <w:pPr>
        <w:pStyle w:val="18"/>
        <w:ind w:left="300" w:hanging="300" w:hangingChars="200"/>
        <w:rPr>
          <w:rFonts w:ascii="Times New Roman" w:hAnsi="Times New Roman" w:cs="Times New Roman"/>
          <w:sz w:val="15"/>
          <w:szCs w:val="15"/>
        </w:rPr>
      </w:pPr>
      <w:r>
        <w:rPr>
          <w:rFonts w:ascii="Times New Roman" w:hAnsi="Times New Roman" w:cs="Times New Roman"/>
          <w:sz w:val="15"/>
          <w:szCs w:val="15"/>
        </w:rPr>
        <w:t>[8]</w:t>
      </w:r>
      <w:r>
        <w:rPr>
          <w:rFonts w:ascii="Times New Roman" w:hAnsi="Times New Roman" w:cs="Times New Roman"/>
          <w:sz w:val="15"/>
          <w:szCs w:val="15"/>
        </w:rPr>
        <w:tab/>
      </w:r>
      <w:r>
        <w:rPr>
          <w:rFonts w:ascii="Times New Roman" w:hAnsi="Times New Roman" w:cs="Times New Roman"/>
          <w:sz w:val="15"/>
          <w:szCs w:val="15"/>
        </w:rPr>
        <w:t>白玉龙, 李丽. 涡管螺旋流排沙在动力渠上的应用研究[J]. 水利规划与设计, 2022, (2): 112–118.</w:t>
      </w:r>
    </w:p>
    <w:p w14:paraId="31319F19">
      <w:pPr>
        <w:tabs>
          <w:tab w:val="left" w:pos="504"/>
        </w:tabs>
        <w:ind w:left="298" w:leftChars="142"/>
        <w:rPr>
          <w:rFonts w:ascii="Times New Roman" w:hAnsi="Times New Roman" w:cs="Times New Roman"/>
          <w:sz w:val="15"/>
          <w:szCs w:val="15"/>
        </w:rPr>
      </w:pPr>
      <w:r>
        <w:rPr>
          <w:rFonts w:ascii="Times New Roman" w:hAnsi="Times New Roman" w:cs="Times New Roman"/>
          <w:sz w:val="15"/>
          <w:szCs w:val="15"/>
        </w:rPr>
        <w:t>B</w:t>
      </w:r>
      <w:r>
        <w:rPr>
          <w:rFonts w:hint="eastAsia" w:ascii="Times New Roman" w:hAnsi="Times New Roman" w:cs="Times New Roman"/>
          <w:sz w:val="15"/>
          <w:szCs w:val="15"/>
        </w:rPr>
        <w:t>AI</w:t>
      </w:r>
      <w:r>
        <w:rPr>
          <w:rFonts w:ascii="Times New Roman" w:hAnsi="Times New Roman" w:cs="Times New Roman"/>
          <w:sz w:val="15"/>
          <w:szCs w:val="15"/>
        </w:rPr>
        <w:t xml:space="preserve"> Y</w:t>
      </w:r>
      <w:r>
        <w:rPr>
          <w:rFonts w:hint="eastAsia" w:ascii="Times New Roman" w:hAnsi="Times New Roman" w:cs="Times New Roman"/>
          <w:sz w:val="15"/>
          <w:szCs w:val="15"/>
        </w:rPr>
        <w:t xml:space="preserve"> L</w:t>
      </w:r>
      <w:r>
        <w:rPr>
          <w:rFonts w:ascii="Times New Roman" w:hAnsi="Times New Roman" w:cs="Times New Roman"/>
          <w:sz w:val="15"/>
          <w:szCs w:val="15"/>
        </w:rPr>
        <w:t>, L</w:t>
      </w:r>
      <w:r>
        <w:rPr>
          <w:rFonts w:hint="eastAsia" w:ascii="Times New Roman" w:hAnsi="Times New Roman" w:cs="Times New Roman"/>
          <w:sz w:val="15"/>
          <w:szCs w:val="15"/>
        </w:rPr>
        <w:t xml:space="preserve">I </w:t>
      </w:r>
      <w:r>
        <w:rPr>
          <w:rFonts w:ascii="Times New Roman" w:hAnsi="Times New Roman" w:cs="Times New Roman"/>
          <w:sz w:val="15"/>
          <w:szCs w:val="15"/>
        </w:rPr>
        <w:t>L. Research on the application of vortex-tube spiral-flow desilting in power channels[J]. Water Resources Planning and Design, 2022, (2): 112–118.</w:t>
      </w:r>
    </w:p>
    <w:p w14:paraId="57B144B1">
      <w:pPr>
        <w:pStyle w:val="18"/>
        <w:ind w:left="300" w:hanging="300" w:hangingChars="200"/>
        <w:rPr>
          <w:rFonts w:ascii="Times New Roman" w:hAnsi="Times New Roman" w:cs="Times New Roman"/>
          <w:sz w:val="15"/>
          <w:szCs w:val="15"/>
        </w:rPr>
      </w:pPr>
      <w:r>
        <w:rPr>
          <w:rFonts w:ascii="Times New Roman" w:hAnsi="Times New Roman" w:cs="Times New Roman"/>
          <w:sz w:val="15"/>
          <w:szCs w:val="15"/>
        </w:rPr>
        <w:t>[9]</w:t>
      </w:r>
      <w:r>
        <w:rPr>
          <w:rFonts w:ascii="Times New Roman" w:hAnsi="Times New Roman" w:cs="Times New Roman"/>
          <w:sz w:val="15"/>
          <w:szCs w:val="15"/>
        </w:rPr>
        <w:tab/>
      </w:r>
      <w:r>
        <w:rPr>
          <w:rFonts w:ascii="Times New Roman" w:hAnsi="Times New Roman" w:cs="Times New Roman"/>
          <w:sz w:val="15"/>
          <w:szCs w:val="15"/>
        </w:rPr>
        <w:t>张军. 基于SPSS的新型沉沙池的影响参数分析[J]. 水力发电, 2020, 46(9): 84–87, 92.</w:t>
      </w:r>
    </w:p>
    <w:p w14:paraId="46A5267F">
      <w:pPr>
        <w:tabs>
          <w:tab w:val="left" w:pos="504"/>
        </w:tabs>
        <w:ind w:left="298" w:leftChars="142"/>
        <w:rPr>
          <w:rFonts w:ascii="Times New Roman" w:hAnsi="Times New Roman" w:cs="Times New Roman"/>
          <w:sz w:val="15"/>
          <w:szCs w:val="15"/>
        </w:rPr>
      </w:pPr>
      <w:r>
        <w:rPr>
          <w:rFonts w:ascii="Times New Roman" w:hAnsi="Times New Roman" w:cs="Times New Roman"/>
          <w:sz w:val="15"/>
          <w:szCs w:val="15"/>
        </w:rPr>
        <w:t>Z</w:t>
      </w:r>
      <w:r>
        <w:rPr>
          <w:rFonts w:hint="eastAsia" w:ascii="Times New Roman" w:hAnsi="Times New Roman" w:cs="Times New Roman"/>
          <w:sz w:val="15"/>
          <w:szCs w:val="15"/>
        </w:rPr>
        <w:t>HANG</w:t>
      </w:r>
      <w:r>
        <w:rPr>
          <w:rFonts w:ascii="Times New Roman" w:hAnsi="Times New Roman" w:cs="Times New Roman"/>
          <w:sz w:val="15"/>
          <w:szCs w:val="15"/>
        </w:rPr>
        <w:t xml:space="preserve"> </w:t>
      </w:r>
      <w:r>
        <w:rPr>
          <w:rFonts w:hint="eastAsia" w:ascii="Times New Roman" w:hAnsi="Times New Roman" w:cs="Times New Roman"/>
          <w:sz w:val="15"/>
          <w:szCs w:val="15"/>
        </w:rPr>
        <w:t>J</w:t>
      </w:r>
      <w:r>
        <w:rPr>
          <w:rFonts w:ascii="Times New Roman" w:hAnsi="Times New Roman" w:cs="Times New Roman"/>
          <w:sz w:val="15"/>
          <w:szCs w:val="15"/>
        </w:rPr>
        <w:t>. Analysis of Influencing Parameters of a New-type Sedimentation Basin Based on SPSS [J]. Water Power, 2020, 46(9): 84–87, 92.</w:t>
      </w:r>
    </w:p>
    <w:p w14:paraId="48C2BB11">
      <w:pPr>
        <w:pStyle w:val="18"/>
        <w:ind w:left="300" w:hanging="300" w:hangingChars="200"/>
        <w:rPr>
          <w:rFonts w:ascii="Times New Roman" w:hAnsi="Times New Roman" w:cs="Times New Roman"/>
          <w:sz w:val="15"/>
          <w:szCs w:val="15"/>
        </w:rPr>
      </w:pPr>
      <w:r>
        <w:rPr>
          <w:rFonts w:ascii="Times New Roman" w:hAnsi="Times New Roman" w:cs="Times New Roman"/>
          <w:sz w:val="15"/>
          <w:szCs w:val="15"/>
        </w:rPr>
        <w:t>[10]</w:t>
      </w:r>
      <w:r>
        <w:rPr>
          <w:rFonts w:ascii="Times New Roman" w:hAnsi="Times New Roman" w:cs="Times New Roman"/>
          <w:sz w:val="15"/>
          <w:szCs w:val="15"/>
        </w:rPr>
        <w:tab/>
      </w:r>
      <w:r>
        <w:rPr>
          <w:rFonts w:ascii="Times New Roman" w:hAnsi="Times New Roman" w:cs="Times New Roman"/>
          <w:sz w:val="15"/>
          <w:szCs w:val="15"/>
        </w:rPr>
        <w:t>李琳. 排沙漏斗结构优化研究[D]. 新疆农业大学, 2005.</w:t>
      </w:r>
    </w:p>
    <w:p w14:paraId="718F4859">
      <w:pPr>
        <w:tabs>
          <w:tab w:val="left" w:pos="504"/>
        </w:tabs>
        <w:ind w:left="298" w:leftChars="142"/>
        <w:rPr>
          <w:rFonts w:ascii="Times New Roman" w:hAnsi="Times New Roman" w:cs="Times New Roman"/>
          <w:sz w:val="15"/>
          <w:szCs w:val="15"/>
        </w:rPr>
      </w:pPr>
      <w:r>
        <w:rPr>
          <w:rFonts w:ascii="Times New Roman" w:hAnsi="Times New Roman" w:cs="Times New Roman"/>
          <w:sz w:val="15"/>
          <w:szCs w:val="15"/>
        </w:rPr>
        <w:t>L</w:t>
      </w:r>
      <w:r>
        <w:rPr>
          <w:rFonts w:hint="eastAsia" w:ascii="Times New Roman" w:hAnsi="Times New Roman" w:cs="Times New Roman"/>
          <w:sz w:val="15"/>
          <w:szCs w:val="15"/>
        </w:rPr>
        <w:t xml:space="preserve">I </w:t>
      </w:r>
      <w:r>
        <w:rPr>
          <w:rFonts w:ascii="Times New Roman" w:hAnsi="Times New Roman" w:cs="Times New Roman"/>
          <w:sz w:val="15"/>
          <w:szCs w:val="15"/>
        </w:rPr>
        <w:t>L. Research on Structural Optimization of Desilting Funnel [D]. Xinjiang Agricultural University, 2005.</w:t>
      </w:r>
    </w:p>
    <w:p w14:paraId="20D781FC">
      <w:pPr>
        <w:pStyle w:val="18"/>
        <w:ind w:left="300" w:hanging="300" w:hangingChars="200"/>
        <w:rPr>
          <w:rFonts w:ascii="Times New Roman" w:hAnsi="Times New Roman" w:cs="Times New Roman"/>
          <w:sz w:val="15"/>
          <w:szCs w:val="15"/>
        </w:rPr>
      </w:pPr>
      <w:r>
        <w:rPr>
          <w:rFonts w:ascii="Times New Roman" w:hAnsi="Times New Roman" w:cs="Times New Roman"/>
          <w:sz w:val="15"/>
          <w:szCs w:val="15"/>
        </w:rPr>
        <w:t>[11]</w:t>
      </w:r>
      <w:r>
        <w:rPr>
          <w:rFonts w:ascii="Times New Roman" w:hAnsi="Times New Roman" w:cs="Times New Roman"/>
          <w:sz w:val="15"/>
          <w:szCs w:val="15"/>
        </w:rPr>
        <w:tab/>
      </w:r>
      <w:r>
        <w:rPr>
          <w:rFonts w:ascii="Times New Roman" w:hAnsi="Times New Roman" w:cs="Times New Roman"/>
          <w:sz w:val="15"/>
          <w:szCs w:val="15"/>
        </w:rPr>
        <w:t>李琳, 牧振伟, 周著. 排沙漏斗截沙率计算[J]. 水利水电科技进展, 2007, (4): 50–54.</w:t>
      </w:r>
    </w:p>
    <w:p w14:paraId="06A25992">
      <w:pPr>
        <w:tabs>
          <w:tab w:val="left" w:pos="504"/>
        </w:tabs>
        <w:ind w:left="298" w:leftChars="142"/>
        <w:rPr>
          <w:rFonts w:ascii="Times New Roman" w:hAnsi="Times New Roman" w:cs="Times New Roman"/>
          <w:sz w:val="15"/>
          <w:szCs w:val="15"/>
        </w:rPr>
      </w:pPr>
      <w:r>
        <w:rPr>
          <w:rFonts w:ascii="Times New Roman" w:hAnsi="Times New Roman" w:cs="Times New Roman"/>
          <w:sz w:val="15"/>
          <w:szCs w:val="15"/>
        </w:rPr>
        <w:t>L</w:t>
      </w:r>
      <w:r>
        <w:rPr>
          <w:rFonts w:hint="eastAsia" w:ascii="Times New Roman" w:hAnsi="Times New Roman" w:cs="Times New Roman"/>
          <w:sz w:val="15"/>
          <w:szCs w:val="15"/>
        </w:rPr>
        <w:t>I</w:t>
      </w:r>
      <w:r>
        <w:rPr>
          <w:rFonts w:ascii="Times New Roman" w:hAnsi="Times New Roman" w:cs="Times New Roman"/>
          <w:sz w:val="15"/>
          <w:szCs w:val="15"/>
        </w:rPr>
        <w:t xml:space="preserve"> L, M</w:t>
      </w:r>
      <w:r>
        <w:rPr>
          <w:rFonts w:hint="eastAsia" w:ascii="Times New Roman" w:hAnsi="Times New Roman" w:cs="Times New Roman"/>
          <w:sz w:val="15"/>
          <w:szCs w:val="15"/>
        </w:rPr>
        <w:t>U</w:t>
      </w:r>
      <w:r>
        <w:rPr>
          <w:rFonts w:ascii="Times New Roman" w:hAnsi="Times New Roman" w:cs="Times New Roman"/>
          <w:sz w:val="15"/>
          <w:szCs w:val="15"/>
        </w:rPr>
        <w:t xml:space="preserve"> Z</w:t>
      </w:r>
      <w:r>
        <w:rPr>
          <w:rFonts w:hint="eastAsia" w:ascii="Times New Roman" w:hAnsi="Times New Roman" w:cs="Times New Roman"/>
          <w:sz w:val="15"/>
          <w:szCs w:val="15"/>
        </w:rPr>
        <w:t xml:space="preserve"> W</w:t>
      </w:r>
      <w:r>
        <w:rPr>
          <w:rFonts w:ascii="Times New Roman" w:hAnsi="Times New Roman" w:cs="Times New Roman"/>
          <w:sz w:val="15"/>
          <w:szCs w:val="15"/>
        </w:rPr>
        <w:t>, Z</w:t>
      </w:r>
      <w:r>
        <w:rPr>
          <w:rFonts w:hint="eastAsia" w:ascii="Times New Roman" w:hAnsi="Times New Roman" w:cs="Times New Roman"/>
          <w:sz w:val="15"/>
          <w:szCs w:val="15"/>
        </w:rPr>
        <w:t>HOU</w:t>
      </w:r>
      <w:r>
        <w:rPr>
          <w:rFonts w:ascii="Times New Roman" w:hAnsi="Times New Roman" w:cs="Times New Roman"/>
          <w:sz w:val="15"/>
          <w:szCs w:val="15"/>
        </w:rPr>
        <w:t xml:space="preserve"> Z. Calculation of Sediment Interception Rate of the Desilting Funnel [J]. Advances in Science and Technology of Water Resources, 2007, (4): 50–54.</w:t>
      </w:r>
    </w:p>
    <w:p w14:paraId="1D52F249">
      <w:pPr>
        <w:pStyle w:val="18"/>
        <w:ind w:left="300" w:hanging="300" w:hangingChars="200"/>
        <w:rPr>
          <w:rFonts w:ascii="Times New Roman" w:hAnsi="Times New Roman" w:cs="Times New Roman"/>
          <w:sz w:val="15"/>
          <w:szCs w:val="15"/>
        </w:rPr>
      </w:pPr>
      <w:r>
        <w:rPr>
          <w:rFonts w:ascii="Times New Roman" w:hAnsi="Times New Roman" w:cs="Times New Roman"/>
          <w:sz w:val="15"/>
          <w:szCs w:val="15"/>
        </w:rPr>
        <w:t>[12]</w:t>
      </w:r>
      <w:r>
        <w:rPr>
          <w:rFonts w:ascii="Times New Roman" w:hAnsi="Times New Roman" w:cs="Times New Roman"/>
          <w:sz w:val="15"/>
          <w:szCs w:val="15"/>
        </w:rPr>
        <w:tab/>
      </w:r>
      <w:r>
        <w:rPr>
          <w:rFonts w:ascii="Times New Roman" w:hAnsi="Times New Roman" w:cs="Times New Roman"/>
          <w:sz w:val="15"/>
          <w:szCs w:val="15"/>
        </w:rPr>
        <w:t>ATHAR M, KOTHYARI U C, GARDE R J. STUDIES ON VORTEX CHAMBER TYPE SEDIMENT EXTRACTOR[J]. ISH Journal of Hydraulic Engineering, 2002, 8(2): 1–16.</w:t>
      </w:r>
    </w:p>
    <w:p w14:paraId="12258F7F">
      <w:pPr>
        <w:pStyle w:val="18"/>
        <w:ind w:left="300" w:hanging="300" w:hangingChars="200"/>
      </w:pPr>
      <w:r>
        <w:rPr>
          <w:rFonts w:ascii="Times New Roman" w:hAnsi="Times New Roman" w:cs="Times New Roman"/>
          <w:sz w:val="15"/>
          <w:szCs w:val="15"/>
        </w:rPr>
        <w:t>[13]</w:t>
      </w:r>
      <w:r>
        <w:rPr>
          <w:rFonts w:ascii="Times New Roman" w:hAnsi="Times New Roman" w:cs="Times New Roman"/>
          <w:sz w:val="15"/>
          <w:szCs w:val="15"/>
        </w:rPr>
        <w:tab/>
      </w:r>
      <w:r>
        <w:rPr>
          <w:rFonts w:ascii="Times New Roman" w:hAnsi="Times New Roman" w:cs="Times New Roman"/>
          <w:sz w:val="15"/>
          <w:szCs w:val="15"/>
        </w:rPr>
        <w:t>周著, 唐毅, 吴持恭. 带悬板排沙漏斗三维流场测试[J]. 八一农学院学报, 1995, (3): 6–10.</w:t>
      </w:r>
    </w:p>
    <w:p w14:paraId="45FEBEB9">
      <w:pPr>
        <w:tabs>
          <w:tab w:val="left" w:pos="504"/>
        </w:tabs>
        <w:ind w:left="298" w:leftChars="142"/>
        <w:rPr>
          <w:rFonts w:ascii="Times New Roman" w:hAnsi="Times New Roman" w:cs="Times New Roman"/>
          <w:sz w:val="15"/>
          <w:szCs w:val="15"/>
        </w:rPr>
      </w:pPr>
      <w:r>
        <w:rPr>
          <w:rFonts w:ascii="Times New Roman" w:hAnsi="Times New Roman" w:cs="Times New Roman"/>
          <w:sz w:val="15"/>
          <w:szCs w:val="15"/>
        </w:rPr>
        <w:t>Z</w:t>
      </w:r>
      <w:r>
        <w:rPr>
          <w:rFonts w:hint="eastAsia" w:ascii="Times New Roman" w:hAnsi="Times New Roman" w:cs="Times New Roman"/>
          <w:sz w:val="15"/>
          <w:szCs w:val="15"/>
        </w:rPr>
        <w:t>HOU</w:t>
      </w:r>
      <w:r>
        <w:rPr>
          <w:rFonts w:ascii="Times New Roman" w:hAnsi="Times New Roman" w:cs="Times New Roman"/>
          <w:sz w:val="15"/>
          <w:szCs w:val="15"/>
        </w:rPr>
        <w:t xml:space="preserve"> Z, T</w:t>
      </w:r>
      <w:r>
        <w:rPr>
          <w:rFonts w:hint="eastAsia" w:ascii="Times New Roman" w:hAnsi="Times New Roman" w:cs="Times New Roman"/>
          <w:sz w:val="15"/>
          <w:szCs w:val="15"/>
        </w:rPr>
        <w:t>ANG</w:t>
      </w:r>
      <w:r>
        <w:rPr>
          <w:rFonts w:ascii="Times New Roman" w:hAnsi="Times New Roman" w:cs="Times New Roman"/>
          <w:sz w:val="15"/>
          <w:szCs w:val="15"/>
        </w:rPr>
        <w:t xml:space="preserve"> Y, W</w:t>
      </w:r>
      <w:r>
        <w:rPr>
          <w:rFonts w:hint="eastAsia" w:ascii="Times New Roman" w:hAnsi="Times New Roman" w:cs="Times New Roman"/>
          <w:sz w:val="15"/>
          <w:szCs w:val="15"/>
        </w:rPr>
        <w:t>U</w:t>
      </w:r>
      <w:r>
        <w:rPr>
          <w:rFonts w:ascii="Times New Roman" w:hAnsi="Times New Roman" w:cs="Times New Roman"/>
          <w:sz w:val="15"/>
          <w:szCs w:val="15"/>
        </w:rPr>
        <w:t xml:space="preserve"> C</w:t>
      </w:r>
      <w:r>
        <w:rPr>
          <w:rFonts w:hint="eastAsia" w:ascii="Times New Roman" w:hAnsi="Times New Roman" w:cs="Times New Roman"/>
          <w:sz w:val="15"/>
          <w:szCs w:val="15"/>
        </w:rPr>
        <w:t xml:space="preserve"> G</w:t>
      </w:r>
      <w:r>
        <w:rPr>
          <w:rFonts w:ascii="Times New Roman" w:hAnsi="Times New Roman" w:cs="Times New Roman"/>
          <w:sz w:val="15"/>
          <w:szCs w:val="15"/>
        </w:rPr>
        <w:t>. Three-Dimensional Flow Field Measurement of a Desilting Funnel with Suspended Plates [J]. Journal of Bayi Agricultural College, 1995, (3): 6–10.</w:t>
      </w:r>
    </w:p>
    <w:p w14:paraId="58E792E7">
      <w:pPr>
        <w:pStyle w:val="18"/>
        <w:ind w:left="300" w:hanging="300" w:hangingChars="200"/>
        <w:rPr>
          <w:rFonts w:ascii="Times New Roman" w:hAnsi="Times New Roman" w:cs="Times New Roman"/>
          <w:sz w:val="15"/>
          <w:szCs w:val="15"/>
        </w:rPr>
      </w:pPr>
      <w:r>
        <w:rPr>
          <w:rFonts w:ascii="Times New Roman" w:hAnsi="Times New Roman" w:cs="Times New Roman"/>
          <w:sz w:val="15"/>
          <w:szCs w:val="15"/>
        </w:rPr>
        <w:t>[14]</w:t>
      </w:r>
      <w:r>
        <w:rPr>
          <w:rFonts w:ascii="Times New Roman" w:hAnsi="Times New Roman" w:cs="Times New Roman"/>
          <w:sz w:val="15"/>
          <w:szCs w:val="15"/>
        </w:rPr>
        <w:tab/>
      </w:r>
      <w:r>
        <w:rPr>
          <w:rFonts w:ascii="Times New Roman" w:hAnsi="Times New Roman" w:cs="Times New Roman"/>
          <w:sz w:val="15"/>
          <w:szCs w:val="15"/>
        </w:rPr>
        <w:t>唐毅, 周著, 吴持恭. 排沙漏斗切向流速分布规律的研究[J]. 四川水力发电, 1997, (4): 77–81.</w:t>
      </w:r>
    </w:p>
    <w:p w14:paraId="46FB7DA3">
      <w:pPr>
        <w:tabs>
          <w:tab w:val="left" w:pos="504"/>
        </w:tabs>
        <w:ind w:left="298" w:leftChars="142"/>
        <w:rPr>
          <w:rFonts w:ascii="Times New Roman" w:hAnsi="Times New Roman" w:cs="Times New Roman"/>
          <w:sz w:val="15"/>
          <w:szCs w:val="15"/>
        </w:rPr>
      </w:pPr>
      <w:r>
        <w:rPr>
          <w:rFonts w:ascii="Times New Roman" w:hAnsi="Times New Roman" w:cs="Times New Roman"/>
          <w:sz w:val="15"/>
          <w:szCs w:val="15"/>
        </w:rPr>
        <w:t>T</w:t>
      </w:r>
      <w:r>
        <w:rPr>
          <w:rFonts w:hint="eastAsia" w:ascii="Times New Roman" w:hAnsi="Times New Roman" w:cs="Times New Roman"/>
          <w:sz w:val="15"/>
          <w:szCs w:val="15"/>
        </w:rPr>
        <w:t xml:space="preserve">ANG </w:t>
      </w:r>
      <w:r>
        <w:rPr>
          <w:rFonts w:ascii="Times New Roman" w:hAnsi="Times New Roman" w:cs="Times New Roman"/>
          <w:sz w:val="15"/>
          <w:szCs w:val="15"/>
        </w:rPr>
        <w:t>Y, Z</w:t>
      </w:r>
      <w:r>
        <w:rPr>
          <w:rFonts w:hint="eastAsia" w:ascii="Times New Roman" w:hAnsi="Times New Roman" w:cs="Times New Roman"/>
          <w:sz w:val="15"/>
          <w:szCs w:val="15"/>
        </w:rPr>
        <w:t>HOU</w:t>
      </w:r>
      <w:r>
        <w:rPr>
          <w:rFonts w:ascii="Times New Roman" w:hAnsi="Times New Roman" w:cs="Times New Roman"/>
          <w:sz w:val="15"/>
          <w:szCs w:val="15"/>
        </w:rPr>
        <w:t xml:space="preserve"> Z, W</w:t>
      </w:r>
      <w:r>
        <w:rPr>
          <w:rFonts w:hint="eastAsia" w:ascii="Times New Roman" w:hAnsi="Times New Roman" w:cs="Times New Roman"/>
          <w:sz w:val="15"/>
          <w:szCs w:val="15"/>
        </w:rPr>
        <w:t>U</w:t>
      </w:r>
      <w:r>
        <w:rPr>
          <w:rFonts w:ascii="Times New Roman" w:hAnsi="Times New Roman" w:cs="Times New Roman"/>
          <w:sz w:val="15"/>
          <w:szCs w:val="15"/>
        </w:rPr>
        <w:t xml:space="preserve"> C</w:t>
      </w:r>
      <w:r>
        <w:rPr>
          <w:rFonts w:hint="eastAsia" w:ascii="Times New Roman" w:hAnsi="Times New Roman" w:cs="Times New Roman"/>
          <w:sz w:val="15"/>
          <w:szCs w:val="15"/>
        </w:rPr>
        <w:t xml:space="preserve"> G</w:t>
      </w:r>
      <w:r>
        <w:rPr>
          <w:rFonts w:ascii="Times New Roman" w:hAnsi="Times New Roman" w:cs="Times New Roman"/>
          <w:sz w:val="15"/>
          <w:szCs w:val="15"/>
        </w:rPr>
        <w:t>. Research on the Distribution Law of Tangential Flow Velocity in the Desilting Funnel [J]. Sichuan Water Power, 1997, (4): 77–81.</w:t>
      </w:r>
    </w:p>
    <w:p w14:paraId="390FA843">
      <w:pPr>
        <w:pStyle w:val="18"/>
        <w:ind w:left="300" w:hanging="300" w:hangingChars="200"/>
        <w:rPr>
          <w:rFonts w:ascii="Times New Roman" w:hAnsi="Times New Roman" w:cs="Times New Roman"/>
          <w:sz w:val="15"/>
          <w:szCs w:val="15"/>
        </w:rPr>
      </w:pPr>
      <w:r>
        <w:rPr>
          <w:rFonts w:ascii="Times New Roman" w:hAnsi="Times New Roman" w:cs="Times New Roman"/>
          <w:sz w:val="15"/>
          <w:szCs w:val="15"/>
        </w:rPr>
        <w:t>[15]</w:t>
      </w:r>
      <w:r>
        <w:rPr>
          <w:rFonts w:ascii="Times New Roman" w:hAnsi="Times New Roman" w:cs="Times New Roman"/>
          <w:sz w:val="15"/>
          <w:szCs w:val="15"/>
        </w:rPr>
        <w:tab/>
      </w:r>
      <w:r>
        <w:rPr>
          <w:rFonts w:ascii="Times New Roman" w:hAnsi="Times New Roman" w:cs="Times New Roman"/>
          <w:sz w:val="15"/>
          <w:szCs w:val="15"/>
        </w:rPr>
        <w:t>王顺久, 侯杰, 邱秀云. 从流场分析初步探讨排沙漏斗的输沙机理[J]. 新疆农业大学学报, 1997, (3): 14–18.</w:t>
      </w:r>
    </w:p>
    <w:p w14:paraId="28B6E836">
      <w:pPr>
        <w:tabs>
          <w:tab w:val="left" w:pos="504"/>
        </w:tabs>
        <w:ind w:left="298" w:leftChars="142"/>
        <w:rPr>
          <w:rFonts w:ascii="Times New Roman" w:hAnsi="Times New Roman" w:cs="Times New Roman"/>
          <w:sz w:val="15"/>
          <w:szCs w:val="15"/>
        </w:rPr>
      </w:pPr>
      <w:r>
        <w:rPr>
          <w:rFonts w:ascii="Times New Roman" w:hAnsi="Times New Roman" w:cs="Times New Roman"/>
          <w:sz w:val="15"/>
          <w:szCs w:val="15"/>
        </w:rPr>
        <w:t>W</w:t>
      </w:r>
      <w:r>
        <w:rPr>
          <w:rFonts w:hint="eastAsia" w:ascii="Times New Roman" w:hAnsi="Times New Roman" w:cs="Times New Roman"/>
          <w:sz w:val="15"/>
          <w:szCs w:val="15"/>
        </w:rPr>
        <w:t>ANG</w:t>
      </w:r>
      <w:r>
        <w:rPr>
          <w:rFonts w:ascii="Times New Roman" w:hAnsi="Times New Roman" w:cs="Times New Roman"/>
          <w:sz w:val="15"/>
          <w:szCs w:val="15"/>
        </w:rPr>
        <w:t xml:space="preserve"> S</w:t>
      </w:r>
      <w:r>
        <w:rPr>
          <w:rFonts w:hint="eastAsia" w:ascii="Times New Roman" w:hAnsi="Times New Roman" w:cs="Times New Roman"/>
          <w:sz w:val="15"/>
          <w:szCs w:val="15"/>
        </w:rPr>
        <w:t xml:space="preserve"> J</w:t>
      </w:r>
      <w:r>
        <w:rPr>
          <w:rFonts w:ascii="Times New Roman" w:hAnsi="Times New Roman" w:cs="Times New Roman"/>
          <w:sz w:val="15"/>
          <w:szCs w:val="15"/>
        </w:rPr>
        <w:t>, H</w:t>
      </w:r>
      <w:r>
        <w:rPr>
          <w:rFonts w:hint="eastAsia" w:ascii="Times New Roman" w:hAnsi="Times New Roman" w:cs="Times New Roman"/>
          <w:sz w:val="15"/>
          <w:szCs w:val="15"/>
        </w:rPr>
        <w:t>OU</w:t>
      </w:r>
      <w:r>
        <w:rPr>
          <w:rFonts w:ascii="Times New Roman" w:hAnsi="Times New Roman" w:cs="Times New Roman"/>
          <w:sz w:val="15"/>
          <w:szCs w:val="15"/>
        </w:rPr>
        <w:t xml:space="preserve"> J, Q</w:t>
      </w:r>
      <w:r>
        <w:rPr>
          <w:rFonts w:hint="eastAsia" w:ascii="Times New Roman" w:hAnsi="Times New Roman" w:cs="Times New Roman"/>
          <w:sz w:val="15"/>
          <w:szCs w:val="15"/>
        </w:rPr>
        <w:t xml:space="preserve">IU </w:t>
      </w:r>
      <w:r>
        <w:rPr>
          <w:rFonts w:ascii="Times New Roman" w:hAnsi="Times New Roman" w:cs="Times New Roman"/>
          <w:sz w:val="15"/>
          <w:szCs w:val="15"/>
        </w:rPr>
        <w:t>X</w:t>
      </w:r>
      <w:r>
        <w:rPr>
          <w:rFonts w:hint="eastAsia" w:ascii="Times New Roman" w:hAnsi="Times New Roman" w:cs="Times New Roman"/>
          <w:sz w:val="15"/>
          <w:szCs w:val="15"/>
        </w:rPr>
        <w:t xml:space="preserve"> Y</w:t>
      </w:r>
      <w:r>
        <w:rPr>
          <w:rFonts w:ascii="Times New Roman" w:hAnsi="Times New Roman" w:cs="Times New Roman"/>
          <w:sz w:val="15"/>
          <w:szCs w:val="15"/>
        </w:rPr>
        <w:t>. A Preliminary Exploration of the Sediment Transport Mechanism of the Desilting Funnel Based on Flow Field Analysis [J]. Journal of Xinjiang Agricultural University, 1997, (3): 14–18.</w:t>
      </w:r>
    </w:p>
    <w:p w14:paraId="0BF7193E">
      <w:pPr>
        <w:pStyle w:val="18"/>
        <w:ind w:left="300" w:hanging="300" w:hangingChars="200"/>
        <w:rPr>
          <w:rFonts w:ascii="Times New Roman" w:hAnsi="Times New Roman" w:cs="Times New Roman"/>
          <w:sz w:val="15"/>
          <w:szCs w:val="15"/>
        </w:rPr>
      </w:pPr>
      <w:r>
        <w:rPr>
          <w:rFonts w:ascii="Times New Roman" w:hAnsi="Times New Roman" w:cs="Times New Roman"/>
          <w:sz w:val="15"/>
          <w:szCs w:val="15"/>
        </w:rPr>
        <w:t>[16]</w:t>
      </w:r>
      <w:r>
        <w:rPr>
          <w:rFonts w:ascii="Times New Roman" w:hAnsi="Times New Roman" w:cs="Times New Roman"/>
          <w:sz w:val="15"/>
          <w:szCs w:val="15"/>
        </w:rPr>
        <w:tab/>
      </w:r>
      <w:r>
        <w:rPr>
          <w:rFonts w:ascii="Times New Roman" w:hAnsi="Times New Roman" w:cs="Times New Roman"/>
          <w:sz w:val="15"/>
          <w:szCs w:val="15"/>
        </w:rPr>
        <w:t>唐毅, 吴持恭, 周著. 排沙漏斗三维涡流水流结构[J]. 水利学报, 1999, (4): 56–60.</w:t>
      </w:r>
    </w:p>
    <w:p w14:paraId="219006CA">
      <w:pPr>
        <w:tabs>
          <w:tab w:val="left" w:pos="504"/>
        </w:tabs>
        <w:ind w:left="298" w:leftChars="142"/>
        <w:rPr>
          <w:rFonts w:ascii="Times New Roman" w:hAnsi="Times New Roman" w:cs="Times New Roman"/>
          <w:sz w:val="15"/>
          <w:szCs w:val="15"/>
        </w:rPr>
      </w:pPr>
      <w:r>
        <w:rPr>
          <w:rFonts w:ascii="Times New Roman" w:hAnsi="Times New Roman" w:cs="Times New Roman"/>
          <w:sz w:val="15"/>
          <w:szCs w:val="15"/>
        </w:rPr>
        <w:t>T</w:t>
      </w:r>
      <w:r>
        <w:rPr>
          <w:rFonts w:hint="eastAsia" w:ascii="Times New Roman" w:hAnsi="Times New Roman" w:cs="Times New Roman"/>
          <w:sz w:val="15"/>
          <w:szCs w:val="15"/>
        </w:rPr>
        <w:t>ANG</w:t>
      </w:r>
      <w:r>
        <w:rPr>
          <w:rFonts w:ascii="Times New Roman" w:hAnsi="Times New Roman" w:cs="Times New Roman"/>
          <w:sz w:val="15"/>
          <w:szCs w:val="15"/>
        </w:rPr>
        <w:t xml:space="preserve"> Y, W</w:t>
      </w:r>
      <w:r>
        <w:rPr>
          <w:rFonts w:hint="eastAsia" w:ascii="Times New Roman" w:hAnsi="Times New Roman" w:cs="Times New Roman"/>
          <w:sz w:val="15"/>
          <w:szCs w:val="15"/>
        </w:rPr>
        <w:t>U</w:t>
      </w:r>
      <w:r>
        <w:rPr>
          <w:rFonts w:ascii="Times New Roman" w:hAnsi="Times New Roman" w:cs="Times New Roman"/>
          <w:sz w:val="15"/>
          <w:szCs w:val="15"/>
        </w:rPr>
        <w:t xml:space="preserve"> C</w:t>
      </w:r>
      <w:r>
        <w:rPr>
          <w:rFonts w:hint="eastAsia" w:ascii="Times New Roman" w:hAnsi="Times New Roman" w:cs="Times New Roman"/>
          <w:sz w:val="15"/>
          <w:szCs w:val="15"/>
        </w:rPr>
        <w:t xml:space="preserve"> G</w:t>
      </w:r>
      <w:r>
        <w:rPr>
          <w:rFonts w:ascii="Times New Roman" w:hAnsi="Times New Roman" w:cs="Times New Roman"/>
          <w:sz w:val="15"/>
          <w:szCs w:val="15"/>
        </w:rPr>
        <w:t>, Z</w:t>
      </w:r>
      <w:r>
        <w:rPr>
          <w:rFonts w:hint="eastAsia" w:ascii="Times New Roman" w:hAnsi="Times New Roman" w:cs="Times New Roman"/>
          <w:sz w:val="15"/>
          <w:szCs w:val="15"/>
        </w:rPr>
        <w:t>HOU</w:t>
      </w:r>
      <w:r>
        <w:rPr>
          <w:rFonts w:ascii="Times New Roman" w:hAnsi="Times New Roman" w:cs="Times New Roman"/>
          <w:sz w:val="15"/>
          <w:szCs w:val="15"/>
        </w:rPr>
        <w:t xml:space="preserve"> Z. Three-Dimensional Vortex Flow Structure in the Desilting Funnel [J]. Journal of Hydraulic Engineering, 1999, (4): 56–60.</w:t>
      </w:r>
    </w:p>
    <w:p w14:paraId="2D612DC1">
      <w:pPr>
        <w:pStyle w:val="18"/>
        <w:ind w:left="300" w:hanging="300" w:hangingChars="200"/>
        <w:rPr>
          <w:rFonts w:ascii="Times New Roman" w:hAnsi="Times New Roman" w:cs="Times New Roman"/>
          <w:sz w:val="15"/>
          <w:szCs w:val="15"/>
        </w:rPr>
      </w:pPr>
      <w:r>
        <w:rPr>
          <w:rFonts w:ascii="Times New Roman" w:hAnsi="Times New Roman" w:cs="Times New Roman"/>
          <w:sz w:val="15"/>
          <w:szCs w:val="15"/>
        </w:rPr>
        <w:t>[17]</w:t>
      </w:r>
      <w:r>
        <w:rPr>
          <w:rFonts w:ascii="Times New Roman" w:hAnsi="Times New Roman" w:cs="Times New Roman"/>
          <w:sz w:val="15"/>
          <w:szCs w:val="15"/>
        </w:rPr>
        <w:tab/>
      </w:r>
      <w:r>
        <w:rPr>
          <w:rFonts w:ascii="Times New Roman" w:hAnsi="Times New Roman" w:cs="Times New Roman"/>
          <w:sz w:val="15"/>
          <w:szCs w:val="15"/>
        </w:rPr>
        <w:t>TSUNG-HSIEN HUANG, CHYAN-DENG JAN, YU-CHAO HSU. NUMERICAL SIMULATIONS OF WATER SURFACE PROFILES AND VORTEX STRUCTURE IN A VORTEX SETTLING BASIN BY USING FLOW-3D[J]. Journal of Marine Science and Technology, 2017, 25(5).</w:t>
      </w:r>
    </w:p>
    <w:p w14:paraId="04250BB3">
      <w:pPr>
        <w:pStyle w:val="18"/>
        <w:ind w:left="300" w:hanging="300" w:hangingChars="200"/>
        <w:rPr>
          <w:rFonts w:ascii="Times New Roman" w:hAnsi="Times New Roman" w:cs="Times New Roman"/>
          <w:sz w:val="15"/>
          <w:szCs w:val="15"/>
        </w:rPr>
      </w:pPr>
      <w:r>
        <w:rPr>
          <w:rFonts w:ascii="Times New Roman" w:hAnsi="Times New Roman" w:cs="Times New Roman"/>
          <w:sz w:val="15"/>
          <w:szCs w:val="15"/>
        </w:rPr>
        <w:t>[18]</w:t>
      </w:r>
      <w:r>
        <w:rPr>
          <w:rFonts w:ascii="Times New Roman" w:hAnsi="Times New Roman" w:cs="Times New Roman"/>
          <w:sz w:val="15"/>
          <w:szCs w:val="15"/>
        </w:rPr>
        <w:tab/>
      </w:r>
      <w:r>
        <w:rPr>
          <w:rFonts w:ascii="Times New Roman" w:hAnsi="Times New Roman" w:cs="Times New Roman"/>
          <w:sz w:val="15"/>
          <w:szCs w:val="15"/>
        </w:rPr>
        <w:t>李琳, 顾怀猛, 谭义海. 淤积体对排沙漏斗水沙分离性能的影响机理研究[J]. 水利学报, 2025, 56(2): 227–239.</w:t>
      </w:r>
    </w:p>
    <w:p w14:paraId="1C3E898D">
      <w:pPr>
        <w:tabs>
          <w:tab w:val="left" w:pos="504"/>
        </w:tabs>
        <w:ind w:left="298" w:leftChars="142"/>
        <w:rPr>
          <w:rFonts w:ascii="Times New Roman" w:hAnsi="Times New Roman" w:cs="Times New Roman"/>
          <w:sz w:val="15"/>
          <w:szCs w:val="15"/>
        </w:rPr>
      </w:pPr>
      <w:r>
        <w:rPr>
          <w:rFonts w:ascii="Times New Roman" w:hAnsi="Times New Roman" w:cs="Times New Roman"/>
          <w:sz w:val="15"/>
          <w:szCs w:val="15"/>
        </w:rPr>
        <w:t>L</w:t>
      </w:r>
      <w:r>
        <w:rPr>
          <w:rFonts w:hint="eastAsia" w:ascii="Times New Roman" w:hAnsi="Times New Roman" w:cs="Times New Roman"/>
          <w:sz w:val="15"/>
          <w:szCs w:val="15"/>
        </w:rPr>
        <w:t>I</w:t>
      </w:r>
      <w:r>
        <w:rPr>
          <w:rFonts w:ascii="Times New Roman" w:hAnsi="Times New Roman" w:cs="Times New Roman"/>
          <w:sz w:val="15"/>
          <w:szCs w:val="15"/>
        </w:rPr>
        <w:t xml:space="preserve"> L, G</w:t>
      </w:r>
      <w:r>
        <w:rPr>
          <w:rFonts w:hint="eastAsia" w:ascii="Times New Roman" w:hAnsi="Times New Roman" w:cs="Times New Roman"/>
          <w:sz w:val="15"/>
          <w:szCs w:val="15"/>
        </w:rPr>
        <w:t>U</w:t>
      </w:r>
      <w:r>
        <w:rPr>
          <w:rFonts w:ascii="Times New Roman" w:hAnsi="Times New Roman" w:cs="Times New Roman"/>
          <w:sz w:val="15"/>
          <w:szCs w:val="15"/>
        </w:rPr>
        <w:t xml:space="preserve"> H</w:t>
      </w:r>
      <w:r>
        <w:rPr>
          <w:rFonts w:hint="eastAsia" w:ascii="Times New Roman" w:hAnsi="Times New Roman" w:cs="Times New Roman"/>
          <w:sz w:val="15"/>
          <w:szCs w:val="15"/>
        </w:rPr>
        <w:t xml:space="preserve"> M</w:t>
      </w:r>
      <w:r>
        <w:rPr>
          <w:rFonts w:ascii="Times New Roman" w:hAnsi="Times New Roman" w:cs="Times New Roman"/>
          <w:sz w:val="15"/>
          <w:szCs w:val="15"/>
        </w:rPr>
        <w:t>, T</w:t>
      </w:r>
      <w:r>
        <w:rPr>
          <w:rFonts w:hint="eastAsia" w:ascii="Times New Roman" w:hAnsi="Times New Roman" w:cs="Times New Roman"/>
          <w:sz w:val="15"/>
          <w:szCs w:val="15"/>
        </w:rPr>
        <w:t>AN</w:t>
      </w:r>
      <w:r>
        <w:rPr>
          <w:rFonts w:ascii="Times New Roman" w:hAnsi="Times New Roman" w:cs="Times New Roman"/>
          <w:sz w:val="15"/>
          <w:szCs w:val="15"/>
        </w:rPr>
        <w:t xml:space="preserve"> Y</w:t>
      </w:r>
      <w:r>
        <w:rPr>
          <w:rFonts w:hint="eastAsia" w:ascii="Times New Roman" w:hAnsi="Times New Roman" w:cs="Times New Roman"/>
          <w:sz w:val="15"/>
          <w:szCs w:val="15"/>
        </w:rPr>
        <w:t xml:space="preserve"> H</w:t>
      </w:r>
      <w:r>
        <w:rPr>
          <w:rFonts w:ascii="Times New Roman" w:hAnsi="Times New Roman" w:cs="Times New Roman"/>
          <w:sz w:val="15"/>
          <w:szCs w:val="15"/>
        </w:rPr>
        <w:t>. Mechanism of sediment deposition effects on the hydraulic–sediment separation performance of vortex settling basins[J]. Journal of Hydraulic Engineering, 2025, 56(2): 227–239.</w:t>
      </w:r>
    </w:p>
    <w:p w14:paraId="262FB08E">
      <w:pPr>
        <w:pStyle w:val="18"/>
        <w:ind w:left="300" w:hanging="300" w:hangingChars="200"/>
        <w:rPr>
          <w:rFonts w:ascii="Times New Roman" w:hAnsi="Times New Roman" w:cs="Times New Roman"/>
          <w:sz w:val="15"/>
          <w:szCs w:val="15"/>
        </w:rPr>
      </w:pPr>
      <w:r>
        <w:rPr>
          <w:rFonts w:ascii="Times New Roman" w:hAnsi="Times New Roman" w:cs="Times New Roman"/>
          <w:sz w:val="15"/>
          <w:szCs w:val="15"/>
        </w:rPr>
        <w:t>[19]</w:t>
      </w:r>
      <w:r>
        <w:rPr>
          <w:rFonts w:ascii="Times New Roman" w:hAnsi="Times New Roman" w:cs="Times New Roman"/>
          <w:sz w:val="15"/>
          <w:szCs w:val="15"/>
        </w:rPr>
        <w:tab/>
      </w:r>
      <w:r>
        <w:rPr>
          <w:rFonts w:ascii="Times New Roman" w:hAnsi="Times New Roman" w:cs="Times New Roman"/>
          <w:sz w:val="15"/>
          <w:szCs w:val="15"/>
        </w:rPr>
        <w:t>LI L, WANG P, MA Y, et al. Reducing Sediment Deposition on Deflector in Vortex Settling Basins[J]. Journal of Irrigation and Drainage Engineering, 2020, 146(10): 06020009.</w:t>
      </w:r>
    </w:p>
    <w:p w14:paraId="0E94F242">
      <w:pPr>
        <w:pStyle w:val="18"/>
        <w:ind w:left="300" w:hanging="300" w:hangingChars="200"/>
        <w:rPr>
          <w:rFonts w:ascii="Times New Roman" w:hAnsi="Times New Roman" w:cs="Times New Roman"/>
          <w:sz w:val="15"/>
          <w:szCs w:val="15"/>
        </w:rPr>
      </w:pPr>
      <w:r>
        <w:rPr>
          <w:rFonts w:ascii="Times New Roman" w:hAnsi="Times New Roman" w:cs="Times New Roman"/>
          <w:sz w:val="15"/>
          <w:szCs w:val="15"/>
        </w:rPr>
        <w:t>[20]</w:t>
      </w:r>
      <w:r>
        <w:rPr>
          <w:rFonts w:ascii="Times New Roman" w:hAnsi="Times New Roman" w:cs="Times New Roman"/>
          <w:sz w:val="15"/>
          <w:szCs w:val="15"/>
        </w:rPr>
        <w:tab/>
      </w:r>
      <w:r>
        <w:rPr>
          <w:rFonts w:ascii="Times New Roman" w:hAnsi="Times New Roman" w:cs="Times New Roman"/>
          <w:sz w:val="15"/>
          <w:szCs w:val="15"/>
        </w:rPr>
        <w:t>LI L, WANG P, MA Y. Numerical Study on Performance of Vortex Settling Basin with a Perforated Deflector[C]//2021 7th International Conference on Hydraulic and Civil Engineering &amp; Smart Water Conservancy and Intelligent Disaster Reduction Forum (ICHCE &amp;amp; SWIDR). Nanjing, China: IEEE, 2021: 487–496.</w:t>
      </w:r>
    </w:p>
    <w:p w14:paraId="031E8A13">
      <w:pPr>
        <w:pStyle w:val="18"/>
        <w:ind w:left="300" w:hanging="300" w:hangingChars="200"/>
        <w:rPr>
          <w:rFonts w:ascii="Times New Roman" w:hAnsi="Times New Roman" w:cs="Times New Roman"/>
          <w:sz w:val="15"/>
          <w:szCs w:val="15"/>
        </w:rPr>
      </w:pPr>
      <w:r>
        <w:rPr>
          <w:rFonts w:ascii="Times New Roman" w:hAnsi="Times New Roman" w:cs="Times New Roman"/>
          <w:sz w:val="15"/>
          <w:szCs w:val="15"/>
        </w:rPr>
        <w:t>[21]</w:t>
      </w:r>
      <w:r>
        <w:rPr>
          <w:rFonts w:ascii="Times New Roman" w:hAnsi="Times New Roman" w:cs="Times New Roman"/>
          <w:sz w:val="15"/>
          <w:szCs w:val="15"/>
        </w:rPr>
        <w:tab/>
      </w:r>
      <w:r>
        <w:rPr>
          <w:rFonts w:ascii="Times New Roman" w:hAnsi="Times New Roman" w:cs="Times New Roman"/>
          <w:sz w:val="15"/>
          <w:szCs w:val="15"/>
        </w:rPr>
        <w:t>MU Z, MA Y, LI L. Design optimization of perforation on deflector for improved performance of vortex settling basin</w:t>
      </w:r>
      <w:r>
        <w:rPr>
          <w:rFonts w:ascii="Times New Roman" w:hAnsi="Times New Roman" w:cs="Times New Roman"/>
          <w:sz w:val="15"/>
          <w:szCs w:val="15"/>
          <w:vertAlign w:val="superscript"/>
        </w:rPr>
        <w:t>*</w:t>
      </w:r>
      <w:r>
        <w:rPr>
          <w:rFonts w:ascii="Times New Roman" w:hAnsi="Times New Roman" w:cs="Times New Roman"/>
          <w:sz w:val="15"/>
          <w:szCs w:val="15"/>
        </w:rPr>
        <w:t>[J]. Irrigation and Drainage, 2022, 71(1): 218–227.</w:t>
      </w:r>
    </w:p>
    <w:p w14:paraId="45A3A1F1">
      <w:pPr>
        <w:pStyle w:val="18"/>
        <w:ind w:left="300" w:hanging="300" w:hangingChars="200"/>
        <w:rPr>
          <w:rFonts w:ascii="Times New Roman" w:hAnsi="Times New Roman" w:cs="Times New Roman"/>
          <w:sz w:val="15"/>
          <w:szCs w:val="15"/>
        </w:rPr>
      </w:pPr>
      <w:r>
        <w:rPr>
          <w:rFonts w:ascii="Times New Roman" w:hAnsi="Times New Roman" w:cs="Times New Roman"/>
          <w:sz w:val="15"/>
          <w:szCs w:val="15"/>
        </w:rPr>
        <w:t>[22]</w:t>
      </w:r>
      <w:r>
        <w:rPr>
          <w:rFonts w:ascii="Times New Roman" w:hAnsi="Times New Roman" w:cs="Times New Roman"/>
          <w:sz w:val="15"/>
          <w:szCs w:val="15"/>
        </w:rPr>
        <w:tab/>
      </w:r>
      <w:r>
        <w:rPr>
          <w:rFonts w:ascii="Times New Roman" w:hAnsi="Times New Roman" w:cs="Times New Roman"/>
          <w:sz w:val="15"/>
          <w:szCs w:val="15"/>
        </w:rPr>
        <w:t>LI L, MU Z, MA Y. Effect of support columns under deflector on vortex settling basin performance[J]. DESALINATION AND WATER TREATMENT, 2022, 256: 235–241.</w:t>
      </w:r>
    </w:p>
    <w:p w14:paraId="31886662">
      <w:pPr>
        <w:pStyle w:val="18"/>
        <w:ind w:left="300" w:hanging="300" w:hangingChars="200"/>
        <w:rPr>
          <w:rFonts w:ascii="Times New Roman" w:hAnsi="Times New Roman" w:cs="Times New Roman"/>
          <w:sz w:val="15"/>
          <w:szCs w:val="15"/>
        </w:rPr>
      </w:pPr>
      <w:r>
        <w:rPr>
          <w:rFonts w:ascii="Times New Roman" w:hAnsi="Times New Roman" w:cs="Times New Roman"/>
          <w:sz w:val="15"/>
          <w:szCs w:val="15"/>
        </w:rPr>
        <w:t>[23]</w:t>
      </w:r>
      <w:r>
        <w:rPr>
          <w:rFonts w:ascii="Times New Roman" w:hAnsi="Times New Roman" w:cs="Times New Roman"/>
          <w:sz w:val="15"/>
          <w:szCs w:val="15"/>
        </w:rPr>
        <w:tab/>
      </w:r>
      <w:r>
        <w:rPr>
          <w:rFonts w:ascii="Times New Roman" w:hAnsi="Times New Roman" w:cs="Times New Roman"/>
          <w:sz w:val="15"/>
          <w:szCs w:val="15"/>
        </w:rPr>
        <w:t>WANG Y, MA Y, LI L. Reducing Sediment Deposition on Columned Vortex-Settling Basin Floor by Installing Vanes[J]. Journal of Irrigation and Drainage Engineering, 2022, 148(12): 06022008.</w:t>
      </w:r>
    </w:p>
    <w:p w14:paraId="58CC8130">
      <w:pPr>
        <w:pStyle w:val="18"/>
        <w:ind w:left="300" w:hanging="300" w:hangingChars="200"/>
        <w:rPr>
          <w:rFonts w:ascii="Times New Roman" w:hAnsi="Times New Roman" w:cs="Times New Roman"/>
          <w:sz w:val="15"/>
          <w:szCs w:val="15"/>
        </w:rPr>
      </w:pPr>
      <w:r>
        <w:rPr>
          <w:rFonts w:ascii="Times New Roman" w:hAnsi="Times New Roman" w:cs="Times New Roman"/>
          <w:sz w:val="15"/>
          <w:szCs w:val="15"/>
        </w:rPr>
        <w:t>[24]</w:t>
      </w:r>
      <w:r>
        <w:rPr>
          <w:rFonts w:ascii="Times New Roman" w:hAnsi="Times New Roman" w:cs="Times New Roman"/>
          <w:sz w:val="15"/>
          <w:szCs w:val="15"/>
        </w:rPr>
        <w:tab/>
      </w:r>
      <w:r>
        <w:rPr>
          <w:rFonts w:ascii="Times New Roman" w:hAnsi="Times New Roman" w:cs="Times New Roman"/>
          <w:sz w:val="15"/>
          <w:szCs w:val="15"/>
        </w:rPr>
        <w:t>W</w:t>
      </w:r>
      <w:r>
        <w:rPr>
          <w:rFonts w:hint="eastAsia" w:ascii="Times New Roman" w:hAnsi="Times New Roman" w:cs="Times New Roman"/>
          <w:sz w:val="15"/>
          <w:szCs w:val="15"/>
        </w:rPr>
        <w:t>ANG</w:t>
      </w:r>
      <w:r>
        <w:rPr>
          <w:rFonts w:ascii="Times New Roman" w:hAnsi="Times New Roman" w:cs="Times New Roman"/>
          <w:sz w:val="15"/>
          <w:szCs w:val="15"/>
        </w:rPr>
        <w:t xml:space="preserve"> Y, L</w:t>
      </w:r>
      <w:r>
        <w:rPr>
          <w:rFonts w:hint="eastAsia" w:ascii="Times New Roman" w:hAnsi="Times New Roman" w:cs="Times New Roman"/>
          <w:sz w:val="15"/>
          <w:szCs w:val="15"/>
        </w:rPr>
        <w:t>I</w:t>
      </w:r>
      <w:r>
        <w:rPr>
          <w:rFonts w:ascii="Times New Roman" w:hAnsi="Times New Roman" w:cs="Times New Roman"/>
          <w:sz w:val="15"/>
          <w:szCs w:val="15"/>
        </w:rPr>
        <w:t xml:space="preserve"> L, Z</w:t>
      </w:r>
      <w:r>
        <w:rPr>
          <w:rFonts w:hint="eastAsia" w:ascii="Times New Roman" w:hAnsi="Times New Roman" w:cs="Times New Roman"/>
          <w:sz w:val="15"/>
          <w:szCs w:val="15"/>
        </w:rPr>
        <w:t>HANG</w:t>
      </w:r>
      <w:r>
        <w:rPr>
          <w:rFonts w:ascii="Times New Roman" w:hAnsi="Times New Roman" w:cs="Times New Roman"/>
          <w:sz w:val="15"/>
          <w:szCs w:val="15"/>
        </w:rPr>
        <w:t xml:space="preserve"> W. Study on the flow field characteristics and mechanisms of water and sediment transport in vortex settling basin for suspend sediment with high sediment trapping efficiency[J]. Physics of Fluids, 2025, 37(9)</w:t>
      </w:r>
      <w:r>
        <w:rPr>
          <w:rFonts w:hint="eastAsia" w:ascii="Times New Roman" w:hAnsi="Times New Roman" w:cs="Times New Roman"/>
          <w:sz w:val="15"/>
          <w:szCs w:val="15"/>
        </w:rPr>
        <w:t>.</w:t>
      </w:r>
    </w:p>
    <w:p w14:paraId="781E4714">
      <w:pPr>
        <w:pStyle w:val="18"/>
        <w:ind w:left="300" w:hanging="300" w:hangingChars="200"/>
        <w:rPr>
          <w:rFonts w:ascii="Times New Roman" w:hAnsi="Times New Roman" w:cs="Times New Roman"/>
          <w:sz w:val="15"/>
          <w:szCs w:val="15"/>
        </w:rPr>
      </w:pPr>
      <w:r>
        <w:rPr>
          <w:rFonts w:ascii="Times New Roman" w:hAnsi="Times New Roman" w:cs="Times New Roman"/>
          <w:sz w:val="15"/>
          <w:szCs w:val="15"/>
        </w:rPr>
        <w:t>[</w:t>
      </w:r>
      <w:r>
        <w:rPr>
          <w:rFonts w:hint="eastAsia" w:ascii="Times New Roman" w:hAnsi="Times New Roman" w:cs="Times New Roman"/>
          <w:sz w:val="15"/>
          <w:szCs w:val="15"/>
        </w:rPr>
        <w:t>25</w:t>
      </w:r>
      <w:r>
        <w:rPr>
          <w:rFonts w:ascii="Times New Roman" w:hAnsi="Times New Roman" w:cs="Times New Roman"/>
          <w:sz w:val="15"/>
          <w:szCs w:val="15"/>
        </w:rPr>
        <w:t>]</w:t>
      </w:r>
      <w:r>
        <w:rPr>
          <w:rFonts w:ascii="Times New Roman" w:hAnsi="Times New Roman" w:cs="Times New Roman"/>
          <w:sz w:val="15"/>
          <w:szCs w:val="15"/>
        </w:rPr>
        <w:tab/>
      </w:r>
      <w:r>
        <w:rPr>
          <w:rFonts w:ascii="Times New Roman" w:hAnsi="Times New Roman" w:cs="Times New Roman"/>
          <w:sz w:val="15"/>
          <w:szCs w:val="15"/>
        </w:rPr>
        <w:t>ISNAENI M. GEOMETRIC SHAPE FOR IRRIGATION SEDIMENT TRAPS VORTEX SETTLING DESILTING BASIN[J]. International Journal of GEOMATE, 2023, 24(105).</w:t>
      </w:r>
    </w:p>
    <w:p w14:paraId="3C99B351">
      <w:pPr>
        <w:pStyle w:val="18"/>
        <w:ind w:left="300" w:hanging="300" w:hangingChars="200"/>
        <w:rPr>
          <w:rFonts w:ascii="Times New Roman" w:hAnsi="Times New Roman" w:cs="Times New Roman"/>
          <w:sz w:val="15"/>
          <w:szCs w:val="15"/>
        </w:rPr>
      </w:pPr>
      <w:r>
        <w:rPr>
          <w:rFonts w:ascii="Times New Roman" w:hAnsi="Times New Roman" w:cs="Times New Roman"/>
          <w:sz w:val="15"/>
          <w:szCs w:val="15"/>
        </w:rPr>
        <w:t>[</w:t>
      </w:r>
      <w:r>
        <w:rPr>
          <w:rFonts w:hint="eastAsia" w:ascii="Times New Roman" w:hAnsi="Times New Roman" w:cs="Times New Roman"/>
          <w:sz w:val="15"/>
          <w:szCs w:val="15"/>
        </w:rPr>
        <w:t>26</w:t>
      </w:r>
      <w:r>
        <w:rPr>
          <w:rFonts w:ascii="Times New Roman" w:hAnsi="Times New Roman" w:cs="Times New Roman"/>
          <w:sz w:val="15"/>
          <w:szCs w:val="15"/>
        </w:rPr>
        <w:t>]</w:t>
      </w:r>
      <w:r>
        <w:rPr>
          <w:rFonts w:ascii="Times New Roman" w:hAnsi="Times New Roman" w:cs="Times New Roman"/>
          <w:sz w:val="15"/>
          <w:szCs w:val="15"/>
        </w:rPr>
        <w:tab/>
      </w:r>
      <w:r>
        <w:rPr>
          <w:rFonts w:ascii="Times New Roman" w:hAnsi="Times New Roman" w:cs="Times New Roman"/>
          <w:sz w:val="15"/>
          <w:szCs w:val="15"/>
        </w:rPr>
        <w:t>ISNAENI M. EXPERIMENTS OF GEOMETRIC SHAPE OF SEDIMENT TRAP RECTANGULAR AND VORTEX SETTLING DESILTING BASIN[J]. International Journal of GEOMATE, 2023, 24(106).</w:t>
      </w:r>
    </w:p>
    <w:p w14:paraId="6F80F760">
      <w:pPr>
        <w:pStyle w:val="18"/>
        <w:ind w:left="300" w:hanging="300" w:hangingChars="200"/>
        <w:rPr>
          <w:rFonts w:ascii="Times New Roman" w:hAnsi="Times New Roman" w:cs="Times New Roman"/>
          <w:sz w:val="15"/>
          <w:szCs w:val="15"/>
        </w:rPr>
      </w:pPr>
      <w:r>
        <w:rPr>
          <w:rFonts w:ascii="Times New Roman" w:hAnsi="Times New Roman" w:cs="Times New Roman"/>
          <w:sz w:val="15"/>
          <w:szCs w:val="15"/>
        </w:rPr>
        <w:t>[</w:t>
      </w:r>
      <w:r>
        <w:rPr>
          <w:rFonts w:hint="eastAsia" w:ascii="Times New Roman" w:hAnsi="Times New Roman" w:cs="Times New Roman"/>
          <w:sz w:val="15"/>
          <w:szCs w:val="15"/>
        </w:rPr>
        <w:t>27</w:t>
      </w:r>
      <w:r>
        <w:rPr>
          <w:rFonts w:ascii="Times New Roman" w:hAnsi="Times New Roman" w:cs="Times New Roman"/>
          <w:sz w:val="15"/>
          <w:szCs w:val="15"/>
        </w:rPr>
        <w:t>]</w:t>
      </w:r>
      <w:r>
        <w:rPr>
          <w:rFonts w:ascii="Times New Roman" w:hAnsi="Times New Roman" w:cs="Times New Roman"/>
          <w:sz w:val="15"/>
          <w:szCs w:val="15"/>
        </w:rPr>
        <w:tab/>
      </w:r>
      <w:r>
        <w:rPr>
          <w:rFonts w:ascii="Times New Roman" w:hAnsi="Times New Roman" w:cs="Times New Roman"/>
          <w:sz w:val="15"/>
          <w:szCs w:val="15"/>
        </w:rPr>
        <w:t>WANG Y, DAI W, LI L. Optimization of Vanes in Vortex-Settling Basins Based on Projection Pursuit Regression[J]. Journal of Hydraulic Engineering, 2026, 152(1): 04025055.</w:t>
      </w:r>
    </w:p>
    <w:p w14:paraId="419F0C9F">
      <w:pPr>
        <w:pStyle w:val="18"/>
        <w:ind w:left="300" w:hanging="300" w:hangingChars="200"/>
        <w:rPr>
          <w:rFonts w:ascii="Times New Roman" w:hAnsi="Times New Roman" w:cs="Times New Roman"/>
          <w:sz w:val="15"/>
          <w:szCs w:val="15"/>
        </w:rPr>
      </w:pPr>
      <w:r>
        <w:rPr>
          <w:rFonts w:ascii="Times New Roman" w:hAnsi="Times New Roman" w:cs="Times New Roman"/>
          <w:sz w:val="15"/>
          <w:szCs w:val="15"/>
        </w:rPr>
        <w:t>[</w:t>
      </w:r>
      <w:r>
        <w:rPr>
          <w:rFonts w:hint="eastAsia" w:ascii="Times New Roman" w:hAnsi="Times New Roman" w:cs="Times New Roman"/>
          <w:sz w:val="15"/>
          <w:szCs w:val="15"/>
        </w:rPr>
        <w:t>28</w:t>
      </w:r>
      <w:r>
        <w:rPr>
          <w:rFonts w:ascii="Times New Roman" w:hAnsi="Times New Roman" w:cs="Times New Roman"/>
          <w:sz w:val="15"/>
          <w:szCs w:val="15"/>
        </w:rPr>
        <w:t>]</w:t>
      </w:r>
      <w:r>
        <w:rPr>
          <w:rFonts w:ascii="Times New Roman" w:hAnsi="Times New Roman" w:cs="Times New Roman"/>
          <w:sz w:val="15"/>
          <w:szCs w:val="15"/>
        </w:rPr>
        <w:tab/>
      </w:r>
      <w:r>
        <w:rPr>
          <w:rFonts w:ascii="Times New Roman" w:hAnsi="Times New Roman" w:cs="Times New Roman"/>
          <w:sz w:val="15"/>
          <w:szCs w:val="15"/>
        </w:rPr>
        <w:t>SHEIKH REZAZADEH NIKOU N, MC NABOLA A, ZIAEI A. Enhancing Ecological Design Principles in Vortex Settling Basins for Sustainable Water Management[J]. Water, 2025, 17(4): 496.</w:t>
      </w:r>
    </w:p>
    <w:p w14:paraId="0DB3F539">
      <w:pPr>
        <w:pStyle w:val="18"/>
        <w:ind w:left="300" w:hanging="300" w:hangingChars="200"/>
        <w:rPr>
          <w:rFonts w:ascii="Times New Roman" w:hAnsi="Times New Roman" w:cs="Times New Roman"/>
          <w:sz w:val="15"/>
          <w:szCs w:val="15"/>
        </w:rPr>
      </w:pPr>
      <w:r>
        <w:rPr>
          <w:rFonts w:ascii="Times New Roman" w:hAnsi="Times New Roman" w:cs="Times New Roman"/>
          <w:sz w:val="15"/>
          <w:szCs w:val="15"/>
        </w:rPr>
        <w:t>[</w:t>
      </w:r>
      <w:r>
        <w:rPr>
          <w:rFonts w:hint="eastAsia" w:ascii="Times New Roman" w:hAnsi="Times New Roman" w:cs="Times New Roman"/>
          <w:sz w:val="15"/>
          <w:szCs w:val="15"/>
        </w:rPr>
        <w:t>29</w:t>
      </w:r>
      <w:r>
        <w:rPr>
          <w:rFonts w:ascii="Times New Roman" w:hAnsi="Times New Roman" w:cs="Times New Roman"/>
          <w:sz w:val="15"/>
          <w:szCs w:val="15"/>
        </w:rPr>
        <w:t>]</w:t>
      </w:r>
      <w:r>
        <w:rPr>
          <w:rFonts w:ascii="Times New Roman" w:hAnsi="Times New Roman" w:cs="Times New Roman"/>
          <w:sz w:val="15"/>
          <w:szCs w:val="15"/>
        </w:rPr>
        <w:tab/>
      </w:r>
      <w:r>
        <w:rPr>
          <w:rFonts w:ascii="Times New Roman" w:hAnsi="Times New Roman" w:cs="Times New Roman"/>
          <w:sz w:val="15"/>
          <w:szCs w:val="15"/>
        </w:rPr>
        <w:t>NIKOU N S R, ZIAEI A N, MCDONOUGH J M. Numerical Modeling of Flow Field in Three Types of Vortex Settling Basins[J]. Journal of Irrigation and Drainage Engineering, 2021, 147(12): 04021056.</w:t>
      </w:r>
    </w:p>
    <w:p w14:paraId="4BD34DCB">
      <w:pPr>
        <w:pStyle w:val="18"/>
        <w:ind w:left="300" w:hanging="300" w:hangingChars="200"/>
        <w:rPr>
          <w:rFonts w:ascii="Times New Roman" w:hAnsi="Times New Roman" w:cs="Times New Roman"/>
          <w:sz w:val="15"/>
          <w:szCs w:val="15"/>
        </w:rPr>
      </w:pPr>
      <w:r>
        <w:rPr>
          <w:rFonts w:ascii="Times New Roman" w:hAnsi="Times New Roman" w:cs="Times New Roman"/>
          <w:sz w:val="15"/>
          <w:szCs w:val="15"/>
        </w:rPr>
        <w:t>[</w:t>
      </w:r>
      <w:r>
        <w:rPr>
          <w:rFonts w:hint="eastAsia" w:ascii="Times New Roman" w:hAnsi="Times New Roman" w:cs="Times New Roman"/>
          <w:sz w:val="15"/>
          <w:szCs w:val="15"/>
        </w:rPr>
        <w:t>30</w:t>
      </w:r>
      <w:r>
        <w:rPr>
          <w:rFonts w:ascii="Times New Roman" w:hAnsi="Times New Roman" w:cs="Times New Roman"/>
          <w:sz w:val="15"/>
          <w:szCs w:val="15"/>
        </w:rPr>
        <w:t>]</w:t>
      </w:r>
      <w:r>
        <w:rPr>
          <w:rFonts w:ascii="Times New Roman" w:hAnsi="Times New Roman" w:cs="Times New Roman"/>
          <w:sz w:val="15"/>
          <w:szCs w:val="15"/>
        </w:rPr>
        <w:tab/>
      </w:r>
      <w:r>
        <w:rPr>
          <w:rFonts w:ascii="Times New Roman" w:hAnsi="Times New Roman" w:cs="Times New Roman"/>
          <w:sz w:val="15"/>
          <w:szCs w:val="15"/>
        </w:rPr>
        <w:t>NIKOU N S R, ZIAEI A N, DALIR M. Study of Effective Parameters on Performance of Vortex Settling Basins Using Taguchi Method[J]. Journal of Irrigation and Drainage Engineering, 2022, 148(2): 04021070.</w:t>
      </w:r>
    </w:p>
    <w:p w14:paraId="73EB0DEB">
      <w:pPr>
        <w:rPr>
          <w:rFonts w:hint="eastAsia"/>
        </w:rPr>
      </w:pPr>
    </w:p>
    <w:bookmarkEnd w:id="29"/>
    <w:p w14:paraId="3884E222">
      <w:pPr>
        <w:tabs>
          <w:tab w:val="left" w:pos="504"/>
        </w:tabs>
        <w:spacing w:line="360" w:lineRule="auto"/>
        <w:ind w:left="560" w:hanging="560" w:hangingChars="200"/>
        <w:rPr>
          <w:rFonts w:hint="eastAsia" w:asciiTheme="minorEastAsia" w:hAnsiTheme="minorEastAsia" w:cstheme="minorEastAsia"/>
          <w:bCs/>
          <w:sz w:val="28"/>
          <w:szCs w:val="28"/>
        </w:rPr>
      </w:pPr>
    </w:p>
    <w:p w14:paraId="5CE40811">
      <w:pPr>
        <w:ind w:left="300" w:hanging="300" w:hangingChars="200"/>
        <w:jc w:val="right"/>
        <w:rPr>
          <w:rFonts w:ascii="Times New Roman" w:hAnsi="Times New Roman" w:eastAsia="宋体" w:cs="Times New Roman"/>
          <w:sz w:val="15"/>
          <w:szCs w:val="15"/>
        </w:rPr>
      </w:pPr>
      <w:r>
        <w:rPr>
          <w:rFonts w:hint="eastAsia" w:ascii="Times New Roman" w:hAnsi="Times New Roman" w:eastAsia="宋体" w:cs="Times New Roman"/>
          <w:sz w:val="15"/>
          <w:szCs w:val="15"/>
        </w:rPr>
        <w:t>（责任编辑 王 璐）</w:t>
      </w:r>
    </w:p>
    <w:p w14:paraId="33166C96"/>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A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Segoe UI Emoji">
    <w:altName w:val="Segoe UI"/>
    <w:panose1 w:val="020B0502040204020203"/>
    <w:charset w:val="00"/>
    <w:family w:val="swiss"/>
    <w:pitch w:val="default"/>
    <w:sig w:usb0="00000000" w:usb1="00000000" w:usb2="08000000" w:usb3="00000000" w:csb0="00000001" w:csb1="00000000"/>
  </w:font>
  <w:font w:name="Segoe UI">
    <w:panose1 w:val="020B0502040204020203"/>
    <w:charset w:val="00"/>
    <w:family w:val="auto"/>
    <w:pitch w:val="default"/>
    <w:sig w:usb0="E10022FF" w:usb1="C000E47F" w:usb2="00000029" w:usb3="00000000" w:csb0="200001DF" w:csb1="20000000"/>
  </w:font>
  <w:font w:name="Cambria Math">
    <w:panose1 w:val="02040503050406030204"/>
    <w:charset w:val="00"/>
    <w:family w:val="roman"/>
    <w:pitch w:val="default"/>
    <w:sig w:usb0="E00002FF" w:usb1="420024FF" w:usb2="00000000"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EB405">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D0C3D5">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0DD0C3D5">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64D6668B">
      <w:pPr>
        <w:jc w:val="left"/>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rPr>
        <w:t>收稿日期：2025-04-29；修回日期：2025-09-30；录用日期：2025-10-09；网络出版日期：202</w:t>
      </w:r>
      <w:r>
        <w:rPr>
          <w:rFonts w:hint="eastAsia" w:ascii="Times New Roman" w:hAnsi="Times New Roman" w:eastAsia="宋体" w:cs="Times New Roman"/>
          <w:b/>
          <w:bCs/>
          <w:sz w:val="18"/>
          <w:szCs w:val="18"/>
          <w:lang w:val="en-US" w:eastAsia="zh-CN"/>
        </w:rPr>
        <w:t>6</w:t>
      </w:r>
      <w:r>
        <w:rPr>
          <w:rFonts w:hint="eastAsia" w:ascii="Times New Roman" w:hAnsi="Times New Roman" w:eastAsia="宋体" w:cs="Times New Roman"/>
          <w:b/>
          <w:bCs/>
          <w:sz w:val="18"/>
          <w:szCs w:val="18"/>
        </w:rPr>
        <w:t>-</w:t>
      </w:r>
      <w:r>
        <w:rPr>
          <w:rFonts w:hint="eastAsia" w:ascii="Times New Roman" w:hAnsi="Times New Roman" w:eastAsia="宋体" w:cs="Times New Roman"/>
          <w:b/>
          <w:bCs/>
          <w:sz w:val="18"/>
          <w:szCs w:val="18"/>
          <w:lang w:val="en-US" w:eastAsia="zh-CN"/>
        </w:rPr>
        <w:t>01</w:t>
      </w:r>
      <w:r>
        <w:rPr>
          <w:rFonts w:hint="eastAsia" w:ascii="Times New Roman" w:hAnsi="Times New Roman" w:eastAsia="宋体" w:cs="Times New Roman"/>
          <w:b/>
          <w:bCs/>
          <w:sz w:val="18"/>
          <w:szCs w:val="18"/>
        </w:rPr>
        <w:t>-</w:t>
      </w:r>
      <w:r>
        <w:rPr>
          <w:rFonts w:hint="eastAsia" w:ascii="Times New Roman" w:hAnsi="Times New Roman" w:eastAsia="宋体" w:cs="Times New Roman"/>
          <w:b/>
          <w:bCs/>
          <w:sz w:val="18"/>
          <w:szCs w:val="18"/>
          <w:lang w:val="en-US" w:eastAsia="zh-CN"/>
        </w:rPr>
        <w:t>06</w:t>
      </w:r>
      <w:bookmarkStart w:id="30" w:name="_GoBack"/>
      <w:bookmarkEnd w:id="30"/>
    </w:p>
    <w:p w14:paraId="1028C6AE">
      <w:pPr>
        <w:jc w:val="left"/>
        <w:rPr>
          <w:rFonts w:ascii="Times New Roman" w:hAnsi="Times New Roman" w:eastAsia="宋体" w:cs="Times New Roman"/>
          <w:sz w:val="18"/>
          <w:szCs w:val="18"/>
        </w:rPr>
      </w:pPr>
      <w:r>
        <w:rPr>
          <w:rFonts w:ascii="Times New Roman" w:hAnsi="Times New Roman" w:eastAsia="宋体" w:cs="Times New Roman"/>
          <w:b/>
          <w:bCs/>
          <w:sz w:val="18"/>
          <w:szCs w:val="18"/>
        </w:rPr>
        <w:t>基金项目</w:t>
      </w:r>
      <w:r>
        <w:rPr>
          <w:rFonts w:hint="eastAsia" w:ascii="Times New Roman" w:hAnsi="Times New Roman" w:eastAsia="宋体" w:cs="Times New Roman"/>
          <w:b/>
          <w:bCs/>
          <w:sz w:val="18"/>
          <w:szCs w:val="18"/>
        </w:rPr>
        <w:t>：</w:t>
      </w:r>
      <w:r>
        <w:rPr>
          <w:rFonts w:hint="eastAsia" w:ascii="Times New Roman" w:hAnsi="Times New Roman" w:eastAsia="宋体" w:cs="Times New Roman"/>
          <w:sz w:val="18"/>
          <w:szCs w:val="18"/>
        </w:rPr>
        <w:t>2024年新疆农业大学自治区级大学生创新项目（s202410758036）；</w:t>
      </w:r>
      <w:r>
        <w:rPr>
          <w:rFonts w:ascii="Times New Roman" w:hAnsi="Times New Roman" w:eastAsia="宋体" w:cs="Times New Roman"/>
          <w:sz w:val="18"/>
          <w:szCs w:val="18"/>
        </w:rPr>
        <w:t>国家自然科学基金</w:t>
      </w:r>
      <w:r>
        <w:rPr>
          <w:rFonts w:hint="eastAsia" w:ascii="Times New Roman" w:hAnsi="Times New Roman" w:eastAsia="宋体" w:cs="Times New Roman"/>
          <w:sz w:val="18"/>
          <w:szCs w:val="18"/>
        </w:rPr>
        <w:t>项目</w:t>
      </w:r>
      <w:r>
        <w:rPr>
          <w:rFonts w:ascii="Times New Roman" w:hAnsi="Times New Roman" w:eastAsia="宋体" w:cs="Times New Roman"/>
          <w:sz w:val="18"/>
          <w:szCs w:val="18"/>
        </w:rPr>
        <w:t>(52069028)</w:t>
      </w:r>
    </w:p>
    <w:p w14:paraId="075AAF12">
      <w:pPr>
        <w:jc w:val="left"/>
        <w:rPr>
          <w:rFonts w:ascii="Times New Roman" w:hAnsi="Times New Roman" w:eastAsia="宋体" w:cs="Times New Roman"/>
          <w:sz w:val="18"/>
          <w:szCs w:val="18"/>
        </w:rPr>
      </w:pPr>
      <w:r>
        <w:rPr>
          <w:rFonts w:ascii="Times New Roman" w:hAnsi="Times New Roman" w:eastAsia="宋体" w:cs="Times New Roman"/>
          <w:b/>
          <w:bCs/>
          <w:sz w:val="18"/>
          <w:szCs w:val="18"/>
        </w:rPr>
        <w:t>作者简介</w:t>
      </w:r>
      <w:r>
        <w:rPr>
          <w:rFonts w:hint="eastAsia" w:ascii="Times New Roman" w:hAnsi="Times New Roman" w:eastAsia="宋体" w:cs="Times New Roman"/>
          <w:b/>
          <w:bCs/>
          <w:sz w:val="18"/>
          <w:szCs w:val="18"/>
        </w:rPr>
        <w:t>：</w:t>
      </w:r>
      <w:r>
        <w:rPr>
          <w:rFonts w:hint="eastAsia" w:ascii="宋体" w:hAnsi="宋体" w:eastAsia="宋体" w:cs="宋体"/>
          <w:sz w:val="18"/>
          <w:szCs w:val="18"/>
        </w:rPr>
        <w:t>侯大荣</w:t>
      </w:r>
      <w:r>
        <w:rPr>
          <w:rFonts w:ascii="Times New Roman" w:hAnsi="Times New Roman" w:eastAsia="宋体" w:cs="Times New Roman"/>
          <w:sz w:val="18"/>
          <w:szCs w:val="18"/>
        </w:rPr>
        <w:t>（2000—）</w:t>
      </w:r>
      <w:r>
        <w:rPr>
          <w:rFonts w:hint="eastAsia" w:ascii="Times New Roman" w:hAnsi="Times New Roman" w:eastAsia="宋体" w:cs="Times New Roman"/>
          <w:sz w:val="18"/>
          <w:szCs w:val="18"/>
        </w:rPr>
        <w:t>，男，学士，主要从事水力学与河流动力学研究。</w:t>
      </w:r>
      <w:r>
        <w:rPr>
          <w:rFonts w:ascii="Times New Roman" w:hAnsi="Times New Roman" w:eastAsia="宋体" w:cs="Times New Roman"/>
          <w:sz w:val="18"/>
          <w:szCs w:val="18"/>
        </w:rPr>
        <w:t>E-mail：</w:t>
      </w:r>
      <w:r>
        <w:rPr>
          <w:rFonts w:hint="eastAsia" w:ascii="Times New Roman" w:hAnsi="Times New Roman" w:eastAsia="宋体" w:cs="Times New Roman"/>
          <w:sz w:val="18"/>
          <w:szCs w:val="18"/>
        </w:rPr>
        <w:t>3422851168@qq.com</w:t>
      </w:r>
    </w:p>
    <w:p w14:paraId="3CFAFF4F">
      <w:pPr>
        <w:jc w:val="left"/>
      </w:pPr>
      <w:r>
        <w:rPr>
          <w:rFonts w:ascii="Times New Roman" w:hAnsi="Times New Roman" w:eastAsia="宋体" w:cs="Times New Roman"/>
          <w:b/>
          <w:bCs/>
          <w:sz w:val="18"/>
          <w:szCs w:val="18"/>
        </w:rPr>
        <w:t>通信作者：</w:t>
      </w:r>
      <w:r>
        <w:rPr>
          <w:rFonts w:ascii="Times New Roman" w:hAnsi="Times New Roman" w:eastAsia="宋体" w:cs="Times New Roman"/>
          <w:sz w:val="18"/>
          <w:szCs w:val="18"/>
        </w:rPr>
        <w:t>李琳(1979—)</w:t>
      </w:r>
      <w:r>
        <w:rPr>
          <w:rFonts w:hint="eastAsia" w:ascii="Times New Roman" w:hAnsi="Times New Roman" w:eastAsia="宋体" w:cs="Times New Roman"/>
          <w:sz w:val="18"/>
          <w:szCs w:val="18"/>
        </w:rPr>
        <w:t>，</w:t>
      </w:r>
      <w:r>
        <w:rPr>
          <w:rFonts w:ascii="Times New Roman" w:hAnsi="Times New Roman" w:eastAsia="宋体" w:cs="Times New Roman"/>
          <w:sz w:val="18"/>
          <w:szCs w:val="18"/>
        </w:rPr>
        <w:t>女</w:t>
      </w:r>
      <w:r>
        <w:rPr>
          <w:rFonts w:hint="eastAsia" w:ascii="Times New Roman" w:hAnsi="Times New Roman" w:eastAsia="宋体" w:cs="Times New Roman"/>
          <w:sz w:val="18"/>
          <w:szCs w:val="18"/>
        </w:rPr>
        <w:t>，教授</w:t>
      </w:r>
      <w:r>
        <w:rPr>
          <w:rFonts w:ascii="Times New Roman" w:hAnsi="Times New Roman" w:eastAsia="宋体" w:cs="Times New Roman"/>
          <w:sz w:val="18"/>
          <w:szCs w:val="18"/>
        </w:rPr>
        <w:t>，博士</w:t>
      </w:r>
      <w:r>
        <w:rPr>
          <w:rFonts w:hint="eastAsia" w:ascii="Times New Roman" w:hAnsi="Times New Roman" w:eastAsia="宋体" w:cs="Times New Roman"/>
          <w:sz w:val="18"/>
          <w:szCs w:val="18"/>
        </w:rPr>
        <w:t>研究</w:t>
      </w:r>
      <w:r>
        <w:rPr>
          <w:rFonts w:ascii="Times New Roman" w:hAnsi="Times New Roman" w:eastAsia="宋体" w:cs="Times New Roman"/>
          <w:sz w:val="18"/>
          <w:szCs w:val="18"/>
        </w:rPr>
        <w:t>生导师，博士，研究方向为水力学及</w:t>
      </w:r>
      <w:r>
        <w:rPr>
          <w:rFonts w:hint="eastAsia" w:ascii="Times New Roman" w:hAnsi="Times New Roman" w:eastAsia="宋体" w:cs="Times New Roman"/>
          <w:sz w:val="18"/>
          <w:szCs w:val="18"/>
        </w:rPr>
        <w:t>河</w:t>
      </w:r>
      <w:r>
        <w:rPr>
          <w:rFonts w:ascii="Times New Roman" w:hAnsi="Times New Roman" w:eastAsia="宋体" w:cs="Times New Roman"/>
          <w:sz w:val="18"/>
          <w:szCs w:val="18"/>
        </w:rPr>
        <w:t>流动力学</w:t>
      </w:r>
      <w:r>
        <w:rPr>
          <w:rFonts w:hint="eastAsia" w:ascii="Times New Roman" w:hAnsi="Times New Roman" w:eastAsia="宋体" w:cs="Times New Roman"/>
          <w:sz w:val="18"/>
          <w:szCs w:val="18"/>
        </w:rPr>
        <w:t>。</w:t>
      </w:r>
      <w:r>
        <w:rPr>
          <w:rFonts w:ascii="Times New Roman" w:hAnsi="Times New Roman" w:eastAsia="宋体" w:cs="Times New Roman"/>
          <w:sz w:val="18"/>
          <w:szCs w:val="18"/>
        </w:rPr>
        <w:t>E-mail: lilin_xjau@163.com</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360"/>
  <w:drawingGridVerticalSpacing w:val="156"/>
  <w:displayHorizontalDrawingGridEvery w:val="1"/>
  <w:displayVerticalDrawingGridEvery w:val="1"/>
  <w:noPunctuationKerning w:val="1"/>
  <w:characterSpacingControl w:val="compressPunctuation"/>
  <w:footnotePr>
    <w:footnote w:id="2"/>
    <w:footnote w:id="3"/>
  </w:foot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A07A62"/>
    <w:rsid w:val="00145D45"/>
    <w:rsid w:val="005D1481"/>
    <w:rsid w:val="00621B08"/>
    <w:rsid w:val="0076753D"/>
    <w:rsid w:val="00E16F7D"/>
    <w:rsid w:val="00E364E6"/>
    <w:rsid w:val="00F963A4"/>
    <w:rsid w:val="047F2D99"/>
    <w:rsid w:val="05BF6609"/>
    <w:rsid w:val="067728E4"/>
    <w:rsid w:val="0B554854"/>
    <w:rsid w:val="10431D9D"/>
    <w:rsid w:val="10D426BF"/>
    <w:rsid w:val="111C1C1F"/>
    <w:rsid w:val="12871B13"/>
    <w:rsid w:val="12E34E3B"/>
    <w:rsid w:val="14BF5434"/>
    <w:rsid w:val="14E14263"/>
    <w:rsid w:val="168857CB"/>
    <w:rsid w:val="184A3C36"/>
    <w:rsid w:val="193E7616"/>
    <w:rsid w:val="1B4A5EFB"/>
    <w:rsid w:val="1C5823F6"/>
    <w:rsid w:val="1D2B5C94"/>
    <w:rsid w:val="1E324F39"/>
    <w:rsid w:val="21007980"/>
    <w:rsid w:val="22602004"/>
    <w:rsid w:val="22803FAB"/>
    <w:rsid w:val="22E61751"/>
    <w:rsid w:val="249B5576"/>
    <w:rsid w:val="293B26EA"/>
    <w:rsid w:val="2A5C7555"/>
    <w:rsid w:val="2AB22DC4"/>
    <w:rsid w:val="2F5E167A"/>
    <w:rsid w:val="31540F86"/>
    <w:rsid w:val="33DB0B1F"/>
    <w:rsid w:val="352001C4"/>
    <w:rsid w:val="37DF3E5D"/>
    <w:rsid w:val="37E03CAB"/>
    <w:rsid w:val="3A045513"/>
    <w:rsid w:val="3A8F1281"/>
    <w:rsid w:val="3D046F8D"/>
    <w:rsid w:val="3DAE02C2"/>
    <w:rsid w:val="3ECA34BD"/>
    <w:rsid w:val="49920446"/>
    <w:rsid w:val="4A2D63C1"/>
    <w:rsid w:val="4D9F3131"/>
    <w:rsid w:val="4DCA0138"/>
    <w:rsid w:val="4DF416CF"/>
    <w:rsid w:val="4EA07A62"/>
    <w:rsid w:val="4F8E4414"/>
    <w:rsid w:val="501778F7"/>
    <w:rsid w:val="50AC52A6"/>
    <w:rsid w:val="55031F07"/>
    <w:rsid w:val="55855303"/>
    <w:rsid w:val="565518B4"/>
    <w:rsid w:val="57BD6FD6"/>
    <w:rsid w:val="5AE42ACB"/>
    <w:rsid w:val="5C4C26D6"/>
    <w:rsid w:val="5FF81C32"/>
    <w:rsid w:val="60733548"/>
    <w:rsid w:val="62F11CF9"/>
    <w:rsid w:val="67AC4971"/>
    <w:rsid w:val="68A70F3F"/>
    <w:rsid w:val="69A55B1C"/>
    <w:rsid w:val="6CCD1611"/>
    <w:rsid w:val="6E3F02ED"/>
    <w:rsid w:val="6F4656AB"/>
    <w:rsid w:val="6FA823DD"/>
    <w:rsid w:val="6FFC7C84"/>
    <w:rsid w:val="71532A4D"/>
    <w:rsid w:val="726007E7"/>
    <w:rsid w:val="7362505B"/>
    <w:rsid w:val="73F41B79"/>
    <w:rsid w:val="75BF7348"/>
    <w:rsid w:val="7638502E"/>
    <w:rsid w:val="7AC265D3"/>
    <w:rsid w:val="7DB744F7"/>
    <w:rsid w:val="7E301A00"/>
    <w:rsid w:val="7E8D23AD"/>
    <w:rsid w:val="7F4F2A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qFormat/>
    <w:uiPriority w:val="0"/>
    <w:pPr>
      <w:spacing w:after="120"/>
    </w:p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footnote text"/>
    <w:basedOn w:val="1"/>
    <w:qFormat/>
    <w:uiPriority w:val="0"/>
    <w:pPr>
      <w:snapToGrid w:val="0"/>
      <w:jc w:val="left"/>
    </w:pPr>
    <w:rPr>
      <w:sz w:val="18"/>
    </w:rPr>
  </w:style>
  <w:style w:type="paragraph" w:styleId="6">
    <w:name w:val="table of figures"/>
    <w:basedOn w:val="1"/>
    <w:next w:val="1"/>
    <w:qFormat/>
    <w:uiPriority w:val="0"/>
    <w:pPr>
      <w:jc w:val="center"/>
    </w:pPr>
    <w:rPr>
      <w:rFonts w:ascii="Times New Roman" w:hAnsi="Times New Roman" w:eastAsia="黑体" w:cs="Times New Roman"/>
    </w:rPr>
  </w:style>
  <w:style w:type="table" w:styleId="8">
    <w:name w:val="Table Grid"/>
    <w:basedOn w:val="7"/>
    <w:qFormat/>
    <w:uiPriority w:val="0"/>
    <w:rPr>
      <w:rFonts w:hint="eastAsia"/>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10">
    <w:name w:val="Emphasis"/>
    <w:basedOn w:val="9"/>
    <w:qFormat/>
    <w:uiPriority w:val="0"/>
    <w:rPr>
      <w:i/>
    </w:rPr>
  </w:style>
  <w:style w:type="character" w:styleId="11">
    <w:name w:val="footnote reference"/>
    <w:basedOn w:val="9"/>
    <w:qFormat/>
    <w:uiPriority w:val="0"/>
    <w:rPr>
      <w:vertAlign w:val="superscript"/>
    </w:rPr>
  </w:style>
  <w:style w:type="paragraph" w:customStyle="1" w:styleId="12">
    <w:name w:val="Y正文文本"/>
    <w:basedOn w:val="3"/>
    <w:next w:val="3"/>
    <w:qFormat/>
    <w:uiPriority w:val="0"/>
    <w:pPr>
      <w:widowControl/>
      <w:adjustRightInd w:val="0"/>
      <w:snapToGrid w:val="0"/>
      <w:spacing w:after="0" w:line="500" w:lineRule="exact"/>
      <w:ind w:firstLine="200" w:firstLineChars="200"/>
    </w:pPr>
    <w:rPr>
      <w:rFonts w:ascii="Times New Roman" w:hAnsi="Times New Roman" w:eastAsia="宋体" w:cs="Times New Roman"/>
      <w:color w:val="000000"/>
      <w:kern w:val="0"/>
      <w:sz w:val="24"/>
      <w:szCs w:val="20"/>
      <w:lang w:eastAsia="de-DE" w:bidi="en-US"/>
    </w:rPr>
  </w:style>
  <w:style w:type="table" w:customStyle="1" w:styleId="13">
    <w:name w:val="网格型1"/>
    <w:basedOn w:val="7"/>
    <w:qFormat/>
    <w:uiPriority w:val="0"/>
    <w:rPr>
      <w:rFonts w:hAnsi="宋体"/>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4">
    <w:name w:val="网格型2"/>
    <w:basedOn w:val="7"/>
    <w:qFormat/>
    <w:uiPriority w:val="0"/>
    <w:rPr>
      <w:rFonts w:hint="eastAsia"/>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15">
    <w:name w:val="网格型4"/>
    <w:basedOn w:val="7"/>
    <w:qFormat/>
    <w:uiPriority w:val="0"/>
    <w:pPr>
      <w:spacing w:after="160" w:line="271" w:lineRule="auto"/>
    </w:pPr>
    <w:rPr>
      <w:rFonts w:hint="eastAsia"/>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paragraph" w:styleId="16">
    <w:name w:val="No Spacing"/>
    <w:qFormat/>
    <w:uiPriority w:val="1"/>
    <w:pPr>
      <w:widowControl w:val="0"/>
      <w:tabs>
        <w:tab w:val="center" w:pos="4536"/>
        <w:tab w:val="right" w:pos="9072"/>
      </w:tabs>
      <w:spacing w:before="120" w:after="120"/>
      <w:jc w:val="both"/>
    </w:pPr>
    <w:rPr>
      <w:rFonts w:ascii="Times New Roman" w:hAnsi="Times New Roman" w:eastAsia="宋体" w:cs="Times New Roman"/>
      <w:kern w:val="2"/>
      <w:sz w:val="24"/>
      <w:szCs w:val="24"/>
      <w:lang w:val="en-US" w:eastAsia="zh-CN" w:bidi="ar-SA"/>
    </w:rPr>
  </w:style>
  <w:style w:type="paragraph" w:styleId="17">
    <w:name w:val="List Paragraph"/>
    <w:basedOn w:val="1"/>
    <w:qFormat/>
    <w:uiPriority w:val="34"/>
    <w:pPr>
      <w:ind w:firstLine="420"/>
    </w:pPr>
  </w:style>
  <w:style w:type="paragraph" w:customStyle="1" w:styleId="18">
    <w:name w:val="书目1"/>
    <w:basedOn w:val="1"/>
    <w:next w:val="1"/>
    <w:unhideWhenUsed/>
    <w:qFormat/>
    <w:uiPriority w:val="37"/>
    <w:pPr>
      <w:tabs>
        <w:tab w:val="left" w:pos="504"/>
      </w:tabs>
      <w:ind w:left="504" w:hanging="504"/>
    </w:pPr>
  </w:style>
  <w:style w:type="paragraph" w:customStyle="1" w:styleId="19">
    <w:name w:val="Bibliography"/>
    <w:basedOn w:val="1"/>
    <w:next w:val="1"/>
    <w:unhideWhenUsed/>
    <w:qFormat/>
    <w:uiPriority w:val="37"/>
    <w:pPr>
      <w:tabs>
        <w:tab w:val="left" w:pos="384"/>
      </w:tabs>
      <w:ind w:left="384" w:hanging="384"/>
    </w:p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8" Type="http://schemas.openxmlformats.org/officeDocument/2006/relationships/fontTable" Target="fontTable.xml"/><Relationship Id="rId87" Type="http://schemas.openxmlformats.org/officeDocument/2006/relationships/customXml" Target="../customXml/item1.xml"/><Relationship Id="rId86" Type="http://schemas.openxmlformats.org/officeDocument/2006/relationships/image" Target="media/image49.png"/><Relationship Id="rId85" Type="http://schemas.openxmlformats.org/officeDocument/2006/relationships/image" Target="media/image48.jpeg"/><Relationship Id="rId84" Type="http://schemas.openxmlformats.org/officeDocument/2006/relationships/image" Target="media/image47.png"/><Relationship Id="rId83" Type="http://schemas.openxmlformats.org/officeDocument/2006/relationships/image" Target="media/image46.emf"/><Relationship Id="rId82" Type="http://schemas.openxmlformats.org/officeDocument/2006/relationships/image" Target="media/image45.wmf"/><Relationship Id="rId81" Type="http://schemas.openxmlformats.org/officeDocument/2006/relationships/oleObject" Target="embeddings/oleObject31.bin"/><Relationship Id="rId80" Type="http://schemas.openxmlformats.org/officeDocument/2006/relationships/image" Target="media/image44.wmf"/><Relationship Id="rId8" Type="http://schemas.openxmlformats.org/officeDocument/2006/relationships/oleObject" Target="embeddings/oleObject1.bin"/><Relationship Id="rId79" Type="http://schemas.openxmlformats.org/officeDocument/2006/relationships/oleObject" Target="embeddings/oleObject30.bin"/><Relationship Id="rId78" Type="http://schemas.openxmlformats.org/officeDocument/2006/relationships/image" Target="media/image43.wmf"/><Relationship Id="rId77" Type="http://schemas.openxmlformats.org/officeDocument/2006/relationships/oleObject" Target="embeddings/oleObject29.bin"/><Relationship Id="rId76" Type="http://schemas.openxmlformats.org/officeDocument/2006/relationships/image" Target="media/image42.wmf"/><Relationship Id="rId75" Type="http://schemas.openxmlformats.org/officeDocument/2006/relationships/oleObject" Target="embeddings/oleObject28.bin"/><Relationship Id="rId74" Type="http://schemas.openxmlformats.org/officeDocument/2006/relationships/image" Target="media/image41.wmf"/><Relationship Id="rId73" Type="http://schemas.openxmlformats.org/officeDocument/2006/relationships/oleObject" Target="embeddings/oleObject27.bin"/><Relationship Id="rId72" Type="http://schemas.openxmlformats.org/officeDocument/2006/relationships/image" Target="media/image40.wmf"/><Relationship Id="rId71" Type="http://schemas.openxmlformats.org/officeDocument/2006/relationships/oleObject" Target="embeddings/oleObject26.bin"/><Relationship Id="rId70" Type="http://schemas.openxmlformats.org/officeDocument/2006/relationships/image" Target="media/image39.wmf"/><Relationship Id="rId7" Type="http://schemas.openxmlformats.org/officeDocument/2006/relationships/image" Target="media/image2.png"/><Relationship Id="rId69" Type="http://schemas.openxmlformats.org/officeDocument/2006/relationships/oleObject" Target="embeddings/oleObject25.bin"/><Relationship Id="rId68" Type="http://schemas.openxmlformats.org/officeDocument/2006/relationships/image" Target="media/image38.wmf"/><Relationship Id="rId67" Type="http://schemas.openxmlformats.org/officeDocument/2006/relationships/oleObject" Target="embeddings/oleObject24.bin"/><Relationship Id="rId66" Type="http://schemas.openxmlformats.org/officeDocument/2006/relationships/image" Target="media/image37.wmf"/><Relationship Id="rId65" Type="http://schemas.openxmlformats.org/officeDocument/2006/relationships/oleObject" Target="embeddings/oleObject23.bin"/><Relationship Id="rId64" Type="http://schemas.openxmlformats.org/officeDocument/2006/relationships/image" Target="media/image36.wmf"/><Relationship Id="rId63" Type="http://schemas.openxmlformats.org/officeDocument/2006/relationships/oleObject" Target="embeddings/oleObject22.bin"/><Relationship Id="rId62" Type="http://schemas.openxmlformats.org/officeDocument/2006/relationships/image" Target="media/image35.wmf"/><Relationship Id="rId61" Type="http://schemas.openxmlformats.org/officeDocument/2006/relationships/oleObject" Target="embeddings/oleObject21.bin"/><Relationship Id="rId60" Type="http://schemas.openxmlformats.org/officeDocument/2006/relationships/image" Target="media/image34.wmf"/><Relationship Id="rId6" Type="http://schemas.openxmlformats.org/officeDocument/2006/relationships/image" Target="media/image1.png"/><Relationship Id="rId59" Type="http://schemas.openxmlformats.org/officeDocument/2006/relationships/oleObject" Target="embeddings/oleObject20.bin"/><Relationship Id="rId58" Type="http://schemas.openxmlformats.org/officeDocument/2006/relationships/image" Target="media/image33.wmf"/><Relationship Id="rId57" Type="http://schemas.openxmlformats.org/officeDocument/2006/relationships/oleObject" Target="embeddings/oleObject19.bin"/><Relationship Id="rId56" Type="http://schemas.openxmlformats.org/officeDocument/2006/relationships/image" Target="media/image32.wmf"/><Relationship Id="rId55" Type="http://schemas.openxmlformats.org/officeDocument/2006/relationships/oleObject" Target="embeddings/oleObject18.bin"/><Relationship Id="rId54" Type="http://schemas.openxmlformats.org/officeDocument/2006/relationships/image" Target="media/image31.emf"/><Relationship Id="rId53" Type="http://schemas.openxmlformats.org/officeDocument/2006/relationships/image" Target="media/image30.emf"/><Relationship Id="rId52" Type="http://schemas.openxmlformats.org/officeDocument/2006/relationships/image" Target="media/image29.emf"/><Relationship Id="rId51" Type="http://schemas.openxmlformats.org/officeDocument/2006/relationships/image" Target="media/image28.emf"/><Relationship Id="rId50" Type="http://schemas.openxmlformats.org/officeDocument/2006/relationships/image" Target="media/image27.png"/><Relationship Id="rId5" Type="http://schemas.openxmlformats.org/officeDocument/2006/relationships/theme" Target="theme/theme1.xml"/><Relationship Id="rId49" Type="http://schemas.openxmlformats.org/officeDocument/2006/relationships/image" Target="media/image26.wmf"/><Relationship Id="rId48" Type="http://schemas.openxmlformats.org/officeDocument/2006/relationships/oleObject" Target="embeddings/oleObject17.bin"/><Relationship Id="rId47" Type="http://schemas.openxmlformats.org/officeDocument/2006/relationships/image" Target="file:///C:\Users\&#20399;&#22823;&#33635;\AppData\Local\Temp\ksohtml17340\wps3.png" TargetMode="External"/><Relationship Id="rId46" Type="http://schemas.openxmlformats.org/officeDocument/2006/relationships/image" Target="media/image25.png"/><Relationship Id="rId45" Type="http://schemas.openxmlformats.org/officeDocument/2006/relationships/image" Target="media/image24.wmf"/><Relationship Id="rId44" Type="http://schemas.openxmlformats.org/officeDocument/2006/relationships/oleObject" Target="embeddings/oleObject16.bin"/><Relationship Id="rId43" Type="http://schemas.openxmlformats.org/officeDocument/2006/relationships/image" Target="media/image23.wmf"/><Relationship Id="rId42" Type="http://schemas.openxmlformats.org/officeDocument/2006/relationships/oleObject" Target="embeddings/oleObject15.bin"/><Relationship Id="rId41" Type="http://schemas.openxmlformats.org/officeDocument/2006/relationships/image" Target="media/image22.wmf"/><Relationship Id="rId40" Type="http://schemas.openxmlformats.org/officeDocument/2006/relationships/oleObject" Target="embeddings/oleObject14.bin"/><Relationship Id="rId4" Type="http://schemas.openxmlformats.org/officeDocument/2006/relationships/footer" Target="footer1.xml"/><Relationship Id="rId39" Type="http://schemas.openxmlformats.org/officeDocument/2006/relationships/image" Target="media/image21.wmf"/><Relationship Id="rId38" Type="http://schemas.openxmlformats.org/officeDocument/2006/relationships/oleObject" Target="embeddings/oleObject13.bin"/><Relationship Id="rId37" Type="http://schemas.openxmlformats.org/officeDocument/2006/relationships/image" Target="media/image20.wmf"/><Relationship Id="rId36" Type="http://schemas.openxmlformats.org/officeDocument/2006/relationships/oleObject" Target="embeddings/oleObject12.bin"/><Relationship Id="rId35" Type="http://schemas.openxmlformats.org/officeDocument/2006/relationships/image" Target="media/image19.wmf"/><Relationship Id="rId34" Type="http://schemas.openxmlformats.org/officeDocument/2006/relationships/oleObject" Target="embeddings/oleObject11.bin"/><Relationship Id="rId33" Type="http://schemas.openxmlformats.org/officeDocument/2006/relationships/image" Target="media/image18.wmf"/><Relationship Id="rId32" Type="http://schemas.openxmlformats.org/officeDocument/2006/relationships/oleObject" Target="embeddings/oleObject10.bin"/><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wmf"/><Relationship Id="rId27" Type="http://schemas.openxmlformats.org/officeDocument/2006/relationships/oleObject" Target="embeddings/oleObject9.bin"/><Relationship Id="rId26" Type="http://schemas.openxmlformats.org/officeDocument/2006/relationships/image" Target="media/image13.wmf"/><Relationship Id="rId25" Type="http://schemas.openxmlformats.org/officeDocument/2006/relationships/oleObject" Target="embeddings/oleObject8.bin"/><Relationship Id="rId24" Type="http://schemas.openxmlformats.org/officeDocument/2006/relationships/image" Target="media/image12.wmf"/><Relationship Id="rId23" Type="http://schemas.openxmlformats.org/officeDocument/2006/relationships/oleObject" Target="embeddings/oleObject7.bin"/><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6.bin"/><Relationship Id="rId17" Type="http://schemas.openxmlformats.org/officeDocument/2006/relationships/image" Target="media/image7.wmf"/><Relationship Id="rId16" Type="http://schemas.openxmlformats.org/officeDocument/2006/relationships/oleObject" Target="embeddings/oleObject5.bin"/><Relationship Id="rId15" Type="http://schemas.openxmlformats.org/officeDocument/2006/relationships/image" Target="media/image6.wmf"/><Relationship Id="rId14" Type="http://schemas.openxmlformats.org/officeDocument/2006/relationships/oleObject" Target="embeddings/oleObject4.bin"/><Relationship Id="rId13" Type="http://schemas.openxmlformats.org/officeDocument/2006/relationships/image" Target="media/image5.wmf"/><Relationship Id="rId12" Type="http://schemas.openxmlformats.org/officeDocument/2006/relationships/oleObject" Target="embeddings/oleObject3.bin"/><Relationship Id="rId11" Type="http://schemas.openxmlformats.org/officeDocument/2006/relationships/image" Target="media/image4.w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3947</Words>
  <Characters>6703</Characters>
  <Lines>882</Lines>
  <Paragraphs>915</Paragraphs>
  <TotalTime>10</TotalTime>
  <ScaleCrop>false</ScaleCrop>
  <LinksUpToDate>false</LinksUpToDate>
  <CharactersWithSpaces>7232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2025-11-09T13:14:00Z</dcterms:created>
  <dc:creator>science</dc:creator>
  <cp:lastModifiedBy>王璐</cp:lastModifiedBy>
  <dcterms:modified xsi:type="dcterms:W3CDTF">2026-01-06T02:18:57Z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FC2749B0845E4688BBCB7272958A88CC_13</vt:lpwstr>
  </property>
  <property fmtid="{D5CDD505-2E9C-101B-9397-08002B2CF9AE}" pid="4" name="KSOTemplateDocerSaveRecord">
    <vt:lpwstr>eyJoZGlkIjoiNGJjZWI2NmMzYjBlM2UyZGMwZjUwNDQyMjU3NjRlOGUiLCJ1c2VySWQiOiIzNjMyNDI1ODUifQ==</vt:lpwstr>
  </property>
  <property fmtid="{D5CDD505-2E9C-101B-9397-08002B2CF9AE}" pid="5" name="ZOTERO_PREF_1">
    <vt:lpwstr>&lt;data data-version="3" zotero-version="7.0.20"&gt;&lt;session id="uJkjRnMF"/&gt;&lt;style id="http://www.zotero.org/styles/jm-chinese-std-gb-t-7714-2015-numeric-chinese-qn" hasBibliography="1" bibliographyStyleHasBeenSet="1"/&gt;&lt;prefs&gt;&lt;pref name="fieldType" value="Fiel</vt:lpwstr>
  </property>
  <property fmtid="{D5CDD505-2E9C-101B-9397-08002B2CF9AE}" pid="6" name="ZOTERO_PREF_2">
    <vt:lpwstr>d"/&gt;&lt;/prefs&gt;&lt;/data&gt;</vt:lpwstr>
  </property>
</Properties>
</file>