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overflowPunct/>
        <w:autoSpaceDE/>
        <w:autoSpaceDN/>
        <w:bidi w:val="0"/>
        <w:adjustRightInd/>
        <w:spacing w:after="0" w:line="240" w:lineRule="auto"/>
        <w:ind w:firstLine="0" w:firstLineChars="0"/>
        <w:jc w:val="center"/>
        <w:textAlignment w:val="auto"/>
        <w:rPr>
          <w:rFonts w:hint="eastAsia" w:ascii="黑体" w:hAnsi="黑体" w:eastAsia="黑体" w:cs="黑体"/>
          <w:sz w:val="36"/>
          <w:szCs w:val="36"/>
        </w:rPr>
      </w:pPr>
      <w:r>
        <w:rPr>
          <w:rFonts w:hint="eastAsia" w:ascii="宋体" w:hAnsi="宋体" w:eastAsia="宋体" w:cs="宋体"/>
          <w:b/>
          <w:bCs/>
          <w:sz w:val="36"/>
          <w:szCs w:val="36"/>
        </w:rPr>
        <w:t>不同气候情景下南水北调中线工程水源区水文干旱趋势研究</w:t>
      </w:r>
    </w:p>
    <w:p>
      <w:pPr>
        <w:pStyle w:val="15"/>
        <w:pageBreakBefore w:val="0"/>
        <w:kinsoku/>
        <w:overflowPunct/>
        <w:autoSpaceDE/>
        <w:autoSpaceDN/>
        <w:bidi w:val="0"/>
        <w:adjustRightInd/>
        <w:spacing w:after="0" w:line="240" w:lineRule="auto"/>
        <w:ind w:firstLine="480"/>
        <w:textAlignment w:val="auto"/>
        <w:rPr>
          <w:rFonts w:hint="eastAsia" w:ascii="楷体" w:hAnsi="楷体" w:eastAsia="楷体"/>
          <w:sz w:val="28"/>
          <w:szCs w:val="28"/>
        </w:rPr>
      </w:pPr>
      <w:r>
        <w:rPr>
          <w:rFonts w:hint="eastAsia" w:ascii="楷体" w:hAnsi="楷体" w:eastAsia="楷体"/>
          <w:sz w:val="24"/>
        </w:rPr>
        <w:t>李多芬</w:t>
      </w:r>
      <w:r>
        <w:rPr>
          <w:rFonts w:hint="eastAsia" w:ascii="楷体" w:hAnsi="楷体" w:eastAsia="楷体"/>
          <w:sz w:val="24"/>
          <w:vertAlign w:val="superscript"/>
        </w:rPr>
        <w:t>1,2,3</w:t>
      </w:r>
      <w:r>
        <w:rPr>
          <w:rFonts w:hint="eastAsia" w:ascii="楷体" w:hAnsi="楷体" w:eastAsia="楷体"/>
          <w:sz w:val="24"/>
        </w:rPr>
        <w:t>，刘招</w:t>
      </w:r>
      <w:r>
        <w:rPr>
          <w:rFonts w:hint="eastAsia" w:ascii="楷体" w:hAnsi="楷体" w:eastAsia="楷体"/>
          <w:sz w:val="24"/>
          <w:vertAlign w:val="superscript"/>
        </w:rPr>
        <w:t>1,2,3</w:t>
      </w:r>
      <w:r>
        <w:rPr>
          <w:rFonts w:hint="eastAsia" w:ascii="楷体" w:hAnsi="楷体" w:eastAsia="楷体"/>
          <w:sz w:val="24"/>
        </w:rPr>
        <w:t>，白钰</w:t>
      </w:r>
      <w:r>
        <w:rPr>
          <w:rFonts w:hint="eastAsia" w:ascii="楷体" w:hAnsi="楷体" w:eastAsia="楷体"/>
          <w:sz w:val="24"/>
          <w:vertAlign w:val="superscript"/>
        </w:rPr>
        <w:t>4</w:t>
      </w:r>
      <w:r>
        <w:rPr>
          <w:rFonts w:hint="eastAsia" w:ascii="楷体" w:hAnsi="楷体" w:eastAsia="楷体"/>
          <w:sz w:val="24"/>
        </w:rPr>
        <w:t>，管子隆</w:t>
      </w:r>
      <w:r>
        <w:rPr>
          <w:rFonts w:hint="eastAsia" w:ascii="楷体" w:hAnsi="楷体" w:eastAsia="楷体"/>
          <w:sz w:val="24"/>
          <w:vertAlign w:val="superscript"/>
        </w:rPr>
        <w:t>4</w:t>
      </w:r>
      <w:r>
        <w:rPr>
          <w:rFonts w:hint="eastAsia" w:ascii="楷体" w:hAnsi="楷体" w:eastAsia="楷体"/>
          <w:sz w:val="24"/>
        </w:rPr>
        <w:t>，张晋霞</w:t>
      </w:r>
      <w:r>
        <w:rPr>
          <w:rFonts w:hint="eastAsia" w:ascii="楷体" w:hAnsi="楷体" w:eastAsia="楷体"/>
          <w:sz w:val="24"/>
          <w:vertAlign w:val="superscript"/>
        </w:rPr>
        <w:t>1,2,3</w:t>
      </w:r>
      <w:r>
        <w:rPr>
          <w:rFonts w:hint="eastAsia" w:ascii="楷体" w:hAnsi="楷体" w:eastAsia="楷体"/>
          <w:sz w:val="24"/>
        </w:rPr>
        <w:t>，张嘉琪</w:t>
      </w:r>
      <w:r>
        <w:rPr>
          <w:rFonts w:hint="eastAsia" w:ascii="楷体" w:hAnsi="楷体" w:eastAsia="楷体"/>
          <w:sz w:val="24"/>
          <w:vertAlign w:val="superscript"/>
        </w:rPr>
        <w:t>1,2,3</w:t>
      </w:r>
      <w:r>
        <w:rPr>
          <w:rFonts w:hint="eastAsia" w:ascii="楷体" w:hAnsi="楷体" w:eastAsia="楷体"/>
          <w:sz w:val="24"/>
        </w:rPr>
        <w:t>，何昭良</w:t>
      </w:r>
      <w:r>
        <w:rPr>
          <w:rFonts w:hint="eastAsia" w:ascii="楷体" w:hAnsi="楷体" w:eastAsia="楷体"/>
          <w:sz w:val="24"/>
          <w:vertAlign w:val="superscript"/>
        </w:rPr>
        <w:t>1,2,3</w:t>
      </w:r>
    </w:p>
    <w:p>
      <w:pPr>
        <w:pStyle w:val="15"/>
        <w:pageBreakBefore w:val="0"/>
        <w:kinsoku/>
        <w:overflowPunct/>
        <w:autoSpaceDE/>
        <w:autoSpaceDN/>
        <w:bidi w:val="0"/>
        <w:adjustRightInd/>
        <w:spacing w:after="0" w:line="240" w:lineRule="auto"/>
        <w:textAlignment w:val="auto"/>
        <w:rPr>
          <w:rFonts w:hint="eastAsia" w:ascii="仿宋" w:hAnsi="仿宋" w:eastAsia="仿宋"/>
          <w:szCs w:val="28"/>
        </w:rPr>
      </w:pPr>
      <w:r>
        <w:rPr>
          <w:rFonts w:hint="eastAsia" w:ascii="仿宋" w:hAnsi="仿宋" w:eastAsia="仿宋"/>
          <w:szCs w:val="28"/>
        </w:rPr>
        <w:t>（1.长安大学</w:t>
      </w:r>
      <w:r>
        <w:rPr>
          <w:rFonts w:ascii="仿宋" w:hAnsi="仿宋" w:eastAsia="仿宋"/>
          <w:szCs w:val="28"/>
          <w:lang w:val="en"/>
        </w:rPr>
        <w:t xml:space="preserve"> </w:t>
      </w:r>
      <w:r>
        <w:rPr>
          <w:rFonts w:hint="eastAsia" w:ascii="仿宋" w:hAnsi="仿宋" w:eastAsia="仿宋"/>
          <w:szCs w:val="28"/>
        </w:rPr>
        <w:t>水利与环境学院，陕西 西安  710054；2.长安大学</w:t>
      </w:r>
      <w:r>
        <w:rPr>
          <w:rFonts w:ascii="仿宋" w:hAnsi="仿宋" w:eastAsia="仿宋"/>
          <w:szCs w:val="28"/>
          <w:lang w:val="en"/>
        </w:rPr>
        <w:t xml:space="preserve"> </w:t>
      </w:r>
      <w:r>
        <w:rPr>
          <w:rFonts w:hint="eastAsia" w:ascii="仿宋" w:hAnsi="仿宋" w:eastAsia="仿宋"/>
          <w:szCs w:val="28"/>
        </w:rPr>
        <w:t>旱区地下水文与生态效应教育部重点实验室，陕西 西安  710054；3.长安大学</w:t>
      </w:r>
      <w:r>
        <w:rPr>
          <w:rFonts w:ascii="仿宋" w:hAnsi="仿宋" w:eastAsia="仿宋"/>
          <w:szCs w:val="28"/>
          <w:lang w:val="en"/>
        </w:rPr>
        <w:t xml:space="preserve"> </w:t>
      </w:r>
      <w:r>
        <w:rPr>
          <w:rFonts w:hint="eastAsia" w:ascii="仿宋" w:hAnsi="仿宋" w:eastAsia="仿宋"/>
          <w:szCs w:val="28"/>
        </w:rPr>
        <w:t>水利部旱区生态水文与水安全重点实验室，陕西 西安  710054；4.中国电建集团西北勘测设计研究院有限公司，陕西 西安  710100)</w:t>
      </w:r>
    </w:p>
    <w:p>
      <w:pPr>
        <w:pStyle w:val="43"/>
        <w:pageBreakBefore w:val="0"/>
        <w:kinsoku/>
        <w:overflowPunct/>
        <w:autoSpaceDE/>
        <w:autoSpaceDN/>
        <w:bidi w:val="0"/>
        <w:adjustRightInd/>
        <w:spacing w:after="0" w:line="240" w:lineRule="auto"/>
        <w:textAlignment w:val="auto"/>
        <w:rPr>
          <w:b/>
          <w:bCs/>
        </w:rPr>
      </w:pPr>
    </w:p>
    <w:p>
      <w:pPr>
        <w:pStyle w:val="43"/>
        <w:pageBreakBefore w:val="0"/>
        <w:kinsoku/>
        <w:overflowPunct/>
        <w:autoSpaceDE/>
        <w:autoSpaceDN/>
        <w:bidi w:val="0"/>
        <w:adjustRightInd/>
        <w:spacing w:after="0" w:line="240" w:lineRule="auto"/>
        <w:textAlignment w:val="auto"/>
        <w:rPr>
          <w:szCs w:val="28"/>
        </w:rPr>
      </w:pPr>
      <w:r>
        <w:rPr>
          <w:rFonts w:hint="eastAsia"/>
          <w:b/>
          <w:bCs/>
        </w:rPr>
        <w:t>摘  要：</w:t>
      </w:r>
      <w:r>
        <w:rPr>
          <w:rFonts w:hint="eastAsia"/>
          <w:szCs w:val="28"/>
        </w:rPr>
        <w:t>【目的】量化评估气候变化南水北调中线工程水源区水文干旱未来演变趋势，为中线工程水资源安全管理和调度优化提供依据。【方法】基于CMIP6中CMCC-ESM2模式的SSP1-2.6、SSP2-4.5和SSP5-8.5情景的降尺度数据，驱动SWAT模型模拟水源区未来（2026—2100年）径流过程，采用M-K趋势检验和年尺度</w:t>
      </w:r>
      <w:r>
        <w:rPr>
          <w:rFonts w:hint="eastAsia"/>
          <w:i/>
          <w:iCs/>
          <w:szCs w:val="28"/>
        </w:rPr>
        <w:t>SRI</w:t>
      </w:r>
      <w:r>
        <w:rPr>
          <w:rFonts w:hint="eastAsia"/>
          <w:szCs w:val="28"/>
        </w:rPr>
        <w:t>指数识别径流与水文干旱演变趋势。【结果】相较于基准期（1970—2020年），不同气候情景下水源区未来多年年均径流均呈增长趋势，且增幅随辐射强迫增强而扩大，上游汉中站增幅及趋势显著性最强，下游白河站径流增量最为突出。未来水源区整体水文干旱空间分异显著：SSP1-2.6情景下中下游干旱频率分别下降至0.33</w:t>
      </w:r>
      <w:r>
        <w:rPr>
          <w:rFonts w:hint="eastAsia" w:asciiTheme="minorEastAsia" w:hAnsiTheme="minorEastAsia" w:cstheme="minorEastAsia"/>
          <w:szCs w:val="28"/>
        </w:rPr>
        <w:t>~</w:t>
      </w:r>
      <w:r>
        <w:rPr>
          <w:rFonts w:hint="eastAsia"/>
          <w:szCs w:val="28"/>
        </w:rPr>
        <w:t>0.45，烈度较基准期降低；在SSP2-4.5与SSP5-8.5情景下，上游干旱频率回升至0.40</w:t>
      </w:r>
      <w:r>
        <w:rPr>
          <w:rFonts w:hint="eastAsia" w:asciiTheme="minorEastAsia" w:hAnsiTheme="minorEastAsia" w:cstheme="minorEastAsia"/>
          <w:szCs w:val="28"/>
        </w:rPr>
        <w:t>~</w:t>
      </w:r>
      <w:r>
        <w:rPr>
          <w:rFonts w:hint="eastAsia"/>
          <w:szCs w:val="28"/>
        </w:rPr>
        <w:t>0.45，安康站干旱历时与烈度最高增幅分别达到22.1%和23.4%。【结论】水源区对气候变化具有显著空间响应差异，中低排放情景下，汉中站与白河站呈“高频-短历时-低烈度”特征，高排放情景下中下游干旱趋于持久并显著增强，对未来中线工程水资源配置与防旱减灾提出更高要求。</w:t>
      </w:r>
    </w:p>
    <w:p>
      <w:pPr>
        <w:pStyle w:val="15"/>
        <w:pageBreakBefore w:val="0"/>
        <w:kinsoku/>
        <w:overflowPunct/>
        <w:autoSpaceDE/>
        <w:autoSpaceDN/>
        <w:bidi w:val="0"/>
        <w:adjustRightInd/>
        <w:spacing w:after="0" w:line="240" w:lineRule="auto"/>
        <w:jc w:val="left"/>
        <w:textAlignment w:val="auto"/>
        <w:rPr>
          <w:rFonts w:hint="eastAsia" w:eastAsiaTheme="minorEastAsia"/>
          <w:lang w:eastAsia="zh-CN"/>
        </w:rPr>
      </w:pPr>
      <w:r>
        <w:rPr>
          <w:rFonts w:hint="eastAsia"/>
          <w:b/>
          <w:bCs/>
        </w:rPr>
        <w:t>关键词：</w:t>
      </w:r>
      <w:r>
        <w:rPr>
          <w:rFonts w:hint="eastAsia"/>
        </w:rPr>
        <w:t>南水北调中线工程；SWAT模型；Delta降尺度；CMIP6气候模式；水文干旱</w:t>
      </w:r>
      <w:r>
        <w:rPr>
          <w:rFonts w:hint="eastAsia"/>
          <w:lang w:eastAsia="zh-CN"/>
        </w:rPr>
        <w:t>；气候变化；径流；水资源安全</w:t>
      </w:r>
    </w:p>
    <w:p>
      <w:pPr>
        <w:pStyle w:val="15"/>
        <w:pageBreakBefore w:val="0"/>
        <w:tabs>
          <w:tab w:val="left" w:pos="6720"/>
        </w:tabs>
        <w:kinsoku/>
        <w:overflowPunct/>
        <w:autoSpaceDE/>
        <w:autoSpaceDN/>
        <w:bidi w:val="0"/>
        <w:adjustRightInd/>
        <w:spacing w:after="0" w:line="240" w:lineRule="auto"/>
        <w:jc w:val="left"/>
        <w:textAlignment w:val="auto"/>
      </w:pPr>
      <w:r>
        <w:rPr>
          <w:rFonts w:hint="eastAsia"/>
        </w:rPr>
        <w:t>中图分类号：P333      文献标志码：A</w:t>
      </w:r>
    </w:p>
    <w:p>
      <w:pPr>
        <w:keepNext w:val="0"/>
        <w:keepLines w:val="0"/>
        <w:pageBreakBefore w:val="0"/>
        <w:widowControl w:val="0"/>
        <w:tabs>
          <w:tab w:val="left" w:pos="6666"/>
        </w:tabs>
        <w:kinsoku/>
        <w:wordWrap/>
        <w:overflowPunct/>
        <w:topLinePunct w:val="0"/>
        <w:autoSpaceDE/>
        <w:autoSpaceDN/>
        <w:bidi w:val="0"/>
        <w:adjustRightInd/>
        <w:snapToGrid/>
        <w:spacing w:after="0" w:line="240" w:lineRule="auto"/>
        <w:ind w:firstLine="482"/>
        <w:jc w:val="left"/>
        <w:textAlignment w:val="auto"/>
        <w:rPr>
          <w:rFonts w:hint="eastAsia" w:eastAsiaTheme="minorEastAsia"/>
          <w:b/>
          <w:color w:val="000000"/>
          <w:lang w:val="en" w:eastAsia="zh-CN"/>
        </w:rPr>
      </w:pPr>
      <w:r>
        <w:rPr>
          <w:rFonts w:hint="eastAsia"/>
          <w:b/>
          <w:color w:val="000000"/>
        </w:rPr>
        <w:t>开放科学（资源服务）标志码（</w:t>
      </w:r>
      <w:r>
        <w:rPr>
          <w:b/>
          <w:color w:val="000000"/>
        </w:rPr>
        <w:t>OSID</w:t>
      </w:r>
      <w:r>
        <w:rPr>
          <w:rFonts w:hint="eastAsia"/>
          <w:b/>
          <w:color w:val="000000"/>
        </w:rPr>
        <w:t>）：</w:t>
      </w:r>
      <w:r>
        <w:rPr>
          <w:rFonts w:hint="eastAsia" w:eastAsiaTheme="minorEastAsia"/>
          <w:b/>
          <w:color w:val="000000"/>
          <w:lang w:val="en" w:eastAsia="zh-CN"/>
        </w:rPr>
        <w:drawing>
          <wp:inline distT="0" distB="0" distL="114300" distR="114300">
            <wp:extent cx="1479550" cy="1479550"/>
            <wp:effectExtent l="0" t="0" r="6350" b="6350"/>
            <wp:docPr id="3" name="图片 3" descr="不同气候情景下南水北调中线工程水源区水文干旱趋势研究"/>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descr="不同气候情景下南水北调中线工程水源区水文干旱趋势研究"/>
                    <pic:cNvPicPr>
                      <a:picLocks noChangeAspect="true"/>
                    </pic:cNvPicPr>
                  </pic:nvPicPr>
                  <pic:blipFill>
                    <a:blip r:embed="rId6"/>
                    <a:stretch>
                      <a:fillRect/>
                    </a:stretch>
                  </pic:blipFill>
                  <pic:spPr>
                    <a:xfrm>
                      <a:off x="0" y="0"/>
                      <a:ext cx="1479550" cy="1479550"/>
                    </a:xfrm>
                    <a:prstGeom prst="rect">
                      <a:avLst/>
                    </a:prstGeom>
                  </pic:spPr>
                </pic:pic>
              </a:graphicData>
            </a:graphic>
          </wp:inline>
        </w:drawing>
      </w:r>
    </w:p>
    <w:p>
      <w:pPr>
        <w:pStyle w:val="15"/>
        <w:pageBreakBefore w:val="0"/>
        <w:tabs>
          <w:tab w:val="left" w:pos="6720"/>
        </w:tabs>
        <w:kinsoku/>
        <w:overflowPunct/>
        <w:autoSpaceDE/>
        <w:autoSpaceDN/>
        <w:bidi w:val="0"/>
        <w:adjustRightInd/>
        <w:spacing w:after="0" w:line="240" w:lineRule="auto"/>
        <w:jc w:val="left"/>
        <w:textAlignment w:val="auto"/>
      </w:pPr>
    </w:p>
    <w:p>
      <w:pPr>
        <w:pStyle w:val="15"/>
        <w:pageBreakBefore w:val="0"/>
        <w:tabs>
          <w:tab w:val="left" w:pos="6720"/>
        </w:tabs>
        <w:kinsoku/>
        <w:overflowPunct/>
        <w:autoSpaceDE/>
        <w:autoSpaceDN/>
        <w:bidi w:val="0"/>
        <w:adjustRightInd/>
        <w:spacing w:after="0" w:line="240" w:lineRule="auto"/>
        <w:jc w:val="left"/>
        <w:textAlignment w:val="auto"/>
      </w:pPr>
    </w:p>
    <w:p>
      <w:pPr>
        <w:pStyle w:val="3"/>
        <w:pageBreakBefore w:val="0"/>
        <w:kinsoku/>
        <w:overflowPunct/>
        <w:topLinePunct/>
        <w:autoSpaceDE/>
        <w:autoSpaceDN/>
        <w:bidi w:val="0"/>
        <w:adjustRightInd/>
        <w:spacing w:before="0" w:after="0" w:line="240" w:lineRule="auto"/>
        <w:jc w:val="center"/>
        <w:textAlignment w:val="auto"/>
      </w:pPr>
      <w:r>
        <w:rPr>
          <w:rFonts w:eastAsia="宋体" w:cs="Times New Roman"/>
          <w:bCs/>
          <w:kern w:val="2"/>
          <w:sz w:val="32"/>
          <w:szCs w:val="32"/>
        </w:rPr>
        <w:t xml:space="preserve">Research on hydrological drought trends in water source </w:t>
      </w:r>
      <w:r>
        <w:rPr>
          <w:rFonts w:hint="eastAsia" w:eastAsia="宋体" w:cs="Times New Roman"/>
          <w:bCs/>
          <w:kern w:val="2"/>
          <w:sz w:val="32"/>
          <w:szCs w:val="32"/>
          <w:lang w:val="en-US" w:eastAsia="zh-CN"/>
        </w:rPr>
        <w:t>area</w:t>
      </w:r>
      <w:r>
        <w:rPr>
          <w:rFonts w:eastAsia="宋体" w:cs="Times New Roman"/>
          <w:bCs/>
          <w:kern w:val="2"/>
          <w:sz w:val="32"/>
          <w:szCs w:val="32"/>
        </w:rPr>
        <w:t xml:space="preserve"> of South-to-North Water Diversion Middle Route Project under different climate scenarios</w:t>
      </w:r>
    </w:p>
    <w:p>
      <w:pPr>
        <w:pageBreakBefore w:val="0"/>
        <w:kinsoku/>
        <w:overflowPunct/>
        <w:autoSpaceDE/>
        <w:autoSpaceDN/>
        <w:bidi w:val="0"/>
        <w:adjustRightInd/>
        <w:spacing w:after="0" w:line="240" w:lineRule="auto"/>
        <w:ind w:firstLine="0" w:firstLineChars="0"/>
        <w:jc w:val="center"/>
        <w:textAlignment w:val="auto"/>
        <w:rPr>
          <w:sz w:val="24"/>
          <w:vertAlign w:val="superscript"/>
        </w:rPr>
      </w:pPr>
      <w:r>
        <w:t>LI Duofen</w:t>
      </w:r>
      <w:r>
        <w:rPr>
          <w:sz w:val="24"/>
          <w:vertAlign w:val="superscript"/>
        </w:rPr>
        <w:t>1,2,3</w:t>
      </w:r>
      <w:r>
        <w:rPr>
          <w:rFonts w:hint="eastAsia"/>
        </w:rPr>
        <w:t>，</w:t>
      </w:r>
      <w:r>
        <w:t>LIU Zhao</w:t>
      </w:r>
      <w:r>
        <w:rPr>
          <w:sz w:val="24"/>
          <w:vertAlign w:val="superscript"/>
        </w:rPr>
        <w:t>1,2,3</w:t>
      </w:r>
      <w:r>
        <w:rPr>
          <w:rFonts w:hint="eastAsia"/>
        </w:rPr>
        <w:t>，</w:t>
      </w:r>
      <w:r>
        <w:t>BAI Yu</w:t>
      </w:r>
      <w:r>
        <w:rPr>
          <w:sz w:val="24"/>
          <w:vertAlign w:val="superscript"/>
        </w:rPr>
        <w:t>4</w:t>
      </w:r>
      <w:r>
        <w:rPr>
          <w:rFonts w:hint="eastAsia"/>
        </w:rPr>
        <w:t>，</w:t>
      </w:r>
      <w:r>
        <w:t xml:space="preserve">GUAN </w:t>
      </w:r>
      <w:r>
        <w:rPr>
          <w:rFonts w:hint="eastAsia"/>
        </w:rPr>
        <w:t>Z</w:t>
      </w:r>
      <w:r>
        <w:t>ilong</w:t>
      </w:r>
      <w:r>
        <w:rPr>
          <w:rFonts w:hint="eastAsia"/>
          <w:vertAlign w:val="superscript"/>
        </w:rPr>
        <w:t>4</w:t>
      </w:r>
      <w:r>
        <w:rPr>
          <w:rFonts w:hint="eastAsia"/>
        </w:rPr>
        <w:t>，</w:t>
      </w:r>
      <w:r>
        <w:t>ZHANG Jinxia</w:t>
      </w:r>
      <w:r>
        <w:rPr>
          <w:sz w:val="24"/>
          <w:vertAlign w:val="superscript"/>
        </w:rPr>
        <w:t>1,2,3</w:t>
      </w:r>
      <w:r>
        <w:rPr>
          <w:rFonts w:hint="eastAsia"/>
        </w:rPr>
        <w:t>，</w:t>
      </w:r>
      <w:r>
        <w:t>ZHANG Jiaqi</w:t>
      </w:r>
      <w:r>
        <w:rPr>
          <w:sz w:val="24"/>
          <w:vertAlign w:val="superscript"/>
        </w:rPr>
        <w:t>1,2,3</w:t>
      </w:r>
      <w:r>
        <w:rPr>
          <w:rFonts w:hint="eastAsia"/>
        </w:rPr>
        <w:t>，</w:t>
      </w:r>
      <w:r>
        <w:t>HE Zhaoliang</w:t>
      </w:r>
      <w:r>
        <w:rPr>
          <w:sz w:val="24"/>
          <w:vertAlign w:val="superscript"/>
        </w:rPr>
        <w:t>1,2,3</w:t>
      </w:r>
    </w:p>
    <w:p>
      <w:pPr>
        <w:pageBreakBefore w:val="0"/>
        <w:kinsoku/>
        <w:overflowPunct/>
        <w:autoSpaceDE/>
        <w:autoSpaceDN/>
        <w:bidi w:val="0"/>
        <w:adjustRightInd/>
        <w:spacing w:after="0" w:line="240" w:lineRule="auto"/>
        <w:ind w:firstLine="0" w:firstLineChars="0"/>
        <w:jc w:val="center"/>
        <w:textAlignment w:val="auto"/>
      </w:pPr>
      <w:r>
        <w:rPr>
          <w:rFonts w:hint="eastAsia"/>
        </w:rPr>
        <w:t>（1</w:t>
      </w:r>
      <w:r>
        <w:t>.</w:t>
      </w:r>
      <w:r>
        <w:rPr>
          <w:rFonts w:hint="eastAsia"/>
        </w:rPr>
        <w:t xml:space="preserve"> School of Water and Environment, Chang'an University，</w:t>
      </w:r>
      <w:r>
        <w:t>Xi'an</w:t>
      </w:r>
      <w:r>
        <w:rPr>
          <w:lang w:val="en"/>
        </w:rPr>
        <w:t xml:space="preserve"> </w:t>
      </w:r>
      <w:r>
        <w:t xml:space="preserve"> 710054</w:t>
      </w:r>
      <w:r>
        <w:rPr>
          <w:rFonts w:hint="eastAsia"/>
        </w:rPr>
        <w:t>，Sh</w:t>
      </w:r>
      <w:r>
        <w:t>aanxi</w:t>
      </w:r>
      <w:r>
        <w:rPr>
          <w:rFonts w:hint="eastAsia"/>
        </w:rPr>
        <w:t>，China；2</w:t>
      </w:r>
      <w:r>
        <w:t>.</w:t>
      </w:r>
      <w:r>
        <w:rPr>
          <w:rFonts w:hint="eastAsia"/>
        </w:rPr>
        <w:t xml:space="preserve"> Key Laboratory of Subsurface Hydrology and Ecological Effect in Arid Region</w:t>
      </w:r>
      <w:r>
        <w:rPr>
          <w:rFonts w:hint="eastAsia"/>
          <w:lang w:val="en-US" w:eastAsia="zh-CN"/>
        </w:rPr>
        <w:t xml:space="preserve"> of </w:t>
      </w:r>
      <w:r>
        <w:rPr>
          <w:rFonts w:hint="eastAsia"/>
        </w:rPr>
        <w:t>Ministry of Education，Chang'an University，</w:t>
      </w:r>
      <w:r>
        <w:t xml:space="preserve">Xi'an </w:t>
      </w:r>
      <w:r>
        <w:rPr>
          <w:lang w:val="en"/>
        </w:rPr>
        <w:t xml:space="preserve"> </w:t>
      </w:r>
      <w:r>
        <w:t>710054</w:t>
      </w:r>
      <w:r>
        <w:rPr>
          <w:rFonts w:hint="eastAsia"/>
        </w:rPr>
        <w:t>，Shaanxi，China；3.</w:t>
      </w:r>
      <w:r>
        <w:t xml:space="preserve"> Key Laboratory of Eco-hydrology and Water Security in Arid and Semi-arid Regions of Ministry of Water Resources</w:t>
      </w:r>
      <w:r>
        <w:rPr>
          <w:rFonts w:hint="eastAsia"/>
        </w:rPr>
        <w:t>，</w:t>
      </w:r>
      <w:r>
        <w:t>Chang’an University</w:t>
      </w:r>
      <w:r>
        <w:rPr>
          <w:rFonts w:hint="eastAsia"/>
        </w:rPr>
        <w:t>，</w:t>
      </w:r>
      <w:r>
        <w:t xml:space="preserve">Xi'an </w:t>
      </w:r>
      <w:r>
        <w:rPr>
          <w:lang w:val="en"/>
        </w:rPr>
        <w:t xml:space="preserve"> </w:t>
      </w:r>
      <w:r>
        <w:t>710054</w:t>
      </w:r>
      <w:r>
        <w:rPr>
          <w:rFonts w:hint="eastAsia"/>
        </w:rPr>
        <w:t>，Shaanxi，China；4</w:t>
      </w:r>
      <w:r>
        <w:t>.</w:t>
      </w:r>
      <w:r>
        <w:rPr>
          <w:rFonts w:hint="eastAsia"/>
        </w:rPr>
        <w:t xml:space="preserve"> PowerChina Northwest Engineering Corporation Limited，</w:t>
      </w:r>
      <w:r>
        <w:t>Xi'an</w:t>
      </w:r>
      <w:r>
        <w:rPr>
          <w:lang w:val="en"/>
        </w:rPr>
        <w:t xml:space="preserve"> </w:t>
      </w:r>
      <w:r>
        <w:t xml:space="preserve"> </w:t>
      </w:r>
      <w:r>
        <w:rPr>
          <w:rFonts w:hint="eastAsia"/>
        </w:rPr>
        <w:t>710100，Shaanxi，China）</w:t>
      </w:r>
    </w:p>
    <w:p>
      <w:pPr>
        <w:pageBreakBefore w:val="0"/>
        <w:widowControl/>
        <w:shd w:val="clear" w:color="auto" w:fill="FFFFFF"/>
        <w:kinsoku/>
        <w:overflowPunct/>
        <w:autoSpaceDE/>
        <w:autoSpaceDN/>
        <w:bidi w:val="0"/>
        <w:adjustRightInd/>
        <w:snapToGrid w:val="0"/>
        <w:spacing w:after="0" w:line="240" w:lineRule="auto"/>
        <w:ind w:firstLine="0" w:firstLineChars="0"/>
        <w:textAlignment w:val="auto"/>
        <w:rPr>
          <w:rFonts w:eastAsia="宋体" w:cs="Times New Roman"/>
          <w:b/>
          <w:sz w:val="24"/>
        </w:rPr>
      </w:pPr>
    </w:p>
    <w:p>
      <w:pPr>
        <w:pageBreakBefore w:val="0"/>
        <w:widowControl/>
        <w:shd w:val="clear" w:color="auto" w:fill="FFFFFF"/>
        <w:kinsoku/>
        <w:overflowPunct/>
        <w:autoSpaceDE/>
        <w:autoSpaceDN/>
        <w:bidi w:val="0"/>
        <w:adjustRightInd/>
        <w:snapToGrid w:val="0"/>
        <w:spacing w:after="0" w:line="240" w:lineRule="auto"/>
        <w:ind w:firstLine="0" w:firstLineChars="0"/>
        <w:textAlignment w:val="auto"/>
        <w:rPr>
          <w:rFonts w:ascii="Segoe UI" w:hAnsi="Segoe UI" w:eastAsia="Segoe UI" w:cs="Segoe UI"/>
          <w:sz w:val="24"/>
        </w:rPr>
      </w:pPr>
      <w:r>
        <w:rPr>
          <w:rFonts w:eastAsia="宋体" w:cs="Times New Roman"/>
          <w:b/>
          <w:sz w:val="24"/>
        </w:rPr>
        <w:t xml:space="preserve">Abstract: </w:t>
      </w:r>
      <w:r>
        <w:rPr>
          <w:rFonts w:eastAsia="宋体" w:cs="Times New Roman"/>
        </w:rPr>
        <w:t>[Objective]</w:t>
      </w:r>
      <w:r>
        <w:rPr>
          <w:rFonts w:hint="eastAsia" w:eastAsia="宋体" w:cs="Times New Roman"/>
        </w:rPr>
        <w:t xml:space="preserve"> Future </w:t>
      </w:r>
      <w:r>
        <w:rPr>
          <w:rFonts w:eastAsia="宋体" w:cs="Times New Roman"/>
        </w:rPr>
        <w:t>evolution of</w:t>
      </w:r>
      <w:r>
        <w:rPr>
          <w:rFonts w:hint="eastAsia" w:eastAsia="宋体" w:cs="Times New Roman"/>
        </w:rPr>
        <w:t xml:space="preserve"> hydrological drought in the water source </w:t>
      </w:r>
      <w:r>
        <w:rPr>
          <w:rFonts w:hint="eastAsia" w:eastAsia="宋体" w:cs="Times New Roman"/>
          <w:lang w:val="en-US" w:eastAsia="zh-CN"/>
        </w:rPr>
        <w:t>area</w:t>
      </w:r>
      <w:r>
        <w:rPr>
          <w:rFonts w:hint="eastAsia" w:eastAsia="宋体" w:cs="Times New Roman"/>
        </w:rPr>
        <w:t xml:space="preserve"> of the South-to-North Water Diversion </w:t>
      </w:r>
      <w:r>
        <w:rPr>
          <w:rFonts w:eastAsia="宋体" w:cs="Times New Roman"/>
        </w:rPr>
        <w:t>Middle Route</w:t>
      </w:r>
      <w:r>
        <w:rPr>
          <w:rFonts w:hint="eastAsia" w:eastAsia="宋体" w:cs="Times New Roman"/>
        </w:rPr>
        <w:t xml:space="preserve"> Project </w:t>
      </w:r>
      <w:r>
        <w:rPr>
          <w:rFonts w:eastAsia="宋体" w:cs="Times New Roman"/>
        </w:rPr>
        <w:t xml:space="preserve">under climate change </w:t>
      </w:r>
      <w:r>
        <w:rPr>
          <w:rFonts w:hint="eastAsia" w:eastAsia="宋体" w:cs="Times New Roman"/>
        </w:rPr>
        <w:t>is quantified, provid</w:t>
      </w:r>
      <w:r>
        <w:rPr>
          <w:rFonts w:hint="eastAsia" w:eastAsia="宋体" w:cs="Times New Roman"/>
          <w:lang w:val="en-US" w:eastAsia="zh-CN"/>
        </w:rPr>
        <w:t>ing</w:t>
      </w:r>
      <w:r>
        <w:rPr>
          <w:rFonts w:hint="eastAsia" w:eastAsia="宋体" w:cs="Times New Roman"/>
        </w:rPr>
        <w:t xml:space="preserve"> a basis for the security management and </w:t>
      </w:r>
      <w:r>
        <w:rPr>
          <w:rFonts w:hint="eastAsia" w:eastAsia="宋体" w:cs="Times New Roman"/>
          <w:lang w:val="en-US" w:eastAsia="zh-CN"/>
        </w:rPr>
        <w:t>scheduling</w:t>
      </w:r>
      <w:r>
        <w:rPr>
          <w:rFonts w:hint="eastAsia" w:eastAsia="宋体" w:cs="Times New Roman"/>
        </w:rPr>
        <w:t xml:space="preserve"> optimization</w:t>
      </w:r>
      <w:r>
        <w:rPr>
          <w:rFonts w:ascii="Segoe UI" w:hAnsi="Segoe UI" w:cs="Segoe UI"/>
          <w:color w:val="0F1115"/>
          <w:shd w:val="clear" w:color="auto" w:fill="FFFFFF"/>
        </w:rPr>
        <w:t xml:space="preserve"> </w:t>
      </w:r>
      <w:r>
        <w:rPr>
          <w:rFonts w:eastAsia="宋体" w:cs="Times New Roman"/>
        </w:rPr>
        <w:t xml:space="preserve">of water resources for the </w:t>
      </w:r>
      <w:r>
        <w:rPr>
          <w:rFonts w:hint="eastAsia" w:eastAsia="宋体" w:cs="Times New Roman"/>
          <w:lang w:val="en-US" w:eastAsia="zh-CN"/>
        </w:rPr>
        <w:t>p</w:t>
      </w:r>
      <w:r>
        <w:rPr>
          <w:rFonts w:eastAsia="宋体" w:cs="Times New Roman"/>
        </w:rPr>
        <w:t>roject</w:t>
      </w:r>
      <w:r>
        <w:rPr>
          <w:rFonts w:hint="eastAsia" w:eastAsia="宋体" w:cs="Times New Roman"/>
        </w:rPr>
        <w:t xml:space="preserve">. </w:t>
      </w:r>
      <w:r>
        <w:rPr>
          <w:rFonts w:eastAsia="宋体" w:cs="Times New Roman"/>
        </w:rPr>
        <w:t>[Methods]</w:t>
      </w:r>
      <w:r>
        <w:rPr>
          <w:rFonts w:hint="eastAsia" w:eastAsia="宋体" w:cs="Times New Roman"/>
        </w:rPr>
        <w:t xml:space="preserve"> </w:t>
      </w:r>
      <w:r>
        <w:rPr>
          <w:rFonts w:eastAsia="宋体" w:cs="Times New Roman"/>
        </w:rPr>
        <w:t xml:space="preserve">Downscaled data </w:t>
      </w:r>
      <w:r>
        <w:rPr>
          <w:rFonts w:hint="eastAsia" w:eastAsia="宋体" w:cs="Times New Roman"/>
          <w:lang w:val="en-US" w:eastAsia="zh-CN"/>
        </w:rPr>
        <w:t xml:space="preserve">under </w:t>
      </w:r>
      <w:r>
        <w:rPr>
          <w:rFonts w:eastAsia="宋体" w:cs="Times New Roman"/>
        </w:rPr>
        <w:t>the SSP1-2.6, SSP2-4.5, and SSP5-8.5 scenarios from the CMCC-ESM2 model in CMIP6</w:t>
      </w:r>
      <w:r>
        <w:rPr>
          <w:rFonts w:hint="eastAsia" w:eastAsia="宋体" w:cs="Times New Roman"/>
        </w:rPr>
        <w:t xml:space="preserve"> </w:t>
      </w:r>
      <w:r>
        <w:rPr>
          <w:rFonts w:eastAsia="宋体" w:cs="Times New Roman"/>
        </w:rPr>
        <w:t xml:space="preserve">were used to drive the SWAT model to simulate </w:t>
      </w:r>
      <w:r>
        <w:rPr>
          <w:rFonts w:hint="eastAsia" w:eastAsia="宋体" w:cs="Times New Roman"/>
        </w:rPr>
        <w:t>the</w:t>
      </w:r>
      <w:r>
        <w:rPr>
          <w:rFonts w:hint="eastAsia" w:eastAsia="宋体" w:cs="Times New Roman"/>
          <w:lang w:val="en-US" w:eastAsia="zh-CN"/>
        </w:rPr>
        <w:t xml:space="preserve"> </w:t>
      </w:r>
      <w:r>
        <w:rPr>
          <w:rFonts w:eastAsia="宋体" w:cs="Times New Roman"/>
        </w:rPr>
        <w:t>runoff processes</w:t>
      </w:r>
      <w:r>
        <w:rPr>
          <w:rFonts w:hint="eastAsia" w:eastAsia="宋体" w:cs="Times New Roman"/>
          <w:lang w:val="en-US" w:eastAsia="zh-CN"/>
        </w:rPr>
        <w:t xml:space="preserve"> </w:t>
      </w:r>
      <w:r>
        <w:rPr>
          <w:rFonts w:eastAsia="宋体" w:cs="Times New Roman"/>
        </w:rPr>
        <w:t xml:space="preserve">in the water source </w:t>
      </w:r>
      <w:r>
        <w:rPr>
          <w:rFonts w:hint="eastAsia" w:eastAsia="宋体" w:cs="Times New Roman"/>
          <w:lang w:val="en-US" w:eastAsia="zh-CN"/>
        </w:rPr>
        <w:t>area for the</w:t>
      </w:r>
      <w:r>
        <w:rPr>
          <w:rFonts w:hint="eastAsia" w:eastAsia="宋体" w:cs="Times New Roman"/>
        </w:rPr>
        <w:t xml:space="preserve"> future</w:t>
      </w:r>
      <w:r>
        <w:rPr>
          <w:rFonts w:hint="eastAsia" w:eastAsia="宋体" w:cs="Times New Roman"/>
          <w:lang w:val="en-US" w:eastAsia="zh-CN"/>
        </w:rPr>
        <w:t xml:space="preserve"> period </w:t>
      </w:r>
      <w:r>
        <w:rPr>
          <w:rFonts w:eastAsia="宋体" w:cs="Times New Roman"/>
        </w:rPr>
        <w:t xml:space="preserve">(2026–2100). </w:t>
      </w:r>
      <w:r>
        <w:rPr>
          <w:rFonts w:hint="eastAsia" w:eastAsia="宋体" w:cs="Times New Roman"/>
        </w:rPr>
        <w:t xml:space="preserve">The </w:t>
      </w:r>
      <w:r>
        <w:rPr>
          <w:rFonts w:eastAsia="宋体" w:cs="Times New Roman"/>
        </w:rPr>
        <w:t>Mann</w:t>
      </w:r>
      <w:r>
        <w:rPr>
          <w:rFonts w:hint="eastAsia" w:eastAsia="宋体" w:cs="Times New Roman"/>
        </w:rPr>
        <w:t>-</w:t>
      </w:r>
      <w:r>
        <w:rPr>
          <w:rFonts w:eastAsia="宋体" w:cs="Times New Roman"/>
        </w:rPr>
        <w:t>Kendall</w:t>
      </w:r>
      <w:r>
        <w:rPr>
          <w:rFonts w:hint="eastAsia" w:eastAsia="宋体" w:cs="Times New Roman"/>
          <w:lang w:val="en-US" w:eastAsia="zh-CN"/>
        </w:rPr>
        <w:t xml:space="preserve"> </w:t>
      </w:r>
      <w:r>
        <w:rPr>
          <w:rFonts w:eastAsia="宋体" w:cs="Times New Roman"/>
        </w:rPr>
        <w:t>trend test and the annual-scale standardized runoff index (</w:t>
      </w:r>
      <w:r>
        <w:rPr>
          <w:rFonts w:eastAsia="宋体" w:cs="Times New Roman"/>
          <w:i/>
          <w:iCs/>
        </w:rPr>
        <w:t>SRI</w:t>
      </w:r>
      <w:r>
        <w:rPr>
          <w:rFonts w:eastAsia="宋体" w:cs="Times New Roman"/>
        </w:rPr>
        <w:t xml:space="preserve">) were applied to identify </w:t>
      </w:r>
      <w:r>
        <w:rPr>
          <w:rFonts w:hint="eastAsia" w:eastAsia="宋体" w:cs="Times New Roman"/>
          <w:lang w:val="en-US" w:eastAsia="zh-CN"/>
        </w:rPr>
        <w:t xml:space="preserve">evolution </w:t>
      </w:r>
      <w:r>
        <w:rPr>
          <w:rFonts w:eastAsia="宋体" w:cs="Times New Roman"/>
        </w:rPr>
        <w:t xml:space="preserve">trends </w:t>
      </w:r>
      <w:r>
        <w:rPr>
          <w:rFonts w:hint="eastAsia" w:eastAsia="宋体" w:cs="Times New Roman"/>
          <w:lang w:val="en-US" w:eastAsia="zh-CN"/>
        </w:rPr>
        <w:t>of</w:t>
      </w:r>
      <w:r>
        <w:rPr>
          <w:rFonts w:eastAsia="宋体" w:cs="Times New Roman"/>
        </w:rPr>
        <w:t xml:space="preserve"> runoff and hydrological drought.</w:t>
      </w:r>
      <w:r>
        <w:rPr>
          <w:rFonts w:hint="eastAsia" w:eastAsia="宋体" w:cs="Times New Roman"/>
        </w:rPr>
        <w:t xml:space="preserve"> </w:t>
      </w:r>
      <w:r>
        <w:rPr>
          <w:rFonts w:eastAsia="宋体" w:cs="Times New Roman"/>
        </w:rPr>
        <w:t>[Results]</w:t>
      </w:r>
      <w:r>
        <w:rPr>
          <w:rFonts w:hint="eastAsia" w:eastAsia="宋体" w:cs="Times New Roman"/>
        </w:rPr>
        <w:t xml:space="preserve"> </w:t>
      </w:r>
      <w:r>
        <w:rPr>
          <w:rFonts w:eastAsia="宋体" w:cs="Times New Roman"/>
        </w:rPr>
        <w:t xml:space="preserve">Compared with the baseline period (1970–2020), </w:t>
      </w:r>
      <w:r>
        <w:rPr>
          <w:rFonts w:hint="eastAsia" w:eastAsia="宋体" w:cs="Times New Roman"/>
        </w:rPr>
        <w:t xml:space="preserve">the </w:t>
      </w:r>
      <w:r>
        <w:rPr>
          <w:rFonts w:hint="eastAsia" w:eastAsia="宋体" w:cs="Times New Roman"/>
          <w:lang w:val="en-US" w:eastAsia="zh-CN"/>
        </w:rPr>
        <w:t xml:space="preserve">future </w:t>
      </w:r>
      <w:r>
        <w:rPr>
          <w:rFonts w:eastAsia="宋体" w:cs="Times New Roman"/>
        </w:rPr>
        <w:t>multi-year average</w:t>
      </w:r>
      <w:r>
        <w:rPr>
          <w:rFonts w:hint="eastAsia" w:eastAsia="宋体" w:cs="Times New Roman"/>
        </w:rPr>
        <w:t xml:space="preserve"> </w:t>
      </w:r>
      <w:r>
        <w:rPr>
          <w:rFonts w:eastAsia="宋体" w:cs="Times New Roman"/>
        </w:rPr>
        <w:t>runoff</w:t>
      </w:r>
      <w:r>
        <w:rPr>
          <w:rFonts w:hint="eastAsia" w:eastAsia="宋体" w:cs="Times New Roman"/>
          <w:lang w:val="en-US" w:eastAsia="zh-CN"/>
        </w:rPr>
        <w:t xml:space="preserve"> </w:t>
      </w:r>
      <w:r>
        <w:rPr>
          <w:rFonts w:eastAsia="宋体" w:cs="Times New Roman"/>
        </w:rPr>
        <w:t xml:space="preserve">in the water source </w:t>
      </w:r>
      <w:r>
        <w:rPr>
          <w:rFonts w:hint="eastAsia" w:eastAsia="宋体" w:cs="Times New Roman"/>
          <w:lang w:val="en-US" w:eastAsia="zh-CN"/>
        </w:rPr>
        <w:t>area</w:t>
      </w:r>
      <w:r>
        <w:rPr>
          <w:rFonts w:hint="eastAsia" w:eastAsia="宋体" w:cs="Times New Roman"/>
        </w:rPr>
        <w:t xml:space="preserve"> </w:t>
      </w:r>
      <w:r>
        <w:rPr>
          <w:rFonts w:eastAsia="宋体" w:cs="Times New Roman"/>
        </w:rPr>
        <w:t>show</w:t>
      </w:r>
      <w:r>
        <w:rPr>
          <w:rFonts w:hint="eastAsia" w:eastAsia="宋体" w:cs="Times New Roman"/>
        </w:rPr>
        <w:t>ed</w:t>
      </w:r>
      <w:r>
        <w:rPr>
          <w:rFonts w:eastAsia="宋体" w:cs="Times New Roman"/>
        </w:rPr>
        <w:t xml:space="preserve"> an increasing trend under </w:t>
      </w:r>
      <w:r>
        <w:rPr>
          <w:rFonts w:hint="eastAsia" w:eastAsia="宋体" w:cs="Times New Roman"/>
          <w:lang w:val="en-US" w:eastAsia="zh-CN"/>
        </w:rPr>
        <w:t>different</w:t>
      </w:r>
      <w:r>
        <w:rPr>
          <w:rFonts w:eastAsia="宋体" w:cs="Times New Roman"/>
        </w:rPr>
        <w:t xml:space="preserve"> climate</w:t>
      </w:r>
      <w:r>
        <w:rPr>
          <w:rFonts w:hint="eastAsia" w:eastAsia="宋体" w:cs="Times New Roman"/>
        </w:rPr>
        <w:t xml:space="preserve"> </w:t>
      </w:r>
      <w:r>
        <w:rPr>
          <w:rFonts w:eastAsia="宋体" w:cs="Times New Roman"/>
        </w:rPr>
        <w:t xml:space="preserve">scenarios, </w:t>
      </w:r>
      <w:r>
        <w:rPr>
          <w:rFonts w:hint="eastAsia" w:eastAsia="宋体" w:cs="Times New Roman"/>
        </w:rPr>
        <w:t>and</w:t>
      </w:r>
      <w:r>
        <w:rPr>
          <w:rFonts w:eastAsia="宋体" w:cs="Times New Roman"/>
        </w:rPr>
        <w:t xml:space="preserve"> the magnitude of increase expand</w:t>
      </w:r>
      <w:r>
        <w:rPr>
          <w:rFonts w:hint="eastAsia" w:eastAsia="宋体" w:cs="Times New Roman"/>
        </w:rPr>
        <w:t>ed</w:t>
      </w:r>
      <w:r>
        <w:rPr>
          <w:rFonts w:eastAsia="宋体" w:cs="Times New Roman"/>
        </w:rPr>
        <w:t xml:space="preserve"> </w:t>
      </w:r>
      <w:r>
        <w:rPr>
          <w:rFonts w:hint="eastAsia" w:eastAsia="宋体" w:cs="Times New Roman"/>
          <w:lang w:val="en-US" w:eastAsia="zh-CN"/>
        </w:rPr>
        <w:t>as</w:t>
      </w:r>
      <w:r>
        <w:rPr>
          <w:rFonts w:eastAsia="宋体" w:cs="Times New Roman"/>
        </w:rPr>
        <w:t xml:space="preserve"> radiative forcing</w:t>
      </w:r>
      <w:r>
        <w:rPr>
          <w:rFonts w:hint="eastAsia" w:eastAsia="宋体" w:cs="Times New Roman"/>
          <w:lang w:val="en-US" w:eastAsia="zh-CN"/>
        </w:rPr>
        <w:t xml:space="preserve"> intensified</w:t>
      </w:r>
      <w:r>
        <w:rPr>
          <w:rFonts w:eastAsia="宋体" w:cs="Times New Roman"/>
        </w:rPr>
        <w:t>. The upper-reach Hanzhong station exhibit</w:t>
      </w:r>
      <w:r>
        <w:rPr>
          <w:rFonts w:hint="eastAsia" w:eastAsia="宋体" w:cs="Times New Roman"/>
        </w:rPr>
        <w:t>ed</w:t>
      </w:r>
      <w:r>
        <w:rPr>
          <w:rFonts w:eastAsia="宋体" w:cs="Times New Roman"/>
        </w:rPr>
        <w:t xml:space="preserve"> the most </w:t>
      </w:r>
      <w:r>
        <w:rPr>
          <w:rFonts w:hint="eastAsia" w:eastAsia="宋体" w:cs="Times New Roman"/>
          <w:lang w:val="en-US" w:eastAsia="zh-CN"/>
        </w:rPr>
        <w:t>pronounced</w:t>
      </w:r>
      <w:r>
        <w:rPr>
          <w:rFonts w:hint="eastAsia" w:eastAsia="宋体" w:cs="Times New Roman"/>
        </w:rPr>
        <w:t xml:space="preserve"> </w:t>
      </w:r>
      <w:r>
        <w:rPr>
          <w:rFonts w:eastAsia="宋体" w:cs="Times New Roman"/>
        </w:rPr>
        <w:t>increase and trend</w:t>
      </w:r>
      <w:r>
        <w:rPr>
          <w:rFonts w:hint="eastAsia" w:eastAsia="宋体" w:cs="Times New Roman"/>
          <w:lang w:val="en-US" w:eastAsia="zh-CN"/>
        </w:rPr>
        <w:t xml:space="preserve"> significance</w:t>
      </w:r>
      <w:r>
        <w:rPr>
          <w:rFonts w:eastAsia="宋体" w:cs="Times New Roman"/>
        </w:rPr>
        <w:t xml:space="preserve">, </w:t>
      </w:r>
      <w:r>
        <w:rPr>
          <w:rFonts w:hint="eastAsia" w:eastAsia="宋体" w:cs="Times New Roman"/>
          <w:lang w:val="en-US" w:eastAsia="zh-CN"/>
        </w:rPr>
        <w:t>while</w:t>
      </w:r>
      <w:r>
        <w:rPr>
          <w:rFonts w:eastAsia="宋体" w:cs="Times New Roman"/>
        </w:rPr>
        <w:t xml:space="preserve"> the </w:t>
      </w:r>
      <w:r>
        <w:rPr>
          <w:rFonts w:hint="eastAsia" w:eastAsia="宋体" w:cs="Times New Roman"/>
          <w:lang w:val="en-US" w:eastAsia="zh-CN"/>
        </w:rPr>
        <w:t xml:space="preserve">runoff increment was most notable at the </w:t>
      </w:r>
      <w:r>
        <w:rPr>
          <w:rFonts w:eastAsia="宋体" w:cs="Times New Roman"/>
        </w:rPr>
        <w:t>downstream Baihe station. Significant</w:t>
      </w:r>
      <w:r>
        <w:rPr>
          <w:rFonts w:hint="eastAsia" w:eastAsia="宋体" w:cs="Times New Roman"/>
        </w:rPr>
        <w:t xml:space="preserve"> s</w:t>
      </w:r>
      <w:r>
        <w:rPr>
          <w:rFonts w:eastAsia="宋体" w:cs="Times New Roman"/>
        </w:rPr>
        <w:t>patial heterogeneity was observed</w:t>
      </w:r>
      <w:r>
        <w:rPr>
          <w:rFonts w:hint="eastAsia" w:eastAsia="宋体" w:cs="Times New Roman"/>
        </w:rPr>
        <w:t xml:space="preserve"> </w:t>
      </w:r>
      <w:r>
        <w:rPr>
          <w:rFonts w:eastAsia="宋体" w:cs="Times New Roman"/>
        </w:rPr>
        <w:t xml:space="preserve">in </w:t>
      </w:r>
      <w:r>
        <w:rPr>
          <w:rFonts w:hint="eastAsia" w:eastAsia="宋体" w:cs="Times New Roman"/>
        </w:rPr>
        <w:t xml:space="preserve">the </w:t>
      </w:r>
      <w:r>
        <w:rPr>
          <w:rFonts w:eastAsia="宋体" w:cs="Times New Roman"/>
        </w:rPr>
        <w:t>future hydrological drought</w:t>
      </w:r>
      <w:r>
        <w:rPr>
          <w:rFonts w:hint="eastAsia" w:eastAsia="宋体" w:cs="Times New Roman"/>
        </w:rPr>
        <w:t xml:space="preserve"> </w:t>
      </w:r>
      <w:r>
        <w:rPr>
          <w:rFonts w:eastAsia="宋体" w:cs="Times New Roman"/>
        </w:rPr>
        <w:t xml:space="preserve">across the water source </w:t>
      </w:r>
      <w:r>
        <w:rPr>
          <w:rFonts w:hint="eastAsia" w:eastAsia="宋体" w:cs="Times New Roman"/>
          <w:lang w:val="en-US" w:eastAsia="zh-CN"/>
        </w:rPr>
        <w:t>area.</w:t>
      </w:r>
      <w:r>
        <w:rPr>
          <w:rFonts w:eastAsia="宋体" w:cs="Times New Roman"/>
        </w:rPr>
        <w:t xml:space="preserve"> </w:t>
      </w:r>
      <w:r>
        <w:rPr>
          <w:rFonts w:hint="eastAsia" w:eastAsia="宋体" w:cs="Times New Roman"/>
          <w:lang w:val="en-US" w:eastAsia="zh-CN"/>
        </w:rPr>
        <w:t>U</w:t>
      </w:r>
      <w:r>
        <w:rPr>
          <w:rFonts w:eastAsia="宋体" w:cs="Times New Roman"/>
        </w:rPr>
        <w:t>nder the</w:t>
      </w:r>
      <w:r>
        <w:rPr>
          <w:rFonts w:hint="eastAsia" w:eastAsia="宋体" w:cs="Times New Roman"/>
        </w:rPr>
        <w:t xml:space="preserve"> </w:t>
      </w:r>
      <w:r>
        <w:rPr>
          <w:rFonts w:eastAsia="宋体" w:cs="Times New Roman"/>
        </w:rPr>
        <w:t>SSP1-2.6</w:t>
      </w:r>
      <w:r>
        <w:rPr>
          <w:rFonts w:ascii="Segoe UI" w:hAnsi="Segoe UI" w:cs="Segoe UI"/>
          <w:color w:val="0F1115"/>
          <w:shd w:val="clear" w:color="auto" w:fill="FFFFFF"/>
        </w:rPr>
        <w:t xml:space="preserve"> </w:t>
      </w:r>
      <w:r>
        <w:rPr>
          <w:rFonts w:eastAsia="宋体" w:cs="Times New Roman"/>
        </w:rPr>
        <w:t xml:space="preserve">scenario, </w:t>
      </w:r>
      <w:r>
        <w:rPr>
          <w:rFonts w:hint="eastAsia" w:eastAsia="宋体" w:cs="Times New Roman"/>
        </w:rPr>
        <w:t xml:space="preserve">the </w:t>
      </w:r>
      <w:r>
        <w:rPr>
          <w:rFonts w:eastAsia="宋体" w:cs="Times New Roman"/>
        </w:rPr>
        <w:t>drought frequency in the middle and lower reaches decrease</w:t>
      </w:r>
      <w:r>
        <w:rPr>
          <w:rFonts w:hint="eastAsia" w:eastAsia="宋体" w:cs="Times New Roman"/>
        </w:rPr>
        <w:t>d</w:t>
      </w:r>
      <w:r>
        <w:rPr>
          <w:rFonts w:eastAsia="宋体" w:cs="Times New Roman"/>
        </w:rPr>
        <w:t xml:space="preserve"> to 0.33–0.4</w:t>
      </w:r>
      <w:r>
        <w:rPr>
          <w:rFonts w:eastAsia="宋体" w:cs="Times New Roman"/>
          <w:highlight w:val="none"/>
        </w:rPr>
        <w:t>5, and the drought severity was reduced</w:t>
      </w:r>
      <w:r>
        <w:rPr>
          <w:rFonts w:eastAsia="宋体" w:cs="Times New Roman"/>
        </w:rPr>
        <w:t xml:space="preserve"> compared with the baseline period. </w:t>
      </w:r>
      <w:r>
        <w:rPr>
          <w:rFonts w:hint="eastAsia" w:eastAsia="宋体" w:cs="Times New Roman"/>
        </w:rPr>
        <w:t>U</w:t>
      </w:r>
      <w:r>
        <w:rPr>
          <w:rFonts w:eastAsia="宋体" w:cs="Times New Roman"/>
        </w:rPr>
        <w:t>nder the</w:t>
      </w:r>
      <w:r>
        <w:rPr>
          <w:rFonts w:hint="eastAsia" w:eastAsia="宋体" w:cs="Times New Roman"/>
        </w:rPr>
        <w:t xml:space="preserve"> </w:t>
      </w:r>
      <w:r>
        <w:rPr>
          <w:rFonts w:eastAsia="宋体" w:cs="Times New Roman"/>
        </w:rPr>
        <w:t>SSP2-4.5 and SSP5-8.5</w:t>
      </w:r>
      <w:r>
        <w:rPr>
          <w:rFonts w:ascii="Segoe UI" w:hAnsi="Segoe UI" w:cs="Segoe UI"/>
          <w:color w:val="0F1115"/>
          <w:shd w:val="clear" w:color="auto" w:fill="FFFFFF"/>
        </w:rPr>
        <w:t xml:space="preserve"> </w:t>
      </w:r>
      <w:r>
        <w:rPr>
          <w:rFonts w:eastAsia="宋体" w:cs="Times New Roman"/>
        </w:rPr>
        <w:t xml:space="preserve">scenarios, </w:t>
      </w:r>
      <w:r>
        <w:rPr>
          <w:rFonts w:hint="eastAsia" w:eastAsia="宋体" w:cs="Times New Roman"/>
        </w:rPr>
        <w:t xml:space="preserve">the </w:t>
      </w:r>
      <w:r>
        <w:rPr>
          <w:rFonts w:eastAsia="宋体" w:cs="Times New Roman"/>
        </w:rPr>
        <w:t>drought frequency in the upper reach increased</w:t>
      </w:r>
      <w:r>
        <w:rPr>
          <w:rFonts w:hint="eastAsia" w:eastAsia="宋体" w:cs="Times New Roman"/>
        </w:rPr>
        <w:t xml:space="preserve"> </w:t>
      </w:r>
      <w:r>
        <w:rPr>
          <w:rFonts w:eastAsia="宋体" w:cs="Times New Roman"/>
        </w:rPr>
        <w:t>to 0.40–0.45, and the maximum increases in</w:t>
      </w:r>
      <w:r>
        <w:rPr>
          <w:rFonts w:hint="eastAsia" w:eastAsia="宋体" w:cs="Times New Roman"/>
        </w:rPr>
        <w:t xml:space="preserve"> </w:t>
      </w:r>
      <w:r>
        <w:rPr>
          <w:rFonts w:eastAsia="宋体" w:cs="Times New Roman"/>
        </w:rPr>
        <w:t>drought duration and severity at the</w:t>
      </w:r>
      <w:r>
        <w:rPr>
          <w:rFonts w:hint="eastAsia" w:eastAsia="宋体" w:cs="Times New Roman"/>
        </w:rPr>
        <w:t xml:space="preserve"> </w:t>
      </w:r>
      <w:r>
        <w:rPr>
          <w:rFonts w:eastAsia="宋体" w:cs="Times New Roman"/>
        </w:rPr>
        <w:t>Ankang station reached 22.1% and 23.4%, respectively. [Conclusion]</w:t>
      </w:r>
      <w:r>
        <w:rPr>
          <w:rFonts w:hint="eastAsia" w:eastAsia="宋体" w:cs="Times New Roman"/>
        </w:rPr>
        <w:t xml:space="preserve"> </w:t>
      </w:r>
      <w:r>
        <w:rPr>
          <w:rFonts w:eastAsia="宋体" w:cs="Times New Roman"/>
        </w:rPr>
        <w:t xml:space="preserve">The water source </w:t>
      </w:r>
      <w:r>
        <w:rPr>
          <w:rFonts w:hint="eastAsia" w:eastAsia="宋体" w:cs="Times New Roman"/>
          <w:lang w:val="en-US" w:eastAsia="zh-CN"/>
        </w:rPr>
        <w:t>area</w:t>
      </w:r>
      <w:r>
        <w:rPr>
          <w:rFonts w:hint="eastAsia" w:eastAsia="宋体" w:cs="Times New Roman"/>
        </w:rPr>
        <w:t xml:space="preserve"> </w:t>
      </w:r>
      <w:r>
        <w:rPr>
          <w:rFonts w:eastAsia="宋体" w:cs="Times New Roman"/>
        </w:rPr>
        <w:t>exhibits pronounced spatial differences</w:t>
      </w:r>
      <w:r>
        <w:rPr>
          <w:rFonts w:hint="eastAsia" w:eastAsia="宋体" w:cs="Times New Roman"/>
        </w:rPr>
        <w:t xml:space="preserve"> </w:t>
      </w:r>
      <w:r>
        <w:rPr>
          <w:rFonts w:eastAsia="宋体" w:cs="Times New Roman"/>
        </w:rPr>
        <w:t>in its response to climate change. Under low</w:t>
      </w:r>
      <w:r>
        <w:rPr>
          <w:rFonts w:hint="eastAsia" w:eastAsia="宋体" w:cs="Times New Roman"/>
          <w:lang w:val="en-US" w:eastAsia="zh-CN"/>
        </w:rPr>
        <w:t>-to-medium</w:t>
      </w:r>
      <w:r>
        <w:rPr>
          <w:rFonts w:eastAsia="宋体" w:cs="Times New Roman"/>
        </w:rPr>
        <w:t xml:space="preserve"> emission scenarios, Hanzhong and Baihe stations are characterized by</w:t>
      </w:r>
      <w:r>
        <w:rPr>
          <w:rFonts w:hint="eastAsia" w:eastAsia="宋体" w:cs="Times New Roman"/>
        </w:rPr>
        <w:t xml:space="preserve"> </w:t>
      </w:r>
      <w:r>
        <w:rPr>
          <w:rFonts w:eastAsia="宋体" w:cs="Times New Roman"/>
        </w:rPr>
        <w:t xml:space="preserve">a “high-frequency, short-duration, </w:t>
      </w:r>
      <w:r>
        <w:rPr>
          <w:rFonts w:hint="eastAsia" w:eastAsia="宋体" w:cs="Times New Roman"/>
          <w:lang w:val="en-US" w:eastAsia="zh-CN"/>
        </w:rPr>
        <w:t xml:space="preserve">and </w:t>
      </w:r>
      <w:r>
        <w:rPr>
          <w:rFonts w:eastAsia="宋体" w:cs="Times New Roman"/>
        </w:rPr>
        <w:t>low-severity’’ pattern</w:t>
      </w:r>
      <w:r>
        <w:rPr>
          <w:rFonts w:hint="eastAsia" w:eastAsia="宋体" w:cs="Times New Roman"/>
        </w:rPr>
        <w:t>.</w:t>
      </w:r>
      <w:r>
        <w:rPr>
          <w:rFonts w:eastAsia="宋体" w:cs="Times New Roman"/>
        </w:rPr>
        <w:t xml:space="preserve"> </w:t>
      </w:r>
      <w:r>
        <w:rPr>
          <w:rFonts w:hint="eastAsia" w:eastAsia="宋体" w:cs="Times New Roman"/>
        </w:rPr>
        <w:t>U</w:t>
      </w:r>
      <w:r>
        <w:rPr>
          <w:rFonts w:eastAsia="宋体" w:cs="Times New Roman"/>
        </w:rPr>
        <w:t>nder high-emission scenario</w:t>
      </w:r>
      <w:r>
        <w:rPr>
          <w:rFonts w:hint="eastAsia" w:eastAsia="宋体" w:cs="Times New Roman"/>
          <w:lang w:val="en-US" w:eastAsia="zh-CN"/>
        </w:rPr>
        <w:t>s</w:t>
      </w:r>
      <w:r>
        <w:rPr>
          <w:rFonts w:eastAsia="宋体" w:cs="Times New Roman"/>
        </w:rPr>
        <w:t>, drought</w:t>
      </w:r>
      <w:r>
        <w:rPr>
          <w:rFonts w:hint="eastAsia" w:eastAsia="宋体" w:cs="Times New Roman"/>
        </w:rPr>
        <w:t>s</w:t>
      </w:r>
      <w:r>
        <w:rPr>
          <w:rFonts w:eastAsia="宋体" w:cs="Times New Roman"/>
        </w:rPr>
        <w:t xml:space="preserve"> in the middle and lower reaches tend to</w:t>
      </w:r>
      <w:r>
        <w:rPr>
          <w:rFonts w:hint="eastAsia" w:eastAsia="宋体" w:cs="Times New Roman"/>
          <w:lang w:val="en-US" w:eastAsia="zh-CN"/>
        </w:rPr>
        <w:t xml:space="preserve"> </w:t>
      </w:r>
      <w:r>
        <w:rPr>
          <w:rFonts w:eastAsia="宋体" w:cs="Times New Roman"/>
        </w:rPr>
        <w:t>become more persistent and intense, imposing greater demands</w:t>
      </w:r>
      <w:r>
        <w:rPr>
          <w:rFonts w:hint="eastAsia" w:eastAsia="宋体" w:cs="Times New Roman"/>
        </w:rPr>
        <w:t xml:space="preserve"> on</w:t>
      </w:r>
      <w:r>
        <w:rPr>
          <w:rFonts w:eastAsia="宋体" w:cs="Times New Roman"/>
        </w:rPr>
        <w:t xml:space="preserve"> water</w:t>
      </w:r>
      <w:r>
        <w:rPr>
          <w:rFonts w:hint="eastAsia" w:eastAsia="宋体" w:cs="Times New Roman"/>
        </w:rPr>
        <w:t xml:space="preserve"> </w:t>
      </w:r>
      <w:r>
        <w:rPr>
          <w:rFonts w:eastAsia="宋体" w:cs="Times New Roman"/>
        </w:rPr>
        <w:t>resource allocation and drought</w:t>
      </w:r>
      <w:r>
        <w:rPr>
          <w:rFonts w:hint="eastAsia" w:eastAsia="宋体" w:cs="Times New Roman"/>
        </w:rPr>
        <w:t xml:space="preserve"> </w:t>
      </w:r>
      <w:r>
        <w:rPr>
          <w:rFonts w:eastAsia="宋体" w:cs="Times New Roman"/>
        </w:rPr>
        <w:t xml:space="preserve">mitigation </w:t>
      </w:r>
      <w:r>
        <w:rPr>
          <w:rFonts w:hint="eastAsia" w:eastAsia="宋体" w:cs="Times New Roman"/>
          <w:lang w:val="en-US" w:eastAsia="zh-CN"/>
        </w:rPr>
        <w:t xml:space="preserve">in the future </w:t>
      </w:r>
      <w:r>
        <w:rPr>
          <w:rFonts w:hint="eastAsia" w:eastAsia="宋体" w:cs="Times New Roman"/>
        </w:rPr>
        <w:t>for</w:t>
      </w:r>
      <w:r>
        <w:rPr>
          <w:rFonts w:eastAsia="宋体" w:cs="Times New Roman"/>
        </w:rPr>
        <w:t xml:space="preserve"> the Middle Route Project.</w:t>
      </w:r>
    </w:p>
    <w:p>
      <w:pPr>
        <w:pageBreakBefore w:val="0"/>
        <w:kinsoku/>
        <w:overflowPunct/>
        <w:autoSpaceDE/>
        <w:autoSpaceDN/>
        <w:bidi w:val="0"/>
        <w:adjustRightInd/>
        <w:spacing w:after="0" w:line="240" w:lineRule="auto"/>
        <w:ind w:firstLine="0" w:firstLineChars="0"/>
        <w:textAlignment w:val="auto"/>
        <w:rPr>
          <w:rFonts w:hint="eastAsia" w:eastAsiaTheme="minorEastAsia"/>
          <w:lang w:eastAsia="zh-CN"/>
        </w:rPr>
      </w:pPr>
      <w:r>
        <w:rPr>
          <w:b/>
        </w:rPr>
        <w:t>Keywords:</w:t>
      </w:r>
      <w:r>
        <w:t xml:space="preserve"> South-to-North Water Diversion Middle Route Project；SWAT</w:t>
      </w:r>
      <w:r>
        <w:rPr>
          <w:rFonts w:hint="eastAsia"/>
        </w:rPr>
        <w:t xml:space="preserve"> model</w:t>
      </w:r>
      <w:r>
        <w:t>；Delta downscaling；CMIP6；hydrological drought</w:t>
      </w:r>
      <w:r>
        <w:rPr>
          <w:rFonts w:hint="eastAsia"/>
          <w:lang w:eastAsia="zh-CN"/>
        </w:rPr>
        <w:t>；climate change; runoff; water resource security</w:t>
      </w:r>
    </w:p>
    <w:p>
      <w:pPr>
        <w:pStyle w:val="43"/>
        <w:pageBreakBefore w:val="0"/>
        <w:kinsoku/>
        <w:overflowPunct/>
        <w:autoSpaceDE/>
        <w:autoSpaceDN/>
        <w:bidi w:val="0"/>
        <w:adjustRightInd/>
        <w:spacing w:after="0" w:line="240" w:lineRule="auto"/>
        <w:ind w:firstLine="360"/>
        <w:textAlignment w:val="auto"/>
      </w:pPr>
      <w:r>
        <w:rPr>
          <w:rFonts w:hint="eastAsia"/>
        </w:rPr>
        <w:t>—————————————</w:t>
      </w:r>
      <w:r>
        <w:t xml:space="preserve">                                                                                                                                                                                                                                                                                                                                                                                                                                                                                                                                                                                                                                                                                                                                                                                                                                                                                                                                                                                                                                                                                                                                                                                                                                                                                                                                                                                                                                                                                                                                                                                                                                                                                                                                                                                                                                                                                                                                                                                                                                                                                                                                                                                                                                                                                                                                                                                                                                                                                                                                                                                                                                                                                                                                                                                                                                                                                                                                                                                                                                                                                                                                                                                                                                                                                                                                                                                                                                                                                                                                                                                                                                                                                                                                                                                                                                                                                                                                                                                                                                                                                                                                                                                                                </w:t>
      </w:r>
      <w:r>
        <w:t xml:space="preserve">                                                                                                                                                                                                                                                                                                                                                                                                                                                                                                                                                                                                                                                                                                                                                                                                                                                                                                                                                                                                                                                                                                                                                                                                                                                                                                                                                                                                                                                                                                                                                                                                                                                                                                                                                                                                                                                                                                                                                                                                                                                                                                                                                                                                                                                                                                                                                                                                                                                                                                                                                                                                                                                                                                                                                                                                                                                                                                                                                                                                                                                                                                                                                                                                                                                                                                                                                                                                                                                                                                                                                                                                                                                                                                                                                                                                                                                                                                                                                                                                                                                                                                                                                                                                                </w:t>
      </w:r>
      <w:r>
        <w:t xml:space="preserve">                                                                                                                                                                                                                                                                                                                                                                                                                                                                                                                                                                                                                                                                                                                                                                                                                                                                                                                                                                                                                                                                                                                                                                                                                                                                                                                                                                                                                                                                                                                                                                                                                                                                                                                                                                                                                                                                                                                                                                                                                                                                                                                                                                                                                                                                                                                                                                                                                                                                                                                                                                                                                                                                                                                                                                                                                                                                                                                                                                                                                                                                                                                                                                                                                                                                                                                                                                                                                                                                                                                                                                                                                                                                                                                                                                                                                                                                                                                                                                                                                                                                                                                                                                                                                </w:t>
      </w:r>
      <w:r>
        <w:t xml:space="preserve">                                                                                                                                                                                                  </w:t>
      </w:r>
    </w:p>
    <w:p>
      <w:pPr>
        <w:pStyle w:val="12"/>
        <w:pageBreakBefore w:val="0"/>
        <w:kinsoku/>
        <w:overflowPunct/>
        <w:autoSpaceDE/>
        <w:autoSpaceDN/>
        <w:bidi w:val="0"/>
        <w:adjustRightInd/>
        <w:snapToGrid/>
        <w:spacing w:after="0" w:line="240" w:lineRule="auto"/>
        <w:jc w:val="both"/>
        <w:textAlignment w:val="auto"/>
        <w:rPr>
          <w:rFonts w:ascii="Times New Roman" w:hAnsi="Times New Roman" w:cs="Times New Roman"/>
          <w:b/>
          <w:szCs w:val="18"/>
        </w:rPr>
      </w:pPr>
      <w:r>
        <w:rPr>
          <w:rFonts w:ascii="Times New Roman" w:hAnsi="Times New Roman" w:eastAsia="黑体" w:cs="Times New Roman"/>
          <w:b/>
          <w:bCs/>
          <w:szCs w:val="18"/>
        </w:rPr>
        <w:t>收稿日期：</w:t>
      </w:r>
      <w:r>
        <w:rPr>
          <w:rFonts w:ascii="Times New Roman" w:hAnsi="Times New Roman" w:cs="Times New Roman"/>
          <w:szCs w:val="18"/>
        </w:rPr>
        <w:t>2025-0</w:t>
      </w:r>
      <w:r>
        <w:rPr>
          <w:rFonts w:ascii="Times New Roman" w:hAnsi="Times New Roman" w:cs="Times New Roman"/>
          <w:szCs w:val="18"/>
          <w:lang w:val="en"/>
        </w:rPr>
        <w:t>9-15</w:t>
      </w:r>
      <w:r>
        <w:rPr>
          <w:rFonts w:ascii="Times New Roman" w:hAnsi="Times New Roman" w:cs="Times New Roman"/>
          <w:szCs w:val="18"/>
        </w:rPr>
        <w:t>；</w:t>
      </w:r>
      <w:r>
        <w:rPr>
          <w:rFonts w:ascii="Times New Roman" w:hAnsi="Times New Roman" w:eastAsia="黑体" w:cs="Times New Roman"/>
          <w:b/>
          <w:bCs/>
          <w:szCs w:val="18"/>
        </w:rPr>
        <w:t>修回日期：</w:t>
      </w:r>
      <w:r>
        <w:rPr>
          <w:rFonts w:ascii="Times New Roman" w:hAnsi="Times New Roman" w:cs="Times New Roman"/>
          <w:szCs w:val="18"/>
        </w:rPr>
        <w:t>2025-</w:t>
      </w:r>
      <w:r>
        <w:rPr>
          <w:rFonts w:ascii="Times New Roman" w:hAnsi="Times New Roman" w:cs="Times New Roman"/>
          <w:szCs w:val="18"/>
          <w:lang w:val="en"/>
        </w:rPr>
        <w:t>12-</w:t>
      </w:r>
      <w:r>
        <w:rPr>
          <w:rFonts w:hint="eastAsia" w:ascii="Times New Roman" w:hAnsi="Times New Roman" w:cs="Times New Roman"/>
          <w:szCs w:val="18"/>
        </w:rPr>
        <w:t>12</w:t>
      </w:r>
      <w:r>
        <w:rPr>
          <w:rFonts w:ascii="Times New Roman" w:hAnsi="Times New Roman" w:cs="Times New Roman"/>
          <w:szCs w:val="18"/>
        </w:rPr>
        <w:t>；</w:t>
      </w:r>
      <w:r>
        <w:rPr>
          <w:rFonts w:ascii="Times New Roman" w:hAnsi="Times New Roman" w:eastAsia="黑体" w:cs="Times New Roman"/>
          <w:b/>
          <w:bCs/>
          <w:szCs w:val="18"/>
        </w:rPr>
        <w:t>录用日期：</w:t>
      </w:r>
      <w:r>
        <w:rPr>
          <w:rFonts w:ascii="Times New Roman" w:hAnsi="Times New Roman" w:cs="Times New Roman"/>
          <w:szCs w:val="18"/>
        </w:rPr>
        <w:t>2025-</w:t>
      </w:r>
      <w:r>
        <w:rPr>
          <w:rFonts w:ascii="Times New Roman" w:hAnsi="Times New Roman" w:cs="Times New Roman"/>
          <w:szCs w:val="18"/>
          <w:lang w:val="en"/>
        </w:rPr>
        <w:t>12</w:t>
      </w:r>
      <w:r>
        <w:rPr>
          <w:rFonts w:hint="eastAsia" w:ascii="Times New Roman" w:hAnsi="Times New Roman" w:cs="Times New Roman"/>
          <w:szCs w:val="18"/>
        </w:rPr>
        <w:t>-15</w:t>
      </w:r>
      <w:r>
        <w:rPr>
          <w:rFonts w:ascii="Times New Roman" w:hAnsi="Times New Roman" w:cs="Times New Roman"/>
          <w:szCs w:val="18"/>
        </w:rPr>
        <w:t>；</w:t>
      </w:r>
      <w:r>
        <w:rPr>
          <w:rFonts w:ascii="Times New Roman" w:hAnsi="Times New Roman" w:eastAsia="黑体" w:cs="Times New Roman"/>
          <w:b/>
          <w:bCs/>
          <w:szCs w:val="18"/>
        </w:rPr>
        <w:t>网络出版日期：</w:t>
      </w:r>
      <w:r>
        <w:rPr>
          <w:rFonts w:ascii="Times New Roman" w:hAnsi="Times New Roman" w:cs="Times New Roman"/>
          <w:szCs w:val="18"/>
        </w:rPr>
        <w:t>202</w:t>
      </w:r>
      <w:r>
        <w:rPr>
          <w:rFonts w:hint="eastAsia" w:ascii="Times New Roman" w:hAnsi="Times New Roman" w:cs="Times New Roman"/>
          <w:szCs w:val="18"/>
          <w:lang w:val="en-US" w:eastAsia="zh-CN"/>
        </w:rPr>
        <w:t>6</w:t>
      </w:r>
      <w:r>
        <w:rPr>
          <w:rFonts w:ascii="Times New Roman" w:hAnsi="Times New Roman" w:cs="Times New Roman"/>
          <w:szCs w:val="18"/>
        </w:rPr>
        <w:t>-</w:t>
      </w:r>
    </w:p>
    <w:p>
      <w:pPr>
        <w:pStyle w:val="15"/>
        <w:pageBreakBefore w:val="0"/>
        <w:kinsoku/>
        <w:overflowPunct/>
        <w:autoSpaceDE/>
        <w:autoSpaceDN/>
        <w:bidi w:val="0"/>
        <w:adjustRightInd/>
        <w:spacing w:after="0" w:line="240" w:lineRule="auto"/>
        <w:jc w:val="left"/>
        <w:textAlignment w:val="auto"/>
        <w:rPr>
          <w:sz w:val="18"/>
          <w:szCs w:val="18"/>
        </w:rPr>
      </w:pPr>
      <w:r>
        <w:rPr>
          <w:rFonts w:hint="eastAsia"/>
          <w:sz w:val="18"/>
          <w:szCs w:val="18"/>
        </w:rPr>
        <w:t>基金项目：陕西省重点研发计划项目（</w:t>
      </w:r>
      <w:r>
        <w:rPr>
          <w:sz w:val="18"/>
          <w:szCs w:val="18"/>
        </w:rPr>
        <w:t>2025SF-YBXM-278</w:t>
      </w:r>
      <w:r>
        <w:rPr>
          <w:rFonts w:hint="eastAsia"/>
          <w:sz w:val="18"/>
          <w:szCs w:val="18"/>
        </w:rPr>
        <w:t>）；国家自然科学基金项目（</w:t>
      </w:r>
      <w:r>
        <w:rPr>
          <w:sz w:val="18"/>
          <w:szCs w:val="18"/>
        </w:rPr>
        <w:t>42571028</w:t>
      </w:r>
      <w:r>
        <w:rPr>
          <w:rFonts w:hint="eastAsia"/>
          <w:sz w:val="18"/>
          <w:szCs w:val="18"/>
        </w:rPr>
        <w:t>，</w:t>
      </w:r>
      <w:r>
        <w:rPr>
          <w:sz w:val="18"/>
          <w:szCs w:val="18"/>
        </w:rPr>
        <w:t>42207084</w:t>
      </w:r>
      <w:r>
        <w:rPr>
          <w:rFonts w:hint="eastAsia"/>
          <w:sz w:val="18"/>
          <w:szCs w:val="18"/>
        </w:rPr>
        <w:t>）；国家重点研发计划项目（</w:t>
      </w:r>
      <w:r>
        <w:rPr>
          <w:sz w:val="18"/>
          <w:szCs w:val="18"/>
        </w:rPr>
        <w:t>2024YFF1306503</w:t>
      </w:r>
      <w:r>
        <w:rPr>
          <w:rFonts w:hint="eastAsia"/>
          <w:sz w:val="18"/>
          <w:szCs w:val="18"/>
        </w:rPr>
        <w:t>）</w:t>
      </w:r>
    </w:p>
    <w:p>
      <w:pPr>
        <w:pStyle w:val="43"/>
        <w:pageBreakBefore w:val="0"/>
        <w:kinsoku/>
        <w:overflowPunct/>
        <w:autoSpaceDE/>
        <w:autoSpaceDN/>
        <w:bidi w:val="0"/>
        <w:adjustRightInd/>
        <w:spacing w:after="0" w:line="240" w:lineRule="auto"/>
        <w:textAlignment w:val="auto"/>
        <w:rPr>
          <w:sz w:val="18"/>
          <w:szCs w:val="18"/>
        </w:rPr>
      </w:pPr>
      <w:r>
        <w:rPr>
          <w:rFonts w:hint="eastAsia"/>
          <w:sz w:val="18"/>
          <w:szCs w:val="18"/>
        </w:rPr>
        <w:t>作者简介：李多芬（</w:t>
      </w:r>
      <w:r>
        <w:rPr>
          <w:sz w:val="18"/>
          <w:szCs w:val="18"/>
        </w:rPr>
        <w:t>2001-</w:t>
      </w:r>
      <w:r>
        <w:rPr>
          <w:rFonts w:hint="eastAsia"/>
          <w:sz w:val="18"/>
          <w:szCs w:val="18"/>
        </w:rPr>
        <w:t>），女，硕士研究生，主要从事水文学及水资源研究。</w:t>
      </w:r>
      <w:r>
        <w:rPr>
          <w:sz w:val="18"/>
          <w:szCs w:val="18"/>
        </w:rPr>
        <w:t>E-maill: ldf971346752@163.com</w:t>
      </w:r>
    </w:p>
    <w:p>
      <w:pPr>
        <w:pStyle w:val="15"/>
        <w:pageBreakBefore w:val="0"/>
        <w:kinsoku/>
        <w:overflowPunct/>
        <w:autoSpaceDE/>
        <w:autoSpaceDN/>
        <w:bidi w:val="0"/>
        <w:adjustRightInd/>
        <w:spacing w:after="0" w:line="240" w:lineRule="auto"/>
        <w:jc w:val="left"/>
        <w:textAlignment w:val="auto"/>
        <w:rPr>
          <w:sz w:val="18"/>
          <w:szCs w:val="18"/>
        </w:rPr>
      </w:pPr>
      <w:r>
        <w:rPr>
          <w:rFonts w:hint="eastAsia"/>
          <w:sz w:val="18"/>
          <w:szCs w:val="18"/>
        </w:rPr>
        <w:t>通信作者：刘</w:t>
      </w:r>
      <w:r>
        <w:rPr>
          <w:sz w:val="18"/>
          <w:szCs w:val="18"/>
        </w:rPr>
        <w:t xml:space="preserve">  </w:t>
      </w:r>
      <w:r>
        <w:rPr>
          <w:rFonts w:hint="eastAsia"/>
          <w:sz w:val="18"/>
          <w:szCs w:val="18"/>
        </w:rPr>
        <w:t>招（</w:t>
      </w:r>
      <w:r>
        <w:rPr>
          <w:sz w:val="18"/>
          <w:szCs w:val="18"/>
        </w:rPr>
        <w:t>1975-</w:t>
      </w:r>
      <w:r>
        <w:rPr>
          <w:rFonts w:hint="eastAsia"/>
          <w:sz w:val="18"/>
          <w:szCs w:val="18"/>
        </w:rPr>
        <w:t>），男，教授，博士，主要从事水文学及旱区生态水文研究。</w:t>
      </w:r>
      <w:r>
        <w:rPr>
          <w:sz w:val="18"/>
          <w:szCs w:val="18"/>
        </w:rPr>
        <w:t xml:space="preserve">E-maill: </w:t>
      </w:r>
      <w:bookmarkStart w:id="0" w:name="_GoBack"/>
      <w:r>
        <w:rPr>
          <w:b w:val="0"/>
          <w:bCs w:val="0"/>
          <w:i w:val="0"/>
          <w:iCs w:val="0"/>
          <w:u w:val="none"/>
        </w:rPr>
        <w:fldChar w:fldCharType="begin"/>
      </w:r>
      <w:r>
        <w:rPr>
          <w:b w:val="0"/>
          <w:bCs w:val="0"/>
          <w:i w:val="0"/>
          <w:iCs w:val="0"/>
          <w:u w:val="none"/>
        </w:rPr>
        <w:instrText xml:space="preserve"> HYPERLINK "mailto:lz975@chd.edu.cn" </w:instrText>
      </w:r>
      <w:r>
        <w:rPr>
          <w:b w:val="0"/>
          <w:bCs w:val="0"/>
          <w:i w:val="0"/>
          <w:iCs w:val="0"/>
          <w:u w:val="none"/>
        </w:rPr>
        <w:fldChar w:fldCharType="separate"/>
      </w:r>
      <w:r>
        <w:rPr>
          <w:rStyle w:val="22"/>
          <w:b w:val="0"/>
          <w:bCs w:val="0"/>
          <w:i w:val="0"/>
          <w:iCs w:val="0"/>
          <w:color w:val="auto"/>
          <w:sz w:val="18"/>
          <w:szCs w:val="18"/>
          <w:u w:val="none"/>
        </w:rPr>
        <w:t>lz975@chd.edu.cn</w:t>
      </w:r>
      <w:r>
        <w:rPr>
          <w:rStyle w:val="22"/>
          <w:b w:val="0"/>
          <w:bCs w:val="0"/>
          <w:i w:val="0"/>
          <w:iCs w:val="0"/>
          <w:color w:val="auto"/>
          <w:sz w:val="18"/>
          <w:szCs w:val="18"/>
          <w:u w:val="none"/>
        </w:rPr>
        <w:fldChar w:fldCharType="end"/>
      </w:r>
      <w:bookmarkEnd w:id="0"/>
    </w:p>
    <w:p>
      <w:pPr>
        <w:pageBreakBefore w:val="0"/>
        <w:kinsoku/>
        <w:overflowPunct/>
        <w:autoSpaceDE/>
        <w:autoSpaceDN/>
        <w:bidi w:val="0"/>
        <w:adjustRightInd/>
        <w:spacing w:after="0" w:line="240" w:lineRule="auto"/>
        <w:ind w:firstLine="0" w:firstLineChars="0"/>
        <w:textAlignment w:val="auto"/>
      </w:pPr>
    </w:p>
    <w:p>
      <w:pPr>
        <w:pStyle w:val="3"/>
        <w:pageBreakBefore w:val="0"/>
        <w:kinsoku/>
        <w:overflowPunct/>
        <w:autoSpaceDE/>
        <w:autoSpaceDN/>
        <w:bidi w:val="0"/>
        <w:adjustRightInd/>
        <w:spacing w:before="0" w:after="0" w:line="240" w:lineRule="auto"/>
        <w:textAlignment w:val="auto"/>
      </w:pPr>
      <w:r>
        <w:rPr>
          <w:rFonts w:hint="eastAsia"/>
        </w:rPr>
        <w:t xml:space="preserve">0 引 </w:t>
      </w:r>
      <w:r>
        <w:t xml:space="preserve"> </w:t>
      </w:r>
      <w:r>
        <w:rPr>
          <w:rFonts w:hint="eastAsia"/>
        </w:rPr>
        <w:t>言</w:t>
      </w:r>
    </w:p>
    <w:p>
      <w:pPr>
        <w:pageBreakBefore w:val="0"/>
        <w:kinsoku/>
        <w:overflowPunct/>
        <w:autoSpaceDE/>
        <w:autoSpaceDN/>
        <w:bidi w:val="0"/>
        <w:adjustRightInd/>
        <w:spacing w:after="0" w:line="240" w:lineRule="auto"/>
        <w:ind w:firstLine="420"/>
        <w:textAlignment w:val="auto"/>
      </w:pPr>
      <w:r>
        <w:rPr>
          <w:rFonts w:hint="eastAsia"/>
        </w:rPr>
        <w:t>全球气候变化日趋严峻，极端水文事件频发与干旱灾害风险攀升已成各国亟待应对的重大难题。IPCC第六次评估报告也明确指出，人类活动导致了全球气候剧烈变化，其连锁反应更是为全球生态系统带来了不可逆转的损伤</w:t>
      </w:r>
      <w:r>
        <w:rPr>
          <w:rStyle w:val="20"/>
          <w:rFonts w:hint="eastAsia"/>
        </w:rPr>
        <w:t>[</w:t>
      </w:r>
      <w:r>
        <w:rPr>
          <w:rStyle w:val="20"/>
          <w:rFonts w:hint="eastAsia"/>
        </w:rPr>
        <w:endnoteReference w:id="0"/>
      </w:r>
      <w:r>
        <w:rPr>
          <w:rStyle w:val="20"/>
          <w:rFonts w:hint="eastAsia"/>
          <w:vanish/>
        </w:rPr>
        <w:t>]</w:t>
      </w:r>
      <w:r>
        <w:rPr>
          <w:vertAlign w:val="superscript"/>
        </w:rPr>
        <w:t>-</w:t>
      </w:r>
      <w:r>
        <w:rPr>
          <w:rStyle w:val="20"/>
          <w:rFonts w:hint="eastAsia"/>
          <w:vanish/>
        </w:rPr>
        <w:t>][</w:t>
      </w:r>
      <w:r>
        <w:rPr>
          <w:rStyle w:val="20"/>
          <w:rFonts w:hint="eastAsia"/>
        </w:rPr>
        <w:endnoteReference w:id="1"/>
      </w:r>
      <w:r>
        <w:rPr>
          <w:rStyle w:val="20"/>
          <w:rFonts w:hint="eastAsia"/>
        </w:rPr>
        <w:t>]</w:t>
      </w:r>
      <w:r>
        <w:rPr>
          <w:rFonts w:hint="eastAsia"/>
        </w:rPr>
        <w:t>，使得干旱等极端事件的风险陡增，近二十年来干旱灾害成为我国尤其是北方和季节性缺水区域可持续发展面临的严峻制约。</w:t>
      </w:r>
    </w:p>
    <w:p>
      <w:pPr>
        <w:pageBreakBefore w:val="0"/>
        <w:kinsoku/>
        <w:overflowPunct/>
        <w:autoSpaceDE/>
        <w:autoSpaceDN/>
        <w:bidi w:val="0"/>
        <w:adjustRightInd/>
        <w:spacing w:after="0" w:line="240" w:lineRule="auto"/>
        <w:ind w:firstLine="420"/>
        <w:textAlignment w:val="auto"/>
      </w:pPr>
      <w:r>
        <w:rPr>
          <w:rFonts w:hint="eastAsia"/>
        </w:rPr>
        <w:t>南水北调中线工程作为我国极具战略意义的跨流域调水工程，旨在缓解华北区域水资源短缺</w:t>
      </w:r>
      <w:r>
        <w:rPr>
          <w:rStyle w:val="20"/>
          <w:rFonts w:hint="eastAsia"/>
        </w:rPr>
        <w:t>[</w:t>
      </w:r>
      <w:r>
        <w:rPr>
          <w:rStyle w:val="20"/>
          <w:rFonts w:hint="eastAsia"/>
        </w:rPr>
        <w:endnoteReference w:id="2"/>
      </w:r>
      <w:r>
        <w:rPr>
          <w:rStyle w:val="20"/>
          <w:rFonts w:hint="eastAsia"/>
        </w:rPr>
        <w:t>]</w:t>
      </w:r>
      <w:r>
        <w:rPr>
          <w:rFonts w:hint="eastAsia"/>
        </w:rPr>
        <w:t>，实现水资源跨流域优化配置</w:t>
      </w:r>
      <w:r>
        <w:rPr>
          <w:rStyle w:val="20"/>
          <w:rFonts w:hint="eastAsia"/>
        </w:rPr>
        <w:t>[</w:t>
      </w:r>
      <w:r>
        <w:rPr>
          <w:rStyle w:val="20"/>
          <w:rFonts w:hint="eastAsia"/>
        </w:rPr>
        <w:endnoteReference w:id="3"/>
      </w:r>
      <w:r>
        <w:rPr>
          <w:rStyle w:val="20"/>
          <w:rFonts w:hint="eastAsia"/>
        </w:rPr>
        <w:t>]</w:t>
      </w:r>
      <w:r>
        <w:rPr>
          <w:rFonts w:hint="eastAsia"/>
        </w:rPr>
        <w:t>，其长期稳定运行高度依赖于核心水源区汉江流域的水文过程和入库径流供给能力</w:t>
      </w:r>
      <w:r>
        <w:rPr>
          <w:rStyle w:val="20"/>
          <w:rFonts w:hint="eastAsia"/>
        </w:rPr>
        <w:t>[</w:t>
      </w:r>
      <w:r>
        <w:rPr>
          <w:rStyle w:val="20"/>
          <w:rFonts w:hint="eastAsia"/>
        </w:rPr>
        <w:endnoteReference w:id="4"/>
      </w:r>
      <w:r>
        <w:rPr>
          <w:rStyle w:val="20"/>
          <w:rFonts w:hint="eastAsia"/>
        </w:rPr>
        <w:t>]</w:t>
      </w:r>
      <w:r>
        <w:rPr>
          <w:rFonts w:hint="eastAsia" w:eastAsia="宋体"/>
        </w:rPr>
        <w:t>。随着我国实施</w:t>
      </w:r>
      <w:r>
        <w:rPr>
          <w:rFonts w:hint="eastAsia"/>
        </w:rPr>
        <w:t>“五位一体”总体布局与生态文明建设战略，水源区在保障供水安全、维护生态系统稳定方面承受着更加严格的要求。南水北调中线工程水源区汉江上游流域地处我国南北气候过渡带，受东亚季风系统影响显著，流域降水年际与年内变化强烈，径流对气候扰动具有高度敏感性</w:t>
      </w:r>
      <w:r>
        <w:rPr>
          <w:rStyle w:val="20"/>
          <w:rFonts w:hint="eastAsia"/>
        </w:rPr>
        <w:t>[</w:t>
      </w:r>
      <w:r>
        <w:rPr>
          <w:rStyle w:val="20"/>
          <w:rFonts w:hint="eastAsia"/>
        </w:rPr>
        <w:endnoteReference w:id="5"/>
      </w:r>
      <w:r>
        <w:rPr>
          <w:rStyle w:val="20"/>
          <w:rFonts w:hint="eastAsia"/>
        </w:rPr>
        <w:t>]</w:t>
      </w:r>
      <w:r>
        <w:rPr>
          <w:rFonts w:hint="eastAsia"/>
        </w:rPr>
        <w:t>，水源区一旦发生干旱，其风险将传导至整个调水系统，可能影响工程供水效益并带来区域性水资源安全隐患。历史监测数据表明，汉江上游流域曾多次发生严重干旱事件，在流域内造成的供水压力、蓄水能力下降、农业和生态用水紧张等问题均表明，未来气候条件变化可能进一步放大区域水资源系统的脆弱性</w:t>
      </w:r>
      <w:r>
        <w:rPr>
          <w:rStyle w:val="20"/>
          <w:rFonts w:hint="eastAsia"/>
        </w:rPr>
        <w:t>[</w:t>
      </w:r>
      <w:r>
        <w:rPr>
          <w:rStyle w:val="20"/>
          <w:rFonts w:hint="eastAsia"/>
        </w:rPr>
        <w:endnoteReference w:id="6"/>
      </w:r>
      <w:r>
        <w:rPr>
          <w:rStyle w:val="20"/>
          <w:rFonts w:hint="eastAsia"/>
        </w:rPr>
        <w:t>]</w:t>
      </w:r>
      <w:r>
        <w:rPr>
          <w:rFonts w:hint="eastAsia"/>
        </w:rPr>
        <w:t>。王蕊等</w:t>
      </w:r>
      <w:r>
        <w:rPr>
          <w:rStyle w:val="20"/>
        </w:rPr>
        <w:t>[</w:t>
      </w:r>
      <w:r>
        <w:rPr>
          <w:rStyle w:val="20"/>
        </w:rPr>
        <w:endnoteReference w:id="7"/>
      </w:r>
      <w:r>
        <w:rPr>
          <w:rStyle w:val="20"/>
        </w:rPr>
        <w:t>]</w:t>
      </w:r>
      <w:r>
        <w:rPr>
          <w:rFonts w:hint="eastAsia"/>
        </w:rPr>
        <w:t>采用分布式时变增益模型与以交替方向隐式差分法，定量评估了汉江上游下泄流量对气候变化与人类活动影响的响应程度，发现与人类活动相比，气候变化对径流的影响相较为有限。王暄宇等</w:t>
      </w:r>
      <w:r>
        <w:rPr>
          <w:rStyle w:val="20"/>
          <w:rFonts w:hint="eastAsia"/>
        </w:rPr>
        <w:t>[</w:t>
      </w:r>
      <w:r>
        <w:rPr>
          <w:rStyle w:val="20"/>
          <w:rFonts w:hint="eastAsia"/>
        </w:rPr>
        <w:endnoteReference w:id="8"/>
      </w:r>
      <w:r>
        <w:rPr>
          <w:rStyle w:val="20"/>
          <w:rFonts w:hint="eastAsia"/>
        </w:rPr>
        <w:t>]</w:t>
      </w:r>
      <w:r>
        <w:rPr>
          <w:rStyle w:val="20"/>
          <w:rFonts w:hint="eastAsia"/>
          <w:vertAlign w:val="baseline"/>
        </w:rPr>
        <w:t>结合VIC模型</w:t>
      </w:r>
      <w:r>
        <w:rPr>
          <w:rFonts w:hint="eastAsia"/>
        </w:rPr>
        <w:t>与</w:t>
      </w:r>
      <w:r>
        <w:rPr>
          <w:rStyle w:val="20"/>
          <w:rFonts w:hint="eastAsia"/>
          <w:vertAlign w:val="baseline"/>
        </w:rPr>
        <w:t>土地覆盖数据分析汉江流域水循环响应</w:t>
      </w:r>
      <w:r>
        <w:rPr>
          <w:rFonts w:hint="eastAsia"/>
        </w:rPr>
        <w:t>，发现</w:t>
      </w:r>
      <w:r>
        <w:rPr>
          <w:rStyle w:val="20"/>
          <w:rFonts w:hint="eastAsia"/>
          <w:vertAlign w:val="baseline"/>
        </w:rPr>
        <w:t>RCP8.5情景下丹江口入库及流域出口流量显著增加，且气候变化是流域径流变化的主要驱动力</w:t>
      </w:r>
      <w:r>
        <w:rPr>
          <w:rFonts w:hint="eastAsia"/>
        </w:rPr>
        <w:t>。然而，水文干旱是由降水、蒸散发、土壤水储量、下垫面条件等多因素共同驱动的复杂过程</w:t>
      </w:r>
      <w:r>
        <w:rPr>
          <w:rStyle w:val="20"/>
          <w:rFonts w:hint="eastAsia"/>
        </w:rPr>
        <w:t>[</w:t>
      </w:r>
      <w:r>
        <w:rPr>
          <w:rStyle w:val="20"/>
          <w:rFonts w:hint="eastAsia"/>
        </w:rPr>
        <w:endnoteReference w:id="9"/>
      </w:r>
      <w:r>
        <w:rPr>
          <w:rStyle w:val="20"/>
          <w:rFonts w:hint="eastAsia"/>
        </w:rPr>
        <w:t>]</w:t>
      </w:r>
      <w:r>
        <w:rPr>
          <w:rFonts w:hint="eastAsia"/>
        </w:rPr>
        <w:t>，其形成具有滞后性、累积性与跨季节性特征，单一气象或水文变量难以完整刻画干旱发展过程，且干旱在空间上呈显著非均质性，不同控制断面对气候信号的敏感程度差异明显。因此，面向未来气候变化情景，构建能够综合反映水文循环关键过程，准确识别水源区未来干旱风险的模拟框架，对于提升跨流域调水工程的气候韧性具有重要的工程意义。</w:t>
      </w:r>
    </w:p>
    <w:p>
      <w:pPr>
        <w:pageBreakBefore w:val="0"/>
        <w:kinsoku/>
        <w:overflowPunct/>
        <w:autoSpaceDE/>
        <w:autoSpaceDN/>
        <w:bidi w:val="0"/>
        <w:adjustRightInd/>
        <w:spacing w:after="0" w:line="240" w:lineRule="auto"/>
        <w:ind w:firstLine="420" w:firstLineChars="0"/>
        <w:textAlignment w:val="auto"/>
      </w:pPr>
      <w:r>
        <w:rPr>
          <w:rFonts w:hint="eastAsia"/>
        </w:rPr>
        <w:t>第六次国际耦合模式比较计划（CMIP6）在新共享社会经济路径（SSPs）下的温室气体排放模式、物理过程参数化以及土地利用变化等方面均有显著改进</w:t>
      </w:r>
      <w:r>
        <w:rPr>
          <w:rStyle w:val="20"/>
          <w:rFonts w:hint="eastAsia"/>
        </w:rPr>
        <w:t>[</w:t>
      </w:r>
      <w:r>
        <w:rPr>
          <w:rStyle w:val="20"/>
          <w:rFonts w:hint="eastAsia"/>
        </w:rPr>
        <w:endnoteReference w:id="10"/>
      </w:r>
      <w:r>
        <w:rPr>
          <w:rFonts w:hint="eastAsia" w:eastAsia="宋体"/>
          <w:vertAlign w:val="superscript"/>
        </w:rPr>
        <w:t>-</w:t>
      </w:r>
      <w:r>
        <w:rPr>
          <w:rStyle w:val="20"/>
          <w:rFonts w:hint="eastAsia"/>
        </w:rPr>
        <w:endnoteReference w:id="11"/>
      </w:r>
      <w:r>
        <w:rPr>
          <w:rStyle w:val="20"/>
          <w:rFonts w:hint="eastAsia"/>
        </w:rPr>
        <w:t>]</w:t>
      </w:r>
      <w:r>
        <w:rPr>
          <w:rFonts w:hint="eastAsia"/>
        </w:rPr>
        <w:t>，提升了东亚季风环流和极端降水等关键气候变量的模拟能力</w:t>
      </w:r>
      <w:r>
        <w:rPr>
          <w:rStyle w:val="20"/>
          <w:rFonts w:hint="eastAsia"/>
        </w:rPr>
        <w:t>[</w:t>
      </w:r>
      <w:r>
        <w:rPr>
          <w:rStyle w:val="20"/>
          <w:rFonts w:hint="eastAsia"/>
        </w:rPr>
        <w:endnoteReference w:id="12"/>
      </w:r>
      <w:r>
        <w:rPr>
          <w:rStyle w:val="20"/>
          <w:rFonts w:hint="eastAsia"/>
        </w:rPr>
        <w:t>]</w:t>
      </w:r>
      <w:r>
        <w:rPr>
          <w:rFonts w:hint="eastAsia"/>
        </w:rPr>
        <w:t>，为区域水文气候影响研究提供了更具物理一致性和空间精度的驱动数据。Y</w:t>
      </w:r>
      <w:r>
        <w:t>ANG</w:t>
      </w:r>
      <w:r>
        <w:rPr>
          <w:rFonts w:hint="eastAsia"/>
        </w:rPr>
        <w:t>等</w:t>
      </w:r>
      <w:r>
        <w:rPr>
          <w:rStyle w:val="20"/>
          <w:rFonts w:hint="eastAsia"/>
        </w:rPr>
        <w:t>[</w:t>
      </w:r>
      <w:r>
        <w:rPr>
          <w:rStyle w:val="20"/>
          <w:rFonts w:hint="eastAsia"/>
        </w:rPr>
        <w:endnoteReference w:id="13"/>
      </w:r>
      <w:r>
        <w:rPr>
          <w:rStyle w:val="20"/>
          <w:rFonts w:hint="eastAsia"/>
        </w:rPr>
        <w:t>]</w:t>
      </w:r>
      <w:r>
        <w:rPr>
          <w:rStyle w:val="20"/>
          <w:rFonts w:hint="eastAsia"/>
          <w:vertAlign w:val="baseline"/>
        </w:rPr>
        <w:t>系统评估了多个CMIP6模式在中国地区的表现，发现其对气温和降水空间分布的整体模拟效果较好，其中温度模拟精度显著高于降水。</w:t>
      </w:r>
      <w:r>
        <w:rPr>
          <w:rFonts w:hint="eastAsia"/>
        </w:rPr>
        <w:t>韩忠青等</w:t>
      </w:r>
      <w:r>
        <w:rPr>
          <w:rStyle w:val="20"/>
          <w:rFonts w:hint="eastAsia"/>
        </w:rPr>
        <w:t>[</w:t>
      </w:r>
      <w:r>
        <w:rPr>
          <w:rStyle w:val="20"/>
          <w:rFonts w:hint="eastAsia"/>
        </w:rPr>
        <w:endnoteReference w:id="14"/>
      </w:r>
      <w:r>
        <w:rPr>
          <w:rStyle w:val="20"/>
          <w:rFonts w:hint="eastAsia"/>
        </w:rPr>
        <w:t>]</w:t>
      </w:r>
      <w:r>
        <w:rPr>
          <w:rFonts w:hint="eastAsia"/>
        </w:rPr>
        <w:t>使用CMIP6数据驱动引汉济渭工程水源区水文模型，发现未来随着辐射强迫的增加，引汉济渭工程水源区有变暖、变湿的趋势。</w:t>
      </w:r>
      <w:r>
        <w:rPr>
          <w:rFonts w:hint="eastAsia" w:eastAsia="宋体"/>
        </w:rPr>
        <w:t>WU等</w:t>
      </w:r>
      <w:r>
        <w:rPr>
          <w:rStyle w:val="20"/>
          <w:rFonts w:hint="eastAsia"/>
        </w:rPr>
        <w:t>[</w:t>
      </w:r>
      <w:r>
        <w:rPr>
          <w:rStyle w:val="20"/>
          <w:rFonts w:hint="eastAsia"/>
        </w:rPr>
        <w:endnoteReference w:id="15"/>
      </w:r>
      <w:r>
        <w:rPr>
          <w:rStyle w:val="20"/>
          <w:rFonts w:hint="eastAsia"/>
        </w:rPr>
        <w:t>]</w:t>
      </w:r>
      <w:r>
        <w:rPr>
          <w:rFonts w:hint="eastAsia" w:eastAsia="宋体"/>
        </w:rPr>
        <w:t>使用SSI指标与多个气候情景分析引汉济渭调水工程未来径流与水文干旱，结果表明未来工程水源区与受水区的水文干旱频率均有不同程度增加，特别是SSP5-8.5的夏季。</w:t>
      </w:r>
      <w:r>
        <w:rPr>
          <w:rFonts w:hint="eastAsia"/>
        </w:rPr>
        <w:t>岳紫莹等</w:t>
      </w:r>
      <w:r>
        <w:rPr>
          <w:rStyle w:val="20"/>
          <w:rFonts w:hint="eastAsia"/>
        </w:rPr>
        <w:t>[</w:t>
      </w:r>
      <w:r>
        <w:rPr>
          <w:rStyle w:val="20"/>
          <w:rFonts w:hint="eastAsia"/>
        </w:rPr>
        <w:endnoteReference w:id="16"/>
      </w:r>
      <w:r>
        <w:rPr>
          <w:rStyle w:val="20"/>
          <w:rFonts w:hint="eastAsia"/>
        </w:rPr>
        <w:t>]</w:t>
      </w:r>
      <w:r>
        <w:rPr>
          <w:rFonts w:hint="eastAsia"/>
        </w:rPr>
        <w:t>应用CMIP6的多气候模式多情景分析发现汉江中上游流域气候总体呈“湿暖化”趋势，径流年内分配更趋均匀，枯水期径流增加有助于缓解干旱风险。从现有研究可见，CMIP6已在区域气候与径流预估中展现出良好适用性，但水文干旱的长期分析强烈依赖于所选择的SSP情景，不同辐射强迫路径可能导致显著差异的干旱演化趋势，使得未来径流对气候情景的响应缺乏足够的物理一致性与空间代表性。基于此，亟需构建利用CMIP6多情景气候模式与水文模型耦合的高精度水文模拟体系，增强模拟对产汇流空间差异的刻画能力，从而提高未来径流和干旱识别的可靠性。</w:t>
      </w:r>
    </w:p>
    <w:p>
      <w:pPr>
        <w:pageBreakBefore w:val="0"/>
        <w:kinsoku/>
        <w:overflowPunct/>
        <w:autoSpaceDE/>
        <w:autoSpaceDN/>
        <w:bidi w:val="0"/>
        <w:adjustRightInd/>
        <w:spacing w:after="0" w:line="240" w:lineRule="auto"/>
        <w:ind w:firstLine="420" w:firstLineChars="0"/>
        <w:textAlignment w:val="auto"/>
      </w:pPr>
      <w:r>
        <w:rPr>
          <w:rFonts w:hint="eastAsia"/>
        </w:rPr>
        <w:t>本研究以南水北调中线工程水源区为研究区域，通过集成CMIP6不同气候情景、SWAT模型模拟、水文干旱多指标评估等方法，使用流域内多个水文站建立模型以分析历史时期流域径流演变规律及水文干旱的时空分布特征与变化趋势，定量分析未来时期（2025</w:t>
      </w:r>
      <w:r>
        <w:rPr>
          <w:lang w:val="en"/>
        </w:rPr>
        <w:t>—21</w:t>
      </w:r>
      <w:r>
        <w:rPr>
          <w:rFonts w:hint="eastAsia"/>
        </w:rPr>
        <w:t>00年）不同气候变化情景下水源区径流与水文干旱事件的可能变化趋势，以期为南水北调中线工程的长期水资源规划管理、抗旱减灾策略制定、极端干旱事件风险预警提供参考。</w:t>
      </w:r>
    </w:p>
    <w:p>
      <w:pPr>
        <w:pStyle w:val="3"/>
        <w:pageBreakBefore w:val="0"/>
        <w:numPr>
          <w:ilvl w:val="0"/>
          <w:numId w:val="1"/>
        </w:numPr>
        <w:kinsoku/>
        <w:overflowPunct/>
        <w:autoSpaceDE/>
        <w:autoSpaceDN/>
        <w:bidi w:val="0"/>
        <w:adjustRightInd/>
        <w:spacing w:before="0" w:after="0" w:line="240" w:lineRule="auto"/>
        <w:textAlignment w:val="auto"/>
      </w:pPr>
      <w:r>
        <w:rPr>
          <w:rFonts w:hint="eastAsia"/>
        </w:rPr>
        <w:t>研究区概况及数据来源</w:t>
      </w:r>
    </w:p>
    <w:p>
      <w:pPr>
        <w:pStyle w:val="4"/>
        <w:pageBreakBefore w:val="0"/>
        <w:numPr>
          <w:ilvl w:val="1"/>
          <w:numId w:val="2"/>
        </w:numPr>
        <w:kinsoku/>
        <w:overflowPunct/>
        <w:autoSpaceDE/>
        <w:autoSpaceDN/>
        <w:bidi w:val="0"/>
        <w:adjustRightInd/>
        <w:spacing w:before="0" w:after="0" w:line="240" w:lineRule="auto"/>
        <w:textAlignment w:val="auto"/>
      </w:pPr>
      <w:r>
        <w:rPr>
          <w:rFonts w:hint="eastAsia"/>
        </w:rPr>
        <w:t>研究区概况</w:t>
      </w:r>
    </w:p>
    <w:p>
      <w:pPr>
        <w:pageBreakBefore w:val="0"/>
        <w:kinsoku/>
        <w:overflowPunct/>
        <w:autoSpaceDE/>
        <w:autoSpaceDN/>
        <w:bidi w:val="0"/>
        <w:adjustRightInd/>
        <w:spacing w:after="0" w:line="240" w:lineRule="auto"/>
        <w:ind w:firstLine="420"/>
        <w:textAlignment w:val="auto"/>
      </w:pPr>
      <w:r>
        <w:rPr>
          <w:rFonts w:hint="eastAsia"/>
        </w:rPr>
        <w:t>丹江口水库是南水北调中线工程的核心水源区，其水资源安全直接关系到国家重大调水战略的可持续运行与北方受水区的供水保障</w:t>
      </w:r>
      <w:r>
        <w:rPr>
          <w:rStyle w:val="20"/>
          <w:rFonts w:hint="eastAsia" w:eastAsiaTheme="minorEastAsia"/>
          <w:szCs w:val="24"/>
        </w:rPr>
        <w:t>[</w:t>
      </w:r>
      <w:r>
        <w:rPr>
          <w:rStyle w:val="20"/>
          <w:rFonts w:hint="eastAsia" w:eastAsiaTheme="minorEastAsia"/>
          <w:szCs w:val="24"/>
        </w:rPr>
        <w:endnoteReference w:id="17"/>
      </w:r>
      <w:r>
        <w:rPr>
          <w:rStyle w:val="20"/>
          <w:rFonts w:hint="eastAsia" w:eastAsiaTheme="minorEastAsia"/>
          <w:szCs w:val="24"/>
        </w:rPr>
        <w:t>]</w:t>
      </w:r>
      <w:r>
        <w:rPr>
          <w:rFonts w:hint="eastAsia"/>
        </w:rPr>
        <w:t>。本研究以南水北调中线工程主要水源区为研究区域，该区域作为中线工程的水源涵养区和径流形成区，其水文情势变化对丹江口水库的来水具有决定性影响。白河水文站作为丹江口水库的入库控制站，位于陕西省白河县，控制集水面积达5.91万km</w:t>
      </w:r>
      <w:r>
        <w:rPr>
          <w:rFonts w:hint="eastAsia"/>
          <w:vertAlign w:val="superscript"/>
        </w:rPr>
        <w:t>2</w:t>
      </w:r>
      <w:r>
        <w:rPr>
          <w:rFonts w:hint="eastAsia"/>
        </w:rPr>
        <w:t>，是监测上游来水情势与评估可调水量的关键站点。研究区集水面积约7.47万km</w:t>
      </w:r>
      <w:r>
        <w:rPr>
          <w:rFonts w:hint="eastAsia"/>
          <w:vertAlign w:val="superscript"/>
        </w:rPr>
        <w:t>2</w:t>
      </w:r>
      <w:r>
        <w:rPr>
          <w:rFonts w:hint="eastAsia"/>
        </w:rPr>
        <w:t>，占汉江全流域面积的47.0%。水源地位于亚热带季风气候区，多年平均降水量873mm，降水的年内分配极不均匀，汛期降水集中，水资源丰富。水源区内气象站与水文站的具体分布情况如图1所示。</w:t>
      </w:r>
    </w:p>
    <w:p>
      <w:pPr>
        <w:pageBreakBefore w:val="0"/>
        <w:kinsoku/>
        <w:overflowPunct/>
        <w:autoSpaceDE/>
        <w:autoSpaceDN/>
        <w:bidi w:val="0"/>
        <w:adjustRightInd/>
        <w:spacing w:after="0" w:line="240" w:lineRule="auto"/>
        <w:ind w:firstLine="0" w:firstLineChars="0"/>
        <w:jc w:val="center"/>
        <w:textAlignment w:val="auto"/>
      </w:pPr>
      <w:r>
        <w:rPr>
          <w:rFonts w:hint="eastAsia"/>
        </w:rPr>
        <w:drawing>
          <wp:inline distT="0" distB="0" distL="114300" distR="114300">
            <wp:extent cx="4503420" cy="2930525"/>
            <wp:effectExtent l="0" t="0" r="11430" b="3175"/>
            <wp:docPr id="22" name="图片 22" descr="研究区"/>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2" name="图片 22" descr="研究区"/>
                    <pic:cNvPicPr>
                      <a:picLocks noChangeAspect="true"/>
                    </pic:cNvPicPr>
                  </pic:nvPicPr>
                  <pic:blipFill>
                    <a:blip r:embed="rId7"/>
                    <a:srcRect l="8204" t="15179" r="5767" b="5656"/>
                    <a:stretch>
                      <a:fillRect/>
                    </a:stretch>
                  </pic:blipFill>
                  <pic:spPr>
                    <a:xfrm>
                      <a:off x="0" y="0"/>
                      <a:ext cx="4503420" cy="2930525"/>
                    </a:xfrm>
                    <a:prstGeom prst="rect">
                      <a:avLst/>
                    </a:prstGeom>
                  </pic:spPr>
                </pic:pic>
              </a:graphicData>
            </a:graphic>
          </wp:inline>
        </w:drawing>
      </w:r>
    </w:p>
    <w:p>
      <w:pPr>
        <w:pStyle w:val="25"/>
        <w:pageBreakBefore w:val="0"/>
        <w:kinsoku/>
        <w:overflowPunct/>
        <w:autoSpaceDE/>
        <w:autoSpaceDN/>
        <w:bidi w:val="0"/>
        <w:adjustRightInd/>
        <w:spacing w:after="0" w:line="240" w:lineRule="auto"/>
        <w:ind w:right="0"/>
        <w:textAlignment w:val="auto"/>
      </w:pPr>
      <w:r>
        <w:t xml:space="preserve">图 </w:t>
      </w:r>
      <w:r>
        <w:fldChar w:fldCharType="begin"/>
      </w:r>
      <w:r>
        <w:instrText xml:space="preserve"> SEQ 图 \* ARABIC </w:instrText>
      </w:r>
      <w:r>
        <w:fldChar w:fldCharType="separate"/>
      </w:r>
      <w:r>
        <w:t>1</w:t>
      </w:r>
      <w:r>
        <w:fldChar w:fldCharType="end"/>
      </w:r>
      <w:r>
        <w:rPr>
          <w:rFonts w:hint="eastAsia"/>
        </w:rPr>
        <w:t xml:space="preserve"> 南水北调中线工程水源区主要水文站与气象站分布</w:t>
      </w:r>
    </w:p>
    <w:p>
      <w:pPr>
        <w:pStyle w:val="25"/>
        <w:pageBreakBefore w:val="0"/>
        <w:kinsoku/>
        <w:overflowPunct/>
        <w:autoSpaceDE/>
        <w:autoSpaceDN/>
        <w:bidi w:val="0"/>
        <w:adjustRightInd/>
        <w:spacing w:after="0" w:line="240" w:lineRule="auto"/>
        <w:ind w:right="0"/>
        <w:textAlignment w:val="auto"/>
      </w:pPr>
      <w:r>
        <w:t>Fig.1 Distribution of m</w:t>
      </w:r>
      <w:r>
        <w:rPr>
          <w:rFonts w:hint="eastAsia"/>
        </w:rPr>
        <w:t>ajor hydrological and meteorological stations in</w:t>
      </w:r>
      <w:r>
        <w:t xml:space="preserve"> </w:t>
      </w:r>
      <w:r>
        <w:rPr>
          <w:rFonts w:hint="eastAsia"/>
        </w:rPr>
        <w:t>w</w:t>
      </w:r>
      <w:r>
        <w:t xml:space="preserve">ater </w:t>
      </w:r>
      <w:r>
        <w:rPr>
          <w:rFonts w:hint="eastAsia"/>
        </w:rPr>
        <w:t>s</w:t>
      </w:r>
      <w:r>
        <w:t xml:space="preserve">ource </w:t>
      </w:r>
      <w:r>
        <w:rPr>
          <w:rFonts w:hint="eastAsia"/>
        </w:rPr>
        <w:t>a</w:t>
      </w:r>
      <w:r>
        <w:t xml:space="preserve">rea </w:t>
      </w:r>
      <w:r>
        <w:rPr>
          <w:rFonts w:hint="eastAsia"/>
        </w:rPr>
        <w:t>o</w:t>
      </w:r>
      <w:r>
        <w:t xml:space="preserve">f </w:t>
      </w:r>
      <w:r>
        <w:rPr>
          <w:rFonts w:hint="eastAsia"/>
        </w:rPr>
        <w:t>S</w:t>
      </w:r>
      <w:r>
        <w:t>outh-</w:t>
      </w:r>
      <w:r>
        <w:rPr>
          <w:rFonts w:hint="eastAsia"/>
        </w:rPr>
        <w:t>t</w:t>
      </w:r>
      <w:r>
        <w:t>o-</w:t>
      </w:r>
      <w:r>
        <w:rPr>
          <w:rFonts w:hint="eastAsia"/>
        </w:rPr>
        <w:t>N</w:t>
      </w:r>
      <w:r>
        <w:t xml:space="preserve">orth </w:t>
      </w:r>
      <w:r>
        <w:rPr>
          <w:rFonts w:hint="eastAsia"/>
        </w:rPr>
        <w:t>W</w:t>
      </w:r>
      <w:r>
        <w:t xml:space="preserve">ater </w:t>
      </w:r>
      <w:r>
        <w:rPr>
          <w:rFonts w:hint="eastAsia"/>
        </w:rPr>
        <w:t>D</w:t>
      </w:r>
      <w:r>
        <w:t xml:space="preserve">iversion </w:t>
      </w:r>
      <w:r>
        <w:rPr>
          <w:rFonts w:hint="eastAsia"/>
        </w:rPr>
        <w:t>M</w:t>
      </w:r>
      <w:r>
        <w:t>iddle</w:t>
      </w:r>
      <w:r>
        <w:rPr>
          <w:rFonts w:hint="eastAsia"/>
        </w:rPr>
        <w:t xml:space="preserve"> R</w:t>
      </w:r>
      <w:r>
        <w:t xml:space="preserve">oute </w:t>
      </w:r>
      <w:r>
        <w:rPr>
          <w:rFonts w:hint="eastAsia"/>
        </w:rPr>
        <w:t>P</w:t>
      </w:r>
      <w:r>
        <w:t>roject</w:t>
      </w:r>
    </w:p>
    <w:p>
      <w:pPr>
        <w:pStyle w:val="4"/>
        <w:pageBreakBefore w:val="0"/>
        <w:numPr>
          <w:ilvl w:val="1"/>
          <w:numId w:val="2"/>
        </w:numPr>
        <w:kinsoku/>
        <w:overflowPunct/>
        <w:autoSpaceDE/>
        <w:autoSpaceDN/>
        <w:bidi w:val="0"/>
        <w:adjustRightInd/>
        <w:spacing w:before="0" w:after="0" w:line="240" w:lineRule="auto"/>
        <w:textAlignment w:val="auto"/>
      </w:pPr>
      <w:r>
        <w:rPr>
          <w:rFonts w:hint="eastAsia"/>
        </w:rPr>
        <w:t>数据来源</w:t>
      </w:r>
    </w:p>
    <w:p>
      <w:pPr>
        <w:pageBreakBefore w:val="0"/>
        <w:kinsoku/>
        <w:overflowPunct/>
        <w:autoSpaceDE/>
        <w:autoSpaceDN/>
        <w:bidi w:val="0"/>
        <w:adjustRightInd/>
        <w:spacing w:after="0" w:line="240" w:lineRule="auto"/>
        <w:ind w:firstLine="420"/>
        <w:textAlignment w:val="auto"/>
      </w:pPr>
      <w:r>
        <w:rPr>
          <w:rFonts w:hint="eastAsia"/>
        </w:rPr>
        <w:t>本研究采用的30m分辨率高程数据源自地理空间数据云（http://www.gscloud.cn/）；土壤数据来源于世界土壤数据库HWSD（Harmonized World Soil Database）；土地利用数据选用中国科学院地理科学与资源研究所（http://www.resdc.cn/）提供的30m分辨率产品；气象数据使用南水北调中线工程水源区内太白、留坝、汉中等12个气象站1960—2020年的实测日气象数据，来源于中国气象数据网；实测径流数据选用汉中、安康、白河水文站1970—2020年实测逐日径流量，来源于长江流域水文年鉴。针对干旱演变趋势研究选用的未来气候模式数据来自于CMIP6中</w:t>
      </w:r>
      <w:r>
        <w:t>CMCC-ESM2</w:t>
      </w:r>
      <w:r>
        <w:rPr>
          <w:rFonts w:hint="eastAsia"/>
        </w:rPr>
        <w:t>数据集，采用辐射强迫梯度的</w:t>
      </w:r>
      <w:r>
        <w:rPr>
          <w:rFonts w:cs="Times New Roman"/>
        </w:rPr>
        <w:t>SSP1-2.6、SSP</w:t>
      </w:r>
      <w:r>
        <w:rPr>
          <w:rFonts w:hint="eastAsia" w:cs="Times New Roman"/>
        </w:rPr>
        <w:t>2</w:t>
      </w:r>
      <w:r>
        <w:rPr>
          <w:rFonts w:cs="Times New Roman"/>
        </w:rPr>
        <w:t>-</w:t>
      </w:r>
      <w:r>
        <w:rPr>
          <w:rFonts w:hint="eastAsia" w:cs="Times New Roman"/>
        </w:rPr>
        <w:t>4.5</w:t>
      </w:r>
      <w:r>
        <w:rPr>
          <w:rFonts w:cs="Times New Roman"/>
        </w:rPr>
        <w:t>、SSP5-8.5</w:t>
      </w:r>
      <w:r>
        <w:rPr>
          <w:rFonts w:hint="eastAsia"/>
        </w:rPr>
        <w:t>三种共享社会经济路径</w:t>
      </w:r>
      <w:r>
        <w:rPr>
          <w:rStyle w:val="20"/>
          <w:rFonts w:hint="eastAsia"/>
        </w:rPr>
        <w:t>[</w:t>
      </w:r>
      <w:r>
        <w:rPr>
          <w:rStyle w:val="20"/>
          <w:rFonts w:hint="eastAsia"/>
        </w:rPr>
        <w:endnoteReference w:id="18"/>
      </w:r>
      <w:r>
        <w:rPr>
          <w:rFonts w:hint="eastAsia"/>
          <w:vertAlign w:val="superscript"/>
        </w:rPr>
        <w:t>-</w:t>
      </w:r>
      <w:r>
        <w:rPr>
          <w:rStyle w:val="20"/>
          <w:rFonts w:hint="eastAsia"/>
          <w:vanish/>
        </w:rPr>
        <w:endnoteReference w:id="19"/>
      </w:r>
      <w:r>
        <w:rPr>
          <w:rStyle w:val="20"/>
          <w:rFonts w:hint="eastAsia"/>
        </w:rPr>
        <w:endnoteReference w:id="20"/>
      </w:r>
      <w:r>
        <w:rPr>
          <w:rStyle w:val="20"/>
          <w:rFonts w:hint="eastAsia"/>
        </w:rPr>
        <w:t>]</w:t>
      </w:r>
      <w:r>
        <w:rPr>
          <w:rFonts w:hint="eastAsia"/>
        </w:rPr>
        <w:t>下降水、最高和最低气温的历史（1960</w:t>
      </w:r>
      <w:r>
        <w:rPr>
          <w:lang w:val="en"/>
        </w:rPr>
        <w:t>—20</w:t>
      </w:r>
      <w:r>
        <w:rPr>
          <w:rFonts w:hint="eastAsia"/>
        </w:rPr>
        <w:t>14年）和未来（2015—2100年）逐日数据</w:t>
      </w:r>
      <w:r>
        <w:rPr>
          <w:rStyle w:val="20"/>
          <w:rFonts w:hint="eastAsia"/>
        </w:rPr>
        <w:t>[</w:t>
      </w:r>
      <w:r>
        <w:rPr>
          <w:rStyle w:val="20"/>
          <w:rFonts w:hint="eastAsia"/>
        </w:rPr>
        <w:endnoteReference w:id="21"/>
      </w:r>
      <w:r>
        <w:rPr>
          <w:rStyle w:val="20"/>
          <w:rFonts w:hint="eastAsia"/>
        </w:rPr>
        <w:t>]</w:t>
      </w:r>
      <w:r>
        <w:rPr>
          <w:rFonts w:hint="eastAsia"/>
        </w:rPr>
        <w:t>。</w:t>
      </w:r>
    </w:p>
    <w:p>
      <w:pPr>
        <w:pStyle w:val="3"/>
        <w:pageBreakBefore w:val="0"/>
        <w:kinsoku/>
        <w:overflowPunct/>
        <w:autoSpaceDE/>
        <w:autoSpaceDN/>
        <w:bidi w:val="0"/>
        <w:adjustRightInd/>
        <w:spacing w:before="0" w:after="0" w:line="240" w:lineRule="auto"/>
        <w:textAlignment w:val="auto"/>
      </w:pPr>
      <w:r>
        <w:rPr>
          <w:rFonts w:hint="eastAsia"/>
        </w:rPr>
        <w:t xml:space="preserve">2 </w:t>
      </w:r>
      <w:r>
        <w:t>研究方法</w:t>
      </w:r>
    </w:p>
    <w:p>
      <w:pPr>
        <w:pStyle w:val="4"/>
        <w:pageBreakBefore w:val="0"/>
        <w:kinsoku/>
        <w:overflowPunct/>
        <w:autoSpaceDE/>
        <w:autoSpaceDN/>
        <w:bidi w:val="0"/>
        <w:adjustRightInd/>
        <w:spacing w:before="0" w:after="0" w:line="240" w:lineRule="auto"/>
        <w:textAlignment w:val="auto"/>
      </w:pPr>
      <w:r>
        <w:rPr>
          <w:rFonts w:hint="eastAsia"/>
        </w:rPr>
        <w:t>2.1 水文过程模拟</w:t>
      </w:r>
    </w:p>
    <w:p>
      <w:pPr>
        <w:pStyle w:val="9"/>
        <w:pageBreakBefore w:val="0"/>
        <w:kinsoku/>
        <w:overflowPunct/>
        <w:autoSpaceDE/>
        <w:autoSpaceDN/>
        <w:bidi w:val="0"/>
        <w:adjustRightInd/>
        <w:spacing w:after="0" w:line="240" w:lineRule="auto"/>
        <w:ind w:firstLine="420" w:firstLineChars="200"/>
        <w:textAlignment w:val="auto"/>
      </w:pPr>
      <w:r>
        <w:rPr>
          <w:rFonts w:hint="eastAsia"/>
        </w:rPr>
        <w:t>SWAT模型是一种分布式流域水文模型，其水文模块建立在连续水量平衡上。通过将研究区域划分成若干子流域，根据土壤类型、土地利用和坡度进一步划分为多个水文响应单元，为复杂环境条件下的水文过程模拟奠定物理基础，综合考虑了水文气象、土壤及土地利用等因素的时空异质性。SWAT模型能够耦合水文循环、泥沙输移、营养物迁移等过程，定量分析气候变化与人类活动（如农业灌溉、水库调度、土地利用变化）对流域水循环的综合影响。</w:t>
      </w:r>
    </w:p>
    <w:p>
      <w:pPr>
        <w:pStyle w:val="9"/>
        <w:pageBreakBefore w:val="0"/>
        <w:kinsoku/>
        <w:overflowPunct/>
        <w:autoSpaceDE/>
        <w:autoSpaceDN/>
        <w:bidi w:val="0"/>
        <w:adjustRightInd/>
        <w:spacing w:after="0" w:line="240" w:lineRule="auto"/>
        <w:ind w:firstLine="420" w:firstLineChars="200"/>
        <w:textAlignment w:val="auto"/>
      </w:pPr>
      <w:r>
        <w:rPr>
          <w:rFonts w:hint="eastAsia"/>
        </w:rPr>
        <w:t>构建流域水文模型时，目前普遍运用SWAT-CUP进行敏感性分析，通过手动调整与SUFI-2算法自动优化相配合的方法，实现径流相关参数的率定。通过多个指标综合评判模型模拟表现：决定性系数（</w:t>
      </w:r>
      <w:r>
        <w:rPr>
          <w:rFonts w:hint="eastAsia"/>
          <w:i/>
          <w:iCs/>
        </w:rPr>
        <w:t>R</w:t>
      </w:r>
      <w:r>
        <w:rPr>
          <w:rFonts w:hint="eastAsia"/>
          <w:vertAlign w:val="superscript"/>
        </w:rPr>
        <w:t>2</w:t>
      </w:r>
      <w:r>
        <w:rPr>
          <w:rFonts w:hint="eastAsia"/>
        </w:rPr>
        <w:t>，取值范围0~1）衡量模拟值与实测值线性相关性，纳什系数（</w:t>
      </w:r>
      <w:r>
        <w:rPr>
          <w:rFonts w:hint="eastAsia"/>
          <w:i/>
          <w:iCs/>
        </w:rPr>
        <w:t>NSE</w:t>
      </w:r>
      <w:r>
        <w:rPr>
          <w:rFonts w:hint="eastAsia"/>
        </w:rPr>
        <w:t>）评估整体拟合优度（&gt;0.5可接受，&gt;0.75为优良），标准误差比率（</w:t>
      </w:r>
      <w:r>
        <w:rPr>
          <w:rFonts w:hint="eastAsia"/>
          <w:i/>
          <w:iCs/>
        </w:rPr>
        <w:t>RSR</w:t>
      </w:r>
      <w:r>
        <w:rPr>
          <w:rFonts w:hint="eastAsia"/>
        </w:rPr>
        <w:t>）通过均方根误差标准化处理评价残差变异程度（&lt;0.7合格）。</w:t>
      </w:r>
    </w:p>
    <w:p>
      <w:pPr>
        <w:pStyle w:val="4"/>
        <w:pageBreakBefore w:val="0"/>
        <w:kinsoku/>
        <w:overflowPunct/>
        <w:autoSpaceDE/>
        <w:autoSpaceDN/>
        <w:bidi w:val="0"/>
        <w:adjustRightInd/>
        <w:spacing w:before="0" w:after="0" w:line="240" w:lineRule="auto"/>
        <w:textAlignment w:val="auto"/>
      </w:pPr>
      <w:r>
        <w:rPr>
          <w:rFonts w:hint="eastAsia"/>
        </w:rPr>
        <w:t>2.2 Delta降尺度方法</w:t>
      </w:r>
    </w:p>
    <w:p>
      <w:pPr>
        <w:pageBreakBefore w:val="0"/>
        <w:kinsoku/>
        <w:overflowPunct/>
        <w:autoSpaceDE/>
        <w:autoSpaceDN/>
        <w:bidi w:val="0"/>
        <w:adjustRightInd/>
        <w:spacing w:after="0" w:line="240" w:lineRule="auto"/>
        <w:ind w:firstLine="420"/>
        <w:textAlignment w:val="auto"/>
      </w:pPr>
      <w:r>
        <w:t>全球气候模式（GCMs）</w:t>
      </w:r>
      <w:r>
        <w:rPr>
          <w:rFonts w:hint="eastAsia"/>
        </w:rPr>
        <w:t>的气候变化观测由于结构差异和初始边界条件等经常存在不确定性，原始</w:t>
      </w:r>
      <w:r>
        <w:t>输出数据分辨率低且存在系统偏差</w:t>
      </w:r>
      <w:r>
        <w:rPr>
          <w:rFonts w:hint="eastAsia"/>
        </w:rPr>
        <w:t>。</w:t>
      </w:r>
      <w:r>
        <w:t>研究采用Delta降尺度法对CMIP6气候模式数据进行</w:t>
      </w:r>
      <w:r>
        <w:rPr>
          <w:rFonts w:hint="eastAsia"/>
        </w:rPr>
        <w:t>偏差校正</w:t>
      </w:r>
      <w:r>
        <w:t>。对原始</w:t>
      </w:r>
      <w:r>
        <w:rPr>
          <w:rFonts w:hint="eastAsia"/>
        </w:rPr>
        <w:t>气象</w:t>
      </w:r>
      <w:r>
        <w:t>数据进行统一的双线性插值处理，将其空间分辨率提升至与观测站点相匹配的尺度</w:t>
      </w:r>
      <w:r>
        <w:rPr>
          <w:rFonts w:hint="eastAsia"/>
        </w:rPr>
        <w:t>，计算气象站点所在网格数据与历史实测数据的相对与绝对变化量，叠加至不同情景下的未来数据，校正后得到更高精度未来气象数据</w:t>
      </w:r>
      <w:r>
        <w:rPr>
          <w:rStyle w:val="20"/>
          <w:rFonts w:hint="eastAsia"/>
        </w:rPr>
        <w:t>[</w:t>
      </w:r>
      <w:r>
        <w:rPr>
          <w:rStyle w:val="20"/>
          <w:rFonts w:hint="eastAsia"/>
        </w:rPr>
        <w:endnoteReference w:id="22"/>
      </w:r>
      <w:r>
        <w:rPr>
          <w:rStyle w:val="20"/>
          <w:rFonts w:hint="eastAsia"/>
        </w:rPr>
        <w:t>]</w:t>
      </w:r>
      <w:r>
        <w:rPr>
          <w:rFonts w:hint="eastAsia"/>
        </w:rPr>
        <w:t>。</w:t>
      </w:r>
    </w:p>
    <w:p>
      <w:pPr>
        <w:pageBreakBefore w:val="0"/>
        <w:kinsoku/>
        <w:overflowPunct/>
        <w:autoSpaceDE/>
        <w:autoSpaceDN/>
        <w:bidi w:val="0"/>
        <w:adjustRightInd/>
        <w:spacing w:after="0" w:line="240" w:lineRule="auto"/>
        <w:ind w:firstLine="420"/>
        <w:textAlignment w:val="auto"/>
      </w:pPr>
      <w:r>
        <w:rPr>
          <w:rFonts w:hint="eastAsia"/>
        </w:rPr>
        <w:t>对于降水，通过计算历史时期站点月平均观测降水量与GCMs模拟值的比值，并将其应用于SSP情景下未来时期降水预测值</w:t>
      </w:r>
      <w:r>
        <w:rPr>
          <w:rStyle w:val="20"/>
          <w:rFonts w:hint="eastAsia"/>
        </w:rPr>
        <w:t>[</w:t>
      </w:r>
      <w:r>
        <w:rPr>
          <w:rStyle w:val="20"/>
          <w:rFonts w:hint="eastAsia"/>
        </w:rPr>
        <w:endnoteReference w:id="23"/>
      </w:r>
      <w:r>
        <w:rPr>
          <w:rStyle w:val="20"/>
          <w:rFonts w:hint="eastAsia"/>
        </w:rPr>
        <w:t>]</w:t>
      </w:r>
      <w:r>
        <w:rPr>
          <w:rFonts w:hint="eastAsia"/>
        </w:rPr>
        <w:t>，公式如下</w:t>
      </w:r>
    </w:p>
    <w:p>
      <w:pPr>
        <w:pStyle w:val="28"/>
        <w:pageBreakBefore w:val="0"/>
        <w:tabs>
          <w:tab w:val="left" w:pos="2940"/>
          <w:tab w:val="clear" w:pos="3360"/>
        </w:tabs>
        <w:kinsoku/>
        <w:overflowPunct/>
        <w:autoSpaceDE/>
        <w:autoSpaceDN/>
        <w:bidi w:val="0"/>
        <w:adjustRightInd/>
        <w:spacing w:after="0" w:line="240" w:lineRule="auto"/>
        <w:textAlignment w:val="auto"/>
      </w:pPr>
      <w:r>
        <w:rPr>
          <w:rFonts w:hint="eastAsia"/>
        </w:rPr>
        <w:tab/>
      </w:r>
      <m:oMath>
        <m:sSub>
          <m:sSubPr>
            <m:ctrlPr>
              <w:rPr>
                <w:rFonts w:hint="eastAsia" w:ascii="Cambria Math" w:hAnsi="Cambria Math"/>
                <w:i/>
                <w:iCs/>
              </w:rPr>
            </m:ctrlPr>
          </m:sSubPr>
          <m:e>
            <m:r>
              <m:rPr/>
              <w:rPr>
                <w:rFonts w:ascii="Cambria Math" w:hAnsi="Cambria Math"/>
              </w:rPr>
              <m:t>P</m:t>
            </m:r>
            <m:ctrlPr>
              <w:rPr>
                <w:rFonts w:hint="eastAsia" w:ascii="Cambria Math" w:hAnsi="Cambria Math"/>
                <w:i/>
                <w:iCs/>
              </w:rPr>
            </m:ctrlPr>
          </m:e>
          <m:sub>
            <m:r>
              <m:rPr/>
              <w:rPr>
                <w:rFonts w:ascii="Cambria Math" w:hAnsi="Cambria Math"/>
              </w:rPr>
              <m:t>fu</m:t>
            </m:r>
            <m:ctrlPr>
              <w:rPr>
                <w:rFonts w:hint="eastAsia" w:ascii="Cambria Math" w:hAnsi="Cambria Math"/>
                <w:i/>
                <w:iCs/>
              </w:rPr>
            </m:ctrlPr>
          </m:sub>
        </m:sSub>
        <m:r>
          <m:rPr/>
          <w:rPr>
            <w:rFonts w:ascii="Cambria Math" w:hAnsi="Cambria Math"/>
          </w:rPr>
          <m:t>=</m:t>
        </m:r>
        <m:f>
          <m:fPr>
            <m:ctrlPr>
              <w:rPr>
                <w:rFonts w:ascii="Cambria Math" w:hAnsi="Cambria Math"/>
                <w:i/>
                <w:iCs/>
              </w:rPr>
            </m:ctrlPr>
          </m:fPr>
          <m:num>
            <m:r>
              <m:rPr/>
              <w:rPr>
                <w:rFonts w:ascii="Cambria Math" w:hAnsi="Cambria Math"/>
              </w:rPr>
              <m:t xml:space="preserve"> </m:t>
            </m:r>
            <m:sSub>
              <m:sSubPr>
                <m:ctrlPr>
                  <w:rPr>
                    <w:rFonts w:ascii="Cambria Math" w:hAnsi="Cambria Math"/>
                    <w:i/>
                    <w:iCs/>
                  </w:rPr>
                </m:ctrlPr>
              </m:sSubPr>
              <m:e>
                <m:r>
                  <m:rPr/>
                  <w:rPr>
                    <w:rFonts w:ascii="Cambria Math" w:hAnsi="Cambria Math"/>
                  </w:rPr>
                  <m:t>P</m:t>
                </m:r>
                <m:ctrlPr>
                  <w:rPr>
                    <w:rFonts w:ascii="Cambria Math" w:hAnsi="Cambria Math"/>
                    <w:i/>
                    <w:iCs/>
                  </w:rPr>
                </m:ctrlPr>
              </m:e>
              <m:sub>
                <m:r>
                  <m:rPr/>
                  <w:rPr>
                    <w:rFonts w:ascii="Cambria Math" w:hAnsi="Cambria Math"/>
                  </w:rPr>
                  <m:t>obs</m:t>
                </m:r>
                <m:ctrlPr>
                  <w:rPr>
                    <w:rFonts w:ascii="Cambria Math" w:hAnsi="Cambria Math"/>
                    <w:i/>
                    <w:iCs/>
                  </w:rPr>
                </m:ctrlPr>
              </m:sub>
            </m:sSub>
            <m:ctrlPr>
              <w:rPr>
                <w:rFonts w:ascii="Cambria Math" w:hAnsi="Cambria Math"/>
                <w:i/>
                <w:iCs/>
              </w:rPr>
            </m:ctrlPr>
          </m:num>
          <m:den>
            <m:sSub>
              <m:sSubPr>
                <m:ctrlPr>
                  <w:rPr>
                    <w:rFonts w:ascii="Cambria Math" w:hAnsi="Cambria Math"/>
                    <w:i/>
                    <w:iCs/>
                  </w:rPr>
                </m:ctrlPr>
              </m:sSubPr>
              <m:e>
                <m:r>
                  <m:rPr/>
                  <w:rPr>
                    <w:rFonts w:ascii="Cambria Math" w:hAnsi="Cambria Math"/>
                  </w:rPr>
                  <m:t>P</m:t>
                </m:r>
                <m:ctrlPr>
                  <w:rPr>
                    <w:rFonts w:ascii="Cambria Math" w:hAnsi="Cambria Math"/>
                    <w:i/>
                    <w:iCs/>
                  </w:rPr>
                </m:ctrlPr>
              </m:e>
              <m:sub>
                <m:r>
                  <m:rPr/>
                  <w:rPr>
                    <w:rFonts w:ascii="Cambria Math" w:hAnsi="Cambria Math"/>
                  </w:rPr>
                  <m:t>gcms−obs</m:t>
                </m:r>
                <m:ctrlPr>
                  <w:rPr>
                    <w:rFonts w:ascii="Cambria Math" w:hAnsi="Cambria Math"/>
                    <w:i/>
                    <w:iCs/>
                  </w:rPr>
                </m:ctrlPr>
              </m:sub>
            </m:sSub>
            <m:ctrlPr>
              <w:rPr>
                <w:rFonts w:ascii="Cambria Math" w:hAnsi="Cambria Math"/>
                <w:i/>
                <w:iCs/>
              </w:rPr>
            </m:ctrlPr>
          </m:den>
        </m:f>
        <m:r>
          <m:rPr/>
          <w:rPr>
            <w:rFonts w:ascii="Cambria Math" w:hAnsi="Cambria Math" w:cs="Cambria Math"/>
          </w:rPr>
          <m:t>×</m:t>
        </m:r>
        <m:sSub>
          <m:sSubPr>
            <m:ctrlPr>
              <w:rPr>
                <w:rFonts w:ascii="Cambria Math" w:hAnsi="Cambria Math" w:cs="Cambria Math"/>
                <w:i/>
                <w:iCs/>
              </w:rPr>
            </m:ctrlPr>
          </m:sSubPr>
          <m:e>
            <m:r>
              <m:rPr/>
              <w:rPr>
                <w:rFonts w:ascii="Cambria Math" w:hAnsi="Cambria Math"/>
              </w:rPr>
              <m:t>P</m:t>
            </m:r>
            <m:ctrlPr>
              <w:rPr>
                <w:rFonts w:ascii="Cambria Math" w:hAnsi="Cambria Math" w:cs="Cambria Math"/>
                <w:i/>
                <w:iCs/>
              </w:rPr>
            </m:ctrlPr>
          </m:e>
          <m:sub>
            <m:r>
              <m:rPr/>
              <w:rPr>
                <w:rFonts w:ascii="Cambria Math" w:hAnsi="Cambria Math" w:cs="Cambria Math"/>
              </w:rPr>
              <m:t>gcms−fu</m:t>
            </m:r>
            <m:ctrlPr>
              <w:rPr>
                <w:rFonts w:ascii="Cambria Math" w:hAnsi="Cambria Math" w:cs="Cambria Math"/>
                <w:i/>
                <w:iCs/>
              </w:rPr>
            </m:ctrlPr>
          </m:sub>
        </m:sSub>
      </m:oMath>
      <w:r>
        <w:rPr>
          <w:rFonts w:hint="eastAsia"/>
        </w:rPr>
        <w:tab/>
      </w:r>
      <w:r>
        <w:rPr>
          <w:rFonts w:hint="eastAsia"/>
        </w:rPr>
        <w:t>（1）</w:t>
      </w:r>
    </w:p>
    <w:p>
      <w:pPr>
        <w:pageBreakBefore w:val="0"/>
        <w:kinsoku/>
        <w:overflowPunct/>
        <w:autoSpaceDE/>
        <w:autoSpaceDN/>
        <w:bidi w:val="0"/>
        <w:adjustRightInd/>
        <w:spacing w:after="0" w:line="240" w:lineRule="auto"/>
        <w:ind w:firstLine="0" w:firstLineChars="0"/>
        <w:textAlignment w:val="auto"/>
      </w:pPr>
      <w:r>
        <w:rPr>
          <w:rFonts w:hint="eastAsia"/>
        </w:rPr>
        <w:t>式中，</w:t>
      </w:r>
      <w:r>
        <w:rPr>
          <w:rFonts w:hint="eastAsia"/>
          <w:i/>
          <w:iCs/>
        </w:rPr>
        <w:t>P</w:t>
      </w:r>
      <w:r>
        <w:rPr>
          <w:rFonts w:hint="eastAsia"/>
          <w:i/>
          <w:iCs/>
          <w:vertAlign w:val="subscript"/>
        </w:rPr>
        <w:t>obs</w:t>
      </w:r>
      <w:r>
        <w:rPr>
          <w:rFonts w:hint="eastAsia"/>
        </w:rPr>
        <w:t>和</w:t>
      </w:r>
      <w:r>
        <w:rPr>
          <w:rFonts w:hint="eastAsia"/>
          <w:i/>
          <w:iCs/>
        </w:rPr>
        <w:t>P</w:t>
      </w:r>
      <w:r>
        <w:rPr>
          <w:rFonts w:hint="eastAsia"/>
          <w:i/>
          <w:iCs/>
          <w:vertAlign w:val="subscript"/>
        </w:rPr>
        <w:t>gcms-obs</w:t>
      </w:r>
      <w:r>
        <w:rPr>
          <w:rFonts w:hint="eastAsia"/>
        </w:rPr>
        <w:t>分别为历史时期站点实测降水量和GCMs模拟降水量；</w:t>
      </w:r>
      <w:r>
        <w:rPr>
          <w:rFonts w:hint="eastAsia"/>
          <w:i/>
          <w:iCs/>
        </w:rPr>
        <w:t>P</w:t>
      </w:r>
      <w:r>
        <w:rPr>
          <w:rFonts w:hint="eastAsia"/>
          <w:i/>
          <w:iCs/>
          <w:vertAlign w:val="subscript"/>
        </w:rPr>
        <w:t>gcms-fu</w:t>
      </w:r>
      <w:r>
        <w:rPr>
          <w:rFonts w:hint="eastAsia"/>
        </w:rPr>
        <w:t>为未来时期SSP情景下降水预测值；</w:t>
      </w:r>
      <w:r>
        <w:rPr>
          <w:rFonts w:hint="eastAsia"/>
          <w:i/>
          <w:iCs/>
        </w:rPr>
        <w:t>P</w:t>
      </w:r>
      <w:r>
        <w:rPr>
          <w:rFonts w:hint="eastAsia"/>
          <w:i/>
          <w:iCs/>
          <w:vertAlign w:val="subscript"/>
        </w:rPr>
        <w:t>fu</w:t>
      </w:r>
      <w:r>
        <w:rPr>
          <w:rFonts w:hint="eastAsia"/>
        </w:rPr>
        <w:t>为降尺度后的未来降水量通过Delta降尺度方法所得的未来时期降水量。</w:t>
      </w:r>
    </w:p>
    <w:p>
      <w:pPr>
        <w:pageBreakBefore w:val="0"/>
        <w:kinsoku/>
        <w:overflowPunct/>
        <w:autoSpaceDE/>
        <w:autoSpaceDN/>
        <w:bidi w:val="0"/>
        <w:adjustRightInd/>
        <w:spacing w:after="0" w:line="240" w:lineRule="auto"/>
        <w:ind w:firstLine="420"/>
        <w:textAlignment w:val="auto"/>
      </w:pPr>
      <w:r>
        <w:rPr>
          <w:rFonts w:hint="eastAsia"/>
        </w:rPr>
        <w:t>对于最高和最低气温，采用叠加历史时期观测值与GCMs模拟值之间差值的方法</w:t>
      </w:r>
      <w:r>
        <w:rPr>
          <w:rStyle w:val="20"/>
          <w:rFonts w:hint="eastAsia"/>
        </w:rPr>
        <w:t>[</w:t>
      </w:r>
      <w:r>
        <w:rPr>
          <w:rStyle w:val="20"/>
          <w:rFonts w:hint="eastAsia"/>
        </w:rPr>
        <w:endnoteReference w:id="24"/>
      </w:r>
      <w:r>
        <w:rPr>
          <w:rStyle w:val="20"/>
          <w:rFonts w:hint="eastAsia"/>
        </w:rPr>
        <w:t>]</w:t>
      </w:r>
    </w:p>
    <w:p>
      <w:pPr>
        <w:pStyle w:val="28"/>
        <w:pageBreakBefore w:val="0"/>
        <w:tabs>
          <w:tab w:val="left" w:pos="2730"/>
          <w:tab w:val="clear" w:pos="3360"/>
        </w:tabs>
        <w:kinsoku/>
        <w:overflowPunct/>
        <w:autoSpaceDE/>
        <w:autoSpaceDN/>
        <w:bidi w:val="0"/>
        <w:adjustRightInd/>
        <w:spacing w:after="0" w:line="240" w:lineRule="auto"/>
        <w:textAlignment w:val="auto"/>
      </w:pPr>
      <w:r>
        <w:rPr>
          <w:rFonts w:hint="eastAsia"/>
        </w:rPr>
        <w:tab/>
      </w:r>
      <m:oMath>
        <m:sSub>
          <m:sSubPr>
            <m:ctrlPr>
              <w:rPr>
                <w:rFonts w:ascii="Cambria Math" w:hAnsi="Cambria Math"/>
                <w:i/>
                <w:iCs/>
              </w:rPr>
            </m:ctrlPr>
          </m:sSubPr>
          <m:e>
            <m:r>
              <m:rPr/>
              <w:rPr>
                <w:rFonts w:ascii="Cambria Math" w:hAnsi="Cambria Math"/>
              </w:rPr>
              <m:t>T</m:t>
            </m:r>
            <m:ctrlPr>
              <w:rPr>
                <w:rFonts w:ascii="Cambria Math" w:hAnsi="Cambria Math"/>
                <w:i/>
                <w:iCs/>
              </w:rPr>
            </m:ctrlPr>
          </m:e>
          <m:sub>
            <m:r>
              <m:rPr/>
              <w:rPr>
                <w:rFonts w:ascii="Cambria Math" w:hAnsi="Cambria Math"/>
              </w:rPr>
              <m:t>fu</m:t>
            </m:r>
            <m:ctrlPr>
              <w:rPr>
                <w:rFonts w:ascii="Cambria Math" w:hAnsi="Cambria Math"/>
                <w:i/>
                <w:iCs/>
              </w:rPr>
            </m:ctrlPr>
          </m:sub>
        </m:sSub>
        <m:r>
          <m:rPr/>
          <w:rPr>
            <w:rFonts w:ascii="Cambria Math" w:hAnsi="Cambria Math"/>
          </w:rPr>
          <m:t>=</m:t>
        </m:r>
        <m:sSub>
          <m:sSubPr>
            <m:ctrlPr>
              <w:rPr>
                <w:rFonts w:ascii="Cambria Math" w:hAnsi="Cambria Math"/>
                <w:i/>
                <w:iCs/>
              </w:rPr>
            </m:ctrlPr>
          </m:sSubPr>
          <m:e>
            <m:r>
              <m:rPr/>
              <w:rPr>
                <w:rFonts w:ascii="Cambria Math" w:hAnsi="Cambria Math"/>
              </w:rPr>
              <m:t>T</m:t>
            </m:r>
            <m:ctrlPr>
              <w:rPr>
                <w:rFonts w:ascii="Cambria Math" w:hAnsi="Cambria Math"/>
                <w:i/>
                <w:iCs/>
              </w:rPr>
            </m:ctrlPr>
          </m:e>
          <m:sub>
            <m:r>
              <m:rPr/>
              <w:rPr>
                <w:rFonts w:ascii="Cambria Math" w:hAnsi="Cambria Math"/>
              </w:rPr>
              <m:t>gcms−obs</m:t>
            </m:r>
            <m:ctrlPr>
              <w:rPr>
                <w:rFonts w:ascii="Cambria Math" w:hAnsi="Cambria Math"/>
                <w:i/>
                <w:iCs/>
              </w:rPr>
            </m:ctrlPr>
          </m:sub>
        </m:sSub>
        <m:r>
          <m:rPr/>
          <w:rPr>
            <w:rFonts w:ascii="Cambria Math" w:hAnsi="Cambria Math"/>
          </w:rPr>
          <m:t>−</m:t>
        </m:r>
        <m:sSub>
          <m:sSubPr>
            <m:ctrlPr>
              <w:rPr>
                <w:rFonts w:ascii="Cambria Math" w:hAnsi="Cambria Math"/>
                <w:i/>
                <w:iCs/>
              </w:rPr>
            </m:ctrlPr>
          </m:sSubPr>
          <m:e>
            <m:r>
              <m:rPr/>
              <w:rPr>
                <w:rFonts w:ascii="Cambria Math" w:hAnsi="Cambria Math"/>
              </w:rPr>
              <m:t>T</m:t>
            </m:r>
            <m:ctrlPr>
              <w:rPr>
                <w:rFonts w:ascii="Cambria Math" w:hAnsi="Cambria Math"/>
                <w:i/>
                <w:iCs/>
              </w:rPr>
            </m:ctrlPr>
          </m:e>
          <m:sub>
            <m:r>
              <m:rPr/>
              <w:rPr>
                <w:rFonts w:ascii="Cambria Math" w:hAnsi="Cambria Math"/>
              </w:rPr>
              <m:t>obs</m:t>
            </m:r>
            <m:ctrlPr>
              <w:rPr>
                <w:rFonts w:ascii="Cambria Math" w:hAnsi="Cambria Math"/>
                <w:i/>
                <w:iCs/>
              </w:rPr>
            </m:ctrlPr>
          </m:sub>
        </m:sSub>
        <m:r>
          <m:rPr/>
          <w:rPr>
            <w:rFonts w:ascii="Cambria Math" w:hAnsi="Cambria Math"/>
          </w:rPr>
          <m:t>+</m:t>
        </m:r>
        <m:sSub>
          <m:sSubPr>
            <m:ctrlPr>
              <w:rPr>
                <w:rFonts w:ascii="Cambria Math" w:hAnsi="Cambria Math"/>
                <w:i/>
                <w:iCs/>
              </w:rPr>
            </m:ctrlPr>
          </m:sSubPr>
          <m:e>
            <m:r>
              <m:rPr/>
              <w:rPr>
                <w:rFonts w:ascii="Cambria Math" w:hAnsi="Cambria Math"/>
              </w:rPr>
              <m:t>T</m:t>
            </m:r>
            <m:ctrlPr>
              <w:rPr>
                <w:rFonts w:ascii="Cambria Math" w:hAnsi="Cambria Math"/>
                <w:i/>
                <w:iCs/>
              </w:rPr>
            </m:ctrlPr>
          </m:e>
          <m:sub>
            <m:r>
              <m:rPr/>
              <w:rPr>
                <w:rFonts w:ascii="Cambria Math" w:hAnsi="Cambria Math"/>
              </w:rPr>
              <m:t>gcms−fu</m:t>
            </m:r>
            <m:ctrlPr>
              <w:rPr>
                <w:rFonts w:ascii="Cambria Math" w:hAnsi="Cambria Math"/>
                <w:i/>
                <w:iCs/>
              </w:rPr>
            </m:ctrlPr>
          </m:sub>
        </m:sSub>
      </m:oMath>
      <w:r>
        <w:rPr>
          <w:rFonts w:hint="eastAsia"/>
          <w:vertAlign w:val="subscript"/>
        </w:rPr>
        <w:tab/>
      </w:r>
      <w:r>
        <w:rPr>
          <w:rFonts w:hint="eastAsia"/>
        </w:rPr>
        <w:t>（2）</w:t>
      </w:r>
    </w:p>
    <w:p>
      <w:pPr>
        <w:pageBreakBefore w:val="0"/>
        <w:kinsoku/>
        <w:overflowPunct/>
        <w:autoSpaceDE/>
        <w:autoSpaceDN/>
        <w:bidi w:val="0"/>
        <w:adjustRightInd/>
        <w:spacing w:after="0" w:line="240" w:lineRule="auto"/>
        <w:ind w:firstLine="0" w:firstLineChars="0"/>
        <w:textAlignment w:val="auto"/>
      </w:pPr>
      <w:r>
        <w:rPr>
          <w:rFonts w:hint="eastAsia"/>
        </w:rPr>
        <w:t>式中，</w:t>
      </w:r>
      <w:r>
        <w:rPr>
          <w:rFonts w:hint="eastAsia"/>
          <w:i/>
          <w:iCs/>
        </w:rPr>
        <w:t>T</w:t>
      </w:r>
      <w:r>
        <w:rPr>
          <w:i/>
          <w:iCs/>
          <w:vertAlign w:val="subscript"/>
        </w:rPr>
        <w:t>obs</w:t>
      </w:r>
      <w:r>
        <w:rPr>
          <w:rFonts w:hint="eastAsia"/>
        </w:rPr>
        <w:t>和</w:t>
      </w:r>
      <w:r>
        <w:rPr>
          <w:rFonts w:hint="eastAsia"/>
          <w:i/>
          <w:iCs/>
        </w:rPr>
        <w:t>T</w:t>
      </w:r>
      <w:r>
        <w:rPr>
          <w:i/>
          <w:iCs/>
          <w:vertAlign w:val="subscript"/>
        </w:rPr>
        <w:t>gcms-obs</w:t>
      </w:r>
      <w:r>
        <w:t>分别为历史时期站点实测气温和GCMs模拟气温</w:t>
      </w:r>
      <w:r>
        <w:rPr>
          <w:rFonts w:hint="eastAsia"/>
        </w:rPr>
        <w:t>；</w:t>
      </w:r>
      <w:r>
        <w:rPr>
          <w:rFonts w:hint="eastAsia"/>
          <w:i/>
          <w:iCs/>
        </w:rPr>
        <w:t>T</w:t>
      </w:r>
      <w:r>
        <w:rPr>
          <w:i/>
          <w:iCs/>
          <w:vertAlign w:val="subscript"/>
        </w:rPr>
        <w:t>gcms-fu</w:t>
      </w:r>
      <w:r>
        <w:t>为未来时期SSP情景下气温预测值</w:t>
      </w:r>
      <w:r>
        <w:rPr>
          <w:rFonts w:hint="eastAsia"/>
        </w:rPr>
        <w:t>；</w:t>
      </w:r>
      <w:r>
        <w:rPr>
          <w:rFonts w:hint="eastAsia"/>
          <w:i/>
          <w:iCs/>
        </w:rPr>
        <w:t>T</w:t>
      </w:r>
      <w:r>
        <w:rPr>
          <w:i/>
          <w:iCs/>
          <w:vertAlign w:val="subscript"/>
        </w:rPr>
        <w:t>fu</w:t>
      </w:r>
      <w:r>
        <w:t>为降尺度后的未来气温。</w:t>
      </w:r>
    </w:p>
    <w:p>
      <w:pPr>
        <w:pStyle w:val="4"/>
        <w:pageBreakBefore w:val="0"/>
        <w:kinsoku/>
        <w:overflowPunct/>
        <w:autoSpaceDE/>
        <w:autoSpaceDN/>
        <w:bidi w:val="0"/>
        <w:adjustRightInd/>
        <w:spacing w:before="0" w:after="0" w:line="240" w:lineRule="auto"/>
        <w:textAlignment w:val="auto"/>
      </w:pPr>
      <w:r>
        <w:rPr>
          <w:rFonts w:hint="eastAsia"/>
        </w:rPr>
        <w:t>2.3 水文干旱指标</w:t>
      </w:r>
    </w:p>
    <w:p>
      <w:pPr>
        <w:pageBreakBefore w:val="0"/>
        <w:kinsoku/>
        <w:overflowPunct/>
        <w:autoSpaceDE/>
        <w:autoSpaceDN/>
        <w:bidi w:val="0"/>
        <w:adjustRightInd/>
        <w:spacing w:after="0" w:line="240" w:lineRule="auto"/>
        <w:ind w:firstLine="420"/>
        <w:textAlignment w:val="auto"/>
      </w:pPr>
      <w:r>
        <w:rPr>
          <w:rFonts w:hint="eastAsia"/>
        </w:rPr>
        <w:t>水文干旱的评价指标主要有标准化径流指数（</w:t>
      </w:r>
      <w:r>
        <w:rPr>
          <w:i/>
          <w:iCs/>
        </w:rPr>
        <w:t>SRI</w:t>
      </w:r>
      <w:r>
        <w:rPr>
          <w:rFonts w:hint="eastAsia"/>
        </w:rPr>
        <w:t>）、标准流量指数（</w:t>
      </w:r>
      <w:r>
        <w:rPr>
          <w:rFonts w:hint="eastAsia"/>
          <w:i/>
          <w:iCs/>
        </w:rPr>
        <w:t>SDI</w:t>
      </w:r>
      <w:r>
        <w:rPr>
          <w:rFonts w:hint="eastAsia"/>
        </w:rPr>
        <w:t>）、地表水供应指数（</w:t>
      </w:r>
      <w:r>
        <w:rPr>
          <w:rFonts w:hint="eastAsia"/>
          <w:i/>
          <w:iCs/>
        </w:rPr>
        <w:t>SWSI</w:t>
      </w:r>
      <w:r>
        <w:rPr>
          <w:rFonts w:hint="eastAsia"/>
        </w:rPr>
        <w:t>）和植被状况指数（</w:t>
      </w:r>
      <w:r>
        <w:rPr>
          <w:rFonts w:hint="eastAsia"/>
          <w:i/>
          <w:iCs/>
        </w:rPr>
        <w:t>VCI</w:t>
      </w:r>
      <w:r>
        <w:rPr>
          <w:rFonts w:hint="eastAsia"/>
        </w:rPr>
        <w:t>）</w:t>
      </w:r>
      <w:r>
        <w:rPr>
          <w:rStyle w:val="20"/>
          <w:rFonts w:hint="eastAsia"/>
        </w:rPr>
        <w:t>[</w:t>
      </w:r>
      <w:r>
        <w:rPr>
          <w:rStyle w:val="20"/>
          <w:rFonts w:hint="eastAsia"/>
        </w:rPr>
        <w:endnoteReference w:id="25"/>
      </w:r>
      <w:r>
        <w:rPr>
          <w:rStyle w:val="20"/>
          <w:rFonts w:hint="eastAsia"/>
        </w:rPr>
        <w:t>]</w:t>
      </w:r>
      <w:r>
        <w:rPr>
          <w:rFonts w:hint="eastAsia"/>
        </w:rPr>
        <w:t>。本研究采用标准化径流指数（</w:t>
      </w:r>
      <w:r>
        <w:rPr>
          <w:i/>
          <w:iCs/>
        </w:rPr>
        <w:t>SRI</w:t>
      </w:r>
      <w:r>
        <w:rPr>
          <w:rFonts w:hint="eastAsia"/>
        </w:rPr>
        <w:t>）表征水文干旱，并利用游程理论来识别干旱特征。</w:t>
      </w:r>
    </w:p>
    <w:p>
      <w:pPr>
        <w:pageBreakBefore w:val="0"/>
        <w:kinsoku/>
        <w:overflowPunct/>
        <w:autoSpaceDE/>
        <w:autoSpaceDN/>
        <w:bidi w:val="0"/>
        <w:adjustRightInd/>
        <w:spacing w:after="0" w:line="240" w:lineRule="auto"/>
        <w:ind w:firstLine="0" w:firstLineChars="0"/>
        <w:textAlignment w:val="auto"/>
      </w:pPr>
      <w:r>
        <w:rPr>
          <w:rFonts w:hint="eastAsia"/>
        </w:rPr>
        <w:t>2.3.1</w:t>
      </w:r>
      <w:r>
        <w:t>标准化径流指数（</w:t>
      </w:r>
      <w:r>
        <w:rPr>
          <w:i/>
          <w:iCs/>
        </w:rPr>
        <w:t>SRI</w:t>
      </w:r>
      <w:r>
        <w:t>）</w:t>
      </w:r>
    </w:p>
    <w:p>
      <w:pPr>
        <w:pageBreakBefore w:val="0"/>
        <w:kinsoku/>
        <w:overflowPunct/>
        <w:autoSpaceDE/>
        <w:autoSpaceDN/>
        <w:bidi w:val="0"/>
        <w:adjustRightInd/>
        <w:spacing w:after="0" w:line="240" w:lineRule="auto"/>
        <w:ind w:firstLine="420"/>
        <w:textAlignment w:val="auto"/>
      </w:pPr>
      <w:r>
        <w:t>标准化径流指数（</w:t>
      </w:r>
      <w:r>
        <w:rPr>
          <w:i/>
          <w:iCs/>
        </w:rPr>
        <w:t>SRI</w:t>
      </w:r>
      <w:r>
        <w:t>）的基础资料为水文监测断面的月累计径流。本研究标准化径流指数选用Gamma函数来拟合月累计径流</w:t>
      </w:r>
      <w:r>
        <w:rPr>
          <w:rFonts w:hint="eastAsia"/>
        </w:rPr>
        <w:t>以统计年尺度</w:t>
      </w:r>
      <w:r>
        <w:rPr>
          <w:rFonts w:eastAsia="宋体" w:cs="Times New Roman"/>
          <w:i/>
          <w:iCs/>
        </w:rPr>
        <w:t>SRI</w:t>
      </w:r>
      <w:r>
        <w:rPr>
          <w:rFonts w:hint="eastAsia" w:ascii="宋体" w:hAnsi="宋体" w:eastAsia="宋体" w:cs="宋体"/>
        </w:rPr>
        <w:t>,</w:t>
      </w:r>
      <w:r>
        <w:t>采用国家气象干旱等级标准来划分干旱的等级</w:t>
      </w:r>
      <w:r>
        <w:rPr>
          <w:rFonts w:hint="eastAsia"/>
        </w:rPr>
        <w:t>，具体划分情况如表1所列。</w:t>
      </w:r>
    </w:p>
    <w:p>
      <w:pPr>
        <w:pStyle w:val="30"/>
        <w:pageBreakBefore w:val="0"/>
        <w:kinsoku/>
        <w:overflowPunct/>
        <w:autoSpaceDE/>
        <w:autoSpaceDN/>
        <w:bidi w:val="0"/>
        <w:adjustRightInd/>
        <w:spacing w:before="0" w:after="0" w:line="240" w:lineRule="auto"/>
        <w:textAlignment w:val="auto"/>
      </w:pPr>
      <w:r>
        <w:t xml:space="preserve">表1 </w:t>
      </w:r>
      <w:r>
        <w:rPr>
          <w:i/>
          <w:iCs/>
        </w:rPr>
        <w:t>SRI</w:t>
      </w:r>
      <w:r>
        <w:t>干旱等级</w:t>
      </w:r>
      <w:r>
        <w:rPr>
          <w:rFonts w:hint="eastAsia"/>
        </w:rPr>
        <w:t>划分</w:t>
      </w:r>
    </w:p>
    <w:p>
      <w:pPr>
        <w:pageBreakBefore w:val="0"/>
        <w:kinsoku/>
        <w:overflowPunct/>
        <w:autoSpaceDE/>
        <w:autoSpaceDN/>
        <w:bidi w:val="0"/>
        <w:adjustRightInd/>
        <w:spacing w:after="0" w:line="240" w:lineRule="auto"/>
        <w:ind w:firstLine="0" w:firstLineChars="0"/>
        <w:jc w:val="center"/>
        <w:textAlignment w:val="auto"/>
      </w:pPr>
      <w:r>
        <w:rPr>
          <w:sz w:val="18"/>
        </w:rPr>
        <w:t>Table</w:t>
      </w:r>
      <w:r>
        <w:rPr>
          <w:rFonts w:hint="eastAsia"/>
          <w:sz w:val="18"/>
        </w:rPr>
        <w:t xml:space="preserve"> </w:t>
      </w:r>
      <w:r>
        <w:rPr>
          <w:sz w:val="18"/>
        </w:rPr>
        <w:t xml:space="preserve">1 </w:t>
      </w:r>
      <w:r>
        <w:rPr>
          <w:rFonts w:hint="eastAsia"/>
          <w:sz w:val="18"/>
          <w:lang w:val="en-US" w:eastAsia="zh-CN"/>
        </w:rPr>
        <w:t>C</w:t>
      </w:r>
      <w:r>
        <w:rPr>
          <w:sz w:val="18"/>
        </w:rPr>
        <w:t xml:space="preserve">lassification </w:t>
      </w:r>
      <w:r>
        <w:rPr>
          <w:rFonts w:hint="eastAsia"/>
          <w:sz w:val="18"/>
          <w:lang w:val="en-US" w:eastAsia="zh-CN"/>
        </w:rPr>
        <w:t xml:space="preserve">of </w:t>
      </w:r>
      <w:r>
        <w:rPr>
          <w:i/>
          <w:iCs/>
          <w:sz w:val="18"/>
        </w:rPr>
        <w:t>SRI</w:t>
      </w:r>
      <w:r>
        <w:rPr>
          <w:sz w:val="18"/>
        </w:rPr>
        <w:t xml:space="preserve"> </w:t>
      </w:r>
      <w:r>
        <w:rPr>
          <w:rFonts w:hint="eastAsia"/>
          <w:sz w:val="18"/>
        </w:rPr>
        <w:t>d</w:t>
      </w:r>
      <w:r>
        <w:rPr>
          <w:sz w:val="18"/>
        </w:rPr>
        <w:t>rought</w:t>
      </w:r>
      <w:r>
        <w:rPr>
          <w:rFonts w:hint="eastAsia"/>
          <w:sz w:val="18"/>
          <w:lang w:val="en-US" w:eastAsia="zh-CN"/>
        </w:rPr>
        <w:t xml:space="preserve"> severity</w:t>
      </w:r>
    </w:p>
    <w:tbl>
      <w:tblPr>
        <w:tblStyle w:val="17"/>
        <w:tblW w:w="4842" w:type="pct"/>
        <w:tblInd w:w="1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82"/>
        <w:gridCol w:w="44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1" w:type="pct"/>
            <w:tcBorders>
              <w:left w:val="nil"/>
              <w:bottom w:val="single" w:color="auto" w:sz="4" w:space="0"/>
              <w:right w:val="nil"/>
            </w:tcBorders>
          </w:tcPr>
          <w:p>
            <w:pPr>
              <w:pStyle w:val="29"/>
              <w:pageBreakBefore w:val="0"/>
              <w:kinsoku/>
              <w:overflowPunct/>
              <w:autoSpaceDE/>
              <w:autoSpaceDN/>
              <w:bidi w:val="0"/>
              <w:adjustRightInd/>
              <w:spacing w:after="0" w:line="240" w:lineRule="auto"/>
              <w:textAlignment w:val="auto"/>
            </w:pPr>
            <w:r>
              <w:t>干旱等级</w:t>
            </w:r>
          </w:p>
        </w:tc>
        <w:tc>
          <w:tcPr>
            <w:tcW w:w="2708" w:type="pct"/>
            <w:tcBorders>
              <w:left w:val="nil"/>
              <w:bottom w:val="single" w:color="auto" w:sz="4" w:space="0"/>
              <w:right w:val="nil"/>
            </w:tcBorders>
          </w:tcPr>
          <w:p>
            <w:pPr>
              <w:pStyle w:val="29"/>
              <w:pageBreakBefore w:val="0"/>
              <w:kinsoku/>
              <w:overflowPunct/>
              <w:autoSpaceDE/>
              <w:autoSpaceDN/>
              <w:bidi w:val="0"/>
              <w:adjustRightInd/>
              <w:spacing w:after="0" w:line="240" w:lineRule="auto"/>
              <w:textAlignment w:val="auto"/>
            </w:pPr>
            <w:r>
              <w:rPr>
                <w:i/>
                <w:iCs/>
              </w:rPr>
              <w:t>SRI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1" w:type="pct"/>
            <w:tcBorders>
              <w:top w:val="single" w:color="auto" w:sz="4" w:space="0"/>
              <w:left w:val="nil"/>
              <w:bottom w:val="nil"/>
              <w:right w:val="nil"/>
            </w:tcBorders>
          </w:tcPr>
          <w:p>
            <w:pPr>
              <w:pStyle w:val="29"/>
              <w:pageBreakBefore w:val="0"/>
              <w:kinsoku/>
              <w:overflowPunct/>
              <w:autoSpaceDE/>
              <w:autoSpaceDN/>
              <w:bidi w:val="0"/>
              <w:adjustRightInd/>
              <w:spacing w:after="0" w:line="240" w:lineRule="auto"/>
              <w:textAlignment w:val="auto"/>
            </w:pPr>
            <w:r>
              <w:t>正常</w:t>
            </w:r>
          </w:p>
        </w:tc>
        <w:tc>
          <w:tcPr>
            <w:tcW w:w="2708" w:type="pct"/>
            <w:tcBorders>
              <w:top w:val="single" w:color="auto" w:sz="4" w:space="0"/>
              <w:left w:val="nil"/>
              <w:bottom w:val="nil"/>
              <w:right w:val="nil"/>
            </w:tcBorders>
          </w:tcPr>
          <w:p>
            <w:pPr>
              <w:pStyle w:val="29"/>
              <w:pageBreakBefore w:val="0"/>
              <w:kinsoku/>
              <w:overflowPunct/>
              <w:autoSpaceDE/>
              <w:autoSpaceDN/>
              <w:bidi w:val="0"/>
              <w:adjustRightInd/>
              <w:spacing w:after="0" w:line="240" w:lineRule="auto"/>
              <w:textAlignment w:val="auto"/>
            </w:pPr>
            <w:r>
              <w:t xml:space="preserve">-0.5 &lt; </w:t>
            </w:r>
            <w:r>
              <w:rPr>
                <w:i/>
                <w:iCs/>
              </w:rPr>
              <w:t>SRI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1" w:type="pct"/>
            <w:tcBorders>
              <w:top w:val="nil"/>
              <w:left w:val="nil"/>
              <w:bottom w:val="nil"/>
              <w:right w:val="nil"/>
            </w:tcBorders>
          </w:tcPr>
          <w:p>
            <w:pPr>
              <w:pStyle w:val="29"/>
              <w:pageBreakBefore w:val="0"/>
              <w:kinsoku/>
              <w:overflowPunct/>
              <w:autoSpaceDE/>
              <w:autoSpaceDN/>
              <w:bidi w:val="0"/>
              <w:adjustRightInd/>
              <w:spacing w:after="0" w:line="240" w:lineRule="auto"/>
              <w:textAlignment w:val="auto"/>
            </w:pPr>
            <w:r>
              <w:t>轻旱</w:t>
            </w:r>
          </w:p>
        </w:tc>
        <w:tc>
          <w:tcPr>
            <w:tcW w:w="2708" w:type="pct"/>
            <w:tcBorders>
              <w:top w:val="nil"/>
              <w:left w:val="nil"/>
              <w:bottom w:val="nil"/>
              <w:right w:val="nil"/>
            </w:tcBorders>
          </w:tcPr>
          <w:p>
            <w:pPr>
              <w:pStyle w:val="29"/>
              <w:pageBreakBefore w:val="0"/>
              <w:kinsoku/>
              <w:overflowPunct/>
              <w:autoSpaceDE/>
              <w:autoSpaceDN/>
              <w:bidi w:val="0"/>
              <w:adjustRightInd/>
              <w:spacing w:after="0" w:line="240" w:lineRule="auto"/>
              <w:textAlignment w:val="auto"/>
            </w:pPr>
            <w:r>
              <w:t xml:space="preserve">-1.0 &lt; </w:t>
            </w:r>
            <w:r>
              <w:rPr>
                <w:i/>
                <w:iCs/>
              </w:rPr>
              <w:t>SRI</w:t>
            </w:r>
            <m:oMath>
              <m:r>
                <m:rPr>
                  <m:sty m:val="p"/>
                </m:rPr>
                <w:rPr>
                  <w:rFonts w:ascii="Cambria Math" w:hAnsi="Cambria Math"/>
                </w:rPr>
                <m:t>≤</m:t>
              </m:r>
            </m:oMath>
            <w:r>
              <w:t xml:space="preserve"> -0.5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91" w:type="pct"/>
            <w:tcBorders>
              <w:top w:val="nil"/>
              <w:left w:val="nil"/>
              <w:bottom w:val="nil"/>
              <w:right w:val="nil"/>
            </w:tcBorders>
          </w:tcPr>
          <w:p>
            <w:pPr>
              <w:pStyle w:val="29"/>
              <w:pageBreakBefore w:val="0"/>
              <w:kinsoku/>
              <w:overflowPunct/>
              <w:autoSpaceDE/>
              <w:autoSpaceDN/>
              <w:bidi w:val="0"/>
              <w:adjustRightInd/>
              <w:spacing w:after="0" w:line="240" w:lineRule="auto"/>
              <w:textAlignment w:val="auto"/>
            </w:pPr>
            <w:r>
              <w:t>中旱</w:t>
            </w:r>
          </w:p>
        </w:tc>
        <w:tc>
          <w:tcPr>
            <w:tcW w:w="2708" w:type="pct"/>
            <w:tcBorders>
              <w:top w:val="nil"/>
              <w:left w:val="nil"/>
              <w:bottom w:val="nil"/>
              <w:right w:val="nil"/>
            </w:tcBorders>
          </w:tcPr>
          <w:p>
            <w:pPr>
              <w:pStyle w:val="29"/>
              <w:pageBreakBefore w:val="0"/>
              <w:kinsoku/>
              <w:overflowPunct/>
              <w:autoSpaceDE/>
              <w:autoSpaceDN/>
              <w:bidi w:val="0"/>
              <w:adjustRightInd/>
              <w:spacing w:after="0" w:line="240" w:lineRule="auto"/>
              <w:textAlignment w:val="auto"/>
            </w:pPr>
            <w:r>
              <w:t xml:space="preserve">-1.5 &lt; </w:t>
            </w:r>
            <w:r>
              <w:rPr>
                <w:i/>
                <w:iCs/>
              </w:rPr>
              <w:t>SRI</w:t>
            </w:r>
            <m:oMath>
              <m:r>
                <m:rPr>
                  <m:sty m:val="p"/>
                </m:rPr>
                <w:rPr>
                  <w:rFonts w:ascii="Cambria Math" w:hAnsi="Cambria Math"/>
                </w:rPr>
                <m:t>≤</m:t>
              </m:r>
            </m:oMath>
            <w:r>
              <w:t xml:space="preserve"> -1.0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1" w:type="pct"/>
            <w:tcBorders>
              <w:top w:val="nil"/>
              <w:left w:val="nil"/>
              <w:bottom w:val="nil"/>
              <w:right w:val="nil"/>
            </w:tcBorders>
          </w:tcPr>
          <w:p>
            <w:pPr>
              <w:pStyle w:val="29"/>
              <w:pageBreakBefore w:val="0"/>
              <w:kinsoku/>
              <w:overflowPunct/>
              <w:autoSpaceDE/>
              <w:autoSpaceDN/>
              <w:bidi w:val="0"/>
              <w:adjustRightInd/>
              <w:spacing w:after="0" w:line="240" w:lineRule="auto"/>
              <w:textAlignment w:val="auto"/>
            </w:pPr>
            <w:r>
              <w:t>重旱</w:t>
            </w:r>
          </w:p>
        </w:tc>
        <w:tc>
          <w:tcPr>
            <w:tcW w:w="2708" w:type="pct"/>
            <w:tcBorders>
              <w:top w:val="nil"/>
              <w:left w:val="nil"/>
              <w:bottom w:val="nil"/>
              <w:right w:val="nil"/>
            </w:tcBorders>
          </w:tcPr>
          <w:p>
            <w:pPr>
              <w:pStyle w:val="29"/>
              <w:pageBreakBefore w:val="0"/>
              <w:kinsoku/>
              <w:overflowPunct/>
              <w:autoSpaceDE/>
              <w:autoSpaceDN/>
              <w:bidi w:val="0"/>
              <w:adjustRightInd/>
              <w:spacing w:after="0" w:line="240" w:lineRule="auto"/>
              <w:textAlignment w:val="auto"/>
            </w:pPr>
            <w:r>
              <w:t xml:space="preserve">-2 &lt; </w:t>
            </w:r>
            <w:r>
              <w:rPr>
                <w:i/>
                <w:iCs/>
              </w:rPr>
              <w:t>SRI</w:t>
            </w:r>
            <w:r>
              <w:t xml:space="preserve"> </w:t>
            </w:r>
            <m:oMath>
              <m:r>
                <m:rPr>
                  <m:sty m:val="p"/>
                </m:rPr>
                <w:rPr>
                  <w:rFonts w:ascii="Cambria Math" w:hAnsi="Cambria Math"/>
                </w:rPr>
                <m:t>≤</m:t>
              </m:r>
            </m:oMath>
            <w:r>
              <w:t xml:space="preserve"> -1.5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1" w:type="pct"/>
            <w:tcBorders>
              <w:top w:val="nil"/>
              <w:left w:val="nil"/>
              <w:right w:val="nil"/>
            </w:tcBorders>
          </w:tcPr>
          <w:p>
            <w:pPr>
              <w:pStyle w:val="29"/>
              <w:pageBreakBefore w:val="0"/>
              <w:kinsoku/>
              <w:overflowPunct/>
              <w:autoSpaceDE/>
              <w:autoSpaceDN/>
              <w:bidi w:val="0"/>
              <w:adjustRightInd/>
              <w:spacing w:after="0" w:line="240" w:lineRule="auto"/>
              <w:textAlignment w:val="auto"/>
            </w:pPr>
            <w:r>
              <w:t>极旱</w:t>
            </w:r>
          </w:p>
        </w:tc>
        <w:tc>
          <w:tcPr>
            <w:tcW w:w="2708" w:type="pct"/>
            <w:tcBorders>
              <w:top w:val="nil"/>
              <w:left w:val="nil"/>
              <w:right w:val="nil"/>
            </w:tcBorders>
          </w:tcPr>
          <w:p>
            <w:pPr>
              <w:pStyle w:val="29"/>
              <w:pageBreakBefore w:val="0"/>
              <w:kinsoku/>
              <w:overflowPunct/>
              <w:autoSpaceDE/>
              <w:autoSpaceDN/>
              <w:bidi w:val="0"/>
              <w:adjustRightInd/>
              <w:spacing w:after="0" w:line="240" w:lineRule="auto"/>
              <w:textAlignment w:val="auto"/>
            </w:pPr>
            <w:r>
              <w:rPr>
                <w:i/>
                <w:iCs/>
              </w:rPr>
              <w:t>SRI</w:t>
            </w:r>
            <w:r>
              <w:t xml:space="preserve"> </w:t>
            </w:r>
            <m:oMath>
              <m:r>
                <m:rPr>
                  <m:sty m:val="p"/>
                </m:rPr>
                <w:rPr>
                  <w:rFonts w:ascii="Cambria Math" w:hAnsi="Cambria Math"/>
                </w:rPr>
                <m:t>≤</m:t>
              </m:r>
            </m:oMath>
            <w:r>
              <w:t xml:space="preserve"> -2</w:t>
            </w:r>
          </w:p>
        </w:tc>
      </w:tr>
    </w:tbl>
    <w:p>
      <w:pPr>
        <w:pageBreakBefore w:val="0"/>
        <w:kinsoku/>
        <w:overflowPunct/>
        <w:autoSpaceDE/>
        <w:autoSpaceDN/>
        <w:bidi w:val="0"/>
        <w:adjustRightInd/>
        <w:spacing w:after="0" w:line="240" w:lineRule="auto"/>
        <w:ind w:firstLine="0" w:firstLineChars="0"/>
        <w:textAlignment w:val="auto"/>
      </w:pPr>
      <w:r>
        <w:rPr>
          <w:rFonts w:hint="eastAsia"/>
        </w:rPr>
        <w:t>2.3.2</w:t>
      </w:r>
      <w:r>
        <w:t>游程理论</w:t>
      </w:r>
    </w:p>
    <w:p>
      <w:pPr>
        <w:pageBreakBefore w:val="0"/>
        <w:kinsoku/>
        <w:overflowPunct/>
        <w:autoSpaceDE/>
        <w:autoSpaceDN/>
        <w:bidi w:val="0"/>
        <w:adjustRightInd/>
        <w:spacing w:after="0" w:line="240" w:lineRule="auto"/>
        <w:ind w:firstLine="420"/>
        <w:textAlignment w:val="auto"/>
      </w:pPr>
      <w:r>
        <w:t>游程理论</w:t>
      </w:r>
      <w:r>
        <w:rPr>
          <w:rFonts w:hint="eastAsia"/>
        </w:rPr>
        <w:t>是</w:t>
      </w:r>
      <w:r>
        <w:t>干旱事件识别与特征</w:t>
      </w:r>
      <w:r>
        <w:rPr>
          <w:rFonts w:hint="eastAsia"/>
        </w:rPr>
        <w:t>分析</w:t>
      </w:r>
      <w:r>
        <w:t>的核心方法，</w:t>
      </w:r>
      <w:r>
        <w:rPr>
          <w:rFonts w:hint="eastAsia"/>
        </w:rPr>
        <w:t>其</w:t>
      </w:r>
      <w:r>
        <w:t>基于时间序列分析原理，设定截断阈值，将干旱过程量化为连续低于阈值的负游程</w:t>
      </w:r>
      <w:r>
        <w:rPr>
          <w:rStyle w:val="20"/>
          <w:rFonts w:hint="eastAsia"/>
        </w:rPr>
        <w:t>[</w:t>
      </w:r>
      <w:r>
        <w:rPr>
          <w:rStyle w:val="20"/>
          <w:rFonts w:hint="eastAsia"/>
        </w:rPr>
        <w:endnoteReference w:id="26"/>
      </w:r>
      <w:r>
        <w:rPr>
          <w:rStyle w:val="20"/>
          <w:rFonts w:hint="eastAsia"/>
        </w:rPr>
        <w:t>]</w:t>
      </w:r>
      <w:r>
        <w:rPr>
          <w:rFonts w:hint="eastAsia"/>
        </w:rPr>
        <w:t>，</w:t>
      </w:r>
      <w:r>
        <w:t>直至</w:t>
      </w:r>
      <w:r>
        <w:rPr>
          <w:rFonts w:hint="eastAsia"/>
        </w:rPr>
        <w:t>序列值</w:t>
      </w:r>
      <w:r>
        <w:t>回升超过阈值</w:t>
      </w:r>
      <w:r>
        <w:rPr>
          <w:rFonts w:hint="eastAsia"/>
        </w:rPr>
        <w:t>则</w:t>
      </w:r>
      <w:r>
        <w:t>标志干旱事件结束。</w:t>
      </w:r>
      <w:r>
        <w:rPr>
          <w:rFonts w:hint="eastAsia"/>
        </w:rPr>
        <w:t>研究</w:t>
      </w:r>
      <w:r>
        <w:t>基于游程理论，</w:t>
      </w:r>
      <w:r>
        <w:rPr>
          <w:rFonts w:hint="eastAsia"/>
        </w:rPr>
        <w:t>采用-0.5为截断阈值</w:t>
      </w:r>
      <w:r>
        <w:t>识别干旱事件</w:t>
      </w:r>
      <w:r>
        <w:rPr>
          <w:rStyle w:val="20"/>
          <w:rFonts w:hint="eastAsia"/>
        </w:rPr>
        <w:t>[</w:t>
      </w:r>
      <w:r>
        <w:rPr>
          <w:rStyle w:val="20"/>
          <w:rFonts w:hint="eastAsia"/>
        </w:rPr>
        <w:endnoteReference w:id="27"/>
      </w:r>
      <w:r>
        <w:rPr>
          <w:vertAlign w:val="superscript"/>
          <w:lang w:val="en"/>
        </w:rPr>
        <w:t>-</w:t>
      </w:r>
      <w:r>
        <w:rPr>
          <w:vanish/>
          <w:lang w:val="en"/>
        </w:rPr>
        <w:t>--</w:t>
      </w:r>
      <w:r>
        <w:rPr>
          <w:rStyle w:val="20"/>
          <w:rFonts w:hint="eastAsia"/>
          <w:vanish/>
        </w:rPr>
        <w:t>[</w:t>
      </w:r>
      <w:r>
        <w:rPr>
          <w:rStyle w:val="20"/>
          <w:rFonts w:hint="eastAsia"/>
        </w:rPr>
        <w:endnoteReference w:id="28"/>
      </w:r>
      <w:r>
        <w:rPr>
          <w:rStyle w:val="20"/>
          <w:rFonts w:hint="eastAsia"/>
        </w:rPr>
        <w:t>]</w:t>
      </w:r>
      <w:r>
        <w:rPr>
          <w:rFonts w:hint="eastAsia"/>
        </w:rPr>
        <w:t>，并从水文干旱频率、平均干旱历时及水文干旱烈度三个方面</w:t>
      </w:r>
      <w:r>
        <w:t>分析</w:t>
      </w:r>
      <w:r>
        <w:rPr>
          <w:rFonts w:hint="eastAsia"/>
        </w:rPr>
        <w:t>其特征</w:t>
      </w:r>
      <w:r>
        <w:t>。</w:t>
      </w:r>
    </w:p>
    <w:p>
      <w:pPr>
        <w:pageBreakBefore w:val="0"/>
        <w:kinsoku/>
        <w:overflowPunct/>
        <w:autoSpaceDE/>
        <w:autoSpaceDN/>
        <w:bidi w:val="0"/>
        <w:adjustRightInd/>
        <w:spacing w:after="0" w:line="240" w:lineRule="auto"/>
        <w:ind w:firstLine="420"/>
        <w:textAlignment w:val="auto"/>
      </w:pPr>
      <w:r>
        <w:rPr>
          <w:rFonts w:hint="eastAsia"/>
        </w:rPr>
        <w:t>水文干旱频率反映干旱发生的频繁程度，通常以单位时间内发生的干旱事件次数表示，计算公式为</w:t>
      </w:r>
    </w:p>
    <w:p>
      <w:pPr>
        <w:pageBreakBefore w:val="0"/>
        <w:tabs>
          <w:tab w:val="left" w:pos="3780"/>
          <w:tab w:val="left" w:pos="7560"/>
        </w:tabs>
        <w:kinsoku/>
        <w:overflowPunct/>
        <w:autoSpaceDE/>
        <w:autoSpaceDN/>
        <w:bidi w:val="0"/>
        <w:adjustRightInd/>
        <w:spacing w:after="0" w:line="240" w:lineRule="auto"/>
        <w:ind w:firstLine="0" w:firstLineChars="0"/>
        <w:textAlignment w:val="auto"/>
      </w:pPr>
      <w:r>
        <w:rPr>
          <w:rFonts w:hint="eastAsia" w:hAnsi="Cambria Math"/>
          <w:iCs/>
        </w:rPr>
        <w:tab/>
      </w:r>
      <m:oMath>
        <m:r>
          <m:rPr/>
          <w:rPr>
            <w:rFonts w:ascii="Cambria Math" w:hAnsi="Cambria Math"/>
          </w:rPr>
          <m:t>F=</m:t>
        </m:r>
        <m:f>
          <m:fPr>
            <m:ctrlPr>
              <w:rPr>
                <w:rFonts w:ascii="Cambria Math" w:hAnsi="Cambria Math"/>
                <w:i/>
                <w:iCs/>
              </w:rPr>
            </m:ctrlPr>
          </m:fPr>
          <m:num>
            <m:r>
              <m:rPr/>
              <w:rPr>
                <w:rFonts w:ascii="Cambria Math" w:hAnsi="Cambria Math"/>
              </w:rPr>
              <m:t>N</m:t>
            </m:r>
            <m:ctrlPr>
              <w:rPr>
                <w:rFonts w:ascii="Cambria Math" w:hAnsi="Cambria Math"/>
                <w:i/>
                <w:iCs/>
              </w:rPr>
            </m:ctrlPr>
          </m:num>
          <m:den>
            <m:r>
              <m:rPr/>
              <w:rPr>
                <w:rFonts w:ascii="Cambria Math" w:hAnsi="Cambria Math"/>
              </w:rPr>
              <m:t>T</m:t>
            </m:r>
            <m:ctrlPr>
              <w:rPr>
                <w:rFonts w:ascii="Cambria Math" w:hAnsi="Cambria Math"/>
                <w:i/>
                <w:iCs/>
              </w:rPr>
            </m:ctrlPr>
          </m:den>
        </m:f>
      </m:oMath>
      <w:r>
        <w:rPr>
          <w:rFonts w:hint="eastAsia" w:hAnsi="Cambria Math"/>
          <w:iCs/>
        </w:rPr>
        <w:tab/>
      </w:r>
      <w:r>
        <w:rPr>
          <w:rFonts w:hint="eastAsia"/>
        </w:rPr>
        <w:t>（3）</w:t>
      </w:r>
    </w:p>
    <w:p>
      <w:pPr>
        <w:pageBreakBefore w:val="0"/>
        <w:kinsoku/>
        <w:overflowPunct/>
        <w:autoSpaceDE/>
        <w:autoSpaceDN/>
        <w:bidi w:val="0"/>
        <w:adjustRightInd/>
        <w:spacing w:after="0" w:line="240" w:lineRule="auto"/>
        <w:ind w:firstLine="0" w:firstLineChars="0"/>
        <w:textAlignment w:val="auto"/>
      </w:pPr>
      <w:r>
        <w:rPr>
          <w:rFonts w:hint="eastAsia"/>
        </w:rPr>
        <w:t>式中，</w:t>
      </w:r>
      <w:r>
        <w:rPr>
          <w:rFonts w:hint="eastAsia"/>
          <w:i/>
          <w:iCs/>
        </w:rPr>
        <w:t>N</w:t>
      </w:r>
      <w:r>
        <w:rPr>
          <w:rFonts w:hint="eastAsia"/>
        </w:rPr>
        <w:t>为干旱事件总数；</w:t>
      </w:r>
      <w:r>
        <w:rPr>
          <w:rFonts w:hint="eastAsia"/>
          <w:i/>
          <w:iCs/>
        </w:rPr>
        <w:t>T</w:t>
      </w:r>
      <w:r>
        <w:rPr>
          <w:rFonts w:hint="eastAsia"/>
        </w:rPr>
        <w:t>为研究时段总年数。</w:t>
      </w:r>
    </w:p>
    <w:p>
      <w:pPr>
        <w:pageBreakBefore w:val="0"/>
        <w:kinsoku/>
        <w:overflowPunct/>
        <w:autoSpaceDE/>
        <w:autoSpaceDN/>
        <w:bidi w:val="0"/>
        <w:adjustRightInd/>
        <w:spacing w:after="0" w:line="240" w:lineRule="auto"/>
        <w:ind w:firstLine="420"/>
        <w:textAlignment w:val="auto"/>
      </w:pPr>
      <w:r>
        <w:rPr>
          <w:rFonts w:hint="eastAsia"/>
        </w:rPr>
        <w:t>平均干旱历时表示干旱事件的平均持续时长，历时越长，对区域水资源和生态环境的累积影响越大，计算公式为</w:t>
      </w:r>
    </w:p>
    <w:p>
      <w:pPr>
        <w:pageBreakBefore w:val="0"/>
        <w:tabs>
          <w:tab w:val="left" w:pos="3360"/>
          <w:tab w:val="left" w:pos="7560"/>
        </w:tabs>
        <w:kinsoku/>
        <w:overflowPunct/>
        <w:autoSpaceDE/>
        <w:autoSpaceDN/>
        <w:bidi w:val="0"/>
        <w:adjustRightInd/>
        <w:spacing w:after="0" w:line="240" w:lineRule="auto"/>
        <w:ind w:firstLine="0" w:firstLineChars="0"/>
        <w:textAlignment w:val="auto"/>
      </w:pPr>
      <w:r>
        <w:rPr>
          <w:rFonts w:hint="eastAsia" w:hAnsi="Cambria Math"/>
        </w:rPr>
        <w:tab/>
      </w:r>
      <m:oMath>
        <m:sSub>
          <m:sSubPr>
            <m:ctrlPr>
              <w:rPr>
                <w:rFonts w:ascii="Cambria Math" w:hAnsi="Cambria Math"/>
                <w:i/>
              </w:rPr>
            </m:ctrlPr>
          </m:sSubPr>
          <m:e>
            <m:r>
              <m:rPr/>
              <w:rPr>
                <w:rFonts w:ascii="Cambria Math" w:hAnsi="Cambria Math"/>
              </w:rPr>
              <m:t>D</m:t>
            </m:r>
            <m:ctrlPr>
              <w:rPr>
                <w:rFonts w:ascii="Cambria Math" w:hAnsi="Cambria Math"/>
                <w:i/>
              </w:rPr>
            </m:ctrlPr>
          </m:e>
          <m:sub>
            <m:r>
              <m:rPr/>
              <w:rPr>
                <w:rFonts w:ascii="Cambria Math" w:hAnsi="Cambria Math"/>
              </w:rPr>
              <m:t>avg</m:t>
            </m:r>
            <m:ctrlPr>
              <w:rPr>
                <w:rFonts w:ascii="Cambria Math" w:hAnsi="Cambria Math"/>
                <w:i/>
              </w:rPr>
            </m:ctrlPr>
          </m:sub>
        </m:sSub>
        <m:r>
          <m:rPr/>
          <w:rPr>
            <w:rFonts w:ascii="Cambria Math" w:hAnsi="Cambria Math"/>
          </w:rPr>
          <m:t>=</m:t>
        </m:r>
        <m:f>
          <m:fPr>
            <m:ctrlPr>
              <w:rPr>
                <w:rFonts w:ascii="Cambria Math" w:hAnsi="Cambria Math"/>
                <w:i/>
              </w:rPr>
            </m:ctrlPr>
          </m:fPr>
          <m:num>
            <m:r>
              <m:rPr/>
              <w:rPr>
                <w:rFonts w:ascii="Cambria Math" w:hAnsi="Cambria Math"/>
              </w:rPr>
              <m:t>1</m:t>
            </m:r>
            <m:ctrlPr>
              <w:rPr>
                <w:rFonts w:ascii="Cambria Math" w:hAnsi="Cambria Math"/>
                <w:i/>
              </w:rPr>
            </m:ctrlPr>
          </m:num>
          <m:den>
            <m:r>
              <m:rPr/>
              <w:rPr>
                <w:rFonts w:ascii="Cambria Math" w:hAnsi="Cambria Math"/>
              </w:rPr>
              <m:t>N</m:t>
            </m:r>
            <m:ctrlPr>
              <w:rPr>
                <w:rFonts w:ascii="Cambria Math" w:hAnsi="Cambria Math"/>
                <w:i/>
              </w:rPr>
            </m:ctrlPr>
          </m:den>
        </m:f>
        <m:nary>
          <m:naryPr>
            <m:chr m:val="∑"/>
            <m:limLoc m:val="undOvr"/>
            <m:ctrlPr>
              <w:rPr>
                <w:rFonts w:ascii="Cambria Math" w:hAnsi="Cambria Math"/>
                <w:i/>
              </w:rPr>
            </m:ctrlPr>
          </m:naryPr>
          <m:sub>
            <m:r>
              <m:rPr/>
              <w:rPr>
                <w:rFonts w:ascii="Cambria Math" w:hAnsi="Cambria Math"/>
              </w:rPr>
              <m:t>i=1</m:t>
            </m:r>
            <m:ctrlPr>
              <w:rPr>
                <w:rFonts w:ascii="Cambria Math" w:hAnsi="Cambria Math"/>
                <w:i/>
              </w:rPr>
            </m:ctrlPr>
          </m:sub>
          <m:sup>
            <m:sSub>
              <m:sSubPr>
                <m:ctrlPr>
                  <w:rPr>
                    <w:rFonts w:ascii="Cambria Math" w:hAnsi="Cambria Math"/>
                    <w:i/>
                  </w:rPr>
                </m:ctrlPr>
              </m:sSubPr>
              <m:e>
                <m:r>
                  <m:rPr/>
                  <w:rPr>
                    <w:rFonts w:ascii="Cambria Math" w:hAnsi="Cambria Math"/>
                  </w:rPr>
                  <m:t>D</m:t>
                </m:r>
                <m:ctrlPr>
                  <w:rPr>
                    <w:rFonts w:ascii="Cambria Math" w:hAnsi="Cambria Math"/>
                    <w:i/>
                  </w:rPr>
                </m:ctrlPr>
              </m:e>
              <m:sub>
                <m:r>
                  <m:rPr/>
                  <w:rPr>
                    <w:rFonts w:ascii="Cambria Math" w:hAnsi="Cambria Math"/>
                  </w:rPr>
                  <m:t>i</m:t>
                </m:r>
                <m:ctrlPr>
                  <w:rPr>
                    <w:rFonts w:ascii="Cambria Math" w:hAnsi="Cambria Math"/>
                    <w:i/>
                  </w:rPr>
                </m:ctrlPr>
              </m:sub>
            </m:sSub>
            <m:ctrlPr>
              <w:rPr>
                <w:rFonts w:ascii="Cambria Math" w:hAnsi="Cambria Math"/>
                <w:i/>
              </w:rPr>
            </m:ctrlPr>
          </m:sup>
          <m:e>
            <m:sSub>
              <m:sSubPr>
                <m:ctrlPr>
                  <w:rPr>
                    <w:rFonts w:ascii="Cambria Math" w:hAnsi="Cambria Math"/>
                    <w:i/>
                  </w:rPr>
                </m:ctrlPr>
              </m:sSubPr>
              <m:e>
                <m:r>
                  <m:rPr/>
                  <w:rPr>
                    <w:rFonts w:ascii="Cambria Math" w:hAnsi="Cambria Math"/>
                  </w:rPr>
                  <m:t>D</m:t>
                </m:r>
                <m:ctrlPr>
                  <w:rPr>
                    <w:rFonts w:ascii="Cambria Math" w:hAnsi="Cambria Math"/>
                    <w:i/>
                  </w:rPr>
                </m:ctrlPr>
              </m:e>
              <m:sub>
                <m:r>
                  <m:rPr/>
                  <w:rPr>
                    <w:rFonts w:ascii="Cambria Math" w:hAnsi="Cambria Math"/>
                  </w:rPr>
                  <m:t>i</m:t>
                </m:r>
                <m:ctrlPr>
                  <w:rPr>
                    <w:rFonts w:ascii="Cambria Math" w:hAnsi="Cambria Math"/>
                    <w:i/>
                  </w:rPr>
                </m:ctrlPr>
              </m:sub>
            </m:sSub>
            <m:ctrlPr>
              <w:rPr>
                <w:rFonts w:ascii="Cambria Math" w:hAnsi="Cambria Math"/>
                <w:i/>
              </w:rPr>
            </m:ctrlPr>
          </m:e>
        </m:nary>
      </m:oMath>
      <w:r>
        <w:rPr>
          <w:rFonts w:hint="eastAsia" w:hAnsi="Cambria Math"/>
        </w:rPr>
        <w:tab/>
      </w:r>
      <w:r>
        <w:rPr>
          <w:rFonts w:hint="eastAsia"/>
        </w:rPr>
        <w:t>（4）</w:t>
      </w:r>
    </w:p>
    <w:p>
      <w:pPr>
        <w:pageBreakBefore w:val="0"/>
        <w:kinsoku/>
        <w:overflowPunct/>
        <w:autoSpaceDE/>
        <w:autoSpaceDN/>
        <w:bidi w:val="0"/>
        <w:adjustRightInd/>
        <w:spacing w:after="0" w:line="240" w:lineRule="auto"/>
        <w:ind w:firstLine="0" w:firstLineChars="0"/>
        <w:textAlignment w:val="auto"/>
      </w:pPr>
      <w:r>
        <w:rPr>
          <w:rFonts w:hint="eastAsia"/>
        </w:rPr>
        <w:t>式中，</w:t>
      </w:r>
      <w:r>
        <w:rPr>
          <w:rFonts w:hint="eastAsia"/>
          <w:i/>
          <w:iCs/>
        </w:rPr>
        <w:t>D</w:t>
      </w:r>
      <w:r>
        <w:rPr>
          <w:rFonts w:hint="eastAsia"/>
          <w:i/>
          <w:iCs/>
          <w:vertAlign w:val="subscript"/>
        </w:rPr>
        <w:t>i</w:t>
      </w:r>
      <w:r>
        <w:rPr>
          <w:rFonts w:hint="eastAsia"/>
        </w:rPr>
        <w:t>为第</w:t>
      </w:r>
      <w:r>
        <w:rPr>
          <w:rFonts w:hint="eastAsia"/>
          <w:i/>
          <w:iCs/>
        </w:rPr>
        <w:t>i</w:t>
      </w:r>
      <w:r>
        <w:rPr>
          <w:rFonts w:hint="eastAsia"/>
        </w:rPr>
        <w:t>次干旱事件所持续的月数（或时段数）。</w:t>
      </w:r>
    </w:p>
    <w:p>
      <w:pPr>
        <w:pageBreakBefore w:val="0"/>
        <w:kinsoku/>
        <w:overflowPunct/>
        <w:autoSpaceDE/>
        <w:autoSpaceDN/>
        <w:bidi w:val="0"/>
        <w:adjustRightInd/>
        <w:spacing w:after="0" w:line="240" w:lineRule="auto"/>
        <w:ind w:firstLine="420"/>
        <w:textAlignment w:val="auto"/>
      </w:pPr>
      <w:r>
        <w:rPr>
          <w:rFonts w:hint="eastAsia"/>
        </w:rPr>
        <w:t>水文干旱烈度表征干旱的严重程度，定义为一次干旱事件期间所有低于截断阈值的SRI差值的累积绝对值，其值越大表示干旱越严重。第</w:t>
      </w:r>
      <w:r>
        <w:rPr>
          <w:rFonts w:hint="eastAsia"/>
          <w:i/>
          <w:iCs/>
        </w:rPr>
        <w:t>i</w:t>
      </w:r>
      <w:r>
        <w:rPr>
          <w:rFonts w:hint="eastAsia"/>
        </w:rPr>
        <w:t>次干旱事件的烈度计算公式为</w:t>
      </w:r>
    </w:p>
    <w:p>
      <w:pPr>
        <w:pageBreakBefore w:val="0"/>
        <w:tabs>
          <w:tab w:val="left" w:pos="2940"/>
          <w:tab w:val="left" w:pos="7560"/>
        </w:tabs>
        <w:kinsoku/>
        <w:overflowPunct/>
        <w:autoSpaceDE/>
        <w:autoSpaceDN/>
        <w:bidi w:val="0"/>
        <w:adjustRightInd/>
        <w:spacing w:after="0" w:line="240" w:lineRule="auto"/>
        <w:ind w:firstLine="0" w:firstLineChars="0"/>
        <w:textAlignment w:val="auto"/>
      </w:pPr>
      <w:r>
        <w:rPr>
          <w:rFonts w:hint="eastAsia" w:hAnsi="Cambria Math"/>
        </w:rPr>
        <w:tab/>
      </w:r>
      <m:oMath>
        <m:sSub>
          <m:sSubPr>
            <m:ctrlPr>
              <w:rPr>
                <w:rFonts w:ascii="Cambria Math" w:hAnsi="Cambria Math"/>
                <w:i/>
              </w:rPr>
            </m:ctrlPr>
          </m:sSubPr>
          <m:e>
            <m:r>
              <m:rPr/>
              <w:rPr>
                <w:rFonts w:ascii="Cambria Math" w:hAnsi="Cambria Math"/>
              </w:rPr>
              <m:t>S</m:t>
            </m:r>
            <m:ctrlPr>
              <w:rPr>
                <w:rFonts w:ascii="Cambria Math" w:hAnsi="Cambria Math"/>
                <w:i/>
              </w:rPr>
            </m:ctrlPr>
          </m:e>
          <m:sub>
            <m:r>
              <m:rPr/>
              <w:rPr>
                <w:rFonts w:ascii="Cambria Math" w:hAnsi="Cambria Math"/>
              </w:rPr>
              <m:t>i</m:t>
            </m:r>
            <m:ctrlPr>
              <w:rPr>
                <w:rFonts w:ascii="Cambria Math" w:hAnsi="Cambria Math"/>
                <w:i/>
              </w:rPr>
            </m:ctrlPr>
          </m:sub>
        </m:sSub>
        <m:r>
          <m:rPr/>
          <w:rPr>
            <w:rFonts w:ascii="Cambria Math" w:hAnsi="Cambria Math"/>
          </w:rPr>
          <m:t>=</m:t>
        </m:r>
        <m:nary>
          <m:naryPr>
            <m:chr m:val="∑"/>
            <m:limLoc m:val="undOvr"/>
            <m:ctrlPr>
              <w:rPr>
                <w:rFonts w:ascii="Cambria Math" w:hAnsi="Cambria Math"/>
                <w:i/>
              </w:rPr>
            </m:ctrlPr>
          </m:naryPr>
          <m:sub>
            <m:r>
              <m:rPr/>
              <w:rPr>
                <w:rFonts w:ascii="Cambria Math" w:hAnsi="Cambria Math"/>
              </w:rPr>
              <m:t>i=1</m:t>
            </m:r>
            <m:ctrlPr>
              <w:rPr>
                <w:rFonts w:ascii="Cambria Math" w:hAnsi="Cambria Math"/>
                <w:i/>
              </w:rPr>
            </m:ctrlPr>
          </m:sub>
          <m:sup>
            <m:sSub>
              <m:sSubPr>
                <m:ctrlPr>
                  <w:rPr>
                    <w:rFonts w:ascii="Cambria Math" w:hAnsi="Cambria Math"/>
                    <w:i/>
                  </w:rPr>
                </m:ctrlPr>
              </m:sSubPr>
              <m:e>
                <m:r>
                  <m:rPr/>
                  <w:rPr>
                    <w:rFonts w:ascii="Cambria Math" w:hAnsi="Cambria Math"/>
                  </w:rPr>
                  <m:t>D</m:t>
                </m:r>
                <m:ctrlPr>
                  <w:rPr>
                    <w:rFonts w:ascii="Cambria Math" w:hAnsi="Cambria Math"/>
                    <w:i/>
                  </w:rPr>
                </m:ctrlPr>
              </m:e>
              <m:sub>
                <m:r>
                  <m:rPr/>
                  <w:rPr>
                    <w:rFonts w:ascii="Cambria Math" w:hAnsi="Cambria Math"/>
                  </w:rPr>
                  <m:t>i</m:t>
                </m:r>
                <m:ctrlPr>
                  <w:rPr>
                    <w:rFonts w:ascii="Cambria Math" w:hAnsi="Cambria Math"/>
                    <w:i/>
                  </w:rPr>
                </m:ctrlPr>
              </m:sub>
            </m:sSub>
            <m:ctrlPr>
              <w:rPr>
                <w:rFonts w:ascii="Cambria Math" w:hAnsi="Cambria Math"/>
                <w:i/>
              </w:rPr>
            </m:ctrlPr>
          </m:sup>
          <m:e>
            <m:d>
              <m:dPr>
                <m:begChr m:val="|"/>
                <m:endChr m:val="|"/>
                <m:ctrlPr>
                  <w:rPr>
                    <w:rFonts w:ascii="Cambria Math" w:hAnsi="Cambria Math"/>
                    <w:i/>
                  </w:rPr>
                </m:ctrlPr>
              </m:dPr>
              <m:e>
                <m:sSub>
                  <m:sSubPr>
                    <m:ctrlPr>
                      <w:rPr>
                        <w:rFonts w:ascii="Cambria Math" w:hAnsi="Cambria Math"/>
                        <w:i/>
                      </w:rPr>
                    </m:ctrlPr>
                  </m:sSubPr>
                  <m:e>
                    <m:r>
                      <m:rPr/>
                      <w:rPr>
                        <w:rFonts w:ascii="Cambria Math" w:hAnsi="Cambria Math"/>
                      </w:rPr>
                      <m:t>SRI</m:t>
                    </m:r>
                    <m:ctrlPr>
                      <w:rPr>
                        <w:rFonts w:ascii="Cambria Math" w:hAnsi="Cambria Math"/>
                        <w:i/>
                      </w:rPr>
                    </m:ctrlPr>
                  </m:e>
                  <m:sub>
                    <m:r>
                      <m:rPr/>
                      <w:rPr>
                        <w:rFonts w:ascii="Cambria Math" w:hAnsi="Cambria Math"/>
                      </w:rPr>
                      <m:t>t</m:t>
                    </m:r>
                    <m:ctrlPr>
                      <w:rPr>
                        <w:rFonts w:ascii="Cambria Math" w:hAnsi="Cambria Math"/>
                        <w:i/>
                      </w:rPr>
                    </m:ctrlPr>
                  </m:sub>
                </m:sSub>
                <m:r>
                  <m:rPr/>
                  <w:rPr>
                    <w:rFonts w:ascii="Cambria Math" w:hAnsi="Cambria Math"/>
                  </w:rPr>
                  <m:t>−</m:t>
                </m:r>
                <m:d>
                  <m:dPr>
                    <m:ctrlPr>
                      <w:rPr>
                        <w:rFonts w:ascii="Cambria Math" w:hAnsi="Cambria Math" w:cs="Times New Roman"/>
                        <w:i/>
                      </w:rPr>
                    </m:ctrlPr>
                  </m:dPr>
                  <m:e>
                    <m:r>
                      <m:rPr>
                        <m:nor/>
                        <m:sty m:val="p"/>
                      </m:rPr>
                      <w:rPr>
                        <w:rFonts w:cs="Times New Roman"/>
                        <w:b w:val="0"/>
                        <w:i w:val="0"/>
                      </w:rPr>
                      <m:t>-0.5</m:t>
                    </m:r>
                    <m:ctrlPr>
                      <w:rPr>
                        <w:rFonts w:ascii="Cambria Math" w:hAnsi="Cambria Math" w:cs="Times New Roman"/>
                        <w:i/>
                      </w:rPr>
                    </m:ctrlPr>
                  </m:e>
                </m:d>
                <m:ctrlPr>
                  <w:rPr>
                    <w:rFonts w:ascii="Cambria Math" w:hAnsi="Cambria Math"/>
                    <w:i/>
                  </w:rPr>
                </m:ctrlPr>
              </m:e>
            </m:d>
            <m:ctrlPr>
              <w:rPr>
                <w:rFonts w:ascii="Cambria Math" w:hAnsi="Cambria Math"/>
                <w:i/>
              </w:rPr>
            </m:ctrlPr>
          </m:e>
        </m:nary>
      </m:oMath>
      <w:r>
        <w:rPr>
          <w:rFonts w:hint="eastAsia" w:hAnsi="Cambria Math"/>
        </w:rPr>
        <w:tab/>
      </w:r>
      <w:r>
        <w:rPr>
          <w:rFonts w:hint="eastAsia"/>
        </w:rPr>
        <w:t>（5）</w:t>
      </w:r>
    </w:p>
    <w:p>
      <w:pPr>
        <w:pageBreakBefore w:val="0"/>
        <w:kinsoku/>
        <w:overflowPunct/>
        <w:autoSpaceDE/>
        <w:autoSpaceDN/>
        <w:bidi w:val="0"/>
        <w:adjustRightInd/>
        <w:spacing w:after="0" w:line="240" w:lineRule="auto"/>
        <w:ind w:firstLine="0" w:firstLineChars="0"/>
        <w:textAlignment w:val="auto"/>
      </w:pPr>
      <w:r>
        <w:rPr>
          <w:rFonts w:hint="eastAsia"/>
        </w:rPr>
        <w:t>式中，</w:t>
      </w:r>
      <w:r>
        <w:rPr>
          <w:rFonts w:hint="eastAsia"/>
          <w:i/>
          <w:iCs/>
        </w:rPr>
        <w:t>SRI</w:t>
      </w:r>
      <w:r>
        <w:rPr>
          <w:rFonts w:hint="eastAsia"/>
          <w:i/>
          <w:iCs/>
          <w:vertAlign w:val="subscript"/>
        </w:rPr>
        <w:t>t</w:t>
      </w:r>
      <w:r>
        <w:rPr>
          <w:rFonts w:hint="eastAsia"/>
        </w:rPr>
        <w:t>为第</w:t>
      </w:r>
      <w:r>
        <w:rPr>
          <w:rFonts w:hint="eastAsia"/>
          <w:i/>
          <w:iCs/>
        </w:rPr>
        <w:t>t</w:t>
      </w:r>
      <w:r>
        <w:rPr>
          <w:rFonts w:hint="eastAsia"/>
        </w:rPr>
        <w:t>个时段的</w:t>
      </w:r>
      <w:r>
        <w:rPr>
          <w:rFonts w:hint="eastAsia"/>
          <w:i/>
          <w:iCs/>
        </w:rPr>
        <w:t>SRI</w:t>
      </w:r>
      <w:r>
        <w:rPr>
          <w:rFonts w:hint="eastAsia"/>
        </w:rPr>
        <w:t>值；</w:t>
      </w:r>
      <w:r>
        <w:rPr>
          <w:rFonts w:hint="eastAsia"/>
          <w:i/>
          <w:iCs/>
        </w:rPr>
        <w:t>D</w:t>
      </w:r>
      <w:r>
        <w:rPr>
          <w:rFonts w:hint="eastAsia"/>
          <w:i/>
          <w:iCs/>
          <w:vertAlign w:val="subscript"/>
        </w:rPr>
        <w:t>i</w:t>
      </w:r>
      <w:r>
        <w:rPr>
          <w:rFonts w:hint="eastAsia"/>
        </w:rPr>
        <w:t>为该次干旱事件的历时。</w:t>
      </w:r>
    </w:p>
    <w:p>
      <w:pPr>
        <w:pStyle w:val="3"/>
        <w:keepNext w:val="0"/>
        <w:pageBreakBefore w:val="0"/>
        <w:kinsoku/>
        <w:overflowPunct/>
        <w:autoSpaceDE/>
        <w:autoSpaceDN/>
        <w:bidi w:val="0"/>
        <w:adjustRightInd/>
        <w:spacing w:before="0" w:after="0" w:line="240" w:lineRule="auto"/>
        <w:textAlignment w:val="auto"/>
      </w:pPr>
      <w:r>
        <w:rPr>
          <w:rFonts w:hint="eastAsia"/>
        </w:rPr>
        <w:t>3 结果与分析</w:t>
      </w:r>
    </w:p>
    <w:p>
      <w:pPr>
        <w:pStyle w:val="4"/>
        <w:pageBreakBefore w:val="0"/>
        <w:kinsoku/>
        <w:overflowPunct/>
        <w:autoSpaceDE/>
        <w:autoSpaceDN/>
        <w:bidi w:val="0"/>
        <w:adjustRightInd/>
        <w:spacing w:before="0" w:after="0" w:line="240" w:lineRule="auto"/>
        <w:textAlignment w:val="auto"/>
      </w:pPr>
      <w:r>
        <w:rPr>
          <w:rFonts w:hint="eastAsia"/>
        </w:rPr>
        <w:t>3.1 气候模式适用性分析</w:t>
      </w:r>
    </w:p>
    <w:p>
      <w:pPr>
        <w:pageBreakBefore w:val="0"/>
        <w:kinsoku/>
        <w:overflowPunct/>
        <w:autoSpaceDE/>
        <w:autoSpaceDN/>
        <w:bidi w:val="0"/>
        <w:adjustRightInd/>
        <w:spacing w:after="0" w:line="240" w:lineRule="auto"/>
        <w:ind w:firstLine="420"/>
        <w:textAlignment w:val="auto"/>
      </w:pPr>
      <w:r>
        <w:rPr>
          <w:rFonts w:hint="eastAsia"/>
        </w:rPr>
        <w:t>将水源区1970</w:t>
      </w:r>
      <w:r>
        <w:rPr>
          <w:lang w:val="en"/>
        </w:rPr>
        <w:t>—20</w:t>
      </w:r>
      <w:r>
        <w:rPr>
          <w:rFonts w:hint="eastAsia"/>
        </w:rPr>
        <w:t>14年的气象站点实测的降水量、最高和最低气温数据与CMCC-ESM2模式模拟值进行对比，评估</w:t>
      </w:r>
      <w:r>
        <w:rPr>
          <w:rFonts w:hint="eastAsia" w:cs="Times New Roman"/>
        </w:rPr>
        <w:t>该模式</w:t>
      </w:r>
      <w:r>
        <w:rPr>
          <w:rFonts w:cs="Times New Roman"/>
        </w:rPr>
        <w:t>在</w:t>
      </w:r>
      <w:r>
        <w:rPr>
          <w:rFonts w:hint="eastAsia" w:cs="Times New Roman"/>
        </w:rPr>
        <w:t>南水北调中线工程水源区</w:t>
      </w:r>
      <w:r>
        <w:rPr>
          <w:rFonts w:cs="Times New Roman"/>
        </w:rPr>
        <w:t>降水和气温的</w:t>
      </w:r>
      <w:r>
        <w:rPr>
          <w:rFonts w:hint="eastAsia" w:cs="Times New Roman"/>
        </w:rPr>
        <w:t>模拟效果。</w:t>
      </w:r>
      <w:r>
        <w:rPr>
          <w:rFonts w:hint="eastAsia"/>
        </w:rPr>
        <w:t>采用反距离加权法对气象要素进行了空间插值分析，如图2所示，多年平均最高和最低气温的实测高值位于水源区中部，低值位于北部；</w:t>
      </w:r>
      <w:r>
        <w:rPr>
          <w:rFonts w:cs="Times New Roman"/>
        </w:rPr>
        <w:t>CMCC-ESM2模式</w:t>
      </w:r>
      <w:r>
        <w:rPr>
          <w:rFonts w:hint="eastAsia"/>
        </w:rPr>
        <w:t>模拟值在水源区内相差较小，高值位于西部，低值同样位于北部。多年平均年降水量实测高值分布于西南部，低值位于北部；</w:t>
      </w:r>
      <w:r>
        <w:rPr>
          <w:rFonts w:cs="Times New Roman"/>
        </w:rPr>
        <w:t>CMCC-ESM2</w:t>
      </w:r>
      <w:r>
        <w:rPr>
          <w:rFonts w:hint="eastAsia"/>
        </w:rPr>
        <w:t>模式模拟降水也呈现西部高、北部低的特征，整体空间变幅较小。站点实测值与CMCC-ESM2模式模拟值在空间分布上具有一定的一致性。</w:t>
      </w:r>
    </w:p>
    <w:p>
      <w:pPr>
        <w:pageBreakBefore w:val="0"/>
        <w:widowControl/>
        <w:kinsoku/>
        <w:overflowPunct/>
        <w:autoSpaceDE/>
        <w:autoSpaceDN/>
        <w:bidi w:val="0"/>
        <w:adjustRightInd/>
        <w:spacing w:after="0" w:line="240" w:lineRule="auto"/>
        <w:ind w:firstLine="420"/>
        <w:jc w:val="left"/>
        <w:textAlignment w:val="auto"/>
      </w:pPr>
      <w:r>
        <w:t>采用决定系数（</w:t>
      </w:r>
      <w:r>
        <w:rPr>
          <w:i/>
          <w:iCs/>
        </w:rPr>
        <w:t>R²</w:t>
      </w:r>
      <w:r>
        <w:t>）和均方根误差（</w:t>
      </w:r>
      <w:r>
        <w:rPr>
          <w:i/>
          <w:iCs/>
        </w:rPr>
        <w:t>RMSE</w:t>
      </w:r>
      <w:r>
        <w:t>）</w:t>
      </w:r>
      <w:r>
        <w:rPr>
          <w:rFonts w:hint="eastAsia"/>
        </w:rPr>
        <w:t>对气候模式适用性</w:t>
      </w:r>
      <w:r>
        <w:t>进行定量评估。由表2可知，</w:t>
      </w:r>
      <w:r>
        <w:rPr>
          <w:rFonts w:hint="eastAsia"/>
        </w:rPr>
        <w:t>CMCC-ESM2</w:t>
      </w:r>
      <w:r>
        <w:t>模式对于</w:t>
      </w:r>
      <w:r>
        <w:rPr>
          <w:rFonts w:hint="eastAsia"/>
        </w:rPr>
        <w:t>气温</w:t>
      </w:r>
      <w:r>
        <w:t>的模拟效果</w:t>
      </w:r>
      <w:r>
        <w:rPr>
          <w:rFonts w:hint="eastAsia"/>
        </w:rPr>
        <w:t>优于降水</w:t>
      </w:r>
      <w:r>
        <w:t>，降水的</w:t>
      </w:r>
      <w:r>
        <w:rPr>
          <w:rFonts w:hint="eastAsia"/>
          <w:i/>
          <w:iCs/>
        </w:rPr>
        <w:t>R</w:t>
      </w:r>
      <w:r>
        <w:rPr>
          <w:i/>
          <w:iCs/>
          <w:vertAlign w:val="superscript"/>
        </w:rPr>
        <w:t>2</w:t>
      </w:r>
      <w:r>
        <w:rPr>
          <w:rFonts w:hint="eastAsia"/>
        </w:rPr>
        <w:t>大于</w:t>
      </w:r>
      <w:r>
        <w:t>0.</w:t>
      </w:r>
      <w:r>
        <w:rPr>
          <w:rFonts w:hint="eastAsia"/>
        </w:rPr>
        <w:t>55</w:t>
      </w:r>
      <w:r>
        <w:t>，降水</w:t>
      </w:r>
      <w:r>
        <w:rPr>
          <w:rFonts w:hint="eastAsia"/>
          <w:i/>
          <w:iCs/>
        </w:rPr>
        <w:t>RMSE</w:t>
      </w:r>
      <w:r>
        <w:t>为</w:t>
      </w:r>
      <w:r>
        <w:rPr>
          <w:rFonts w:hint="eastAsia"/>
        </w:rPr>
        <w:t>2.07</w:t>
      </w:r>
      <w:r>
        <w:t>mm，</w:t>
      </w:r>
      <w:r>
        <w:rPr>
          <w:rFonts w:hint="eastAsia"/>
        </w:rPr>
        <w:t>最高和最低气温</w:t>
      </w:r>
      <w:r>
        <w:t>的</w:t>
      </w:r>
      <w:r>
        <w:rPr>
          <w:rFonts w:hint="eastAsia"/>
          <w:i/>
          <w:iCs/>
        </w:rPr>
        <w:t>R</w:t>
      </w:r>
      <w:r>
        <w:rPr>
          <w:i/>
          <w:iCs/>
          <w:vertAlign w:val="superscript"/>
        </w:rPr>
        <w:t>2</w:t>
      </w:r>
      <w:r>
        <w:rPr>
          <w:rFonts w:hint="eastAsia"/>
        </w:rPr>
        <w:t>超过</w:t>
      </w:r>
      <w:r>
        <w:t>0.</w:t>
      </w:r>
      <w:r>
        <w:rPr>
          <w:rFonts w:hint="eastAsia"/>
        </w:rPr>
        <w:t>85</w:t>
      </w:r>
      <w:r>
        <w:t>，</w:t>
      </w:r>
      <w:r>
        <w:rPr>
          <w:rFonts w:hint="eastAsia"/>
          <w:i/>
          <w:iCs/>
        </w:rPr>
        <w:t>RMSE</w:t>
      </w:r>
      <w:r>
        <w:rPr>
          <w:rFonts w:hint="eastAsia"/>
        </w:rPr>
        <w:t>低于2</w:t>
      </w:r>
      <w:r>
        <w:t>℃，</w:t>
      </w:r>
      <w:r>
        <w:rPr>
          <w:rFonts w:hint="eastAsia"/>
        </w:rPr>
        <w:t>各项指标</w:t>
      </w:r>
      <w:r>
        <w:t>基本符合要求</w:t>
      </w:r>
      <w:r>
        <w:rPr>
          <w:rFonts w:hint="eastAsia"/>
        </w:rPr>
        <w:t>。</w:t>
      </w:r>
      <w:r>
        <w:rPr>
          <w:rFonts w:hint="eastAsia"/>
        </w:rPr>
        <w:drawing>
          <wp:inline distT="0" distB="0" distL="114300" distR="114300">
            <wp:extent cx="5370830" cy="2891155"/>
            <wp:effectExtent l="0" t="0" r="1270" b="4445"/>
            <wp:docPr id="1" name="图片 1" descr="研究区"/>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研究区"/>
                    <pic:cNvPicPr>
                      <a:picLocks noChangeAspect="true"/>
                    </pic:cNvPicPr>
                  </pic:nvPicPr>
                  <pic:blipFill>
                    <a:blip r:embed="rId8"/>
                    <a:srcRect l="1988" t="2271" r="2662"/>
                    <a:stretch>
                      <a:fillRect/>
                    </a:stretch>
                  </pic:blipFill>
                  <pic:spPr>
                    <a:xfrm>
                      <a:off x="0" y="0"/>
                      <a:ext cx="5370830" cy="2891155"/>
                    </a:xfrm>
                    <a:prstGeom prst="rect">
                      <a:avLst/>
                    </a:prstGeom>
                  </pic:spPr>
                </pic:pic>
              </a:graphicData>
            </a:graphic>
          </wp:inline>
        </w:drawing>
      </w:r>
    </w:p>
    <w:p>
      <w:pPr>
        <w:pStyle w:val="25"/>
        <w:pageBreakBefore w:val="0"/>
        <w:kinsoku/>
        <w:overflowPunct/>
        <w:autoSpaceDE/>
        <w:autoSpaceDN/>
        <w:bidi w:val="0"/>
        <w:adjustRightInd/>
        <w:spacing w:after="0" w:line="240" w:lineRule="auto"/>
        <w:ind w:right="0"/>
        <w:textAlignment w:val="auto"/>
      </w:pPr>
      <w:r>
        <w:rPr>
          <w:rFonts w:hint="eastAsia"/>
        </w:rPr>
        <w:t>图 2 水源区历史时期多年平均年降水量、最高和最低气温实测值与GCMs模拟值</w:t>
      </w:r>
      <w:r>
        <w:t>空间分布</w:t>
      </w:r>
      <w:r>
        <w:rPr>
          <w:rFonts w:hint="eastAsia"/>
        </w:rPr>
        <w:t>对比</w:t>
      </w:r>
    </w:p>
    <w:p>
      <w:pPr>
        <w:pStyle w:val="30"/>
        <w:keepNext w:val="0"/>
        <w:pageBreakBefore w:val="0"/>
        <w:kinsoku/>
        <w:overflowPunct/>
        <w:autoSpaceDE/>
        <w:autoSpaceDN/>
        <w:bidi w:val="0"/>
        <w:adjustRightInd/>
        <w:spacing w:before="0" w:after="0" w:line="240" w:lineRule="auto"/>
        <w:textAlignment w:val="auto"/>
      </w:pPr>
      <w:r>
        <w:t>Fig</w:t>
      </w:r>
      <w:r>
        <w:rPr>
          <w:rFonts w:hint="eastAsia"/>
        </w:rPr>
        <w:t>.</w:t>
      </w:r>
      <w:r>
        <w:t xml:space="preserve">2 </w:t>
      </w:r>
      <w:r>
        <w:rPr>
          <w:rFonts w:hint="eastAsia"/>
          <w:lang w:val="en-US" w:eastAsia="zh-CN"/>
        </w:rPr>
        <w:t>C</w:t>
      </w:r>
      <w:r>
        <w:t>omparison of</w:t>
      </w:r>
      <w:r>
        <w:rPr>
          <w:rFonts w:hint="eastAsia"/>
        </w:rPr>
        <w:t xml:space="preserve"> </w:t>
      </w:r>
      <w:r>
        <w:rPr>
          <w:rFonts w:hint="eastAsia"/>
          <w:lang w:val="en-US" w:eastAsia="zh-CN"/>
        </w:rPr>
        <w:t>s</w:t>
      </w:r>
      <w:r>
        <w:t xml:space="preserve">patial </w:t>
      </w:r>
      <w:r>
        <w:rPr>
          <w:rFonts w:hint="eastAsia"/>
        </w:rPr>
        <w:t>d</w:t>
      </w:r>
      <w:r>
        <w:t>istribution</w:t>
      </w:r>
      <w:r>
        <w:rPr>
          <w:rFonts w:hint="eastAsia"/>
          <w:lang w:val="en-US" w:eastAsia="zh-CN"/>
        </w:rPr>
        <w:t xml:space="preserve"> between</w:t>
      </w:r>
      <w:r>
        <w:t xml:space="preserve"> </w:t>
      </w:r>
      <w:r>
        <w:rPr>
          <w:rFonts w:hint="eastAsia"/>
        </w:rPr>
        <w:t>o</w:t>
      </w:r>
      <w:r>
        <w:t>bserved and GCM-</w:t>
      </w:r>
      <w:r>
        <w:rPr>
          <w:rFonts w:hint="eastAsia"/>
        </w:rPr>
        <w:t>s</w:t>
      </w:r>
      <w:r>
        <w:t xml:space="preserve">imulated </w:t>
      </w:r>
      <w:r>
        <w:rPr>
          <w:rFonts w:hint="eastAsia"/>
        </w:rPr>
        <w:t>m</w:t>
      </w:r>
      <w:r>
        <w:t>ulti-</w:t>
      </w:r>
      <w:r>
        <w:rPr>
          <w:rFonts w:hint="eastAsia"/>
        </w:rPr>
        <w:t>y</w:t>
      </w:r>
      <w:r>
        <w:t xml:space="preserve">ear </w:t>
      </w:r>
      <w:r>
        <w:rPr>
          <w:rFonts w:hint="eastAsia"/>
        </w:rPr>
        <w:t>a</w:t>
      </w:r>
      <w:r>
        <w:t xml:space="preserve">verage </w:t>
      </w:r>
      <w:r>
        <w:rPr>
          <w:rFonts w:hint="eastAsia"/>
        </w:rPr>
        <w:t>a</w:t>
      </w:r>
      <w:r>
        <w:t xml:space="preserve">nnual </w:t>
      </w:r>
      <w:r>
        <w:rPr>
          <w:rFonts w:hint="eastAsia"/>
        </w:rPr>
        <w:t>p</w:t>
      </w:r>
      <w:r>
        <w:t xml:space="preserve">recipitation, </w:t>
      </w:r>
      <w:r>
        <w:rPr>
          <w:rFonts w:hint="eastAsia"/>
        </w:rPr>
        <w:t>m</w:t>
      </w:r>
      <w:r>
        <w:t xml:space="preserve">aximum and </w:t>
      </w:r>
      <w:r>
        <w:rPr>
          <w:rFonts w:hint="eastAsia"/>
        </w:rPr>
        <w:t>m</w:t>
      </w:r>
      <w:r>
        <w:t xml:space="preserve">inimum </w:t>
      </w:r>
      <w:r>
        <w:rPr>
          <w:rFonts w:hint="eastAsia"/>
        </w:rPr>
        <w:t>t</w:t>
      </w:r>
      <w:r>
        <w:t xml:space="preserve">emperatures during </w:t>
      </w:r>
      <w:r>
        <w:rPr>
          <w:rFonts w:hint="eastAsia"/>
        </w:rPr>
        <w:t>h</w:t>
      </w:r>
      <w:r>
        <w:t xml:space="preserve">istorical </w:t>
      </w:r>
      <w:r>
        <w:rPr>
          <w:rFonts w:hint="eastAsia"/>
        </w:rPr>
        <w:t>p</w:t>
      </w:r>
      <w:r>
        <w:t xml:space="preserve">eriod </w:t>
      </w:r>
      <w:r>
        <w:rPr>
          <w:rFonts w:hint="eastAsia"/>
        </w:rPr>
        <w:t>in</w:t>
      </w:r>
      <w:r>
        <w:t xml:space="preserve"> </w:t>
      </w:r>
      <w:r>
        <w:rPr>
          <w:rFonts w:hint="eastAsia"/>
        </w:rPr>
        <w:t>w</w:t>
      </w:r>
      <w:r>
        <w:t xml:space="preserve">ater </w:t>
      </w:r>
      <w:r>
        <w:rPr>
          <w:rFonts w:hint="eastAsia"/>
        </w:rPr>
        <w:t>s</w:t>
      </w:r>
      <w:r>
        <w:t>ource</w:t>
      </w:r>
      <w:r>
        <w:rPr>
          <w:rFonts w:hint="eastAsia"/>
          <w:lang w:val="en-US" w:eastAsia="zh-CN"/>
        </w:rPr>
        <w:t xml:space="preserve"> area</w:t>
      </w:r>
    </w:p>
    <w:p>
      <w:pPr>
        <w:pStyle w:val="30"/>
        <w:keepNext w:val="0"/>
        <w:pageBreakBefore w:val="0"/>
        <w:kinsoku/>
        <w:overflowPunct/>
        <w:autoSpaceDE/>
        <w:autoSpaceDN/>
        <w:bidi w:val="0"/>
        <w:adjustRightInd/>
        <w:spacing w:before="0" w:after="0" w:line="240" w:lineRule="auto"/>
        <w:textAlignment w:val="auto"/>
        <w:rPr>
          <w:szCs w:val="18"/>
        </w:rPr>
      </w:pPr>
      <w:r>
        <w:rPr>
          <w:rFonts w:hint="eastAsia"/>
          <w:szCs w:val="18"/>
        </w:rPr>
        <w:t>表 2</w:t>
      </w:r>
      <w:r>
        <w:rPr>
          <w:szCs w:val="18"/>
        </w:rPr>
        <w:t xml:space="preserve"> </w:t>
      </w:r>
      <w:r>
        <w:rPr>
          <w:rFonts w:hint="eastAsia"/>
          <w:szCs w:val="18"/>
        </w:rPr>
        <w:t>月平均降水量、最高和最低气温模拟</w:t>
      </w:r>
      <w:r>
        <w:rPr>
          <w:szCs w:val="18"/>
        </w:rPr>
        <w:t>效果</w:t>
      </w:r>
    </w:p>
    <w:p>
      <w:pPr>
        <w:pStyle w:val="30"/>
        <w:pageBreakBefore w:val="0"/>
        <w:kinsoku/>
        <w:overflowPunct/>
        <w:autoSpaceDE/>
        <w:autoSpaceDN/>
        <w:bidi w:val="0"/>
        <w:adjustRightInd/>
        <w:spacing w:before="0" w:after="0" w:line="240" w:lineRule="auto"/>
        <w:textAlignment w:val="auto"/>
        <w:rPr>
          <w:szCs w:val="18"/>
        </w:rPr>
      </w:pPr>
      <w:r>
        <w:rPr>
          <w:rFonts w:hint="eastAsia"/>
          <w:szCs w:val="18"/>
        </w:rPr>
        <w:t>Table 2 Simulation performance of monthly average precipitation, maximum and minimum temperatures</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59"/>
        <w:gridCol w:w="2767"/>
        <w:gridCol w:w="2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9" w:type="dxa"/>
            <w:tcBorders>
              <w:top w:val="single" w:color="000000" w:sz="12" w:space="0"/>
              <w:left w:val="nil"/>
              <w:bottom w:val="single" w:color="000000" w:sz="4" w:space="0"/>
              <w:right w:val="nil"/>
              <w:tl2br w:val="nil"/>
            </w:tcBorders>
            <w:shd w:val="clear" w:color="auto" w:fill="FFFFFF"/>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因</w:t>
            </w:r>
            <w:r>
              <w:rPr>
                <w:sz w:val="15"/>
                <w:szCs w:val="15"/>
                <w:lang w:val="en"/>
              </w:rPr>
              <w:t xml:space="preserve">  </w:t>
            </w:r>
            <w:r>
              <w:rPr>
                <w:rFonts w:hint="eastAsia"/>
                <w:sz w:val="15"/>
                <w:szCs w:val="15"/>
              </w:rPr>
              <w:t>子</w:t>
            </w:r>
          </w:p>
        </w:tc>
        <w:tc>
          <w:tcPr>
            <w:tcW w:w="2767" w:type="dxa"/>
            <w:tcBorders>
              <w:top w:val="single" w:color="000000" w:sz="12" w:space="0"/>
              <w:left w:val="nil"/>
              <w:bottom w:val="single" w:color="000000" w:sz="4" w:space="0"/>
              <w:right w:val="nil"/>
            </w:tcBorders>
            <w:shd w:val="clear" w:color="auto" w:fill="FFFFFF"/>
          </w:tcPr>
          <w:p>
            <w:pPr>
              <w:pStyle w:val="29"/>
              <w:pageBreakBefore w:val="0"/>
              <w:kinsoku/>
              <w:overflowPunct/>
              <w:autoSpaceDE/>
              <w:autoSpaceDN/>
              <w:bidi w:val="0"/>
              <w:adjustRightInd/>
              <w:spacing w:after="0" w:line="240" w:lineRule="auto"/>
              <w:textAlignment w:val="auto"/>
              <w:rPr>
                <w:i/>
                <w:iCs/>
                <w:sz w:val="15"/>
                <w:szCs w:val="15"/>
              </w:rPr>
            </w:pPr>
            <w:r>
              <w:rPr>
                <w:rFonts w:hint="eastAsia"/>
                <w:i/>
                <w:iCs/>
                <w:sz w:val="15"/>
                <w:szCs w:val="15"/>
              </w:rPr>
              <w:t>R2</w:t>
            </w:r>
          </w:p>
        </w:tc>
        <w:tc>
          <w:tcPr>
            <w:tcW w:w="2780" w:type="dxa"/>
            <w:tcBorders>
              <w:top w:val="single" w:color="000000" w:sz="12" w:space="0"/>
              <w:left w:val="nil"/>
              <w:bottom w:val="single" w:color="000000" w:sz="4" w:space="0"/>
              <w:right w:val="nil"/>
            </w:tcBorders>
            <w:shd w:val="clear" w:color="auto" w:fill="FFFFFF"/>
          </w:tcPr>
          <w:p>
            <w:pPr>
              <w:pStyle w:val="29"/>
              <w:pageBreakBefore w:val="0"/>
              <w:kinsoku/>
              <w:overflowPunct/>
              <w:autoSpaceDE/>
              <w:autoSpaceDN/>
              <w:bidi w:val="0"/>
              <w:adjustRightInd/>
              <w:spacing w:after="0" w:line="240" w:lineRule="auto"/>
              <w:textAlignment w:val="auto"/>
              <w:rPr>
                <w:i/>
                <w:iCs/>
                <w:sz w:val="15"/>
                <w:szCs w:val="15"/>
              </w:rPr>
            </w:pPr>
            <w:r>
              <w:rPr>
                <w:rFonts w:hint="eastAsia"/>
                <w:i/>
                <w:iCs/>
                <w:sz w:val="15"/>
                <w:szCs w:val="15"/>
              </w:rPr>
              <w:t>RMSE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9" w:type="dxa"/>
            <w:tcBorders>
              <w:top w:val="single" w:color="000000" w:sz="4" w:space="0"/>
              <w:left w:val="nil"/>
              <w:bottom w:val="nil"/>
              <w:right w:val="nil"/>
            </w:tcBorders>
            <w:shd w:val="clear" w:color="auto" w:fill="FFFFFF"/>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月平均降水量/mm</w:t>
            </w:r>
          </w:p>
        </w:tc>
        <w:tc>
          <w:tcPr>
            <w:tcW w:w="2767" w:type="dxa"/>
            <w:tcBorders>
              <w:top w:val="single" w:color="000000" w:sz="4" w:space="0"/>
              <w:left w:val="nil"/>
              <w:bottom w:val="nil"/>
              <w:right w:val="nil"/>
            </w:tcBorders>
            <w:shd w:val="clear" w:color="auto" w:fill="FFFFFF"/>
          </w:tcPr>
          <w:p>
            <w:pPr>
              <w:pStyle w:val="29"/>
              <w:pageBreakBefore w:val="0"/>
              <w:kinsoku/>
              <w:overflowPunct/>
              <w:autoSpaceDE/>
              <w:autoSpaceDN/>
              <w:bidi w:val="0"/>
              <w:adjustRightInd/>
              <w:spacing w:after="0" w:line="240" w:lineRule="auto"/>
              <w:textAlignment w:val="auto"/>
              <w:rPr>
                <w:sz w:val="15"/>
                <w:szCs w:val="15"/>
              </w:rPr>
            </w:pPr>
            <w:r>
              <w:rPr>
                <w:sz w:val="15"/>
                <w:szCs w:val="15"/>
              </w:rPr>
              <w:t>0.</w:t>
            </w:r>
            <w:r>
              <w:rPr>
                <w:rFonts w:hint="eastAsia"/>
                <w:sz w:val="15"/>
                <w:szCs w:val="15"/>
              </w:rPr>
              <w:t>574</w:t>
            </w:r>
          </w:p>
        </w:tc>
        <w:tc>
          <w:tcPr>
            <w:tcW w:w="2780" w:type="dxa"/>
            <w:tcBorders>
              <w:top w:val="single" w:color="000000" w:sz="4" w:space="0"/>
              <w:left w:val="nil"/>
              <w:bottom w:val="nil"/>
              <w:right w:val="nil"/>
            </w:tcBorders>
            <w:shd w:val="clear" w:color="auto" w:fill="FFFFFF"/>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9" w:type="dxa"/>
            <w:tcBorders>
              <w:top w:val="nil"/>
              <w:left w:val="nil"/>
              <w:bottom w:val="nil"/>
              <w:right w:val="nil"/>
            </w:tcBorders>
            <w:shd w:val="clear" w:color="auto" w:fill="FFFFFF"/>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月平均最高气温/</w:t>
            </w:r>
            <m:oMath>
              <m:r>
                <m:rPr>
                  <m:sty m:val="p"/>
                </m:rPr>
                <w:rPr>
                  <w:rFonts w:ascii="Cambria Math" w:hAnsi="Cambria Math"/>
                  <w:sz w:val="15"/>
                  <w:szCs w:val="15"/>
                </w:rPr>
                <m:t>℃</m:t>
              </m:r>
            </m:oMath>
          </w:p>
        </w:tc>
        <w:tc>
          <w:tcPr>
            <w:tcW w:w="2767" w:type="dxa"/>
            <w:tcBorders>
              <w:top w:val="nil"/>
              <w:left w:val="nil"/>
              <w:bottom w:val="nil"/>
              <w:right w:val="nil"/>
            </w:tcBorders>
            <w:shd w:val="clear" w:color="auto" w:fill="FFFFFF"/>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0</w:t>
            </w:r>
            <w:r>
              <w:rPr>
                <w:sz w:val="15"/>
                <w:szCs w:val="15"/>
              </w:rPr>
              <w:t>.</w:t>
            </w:r>
            <w:r>
              <w:rPr>
                <w:rFonts w:hint="eastAsia"/>
                <w:sz w:val="15"/>
                <w:szCs w:val="15"/>
              </w:rPr>
              <w:t>864</w:t>
            </w:r>
          </w:p>
        </w:tc>
        <w:tc>
          <w:tcPr>
            <w:tcW w:w="2780" w:type="dxa"/>
            <w:tcBorders>
              <w:top w:val="nil"/>
              <w:left w:val="nil"/>
              <w:bottom w:val="nil"/>
              <w:right w:val="nil"/>
            </w:tcBorders>
            <w:shd w:val="clear" w:color="auto" w:fill="FFFFFF"/>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1.53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59" w:type="dxa"/>
            <w:tcBorders>
              <w:top w:val="nil"/>
              <w:left w:val="nil"/>
              <w:bottom w:val="single" w:color="000000" w:sz="12" w:space="0"/>
              <w:right w:val="nil"/>
            </w:tcBorders>
            <w:shd w:val="clear" w:color="auto" w:fill="FFFFFF"/>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月平均最低气温/</w:t>
            </w:r>
            <m:oMath>
              <m:r>
                <m:rPr>
                  <m:sty m:val="p"/>
                </m:rPr>
                <w:rPr>
                  <w:rFonts w:ascii="Cambria Math" w:hAnsi="Cambria Math"/>
                  <w:sz w:val="15"/>
                  <w:szCs w:val="15"/>
                </w:rPr>
                <m:t>℃</m:t>
              </m:r>
            </m:oMath>
          </w:p>
        </w:tc>
        <w:tc>
          <w:tcPr>
            <w:tcW w:w="2767" w:type="dxa"/>
            <w:tcBorders>
              <w:top w:val="nil"/>
              <w:left w:val="nil"/>
              <w:bottom w:val="single" w:color="000000" w:sz="12" w:space="0"/>
              <w:right w:val="nil"/>
            </w:tcBorders>
            <w:shd w:val="clear" w:color="auto" w:fill="FFFFFF"/>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0</w:t>
            </w:r>
            <w:r>
              <w:rPr>
                <w:sz w:val="15"/>
                <w:szCs w:val="15"/>
              </w:rPr>
              <w:t>.</w:t>
            </w:r>
            <w:r>
              <w:rPr>
                <w:rFonts w:hint="eastAsia"/>
                <w:sz w:val="15"/>
                <w:szCs w:val="15"/>
              </w:rPr>
              <w:t>892</w:t>
            </w:r>
          </w:p>
        </w:tc>
        <w:tc>
          <w:tcPr>
            <w:tcW w:w="2780" w:type="dxa"/>
            <w:tcBorders>
              <w:top w:val="nil"/>
              <w:left w:val="nil"/>
              <w:bottom w:val="single" w:color="000000" w:sz="12" w:space="0"/>
              <w:right w:val="nil"/>
            </w:tcBorders>
            <w:shd w:val="clear" w:color="auto" w:fill="FFFFFF"/>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1</w:t>
            </w:r>
            <w:r>
              <w:rPr>
                <w:sz w:val="15"/>
                <w:szCs w:val="15"/>
              </w:rPr>
              <w:t>.</w:t>
            </w:r>
            <w:r>
              <w:rPr>
                <w:rFonts w:hint="eastAsia"/>
                <w:sz w:val="15"/>
                <w:szCs w:val="15"/>
              </w:rPr>
              <w:t>65</w:t>
            </w:r>
          </w:p>
        </w:tc>
      </w:tr>
    </w:tbl>
    <w:p>
      <w:pPr>
        <w:pStyle w:val="4"/>
        <w:pageBreakBefore w:val="0"/>
        <w:kinsoku/>
        <w:overflowPunct/>
        <w:autoSpaceDE/>
        <w:autoSpaceDN/>
        <w:bidi w:val="0"/>
        <w:adjustRightInd/>
        <w:spacing w:before="0" w:after="0" w:line="240" w:lineRule="auto"/>
        <w:textAlignment w:val="auto"/>
      </w:pPr>
      <w:r>
        <w:rPr>
          <w:rFonts w:hint="eastAsia"/>
        </w:rPr>
        <w:t>3.2 模型率定与验证</w:t>
      </w:r>
    </w:p>
    <w:p>
      <w:pPr>
        <w:pageBreakBefore w:val="0"/>
        <w:kinsoku/>
        <w:overflowPunct/>
        <w:autoSpaceDE/>
        <w:autoSpaceDN/>
        <w:bidi w:val="0"/>
        <w:adjustRightInd/>
        <w:spacing w:after="0" w:line="240" w:lineRule="auto"/>
        <w:ind w:firstLine="0" w:firstLineChars="0"/>
        <w:textAlignment w:val="auto"/>
        <w:rPr>
          <w:b/>
          <w:bCs/>
        </w:rPr>
      </w:pPr>
      <w:r>
        <w:rPr>
          <w:rFonts w:hint="eastAsia"/>
          <w:b/>
          <w:bCs/>
        </w:rPr>
        <w:t>3.2.1敏感性分析</w:t>
      </w:r>
    </w:p>
    <w:p>
      <w:pPr>
        <w:pageBreakBefore w:val="0"/>
        <w:kinsoku/>
        <w:overflowPunct/>
        <w:autoSpaceDE/>
        <w:autoSpaceDN/>
        <w:bidi w:val="0"/>
        <w:adjustRightInd/>
        <w:spacing w:after="0" w:line="240" w:lineRule="auto"/>
        <w:ind w:firstLine="420"/>
        <w:textAlignment w:val="auto"/>
      </w:pPr>
      <w:r>
        <w:t>SWAT模型的</w:t>
      </w:r>
      <w:r>
        <w:rPr>
          <w:rFonts w:hint="eastAsia"/>
        </w:rPr>
        <w:t>率定和验证包括预热期（1970—1971年）、率定期（1972</w:t>
      </w:r>
      <w:r>
        <w:rPr>
          <w:lang w:val="en"/>
        </w:rPr>
        <w:t>—20</w:t>
      </w:r>
      <w:r>
        <w:rPr>
          <w:rFonts w:hint="eastAsia"/>
        </w:rPr>
        <w:t>06年）和验证期（2007</w:t>
      </w:r>
      <w:r>
        <w:rPr>
          <w:lang w:val="en"/>
        </w:rPr>
        <w:t>—20</w:t>
      </w:r>
      <w:r>
        <w:rPr>
          <w:rFonts w:hint="eastAsia"/>
        </w:rPr>
        <w:t>20年）3个阶段</w:t>
      </w:r>
      <w:r>
        <w:t>。</w:t>
      </w:r>
      <w:r>
        <w:rPr>
          <w:rFonts w:hint="eastAsia"/>
        </w:rPr>
        <w:t>考虑水源区集水面积及</w:t>
      </w:r>
      <w:r>
        <w:t>水文站</w:t>
      </w:r>
      <w:r>
        <w:rPr>
          <w:rFonts w:hint="eastAsia"/>
        </w:rPr>
        <w:t>实测逐</w:t>
      </w:r>
      <w:r>
        <w:t>日径流数据的限制</w:t>
      </w:r>
      <w:r>
        <w:rPr>
          <w:rFonts w:hint="eastAsia"/>
        </w:rPr>
        <w:t>，选用汉中、安康、白河</w:t>
      </w:r>
      <w:r>
        <w:t>水文站</w:t>
      </w:r>
      <w:r>
        <w:rPr>
          <w:rFonts w:hint="eastAsia"/>
        </w:rPr>
        <w:t>的实测数据。</w:t>
      </w:r>
    </w:p>
    <w:p>
      <w:pPr>
        <w:pageBreakBefore w:val="0"/>
        <w:kinsoku/>
        <w:overflowPunct/>
        <w:autoSpaceDE/>
        <w:autoSpaceDN/>
        <w:bidi w:val="0"/>
        <w:adjustRightInd/>
        <w:spacing w:after="0" w:line="240" w:lineRule="auto"/>
        <w:ind w:firstLine="420"/>
        <w:textAlignment w:val="auto"/>
      </w:pPr>
      <w:r>
        <w:rPr>
          <w:rFonts w:hint="eastAsia"/>
        </w:rPr>
        <w:t>采用SWAT-CUP中的全局敏感性分析方法，结合SUFI-2进行参数率定与模型敏感性评估。通过迭代优化获取最优参数组合，并基于</w:t>
      </w:r>
      <w:r>
        <w:rPr>
          <w:rFonts w:hint="eastAsia"/>
          <w:i/>
          <w:iCs/>
        </w:rPr>
        <w:t>t</w:t>
      </w:r>
      <w:r>
        <w:rPr>
          <w:rFonts w:hint="eastAsia"/>
        </w:rPr>
        <w:t>值和</w:t>
      </w:r>
      <w:r>
        <w:rPr>
          <w:rFonts w:hint="eastAsia"/>
          <w:i/>
          <w:iCs/>
        </w:rPr>
        <w:t>p</w:t>
      </w:r>
      <w:r>
        <w:rPr>
          <w:rFonts w:hint="eastAsia"/>
        </w:rPr>
        <w:t>值判断参数敏感性。参数对应</w:t>
      </w:r>
      <w:r>
        <w:rPr>
          <w:rFonts w:hint="eastAsia"/>
          <w:i/>
          <w:iCs/>
        </w:rPr>
        <w:t>t</w:t>
      </w:r>
      <w:r>
        <w:rPr>
          <w:rFonts w:hint="eastAsia"/>
        </w:rPr>
        <w:t>值的绝对值越大、</w:t>
      </w:r>
      <w:r>
        <w:rPr>
          <w:rFonts w:hint="eastAsia"/>
          <w:i/>
          <w:iCs/>
        </w:rPr>
        <w:t>p</w:t>
      </w:r>
      <w:r>
        <w:rPr>
          <w:rFonts w:hint="eastAsia"/>
        </w:rPr>
        <w:t>值越接近0，表明该参数敏感性越强。</w:t>
      </w:r>
      <w:r>
        <w:t>为了</w:t>
      </w:r>
      <w:r>
        <w:rPr>
          <w:rFonts w:hint="eastAsia"/>
        </w:rPr>
        <w:t>使模型模拟值与实测值差异最小化并提高效率，本研究选取了29个径流相关参数</w:t>
      </w:r>
      <w:r>
        <w:t>对SWAT模型参数进行敏感性分析</w:t>
      </w:r>
      <w:r>
        <w:rPr>
          <w:rStyle w:val="20"/>
        </w:rPr>
        <w:t>[</w:t>
      </w:r>
      <w:r>
        <w:rPr>
          <w:rStyle w:val="20"/>
        </w:rPr>
        <w:endnoteReference w:id="29"/>
      </w:r>
      <w:r>
        <w:rPr>
          <w:vertAlign w:val="superscript"/>
          <w:lang w:val="en"/>
        </w:rPr>
        <w:t>-</w:t>
      </w:r>
      <w:r>
        <w:rPr>
          <w:rStyle w:val="20"/>
          <w:rFonts w:hint="eastAsia"/>
        </w:rPr>
        <w:endnoteReference w:id="30"/>
      </w:r>
      <w:r>
        <w:rPr>
          <w:rStyle w:val="20"/>
        </w:rPr>
        <w:t>]</w:t>
      </w:r>
      <w:r>
        <w:rPr>
          <w:rFonts w:hint="eastAsia"/>
        </w:rPr>
        <w:t>，参数最优组合敏感性如表3所列。根据率定结果可知敏感性较高的参数是TLAPS、CN2、SOL_AWC、QWQMN和CH_K2，模型受地形、地表产流、土壤水动态及基流补给等关键水文过程的影响较大。</w:t>
      </w:r>
    </w:p>
    <w:p>
      <w:pPr>
        <w:pStyle w:val="30"/>
        <w:keepNext w:val="0"/>
        <w:pageBreakBefore w:val="0"/>
        <w:kinsoku/>
        <w:overflowPunct/>
        <w:autoSpaceDE/>
        <w:autoSpaceDN/>
        <w:bidi w:val="0"/>
        <w:adjustRightInd/>
        <w:spacing w:before="0" w:after="0" w:line="240" w:lineRule="auto"/>
        <w:textAlignment w:val="auto"/>
      </w:pPr>
      <w:r>
        <w:t xml:space="preserve">表 </w:t>
      </w:r>
      <w:r>
        <w:rPr>
          <w:rFonts w:hint="eastAsia"/>
        </w:rPr>
        <w:t>3</w:t>
      </w:r>
      <w:r>
        <w:t xml:space="preserve"> SWAT模型参数敏感性分析</w:t>
      </w:r>
    </w:p>
    <w:p>
      <w:pPr>
        <w:pStyle w:val="30"/>
        <w:keepNext w:val="0"/>
        <w:pageBreakBefore w:val="0"/>
        <w:kinsoku/>
        <w:overflowPunct/>
        <w:autoSpaceDE/>
        <w:autoSpaceDN/>
        <w:bidi w:val="0"/>
        <w:adjustRightInd/>
        <w:spacing w:before="0" w:after="0" w:line="240" w:lineRule="auto"/>
        <w:textAlignment w:val="auto"/>
      </w:pPr>
      <w:r>
        <w:t xml:space="preserve">Table 3 </w:t>
      </w:r>
      <w:r>
        <w:rPr>
          <w:rFonts w:hint="eastAsia"/>
          <w:lang w:val="en-US" w:eastAsia="zh-CN"/>
        </w:rPr>
        <w:t>S</w:t>
      </w:r>
      <w:r>
        <w:t xml:space="preserve">ensitivity </w:t>
      </w:r>
      <w:r>
        <w:rPr>
          <w:rFonts w:hint="eastAsia"/>
        </w:rPr>
        <w:t>a</w:t>
      </w:r>
      <w:r>
        <w:t>nalysis</w:t>
      </w:r>
      <w:r>
        <w:rPr>
          <w:rFonts w:hint="eastAsia"/>
          <w:lang w:val="en-US" w:eastAsia="zh-CN"/>
        </w:rPr>
        <w:t xml:space="preserve"> of</w:t>
      </w:r>
      <w:r>
        <w:t xml:space="preserve"> SWAT </w:t>
      </w:r>
      <w:r>
        <w:rPr>
          <w:rFonts w:hint="eastAsia"/>
        </w:rPr>
        <w:t>m</w:t>
      </w:r>
      <w:r>
        <w:t xml:space="preserve">odel </w:t>
      </w:r>
      <w:r>
        <w:rPr>
          <w:rFonts w:hint="eastAsia"/>
        </w:rPr>
        <w:t>p</w:t>
      </w:r>
      <w:r>
        <w:t>arameter</w:t>
      </w:r>
      <w:r>
        <w:rPr>
          <w:rFonts w:hint="eastAsia"/>
          <w:lang w:val="en-US" w:eastAsia="zh-CN"/>
        </w:rPr>
        <w:t>s</w:t>
      </w:r>
    </w:p>
    <w:tbl>
      <w:tblPr>
        <w:tblStyle w:val="16"/>
        <w:tblW w:w="4998" w:type="pct"/>
        <w:tblInd w:w="0" w:type="dxa"/>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93"/>
        <w:gridCol w:w="3150"/>
        <w:gridCol w:w="915"/>
        <w:gridCol w:w="917"/>
        <w:gridCol w:w="1244"/>
      </w:tblGrid>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2" w:hRule="atLeast"/>
          <w:tblHeader/>
        </w:trPr>
        <w:tc>
          <w:tcPr>
            <w:tcW w:w="1345" w:type="pct"/>
            <w:tcBorders>
              <w:bottom w:val="single" w:color="000000" w:sz="12" w:space="0"/>
            </w:tcBorders>
            <w:shd w:val="clear" w:color="auto" w:fill="FFFFFF"/>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参数</w:t>
            </w:r>
          </w:p>
        </w:tc>
        <w:tc>
          <w:tcPr>
            <w:tcW w:w="1848" w:type="pct"/>
            <w:tcBorders>
              <w:bottom w:val="single" w:color="000000" w:sz="12" w:space="0"/>
            </w:tcBorders>
            <w:shd w:val="clear" w:color="auto" w:fill="FFFFFF"/>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物理意义</w:t>
            </w:r>
          </w:p>
        </w:tc>
        <w:tc>
          <w:tcPr>
            <w:tcW w:w="537" w:type="pct"/>
            <w:tcBorders>
              <w:bottom w:val="single" w:color="000000" w:sz="12" w:space="0"/>
            </w:tcBorders>
            <w:shd w:val="clear" w:color="auto" w:fill="FFFFFF"/>
            <w:vAlign w:val="center"/>
          </w:tcPr>
          <w:p>
            <w:pPr>
              <w:pStyle w:val="29"/>
              <w:pageBreakBefore w:val="0"/>
              <w:kinsoku/>
              <w:overflowPunct/>
              <w:autoSpaceDE/>
              <w:autoSpaceDN/>
              <w:bidi w:val="0"/>
              <w:adjustRightInd/>
              <w:spacing w:after="0" w:line="240" w:lineRule="auto"/>
              <w:textAlignment w:val="auto"/>
              <w:rPr>
                <w:sz w:val="15"/>
                <w:szCs w:val="15"/>
              </w:rPr>
            </w:pPr>
            <w:r>
              <w:rPr>
                <w:i/>
                <w:iCs/>
                <w:sz w:val="15"/>
                <w:szCs w:val="15"/>
              </w:rPr>
              <w:t>t</w:t>
            </w:r>
            <w:r>
              <w:rPr>
                <w:rFonts w:hint="eastAsia"/>
                <w:sz w:val="15"/>
                <w:szCs w:val="15"/>
              </w:rPr>
              <w:t>值</w:t>
            </w:r>
          </w:p>
        </w:tc>
        <w:tc>
          <w:tcPr>
            <w:tcW w:w="538" w:type="pct"/>
            <w:tcBorders>
              <w:bottom w:val="single" w:color="000000" w:sz="12" w:space="0"/>
            </w:tcBorders>
            <w:shd w:val="clear" w:color="auto" w:fill="FFFFFF"/>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i/>
                <w:iCs/>
                <w:sz w:val="15"/>
                <w:szCs w:val="15"/>
              </w:rPr>
              <w:t>p</w:t>
            </w:r>
            <w:r>
              <w:rPr>
                <w:rFonts w:hint="eastAsia"/>
                <w:sz w:val="15"/>
                <w:szCs w:val="15"/>
              </w:rPr>
              <w:t>值</w:t>
            </w:r>
          </w:p>
        </w:tc>
        <w:tc>
          <w:tcPr>
            <w:tcW w:w="730" w:type="pct"/>
            <w:tcBorders>
              <w:bottom w:val="single" w:color="000000" w:sz="12" w:space="0"/>
            </w:tcBorders>
            <w:shd w:val="clear" w:color="auto" w:fill="FFFFFF"/>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最优值</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345"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V__TRNSRCH.bsn</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主河道输水损失</w:t>
            </w:r>
          </w:p>
        </w:tc>
        <w:tc>
          <w:tcPr>
            <w:tcW w:w="537"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-12.06 </w:t>
            </w:r>
          </w:p>
        </w:tc>
        <w:tc>
          <w:tcPr>
            <w:tcW w:w="538"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0.00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-0.0783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345"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V__SOL_BD(..).sol</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土壤饱和容重</w:t>
            </w:r>
          </w:p>
        </w:tc>
        <w:tc>
          <w:tcPr>
            <w:tcW w:w="537"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-3.16 </w:t>
            </w:r>
          </w:p>
        </w:tc>
        <w:tc>
          <w:tcPr>
            <w:tcW w:w="538"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0.00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0.9057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345"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V__HRU_SLP.hru</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平均坡度</w:t>
            </w:r>
          </w:p>
        </w:tc>
        <w:tc>
          <w:tcPr>
            <w:tcW w:w="537"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-2.33 </w:t>
            </w:r>
          </w:p>
        </w:tc>
        <w:tc>
          <w:tcPr>
            <w:tcW w:w="538"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0.02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0.1013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345"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V__OV_N.hru</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坡面漫流的曼宁系数</w:t>
            </w:r>
          </w:p>
        </w:tc>
        <w:tc>
          <w:tcPr>
            <w:tcW w:w="537"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-1.57 </w:t>
            </w:r>
          </w:p>
        </w:tc>
        <w:tc>
          <w:tcPr>
            <w:tcW w:w="538"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0.12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0.7071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345"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V__SOL_K(..).sol</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土壤饱和水传导度</w:t>
            </w:r>
          </w:p>
        </w:tc>
        <w:tc>
          <w:tcPr>
            <w:tcW w:w="537"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-1.50 </w:t>
            </w:r>
          </w:p>
        </w:tc>
        <w:tc>
          <w:tcPr>
            <w:tcW w:w="538"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0.13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1275.6541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345"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V__ALPHA_BF.gw</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基流</w:t>
            </w:r>
            <w:r>
              <w:rPr>
                <w:rFonts w:cstheme="minorBidi"/>
                <w:i/>
                <w:iCs/>
                <w:sz w:val="15"/>
                <w:szCs w:val="15"/>
                <w:lang w:bidi="ar"/>
              </w:rPr>
              <w:t>α</w:t>
            </w:r>
            <w:r>
              <w:rPr>
                <w:rFonts w:hint="eastAsia" w:cstheme="minorBidi"/>
                <w:sz w:val="15"/>
                <w:szCs w:val="15"/>
                <w:lang w:bidi="ar"/>
              </w:rPr>
              <w:t>因子</w:t>
            </w:r>
          </w:p>
        </w:tc>
        <w:tc>
          <w:tcPr>
            <w:tcW w:w="537"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-1.46 </w:t>
            </w:r>
          </w:p>
        </w:tc>
        <w:tc>
          <w:tcPr>
            <w:tcW w:w="538"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0.15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0.6511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345"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V__CANMX.hru</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最大冠层截留量</w:t>
            </w:r>
          </w:p>
        </w:tc>
        <w:tc>
          <w:tcPr>
            <w:tcW w:w="537"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1.43 </w:t>
            </w:r>
          </w:p>
        </w:tc>
        <w:tc>
          <w:tcPr>
            <w:tcW w:w="538"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0.15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58.7909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1345"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V__TIMP.bsn</w:t>
            </w:r>
          </w:p>
        </w:tc>
        <w:tc>
          <w:tcPr>
            <w:tcW w:w="1848" w:type="pct"/>
            <w:tcBorders>
              <w:tl2br w:val="nil"/>
              <w:tr2bl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积雪温度滞后系数</w:t>
            </w:r>
          </w:p>
        </w:tc>
        <w:tc>
          <w:tcPr>
            <w:tcW w:w="537"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1.37 </w:t>
            </w:r>
          </w:p>
        </w:tc>
        <w:tc>
          <w:tcPr>
            <w:tcW w:w="538"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0.17 </w:t>
            </w:r>
          </w:p>
        </w:tc>
        <w:tc>
          <w:tcPr>
            <w:tcW w:w="730" w:type="pct"/>
            <w:tcBorders>
              <w:tl2br w:val="nil"/>
              <w:tr2bl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0.9009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345"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R__TLAPS.sub</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温度递减率/</w:t>
            </w:r>
            <w:r>
              <w:rPr>
                <w:rFonts w:cstheme="minorBidi"/>
                <w:sz w:val="15"/>
                <w:szCs w:val="15"/>
                <w:lang w:bidi="ar"/>
              </w:rPr>
              <w:t>℃</w:t>
            </w:r>
            <w:r>
              <w:rPr>
                <w:rFonts w:hint="eastAsia" w:cstheme="minorBidi"/>
                <w:sz w:val="15"/>
                <w:szCs w:val="15"/>
                <w:lang w:bidi="ar"/>
              </w:rPr>
              <w:t>·</w:t>
            </w:r>
            <w:r>
              <w:rPr>
                <w:rFonts w:cstheme="minorBidi"/>
                <w:sz w:val="15"/>
                <w:szCs w:val="15"/>
                <w:lang w:bidi="ar"/>
              </w:rPr>
              <w:t>km</w:t>
            </w:r>
            <w:r>
              <w:rPr>
                <w:rFonts w:hint="eastAsia" w:cstheme="minorBidi"/>
                <w:sz w:val="15"/>
                <w:szCs w:val="15"/>
                <w:vertAlign w:val="superscript"/>
                <w:lang w:bidi="ar"/>
              </w:rPr>
              <w:t>-1</w:t>
            </w:r>
          </w:p>
        </w:tc>
        <w:tc>
          <w:tcPr>
            <w:tcW w:w="537"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1.33 </w:t>
            </w:r>
          </w:p>
        </w:tc>
        <w:tc>
          <w:tcPr>
            <w:tcW w:w="538"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0.18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-0.5320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345"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R__CN2.mgt</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SCS径流曲线数</w:t>
            </w:r>
          </w:p>
        </w:tc>
        <w:tc>
          <w:tcPr>
            <w:tcW w:w="537"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1.31 </w:t>
            </w:r>
          </w:p>
        </w:tc>
        <w:tc>
          <w:tcPr>
            <w:tcW w:w="538"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0.19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-0.0197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1345"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V__SOL_AWC(..).sol</w:t>
            </w:r>
          </w:p>
        </w:tc>
        <w:tc>
          <w:tcPr>
            <w:tcW w:w="1848" w:type="pct"/>
            <w:tcBorders>
              <w:tl2br w:val="nil"/>
              <w:tr2bl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土壤层有效水容量/</w:t>
            </w:r>
            <w:r>
              <w:rPr>
                <w:rFonts w:cstheme="minorBidi"/>
                <w:sz w:val="15"/>
                <w:szCs w:val="15"/>
                <w:lang w:bidi="ar"/>
              </w:rPr>
              <w:t>mm</w:t>
            </w:r>
            <w:r>
              <w:rPr>
                <w:rFonts w:hint="eastAsia" w:cstheme="minorBidi"/>
                <w:sz w:val="15"/>
                <w:szCs w:val="15"/>
                <w:lang w:bidi="ar"/>
              </w:rPr>
              <w:t>·</w:t>
            </w:r>
            <w:r>
              <w:rPr>
                <w:rFonts w:cstheme="minorBidi"/>
                <w:sz w:val="15"/>
                <w:szCs w:val="15"/>
                <w:lang w:bidi="ar"/>
              </w:rPr>
              <w:t>mm</w:t>
            </w:r>
            <w:r>
              <w:rPr>
                <w:rFonts w:hint="eastAsia" w:cstheme="minorBidi"/>
                <w:sz w:val="15"/>
                <w:szCs w:val="15"/>
                <w:vertAlign w:val="superscript"/>
                <w:lang w:bidi="ar"/>
              </w:rPr>
              <w:t>-1</w:t>
            </w:r>
          </w:p>
        </w:tc>
        <w:tc>
          <w:tcPr>
            <w:tcW w:w="537"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-1.31 </w:t>
            </w:r>
          </w:p>
        </w:tc>
        <w:tc>
          <w:tcPr>
            <w:tcW w:w="538"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0.19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0.4480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345"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V__GWQMN.gw</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浅层地下水发生回流阈值</w:t>
            </w:r>
          </w:p>
        </w:tc>
        <w:tc>
          <w:tcPr>
            <w:tcW w:w="537"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1.26 </w:t>
            </w:r>
          </w:p>
        </w:tc>
        <w:tc>
          <w:tcPr>
            <w:tcW w:w="538"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0.21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3569.2285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345"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V__CH_K2.rte</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主河道河床有效水力传导度</w:t>
            </w:r>
            <w:r>
              <w:rPr>
                <w:rFonts w:cstheme="minorBidi"/>
                <w:sz w:val="15"/>
                <w:szCs w:val="15"/>
                <w:lang w:bidi="ar"/>
              </w:rPr>
              <w:t>/mm</w:t>
            </w:r>
            <w:r>
              <w:rPr>
                <w:rFonts w:hint="eastAsia" w:cstheme="minorBidi"/>
                <w:sz w:val="15"/>
                <w:szCs w:val="15"/>
                <w:lang w:bidi="ar"/>
              </w:rPr>
              <w:t>·</w:t>
            </w:r>
            <w:r>
              <w:rPr>
                <w:rFonts w:cstheme="minorBidi"/>
                <w:sz w:val="15"/>
                <w:szCs w:val="15"/>
                <w:lang w:bidi="ar"/>
              </w:rPr>
              <w:t>h</w:t>
            </w:r>
            <w:r>
              <w:rPr>
                <w:rFonts w:hint="eastAsia" w:cstheme="minorBidi"/>
                <w:sz w:val="15"/>
                <w:szCs w:val="15"/>
                <w:vertAlign w:val="superscript"/>
                <w:lang w:bidi="ar"/>
              </w:rPr>
              <w:t>-1</w:t>
            </w:r>
          </w:p>
        </w:tc>
        <w:tc>
          <w:tcPr>
            <w:tcW w:w="537"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1.11 </w:t>
            </w:r>
          </w:p>
        </w:tc>
        <w:tc>
          <w:tcPr>
            <w:tcW w:w="538"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0.27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368.0460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345"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V__CH_N2.rte</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主河道河床曼宁系数</w:t>
            </w:r>
          </w:p>
        </w:tc>
        <w:tc>
          <w:tcPr>
            <w:tcW w:w="537"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0.97 </w:t>
            </w:r>
          </w:p>
        </w:tc>
        <w:tc>
          <w:tcPr>
            <w:tcW w:w="538"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0.33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0.2657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345"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V__REVAPMN.gw</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渗透到深层防水层的阈值深度/</w:t>
            </w:r>
            <w:r>
              <w:rPr>
                <w:rFonts w:cstheme="minorBidi"/>
                <w:sz w:val="15"/>
                <w:szCs w:val="15"/>
                <w:lang w:bidi="ar"/>
              </w:rPr>
              <w:t>mm</w:t>
            </w:r>
          </w:p>
        </w:tc>
        <w:tc>
          <w:tcPr>
            <w:tcW w:w="537"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0.91 </w:t>
            </w:r>
          </w:p>
        </w:tc>
        <w:tc>
          <w:tcPr>
            <w:tcW w:w="538"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0.36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244.5176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1345"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V__SFTMP.bsn</w:t>
            </w:r>
          </w:p>
        </w:tc>
        <w:tc>
          <w:tcPr>
            <w:tcW w:w="1848" w:type="pct"/>
            <w:tcBorders>
              <w:tl2br w:val="nil"/>
              <w:tr2bl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降雪温度/</w:t>
            </w:r>
            <w:r>
              <w:rPr>
                <w:rFonts w:cstheme="minorBidi"/>
                <w:sz w:val="15"/>
                <w:szCs w:val="15"/>
                <w:lang w:bidi="ar"/>
              </w:rPr>
              <w:t>℃</w:t>
            </w:r>
          </w:p>
        </w:tc>
        <w:tc>
          <w:tcPr>
            <w:tcW w:w="537"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-0.89 </w:t>
            </w:r>
          </w:p>
        </w:tc>
        <w:tc>
          <w:tcPr>
            <w:tcW w:w="538"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0.38 </w:t>
            </w:r>
          </w:p>
        </w:tc>
        <w:tc>
          <w:tcPr>
            <w:tcW w:w="730" w:type="pct"/>
            <w:tcBorders>
              <w:tl2br w:val="nil"/>
              <w:tr2bl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-9.3872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345"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R__SURLAG.bsn</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地表径流滞后系数</w:t>
            </w:r>
          </w:p>
        </w:tc>
        <w:tc>
          <w:tcPr>
            <w:tcW w:w="537"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-0.80 </w:t>
            </w:r>
          </w:p>
        </w:tc>
        <w:tc>
          <w:tcPr>
            <w:tcW w:w="538" w:type="pct"/>
            <w:tcBorders>
              <w:tl2br w:val="nil"/>
              <w:tr2bl w:val="nil"/>
            </w:tcBorders>
            <w:shd w:val="clear" w:color="auto" w:fill="auto"/>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0.42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7.7113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345"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V__EVRCH.bsn</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河道蒸发量系数</w:t>
            </w:r>
          </w:p>
        </w:tc>
        <w:tc>
          <w:tcPr>
            <w:tcW w:w="537"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0.79 </w:t>
            </w:r>
          </w:p>
        </w:tc>
        <w:tc>
          <w:tcPr>
            <w:tcW w:w="53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0.43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0.5446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345"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V__EPCO.bsn</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植物吸收补偿因子</w:t>
            </w:r>
          </w:p>
        </w:tc>
        <w:tc>
          <w:tcPr>
            <w:tcW w:w="537"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-0.70 </w:t>
            </w:r>
          </w:p>
        </w:tc>
        <w:tc>
          <w:tcPr>
            <w:tcW w:w="53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0.48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0.4995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345"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V__CH_N1.sub</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支流河道曼宁值</w:t>
            </w:r>
          </w:p>
        </w:tc>
        <w:tc>
          <w:tcPr>
            <w:tcW w:w="537"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-0.57 </w:t>
            </w:r>
          </w:p>
        </w:tc>
        <w:tc>
          <w:tcPr>
            <w:tcW w:w="53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0.57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10.5611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345"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R__SLSUBBSN.hru</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平均坡长</w:t>
            </w:r>
          </w:p>
        </w:tc>
        <w:tc>
          <w:tcPr>
            <w:tcW w:w="537"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-0.37 </w:t>
            </w:r>
          </w:p>
        </w:tc>
        <w:tc>
          <w:tcPr>
            <w:tcW w:w="53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0.71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53.9208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345"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R__SMTMP.bsn</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融雪基温/</w:t>
            </w:r>
            <w:r>
              <w:rPr>
                <w:rFonts w:cstheme="minorBidi"/>
                <w:sz w:val="15"/>
                <w:szCs w:val="15"/>
                <w:lang w:bidi="ar"/>
              </w:rPr>
              <w:t>℃</w:t>
            </w:r>
          </w:p>
        </w:tc>
        <w:tc>
          <w:tcPr>
            <w:tcW w:w="537"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-0.33 </w:t>
            </w:r>
          </w:p>
        </w:tc>
        <w:tc>
          <w:tcPr>
            <w:tcW w:w="53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0.74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-7.8715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345"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V__SMFMX.bsn</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6</w:t>
            </w:r>
            <w:r>
              <w:rPr>
                <w:rFonts w:hint="eastAsia" w:cstheme="minorBidi"/>
                <w:sz w:val="15"/>
                <w:szCs w:val="15"/>
                <w:lang w:bidi="ar"/>
              </w:rPr>
              <w:t>月</w:t>
            </w:r>
            <w:r>
              <w:rPr>
                <w:rFonts w:cstheme="minorBidi"/>
                <w:sz w:val="15"/>
                <w:szCs w:val="15"/>
                <w:lang w:bidi="ar"/>
              </w:rPr>
              <w:t>21</w:t>
            </w:r>
            <w:r>
              <w:rPr>
                <w:rFonts w:hint="eastAsia" w:cstheme="minorBidi"/>
                <w:sz w:val="15"/>
                <w:szCs w:val="15"/>
                <w:lang w:bidi="ar"/>
              </w:rPr>
              <w:t>日的融雪因子</w:t>
            </w:r>
          </w:p>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/mm</w:t>
            </w:r>
            <w:r>
              <w:rPr>
                <w:rFonts w:hint="eastAsia" w:cstheme="minorBidi"/>
                <w:sz w:val="15"/>
                <w:szCs w:val="15"/>
                <w:lang w:bidi="ar"/>
              </w:rPr>
              <w:t>·（</w:t>
            </w:r>
            <w:r>
              <w:rPr>
                <w:rFonts w:cstheme="minorBidi"/>
                <w:sz w:val="15"/>
                <w:szCs w:val="15"/>
                <w:lang w:bidi="ar"/>
              </w:rPr>
              <w:t>℃·d</w:t>
            </w:r>
            <w:r>
              <w:rPr>
                <w:rFonts w:hint="eastAsia" w:cstheme="minorBidi"/>
                <w:sz w:val="15"/>
                <w:szCs w:val="15"/>
                <w:lang w:bidi="ar"/>
              </w:rPr>
              <w:t>）</w:t>
            </w:r>
            <w:r>
              <w:rPr>
                <w:rFonts w:hint="eastAsia" w:cstheme="minorBidi"/>
                <w:sz w:val="15"/>
                <w:szCs w:val="15"/>
                <w:vertAlign w:val="superscript"/>
                <w:lang w:bidi="ar"/>
              </w:rPr>
              <w:t>-1</w:t>
            </w:r>
          </w:p>
        </w:tc>
        <w:tc>
          <w:tcPr>
            <w:tcW w:w="537"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-0.32 </w:t>
            </w:r>
          </w:p>
        </w:tc>
        <w:tc>
          <w:tcPr>
            <w:tcW w:w="53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0.75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14.4630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345"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R__CH_K1.sub</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支流冲积层有效渗透系数</w:t>
            </w:r>
          </w:p>
        </w:tc>
        <w:tc>
          <w:tcPr>
            <w:tcW w:w="537"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-0.26 </w:t>
            </w:r>
          </w:p>
        </w:tc>
        <w:tc>
          <w:tcPr>
            <w:tcW w:w="53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0.80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34.9263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345"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V__SMFMN.bsn</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12</w:t>
            </w:r>
            <w:r>
              <w:rPr>
                <w:rFonts w:hint="eastAsia" w:cstheme="minorBidi"/>
                <w:sz w:val="15"/>
                <w:szCs w:val="15"/>
                <w:lang w:bidi="ar"/>
              </w:rPr>
              <w:t>月</w:t>
            </w:r>
            <w:r>
              <w:rPr>
                <w:rFonts w:cstheme="minorBidi"/>
                <w:sz w:val="15"/>
                <w:szCs w:val="15"/>
                <w:lang w:bidi="ar"/>
              </w:rPr>
              <w:t>21</w:t>
            </w:r>
            <w:r>
              <w:rPr>
                <w:rFonts w:hint="eastAsia" w:cstheme="minorBidi"/>
                <w:sz w:val="15"/>
                <w:szCs w:val="15"/>
                <w:lang w:bidi="ar"/>
              </w:rPr>
              <w:t>日的融雪因子</w:t>
            </w:r>
          </w:p>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/mm</w:t>
            </w:r>
            <w:r>
              <w:rPr>
                <w:rFonts w:hint="eastAsia" w:cstheme="minorBidi"/>
                <w:sz w:val="15"/>
                <w:szCs w:val="15"/>
                <w:lang w:bidi="ar"/>
              </w:rPr>
              <w:t>·（</w:t>
            </w:r>
            <w:r>
              <w:rPr>
                <w:rFonts w:cstheme="minorBidi"/>
                <w:sz w:val="15"/>
                <w:szCs w:val="15"/>
                <w:lang w:bidi="ar"/>
              </w:rPr>
              <w:t>℃·d</w:t>
            </w:r>
            <w:r>
              <w:rPr>
                <w:rFonts w:hint="eastAsia" w:cstheme="minorBidi"/>
                <w:sz w:val="15"/>
                <w:szCs w:val="15"/>
                <w:lang w:bidi="ar"/>
              </w:rPr>
              <w:t>）</w:t>
            </w:r>
            <w:r>
              <w:rPr>
                <w:rFonts w:hint="eastAsia" w:cstheme="minorBidi"/>
                <w:sz w:val="15"/>
                <w:szCs w:val="15"/>
                <w:vertAlign w:val="superscript"/>
                <w:lang w:bidi="ar"/>
              </w:rPr>
              <w:t>-1</w:t>
            </w:r>
          </w:p>
        </w:tc>
        <w:tc>
          <w:tcPr>
            <w:tcW w:w="537"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-0.22 </w:t>
            </w:r>
          </w:p>
        </w:tc>
        <w:tc>
          <w:tcPr>
            <w:tcW w:w="53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0.83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17.1478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345"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V__ESCO.bsn</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土壤蒸发补偿系数</w:t>
            </w:r>
          </w:p>
        </w:tc>
        <w:tc>
          <w:tcPr>
            <w:tcW w:w="537"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-0.22 </w:t>
            </w:r>
          </w:p>
        </w:tc>
        <w:tc>
          <w:tcPr>
            <w:tcW w:w="53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0.83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0.9527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345"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R__USLE_P.mgt</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USLE水土保持措施因子</w:t>
            </w:r>
          </w:p>
        </w:tc>
        <w:tc>
          <w:tcPr>
            <w:tcW w:w="537"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-0.14 </w:t>
            </w:r>
          </w:p>
        </w:tc>
        <w:tc>
          <w:tcPr>
            <w:tcW w:w="53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0.89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0.5557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345"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V__GW_DELAY.gw</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地下水延迟系数</w:t>
            </w:r>
          </w:p>
        </w:tc>
        <w:tc>
          <w:tcPr>
            <w:tcW w:w="537"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0.06 </w:t>
            </w:r>
          </w:p>
        </w:tc>
        <w:tc>
          <w:tcPr>
            <w:tcW w:w="53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0.95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307.3560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345"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V__ALPHA_BNK.rte</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河岸基流</w:t>
            </w:r>
            <w:r>
              <w:rPr>
                <w:rFonts w:cstheme="minorBidi"/>
                <w:i/>
                <w:iCs/>
                <w:sz w:val="15"/>
                <w:szCs w:val="15"/>
                <w:lang w:bidi="ar"/>
              </w:rPr>
              <w:t>α</w:t>
            </w:r>
            <w:r>
              <w:rPr>
                <w:rFonts w:hint="eastAsia" w:cstheme="minorBidi"/>
                <w:sz w:val="15"/>
                <w:szCs w:val="15"/>
                <w:lang w:bidi="ar"/>
              </w:rPr>
              <w:t>因子</w:t>
            </w:r>
          </w:p>
        </w:tc>
        <w:tc>
          <w:tcPr>
            <w:tcW w:w="537"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-0.04 </w:t>
            </w:r>
          </w:p>
        </w:tc>
        <w:tc>
          <w:tcPr>
            <w:tcW w:w="53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0.97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0.8071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345"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V__TRNSRCH.bsn</w:t>
            </w:r>
          </w:p>
        </w:tc>
        <w:tc>
          <w:tcPr>
            <w:tcW w:w="184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hint="eastAsia" w:cstheme="minorBidi"/>
                <w:sz w:val="15"/>
                <w:szCs w:val="15"/>
                <w:lang w:bidi="ar"/>
              </w:rPr>
              <w:t>主河道输水损失</w:t>
            </w:r>
          </w:p>
        </w:tc>
        <w:tc>
          <w:tcPr>
            <w:tcW w:w="537"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-12.06 </w:t>
            </w:r>
          </w:p>
        </w:tc>
        <w:tc>
          <w:tcPr>
            <w:tcW w:w="538"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0.00 </w:t>
            </w:r>
          </w:p>
        </w:tc>
        <w:tc>
          <w:tcPr>
            <w:tcW w:w="730" w:type="pct"/>
            <w:tcBorders>
              <w:tl2br w:val="nil"/>
              <w:tr2bl w:val="nil"/>
            </w:tcBorders>
            <w:shd w:val="clear" w:color="auto" w:fill="FFFFFF"/>
            <w:vAlign w:val="bottom"/>
          </w:tcPr>
          <w:p>
            <w:pPr>
              <w:pStyle w:val="29"/>
              <w:pageBreakBefore w:val="0"/>
              <w:kinsoku/>
              <w:overflowPunct/>
              <w:autoSpaceDE/>
              <w:autoSpaceDN/>
              <w:bidi w:val="0"/>
              <w:adjustRightInd/>
              <w:spacing w:after="0" w:line="240" w:lineRule="auto"/>
              <w:textAlignment w:val="auto"/>
              <w:rPr>
                <w:rFonts w:cstheme="minorBidi"/>
                <w:sz w:val="15"/>
                <w:szCs w:val="15"/>
                <w:lang w:bidi="ar"/>
              </w:rPr>
            </w:pPr>
            <w:r>
              <w:rPr>
                <w:rFonts w:cstheme="minorBidi"/>
                <w:sz w:val="15"/>
                <w:szCs w:val="15"/>
                <w:lang w:bidi="ar"/>
              </w:rPr>
              <w:t xml:space="preserve">-0.0783 </w:t>
            </w:r>
          </w:p>
        </w:tc>
      </w:tr>
    </w:tbl>
    <w:p>
      <w:pPr>
        <w:pageBreakBefore w:val="0"/>
        <w:kinsoku/>
        <w:overflowPunct/>
        <w:autoSpaceDE/>
        <w:autoSpaceDN/>
        <w:bidi w:val="0"/>
        <w:adjustRightInd/>
        <w:spacing w:after="0" w:line="240" w:lineRule="auto"/>
        <w:ind w:firstLine="0" w:firstLineChars="0"/>
        <w:textAlignment w:val="auto"/>
        <w:rPr>
          <w:b/>
          <w:bCs/>
        </w:rPr>
      </w:pPr>
      <w:r>
        <w:rPr>
          <w:rFonts w:hint="eastAsia"/>
          <w:b/>
          <w:bCs/>
        </w:rPr>
        <w:t>3.2.2率定验证结果</w:t>
      </w:r>
    </w:p>
    <w:p>
      <w:pPr>
        <w:pageBreakBefore w:val="0"/>
        <w:kinsoku/>
        <w:overflowPunct/>
        <w:autoSpaceDE/>
        <w:autoSpaceDN/>
        <w:bidi w:val="0"/>
        <w:adjustRightInd/>
        <w:spacing w:after="0" w:line="240" w:lineRule="auto"/>
        <w:ind w:firstLine="420"/>
        <w:textAlignment w:val="auto"/>
      </w:pPr>
      <w:r>
        <w:rPr>
          <w:rFonts w:eastAsia="宋体" w:cs="Times New Roman"/>
        </w:rPr>
        <w:t>针对</w:t>
      </w:r>
      <w:r>
        <w:rPr>
          <w:rFonts w:hint="eastAsia" w:eastAsia="宋体" w:cs="Times New Roman"/>
        </w:rPr>
        <w:t>水源区SWAT</w:t>
      </w:r>
      <w:r>
        <w:rPr>
          <w:rFonts w:eastAsia="宋体" w:cs="Times New Roman"/>
        </w:rPr>
        <w:t>模型的径流模拟结果，采用三项指标开展评估，分别为决定性系数（</w:t>
      </w:r>
      <w:r>
        <w:rPr>
          <w:rFonts w:eastAsia="宋体" w:cs="Times New Roman"/>
          <w:i/>
          <w:iCs/>
        </w:rPr>
        <w:t>R²</w:t>
      </w:r>
      <w:r>
        <w:rPr>
          <w:rFonts w:eastAsia="宋体" w:cs="Times New Roman"/>
        </w:rPr>
        <w:t>）、纳什效率系数（</w:t>
      </w:r>
      <w:r>
        <w:rPr>
          <w:rFonts w:eastAsia="宋体" w:cs="Times New Roman"/>
          <w:i/>
          <w:iCs/>
        </w:rPr>
        <w:t>NS</w:t>
      </w:r>
      <w:r>
        <w:rPr>
          <w:rFonts w:eastAsia="宋体" w:cs="Times New Roman"/>
        </w:rPr>
        <w:t>）与标准误差比率（</w:t>
      </w:r>
      <w:r>
        <w:rPr>
          <w:rFonts w:eastAsia="宋体" w:cs="Times New Roman"/>
          <w:i/>
          <w:iCs/>
        </w:rPr>
        <w:t>RSR</w:t>
      </w:r>
      <w:r>
        <w:rPr>
          <w:rFonts w:eastAsia="宋体" w:cs="Times New Roman"/>
        </w:rPr>
        <w:t>）。</w:t>
      </w:r>
      <w:r>
        <w:rPr>
          <w:rFonts w:hint="eastAsia" w:eastAsia="宋体" w:cs="Times New Roman"/>
        </w:rPr>
        <w:t>基于</w:t>
      </w:r>
      <w:r>
        <w:rPr>
          <w:rFonts w:hint="eastAsia" w:ascii="宋体" w:hAnsi="宋体"/>
        </w:rPr>
        <w:t>汉中、安康和白河三个水文</w:t>
      </w:r>
      <w:r>
        <w:rPr>
          <w:rStyle w:val="39"/>
          <w:rFonts w:hint="eastAsia"/>
        </w:rPr>
        <w:t>站实测的月径流数据对南水北调中线工程水源区径流模拟值进行率定与验证。</w:t>
      </w:r>
      <w:r>
        <w:rPr>
          <w:rFonts w:hint="eastAsia"/>
        </w:rPr>
        <w:t>三站率定期（</w:t>
      </w:r>
      <w:r>
        <w:rPr>
          <w:rFonts w:cs="Times New Roman"/>
        </w:rPr>
        <w:t>1972</w:t>
      </w:r>
      <w:r>
        <w:rPr>
          <w:rFonts w:cs="Times New Roman"/>
          <w:lang w:val="en"/>
        </w:rPr>
        <w:t>—20</w:t>
      </w:r>
      <w:r>
        <w:rPr>
          <w:rFonts w:hint="eastAsia" w:cs="Times New Roman"/>
        </w:rPr>
        <w:t>06年</w:t>
      </w:r>
      <w:r>
        <w:rPr>
          <w:rFonts w:hint="eastAsia"/>
        </w:rPr>
        <w:t>）和验证期（</w:t>
      </w:r>
      <w:r>
        <w:rPr>
          <w:rFonts w:cs="Times New Roman"/>
        </w:rPr>
        <w:t>200</w:t>
      </w:r>
      <w:r>
        <w:rPr>
          <w:rFonts w:hint="eastAsia" w:cs="Times New Roman"/>
        </w:rPr>
        <w:t>7</w:t>
      </w:r>
      <w:r>
        <w:rPr>
          <w:rFonts w:cs="Times New Roman"/>
          <w:lang w:val="en"/>
        </w:rPr>
        <w:t>—20</w:t>
      </w:r>
      <w:r>
        <w:rPr>
          <w:rFonts w:hint="eastAsia" w:cs="Times New Roman"/>
        </w:rPr>
        <w:t>20年</w:t>
      </w:r>
      <w:r>
        <w:rPr>
          <w:rFonts w:hint="eastAsia"/>
        </w:rPr>
        <w:t>）的径流模拟值和实测值对比情况如图3—图5所示，表4所示为率定期和验证期三站的模型精度评价指标值。由表4可以看出水源区三个水文站率定期</w:t>
      </w:r>
      <w:r>
        <w:rPr>
          <w:rFonts w:hint="eastAsia"/>
          <w:i/>
          <w:iCs/>
        </w:rPr>
        <w:t>R</w:t>
      </w:r>
      <w:r>
        <w:rPr>
          <w:vertAlign w:val="superscript"/>
        </w:rPr>
        <w:t>2</w:t>
      </w:r>
      <w:r>
        <w:rPr>
          <w:rFonts w:hint="eastAsia"/>
        </w:rPr>
        <w:t>均大于0</w:t>
      </w:r>
      <w:r>
        <w:t>.</w:t>
      </w:r>
      <w:r>
        <w:rPr>
          <w:rFonts w:hint="eastAsia"/>
        </w:rPr>
        <w:t>85，</w:t>
      </w:r>
      <w:r>
        <w:rPr>
          <w:rFonts w:hint="eastAsia"/>
          <w:i/>
          <w:iCs/>
        </w:rPr>
        <w:t>NSE</w:t>
      </w:r>
      <w:r>
        <w:rPr>
          <w:rFonts w:hint="eastAsia"/>
        </w:rPr>
        <w:t>均大于0</w:t>
      </w:r>
      <w:r>
        <w:t>.75</w:t>
      </w:r>
      <w:r>
        <w:rPr>
          <w:rFonts w:hint="eastAsia"/>
        </w:rPr>
        <w:t>，</w:t>
      </w:r>
      <w:r>
        <w:rPr>
          <w:rFonts w:hint="eastAsia"/>
          <w:i/>
          <w:iCs/>
        </w:rPr>
        <w:t>RSR</w:t>
      </w:r>
      <w:r>
        <w:rPr>
          <w:rFonts w:hint="eastAsia"/>
        </w:rPr>
        <w:t>均小于0</w:t>
      </w:r>
      <w:r>
        <w:t>.5</w:t>
      </w:r>
      <w:r>
        <w:rPr>
          <w:rFonts w:hint="eastAsia"/>
        </w:rPr>
        <w:t>；验证期</w:t>
      </w:r>
      <w:r>
        <w:rPr>
          <w:rFonts w:hint="eastAsia"/>
          <w:i/>
          <w:iCs/>
        </w:rPr>
        <w:t>R</w:t>
      </w:r>
      <w:r>
        <w:rPr>
          <w:rFonts w:hint="eastAsia"/>
          <w:vertAlign w:val="superscript"/>
        </w:rPr>
        <w:t>2</w:t>
      </w:r>
      <w:r>
        <w:rPr>
          <w:rFonts w:hint="eastAsia"/>
        </w:rPr>
        <w:t>均大于0</w:t>
      </w:r>
      <w:r>
        <w:t>.</w:t>
      </w:r>
      <w:r>
        <w:rPr>
          <w:rFonts w:hint="eastAsia"/>
        </w:rPr>
        <w:t>85，</w:t>
      </w:r>
      <w:r>
        <w:rPr>
          <w:rFonts w:hint="eastAsia"/>
          <w:i/>
          <w:iCs/>
        </w:rPr>
        <w:t>N</w:t>
      </w:r>
      <w:r>
        <w:rPr>
          <w:i/>
          <w:iCs/>
        </w:rPr>
        <w:t>SE</w:t>
      </w:r>
      <w:r>
        <w:rPr>
          <w:rFonts w:hint="eastAsia"/>
        </w:rPr>
        <w:t>均大于0</w:t>
      </w:r>
      <w:r>
        <w:t>.</w:t>
      </w:r>
      <w:r>
        <w:rPr>
          <w:rFonts w:hint="eastAsia"/>
        </w:rPr>
        <w:t>8，</w:t>
      </w:r>
      <w:r>
        <w:rPr>
          <w:rFonts w:hint="eastAsia"/>
          <w:i/>
          <w:iCs/>
        </w:rPr>
        <w:t>RSR</w:t>
      </w:r>
      <w:r>
        <w:rPr>
          <w:rFonts w:hint="eastAsia"/>
        </w:rPr>
        <w:t>均小于0</w:t>
      </w:r>
      <w:r>
        <w:t>.5</w:t>
      </w:r>
      <w:r>
        <w:rPr>
          <w:rFonts w:hint="eastAsia"/>
        </w:rPr>
        <w:t>，模型对大小降水事件的响应及时且灵敏，模拟值与实测值整体吻合较好，表现出良好的径流模拟能力，可用于进一步分析水源区未来时期不同气候情景下水文干旱演变趋势。</w:t>
      </w:r>
    </w:p>
    <w:p>
      <w:pPr>
        <w:pStyle w:val="30"/>
        <w:keepNext w:val="0"/>
        <w:pageBreakBefore w:val="0"/>
        <w:kinsoku/>
        <w:overflowPunct/>
        <w:autoSpaceDE/>
        <w:autoSpaceDN/>
        <w:bidi w:val="0"/>
        <w:adjustRightInd/>
        <w:spacing w:before="0" w:after="0" w:line="240" w:lineRule="auto"/>
        <w:textAlignment w:val="auto"/>
      </w:pPr>
      <w:r>
        <w:t>表</w:t>
      </w:r>
      <w:r>
        <w:rPr>
          <w:rFonts w:hint="eastAsia"/>
        </w:rPr>
        <w:t xml:space="preserve"> </w:t>
      </w:r>
      <w:r>
        <w:t>4 率定</w:t>
      </w:r>
      <w:r>
        <w:rPr>
          <w:rFonts w:hint="eastAsia"/>
        </w:rPr>
        <w:t>期</w:t>
      </w:r>
      <w:r>
        <w:t>与验证期月径流模拟评价结果</w:t>
      </w:r>
    </w:p>
    <w:p>
      <w:pPr>
        <w:pStyle w:val="30"/>
        <w:pageBreakBefore w:val="0"/>
        <w:kinsoku/>
        <w:overflowPunct/>
        <w:autoSpaceDE/>
        <w:autoSpaceDN/>
        <w:bidi w:val="0"/>
        <w:adjustRightInd/>
        <w:spacing w:before="0" w:after="0" w:line="240" w:lineRule="auto"/>
        <w:textAlignment w:val="auto"/>
      </w:pPr>
      <w:r>
        <w:rPr>
          <w:rFonts w:hint="eastAsia"/>
        </w:rPr>
        <w:t>Table 4 Evaluation results of monthly runoff simulation during calibration and validation periods</w:t>
      </w:r>
    </w:p>
    <w:tbl>
      <w:tblPr>
        <w:tblStyle w:val="40"/>
        <w:tblW w:w="4998"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13"/>
        <w:gridCol w:w="1113"/>
        <w:gridCol w:w="1169"/>
        <w:gridCol w:w="1171"/>
        <w:gridCol w:w="1113"/>
        <w:gridCol w:w="1169"/>
        <w:gridCol w:w="1171"/>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47" w:type="pct"/>
            <w:vMerge w:val="restart"/>
            <w:tcBorders>
              <w:bottom w:val="nil"/>
            </w:tcBorders>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站点</w:t>
            </w:r>
          </w:p>
        </w:tc>
        <w:tc>
          <w:tcPr>
            <w:tcW w:w="2026" w:type="pct"/>
            <w:gridSpan w:val="3"/>
            <w:tcBorders>
              <w:bottom w:val="single" w:color="auto" w:sz="12" w:space="0"/>
            </w:tcBorders>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率定期</w:t>
            </w:r>
          </w:p>
        </w:tc>
        <w:tc>
          <w:tcPr>
            <w:tcW w:w="2026" w:type="pct"/>
            <w:gridSpan w:val="3"/>
            <w:tcBorders>
              <w:bottom w:val="single" w:color="auto" w:sz="12" w:space="0"/>
            </w:tcBorders>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验证期</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47" w:type="pct"/>
            <w:vMerge w:val="continue"/>
            <w:tcBorders>
              <w:top w:val="nil"/>
              <w:bottom w:val="single" w:color="auto" w:sz="12" w:space="0"/>
            </w:tcBorders>
            <w:vAlign w:val="center"/>
          </w:tcPr>
          <w:p>
            <w:pPr>
              <w:pStyle w:val="29"/>
              <w:pageBreakBefore w:val="0"/>
              <w:kinsoku/>
              <w:overflowPunct/>
              <w:autoSpaceDE/>
              <w:autoSpaceDN/>
              <w:bidi w:val="0"/>
              <w:adjustRightInd/>
              <w:spacing w:after="0" w:line="240" w:lineRule="auto"/>
              <w:textAlignment w:val="auto"/>
              <w:rPr>
                <w:sz w:val="15"/>
                <w:szCs w:val="15"/>
              </w:rPr>
            </w:pPr>
          </w:p>
        </w:tc>
        <w:tc>
          <w:tcPr>
            <w:tcW w:w="653" w:type="pct"/>
            <w:tcBorders>
              <w:top w:val="single" w:color="auto" w:sz="12" w:space="0"/>
              <w:bottom w:val="single" w:color="auto" w:sz="12" w:space="0"/>
            </w:tcBorders>
            <w:vAlign w:val="center"/>
          </w:tcPr>
          <w:p>
            <w:pPr>
              <w:pStyle w:val="29"/>
              <w:pageBreakBefore w:val="0"/>
              <w:kinsoku/>
              <w:overflowPunct/>
              <w:autoSpaceDE/>
              <w:autoSpaceDN/>
              <w:bidi w:val="0"/>
              <w:adjustRightInd/>
              <w:spacing w:after="0" w:line="240" w:lineRule="auto"/>
              <w:textAlignment w:val="auto"/>
              <w:rPr>
                <w:rFonts w:cstheme="minorBidi"/>
                <w:i/>
                <w:iCs/>
                <w:sz w:val="15"/>
                <w:szCs w:val="15"/>
              </w:rPr>
            </w:pPr>
            <w:r>
              <w:rPr>
                <w:rFonts w:hint="eastAsia" w:cstheme="minorBidi"/>
                <w:i/>
                <w:iCs/>
                <w:sz w:val="15"/>
                <w:szCs w:val="15"/>
              </w:rPr>
              <w:t>R</w:t>
            </w:r>
            <w:r>
              <w:rPr>
                <w:rFonts w:hint="eastAsia" w:cstheme="minorBidi"/>
                <w:i/>
                <w:iCs/>
                <w:sz w:val="15"/>
                <w:szCs w:val="15"/>
                <w:vertAlign w:val="superscript"/>
              </w:rPr>
              <w:t>2</w:t>
            </w:r>
          </w:p>
        </w:tc>
        <w:tc>
          <w:tcPr>
            <w:tcW w:w="686" w:type="pct"/>
            <w:tcBorders>
              <w:top w:val="single" w:color="auto" w:sz="12" w:space="0"/>
              <w:bottom w:val="single" w:color="auto" w:sz="12" w:space="0"/>
            </w:tcBorders>
            <w:vAlign w:val="center"/>
          </w:tcPr>
          <w:p>
            <w:pPr>
              <w:pStyle w:val="29"/>
              <w:pageBreakBefore w:val="0"/>
              <w:kinsoku/>
              <w:overflowPunct/>
              <w:autoSpaceDE/>
              <w:autoSpaceDN/>
              <w:bidi w:val="0"/>
              <w:adjustRightInd/>
              <w:spacing w:after="0" w:line="240" w:lineRule="auto"/>
              <w:textAlignment w:val="auto"/>
              <w:rPr>
                <w:rFonts w:cstheme="minorBidi"/>
                <w:i/>
                <w:iCs/>
                <w:sz w:val="15"/>
                <w:szCs w:val="15"/>
              </w:rPr>
            </w:pPr>
            <w:r>
              <w:rPr>
                <w:rFonts w:hint="eastAsia" w:cstheme="minorBidi"/>
                <w:i/>
                <w:iCs/>
                <w:sz w:val="15"/>
                <w:szCs w:val="15"/>
              </w:rPr>
              <w:t>NSE</w:t>
            </w:r>
          </w:p>
        </w:tc>
        <w:tc>
          <w:tcPr>
            <w:tcW w:w="686" w:type="pct"/>
            <w:tcBorders>
              <w:top w:val="single" w:color="auto" w:sz="12" w:space="0"/>
              <w:bottom w:val="single" w:color="auto" w:sz="12" w:space="0"/>
            </w:tcBorders>
            <w:vAlign w:val="center"/>
          </w:tcPr>
          <w:p>
            <w:pPr>
              <w:pStyle w:val="29"/>
              <w:pageBreakBefore w:val="0"/>
              <w:kinsoku/>
              <w:overflowPunct/>
              <w:autoSpaceDE/>
              <w:autoSpaceDN/>
              <w:bidi w:val="0"/>
              <w:adjustRightInd/>
              <w:spacing w:after="0" w:line="240" w:lineRule="auto"/>
              <w:textAlignment w:val="auto"/>
              <w:rPr>
                <w:rFonts w:cstheme="minorBidi"/>
                <w:i/>
                <w:iCs/>
                <w:sz w:val="15"/>
                <w:szCs w:val="15"/>
              </w:rPr>
            </w:pPr>
            <w:r>
              <w:rPr>
                <w:rFonts w:hint="eastAsia" w:cstheme="minorBidi"/>
                <w:i/>
                <w:iCs/>
                <w:sz w:val="15"/>
                <w:szCs w:val="15"/>
              </w:rPr>
              <w:t>RSR</w:t>
            </w:r>
          </w:p>
        </w:tc>
        <w:tc>
          <w:tcPr>
            <w:tcW w:w="653" w:type="pct"/>
            <w:tcBorders>
              <w:top w:val="single" w:color="auto" w:sz="12" w:space="0"/>
              <w:bottom w:val="single" w:color="auto" w:sz="12" w:space="0"/>
            </w:tcBorders>
            <w:vAlign w:val="center"/>
          </w:tcPr>
          <w:p>
            <w:pPr>
              <w:pStyle w:val="29"/>
              <w:pageBreakBefore w:val="0"/>
              <w:kinsoku/>
              <w:overflowPunct/>
              <w:autoSpaceDE/>
              <w:autoSpaceDN/>
              <w:bidi w:val="0"/>
              <w:adjustRightInd/>
              <w:spacing w:after="0" w:line="240" w:lineRule="auto"/>
              <w:textAlignment w:val="auto"/>
              <w:rPr>
                <w:rFonts w:cstheme="minorBidi"/>
                <w:i/>
                <w:iCs/>
                <w:sz w:val="15"/>
                <w:szCs w:val="15"/>
              </w:rPr>
            </w:pPr>
            <w:r>
              <w:rPr>
                <w:rFonts w:hint="eastAsia" w:cstheme="minorBidi"/>
                <w:i/>
                <w:iCs/>
                <w:sz w:val="15"/>
                <w:szCs w:val="15"/>
              </w:rPr>
              <w:t>R</w:t>
            </w:r>
            <w:r>
              <w:rPr>
                <w:rFonts w:hint="eastAsia" w:cstheme="minorBidi"/>
                <w:i/>
                <w:iCs/>
                <w:sz w:val="15"/>
                <w:szCs w:val="15"/>
                <w:vertAlign w:val="superscript"/>
              </w:rPr>
              <w:t>2</w:t>
            </w:r>
          </w:p>
        </w:tc>
        <w:tc>
          <w:tcPr>
            <w:tcW w:w="686" w:type="pct"/>
            <w:tcBorders>
              <w:top w:val="single" w:color="auto" w:sz="12" w:space="0"/>
              <w:bottom w:val="single" w:color="auto" w:sz="12" w:space="0"/>
            </w:tcBorders>
            <w:vAlign w:val="center"/>
          </w:tcPr>
          <w:p>
            <w:pPr>
              <w:pStyle w:val="29"/>
              <w:pageBreakBefore w:val="0"/>
              <w:kinsoku/>
              <w:overflowPunct/>
              <w:autoSpaceDE/>
              <w:autoSpaceDN/>
              <w:bidi w:val="0"/>
              <w:adjustRightInd/>
              <w:spacing w:after="0" w:line="240" w:lineRule="auto"/>
              <w:textAlignment w:val="auto"/>
              <w:rPr>
                <w:rFonts w:cstheme="minorBidi"/>
                <w:i/>
                <w:iCs/>
                <w:sz w:val="15"/>
                <w:szCs w:val="15"/>
              </w:rPr>
            </w:pPr>
            <w:r>
              <w:rPr>
                <w:rFonts w:hint="eastAsia" w:cstheme="minorBidi"/>
                <w:i/>
                <w:iCs/>
                <w:sz w:val="15"/>
                <w:szCs w:val="15"/>
              </w:rPr>
              <w:t>NSE</w:t>
            </w:r>
          </w:p>
        </w:tc>
        <w:tc>
          <w:tcPr>
            <w:tcW w:w="686" w:type="pct"/>
            <w:tcBorders>
              <w:top w:val="single" w:color="auto" w:sz="12" w:space="0"/>
              <w:bottom w:val="single" w:color="auto" w:sz="12" w:space="0"/>
            </w:tcBorders>
            <w:vAlign w:val="center"/>
          </w:tcPr>
          <w:p>
            <w:pPr>
              <w:pStyle w:val="29"/>
              <w:pageBreakBefore w:val="0"/>
              <w:kinsoku/>
              <w:overflowPunct/>
              <w:autoSpaceDE/>
              <w:autoSpaceDN/>
              <w:bidi w:val="0"/>
              <w:adjustRightInd/>
              <w:spacing w:after="0" w:line="240" w:lineRule="auto"/>
              <w:textAlignment w:val="auto"/>
              <w:rPr>
                <w:rFonts w:cstheme="minorBidi"/>
                <w:i/>
                <w:iCs/>
                <w:sz w:val="15"/>
                <w:szCs w:val="15"/>
              </w:rPr>
            </w:pPr>
            <w:r>
              <w:rPr>
                <w:rFonts w:hint="eastAsia" w:cstheme="minorBidi"/>
                <w:i/>
                <w:iCs/>
                <w:sz w:val="15"/>
                <w:szCs w:val="15"/>
              </w:rPr>
              <w:t>RSR</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47" w:type="pct"/>
            <w:tcBorders>
              <w:top w:val="single" w:color="auto" w:sz="12" w:space="0"/>
            </w:tcBorders>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汉中</w:t>
            </w:r>
          </w:p>
        </w:tc>
        <w:tc>
          <w:tcPr>
            <w:tcW w:w="653" w:type="pct"/>
            <w:tcBorders>
              <w:top w:val="single" w:color="auto" w:sz="12" w:space="0"/>
            </w:tcBorders>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0.88</w:t>
            </w:r>
          </w:p>
        </w:tc>
        <w:tc>
          <w:tcPr>
            <w:tcW w:w="686" w:type="pct"/>
            <w:tcBorders>
              <w:top w:val="single" w:color="auto" w:sz="12" w:space="0"/>
            </w:tcBorders>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0</w:t>
            </w:r>
            <w:r>
              <w:rPr>
                <w:sz w:val="15"/>
                <w:szCs w:val="15"/>
              </w:rPr>
              <w:t>.7</w:t>
            </w:r>
            <w:r>
              <w:rPr>
                <w:rFonts w:hint="eastAsia"/>
                <w:sz w:val="15"/>
                <w:szCs w:val="15"/>
              </w:rPr>
              <w:t>9</w:t>
            </w:r>
          </w:p>
        </w:tc>
        <w:tc>
          <w:tcPr>
            <w:tcW w:w="686" w:type="pct"/>
            <w:tcBorders>
              <w:top w:val="single" w:color="auto" w:sz="12" w:space="0"/>
            </w:tcBorders>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0</w:t>
            </w:r>
            <w:r>
              <w:rPr>
                <w:sz w:val="15"/>
                <w:szCs w:val="15"/>
              </w:rPr>
              <w:t>.</w:t>
            </w:r>
            <w:r>
              <w:rPr>
                <w:rFonts w:hint="eastAsia"/>
                <w:sz w:val="15"/>
                <w:szCs w:val="15"/>
              </w:rPr>
              <w:t>46</w:t>
            </w:r>
          </w:p>
        </w:tc>
        <w:tc>
          <w:tcPr>
            <w:tcW w:w="653" w:type="pct"/>
            <w:tcBorders>
              <w:top w:val="single" w:color="auto" w:sz="12" w:space="0"/>
            </w:tcBorders>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0</w:t>
            </w:r>
            <w:r>
              <w:rPr>
                <w:sz w:val="15"/>
                <w:szCs w:val="15"/>
              </w:rPr>
              <w:t>.</w:t>
            </w:r>
            <w:r>
              <w:rPr>
                <w:rFonts w:hint="eastAsia"/>
                <w:sz w:val="15"/>
                <w:szCs w:val="15"/>
              </w:rPr>
              <w:t>88</w:t>
            </w:r>
          </w:p>
        </w:tc>
        <w:tc>
          <w:tcPr>
            <w:tcW w:w="686" w:type="pct"/>
            <w:tcBorders>
              <w:top w:val="single" w:color="auto" w:sz="12" w:space="0"/>
            </w:tcBorders>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0</w:t>
            </w:r>
            <w:r>
              <w:rPr>
                <w:sz w:val="15"/>
                <w:szCs w:val="15"/>
              </w:rPr>
              <w:t>.</w:t>
            </w:r>
            <w:r>
              <w:rPr>
                <w:rFonts w:hint="eastAsia"/>
                <w:sz w:val="15"/>
                <w:szCs w:val="15"/>
              </w:rPr>
              <w:t>81</w:t>
            </w:r>
          </w:p>
        </w:tc>
        <w:tc>
          <w:tcPr>
            <w:tcW w:w="686" w:type="pct"/>
            <w:tcBorders>
              <w:top w:val="single" w:color="auto" w:sz="12" w:space="0"/>
            </w:tcBorders>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0</w:t>
            </w:r>
            <w:r>
              <w:rPr>
                <w:sz w:val="15"/>
                <w:szCs w:val="15"/>
              </w:rPr>
              <w:t>.4</w:t>
            </w:r>
            <w:r>
              <w:rPr>
                <w:rFonts w:hint="eastAsia"/>
                <w:sz w:val="15"/>
                <w:szCs w:val="15"/>
              </w:rPr>
              <w:t>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jc w:val="center"/>
        </w:trPr>
        <w:tc>
          <w:tcPr>
            <w:tcW w:w="947" w:type="pct"/>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安康</w:t>
            </w:r>
          </w:p>
        </w:tc>
        <w:tc>
          <w:tcPr>
            <w:tcW w:w="653" w:type="pct"/>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0</w:t>
            </w:r>
            <w:r>
              <w:rPr>
                <w:sz w:val="15"/>
                <w:szCs w:val="15"/>
              </w:rPr>
              <w:t>.</w:t>
            </w:r>
            <w:r>
              <w:rPr>
                <w:rFonts w:hint="eastAsia"/>
                <w:sz w:val="15"/>
                <w:szCs w:val="15"/>
              </w:rPr>
              <w:t>92</w:t>
            </w:r>
          </w:p>
        </w:tc>
        <w:tc>
          <w:tcPr>
            <w:tcW w:w="686" w:type="pct"/>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0</w:t>
            </w:r>
            <w:r>
              <w:rPr>
                <w:sz w:val="15"/>
                <w:szCs w:val="15"/>
              </w:rPr>
              <w:t>.8</w:t>
            </w:r>
            <w:r>
              <w:rPr>
                <w:rFonts w:hint="eastAsia"/>
                <w:sz w:val="15"/>
                <w:szCs w:val="15"/>
              </w:rPr>
              <w:t>9</w:t>
            </w:r>
          </w:p>
        </w:tc>
        <w:tc>
          <w:tcPr>
            <w:tcW w:w="686" w:type="pct"/>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0</w:t>
            </w:r>
            <w:r>
              <w:rPr>
                <w:sz w:val="15"/>
                <w:szCs w:val="15"/>
              </w:rPr>
              <w:t>.3</w:t>
            </w:r>
            <w:r>
              <w:rPr>
                <w:rFonts w:hint="eastAsia"/>
                <w:sz w:val="15"/>
                <w:szCs w:val="15"/>
              </w:rPr>
              <w:t>3</w:t>
            </w:r>
          </w:p>
        </w:tc>
        <w:tc>
          <w:tcPr>
            <w:tcW w:w="653" w:type="pct"/>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0</w:t>
            </w:r>
            <w:r>
              <w:rPr>
                <w:sz w:val="15"/>
                <w:szCs w:val="15"/>
              </w:rPr>
              <w:t>.</w:t>
            </w:r>
            <w:r>
              <w:rPr>
                <w:rFonts w:hint="eastAsia"/>
                <w:sz w:val="15"/>
                <w:szCs w:val="15"/>
              </w:rPr>
              <w:t>89</w:t>
            </w:r>
          </w:p>
        </w:tc>
        <w:tc>
          <w:tcPr>
            <w:tcW w:w="686" w:type="pct"/>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0</w:t>
            </w:r>
            <w:r>
              <w:rPr>
                <w:sz w:val="15"/>
                <w:szCs w:val="15"/>
              </w:rPr>
              <w:t>.</w:t>
            </w:r>
            <w:r>
              <w:rPr>
                <w:rFonts w:hint="eastAsia"/>
                <w:sz w:val="15"/>
                <w:szCs w:val="15"/>
              </w:rPr>
              <w:t>87</w:t>
            </w:r>
          </w:p>
        </w:tc>
        <w:tc>
          <w:tcPr>
            <w:tcW w:w="686" w:type="pct"/>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0</w:t>
            </w:r>
            <w:r>
              <w:rPr>
                <w:sz w:val="15"/>
                <w:szCs w:val="15"/>
              </w:rPr>
              <w:t>.</w:t>
            </w:r>
            <w:r>
              <w:rPr>
                <w:rFonts w:hint="eastAsia"/>
                <w:sz w:val="15"/>
                <w:szCs w:val="15"/>
              </w:rPr>
              <w:t>37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47" w:type="pct"/>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白河</w:t>
            </w:r>
          </w:p>
        </w:tc>
        <w:tc>
          <w:tcPr>
            <w:tcW w:w="653" w:type="pct"/>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0</w:t>
            </w:r>
            <w:r>
              <w:rPr>
                <w:sz w:val="15"/>
                <w:szCs w:val="15"/>
              </w:rPr>
              <w:t>.</w:t>
            </w:r>
            <w:r>
              <w:rPr>
                <w:rFonts w:hint="eastAsia"/>
                <w:sz w:val="15"/>
                <w:szCs w:val="15"/>
              </w:rPr>
              <w:t>93</w:t>
            </w:r>
          </w:p>
        </w:tc>
        <w:tc>
          <w:tcPr>
            <w:tcW w:w="686" w:type="pct"/>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0</w:t>
            </w:r>
            <w:r>
              <w:rPr>
                <w:sz w:val="15"/>
                <w:szCs w:val="15"/>
              </w:rPr>
              <w:t>.8</w:t>
            </w:r>
            <w:r>
              <w:rPr>
                <w:rFonts w:hint="eastAsia"/>
                <w:sz w:val="15"/>
                <w:szCs w:val="15"/>
              </w:rPr>
              <w:t>9</w:t>
            </w:r>
          </w:p>
        </w:tc>
        <w:tc>
          <w:tcPr>
            <w:tcW w:w="686" w:type="pct"/>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0</w:t>
            </w:r>
            <w:r>
              <w:rPr>
                <w:sz w:val="15"/>
                <w:szCs w:val="15"/>
              </w:rPr>
              <w:t>.</w:t>
            </w:r>
            <w:r>
              <w:rPr>
                <w:rFonts w:hint="eastAsia"/>
                <w:sz w:val="15"/>
                <w:szCs w:val="15"/>
              </w:rPr>
              <w:t>33</w:t>
            </w:r>
          </w:p>
        </w:tc>
        <w:tc>
          <w:tcPr>
            <w:tcW w:w="653" w:type="pct"/>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0</w:t>
            </w:r>
            <w:r>
              <w:rPr>
                <w:sz w:val="15"/>
                <w:szCs w:val="15"/>
              </w:rPr>
              <w:t>.</w:t>
            </w:r>
            <w:r>
              <w:rPr>
                <w:rFonts w:hint="eastAsia"/>
                <w:sz w:val="15"/>
                <w:szCs w:val="15"/>
              </w:rPr>
              <w:t>91</w:t>
            </w:r>
          </w:p>
        </w:tc>
        <w:tc>
          <w:tcPr>
            <w:tcW w:w="686" w:type="pct"/>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0</w:t>
            </w:r>
            <w:r>
              <w:rPr>
                <w:sz w:val="15"/>
                <w:szCs w:val="15"/>
              </w:rPr>
              <w:t>.8</w:t>
            </w:r>
            <w:r>
              <w:rPr>
                <w:rFonts w:hint="eastAsia"/>
                <w:sz w:val="15"/>
                <w:szCs w:val="15"/>
              </w:rPr>
              <w:t>8</w:t>
            </w:r>
          </w:p>
        </w:tc>
        <w:tc>
          <w:tcPr>
            <w:tcW w:w="686" w:type="pct"/>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0</w:t>
            </w:r>
            <w:r>
              <w:rPr>
                <w:sz w:val="15"/>
                <w:szCs w:val="15"/>
              </w:rPr>
              <w:t>.</w:t>
            </w:r>
            <w:r>
              <w:rPr>
                <w:rFonts w:hint="eastAsia"/>
                <w:sz w:val="15"/>
                <w:szCs w:val="15"/>
              </w:rPr>
              <w:t>34</w:t>
            </w:r>
          </w:p>
        </w:tc>
      </w:tr>
    </w:tbl>
    <w:p>
      <w:pPr>
        <w:pageBreakBefore w:val="0"/>
        <w:kinsoku/>
        <w:overflowPunct/>
        <w:autoSpaceDE/>
        <w:autoSpaceDN/>
        <w:bidi w:val="0"/>
        <w:adjustRightInd/>
        <w:spacing w:after="0" w:line="240" w:lineRule="auto"/>
        <w:ind w:firstLine="0" w:firstLineChars="0"/>
        <w:jc w:val="center"/>
        <w:textAlignment w:val="auto"/>
      </w:pPr>
      <w:r>
        <w:rPr>
          <w:rFonts w:hint="eastAsia"/>
        </w:rPr>
        <w:drawing>
          <wp:inline distT="0" distB="0" distL="114300" distR="114300">
            <wp:extent cx="4478655" cy="2153920"/>
            <wp:effectExtent l="0" t="0" r="17145" b="17780"/>
            <wp:docPr id="9" name="图片 9" descr="汉中站率定验证"/>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9" descr="汉中站率定验证"/>
                    <pic:cNvPicPr>
                      <a:picLocks noChangeAspect="true"/>
                    </pic:cNvPicPr>
                  </pic:nvPicPr>
                  <pic:blipFill>
                    <a:blip r:embed="rId9"/>
                    <a:srcRect l="1337" t="13573" r="1072" b="25151"/>
                    <a:stretch>
                      <a:fillRect/>
                    </a:stretch>
                  </pic:blipFill>
                  <pic:spPr>
                    <a:xfrm>
                      <a:off x="0" y="0"/>
                      <a:ext cx="4478655" cy="2153920"/>
                    </a:xfrm>
                    <a:prstGeom prst="rect">
                      <a:avLst/>
                    </a:prstGeom>
                  </pic:spPr>
                </pic:pic>
              </a:graphicData>
            </a:graphic>
          </wp:inline>
        </w:drawing>
      </w:r>
    </w:p>
    <w:p>
      <w:pPr>
        <w:pStyle w:val="25"/>
        <w:pageBreakBefore w:val="0"/>
        <w:kinsoku/>
        <w:overflowPunct/>
        <w:autoSpaceDE/>
        <w:autoSpaceDN/>
        <w:bidi w:val="0"/>
        <w:adjustRightInd/>
        <w:spacing w:after="0" w:line="240" w:lineRule="auto"/>
        <w:ind w:right="0"/>
        <w:textAlignment w:val="auto"/>
        <w:rPr>
          <w:szCs w:val="18"/>
        </w:rPr>
      </w:pPr>
      <w:r>
        <w:rPr>
          <w:rFonts w:hint="eastAsia"/>
        </w:rPr>
        <w:t>图 3 汉中水文站</w:t>
      </w:r>
      <w:r>
        <w:rPr>
          <w:rFonts w:hint="eastAsia"/>
          <w:szCs w:val="18"/>
        </w:rPr>
        <w:t>模型径流</w:t>
      </w:r>
      <w:r>
        <w:rPr>
          <w:rFonts w:hint="eastAsia"/>
        </w:rPr>
        <w:t>模拟</w:t>
      </w:r>
      <w:r>
        <w:rPr>
          <w:rFonts w:hint="eastAsia"/>
          <w:szCs w:val="18"/>
        </w:rPr>
        <w:t>结果</w:t>
      </w:r>
    </w:p>
    <w:p>
      <w:pPr>
        <w:pStyle w:val="25"/>
        <w:pageBreakBefore w:val="0"/>
        <w:kinsoku/>
        <w:overflowPunct/>
        <w:autoSpaceDE/>
        <w:autoSpaceDN/>
        <w:bidi w:val="0"/>
        <w:adjustRightInd/>
        <w:spacing w:after="0" w:line="240" w:lineRule="auto"/>
        <w:ind w:right="0"/>
        <w:textAlignment w:val="auto"/>
      </w:pPr>
      <w:r>
        <w:rPr>
          <w:rFonts w:hint="eastAsia"/>
        </w:rPr>
        <w:t>Fig.3 Runoff simulation results at Hanzhong hydrological station</w:t>
      </w:r>
    </w:p>
    <w:p>
      <w:pPr>
        <w:pageBreakBefore w:val="0"/>
        <w:kinsoku/>
        <w:overflowPunct/>
        <w:autoSpaceDE/>
        <w:autoSpaceDN/>
        <w:bidi w:val="0"/>
        <w:adjustRightInd/>
        <w:spacing w:after="0" w:line="240" w:lineRule="auto"/>
        <w:ind w:firstLine="0" w:firstLineChars="0"/>
        <w:jc w:val="center"/>
        <w:textAlignment w:val="auto"/>
      </w:pPr>
      <w:r>
        <w:rPr>
          <w:rFonts w:hint="eastAsia"/>
        </w:rPr>
        <w:drawing>
          <wp:inline distT="0" distB="0" distL="114300" distR="114300">
            <wp:extent cx="4537075" cy="2139315"/>
            <wp:effectExtent l="0" t="0" r="15875" b="13335"/>
            <wp:docPr id="10" name="图片 10" descr="安康站率定验证"/>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10" descr="安康站率定验证"/>
                    <pic:cNvPicPr>
                      <a:picLocks noChangeAspect="true"/>
                    </pic:cNvPicPr>
                  </pic:nvPicPr>
                  <pic:blipFill>
                    <a:blip r:embed="rId10"/>
                    <a:srcRect l="1337" t="14817" r="1072" b="25092"/>
                    <a:stretch>
                      <a:fillRect/>
                    </a:stretch>
                  </pic:blipFill>
                  <pic:spPr>
                    <a:xfrm>
                      <a:off x="0" y="0"/>
                      <a:ext cx="4537075" cy="2139315"/>
                    </a:xfrm>
                    <a:prstGeom prst="rect">
                      <a:avLst/>
                    </a:prstGeom>
                  </pic:spPr>
                </pic:pic>
              </a:graphicData>
            </a:graphic>
          </wp:inline>
        </w:drawing>
      </w:r>
    </w:p>
    <w:p>
      <w:pPr>
        <w:pStyle w:val="25"/>
        <w:pageBreakBefore w:val="0"/>
        <w:kinsoku/>
        <w:overflowPunct/>
        <w:autoSpaceDE/>
        <w:autoSpaceDN/>
        <w:bidi w:val="0"/>
        <w:adjustRightInd/>
        <w:spacing w:after="0" w:line="240" w:lineRule="auto"/>
        <w:textAlignment w:val="auto"/>
      </w:pPr>
      <w:r>
        <w:rPr>
          <w:rFonts w:hint="eastAsia"/>
        </w:rPr>
        <w:t>图 4 安康水文站</w:t>
      </w:r>
      <w:r>
        <w:rPr>
          <w:rFonts w:hint="eastAsia"/>
          <w:szCs w:val="18"/>
        </w:rPr>
        <w:t>模型径流模拟</w:t>
      </w:r>
      <w:r>
        <w:rPr>
          <w:rFonts w:hint="eastAsia"/>
        </w:rPr>
        <w:t>结果</w:t>
      </w:r>
    </w:p>
    <w:p>
      <w:pPr>
        <w:pStyle w:val="25"/>
        <w:pageBreakBefore w:val="0"/>
        <w:kinsoku/>
        <w:overflowPunct/>
        <w:autoSpaceDE/>
        <w:autoSpaceDN/>
        <w:bidi w:val="0"/>
        <w:adjustRightInd/>
        <w:spacing w:after="0" w:line="240" w:lineRule="auto"/>
        <w:ind w:right="0"/>
        <w:textAlignment w:val="auto"/>
      </w:pPr>
      <w:r>
        <w:rPr>
          <w:rFonts w:hint="eastAsia"/>
        </w:rPr>
        <w:t>Fig.4 Runoff simulation results at Ankang hydrological station</w:t>
      </w:r>
    </w:p>
    <w:p>
      <w:pPr>
        <w:pageBreakBefore w:val="0"/>
        <w:kinsoku/>
        <w:overflowPunct/>
        <w:autoSpaceDE/>
        <w:autoSpaceDN/>
        <w:bidi w:val="0"/>
        <w:adjustRightInd/>
        <w:spacing w:after="0" w:line="240" w:lineRule="auto"/>
        <w:ind w:firstLine="0" w:firstLineChars="0"/>
        <w:jc w:val="center"/>
        <w:textAlignment w:val="auto"/>
      </w:pPr>
      <w:r>
        <w:rPr>
          <w:rFonts w:hint="eastAsia"/>
        </w:rPr>
        <w:drawing>
          <wp:inline distT="0" distB="0" distL="114300" distR="114300">
            <wp:extent cx="4620260" cy="2160905"/>
            <wp:effectExtent l="0" t="0" r="8890" b="10795"/>
            <wp:docPr id="11" name="图片 11" descr="白河站率定验证"/>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图片 11" descr="白河站率定验证"/>
                    <pic:cNvPicPr>
                      <a:picLocks noChangeAspect="true"/>
                    </pic:cNvPicPr>
                  </pic:nvPicPr>
                  <pic:blipFill>
                    <a:blip r:embed="rId11"/>
                    <a:srcRect l="939" t="14498" b="25023"/>
                    <a:stretch>
                      <a:fillRect/>
                    </a:stretch>
                  </pic:blipFill>
                  <pic:spPr>
                    <a:xfrm>
                      <a:off x="0" y="0"/>
                      <a:ext cx="4620260" cy="2160905"/>
                    </a:xfrm>
                    <a:prstGeom prst="rect">
                      <a:avLst/>
                    </a:prstGeom>
                  </pic:spPr>
                </pic:pic>
              </a:graphicData>
            </a:graphic>
          </wp:inline>
        </w:drawing>
      </w:r>
    </w:p>
    <w:p>
      <w:pPr>
        <w:pStyle w:val="25"/>
        <w:pageBreakBefore w:val="0"/>
        <w:kinsoku/>
        <w:overflowPunct/>
        <w:autoSpaceDE/>
        <w:autoSpaceDN/>
        <w:bidi w:val="0"/>
        <w:adjustRightInd/>
        <w:spacing w:after="0" w:line="240" w:lineRule="auto"/>
        <w:ind w:right="0"/>
        <w:textAlignment w:val="auto"/>
      </w:pPr>
      <w:r>
        <w:rPr>
          <w:rFonts w:hint="eastAsia"/>
        </w:rPr>
        <w:t>图 5 白河水文站模型径流模拟结果</w:t>
      </w:r>
    </w:p>
    <w:p>
      <w:pPr>
        <w:pStyle w:val="25"/>
        <w:pageBreakBefore w:val="0"/>
        <w:kinsoku/>
        <w:overflowPunct/>
        <w:autoSpaceDE/>
        <w:autoSpaceDN/>
        <w:bidi w:val="0"/>
        <w:adjustRightInd/>
        <w:spacing w:after="0" w:line="240" w:lineRule="auto"/>
        <w:ind w:right="0"/>
        <w:textAlignment w:val="auto"/>
      </w:pPr>
      <w:r>
        <w:rPr>
          <w:rFonts w:hint="eastAsia"/>
        </w:rPr>
        <w:t>Fig.5 Runoff simulation results at Baihe hydrological station</w:t>
      </w:r>
    </w:p>
    <w:p>
      <w:pPr>
        <w:pStyle w:val="4"/>
        <w:pageBreakBefore w:val="0"/>
        <w:kinsoku/>
        <w:overflowPunct/>
        <w:autoSpaceDE/>
        <w:autoSpaceDN/>
        <w:bidi w:val="0"/>
        <w:adjustRightInd/>
        <w:spacing w:before="0" w:after="0" w:line="240" w:lineRule="auto"/>
        <w:textAlignment w:val="auto"/>
      </w:pPr>
      <w:r>
        <w:rPr>
          <w:rFonts w:hint="eastAsia"/>
        </w:rPr>
        <w:t>3.3不同气候情景下水文干旱演变趋势</w:t>
      </w:r>
    </w:p>
    <w:p>
      <w:pPr>
        <w:pStyle w:val="5"/>
        <w:pageBreakBefore w:val="0"/>
        <w:kinsoku/>
        <w:overflowPunct/>
        <w:autoSpaceDE/>
        <w:autoSpaceDN/>
        <w:bidi w:val="0"/>
        <w:adjustRightInd/>
        <w:spacing w:before="0" w:after="0" w:line="240" w:lineRule="auto"/>
        <w:textAlignment w:val="auto"/>
        <w:rPr>
          <w:color w:val="auto"/>
          <w:lang w:eastAsia="zh-CN"/>
        </w:rPr>
      </w:pPr>
      <w:r>
        <w:rPr>
          <w:rFonts w:hint="eastAsia"/>
          <w:color w:val="auto"/>
          <w:lang w:eastAsia="zh-CN"/>
        </w:rPr>
        <w:t>3.3.1不同气候情景下南水北调中线工程水源区汉江流域径流预测</w:t>
      </w:r>
    </w:p>
    <w:p>
      <w:pPr>
        <w:pageBreakBefore w:val="0"/>
        <w:kinsoku/>
        <w:overflowPunct/>
        <w:autoSpaceDE/>
        <w:autoSpaceDN/>
        <w:bidi w:val="0"/>
        <w:adjustRightInd/>
        <w:spacing w:after="0" w:line="240" w:lineRule="auto"/>
        <w:ind w:firstLine="420"/>
        <w:textAlignment w:val="auto"/>
      </w:pPr>
      <w:r>
        <w:rPr>
          <w:rFonts w:hint="eastAsia"/>
        </w:rPr>
        <w:t>基于</w:t>
      </w:r>
      <w:r>
        <w:t>CMCC-ESM2</w:t>
      </w:r>
      <w:r>
        <w:rPr>
          <w:rFonts w:hint="eastAsia"/>
        </w:rPr>
        <w:t>模式输出的三种S</w:t>
      </w:r>
      <w:r>
        <w:t>SP</w:t>
      </w:r>
      <w:r>
        <w:rPr>
          <w:rFonts w:hint="eastAsia"/>
        </w:rPr>
        <w:t>情景下南水北调中线工程水源区的气象数据，以1</w:t>
      </w:r>
      <w:r>
        <w:t>9</w:t>
      </w:r>
      <w:r>
        <w:rPr>
          <w:rFonts w:hint="eastAsia"/>
        </w:rPr>
        <w:t>70</w:t>
      </w:r>
      <w:r>
        <w:rPr>
          <w:rFonts w:eastAsia="宋体" w:cs="Times New Roman"/>
          <w:lang w:val="en"/>
        </w:rPr>
        <w:t>—20</w:t>
      </w:r>
      <w:r>
        <w:t>20</w:t>
      </w:r>
      <w:r>
        <w:rPr>
          <w:rFonts w:hint="eastAsia"/>
        </w:rPr>
        <w:t>年为基准期计算水源区未来不同时段（近期2</w:t>
      </w:r>
      <w:r>
        <w:t>02</w:t>
      </w:r>
      <w:r>
        <w:rPr>
          <w:rFonts w:hint="eastAsia"/>
        </w:rPr>
        <w:t>6</w:t>
      </w:r>
      <w:r>
        <w:rPr>
          <w:lang w:val="en"/>
        </w:rPr>
        <w:t>—20</w:t>
      </w:r>
      <w:r>
        <w:t>50</w:t>
      </w:r>
      <w:r>
        <w:rPr>
          <w:rFonts w:hint="eastAsia"/>
        </w:rPr>
        <w:t>年、中期2</w:t>
      </w:r>
      <w:r>
        <w:t>051</w:t>
      </w:r>
      <w:r>
        <w:rPr>
          <w:lang w:val="en"/>
        </w:rPr>
        <w:t>—20</w:t>
      </w:r>
      <w:r>
        <w:t>75</w:t>
      </w:r>
      <w:r>
        <w:rPr>
          <w:rFonts w:hint="eastAsia"/>
        </w:rPr>
        <w:t>年、远期2</w:t>
      </w:r>
      <w:r>
        <w:t>076</w:t>
      </w:r>
      <w:r>
        <w:rPr>
          <w:rFonts w:hint="eastAsia"/>
        </w:rPr>
        <w:t>—21</w:t>
      </w:r>
      <w:r>
        <w:t>00</w:t>
      </w:r>
      <w:r>
        <w:rPr>
          <w:rFonts w:hint="eastAsia"/>
        </w:rPr>
        <w:t>年）的径流变化。汉中、安康和白河水文站不同气候情景下各时期多年年径流量如表5所列，年径流量变化趋势如表6所列、图6—图8所示。结果表明，未来不同气候情景下各水文站多年平均径流量均呈增加趋势，且随辐射强迫增强而愈加显著。SSP1-2.6情景下，至2100年三站径流较基准期增幅分别为22.11%、13.41%和9.24%；SSP2-4.5情景下远期增幅进一步提高至31.3%、18.3%和14.3%；SSP5-8.5情景下增幅最大，达34.1%、26.6%和23.4%，其中下游白河站绝对增量最为显著。M-K趋势检验显示，基准期无显著趋势，而未来各情景下Z值普遍增大，尤其在SSP5-8.5情景下三站</w:t>
      </w:r>
      <w:r>
        <w:rPr>
          <w:rFonts w:hint="eastAsia"/>
          <w:i/>
          <w:iCs/>
        </w:rPr>
        <w:t>Z</w:t>
      </w:r>
      <w:r>
        <w:rPr>
          <w:rFonts w:hint="eastAsia"/>
        </w:rPr>
        <w:t>值分别增至2.63、2.57和2.35，均呈显著上升趋势。汉中站增幅和Z值始终最高，表明上游地区对气候变化的响应更为敏感。</w:t>
      </w:r>
    </w:p>
    <w:p>
      <w:pPr>
        <w:pStyle w:val="30"/>
        <w:pageBreakBefore w:val="0"/>
        <w:tabs>
          <w:tab w:val="left" w:pos="2520"/>
          <w:tab w:val="left" w:pos="7140"/>
        </w:tabs>
        <w:kinsoku/>
        <w:wordWrap w:val="0"/>
        <w:overflowPunct/>
        <w:autoSpaceDE/>
        <w:autoSpaceDN/>
        <w:bidi w:val="0"/>
        <w:adjustRightInd/>
        <w:spacing w:before="0" w:after="0" w:line="240" w:lineRule="auto"/>
        <w:jc w:val="right"/>
        <w:textAlignment w:val="auto"/>
        <w:rPr>
          <w:lang w:val="en"/>
        </w:rPr>
      </w:pPr>
      <w:r>
        <w:rPr>
          <w:rFonts w:hint="eastAsia"/>
        </w:rPr>
        <w:tab/>
      </w:r>
      <w:r>
        <w:rPr>
          <w:rFonts w:hint="eastAsia"/>
        </w:rPr>
        <w:t xml:space="preserve">表 </w:t>
      </w:r>
      <w:r>
        <w:t xml:space="preserve">5 </w:t>
      </w:r>
      <w:r>
        <w:rPr>
          <w:rFonts w:hint="eastAsia"/>
        </w:rPr>
        <w:t>不同气候情景下未来不同时期年均径流量</w:t>
      </w:r>
      <w:r>
        <w:rPr>
          <w:rFonts w:hint="eastAsia"/>
        </w:rPr>
        <w:tab/>
      </w:r>
      <w:r>
        <w:rPr>
          <w:rFonts w:hint="eastAsia"/>
        </w:rPr>
        <w:t xml:space="preserve"> </w:t>
      </w:r>
      <w:r>
        <w:t xml:space="preserve">     </w:t>
      </w:r>
      <w:r>
        <w:rPr>
          <w:rFonts w:hint="eastAsia"/>
        </w:rPr>
        <w:t xml:space="preserve">  m</w:t>
      </w:r>
      <w:r>
        <w:rPr>
          <w:rFonts w:hint="eastAsia"/>
          <w:vertAlign w:val="superscript"/>
        </w:rPr>
        <w:t>3</w:t>
      </w:r>
      <w:r>
        <w:rPr>
          <w:lang w:val="en"/>
        </w:rPr>
        <w:t>/s</w:t>
      </w:r>
    </w:p>
    <w:p>
      <w:pPr>
        <w:pStyle w:val="30"/>
        <w:pageBreakBefore w:val="0"/>
        <w:kinsoku/>
        <w:wordWrap w:val="0"/>
        <w:overflowPunct/>
        <w:autoSpaceDE/>
        <w:autoSpaceDN/>
        <w:bidi w:val="0"/>
        <w:adjustRightInd/>
        <w:spacing w:before="0" w:after="0" w:line="240" w:lineRule="auto"/>
        <w:jc w:val="right"/>
        <w:textAlignment w:val="auto"/>
      </w:pPr>
      <w:r>
        <w:rPr>
          <w:rFonts w:hint="eastAsia"/>
        </w:rPr>
        <w:t xml:space="preserve">Table 5 Annual average runoff </w:t>
      </w:r>
      <w:r>
        <w:rPr>
          <w:rFonts w:hint="eastAsia"/>
          <w:lang w:val="en-US" w:eastAsia="zh-CN"/>
        </w:rPr>
        <w:t>during</w:t>
      </w:r>
      <w:r>
        <w:rPr>
          <w:rFonts w:hint="eastAsia"/>
        </w:rPr>
        <w:t xml:space="preserve"> different future periods under different climate scenarios</w:t>
      </w:r>
      <w:r>
        <w:t xml:space="preserve">   </w:t>
      </w:r>
      <w:r>
        <w:rPr>
          <w:rFonts w:hint="eastAsia"/>
        </w:rPr>
        <w:t xml:space="preserve">  m</w:t>
      </w:r>
      <w:r>
        <w:rPr>
          <w:rFonts w:hint="eastAsia"/>
          <w:vertAlign w:val="superscript"/>
        </w:rPr>
        <w:t>3</w:t>
      </w:r>
      <w:r>
        <w:rPr>
          <w:lang w:val="en"/>
        </w:rPr>
        <w:t>/s</w:t>
      </w:r>
    </w:p>
    <w:tbl>
      <w:tblPr>
        <w:tblStyle w:val="16"/>
        <w:tblW w:w="4997" w:type="pct"/>
        <w:jc w:val="center"/>
        <w:tblLayout w:type="autofit"/>
        <w:tblCellMar>
          <w:top w:w="0" w:type="dxa"/>
          <w:left w:w="108" w:type="dxa"/>
          <w:bottom w:w="0" w:type="dxa"/>
          <w:right w:w="108" w:type="dxa"/>
        </w:tblCellMar>
      </w:tblPr>
      <w:tblGrid>
        <w:gridCol w:w="575"/>
        <w:gridCol w:w="741"/>
        <w:gridCol w:w="843"/>
        <w:gridCol w:w="759"/>
        <w:gridCol w:w="759"/>
        <w:gridCol w:w="803"/>
        <w:gridCol w:w="741"/>
        <w:gridCol w:w="805"/>
        <w:gridCol w:w="741"/>
        <w:gridCol w:w="868"/>
        <w:gridCol w:w="882"/>
      </w:tblGrid>
      <w:tr>
        <w:tblPrEx>
          <w:tblCellMar>
            <w:top w:w="0" w:type="dxa"/>
            <w:left w:w="108" w:type="dxa"/>
            <w:bottom w:w="0" w:type="dxa"/>
            <w:right w:w="108" w:type="dxa"/>
          </w:tblCellMar>
        </w:tblPrEx>
        <w:trPr>
          <w:trHeight w:val="360" w:hRule="atLeast"/>
          <w:jc w:val="center"/>
        </w:trPr>
        <w:tc>
          <w:tcPr>
            <w:tcW w:w="592" w:type="dxa"/>
            <w:vMerge w:val="restart"/>
            <w:tcBorders>
              <w:top w:val="single" w:color="000000" w:sz="12" w:space="0"/>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水文站</w:t>
            </w:r>
          </w:p>
        </w:tc>
        <w:tc>
          <w:tcPr>
            <w:tcW w:w="741" w:type="dxa"/>
            <w:vMerge w:val="restart"/>
            <w:tcBorders>
              <w:top w:val="single" w:color="000000" w:sz="12" w:space="0"/>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基准期</w:t>
            </w:r>
          </w:p>
        </w:tc>
        <w:tc>
          <w:tcPr>
            <w:tcW w:w="2371" w:type="dxa"/>
            <w:gridSpan w:val="3"/>
            <w:tcBorders>
              <w:top w:val="single" w:color="000000" w:sz="12" w:space="0"/>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SSP1-2.6</w:t>
            </w:r>
          </w:p>
        </w:tc>
        <w:tc>
          <w:tcPr>
            <w:tcW w:w="2339" w:type="dxa"/>
            <w:gridSpan w:val="3"/>
            <w:tcBorders>
              <w:top w:val="single" w:color="000000" w:sz="12" w:space="0"/>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SSP2-4.5</w:t>
            </w:r>
          </w:p>
        </w:tc>
        <w:tc>
          <w:tcPr>
            <w:tcW w:w="2474" w:type="dxa"/>
            <w:gridSpan w:val="3"/>
            <w:tcBorders>
              <w:top w:val="single" w:color="000000" w:sz="12" w:space="0"/>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SSP5-8.5</w:t>
            </w:r>
          </w:p>
        </w:tc>
      </w:tr>
      <w:tr>
        <w:tblPrEx>
          <w:tblCellMar>
            <w:top w:w="0" w:type="dxa"/>
            <w:left w:w="108" w:type="dxa"/>
            <w:bottom w:w="0" w:type="dxa"/>
            <w:right w:w="108" w:type="dxa"/>
          </w:tblCellMar>
        </w:tblPrEx>
        <w:trPr>
          <w:trHeight w:val="270" w:hRule="atLeast"/>
          <w:jc w:val="center"/>
        </w:trPr>
        <w:tc>
          <w:tcPr>
            <w:tcW w:w="592" w:type="dxa"/>
            <w:vMerge w:val="continue"/>
            <w:tcBorders>
              <w:top w:val="single" w:color="000000" w:sz="12" w:space="0"/>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p>
        </w:tc>
        <w:tc>
          <w:tcPr>
            <w:tcW w:w="741" w:type="dxa"/>
            <w:vMerge w:val="continue"/>
            <w:tcBorders>
              <w:top w:val="single" w:color="000000" w:sz="12" w:space="0"/>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p>
        </w:tc>
        <w:tc>
          <w:tcPr>
            <w:tcW w:w="851" w:type="dxa"/>
            <w:tcBorders>
              <w:top w:val="nil"/>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近期</w:t>
            </w:r>
          </w:p>
        </w:tc>
        <w:tc>
          <w:tcPr>
            <w:tcW w:w="760" w:type="dxa"/>
            <w:tcBorders>
              <w:top w:val="nil"/>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中期</w:t>
            </w:r>
          </w:p>
        </w:tc>
        <w:tc>
          <w:tcPr>
            <w:tcW w:w="760" w:type="dxa"/>
            <w:tcBorders>
              <w:top w:val="nil"/>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远期</w:t>
            </w:r>
          </w:p>
        </w:tc>
        <w:tc>
          <w:tcPr>
            <w:tcW w:w="808" w:type="dxa"/>
            <w:tcBorders>
              <w:top w:val="single" w:color="000000" w:sz="8" w:space="0"/>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近期</w:t>
            </w:r>
          </w:p>
        </w:tc>
        <w:tc>
          <w:tcPr>
            <w:tcW w:w="721" w:type="dxa"/>
            <w:tcBorders>
              <w:top w:val="nil"/>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中期</w:t>
            </w:r>
          </w:p>
        </w:tc>
        <w:tc>
          <w:tcPr>
            <w:tcW w:w="810" w:type="dxa"/>
            <w:tcBorders>
              <w:top w:val="single" w:color="000000" w:sz="8" w:space="0"/>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远期</w:t>
            </w:r>
          </w:p>
        </w:tc>
        <w:tc>
          <w:tcPr>
            <w:tcW w:w="711" w:type="dxa"/>
            <w:tcBorders>
              <w:top w:val="single" w:color="000000" w:sz="8" w:space="0"/>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近期</w:t>
            </w:r>
          </w:p>
        </w:tc>
        <w:tc>
          <w:tcPr>
            <w:tcW w:w="878" w:type="dxa"/>
            <w:tcBorders>
              <w:top w:val="nil"/>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中期</w:t>
            </w:r>
          </w:p>
        </w:tc>
        <w:tc>
          <w:tcPr>
            <w:tcW w:w="885" w:type="dxa"/>
            <w:tcBorders>
              <w:top w:val="single" w:color="000000" w:sz="8" w:space="0"/>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远期</w:t>
            </w:r>
          </w:p>
        </w:tc>
      </w:tr>
      <w:tr>
        <w:tblPrEx>
          <w:tblCellMar>
            <w:top w:w="0" w:type="dxa"/>
            <w:left w:w="108" w:type="dxa"/>
            <w:bottom w:w="0" w:type="dxa"/>
            <w:right w:w="108" w:type="dxa"/>
          </w:tblCellMar>
        </w:tblPrEx>
        <w:trPr>
          <w:trHeight w:val="270" w:hRule="atLeast"/>
          <w:jc w:val="center"/>
        </w:trPr>
        <w:tc>
          <w:tcPr>
            <w:tcW w:w="592" w:type="dxa"/>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汉中</w:t>
            </w:r>
          </w:p>
        </w:tc>
        <w:tc>
          <w:tcPr>
            <w:tcW w:w="741" w:type="dxa"/>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1667.7</w:t>
            </w:r>
          </w:p>
        </w:tc>
        <w:tc>
          <w:tcPr>
            <w:tcW w:w="851" w:type="dxa"/>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1806.1</w:t>
            </w:r>
          </w:p>
        </w:tc>
        <w:tc>
          <w:tcPr>
            <w:tcW w:w="760" w:type="dxa"/>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1974.2</w:t>
            </w:r>
          </w:p>
        </w:tc>
        <w:tc>
          <w:tcPr>
            <w:tcW w:w="760" w:type="dxa"/>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2036.4</w:t>
            </w:r>
          </w:p>
        </w:tc>
        <w:tc>
          <w:tcPr>
            <w:tcW w:w="808" w:type="dxa"/>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1690</w:t>
            </w:r>
          </w:p>
        </w:tc>
        <w:tc>
          <w:tcPr>
            <w:tcW w:w="721" w:type="dxa"/>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1777.9</w:t>
            </w:r>
          </w:p>
        </w:tc>
        <w:tc>
          <w:tcPr>
            <w:tcW w:w="810" w:type="dxa"/>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2189.4</w:t>
            </w:r>
          </w:p>
        </w:tc>
        <w:tc>
          <w:tcPr>
            <w:tcW w:w="711" w:type="dxa"/>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1771.8</w:t>
            </w:r>
          </w:p>
        </w:tc>
        <w:tc>
          <w:tcPr>
            <w:tcW w:w="878" w:type="dxa"/>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2157.3</w:t>
            </w:r>
          </w:p>
        </w:tc>
        <w:tc>
          <w:tcPr>
            <w:tcW w:w="885" w:type="dxa"/>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2235.2</w:t>
            </w:r>
          </w:p>
        </w:tc>
      </w:tr>
      <w:tr>
        <w:tblPrEx>
          <w:tblCellMar>
            <w:top w:w="0" w:type="dxa"/>
            <w:left w:w="108" w:type="dxa"/>
            <w:bottom w:w="0" w:type="dxa"/>
            <w:right w:w="108" w:type="dxa"/>
          </w:tblCellMar>
        </w:tblPrEx>
        <w:trPr>
          <w:trHeight w:val="270" w:hRule="atLeast"/>
          <w:jc w:val="center"/>
        </w:trPr>
        <w:tc>
          <w:tcPr>
            <w:tcW w:w="592" w:type="dxa"/>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安康</w:t>
            </w:r>
          </w:p>
        </w:tc>
        <w:tc>
          <w:tcPr>
            <w:tcW w:w="741" w:type="dxa"/>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6373.8</w:t>
            </w:r>
          </w:p>
        </w:tc>
        <w:tc>
          <w:tcPr>
            <w:tcW w:w="851" w:type="dxa"/>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6779.7</w:t>
            </w:r>
          </w:p>
        </w:tc>
        <w:tc>
          <w:tcPr>
            <w:tcW w:w="760" w:type="dxa"/>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6971.7</w:t>
            </w:r>
          </w:p>
        </w:tc>
        <w:tc>
          <w:tcPr>
            <w:tcW w:w="760" w:type="dxa"/>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7228.3</w:t>
            </w:r>
          </w:p>
        </w:tc>
        <w:tc>
          <w:tcPr>
            <w:tcW w:w="808" w:type="dxa"/>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6335.9</w:t>
            </w:r>
          </w:p>
        </w:tc>
        <w:tc>
          <w:tcPr>
            <w:tcW w:w="721" w:type="dxa"/>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6526.4</w:t>
            </w:r>
          </w:p>
        </w:tc>
        <w:tc>
          <w:tcPr>
            <w:tcW w:w="810" w:type="dxa"/>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7542.9</w:t>
            </w:r>
          </w:p>
        </w:tc>
        <w:tc>
          <w:tcPr>
            <w:tcW w:w="711" w:type="dxa"/>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6421.4</w:t>
            </w:r>
          </w:p>
        </w:tc>
        <w:tc>
          <w:tcPr>
            <w:tcW w:w="878" w:type="dxa"/>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7802</w:t>
            </w:r>
          </w:p>
        </w:tc>
        <w:tc>
          <w:tcPr>
            <w:tcW w:w="885" w:type="dxa"/>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8066.6</w:t>
            </w:r>
          </w:p>
        </w:tc>
      </w:tr>
      <w:tr>
        <w:tblPrEx>
          <w:tblCellMar>
            <w:top w:w="0" w:type="dxa"/>
            <w:left w:w="108" w:type="dxa"/>
            <w:bottom w:w="0" w:type="dxa"/>
            <w:right w:w="108" w:type="dxa"/>
          </w:tblCellMar>
        </w:tblPrEx>
        <w:trPr>
          <w:trHeight w:val="300" w:hRule="atLeast"/>
          <w:jc w:val="center"/>
        </w:trPr>
        <w:tc>
          <w:tcPr>
            <w:tcW w:w="592" w:type="dxa"/>
            <w:tcBorders>
              <w:top w:val="nil"/>
              <w:left w:val="nil"/>
              <w:bottom w:val="single" w:color="000000" w:sz="12"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白河</w:t>
            </w:r>
          </w:p>
        </w:tc>
        <w:tc>
          <w:tcPr>
            <w:tcW w:w="741" w:type="dxa"/>
            <w:tcBorders>
              <w:top w:val="nil"/>
              <w:left w:val="nil"/>
              <w:bottom w:val="single" w:color="000000" w:sz="12"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8228.1</w:t>
            </w:r>
          </w:p>
        </w:tc>
        <w:tc>
          <w:tcPr>
            <w:tcW w:w="851" w:type="dxa"/>
            <w:tcBorders>
              <w:top w:val="nil"/>
              <w:left w:val="nil"/>
              <w:bottom w:val="single" w:color="000000" w:sz="12"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8612.4</w:t>
            </w:r>
          </w:p>
        </w:tc>
        <w:tc>
          <w:tcPr>
            <w:tcW w:w="760" w:type="dxa"/>
            <w:tcBorders>
              <w:top w:val="nil"/>
              <w:left w:val="nil"/>
              <w:bottom w:val="single" w:color="000000" w:sz="12"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8599.8</w:t>
            </w:r>
          </w:p>
        </w:tc>
        <w:tc>
          <w:tcPr>
            <w:tcW w:w="760" w:type="dxa"/>
            <w:tcBorders>
              <w:top w:val="nil"/>
              <w:left w:val="nil"/>
              <w:bottom w:val="single" w:color="000000" w:sz="12"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8988.6</w:t>
            </w:r>
          </w:p>
        </w:tc>
        <w:tc>
          <w:tcPr>
            <w:tcW w:w="808" w:type="dxa"/>
            <w:tcBorders>
              <w:top w:val="nil"/>
              <w:left w:val="nil"/>
              <w:bottom w:val="single" w:color="000000" w:sz="12"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8086.6</w:t>
            </w:r>
          </w:p>
        </w:tc>
        <w:tc>
          <w:tcPr>
            <w:tcW w:w="721" w:type="dxa"/>
            <w:tcBorders>
              <w:top w:val="nil"/>
              <w:left w:val="nil"/>
              <w:bottom w:val="single" w:color="000000" w:sz="12"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8246.3</w:t>
            </w:r>
          </w:p>
        </w:tc>
        <w:tc>
          <w:tcPr>
            <w:tcW w:w="810" w:type="dxa"/>
            <w:tcBorders>
              <w:top w:val="nil"/>
              <w:left w:val="nil"/>
              <w:bottom w:val="single" w:color="000000" w:sz="12"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9406.6</w:t>
            </w:r>
          </w:p>
        </w:tc>
        <w:tc>
          <w:tcPr>
            <w:tcW w:w="711" w:type="dxa"/>
            <w:tcBorders>
              <w:top w:val="nil"/>
              <w:left w:val="nil"/>
              <w:bottom w:val="single" w:color="000000" w:sz="12"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8136.2</w:t>
            </w:r>
          </w:p>
        </w:tc>
        <w:tc>
          <w:tcPr>
            <w:tcW w:w="878" w:type="dxa"/>
            <w:tcBorders>
              <w:top w:val="nil"/>
              <w:left w:val="nil"/>
              <w:bottom w:val="single" w:color="000000" w:sz="12"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9806.5</w:t>
            </w:r>
          </w:p>
        </w:tc>
        <w:tc>
          <w:tcPr>
            <w:tcW w:w="885" w:type="dxa"/>
            <w:tcBorders>
              <w:top w:val="nil"/>
              <w:left w:val="nil"/>
              <w:bottom w:val="single" w:color="000000" w:sz="12"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10151.9</w:t>
            </w:r>
          </w:p>
        </w:tc>
      </w:tr>
    </w:tbl>
    <w:p>
      <w:pPr>
        <w:pStyle w:val="30"/>
        <w:pageBreakBefore w:val="0"/>
        <w:kinsoku/>
        <w:overflowPunct/>
        <w:autoSpaceDE/>
        <w:autoSpaceDN/>
        <w:bidi w:val="0"/>
        <w:adjustRightInd/>
        <w:spacing w:before="0" w:after="0" w:line="240" w:lineRule="auto"/>
        <w:textAlignment w:val="auto"/>
      </w:pPr>
      <w:r>
        <w:rPr>
          <w:rFonts w:hint="eastAsia"/>
        </w:rPr>
        <w:t>表 6 不同气候情景下年均径流量的M-K趋势分析</w:t>
      </w:r>
    </w:p>
    <w:p>
      <w:pPr>
        <w:pStyle w:val="30"/>
        <w:keepNext w:val="0"/>
        <w:pageBreakBefore w:val="0"/>
        <w:kinsoku/>
        <w:overflowPunct/>
        <w:autoSpaceDE/>
        <w:autoSpaceDN/>
        <w:bidi w:val="0"/>
        <w:adjustRightInd/>
        <w:spacing w:before="0" w:after="0" w:line="240" w:lineRule="auto"/>
        <w:textAlignment w:val="auto"/>
      </w:pPr>
      <w:r>
        <w:rPr>
          <w:rFonts w:hint="eastAsia"/>
        </w:rPr>
        <w:t>Table 6 Mann-Kendall trend analysis of annual average runoff under different climate scenarios</w:t>
      </w:r>
    </w:p>
    <w:tbl>
      <w:tblPr>
        <w:tblStyle w:val="16"/>
        <w:tblW w:w="4999" w:type="pct"/>
        <w:tblInd w:w="0" w:type="dxa"/>
        <w:tblLayout w:type="autofit"/>
        <w:tblCellMar>
          <w:top w:w="0" w:type="dxa"/>
          <w:left w:w="108" w:type="dxa"/>
          <w:bottom w:w="0" w:type="dxa"/>
          <w:right w:w="108" w:type="dxa"/>
        </w:tblCellMar>
      </w:tblPr>
      <w:tblGrid>
        <w:gridCol w:w="1365"/>
        <w:gridCol w:w="1674"/>
        <w:gridCol w:w="1827"/>
        <w:gridCol w:w="1827"/>
        <w:gridCol w:w="1827"/>
      </w:tblGrid>
      <w:tr>
        <w:tblPrEx>
          <w:tblCellMar>
            <w:top w:w="0" w:type="dxa"/>
            <w:left w:w="108" w:type="dxa"/>
            <w:bottom w:w="0" w:type="dxa"/>
            <w:right w:w="108" w:type="dxa"/>
          </w:tblCellMar>
        </w:tblPrEx>
        <w:trPr>
          <w:trHeight w:val="300" w:hRule="atLeast"/>
        </w:trPr>
        <w:tc>
          <w:tcPr>
            <w:tcW w:w="801" w:type="pct"/>
            <w:tcBorders>
              <w:top w:val="single" w:color="000000" w:sz="8" w:space="0"/>
              <w:left w:val="nil"/>
              <w:bottom w:val="single" w:color="000000" w:sz="8" w:space="0"/>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站点</w:t>
            </w:r>
          </w:p>
        </w:tc>
        <w:tc>
          <w:tcPr>
            <w:tcW w:w="982" w:type="pct"/>
            <w:tcBorders>
              <w:top w:val="single" w:color="000000" w:sz="8" w:space="0"/>
              <w:left w:val="nil"/>
              <w:bottom w:val="single" w:color="000000" w:sz="8" w:space="0"/>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基准期</w:t>
            </w:r>
          </w:p>
        </w:tc>
        <w:tc>
          <w:tcPr>
            <w:tcW w:w="1072" w:type="pct"/>
            <w:tcBorders>
              <w:top w:val="single" w:color="000000" w:sz="8" w:space="0"/>
              <w:left w:val="nil"/>
              <w:bottom w:val="single" w:color="000000" w:sz="8" w:space="0"/>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SSP1-2.6</w:t>
            </w:r>
          </w:p>
        </w:tc>
        <w:tc>
          <w:tcPr>
            <w:tcW w:w="1072" w:type="pct"/>
            <w:tcBorders>
              <w:top w:val="single" w:color="000000" w:sz="8" w:space="0"/>
              <w:left w:val="nil"/>
              <w:bottom w:val="single" w:color="000000" w:sz="8" w:space="0"/>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SSP2-4.5</w:t>
            </w:r>
          </w:p>
        </w:tc>
        <w:tc>
          <w:tcPr>
            <w:tcW w:w="1072" w:type="pct"/>
            <w:tcBorders>
              <w:top w:val="single" w:color="000000" w:sz="8" w:space="0"/>
              <w:left w:val="nil"/>
              <w:bottom w:val="single" w:color="000000" w:sz="8" w:space="0"/>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SSP5-8.5</w:t>
            </w:r>
          </w:p>
        </w:tc>
      </w:tr>
      <w:tr>
        <w:tblPrEx>
          <w:tblCellMar>
            <w:top w:w="0" w:type="dxa"/>
            <w:left w:w="108" w:type="dxa"/>
            <w:bottom w:w="0" w:type="dxa"/>
            <w:right w:w="108" w:type="dxa"/>
          </w:tblCellMar>
        </w:tblPrEx>
        <w:trPr>
          <w:trHeight w:val="300" w:hRule="atLeast"/>
        </w:trPr>
        <w:tc>
          <w:tcPr>
            <w:tcW w:w="801" w:type="pct"/>
            <w:tcBorders>
              <w:top w:val="nil"/>
              <w:left w:val="nil"/>
              <w:bottom w:val="nil"/>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汉中</w:t>
            </w:r>
          </w:p>
        </w:tc>
        <w:tc>
          <w:tcPr>
            <w:tcW w:w="982" w:type="pct"/>
            <w:tcBorders>
              <w:top w:val="nil"/>
              <w:left w:val="nil"/>
              <w:bottom w:val="nil"/>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0.01 </w:t>
            </w:r>
          </w:p>
        </w:tc>
        <w:tc>
          <w:tcPr>
            <w:tcW w:w="1072" w:type="pct"/>
            <w:tcBorders>
              <w:top w:val="nil"/>
              <w:left w:val="nil"/>
              <w:bottom w:val="nil"/>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1.67 </w:t>
            </w:r>
          </w:p>
        </w:tc>
        <w:tc>
          <w:tcPr>
            <w:tcW w:w="1072" w:type="pct"/>
            <w:tcBorders>
              <w:top w:val="nil"/>
              <w:left w:val="nil"/>
              <w:bottom w:val="nil"/>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2.51 </w:t>
            </w:r>
          </w:p>
        </w:tc>
        <w:tc>
          <w:tcPr>
            <w:tcW w:w="1072" w:type="pct"/>
            <w:tcBorders>
              <w:top w:val="nil"/>
              <w:left w:val="nil"/>
              <w:bottom w:val="nil"/>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2.63 </w:t>
            </w:r>
          </w:p>
        </w:tc>
      </w:tr>
      <w:tr>
        <w:tblPrEx>
          <w:tblCellMar>
            <w:top w:w="0" w:type="dxa"/>
            <w:left w:w="108" w:type="dxa"/>
            <w:bottom w:w="0" w:type="dxa"/>
            <w:right w:w="108" w:type="dxa"/>
          </w:tblCellMar>
        </w:tblPrEx>
        <w:trPr>
          <w:trHeight w:val="300" w:hRule="atLeast"/>
        </w:trPr>
        <w:tc>
          <w:tcPr>
            <w:tcW w:w="801" w:type="pct"/>
            <w:tcBorders>
              <w:top w:val="nil"/>
              <w:left w:val="nil"/>
              <w:bottom w:val="nil"/>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安康</w:t>
            </w:r>
          </w:p>
        </w:tc>
        <w:tc>
          <w:tcPr>
            <w:tcW w:w="982" w:type="pct"/>
            <w:tcBorders>
              <w:top w:val="nil"/>
              <w:left w:val="nil"/>
              <w:bottom w:val="nil"/>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-0.03 </w:t>
            </w:r>
          </w:p>
        </w:tc>
        <w:tc>
          <w:tcPr>
            <w:tcW w:w="1072" w:type="pct"/>
            <w:tcBorders>
              <w:top w:val="nil"/>
              <w:left w:val="nil"/>
              <w:bottom w:val="nil"/>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0.67 </w:t>
            </w:r>
          </w:p>
        </w:tc>
        <w:tc>
          <w:tcPr>
            <w:tcW w:w="1072" w:type="pct"/>
            <w:tcBorders>
              <w:top w:val="nil"/>
              <w:left w:val="nil"/>
              <w:bottom w:val="nil"/>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2.13 </w:t>
            </w:r>
          </w:p>
        </w:tc>
        <w:tc>
          <w:tcPr>
            <w:tcW w:w="1072" w:type="pct"/>
            <w:tcBorders>
              <w:top w:val="nil"/>
              <w:left w:val="nil"/>
              <w:bottom w:val="nil"/>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2.57 </w:t>
            </w:r>
          </w:p>
        </w:tc>
      </w:tr>
      <w:tr>
        <w:tblPrEx>
          <w:tblCellMar>
            <w:top w:w="0" w:type="dxa"/>
            <w:left w:w="108" w:type="dxa"/>
            <w:bottom w:w="0" w:type="dxa"/>
            <w:right w:w="108" w:type="dxa"/>
          </w:tblCellMar>
        </w:tblPrEx>
        <w:trPr>
          <w:trHeight w:val="285" w:hRule="atLeast"/>
        </w:trPr>
        <w:tc>
          <w:tcPr>
            <w:tcW w:w="801" w:type="pct"/>
            <w:tcBorders>
              <w:top w:val="nil"/>
              <w:left w:val="nil"/>
              <w:bottom w:val="single" w:color="000000" w:sz="8" w:space="0"/>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白河</w:t>
            </w:r>
          </w:p>
        </w:tc>
        <w:tc>
          <w:tcPr>
            <w:tcW w:w="982" w:type="pct"/>
            <w:tcBorders>
              <w:top w:val="nil"/>
              <w:left w:val="nil"/>
              <w:bottom w:val="single" w:color="000000" w:sz="8" w:space="0"/>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-0.34 </w:t>
            </w:r>
          </w:p>
        </w:tc>
        <w:tc>
          <w:tcPr>
            <w:tcW w:w="1072" w:type="pct"/>
            <w:tcBorders>
              <w:top w:val="nil"/>
              <w:left w:val="nil"/>
              <w:bottom w:val="single" w:color="000000" w:sz="8" w:space="0"/>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0.25 </w:t>
            </w:r>
          </w:p>
        </w:tc>
        <w:tc>
          <w:tcPr>
            <w:tcW w:w="1072" w:type="pct"/>
            <w:tcBorders>
              <w:top w:val="nil"/>
              <w:left w:val="nil"/>
              <w:bottom w:val="single" w:color="000000" w:sz="8" w:space="0"/>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1.80 </w:t>
            </w:r>
          </w:p>
        </w:tc>
        <w:tc>
          <w:tcPr>
            <w:tcW w:w="1072" w:type="pct"/>
            <w:tcBorders>
              <w:top w:val="nil"/>
              <w:left w:val="nil"/>
              <w:bottom w:val="single" w:color="000000" w:sz="8" w:space="0"/>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2.35 </w:t>
            </w:r>
          </w:p>
        </w:tc>
      </w:tr>
    </w:tbl>
    <w:p>
      <w:pPr>
        <w:pStyle w:val="15"/>
        <w:pageBreakBefore w:val="0"/>
        <w:kinsoku/>
        <w:overflowPunct/>
        <w:autoSpaceDE/>
        <w:autoSpaceDN/>
        <w:bidi w:val="0"/>
        <w:adjustRightInd/>
        <w:spacing w:after="0" w:line="240" w:lineRule="auto"/>
        <w:textAlignment w:val="auto"/>
      </w:pPr>
      <w:r>
        <w:rPr>
          <w:rFonts w:hint="eastAsia"/>
        </w:rPr>
        <w:drawing>
          <wp:inline distT="0" distB="0" distL="114300" distR="114300">
            <wp:extent cx="3735070" cy="1579245"/>
            <wp:effectExtent l="0" t="0" r="17780" b="1905"/>
            <wp:docPr id="23" name="图片 23" descr="汉中站未来径流变化趋势"/>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3" name="图片 23" descr="汉中站未来径流变化趋势"/>
                    <pic:cNvPicPr>
                      <a:picLocks noChangeAspect="true"/>
                    </pic:cNvPicPr>
                  </pic:nvPicPr>
                  <pic:blipFill>
                    <a:blip r:embed="rId12"/>
                    <a:srcRect l="9115" t="35201" r="11776" b="21149"/>
                    <a:stretch>
                      <a:fillRect/>
                    </a:stretch>
                  </pic:blipFill>
                  <pic:spPr>
                    <a:xfrm>
                      <a:off x="0" y="0"/>
                      <a:ext cx="3735070" cy="1579245"/>
                    </a:xfrm>
                    <a:prstGeom prst="rect">
                      <a:avLst/>
                    </a:prstGeom>
                  </pic:spPr>
                </pic:pic>
              </a:graphicData>
            </a:graphic>
          </wp:inline>
        </w:drawing>
      </w:r>
    </w:p>
    <w:p>
      <w:pPr>
        <w:pStyle w:val="25"/>
        <w:pageBreakBefore w:val="0"/>
        <w:kinsoku/>
        <w:overflowPunct/>
        <w:autoSpaceDE/>
        <w:autoSpaceDN/>
        <w:bidi w:val="0"/>
        <w:adjustRightInd/>
        <w:spacing w:after="0" w:line="240" w:lineRule="auto"/>
        <w:ind w:right="0"/>
        <w:textAlignment w:val="auto"/>
      </w:pPr>
      <w:r>
        <w:rPr>
          <w:rFonts w:hint="eastAsia"/>
        </w:rPr>
        <w:t>图 6 不同气候情景下汉中水</w:t>
      </w:r>
      <w:r>
        <w:rPr>
          <w:rFonts w:hint="eastAsia"/>
          <w:szCs w:val="18"/>
        </w:rPr>
        <w:t>文站未来</w:t>
      </w:r>
      <w:r>
        <w:rPr>
          <w:rFonts w:hint="eastAsia"/>
        </w:rPr>
        <w:t>径流量变化趋势</w:t>
      </w:r>
    </w:p>
    <w:p>
      <w:pPr>
        <w:pStyle w:val="25"/>
        <w:pageBreakBefore w:val="0"/>
        <w:kinsoku/>
        <w:overflowPunct/>
        <w:autoSpaceDE/>
        <w:autoSpaceDN/>
        <w:bidi w:val="0"/>
        <w:adjustRightInd/>
        <w:spacing w:after="0" w:line="240" w:lineRule="auto"/>
        <w:ind w:right="0"/>
        <w:textAlignment w:val="auto"/>
      </w:pPr>
      <w:r>
        <w:rPr>
          <w:rFonts w:hint="eastAsia"/>
        </w:rPr>
        <w:t xml:space="preserve">Fig.6 </w:t>
      </w:r>
      <w:r>
        <w:rPr>
          <w:rFonts w:hint="eastAsia"/>
          <w:lang w:val="en-US" w:eastAsia="zh-CN"/>
        </w:rPr>
        <w:t>Future</w:t>
      </w:r>
      <w:r>
        <w:rPr>
          <w:rFonts w:hint="eastAsia"/>
        </w:rPr>
        <w:t xml:space="preserve"> runoff trends under </w:t>
      </w:r>
      <w:r>
        <w:rPr>
          <w:rFonts w:hint="eastAsia"/>
          <w:lang w:val="en-US" w:eastAsia="zh-CN"/>
        </w:rPr>
        <w:t>different</w:t>
      </w:r>
      <w:r>
        <w:rPr>
          <w:rFonts w:hint="eastAsia"/>
        </w:rPr>
        <w:t xml:space="preserve"> climate scenarios at Hanzhong hydrological station</w:t>
      </w:r>
    </w:p>
    <w:p>
      <w:pPr>
        <w:pStyle w:val="15"/>
        <w:pageBreakBefore w:val="0"/>
        <w:kinsoku/>
        <w:overflowPunct/>
        <w:autoSpaceDE/>
        <w:autoSpaceDN/>
        <w:bidi w:val="0"/>
        <w:adjustRightInd/>
        <w:spacing w:after="0" w:line="240" w:lineRule="auto"/>
        <w:textAlignment w:val="auto"/>
      </w:pPr>
      <w:r>
        <w:rPr>
          <w:rFonts w:hint="eastAsia"/>
        </w:rPr>
        <w:drawing>
          <wp:inline distT="0" distB="0" distL="114300" distR="114300">
            <wp:extent cx="3750310" cy="1581150"/>
            <wp:effectExtent l="0" t="0" r="2540" b="0"/>
            <wp:docPr id="24" name="图片 24" descr="安康站未来径流变化趋势"/>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4" name="图片 24" descr="安康站未来径流变化趋势"/>
                    <pic:cNvPicPr>
                      <a:picLocks noChangeAspect="true"/>
                    </pic:cNvPicPr>
                  </pic:nvPicPr>
                  <pic:blipFill>
                    <a:blip r:embed="rId13"/>
                    <a:srcRect l="8260" t="34770" r="11427" b="20988"/>
                    <a:stretch>
                      <a:fillRect/>
                    </a:stretch>
                  </pic:blipFill>
                  <pic:spPr>
                    <a:xfrm>
                      <a:off x="0" y="0"/>
                      <a:ext cx="3750310" cy="1581150"/>
                    </a:xfrm>
                    <a:prstGeom prst="rect">
                      <a:avLst/>
                    </a:prstGeom>
                  </pic:spPr>
                </pic:pic>
              </a:graphicData>
            </a:graphic>
          </wp:inline>
        </w:drawing>
      </w:r>
    </w:p>
    <w:p>
      <w:pPr>
        <w:pStyle w:val="25"/>
        <w:pageBreakBefore w:val="0"/>
        <w:widowControl/>
        <w:kinsoku/>
        <w:overflowPunct/>
        <w:autoSpaceDE/>
        <w:autoSpaceDN/>
        <w:bidi w:val="0"/>
        <w:adjustRightInd/>
        <w:spacing w:after="0" w:line="240" w:lineRule="auto"/>
        <w:ind w:right="0"/>
        <w:textAlignment w:val="auto"/>
      </w:pPr>
      <w:r>
        <w:rPr>
          <w:rFonts w:hint="eastAsia"/>
        </w:rPr>
        <w:t>图 7 不同气候情景下安康水文站未来径流量变化趋势</w:t>
      </w:r>
    </w:p>
    <w:p>
      <w:pPr>
        <w:pStyle w:val="25"/>
        <w:pageBreakBefore w:val="0"/>
        <w:kinsoku/>
        <w:overflowPunct/>
        <w:autoSpaceDE/>
        <w:autoSpaceDN/>
        <w:bidi w:val="0"/>
        <w:adjustRightInd/>
        <w:spacing w:after="0" w:line="240" w:lineRule="auto"/>
        <w:textAlignment w:val="auto"/>
      </w:pPr>
      <w:r>
        <w:rPr>
          <w:rFonts w:hint="eastAsia"/>
        </w:rPr>
        <w:t>Fig.7</w:t>
      </w:r>
      <w:r>
        <w:rPr>
          <w:rFonts w:hint="eastAsia"/>
          <w:lang w:val="en-US" w:eastAsia="zh-CN"/>
        </w:rPr>
        <w:t xml:space="preserve"> Future</w:t>
      </w:r>
      <w:r>
        <w:rPr>
          <w:rFonts w:hint="eastAsia"/>
        </w:rPr>
        <w:t xml:space="preserve"> runoff trends under </w:t>
      </w:r>
      <w:r>
        <w:rPr>
          <w:rFonts w:hint="eastAsia"/>
          <w:lang w:val="en-US" w:eastAsia="zh-CN"/>
        </w:rPr>
        <w:t>different</w:t>
      </w:r>
      <w:r>
        <w:rPr>
          <w:rFonts w:hint="eastAsia"/>
        </w:rPr>
        <w:t xml:space="preserve"> climate scenarios at Ankang hydrological station</w:t>
      </w:r>
    </w:p>
    <w:p>
      <w:pPr>
        <w:pStyle w:val="25"/>
        <w:pageBreakBefore w:val="0"/>
        <w:kinsoku/>
        <w:overflowPunct/>
        <w:autoSpaceDE/>
        <w:autoSpaceDN/>
        <w:bidi w:val="0"/>
        <w:adjustRightInd/>
        <w:spacing w:after="0" w:line="240" w:lineRule="auto"/>
        <w:ind w:right="0"/>
        <w:textAlignment w:val="auto"/>
      </w:pPr>
      <w:r>
        <w:rPr>
          <w:rFonts w:hint="eastAsia"/>
        </w:rPr>
        <w:drawing>
          <wp:inline distT="0" distB="0" distL="114300" distR="114300">
            <wp:extent cx="3713480" cy="1571625"/>
            <wp:effectExtent l="0" t="0" r="1270" b="9525"/>
            <wp:docPr id="26" name="图片 26" descr="白河站未来径流变化趋势"/>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6" name="图片 26" descr="白河站未来径流变化趋势"/>
                    <pic:cNvPicPr>
                      <a:picLocks noChangeAspect="true"/>
                    </pic:cNvPicPr>
                  </pic:nvPicPr>
                  <pic:blipFill>
                    <a:blip r:embed="rId14"/>
                    <a:srcRect l="8260" t="34692" r="11595" b="21020"/>
                    <a:stretch>
                      <a:fillRect/>
                    </a:stretch>
                  </pic:blipFill>
                  <pic:spPr>
                    <a:xfrm>
                      <a:off x="0" y="0"/>
                      <a:ext cx="3713480" cy="1571625"/>
                    </a:xfrm>
                    <a:prstGeom prst="rect">
                      <a:avLst/>
                    </a:prstGeom>
                  </pic:spPr>
                </pic:pic>
              </a:graphicData>
            </a:graphic>
          </wp:inline>
        </w:drawing>
      </w:r>
    </w:p>
    <w:p>
      <w:pPr>
        <w:pStyle w:val="25"/>
        <w:pageBreakBefore w:val="0"/>
        <w:kinsoku/>
        <w:overflowPunct/>
        <w:autoSpaceDE/>
        <w:autoSpaceDN/>
        <w:bidi w:val="0"/>
        <w:adjustRightInd/>
        <w:spacing w:after="0" w:line="240" w:lineRule="auto"/>
        <w:ind w:right="0"/>
        <w:textAlignment w:val="auto"/>
      </w:pPr>
      <w:r>
        <w:rPr>
          <w:rFonts w:hint="eastAsia"/>
        </w:rPr>
        <w:t>图 8 不同气候情景下白河水文站年均径流量变化趋势</w:t>
      </w:r>
    </w:p>
    <w:p>
      <w:pPr>
        <w:pStyle w:val="25"/>
        <w:pageBreakBefore w:val="0"/>
        <w:kinsoku/>
        <w:overflowPunct/>
        <w:autoSpaceDE/>
        <w:autoSpaceDN/>
        <w:bidi w:val="0"/>
        <w:adjustRightInd/>
        <w:spacing w:after="0" w:line="240" w:lineRule="auto"/>
        <w:ind w:right="0"/>
        <w:textAlignment w:val="auto"/>
      </w:pPr>
      <w:r>
        <w:rPr>
          <w:rFonts w:hint="eastAsia"/>
        </w:rPr>
        <w:t xml:space="preserve">Fig.8 </w:t>
      </w:r>
      <w:r>
        <w:rPr>
          <w:rFonts w:hint="eastAsia"/>
          <w:lang w:val="en-US" w:eastAsia="zh-CN"/>
        </w:rPr>
        <w:t>Future</w:t>
      </w:r>
      <w:r>
        <w:rPr>
          <w:rFonts w:hint="eastAsia"/>
        </w:rPr>
        <w:t xml:space="preserve"> trends</w:t>
      </w:r>
      <w:r>
        <w:rPr>
          <w:rFonts w:hint="eastAsia"/>
          <w:lang w:val="en-US" w:eastAsia="zh-CN"/>
        </w:rPr>
        <w:t xml:space="preserve"> of</w:t>
      </w:r>
      <w:r>
        <w:rPr>
          <w:rFonts w:hint="eastAsia"/>
        </w:rPr>
        <w:t xml:space="preserve"> </w:t>
      </w:r>
      <w:r>
        <w:t>annual</w:t>
      </w:r>
      <w:r>
        <w:rPr>
          <w:rFonts w:hint="eastAsia"/>
        </w:rPr>
        <w:t xml:space="preserve"> </w:t>
      </w:r>
      <w:r>
        <w:rPr>
          <w:rFonts w:hint="eastAsia"/>
          <w:lang w:val="en-US" w:eastAsia="zh-CN"/>
        </w:rPr>
        <w:t xml:space="preserve">average </w:t>
      </w:r>
      <w:r>
        <w:rPr>
          <w:rFonts w:hint="eastAsia"/>
        </w:rPr>
        <w:t xml:space="preserve">runoff under </w:t>
      </w:r>
      <w:r>
        <w:rPr>
          <w:rFonts w:hint="eastAsia"/>
          <w:lang w:val="en-US" w:eastAsia="zh-CN"/>
        </w:rPr>
        <w:t>different</w:t>
      </w:r>
      <w:r>
        <w:rPr>
          <w:rFonts w:hint="eastAsia"/>
        </w:rPr>
        <w:t xml:space="preserve"> climate scenarios at Baihe hydrological station</w:t>
      </w:r>
    </w:p>
    <w:p>
      <w:pPr>
        <w:pStyle w:val="5"/>
        <w:pageBreakBefore w:val="0"/>
        <w:kinsoku/>
        <w:overflowPunct/>
        <w:autoSpaceDE/>
        <w:autoSpaceDN/>
        <w:bidi w:val="0"/>
        <w:adjustRightInd/>
        <w:spacing w:before="0" w:after="0" w:line="240" w:lineRule="auto"/>
        <w:textAlignment w:val="auto"/>
        <w:rPr>
          <w:color w:val="auto"/>
          <w:lang w:eastAsia="zh-CN"/>
        </w:rPr>
      </w:pPr>
      <w:r>
        <w:rPr>
          <w:rFonts w:hint="eastAsia"/>
          <w:color w:val="auto"/>
          <w:lang w:eastAsia="zh-CN"/>
        </w:rPr>
        <w:t>3.3.2不同气候情景下水文干旱演变趋势</w:t>
      </w:r>
    </w:p>
    <w:p>
      <w:pPr>
        <w:pageBreakBefore w:val="0"/>
        <w:kinsoku/>
        <w:overflowPunct/>
        <w:autoSpaceDE/>
        <w:autoSpaceDN/>
        <w:bidi w:val="0"/>
        <w:adjustRightInd/>
        <w:spacing w:after="0" w:line="240" w:lineRule="auto"/>
        <w:ind w:firstLine="420"/>
        <w:textAlignment w:val="auto"/>
      </w:pPr>
      <w:r>
        <w:rPr>
          <w:rFonts w:hint="eastAsia"/>
        </w:rPr>
        <w:t>根据三种不同气候情景下水源区2026</w:t>
      </w:r>
      <w:r>
        <w:rPr>
          <w:lang w:val="en"/>
        </w:rPr>
        <w:t>—21</w:t>
      </w:r>
      <w:r>
        <w:rPr>
          <w:rFonts w:hint="eastAsia"/>
        </w:rPr>
        <w:t>00年汉中、安康和白河站的径流预测结果计算年尺度</w:t>
      </w:r>
      <w:r>
        <w:rPr>
          <w:rFonts w:hint="eastAsia"/>
          <w:i/>
          <w:iCs/>
        </w:rPr>
        <w:t>SRI</w:t>
      </w:r>
      <w:r>
        <w:rPr>
          <w:rFonts w:hint="eastAsia"/>
        </w:rPr>
        <w:t>，使用M-K趋势检验法对其进行分析，结果如图9—图11所示及表7所列。基准期内三站</w:t>
      </w:r>
      <w:r>
        <w:rPr>
          <w:rFonts w:hint="eastAsia"/>
          <w:i/>
          <w:iCs/>
        </w:rPr>
        <w:t>SRI12</w:t>
      </w:r>
      <w:r>
        <w:rPr>
          <w:rFonts w:hint="eastAsia"/>
        </w:rPr>
        <w:t>分别为0.02、-0.03和-0.34，水源区天然状态下干旱风险相对平稳且空间差异较小。未来不同气候情景下，水文干旱演变呈现显著分异。SSP1-2.6情景下三站</w:t>
      </w:r>
      <w:r>
        <w:rPr>
          <w:rFonts w:hint="eastAsia"/>
          <w:i/>
          <w:iCs/>
        </w:rPr>
        <w:t>SRI12</w:t>
      </w:r>
      <w:r>
        <w:rPr>
          <w:rFonts w:hint="eastAsia"/>
        </w:rPr>
        <w:t>大幅升至1.67、2.52和2.63，中下流域水文干旱风险显著降低；SSP2-4.5情景下</w:t>
      </w:r>
      <w:r>
        <w:rPr>
          <w:rFonts w:hint="eastAsia"/>
          <w:i/>
          <w:iCs/>
        </w:rPr>
        <w:t>SRI12</w:t>
      </w:r>
      <w:r>
        <w:rPr>
          <w:rFonts w:hint="eastAsia"/>
        </w:rPr>
        <w:t>回落至0.66、2.13和2.58，汉中站降幅明显，水文干旱风险回升；SSP5-8.5情景下</w:t>
      </w:r>
      <w:r>
        <w:rPr>
          <w:rFonts w:hint="eastAsia"/>
          <w:i/>
          <w:iCs/>
        </w:rPr>
        <w:t>SRI12</w:t>
      </w:r>
      <w:r>
        <w:rPr>
          <w:rFonts w:hint="eastAsia"/>
        </w:rPr>
        <w:t>进一步降至0.25、1.80和2.35。白河站</w:t>
      </w:r>
      <w:r>
        <w:rPr>
          <w:rFonts w:hint="eastAsia"/>
          <w:i/>
          <w:iCs/>
        </w:rPr>
        <w:t>Z</w:t>
      </w:r>
      <w:r>
        <w:rPr>
          <w:rFonts w:hint="eastAsia"/>
        </w:rPr>
        <w:t>值在各情景下均超过显著性水平，表明下游干旱缓解趋势显著；安康站在中低强迫情景下表现为显著缓解趋势，整体上干旱风险的缓解程度呈现出从水源区上游至下游逐渐增强的空间特征。</w:t>
      </w:r>
      <w:r>
        <w:rPr>
          <w:rFonts w:hint="eastAsia"/>
          <w:i/>
          <w:iCs/>
        </w:rPr>
        <w:t>SRI12</w:t>
      </w:r>
      <w:r>
        <w:rPr>
          <w:rFonts w:hint="eastAsia"/>
        </w:rPr>
        <w:t>主要反映水文干旱的年际变化特征，而南水北调中线工程水源区受季风和秦巴山地地形等地表特征影响，降水年内高度集中，易导致汛期出现短时强降雨引发的洪涝灾害，而非汛期则可能面临干旱威胁，甚至发生旱涝急转或涝旱急转的极端事件，需重点关注并加强工程对水资源的动态调控与灾害应急管理能力。</w:t>
      </w:r>
    </w:p>
    <w:p>
      <w:pPr>
        <w:pageBreakBefore w:val="0"/>
        <w:kinsoku/>
        <w:overflowPunct/>
        <w:autoSpaceDE/>
        <w:autoSpaceDN/>
        <w:bidi w:val="0"/>
        <w:adjustRightInd/>
        <w:spacing w:after="0" w:line="240" w:lineRule="auto"/>
        <w:ind w:firstLine="0" w:firstLineChars="0"/>
        <w:jc w:val="center"/>
        <w:textAlignment w:val="auto"/>
      </w:pPr>
      <w:r>
        <w:rPr>
          <w:rFonts w:hint="eastAsia"/>
        </w:rPr>
        <w:drawing>
          <wp:inline distT="0" distB="0" distL="114300" distR="114300">
            <wp:extent cx="3862705" cy="1744980"/>
            <wp:effectExtent l="0" t="0" r="4445" b="7620"/>
            <wp:docPr id="30" name="图片 30" descr="汉中站未来SRI变化趋势"/>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0" name="图片 30" descr="汉中站未来SRI变化趋势"/>
                    <pic:cNvPicPr>
                      <a:picLocks noChangeAspect="true"/>
                    </pic:cNvPicPr>
                  </pic:nvPicPr>
                  <pic:blipFill>
                    <a:blip r:embed="rId15"/>
                    <a:srcRect l="12029" t="34597" r="11680" b="20437"/>
                    <a:stretch>
                      <a:fillRect/>
                    </a:stretch>
                  </pic:blipFill>
                  <pic:spPr>
                    <a:xfrm>
                      <a:off x="0" y="0"/>
                      <a:ext cx="3862705" cy="1744980"/>
                    </a:xfrm>
                    <a:prstGeom prst="rect">
                      <a:avLst/>
                    </a:prstGeom>
                  </pic:spPr>
                </pic:pic>
              </a:graphicData>
            </a:graphic>
          </wp:inline>
        </w:drawing>
      </w:r>
    </w:p>
    <w:p>
      <w:pPr>
        <w:pStyle w:val="25"/>
        <w:pageBreakBefore w:val="0"/>
        <w:kinsoku/>
        <w:overflowPunct/>
        <w:autoSpaceDE/>
        <w:autoSpaceDN/>
        <w:bidi w:val="0"/>
        <w:adjustRightInd/>
        <w:spacing w:after="0" w:line="240" w:lineRule="auto"/>
        <w:textAlignment w:val="auto"/>
      </w:pPr>
      <w:r>
        <w:rPr>
          <w:rFonts w:hint="eastAsia"/>
        </w:rPr>
        <w:t>图 9 不同气候情景下汉中站</w:t>
      </w:r>
      <w:r>
        <w:rPr>
          <w:rFonts w:hint="eastAsia"/>
          <w:i/>
          <w:iCs/>
          <w:szCs w:val="18"/>
        </w:rPr>
        <w:t>SRI12</w:t>
      </w:r>
      <w:r>
        <w:rPr>
          <w:rFonts w:hint="eastAsia"/>
        </w:rPr>
        <w:t>变</w:t>
      </w:r>
      <w:r>
        <w:rPr>
          <w:rFonts w:hint="eastAsia"/>
          <w:szCs w:val="18"/>
        </w:rPr>
        <w:t>化趋</w:t>
      </w:r>
      <w:r>
        <w:rPr>
          <w:rFonts w:hint="eastAsia"/>
        </w:rPr>
        <w:t>势</w:t>
      </w:r>
    </w:p>
    <w:p>
      <w:pPr>
        <w:pStyle w:val="25"/>
        <w:pageBreakBefore w:val="0"/>
        <w:kinsoku/>
        <w:overflowPunct/>
        <w:autoSpaceDE/>
        <w:autoSpaceDN/>
        <w:bidi w:val="0"/>
        <w:adjustRightInd/>
        <w:spacing w:after="0" w:line="240" w:lineRule="auto"/>
        <w:ind w:right="0"/>
        <w:textAlignment w:val="auto"/>
      </w:pPr>
      <w:r>
        <w:rPr>
          <w:rFonts w:hint="eastAsia"/>
        </w:rPr>
        <w:t>Fig.9 Trends of</w:t>
      </w:r>
      <w:r>
        <w:rPr>
          <w:rFonts w:hint="eastAsia"/>
          <w:i/>
          <w:iCs/>
        </w:rPr>
        <w:t xml:space="preserve"> SRI12</w:t>
      </w:r>
      <w:r>
        <w:rPr>
          <w:rFonts w:hint="eastAsia"/>
        </w:rPr>
        <w:t xml:space="preserve"> at Hanzhong station under different climate scenarios</w:t>
      </w:r>
    </w:p>
    <w:p>
      <w:pPr>
        <w:pStyle w:val="25"/>
        <w:pageBreakBefore w:val="0"/>
        <w:kinsoku/>
        <w:overflowPunct/>
        <w:autoSpaceDE/>
        <w:autoSpaceDN/>
        <w:bidi w:val="0"/>
        <w:adjustRightInd/>
        <w:spacing w:after="0" w:line="240" w:lineRule="auto"/>
        <w:ind w:right="0"/>
        <w:textAlignment w:val="auto"/>
      </w:pPr>
      <w:r>
        <w:rPr>
          <w:rFonts w:hint="eastAsia"/>
        </w:rPr>
        <w:drawing>
          <wp:inline distT="0" distB="0" distL="114300" distR="114300">
            <wp:extent cx="3963035" cy="1770380"/>
            <wp:effectExtent l="0" t="0" r="18415" b="1270"/>
            <wp:docPr id="31" name="图片 31" descr="安康站未来SRI变化趋势"/>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1" name="图片 31" descr="安康站未来SRI变化趋势"/>
                    <pic:cNvPicPr>
                      <a:picLocks noChangeAspect="true"/>
                    </pic:cNvPicPr>
                  </pic:nvPicPr>
                  <pic:blipFill>
                    <a:blip r:embed="rId16"/>
                    <a:srcRect l="11704" t="34471" r="11680" b="20831"/>
                    <a:stretch>
                      <a:fillRect/>
                    </a:stretch>
                  </pic:blipFill>
                  <pic:spPr>
                    <a:xfrm>
                      <a:off x="0" y="0"/>
                      <a:ext cx="3963035" cy="1770380"/>
                    </a:xfrm>
                    <a:prstGeom prst="rect">
                      <a:avLst/>
                    </a:prstGeom>
                  </pic:spPr>
                </pic:pic>
              </a:graphicData>
            </a:graphic>
          </wp:inline>
        </w:drawing>
      </w:r>
    </w:p>
    <w:p>
      <w:pPr>
        <w:pStyle w:val="25"/>
        <w:pageBreakBefore w:val="0"/>
        <w:kinsoku/>
        <w:overflowPunct/>
        <w:autoSpaceDE/>
        <w:autoSpaceDN/>
        <w:bidi w:val="0"/>
        <w:adjustRightInd/>
        <w:spacing w:after="0" w:line="240" w:lineRule="auto"/>
        <w:ind w:right="0"/>
        <w:textAlignment w:val="auto"/>
      </w:pPr>
      <w:r>
        <w:rPr>
          <w:rFonts w:hint="eastAsia"/>
        </w:rPr>
        <w:t>图 10 不同气候情景</w:t>
      </w:r>
      <w:r>
        <w:rPr>
          <w:rFonts w:hint="eastAsia"/>
          <w:szCs w:val="18"/>
        </w:rPr>
        <w:t>下安康站</w:t>
      </w:r>
      <w:r>
        <w:rPr>
          <w:rFonts w:hint="eastAsia"/>
          <w:i/>
          <w:iCs/>
        </w:rPr>
        <w:t>SRI12</w:t>
      </w:r>
      <w:r>
        <w:rPr>
          <w:rFonts w:hint="eastAsia"/>
        </w:rPr>
        <w:t>变化趋势</w:t>
      </w:r>
    </w:p>
    <w:p>
      <w:pPr>
        <w:pStyle w:val="25"/>
        <w:pageBreakBefore w:val="0"/>
        <w:kinsoku/>
        <w:overflowPunct/>
        <w:autoSpaceDE/>
        <w:autoSpaceDN/>
        <w:bidi w:val="0"/>
        <w:adjustRightInd/>
        <w:spacing w:after="0" w:line="240" w:lineRule="auto"/>
        <w:ind w:right="0"/>
        <w:textAlignment w:val="auto"/>
      </w:pPr>
      <w:r>
        <w:rPr>
          <w:rFonts w:hint="eastAsia"/>
        </w:rPr>
        <w:t xml:space="preserve">Fig.10 Trends of </w:t>
      </w:r>
      <w:r>
        <w:rPr>
          <w:rFonts w:hint="eastAsia"/>
          <w:i/>
          <w:iCs/>
        </w:rPr>
        <w:t>SRI12</w:t>
      </w:r>
      <w:r>
        <w:rPr>
          <w:rFonts w:hint="eastAsia"/>
        </w:rPr>
        <w:t xml:space="preserve"> at Ankang station under different climate scenarios</w:t>
      </w:r>
    </w:p>
    <w:p>
      <w:pPr>
        <w:pStyle w:val="30"/>
        <w:keepNext w:val="0"/>
        <w:pageBreakBefore w:val="0"/>
        <w:kinsoku/>
        <w:overflowPunct/>
        <w:autoSpaceDE/>
        <w:autoSpaceDN/>
        <w:bidi w:val="0"/>
        <w:adjustRightInd/>
        <w:spacing w:before="0" w:after="0" w:line="240" w:lineRule="auto"/>
        <w:textAlignment w:val="auto"/>
      </w:pPr>
      <w:r>
        <w:rPr>
          <w:rFonts w:hint="eastAsia"/>
        </w:rPr>
        <w:drawing>
          <wp:inline distT="0" distB="0" distL="114300" distR="114300">
            <wp:extent cx="4115435" cy="1835150"/>
            <wp:effectExtent l="0" t="0" r="18415" b="12700"/>
            <wp:docPr id="32" name="图片 32" descr="白河站未来SRI变化趋势"/>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2" name="图片 32" descr="白河站未来SRI变化趋势"/>
                    <pic:cNvPicPr>
                      <a:picLocks noChangeAspect="true"/>
                    </pic:cNvPicPr>
                  </pic:nvPicPr>
                  <pic:blipFill>
                    <a:blip r:embed="rId17"/>
                    <a:srcRect l="11704" t="34692" r="11186" b="20390"/>
                    <a:stretch>
                      <a:fillRect/>
                    </a:stretch>
                  </pic:blipFill>
                  <pic:spPr>
                    <a:xfrm>
                      <a:off x="0" y="0"/>
                      <a:ext cx="4115435" cy="1835150"/>
                    </a:xfrm>
                    <a:prstGeom prst="rect">
                      <a:avLst/>
                    </a:prstGeom>
                  </pic:spPr>
                </pic:pic>
              </a:graphicData>
            </a:graphic>
          </wp:inline>
        </w:drawing>
      </w:r>
    </w:p>
    <w:p>
      <w:pPr>
        <w:pStyle w:val="25"/>
        <w:pageBreakBefore w:val="0"/>
        <w:kinsoku/>
        <w:overflowPunct/>
        <w:autoSpaceDE/>
        <w:autoSpaceDN/>
        <w:bidi w:val="0"/>
        <w:adjustRightInd/>
        <w:spacing w:after="0" w:line="240" w:lineRule="auto"/>
        <w:ind w:right="0"/>
        <w:textAlignment w:val="auto"/>
      </w:pPr>
      <w:r>
        <w:rPr>
          <w:rFonts w:hint="eastAsia"/>
        </w:rPr>
        <w:t>图 11 不同情景下白河站</w:t>
      </w:r>
      <w:r>
        <w:rPr>
          <w:rFonts w:hint="eastAsia"/>
          <w:i/>
          <w:iCs/>
        </w:rPr>
        <w:t>SRI12</w:t>
      </w:r>
      <w:r>
        <w:rPr>
          <w:rFonts w:hint="eastAsia"/>
        </w:rPr>
        <w:t>变化趋势</w:t>
      </w:r>
    </w:p>
    <w:p>
      <w:pPr>
        <w:pStyle w:val="25"/>
        <w:pageBreakBefore w:val="0"/>
        <w:kinsoku/>
        <w:overflowPunct/>
        <w:autoSpaceDE/>
        <w:autoSpaceDN/>
        <w:bidi w:val="0"/>
        <w:adjustRightInd/>
        <w:spacing w:after="0" w:line="240" w:lineRule="auto"/>
        <w:ind w:right="0"/>
        <w:textAlignment w:val="auto"/>
      </w:pPr>
      <w:r>
        <w:rPr>
          <w:rFonts w:hint="eastAsia"/>
        </w:rPr>
        <w:t xml:space="preserve">Fig.11 Trends of </w:t>
      </w:r>
      <w:r>
        <w:rPr>
          <w:rFonts w:hint="eastAsia"/>
          <w:i/>
          <w:iCs/>
        </w:rPr>
        <w:t>SRI12</w:t>
      </w:r>
      <w:r>
        <w:rPr>
          <w:rFonts w:hint="eastAsia"/>
        </w:rPr>
        <w:t xml:space="preserve"> at Baihe station under different climate scenarios</w:t>
      </w:r>
    </w:p>
    <w:p>
      <w:pPr>
        <w:pStyle w:val="30"/>
        <w:keepNext w:val="0"/>
        <w:pageBreakBefore w:val="0"/>
        <w:kinsoku/>
        <w:overflowPunct/>
        <w:autoSpaceDE/>
        <w:autoSpaceDN/>
        <w:bidi w:val="0"/>
        <w:adjustRightInd/>
        <w:spacing w:before="0" w:after="0" w:line="240" w:lineRule="auto"/>
        <w:textAlignment w:val="auto"/>
      </w:pPr>
      <w:r>
        <w:rPr>
          <w:rFonts w:hint="eastAsia"/>
        </w:rPr>
        <w:t>表 7 不同气候情景下南水北调中线工程水源区</w:t>
      </w:r>
      <w:r>
        <w:rPr>
          <w:rFonts w:hint="eastAsia"/>
          <w:i/>
          <w:iCs/>
        </w:rPr>
        <w:t>SRI12</w:t>
      </w:r>
      <w:r>
        <w:rPr>
          <w:rFonts w:hint="eastAsia"/>
        </w:rPr>
        <w:t>的M-K趋势分析</w:t>
      </w:r>
    </w:p>
    <w:p>
      <w:pPr>
        <w:pStyle w:val="30"/>
        <w:pageBreakBefore w:val="0"/>
        <w:kinsoku/>
        <w:overflowPunct/>
        <w:autoSpaceDE/>
        <w:autoSpaceDN/>
        <w:bidi w:val="0"/>
        <w:adjustRightInd/>
        <w:spacing w:before="0" w:after="0" w:line="240" w:lineRule="auto"/>
        <w:textAlignment w:val="auto"/>
      </w:pPr>
      <w:r>
        <w:rPr>
          <w:rFonts w:hint="eastAsia"/>
        </w:rPr>
        <w:t xml:space="preserve">Table 7 Mann-Kendall trend analysis of </w:t>
      </w:r>
      <w:r>
        <w:rPr>
          <w:rFonts w:hint="eastAsia"/>
          <w:i/>
          <w:iCs/>
        </w:rPr>
        <w:t>SRI12</w:t>
      </w:r>
      <w:r>
        <w:rPr>
          <w:rFonts w:hint="eastAsia"/>
        </w:rPr>
        <w:t xml:space="preserve"> in water source </w:t>
      </w:r>
      <w:r>
        <w:rPr>
          <w:rFonts w:hint="eastAsia"/>
          <w:lang w:val="en-US" w:eastAsia="zh-CN"/>
        </w:rPr>
        <w:t>area</w:t>
      </w:r>
      <w:r>
        <w:rPr>
          <w:rFonts w:hint="eastAsia"/>
        </w:rPr>
        <w:t xml:space="preserve"> of South-to-North Water Diversion Middle Route Project under different climate scenarios</w:t>
      </w:r>
    </w:p>
    <w:tbl>
      <w:tblPr>
        <w:tblStyle w:val="16"/>
        <w:tblW w:w="4998" w:type="pct"/>
        <w:tblInd w:w="0" w:type="dxa"/>
        <w:tblLayout w:type="autofit"/>
        <w:tblCellMar>
          <w:top w:w="0" w:type="dxa"/>
          <w:left w:w="108" w:type="dxa"/>
          <w:bottom w:w="0" w:type="dxa"/>
          <w:right w:w="108" w:type="dxa"/>
        </w:tblCellMar>
      </w:tblPr>
      <w:tblGrid>
        <w:gridCol w:w="1205"/>
        <w:gridCol w:w="1605"/>
        <w:gridCol w:w="1903"/>
        <w:gridCol w:w="1903"/>
        <w:gridCol w:w="1903"/>
      </w:tblGrid>
      <w:tr>
        <w:tblPrEx>
          <w:tblCellMar>
            <w:top w:w="0" w:type="dxa"/>
            <w:left w:w="108" w:type="dxa"/>
            <w:bottom w:w="0" w:type="dxa"/>
            <w:right w:w="108" w:type="dxa"/>
          </w:tblCellMar>
        </w:tblPrEx>
        <w:trPr>
          <w:trHeight w:val="280" w:hRule="atLeast"/>
        </w:trPr>
        <w:tc>
          <w:tcPr>
            <w:tcW w:w="707" w:type="pct"/>
            <w:tcBorders>
              <w:top w:val="single" w:color="000000" w:sz="4" w:space="0"/>
              <w:left w:val="nil"/>
              <w:bottom w:val="single" w:color="000000" w:sz="4" w:space="0"/>
              <w:right w:val="nil"/>
            </w:tcBorders>
            <w:shd w:val="clear" w:color="auto" w:fill="auto"/>
            <w:noWrap/>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站点</w:t>
            </w:r>
          </w:p>
        </w:tc>
        <w:tc>
          <w:tcPr>
            <w:tcW w:w="941" w:type="pct"/>
            <w:tcBorders>
              <w:top w:val="single" w:color="000000" w:sz="4" w:space="0"/>
              <w:left w:val="nil"/>
              <w:bottom w:val="single" w:color="000000" w:sz="4" w:space="0"/>
              <w:right w:val="nil"/>
            </w:tcBorders>
            <w:shd w:val="clear" w:color="auto" w:fill="auto"/>
            <w:noWrap/>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基准期</w:t>
            </w:r>
          </w:p>
        </w:tc>
        <w:tc>
          <w:tcPr>
            <w:tcW w:w="1116" w:type="pct"/>
            <w:tcBorders>
              <w:top w:val="single" w:color="000000" w:sz="4" w:space="0"/>
              <w:left w:val="nil"/>
              <w:bottom w:val="single" w:color="000000" w:sz="4" w:space="0"/>
              <w:right w:val="nil"/>
            </w:tcBorders>
            <w:shd w:val="clear" w:color="auto" w:fill="auto"/>
            <w:noWrap/>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SSP1-2.6</w:t>
            </w:r>
          </w:p>
        </w:tc>
        <w:tc>
          <w:tcPr>
            <w:tcW w:w="1116" w:type="pct"/>
            <w:tcBorders>
              <w:top w:val="single" w:color="000000" w:sz="4" w:space="0"/>
              <w:left w:val="nil"/>
              <w:bottom w:val="single" w:color="000000" w:sz="4" w:space="0"/>
              <w:right w:val="nil"/>
            </w:tcBorders>
            <w:shd w:val="clear" w:color="auto" w:fill="auto"/>
            <w:noWrap/>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SSP2-4.5</w:t>
            </w:r>
          </w:p>
        </w:tc>
        <w:tc>
          <w:tcPr>
            <w:tcW w:w="1116" w:type="pct"/>
            <w:tcBorders>
              <w:top w:val="single" w:color="000000" w:sz="4" w:space="0"/>
              <w:left w:val="nil"/>
              <w:bottom w:val="single" w:color="000000" w:sz="4" w:space="0"/>
              <w:right w:val="nil"/>
            </w:tcBorders>
            <w:shd w:val="clear" w:color="auto" w:fill="auto"/>
            <w:noWrap/>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SSP5-8.5</w:t>
            </w:r>
          </w:p>
        </w:tc>
      </w:tr>
      <w:tr>
        <w:tblPrEx>
          <w:tblCellMar>
            <w:top w:w="0" w:type="dxa"/>
            <w:left w:w="108" w:type="dxa"/>
            <w:bottom w:w="0" w:type="dxa"/>
            <w:right w:w="108" w:type="dxa"/>
          </w:tblCellMar>
        </w:tblPrEx>
        <w:trPr>
          <w:trHeight w:val="280" w:hRule="atLeast"/>
        </w:trPr>
        <w:tc>
          <w:tcPr>
            <w:tcW w:w="707" w:type="pct"/>
            <w:tcBorders>
              <w:top w:val="nil"/>
              <w:left w:val="nil"/>
              <w:bottom w:val="nil"/>
              <w:right w:val="nil"/>
            </w:tcBorders>
            <w:shd w:val="clear" w:color="auto" w:fill="auto"/>
            <w:noWrap/>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汉中</w:t>
            </w:r>
          </w:p>
        </w:tc>
        <w:tc>
          <w:tcPr>
            <w:tcW w:w="1605" w:type="dxa"/>
            <w:tcBorders>
              <w:top w:val="nil"/>
              <w:left w:val="nil"/>
              <w:bottom w:val="nil"/>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0.02 </w:t>
            </w:r>
          </w:p>
        </w:tc>
        <w:tc>
          <w:tcPr>
            <w:tcW w:w="1903" w:type="dxa"/>
            <w:tcBorders>
              <w:top w:val="nil"/>
              <w:left w:val="nil"/>
              <w:bottom w:val="nil"/>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1.67 </w:t>
            </w:r>
          </w:p>
        </w:tc>
        <w:tc>
          <w:tcPr>
            <w:tcW w:w="1903" w:type="dxa"/>
            <w:tcBorders>
              <w:top w:val="nil"/>
              <w:left w:val="nil"/>
              <w:bottom w:val="nil"/>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0.66 </w:t>
            </w:r>
          </w:p>
        </w:tc>
        <w:tc>
          <w:tcPr>
            <w:tcW w:w="1903" w:type="dxa"/>
            <w:tcBorders>
              <w:top w:val="nil"/>
              <w:left w:val="nil"/>
              <w:bottom w:val="nil"/>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0.25 </w:t>
            </w:r>
          </w:p>
        </w:tc>
      </w:tr>
      <w:tr>
        <w:tblPrEx>
          <w:tblCellMar>
            <w:top w:w="0" w:type="dxa"/>
            <w:left w:w="108" w:type="dxa"/>
            <w:bottom w:w="0" w:type="dxa"/>
            <w:right w:w="108" w:type="dxa"/>
          </w:tblCellMar>
        </w:tblPrEx>
        <w:trPr>
          <w:trHeight w:val="280" w:hRule="atLeast"/>
        </w:trPr>
        <w:tc>
          <w:tcPr>
            <w:tcW w:w="707" w:type="pct"/>
            <w:tcBorders>
              <w:top w:val="nil"/>
              <w:left w:val="nil"/>
              <w:bottom w:val="nil"/>
              <w:right w:val="nil"/>
            </w:tcBorders>
            <w:shd w:val="clear" w:color="auto" w:fill="auto"/>
            <w:noWrap/>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安康</w:t>
            </w:r>
          </w:p>
        </w:tc>
        <w:tc>
          <w:tcPr>
            <w:tcW w:w="1605" w:type="dxa"/>
            <w:tcBorders>
              <w:top w:val="nil"/>
              <w:left w:val="nil"/>
              <w:bottom w:val="nil"/>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-0.03 </w:t>
            </w:r>
          </w:p>
        </w:tc>
        <w:tc>
          <w:tcPr>
            <w:tcW w:w="1903" w:type="dxa"/>
            <w:tcBorders>
              <w:top w:val="nil"/>
              <w:left w:val="nil"/>
              <w:bottom w:val="nil"/>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2.52 </w:t>
            </w:r>
          </w:p>
        </w:tc>
        <w:tc>
          <w:tcPr>
            <w:tcW w:w="1903" w:type="dxa"/>
            <w:tcBorders>
              <w:top w:val="nil"/>
              <w:left w:val="nil"/>
              <w:bottom w:val="nil"/>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2.13 </w:t>
            </w:r>
          </w:p>
        </w:tc>
        <w:tc>
          <w:tcPr>
            <w:tcW w:w="1903" w:type="dxa"/>
            <w:tcBorders>
              <w:top w:val="nil"/>
              <w:left w:val="nil"/>
              <w:bottom w:val="nil"/>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1.80 </w:t>
            </w:r>
          </w:p>
        </w:tc>
      </w:tr>
      <w:tr>
        <w:tblPrEx>
          <w:tblCellMar>
            <w:top w:w="0" w:type="dxa"/>
            <w:left w:w="108" w:type="dxa"/>
            <w:bottom w:w="0" w:type="dxa"/>
            <w:right w:w="108" w:type="dxa"/>
          </w:tblCellMar>
        </w:tblPrEx>
        <w:trPr>
          <w:trHeight w:val="280" w:hRule="atLeast"/>
        </w:trPr>
        <w:tc>
          <w:tcPr>
            <w:tcW w:w="707" w:type="pct"/>
            <w:tcBorders>
              <w:top w:val="nil"/>
              <w:left w:val="nil"/>
              <w:bottom w:val="single" w:color="000000" w:sz="4" w:space="0"/>
              <w:right w:val="nil"/>
            </w:tcBorders>
            <w:shd w:val="clear" w:color="auto" w:fill="auto"/>
            <w:noWrap/>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白河</w:t>
            </w:r>
          </w:p>
        </w:tc>
        <w:tc>
          <w:tcPr>
            <w:tcW w:w="1605" w:type="dxa"/>
            <w:tcBorders>
              <w:top w:val="nil"/>
              <w:left w:val="nil"/>
              <w:bottom w:val="single" w:color="000000" w:sz="4" w:space="0"/>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-0.34 </w:t>
            </w:r>
          </w:p>
        </w:tc>
        <w:tc>
          <w:tcPr>
            <w:tcW w:w="1903" w:type="dxa"/>
            <w:tcBorders>
              <w:top w:val="nil"/>
              <w:left w:val="nil"/>
              <w:bottom w:val="single" w:color="000000" w:sz="4" w:space="0"/>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2.63 </w:t>
            </w:r>
          </w:p>
        </w:tc>
        <w:tc>
          <w:tcPr>
            <w:tcW w:w="1903" w:type="dxa"/>
            <w:tcBorders>
              <w:top w:val="nil"/>
              <w:left w:val="nil"/>
              <w:bottom w:val="single" w:color="000000" w:sz="4" w:space="0"/>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2.58 </w:t>
            </w:r>
          </w:p>
        </w:tc>
        <w:tc>
          <w:tcPr>
            <w:tcW w:w="1903" w:type="dxa"/>
            <w:tcBorders>
              <w:top w:val="nil"/>
              <w:left w:val="nil"/>
              <w:bottom w:val="single" w:color="000000" w:sz="4" w:space="0"/>
              <w:right w:val="nil"/>
            </w:tcBorders>
            <w:shd w:val="clear" w:color="auto" w:fill="auto"/>
            <w:noWrap/>
            <w:vAlign w:val="bottom"/>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2.35 </w:t>
            </w:r>
          </w:p>
        </w:tc>
      </w:tr>
    </w:tbl>
    <w:p>
      <w:pPr>
        <w:pStyle w:val="5"/>
        <w:pageBreakBefore w:val="0"/>
        <w:kinsoku/>
        <w:overflowPunct/>
        <w:autoSpaceDE/>
        <w:autoSpaceDN/>
        <w:bidi w:val="0"/>
        <w:adjustRightInd/>
        <w:spacing w:before="0" w:after="0" w:line="240" w:lineRule="auto"/>
        <w:textAlignment w:val="auto"/>
        <w:rPr>
          <w:color w:val="auto"/>
          <w:lang w:eastAsia="zh-CN"/>
        </w:rPr>
      </w:pPr>
      <w:r>
        <w:rPr>
          <w:rFonts w:hint="eastAsia"/>
          <w:color w:val="auto"/>
          <w:lang w:eastAsia="zh-CN"/>
        </w:rPr>
        <w:t>3.3.3 不同气候情景下未来水文干旱特征分析</w:t>
      </w:r>
    </w:p>
    <w:p>
      <w:pPr>
        <w:pageBreakBefore w:val="0"/>
        <w:kinsoku/>
        <w:overflowPunct/>
        <w:autoSpaceDE/>
        <w:autoSpaceDN/>
        <w:bidi w:val="0"/>
        <w:adjustRightInd/>
        <w:spacing w:after="0" w:line="240" w:lineRule="auto"/>
        <w:ind w:firstLine="420"/>
        <w:textAlignment w:val="auto"/>
      </w:pPr>
      <w:r>
        <w:rPr>
          <w:rFonts w:hint="eastAsia"/>
        </w:rPr>
        <w:t>根据水源区内汉中站、安康站和白河站的年尺度SRI，对比基准期与未来气候情景下的水文干旱特征，结果如表8所列、图12所示。可以看出，基准期内汉中站和白河站平均干旱历时和水文干旱烈度较大，安康站水文干旱频率较高，整体呈现明显的空间分异特征。</w:t>
      </w:r>
    </w:p>
    <w:p>
      <w:pPr>
        <w:pageBreakBefore w:val="0"/>
        <w:kinsoku/>
        <w:overflowPunct/>
        <w:autoSpaceDE/>
        <w:autoSpaceDN/>
        <w:bidi w:val="0"/>
        <w:adjustRightInd/>
        <w:spacing w:after="0" w:line="240" w:lineRule="auto"/>
        <w:ind w:firstLine="420"/>
        <w:textAlignment w:val="auto"/>
      </w:pPr>
      <w:r>
        <w:rPr>
          <w:rFonts w:hint="eastAsia"/>
        </w:rPr>
        <w:t>在SSP1-2.6情景下，汉中站水文干旱频率较基准期增加29.7%，历时缩短18.1%，烈度降低16.0%；安康站频率降低26.7%，历时延长27.2%，烈度上升39.6%，干旱次数减少但更为严重持久；白河站频率略增9.8%，历时与烈度小幅下降。水源区上游与下游干旱频发但强度减弱，中游则更为持久强烈。</w:t>
      </w:r>
    </w:p>
    <w:p>
      <w:pPr>
        <w:pageBreakBefore w:val="0"/>
        <w:kinsoku/>
        <w:overflowPunct/>
        <w:autoSpaceDE/>
        <w:autoSpaceDN/>
        <w:bidi w:val="0"/>
        <w:adjustRightInd/>
        <w:spacing w:after="0" w:line="240" w:lineRule="auto"/>
        <w:ind w:firstLine="420"/>
        <w:textAlignment w:val="auto"/>
      </w:pPr>
      <w:r>
        <w:t>在SSP2-4.5情景</w:t>
      </w:r>
      <w:r>
        <w:rPr>
          <w:rFonts w:hint="eastAsia"/>
        </w:rPr>
        <w:t>下</w:t>
      </w:r>
      <w:r>
        <w:t>，</w:t>
      </w:r>
      <w:r>
        <w:rPr>
          <w:rFonts w:hint="eastAsia"/>
        </w:rPr>
        <w:t>上游与下游仍</w:t>
      </w:r>
      <w:r>
        <w:t>呈</w:t>
      </w:r>
      <w:r>
        <w:rPr>
          <w:rFonts w:hint="eastAsia" w:ascii="宋体" w:hAnsi="宋体" w:eastAsia="宋体" w:cs="宋体"/>
        </w:rPr>
        <w:t>“高频-短历时-低烈度”</w:t>
      </w:r>
      <w:r>
        <w:t>特征</w:t>
      </w:r>
      <w:r>
        <w:rPr>
          <w:rFonts w:hint="eastAsia"/>
        </w:rPr>
        <w:t>，</w:t>
      </w:r>
      <w:r>
        <w:t>汉中站</w:t>
      </w:r>
      <w:r>
        <w:rPr>
          <w:rFonts w:hint="eastAsia"/>
        </w:rPr>
        <w:t>与基准期相比</w:t>
      </w:r>
      <w:r>
        <w:t>频率增</w:t>
      </w:r>
      <w:r>
        <w:rPr>
          <w:rFonts w:hint="eastAsia"/>
        </w:rPr>
        <w:t>加</w:t>
      </w:r>
      <w:r>
        <w:t>21.6%，历时和烈度</w:t>
      </w:r>
      <w:r>
        <w:rPr>
          <w:rFonts w:hint="eastAsia"/>
        </w:rPr>
        <w:t>分别下降19.3%、15.9%</w:t>
      </w:r>
      <w:r>
        <w:t>；安康站频率降13.3%，历时与烈度分别上升24.3%和27.8%；白河站频率略增，历时和烈度</w:t>
      </w:r>
      <w:r>
        <w:rPr>
          <w:rFonts w:hint="eastAsia"/>
        </w:rPr>
        <w:t>小幅</w:t>
      </w:r>
      <w:r>
        <w:t>下降。</w:t>
      </w:r>
    </w:p>
    <w:p>
      <w:pPr>
        <w:pageBreakBefore w:val="0"/>
        <w:kinsoku/>
        <w:overflowPunct/>
        <w:autoSpaceDE/>
        <w:autoSpaceDN/>
        <w:bidi w:val="0"/>
        <w:adjustRightInd/>
        <w:spacing w:after="0" w:line="240" w:lineRule="auto"/>
        <w:ind w:firstLine="420"/>
        <w:textAlignment w:val="auto"/>
      </w:pPr>
      <w:r>
        <w:t>在SSP5-8.5情景下，汉中站频率仅增</w:t>
      </w:r>
      <w:r>
        <w:rPr>
          <w:rFonts w:hint="eastAsia"/>
        </w:rPr>
        <w:t>加</w:t>
      </w:r>
      <w:r>
        <w:t>8.1%，历时与烈度接近基准</w:t>
      </w:r>
      <w:r>
        <w:rPr>
          <w:rFonts w:hint="eastAsia"/>
        </w:rPr>
        <w:t>期</w:t>
      </w:r>
      <w:r>
        <w:t>；安康站频率降11.1%，历时</w:t>
      </w:r>
      <w:r>
        <w:rPr>
          <w:rFonts w:hint="eastAsia"/>
        </w:rPr>
        <w:t>增加22.1%，</w:t>
      </w:r>
      <w:r>
        <w:t>烈度</w:t>
      </w:r>
      <w:r>
        <w:rPr>
          <w:rFonts w:hint="eastAsia"/>
        </w:rPr>
        <w:t>增长23.4%</w:t>
      </w:r>
      <w:r>
        <w:t>；白河站频率略增2.4%，历时与烈度</w:t>
      </w:r>
      <w:r>
        <w:rPr>
          <w:rFonts w:hint="eastAsia"/>
        </w:rPr>
        <w:t>较基准期</w:t>
      </w:r>
      <w:r>
        <w:t>分别上升16.0%和11.9%，</w:t>
      </w:r>
      <w:r>
        <w:rPr>
          <w:rFonts w:hint="eastAsia"/>
        </w:rPr>
        <w:t>水源区</w:t>
      </w:r>
      <w:r>
        <w:t>干旱</w:t>
      </w:r>
      <w:r>
        <w:rPr>
          <w:rFonts w:hint="eastAsia"/>
        </w:rPr>
        <w:t>存在恶化倾向</w:t>
      </w:r>
      <w:r>
        <w:t>。</w:t>
      </w:r>
    </w:p>
    <w:p>
      <w:pPr>
        <w:pStyle w:val="30"/>
        <w:pageBreakBefore w:val="0"/>
        <w:kinsoku/>
        <w:overflowPunct/>
        <w:autoSpaceDE/>
        <w:autoSpaceDN/>
        <w:bidi w:val="0"/>
        <w:adjustRightInd/>
        <w:spacing w:before="0" w:after="0" w:line="240" w:lineRule="auto"/>
        <w:textAlignment w:val="auto"/>
      </w:pPr>
      <w:r>
        <w:rPr>
          <w:rFonts w:hint="eastAsia"/>
        </w:rPr>
        <w:t>表 8 不同气候情景下南水北调中线工程水源区未来水文干旱特征</w:t>
      </w:r>
    </w:p>
    <w:p>
      <w:pPr>
        <w:pStyle w:val="30"/>
        <w:pageBreakBefore w:val="0"/>
        <w:kinsoku/>
        <w:overflowPunct/>
        <w:autoSpaceDE/>
        <w:autoSpaceDN/>
        <w:bidi w:val="0"/>
        <w:adjustRightInd/>
        <w:spacing w:before="0" w:after="0" w:line="240" w:lineRule="auto"/>
        <w:textAlignment w:val="auto"/>
      </w:pPr>
      <w:r>
        <w:rPr>
          <w:rFonts w:hint="eastAsia"/>
        </w:rPr>
        <w:t>Table 8 Future hydrological drought characteristics in water source area of South-to-North Water Diversion Middle Route Project under different climate scenarios</w:t>
      </w:r>
    </w:p>
    <w:tbl>
      <w:tblPr>
        <w:tblStyle w:val="16"/>
        <w:tblW w:w="4998" w:type="pct"/>
        <w:jc w:val="center"/>
        <w:tblLayout w:type="fixed"/>
        <w:tblCellMar>
          <w:top w:w="0" w:type="dxa"/>
          <w:left w:w="108" w:type="dxa"/>
          <w:bottom w:w="0" w:type="dxa"/>
          <w:right w:w="108" w:type="dxa"/>
        </w:tblCellMar>
      </w:tblPr>
      <w:tblGrid>
        <w:gridCol w:w="609"/>
        <w:gridCol w:w="709"/>
        <w:gridCol w:w="642"/>
        <w:gridCol w:w="642"/>
        <w:gridCol w:w="644"/>
        <w:gridCol w:w="716"/>
        <w:gridCol w:w="636"/>
        <w:gridCol w:w="636"/>
        <w:gridCol w:w="649"/>
        <w:gridCol w:w="687"/>
        <w:gridCol w:w="649"/>
        <w:gridCol w:w="649"/>
        <w:gridCol w:w="651"/>
      </w:tblGrid>
      <w:tr>
        <w:tblPrEx>
          <w:tblCellMar>
            <w:top w:w="0" w:type="dxa"/>
            <w:left w:w="108" w:type="dxa"/>
            <w:bottom w:w="0" w:type="dxa"/>
            <w:right w:w="108" w:type="dxa"/>
          </w:tblCellMar>
        </w:tblPrEx>
        <w:trPr>
          <w:trHeight w:val="270" w:hRule="atLeast"/>
          <w:jc w:val="center"/>
        </w:trPr>
        <w:tc>
          <w:tcPr>
            <w:tcW w:w="358" w:type="pct"/>
            <w:vMerge w:val="restart"/>
            <w:tcBorders>
              <w:top w:val="single" w:color="000000" w:sz="12" w:space="0"/>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水文站</w:t>
            </w:r>
          </w:p>
        </w:tc>
        <w:tc>
          <w:tcPr>
            <w:tcW w:w="1547" w:type="pct"/>
            <w:gridSpan w:val="4"/>
            <w:tcBorders>
              <w:top w:val="single" w:color="000000" w:sz="12" w:space="0"/>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水文干旱频率</w:t>
            </w:r>
          </w:p>
        </w:tc>
        <w:tc>
          <w:tcPr>
            <w:tcW w:w="1547" w:type="pct"/>
            <w:gridSpan w:val="4"/>
            <w:tcBorders>
              <w:top w:val="single" w:color="000000" w:sz="12" w:space="0"/>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平均干旱历时/月</w:t>
            </w:r>
          </w:p>
        </w:tc>
        <w:tc>
          <w:tcPr>
            <w:tcW w:w="1547" w:type="pct"/>
            <w:gridSpan w:val="4"/>
            <w:tcBorders>
              <w:top w:val="single" w:color="000000" w:sz="12" w:space="0"/>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水文干旱烈度</w:t>
            </w:r>
          </w:p>
        </w:tc>
      </w:tr>
      <w:tr>
        <w:tblPrEx>
          <w:tblCellMar>
            <w:top w:w="0" w:type="dxa"/>
            <w:left w:w="108" w:type="dxa"/>
            <w:bottom w:w="0" w:type="dxa"/>
            <w:right w:w="108" w:type="dxa"/>
          </w:tblCellMar>
        </w:tblPrEx>
        <w:trPr>
          <w:trHeight w:val="300" w:hRule="atLeast"/>
          <w:jc w:val="center"/>
        </w:trPr>
        <w:tc>
          <w:tcPr>
            <w:tcW w:w="358" w:type="pct"/>
            <w:vMerge w:val="continue"/>
            <w:tcBorders>
              <w:top w:val="single" w:color="000000" w:sz="12" w:space="0"/>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p>
        </w:tc>
        <w:tc>
          <w:tcPr>
            <w:tcW w:w="416" w:type="pct"/>
            <w:tcBorders>
              <w:top w:val="nil"/>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基准期</w:t>
            </w:r>
          </w:p>
        </w:tc>
        <w:tc>
          <w:tcPr>
            <w:tcW w:w="377" w:type="pct"/>
            <w:tcBorders>
              <w:top w:val="nil"/>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SSP</w:t>
            </w:r>
          </w:p>
          <w:p>
            <w:pPr>
              <w:pStyle w:val="29"/>
              <w:pageBreakBefore w:val="0"/>
              <w:kinsoku/>
              <w:overflowPunct/>
              <w:autoSpaceDE/>
              <w:autoSpaceDN/>
              <w:bidi w:val="0"/>
              <w:adjustRightInd/>
              <w:spacing w:after="0" w:line="240" w:lineRule="auto"/>
              <w:textAlignment w:val="auto"/>
              <w:rPr>
                <w:sz w:val="15"/>
                <w:szCs w:val="15"/>
              </w:rPr>
            </w:pPr>
            <w:r>
              <w:rPr>
                <w:sz w:val="15"/>
                <w:szCs w:val="15"/>
              </w:rPr>
              <w:t>1-2.6</w:t>
            </w:r>
          </w:p>
        </w:tc>
        <w:tc>
          <w:tcPr>
            <w:tcW w:w="377" w:type="pct"/>
            <w:tcBorders>
              <w:top w:val="nil"/>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SSP</w:t>
            </w:r>
          </w:p>
          <w:p>
            <w:pPr>
              <w:pStyle w:val="29"/>
              <w:pageBreakBefore w:val="0"/>
              <w:kinsoku/>
              <w:overflowPunct/>
              <w:autoSpaceDE/>
              <w:autoSpaceDN/>
              <w:bidi w:val="0"/>
              <w:adjustRightInd/>
              <w:spacing w:after="0" w:line="240" w:lineRule="auto"/>
              <w:textAlignment w:val="auto"/>
              <w:rPr>
                <w:sz w:val="15"/>
                <w:szCs w:val="15"/>
              </w:rPr>
            </w:pPr>
            <w:r>
              <w:rPr>
                <w:sz w:val="15"/>
                <w:szCs w:val="15"/>
              </w:rPr>
              <w:t>2-4.5</w:t>
            </w:r>
          </w:p>
        </w:tc>
        <w:tc>
          <w:tcPr>
            <w:tcW w:w="378" w:type="pct"/>
            <w:tcBorders>
              <w:top w:val="nil"/>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SSP</w:t>
            </w:r>
          </w:p>
          <w:p>
            <w:pPr>
              <w:pStyle w:val="29"/>
              <w:pageBreakBefore w:val="0"/>
              <w:kinsoku/>
              <w:overflowPunct/>
              <w:autoSpaceDE/>
              <w:autoSpaceDN/>
              <w:bidi w:val="0"/>
              <w:adjustRightInd/>
              <w:spacing w:after="0" w:line="240" w:lineRule="auto"/>
              <w:textAlignment w:val="auto"/>
              <w:rPr>
                <w:sz w:val="15"/>
                <w:szCs w:val="15"/>
              </w:rPr>
            </w:pPr>
            <w:r>
              <w:rPr>
                <w:sz w:val="15"/>
                <w:szCs w:val="15"/>
              </w:rPr>
              <w:t>5-8.5</w:t>
            </w:r>
          </w:p>
        </w:tc>
        <w:tc>
          <w:tcPr>
            <w:tcW w:w="420" w:type="pct"/>
            <w:tcBorders>
              <w:top w:val="nil"/>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基准期</w:t>
            </w:r>
          </w:p>
        </w:tc>
        <w:tc>
          <w:tcPr>
            <w:tcW w:w="373" w:type="pct"/>
            <w:tcBorders>
              <w:top w:val="nil"/>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SSP</w:t>
            </w:r>
          </w:p>
          <w:p>
            <w:pPr>
              <w:pStyle w:val="29"/>
              <w:pageBreakBefore w:val="0"/>
              <w:kinsoku/>
              <w:overflowPunct/>
              <w:autoSpaceDE/>
              <w:autoSpaceDN/>
              <w:bidi w:val="0"/>
              <w:adjustRightInd/>
              <w:spacing w:after="0" w:line="240" w:lineRule="auto"/>
              <w:textAlignment w:val="auto"/>
              <w:rPr>
                <w:sz w:val="15"/>
                <w:szCs w:val="15"/>
              </w:rPr>
            </w:pPr>
            <w:r>
              <w:rPr>
                <w:sz w:val="15"/>
                <w:szCs w:val="15"/>
              </w:rPr>
              <w:t>1-2.6</w:t>
            </w:r>
          </w:p>
        </w:tc>
        <w:tc>
          <w:tcPr>
            <w:tcW w:w="373" w:type="pct"/>
            <w:tcBorders>
              <w:top w:val="nil"/>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SSP</w:t>
            </w:r>
          </w:p>
          <w:p>
            <w:pPr>
              <w:pStyle w:val="29"/>
              <w:pageBreakBefore w:val="0"/>
              <w:kinsoku/>
              <w:overflowPunct/>
              <w:autoSpaceDE/>
              <w:autoSpaceDN/>
              <w:bidi w:val="0"/>
              <w:adjustRightInd/>
              <w:spacing w:after="0" w:line="240" w:lineRule="auto"/>
              <w:textAlignment w:val="auto"/>
              <w:rPr>
                <w:sz w:val="15"/>
                <w:szCs w:val="15"/>
              </w:rPr>
            </w:pPr>
            <w:r>
              <w:rPr>
                <w:sz w:val="15"/>
                <w:szCs w:val="15"/>
              </w:rPr>
              <w:t>2-4.5</w:t>
            </w:r>
          </w:p>
        </w:tc>
        <w:tc>
          <w:tcPr>
            <w:tcW w:w="375" w:type="pct"/>
            <w:tcBorders>
              <w:top w:val="nil"/>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SSP</w:t>
            </w:r>
          </w:p>
          <w:p>
            <w:pPr>
              <w:pStyle w:val="29"/>
              <w:pageBreakBefore w:val="0"/>
              <w:kinsoku/>
              <w:overflowPunct/>
              <w:autoSpaceDE/>
              <w:autoSpaceDN/>
              <w:bidi w:val="0"/>
              <w:adjustRightInd/>
              <w:spacing w:after="0" w:line="240" w:lineRule="auto"/>
              <w:textAlignment w:val="auto"/>
              <w:rPr>
                <w:sz w:val="15"/>
                <w:szCs w:val="15"/>
              </w:rPr>
            </w:pPr>
            <w:r>
              <w:rPr>
                <w:sz w:val="15"/>
                <w:szCs w:val="15"/>
              </w:rPr>
              <w:t>5-8.5</w:t>
            </w:r>
          </w:p>
        </w:tc>
        <w:tc>
          <w:tcPr>
            <w:tcW w:w="403" w:type="pct"/>
            <w:tcBorders>
              <w:top w:val="nil"/>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基准期</w:t>
            </w:r>
          </w:p>
        </w:tc>
        <w:tc>
          <w:tcPr>
            <w:tcW w:w="381" w:type="pct"/>
            <w:tcBorders>
              <w:top w:val="single" w:color="000000" w:sz="8" w:space="0"/>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SSP</w:t>
            </w:r>
          </w:p>
          <w:p>
            <w:pPr>
              <w:pStyle w:val="29"/>
              <w:pageBreakBefore w:val="0"/>
              <w:kinsoku/>
              <w:overflowPunct/>
              <w:autoSpaceDE/>
              <w:autoSpaceDN/>
              <w:bidi w:val="0"/>
              <w:adjustRightInd/>
              <w:spacing w:after="0" w:line="240" w:lineRule="auto"/>
              <w:textAlignment w:val="auto"/>
              <w:rPr>
                <w:sz w:val="15"/>
                <w:szCs w:val="15"/>
              </w:rPr>
            </w:pPr>
            <w:r>
              <w:rPr>
                <w:sz w:val="15"/>
                <w:szCs w:val="15"/>
              </w:rPr>
              <w:t>1-2.6</w:t>
            </w:r>
          </w:p>
        </w:tc>
        <w:tc>
          <w:tcPr>
            <w:tcW w:w="381" w:type="pct"/>
            <w:tcBorders>
              <w:top w:val="nil"/>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SSP</w:t>
            </w:r>
          </w:p>
          <w:p>
            <w:pPr>
              <w:pStyle w:val="29"/>
              <w:pageBreakBefore w:val="0"/>
              <w:kinsoku/>
              <w:overflowPunct/>
              <w:autoSpaceDE/>
              <w:autoSpaceDN/>
              <w:bidi w:val="0"/>
              <w:adjustRightInd/>
              <w:spacing w:after="0" w:line="240" w:lineRule="auto"/>
              <w:textAlignment w:val="auto"/>
              <w:rPr>
                <w:sz w:val="15"/>
                <w:szCs w:val="15"/>
              </w:rPr>
            </w:pPr>
            <w:r>
              <w:rPr>
                <w:sz w:val="15"/>
                <w:szCs w:val="15"/>
              </w:rPr>
              <w:t>2-4.5</w:t>
            </w:r>
          </w:p>
        </w:tc>
        <w:tc>
          <w:tcPr>
            <w:tcW w:w="381" w:type="pct"/>
            <w:tcBorders>
              <w:top w:val="single" w:color="000000" w:sz="8" w:space="0"/>
              <w:left w:val="nil"/>
              <w:bottom w:val="single" w:color="000000" w:sz="8"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SSP</w:t>
            </w:r>
          </w:p>
          <w:p>
            <w:pPr>
              <w:pStyle w:val="29"/>
              <w:pageBreakBefore w:val="0"/>
              <w:kinsoku/>
              <w:overflowPunct/>
              <w:autoSpaceDE/>
              <w:autoSpaceDN/>
              <w:bidi w:val="0"/>
              <w:adjustRightInd/>
              <w:spacing w:after="0" w:line="240" w:lineRule="auto"/>
              <w:textAlignment w:val="auto"/>
              <w:rPr>
                <w:sz w:val="15"/>
                <w:szCs w:val="15"/>
              </w:rPr>
            </w:pPr>
            <w:r>
              <w:rPr>
                <w:sz w:val="15"/>
                <w:szCs w:val="15"/>
              </w:rPr>
              <w:t>5-8.5</w:t>
            </w:r>
          </w:p>
        </w:tc>
      </w:tr>
      <w:tr>
        <w:tblPrEx>
          <w:tblCellMar>
            <w:top w:w="0" w:type="dxa"/>
            <w:left w:w="108" w:type="dxa"/>
            <w:bottom w:w="0" w:type="dxa"/>
            <w:right w:w="108" w:type="dxa"/>
          </w:tblCellMar>
        </w:tblPrEx>
        <w:trPr>
          <w:trHeight w:val="270" w:hRule="atLeast"/>
          <w:jc w:val="center"/>
        </w:trPr>
        <w:tc>
          <w:tcPr>
            <w:tcW w:w="358" w:type="pct"/>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汉中</w:t>
            </w:r>
          </w:p>
        </w:tc>
        <w:tc>
          <w:tcPr>
            <w:tcW w:w="416" w:type="pct"/>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0.37 </w:t>
            </w:r>
          </w:p>
        </w:tc>
        <w:tc>
          <w:tcPr>
            <w:tcW w:w="377" w:type="pct"/>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0.48 </w:t>
            </w:r>
          </w:p>
        </w:tc>
        <w:tc>
          <w:tcPr>
            <w:tcW w:w="377" w:type="pct"/>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0.45 </w:t>
            </w:r>
          </w:p>
        </w:tc>
        <w:tc>
          <w:tcPr>
            <w:tcW w:w="378" w:type="pct"/>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0.40 </w:t>
            </w:r>
          </w:p>
        </w:tc>
        <w:tc>
          <w:tcPr>
            <w:tcW w:w="420" w:type="pct"/>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9.33 </w:t>
            </w:r>
          </w:p>
        </w:tc>
        <w:tc>
          <w:tcPr>
            <w:tcW w:w="373" w:type="pct"/>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7.64 </w:t>
            </w:r>
          </w:p>
        </w:tc>
        <w:tc>
          <w:tcPr>
            <w:tcW w:w="373" w:type="pct"/>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7.53 </w:t>
            </w:r>
          </w:p>
        </w:tc>
        <w:tc>
          <w:tcPr>
            <w:tcW w:w="375" w:type="pct"/>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9.34 </w:t>
            </w:r>
          </w:p>
        </w:tc>
        <w:tc>
          <w:tcPr>
            <w:tcW w:w="403" w:type="pct"/>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10.</w:t>
            </w:r>
            <w:r>
              <w:rPr>
                <w:rFonts w:hint="eastAsia"/>
                <w:sz w:val="15"/>
                <w:szCs w:val="15"/>
              </w:rPr>
              <w:t>5</w:t>
            </w:r>
            <w:r>
              <w:rPr>
                <w:sz w:val="15"/>
                <w:szCs w:val="15"/>
              </w:rPr>
              <w:t xml:space="preserve">8 </w:t>
            </w:r>
          </w:p>
        </w:tc>
        <w:tc>
          <w:tcPr>
            <w:tcW w:w="381" w:type="pct"/>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8.89 </w:t>
            </w:r>
          </w:p>
        </w:tc>
        <w:tc>
          <w:tcPr>
            <w:tcW w:w="381" w:type="pct"/>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8.90 </w:t>
            </w:r>
          </w:p>
        </w:tc>
        <w:tc>
          <w:tcPr>
            <w:tcW w:w="381" w:type="pct"/>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10.42 </w:t>
            </w:r>
          </w:p>
        </w:tc>
      </w:tr>
      <w:tr>
        <w:tblPrEx>
          <w:tblCellMar>
            <w:top w:w="0" w:type="dxa"/>
            <w:left w:w="108" w:type="dxa"/>
            <w:bottom w:w="0" w:type="dxa"/>
            <w:right w:w="108" w:type="dxa"/>
          </w:tblCellMar>
        </w:tblPrEx>
        <w:trPr>
          <w:trHeight w:val="270" w:hRule="atLeast"/>
          <w:jc w:val="center"/>
        </w:trPr>
        <w:tc>
          <w:tcPr>
            <w:tcW w:w="358" w:type="pct"/>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安康</w:t>
            </w:r>
          </w:p>
        </w:tc>
        <w:tc>
          <w:tcPr>
            <w:tcW w:w="416" w:type="pct"/>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0.45 </w:t>
            </w:r>
          </w:p>
        </w:tc>
        <w:tc>
          <w:tcPr>
            <w:tcW w:w="377" w:type="pct"/>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0.33 </w:t>
            </w:r>
          </w:p>
        </w:tc>
        <w:tc>
          <w:tcPr>
            <w:tcW w:w="377" w:type="pct"/>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0.39 </w:t>
            </w:r>
          </w:p>
        </w:tc>
        <w:tc>
          <w:tcPr>
            <w:tcW w:w="378" w:type="pct"/>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0.40 </w:t>
            </w:r>
          </w:p>
        </w:tc>
        <w:tc>
          <w:tcPr>
            <w:tcW w:w="420" w:type="pct"/>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8.27 </w:t>
            </w:r>
          </w:p>
        </w:tc>
        <w:tc>
          <w:tcPr>
            <w:tcW w:w="373" w:type="pct"/>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10.52 </w:t>
            </w:r>
          </w:p>
        </w:tc>
        <w:tc>
          <w:tcPr>
            <w:tcW w:w="373" w:type="pct"/>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10.28 </w:t>
            </w:r>
          </w:p>
        </w:tc>
        <w:tc>
          <w:tcPr>
            <w:tcW w:w="375" w:type="pct"/>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10.10 </w:t>
            </w:r>
          </w:p>
        </w:tc>
        <w:tc>
          <w:tcPr>
            <w:tcW w:w="403" w:type="pct"/>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9.25 </w:t>
            </w:r>
          </w:p>
        </w:tc>
        <w:tc>
          <w:tcPr>
            <w:tcW w:w="381" w:type="pct"/>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12.91 </w:t>
            </w:r>
          </w:p>
        </w:tc>
        <w:tc>
          <w:tcPr>
            <w:tcW w:w="381" w:type="pct"/>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11.82 </w:t>
            </w:r>
          </w:p>
        </w:tc>
        <w:tc>
          <w:tcPr>
            <w:tcW w:w="381" w:type="pct"/>
            <w:tcBorders>
              <w:top w:val="nil"/>
              <w:left w:val="nil"/>
              <w:bottom w:val="nil"/>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11.41 </w:t>
            </w:r>
          </w:p>
        </w:tc>
      </w:tr>
      <w:tr>
        <w:tblPrEx>
          <w:tblCellMar>
            <w:top w:w="0" w:type="dxa"/>
            <w:left w:w="108" w:type="dxa"/>
            <w:bottom w:w="0" w:type="dxa"/>
            <w:right w:w="108" w:type="dxa"/>
          </w:tblCellMar>
        </w:tblPrEx>
        <w:trPr>
          <w:trHeight w:val="285" w:hRule="atLeast"/>
          <w:jc w:val="center"/>
        </w:trPr>
        <w:tc>
          <w:tcPr>
            <w:tcW w:w="358" w:type="pct"/>
            <w:tcBorders>
              <w:top w:val="nil"/>
              <w:left w:val="nil"/>
              <w:bottom w:val="single" w:color="000000" w:sz="12"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rFonts w:hint="eastAsia"/>
                <w:sz w:val="15"/>
                <w:szCs w:val="15"/>
              </w:rPr>
              <w:t>白河</w:t>
            </w:r>
          </w:p>
        </w:tc>
        <w:tc>
          <w:tcPr>
            <w:tcW w:w="416" w:type="pct"/>
            <w:tcBorders>
              <w:top w:val="nil"/>
              <w:left w:val="nil"/>
              <w:bottom w:val="single" w:color="000000" w:sz="12"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0.41 </w:t>
            </w:r>
          </w:p>
        </w:tc>
        <w:tc>
          <w:tcPr>
            <w:tcW w:w="377" w:type="pct"/>
            <w:tcBorders>
              <w:top w:val="nil"/>
              <w:left w:val="nil"/>
              <w:bottom w:val="single" w:color="000000" w:sz="12"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0.45 </w:t>
            </w:r>
          </w:p>
        </w:tc>
        <w:tc>
          <w:tcPr>
            <w:tcW w:w="377" w:type="pct"/>
            <w:tcBorders>
              <w:top w:val="nil"/>
              <w:left w:val="nil"/>
              <w:bottom w:val="single" w:color="000000" w:sz="12"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0.45 </w:t>
            </w:r>
          </w:p>
        </w:tc>
        <w:tc>
          <w:tcPr>
            <w:tcW w:w="378" w:type="pct"/>
            <w:tcBorders>
              <w:top w:val="nil"/>
              <w:left w:val="nil"/>
              <w:bottom w:val="single" w:color="000000" w:sz="12"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0.4</w:t>
            </w:r>
            <w:r>
              <w:rPr>
                <w:rFonts w:hint="eastAsia"/>
                <w:sz w:val="15"/>
                <w:szCs w:val="15"/>
              </w:rPr>
              <w:t>2</w:t>
            </w:r>
            <w:r>
              <w:rPr>
                <w:sz w:val="15"/>
                <w:szCs w:val="15"/>
              </w:rPr>
              <w:t xml:space="preserve"> </w:t>
            </w:r>
          </w:p>
        </w:tc>
        <w:tc>
          <w:tcPr>
            <w:tcW w:w="420" w:type="pct"/>
            <w:tcBorders>
              <w:top w:val="nil"/>
              <w:left w:val="nil"/>
              <w:bottom w:val="single" w:color="000000" w:sz="12"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9.80 </w:t>
            </w:r>
          </w:p>
        </w:tc>
        <w:tc>
          <w:tcPr>
            <w:tcW w:w="373" w:type="pct"/>
            <w:tcBorders>
              <w:top w:val="nil"/>
              <w:left w:val="nil"/>
              <w:bottom w:val="single" w:color="000000" w:sz="12"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9.62 </w:t>
            </w:r>
          </w:p>
        </w:tc>
        <w:tc>
          <w:tcPr>
            <w:tcW w:w="373" w:type="pct"/>
            <w:tcBorders>
              <w:top w:val="nil"/>
              <w:left w:val="nil"/>
              <w:bottom w:val="single" w:color="000000" w:sz="12"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8.85 </w:t>
            </w:r>
          </w:p>
        </w:tc>
        <w:tc>
          <w:tcPr>
            <w:tcW w:w="375" w:type="pct"/>
            <w:tcBorders>
              <w:top w:val="nil"/>
              <w:left w:val="nil"/>
              <w:bottom w:val="single" w:color="000000" w:sz="12"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11.37 </w:t>
            </w:r>
          </w:p>
        </w:tc>
        <w:tc>
          <w:tcPr>
            <w:tcW w:w="403" w:type="pct"/>
            <w:tcBorders>
              <w:top w:val="nil"/>
              <w:left w:val="nil"/>
              <w:bottom w:val="single" w:color="000000" w:sz="12"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10.43 </w:t>
            </w:r>
          </w:p>
        </w:tc>
        <w:tc>
          <w:tcPr>
            <w:tcW w:w="381" w:type="pct"/>
            <w:tcBorders>
              <w:top w:val="nil"/>
              <w:left w:val="nil"/>
              <w:bottom w:val="single" w:color="000000" w:sz="12"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9.88 </w:t>
            </w:r>
          </w:p>
        </w:tc>
        <w:tc>
          <w:tcPr>
            <w:tcW w:w="381" w:type="pct"/>
            <w:tcBorders>
              <w:top w:val="nil"/>
              <w:left w:val="nil"/>
              <w:bottom w:val="single" w:color="000000" w:sz="12"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9.23 </w:t>
            </w:r>
          </w:p>
        </w:tc>
        <w:tc>
          <w:tcPr>
            <w:tcW w:w="381" w:type="pct"/>
            <w:tcBorders>
              <w:top w:val="nil"/>
              <w:left w:val="nil"/>
              <w:bottom w:val="single" w:color="000000" w:sz="12" w:space="0"/>
              <w:right w:val="nil"/>
            </w:tcBorders>
            <w:shd w:val="clear" w:color="auto" w:fill="auto"/>
            <w:vAlign w:val="center"/>
          </w:tcPr>
          <w:p>
            <w:pPr>
              <w:pStyle w:val="29"/>
              <w:pageBreakBefore w:val="0"/>
              <w:kinsoku/>
              <w:overflowPunct/>
              <w:autoSpaceDE/>
              <w:autoSpaceDN/>
              <w:bidi w:val="0"/>
              <w:adjustRightInd/>
              <w:spacing w:after="0" w:line="240" w:lineRule="auto"/>
              <w:textAlignment w:val="auto"/>
              <w:rPr>
                <w:sz w:val="15"/>
                <w:szCs w:val="15"/>
              </w:rPr>
            </w:pPr>
            <w:r>
              <w:rPr>
                <w:sz w:val="15"/>
                <w:szCs w:val="15"/>
              </w:rPr>
              <w:t xml:space="preserve">11.67 </w:t>
            </w:r>
          </w:p>
        </w:tc>
      </w:tr>
    </w:tbl>
    <w:p>
      <w:pPr>
        <w:pageBreakBefore w:val="0"/>
        <w:kinsoku/>
        <w:overflowPunct/>
        <w:autoSpaceDE/>
        <w:autoSpaceDN/>
        <w:bidi w:val="0"/>
        <w:adjustRightInd/>
        <w:spacing w:after="0" w:line="240" w:lineRule="auto"/>
        <w:ind w:firstLine="0" w:firstLineChars="0"/>
        <w:jc w:val="center"/>
        <w:textAlignment w:val="auto"/>
      </w:pPr>
      <w:r>
        <w:rPr>
          <w:rFonts w:hint="eastAsia"/>
        </w:rPr>
        <w:drawing>
          <wp:inline distT="0" distB="0" distL="114300" distR="114300">
            <wp:extent cx="4531360" cy="4318000"/>
            <wp:effectExtent l="0" t="0" r="2540" b="6350"/>
            <wp:docPr id="21" name="图片 21" descr="水文干旱特征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1" name="图片 21" descr="水文干旱特征2-"/>
                    <pic:cNvPicPr>
                      <a:picLocks noChangeAspect="true"/>
                    </pic:cNvPicPr>
                  </pic:nvPicPr>
                  <pic:blipFill>
                    <a:blip r:embed="rId18"/>
                    <a:srcRect l="13254" r="13423"/>
                    <a:stretch>
                      <a:fillRect/>
                    </a:stretch>
                  </pic:blipFill>
                  <pic:spPr>
                    <a:xfrm>
                      <a:off x="0" y="0"/>
                      <a:ext cx="4531360" cy="4318000"/>
                    </a:xfrm>
                    <a:prstGeom prst="rect">
                      <a:avLst/>
                    </a:prstGeom>
                  </pic:spPr>
                </pic:pic>
              </a:graphicData>
            </a:graphic>
          </wp:inline>
        </w:drawing>
      </w:r>
    </w:p>
    <w:p>
      <w:pPr>
        <w:pStyle w:val="25"/>
        <w:pageBreakBefore w:val="0"/>
        <w:kinsoku/>
        <w:overflowPunct/>
        <w:autoSpaceDE/>
        <w:autoSpaceDN/>
        <w:bidi w:val="0"/>
        <w:adjustRightInd/>
        <w:spacing w:after="0" w:line="240" w:lineRule="auto"/>
        <w:ind w:right="0"/>
        <w:textAlignment w:val="auto"/>
        <w:rPr>
          <w:szCs w:val="18"/>
        </w:rPr>
      </w:pPr>
      <w:r>
        <w:rPr>
          <w:rFonts w:hint="eastAsia"/>
          <w:szCs w:val="18"/>
        </w:rPr>
        <w:t>图 12 不同气候情景下南水北调中线工程水源区水文干旱特征统计</w:t>
      </w:r>
    </w:p>
    <w:p>
      <w:pPr>
        <w:pStyle w:val="25"/>
        <w:pageBreakBefore w:val="0"/>
        <w:kinsoku/>
        <w:overflowPunct/>
        <w:autoSpaceDE/>
        <w:autoSpaceDN/>
        <w:bidi w:val="0"/>
        <w:adjustRightInd/>
        <w:spacing w:after="0" w:line="240" w:lineRule="auto"/>
        <w:ind w:right="0"/>
        <w:textAlignment w:val="auto"/>
      </w:pPr>
      <w:r>
        <w:t>Fig.12</w:t>
      </w:r>
      <w:r>
        <w:rPr>
          <w:rFonts w:hint="eastAsia"/>
        </w:rPr>
        <w:t xml:space="preserve"> Statistics of hydrological drought characteristics in water source area of South-to-North Water Diversion Middle Route Project under different climate scenarios</w:t>
      </w:r>
    </w:p>
    <w:p>
      <w:pPr>
        <w:pStyle w:val="4"/>
        <w:pageBreakBefore w:val="0"/>
        <w:kinsoku/>
        <w:overflowPunct/>
        <w:autoSpaceDE/>
        <w:autoSpaceDN/>
        <w:bidi w:val="0"/>
        <w:adjustRightInd/>
        <w:spacing w:before="0" w:after="0" w:line="240" w:lineRule="auto"/>
        <w:textAlignment w:val="auto"/>
      </w:pPr>
      <w:r>
        <w:rPr>
          <w:rFonts w:hint="eastAsia"/>
        </w:rPr>
        <w:t>3.4 结果讨论</w:t>
      </w:r>
    </w:p>
    <w:p>
      <w:pPr>
        <w:pStyle w:val="5"/>
        <w:pageBreakBefore w:val="0"/>
        <w:kinsoku/>
        <w:overflowPunct/>
        <w:autoSpaceDE/>
        <w:autoSpaceDN/>
        <w:bidi w:val="0"/>
        <w:adjustRightInd/>
        <w:spacing w:before="0" w:after="0" w:line="240" w:lineRule="auto"/>
        <w:textAlignment w:val="auto"/>
        <w:rPr>
          <w:color w:val="auto"/>
          <w:lang w:eastAsia="zh-CN"/>
        </w:rPr>
      </w:pPr>
      <w:r>
        <w:rPr>
          <w:rFonts w:hint="eastAsia"/>
          <w:color w:val="auto"/>
          <w:lang w:eastAsia="zh-CN"/>
        </w:rPr>
        <w:t>3.4.1 研究方法的适用性评估</w:t>
      </w:r>
    </w:p>
    <w:p>
      <w:pPr>
        <w:pageBreakBefore w:val="0"/>
        <w:kinsoku/>
        <w:overflowPunct/>
        <w:autoSpaceDE/>
        <w:autoSpaceDN/>
        <w:bidi w:val="0"/>
        <w:adjustRightInd/>
        <w:spacing w:after="0" w:line="240" w:lineRule="auto"/>
        <w:ind w:firstLine="419" w:firstLineChars="0"/>
        <w:textAlignment w:val="auto"/>
        <w:rPr>
          <w:szCs w:val="21"/>
        </w:rPr>
      </w:pPr>
      <w:r>
        <w:rPr>
          <w:rFonts w:hint="eastAsia"/>
          <w:szCs w:val="21"/>
        </w:rPr>
        <w:t>本研究基于CMIP6数据，结合CMCC-ESM2气候模式与SRI指数构建的综合评估框架能够较全面地揭示南水北调中线工程水源区未来水文干旱的时空演变趋势。CMCC-ESM2模式在气候系统动力结构、水汽输送及东亚季风区降水模拟上表现突出</w:t>
      </w:r>
      <w:r>
        <w:rPr>
          <w:rStyle w:val="20"/>
        </w:rPr>
        <w:t>[</w:t>
      </w:r>
      <w:r>
        <w:rPr>
          <w:rStyle w:val="20"/>
        </w:rPr>
        <w:endnoteReference w:id="31"/>
      </w:r>
      <w:r>
        <w:rPr>
          <w:rStyle w:val="20"/>
        </w:rPr>
        <w:t>]</w:t>
      </w:r>
      <w:r>
        <w:rPr>
          <w:rFonts w:hint="eastAsia"/>
          <w:szCs w:val="21"/>
        </w:rPr>
        <w:t>，能够较好反映水源区气候变化信号。与SWAT模型耦合能够稳定模拟降水—产流—干旱传播过程，对径流变化具备较高敏感性，为未来水文情势与干旱风险的量化分析提供了技术支撑。</w:t>
      </w:r>
    </w:p>
    <w:p>
      <w:pPr>
        <w:pageBreakBefore w:val="0"/>
        <w:kinsoku/>
        <w:overflowPunct/>
        <w:autoSpaceDE/>
        <w:autoSpaceDN/>
        <w:bidi w:val="0"/>
        <w:adjustRightInd/>
        <w:spacing w:after="0" w:line="240" w:lineRule="auto"/>
        <w:ind w:firstLine="419" w:firstLineChars="0"/>
        <w:textAlignment w:val="auto"/>
        <w:rPr>
          <w:szCs w:val="21"/>
        </w:rPr>
      </w:pPr>
      <w:r>
        <w:rPr>
          <w:rFonts w:hint="eastAsia"/>
          <w:szCs w:val="21"/>
        </w:rPr>
        <w:t>模型整体模拟效果良好，率定与验证期均满足水文模拟精度要求，但仍存在一定局限性。不同辐射强迫情景下气候模式对降水空间分布及极端事件的模拟差异可能导致干旱指标的情景性偏差，SWAT未显式刻画植被蒸散增强、土壤湿度变化等关键过程，可能低估短历时干旱的强度。水源区地形复杂且暴雨具有显著局地下垫面响应差异，现有气象站网难以刻画极端降水中心特征，导致模型在丰枯转换期及高流量事件的响应偏弱。水源区内分布的水库、塘坝、水土保持措施等改变了天然产汇流关系，而模型只能有限地表征这些人类调控效应，导致部分情境下模拟与实测存在差异。本研究采用方法在多年尺度具备较高稳定性和适用性，可有效支撑未来气候情景下的水文干旱趋势分析；但在极端事件、局地过程及人类活动影响刻画方面仍有进一步优化空间。</w:t>
      </w:r>
    </w:p>
    <w:p>
      <w:pPr>
        <w:pStyle w:val="5"/>
        <w:pageBreakBefore w:val="0"/>
        <w:kinsoku/>
        <w:overflowPunct/>
        <w:autoSpaceDE/>
        <w:autoSpaceDN/>
        <w:bidi w:val="0"/>
        <w:adjustRightInd/>
        <w:spacing w:before="0" w:after="0" w:line="240" w:lineRule="auto"/>
        <w:textAlignment w:val="auto"/>
        <w:rPr>
          <w:color w:val="auto"/>
          <w:lang w:eastAsia="zh-CN"/>
        </w:rPr>
      </w:pPr>
      <w:r>
        <w:rPr>
          <w:rFonts w:hint="eastAsia"/>
          <w:color w:val="auto"/>
          <w:lang w:eastAsia="zh-CN"/>
        </w:rPr>
        <w:t>3.4.2 水文干旱趋势及其影响因素分析</w:t>
      </w:r>
    </w:p>
    <w:p>
      <w:pPr>
        <w:pageBreakBefore w:val="0"/>
        <w:kinsoku/>
        <w:overflowPunct/>
        <w:autoSpaceDE/>
        <w:autoSpaceDN/>
        <w:bidi w:val="0"/>
        <w:adjustRightInd/>
        <w:spacing w:after="0" w:line="240" w:lineRule="auto"/>
        <w:ind w:firstLine="419" w:firstLineChars="0"/>
        <w:textAlignment w:val="auto"/>
        <w:rPr>
          <w:szCs w:val="21"/>
        </w:rPr>
      </w:pPr>
      <w:r>
        <w:rPr>
          <w:rFonts w:hint="eastAsia"/>
          <w:szCs w:val="21"/>
        </w:rPr>
        <w:t>研究结果显示，在三种气候情景下未来水源区年均径流整体呈增加趋势，SRI年尺度指标普遍上升，与</w:t>
      </w:r>
      <w:r>
        <w:rPr>
          <w:rFonts w:hint="eastAsia"/>
          <w:szCs w:val="21"/>
          <w:lang w:eastAsia="zh-CN"/>
        </w:rPr>
        <w:t>其他学者</w:t>
      </w:r>
      <w:r>
        <w:rPr>
          <w:rFonts w:hint="eastAsia"/>
          <w:szCs w:val="21"/>
        </w:rPr>
        <w:t>基于同类型气候模式的研究结果一致</w:t>
      </w:r>
      <w:r>
        <w:rPr>
          <w:rStyle w:val="20"/>
        </w:rPr>
        <w:t>[</w:t>
      </w:r>
      <w:r>
        <w:rPr>
          <w:rStyle w:val="20"/>
          <w:rFonts w:cs="Times New Roman"/>
        </w:rPr>
        <w:endnoteReference w:id="32"/>
      </w:r>
      <w:r>
        <w:rPr>
          <w:rFonts w:hint="eastAsia" w:eastAsia="宋体"/>
          <w:vertAlign w:val="superscript"/>
        </w:rPr>
        <w:t>-</w:t>
      </w:r>
      <w:r>
        <w:rPr>
          <w:rStyle w:val="20"/>
          <w:vanish/>
        </w:rPr>
        <w:t>[</w:t>
      </w:r>
      <w:r>
        <w:rPr>
          <w:rStyle w:val="20"/>
        </w:rPr>
        <w:endnoteReference w:id="33"/>
      </w:r>
      <w:r>
        <w:rPr>
          <w:rStyle w:val="20"/>
        </w:rPr>
        <w:t>]</w:t>
      </w:r>
      <w:r>
        <w:rPr>
          <w:szCs w:val="21"/>
        </w:rPr>
        <w:t>，共同</w:t>
      </w:r>
      <w:r>
        <w:rPr>
          <w:rFonts w:hint="eastAsia"/>
          <w:szCs w:val="21"/>
        </w:rPr>
        <w:t>印证</w:t>
      </w:r>
      <w:r>
        <w:rPr>
          <w:szCs w:val="21"/>
        </w:rPr>
        <w:t>了气候变暖强化了区域水循环，加剧高空水汽输送与极端降水事件频次，推动径流整体</w:t>
      </w:r>
      <w:r>
        <w:rPr>
          <w:rFonts w:hint="eastAsia"/>
          <w:szCs w:val="21"/>
        </w:rPr>
        <w:t>增加</w:t>
      </w:r>
      <w:r>
        <w:rPr>
          <w:szCs w:val="21"/>
        </w:rPr>
        <w:t>。</w:t>
      </w:r>
      <w:r>
        <w:rPr>
          <w:rFonts w:hint="eastAsia"/>
          <w:szCs w:val="21"/>
        </w:rPr>
        <w:t>然而，不同情景间干旱响应存在显著空间差异。在SSP1-2.6情景下，安康与白河站径流变化趋势相对平缓，部分结果与已有研究不完全一致，可能源于低辐射强迫条件下气候模式对降水时空结构、温度变化和下垫面反馈的模拟不确定性，反映出低碳路径下水文响应评估的复杂性。</w:t>
      </w:r>
    </w:p>
    <w:p>
      <w:pPr>
        <w:pageBreakBefore w:val="0"/>
        <w:kinsoku/>
        <w:overflowPunct/>
        <w:autoSpaceDE/>
        <w:autoSpaceDN/>
        <w:bidi w:val="0"/>
        <w:adjustRightInd/>
        <w:spacing w:after="0" w:line="240" w:lineRule="auto"/>
        <w:ind w:firstLine="419" w:firstLineChars="0"/>
        <w:textAlignment w:val="auto"/>
        <w:rPr>
          <w:szCs w:val="21"/>
        </w:rPr>
      </w:pPr>
      <w:r>
        <w:rPr>
          <w:rFonts w:hint="eastAsia"/>
          <w:szCs w:val="21"/>
        </w:rPr>
        <w:t>在中高排放情景（SSP2-4.5、SSP5-8.5）下，上游干旱频率、历时和烈度呈现增强态势，与WANG等</w:t>
      </w:r>
      <w:r>
        <w:rPr>
          <w:rStyle w:val="20"/>
          <w:rFonts w:hint="eastAsia"/>
        </w:rPr>
        <w:t>[</w:t>
      </w:r>
      <w:r>
        <w:rPr>
          <w:rStyle w:val="20"/>
          <w:rFonts w:hint="eastAsia"/>
        </w:rPr>
        <w:endnoteReference w:id="34"/>
      </w:r>
      <w:r>
        <w:rPr>
          <w:rStyle w:val="20"/>
          <w:rFonts w:hint="eastAsia"/>
        </w:rPr>
        <w:t>]</w:t>
      </w:r>
      <w:r>
        <w:rPr>
          <w:rFonts w:hint="eastAsia"/>
          <w:szCs w:val="21"/>
        </w:rPr>
        <w:t>关于汉江流域上游未来干旱加剧的结论一致，出现了“降水增多但干旱加重”的现象，这可能由于降水在汛期高度集中，极端降水事件频次增加但季节均匀度降低，使得非汛期有效降水减少；温度升高驱动蒸散需求上升，使土壤湿度长期偏低；水源区上游地形陡峻、产汇流过程快速，短历时强降水形成径流峰值，却难以转换为可持续利用的基流补给，削弱对干旱的缓冲作用。综上，水文干旱演变受到降水结构变化、温度上升、蒸散需求加剧以及流域地形控制等多因素的共同影响，不同区域的响应机制存在明显差异，这种空间差异对水资源管理提出了更高要求，尤其是在应对水源区中下游干旱风险时，需考虑更多的局地因素和气候情景的复杂性。</w:t>
      </w:r>
    </w:p>
    <w:p>
      <w:pPr>
        <w:pStyle w:val="5"/>
        <w:pageBreakBefore w:val="0"/>
        <w:kinsoku/>
        <w:overflowPunct/>
        <w:autoSpaceDE/>
        <w:autoSpaceDN/>
        <w:bidi w:val="0"/>
        <w:adjustRightInd/>
        <w:spacing w:before="0" w:after="0" w:line="240" w:lineRule="auto"/>
        <w:textAlignment w:val="auto"/>
        <w:rPr>
          <w:color w:val="auto"/>
          <w:szCs w:val="21"/>
          <w:lang w:eastAsia="zh-CN"/>
        </w:rPr>
      </w:pPr>
      <w:r>
        <w:rPr>
          <w:rFonts w:hint="eastAsia"/>
          <w:color w:val="auto"/>
          <w:lang w:eastAsia="zh-CN"/>
        </w:rPr>
        <w:t>3.4.3 研究不足与未来展望</w:t>
      </w:r>
    </w:p>
    <w:p>
      <w:pPr>
        <w:pageBreakBefore w:val="0"/>
        <w:kinsoku/>
        <w:overflowPunct/>
        <w:autoSpaceDE/>
        <w:autoSpaceDN/>
        <w:bidi w:val="0"/>
        <w:adjustRightInd/>
        <w:spacing w:after="0" w:line="240" w:lineRule="auto"/>
        <w:ind w:firstLine="419" w:firstLineChars="0"/>
        <w:textAlignment w:val="auto"/>
        <w:rPr>
          <w:szCs w:val="21"/>
        </w:rPr>
      </w:pPr>
      <w:r>
        <w:rPr>
          <w:szCs w:val="21"/>
        </w:rPr>
        <w:t>与已有同区域研究相比，所得</w:t>
      </w:r>
      <w:r>
        <w:rPr>
          <w:rFonts w:hint="eastAsia"/>
          <w:szCs w:val="21"/>
        </w:rPr>
        <w:t>水文干旱演变</w:t>
      </w:r>
      <w:r>
        <w:rPr>
          <w:szCs w:val="21"/>
        </w:rPr>
        <w:t>趋势与</w:t>
      </w:r>
      <w:r>
        <w:rPr>
          <w:rFonts w:hint="eastAsia"/>
          <w:szCs w:val="21"/>
        </w:rPr>
        <w:t>前人研究</w:t>
      </w:r>
      <w:r>
        <w:rPr>
          <w:szCs w:val="21"/>
        </w:rPr>
        <w:t>结果整体一致，验证了方法的可靠性</w:t>
      </w:r>
      <w:r>
        <w:rPr>
          <w:rFonts w:hint="eastAsia"/>
          <w:szCs w:val="21"/>
        </w:rPr>
        <w:t>，但</w:t>
      </w:r>
      <w:r>
        <w:rPr>
          <w:szCs w:val="21"/>
        </w:rPr>
        <w:t>本研究采用单一模式（CMCC-ESM2），气候模式集成不足，可能导致情景性偏差；流域内水库调度、水土保持工程及工程群联合运行对干旱传播过程具有重要影响，但在模型中未充分体现</w:t>
      </w:r>
      <w:r>
        <w:rPr>
          <w:rFonts w:hint="eastAsia"/>
          <w:szCs w:val="21"/>
        </w:rPr>
        <w:t>。</w:t>
      </w:r>
      <w:r>
        <w:rPr>
          <w:szCs w:val="21"/>
        </w:rPr>
        <w:t>未来研究亟需构建多模式、多情景的气候驱动集成系统，耦合</w:t>
      </w:r>
      <w:r>
        <w:rPr>
          <w:rFonts w:hint="eastAsia" w:ascii="宋体" w:hAnsi="宋体" w:eastAsia="宋体" w:cs="宋体"/>
          <w:szCs w:val="21"/>
        </w:rPr>
        <w:t>“</w:t>
      </w:r>
      <w:r>
        <w:rPr>
          <w:szCs w:val="21"/>
        </w:rPr>
        <w:t>气候</w:t>
      </w:r>
      <w:r>
        <w:rPr>
          <w:rFonts w:hint="eastAsia"/>
          <w:szCs w:val="21"/>
        </w:rPr>
        <w:t>-</w:t>
      </w:r>
      <w:r>
        <w:rPr>
          <w:szCs w:val="21"/>
        </w:rPr>
        <w:t>水文</w:t>
      </w:r>
      <w:r>
        <w:rPr>
          <w:rFonts w:hint="eastAsia"/>
          <w:szCs w:val="21"/>
        </w:rPr>
        <w:t>-</w:t>
      </w:r>
      <w:r>
        <w:rPr>
          <w:szCs w:val="21"/>
        </w:rPr>
        <w:t>水工程</w:t>
      </w:r>
      <w:r>
        <w:rPr>
          <w:rFonts w:hint="eastAsia"/>
          <w:szCs w:val="21"/>
        </w:rPr>
        <w:t>-</w:t>
      </w:r>
      <w:r>
        <w:rPr>
          <w:szCs w:val="21"/>
        </w:rPr>
        <w:t>生态</w:t>
      </w:r>
      <w:r>
        <w:rPr>
          <w:rFonts w:hint="eastAsia" w:ascii="宋体" w:hAnsi="宋体" w:eastAsia="宋体" w:cs="宋体"/>
          <w:szCs w:val="21"/>
        </w:rPr>
        <w:t>”</w:t>
      </w:r>
      <w:r>
        <w:rPr>
          <w:szCs w:val="21"/>
        </w:rPr>
        <w:t>的综合模型，纳入土地利用变化</w:t>
      </w:r>
      <w:r>
        <w:rPr>
          <w:rFonts w:hint="eastAsia"/>
          <w:szCs w:val="21"/>
        </w:rPr>
        <w:t>与</w:t>
      </w:r>
      <w:r>
        <w:rPr>
          <w:szCs w:val="21"/>
        </w:rPr>
        <w:t>人类调控过程，</w:t>
      </w:r>
      <w:r>
        <w:rPr>
          <w:rFonts w:hint="eastAsia"/>
          <w:szCs w:val="21"/>
        </w:rPr>
        <w:t>以深入揭示干旱形成机制和传播路径，</w:t>
      </w:r>
      <w:r>
        <w:rPr>
          <w:szCs w:val="21"/>
        </w:rPr>
        <w:t>并结合中线工程实际调水需求与水库群调度规则，开展干旱情景下的调水风险评估与优化运行研究</w:t>
      </w:r>
      <w:r>
        <w:rPr>
          <w:rFonts w:hint="eastAsia"/>
          <w:szCs w:val="21"/>
        </w:rPr>
        <w:t>，</w:t>
      </w:r>
      <w:r>
        <w:rPr>
          <w:szCs w:val="21"/>
        </w:rPr>
        <w:t>以保障中线工程长期安全运行与供水稳定性。</w:t>
      </w:r>
    </w:p>
    <w:p>
      <w:pPr>
        <w:pStyle w:val="3"/>
        <w:pageBreakBefore w:val="0"/>
        <w:kinsoku/>
        <w:overflowPunct/>
        <w:autoSpaceDE/>
        <w:autoSpaceDN/>
        <w:bidi w:val="0"/>
        <w:adjustRightInd/>
        <w:spacing w:before="0" w:after="0" w:line="240" w:lineRule="auto"/>
        <w:textAlignment w:val="auto"/>
      </w:pPr>
      <w:r>
        <w:rPr>
          <w:rFonts w:hint="eastAsia"/>
        </w:rPr>
        <w:t>4</w:t>
      </w:r>
      <w:r>
        <w:t xml:space="preserve"> </w:t>
      </w:r>
      <w:r>
        <w:rPr>
          <w:rFonts w:hint="eastAsia"/>
        </w:rPr>
        <w:t>结  论</w:t>
      </w:r>
    </w:p>
    <w:p>
      <w:pPr>
        <w:pageBreakBefore w:val="0"/>
        <w:kinsoku/>
        <w:overflowPunct/>
        <w:autoSpaceDE/>
        <w:autoSpaceDN/>
        <w:bidi w:val="0"/>
        <w:adjustRightInd/>
        <w:spacing w:after="0" w:line="240" w:lineRule="auto"/>
        <w:ind w:firstLine="420"/>
        <w:textAlignment w:val="auto"/>
      </w:pPr>
      <w:r>
        <w:rPr>
          <w:rFonts w:hint="eastAsia"/>
        </w:rPr>
        <w:t>本研究联合SWAT分布式水文模型、CMCC-ESM2气候模式与水文干旱指标，量化分析了气候变化情景下南水北调中线工程水源区汉江流域未来水文干旱的演变特征，结果表明：</w:t>
      </w:r>
    </w:p>
    <w:p>
      <w:pPr>
        <w:pageBreakBefore w:val="0"/>
        <w:numPr>
          <w:ilvl w:val="0"/>
          <w:numId w:val="3"/>
        </w:numPr>
        <w:kinsoku/>
        <w:overflowPunct/>
        <w:autoSpaceDE/>
        <w:autoSpaceDN/>
        <w:bidi w:val="0"/>
        <w:adjustRightInd/>
        <w:spacing w:after="0" w:line="240" w:lineRule="auto"/>
        <w:ind w:firstLine="420"/>
        <w:textAlignment w:val="auto"/>
      </w:pPr>
      <w:r>
        <w:rPr>
          <w:rFonts w:hint="eastAsia"/>
        </w:rPr>
        <w:t>三种气候情景下未来（2026—2100年）南水北调中线工程水源区多年年均径流量呈增加趋势，增幅随辐射强迫的增强而显著扩大。上游汉中站径流增幅及M-K趋势检验Z值始终最高，下游白河站径流绝对增量最为突出，表明水源区上游对气候变化响应更敏感，下游径流供给潜力提升更显著。</w:t>
      </w:r>
    </w:p>
    <w:p>
      <w:pPr>
        <w:pageBreakBefore w:val="0"/>
        <w:numPr>
          <w:ilvl w:val="0"/>
          <w:numId w:val="3"/>
        </w:numPr>
        <w:kinsoku/>
        <w:overflowPunct/>
        <w:autoSpaceDE/>
        <w:autoSpaceDN/>
        <w:bidi w:val="0"/>
        <w:adjustRightInd/>
        <w:spacing w:after="0" w:line="240" w:lineRule="auto"/>
        <w:ind w:firstLine="420"/>
        <w:textAlignment w:val="auto"/>
      </w:pPr>
      <w:r>
        <w:rPr>
          <w:rFonts w:hint="eastAsia"/>
        </w:rPr>
        <w:t>未来不同气候情景下水源区干旱演变趋势分异较显著。SSP1-2.6情景下，中下游干旱风险显著降低；与之相比，SSP2-4.5和SSP5-8.5情景下上游干旱风险回升，且即便高排放情景下SRI12较基准期整体呈上升趋势，干旱发生频率整体仍呈增加态势，说明径流增长难以完全抵消干旱频率升高风险，干旱演变受气候排放强度与空间差异双重影响。</w:t>
      </w:r>
    </w:p>
    <w:p>
      <w:pPr>
        <w:pageBreakBefore w:val="0"/>
        <w:numPr>
          <w:ilvl w:val="0"/>
          <w:numId w:val="3"/>
        </w:numPr>
        <w:kinsoku/>
        <w:overflowPunct/>
        <w:autoSpaceDE/>
        <w:autoSpaceDN/>
        <w:bidi w:val="0"/>
        <w:adjustRightInd/>
        <w:spacing w:after="0" w:line="240" w:lineRule="auto"/>
        <w:ind w:firstLine="420"/>
        <w:textAlignment w:val="auto"/>
      </w:pPr>
      <w:r>
        <w:rPr>
          <w:rFonts w:hint="eastAsia"/>
        </w:rPr>
        <w:t>未来时期水源区干旱特征及空间格局存在明显差异。中低排放情景下上游干旱频率较基准期增加29.7%，与下游共同呈现“高频率-短历时-低烈度”特征，突发性增强、烈度减弱；在高排放情景下，安康站历时与烈度较基准期增加22.1%、23.4%，水源区中下游干旱趋于持久强烈，为流域水资源管理和防旱抗旱带来挑战。</w:t>
      </w:r>
    </w:p>
    <w:p>
      <w:pPr>
        <w:pageBreakBefore w:val="0"/>
        <w:kinsoku/>
        <w:overflowPunct/>
        <w:autoSpaceDE/>
        <w:autoSpaceDN/>
        <w:bidi w:val="0"/>
        <w:adjustRightInd/>
        <w:spacing w:after="0" w:line="240" w:lineRule="auto"/>
        <w:ind w:firstLine="0" w:firstLineChars="0"/>
        <w:textAlignment w:val="auto"/>
        <w:rPr>
          <w:rStyle w:val="20"/>
          <w:vertAlign w:val="baseline"/>
        </w:rPr>
      </w:pPr>
      <w:r>
        <w:rPr>
          <w:rFonts w:hint="eastAsia"/>
          <w:b/>
          <w:bCs/>
        </w:rPr>
        <w:t>参考文献</w:t>
      </w:r>
    </w:p>
    <w:sectPr>
      <w:endnotePr>
        <w:numFmt w:val="decimal"/>
      </w:endnote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70">
    <w:p>
      <w:pPr>
        <w:spacing w:line="240" w:lineRule="auto"/>
        <w:ind w:firstLine="420"/>
      </w:pPr>
    </w:p>
  </w:endnote>
  <w:endnote w:type="continuationSeparator" w:id="71">
    <w:p>
      <w:pPr>
        <w:spacing w:line="240" w:lineRule="auto"/>
        <w:ind w:firstLine="420"/>
      </w:pPr>
    </w:p>
  </w:endnote>
  <w:endnote w:id="0">
    <w:p>
      <w:pPr>
        <w:pStyle w:val="9"/>
        <w:spacing w:line="240" w:lineRule="auto"/>
      </w:pPr>
      <w:r>
        <w:rPr>
          <w:rStyle w:val="20"/>
          <w:vertAlign w:val="baseline"/>
        </w:rPr>
        <w:t>[</w:t>
      </w:r>
      <w:r>
        <w:rPr>
          <w:rStyle w:val="20"/>
          <w:vertAlign w:val="baseline"/>
        </w:rPr>
        <w:endnoteRef/>
      </w:r>
      <w:r>
        <w:rPr>
          <w:rStyle w:val="20"/>
          <w:vertAlign w:val="baseline"/>
        </w:rPr>
        <w:t>]</w:t>
      </w:r>
      <w:r>
        <w:t xml:space="preserve"> </w:t>
      </w:r>
      <w:r>
        <w:rPr>
          <w:rFonts w:hint="eastAsia"/>
        </w:rPr>
        <w:t>KHOJASTEH D, HAGHANI M, SHAMSIPOUR A, et al. Climate change science is evolving toward adaptation and mitigation solutions [J]. Wiley Interdisciplinary Reviews: Climate Change, 2024, 15(4): e884.</w:t>
      </w:r>
    </w:p>
  </w:endnote>
  <w:endnote w:id="1">
    <w:p>
      <w:pPr>
        <w:pStyle w:val="9"/>
        <w:spacing w:line="240" w:lineRule="auto"/>
      </w:pPr>
      <w:r>
        <w:rPr>
          <w:rStyle w:val="20"/>
          <w:vertAlign w:val="baseline"/>
        </w:rPr>
        <w:t>[</w:t>
      </w:r>
      <w:r>
        <w:rPr>
          <w:rStyle w:val="20"/>
          <w:vertAlign w:val="baseline"/>
        </w:rPr>
        <w:endnoteRef/>
      </w:r>
      <w:r>
        <w:rPr>
          <w:rStyle w:val="20"/>
          <w:vertAlign w:val="baseline"/>
        </w:rPr>
        <w:t>]</w:t>
      </w:r>
      <w:r>
        <w:t xml:space="preserve"> </w:t>
      </w:r>
      <w:r>
        <w:rPr>
          <w:rFonts w:hint="eastAsia"/>
        </w:rPr>
        <w:t>ZABIHI O, AHMADI A, HAGHIGHI A T. A framework for assessing uncertainties in drought projections under climate change: Insights from CMIP6 models [J]. Science of The Total Environment, 2025, 982: 179679.</w:t>
      </w:r>
    </w:p>
  </w:endnote>
  <w:endnote w:id="2">
    <w:p>
      <w:pPr>
        <w:pStyle w:val="9"/>
        <w:spacing w:line="240" w:lineRule="auto"/>
      </w:pPr>
      <w:r>
        <w:rPr>
          <w:rStyle w:val="20"/>
          <w:vertAlign w:val="baseline"/>
        </w:rPr>
        <w:t>[</w:t>
      </w:r>
      <w:r>
        <w:rPr>
          <w:rStyle w:val="20"/>
          <w:vertAlign w:val="baseline"/>
        </w:rPr>
        <w:endnoteRef/>
      </w:r>
      <w:r>
        <w:rPr>
          <w:rStyle w:val="20"/>
          <w:vertAlign w:val="baseline"/>
        </w:rPr>
        <w:t>]</w:t>
      </w:r>
      <w:r>
        <w:t xml:space="preserve"> </w:t>
      </w:r>
      <w:r>
        <w:rPr>
          <w:rFonts w:hint="eastAsia"/>
        </w:rPr>
        <w:t>XIA P C, LU C P, WU G D, et al.</w:t>
      </w:r>
      <w:r>
        <w:t xml:space="preserve"> </w:t>
      </w:r>
      <w:r>
        <w:rPr>
          <w:rFonts w:hint="eastAsia"/>
        </w:rPr>
        <w:t>Attribution analysis of groundwater depth dynamic changes in the water receiving region of the South-to-North Water Diversion Middle Route Project in China</w:t>
      </w:r>
      <w:r>
        <w:t xml:space="preserve"> </w:t>
      </w:r>
      <w:r>
        <w:rPr>
          <w:rFonts w:hint="eastAsia"/>
        </w:rPr>
        <w:t>[J].</w:t>
      </w:r>
      <w:r>
        <w:t xml:space="preserve"> </w:t>
      </w:r>
      <w:r>
        <w:rPr>
          <w:rFonts w:hint="eastAsia"/>
        </w:rPr>
        <w:t>Journal of Hydrology: Regional Studies,</w:t>
      </w:r>
      <w:r>
        <w:t xml:space="preserve"> </w:t>
      </w:r>
      <w:r>
        <w:rPr>
          <w:rFonts w:hint="eastAsia"/>
        </w:rPr>
        <w:t>2025,</w:t>
      </w:r>
      <w:r>
        <w:t xml:space="preserve"> </w:t>
      </w:r>
      <w:r>
        <w:rPr>
          <w:rFonts w:hint="eastAsia"/>
        </w:rPr>
        <w:t>58</w:t>
      </w:r>
      <w:r>
        <w:t xml:space="preserve">: </w:t>
      </w:r>
      <w:r>
        <w:rPr>
          <w:rFonts w:hint="eastAsia"/>
        </w:rPr>
        <w:t>102210.</w:t>
      </w:r>
    </w:p>
  </w:endnote>
  <w:endnote w:id="3">
    <w:p>
      <w:pPr>
        <w:pStyle w:val="9"/>
        <w:spacing w:line="240" w:lineRule="auto"/>
      </w:pPr>
      <w:r>
        <w:rPr>
          <w:rStyle w:val="20"/>
          <w:vertAlign w:val="baseline"/>
        </w:rPr>
        <w:t>[</w:t>
      </w:r>
      <w:r>
        <w:rPr>
          <w:rStyle w:val="20"/>
          <w:vertAlign w:val="baseline"/>
        </w:rPr>
        <w:endnoteRef/>
      </w:r>
      <w:r>
        <w:rPr>
          <w:rStyle w:val="20"/>
          <w:vertAlign w:val="baseline"/>
        </w:rPr>
        <w:t>]</w:t>
      </w:r>
      <w:r>
        <w:t xml:space="preserve"> </w:t>
      </w:r>
      <w:r>
        <w:rPr>
          <w:rFonts w:hint="eastAsia"/>
        </w:rPr>
        <w:t>LONG Y, QU J, ZHAO T H, et al. Comprehensive benefit assessment of the Middle Route of South-to-North Water Diversion Project based on Markowitz theory [J]. Water, 2023, 15(24): 4212.</w:t>
      </w:r>
    </w:p>
  </w:endnote>
  <w:endnote w:id="4">
    <w:p>
      <w:pPr>
        <w:pStyle w:val="9"/>
        <w:spacing w:line="240" w:lineRule="auto"/>
      </w:pPr>
      <w:r>
        <w:rPr>
          <w:rStyle w:val="20"/>
          <w:vertAlign w:val="baseline"/>
        </w:rPr>
        <w:t>[</w:t>
      </w:r>
      <w:r>
        <w:rPr>
          <w:rStyle w:val="20"/>
          <w:vertAlign w:val="baseline"/>
        </w:rPr>
        <w:endnoteRef/>
      </w:r>
      <w:r>
        <w:rPr>
          <w:rStyle w:val="20"/>
          <w:vertAlign w:val="baseline"/>
        </w:rPr>
        <w:t>]</w:t>
      </w:r>
      <w:r>
        <w:t xml:space="preserve"> </w:t>
      </w:r>
      <w:r>
        <w:rPr>
          <w:rFonts w:hint="eastAsia"/>
        </w:rPr>
        <w:t>SUN K, HUA Y F, HE W B, et al.</w:t>
      </w:r>
      <w:r>
        <w:t xml:space="preserve"> </w:t>
      </w:r>
      <w:r>
        <w:rPr>
          <w:rFonts w:hint="eastAsia"/>
        </w:rPr>
        <w:t>Impact assessment on the economy, society, resource, and environment in the water-receiving cities of the Middle Route Project of South-to-North Water Diversion</w:t>
      </w:r>
      <w:r>
        <w:t xml:space="preserve"> </w:t>
      </w:r>
      <w:r>
        <w:rPr>
          <w:rFonts w:hint="eastAsia"/>
        </w:rPr>
        <w:t>[J].</w:t>
      </w:r>
      <w:r>
        <w:t xml:space="preserve"> Environmental Science </w:t>
      </w:r>
      <w:r>
        <w:rPr>
          <w:rFonts w:hint="eastAsia"/>
        </w:rPr>
        <w:t>a</w:t>
      </w:r>
      <w:r>
        <w:t>nd Pollution Research</w:t>
      </w:r>
      <w:r>
        <w:rPr>
          <w:rFonts w:hint="eastAsia"/>
        </w:rPr>
        <w:t>,</w:t>
      </w:r>
      <w:r>
        <w:t xml:space="preserve"> 2022, 29(60): 90378-90390.</w:t>
      </w:r>
    </w:p>
  </w:endnote>
  <w:endnote w:id="5">
    <w:p>
      <w:pPr>
        <w:pStyle w:val="9"/>
        <w:spacing w:line="240" w:lineRule="auto"/>
      </w:pPr>
      <w:r>
        <w:rPr>
          <w:rStyle w:val="20"/>
          <w:vertAlign w:val="baseline"/>
        </w:rPr>
        <w:t>[</w:t>
      </w:r>
      <w:r>
        <w:rPr>
          <w:rStyle w:val="20"/>
          <w:vertAlign w:val="baseline"/>
        </w:rPr>
        <w:endnoteRef/>
      </w:r>
      <w:r>
        <w:rPr>
          <w:rStyle w:val="20"/>
          <w:vertAlign w:val="baseline"/>
        </w:rPr>
        <w:t>]</w:t>
      </w:r>
      <w:r>
        <w:t xml:space="preserve"> </w:t>
      </w:r>
      <w:r>
        <w:rPr>
          <w:rFonts w:hint="eastAsia"/>
        </w:rPr>
        <w:t>朱芳, 杨少康, 章程焱, 等. 汉江上游流域多时间尺度降水时空演变特征分析 [J]. 人民长江, 2025, 56</w:t>
      </w:r>
      <w:r>
        <w:rPr>
          <w:lang w:val="en"/>
        </w:rPr>
        <w:t>(</w:t>
      </w:r>
      <w:r>
        <w:rPr>
          <w:rFonts w:hint="eastAsia"/>
        </w:rPr>
        <w:t>7): 84-92.</w:t>
      </w:r>
    </w:p>
    <w:p>
      <w:pPr>
        <w:pStyle w:val="9"/>
        <w:spacing w:line="240" w:lineRule="auto"/>
        <w:ind w:firstLine="420" w:firstLineChars="200"/>
        <w:rPr>
          <w:rFonts w:eastAsia="微软雅黑"/>
        </w:rPr>
      </w:pPr>
      <w:r>
        <w:rPr>
          <w:rFonts w:hint="eastAsia"/>
        </w:rPr>
        <w:t>ZHU F</w:t>
      </w:r>
      <w:r>
        <w:t xml:space="preserve">, </w:t>
      </w:r>
      <w:r>
        <w:rPr>
          <w:rFonts w:hint="eastAsia"/>
        </w:rPr>
        <w:t>YANG S K</w:t>
      </w:r>
      <w:r>
        <w:t xml:space="preserve">, </w:t>
      </w:r>
      <w:r>
        <w:rPr>
          <w:rFonts w:hint="eastAsia"/>
        </w:rPr>
        <w:t>ZHANG C Y</w:t>
      </w:r>
      <w:r>
        <w:t xml:space="preserve">, </w:t>
      </w:r>
      <w:r>
        <w:rPr>
          <w:rFonts w:hint="eastAsia"/>
        </w:rPr>
        <w:t>et</w:t>
      </w:r>
      <w:r>
        <w:t xml:space="preserve"> al. Analysis of spatiotemporal evolution characteristics of precipitation at multiple time scales in upper reaches of Hanjiang River Basin</w:t>
      </w:r>
      <w:r>
        <w:rPr>
          <w:rFonts w:hint="eastAsia"/>
        </w:rPr>
        <w:t xml:space="preserve"> [J]</w:t>
      </w:r>
      <w:r>
        <w:t xml:space="preserve">. Yangtze River, </w:t>
      </w:r>
      <w:r>
        <w:rPr>
          <w:rFonts w:hint="eastAsia"/>
        </w:rPr>
        <w:t>2025, 56</w:t>
      </w:r>
      <w:r>
        <w:rPr>
          <w:lang w:val="en"/>
        </w:rPr>
        <w:t>(</w:t>
      </w:r>
      <w:r>
        <w:rPr>
          <w:rFonts w:hint="eastAsia"/>
        </w:rPr>
        <w:t>7): 84-92.</w:t>
      </w:r>
    </w:p>
  </w:endnote>
  <w:endnote w:id="6">
    <w:p>
      <w:pPr>
        <w:pStyle w:val="9"/>
        <w:spacing w:line="240" w:lineRule="auto"/>
      </w:pPr>
      <w:r>
        <w:rPr>
          <w:rStyle w:val="20"/>
          <w:vertAlign w:val="baseline"/>
        </w:rPr>
        <w:t>[</w:t>
      </w:r>
      <w:r>
        <w:rPr>
          <w:rStyle w:val="20"/>
          <w:vertAlign w:val="baseline"/>
        </w:rPr>
        <w:endnoteRef/>
      </w:r>
      <w:r>
        <w:rPr>
          <w:rStyle w:val="20"/>
          <w:vertAlign w:val="baseline"/>
        </w:rPr>
        <w:t>]</w:t>
      </w:r>
      <w:r>
        <w:t xml:space="preserve"> </w:t>
      </w:r>
      <w:r>
        <w:rPr>
          <w:rFonts w:hint="eastAsia"/>
        </w:rPr>
        <w:t>张莉莉. 基于分布式水文模拟的汉江上游干旱评估研究 [D]. 武汉：长江科学院, 2009.</w:t>
      </w:r>
    </w:p>
    <w:p>
      <w:pPr>
        <w:pStyle w:val="9"/>
        <w:spacing w:line="240" w:lineRule="auto"/>
        <w:ind w:firstLine="420"/>
      </w:pPr>
      <w:r>
        <w:rPr>
          <w:rFonts w:hint="eastAsia"/>
        </w:rPr>
        <w:t>ZHANG L L. Study on Drought Severity Evaluation based on Distributed Hydrological Simulation in Upper Hanjiang Basin [D].</w:t>
      </w:r>
      <w:r>
        <w:t>W</w:t>
      </w:r>
      <w:r>
        <w:rPr>
          <w:rFonts w:hint="eastAsia"/>
        </w:rPr>
        <w:t>uhan</w:t>
      </w:r>
      <w:r>
        <w:t xml:space="preserve">: </w:t>
      </w:r>
      <w:r>
        <w:rPr>
          <w:rFonts w:hint="eastAsia"/>
        </w:rPr>
        <w:t>Changjiang River Scientific Research Institute, 2009.</w:t>
      </w:r>
    </w:p>
  </w:endnote>
  <w:endnote w:id="7">
    <w:p>
      <w:pPr>
        <w:pStyle w:val="9"/>
        <w:spacing w:line="240" w:lineRule="auto"/>
      </w:pPr>
      <w:r>
        <w:rPr>
          <w:rStyle w:val="20"/>
          <w:vertAlign w:val="baseline"/>
        </w:rPr>
        <w:t>[</w:t>
      </w:r>
      <w:r>
        <w:rPr>
          <w:rStyle w:val="20"/>
          <w:vertAlign w:val="baseline"/>
        </w:rPr>
        <w:endnoteRef/>
      </w:r>
      <w:r>
        <w:rPr>
          <w:rStyle w:val="20"/>
          <w:vertAlign w:val="baseline"/>
        </w:rPr>
        <w:t>]</w:t>
      </w:r>
      <w:r>
        <w:t xml:space="preserve"> </w:t>
      </w:r>
      <w:r>
        <w:rPr>
          <w:rFonts w:hint="eastAsia"/>
        </w:rPr>
        <w:t>王蕊, 王中根, 夏军, 等. 气候变化及南水北调中线工程对白洋淀流域水文的影响 [J].水力发电学报, 2012, 31(2): 14-19.</w:t>
      </w:r>
    </w:p>
    <w:p>
      <w:pPr>
        <w:pStyle w:val="9"/>
        <w:spacing w:line="240" w:lineRule="auto"/>
        <w:ind w:firstLine="420" w:firstLineChars="200"/>
      </w:pPr>
      <w:r>
        <w:t>WANG R</w:t>
      </w:r>
      <w:r>
        <w:rPr>
          <w:rFonts w:hint="eastAsia"/>
        </w:rPr>
        <w:t>,</w:t>
      </w:r>
      <w:r>
        <w:t xml:space="preserve"> WANG Z</w:t>
      </w:r>
      <w:r>
        <w:rPr>
          <w:rFonts w:hint="eastAsia"/>
        </w:rPr>
        <w:t xml:space="preserve"> G</w:t>
      </w:r>
      <w:r>
        <w:t xml:space="preserve">, XIA J, </w:t>
      </w:r>
      <w:r>
        <w:rPr>
          <w:rFonts w:hint="eastAsia"/>
        </w:rPr>
        <w:t>et</w:t>
      </w:r>
      <w:r>
        <w:t xml:space="preserve"> al. Effects of climate change and the </w:t>
      </w:r>
      <w:r>
        <w:rPr>
          <w:rFonts w:hint="eastAsia"/>
        </w:rPr>
        <w:t>S</w:t>
      </w:r>
      <w:r>
        <w:t>outh-</w:t>
      </w:r>
      <w:r>
        <w:rPr>
          <w:rFonts w:hint="eastAsia"/>
        </w:rPr>
        <w:t>N</w:t>
      </w:r>
      <w:r>
        <w:t xml:space="preserve">orth </w:t>
      </w:r>
      <w:r>
        <w:rPr>
          <w:rFonts w:hint="eastAsia"/>
        </w:rPr>
        <w:t>W</w:t>
      </w:r>
      <w:r>
        <w:t xml:space="preserve">ater </w:t>
      </w:r>
      <w:r>
        <w:rPr>
          <w:rFonts w:hint="eastAsia"/>
        </w:rPr>
        <w:t>T</w:t>
      </w:r>
      <w:r>
        <w:t xml:space="preserve">ransfer </w:t>
      </w:r>
      <w:r>
        <w:rPr>
          <w:rFonts w:hint="eastAsia"/>
        </w:rPr>
        <w:t>P</w:t>
      </w:r>
      <w:r>
        <w:t xml:space="preserve">roject on hydrology in Baiyangdian </w:t>
      </w:r>
      <w:r>
        <w:rPr>
          <w:rFonts w:hint="eastAsia"/>
        </w:rPr>
        <w:t>B</w:t>
      </w:r>
      <w:r>
        <w:t>asin [J]. Journal of Hydroelectric Engineering</w:t>
      </w:r>
      <w:r>
        <w:rPr>
          <w:rFonts w:hint="eastAsia"/>
        </w:rPr>
        <w:t>,</w:t>
      </w:r>
      <w:r>
        <w:t xml:space="preserve"> 2012, 31</w:t>
      </w:r>
      <w:r>
        <w:rPr>
          <w:rFonts w:hint="eastAsia"/>
        </w:rPr>
        <w:t>(</w:t>
      </w:r>
      <w:r>
        <w:t>2):14-19.</w:t>
      </w:r>
    </w:p>
  </w:endnote>
  <w:endnote w:id="8">
    <w:p>
      <w:pPr>
        <w:pStyle w:val="9"/>
        <w:spacing w:line="240" w:lineRule="auto"/>
      </w:pPr>
      <w:r>
        <w:rPr>
          <w:rFonts w:hint="eastAsia"/>
        </w:rPr>
        <w:t>[</w:t>
      </w:r>
      <w:r>
        <w:rPr>
          <w:rFonts w:hint="eastAsia"/>
        </w:rPr>
        <w:endnoteRef/>
      </w:r>
      <w:r>
        <w:rPr>
          <w:rFonts w:hint="eastAsia"/>
        </w:rPr>
        <w:t xml:space="preserve">] 王暄宇, 顾文权, 胡雅洁, 等. 变化环境下汉江流域水循环要素响应规律 [J]. 中国农村水利水电, 2024(7): 35-44. </w:t>
      </w:r>
    </w:p>
    <w:p>
      <w:pPr>
        <w:pStyle w:val="9"/>
        <w:spacing w:line="240" w:lineRule="auto"/>
        <w:ind w:firstLine="420"/>
      </w:pPr>
      <w:r>
        <w:rPr>
          <w:rFonts w:hint="eastAsia"/>
        </w:rPr>
        <w:t>WANG X Y, GU W Q, HU Y J, et</w:t>
      </w:r>
      <w:r>
        <w:t xml:space="preserve"> al.</w:t>
      </w:r>
      <w:r>
        <w:rPr>
          <w:rFonts w:hint="eastAsia"/>
        </w:rPr>
        <w:t xml:space="preserve"> Response law of water cycle elements in Hanjiang River Basin under changing environment [J]. China Rural Water and Hydropower, 2024(7): 35-44.</w:t>
      </w:r>
    </w:p>
  </w:endnote>
  <w:endnote w:id="9">
    <w:p>
      <w:pPr>
        <w:pStyle w:val="9"/>
        <w:spacing w:line="240" w:lineRule="auto"/>
      </w:pPr>
      <w:r>
        <w:rPr>
          <w:rStyle w:val="20"/>
          <w:vertAlign w:val="baseline"/>
        </w:rPr>
        <w:t>[</w:t>
      </w:r>
      <w:r>
        <w:rPr>
          <w:rStyle w:val="20"/>
          <w:vertAlign w:val="baseline"/>
        </w:rPr>
        <w:endnoteRef/>
      </w:r>
      <w:r>
        <w:rPr>
          <w:rStyle w:val="20"/>
          <w:vertAlign w:val="baseline"/>
        </w:rPr>
        <w:t>]</w:t>
      </w:r>
      <w:r>
        <w:t xml:space="preserve"> </w:t>
      </w:r>
      <w:r>
        <w:rPr>
          <w:rFonts w:hint="eastAsia"/>
        </w:rPr>
        <w:t>LI C, QU Y P, JIANG T L, et al. Attribution analysis of hydrological drought after the impoundment of the Danjiangkou reservoir in the Hanjiang River Basin [J]. Journal of Hydrology: Regional Studies, 2024, 56: 102038.</w:t>
      </w:r>
    </w:p>
  </w:endnote>
  <w:endnote w:id="10">
    <w:p>
      <w:pPr>
        <w:pStyle w:val="9"/>
        <w:spacing w:line="240" w:lineRule="auto"/>
      </w:pPr>
      <w:r>
        <w:rPr>
          <w:rFonts w:hint="eastAsia"/>
        </w:rPr>
        <w:t>[</w:t>
      </w:r>
      <w:r>
        <w:rPr>
          <w:rFonts w:hint="eastAsia"/>
        </w:rPr>
        <w:endnoteRef/>
      </w:r>
      <w:r>
        <w:rPr>
          <w:rFonts w:hint="eastAsia"/>
        </w:rPr>
        <w:t>] DEY A, SAHOO D P, KUMAR R, et al. A multimodel ensemble machine learning approach for CMIP6 climate model projections in an Indian River basin [J]. International Journal of Climatology, 2022, 42(16): 9215-9236.</w:t>
      </w:r>
    </w:p>
  </w:endnote>
  <w:endnote w:id="11">
    <w:p>
      <w:pPr>
        <w:pStyle w:val="9"/>
        <w:spacing w:line="240" w:lineRule="auto"/>
      </w:pPr>
      <w:r>
        <w:rPr>
          <w:rStyle w:val="20"/>
          <w:vertAlign w:val="baseline"/>
        </w:rPr>
        <w:t>[</w:t>
      </w:r>
      <w:r>
        <w:rPr>
          <w:rStyle w:val="20"/>
          <w:vertAlign w:val="baseline"/>
        </w:rPr>
        <w:endnoteRef/>
      </w:r>
      <w:r>
        <w:rPr>
          <w:rStyle w:val="20"/>
          <w:vertAlign w:val="baseline"/>
        </w:rPr>
        <w:t>]</w:t>
      </w:r>
      <w:r>
        <w:t xml:space="preserve"> </w:t>
      </w:r>
      <w:r>
        <w:rPr>
          <w:rFonts w:hint="eastAsia"/>
        </w:rPr>
        <w:t>BAĞÇACI S Ç, YUCEL I, DUZENLI E, et al. Intercomparison of the expected change in the temperature and the precipitation retrieved from CMIP6 and CMIP5 climate projections: A Mediterranean hot spot case, Turkey [J]. Atmospheric Research, 2021, 256: 105576.</w:t>
      </w:r>
    </w:p>
  </w:endnote>
  <w:endnote w:id="12">
    <w:p>
      <w:pPr>
        <w:pStyle w:val="9"/>
        <w:spacing w:line="240" w:lineRule="auto"/>
      </w:pPr>
      <w:r>
        <w:rPr>
          <w:rStyle w:val="20"/>
          <w:vertAlign w:val="baseline"/>
        </w:rPr>
        <w:t>[</w:t>
      </w:r>
      <w:r>
        <w:rPr>
          <w:rStyle w:val="20"/>
          <w:vertAlign w:val="baseline"/>
        </w:rPr>
        <w:endnoteRef/>
      </w:r>
      <w:r>
        <w:rPr>
          <w:rStyle w:val="20"/>
          <w:vertAlign w:val="baseline"/>
        </w:rPr>
        <w:t>]</w:t>
      </w:r>
      <w:r>
        <w:t xml:space="preserve"> </w:t>
      </w:r>
      <w:r>
        <w:rPr>
          <w:rFonts w:hint="eastAsia"/>
        </w:rPr>
        <w:t>SONG Y H, NASHWAN M S, CHUNG E S, et al. Advances in CMIP6 INM-CM5 over CMIP5 INM-CM4 for precipitation simulation in South Korea [J]. Atmospheric Research, 2021, 247: 105261.</w:t>
      </w:r>
    </w:p>
  </w:endnote>
  <w:endnote w:id="13">
    <w:p>
      <w:pPr>
        <w:pStyle w:val="9"/>
        <w:spacing w:line="240" w:lineRule="auto"/>
        <w:rPr>
          <w:u w:val="single"/>
        </w:rPr>
      </w:pPr>
      <w:r>
        <w:rPr>
          <w:rStyle w:val="20"/>
          <w:vertAlign w:val="baseline"/>
        </w:rPr>
        <w:t>[</w:t>
      </w:r>
      <w:r>
        <w:rPr>
          <w:rStyle w:val="20"/>
          <w:vertAlign w:val="baseline"/>
        </w:rPr>
        <w:endnoteRef/>
      </w:r>
      <w:r>
        <w:rPr>
          <w:rStyle w:val="20"/>
          <w:vertAlign w:val="baseline"/>
        </w:rPr>
        <w:t>]</w:t>
      </w:r>
      <w:r>
        <w:t xml:space="preserve"> </w:t>
      </w:r>
      <w:r>
        <w:rPr>
          <w:rFonts w:hint="eastAsia"/>
        </w:rPr>
        <w:t>YANG X L, ZHOU B T, XU Y, et al. CMIP6 evaluation and projection of temperature and precipitation over China [J]. Advances in Atmospheric Sciences, 2021, 38(5): 817-830.</w:t>
      </w:r>
    </w:p>
  </w:endnote>
  <w:endnote w:id="14">
    <w:p>
      <w:pPr>
        <w:pStyle w:val="9"/>
        <w:spacing w:line="240" w:lineRule="auto"/>
      </w:pPr>
      <w:r>
        <w:rPr>
          <w:rStyle w:val="20"/>
          <w:vertAlign w:val="baseline"/>
        </w:rPr>
        <w:t>[</w:t>
      </w:r>
      <w:r>
        <w:rPr>
          <w:rStyle w:val="20"/>
          <w:vertAlign w:val="baseline"/>
        </w:rPr>
        <w:endnoteRef/>
      </w:r>
      <w:r>
        <w:rPr>
          <w:rStyle w:val="20"/>
          <w:vertAlign w:val="baseline"/>
        </w:rPr>
        <w:t>]</w:t>
      </w:r>
      <w:r>
        <w:t xml:space="preserve"> </w:t>
      </w:r>
      <w:r>
        <w:rPr>
          <w:rFonts w:hint="eastAsia"/>
        </w:rPr>
        <w:t>韩忠青, 刘招, 肖瑜, 等. 未来气候情景下引汉济渭工程水源区水文情势演变规律研究 [J]. 水利水电技术(中英文), 2025, 56(1): 26-38.</w:t>
      </w:r>
    </w:p>
    <w:p>
      <w:pPr>
        <w:pStyle w:val="9"/>
        <w:spacing w:line="240" w:lineRule="auto"/>
        <w:ind w:firstLine="420"/>
        <w:rPr>
          <w:rFonts w:cs="Times New Roman"/>
        </w:rPr>
      </w:pPr>
      <w:r>
        <w:rPr>
          <w:rFonts w:hint="eastAsia"/>
        </w:rPr>
        <w:t>HAN Z Q, LIU Z, XIAO Y, et al. Research on the evolution law of hydrological situation in the water source area of the Hanjiang-to-Weihe river valley water diversion project under future climate scenarios [J</w:t>
      </w:r>
      <w:r>
        <w:rPr>
          <w:rFonts w:hint="eastAsia" w:cs="Times New Roman"/>
        </w:rPr>
        <w:t>]. Water Resources and Hydropower Engineering, 2025, 56(1): 26-38.</w:t>
      </w:r>
    </w:p>
  </w:endnote>
  <w:endnote w:id="15">
    <w:p>
      <w:pPr>
        <w:pStyle w:val="9"/>
        <w:spacing w:line="240" w:lineRule="auto"/>
      </w:pPr>
      <w:r>
        <w:rPr>
          <w:rStyle w:val="20"/>
          <w:vertAlign w:val="baseline"/>
        </w:rPr>
        <w:t>[</w:t>
      </w:r>
      <w:r>
        <w:rPr>
          <w:rStyle w:val="20"/>
          <w:vertAlign w:val="baseline"/>
        </w:rPr>
        <w:endnoteRef/>
      </w:r>
      <w:r>
        <w:rPr>
          <w:rStyle w:val="20"/>
          <w:vertAlign w:val="baseline"/>
        </w:rPr>
        <w:t>]</w:t>
      </w:r>
      <w:r>
        <w:t xml:space="preserve"> </w:t>
      </w:r>
      <w:r>
        <w:rPr>
          <w:rFonts w:hint="eastAsia"/>
        </w:rPr>
        <w:t>WU L Z, SU X L, ZHANG T.</w:t>
      </w:r>
      <w:r>
        <w:t xml:space="preserve"> Challenges of typical inter-basin water transfer projects in China: Anticipated impacts of climate change on streamflow and hydrological drought under CMIP6[J]. Journal of Hydrology, 2023, 627: 130437.</w:t>
      </w:r>
    </w:p>
  </w:endnote>
  <w:endnote w:id="16">
    <w:p>
      <w:pPr>
        <w:pStyle w:val="9"/>
        <w:spacing w:line="240" w:lineRule="auto"/>
      </w:pPr>
      <w:r>
        <w:rPr>
          <w:rStyle w:val="20"/>
          <w:vertAlign w:val="baseline"/>
        </w:rPr>
        <w:t>[</w:t>
      </w:r>
      <w:r>
        <w:rPr>
          <w:rStyle w:val="20"/>
          <w:vertAlign w:val="baseline"/>
        </w:rPr>
        <w:endnoteRef/>
      </w:r>
      <w:r>
        <w:rPr>
          <w:rStyle w:val="20"/>
          <w:vertAlign w:val="baseline"/>
        </w:rPr>
        <w:t>]</w:t>
      </w:r>
      <w:r>
        <w:t xml:space="preserve"> </w:t>
      </w:r>
      <w:r>
        <w:rPr>
          <w:rFonts w:hint="eastAsia"/>
        </w:rPr>
        <w:t>岳紫莹, 邓玉, 倪福全, 等. 未来气候情景下汉江流域中上游径流量变化 [J]. 中国农业气象, 2024, 45(7): 715-728.</w:t>
      </w:r>
    </w:p>
    <w:p>
      <w:pPr>
        <w:pStyle w:val="9"/>
        <w:spacing w:line="240" w:lineRule="auto"/>
        <w:ind w:firstLine="420"/>
        <w:rPr>
          <w:rFonts w:cs="Times New Roman"/>
        </w:rPr>
      </w:pPr>
      <w:r>
        <w:rPr>
          <w:rFonts w:hint="eastAsia"/>
        </w:rPr>
        <w:t>YUE Z Y, DENG Y, NI F Q, et al. Change of runoff volume in the middle and upper reaches of Han River Basin under future climate scenarios</w:t>
      </w:r>
      <w:r>
        <w:rPr>
          <w:rFonts w:hint="eastAsia" w:cs="Times New Roman"/>
        </w:rPr>
        <w:t xml:space="preserve"> [J]. Chinese Journal of Agrometeorology, 2024, 45(7): 715-728.</w:t>
      </w:r>
    </w:p>
  </w:endnote>
  <w:endnote w:id="17">
    <w:p>
      <w:pPr>
        <w:pStyle w:val="9"/>
        <w:spacing w:line="240" w:lineRule="auto"/>
      </w:pPr>
      <w:r>
        <w:rPr>
          <w:rStyle w:val="20"/>
          <w:vertAlign w:val="baseline"/>
        </w:rPr>
        <w:t>[</w:t>
      </w:r>
      <w:r>
        <w:rPr>
          <w:rStyle w:val="20"/>
          <w:vertAlign w:val="baseline"/>
        </w:rPr>
        <w:endnoteRef/>
      </w:r>
      <w:r>
        <w:rPr>
          <w:rStyle w:val="20"/>
          <w:vertAlign w:val="baseline"/>
        </w:rPr>
        <w:t>]</w:t>
      </w:r>
      <w:r>
        <w:t xml:space="preserve"> </w:t>
      </w:r>
      <w:r>
        <w:rPr>
          <w:rFonts w:hint="eastAsia"/>
        </w:rPr>
        <w:t>王欣贝, 彭涛, 由星莹, 等. 丹江口水库蓄水前后汉江中游水文干旱演变特征分析 [J]. 长江流域资源与环境, 2023, 32(7): 1479-1490.</w:t>
      </w:r>
    </w:p>
    <w:p>
      <w:pPr>
        <w:pStyle w:val="9"/>
        <w:spacing w:line="240" w:lineRule="auto"/>
        <w:ind w:firstLine="420"/>
        <w:rPr>
          <w:rFonts w:cs="Times New Roman"/>
        </w:rPr>
      </w:pPr>
      <w:r>
        <w:rPr>
          <w:rFonts w:hint="eastAsia"/>
        </w:rPr>
        <w:t xml:space="preserve">WANG X B, PENG T, YOU X Y, </w:t>
      </w:r>
      <w:r>
        <w:rPr>
          <w:rFonts w:cs="Times New Roman"/>
        </w:rPr>
        <w:t>et al.</w:t>
      </w:r>
      <w:r>
        <w:rPr>
          <w:rFonts w:hint="eastAsia" w:cs="Times New Roman"/>
        </w:rPr>
        <w:t xml:space="preserve"> Evolution characteristics of hydrological drought in the middle reaches of Hanjiang River before and after the impoundment of the Danjiangkou reservoir [J]. Resources and Environment in the Yangtze Basin, 2023, 32(7): 1479-1490.</w:t>
      </w:r>
    </w:p>
  </w:endnote>
  <w:endnote w:id="18">
    <w:p>
      <w:pPr>
        <w:pStyle w:val="9"/>
        <w:spacing w:line="240" w:lineRule="auto"/>
        <w:rPr>
          <w:rFonts w:cs="Times New Roman"/>
        </w:rPr>
      </w:pPr>
      <w:r>
        <w:rPr>
          <w:rStyle w:val="20"/>
          <w:vertAlign w:val="baseline"/>
        </w:rPr>
        <w:t>[</w:t>
      </w:r>
      <w:r>
        <w:rPr>
          <w:rStyle w:val="20"/>
          <w:vertAlign w:val="baseline"/>
        </w:rPr>
        <w:endnoteRef/>
      </w:r>
      <w:r>
        <w:rPr>
          <w:rStyle w:val="20"/>
          <w:vertAlign w:val="baseline"/>
        </w:rPr>
        <w:t>]</w:t>
      </w:r>
      <w:r>
        <w:t xml:space="preserve"> </w:t>
      </w:r>
      <w:r>
        <w:rPr>
          <w:rFonts w:ascii="Arial" w:hAnsi="Arial" w:cs="Arial"/>
        </w:rPr>
        <w:t>钱毅. 汉江流域未来干旱模拟与预估</w:t>
      </w:r>
      <w:r>
        <w:rPr>
          <w:rFonts w:hint="eastAsia" w:ascii="Arial" w:hAnsi="Arial" w:cs="Arial"/>
        </w:rPr>
        <w:t xml:space="preserve"> </w:t>
      </w:r>
      <w:r>
        <w:rPr>
          <w:rFonts w:cs="Times New Roman"/>
        </w:rPr>
        <w:t>[D]</w:t>
      </w:r>
      <w:r>
        <w:rPr>
          <w:rFonts w:hint="eastAsia" w:cs="Times New Roman"/>
        </w:rPr>
        <w:t>.</w:t>
      </w:r>
      <w:r>
        <w:rPr>
          <w:rFonts w:cs="Times New Roman"/>
        </w:rPr>
        <w:t xml:space="preserve"> </w:t>
      </w:r>
      <w:r>
        <w:rPr>
          <w:rFonts w:hint="eastAsia" w:cs="Times New Roman"/>
        </w:rPr>
        <w:t xml:space="preserve">宜昌：三峡大学, </w:t>
      </w:r>
      <w:r>
        <w:rPr>
          <w:rFonts w:cs="Times New Roman"/>
        </w:rPr>
        <w:t>2024.</w:t>
      </w:r>
    </w:p>
    <w:p>
      <w:pPr>
        <w:pStyle w:val="9"/>
        <w:spacing w:line="240" w:lineRule="auto"/>
        <w:ind w:firstLine="420"/>
        <w:rPr>
          <w:rFonts w:cs="Times New Roman"/>
        </w:rPr>
      </w:pPr>
      <w:r>
        <w:rPr>
          <w:rFonts w:hint="eastAsia" w:cs="Times New Roman"/>
        </w:rPr>
        <w:t xml:space="preserve">QIAN Y. Modeling and Prediction of Future Droughts in the Han River Basin </w:t>
      </w:r>
      <w:r>
        <w:rPr>
          <w:rFonts w:cs="Times New Roman"/>
        </w:rPr>
        <w:t>[D]</w:t>
      </w:r>
      <w:r>
        <w:rPr>
          <w:rFonts w:hint="eastAsia" w:cs="Times New Roman"/>
        </w:rPr>
        <w:t>.</w:t>
      </w:r>
      <w:r>
        <w:rPr>
          <w:rFonts w:cs="Times New Roman"/>
        </w:rPr>
        <w:t xml:space="preserve"> Y</w:t>
      </w:r>
      <w:r>
        <w:rPr>
          <w:rFonts w:hint="eastAsia" w:cs="Times New Roman"/>
        </w:rPr>
        <w:t>ichang</w:t>
      </w:r>
      <w:r>
        <w:rPr>
          <w:rFonts w:cs="Times New Roman"/>
        </w:rPr>
        <w:t xml:space="preserve">: </w:t>
      </w:r>
      <w:r>
        <w:rPr>
          <w:rFonts w:hint="eastAsia" w:cs="Times New Roman"/>
        </w:rPr>
        <w:t>Three Gorges University, 2024.</w:t>
      </w:r>
    </w:p>
  </w:endnote>
  <w:endnote w:id="19">
    <w:p>
      <w:pPr>
        <w:pStyle w:val="9"/>
        <w:spacing w:line="240" w:lineRule="auto"/>
        <w:rPr>
          <w:rFonts w:cs="Times New Roman"/>
        </w:rPr>
      </w:pPr>
      <w:r>
        <w:rPr>
          <w:rStyle w:val="20"/>
          <w:rFonts w:cs="Times New Roman"/>
          <w:vertAlign w:val="baseline"/>
        </w:rPr>
        <w:t>[</w:t>
      </w:r>
      <w:r>
        <w:rPr>
          <w:rStyle w:val="20"/>
          <w:rFonts w:cs="Times New Roman"/>
          <w:vertAlign w:val="baseline"/>
        </w:rPr>
        <w:endnoteRef/>
      </w:r>
      <w:r>
        <w:rPr>
          <w:rStyle w:val="20"/>
          <w:rFonts w:cs="Times New Roman"/>
          <w:vertAlign w:val="baseline"/>
        </w:rPr>
        <w:t>]</w:t>
      </w:r>
      <w:r>
        <w:rPr>
          <w:rFonts w:cs="Times New Roman"/>
        </w:rPr>
        <w:t xml:space="preserve"> 王磊, 曾思栋, 阳林翰, </w:t>
      </w:r>
      <w:r>
        <w:rPr>
          <w:rFonts w:hint="eastAsia" w:cs="Times New Roman"/>
        </w:rPr>
        <w:t>等</w:t>
      </w:r>
      <w:r>
        <w:rPr>
          <w:rFonts w:cs="Times New Roman"/>
        </w:rPr>
        <w:t>. 基于CMIP6的气候变化下汉江流域气象干旱特征研究</w:t>
      </w:r>
      <w:r>
        <w:rPr>
          <w:rFonts w:hint="eastAsia" w:cs="Times New Roman"/>
        </w:rPr>
        <w:t xml:space="preserve"> </w:t>
      </w:r>
      <w:r>
        <w:rPr>
          <w:rFonts w:cs="Times New Roman"/>
        </w:rPr>
        <w:t>[J]. 水资源保护, 2024, 40(5): 39–45.</w:t>
      </w:r>
    </w:p>
    <w:p>
      <w:pPr>
        <w:pStyle w:val="9"/>
        <w:spacing w:line="240" w:lineRule="auto"/>
        <w:ind w:firstLine="420"/>
        <w:rPr>
          <w:rFonts w:cs="Times New Roman"/>
        </w:rPr>
      </w:pPr>
      <w:r>
        <w:rPr>
          <w:rFonts w:hint="eastAsia" w:cs="Times New Roman"/>
        </w:rPr>
        <w:t>WANG L, ZENG S D YANG L H</w:t>
      </w:r>
      <w:r>
        <w:rPr>
          <w:rFonts w:cs="Times New Roman"/>
        </w:rPr>
        <w:t>, et al.</w:t>
      </w:r>
      <w:r>
        <w:rPr>
          <w:rFonts w:hint="eastAsia" w:cs="Times New Roman"/>
        </w:rPr>
        <w:t xml:space="preserve"> CMIP6-based meteorological drought characteristic study under climate change in the Hanjiang River Basin [J]. Water Resources Protection, 2024, 40(5): 39</w:t>
      </w:r>
      <w:r>
        <w:rPr>
          <w:rFonts w:cs="Times New Roman"/>
        </w:rPr>
        <w:t>-</w:t>
      </w:r>
      <w:r>
        <w:rPr>
          <w:rFonts w:hint="eastAsia" w:cs="Times New Roman"/>
        </w:rPr>
        <w:t>4</w:t>
      </w:r>
      <w:r>
        <w:rPr>
          <w:rFonts w:cs="Times New Roman"/>
        </w:rPr>
        <w:t>5</w:t>
      </w:r>
      <w:r>
        <w:rPr>
          <w:rFonts w:hint="eastAsia" w:cs="Times New Roman"/>
        </w:rPr>
        <w:t>.</w:t>
      </w:r>
    </w:p>
  </w:endnote>
  <w:endnote w:id="20">
    <w:p>
      <w:pPr>
        <w:pStyle w:val="9"/>
        <w:spacing w:line="240" w:lineRule="auto"/>
      </w:pPr>
      <w:r>
        <w:rPr>
          <w:rStyle w:val="20"/>
          <w:vertAlign w:val="baseline"/>
        </w:rPr>
        <w:t>[</w:t>
      </w:r>
      <w:r>
        <w:rPr>
          <w:rStyle w:val="20"/>
          <w:vertAlign w:val="baseline"/>
        </w:rPr>
        <w:endnoteRef/>
      </w:r>
      <w:r>
        <w:rPr>
          <w:rStyle w:val="20"/>
          <w:vertAlign w:val="baseline"/>
        </w:rPr>
        <w:t>]</w:t>
      </w:r>
      <w:r>
        <w:rPr>
          <w:rFonts w:hint="eastAsia" w:eastAsia="宋体"/>
        </w:rPr>
        <w:t xml:space="preserve"> </w:t>
      </w:r>
      <w:r>
        <w:rPr>
          <w:rFonts w:hint="eastAsia"/>
        </w:rPr>
        <w:t>龙鸿元, 王丽霞, 张珈玮, 等. 基于CMIP6气候情景的泾河流域水文模拟及预测 [J]. 水利水电技术(中英文), 2025, 56</w:t>
      </w:r>
      <w:r>
        <w:rPr>
          <w:lang w:val="en"/>
        </w:rPr>
        <w:t>(</w:t>
      </w:r>
      <w:r>
        <w:rPr>
          <w:rFonts w:hint="eastAsia"/>
        </w:rPr>
        <w:t>2): 89-103.</w:t>
      </w:r>
    </w:p>
    <w:p>
      <w:pPr>
        <w:pStyle w:val="9"/>
        <w:spacing w:line="240" w:lineRule="auto"/>
        <w:ind w:firstLine="420"/>
      </w:pPr>
      <w:r>
        <w:rPr>
          <w:rFonts w:hint="eastAsia"/>
        </w:rPr>
        <w:t xml:space="preserve">LONG H Y, WANG L X , ZHANG J W, </w:t>
      </w:r>
      <w:r>
        <w:rPr>
          <w:rFonts w:cs="Times New Roman"/>
        </w:rPr>
        <w:t>et al.</w:t>
      </w:r>
      <w:r>
        <w:rPr>
          <w:rFonts w:hint="eastAsia" w:cs="Times New Roman"/>
        </w:rPr>
        <w:t xml:space="preserve"> </w:t>
      </w:r>
      <w:r>
        <w:rPr>
          <w:rFonts w:hint="eastAsia"/>
        </w:rPr>
        <w:t>Hydrological simulation and prediction of the Jinghe River Basin based on CMIP6 climate scenario [J</w:t>
      </w:r>
      <w:r>
        <w:rPr>
          <w:rFonts w:hint="eastAsia" w:cs="Times New Roman"/>
        </w:rPr>
        <w:t xml:space="preserve">]. Water Resources and Hydropower Engineering, </w:t>
      </w:r>
      <w:r>
        <w:rPr>
          <w:rFonts w:hint="eastAsia"/>
        </w:rPr>
        <w:t>2025, 56</w:t>
      </w:r>
      <w:r>
        <w:rPr>
          <w:lang w:val="en"/>
        </w:rPr>
        <w:t>(</w:t>
      </w:r>
      <w:r>
        <w:rPr>
          <w:rFonts w:hint="eastAsia"/>
        </w:rPr>
        <w:t>2): 89-103.</w:t>
      </w:r>
    </w:p>
  </w:endnote>
  <w:endnote w:id="21">
    <w:p>
      <w:pPr>
        <w:pStyle w:val="9"/>
        <w:spacing w:line="240" w:lineRule="auto"/>
      </w:pPr>
      <w:r>
        <w:rPr>
          <w:rStyle w:val="20"/>
          <w:vertAlign w:val="baseline"/>
        </w:rPr>
        <w:t>[</w:t>
      </w:r>
      <w:r>
        <w:rPr>
          <w:rStyle w:val="20"/>
          <w:vertAlign w:val="baseline"/>
        </w:rPr>
        <w:endnoteRef/>
      </w:r>
      <w:r>
        <w:rPr>
          <w:rStyle w:val="20"/>
          <w:vertAlign w:val="baseline"/>
        </w:rPr>
        <w:t>]</w:t>
      </w:r>
      <w:r>
        <w:t xml:space="preserve"> </w:t>
      </w:r>
      <w:r>
        <w:rPr>
          <w:rFonts w:hint="eastAsia"/>
        </w:rPr>
        <w:t>岳艳琳. 气候变化下长江流域未来径流与旱涝变化特征研究 [D]. 上海：华东师范大学, 2022.</w:t>
      </w:r>
    </w:p>
    <w:p>
      <w:pPr>
        <w:pStyle w:val="9"/>
        <w:spacing w:line="240" w:lineRule="auto"/>
        <w:ind w:firstLine="420"/>
      </w:pPr>
      <w:r>
        <w:rPr>
          <w:rFonts w:hint="eastAsia"/>
        </w:rPr>
        <w:t>YUE Y L. The Changes of Future Runoff and Drought and Flood in the Yangtze River Basin under Climate Change [D]. Shanghai: East China Normal University, 2022.</w:t>
      </w:r>
    </w:p>
  </w:endnote>
  <w:endnote w:id="22">
    <w:p>
      <w:pPr>
        <w:pStyle w:val="9"/>
        <w:spacing w:line="240" w:lineRule="auto"/>
      </w:pPr>
      <w:r>
        <w:rPr>
          <w:rStyle w:val="20"/>
          <w:vertAlign w:val="baseline"/>
        </w:rPr>
        <w:t>[</w:t>
      </w:r>
      <w:r>
        <w:rPr>
          <w:rStyle w:val="20"/>
          <w:vertAlign w:val="baseline"/>
        </w:rPr>
        <w:endnoteRef/>
      </w:r>
      <w:r>
        <w:rPr>
          <w:rStyle w:val="20"/>
          <w:vertAlign w:val="baseline"/>
        </w:rPr>
        <w:t>]</w:t>
      </w:r>
      <w:r>
        <w:t xml:space="preserve"> </w:t>
      </w:r>
      <w:r>
        <w:rPr>
          <w:rFonts w:hint="eastAsia"/>
        </w:rPr>
        <w:t>YAO Z J, HUANG G R.</w:t>
      </w:r>
      <w:r>
        <w:t xml:space="preserve"> </w:t>
      </w:r>
      <w:r>
        <w:rPr>
          <w:rFonts w:hint="eastAsia"/>
        </w:rPr>
        <w:t>Adaptability comparison of climate downscaling methods and future climate projections in the Pearl River Delta, China</w:t>
      </w:r>
      <w:r>
        <w:t xml:space="preserve"> </w:t>
      </w:r>
      <w:r>
        <w:rPr>
          <w:rFonts w:hint="eastAsia"/>
        </w:rPr>
        <w:t>[J].</w:t>
      </w:r>
      <w:r>
        <w:t xml:space="preserve"> </w:t>
      </w:r>
      <w:r>
        <w:rPr>
          <w:rFonts w:hint="eastAsia"/>
        </w:rPr>
        <w:t>Nat</w:t>
      </w:r>
      <w:r>
        <w:rPr>
          <w:lang w:val="en"/>
        </w:rPr>
        <w:t>ural</w:t>
      </w:r>
      <w:r>
        <w:rPr>
          <w:rFonts w:hint="eastAsia"/>
        </w:rPr>
        <w:t xml:space="preserve"> Hazards,</w:t>
      </w:r>
      <w:r>
        <w:t xml:space="preserve"> </w:t>
      </w:r>
      <w:r>
        <w:rPr>
          <w:rFonts w:hint="eastAsia"/>
        </w:rPr>
        <w:t>2025,</w:t>
      </w:r>
      <w:r>
        <w:t xml:space="preserve"> </w:t>
      </w:r>
      <w:r>
        <w:rPr>
          <w:rFonts w:hint="eastAsia"/>
        </w:rPr>
        <w:t>121(4)</w:t>
      </w:r>
      <w:r>
        <w:t>: 4703-4729.</w:t>
      </w:r>
    </w:p>
  </w:endnote>
  <w:endnote w:id="23">
    <w:p>
      <w:pPr>
        <w:pStyle w:val="9"/>
        <w:spacing w:line="240" w:lineRule="auto"/>
        <w:rPr>
          <w:rStyle w:val="22"/>
          <w:rFonts w:ascii="Arial" w:hAnsi="Arial" w:eastAsia="宋体" w:cs="Arial"/>
          <w:color w:val="auto"/>
          <w:sz w:val="18"/>
          <w:szCs w:val="18"/>
          <w:u w:val="none"/>
          <w:shd w:val="clear" w:color="auto" w:fill="F5F6FA"/>
        </w:rPr>
      </w:pPr>
      <w:r>
        <w:rPr>
          <w:rStyle w:val="20"/>
          <w:vertAlign w:val="baseline"/>
        </w:rPr>
        <w:t>[</w:t>
      </w:r>
      <w:r>
        <w:rPr>
          <w:rStyle w:val="20"/>
          <w:vertAlign w:val="baseline"/>
        </w:rPr>
        <w:endnoteRef/>
      </w:r>
      <w:r>
        <w:rPr>
          <w:rStyle w:val="20"/>
          <w:vertAlign w:val="baseline"/>
        </w:rPr>
        <w:t>]</w:t>
      </w:r>
      <w:r>
        <w:t xml:space="preserve"> </w:t>
      </w:r>
      <w:r>
        <w:rPr>
          <w:rFonts w:ascii="Arial" w:hAnsi="Arial" w:eastAsia="宋体" w:cs="Arial"/>
          <w:sz w:val="18"/>
          <w:szCs w:val="18"/>
          <w:shd w:val="clear" w:color="auto" w:fill="F5F6FA"/>
        </w:rPr>
        <w:fldChar w:fldCharType="begin"/>
      </w:r>
      <w:r>
        <w:rPr>
          <w:rFonts w:ascii="Arial" w:hAnsi="Arial" w:eastAsia="宋体" w:cs="Arial"/>
          <w:sz w:val="18"/>
          <w:szCs w:val="18"/>
          <w:shd w:val="clear" w:color="auto" w:fill="F5F6FA"/>
        </w:rPr>
        <w:instrText xml:space="preserve"> HYPERLINK "javascript:void(0)" </w:instrText>
      </w:r>
      <w:r>
        <w:rPr>
          <w:rFonts w:ascii="Arial" w:hAnsi="Arial" w:eastAsia="宋体" w:cs="Arial"/>
          <w:sz w:val="18"/>
          <w:szCs w:val="18"/>
          <w:shd w:val="clear" w:color="auto" w:fill="F5F6FA"/>
        </w:rPr>
        <w:fldChar w:fldCharType="separate"/>
      </w:r>
      <w:r>
        <w:rPr>
          <w:rFonts w:hint="eastAsia"/>
        </w:rPr>
        <w:t xml:space="preserve">郝振纯, 李丽, 徐毅, 等. 区域气候情景Delta-DCSI降尺度方法 [J]. 工程科学与技术, 2009, 41(5): 1-7. </w:t>
      </w:r>
    </w:p>
    <w:p>
      <w:pPr>
        <w:pStyle w:val="9"/>
        <w:spacing w:line="240" w:lineRule="auto"/>
        <w:ind w:firstLine="420"/>
      </w:pPr>
      <w:r>
        <w:rPr>
          <w:rFonts w:hint="eastAsia" w:cs="Times New Roman"/>
        </w:rPr>
        <w:t xml:space="preserve">HAO Z C, Li L, Xu Y, et al. Study on Delta-DCSI downscaling method of GCM output [J]. Advanced Engineering Sciences, 2009, 41(5): 1-7. </w:t>
      </w:r>
      <w:r>
        <w:rPr>
          <w:rFonts w:ascii="Arial" w:hAnsi="Arial" w:eastAsia="宋体" w:cs="Arial"/>
          <w:sz w:val="18"/>
          <w:szCs w:val="18"/>
          <w:shd w:val="clear" w:color="auto" w:fill="F5F6FA"/>
        </w:rPr>
        <w:fldChar w:fldCharType="end"/>
      </w:r>
    </w:p>
  </w:endnote>
  <w:endnote w:id="24">
    <w:p>
      <w:pPr>
        <w:pStyle w:val="9"/>
        <w:spacing w:line="240" w:lineRule="auto"/>
      </w:pPr>
      <w:r>
        <w:rPr>
          <w:rStyle w:val="20"/>
          <w:vertAlign w:val="baseline"/>
        </w:rPr>
        <w:t>[</w:t>
      </w:r>
      <w:r>
        <w:rPr>
          <w:rStyle w:val="20"/>
          <w:vertAlign w:val="baseline"/>
        </w:rPr>
        <w:endnoteRef/>
      </w:r>
      <w:r>
        <w:rPr>
          <w:rStyle w:val="20"/>
          <w:vertAlign w:val="baseline"/>
        </w:rPr>
        <w:t>]</w:t>
      </w:r>
      <w:r>
        <w:t xml:space="preserve"> </w:t>
      </w:r>
      <w:r>
        <w:rPr>
          <w:rFonts w:hint="eastAsia"/>
        </w:rPr>
        <w:t>张嘉琪, 刘招, 韩忠青, 等. 气候变化下泾河流域蓝绿水变化趋势及预测 [J]. 干旱区研究, 2024, 41(12): 2045-2055.</w:t>
      </w:r>
    </w:p>
    <w:p>
      <w:pPr>
        <w:pStyle w:val="9"/>
        <w:spacing w:line="240" w:lineRule="auto"/>
        <w:ind w:firstLine="420"/>
      </w:pPr>
      <w:r>
        <w:rPr>
          <w:rFonts w:hint="eastAsia"/>
        </w:rPr>
        <w:t>ZHANG J Q, LIU Z, HAN Z Q, et al.</w:t>
      </w:r>
      <w:r>
        <w:rPr>
          <w:rFonts w:hint="eastAsia" w:cs="Times New Roman"/>
        </w:rPr>
        <w:t xml:space="preserve"> Trend change and prediction of blue-green water in the Jinghe River Basin under climate change </w:t>
      </w:r>
      <w:r>
        <w:rPr>
          <w:rFonts w:hint="eastAsia"/>
        </w:rPr>
        <w:t>[J]. Arid Zone Research, 2024, 41(12): 2045-2055.</w:t>
      </w:r>
    </w:p>
  </w:endnote>
  <w:endnote w:id="25">
    <w:p>
      <w:pPr>
        <w:pStyle w:val="9"/>
        <w:spacing w:line="240" w:lineRule="auto"/>
      </w:pPr>
      <w:r>
        <w:rPr>
          <w:rStyle w:val="20"/>
          <w:vertAlign w:val="baseline"/>
        </w:rPr>
        <w:t>[</w:t>
      </w:r>
      <w:r>
        <w:rPr>
          <w:rStyle w:val="20"/>
          <w:vertAlign w:val="baseline"/>
        </w:rPr>
        <w:endnoteRef/>
      </w:r>
      <w:r>
        <w:rPr>
          <w:rStyle w:val="20"/>
          <w:vertAlign w:val="baseline"/>
        </w:rPr>
        <w:t>]</w:t>
      </w:r>
      <w:r>
        <w:t xml:space="preserve"> </w:t>
      </w:r>
      <w:r>
        <w:rPr>
          <w:rFonts w:hint="eastAsia"/>
        </w:rPr>
        <w:t>MISHRA A K, SINGH V P. A review of drought concepts [J]. Journal of Hydrology, 2010, 391(1/2): 202-216.</w:t>
      </w:r>
    </w:p>
  </w:endnote>
  <w:endnote w:id="26">
    <w:p>
      <w:pPr>
        <w:pStyle w:val="9"/>
        <w:spacing w:line="240" w:lineRule="auto"/>
        <w:rPr>
          <w:rFonts w:eastAsia="Segoe UI" w:cs="Times New Roman"/>
          <w:sz w:val="22"/>
        </w:rPr>
      </w:pPr>
      <w:r>
        <w:rPr>
          <w:rStyle w:val="20"/>
          <w:rFonts w:cs="Times New Roman"/>
          <w:vertAlign w:val="baseline"/>
        </w:rPr>
        <w:t>[</w:t>
      </w:r>
      <w:r>
        <w:rPr>
          <w:rStyle w:val="20"/>
          <w:rFonts w:cs="Times New Roman"/>
          <w:vertAlign w:val="baseline"/>
        </w:rPr>
        <w:endnoteRef/>
      </w:r>
      <w:r>
        <w:rPr>
          <w:rStyle w:val="20"/>
          <w:rFonts w:cs="Times New Roman"/>
          <w:vertAlign w:val="baseline"/>
        </w:rPr>
        <w:t>]</w:t>
      </w:r>
      <w:r>
        <w:rPr>
          <w:rFonts w:cs="Times New Roman"/>
        </w:rPr>
        <w:t xml:space="preserve"> </w:t>
      </w:r>
      <w:r>
        <w:rPr>
          <w:rFonts w:eastAsia="Segoe UI" w:cs="Times New Roman"/>
          <w:sz w:val="22"/>
        </w:rPr>
        <w:t>袁文平</w:t>
      </w:r>
      <w:r>
        <w:rPr>
          <w:rFonts w:hint="eastAsia" w:eastAsia="宋体" w:cs="Times New Roman"/>
          <w:sz w:val="22"/>
        </w:rPr>
        <w:t>,</w:t>
      </w:r>
      <w:r>
        <w:rPr>
          <w:rFonts w:eastAsia="Segoe UI" w:cs="Times New Roman"/>
          <w:sz w:val="22"/>
        </w:rPr>
        <w:t xml:space="preserve"> 周</w:t>
      </w:r>
      <w:r>
        <w:rPr>
          <w:rFonts w:hint="eastAsia" w:eastAsia="宋体" w:cs="Times New Roman"/>
          <w:sz w:val="22"/>
        </w:rPr>
        <w:t>广胜</w:t>
      </w:r>
      <w:r>
        <w:rPr>
          <w:rFonts w:eastAsia="Segoe UI" w:cs="Times New Roman"/>
          <w:sz w:val="22"/>
        </w:rPr>
        <w:t>. 干旱指标的理论分析与研究展望</w:t>
      </w:r>
      <w:r>
        <w:rPr>
          <w:rFonts w:hint="eastAsia" w:eastAsia="宋体" w:cs="Times New Roman"/>
          <w:sz w:val="22"/>
        </w:rPr>
        <w:t xml:space="preserve"> </w:t>
      </w:r>
      <w:r>
        <w:rPr>
          <w:rFonts w:eastAsia="Segoe UI" w:cs="Times New Roman"/>
          <w:sz w:val="22"/>
        </w:rPr>
        <w:t xml:space="preserve">[J]. 地球科学进展, 2004, </w:t>
      </w:r>
      <w:r>
        <w:rPr>
          <w:rFonts w:hint="eastAsia" w:eastAsia="宋体" w:cs="Times New Roman"/>
          <w:sz w:val="22"/>
        </w:rPr>
        <w:t>19</w:t>
      </w:r>
      <w:r>
        <w:rPr>
          <w:rFonts w:eastAsia="Segoe UI" w:cs="Times New Roman"/>
          <w:sz w:val="22"/>
        </w:rPr>
        <w:t>(6): 982–</w:t>
      </w:r>
      <w:r>
        <w:rPr>
          <w:rFonts w:hint="eastAsia" w:eastAsia="宋体" w:cs="Times New Roman"/>
          <w:sz w:val="22"/>
        </w:rPr>
        <w:t>9</w:t>
      </w:r>
      <w:r>
        <w:rPr>
          <w:rFonts w:eastAsia="Segoe UI" w:cs="Times New Roman"/>
          <w:sz w:val="22"/>
        </w:rPr>
        <w:t>91.</w:t>
      </w:r>
    </w:p>
    <w:p>
      <w:pPr>
        <w:pStyle w:val="9"/>
        <w:spacing w:line="240" w:lineRule="auto"/>
        <w:ind w:firstLine="420"/>
        <w:rPr>
          <w:rFonts w:eastAsia="宋体" w:cs="Times New Roman"/>
          <w:sz w:val="22"/>
        </w:rPr>
      </w:pPr>
      <w:r>
        <w:rPr>
          <w:rFonts w:hint="eastAsia" w:eastAsia="宋体" w:cs="Times New Roman"/>
          <w:sz w:val="22"/>
        </w:rPr>
        <w:t xml:space="preserve">YUAN W P, ZHOU G S. Theoretical study and research prospect on drought indices </w:t>
      </w:r>
      <w:r>
        <w:rPr>
          <w:rFonts w:eastAsia="Segoe UI" w:cs="Times New Roman"/>
          <w:sz w:val="22"/>
        </w:rPr>
        <w:t xml:space="preserve">[J]. Advances in Earth Science, 2004, </w:t>
      </w:r>
      <w:r>
        <w:rPr>
          <w:rFonts w:hint="eastAsia" w:eastAsia="宋体" w:cs="Times New Roman"/>
          <w:sz w:val="22"/>
        </w:rPr>
        <w:t>19</w:t>
      </w:r>
      <w:r>
        <w:rPr>
          <w:rFonts w:eastAsia="Segoe UI" w:cs="Times New Roman"/>
          <w:sz w:val="22"/>
        </w:rPr>
        <w:t>(6): 982–</w:t>
      </w:r>
      <w:r>
        <w:rPr>
          <w:rFonts w:hint="eastAsia" w:eastAsia="宋体" w:cs="Times New Roman"/>
          <w:sz w:val="22"/>
        </w:rPr>
        <w:t>9</w:t>
      </w:r>
      <w:r>
        <w:rPr>
          <w:rFonts w:eastAsia="Segoe UI" w:cs="Times New Roman"/>
          <w:sz w:val="22"/>
        </w:rPr>
        <w:t>91.</w:t>
      </w:r>
    </w:p>
  </w:endnote>
  <w:endnote w:id="27">
    <w:p>
      <w:pPr>
        <w:pStyle w:val="9"/>
        <w:spacing w:line="240" w:lineRule="auto"/>
        <w:rPr>
          <w:szCs w:val="21"/>
        </w:rPr>
      </w:pPr>
      <w:r>
        <w:rPr>
          <w:rFonts w:cs="Times New Roman"/>
          <w:szCs w:val="21"/>
        </w:rPr>
        <w:t>[</w:t>
      </w:r>
      <w:r>
        <w:rPr>
          <w:rFonts w:cs="Times New Roman"/>
          <w:szCs w:val="21"/>
        </w:rPr>
        <w:endnoteRef/>
      </w:r>
      <w:r>
        <w:rPr>
          <w:rFonts w:cs="Times New Roman"/>
          <w:szCs w:val="21"/>
        </w:rPr>
        <w:t xml:space="preserve">] </w:t>
      </w:r>
      <w:r>
        <w:rPr>
          <w:rFonts w:eastAsia="Segoe UI" w:cs="Times New Roman"/>
          <w:szCs w:val="21"/>
        </w:rPr>
        <w:t>LIANG H</w:t>
      </w:r>
      <w:r>
        <w:rPr>
          <w:rFonts w:hint="eastAsia" w:eastAsia="宋体" w:cs="Times New Roman"/>
          <w:szCs w:val="21"/>
        </w:rPr>
        <w:t xml:space="preserve"> X</w:t>
      </w:r>
      <w:r>
        <w:rPr>
          <w:rFonts w:eastAsia="Segoe UI" w:cs="Times New Roman"/>
          <w:szCs w:val="21"/>
        </w:rPr>
        <w:t>, ZHANG D, WANG W</w:t>
      </w:r>
      <w:r>
        <w:rPr>
          <w:rFonts w:hint="eastAsia" w:eastAsia="宋体" w:cs="Times New Roman"/>
          <w:szCs w:val="21"/>
        </w:rPr>
        <w:t xml:space="preserve"> S</w:t>
      </w:r>
      <w:r>
        <w:rPr>
          <w:rFonts w:eastAsia="Segoe UI" w:cs="Times New Roman"/>
          <w:szCs w:val="21"/>
        </w:rPr>
        <w:t>, et al. Evaluating future water security in the upper Yangtze River Basin under a changing environment [J]. Science of the Total Environment, 2023, 889: 164101.</w:t>
      </w:r>
    </w:p>
  </w:endnote>
  <w:endnote w:id="28">
    <w:p>
      <w:pPr>
        <w:pStyle w:val="9"/>
        <w:spacing w:line="240" w:lineRule="auto"/>
        <w:rPr>
          <w:rFonts w:cs="Times New Roman"/>
        </w:rPr>
      </w:pPr>
      <w:r>
        <w:rPr>
          <w:rFonts w:cs="Times New Roman"/>
        </w:rPr>
        <w:t>[</w:t>
      </w:r>
      <w:r>
        <w:rPr>
          <w:rFonts w:cs="Times New Roman"/>
        </w:rPr>
        <w:endnoteRef/>
      </w:r>
      <w:r>
        <w:rPr>
          <w:rFonts w:cs="Times New Roman"/>
        </w:rPr>
        <w:t>] 王云,</w:t>
      </w:r>
      <w:r>
        <w:rPr>
          <w:rFonts w:hint="eastAsia" w:cs="Times New Roman"/>
        </w:rPr>
        <w:t xml:space="preserve"> </w:t>
      </w:r>
      <w:r>
        <w:rPr>
          <w:rFonts w:cs="Times New Roman"/>
        </w:rPr>
        <w:t>李文鑫,</w:t>
      </w:r>
      <w:r>
        <w:rPr>
          <w:rFonts w:hint="eastAsia" w:cs="Times New Roman"/>
        </w:rPr>
        <w:t xml:space="preserve"> </w:t>
      </w:r>
      <w:r>
        <w:rPr>
          <w:rFonts w:cs="Times New Roman"/>
        </w:rPr>
        <w:t>张建云,</w:t>
      </w:r>
      <w:r>
        <w:rPr>
          <w:rFonts w:hint="eastAsia" w:cs="Times New Roman"/>
        </w:rPr>
        <w:t xml:space="preserve"> </w:t>
      </w:r>
      <w:r>
        <w:rPr>
          <w:rFonts w:cs="Times New Roman"/>
        </w:rPr>
        <w:t>等.</w:t>
      </w:r>
      <w:r>
        <w:rPr>
          <w:rFonts w:hint="eastAsia" w:cs="Times New Roman"/>
        </w:rPr>
        <w:t xml:space="preserve"> </w:t>
      </w:r>
      <w:r>
        <w:rPr>
          <w:rFonts w:cs="Times New Roman"/>
        </w:rPr>
        <w:t>长江上游流域水文干旱历史演变及未来预估</w:t>
      </w:r>
      <w:r>
        <w:rPr>
          <w:rFonts w:hint="eastAsia" w:cs="Times New Roman"/>
        </w:rPr>
        <w:t xml:space="preserve"> </w:t>
      </w:r>
      <w:r>
        <w:rPr>
          <w:rFonts w:cs="Times New Roman"/>
        </w:rPr>
        <w:t>[J].</w:t>
      </w:r>
      <w:r>
        <w:rPr>
          <w:rFonts w:hint="eastAsia" w:cs="Times New Roman"/>
        </w:rPr>
        <w:t xml:space="preserve"> </w:t>
      </w:r>
      <w:r>
        <w:rPr>
          <w:rFonts w:cs="Times New Roman"/>
        </w:rPr>
        <w:t>中国工程科学,</w:t>
      </w:r>
      <w:r>
        <w:rPr>
          <w:rFonts w:hint="eastAsia" w:cs="Times New Roman"/>
        </w:rPr>
        <w:t xml:space="preserve"> </w:t>
      </w:r>
      <w:r>
        <w:rPr>
          <w:rFonts w:cs="Times New Roman"/>
        </w:rPr>
        <w:t>2024,</w:t>
      </w:r>
      <w:r>
        <w:rPr>
          <w:rFonts w:hint="eastAsia" w:cs="Times New Roman"/>
        </w:rPr>
        <w:t xml:space="preserve"> </w:t>
      </w:r>
      <w:r>
        <w:rPr>
          <w:rFonts w:cs="Times New Roman"/>
        </w:rPr>
        <w:t>26(6):</w:t>
      </w:r>
      <w:r>
        <w:rPr>
          <w:rFonts w:hint="eastAsia" w:cs="Times New Roman"/>
        </w:rPr>
        <w:t xml:space="preserve"> </w:t>
      </w:r>
      <w:r>
        <w:rPr>
          <w:rFonts w:cs="Times New Roman"/>
        </w:rPr>
        <w:t>157-168.</w:t>
      </w:r>
    </w:p>
    <w:p>
      <w:pPr>
        <w:pStyle w:val="9"/>
        <w:spacing w:line="240" w:lineRule="auto"/>
        <w:ind w:firstLine="420"/>
        <w:rPr>
          <w:rFonts w:cs="Times New Roman"/>
        </w:rPr>
      </w:pPr>
      <w:r>
        <w:rPr>
          <w:rFonts w:cs="Times New Roman"/>
        </w:rPr>
        <w:t>W</w:t>
      </w:r>
      <w:r>
        <w:rPr>
          <w:rFonts w:hint="eastAsia" w:cs="Times New Roman"/>
        </w:rPr>
        <w:t>ANG</w:t>
      </w:r>
      <w:r>
        <w:rPr>
          <w:rFonts w:cs="Times New Roman"/>
        </w:rPr>
        <w:t xml:space="preserve"> Y</w:t>
      </w:r>
      <w:r>
        <w:rPr>
          <w:rFonts w:hint="eastAsia" w:cs="Times New Roman"/>
        </w:rPr>
        <w:t xml:space="preserve">, </w:t>
      </w:r>
      <w:r>
        <w:rPr>
          <w:rFonts w:cs="Times New Roman"/>
        </w:rPr>
        <w:t>LI W</w:t>
      </w:r>
      <w:r>
        <w:rPr>
          <w:rFonts w:hint="eastAsia" w:cs="Times New Roman"/>
        </w:rPr>
        <w:t xml:space="preserve"> X, </w:t>
      </w:r>
      <w:r>
        <w:rPr>
          <w:rFonts w:cs="Times New Roman"/>
        </w:rPr>
        <w:t>Z</w:t>
      </w:r>
      <w:r>
        <w:rPr>
          <w:rFonts w:hint="eastAsia" w:cs="Times New Roman"/>
        </w:rPr>
        <w:t>HANG</w:t>
      </w:r>
      <w:r>
        <w:rPr>
          <w:rFonts w:cs="Times New Roman"/>
        </w:rPr>
        <w:t xml:space="preserve"> J</w:t>
      </w:r>
      <w:r>
        <w:rPr>
          <w:rFonts w:hint="eastAsia" w:cs="Times New Roman"/>
        </w:rPr>
        <w:t xml:space="preserve"> Y,</w:t>
      </w:r>
      <w:r>
        <w:rPr>
          <w:rFonts w:cs="Times New Roman"/>
        </w:rPr>
        <w:t xml:space="preserve"> et al.</w:t>
      </w:r>
      <w:r>
        <w:rPr>
          <w:rFonts w:hint="eastAsia" w:cs="Times New Roman"/>
        </w:rPr>
        <w:t xml:space="preserve"> Historical evolution and future prediction of hydrological droughts in the upper Yangtze River Basin [J]. Strategic Study of CAE, 2024, </w:t>
      </w:r>
      <w:r>
        <w:rPr>
          <w:rFonts w:cs="Times New Roman"/>
        </w:rPr>
        <w:t>26(6):</w:t>
      </w:r>
      <w:r>
        <w:rPr>
          <w:rFonts w:hint="eastAsia" w:cs="Times New Roman"/>
        </w:rPr>
        <w:t xml:space="preserve"> </w:t>
      </w:r>
      <w:r>
        <w:rPr>
          <w:rFonts w:cs="Times New Roman"/>
        </w:rPr>
        <w:t>157-168.</w:t>
      </w:r>
    </w:p>
  </w:endnote>
  <w:endnote w:id="29">
    <w:p>
      <w:pPr>
        <w:pStyle w:val="9"/>
        <w:spacing w:line="240" w:lineRule="auto"/>
      </w:pPr>
      <w:r>
        <w:rPr>
          <w:rStyle w:val="20"/>
          <w:vertAlign w:val="baseline"/>
        </w:rPr>
        <w:t>[</w:t>
      </w:r>
      <w:r>
        <w:rPr>
          <w:rStyle w:val="20"/>
          <w:vertAlign w:val="baseline"/>
        </w:rPr>
        <w:endnoteRef/>
      </w:r>
      <w:r>
        <w:rPr>
          <w:rStyle w:val="20"/>
          <w:vertAlign w:val="baseline"/>
        </w:rPr>
        <w:t>]</w:t>
      </w:r>
      <w:r>
        <w:t xml:space="preserve"> </w:t>
      </w:r>
      <w:r>
        <w:rPr>
          <w:rFonts w:hint="eastAsia"/>
        </w:rPr>
        <w:t>王彪, 夏春龙, 宋峥, 等. 未来气候变化情景下嫩江流域极端水文演变特征 [J]. 水利水电技术(中英文), 2025, 56</w:t>
      </w:r>
      <w:r>
        <w:rPr>
          <w:lang w:val="en"/>
        </w:rPr>
        <w:t>(</w:t>
      </w:r>
      <w:r>
        <w:rPr>
          <w:rFonts w:hint="eastAsia"/>
        </w:rPr>
        <w:t>7): 109-123.</w:t>
      </w:r>
    </w:p>
    <w:p>
      <w:pPr>
        <w:pStyle w:val="9"/>
        <w:spacing w:line="240" w:lineRule="auto"/>
        <w:ind w:firstLine="420"/>
      </w:pPr>
      <w:r>
        <w:rPr>
          <w:rFonts w:hint="eastAsia"/>
        </w:rPr>
        <w:t>WANG B, XIA C L, SONG Z, et al. Characteristics of extreme hydrological evolution in Nenjiang River Basin under future climate change scenarios [J]. Water Resources and Hydropower Engineering, 2025, 56</w:t>
      </w:r>
      <w:r>
        <w:rPr>
          <w:lang w:val="en"/>
        </w:rPr>
        <w:t>(</w:t>
      </w:r>
      <w:r>
        <w:rPr>
          <w:rFonts w:hint="eastAsia"/>
        </w:rPr>
        <w:t>7): 109-123.</w:t>
      </w:r>
    </w:p>
  </w:endnote>
  <w:endnote w:id="30">
    <w:p>
      <w:pPr>
        <w:pStyle w:val="9"/>
        <w:spacing w:line="240" w:lineRule="auto"/>
      </w:pPr>
      <w:r>
        <w:rPr>
          <w:rStyle w:val="20"/>
          <w:vertAlign w:val="baseline"/>
        </w:rPr>
        <w:t>[</w:t>
      </w:r>
      <w:r>
        <w:rPr>
          <w:rStyle w:val="20"/>
          <w:vertAlign w:val="baseline"/>
        </w:rPr>
        <w:endnoteRef/>
      </w:r>
      <w:r>
        <w:rPr>
          <w:rStyle w:val="20"/>
          <w:vertAlign w:val="baseline"/>
        </w:rPr>
        <w:t>]</w:t>
      </w:r>
      <w:r>
        <w:t xml:space="preserve"> </w:t>
      </w:r>
      <w:r>
        <w:rPr>
          <w:rFonts w:hint="eastAsia"/>
        </w:rPr>
        <w:t>龚骁, 戴长雷, 李树岭, 等. 基于CMIP6气候情景的松花江流域典型支流水文模拟及预测：以蚂蚁河流域为例[J].人民珠江,</w:t>
      </w:r>
      <w:r>
        <w:rPr>
          <w:lang w:val="en"/>
        </w:rPr>
        <w:t xml:space="preserve"> </w:t>
      </w:r>
      <w:r>
        <w:rPr>
          <w:rFonts w:hint="eastAsia"/>
        </w:rPr>
        <w:t>2025,</w:t>
      </w:r>
      <w:r>
        <w:rPr>
          <w:lang w:val="en"/>
        </w:rPr>
        <w:t xml:space="preserve"> </w:t>
      </w:r>
      <w:r>
        <w:rPr>
          <w:rFonts w:hint="eastAsia"/>
        </w:rPr>
        <w:t>46(11):</w:t>
      </w:r>
      <w:r>
        <w:rPr>
          <w:lang w:val="en"/>
        </w:rPr>
        <w:t xml:space="preserve"> </w:t>
      </w:r>
      <w:r>
        <w:rPr>
          <w:rFonts w:hint="eastAsia"/>
        </w:rPr>
        <w:t>65-74.</w:t>
      </w:r>
    </w:p>
    <w:p>
      <w:pPr>
        <w:pStyle w:val="9"/>
        <w:spacing w:line="240" w:lineRule="auto"/>
        <w:ind w:firstLine="420"/>
      </w:pPr>
      <w:r>
        <w:rPr>
          <w:rFonts w:hint="eastAsia"/>
        </w:rPr>
        <w:t>GONG X, DAI C L, LI S L,</w:t>
      </w:r>
      <w:r>
        <w:rPr>
          <w:rFonts w:cs="Times New Roman"/>
        </w:rPr>
        <w:t xml:space="preserve"> et al.</w:t>
      </w:r>
      <w:r>
        <w:rPr>
          <w:rFonts w:hint="eastAsia" w:cs="Times New Roman"/>
        </w:rPr>
        <w:t xml:space="preserve"> Hydrological simulation and prediction of typical tributaries in Songhua River Basin based on CMIP6 climate scenarios: A case study of Ant River Basin </w:t>
      </w:r>
      <w:r>
        <w:rPr>
          <w:rFonts w:hint="eastAsia"/>
        </w:rPr>
        <w:t>[J</w:t>
      </w:r>
      <w:r>
        <w:rPr>
          <w:rFonts w:hint="eastAsia" w:cs="Times New Roman"/>
        </w:rPr>
        <w:t xml:space="preserve">]. Pearl River, </w:t>
      </w:r>
      <w:r>
        <w:rPr>
          <w:rFonts w:hint="eastAsia"/>
        </w:rPr>
        <w:t>2025,</w:t>
      </w:r>
      <w:r>
        <w:rPr>
          <w:lang w:val="en"/>
        </w:rPr>
        <w:t xml:space="preserve"> </w:t>
      </w:r>
      <w:r>
        <w:rPr>
          <w:rFonts w:hint="eastAsia"/>
        </w:rPr>
        <w:t>46(11):</w:t>
      </w:r>
      <w:r>
        <w:rPr>
          <w:lang w:val="en"/>
        </w:rPr>
        <w:t xml:space="preserve"> </w:t>
      </w:r>
      <w:r>
        <w:rPr>
          <w:rFonts w:hint="eastAsia"/>
        </w:rPr>
        <w:t>65-74.</w:t>
      </w:r>
    </w:p>
  </w:endnote>
  <w:endnote w:id="31">
    <w:p>
      <w:pPr>
        <w:pStyle w:val="9"/>
        <w:spacing w:line="240" w:lineRule="auto"/>
        <w:rPr>
          <w:rFonts w:eastAsia="Segoe UI" w:cs="Times New Roman"/>
          <w:szCs w:val="21"/>
        </w:rPr>
      </w:pPr>
      <w:r>
        <w:rPr>
          <w:rFonts w:hint="eastAsia" w:eastAsia="Segoe UI" w:cs="Times New Roman"/>
          <w:szCs w:val="21"/>
        </w:rPr>
        <w:t>[</w:t>
      </w:r>
      <w:r>
        <w:rPr>
          <w:rFonts w:hint="eastAsia" w:eastAsia="Segoe UI" w:cs="Times New Roman"/>
          <w:szCs w:val="21"/>
        </w:rPr>
        <w:endnoteRef/>
      </w:r>
      <w:r>
        <w:rPr>
          <w:rFonts w:hint="eastAsia" w:eastAsia="Segoe UI" w:cs="Times New Roman"/>
          <w:szCs w:val="21"/>
        </w:rPr>
        <w:t>] E</w:t>
      </w:r>
      <w:r>
        <w:rPr>
          <w:rFonts w:hint="eastAsia" w:eastAsia="宋体" w:cs="Times New Roman"/>
          <w:szCs w:val="21"/>
        </w:rPr>
        <w:t>YRING</w:t>
      </w:r>
      <w:r>
        <w:rPr>
          <w:rFonts w:hint="eastAsia" w:eastAsia="Segoe UI" w:cs="Times New Roman"/>
          <w:szCs w:val="21"/>
        </w:rPr>
        <w:t xml:space="preserve"> V, B</w:t>
      </w:r>
      <w:r>
        <w:rPr>
          <w:rFonts w:hint="eastAsia" w:eastAsia="宋体" w:cs="Times New Roman"/>
          <w:szCs w:val="21"/>
        </w:rPr>
        <w:t>ONY</w:t>
      </w:r>
      <w:r>
        <w:rPr>
          <w:rFonts w:hint="eastAsia" w:eastAsia="Segoe UI" w:cs="Times New Roman"/>
          <w:szCs w:val="21"/>
        </w:rPr>
        <w:t xml:space="preserve"> S, M</w:t>
      </w:r>
      <w:r>
        <w:rPr>
          <w:rFonts w:hint="eastAsia" w:eastAsia="宋体" w:cs="Times New Roman"/>
          <w:szCs w:val="21"/>
        </w:rPr>
        <w:t>EEHL</w:t>
      </w:r>
      <w:r>
        <w:rPr>
          <w:rFonts w:hint="eastAsia" w:eastAsia="Segoe UI" w:cs="Times New Roman"/>
          <w:szCs w:val="21"/>
        </w:rPr>
        <w:t xml:space="preserve"> G A, et al. Overview of the Coupled Model Intercomparison Project Phase 6 (CMIP6) experimental design and organization</w:t>
      </w:r>
      <w:r>
        <w:rPr>
          <w:rFonts w:hint="eastAsia" w:eastAsia="宋体" w:cs="Times New Roman"/>
          <w:szCs w:val="21"/>
        </w:rPr>
        <w:t xml:space="preserve"> </w:t>
      </w:r>
      <w:r>
        <w:rPr>
          <w:rFonts w:hint="eastAsia" w:eastAsia="Segoe UI" w:cs="Times New Roman"/>
          <w:szCs w:val="21"/>
        </w:rPr>
        <w:t>[J]. Geoscientific Model Development, 2016, 9(5): 1937-1958.</w:t>
      </w:r>
    </w:p>
  </w:endnote>
  <w:endnote w:id="32">
    <w:p>
      <w:pPr>
        <w:pStyle w:val="9"/>
        <w:spacing w:line="240" w:lineRule="auto"/>
        <w:rPr>
          <w:rFonts w:cs="Times New Roman"/>
        </w:rPr>
      </w:pPr>
      <w:r>
        <w:rPr>
          <w:rStyle w:val="20"/>
          <w:rFonts w:cs="Times New Roman"/>
          <w:vertAlign w:val="baseline"/>
        </w:rPr>
        <w:t>[</w:t>
      </w:r>
      <w:r>
        <w:rPr>
          <w:rStyle w:val="20"/>
          <w:rFonts w:cs="Times New Roman"/>
          <w:vertAlign w:val="baseline"/>
        </w:rPr>
        <w:endnoteRef/>
      </w:r>
      <w:r>
        <w:rPr>
          <w:rStyle w:val="20"/>
          <w:rFonts w:cs="Times New Roman"/>
          <w:vertAlign w:val="baseline"/>
        </w:rPr>
        <w:t>]</w:t>
      </w:r>
      <w:r>
        <w:rPr>
          <w:rFonts w:cs="Times New Roman"/>
        </w:rPr>
        <w:t xml:space="preserve"> 王立, 翟文亮, 张爵宏, 等. 基于RBF-SWAT的气候变化下汉江上游流域径流预测及特征分析</w:t>
      </w:r>
      <w:r>
        <w:rPr>
          <w:rFonts w:hint="eastAsia" w:cs="Times New Roman"/>
        </w:rPr>
        <w:t xml:space="preserve"> </w:t>
      </w:r>
      <w:r>
        <w:rPr>
          <w:rFonts w:cs="Times New Roman"/>
        </w:rPr>
        <w:t>[J]. 长江科学院院报, 2023, 40(4): 31-36.</w:t>
      </w:r>
    </w:p>
    <w:p>
      <w:pPr>
        <w:pStyle w:val="9"/>
        <w:spacing w:line="240" w:lineRule="auto"/>
        <w:ind w:firstLine="420"/>
        <w:rPr>
          <w:rFonts w:cs="Times New Roman"/>
        </w:rPr>
      </w:pPr>
      <w:r>
        <w:rPr>
          <w:rFonts w:cs="Times New Roman"/>
        </w:rPr>
        <w:t>WANG L</w:t>
      </w:r>
      <w:r>
        <w:rPr>
          <w:rFonts w:hint="eastAsia" w:cs="Times New Roman"/>
        </w:rPr>
        <w:t xml:space="preserve">, </w:t>
      </w:r>
      <w:r>
        <w:rPr>
          <w:rFonts w:cs="Times New Roman"/>
        </w:rPr>
        <w:t>ZHAI W</w:t>
      </w:r>
      <w:r>
        <w:rPr>
          <w:rFonts w:hint="eastAsia" w:cs="Times New Roman"/>
        </w:rPr>
        <w:t xml:space="preserve"> L, </w:t>
      </w:r>
      <w:r>
        <w:rPr>
          <w:rFonts w:cs="Times New Roman"/>
        </w:rPr>
        <w:t>ZHANG J</w:t>
      </w:r>
      <w:r>
        <w:rPr>
          <w:rFonts w:hint="eastAsia" w:cs="Times New Roman"/>
        </w:rPr>
        <w:t xml:space="preserve"> H,</w:t>
      </w:r>
      <w:r>
        <w:rPr>
          <w:rFonts w:cs="Times New Roman"/>
        </w:rPr>
        <w:t xml:space="preserve"> et al.</w:t>
      </w:r>
      <w:r>
        <w:rPr>
          <w:rFonts w:hint="eastAsia" w:cs="Times New Roman"/>
        </w:rPr>
        <w:t xml:space="preserve"> Impact of future climate change on runoff in the upper Hanjiang River Basin based on RBF-SWAT </w:t>
      </w:r>
      <w:r>
        <w:rPr>
          <w:rFonts w:cs="Times New Roman"/>
        </w:rPr>
        <w:t>[J]. Journal of Changjiang River Scientific Research Institute, 2023, 40(4): 31-36.</w:t>
      </w:r>
    </w:p>
  </w:endnote>
  <w:endnote w:id="33">
    <w:p>
      <w:pPr>
        <w:pStyle w:val="9"/>
        <w:spacing w:line="240" w:lineRule="auto"/>
        <w:rPr>
          <w:rFonts w:cs="Times New Roman"/>
        </w:rPr>
      </w:pPr>
      <w:r>
        <w:rPr>
          <w:rStyle w:val="20"/>
          <w:rFonts w:cs="Times New Roman"/>
          <w:vertAlign w:val="baseline"/>
        </w:rPr>
        <w:t>[</w:t>
      </w:r>
      <w:r>
        <w:rPr>
          <w:rStyle w:val="20"/>
          <w:rFonts w:cs="Times New Roman"/>
          <w:vertAlign w:val="baseline"/>
        </w:rPr>
        <w:endnoteRef/>
      </w:r>
      <w:r>
        <w:rPr>
          <w:rStyle w:val="20"/>
          <w:rFonts w:cs="Times New Roman"/>
          <w:vertAlign w:val="baseline"/>
        </w:rPr>
        <w:t>]</w:t>
      </w:r>
      <w:r>
        <w:rPr>
          <w:rFonts w:cs="Times New Roman"/>
        </w:rPr>
        <w:t xml:space="preserve"> </w:t>
      </w:r>
      <w:r>
        <w:rPr>
          <w:rFonts w:hint="eastAsia" w:cs="Times New Roman"/>
        </w:rPr>
        <w:t>黄进, 邱波, 安慧, 等. 基于CMIP6气候模式的丹江流域未来径流变化研究 [J/OL]. 长江科学院院报, 1-13[2025-09-12].</w:t>
      </w:r>
    </w:p>
    <w:p>
      <w:pPr>
        <w:pStyle w:val="9"/>
        <w:spacing w:line="240" w:lineRule="auto"/>
        <w:ind w:firstLine="420"/>
        <w:rPr>
          <w:rFonts w:cs="Times New Roman"/>
        </w:rPr>
      </w:pPr>
      <w:r>
        <w:rPr>
          <w:rFonts w:hint="eastAsia" w:cs="Times New Roman"/>
        </w:rPr>
        <w:t>HUANG J, QIU B, AN H,</w:t>
      </w:r>
      <w:r>
        <w:rPr>
          <w:rFonts w:cs="Times New Roman"/>
        </w:rPr>
        <w:t xml:space="preserve"> et al.</w:t>
      </w:r>
      <w:r>
        <w:rPr>
          <w:rFonts w:hint="eastAsia" w:cs="Times New Roman"/>
        </w:rPr>
        <w:t xml:space="preserve"> </w:t>
      </w:r>
      <w:r>
        <w:rPr>
          <w:rFonts w:cs="Times New Roman"/>
        </w:rPr>
        <w:t>Research on future runoff changes in the Danjiang River Basin based on CMIP6 climate models</w:t>
      </w:r>
      <w:r>
        <w:rPr>
          <w:rFonts w:hint="eastAsia" w:cs="Times New Roman"/>
        </w:rPr>
        <w:t xml:space="preserve"> </w:t>
      </w:r>
      <w:r>
        <w:rPr>
          <w:rFonts w:cs="Times New Roman"/>
        </w:rPr>
        <w:t>[J/OL]. Journal of Changjiang River Scientific Research,1-13[2025-09-12].</w:t>
      </w:r>
    </w:p>
  </w:endnote>
  <w:endnote w:id="34">
    <w:p>
      <w:pPr>
        <w:pStyle w:val="9"/>
        <w:spacing w:line="240" w:lineRule="auto"/>
        <w:rPr>
          <w:rFonts w:cs="Times New Roman"/>
        </w:rPr>
      </w:pPr>
      <w:r>
        <w:rPr>
          <w:rFonts w:cs="Times New Roman"/>
        </w:rPr>
        <w:t>[</w:t>
      </w:r>
      <w:r>
        <w:rPr>
          <w:rFonts w:cs="Times New Roman"/>
        </w:rPr>
        <w:endnoteRef/>
      </w:r>
      <w:r>
        <w:rPr>
          <w:rFonts w:cs="Times New Roman"/>
        </w:rPr>
        <w:t xml:space="preserve">] </w:t>
      </w:r>
      <w:r>
        <w:rPr>
          <w:rFonts w:hint="eastAsia" w:cs="Times New Roman"/>
        </w:rPr>
        <w:t xml:space="preserve">WANG D, SHAO W W, LIU J H, et al. Exploring spatio-temporal dynamics of future extreme precipitation, runoff, and flood risk in the Hanjiang River Basin, China[J]. Remote Sensing, 2024, 16(21): 3980.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
    <w:altName w:val="方正楷体_GBK"/>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Segoe UI">
    <w:altName w:val="Noto Music"/>
    <w:panose1 w:val="020B0502040204020203"/>
    <w:charset w:val="00"/>
    <w:family w:val="swiss"/>
    <w:pitch w:val="default"/>
    <w:sig w:usb0="00000000" w:usb1="00000000" w:usb2="00000009" w:usb3="00000000" w:csb0="200001FF" w:csb1="00000000"/>
  </w:font>
  <w:font w:name="微软雅黑">
    <w:altName w:val="方正黑体_GBK"/>
    <w:panose1 w:val="020B0503020204020204"/>
    <w:charset w:val="86"/>
    <w:family w:val="auto"/>
    <w:pitch w:val="default"/>
    <w:sig w:usb0="00000000" w:usb1="00000000" w:usb2="00000016" w:usb3="00000000" w:csb0="0004001F" w:csb1="00000000"/>
  </w:font>
  <w:font w:name="Cambria Math">
    <w:altName w:val="DejaVu Math TeX Gyre"/>
    <w:panose1 w:val="02040503050406030204"/>
    <w:charset w:val="00"/>
    <w:family w:val="roman"/>
    <w:pitch w:val="default"/>
    <w:sig w:usb0="00000000" w:usb1="00000000" w:usb2="02000000" w:usb3="00000000" w:csb0="2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Music">
    <w:panose1 w:val="020B0502040504020204"/>
    <w:charset w:val="00"/>
    <w:family w:val="auto"/>
    <w:pitch w:val="default"/>
    <w:sig w:usb0="00000003" w:usb1="02006000" w:usb2="01000000" w:usb3="00000000" w:csb0="00000001" w:csb1="00000000"/>
  </w:font>
  <w:font w:name="DejaVu Math TeX Gyre">
    <w:panose1 w:val="02000503000000000000"/>
    <w:charset w:val="00"/>
    <w:family w:val="auto"/>
    <w:pitch w:val="default"/>
    <w:sig w:usb0="A10000EF" w:usb1="4201F9EE" w:usb2="02000000" w:usb3="00000000" w:csb0="60000193" w:csb1="0DD40000"/>
  </w:font>
  <w:font w:name="Microsoft YaHei">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p>
  </w:footnote>
  <w:footnote w:type="continuationSeparator" w:id="1">
    <w:p>
      <w:pPr>
        <w:spacing w:line="240" w:lineRule="auto"/>
        <w:ind w:firstLine="420"/>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8967D1"/>
    <w:multiLevelType w:val="multilevel"/>
    <w:tmpl w:val="B28967D1"/>
    <w:lvl w:ilvl="0" w:tentative="0">
      <w:start w:val="1"/>
      <w:numFmt w:val="decimal"/>
      <w:suff w:val="space"/>
      <w:lvlText w:val="%1"/>
      <w:lvlJc w:val="left"/>
      <w:pPr>
        <w:ind w:left="425" w:hanging="425"/>
      </w:pPr>
      <w:rPr>
        <w:rFonts w:hint="default" w:ascii="Times New Roman" w:hAnsi="Times New Roman"/>
        <w:sz w:val="32"/>
        <w:szCs w:val="32"/>
      </w:rPr>
    </w:lvl>
    <w:lvl w:ilvl="1" w:tentative="0">
      <w:start w:val="1"/>
      <w:numFmt w:val="decimal"/>
      <w:lvlText w:val="%1.%2"/>
      <w:lvlJc w:val="left"/>
      <w:pPr>
        <w:ind w:left="567" w:hanging="567"/>
      </w:pPr>
      <w:rPr>
        <w:rFonts w:hint="default" w:ascii="Times New Roman" w:hAnsi="Times New Roman"/>
        <w:sz w:val="28"/>
        <w:szCs w:val="28"/>
      </w:rPr>
    </w:lvl>
    <w:lvl w:ilvl="2" w:tentative="0">
      <w:start w:val="1"/>
      <w:numFmt w:val="decimal"/>
      <w:lvlText w:val="%1.%2.%3"/>
      <w:lvlJc w:val="left"/>
      <w:pPr>
        <w:ind w:left="709" w:hanging="709"/>
      </w:pPr>
      <w:rPr>
        <w:rFonts w:hint="default" w:ascii="Times New Roman" w:hAnsi="Times New Roman"/>
        <w:sz w:val="24"/>
        <w:szCs w:val="24"/>
      </w:rPr>
    </w:lvl>
    <w:lvl w:ilvl="3" w:tentative="0">
      <w:start w:val="1"/>
      <w:numFmt w:val="decimal"/>
      <w:lvlText w:val="%1.%2.%3.%4"/>
      <w:lvlJc w:val="left"/>
      <w:pPr>
        <w:ind w:left="850" w:hanging="850"/>
      </w:pPr>
      <w:rPr>
        <w:rFonts w:hint="default" w:ascii="Times New Roman" w:hAnsi="Times New Roman"/>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ascii="Times New Roman" w:hAnsi="Times New Roman"/>
      </w:rPr>
    </w:lvl>
  </w:abstractNum>
  <w:abstractNum w:abstractNumId="1">
    <w:nsid w:val="C694EA4C"/>
    <w:multiLevelType w:val="multilevel"/>
    <w:tmpl w:val="C694EA4C"/>
    <w:lvl w:ilvl="0" w:tentative="0">
      <w:start w:val="1"/>
      <w:numFmt w:val="decimal"/>
      <w:lvlText w:val="%1"/>
      <w:lvlJc w:val="left"/>
      <w:pPr>
        <w:ind w:left="425" w:hanging="425"/>
      </w:pPr>
      <w:rPr>
        <w:rFonts w:hint="default" w:ascii="Times New Roman" w:hAnsi="Times New Roman"/>
      </w:rPr>
    </w:lvl>
    <w:lvl w:ilvl="1" w:tentative="0">
      <w:start w:val="1"/>
      <w:numFmt w:val="decimal"/>
      <w:suff w:val="space"/>
      <w:lvlText w:val="%1.%2"/>
      <w:lvlJc w:val="left"/>
      <w:pPr>
        <w:ind w:left="567" w:hanging="567"/>
      </w:pPr>
      <w:rPr>
        <w:rFonts w:hint="default" w:ascii="Times New Roman" w:hAnsi="Times New Roman"/>
      </w:rPr>
    </w:lvl>
    <w:lvl w:ilvl="2" w:tentative="0">
      <w:start w:val="1"/>
      <w:numFmt w:val="decimal"/>
      <w:lvlText w:val="%1.%2.%3"/>
      <w:lvlJc w:val="left"/>
      <w:pPr>
        <w:ind w:left="709" w:hanging="709"/>
      </w:pPr>
      <w:rPr>
        <w:rFonts w:hint="default" w:ascii="Times New Roman" w:hAnsi="Times New Roman"/>
      </w:rPr>
    </w:lvl>
    <w:lvl w:ilvl="3" w:tentative="0">
      <w:start w:val="1"/>
      <w:numFmt w:val="decimal"/>
      <w:lvlText w:val="%1.%2.%3.%4"/>
      <w:lvlJc w:val="left"/>
      <w:pPr>
        <w:ind w:left="850" w:hanging="850"/>
      </w:pPr>
      <w:rPr>
        <w:rFonts w:hint="default" w:ascii="Times New Roman" w:hAnsi="Times New Roman"/>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ascii="Times New Roman" w:hAnsi="Times New Roman"/>
      </w:rPr>
    </w:lvl>
  </w:abstractNum>
  <w:abstractNum w:abstractNumId="2">
    <w:nsid w:val="0BAE1DCF"/>
    <w:multiLevelType w:val="singleLevel"/>
    <w:tmpl w:val="0BAE1DCF"/>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doNotDisplayPageBoundaries w:val="true"/>
  <w:bordersDoNotSurroundHeader w:val="true"/>
  <w:bordersDoNotSurroundFooter w:val="true"/>
  <w:documentProtection w:enforcement="0"/>
  <w:defaultTabStop w:val="419"/>
  <w:drawingGridVerticalSpacing w:val="156"/>
  <w:noPunctuationKerning w:val="true"/>
  <w:characterSpacingControl w:val="compressPunctuation"/>
  <w:footnotePr>
    <w:footnote w:id="0"/>
    <w:footnote w:id="1"/>
  </w:footnotePr>
  <w:endnotePr>
    <w:numFmt w:val="decimal"/>
    <w:endnote w:id="70"/>
    <w:endnote w:id="7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Chinese Std GBT7714 (numeric)&lt;/Style&gt;&lt;LeftDelim&gt;{&lt;/LeftDelim&gt;&lt;RightDelim&gt;}&lt;/RightDelim&gt;&lt;FontName&gt;Arial&lt;/FontName&gt;&lt;FontSize&gt;14&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r9rzz5z65zs5iev904pa2xtrdwa92wtdfa9&quot;&gt;My EndNote Library&lt;record-ids&gt;&lt;item&gt;5&lt;/item&gt;&lt;item&gt;6&lt;/item&gt;&lt;/record-ids&gt;&lt;/item&gt;&lt;/Libraries&gt;"/>
  </w:docVars>
  <w:rsids>
    <w:rsidRoot w:val="00172A27"/>
    <w:rsid w:val="00033E77"/>
    <w:rsid w:val="0003518D"/>
    <w:rsid w:val="00131565"/>
    <w:rsid w:val="00172A27"/>
    <w:rsid w:val="00382A3A"/>
    <w:rsid w:val="003C3871"/>
    <w:rsid w:val="003D63F4"/>
    <w:rsid w:val="00463635"/>
    <w:rsid w:val="004A0289"/>
    <w:rsid w:val="00510741"/>
    <w:rsid w:val="00557593"/>
    <w:rsid w:val="006406B3"/>
    <w:rsid w:val="0068049C"/>
    <w:rsid w:val="00695297"/>
    <w:rsid w:val="006C4830"/>
    <w:rsid w:val="00775250"/>
    <w:rsid w:val="0083217A"/>
    <w:rsid w:val="008B444E"/>
    <w:rsid w:val="008F0C99"/>
    <w:rsid w:val="00D66AA7"/>
    <w:rsid w:val="00DE1973"/>
    <w:rsid w:val="00DE7446"/>
    <w:rsid w:val="00E66857"/>
    <w:rsid w:val="00F53868"/>
    <w:rsid w:val="017B1E7D"/>
    <w:rsid w:val="01C67699"/>
    <w:rsid w:val="0250441F"/>
    <w:rsid w:val="02A03096"/>
    <w:rsid w:val="02CD3CC1"/>
    <w:rsid w:val="03975AC9"/>
    <w:rsid w:val="04185410"/>
    <w:rsid w:val="04354274"/>
    <w:rsid w:val="04BE06B2"/>
    <w:rsid w:val="06506438"/>
    <w:rsid w:val="0696086E"/>
    <w:rsid w:val="07F7135C"/>
    <w:rsid w:val="07FF5F33"/>
    <w:rsid w:val="09D73EE7"/>
    <w:rsid w:val="0B754FCA"/>
    <w:rsid w:val="0E635734"/>
    <w:rsid w:val="0F546D8C"/>
    <w:rsid w:val="10093E5F"/>
    <w:rsid w:val="10850B2F"/>
    <w:rsid w:val="11252648"/>
    <w:rsid w:val="11316E09"/>
    <w:rsid w:val="12C93260"/>
    <w:rsid w:val="136E182B"/>
    <w:rsid w:val="139F561E"/>
    <w:rsid w:val="1456293D"/>
    <w:rsid w:val="14EB1960"/>
    <w:rsid w:val="160C28FB"/>
    <w:rsid w:val="1696779D"/>
    <w:rsid w:val="18037974"/>
    <w:rsid w:val="1B4506FF"/>
    <w:rsid w:val="1BAF1D5E"/>
    <w:rsid w:val="1BDC07A1"/>
    <w:rsid w:val="1C464858"/>
    <w:rsid w:val="1C511068"/>
    <w:rsid w:val="1C915908"/>
    <w:rsid w:val="1D4C401E"/>
    <w:rsid w:val="1D610DF9"/>
    <w:rsid w:val="1DEA1774"/>
    <w:rsid w:val="1DEF0B38"/>
    <w:rsid w:val="1ED57D2E"/>
    <w:rsid w:val="1FB9606A"/>
    <w:rsid w:val="207533C1"/>
    <w:rsid w:val="207D15C9"/>
    <w:rsid w:val="21B94016"/>
    <w:rsid w:val="224D26B0"/>
    <w:rsid w:val="26730D77"/>
    <w:rsid w:val="273927BE"/>
    <w:rsid w:val="27706BF2"/>
    <w:rsid w:val="27BC4563"/>
    <w:rsid w:val="281270DF"/>
    <w:rsid w:val="297E4112"/>
    <w:rsid w:val="2A5C61EA"/>
    <w:rsid w:val="2AB96756"/>
    <w:rsid w:val="2AF6248D"/>
    <w:rsid w:val="2B2A1401"/>
    <w:rsid w:val="2B564A14"/>
    <w:rsid w:val="2B6366AD"/>
    <w:rsid w:val="2D5A4E76"/>
    <w:rsid w:val="2D9A5B83"/>
    <w:rsid w:val="2DEB353E"/>
    <w:rsid w:val="2E864E06"/>
    <w:rsid w:val="2F8F1B33"/>
    <w:rsid w:val="2FB65840"/>
    <w:rsid w:val="312A5B9A"/>
    <w:rsid w:val="316E34BE"/>
    <w:rsid w:val="32601BAD"/>
    <w:rsid w:val="334B4B63"/>
    <w:rsid w:val="34A40CB6"/>
    <w:rsid w:val="34ED3CFC"/>
    <w:rsid w:val="3599165E"/>
    <w:rsid w:val="35B9585C"/>
    <w:rsid w:val="35C036ED"/>
    <w:rsid w:val="366C0B20"/>
    <w:rsid w:val="36851D82"/>
    <w:rsid w:val="38470D39"/>
    <w:rsid w:val="38611B4B"/>
    <w:rsid w:val="3886386B"/>
    <w:rsid w:val="394E3DB5"/>
    <w:rsid w:val="398843CA"/>
    <w:rsid w:val="39B8383F"/>
    <w:rsid w:val="3B132DD5"/>
    <w:rsid w:val="3BC059B4"/>
    <w:rsid w:val="3CAA43AB"/>
    <w:rsid w:val="3DC01512"/>
    <w:rsid w:val="3EFA4A17"/>
    <w:rsid w:val="3F0135D7"/>
    <w:rsid w:val="401D2490"/>
    <w:rsid w:val="40E25048"/>
    <w:rsid w:val="46690E33"/>
    <w:rsid w:val="47EF2507"/>
    <w:rsid w:val="49262DB0"/>
    <w:rsid w:val="499C73E3"/>
    <w:rsid w:val="4ABF2987"/>
    <w:rsid w:val="4BAF1783"/>
    <w:rsid w:val="4C913C63"/>
    <w:rsid w:val="4CF3443C"/>
    <w:rsid w:val="4E725B6C"/>
    <w:rsid w:val="4EC336DA"/>
    <w:rsid w:val="508B1E7E"/>
    <w:rsid w:val="5257047F"/>
    <w:rsid w:val="56637655"/>
    <w:rsid w:val="59571EA1"/>
    <w:rsid w:val="599C0E6D"/>
    <w:rsid w:val="59C444B5"/>
    <w:rsid w:val="5A5F4215"/>
    <w:rsid w:val="5B413A7A"/>
    <w:rsid w:val="5B8411B1"/>
    <w:rsid w:val="5DA52650"/>
    <w:rsid w:val="5E070BDA"/>
    <w:rsid w:val="5E701BD5"/>
    <w:rsid w:val="615A791B"/>
    <w:rsid w:val="61716695"/>
    <w:rsid w:val="61C659F5"/>
    <w:rsid w:val="61FB7B4C"/>
    <w:rsid w:val="620A33F2"/>
    <w:rsid w:val="6244437E"/>
    <w:rsid w:val="63245026"/>
    <w:rsid w:val="636773A8"/>
    <w:rsid w:val="648C4212"/>
    <w:rsid w:val="652E506F"/>
    <w:rsid w:val="654F3237"/>
    <w:rsid w:val="65E81846"/>
    <w:rsid w:val="65F9097B"/>
    <w:rsid w:val="679E6DC2"/>
    <w:rsid w:val="6804655B"/>
    <w:rsid w:val="680E51FE"/>
    <w:rsid w:val="68996CA3"/>
    <w:rsid w:val="69DB5AB9"/>
    <w:rsid w:val="6A072332"/>
    <w:rsid w:val="6C334156"/>
    <w:rsid w:val="6D1E6D8A"/>
    <w:rsid w:val="6D65781B"/>
    <w:rsid w:val="6DFD5507"/>
    <w:rsid w:val="6E1A0013"/>
    <w:rsid w:val="6E7154E6"/>
    <w:rsid w:val="6F9753A1"/>
    <w:rsid w:val="6FFB0243"/>
    <w:rsid w:val="706A77F7"/>
    <w:rsid w:val="70CF776E"/>
    <w:rsid w:val="70D410CF"/>
    <w:rsid w:val="71FD5648"/>
    <w:rsid w:val="729B7D16"/>
    <w:rsid w:val="72B6607D"/>
    <w:rsid w:val="731507DF"/>
    <w:rsid w:val="74531762"/>
    <w:rsid w:val="7550585A"/>
    <w:rsid w:val="766905FD"/>
    <w:rsid w:val="768B4EF2"/>
    <w:rsid w:val="768F58AF"/>
    <w:rsid w:val="76F55C40"/>
    <w:rsid w:val="773B1F4E"/>
    <w:rsid w:val="77BD4980"/>
    <w:rsid w:val="781E5417"/>
    <w:rsid w:val="78850706"/>
    <w:rsid w:val="79952007"/>
    <w:rsid w:val="7A2E6805"/>
    <w:rsid w:val="7BFC15CB"/>
    <w:rsid w:val="7BFD14BB"/>
    <w:rsid w:val="7CB01C2A"/>
    <w:rsid w:val="7D2A03BA"/>
    <w:rsid w:val="7E072AB4"/>
    <w:rsid w:val="7EAA45DE"/>
    <w:rsid w:val="7EEF18BB"/>
    <w:rsid w:val="7F9F384A"/>
    <w:rsid w:val="7FFE35C7"/>
    <w:rsid w:val="7FFF11D6"/>
    <w:rsid w:val="AB9EF3A5"/>
    <w:rsid w:val="AFE11A28"/>
    <w:rsid w:val="DFBF03A1"/>
    <w:rsid w:val="ED999F8B"/>
    <w:rsid w:val="F61F0FCB"/>
    <w:rsid w:val="FB9DA047"/>
    <w:rsid w:val="FBFACA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440" w:lineRule="exact"/>
      <w:ind w:firstLine="720" w:firstLineChars="200"/>
      <w:jc w:val="both"/>
    </w:pPr>
    <w:rPr>
      <w:rFonts w:ascii="Times New Roman" w:hAnsi="Times New Roman" w:eastAsiaTheme="minorEastAsia" w:cstheme="minorBidi"/>
      <w:kern w:val="2"/>
      <w:sz w:val="21"/>
      <w:szCs w:val="24"/>
      <w:lang w:val="en-US" w:eastAsia="zh-CN" w:bidi="ar-SA"/>
    </w:rPr>
  </w:style>
  <w:style w:type="paragraph" w:styleId="3">
    <w:name w:val="heading 1"/>
    <w:basedOn w:val="1"/>
    <w:next w:val="1"/>
    <w:link w:val="45"/>
    <w:qFormat/>
    <w:uiPriority w:val="0"/>
    <w:pPr>
      <w:keepNext/>
      <w:keepLines/>
      <w:spacing w:before="240" w:after="240" w:line="240" w:lineRule="auto"/>
      <w:ind w:firstLine="0" w:firstLineChars="0"/>
      <w:outlineLvl w:val="0"/>
    </w:pPr>
    <w:rPr>
      <w:rFonts w:eastAsia="黑体"/>
      <w:b/>
      <w:kern w:val="44"/>
      <w:sz w:val="30"/>
    </w:rPr>
  </w:style>
  <w:style w:type="paragraph" w:styleId="4">
    <w:name w:val="heading 2"/>
    <w:basedOn w:val="1"/>
    <w:next w:val="1"/>
    <w:unhideWhenUsed/>
    <w:qFormat/>
    <w:uiPriority w:val="0"/>
    <w:pPr>
      <w:keepNext/>
      <w:keepLines/>
      <w:spacing w:before="120" w:after="120" w:line="240" w:lineRule="auto"/>
      <w:ind w:firstLine="0" w:firstLineChars="0"/>
      <w:outlineLvl w:val="1"/>
    </w:pPr>
    <w:rPr>
      <w:rFonts w:ascii="Arial" w:hAnsi="Arial" w:eastAsia="黑体"/>
      <w:b/>
      <w:sz w:val="24"/>
    </w:rPr>
  </w:style>
  <w:style w:type="paragraph" w:styleId="5">
    <w:name w:val="heading 3"/>
    <w:basedOn w:val="1"/>
    <w:next w:val="1"/>
    <w:unhideWhenUsed/>
    <w:qFormat/>
    <w:uiPriority w:val="0"/>
    <w:pPr>
      <w:keepNext/>
      <w:keepLines/>
      <w:spacing w:before="120" w:after="120" w:line="360" w:lineRule="auto"/>
      <w:ind w:firstLine="0" w:firstLineChars="0"/>
      <w:outlineLvl w:val="2"/>
    </w:pPr>
    <w:rPr>
      <w:rFonts w:eastAsia="宋体" w:cs="Times New Roman"/>
      <w:b/>
      <w:snapToGrid w:val="0"/>
      <w:color w:val="000000"/>
      <w:kern w:val="0"/>
      <w:szCs w:val="28"/>
      <w:lang w:eastAsia="en-US"/>
    </w:rPr>
  </w:style>
  <w:style w:type="paragraph" w:styleId="6">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style>
  <w:style w:type="paragraph" w:styleId="7">
    <w:name w:val="caption"/>
    <w:basedOn w:val="1"/>
    <w:next w:val="1"/>
    <w:semiHidden/>
    <w:unhideWhenUsed/>
    <w:qFormat/>
    <w:uiPriority w:val="0"/>
    <w:rPr>
      <w:rFonts w:ascii="Arial" w:hAnsi="Arial" w:eastAsia="黑体"/>
      <w:sz w:val="20"/>
    </w:rPr>
  </w:style>
  <w:style w:type="paragraph" w:styleId="8">
    <w:name w:val="annotation text"/>
    <w:basedOn w:val="1"/>
    <w:link w:val="49"/>
    <w:qFormat/>
    <w:uiPriority w:val="0"/>
    <w:pPr>
      <w:jc w:val="left"/>
    </w:pPr>
  </w:style>
  <w:style w:type="paragraph" w:styleId="9">
    <w:name w:val="endnote text"/>
    <w:basedOn w:val="1"/>
    <w:qFormat/>
    <w:uiPriority w:val="0"/>
    <w:pPr>
      <w:snapToGrid w:val="0"/>
      <w:ind w:firstLine="0" w:firstLineChars="0"/>
      <w:jc w:val="left"/>
    </w:p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2">
    <w:name w:val="footnote text"/>
    <w:basedOn w:val="1"/>
    <w:link w:val="46"/>
    <w:unhideWhenUsed/>
    <w:qFormat/>
    <w:uiPriority w:val="0"/>
    <w:pPr>
      <w:snapToGrid w:val="0"/>
      <w:spacing w:line="240" w:lineRule="auto"/>
      <w:ind w:firstLine="0" w:firstLineChars="0"/>
      <w:jc w:val="left"/>
    </w:pPr>
    <w:rPr>
      <w:rFonts w:ascii="Calibri" w:hAnsi="Calibri" w:eastAsia="宋体" w:cs="黑体"/>
      <w:sz w:val="18"/>
      <w:szCs w:val="20"/>
    </w:rPr>
  </w:style>
  <w:style w:type="paragraph" w:styleId="13">
    <w:name w:val="Normal (Web)"/>
    <w:basedOn w:val="1"/>
    <w:qFormat/>
    <w:uiPriority w:val="0"/>
    <w:pPr>
      <w:spacing w:beforeAutospacing="1" w:afterAutospacing="1"/>
      <w:jc w:val="left"/>
    </w:pPr>
    <w:rPr>
      <w:rFonts w:cs="Times New Roman"/>
      <w:kern w:val="0"/>
      <w:sz w:val="24"/>
    </w:rPr>
  </w:style>
  <w:style w:type="paragraph" w:styleId="14">
    <w:name w:val="annotation subject"/>
    <w:basedOn w:val="8"/>
    <w:next w:val="8"/>
    <w:link w:val="50"/>
    <w:qFormat/>
    <w:uiPriority w:val="0"/>
    <w:rPr>
      <w:b/>
      <w:bCs/>
    </w:rPr>
  </w:style>
  <w:style w:type="paragraph" w:styleId="15">
    <w:name w:val="Body Text First Indent"/>
    <w:basedOn w:val="2"/>
    <w:unhideWhenUsed/>
    <w:qFormat/>
    <w:uiPriority w:val="99"/>
    <w:pPr>
      <w:ind w:firstLine="0" w:firstLineChars="0"/>
      <w:jc w:val="center"/>
    </w:pPr>
  </w:style>
  <w:style w:type="table" w:styleId="17">
    <w:name w:val="Table Grid"/>
    <w:basedOn w:val="1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character" w:styleId="20">
    <w:name w:val="endnote reference"/>
    <w:basedOn w:val="18"/>
    <w:qFormat/>
    <w:uiPriority w:val="0"/>
    <w:rPr>
      <w:rFonts w:ascii="Times New Roman" w:hAnsi="Times New Roman" w:eastAsia="宋体"/>
      <w:sz w:val="21"/>
      <w:szCs w:val="21"/>
      <w:vertAlign w:val="superscript"/>
    </w:rPr>
  </w:style>
  <w:style w:type="character" w:styleId="21">
    <w:name w:val="FollowedHyperlink"/>
    <w:basedOn w:val="18"/>
    <w:qFormat/>
    <w:uiPriority w:val="0"/>
    <w:rPr>
      <w:color w:val="800080"/>
      <w:u w:val="single"/>
    </w:rPr>
  </w:style>
  <w:style w:type="character" w:styleId="22">
    <w:name w:val="Hyperlink"/>
    <w:qFormat/>
    <w:uiPriority w:val="0"/>
    <w:rPr>
      <w:color w:val="0000FF"/>
      <w:u w:val="single"/>
    </w:rPr>
  </w:style>
  <w:style w:type="character" w:styleId="23">
    <w:name w:val="annotation reference"/>
    <w:basedOn w:val="18"/>
    <w:qFormat/>
    <w:uiPriority w:val="0"/>
    <w:rPr>
      <w:sz w:val="21"/>
      <w:szCs w:val="21"/>
    </w:rPr>
  </w:style>
  <w:style w:type="paragraph" w:customStyle="1" w:styleId="24">
    <w:name w:val="表格样式"/>
    <w:basedOn w:val="1"/>
    <w:qFormat/>
    <w:uiPriority w:val="0"/>
    <w:pPr>
      <w:ind w:firstLine="0" w:firstLineChars="0"/>
      <w:jc w:val="center"/>
    </w:pPr>
    <w:rPr>
      <w:sz w:val="18"/>
      <w:szCs w:val="21"/>
    </w:rPr>
  </w:style>
  <w:style w:type="paragraph" w:customStyle="1" w:styleId="25">
    <w:name w:val="图名"/>
    <w:basedOn w:val="1"/>
    <w:qFormat/>
    <w:uiPriority w:val="0"/>
    <w:pPr>
      <w:spacing w:after="120" w:line="240" w:lineRule="auto"/>
      <w:ind w:right="119" w:firstLine="0" w:firstLineChars="0"/>
      <w:jc w:val="center"/>
    </w:pPr>
    <w:rPr>
      <w:sz w:val="18"/>
    </w:rPr>
  </w:style>
  <w:style w:type="paragraph" w:customStyle="1" w:styleId="26">
    <w:name w:val="EndNote Bibliography Title"/>
    <w:qFormat/>
    <w:uiPriority w:val="0"/>
    <w:pPr>
      <w:spacing w:after="160" w:line="278" w:lineRule="auto"/>
      <w:jc w:val="center"/>
    </w:pPr>
    <w:rPr>
      <w:rFonts w:ascii="Arial" w:hAnsi="Arial" w:cs="Arial" w:eastAsiaTheme="minorEastAsia"/>
      <w:kern w:val="2"/>
      <w:sz w:val="28"/>
      <w:szCs w:val="24"/>
      <w:lang w:val="en-US" w:eastAsia="zh-CN" w:bidi="ar-SA"/>
    </w:rPr>
  </w:style>
  <w:style w:type="paragraph" w:customStyle="1" w:styleId="27">
    <w:name w:val="EndNote Bibliography"/>
    <w:qFormat/>
    <w:uiPriority w:val="0"/>
    <w:pPr>
      <w:spacing w:after="160" w:line="278" w:lineRule="auto"/>
      <w:jc w:val="center"/>
    </w:pPr>
    <w:rPr>
      <w:rFonts w:ascii="Arial" w:hAnsi="Arial" w:cs="Arial" w:eastAsiaTheme="minorEastAsia"/>
      <w:kern w:val="2"/>
      <w:sz w:val="28"/>
      <w:szCs w:val="24"/>
      <w:lang w:val="en-US" w:eastAsia="zh-CN" w:bidi="ar-SA"/>
    </w:rPr>
  </w:style>
  <w:style w:type="paragraph" w:customStyle="1" w:styleId="28">
    <w:name w:val="公式"/>
    <w:basedOn w:val="1"/>
    <w:next w:val="1"/>
    <w:link w:val="31"/>
    <w:qFormat/>
    <w:uiPriority w:val="0"/>
    <w:pPr>
      <w:tabs>
        <w:tab w:val="left" w:pos="3360"/>
        <w:tab w:val="left" w:pos="7560"/>
      </w:tabs>
      <w:ind w:firstLine="0" w:firstLineChars="0"/>
    </w:pPr>
  </w:style>
  <w:style w:type="paragraph" w:customStyle="1" w:styleId="29">
    <w:name w:val="表格"/>
    <w:basedOn w:val="1"/>
    <w:link w:val="44"/>
    <w:qFormat/>
    <w:uiPriority w:val="0"/>
    <w:pPr>
      <w:spacing w:line="240" w:lineRule="auto"/>
      <w:ind w:firstLine="0" w:firstLineChars="0"/>
      <w:jc w:val="center"/>
    </w:pPr>
    <w:rPr>
      <w:rFonts w:cs="Times New Roman"/>
    </w:rPr>
  </w:style>
  <w:style w:type="paragraph" w:customStyle="1" w:styleId="30">
    <w:name w:val="表名"/>
    <w:basedOn w:val="1"/>
    <w:qFormat/>
    <w:uiPriority w:val="0"/>
    <w:pPr>
      <w:keepNext/>
      <w:snapToGrid w:val="0"/>
      <w:spacing w:before="120" w:line="240" w:lineRule="auto"/>
      <w:ind w:firstLine="0" w:firstLineChars="0"/>
      <w:jc w:val="center"/>
    </w:pPr>
    <w:rPr>
      <w:sz w:val="18"/>
    </w:rPr>
  </w:style>
  <w:style w:type="character" w:customStyle="1" w:styleId="31">
    <w:name w:val="公式 Char"/>
    <w:link w:val="28"/>
    <w:qFormat/>
    <w:uiPriority w:val="0"/>
    <w:rPr>
      <w:rFonts w:ascii="Times New Roman" w:hAnsi="Times New Roman" w:eastAsiaTheme="minorEastAsia"/>
    </w:rPr>
  </w:style>
  <w:style w:type="character" w:customStyle="1" w:styleId="32">
    <w:name w:val="font41"/>
    <w:basedOn w:val="18"/>
    <w:qFormat/>
    <w:uiPriority w:val="0"/>
    <w:rPr>
      <w:rFonts w:hint="default" w:ascii="Times New Roman" w:hAnsi="Times New Roman" w:cs="Times New Roman"/>
      <w:color w:val="000000"/>
      <w:sz w:val="18"/>
      <w:szCs w:val="18"/>
      <w:u w:val="none"/>
    </w:rPr>
  </w:style>
  <w:style w:type="character" w:customStyle="1" w:styleId="33">
    <w:name w:val="font11"/>
    <w:basedOn w:val="18"/>
    <w:qFormat/>
    <w:uiPriority w:val="0"/>
    <w:rPr>
      <w:rFonts w:hint="eastAsia" w:ascii="宋体" w:hAnsi="宋体" w:eastAsia="宋体" w:cs="宋体"/>
      <w:color w:val="000000"/>
      <w:sz w:val="18"/>
      <w:szCs w:val="18"/>
      <w:u w:val="none"/>
    </w:rPr>
  </w:style>
  <w:style w:type="character" w:customStyle="1" w:styleId="34">
    <w:name w:val="font01"/>
    <w:basedOn w:val="18"/>
    <w:qFormat/>
    <w:uiPriority w:val="0"/>
    <w:rPr>
      <w:rFonts w:hint="default" w:ascii="Arial" w:hAnsi="Arial" w:cs="Arial"/>
      <w:color w:val="000000"/>
      <w:sz w:val="20"/>
      <w:szCs w:val="20"/>
      <w:u w:val="none"/>
    </w:rPr>
  </w:style>
  <w:style w:type="character" w:customStyle="1" w:styleId="35">
    <w:name w:val="font51"/>
    <w:basedOn w:val="18"/>
    <w:qFormat/>
    <w:uiPriority w:val="0"/>
    <w:rPr>
      <w:rFonts w:hint="eastAsia" w:ascii="宋体" w:hAnsi="宋体" w:eastAsia="宋体" w:cs="宋体"/>
      <w:color w:val="000000"/>
      <w:sz w:val="20"/>
      <w:szCs w:val="20"/>
      <w:u w:val="none"/>
    </w:rPr>
  </w:style>
  <w:style w:type="character" w:customStyle="1" w:styleId="36">
    <w:name w:val="font61"/>
    <w:basedOn w:val="18"/>
    <w:qFormat/>
    <w:uiPriority w:val="0"/>
    <w:rPr>
      <w:rFonts w:hint="default" w:ascii="Times New Roman" w:hAnsi="Times New Roman" w:cs="Times New Roman"/>
      <w:color w:val="000000"/>
      <w:sz w:val="18"/>
      <w:szCs w:val="18"/>
      <w:u w:val="none"/>
      <w:vertAlign w:val="superscript"/>
    </w:rPr>
  </w:style>
  <w:style w:type="character" w:customStyle="1" w:styleId="37">
    <w:name w:val="font21"/>
    <w:basedOn w:val="18"/>
    <w:qFormat/>
    <w:uiPriority w:val="0"/>
    <w:rPr>
      <w:rFonts w:hint="eastAsia" w:ascii="宋体" w:hAnsi="宋体" w:eastAsia="宋体" w:cs="宋体"/>
      <w:color w:val="000000"/>
      <w:sz w:val="21"/>
      <w:szCs w:val="21"/>
      <w:u w:val="none"/>
    </w:rPr>
  </w:style>
  <w:style w:type="character" w:customStyle="1" w:styleId="38">
    <w:name w:val="font71"/>
    <w:basedOn w:val="18"/>
    <w:qFormat/>
    <w:uiPriority w:val="0"/>
    <w:rPr>
      <w:rFonts w:hint="eastAsia" w:ascii="宋体" w:hAnsi="宋体" w:eastAsia="宋体" w:cs="宋体"/>
      <w:color w:val="000000"/>
      <w:sz w:val="21"/>
      <w:szCs w:val="21"/>
      <w:u w:val="none"/>
    </w:rPr>
  </w:style>
  <w:style w:type="character" w:customStyle="1" w:styleId="39">
    <w:name w:val="书籍标题1"/>
    <w:qFormat/>
    <w:uiPriority w:val="33"/>
  </w:style>
  <w:style w:type="table" w:customStyle="1" w:styleId="40">
    <w:name w:val="三线表"/>
    <w:basedOn w:val="16"/>
    <w:qFormat/>
    <w:uiPriority w:val="99"/>
    <w:pPr>
      <w:jc w:val="center"/>
    </w:pPr>
    <w:tblPr>
      <w:tblBorders>
        <w:top w:val="single" w:color="auto" w:sz="12" w:space="0"/>
        <w:bottom w:val="single" w:color="auto" w:sz="12" w:space="0"/>
      </w:tblBorders>
    </w:tblPr>
    <w:tcPr>
      <w:vAlign w:val="center"/>
    </w:tcPr>
    <w:tblStylePr w:type="firstRow">
      <w:tcPr>
        <w:tcBorders>
          <w:bottom w:val="single" w:color="auto" w:sz="8" w:space="0"/>
        </w:tcBorders>
      </w:tcPr>
    </w:tblStylePr>
  </w:style>
  <w:style w:type="paragraph" w:customStyle="1" w:styleId="41">
    <w:name w:val="四级标题"/>
    <w:basedOn w:val="6"/>
    <w:qFormat/>
    <w:uiPriority w:val="0"/>
    <w:pPr>
      <w:spacing w:before="0" w:after="0"/>
    </w:pPr>
    <w:rPr>
      <w:rFonts w:eastAsia="楷体"/>
      <w:sz w:val="21"/>
    </w:rPr>
  </w:style>
  <w:style w:type="character" w:customStyle="1" w:styleId="42">
    <w:name w:val="font31"/>
    <w:basedOn w:val="18"/>
    <w:qFormat/>
    <w:uiPriority w:val="0"/>
    <w:rPr>
      <w:rFonts w:hint="eastAsia" w:ascii="宋体" w:hAnsi="宋体" w:eastAsia="宋体" w:cs="宋体"/>
      <w:color w:val="000000"/>
      <w:sz w:val="18"/>
      <w:szCs w:val="18"/>
      <w:u w:val="none"/>
    </w:rPr>
  </w:style>
  <w:style w:type="paragraph" w:customStyle="1" w:styleId="43">
    <w:name w:val="其他"/>
    <w:basedOn w:val="1"/>
    <w:qFormat/>
    <w:uiPriority w:val="0"/>
    <w:pPr>
      <w:ind w:firstLine="0" w:firstLineChars="0"/>
    </w:pPr>
  </w:style>
  <w:style w:type="character" w:customStyle="1" w:styleId="44">
    <w:name w:val="表格 Char"/>
    <w:link w:val="29"/>
    <w:qFormat/>
    <w:uiPriority w:val="0"/>
    <w:rPr>
      <w:rFonts w:cs="Times New Roman"/>
    </w:rPr>
  </w:style>
  <w:style w:type="character" w:customStyle="1" w:styleId="45">
    <w:name w:val="标题 1 字符"/>
    <w:link w:val="3"/>
    <w:qFormat/>
    <w:uiPriority w:val="0"/>
    <w:rPr>
      <w:rFonts w:eastAsia="黑体"/>
      <w:b/>
      <w:kern w:val="44"/>
      <w:sz w:val="30"/>
    </w:rPr>
  </w:style>
  <w:style w:type="character" w:customStyle="1" w:styleId="46">
    <w:name w:val="脚注文本 字符"/>
    <w:basedOn w:val="18"/>
    <w:link w:val="12"/>
    <w:qFormat/>
    <w:uiPriority w:val="0"/>
    <w:rPr>
      <w:rFonts w:ascii="Calibri" w:hAnsi="Calibri" w:cs="黑体"/>
      <w:kern w:val="2"/>
      <w:sz w:val="18"/>
    </w:rPr>
  </w:style>
  <w:style w:type="paragraph" w:customStyle="1" w:styleId="47">
    <w:name w:val="Revision"/>
    <w:hidden/>
    <w:unhideWhenUsed/>
    <w:qFormat/>
    <w:uiPriority w:val="99"/>
    <w:pPr>
      <w:spacing w:after="0" w:line="240" w:lineRule="auto"/>
    </w:pPr>
    <w:rPr>
      <w:rFonts w:ascii="Times New Roman" w:hAnsi="Times New Roman" w:eastAsiaTheme="minorEastAsia" w:cstheme="minorBidi"/>
      <w:kern w:val="2"/>
      <w:sz w:val="21"/>
      <w:szCs w:val="24"/>
      <w:lang w:val="en-US" w:eastAsia="zh-CN" w:bidi="ar-SA"/>
    </w:rPr>
  </w:style>
  <w:style w:type="paragraph" w:styleId="48">
    <w:name w:val="List Paragraph"/>
    <w:basedOn w:val="1"/>
    <w:unhideWhenUsed/>
    <w:qFormat/>
    <w:uiPriority w:val="99"/>
    <w:pPr>
      <w:ind w:firstLine="420"/>
    </w:pPr>
  </w:style>
  <w:style w:type="character" w:customStyle="1" w:styleId="49">
    <w:name w:val="批注文字 字符"/>
    <w:basedOn w:val="18"/>
    <w:link w:val="8"/>
    <w:qFormat/>
    <w:uiPriority w:val="0"/>
    <w:rPr>
      <w:rFonts w:eastAsiaTheme="minorEastAsia" w:cstheme="minorBidi"/>
      <w:kern w:val="2"/>
      <w:sz w:val="21"/>
      <w:szCs w:val="24"/>
    </w:rPr>
  </w:style>
  <w:style w:type="character" w:customStyle="1" w:styleId="50">
    <w:name w:val="批注主题 字符"/>
    <w:basedOn w:val="49"/>
    <w:link w:val="14"/>
    <w:qFormat/>
    <w:uiPriority w:val="0"/>
    <w:rPr>
      <w:rFonts w:eastAsiaTheme="minorEastAsia" w:cstheme="minorBidi"/>
      <w:b/>
      <w:bCs/>
      <w:kern w:val="2"/>
      <w:sz w:val="21"/>
      <w:szCs w:val="24"/>
    </w:rPr>
  </w:style>
  <w:style w:type="character" w:customStyle="1" w:styleId="51">
    <w:name w:val="Unresolved Mention"/>
    <w:basedOn w:val="18"/>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4685</Words>
  <Characters>26708</Characters>
  <Lines>222</Lines>
  <Paragraphs>62</Paragraphs>
  <TotalTime>2</TotalTime>
  <ScaleCrop>false</ScaleCrop>
  <LinksUpToDate>false</LinksUpToDate>
  <CharactersWithSpaces>31331</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2025-06-26T16:31:00Z</dcterms:created>
  <dc:creator>拂忧</dc:creator>
  <cp:lastModifiedBy>admin</cp:lastModifiedBy>
  <dcterms:modified xsi:type="dcterms:W3CDTF">2026-01-07T14:40:43Z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06ED03E5B8B74DA1895A06889A93F76E_13</vt:lpwstr>
  </property>
  <property fmtid="{D5CDD505-2E9C-101B-9397-08002B2CF9AE}" pid="4" name="KSOTemplateDocerSaveRecord">
    <vt:lpwstr>eyJoZGlkIjoiNTcwNGNjMDhhYTYxN2I1YWIyYmU4ZTc2M2Q2YTkzMjYiLCJ1c2VySWQiOiIzOTY2MTIyOTkifQ==</vt:lpwstr>
  </property>
</Properties>
</file>