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D37077">
      <w:pPr>
        <w:pStyle w:val="13"/>
        <w:shd w:val="clear" w:color="auto" w:fill="FFFFFF"/>
        <w:rPr>
          <w:color w:val="auto"/>
          <w:sz w:val="52"/>
          <w:szCs w:val="36"/>
          <w:highlight w:val="none"/>
        </w:rPr>
      </w:pPr>
      <w:r>
        <w:rPr>
          <w:rFonts w:hint="eastAsia"/>
          <w:color w:val="auto"/>
          <w:highlight w:val="none"/>
          <w:lang w:val="en-US" w:eastAsia="zh-CN"/>
        </w:rPr>
        <w:t>高</w:t>
      </w:r>
      <w:bookmarkStart w:id="7" w:name="_GoBack"/>
      <w:bookmarkEnd w:id="7"/>
      <w:r>
        <w:rPr>
          <w:rFonts w:hint="eastAsia"/>
          <w:color w:val="auto"/>
          <w:highlight w:val="none"/>
        </w:rPr>
        <w:t>寒流域融雪径流模拟改进及关键</w:t>
      </w:r>
      <w:r>
        <w:rPr>
          <w:color w:val="auto"/>
          <w:highlight w:val="none"/>
        </w:rPr>
        <w:t>驱动因子分析</w:t>
      </w:r>
    </w:p>
    <w:p w14:paraId="618E48E4">
      <w:pPr>
        <w:pStyle w:val="27"/>
        <w:spacing w:before="0" w:beforeLines="0" w:after="0" w:afterLines="0"/>
        <w:ind w:firstLine="0" w:firstLineChars="0"/>
        <w:rPr>
          <w:rFonts w:ascii="Times New Roman" w:eastAsia="楷体"/>
          <w:color w:val="auto"/>
          <w:highlight w:val="none"/>
        </w:rPr>
      </w:pPr>
      <w:r>
        <w:rPr>
          <w:rFonts w:hint="eastAsia" w:ascii="Times New Roman" w:eastAsia="楷体"/>
          <w:color w:val="auto"/>
          <w:highlight w:val="none"/>
        </w:rPr>
        <w:t>冷亚君</w:t>
      </w:r>
      <w:r>
        <w:rPr>
          <w:rFonts w:hint="eastAsia" w:ascii="Times New Roman" w:eastAsia="楷体"/>
          <w:color w:val="auto"/>
          <w:highlight w:val="none"/>
          <w:vertAlign w:val="superscript"/>
        </w:rPr>
        <w:t>1</w:t>
      </w:r>
      <w:r>
        <w:rPr>
          <w:rFonts w:hint="eastAsia" w:ascii="Times New Roman" w:eastAsia="楷体"/>
          <w:color w:val="auto"/>
          <w:highlight w:val="none"/>
        </w:rPr>
        <w:t>，唐博文</w:t>
      </w:r>
      <w:r>
        <w:rPr>
          <w:rFonts w:hint="eastAsia" w:ascii="Times New Roman" w:eastAsia="楷体"/>
          <w:color w:val="auto"/>
          <w:highlight w:val="none"/>
          <w:vertAlign w:val="superscript"/>
        </w:rPr>
        <w:t>1</w:t>
      </w:r>
      <w:r>
        <w:rPr>
          <w:rFonts w:hint="eastAsia" w:ascii="Times New Roman" w:eastAsia="楷体"/>
          <w:color w:val="auto"/>
          <w:highlight w:val="none"/>
        </w:rPr>
        <w:t>，刘昊臣</w:t>
      </w:r>
      <w:r>
        <w:rPr>
          <w:rFonts w:hint="eastAsia" w:ascii="Times New Roman" w:eastAsia="楷体"/>
          <w:color w:val="auto"/>
          <w:highlight w:val="none"/>
          <w:vertAlign w:val="superscript"/>
        </w:rPr>
        <w:t>1</w:t>
      </w:r>
      <w:r>
        <w:rPr>
          <w:rFonts w:hint="eastAsia" w:ascii="Times New Roman" w:eastAsia="楷体"/>
          <w:color w:val="auto"/>
          <w:highlight w:val="none"/>
        </w:rPr>
        <w:t>，胡安娜</w:t>
      </w:r>
      <w:r>
        <w:rPr>
          <w:rFonts w:hint="eastAsia" w:ascii="Times New Roman" w:eastAsia="楷体"/>
          <w:color w:val="auto"/>
          <w:highlight w:val="none"/>
          <w:vertAlign w:val="superscript"/>
        </w:rPr>
        <w:t>1</w:t>
      </w:r>
      <w:r>
        <w:rPr>
          <w:rFonts w:hint="eastAsia" w:ascii="Times New Roman" w:eastAsia="楷体"/>
          <w:color w:val="auto"/>
          <w:highlight w:val="none"/>
        </w:rPr>
        <w:t>，李红霞</w:t>
      </w:r>
      <w:r>
        <w:rPr>
          <w:rFonts w:hint="eastAsia" w:ascii="Times New Roman" w:eastAsia="楷体"/>
          <w:color w:val="auto"/>
          <w:highlight w:val="none"/>
          <w:vertAlign w:val="superscript"/>
        </w:rPr>
        <w:t>1, 2</w:t>
      </w:r>
      <w:r>
        <w:rPr>
          <w:rStyle w:val="21"/>
          <w:rFonts w:hint="eastAsia" w:ascii="Times New Roman" w:eastAsia="楷体"/>
          <w:color w:val="auto"/>
          <w:highlight w:val="none"/>
        </w:rPr>
        <w:footnoteReference w:id="0" w:customMarkFollows="1"/>
        <w:t xml:space="preserve"> </w:t>
      </w:r>
    </w:p>
    <w:p w14:paraId="2A8F2D7E">
      <w:pPr>
        <w:pStyle w:val="28"/>
        <w:spacing w:before="0" w:beforeLines="0" w:after="0" w:afterLines="0"/>
        <w:ind w:firstLine="0" w:firstLineChars="0"/>
        <w:rPr>
          <w:rFonts w:ascii="Times New Roman" w:hAnsi="Times New Roman" w:eastAsia="仿宋"/>
          <w:color w:val="auto"/>
          <w:sz w:val="21"/>
          <w:szCs w:val="21"/>
          <w:highlight w:val="none"/>
        </w:rPr>
      </w:pPr>
      <w:r>
        <w:rPr>
          <w:rFonts w:ascii="Times New Roman" w:hAnsi="Times New Roman" w:eastAsia="仿宋"/>
          <w:color w:val="auto"/>
          <w:sz w:val="21"/>
          <w:szCs w:val="21"/>
          <w:highlight w:val="none"/>
        </w:rPr>
        <w:t xml:space="preserve">（1.四川大学 水利水电学院，四川 成都 </w:t>
      </w:r>
      <w:r>
        <w:rPr>
          <w:rFonts w:hint="eastAsia" w:ascii="Times New Roman" w:hAnsi="Times New Roman" w:eastAsia="仿宋"/>
          <w:color w:val="auto"/>
          <w:sz w:val="21"/>
          <w:szCs w:val="21"/>
          <w:highlight w:val="none"/>
        </w:rPr>
        <w:t xml:space="preserve"> </w:t>
      </w:r>
      <w:r>
        <w:rPr>
          <w:rFonts w:ascii="Times New Roman" w:hAnsi="Times New Roman" w:eastAsia="仿宋"/>
          <w:color w:val="auto"/>
          <w:sz w:val="21"/>
          <w:szCs w:val="21"/>
          <w:highlight w:val="none"/>
        </w:rPr>
        <w:t xml:space="preserve">610065；2.四川大学 山区河流保护与治理全国重点实验室，四川 成都 </w:t>
      </w:r>
      <w:r>
        <w:rPr>
          <w:rFonts w:hint="eastAsia" w:ascii="Times New Roman" w:hAnsi="Times New Roman" w:eastAsia="仿宋"/>
          <w:color w:val="auto"/>
          <w:sz w:val="21"/>
          <w:szCs w:val="21"/>
          <w:highlight w:val="none"/>
        </w:rPr>
        <w:t xml:space="preserve"> </w:t>
      </w:r>
      <w:r>
        <w:rPr>
          <w:rFonts w:ascii="Times New Roman" w:hAnsi="Times New Roman" w:eastAsia="仿宋"/>
          <w:color w:val="auto"/>
          <w:sz w:val="21"/>
          <w:szCs w:val="21"/>
          <w:highlight w:val="none"/>
        </w:rPr>
        <w:t>610065）</w:t>
      </w:r>
    </w:p>
    <w:p w14:paraId="51D10C5F">
      <w:pPr>
        <w:pStyle w:val="5"/>
        <w:widowControl/>
        <w:shd w:val="clear" w:color="auto" w:fill="FFFFFF"/>
        <w:spacing w:before="160" w:beforeAutospacing="0" w:after="160" w:afterAutospacing="0" w:line="280" w:lineRule="atLeast"/>
        <w:ind w:firstLine="210" w:firstLineChars="100"/>
        <w:rPr>
          <w:rFonts w:hint="default" w:ascii="Times New Roman" w:hAnsi="Times New Roman" w:eastAsia="楷体"/>
          <w:b w:val="0"/>
          <w:bCs w:val="0"/>
          <w:color w:val="auto"/>
          <w:kern w:val="2"/>
          <w:sz w:val="21"/>
          <w:szCs w:val="21"/>
          <w:highlight w:val="none"/>
        </w:rPr>
      </w:pPr>
    </w:p>
    <w:p w14:paraId="5BD46AEE">
      <w:pPr>
        <w:ind w:firstLine="0" w:firstLineChars="0"/>
        <w:rPr>
          <w:rFonts w:eastAsia="楷体"/>
          <w:color w:val="auto"/>
          <w:szCs w:val="21"/>
          <w:highlight w:val="none"/>
        </w:rPr>
      </w:pPr>
      <w:r>
        <w:rPr>
          <w:rStyle w:val="17"/>
          <w:rFonts w:hint="eastAsia" w:eastAsia="黑体"/>
          <w:bCs/>
          <w:color w:val="auto"/>
          <w:szCs w:val="22"/>
          <w:highlight w:val="none"/>
        </w:rPr>
        <w:t>摘要：</w:t>
      </w:r>
      <w:r>
        <w:rPr>
          <w:rFonts w:eastAsia="楷体"/>
          <w:color w:val="auto"/>
          <w:szCs w:val="21"/>
          <w:highlight w:val="none"/>
        </w:rPr>
        <w:t>【目的】针对分布式水文模型SPHY在寒区融雪径流模拟中物理机制不足（忽略太阳辐射驱动、采用静态度日因子）的问题，优化增强其融雪模块，提升寒区融雪径流模拟精度。【方法】本文</w:t>
      </w:r>
      <w:r>
        <w:rPr>
          <w:rFonts w:hint="eastAsia" w:eastAsia="楷体"/>
          <w:color w:val="auto"/>
          <w:szCs w:val="21"/>
          <w:highlight w:val="none"/>
        </w:rPr>
        <w:t>主要</w:t>
      </w:r>
      <w:r>
        <w:rPr>
          <w:rFonts w:eastAsia="楷体"/>
          <w:color w:val="auto"/>
          <w:szCs w:val="21"/>
          <w:highlight w:val="none"/>
        </w:rPr>
        <w:t>进行</w:t>
      </w:r>
      <w:r>
        <w:rPr>
          <w:rFonts w:hint="eastAsia" w:eastAsia="楷体"/>
          <w:color w:val="auto"/>
          <w:szCs w:val="21"/>
          <w:highlight w:val="none"/>
        </w:rPr>
        <w:t>三个方面改进</w:t>
      </w:r>
      <w:r>
        <w:rPr>
          <w:rFonts w:eastAsia="楷体"/>
          <w:color w:val="auto"/>
          <w:szCs w:val="21"/>
          <w:highlight w:val="none"/>
        </w:rPr>
        <w:t>：（1）构建辐射耦合的融雪潜在能量项；（2）提出基于雪深</w:t>
      </w:r>
      <w:r>
        <w:rPr>
          <w:rFonts w:hAnsi="Times New Roman" w:eastAsia="楷体"/>
          <w:color w:val="auto"/>
          <w:szCs w:val="21"/>
          <w:highlight w:val="none"/>
        </w:rPr>
        <w:t>—</w:t>
      </w:r>
      <w:r>
        <w:rPr>
          <w:rFonts w:hint="eastAsia" w:eastAsia="楷体"/>
          <w:color w:val="auto"/>
          <w:szCs w:val="21"/>
          <w:highlight w:val="none"/>
        </w:rPr>
        <w:t>太阳辐射</w:t>
      </w:r>
      <w:r>
        <w:rPr>
          <w:rFonts w:eastAsia="楷体"/>
          <w:color w:val="auto"/>
          <w:szCs w:val="21"/>
          <w:highlight w:val="none"/>
        </w:rPr>
        <w:t>关系的季节性动态度日因子；（3）</w:t>
      </w:r>
      <w:r>
        <w:rPr>
          <w:rFonts w:hint="eastAsia" w:eastAsia="楷体"/>
          <w:color w:val="auto"/>
          <w:szCs w:val="21"/>
          <w:highlight w:val="none"/>
        </w:rPr>
        <w:t>基于随机森林等</w:t>
      </w:r>
      <w:r>
        <w:rPr>
          <w:rFonts w:eastAsia="楷体"/>
          <w:color w:val="auto"/>
          <w:szCs w:val="21"/>
          <w:highlight w:val="none"/>
        </w:rPr>
        <w:t>量化</w:t>
      </w:r>
      <w:r>
        <w:rPr>
          <w:rFonts w:hint="eastAsia" w:eastAsia="楷体"/>
          <w:color w:val="auto"/>
          <w:szCs w:val="21"/>
          <w:highlight w:val="none"/>
        </w:rPr>
        <w:t>不同因子</w:t>
      </w:r>
      <w:r>
        <w:rPr>
          <w:rFonts w:eastAsia="楷体"/>
          <w:color w:val="auto"/>
          <w:szCs w:val="21"/>
          <w:highlight w:val="none"/>
        </w:rPr>
        <w:t>在融雪</w:t>
      </w:r>
      <w:r>
        <w:rPr>
          <w:rFonts w:hint="eastAsia" w:eastAsia="楷体"/>
          <w:color w:val="auto"/>
          <w:szCs w:val="21"/>
          <w:highlight w:val="none"/>
        </w:rPr>
        <w:t>过程</w:t>
      </w:r>
      <w:r>
        <w:rPr>
          <w:rFonts w:eastAsia="楷体"/>
          <w:color w:val="auto"/>
          <w:szCs w:val="21"/>
          <w:highlight w:val="none"/>
        </w:rPr>
        <w:t>中的重要性。以青藏高原东南部尼洋河流域为研究区，基于2010</w:t>
      </w:r>
      <w:r>
        <w:rPr>
          <w:rFonts w:hint="eastAsia" w:hAnsi="Times New Roman"/>
          <w:color w:val="auto"/>
          <w:highlight w:val="none"/>
        </w:rPr>
        <w:t>—</w:t>
      </w:r>
      <w:r>
        <w:rPr>
          <w:rFonts w:eastAsia="楷体"/>
          <w:color w:val="auto"/>
          <w:szCs w:val="21"/>
          <w:highlight w:val="none"/>
        </w:rPr>
        <w:t>2015年气象、水文及遥感数据，验证</w:t>
      </w:r>
      <w:r>
        <w:rPr>
          <w:rFonts w:hint="eastAsia" w:eastAsia="楷体"/>
          <w:color w:val="auto"/>
          <w:szCs w:val="21"/>
          <w:highlight w:val="none"/>
        </w:rPr>
        <w:t>改进后模型的模拟</w:t>
      </w:r>
      <w:r>
        <w:rPr>
          <w:rFonts w:eastAsia="楷体"/>
          <w:color w:val="auto"/>
          <w:szCs w:val="21"/>
          <w:highlight w:val="none"/>
        </w:rPr>
        <w:t>性能，并通过趋势分析、相关性分析及随机森林模型，量化</w:t>
      </w:r>
      <w:r>
        <w:rPr>
          <w:rFonts w:hint="eastAsia" w:eastAsia="楷体"/>
          <w:color w:val="auto"/>
          <w:szCs w:val="21"/>
          <w:highlight w:val="none"/>
        </w:rPr>
        <w:t>不同气象因子</w:t>
      </w:r>
      <w:r>
        <w:rPr>
          <w:rFonts w:eastAsia="楷体"/>
          <w:color w:val="auto"/>
          <w:szCs w:val="21"/>
          <w:highlight w:val="none"/>
        </w:rPr>
        <w:t>对融雪径流的贡献率。【结果】</w:t>
      </w:r>
      <w:r>
        <w:rPr>
          <w:rFonts w:hint="eastAsia" w:eastAsia="楷体"/>
          <w:color w:val="auto"/>
          <w:szCs w:val="21"/>
          <w:highlight w:val="none"/>
        </w:rPr>
        <w:t>模型模拟结果：</w:t>
      </w:r>
      <w:r>
        <w:rPr>
          <w:rFonts w:eastAsia="楷体"/>
          <w:color w:val="auto"/>
          <w:szCs w:val="21"/>
          <w:highlight w:val="none"/>
        </w:rPr>
        <w:t>率定期与验证期内，</w:t>
      </w:r>
      <w:r>
        <w:rPr>
          <w:rFonts w:hint="eastAsia" w:eastAsia="楷体"/>
          <w:color w:val="auto"/>
          <w:szCs w:val="21"/>
          <w:highlight w:val="none"/>
        </w:rPr>
        <w:t>改进后的模型</w:t>
      </w:r>
      <w:r>
        <w:rPr>
          <w:rFonts w:eastAsia="楷体"/>
          <w:color w:val="auto"/>
          <w:szCs w:val="21"/>
          <w:highlight w:val="none"/>
        </w:rPr>
        <w:t>融雪期</w:t>
      </w:r>
      <w:r>
        <w:rPr>
          <w:rFonts w:hint="eastAsia" w:eastAsia="楷体"/>
          <w:color w:val="auto"/>
          <w:szCs w:val="21"/>
          <w:highlight w:val="none"/>
        </w:rPr>
        <w:t>平均</w:t>
      </w:r>
      <w:r>
        <w:rPr>
          <w:rFonts w:eastAsia="楷体"/>
          <w:color w:val="auto"/>
          <w:szCs w:val="21"/>
          <w:highlight w:val="none"/>
        </w:rPr>
        <w:t>纳什效率系数</w:t>
      </w:r>
      <w:r>
        <w:rPr>
          <w:rFonts w:hint="eastAsia" w:eastAsia="楷体"/>
          <w:color w:val="auto"/>
          <w:szCs w:val="21"/>
          <w:highlight w:val="none"/>
        </w:rPr>
        <w:t>（</w:t>
      </w:r>
      <w:r>
        <w:rPr>
          <w:rFonts w:hint="eastAsia" w:eastAsia="楷体"/>
          <w:i/>
          <w:color w:val="auto"/>
          <w:szCs w:val="21"/>
          <w:highlight w:val="none"/>
        </w:rPr>
        <w:t>NSE</w:t>
      </w:r>
      <w:r>
        <w:rPr>
          <w:rFonts w:hint="eastAsia" w:eastAsia="楷体"/>
          <w:color w:val="auto"/>
          <w:szCs w:val="21"/>
          <w:highlight w:val="none"/>
        </w:rPr>
        <w:t>）</w:t>
      </w:r>
      <w:r>
        <w:rPr>
          <w:rFonts w:eastAsia="楷体"/>
          <w:color w:val="auto"/>
          <w:szCs w:val="21"/>
          <w:highlight w:val="none"/>
        </w:rPr>
        <w:t>提升</w:t>
      </w:r>
      <w:r>
        <w:rPr>
          <w:rFonts w:hint="eastAsia" w:eastAsia="楷体"/>
          <w:color w:val="auto"/>
          <w:szCs w:val="21"/>
          <w:highlight w:val="none"/>
        </w:rPr>
        <w:t>8</w:t>
      </w:r>
      <w:r>
        <w:rPr>
          <w:rFonts w:eastAsia="楷体"/>
          <w:color w:val="auto"/>
          <w:szCs w:val="21"/>
          <w:highlight w:val="none"/>
        </w:rPr>
        <w:t>%，均方根误差</w:t>
      </w:r>
      <w:r>
        <w:rPr>
          <w:rFonts w:hint="eastAsia" w:eastAsia="楷体"/>
          <w:color w:val="auto"/>
          <w:szCs w:val="21"/>
          <w:highlight w:val="none"/>
        </w:rPr>
        <w:t>（</w:t>
      </w:r>
      <w:r>
        <w:rPr>
          <w:rFonts w:hint="eastAsia" w:eastAsia="楷体"/>
          <w:i/>
          <w:color w:val="auto"/>
          <w:szCs w:val="21"/>
          <w:highlight w:val="none"/>
        </w:rPr>
        <w:t>RMSE</w:t>
      </w:r>
      <w:r>
        <w:rPr>
          <w:rFonts w:hint="eastAsia" w:eastAsia="楷体"/>
          <w:color w:val="auto"/>
          <w:szCs w:val="21"/>
          <w:highlight w:val="none"/>
        </w:rPr>
        <w:t>）</w:t>
      </w:r>
      <w:r>
        <w:rPr>
          <w:rFonts w:eastAsia="楷体"/>
          <w:color w:val="auto"/>
          <w:szCs w:val="21"/>
          <w:highlight w:val="none"/>
        </w:rPr>
        <w:t>降低17%，整体百分比偏差（</w:t>
      </w:r>
      <w:r>
        <w:rPr>
          <w:rFonts w:eastAsia="楷体"/>
          <w:i/>
          <w:iCs/>
          <w:color w:val="auto"/>
          <w:szCs w:val="21"/>
          <w:highlight w:val="none"/>
        </w:rPr>
        <w:t>PBIAS</w:t>
      </w:r>
      <w:r>
        <w:rPr>
          <w:rFonts w:eastAsia="楷体"/>
          <w:color w:val="auto"/>
          <w:szCs w:val="21"/>
          <w:highlight w:val="none"/>
        </w:rPr>
        <w:t>）由-14.77%优化至-0.05%。驱动因子分析显示，气温是融雪径流的主导因子（贡献率 41.79%），风速贡献率达 25.58%；能量因子</w:t>
      </w:r>
      <w:r>
        <w:rPr>
          <w:rFonts w:hint="eastAsia" w:eastAsia="楷体"/>
          <w:color w:val="auto"/>
          <w:szCs w:val="21"/>
          <w:highlight w:val="none"/>
        </w:rPr>
        <w:t>（</w:t>
      </w:r>
      <w:r>
        <w:rPr>
          <w:rFonts w:eastAsia="楷体"/>
          <w:color w:val="auto"/>
          <w:szCs w:val="21"/>
          <w:highlight w:val="none"/>
        </w:rPr>
        <w:t>气温</w:t>
      </w:r>
      <w:r>
        <w:rPr>
          <w:rFonts w:hint="eastAsia" w:eastAsia="楷体"/>
          <w:color w:val="auto"/>
          <w:szCs w:val="21"/>
          <w:highlight w:val="none"/>
        </w:rPr>
        <w:t>+</w:t>
      </w:r>
      <w:r>
        <w:rPr>
          <w:rFonts w:eastAsia="楷体"/>
          <w:color w:val="auto"/>
          <w:szCs w:val="21"/>
          <w:highlight w:val="none"/>
        </w:rPr>
        <w:t>辐射</w:t>
      </w:r>
      <w:r>
        <w:rPr>
          <w:rFonts w:hint="eastAsia" w:eastAsia="楷体"/>
          <w:color w:val="auto"/>
          <w:szCs w:val="21"/>
          <w:highlight w:val="none"/>
        </w:rPr>
        <w:t>）</w:t>
      </w:r>
      <w:r>
        <w:rPr>
          <w:rFonts w:eastAsia="楷体"/>
          <w:color w:val="auto"/>
          <w:szCs w:val="21"/>
          <w:highlight w:val="none"/>
        </w:rPr>
        <w:t>总贡献率达61.08%。【结论】耦合太阳辐射与季节性动态度日因子的改进方案，有效增强了SPHY模型在寒区的</w:t>
      </w:r>
      <w:r>
        <w:rPr>
          <w:rFonts w:hint="eastAsia" w:eastAsia="楷体"/>
          <w:color w:val="auto"/>
          <w:szCs w:val="21"/>
          <w:highlight w:val="none"/>
        </w:rPr>
        <w:t>径流</w:t>
      </w:r>
      <w:r>
        <w:rPr>
          <w:rFonts w:eastAsia="楷体"/>
          <w:color w:val="auto"/>
          <w:szCs w:val="21"/>
          <w:highlight w:val="none"/>
        </w:rPr>
        <w:t>模拟能力。</w:t>
      </w:r>
      <w:r>
        <w:rPr>
          <w:rFonts w:hint="eastAsia" w:eastAsia="楷体"/>
          <w:color w:val="auto"/>
          <w:szCs w:val="21"/>
          <w:highlight w:val="none"/>
        </w:rPr>
        <w:t>本文</w:t>
      </w:r>
      <w:r>
        <w:rPr>
          <w:rFonts w:eastAsia="楷体"/>
          <w:color w:val="auto"/>
          <w:szCs w:val="21"/>
          <w:highlight w:val="none"/>
        </w:rPr>
        <w:t>研究结果可为</w:t>
      </w:r>
      <w:r>
        <w:rPr>
          <w:rFonts w:hint="eastAsia" w:eastAsia="楷体"/>
          <w:color w:val="auto"/>
          <w:szCs w:val="21"/>
          <w:highlight w:val="none"/>
        </w:rPr>
        <w:t>其他高寒流域径流模拟提供一定的参考，为</w:t>
      </w:r>
      <w:r>
        <w:rPr>
          <w:rFonts w:eastAsia="楷体"/>
          <w:color w:val="auto"/>
          <w:szCs w:val="21"/>
          <w:highlight w:val="none"/>
        </w:rPr>
        <w:t>气候变化下</w:t>
      </w:r>
      <w:r>
        <w:rPr>
          <w:rFonts w:hint="eastAsia" w:eastAsia="楷体"/>
          <w:color w:val="auto"/>
          <w:szCs w:val="21"/>
          <w:highlight w:val="none"/>
        </w:rPr>
        <w:t>高寒流域径流预报及水资源管理等</w:t>
      </w:r>
      <w:r>
        <w:rPr>
          <w:rFonts w:eastAsia="楷体"/>
          <w:color w:val="auto"/>
          <w:szCs w:val="21"/>
          <w:highlight w:val="none"/>
        </w:rPr>
        <w:t>提供</w:t>
      </w:r>
      <w:r>
        <w:rPr>
          <w:rFonts w:hint="eastAsia" w:eastAsia="楷体"/>
          <w:color w:val="auto"/>
          <w:szCs w:val="21"/>
          <w:highlight w:val="none"/>
        </w:rPr>
        <w:t>一定的科学支撑</w:t>
      </w:r>
      <w:r>
        <w:rPr>
          <w:rFonts w:eastAsia="楷体"/>
          <w:color w:val="auto"/>
          <w:szCs w:val="21"/>
          <w:highlight w:val="none"/>
        </w:rPr>
        <w:t>。</w:t>
      </w:r>
    </w:p>
    <w:p w14:paraId="7F17252B">
      <w:pPr>
        <w:ind w:firstLine="0" w:firstLineChars="0"/>
        <w:rPr>
          <w:rFonts w:eastAsia="楷体"/>
          <w:color w:val="auto"/>
          <w:highlight w:val="none"/>
        </w:rPr>
      </w:pPr>
      <w:r>
        <w:rPr>
          <w:rStyle w:val="17"/>
          <w:rFonts w:hint="eastAsia" w:eastAsia="黑体"/>
          <w:bCs/>
          <w:color w:val="auto"/>
          <w:szCs w:val="22"/>
          <w:highlight w:val="none"/>
        </w:rPr>
        <w:t>关键词：</w:t>
      </w:r>
      <w:r>
        <w:rPr>
          <w:rFonts w:hint="eastAsia" w:eastAsia="楷体"/>
          <w:color w:val="auto"/>
          <w:szCs w:val="21"/>
          <w:highlight w:val="none"/>
        </w:rPr>
        <w:t>SPHY模型；融雪径流；动态度日因子；辐射耦合；尼洋河流域；影响因素</w:t>
      </w:r>
    </w:p>
    <w:p w14:paraId="35F9D45D">
      <w:pPr>
        <w:pStyle w:val="8"/>
        <w:spacing w:after="0"/>
        <w:ind w:firstLine="0" w:firstLineChars="0"/>
        <w:rPr>
          <w:color w:val="auto"/>
          <w:sz w:val="18"/>
          <w:szCs w:val="18"/>
          <w:highlight w:val="none"/>
        </w:rPr>
      </w:pPr>
      <w:r>
        <w:rPr>
          <w:rFonts w:eastAsia="黑体"/>
          <w:b/>
          <w:bCs/>
          <w:color w:val="auto"/>
          <w:sz w:val="18"/>
          <w:szCs w:val="18"/>
          <w:highlight w:val="none"/>
        </w:rPr>
        <w:t>中图分类号</w:t>
      </w:r>
      <w:r>
        <w:rPr>
          <w:color w:val="auto"/>
          <w:sz w:val="18"/>
          <w:szCs w:val="18"/>
          <w:highlight w:val="none"/>
        </w:rPr>
        <w:t>：TV</w:t>
      </w:r>
      <w:r>
        <w:rPr>
          <w:rFonts w:hint="eastAsia"/>
          <w:color w:val="auto"/>
          <w:sz w:val="18"/>
          <w:szCs w:val="18"/>
          <w:highlight w:val="none"/>
        </w:rPr>
        <w:t>121</w:t>
      </w:r>
      <w:r>
        <w:rPr>
          <w:color w:val="auto"/>
          <w:sz w:val="18"/>
          <w:szCs w:val="18"/>
          <w:highlight w:val="none"/>
        </w:rPr>
        <w:t xml:space="preserve">            </w:t>
      </w:r>
      <w:r>
        <w:rPr>
          <w:rFonts w:eastAsia="黑体"/>
          <w:b/>
          <w:color w:val="auto"/>
          <w:sz w:val="18"/>
          <w:szCs w:val="18"/>
          <w:highlight w:val="none"/>
        </w:rPr>
        <w:t>文献标志码</w:t>
      </w:r>
      <w:r>
        <w:rPr>
          <w:b/>
          <w:color w:val="auto"/>
          <w:sz w:val="18"/>
          <w:szCs w:val="18"/>
          <w:highlight w:val="none"/>
        </w:rPr>
        <w:t>：A</w:t>
      </w:r>
      <w:r>
        <w:rPr>
          <w:color w:val="auto"/>
          <w:sz w:val="18"/>
          <w:szCs w:val="18"/>
          <w:highlight w:val="none"/>
        </w:rPr>
        <w:t xml:space="preserve"> </w:t>
      </w:r>
    </w:p>
    <w:p w14:paraId="4C54C349">
      <w:pPr>
        <w:pStyle w:val="8"/>
        <w:spacing w:after="0"/>
        <w:ind w:firstLine="0" w:firstLineChars="0"/>
        <w:rPr>
          <w:color w:val="auto"/>
          <w:sz w:val="18"/>
          <w:szCs w:val="18"/>
          <w:highlight w:val="none"/>
        </w:rPr>
      </w:pPr>
    </w:p>
    <w:p w14:paraId="6AD496A4">
      <w:pPr>
        <w:pStyle w:val="8"/>
        <w:spacing w:after="0"/>
        <w:ind w:firstLine="0" w:firstLineChars="0"/>
        <w:rPr>
          <w:color w:val="auto"/>
          <w:sz w:val="18"/>
          <w:szCs w:val="18"/>
          <w:highlight w:val="none"/>
        </w:rPr>
      </w:pPr>
    </w:p>
    <w:p w14:paraId="78A40A96">
      <w:pPr>
        <w:pStyle w:val="5"/>
        <w:spacing w:beforeAutospacing="0" w:afterAutospacing="0"/>
        <w:ind w:firstLine="0" w:firstLineChars="0"/>
        <w:jc w:val="center"/>
        <w:rPr>
          <w:rFonts w:hint="default" w:ascii="Times New Roman" w:hAnsi="Times New Roman"/>
          <w:color w:val="auto"/>
          <w:kern w:val="2"/>
          <w:sz w:val="28"/>
          <w:szCs w:val="28"/>
          <w:highlight w:val="none"/>
        </w:rPr>
      </w:pPr>
      <w:r>
        <w:rPr>
          <w:rFonts w:ascii="Times New Roman" w:hAnsi="Times New Roman"/>
          <w:color w:val="auto"/>
          <w:kern w:val="2"/>
          <w:sz w:val="28"/>
          <w:szCs w:val="28"/>
          <w:highlight w:val="none"/>
        </w:rPr>
        <w:t xml:space="preserve">Improvement of snowmelt runoff simulation and analysis of key driving factors in alpine </w:t>
      </w:r>
      <w:r>
        <w:rPr>
          <w:rFonts w:hint="eastAsia" w:ascii="Times New Roman" w:hAnsi="Times New Roman"/>
          <w:color w:val="auto"/>
          <w:kern w:val="2"/>
          <w:sz w:val="28"/>
          <w:szCs w:val="28"/>
          <w:highlight w:val="none"/>
          <w:lang w:val="en-US" w:eastAsia="zh-CN"/>
        </w:rPr>
        <w:t xml:space="preserve">river </w:t>
      </w:r>
      <w:r>
        <w:rPr>
          <w:rFonts w:ascii="Times New Roman" w:hAnsi="Times New Roman"/>
          <w:color w:val="auto"/>
          <w:kern w:val="2"/>
          <w:sz w:val="28"/>
          <w:szCs w:val="28"/>
          <w:highlight w:val="none"/>
        </w:rPr>
        <w:t>basins</w:t>
      </w:r>
    </w:p>
    <w:p w14:paraId="483703D1">
      <w:pPr>
        <w:ind w:firstLine="0" w:firstLineChars="0"/>
        <w:jc w:val="center"/>
        <w:rPr>
          <w:rFonts w:eastAsia="楷体"/>
          <w:color w:val="auto"/>
          <w:szCs w:val="21"/>
          <w:highlight w:val="none"/>
        </w:rPr>
      </w:pPr>
      <w:r>
        <w:rPr>
          <w:rFonts w:hint="eastAsia" w:eastAsia="楷体"/>
          <w:color w:val="auto"/>
          <w:szCs w:val="21"/>
          <w:highlight w:val="none"/>
        </w:rPr>
        <w:t>LENG Yajun</w:t>
      </w:r>
      <w:r>
        <w:rPr>
          <w:rFonts w:eastAsia="楷体"/>
          <w:color w:val="auto"/>
          <w:szCs w:val="21"/>
          <w:highlight w:val="none"/>
          <w:vertAlign w:val="superscript"/>
        </w:rPr>
        <w:t>1</w:t>
      </w:r>
      <w:r>
        <w:rPr>
          <w:rFonts w:eastAsia="楷体"/>
          <w:color w:val="auto"/>
          <w:szCs w:val="21"/>
          <w:highlight w:val="none"/>
        </w:rPr>
        <w:t xml:space="preserve">, </w:t>
      </w:r>
      <w:r>
        <w:rPr>
          <w:rFonts w:hint="eastAsia" w:eastAsia="楷体"/>
          <w:color w:val="auto"/>
          <w:szCs w:val="21"/>
          <w:highlight w:val="none"/>
        </w:rPr>
        <w:t>TANG Bowen</w:t>
      </w:r>
      <w:r>
        <w:rPr>
          <w:rFonts w:eastAsia="楷体"/>
          <w:color w:val="auto"/>
          <w:szCs w:val="21"/>
          <w:highlight w:val="none"/>
          <w:vertAlign w:val="superscript"/>
        </w:rPr>
        <w:t>1</w:t>
      </w:r>
      <w:r>
        <w:rPr>
          <w:rFonts w:eastAsia="楷体"/>
          <w:color w:val="auto"/>
          <w:szCs w:val="21"/>
          <w:highlight w:val="none"/>
        </w:rPr>
        <w:t xml:space="preserve">, </w:t>
      </w:r>
      <w:r>
        <w:rPr>
          <w:rFonts w:hint="eastAsia" w:eastAsia="楷体"/>
          <w:color w:val="auto"/>
          <w:szCs w:val="21"/>
          <w:highlight w:val="none"/>
        </w:rPr>
        <w:t>LIU Haochen</w:t>
      </w:r>
      <w:r>
        <w:rPr>
          <w:rFonts w:eastAsia="楷体"/>
          <w:color w:val="auto"/>
          <w:szCs w:val="21"/>
          <w:highlight w:val="none"/>
          <w:vertAlign w:val="superscript"/>
        </w:rPr>
        <w:t>1</w:t>
      </w:r>
      <w:r>
        <w:rPr>
          <w:rFonts w:eastAsia="楷体"/>
          <w:color w:val="auto"/>
          <w:szCs w:val="21"/>
          <w:highlight w:val="none"/>
        </w:rPr>
        <w:t xml:space="preserve">, </w:t>
      </w:r>
      <w:r>
        <w:rPr>
          <w:rFonts w:hint="eastAsia" w:eastAsia="楷体"/>
          <w:color w:val="auto"/>
          <w:szCs w:val="21"/>
          <w:highlight w:val="none"/>
        </w:rPr>
        <w:t>HU Anna</w:t>
      </w:r>
      <w:r>
        <w:rPr>
          <w:rFonts w:hint="eastAsia" w:eastAsia="楷体"/>
          <w:color w:val="auto"/>
          <w:szCs w:val="21"/>
          <w:highlight w:val="none"/>
          <w:vertAlign w:val="superscript"/>
        </w:rPr>
        <w:t>1</w:t>
      </w:r>
      <w:r>
        <w:rPr>
          <w:rFonts w:eastAsia="楷体"/>
          <w:color w:val="auto"/>
          <w:szCs w:val="21"/>
          <w:highlight w:val="none"/>
        </w:rPr>
        <w:t>, LI Hongxia</w:t>
      </w:r>
      <w:r>
        <w:rPr>
          <w:rFonts w:eastAsia="楷体"/>
          <w:color w:val="auto"/>
          <w:szCs w:val="21"/>
          <w:highlight w:val="none"/>
          <w:vertAlign w:val="superscript"/>
        </w:rPr>
        <w:t>1, 2</w:t>
      </w:r>
    </w:p>
    <w:p w14:paraId="019A555A">
      <w:pPr>
        <w:numPr>
          <w:ilvl w:val="255"/>
          <w:numId w:val="0"/>
        </w:numPr>
        <w:jc w:val="center"/>
        <w:rPr>
          <w:rFonts w:eastAsia="仿宋"/>
          <w:color w:val="auto"/>
          <w:sz w:val="18"/>
          <w:szCs w:val="18"/>
          <w:highlight w:val="none"/>
        </w:rPr>
      </w:pPr>
      <w:r>
        <w:rPr>
          <w:rFonts w:hint="eastAsia" w:eastAsia="仿宋"/>
          <w:color w:val="auto"/>
          <w:sz w:val="18"/>
          <w:szCs w:val="18"/>
          <w:highlight w:val="none"/>
        </w:rPr>
        <w:t>（</w:t>
      </w:r>
      <w:r>
        <w:rPr>
          <w:rFonts w:eastAsia="仿宋"/>
          <w:color w:val="auto"/>
          <w:sz w:val="18"/>
          <w:szCs w:val="18"/>
          <w:highlight w:val="none"/>
        </w:rPr>
        <w:t>1. College of Water Resource</w:t>
      </w:r>
      <w:r>
        <w:rPr>
          <w:rFonts w:hint="eastAsia" w:eastAsia="仿宋"/>
          <w:color w:val="auto"/>
          <w:sz w:val="18"/>
          <w:szCs w:val="18"/>
          <w:highlight w:val="none"/>
          <w:lang w:val="en-US" w:eastAsia="zh-CN"/>
        </w:rPr>
        <w:t>s</w:t>
      </w:r>
      <w:r>
        <w:rPr>
          <w:rFonts w:eastAsia="仿宋"/>
          <w:color w:val="auto"/>
          <w:sz w:val="18"/>
          <w:szCs w:val="18"/>
          <w:highlight w:val="none"/>
        </w:rPr>
        <w:t xml:space="preserve"> and Hydropower, Sichuan University, Chengdu</w:t>
      </w:r>
      <w:r>
        <w:rPr>
          <w:rFonts w:hint="eastAsia" w:eastAsia="仿宋"/>
          <w:color w:val="auto"/>
          <w:sz w:val="18"/>
          <w:szCs w:val="18"/>
          <w:highlight w:val="none"/>
        </w:rPr>
        <w:t xml:space="preserve">  </w:t>
      </w:r>
      <w:r>
        <w:rPr>
          <w:rFonts w:eastAsia="仿宋"/>
          <w:color w:val="auto"/>
          <w:sz w:val="18"/>
          <w:szCs w:val="18"/>
          <w:highlight w:val="none"/>
        </w:rPr>
        <w:t>610065,</w:t>
      </w:r>
      <w:r>
        <w:rPr>
          <w:rFonts w:hint="eastAsia" w:eastAsia="仿宋"/>
          <w:color w:val="auto"/>
          <w:sz w:val="18"/>
          <w:szCs w:val="18"/>
          <w:highlight w:val="none"/>
        </w:rPr>
        <w:t xml:space="preserve"> </w:t>
      </w:r>
      <w:r>
        <w:rPr>
          <w:rFonts w:eastAsia="仿宋"/>
          <w:color w:val="auto"/>
          <w:sz w:val="18"/>
          <w:szCs w:val="18"/>
          <w:highlight w:val="none"/>
        </w:rPr>
        <w:t>Sichuan</w:t>
      </w:r>
      <w:r>
        <w:rPr>
          <w:rFonts w:hint="eastAsia" w:eastAsia="仿宋"/>
          <w:color w:val="auto"/>
          <w:sz w:val="18"/>
          <w:szCs w:val="18"/>
          <w:highlight w:val="none"/>
        </w:rPr>
        <w:t xml:space="preserve">, </w:t>
      </w:r>
      <w:r>
        <w:rPr>
          <w:rFonts w:eastAsia="仿宋"/>
          <w:color w:val="auto"/>
          <w:sz w:val="18"/>
          <w:szCs w:val="18"/>
          <w:highlight w:val="none"/>
        </w:rPr>
        <w:t>China；2. State Key Laboratory of Hydraulics and Mountain River Engineering, Sichuan University, Chengdu</w:t>
      </w:r>
      <w:r>
        <w:rPr>
          <w:rFonts w:hint="eastAsia" w:eastAsia="仿宋"/>
          <w:color w:val="auto"/>
          <w:sz w:val="18"/>
          <w:szCs w:val="18"/>
          <w:highlight w:val="none"/>
        </w:rPr>
        <w:t xml:space="preserve">  </w:t>
      </w:r>
      <w:r>
        <w:rPr>
          <w:rFonts w:eastAsia="仿宋"/>
          <w:color w:val="auto"/>
          <w:sz w:val="18"/>
          <w:szCs w:val="18"/>
          <w:highlight w:val="none"/>
        </w:rPr>
        <w:t xml:space="preserve">610065, </w:t>
      </w:r>
      <w:r>
        <w:rPr>
          <w:rFonts w:hint="eastAsia" w:eastAsia="仿宋"/>
          <w:color w:val="auto"/>
          <w:sz w:val="18"/>
          <w:szCs w:val="18"/>
          <w:highlight w:val="none"/>
        </w:rPr>
        <w:t xml:space="preserve">Sichuan, </w:t>
      </w:r>
      <w:r>
        <w:rPr>
          <w:rFonts w:eastAsia="仿宋"/>
          <w:color w:val="auto"/>
          <w:sz w:val="18"/>
          <w:szCs w:val="18"/>
          <w:highlight w:val="none"/>
        </w:rPr>
        <w:t>China）</w:t>
      </w:r>
    </w:p>
    <w:p w14:paraId="18C90ACE">
      <w:pPr>
        <w:ind w:firstLine="0" w:firstLineChars="0"/>
        <w:rPr>
          <w:bCs/>
          <w:color w:val="auto"/>
          <w:szCs w:val="21"/>
          <w:highlight w:val="none"/>
        </w:rPr>
      </w:pPr>
      <w:r>
        <w:rPr>
          <w:b/>
          <w:bCs/>
          <w:color w:val="auto"/>
          <w:highlight w:val="none"/>
        </w:rPr>
        <w:t>A</w:t>
      </w:r>
      <w:r>
        <w:rPr>
          <w:rStyle w:val="17"/>
          <w:bCs/>
          <w:color w:val="auto"/>
          <w:szCs w:val="22"/>
          <w:highlight w:val="none"/>
        </w:rPr>
        <w:t>bstract：</w:t>
      </w:r>
      <w:r>
        <w:rPr>
          <w:rStyle w:val="17"/>
          <w:rFonts w:hint="eastAsia"/>
          <w:color w:val="auto"/>
          <w:highlight w:val="none"/>
        </w:rPr>
        <w:t>[Objective]</w:t>
      </w:r>
      <w:r>
        <w:rPr>
          <w:rStyle w:val="17"/>
          <w:rFonts w:hint="eastAsia"/>
          <w:b w:val="0"/>
          <w:bCs/>
          <w:color w:val="auto"/>
          <w:highlight w:val="none"/>
        </w:rPr>
        <w:t xml:space="preserve"> </w:t>
      </w:r>
      <w:r>
        <w:rPr>
          <w:bCs/>
          <w:color w:val="auto"/>
          <w:szCs w:val="21"/>
          <w:highlight w:val="none"/>
        </w:rPr>
        <w:t xml:space="preserve">To address the </w:t>
      </w:r>
      <w:r>
        <w:rPr>
          <w:rFonts w:hint="eastAsia"/>
          <w:bCs/>
          <w:color w:val="auto"/>
          <w:szCs w:val="21"/>
          <w:highlight w:val="none"/>
          <w:lang w:val="en-US" w:eastAsia="zh-CN"/>
        </w:rPr>
        <w:t>issue</w:t>
      </w:r>
      <w:r>
        <w:rPr>
          <w:bCs/>
          <w:color w:val="auto"/>
          <w:szCs w:val="21"/>
          <w:highlight w:val="none"/>
        </w:rPr>
        <w:t xml:space="preserve"> of insufficient physical mechanisms in the distributed hydrological model SPHY for snowmelt runoff simulation in cold regions (specifically the neglect of solar radiation and the </w:t>
      </w:r>
      <w:r>
        <w:rPr>
          <w:rFonts w:hint="eastAsia"/>
          <w:bCs/>
          <w:color w:val="auto"/>
          <w:szCs w:val="21"/>
          <w:highlight w:val="none"/>
          <w:lang w:val="en-US" w:eastAsia="zh-CN"/>
        </w:rPr>
        <w:t>use</w:t>
      </w:r>
      <w:r>
        <w:rPr>
          <w:bCs/>
          <w:color w:val="auto"/>
          <w:szCs w:val="21"/>
          <w:highlight w:val="none"/>
        </w:rPr>
        <w:t xml:space="preserve"> of static degree-day factors), the snowmelt module is optimized and enhanced to improve the accuracy of snowmelt runoff simulation in cold regions.</w:t>
      </w:r>
      <w:r>
        <w:rPr>
          <w:rFonts w:hint="eastAsia"/>
          <w:bCs/>
          <w:color w:val="auto"/>
          <w:szCs w:val="21"/>
          <w:highlight w:val="none"/>
        </w:rPr>
        <w:t xml:space="preserve"> </w:t>
      </w:r>
      <w:r>
        <w:rPr>
          <w:rStyle w:val="17"/>
          <w:color w:val="auto"/>
          <w:highlight w:val="none"/>
        </w:rPr>
        <w:t>[Methods]</w:t>
      </w:r>
      <w:r>
        <w:rPr>
          <w:rStyle w:val="17"/>
          <w:rFonts w:hint="eastAsia"/>
          <w:bCs/>
          <w:color w:val="auto"/>
          <w:szCs w:val="21"/>
          <w:highlight w:val="none"/>
        </w:rPr>
        <w:t xml:space="preserve"> </w:t>
      </w:r>
      <w:r>
        <w:rPr>
          <w:bCs/>
          <w:color w:val="auto"/>
          <w:szCs w:val="21"/>
          <w:highlight w:val="none"/>
        </w:rPr>
        <w:t xml:space="preserve">Three improvements </w:t>
      </w:r>
      <w:r>
        <w:rPr>
          <w:rFonts w:hint="eastAsia"/>
          <w:bCs/>
          <w:color w:val="auto"/>
          <w:szCs w:val="21"/>
          <w:highlight w:val="none"/>
          <w:lang w:val="en-US" w:eastAsia="zh-CN"/>
        </w:rPr>
        <w:t>were</w:t>
      </w:r>
      <w:r>
        <w:rPr>
          <w:bCs/>
          <w:color w:val="auto"/>
          <w:szCs w:val="21"/>
          <w:highlight w:val="none"/>
        </w:rPr>
        <w:t xml:space="preserve"> </w:t>
      </w:r>
      <w:r>
        <w:rPr>
          <w:rFonts w:hint="eastAsia"/>
          <w:bCs/>
          <w:color w:val="auto"/>
          <w:szCs w:val="21"/>
          <w:highlight w:val="none"/>
          <w:lang w:val="en-US" w:eastAsia="zh-CN"/>
        </w:rPr>
        <w:t>made</w:t>
      </w:r>
      <w:r>
        <w:rPr>
          <w:bCs/>
          <w:color w:val="auto"/>
          <w:szCs w:val="21"/>
          <w:highlight w:val="none"/>
        </w:rPr>
        <w:t xml:space="preserve">: (1) </w:t>
      </w:r>
      <w:r>
        <w:rPr>
          <w:rFonts w:hint="eastAsia"/>
          <w:bCs/>
          <w:color w:val="auto"/>
          <w:szCs w:val="21"/>
          <w:highlight w:val="none"/>
          <w:lang w:val="en-US" w:eastAsia="zh-CN"/>
        </w:rPr>
        <w:t xml:space="preserve">constructing </w:t>
      </w:r>
      <w:r>
        <w:rPr>
          <w:bCs/>
          <w:color w:val="auto"/>
          <w:szCs w:val="21"/>
          <w:highlight w:val="none"/>
        </w:rPr>
        <w:t xml:space="preserve">a radiation-coupled potential snowmelt energy term; (2) </w:t>
      </w:r>
      <w:r>
        <w:rPr>
          <w:rFonts w:hint="eastAsia"/>
          <w:bCs/>
          <w:color w:val="auto"/>
          <w:szCs w:val="21"/>
          <w:highlight w:val="none"/>
          <w:lang w:val="en-US" w:eastAsia="zh-CN"/>
        </w:rPr>
        <w:t xml:space="preserve">proposing </w:t>
      </w:r>
      <w:r>
        <w:rPr>
          <w:bCs/>
          <w:color w:val="auto"/>
          <w:szCs w:val="21"/>
          <w:highlight w:val="none"/>
        </w:rPr>
        <w:t>a seasonal dynamic degree-day factor based on the snow depth</w:t>
      </w:r>
      <w:r>
        <w:rPr>
          <w:rFonts w:hAnsi="Times New Roman"/>
          <w:bCs/>
          <w:color w:val="auto"/>
          <w:szCs w:val="21"/>
          <w:highlight w:val="none"/>
        </w:rPr>
        <w:t>–</w:t>
      </w:r>
      <w:r>
        <w:rPr>
          <w:bCs/>
          <w:color w:val="auto"/>
          <w:szCs w:val="21"/>
          <w:highlight w:val="none"/>
        </w:rPr>
        <w:t xml:space="preserve">solar radiation relationship; and (3) </w:t>
      </w:r>
      <w:r>
        <w:rPr>
          <w:rFonts w:hint="eastAsia"/>
          <w:bCs/>
          <w:color w:val="auto"/>
          <w:szCs w:val="21"/>
          <w:highlight w:val="none"/>
          <w:lang w:val="en-US" w:eastAsia="zh-CN"/>
        </w:rPr>
        <w:t xml:space="preserve">quantifying </w:t>
      </w:r>
      <w:r>
        <w:rPr>
          <w:bCs/>
          <w:color w:val="auto"/>
          <w:szCs w:val="21"/>
          <w:highlight w:val="none"/>
        </w:rPr>
        <w:t xml:space="preserve">the importance of different factors </w:t>
      </w:r>
      <w:r>
        <w:rPr>
          <w:rFonts w:hint="eastAsia"/>
          <w:bCs/>
          <w:color w:val="auto"/>
          <w:szCs w:val="21"/>
          <w:highlight w:val="none"/>
          <w:lang w:val="en-US" w:eastAsia="zh-CN"/>
        </w:rPr>
        <w:t>during</w:t>
      </w:r>
      <w:r>
        <w:rPr>
          <w:bCs/>
          <w:color w:val="auto"/>
          <w:szCs w:val="21"/>
          <w:highlight w:val="none"/>
        </w:rPr>
        <w:t xml:space="preserve"> the snowmelt process based on </w:t>
      </w:r>
      <w:r>
        <w:rPr>
          <w:rFonts w:hint="eastAsia"/>
          <w:bCs/>
          <w:color w:val="auto"/>
          <w:szCs w:val="21"/>
          <w:highlight w:val="none"/>
          <w:lang w:val="en-US" w:eastAsia="zh-CN"/>
        </w:rPr>
        <w:t>r</w:t>
      </w:r>
      <w:r>
        <w:rPr>
          <w:bCs/>
          <w:color w:val="auto"/>
          <w:szCs w:val="21"/>
          <w:highlight w:val="none"/>
        </w:rPr>
        <w:t xml:space="preserve">andom </w:t>
      </w:r>
      <w:r>
        <w:rPr>
          <w:rFonts w:hint="eastAsia"/>
          <w:bCs/>
          <w:color w:val="auto"/>
          <w:szCs w:val="21"/>
          <w:highlight w:val="none"/>
          <w:lang w:val="en-US" w:eastAsia="zh-CN"/>
        </w:rPr>
        <w:t>f</w:t>
      </w:r>
      <w:r>
        <w:rPr>
          <w:bCs/>
          <w:color w:val="auto"/>
          <w:szCs w:val="21"/>
          <w:highlight w:val="none"/>
        </w:rPr>
        <w:t xml:space="preserve">orest. </w:t>
      </w:r>
      <w:r>
        <w:rPr>
          <w:rFonts w:hint="eastAsia"/>
          <w:bCs/>
          <w:color w:val="auto"/>
          <w:szCs w:val="21"/>
          <w:highlight w:val="none"/>
          <w:lang w:val="en-US" w:eastAsia="zh-CN"/>
        </w:rPr>
        <w:t>Taking</w:t>
      </w:r>
      <w:r>
        <w:rPr>
          <w:bCs/>
          <w:color w:val="auto"/>
          <w:szCs w:val="21"/>
          <w:highlight w:val="none"/>
        </w:rPr>
        <w:t xml:space="preserve"> the Niyang River Basin in the southeastern </w:t>
      </w:r>
      <w:r>
        <w:rPr>
          <w:rFonts w:hint="eastAsia"/>
          <w:bCs/>
          <w:color w:val="auto"/>
          <w:szCs w:val="21"/>
          <w:highlight w:val="none"/>
          <w:lang w:val="en-US" w:eastAsia="zh-CN"/>
        </w:rPr>
        <w:t>Qinghai-Xizang</w:t>
      </w:r>
      <w:r>
        <w:rPr>
          <w:bCs/>
          <w:color w:val="auto"/>
          <w:szCs w:val="21"/>
          <w:highlight w:val="none"/>
        </w:rPr>
        <w:t xml:space="preserve"> Plateau as the study area, the simulation performance of the improved model </w:t>
      </w:r>
      <w:r>
        <w:rPr>
          <w:rFonts w:hint="eastAsia"/>
          <w:bCs/>
          <w:color w:val="auto"/>
          <w:szCs w:val="21"/>
          <w:highlight w:val="none"/>
          <w:lang w:val="en-US" w:eastAsia="zh-CN"/>
        </w:rPr>
        <w:t>was</w:t>
      </w:r>
      <w:r>
        <w:rPr>
          <w:bCs/>
          <w:color w:val="auto"/>
          <w:szCs w:val="21"/>
          <w:highlight w:val="none"/>
        </w:rPr>
        <w:t xml:space="preserve"> verified based on meteorological, hydrological, and remote sensing data from 2010 to 2015. The contribution rates of different meteorological factors to snowmelt runoff </w:t>
      </w:r>
      <w:r>
        <w:rPr>
          <w:rFonts w:hint="eastAsia"/>
          <w:bCs/>
          <w:color w:val="auto"/>
          <w:szCs w:val="21"/>
          <w:highlight w:val="none"/>
          <w:lang w:val="en-US" w:eastAsia="zh-CN"/>
        </w:rPr>
        <w:t>were</w:t>
      </w:r>
      <w:r>
        <w:rPr>
          <w:bCs/>
          <w:color w:val="auto"/>
          <w:szCs w:val="21"/>
          <w:highlight w:val="none"/>
        </w:rPr>
        <w:t xml:space="preserve"> quantified through trend analysis, correlation analysis, and </w:t>
      </w:r>
      <w:r>
        <w:rPr>
          <w:rFonts w:hint="eastAsia"/>
          <w:bCs/>
          <w:color w:val="auto"/>
          <w:szCs w:val="21"/>
          <w:highlight w:val="none"/>
          <w:lang w:val="en-US" w:eastAsia="zh-CN"/>
        </w:rPr>
        <w:t>r</w:t>
      </w:r>
      <w:r>
        <w:rPr>
          <w:bCs/>
          <w:color w:val="auto"/>
          <w:szCs w:val="21"/>
          <w:highlight w:val="none"/>
        </w:rPr>
        <w:t xml:space="preserve">andom </w:t>
      </w:r>
      <w:r>
        <w:rPr>
          <w:rFonts w:hint="eastAsia"/>
          <w:bCs/>
          <w:color w:val="auto"/>
          <w:szCs w:val="21"/>
          <w:highlight w:val="none"/>
          <w:lang w:val="en-US" w:eastAsia="zh-CN"/>
        </w:rPr>
        <w:t>f</w:t>
      </w:r>
      <w:r>
        <w:rPr>
          <w:bCs/>
          <w:color w:val="auto"/>
          <w:szCs w:val="21"/>
          <w:highlight w:val="none"/>
        </w:rPr>
        <w:t>orest models.</w:t>
      </w:r>
      <w:r>
        <w:rPr>
          <w:rFonts w:hint="eastAsia"/>
          <w:bCs/>
          <w:color w:val="auto"/>
          <w:szCs w:val="21"/>
          <w:highlight w:val="none"/>
        </w:rPr>
        <w:t xml:space="preserve"> [</w:t>
      </w:r>
      <w:r>
        <w:rPr>
          <w:rStyle w:val="17"/>
          <w:color w:val="auto"/>
          <w:highlight w:val="none"/>
        </w:rPr>
        <w:t>Results]</w:t>
      </w:r>
      <w:r>
        <w:rPr>
          <w:rStyle w:val="17"/>
          <w:rFonts w:hint="eastAsia"/>
          <w:color w:val="auto"/>
          <w:highlight w:val="none"/>
        </w:rPr>
        <w:t xml:space="preserve"> </w:t>
      </w:r>
      <w:r>
        <w:rPr>
          <w:rFonts w:hint="eastAsia"/>
          <w:color w:val="auto"/>
          <w:highlight w:val="none"/>
          <w:lang w:val="en-US" w:eastAsia="zh-CN"/>
        </w:rPr>
        <w:t>The m</w:t>
      </w:r>
      <w:r>
        <w:rPr>
          <w:color w:val="auto"/>
          <w:highlight w:val="none"/>
        </w:rPr>
        <w:t>odel simulation results show</w:t>
      </w:r>
      <w:r>
        <w:rPr>
          <w:rFonts w:hint="eastAsia"/>
          <w:color w:val="auto"/>
          <w:highlight w:val="none"/>
          <w:lang w:val="en-US" w:eastAsia="zh-CN"/>
        </w:rPr>
        <w:t>ed</w:t>
      </w:r>
      <w:r>
        <w:rPr>
          <w:color w:val="auto"/>
          <w:highlight w:val="none"/>
        </w:rPr>
        <w:t xml:space="preserve"> that during the calibration and validation period</w:t>
      </w:r>
      <w:r>
        <w:rPr>
          <w:rFonts w:hint="eastAsia"/>
          <w:color w:val="auto"/>
          <w:highlight w:val="none"/>
          <w:lang w:val="en-US" w:eastAsia="zh-CN"/>
        </w:rPr>
        <w:t>s</w:t>
      </w:r>
      <w:r>
        <w:rPr>
          <w:color w:val="auto"/>
          <w:highlight w:val="none"/>
        </w:rPr>
        <w:t xml:space="preserve">, the average Nash-Sutcliffe </w:t>
      </w:r>
      <w:r>
        <w:rPr>
          <w:rFonts w:hint="eastAsia"/>
          <w:color w:val="auto"/>
          <w:highlight w:val="none"/>
          <w:lang w:val="en-US" w:eastAsia="zh-CN"/>
        </w:rPr>
        <w:t>e</w:t>
      </w:r>
      <w:r>
        <w:rPr>
          <w:color w:val="auto"/>
          <w:highlight w:val="none"/>
        </w:rPr>
        <w:t>fficiency (</w:t>
      </w:r>
      <w:r>
        <w:rPr>
          <w:i/>
          <w:iCs/>
          <w:color w:val="auto"/>
          <w:highlight w:val="none"/>
        </w:rPr>
        <w:t>NSE</w:t>
      </w:r>
      <w:r>
        <w:rPr>
          <w:color w:val="auto"/>
          <w:highlight w:val="none"/>
        </w:rPr>
        <w:t xml:space="preserve">) of the improved model </w:t>
      </w:r>
      <w:r>
        <w:rPr>
          <w:rFonts w:hint="eastAsia"/>
          <w:color w:val="auto"/>
          <w:highlight w:val="none"/>
          <w:lang w:val="en-US" w:eastAsia="zh-CN"/>
        </w:rPr>
        <w:t>during</w:t>
      </w:r>
      <w:r>
        <w:rPr>
          <w:color w:val="auto"/>
          <w:highlight w:val="none"/>
        </w:rPr>
        <w:t xml:space="preserve"> the snowmelt period increased by 8%, the root mean square error (</w:t>
      </w:r>
      <w:r>
        <w:rPr>
          <w:i/>
          <w:iCs/>
          <w:color w:val="auto"/>
          <w:highlight w:val="none"/>
        </w:rPr>
        <w:t>RMSE</w:t>
      </w:r>
      <w:r>
        <w:rPr>
          <w:color w:val="auto"/>
          <w:highlight w:val="none"/>
        </w:rPr>
        <w:t xml:space="preserve">) reduced by 17%, and the overall Percent </w:t>
      </w:r>
      <w:r>
        <w:rPr>
          <w:rFonts w:hint="eastAsia"/>
          <w:color w:val="auto"/>
          <w:highlight w:val="none"/>
          <w:lang w:val="en-US" w:eastAsia="zh-CN"/>
        </w:rPr>
        <w:t>b</w:t>
      </w:r>
      <w:r>
        <w:rPr>
          <w:color w:val="auto"/>
          <w:highlight w:val="none"/>
        </w:rPr>
        <w:t>ias (</w:t>
      </w:r>
      <w:r>
        <w:rPr>
          <w:i/>
          <w:iCs/>
          <w:color w:val="auto"/>
          <w:highlight w:val="none"/>
        </w:rPr>
        <w:t>PBIAS</w:t>
      </w:r>
      <w:r>
        <w:rPr>
          <w:color w:val="auto"/>
          <w:highlight w:val="none"/>
        </w:rPr>
        <w:t xml:space="preserve">) </w:t>
      </w:r>
      <w:r>
        <w:rPr>
          <w:rFonts w:hint="eastAsia"/>
          <w:color w:val="auto"/>
          <w:highlight w:val="none"/>
          <w:lang w:val="en-US" w:eastAsia="zh-CN"/>
        </w:rPr>
        <w:t>was</w:t>
      </w:r>
      <w:r>
        <w:rPr>
          <w:color w:val="auto"/>
          <w:highlight w:val="none"/>
        </w:rPr>
        <w:t xml:space="preserve"> optimized from -14.77% to -0.05%. Driving factor analysis show</w:t>
      </w:r>
      <w:r>
        <w:rPr>
          <w:rFonts w:hint="eastAsia"/>
          <w:color w:val="auto"/>
          <w:highlight w:val="none"/>
          <w:lang w:val="en-US" w:eastAsia="zh-CN"/>
        </w:rPr>
        <w:t>ed</w:t>
      </w:r>
      <w:r>
        <w:rPr>
          <w:color w:val="auto"/>
          <w:highlight w:val="none"/>
        </w:rPr>
        <w:t xml:space="preserve"> that air temperature </w:t>
      </w:r>
      <w:r>
        <w:rPr>
          <w:rFonts w:hint="eastAsia"/>
          <w:color w:val="auto"/>
          <w:highlight w:val="none"/>
          <w:lang w:val="en-US" w:eastAsia="zh-CN"/>
        </w:rPr>
        <w:t>was</w:t>
      </w:r>
      <w:r>
        <w:rPr>
          <w:color w:val="auto"/>
          <w:highlight w:val="none"/>
        </w:rPr>
        <w:t xml:space="preserve"> the dominant factor for snowmelt runoff (contribution rate of 41.79%), and the wind speed contribution rate reache</w:t>
      </w:r>
      <w:r>
        <w:rPr>
          <w:rFonts w:hint="eastAsia"/>
          <w:color w:val="auto"/>
          <w:highlight w:val="none"/>
          <w:lang w:val="en-US" w:eastAsia="zh-CN"/>
        </w:rPr>
        <w:t>d</w:t>
      </w:r>
      <w:r>
        <w:rPr>
          <w:color w:val="auto"/>
          <w:highlight w:val="none"/>
        </w:rPr>
        <w:t xml:space="preserve"> 25.58%</w:t>
      </w:r>
      <w:r>
        <w:rPr>
          <w:rFonts w:hint="eastAsia"/>
          <w:color w:val="auto"/>
          <w:highlight w:val="none"/>
          <w:lang w:val="en-US" w:eastAsia="zh-CN"/>
        </w:rPr>
        <w:t>.</w:t>
      </w:r>
      <w:r>
        <w:rPr>
          <w:color w:val="auto"/>
          <w:highlight w:val="none"/>
        </w:rPr>
        <w:t xml:space="preserve"> </w:t>
      </w:r>
      <w:r>
        <w:rPr>
          <w:rFonts w:hint="eastAsia"/>
          <w:color w:val="auto"/>
          <w:highlight w:val="none"/>
          <w:lang w:val="en-US" w:eastAsia="zh-CN"/>
        </w:rPr>
        <w:t>T</w:t>
      </w:r>
      <w:r>
        <w:rPr>
          <w:color w:val="auto"/>
          <w:highlight w:val="none"/>
        </w:rPr>
        <w:t xml:space="preserve">he total contribution rate of energy factors (air temperature </w:t>
      </w:r>
      <w:r>
        <w:rPr>
          <w:rFonts w:hint="eastAsia"/>
          <w:color w:val="auto"/>
          <w:highlight w:val="none"/>
        </w:rPr>
        <w:t>and</w:t>
      </w:r>
      <w:r>
        <w:rPr>
          <w:color w:val="auto"/>
          <w:highlight w:val="none"/>
        </w:rPr>
        <w:t xml:space="preserve"> radiation) reache</w:t>
      </w:r>
      <w:r>
        <w:rPr>
          <w:rFonts w:hint="eastAsia"/>
          <w:color w:val="auto"/>
          <w:highlight w:val="none"/>
          <w:lang w:val="en-US" w:eastAsia="zh-CN"/>
        </w:rPr>
        <w:t>d</w:t>
      </w:r>
      <w:r>
        <w:rPr>
          <w:color w:val="auto"/>
          <w:highlight w:val="none"/>
        </w:rPr>
        <w:t xml:space="preserve"> 61.08%.</w:t>
      </w:r>
      <w:r>
        <w:rPr>
          <w:bCs/>
          <w:color w:val="auto"/>
          <w:szCs w:val="21"/>
          <w:highlight w:val="none"/>
        </w:rPr>
        <w:t xml:space="preserve"> </w:t>
      </w:r>
      <w:r>
        <w:rPr>
          <w:rStyle w:val="17"/>
          <w:color w:val="auto"/>
          <w:highlight w:val="none"/>
        </w:rPr>
        <w:t>[Conclusion]</w:t>
      </w:r>
      <w:r>
        <w:rPr>
          <w:color w:val="auto"/>
          <w:highlight w:val="none"/>
        </w:rPr>
        <w:t xml:space="preserve"> The improved scheme coupling solar radiation </w:t>
      </w:r>
      <w:r>
        <w:rPr>
          <w:rFonts w:hint="eastAsia"/>
          <w:color w:val="auto"/>
          <w:highlight w:val="none"/>
          <w:lang w:val="en-US" w:eastAsia="zh-CN"/>
        </w:rPr>
        <w:t>with</w:t>
      </w:r>
      <w:r>
        <w:rPr>
          <w:color w:val="auto"/>
          <w:highlight w:val="none"/>
        </w:rPr>
        <w:t xml:space="preserve"> the seasonal dynamic degree-day factor</w:t>
      </w:r>
      <w:r>
        <w:rPr>
          <w:rFonts w:hint="eastAsia"/>
          <w:color w:val="auto"/>
          <w:highlight w:val="none"/>
          <w:lang w:val="en-US" w:eastAsia="zh-CN"/>
        </w:rPr>
        <w:t xml:space="preserve"> effectively enhances the runoff simulation capability of the SPHY model in cold regions</w:t>
      </w:r>
      <w:r>
        <w:rPr>
          <w:color w:val="auto"/>
          <w:highlight w:val="none"/>
        </w:rPr>
        <w:t xml:space="preserve">. </w:t>
      </w:r>
      <w:r>
        <w:rPr>
          <w:rFonts w:hint="eastAsia"/>
          <w:color w:val="auto"/>
          <w:highlight w:val="none"/>
          <w:lang w:val="en-US" w:eastAsia="zh-CN"/>
        </w:rPr>
        <w:t>The findings provide references</w:t>
      </w:r>
      <w:r>
        <w:rPr>
          <w:color w:val="auto"/>
          <w:highlight w:val="none"/>
        </w:rPr>
        <w:t xml:space="preserve"> for runoff simulation in other </w:t>
      </w:r>
      <w:r>
        <w:rPr>
          <w:rFonts w:hint="eastAsia"/>
          <w:color w:val="auto"/>
          <w:highlight w:val="none"/>
          <w:lang w:val="en-US" w:eastAsia="zh-CN"/>
        </w:rPr>
        <w:t>alpine</w:t>
      </w:r>
      <w:r>
        <w:rPr>
          <w:color w:val="auto"/>
          <w:highlight w:val="none"/>
        </w:rPr>
        <w:t xml:space="preserve"> </w:t>
      </w:r>
      <w:r>
        <w:rPr>
          <w:rFonts w:hint="eastAsia"/>
          <w:color w:val="auto"/>
          <w:highlight w:val="none"/>
          <w:lang w:val="en-US" w:eastAsia="zh-CN"/>
        </w:rPr>
        <w:t xml:space="preserve">river </w:t>
      </w:r>
      <w:r>
        <w:rPr>
          <w:color w:val="auto"/>
          <w:highlight w:val="none"/>
        </w:rPr>
        <w:t xml:space="preserve">basins, and </w:t>
      </w:r>
      <w:r>
        <w:rPr>
          <w:rFonts w:hint="eastAsia"/>
          <w:color w:val="auto"/>
          <w:highlight w:val="none"/>
          <w:lang w:val="en-US" w:eastAsia="zh-CN"/>
        </w:rPr>
        <w:t xml:space="preserve">offer </w:t>
      </w:r>
      <w:r>
        <w:rPr>
          <w:color w:val="auto"/>
          <w:highlight w:val="none"/>
        </w:rPr>
        <w:t>scientific support for runoff forecasting and water resource management under climate change.</w:t>
      </w:r>
    </w:p>
    <w:p w14:paraId="73B041A6">
      <w:pPr>
        <w:ind w:firstLine="0" w:firstLineChars="0"/>
        <w:rPr>
          <w:bCs/>
          <w:color w:val="auto"/>
          <w:szCs w:val="21"/>
          <w:highlight w:val="none"/>
        </w:rPr>
      </w:pPr>
      <w:r>
        <w:rPr>
          <w:rStyle w:val="17"/>
          <w:bCs/>
          <w:color w:val="auto"/>
          <w:szCs w:val="22"/>
          <w:highlight w:val="none"/>
        </w:rPr>
        <w:t xml:space="preserve">Keywords: </w:t>
      </w:r>
      <w:r>
        <w:rPr>
          <w:bCs/>
          <w:color w:val="auto"/>
          <w:szCs w:val="21"/>
          <w:highlight w:val="none"/>
        </w:rPr>
        <w:t>SPHY model</w:t>
      </w:r>
      <w:r>
        <w:rPr>
          <w:rStyle w:val="17"/>
          <w:rFonts w:eastAsia="楷体"/>
          <w:b w:val="0"/>
          <w:color w:val="auto"/>
          <w:szCs w:val="21"/>
          <w:highlight w:val="none"/>
        </w:rPr>
        <w:t>；</w:t>
      </w:r>
      <w:r>
        <w:rPr>
          <w:bCs/>
          <w:color w:val="auto"/>
          <w:szCs w:val="21"/>
          <w:highlight w:val="none"/>
        </w:rPr>
        <w:t>snowmelt runoff</w:t>
      </w:r>
      <w:r>
        <w:rPr>
          <w:rStyle w:val="17"/>
          <w:rFonts w:eastAsia="楷体"/>
          <w:b w:val="0"/>
          <w:color w:val="auto"/>
          <w:szCs w:val="21"/>
          <w:highlight w:val="none"/>
        </w:rPr>
        <w:t>；</w:t>
      </w:r>
      <w:r>
        <w:rPr>
          <w:bCs/>
          <w:color w:val="auto"/>
          <w:szCs w:val="21"/>
          <w:highlight w:val="none"/>
        </w:rPr>
        <w:t>dynamic degree-day factor</w:t>
      </w:r>
      <w:r>
        <w:rPr>
          <w:rStyle w:val="17"/>
          <w:rFonts w:eastAsia="楷体"/>
          <w:b w:val="0"/>
          <w:color w:val="auto"/>
          <w:szCs w:val="21"/>
          <w:highlight w:val="none"/>
        </w:rPr>
        <w:t>；</w:t>
      </w:r>
      <w:r>
        <w:rPr>
          <w:bCs/>
          <w:color w:val="auto"/>
          <w:szCs w:val="21"/>
          <w:highlight w:val="none"/>
        </w:rPr>
        <w:t>radiation coupling</w:t>
      </w:r>
      <w:r>
        <w:rPr>
          <w:rStyle w:val="17"/>
          <w:rFonts w:eastAsia="楷体"/>
          <w:b w:val="0"/>
          <w:color w:val="auto"/>
          <w:szCs w:val="21"/>
          <w:highlight w:val="none"/>
        </w:rPr>
        <w:t>；</w:t>
      </w:r>
      <w:r>
        <w:rPr>
          <w:bCs/>
          <w:color w:val="auto"/>
          <w:szCs w:val="21"/>
          <w:highlight w:val="none"/>
        </w:rPr>
        <w:t>Niyang River Basin</w:t>
      </w:r>
      <w:r>
        <w:rPr>
          <w:rStyle w:val="17"/>
          <w:rFonts w:eastAsia="楷体"/>
          <w:b w:val="0"/>
          <w:color w:val="auto"/>
          <w:szCs w:val="21"/>
          <w:highlight w:val="none"/>
        </w:rPr>
        <w:t>；</w:t>
      </w:r>
      <w:r>
        <w:rPr>
          <w:bCs/>
          <w:color w:val="auto"/>
          <w:szCs w:val="21"/>
          <w:highlight w:val="none"/>
        </w:rPr>
        <w:t>influencing factors</w:t>
      </w:r>
    </w:p>
    <w:p w14:paraId="4BD36737">
      <w:pPr>
        <w:pStyle w:val="8"/>
        <w:spacing w:after="0"/>
        <w:ind w:firstLine="0" w:firstLineChars="0"/>
        <w:rPr>
          <w:rFonts w:hint="eastAsia" w:eastAsia="宋体"/>
          <w:color w:val="auto"/>
          <w:sz w:val="18"/>
          <w:szCs w:val="18"/>
          <w:highlight w:val="none"/>
          <w:lang w:eastAsia="zh-CN"/>
        </w:rPr>
      </w:pPr>
      <w:r>
        <w:rPr>
          <w:rFonts w:hint="eastAsia" w:eastAsia="宋体"/>
          <w:color w:val="auto"/>
          <w:sz w:val="18"/>
          <w:szCs w:val="18"/>
          <w:highlight w:val="none"/>
          <w:lang w:eastAsia="zh-CN"/>
        </w:rPr>
        <w:drawing>
          <wp:inline distT="0" distB="0" distL="114300" distR="114300">
            <wp:extent cx="2291715" cy="2291715"/>
            <wp:effectExtent l="0" t="0" r="9525" b="9525"/>
            <wp:docPr id="1" name="图片 1" descr="寒流域融雪径流模拟改进及关键驱动因子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寒流域融雪径流模拟改进及关键驱动因子分析"/>
                    <pic:cNvPicPr>
                      <a:picLocks noChangeAspect="1"/>
                    </pic:cNvPicPr>
                  </pic:nvPicPr>
                  <pic:blipFill>
                    <a:blip r:embed="rId7"/>
                    <a:stretch>
                      <a:fillRect/>
                    </a:stretch>
                  </pic:blipFill>
                  <pic:spPr>
                    <a:xfrm>
                      <a:off x="0" y="0"/>
                      <a:ext cx="2291715" cy="2291715"/>
                    </a:xfrm>
                    <a:prstGeom prst="rect">
                      <a:avLst/>
                    </a:prstGeom>
                  </pic:spPr>
                </pic:pic>
              </a:graphicData>
            </a:graphic>
          </wp:inline>
        </w:drawing>
      </w:r>
    </w:p>
    <w:p w14:paraId="082B8C6A">
      <w:pPr>
        <w:pStyle w:val="2"/>
        <w:rPr>
          <w:color w:val="auto"/>
          <w:highlight w:val="none"/>
        </w:rPr>
      </w:pPr>
      <w:r>
        <w:rPr>
          <w:rFonts w:hint="eastAsia"/>
          <w:color w:val="auto"/>
          <w:highlight w:val="none"/>
        </w:rPr>
        <w:t>0引言</w:t>
      </w:r>
    </w:p>
    <w:p w14:paraId="09B67369">
      <w:pPr>
        <w:rPr>
          <w:color w:val="auto"/>
          <w:highlight w:val="none"/>
        </w:rPr>
      </w:pPr>
      <w:r>
        <w:rPr>
          <w:color w:val="auto"/>
          <w:highlight w:val="none"/>
        </w:rPr>
        <w:t>寒区流域独特的冰川-积雪-水文耦合过程不仅主导着区域水资源的时空分布格局，也深刻影响着下游供水安全、农业灌溉及生态系统的稳定性。在青藏高原东南部等典型高寒区域，积雪与冰川消融构成河川径流的主要补给来源，且不同子流域中二者对径流的贡献率呈现出显著的空间异质性</w:t>
      </w:r>
      <w:r>
        <w:rPr>
          <w:rFonts w:hint="eastAsia"/>
          <w:color w:val="auto"/>
          <w:highlight w:val="none"/>
          <w:vertAlign w:val="superscript"/>
        </w:rPr>
        <w:t>[1]</w:t>
      </w:r>
      <w:r>
        <w:rPr>
          <w:color w:val="auto"/>
          <w:highlight w:val="none"/>
        </w:rPr>
        <w:t>。已有研究表明，在整个青藏高原尺度，冰雪融水对径流总量的贡献比例约为34%</w:t>
      </w:r>
      <w:r>
        <w:rPr>
          <w:rFonts w:hint="eastAsia"/>
          <w:color w:val="auto"/>
          <w:highlight w:val="none"/>
          <w:vertAlign w:val="superscript"/>
        </w:rPr>
        <w:t>[2]</w:t>
      </w:r>
      <w:r>
        <w:rPr>
          <w:color w:val="auto"/>
          <w:highlight w:val="none"/>
        </w:rPr>
        <w:t>，</w:t>
      </w:r>
      <w:r>
        <w:rPr>
          <w:rFonts w:hint="eastAsia"/>
          <w:color w:val="auto"/>
          <w:highlight w:val="none"/>
        </w:rPr>
        <w:t>突显</w:t>
      </w:r>
      <w:r>
        <w:rPr>
          <w:color w:val="auto"/>
          <w:highlight w:val="none"/>
        </w:rPr>
        <w:t>了其在寒区水循环中的核心</w:t>
      </w:r>
      <w:r>
        <w:rPr>
          <w:rFonts w:hint="eastAsia"/>
          <w:color w:val="auto"/>
          <w:highlight w:val="none"/>
        </w:rPr>
        <w:t>作用</w:t>
      </w:r>
      <w:r>
        <w:rPr>
          <w:color w:val="auto"/>
          <w:highlight w:val="none"/>
        </w:rPr>
        <w:t>。</w:t>
      </w:r>
      <w:r>
        <w:rPr>
          <w:rFonts w:hint="eastAsia"/>
          <w:color w:val="auto"/>
          <w:highlight w:val="none"/>
        </w:rPr>
        <w:t>然而，</w:t>
      </w:r>
      <w:r>
        <w:rPr>
          <w:color w:val="auto"/>
          <w:highlight w:val="none"/>
        </w:rPr>
        <w:t>在气候变暖持续加剧的背景下，积雪积累与消融过程的时空动态趋于复杂</w:t>
      </w:r>
      <w:r>
        <w:rPr>
          <w:rFonts w:hint="eastAsia"/>
          <w:color w:val="auto"/>
          <w:highlight w:val="none"/>
          <w:vertAlign w:val="superscript"/>
        </w:rPr>
        <w:t>[3-4]</w:t>
      </w:r>
      <w:r>
        <w:rPr>
          <w:color w:val="auto"/>
          <w:highlight w:val="none"/>
        </w:rPr>
        <w:t>，对寒区水文模型的模拟精度和适</w:t>
      </w:r>
      <w:r>
        <w:rPr>
          <w:rFonts w:hint="eastAsia"/>
          <w:color w:val="auto"/>
          <w:highlight w:val="none"/>
        </w:rPr>
        <w:t>用</w:t>
      </w:r>
      <w:r>
        <w:rPr>
          <w:color w:val="auto"/>
          <w:highlight w:val="none"/>
        </w:rPr>
        <w:t>性提出了更高要求</w:t>
      </w:r>
      <w:r>
        <w:rPr>
          <w:rFonts w:hint="eastAsia"/>
          <w:color w:val="auto"/>
          <w:highlight w:val="none"/>
          <w:vertAlign w:val="superscript"/>
        </w:rPr>
        <w:t>[5-7]</w:t>
      </w:r>
      <w:r>
        <w:rPr>
          <w:color w:val="auto"/>
          <w:highlight w:val="none"/>
        </w:rPr>
        <w:t>。相较于传统集总式模型，分布式水文模型能更真实地刻画下垫面异质性。SPHY（Spatial Processes in Hydrology）模型为分布式水文模型，</w:t>
      </w:r>
      <w:r>
        <w:rPr>
          <w:rFonts w:hint="eastAsia"/>
          <w:color w:val="auto"/>
          <w:highlight w:val="none"/>
        </w:rPr>
        <w:t>其</w:t>
      </w:r>
      <w:r>
        <w:rPr>
          <w:color w:val="auto"/>
          <w:highlight w:val="none"/>
        </w:rPr>
        <w:t>模块化设计灵活、驱动数据需求相对简单（主要</w:t>
      </w:r>
      <w:r>
        <w:rPr>
          <w:rFonts w:hint="eastAsia"/>
          <w:color w:val="auto"/>
          <w:highlight w:val="none"/>
        </w:rPr>
        <w:t>输入为</w:t>
      </w:r>
      <w:r>
        <w:rPr>
          <w:color w:val="auto"/>
          <w:highlight w:val="none"/>
        </w:rPr>
        <w:t>日降水与气温），兼具冰川与积雪模块，尤其适用于数据稀缺的寒区流域。该模型已在青藏高原及其周边区域的水资源评估、径流组分划分及气候变化影响研究中得到广泛应用</w:t>
      </w:r>
      <w:r>
        <w:rPr>
          <w:rFonts w:hint="eastAsia"/>
          <w:color w:val="auto"/>
          <w:highlight w:val="none"/>
          <w:vertAlign w:val="superscript"/>
        </w:rPr>
        <w:t>[8-9]</w:t>
      </w:r>
      <w:r>
        <w:rPr>
          <w:color w:val="auto"/>
          <w:highlight w:val="none"/>
        </w:rPr>
        <w:t>，</w:t>
      </w:r>
      <w:r>
        <w:rPr>
          <w:rFonts w:hint="eastAsia"/>
          <w:color w:val="auto"/>
          <w:highlight w:val="none"/>
        </w:rPr>
        <w:t>验证</w:t>
      </w:r>
      <w:r>
        <w:rPr>
          <w:color w:val="auto"/>
          <w:highlight w:val="none"/>
        </w:rPr>
        <w:t>了其在寒区水文模拟中的实用性与潜力。</w:t>
      </w:r>
    </w:p>
    <w:p w14:paraId="37763FC3">
      <w:pPr>
        <w:rPr>
          <w:color w:val="auto"/>
          <w:highlight w:val="none"/>
        </w:rPr>
      </w:pPr>
      <w:r>
        <w:rPr>
          <w:color w:val="auto"/>
          <w:highlight w:val="none"/>
        </w:rPr>
        <w:t>融雪过程是一个涉及能量与质量交换的复杂物理过程，其模拟精度是决定寒区流域水文模型</w:t>
      </w:r>
      <w:r>
        <w:rPr>
          <w:rFonts w:hint="eastAsia"/>
          <w:color w:val="auto"/>
          <w:highlight w:val="none"/>
        </w:rPr>
        <w:t>模拟</w:t>
      </w:r>
      <w:r>
        <w:rPr>
          <w:color w:val="auto"/>
          <w:highlight w:val="none"/>
        </w:rPr>
        <w:t>性能的关键。目前，主要的融雪计算方法包括能量平衡法和温度指数法。能量平衡法通过量化太阳辐射、感热、潜热等多源能量输入与积雪消融的定量关系，物理机制</w:t>
      </w:r>
      <w:r>
        <w:rPr>
          <w:rFonts w:hint="eastAsia"/>
          <w:color w:val="auto"/>
          <w:highlight w:val="none"/>
        </w:rPr>
        <w:t>较为</w:t>
      </w:r>
      <w:r>
        <w:rPr>
          <w:color w:val="auto"/>
          <w:highlight w:val="none"/>
        </w:rPr>
        <w:t>完备，适用于刻画复杂下垫面条件下的非均匀融雪过程，但其高度依赖高时空分辨率的辐射、湿度、湍流交换系数等气象数据，在数据稀缺的大尺度寒区流域应用中面临严峻挑战</w:t>
      </w:r>
      <w:r>
        <w:rPr>
          <w:rFonts w:hint="eastAsia"/>
          <w:color w:val="auto"/>
          <w:highlight w:val="none"/>
          <w:vertAlign w:val="superscript"/>
        </w:rPr>
        <w:t>[5, 10]</w:t>
      </w:r>
      <w:r>
        <w:rPr>
          <w:color w:val="auto"/>
          <w:highlight w:val="none"/>
        </w:rPr>
        <w:t>。相比之下，基于度日因子（Degree-Day Factor</w:t>
      </w:r>
      <w:r>
        <w:rPr>
          <w:rFonts w:hint="eastAsia"/>
          <w:color w:val="auto"/>
          <w:highlight w:val="none"/>
        </w:rPr>
        <w:t>，</w:t>
      </w:r>
      <w:r>
        <w:rPr>
          <w:rFonts w:hint="eastAsia"/>
          <w:color w:val="auto"/>
          <w:highlight w:val="none"/>
          <w:lang w:val="en-US" w:eastAsia="zh-CN"/>
        </w:rPr>
        <w:t>DDF</w:t>
      </w:r>
      <w:r>
        <w:rPr>
          <w:color w:val="auto"/>
          <w:highlight w:val="none"/>
        </w:rPr>
        <w:t>）的温度指数法以</w:t>
      </w:r>
      <w:r>
        <w:rPr>
          <w:rFonts w:hint="eastAsia"/>
          <w:color w:val="auto"/>
          <w:highlight w:val="none"/>
        </w:rPr>
        <w:t>“</w:t>
      </w:r>
      <w:r>
        <w:rPr>
          <w:color w:val="auto"/>
          <w:highlight w:val="none"/>
        </w:rPr>
        <w:t>融雪量与正积温呈线性关系</w:t>
      </w:r>
      <w:r>
        <w:rPr>
          <w:rFonts w:hint="eastAsia"/>
          <w:color w:val="auto"/>
          <w:highlight w:val="none"/>
        </w:rPr>
        <w:t>”</w:t>
      </w:r>
      <w:r>
        <w:rPr>
          <w:color w:val="auto"/>
          <w:highlight w:val="none"/>
        </w:rPr>
        <w:t>为核心假设，仅需气温驱动，计算高效且数据需求低，因而被广泛集成于SWAT（</w:t>
      </w:r>
      <w:r>
        <w:rPr>
          <w:rFonts w:hint="eastAsia"/>
          <w:color w:val="auto"/>
          <w:highlight w:val="none"/>
        </w:rPr>
        <w:t>Soil and Water Assessment Tool</w:t>
      </w:r>
      <w:r>
        <w:rPr>
          <w:color w:val="auto"/>
          <w:highlight w:val="none"/>
        </w:rPr>
        <w:t>）、HEC-HMS（The Hydrologic Engineering Center’s</w:t>
      </w:r>
      <w:r>
        <w:rPr>
          <w:rFonts w:hint="eastAsia"/>
          <w:color w:val="auto"/>
          <w:highlight w:val="none"/>
          <w:lang w:val="en-US" w:eastAsia="zh-CN"/>
        </w:rPr>
        <w:t xml:space="preserve"> </w:t>
      </w:r>
      <w:r>
        <w:rPr>
          <w:color w:val="auto"/>
          <w:highlight w:val="none"/>
        </w:rPr>
        <w:t>Hydrologic Modeling</w:t>
      </w:r>
      <w:r>
        <w:rPr>
          <w:rFonts w:hint="eastAsia"/>
          <w:color w:val="auto"/>
          <w:highlight w:val="none"/>
          <w:lang w:val="en-US" w:eastAsia="zh-CN"/>
        </w:rPr>
        <w:t xml:space="preserve"> </w:t>
      </w:r>
      <w:r>
        <w:rPr>
          <w:color w:val="auto"/>
          <w:highlight w:val="none"/>
        </w:rPr>
        <w:t>System）及SPHY等分布式水文模型</w:t>
      </w:r>
      <w:r>
        <w:rPr>
          <w:rFonts w:hint="eastAsia"/>
          <w:color w:val="auto"/>
          <w:highlight w:val="none"/>
        </w:rPr>
        <w:t>中</w:t>
      </w:r>
      <w:r>
        <w:rPr>
          <w:rFonts w:hint="eastAsia"/>
          <w:color w:val="auto"/>
          <w:highlight w:val="none"/>
          <w:vertAlign w:val="superscript"/>
        </w:rPr>
        <w:t>[10]</w:t>
      </w:r>
      <w:r>
        <w:rPr>
          <w:color w:val="auto"/>
          <w:highlight w:val="none"/>
        </w:rPr>
        <w:t>。然而，此类模型的简化处理也带来了</w:t>
      </w:r>
      <w:r>
        <w:rPr>
          <w:rFonts w:hint="eastAsia"/>
          <w:color w:val="auto"/>
          <w:highlight w:val="none"/>
        </w:rPr>
        <w:t>一定</w:t>
      </w:r>
      <w:r>
        <w:rPr>
          <w:color w:val="auto"/>
          <w:highlight w:val="none"/>
        </w:rPr>
        <w:t>的模拟偏差</w:t>
      </w:r>
      <w:r>
        <w:rPr>
          <w:rFonts w:hint="eastAsia"/>
          <w:color w:val="auto"/>
          <w:highlight w:val="none"/>
          <w:vertAlign w:val="superscript"/>
        </w:rPr>
        <w:t>[11]</w:t>
      </w:r>
      <w:r>
        <w:rPr>
          <w:color w:val="auto"/>
          <w:highlight w:val="none"/>
        </w:rPr>
        <w:t>。</w:t>
      </w:r>
      <w:r>
        <w:rPr>
          <w:rFonts w:hint="eastAsia"/>
          <w:color w:val="auto"/>
          <w:highlight w:val="none"/>
        </w:rPr>
        <w:t>已有</w:t>
      </w:r>
      <w:r>
        <w:rPr>
          <w:color w:val="auto"/>
          <w:highlight w:val="none"/>
        </w:rPr>
        <w:t>研究表明，温度指数法在刻画驱动融雪的物理机制方面存在不足</w:t>
      </w:r>
      <w:r>
        <w:rPr>
          <w:rFonts w:hint="eastAsia"/>
          <w:color w:val="auto"/>
          <w:highlight w:val="none"/>
          <w:vertAlign w:val="superscript"/>
        </w:rPr>
        <w:t>[12]</w:t>
      </w:r>
      <w:r>
        <w:rPr>
          <w:rFonts w:hint="eastAsia"/>
          <w:color w:val="auto"/>
          <w:highlight w:val="none"/>
        </w:rPr>
        <w:t>，</w:t>
      </w:r>
      <w:r>
        <w:rPr>
          <w:color w:val="auto"/>
          <w:highlight w:val="none"/>
        </w:rPr>
        <w:t>采用静态度日因子</w:t>
      </w:r>
      <w:r>
        <w:rPr>
          <w:rFonts w:hint="eastAsia"/>
          <w:color w:val="auto"/>
          <w:highlight w:val="none"/>
        </w:rPr>
        <w:t>的</w:t>
      </w:r>
      <w:r>
        <w:rPr>
          <w:color w:val="auto"/>
          <w:highlight w:val="none"/>
        </w:rPr>
        <w:t>融雪</w:t>
      </w:r>
      <w:r>
        <w:rPr>
          <w:rFonts w:hint="eastAsia"/>
          <w:color w:val="auto"/>
          <w:highlight w:val="none"/>
        </w:rPr>
        <w:t>模型如SPHY模型</w:t>
      </w:r>
      <w:r>
        <w:rPr>
          <w:color w:val="auto"/>
          <w:highlight w:val="none"/>
        </w:rPr>
        <w:t>，且未</w:t>
      </w:r>
      <w:r>
        <w:rPr>
          <w:rFonts w:hint="eastAsia"/>
          <w:color w:val="auto"/>
          <w:highlight w:val="none"/>
        </w:rPr>
        <w:t>考虑</w:t>
      </w:r>
      <w:r>
        <w:rPr>
          <w:color w:val="auto"/>
          <w:highlight w:val="none"/>
        </w:rPr>
        <w:t>太阳短波辐射对融雪的直接驱动作用</w:t>
      </w:r>
      <w:r>
        <w:rPr>
          <w:rFonts w:hint="eastAsia"/>
          <w:color w:val="auto"/>
          <w:highlight w:val="none"/>
        </w:rPr>
        <w:t>下，可能会引起融雪量系统性低估15</w:t>
      </w:r>
      <w:r>
        <w:rPr>
          <w:rFonts w:hint="eastAsia"/>
          <w:color w:val="auto"/>
          <w:highlight w:val="none"/>
          <w:lang w:val="en-US" w:eastAsia="zh-CN"/>
        </w:rPr>
        <w:t>%</w:t>
      </w:r>
      <w:r>
        <w:rPr>
          <w:color w:val="auto"/>
          <w:highlight w:val="none"/>
        </w:rPr>
        <w:t>~</w:t>
      </w:r>
      <w:r>
        <w:rPr>
          <w:rFonts w:hint="eastAsia"/>
          <w:color w:val="auto"/>
          <w:highlight w:val="none"/>
        </w:rPr>
        <w:t>30%，尤其在青藏高原东南部等太阳辐射强烈、季节差异显著的区域表现明显，模拟径流过程与实测值偏差较大</w:t>
      </w:r>
      <w:r>
        <w:rPr>
          <w:rFonts w:hint="eastAsia"/>
          <w:color w:val="auto"/>
          <w:highlight w:val="none"/>
          <w:vertAlign w:val="superscript"/>
        </w:rPr>
        <w:t>[5, 13]</w:t>
      </w:r>
      <w:r>
        <w:rPr>
          <w:color w:val="auto"/>
          <w:highlight w:val="none"/>
        </w:rPr>
        <w:t>。</w:t>
      </w:r>
    </w:p>
    <w:p w14:paraId="4E78F3A8">
      <w:pPr>
        <w:widowControl/>
        <w:jc w:val="left"/>
        <w:rPr>
          <w:color w:val="auto"/>
          <w:highlight w:val="none"/>
        </w:rPr>
      </w:pPr>
      <w:r>
        <w:rPr>
          <w:color w:val="auto"/>
          <w:highlight w:val="none"/>
        </w:rPr>
        <w:t>针对温度指数法在物理机制方面的局限性</w:t>
      </w:r>
      <w:r>
        <w:rPr>
          <w:rFonts w:hint="eastAsia"/>
          <w:color w:val="auto"/>
          <w:highlight w:val="none"/>
        </w:rPr>
        <w:t>，</w:t>
      </w:r>
      <w:r>
        <w:rPr>
          <w:color w:val="auto"/>
          <w:highlight w:val="none"/>
        </w:rPr>
        <w:t>国内外学者展开了积极探索。改进研究主要</w:t>
      </w:r>
      <w:r>
        <w:rPr>
          <w:rFonts w:hint="eastAsia"/>
          <w:color w:val="auto"/>
          <w:highlight w:val="none"/>
        </w:rPr>
        <w:t>有</w:t>
      </w:r>
      <w:r>
        <w:rPr>
          <w:color w:val="auto"/>
          <w:highlight w:val="none"/>
        </w:rPr>
        <w:t>以下</w:t>
      </w:r>
      <w:r>
        <w:rPr>
          <w:rFonts w:hint="eastAsia"/>
          <w:color w:val="auto"/>
          <w:highlight w:val="none"/>
        </w:rPr>
        <w:t>两个方面</w:t>
      </w:r>
      <w:r>
        <w:rPr>
          <w:color w:val="auto"/>
          <w:highlight w:val="none"/>
        </w:rPr>
        <w:t>：</w:t>
      </w:r>
      <w:r>
        <w:rPr>
          <w:rFonts w:hint="eastAsia"/>
          <w:color w:val="auto"/>
          <w:highlight w:val="none"/>
        </w:rPr>
        <w:t>一是引入关键物理变量，例如，</w:t>
      </w:r>
      <w:bookmarkStart w:id="0" w:name="OLE_LINK3"/>
      <w:r>
        <w:rPr>
          <w:color w:val="auto"/>
          <w:highlight w:val="none"/>
        </w:rPr>
        <w:t>BOUAMRI等</w:t>
      </w:r>
      <w:r>
        <w:rPr>
          <w:rFonts w:hint="eastAsia"/>
          <w:color w:val="auto"/>
          <w:highlight w:val="none"/>
          <w:vertAlign w:val="superscript"/>
        </w:rPr>
        <w:t>[14]</w:t>
      </w:r>
      <w:r>
        <w:rPr>
          <w:color w:val="auto"/>
          <w:highlight w:val="none"/>
        </w:rPr>
        <w:t>通过系统比较温度指数与辐射指数模型在摩洛哥高阿特拉斯山区的</w:t>
      </w:r>
      <w:r>
        <w:rPr>
          <w:rFonts w:hint="eastAsia"/>
          <w:color w:val="auto"/>
          <w:highlight w:val="none"/>
        </w:rPr>
        <w:t>模拟</w:t>
      </w:r>
      <w:r>
        <w:rPr>
          <w:color w:val="auto"/>
          <w:highlight w:val="none"/>
        </w:rPr>
        <w:t>性能，证实了引入短波辐射驱动能够更精确地刻画点尺度雪水当量的动态变化，为增强温度指数法的物理机制提供了关键依据</w:t>
      </w:r>
      <w:r>
        <w:rPr>
          <w:rFonts w:hint="eastAsia"/>
          <w:color w:val="auto"/>
          <w:highlight w:val="none"/>
        </w:rPr>
        <w:t>；</w:t>
      </w:r>
      <w:bookmarkEnd w:id="0"/>
      <w:r>
        <w:rPr>
          <w:color w:val="auto"/>
          <w:highlight w:val="none"/>
        </w:rPr>
        <w:t>ZHAO等</w:t>
      </w:r>
      <w:r>
        <w:rPr>
          <w:rFonts w:hint="eastAsia"/>
          <w:color w:val="auto"/>
          <w:highlight w:val="none"/>
          <w:vertAlign w:val="superscript"/>
        </w:rPr>
        <w:t>[15]</w:t>
      </w:r>
      <w:r>
        <w:rPr>
          <w:color w:val="auto"/>
          <w:highlight w:val="none"/>
        </w:rPr>
        <w:t>在SWAT模型中引入总辐射修正项，使天山融雪期径流模拟的纳什效率系数提升</w:t>
      </w:r>
      <w:r>
        <w:rPr>
          <w:rFonts w:hint="eastAsia"/>
          <w:color w:val="auto"/>
          <w:highlight w:val="none"/>
        </w:rPr>
        <w:t>了</w:t>
      </w:r>
      <w:r>
        <w:rPr>
          <w:color w:val="auto"/>
          <w:highlight w:val="none"/>
        </w:rPr>
        <w:t>8%~12%</w:t>
      </w:r>
      <w:r>
        <w:rPr>
          <w:rFonts w:hint="eastAsia"/>
          <w:color w:val="auto"/>
          <w:highlight w:val="none"/>
        </w:rPr>
        <w:t>。</w:t>
      </w:r>
      <w:r>
        <w:rPr>
          <w:color w:val="auto"/>
          <w:highlight w:val="none"/>
        </w:rPr>
        <w:t>其二是优化模型输入与参数，例如</w:t>
      </w:r>
      <w:r>
        <w:rPr>
          <w:rFonts w:hint="eastAsia"/>
          <w:color w:val="auto"/>
          <w:highlight w:val="none"/>
        </w:rPr>
        <w:t>，</w:t>
      </w:r>
      <w:r>
        <w:rPr>
          <w:color w:val="auto"/>
          <w:highlight w:val="none"/>
        </w:rPr>
        <w:t>刘江涛等</w:t>
      </w:r>
      <w:r>
        <w:rPr>
          <w:rFonts w:hint="eastAsia"/>
          <w:color w:val="auto"/>
          <w:highlight w:val="none"/>
          <w:vertAlign w:val="superscript"/>
        </w:rPr>
        <w:t>[16]</w:t>
      </w:r>
      <w:r>
        <w:rPr>
          <w:color w:val="auto"/>
          <w:highlight w:val="none"/>
        </w:rPr>
        <w:t>认识到站点数据在代表高寒山区真实降水空间分布上的局限性，开发了基于遥感卫星数据校正的降水输入模块，并将其与度日因子模型耦合，在拉萨河流域有效提高了融雪径流模拟效</w:t>
      </w:r>
      <w:r>
        <w:rPr>
          <w:rFonts w:hint="eastAsia"/>
          <w:color w:val="auto"/>
          <w:highlight w:val="none"/>
        </w:rPr>
        <w:t>果；穆艾塔尔</w:t>
      </w:r>
      <w:r>
        <w:rPr>
          <w:color w:val="auto"/>
          <w:highlight w:val="none"/>
        </w:rPr>
        <w:t>·</w:t>
      </w:r>
      <w:r>
        <w:rPr>
          <w:rFonts w:hint="eastAsia"/>
          <w:color w:val="auto"/>
          <w:highlight w:val="none"/>
        </w:rPr>
        <w:t>赛地等</w:t>
      </w:r>
      <w:r>
        <w:rPr>
          <w:rFonts w:hint="eastAsia"/>
          <w:color w:val="auto"/>
          <w:highlight w:val="none"/>
          <w:vertAlign w:val="superscript"/>
        </w:rPr>
        <w:t>[17]</w:t>
      </w:r>
      <w:r>
        <w:rPr>
          <w:rFonts w:hint="eastAsia"/>
          <w:color w:val="auto"/>
          <w:highlight w:val="none"/>
        </w:rPr>
        <w:t>则从地形因素入手，在SRM（Snowmelt Runoff Model）模型中引入了海拔、坡向和坡度相结合的精细化流域分带方法及度日因子计算方案，使模型在乌鲁木齐河流域的模拟确定性系数R²从0.77提高至0.80。</w:t>
      </w:r>
      <w:r>
        <w:rPr>
          <w:color w:val="auto"/>
          <w:highlight w:val="none"/>
        </w:rPr>
        <w:t>这些研究在一定程度上弥补了传统温度指数法的不足，推动了寒区融雪</w:t>
      </w:r>
      <w:r>
        <w:rPr>
          <w:rFonts w:hint="eastAsia"/>
          <w:color w:val="auto"/>
          <w:highlight w:val="none"/>
        </w:rPr>
        <w:t>径流</w:t>
      </w:r>
      <w:r>
        <w:rPr>
          <w:color w:val="auto"/>
          <w:highlight w:val="none"/>
        </w:rPr>
        <w:t>模拟的发展。</w:t>
      </w:r>
      <w:r>
        <w:rPr>
          <w:rFonts w:hint="eastAsia"/>
          <w:color w:val="auto"/>
          <w:highlight w:val="none"/>
        </w:rPr>
        <w:t>然而，现有</w:t>
      </w:r>
      <w:r>
        <w:rPr>
          <w:color w:val="auto"/>
          <w:highlight w:val="none"/>
        </w:rPr>
        <w:t>改进方案</w:t>
      </w:r>
      <w:r>
        <w:rPr>
          <w:rFonts w:hint="eastAsia"/>
          <w:color w:val="auto"/>
          <w:highlight w:val="none"/>
        </w:rPr>
        <w:t>主要</w:t>
      </w:r>
      <w:r>
        <w:rPr>
          <w:color w:val="auto"/>
          <w:highlight w:val="none"/>
        </w:rPr>
        <w:t>聚焦于</w:t>
      </w:r>
      <w:r>
        <w:rPr>
          <w:rFonts w:hint="eastAsia"/>
          <w:color w:val="auto"/>
          <w:highlight w:val="none"/>
        </w:rPr>
        <w:t>单一因子改进，如仅耦合辐射、地形等。在青藏高原东南部，由于季风性降水与强烈的太阳辐射共同作用，积雪消融呈现出极强的非线性特征，现有基于单一物理因子的改进模型往往难以准确捕捉这种复杂的时空演变规律。因此，亟需一种能够同时考虑太阳辐射与温度协同效应，并适应该区域独特水文特征的改进模型。此外，</w:t>
      </w:r>
      <w:r>
        <w:rPr>
          <w:color w:val="auto"/>
          <w:highlight w:val="none"/>
        </w:rPr>
        <w:t>雅鲁藏布江</w:t>
      </w:r>
      <w:r>
        <w:rPr>
          <w:rFonts w:hint="eastAsia"/>
          <w:color w:val="auto"/>
          <w:highlight w:val="none"/>
        </w:rPr>
        <w:t>及其</w:t>
      </w:r>
      <w:r>
        <w:rPr>
          <w:color w:val="auto"/>
          <w:highlight w:val="none"/>
        </w:rPr>
        <w:t>支流</w:t>
      </w:r>
      <w:r>
        <w:rPr>
          <w:rFonts w:hint="eastAsia"/>
          <w:color w:val="auto"/>
          <w:highlight w:val="none"/>
        </w:rPr>
        <w:t>等季节性融雪流域</w:t>
      </w:r>
      <w:r>
        <w:rPr>
          <w:color w:val="auto"/>
          <w:highlight w:val="none"/>
        </w:rPr>
        <w:t>，相关系统性研究仍较为缺乏</w:t>
      </w:r>
      <w:r>
        <w:rPr>
          <w:rFonts w:hint="eastAsia"/>
          <w:color w:val="auto"/>
          <w:highlight w:val="none"/>
        </w:rPr>
        <w:t>，融雪径流的关键驱动因素也还有待于进一步研究</w:t>
      </w:r>
      <w:r>
        <w:rPr>
          <w:color w:val="auto"/>
          <w:highlight w:val="none"/>
        </w:rPr>
        <w:t>。</w:t>
      </w:r>
    </w:p>
    <w:p w14:paraId="11284961">
      <w:pPr>
        <w:pStyle w:val="8"/>
        <w:rPr>
          <w:color w:val="auto"/>
          <w:highlight w:val="none"/>
        </w:rPr>
      </w:pPr>
      <w:r>
        <w:rPr>
          <w:color w:val="auto"/>
          <w:highlight w:val="none"/>
        </w:rPr>
        <w:t>尼洋河流域属于典型的以季节性融雪为主要补给来源的寒区流域。该区域太阳辐射强度大，积雪消融季节变化显著。本研究以尼洋河流域为研究对象，针对SPHY模型在寒区融雪</w:t>
      </w:r>
      <w:r>
        <w:rPr>
          <w:rFonts w:hint="eastAsia"/>
          <w:color w:val="auto"/>
          <w:highlight w:val="none"/>
        </w:rPr>
        <w:t>径流</w:t>
      </w:r>
      <w:r>
        <w:rPr>
          <w:color w:val="auto"/>
          <w:highlight w:val="none"/>
        </w:rPr>
        <w:t>模拟中存在的不足，对其融雪模块进行改进</w:t>
      </w:r>
      <w:r>
        <w:rPr>
          <w:rFonts w:hint="eastAsia"/>
          <w:color w:val="auto"/>
          <w:highlight w:val="none"/>
        </w:rPr>
        <w:t>：</w:t>
      </w:r>
      <w:r>
        <w:rPr>
          <w:color w:val="auto"/>
          <w:highlight w:val="none"/>
        </w:rPr>
        <w:t>（1）构建辐射耦合的融雪潜在能量项，将太阳短波辐射与温度因子共同纳入融雪计算；（2）提出基于雪深</w:t>
      </w:r>
      <w:r>
        <w:rPr>
          <w:rFonts w:hAnsi="Times New Roman"/>
          <w:color w:val="auto"/>
          <w:highlight w:val="none"/>
        </w:rPr>
        <w:t>—</w:t>
      </w:r>
      <w:r>
        <w:rPr>
          <w:rFonts w:hint="eastAsia"/>
          <w:color w:val="auto"/>
          <w:highlight w:val="none"/>
        </w:rPr>
        <w:t>太阳辐射</w:t>
      </w:r>
      <w:r>
        <w:rPr>
          <w:color w:val="auto"/>
          <w:highlight w:val="none"/>
        </w:rPr>
        <w:t>关系的季节性动态度日因子，通过正弦函数刻画度日因子的年内动态变化，适配季节性融雪流域特征；（3）量化</w:t>
      </w:r>
      <w:r>
        <w:rPr>
          <w:rFonts w:hint="eastAsia"/>
          <w:color w:val="auto"/>
          <w:highlight w:val="none"/>
        </w:rPr>
        <w:t>不同驱动因子</w:t>
      </w:r>
      <w:r>
        <w:rPr>
          <w:color w:val="auto"/>
          <w:highlight w:val="none"/>
        </w:rPr>
        <w:t>在融雪能量中的重要贡献。本研究旨在通过上述改进，提升寒区融雪径流的模拟精度，并量化各驱动因子的重要性，以期为气候变化背景下寒区水资源管理与风险防控提供科学依据。</w:t>
      </w:r>
    </w:p>
    <w:p w14:paraId="5193BD71">
      <w:pPr>
        <w:pStyle w:val="2"/>
        <w:rPr>
          <w:color w:val="auto"/>
          <w:highlight w:val="none"/>
        </w:rPr>
      </w:pPr>
      <w:r>
        <w:rPr>
          <w:rFonts w:hint="eastAsia"/>
          <w:color w:val="auto"/>
          <w:highlight w:val="none"/>
        </w:rPr>
        <w:t>1数据</w:t>
      </w:r>
    </w:p>
    <w:p w14:paraId="2BD78287">
      <w:pPr>
        <w:pStyle w:val="3"/>
        <w:rPr>
          <w:color w:val="auto"/>
          <w:highlight w:val="none"/>
        </w:rPr>
      </w:pPr>
      <w:r>
        <w:rPr>
          <w:rFonts w:hint="eastAsia"/>
          <w:color w:val="auto"/>
          <w:highlight w:val="none"/>
        </w:rPr>
        <w:t>1.1研究流域</w:t>
      </w:r>
      <w:r>
        <w:rPr>
          <w:color w:val="auto"/>
          <w:highlight w:val="none"/>
        </w:rPr>
        <w:t>概况</w:t>
      </w:r>
    </w:p>
    <w:p w14:paraId="05B72CCB">
      <w:pPr>
        <w:rPr>
          <w:color w:val="auto"/>
          <w:highlight w:val="none"/>
        </w:rPr>
      </w:pPr>
      <w:r>
        <w:rPr>
          <w:color w:val="auto"/>
          <w:highlight w:val="none"/>
        </w:rPr>
        <w:t>尼洋河流域（29°28′</w:t>
      </w:r>
      <w:r>
        <w:rPr>
          <w:rFonts w:hint="eastAsia"/>
          <w:color w:val="auto"/>
          <w:highlight w:val="none"/>
        </w:rPr>
        <w:t>N</w:t>
      </w:r>
      <w:r>
        <w:rPr>
          <w:rFonts w:hint="eastAsia" w:hAnsi="Times New Roman"/>
          <w:color w:val="auto"/>
          <w:highlight w:val="none"/>
        </w:rPr>
        <w:t>—</w:t>
      </w:r>
      <w:r>
        <w:rPr>
          <w:color w:val="auto"/>
          <w:highlight w:val="none"/>
        </w:rPr>
        <w:t>30°30′N，92°10′E</w:t>
      </w:r>
      <w:r>
        <w:rPr>
          <w:rFonts w:hint="eastAsia" w:hAnsi="Times New Roman"/>
          <w:color w:val="auto"/>
          <w:highlight w:val="none"/>
        </w:rPr>
        <w:t>—</w:t>
      </w:r>
      <w:r>
        <w:rPr>
          <w:color w:val="auto"/>
          <w:highlight w:val="none"/>
        </w:rPr>
        <w:t>94°35′E）位于青藏高原东南部，是雅鲁藏布江下游北岸的重要支流</w:t>
      </w:r>
      <w:r>
        <w:rPr>
          <w:rFonts w:hint="eastAsia"/>
          <w:color w:val="auto"/>
          <w:highlight w:val="none"/>
        </w:rPr>
        <w:t>（见图1）</w:t>
      </w:r>
      <w:r>
        <w:rPr>
          <w:color w:val="auto"/>
          <w:highlight w:val="none"/>
        </w:rPr>
        <w:t>，</w:t>
      </w:r>
      <w:r>
        <w:rPr>
          <w:rFonts w:hint="eastAsia"/>
          <w:color w:val="auto"/>
          <w:highlight w:val="none"/>
        </w:rPr>
        <w:t>更张水文站控制流域</w:t>
      </w:r>
      <w:r>
        <w:rPr>
          <w:color w:val="auto"/>
          <w:highlight w:val="none"/>
        </w:rPr>
        <w:t>面积约1</w:t>
      </w:r>
      <w:r>
        <w:rPr>
          <w:rFonts w:hint="eastAsia"/>
          <w:color w:val="auto"/>
          <w:highlight w:val="none"/>
        </w:rPr>
        <w:t>5</w:t>
      </w:r>
      <w:r>
        <w:rPr>
          <w:color w:val="auto"/>
          <w:highlight w:val="none"/>
        </w:rPr>
        <w:t>8</w:t>
      </w:r>
      <w:r>
        <w:rPr>
          <w:rFonts w:hint="eastAsia"/>
          <w:color w:val="auto"/>
          <w:highlight w:val="none"/>
        </w:rPr>
        <w:t>21</w:t>
      </w:r>
      <w:r>
        <w:rPr>
          <w:color w:val="auto"/>
          <w:highlight w:val="none"/>
        </w:rPr>
        <w:t xml:space="preserve"> km²。流域发源于念青唐古拉山脉南麓，干流全长</w:t>
      </w:r>
      <w:r>
        <w:rPr>
          <w:rFonts w:hint="eastAsia"/>
          <w:color w:val="auto"/>
          <w:highlight w:val="none"/>
        </w:rPr>
        <w:t>307.5</w:t>
      </w:r>
      <w:r>
        <w:rPr>
          <w:color w:val="auto"/>
          <w:highlight w:val="none"/>
        </w:rPr>
        <w:t xml:space="preserve"> km，总落差2080</w:t>
      </w:r>
      <w:r>
        <w:rPr>
          <w:rFonts w:hint="eastAsia"/>
          <w:color w:val="auto"/>
          <w:highlight w:val="none"/>
        </w:rPr>
        <w:t>m</w:t>
      </w:r>
      <w:r>
        <w:rPr>
          <w:color w:val="auto"/>
          <w:highlight w:val="none"/>
        </w:rPr>
        <w:t>，平均坡降约7‰。地势西北高、东南低，谷底海拔3000</w:t>
      </w:r>
      <w:r>
        <w:rPr>
          <w:rFonts w:hint="eastAsia"/>
          <w:color w:val="auto"/>
          <w:highlight w:val="none"/>
        </w:rPr>
        <w:t>~</w:t>
      </w:r>
      <w:r>
        <w:rPr>
          <w:color w:val="auto"/>
          <w:highlight w:val="none"/>
        </w:rPr>
        <w:t>3500</w:t>
      </w:r>
      <w:r>
        <w:rPr>
          <w:rFonts w:hint="eastAsia"/>
          <w:color w:val="auto"/>
          <w:highlight w:val="none"/>
        </w:rPr>
        <w:t>m</w:t>
      </w:r>
      <w:r>
        <w:rPr>
          <w:color w:val="auto"/>
          <w:highlight w:val="none"/>
        </w:rPr>
        <w:t>，山脊海拔多为5500</w:t>
      </w:r>
      <w:r>
        <w:rPr>
          <w:rFonts w:hint="eastAsia"/>
          <w:color w:val="auto"/>
          <w:highlight w:val="none"/>
        </w:rPr>
        <w:t>~</w:t>
      </w:r>
      <w:r>
        <w:rPr>
          <w:color w:val="auto"/>
          <w:highlight w:val="none"/>
        </w:rPr>
        <w:t>6500</w:t>
      </w:r>
      <w:r>
        <w:rPr>
          <w:rFonts w:hint="eastAsia"/>
          <w:color w:val="auto"/>
          <w:highlight w:val="none"/>
        </w:rPr>
        <w:t>m</w:t>
      </w:r>
      <w:r>
        <w:rPr>
          <w:rFonts w:hint="eastAsia"/>
          <w:color w:val="auto"/>
          <w:highlight w:val="none"/>
          <w:vertAlign w:val="superscript"/>
        </w:rPr>
        <w:t>[18]</w:t>
      </w:r>
      <w:r>
        <w:rPr>
          <w:color w:val="auto"/>
          <w:highlight w:val="none"/>
        </w:rPr>
        <w:t>。冰川与永久积雪面积约975 km²，占全流域的5.5%，是重要的</w:t>
      </w:r>
      <w:r>
        <w:rPr>
          <w:rFonts w:hint="eastAsia"/>
          <w:color w:val="auto"/>
          <w:highlight w:val="none"/>
        </w:rPr>
        <w:t>“</w:t>
      </w:r>
      <w:r>
        <w:rPr>
          <w:color w:val="auto"/>
          <w:highlight w:val="none"/>
        </w:rPr>
        <w:t>固态水库</w:t>
      </w:r>
      <w:r>
        <w:rPr>
          <w:rFonts w:hint="eastAsia"/>
          <w:color w:val="auto"/>
          <w:highlight w:val="none"/>
        </w:rPr>
        <w:t>”</w:t>
      </w:r>
      <w:r>
        <w:rPr>
          <w:rFonts w:hint="eastAsia"/>
          <w:color w:val="auto"/>
          <w:highlight w:val="none"/>
          <w:vertAlign w:val="superscript"/>
        </w:rPr>
        <w:t>[19]</w:t>
      </w:r>
      <w:r>
        <w:rPr>
          <w:color w:val="auto"/>
          <w:highlight w:val="none"/>
        </w:rPr>
        <w:t>。流域属湿润温带气候，四季分明，干湿季显著</w:t>
      </w:r>
      <w:r>
        <w:rPr>
          <w:rFonts w:hint="eastAsia"/>
          <w:color w:val="auto"/>
          <w:highlight w:val="none"/>
        </w:rPr>
        <w:t>。</w:t>
      </w:r>
      <w:r>
        <w:rPr>
          <w:color w:val="auto"/>
          <w:highlight w:val="none"/>
        </w:rPr>
        <w:t>受印度季风影响，多年平均气温约</w:t>
      </w:r>
      <w:r>
        <w:rPr>
          <w:rFonts w:hint="eastAsia"/>
          <w:color w:val="auto"/>
          <w:highlight w:val="none"/>
        </w:rPr>
        <w:t>8.5</w:t>
      </w:r>
      <w:r>
        <w:rPr>
          <w:color w:val="auto"/>
          <w:highlight w:val="none"/>
        </w:rPr>
        <w:t xml:space="preserve"> °C</w:t>
      </w:r>
      <w:r>
        <w:rPr>
          <w:rFonts w:hint="eastAsia"/>
          <w:color w:val="auto"/>
          <w:highlight w:val="none"/>
        </w:rPr>
        <w:t>，</w:t>
      </w:r>
      <w:r>
        <w:rPr>
          <w:color w:val="auto"/>
          <w:highlight w:val="none"/>
        </w:rPr>
        <w:t>季节变化明显，年</w:t>
      </w:r>
      <w:r>
        <w:rPr>
          <w:rFonts w:hint="eastAsia"/>
          <w:color w:val="auto"/>
          <w:highlight w:val="none"/>
        </w:rPr>
        <w:t>内</w:t>
      </w:r>
      <w:r>
        <w:rPr>
          <w:color w:val="auto"/>
          <w:highlight w:val="none"/>
        </w:rPr>
        <w:t>温差</w:t>
      </w:r>
      <w:r>
        <w:rPr>
          <w:rFonts w:hint="eastAsia"/>
          <w:color w:val="auto"/>
          <w:highlight w:val="none"/>
        </w:rPr>
        <w:t>约15.4</w:t>
      </w:r>
      <w:r>
        <w:rPr>
          <w:color w:val="auto"/>
          <w:highlight w:val="none"/>
        </w:rPr>
        <w:t>°C</w:t>
      </w:r>
      <w:r>
        <w:rPr>
          <w:rFonts w:hint="eastAsia"/>
          <w:color w:val="auto"/>
          <w:highlight w:val="none"/>
        </w:rPr>
        <w:t>，</w:t>
      </w:r>
      <w:r>
        <w:rPr>
          <w:color w:val="auto"/>
          <w:highlight w:val="none"/>
        </w:rPr>
        <w:t>多年平均降水量约1295 mm，主要集中在6</w:t>
      </w:r>
      <w:r>
        <w:rPr>
          <w:rFonts w:hint="eastAsia" w:hAnsi="Times New Roman"/>
          <w:color w:val="auto"/>
          <w:highlight w:val="none"/>
        </w:rPr>
        <w:t>—</w:t>
      </w:r>
      <w:r>
        <w:rPr>
          <w:color w:val="auto"/>
          <w:highlight w:val="none"/>
        </w:rPr>
        <w:t>9月</w:t>
      </w:r>
      <w:r>
        <w:rPr>
          <w:rFonts w:hint="eastAsia"/>
          <w:color w:val="auto"/>
          <w:highlight w:val="none"/>
          <w:vertAlign w:val="superscript"/>
        </w:rPr>
        <w:t>[20]</w:t>
      </w:r>
      <w:r>
        <w:rPr>
          <w:color w:val="auto"/>
          <w:highlight w:val="none"/>
        </w:rPr>
        <w:t>。</w:t>
      </w:r>
    </w:p>
    <w:p w14:paraId="5F3E209D">
      <w:pPr>
        <w:ind w:firstLine="0" w:firstLineChars="0"/>
        <w:rPr>
          <w:color w:val="auto"/>
          <w:highlight w:val="none"/>
        </w:rPr>
      </w:pPr>
    </w:p>
    <w:p w14:paraId="6D762211">
      <w:pPr>
        <w:ind w:firstLine="0" w:firstLineChars="0"/>
        <w:rPr>
          <w:color w:val="auto"/>
          <w:highlight w:val="none"/>
        </w:rPr>
      </w:pPr>
      <w:r>
        <w:rPr>
          <w:rFonts w:hint="eastAsia"/>
          <w:color w:val="auto"/>
          <w:highlight w:val="none"/>
        </w:rPr>
        <w:drawing>
          <wp:inline distT="0" distB="0" distL="114300" distR="114300">
            <wp:extent cx="5235575" cy="2160905"/>
            <wp:effectExtent l="0" t="0" r="9525" b="10795"/>
            <wp:docPr id="17" name="图片 17" descr="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演1"/>
                    <pic:cNvPicPr>
                      <a:picLocks noChangeAspect="1"/>
                    </pic:cNvPicPr>
                  </pic:nvPicPr>
                  <pic:blipFill>
                    <a:blip r:embed="rId8"/>
                    <a:stretch>
                      <a:fillRect/>
                    </a:stretch>
                  </pic:blipFill>
                  <pic:spPr>
                    <a:xfrm>
                      <a:off x="0" y="0"/>
                      <a:ext cx="5235575" cy="2160905"/>
                    </a:xfrm>
                    <a:prstGeom prst="rect">
                      <a:avLst/>
                    </a:prstGeom>
                  </pic:spPr>
                </pic:pic>
              </a:graphicData>
            </a:graphic>
          </wp:inline>
        </w:drawing>
      </w:r>
    </w:p>
    <w:p w14:paraId="6805C9C1">
      <w:pPr>
        <w:ind w:firstLine="0" w:firstLineChars="0"/>
        <w:jc w:val="center"/>
        <w:rPr>
          <w:rFonts w:eastAsia="黑体"/>
          <w:color w:val="auto"/>
          <w:sz w:val="18"/>
          <w:szCs w:val="18"/>
          <w:highlight w:val="none"/>
        </w:rPr>
      </w:pPr>
      <w:r>
        <w:rPr>
          <w:rFonts w:eastAsia="黑体"/>
          <w:color w:val="auto"/>
          <w:sz w:val="18"/>
          <w:szCs w:val="18"/>
          <w:highlight w:val="none"/>
        </w:rPr>
        <w:t xml:space="preserve">图1  </w:t>
      </w:r>
      <w:r>
        <w:rPr>
          <w:rFonts w:hint="eastAsia" w:eastAsia="黑体"/>
          <w:color w:val="auto"/>
          <w:sz w:val="18"/>
          <w:szCs w:val="18"/>
          <w:highlight w:val="none"/>
        </w:rPr>
        <w:t>尼洋河更张站点以上流域概况</w:t>
      </w:r>
    </w:p>
    <w:p w14:paraId="4119DA63">
      <w:pPr>
        <w:pStyle w:val="8"/>
        <w:spacing w:after="0"/>
        <w:ind w:firstLine="0" w:firstLineChars="0"/>
        <w:jc w:val="center"/>
        <w:rPr>
          <w:rFonts w:eastAsia="黑体"/>
          <w:bCs/>
          <w:color w:val="auto"/>
          <w:sz w:val="18"/>
          <w:szCs w:val="18"/>
          <w:highlight w:val="none"/>
        </w:rPr>
      </w:pPr>
      <w:r>
        <w:rPr>
          <w:rFonts w:eastAsia="黑体"/>
          <w:bCs/>
          <w:color w:val="auto"/>
          <w:sz w:val="18"/>
          <w:szCs w:val="18"/>
          <w:highlight w:val="none"/>
        </w:rPr>
        <w:t xml:space="preserve">Fig.1  Overview of Niyang River Basin above Gengzhang </w:t>
      </w:r>
      <w:r>
        <w:rPr>
          <w:rFonts w:hint="eastAsia" w:eastAsia="黑体"/>
          <w:bCs/>
          <w:color w:val="auto"/>
          <w:sz w:val="18"/>
          <w:szCs w:val="18"/>
          <w:highlight w:val="none"/>
          <w:lang w:val="en-US" w:eastAsia="zh-CN"/>
        </w:rPr>
        <w:t>h</w:t>
      </w:r>
      <w:r>
        <w:rPr>
          <w:rFonts w:eastAsia="黑体"/>
          <w:bCs/>
          <w:color w:val="auto"/>
          <w:sz w:val="18"/>
          <w:szCs w:val="18"/>
          <w:highlight w:val="none"/>
        </w:rPr>
        <w:t xml:space="preserve">ydrological </w:t>
      </w:r>
      <w:r>
        <w:rPr>
          <w:rFonts w:hint="eastAsia" w:eastAsia="黑体"/>
          <w:bCs/>
          <w:color w:val="auto"/>
          <w:sz w:val="18"/>
          <w:szCs w:val="18"/>
          <w:highlight w:val="none"/>
          <w:lang w:val="en-US" w:eastAsia="zh-CN"/>
        </w:rPr>
        <w:t>s</w:t>
      </w:r>
      <w:r>
        <w:rPr>
          <w:rFonts w:eastAsia="黑体"/>
          <w:bCs/>
          <w:color w:val="auto"/>
          <w:sz w:val="18"/>
          <w:szCs w:val="18"/>
          <w:highlight w:val="none"/>
        </w:rPr>
        <w:t>tation</w:t>
      </w:r>
    </w:p>
    <w:p w14:paraId="17DBE9AD">
      <w:pPr>
        <w:pStyle w:val="3"/>
        <w:rPr>
          <w:color w:val="auto"/>
          <w:highlight w:val="none"/>
        </w:rPr>
      </w:pPr>
      <w:bookmarkStart w:id="1" w:name="OLE_LINK2"/>
      <w:r>
        <w:rPr>
          <w:rFonts w:hint="eastAsia"/>
          <w:color w:val="auto"/>
          <w:highlight w:val="none"/>
        </w:rPr>
        <w:t>1.2数据来源</w:t>
      </w:r>
    </w:p>
    <w:bookmarkEnd w:id="1"/>
    <w:p w14:paraId="6AA03FED">
      <w:pPr>
        <w:rPr>
          <w:color w:val="auto"/>
          <w:highlight w:val="none"/>
        </w:rPr>
      </w:pPr>
      <w:r>
        <w:rPr>
          <w:color w:val="auto"/>
          <w:highlight w:val="none"/>
        </w:rPr>
        <w:t>为构建、驱动、率定与验证SPHY模型，本研究收集了多源数据，主要包括基础地理数据、气象驱动数据以及用于模型验证的观测与遥感数据。其中，数字高程模型（DEM）采用地理空间数据云平台发布的90</w:t>
      </w:r>
      <w:r>
        <w:rPr>
          <w:rFonts w:hint="eastAsia"/>
          <w:color w:val="auto"/>
          <w:highlight w:val="none"/>
        </w:rPr>
        <w:t>m</w:t>
      </w:r>
      <w:r>
        <w:rPr>
          <w:color w:val="auto"/>
          <w:highlight w:val="none"/>
        </w:rPr>
        <w:t>分辨率数据，用于提取流域边界、河网及坡度等信息；土地利用数据采用欧洲航天局发布的GlobCover2009全球土地利用产品，空间分辨率为300米，各地类关联相应作物系数以计算潜在蒸散发</w:t>
      </w:r>
      <w:r>
        <w:rPr>
          <w:rFonts w:hint="eastAsia"/>
          <w:color w:val="auto"/>
          <w:highlight w:val="none"/>
          <w:vertAlign w:val="superscript"/>
        </w:rPr>
        <w:t>[21]</w:t>
      </w:r>
      <w:r>
        <w:rPr>
          <w:color w:val="auto"/>
          <w:highlight w:val="none"/>
        </w:rPr>
        <w:t>；土壤水力参数来源于HiHydroSoil v</w:t>
      </w:r>
      <w:r>
        <w:rPr>
          <w:rFonts w:hint="eastAsia"/>
          <w:color w:val="auto"/>
          <w:highlight w:val="none"/>
        </w:rPr>
        <w:t>1.2</w:t>
      </w:r>
      <w:r>
        <w:rPr>
          <w:color w:val="auto"/>
          <w:highlight w:val="none"/>
        </w:rPr>
        <w:t>全球土壤水力数据库，分辨率为1</w:t>
      </w:r>
      <w:r>
        <w:rPr>
          <w:rFonts w:hint="eastAsia"/>
          <w:color w:val="auto"/>
          <w:highlight w:val="none"/>
        </w:rPr>
        <w:t>km</w:t>
      </w:r>
      <w:r>
        <w:rPr>
          <w:color w:val="auto"/>
          <w:highlight w:val="none"/>
        </w:rPr>
        <w:t xml:space="preserve">，提供根区层与下层土壤的田间持水量、饱和含水量、永久萎蔫点及饱和水力传导率等关键参数；冰川范围数据采用Randolph Glacier Inventory </w:t>
      </w:r>
      <w:r>
        <w:rPr>
          <w:rFonts w:hint="eastAsia"/>
          <w:color w:val="auto"/>
          <w:highlight w:val="none"/>
        </w:rPr>
        <w:t>（</w:t>
      </w:r>
      <w:r>
        <w:rPr>
          <w:color w:val="auto"/>
          <w:highlight w:val="none"/>
        </w:rPr>
        <w:t>RGI</w:t>
      </w:r>
      <w:r>
        <w:rPr>
          <w:rFonts w:hint="eastAsia"/>
          <w:color w:val="auto"/>
          <w:highlight w:val="none"/>
        </w:rPr>
        <w:t>）6</w:t>
      </w:r>
      <w:r>
        <w:rPr>
          <w:color w:val="auto"/>
          <w:highlight w:val="none"/>
        </w:rPr>
        <w:t>.0版本</w:t>
      </w:r>
      <w:r>
        <w:rPr>
          <w:rFonts w:hint="eastAsia"/>
          <w:color w:val="auto"/>
          <w:highlight w:val="none"/>
          <w:vertAlign w:val="superscript"/>
        </w:rPr>
        <w:t>[22]</w:t>
      </w:r>
      <w:r>
        <w:rPr>
          <w:rFonts w:hint="eastAsia"/>
          <w:color w:val="auto"/>
          <w:highlight w:val="none"/>
        </w:rPr>
        <w:t>；</w:t>
      </w:r>
      <w:r>
        <w:rPr>
          <w:color w:val="auto"/>
          <w:highlight w:val="none"/>
        </w:rPr>
        <w:t>气象驱动数据采用中国区域高分辨率气象再分析数据集（CMFD）</w:t>
      </w:r>
      <w:r>
        <w:rPr>
          <w:rFonts w:hint="eastAsia"/>
          <w:color w:val="auto"/>
          <w:highlight w:val="none"/>
        </w:rPr>
        <w:t>中的降水及气温数据</w:t>
      </w:r>
      <w:r>
        <w:rPr>
          <w:rFonts w:hint="eastAsia"/>
          <w:color w:val="auto"/>
          <w:highlight w:val="none"/>
          <w:vertAlign w:val="superscript"/>
        </w:rPr>
        <w:t>[23]</w:t>
      </w:r>
      <w:r>
        <w:rPr>
          <w:color w:val="auto"/>
          <w:highlight w:val="none"/>
        </w:rPr>
        <w:t>，时间分辨率为3</w:t>
      </w:r>
      <w:r>
        <w:rPr>
          <w:rFonts w:hint="eastAsia"/>
          <w:color w:val="auto"/>
          <w:highlight w:val="none"/>
          <w:lang w:val="en-US" w:eastAsia="zh-CN"/>
        </w:rPr>
        <w:t>h</w:t>
      </w:r>
      <w:r>
        <w:rPr>
          <w:color w:val="auto"/>
          <w:highlight w:val="none"/>
        </w:rPr>
        <w:t>，空间分辨率为 0.1°</w:t>
      </w:r>
      <w:r>
        <w:rPr>
          <w:rFonts w:hint="eastAsia"/>
          <w:color w:val="auto"/>
          <w:highlight w:val="none"/>
        </w:rPr>
        <w:t>，</w:t>
      </w:r>
      <w:r>
        <w:rPr>
          <w:color w:val="auto"/>
          <w:highlight w:val="none"/>
        </w:rPr>
        <w:t>该数据集融合了GLDAS、TRMM等再分析资料与中国地面气象站观测数据。本研究选取20</w:t>
      </w:r>
      <w:r>
        <w:rPr>
          <w:rFonts w:hint="eastAsia"/>
          <w:color w:val="auto"/>
          <w:highlight w:val="none"/>
        </w:rPr>
        <w:t>10</w:t>
      </w:r>
      <w:r>
        <w:rPr>
          <w:rFonts w:hint="eastAsia" w:hAnsi="Times New Roman"/>
          <w:color w:val="auto"/>
          <w:highlight w:val="none"/>
        </w:rPr>
        <w:t>—</w:t>
      </w:r>
      <w:r>
        <w:rPr>
          <w:color w:val="auto"/>
          <w:highlight w:val="none"/>
        </w:rPr>
        <w:t>201</w:t>
      </w:r>
      <w:r>
        <w:rPr>
          <w:rFonts w:hint="eastAsia"/>
          <w:color w:val="auto"/>
          <w:highlight w:val="none"/>
        </w:rPr>
        <w:t>5</w:t>
      </w:r>
      <w:r>
        <w:rPr>
          <w:color w:val="auto"/>
          <w:highlight w:val="none"/>
        </w:rPr>
        <w:t>年逐日降水量、平均气温、风速和向下短波辐射数据用于后续融雪径流驱动因子分析。此外，积雪验证采用H</w:t>
      </w:r>
      <w:r>
        <w:rPr>
          <w:rFonts w:hint="eastAsia"/>
          <w:color w:val="auto"/>
          <w:highlight w:val="none"/>
        </w:rPr>
        <w:t>AO</w:t>
      </w:r>
      <w:r>
        <w:rPr>
          <w:rFonts w:hint="eastAsia"/>
          <w:color w:val="auto"/>
          <w:highlight w:val="none"/>
          <w:vertAlign w:val="superscript"/>
        </w:rPr>
        <w:t>[24]</w:t>
      </w:r>
      <w:r>
        <w:rPr>
          <w:color w:val="auto"/>
          <w:highlight w:val="none"/>
        </w:rPr>
        <w:t>等开发的中国区域MODIS雪被范围产品（2000</w:t>
      </w:r>
      <w:r>
        <w:rPr>
          <w:rFonts w:hint="eastAsia" w:hAnsi="Times New Roman"/>
          <w:color w:val="auto"/>
          <w:highlight w:val="none"/>
        </w:rPr>
        <w:t>—</w:t>
      </w:r>
      <w:r>
        <w:rPr>
          <w:color w:val="auto"/>
          <w:highlight w:val="none"/>
        </w:rPr>
        <w:t>2020年），该产品针对不同土地覆盖类型设置了差异化的NDSI阈值（如非森林类型阈值介于</w:t>
      </w:r>
      <w:r>
        <w:rPr>
          <w:rFonts w:hint="eastAsia"/>
          <w:color w:val="auto"/>
          <w:highlight w:val="none"/>
        </w:rPr>
        <w:t>-</w:t>
      </w:r>
      <w:r>
        <w:rPr>
          <w:color w:val="auto"/>
          <w:highlight w:val="none"/>
        </w:rPr>
        <w:t>0.13至0.52之间），并在森林区域引入基于NDVI分段的NDFSI动态阈值方案，有效提高了积雪识别精度，在青藏高原地区经过验证表现可靠；雪深数据来源于国家青藏高原科学数据中心的中国雪深长时间序列数据集（1979</w:t>
      </w:r>
      <w:r>
        <w:rPr>
          <w:rFonts w:hint="eastAsia" w:hAnsi="Times New Roman"/>
          <w:color w:val="auto"/>
          <w:highlight w:val="none"/>
        </w:rPr>
        <w:t>—</w:t>
      </w:r>
      <w:r>
        <w:rPr>
          <w:color w:val="auto"/>
          <w:highlight w:val="none"/>
        </w:rPr>
        <w:t>2024）</w:t>
      </w:r>
      <w:r>
        <w:rPr>
          <w:rFonts w:hint="eastAsia"/>
          <w:color w:val="auto"/>
          <w:highlight w:val="none"/>
          <w:vertAlign w:val="superscript"/>
        </w:rPr>
        <w:t>[25]</w:t>
      </w:r>
      <w:r>
        <w:rPr>
          <w:color w:val="auto"/>
          <w:highlight w:val="none"/>
        </w:rPr>
        <w:t>，该数据集基于被动微波亮温反演，采用Chang算法并结合中国地区实测雪深进行系数校正，针对数据缺失时段，利用时间上最邻近的有效观测进行插补，为融雪过程分析提供</w:t>
      </w:r>
      <w:r>
        <w:rPr>
          <w:rFonts w:hint="eastAsia"/>
          <w:color w:val="auto"/>
          <w:highlight w:val="none"/>
        </w:rPr>
        <w:t>数据支撑</w:t>
      </w:r>
      <w:r>
        <w:rPr>
          <w:color w:val="auto"/>
          <w:highlight w:val="none"/>
        </w:rPr>
        <w:t>。</w:t>
      </w:r>
    </w:p>
    <w:p w14:paraId="28B82F31">
      <w:pPr>
        <w:pStyle w:val="2"/>
        <w:rPr>
          <w:color w:val="auto"/>
          <w:highlight w:val="none"/>
        </w:rPr>
      </w:pPr>
      <w:r>
        <w:rPr>
          <w:rFonts w:hint="eastAsia"/>
          <w:color w:val="auto"/>
          <w:highlight w:val="none"/>
        </w:rPr>
        <w:t>2方法</w:t>
      </w:r>
    </w:p>
    <w:p w14:paraId="3CF74431">
      <w:pPr>
        <w:pStyle w:val="3"/>
        <w:rPr>
          <w:color w:val="auto"/>
          <w:highlight w:val="none"/>
        </w:rPr>
      </w:pPr>
      <w:bookmarkStart w:id="2" w:name="OLE_LINK1"/>
      <w:r>
        <w:rPr>
          <w:rFonts w:hint="eastAsia"/>
          <w:color w:val="auto"/>
          <w:highlight w:val="none"/>
        </w:rPr>
        <w:t>2.1 SPHY模型</w:t>
      </w:r>
    </w:p>
    <w:bookmarkEnd w:id="2"/>
    <w:p w14:paraId="74FFDA06">
      <w:pPr>
        <w:rPr>
          <w:color w:val="auto"/>
          <w:highlight w:val="none"/>
        </w:rPr>
      </w:pPr>
      <w:r>
        <w:rPr>
          <w:color w:val="auto"/>
          <w:highlight w:val="none"/>
        </w:rPr>
        <w:t>图</w:t>
      </w:r>
      <w:r>
        <w:rPr>
          <w:rFonts w:hint="eastAsia"/>
          <w:color w:val="auto"/>
          <w:highlight w:val="none"/>
        </w:rPr>
        <w:t>2</w:t>
      </w:r>
      <w:r>
        <w:rPr>
          <w:color w:val="auto"/>
          <w:highlight w:val="none"/>
        </w:rPr>
        <w:t>展示了SPHY模型的结构原理。该模型的融雪模块基于动态雪储量模型，采用度日因子法模拟雪的积累、消融、再冻结及径流生成过程。</w:t>
      </w:r>
    </w:p>
    <w:p w14:paraId="165C0A4C">
      <w:pPr>
        <w:snapToGrid w:val="0"/>
        <w:jc w:val="left"/>
        <w:textAlignment w:val="center"/>
        <w:rPr>
          <w:color w:val="auto"/>
          <w:highlight w:val="none"/>
          <w:lang w:bidi="ar"/>
        </w:rPr>
      </w:pPr>
      <w:r>
        <w:rPr>
          <w:color w:val="auto"/>
          <w:highlight w:val="none"/>
          <w:lang w:bidi="ar"/>
        </w:rPr>
        <w:t>根据气温阈值</w:t>
      </w:r>
      <w:r>
        <w:rPr>
          <w:color w:val="auto"/>
          <w:highlight w:val="none"/>
          <w:lang w:bidi="ar"/>
        </w:rPr>
        <w:object>
          <v:shape id="_x0000_i1025" o:spt="75" type="#_x0000_t75" style="height:16pt;width:19pt;" o:ole="t" filled="f" o:preferrelative="t" stroked="f" coordsize="21600,21600">
            <v:path/>
            <v:fill on="f" focussize="0,0"/>
            <v:stroke on="f" joinstyle="miter"/>
            <v:imagedata r:id="rId10" o:title=""/>
            <o:lock v:ext="edit" aspectratio="t"/>
            <w10:wrap type="none"/>
            <w10:anchorlock/>
          </v:shape>
          <o:OLEObject Type="Embed" ProgID="Equation.DSMT4" ShapeID="_x0000_i1025" DrawAspect="Content" ObjectID="_1468075725" r:id="rId9">
            <o:LockedField>false</o:LockedField>
          </o:OLEObject>
        </w:object>
      </w:r>
      <w:r>
        <w:rPr>
          <w:color w:val="auto"/>
          <w:highlight w:val="none"/>
          <w:lang w:bidi="ar"/>
        </w:rPr>
        <w:t>判断降水形式：若日平均气温</w:t>
      </w:r>
      <w:r>
        <w:rPr>
          <w:color w:val="auto"/>
          <w:highlight w:val="none"/>
          <w:lang w:bidi="ar"/>
        </w:rPr>
        <w:object>
          <v:shape id="_x0000_i1026" o:spt="75" type="#_x0000_t75" style="height:18pt;width:50pt;" o:ole="t" filled="f" o:preferrelative="t" stroked="f" coordsize="21600,21600">
            <v:path/>
            <v:fill on="f" focussize="0,0"/>
            <v:stroke on="f" joinstyle="miter"/>
            <v:imagedata r:id="rId12" o:title=""/>
            <o:lock v:ext="edit" aspectratio="f"/>
            <w10:wrap type="none"/>
            <w10:anchorlock/>
          </v:shape>
          <o:OLEObject Type="Embed" ProgID="Equation.DSMT4" ShapeID="_x0000_i1026" DrawAspect="Content" ObjectID="_1468075726" r:id="rId11">
            <o:LockedField>false</o:LockedField>
          </o:OLEObject>
        </w:object>
      </w:r>
      <w:r>
        <w:rPr>
          <w:color w:val="auto"/>
          <w:highlight w:val="none"/>
          <w:lang w:bidi="ar"/>
        </w:rPr>
        <w:t>，则为降雪；若</w:t>
      </w:r>
      <w:r>
        <w:rPr>
          <w:color w:val="auto"/>
          <w:highlight w:val="none"/>
          <w:lang w:bidi="ar"/>
        </w:rPr>
        <w:object>
          <v:shape id="_x0000_i1027" o:spt="75" type="#_x0000_t75" style="height:18pt;width:50pt;" o:ole="t" filled="f" o:preferrelative="t" stroked="f" coordsize="21600,21600">
            <v:path/>
            <v:fill on="f" focussize="0,0"/>
            <v:stroke on="f" joinstyle="miter"/>
            <v:imagedata r:id="rId14" o:title=""/>
            <o:lock v:ext="edit" aspectratio="t"/>
            <w10:wrap type="none"/>
            <w10:anchorlock/>
          </v:shape>
          <o:OLEObject Type="Embed" ProgID="Equation.DSMT4" ShapeID="_x0000_i1027" DrawAspect="Content" ObjectID="_1468075727" r:id="rId13">
            <o:LockedField>false</o:LockedField>
          </o:OLEObject>
        </w:object>
      </w:r>
      <w:r>
        <w:rPr>
          <w:color w:val="auto"/>
          <w:highlight w:val="none"/>
          <w:lang w:bidi="ar"/>
        </w:rPr>
        <w:t>，则为降雨，降雪量公式</w:t>
      </w:r>
      <w:r>
        <w:rPr>
          <w:rFonts w:hint="eastAsia"/>
          <w:color w:val="auto"/>
          <w:highlight w:val="none"/>
          <w:lang w:bidi="ar"/>
        </w:rPr>
        <w:t>为</w:t>
      </w:r>
    </w:p>
    <w:p w14:paraId="6403D1A9">
      <w:pPr>
        <w:pStyle w:val="36"/>
        <w:keepNext w:val="0"/>
        <w:keepLines w:val="0"/>
        <w:pageBreakBefore w:val="0"/>
        <w:widowControl w:val="0"/>
        <w:kinsoku/>
        <w:wordWrap/>
        <w:overflowPunct/>
        <w:topLinePunct w:val="0"/>
        <w:autoSpaceDE/>
        <w:autoSpaceDN/>
        <w:bidi w:val="0"/>
        <w:adjustRightInd/>
        <w:snapToGrid/>
        <w:spacing w:after="0"/>
        <w:textAlignment w:val="auto"/>
        <w:rPr>
          <w:color w:val="auto"/>
          <w:highlight w:val="none"/>
        </w:rPr>
      </w:pPr>
      <w:r>
        <w:rPr>
          <w:color w:val="auto"/>
          <w:highlight w:val="none"/>
        </w:rPr>
        <w:tab/>
      </w:r>
      <w:r>
        <w:rPr>
          <w:rFonts w:hint="eastAsia"/>
          <w:color w:val="auto"/>
          <w:highlight w:val="none"/>
          <w:lang w:eastAsia="zh-CN"/>
        </w:rPr>
        <w:t xml:space="preserve"> </w:t>
      </w:r>
      <w:r>
        <w:rPr>
          <w:color w:val="auto"/>
          <w:position w:val="-32"/>
          <w:highlight w:val="none"/>
        </w:rPr>
        <w:object>
          <v:shape id="_x0000_i1028" o:spt="75" type="#_x0000_t75" style="height:37pt;width:107pt;" o:ole="t" filled="f" o:preferrelative="t" stroked="f" coordsize="21600,21600">
            <v:path/>
            <v:fill on="f" focussize="0,0"/>
            <v:stroke on="f" joinstyle="miter"/>
            <v:imagedata r:id="rId16" o:title=""/>
            <o:lock v:ext="edit" aspectratio="t"/>
            <w10:wrap type="none"/>
            <w10:anchorlock/>
          </v:shape>
          <o:OLEObject Type="Embed" ProgID="Equation.DSMT4" ShapeID="_x0000_i1028" DrawAspect="Content" ObjectID="_1468075728" r:id="rId15">
            <o:LockedField>false</o:LockedField>
          </o:OLEObject>
        </w:object>
      </w:r>
      <w:r>
        <w:rPr>
          <w:color w:val="auto"/>
          <w:highlight w:val="none"/>
        </w:rPr>
        <w:tab/>
      </w:r>
      <w:r>
        <w:rPr>
          <w:rFonts w:hint="eastAsia"/>
          <w:color w:val="auto"/>
          <w:highlight w:val="none"/>
          <w:lang w:eastAsia="zh-CN"/>
        </w:rPr>
        <w:fldChar w:fldCharType="begin"/>
      </w:r>
      <w:r>
        <w:rPr>
          <w:rFonts w:hint="eastAsia"/>
          <w:color w:val="auto"/>
          <w:highlight w:val="none"/>
          <w:lang w:eastAsia="zh-CN"/>
        </w:rPr>
        <w:instrText xml:space="preserve"> MACROBUTTON MTPlaceRef \* MERGEFORMAT </w:instrText>
      </w:r>
      <w:r>
        <w:rPr>
          <w:rFonts w:hint="eastAsia"/>
          <w:color w:val="auto"/>
          <w:highlight w:val="none"/>
          <w:lang w:eastAsia="zh-CN"/>
        </w:rPr>
        <w:fldChar w:fldCharType="begin"/>
      </w:r>
      <w:r>
        <w:rPr>
          <w:rFonts w:hint="eastAsia"/>
          <w:color w:val="auto"/>
          <w:highlight w:val="none"/>
          <w:lang w:eastAsia="zh-CN"/>
        </w:rPr>
        <w:instrText xml:space="preserve"> SEQ MTEqn \h \* MERGEFORMAT </w:instrText>
      </w:r>
      <w:r>
        <w:rPr>
          <w:rFonts w:hint="eastAsia"/>
          <w:color w:val="auto"/>
          <w:highlight w:val="none"/>
          <w:lang w:eastAsia="zh-CN"/>
        </w:rPr>
        <w:fldChar w:fldCharType="separate"/>
      </w:r>
      <w:r>
        <w:rPr>
          <w:rFonts w:hint="eastAsia"/>
          <w:color w:val="auto"/>
          <w:highlight w:val="none"/>
          <w:lang w:eastAsia="zh-CN"/>
        </w:rPr>
        <w:fldChar w:fldCharType="end"/>
      </w:r>
      <w:r>
        <w:rPr>
          <w:rFonts w:hint="eastAsia"/>
          <w:color w:val="auto"/>
          <w:highlight w:val="none"/>
          <w:lang w:eastAsia="zh-CN"/>
        </w:rPr>
        <w:instrText xml:space="preserve">(</w:instrText>
      </w:r>
      <w:r>
        <w:rPr>
          <w:rFonts w:hint="eastAsia"/>
          <w:color w:val="auto"/>
          <w:highlight w:val="none"/>
          <w:lang w:eastAsia="zh-CN"/>
        </w:rPr>
        <w:fldChar w:fldCharType="begin"/>
      </w:r>
      <w:r>
        <w:rPr>
          <w:rFonts w:hint="eastAsia"/>
          <w:color w:val="auto"/>
          <w:highlight w:val="none"/>
          <w:lang w:eastAsia="zh-CN"/>
        </w:rPr>
        <w:instrText xml:space="preserve"> SEQ MTEqn \c \* Arabic \* MERGEFORMAT </w:instrText>
      </w:r>
      <w:r>
        <w:rPr>
          <w:rFonts w:hint="eastAsia"/>
          <w:color w:val="auto"/>
          <w:highlight w:val="none"/>
          <w:lang w:eastAsia="zh-CN"/>
        </w:rPr>
        <w:fldChar w:fldCharType="separate"/>
      </w:r>
      <w:r>
        <w:rPr>
          <w:color w:val="auto"/>
          <w:highlight w:val="none"/>
        </w:rPr>
        <w:instrText xml:space="preserve">1</w:instrText>
      </w:r>
      <w:r>
        <w:rPr>
          <w:rFonts w:hint="eastAsia"/>
          <w:color w:val="auto"/>
          <w:highlight w:val="none"/>
          <w:lang w:eastAsia="zh-CN"/>
        </w:rPr>
        <w:fldChar w:fldCharType="end"/>
      </w:r>
      <w:r>
        <w:rPr>
          <w:rFonts w:hint="eastAsia"/>
          <w:color w:val="auto"/>
          <w:highlight w:val="none"/>
          <w:lang w:eastAsia="zh-CN"/>
        </w:rPr>
        <w:instrText xml:space="preserve">)</w:instrText>
      </w:r>
      <w:r>
        <w:rPr>
          <w:rFonts w:hint="eastAsia"/>
          <w:color w:val="auto"/>
          <w:highlight w:val="none"/>
          <w:lang w:eastAsia="zh-CN"/>
        </w:rPr>
        <w:fldChar w:fldCharType="separate"/>
      </w:r>
      <w:r>
        <w:rPr>
          <w:rFonts w:hint="eastAsia"/>
          <w:color w:val="auto"/>
          <w:highlight w:val="none"/>
          <w:lang w:eastAsia="zh-CN"/>
        </w:rPr>
        <w:fldChar w:fldCharType="end"/>
      </w:r>
      <w:r>
        <w:rPr>
          <w:i/>
          <w:color w:val="auto"/>
          <w:szCs w:val="21"/>
          <w:highlight w:val="none"/>
        </w:rPr>
        <w:t xml:space="preserve">  </w:t>
      </w:r>
    </w:p>
    <w:p w14:paraId="018F2840">
      <w:pPr>
        <w:snapToGrid w:val="0"/>
        <w:ind w:firstLine="0" w:firstLineChars="0"/>
        <w:jc w:val="left"/>
        <w:textAlignment w:val="center"/>
        <w:rPr>
          <w:color w:val="auto"/>
          <w:highlight w:val="none"/>
          <w:lang w:bidi="ar"/>
        </w:rPr>
      </w:pPr>
      <w:r>
        <w:rPr>
          <w:color w:val="auto"/>
          <w:highlight w:val="none"/>
          <w:lang w:bidi="ar"/>
        </w:rPr>
        <w:t>式中</w:t>
      </w:r>
      <w:r>
        <w:rPr>
          <w:rFonts w:hint="eastAsia"/>
          <w:color w:val="auto"/>
          <w:highlight w:val="none"/>
          <w:lang w:bidi="ar"/>
        </w:rPr>
        <w:t>，</w:t>
      </w:r>
      <w:r>
        <w:rPr>
          <w:color w:val="auto"/>
          <w:highlight w:val="none"/>
          <w:lang w:bidi="ar"/>
        </w:rPr>
        <w:object>
          <v:shape id="_x0000_i1029" o:spt="75" type="#_x0000_t75" style="height:17pt;width:17pt;" o:ole="t" filled="f" o:preferrelative="t" stroked="f" coordsize="21600,21600">
            <v:path/>
            <v:fill on="f" focussize="0,0"/>
            <v:stroke on="f" joinstyle="miter"/>
            <v:imagedata r:id="rId18" o:title=""/>
            <o:lock v:ext="edit" aspectratio="t"/>
            <w10:wrap type="none"/>
            <w10:anchorlock/>
          </v:shape>
          <o:OLEObject Type="Embed" ProgID="Equation.DSMT4" ShapeID="_x0000_i1029" DrawAspect="Content" ObjectID="_1468075729" r:id="rId17">
            <o:LockedField>false</o:LockedField>
          </o:OLEObject>
        </w:object>
      </w:r>
      <w:r>
        <w:rPr>
          <w:color w:val="auto"/>
          <w:highlight w:val="none"/>
          <w:lang w:bidi="ar"/>
        </w:rPr>
        <w:t>为日降雪量（mm）；</w:t>
      </w:r>
      <w:r>
        <w:rPr>
          <w:color w:val="auto"/>
          <w:highlight w:val="none"/>
          <w:lang w:bidi="ar"/>
        </w:rPr>
        <w:object>
          <v:shape id="_x0000_i1030" o:spt="75" type="#_x0000_t75" style="height:16pt;width:17pt;" o:ole="t" filled="f" o:preferrelative="t" stroked="f" coordsize="21600,21600">
            <v:path/>
            <v:fill on="f" focussize="0,0"/>
            <v:stroke on="f" joinstyle="miter"/>
            <v:imagedata r:id="rId20" o:title=""/>
            <o:lock v:ext="edit" aspectratio="t"/>
            <w10:wrap type="none"/>
            <w10:anchorlock/>
          </v:shape>
          <o:OLEObject Type="Embed" ProgID="Equation.DSMT4" ShapeID="_x0000_i1030" DrawAspect="Content" ObjectID="_1468075730" r:id="rId19">
            <o:LockedField>false</o:LockedField>
          </o:OLEObject>
        </w:object>
      </w:r>
      <w:r>
        <w:rPr>
          <w:color w:val="auto"/>
          <w:highlight w:val="none"/>
          <w:lang w:bidi="ar"/>
        </w:rPr>
        <w:t>为有效降水量（mm）；</w:t>
      </w:r>
      <w:r>
        <w:rPr>
          <w:color w:val="auto"/>
          <w:highlight w:val="none"/>
          <w:lang w:bidi="ar"/>
        </w:rPr>
        <w:object>
          <v:shape id="_x0000_i1031" o:spt="75" type="#_x0000_t75" style="height:18pt;width:24pt;" o:ole="t" filled="f" o:preferrelative="t" stroked="f" coordsize="21600,21600">
            <v:path/>
            <v:fill on="f" focussize="0,0"/>
            <v:stroke on="f" joinstyle="miter"/>
            <v:imagedata r:id="rId22" o:title=""/>
            <o:lock v:ext="edit" aspectratio="t"/>
            <w10:wrap type="none"/>
            <w10:anchorlock/>
          </v:shape>
          <o:OLEObject Type="Embed" ProgID="Equation.DSMT4" ShapeID="_x0000_i1031" DrawAspect="Content" ObjectID="_1468075731" r:id="rId21">
            <o:LockedField>false</o:LockedField>
          </o:OLEObject>
        </w:object>
      </w:r>
      <w:r>
        <w:rPr>
          <w:color w:val="auto"/>
          <w:highlight w:val="none"/>
          <w:lang w:bidi="ar"/>
        </w:rPr>
        <w:t>为日平均气温（°C）；</w:t>
      </w:r>
      <w:r>
        <w:rPr>
          <w:color w:val="auto"/>
          <w:highlight w:val="none"/>
          <w:lang w:bidi="ar"/>
        </w:rPr>
        <w:object>
          <v:shape id="_x0000_i1032" o:spt="75" type="#_x0000_t75" style="height:16pt;width:19pt;" o:ole="t" filled="f" o:preferrelative="t" stroked="f" coordsize="21600,21600">
            <v:path/>
            <v:fill on="f" focussize="0,0"/>
            <v:stroke on="f" joinstyle="miter"/>
            <v:imagedata r:id="rId24" o:title=""/>
            <o:lock v:ext="edit" aspectratio="t"/>
            <w10:wrap type="none"/>
            <w10:anchorlock/>
          </v:shape>
          <o:OLEObject Type="Embed" ProgID="Equation.DSMT4" ShapeID="_x0000_i1032" DrawAspect="Content" ObjectID="_1468075732" r:id="rId23">
            <o:LockedField>false</o:LockedField>
          </o:OLEObject>
        </w:object>
      </w:r>
      <w:r>
        <w:rPr>
          <w:color w:val="auto"/>
          <w:highlight w:val="none"/>
          <w:lang w:bidi="ar"/>
        </w:rPr>
        <w:t xml:space="preserve"> 表示雪/雨分界温度（°C）（需率定）。</w:t>
      </w:r>
    </w:p>
    <w:p w14:paraId="6C07C948">
      <w:pPr>
        <w:snapToGrid w:val="0"/>
        <w:jc w:val="left"/>
        <w:textAlignment w:val="center"/>
        <w:rPr>
          <w:color w:val="auto"/>
          <w:highlight w:val="none"/>
        </w:rPr>
      </w:pPr>
      <w:r>
        <w:rPr>
          <w:rFonts w:hint="eastAsia"/>
          <w:color w:val="auto"/>
          <w:highlight w:val="none"/>
          <w:lang w:bidi="ar"/>
        </w:rPr>
        <w:t>原模型融雪过程采用度日因子法进行模拟，即仅基于气温计算潜在融雪量，计算公式为</w:t>
      </w:r>
    </w:p>
    <w:p w14:paraId="01C1CB8B">
      <w:pPr>
        <w:pStyle w:val="36"/>
        <w:keepNext w:val="0"/>
        <w:keepLines w:val="0"/>
        <w:pageBreakBefore w:val="0"/>
        <w:widowControl/>
        <w:kinsoku/>
        <w:wordWrap/>
        <w:overflowPunct/>
        <w:topLinePunct w:val="0"/>
        <w:autoSpaceDE/>
        <w:autoSpaceDN/>
        <w:bidi w:val="0"/>
        <w:adjustRightInd/>
        <w:snapToGrid/>
        <w:spacing w:after="0"/>
        <w:textAlignment w:val="auto"/>
        <w:rPr>
          <w:color w:val="auto"/>
          <w:highlight w:val="none"/>
        </w:rPr>
      </w:pPr>
      <w:r>
        <w:rPr>
          <w:color w:val="auto"/>
          <w:highlight w:val="none"/>
        </w:rPr>
        <w:tab/>
      </w:r>
      <w:r>
        <w:rPr>
          <w:color w:val="auto"/>
          <w:position w:val="-32"/>
          <w:highlight w:val="none"/>
        </w:rPr>
        <w:object>
          <v:shape id="_x0000_i1033" o:spt="75" type="#_x0000_t75" style="height:37pt;width:132.95pt;" o:ole="t" filled="f" o:preferrelative="t" stroked="f" coordsize="21600,21600">
            <v:path/>
            <v:fill on="f" focussize="0,0"/>
            <v:stroke on="f" joinstyle="miter"/>
            <v:imagedata r:id="rId26" o:title=""/>
            <o:lock v:ext="edit" aspectratio="t"/>
            <w10:wrap type="none"/>
            <w10:anchorlock/>
          </v:shape>
          <o:OLEObject Type="Embed" ProgID="Equation.DSMT4" ShapeID="_x0000_i1033" DrawAspect="Content" ObjectID="_1468075733" r:id="rId25">
            <o:LockedField>false</o:LockedField>
          </o:OLEObject>
        </w:object>
      </w:r>
      <w:r>
        <w:rPr>
          <w:color w:val="auto"/>
          <w:highlight w:val="none"/>
        </w:rPr>
        <w:tab/>
      </w:r>
      <w:r>
        <w:rPr>
          <w:color w:val="auto"/>
          <w:highlight w:val="none"/>
        </w:rPr>
        <w:fldChar w:fldCharType="begin"/>
      </w:r>
      <w:r>
        <w:rPr>
          <w:color w:val="auto"/>
          <w:highlight w:val="none"/>
        </w:rPr>
        <w:instrText xml:space="preserve"> MACROBUTTON MTPlaceRef \* MERGEFORMAT </w:instrText>
      </w:r>
      <w:r>
        <w:rPr>
          <w:color w:val="auto"/>
          <w:highlight w:val="none"/>
        </w:rPr>
        <w:fldChar w:fldCharType="begin"/>
      </w:r>
      <w:r>
        <w:rPr>
          <w:color w:val="auto"/>
          <w:highlight w:val="none"/>
        </w:rPr>
        <w:instrText xml:space="preserve"> SEQ MTEqn \h \* MERGEFORMAT </w:instrText>
      </w:r>
      <w:r>
        <w:rPr>
          <w:color w:val="auto"/>
          <w:highlight w:val="none"/>
        </w:rPr>
        <w:fldChar w:fldCharType="separate"/>
      </w:r>
      <w:r>
        <w:rPr>
          <w:color w:val="auto"/>
          <w:highlight w:val="none"/>
        </w:rPr>
        <w:fldChar w:fldCharType="end"/>
      </w:r>
      <w:r>
        <w:rPr>
          <w:rFonts w:hint="eastAsia"/>
          <w:color w:val="auto"/>
          <w:highlight w:val="none"/>
          <w:lang w:eastAsia="zh-CN"/>
        </w:rPr>
        <w:instrText xml:space="preserve">(</w:instrText>
      </w:r>
      <w:r>
        <w:rPr>
          <w:rFonts w:hint="eastAsia"/>
          <w:color w:val="auto"/>
          <w:highlight w:val="none"/>
          <w:lang w:eastAsia="zh-CN"/>
        </w:rPr>
        <w:fldChar w:fldCharType="begin"/>
      </w:r>
      <w:r>
        <w:rPr>
          <w:rFonts w:hint="eastAsia"/>
          <w:color w:val="auto"/>
          <w:highlight w:val="none"/>
          <w:lang w:eastAsia="zh-CN"/>
        </w:rPr>
        <w:instrText xml:space="preserve"> SEQ MTEqn \c \* Arabic \* MERGEFORMAT </w:instrText>
      </w:r>
      <w:r>
        <w:rPr>
          <w:rFonts w:hint="eastAsia"/>
          <w:color w:val="auto"/>
          <w:highlight w:val="none"/>
          <w:lang w:eastAsia="zh-CN"/>
        </w:rPr>
        <w:fldChar w:fldCharType="separate"/>
      </w:r>
      <w:r>
        <w:rPr>
          <w:color w:val="auto"/>
          <w:highlight w:val="none"/>
        </w:rPr>
        <w:instrText xml:space="preserve">2</w:instrText>
      </w:r>
      <w:r>
        <w:rPr>
          <w:rFonts w:hint="eastAsia"/>
          <w:color w:val="auto"/>
          <w:highlight w:val="none"/>
          <w:lang w:eastAsia="zh-CN"/>
        </w:rPr>
        <w:fldChar w:fldCharType="end"/>
      </w:r>
      <w:r>
        <w:rPr>
          <w:rFonts w:hint="eastAsia"/>
          <w:color w:val="auto"/>
          <w:highlight w:val="none"/>
          <w:lang w:eastAsia="zh-CN"/>
        </w:rPr>
        <w:instrText xml:space="preserve">)</w:instrText>
      </w:r>
      <w:r>
        <w:rPr>
          <w:color w:val="auto"/>
          <w:highlight w:val="none"/>
        </w:rPr>
        <w:fldChar w:fldCharType="separate"/>
      </w:r>
      <w:r>
        <w:rPr>
          <w:color w:val="auto"/>
          <w:highlight w:val="none"/>
        </w:rPr>
        <w:fldChar w:fldCharType="end"/>
      </w:r>
      <w:r>
        <w:rPr>
          <w:rFonts w:hint="eastAsia"/>
          <w:color w:val="auto"/>
          <w:highlight w:val="none"/>
          <w:lang w:eastAsia="zh-CN"/>
        </w:rPr>
        <w:t xml:space="preserve"> </w:t>
      </w:r>
    </w:p>
    <w:p w14:paraId="4588F3F9">
      <w:pPr>
        <w:widowControl/>
        <w:snapToGrid w:val="0"/>
        <w:ind w:firstLine="0" w:firstLineChars="0"/>
        <w:jc w:val="left"/>
        <w:textAlignment w:val="center"/>
        <w:rPr>
          <w:color w:val="auto"/>
          <w:highlight w:val="none"/>
        </w:rPr>
      </w:pPr>
      <w:r>
        <w:rPr>
          <w:color w:val="auto"/>
          <w:highlight w:val="none"/>
          <w:lang w:bidi="ar"/>
        </w:rPr>
        <w:t>式中</w:t>
      </w:r>
      <w:r>
        <w:rPr>
          <w:rFonts w:hint="eastAsia"/>
          <w:color w:val="auto"/>
          <w:highlight w:val="none"/>
          <w:lang w:bidi="ar"/>
        </w:rPr>
        <w:t>，</w:t>
      </w:r>
      <w:r>
        <w:rPr>
          <w:color w:val="auto"/>
          <w:highlight w:val="none"/>
          <w:lang w:bidi="ar"/>
        </w:rPr>
        <w:object>
          <v:shape id="_x0000_i1034" o:spt="75" type="#_x0000_t75" style="height:18pt;width:19pt;" o:ole="t" filled="f" o:preferrelative="t" stroked="f" coordsize="21600,21600">
            <v:path/>
            <v:fill on="f" focussize="0,0"/>
            <v:stroke on="f" joinstyle="miter"/>
            <v:imagedata r:id="rId28" o:title=""/>
            <o:lock v:ext="edit" aspectratio="t"/>
            <w10:wrap type="none"/>
            <w10:anchorlock/>
          </v:shape>
          <o:OLEObject Type="Embed" ProgID="Equation.DSMT4" ShapeID="_x0000_i1034" DrawAspect="Content" ObjectID="_1468075734" r:id="rId27">
            <o:LockedField>false</o:LockedField>
          </o:OLEObject>
        </w:object>
      </w:r>
      <w:r>
        <w:rPr>
          <w:color w:val="auto"/>
          <w:highlight w:val="none"/>
          <w:lang w:bidi="ar"/>
        </w:rPr>
        <w:t>为第t天积雪潜在消融量（mm）；</w:t>
      </w:r>
      <w:r>
        <w:rPr>
          <w:color w:val="auto"/>
          <w:highlight w:val="none"/>
          <w:lang w:bidi="ar"/>
        </w:rPr>
        <w:object>
          <v:shape id="_x0000_i1035" o:spt="75" type="#_x0000_t75" style="height:16pt;width:28pt;" o:ole="t" filled="f" o:preferrelative="t" stroked="f" coordsize="21600,21600">
            <v:path/>
            <v:fill on="f" focussize="0,0"/>
            <v:stroke on="f" joinstyle="miter"/>
            <v:imagedata r:id="rId30" o:title=""/>
            <o:lock v:ext="edit" aspectratio="t"/>
            <w10:wrap type="none"/>
            <w10:anchorlock/>
          </v:shape>
          <o:OLEObject Type="Embed" ProgID="Equation.DSMT4" ShapeID="_x0000_i1035" DrawAspect="Content" ObjectID="_1468075735" r:id="rId29">
            <o:LockedField>false</o:LockedField>
          </o:OLEObject>
        </w:object>
      </w:r>
      <w:r>
        <w:rPr>
          <w:color w:val="auto"/>
          <w:highlight w:val="none"/>
          <w:lang w:bidi="ar"/>
        </w:rPr>
        <w:t>为积雪度日因子（</w:t>
      </w:r>
      <m:oMath>
        <m:r>
          <m:rPr>
            <m:sty m:val="p"/>
          </m:rPr>
          <w:rPr>
            <w:rFonts w:ascii="Cambria Math" w:hAnsi="Cambria Math"/>
            <w:color w:val="auto"/>
            <w:highlight w:val="none"/>
          </w:rPr>
          <m:t>mm</m:t>
        </m:r>
        <m:sSup>
          <m:sSupPr>
            <m:ctrlPr>
              <w:rPr>
                <w:rFonts w:ascii="Cambria Math" w:hAnsi="Cambria Math"/>
                <w:color w:val="auto"/>
                <w:highlight w:val="none"/>
              </w:rPr>
            </m:ctrlPr>
          </m:sSupPr>
          <m:e>
            <m:r>
              <m:rPr>
                <m:sty m:val="p"/>
              </m:rPr>
              <w:rPr>
                <w:rFonts w:ascii="Cambria Math" w:hAnsi="Cambria Math"/>
                <w:color w:val="auto"/>
                <w:highlight w:val="none"/>
              </w:rPr>
              <m:t>⋅</m:t>
            </m:r>
            <m:ctrlPr>
              <w:rPr>
                <w:rFonts w:ascii="Cambria Math" w:hAnsi="Cambria Math"/>
                <w:color w:val="auto"/>
                <w:highlight w:val="none"/>
              </w:rPr>
            </m:ctrlPr>
          </m:e>
          <m:sup>
            <m:r>
              <m:rPr>
                <m:sty m:val="p"/>
              </m:rPr>
              <w:rPr>
                <w:rFonts w:ascii="Cambria Math" w:hAnsi="Cambria Math"/>
                <w:color w:val="auto"/>
                <w:highlight w:val="none"/>
              </w:rPr>
              <m:t>∘</m:t>
            </m:r>
            <m:ctrlPr>
              <w:rPr>
                <w:rFonts w:ascii="Cambria Math" w:hAnsi="Cambria Math"/>
                <w:color w:val="auto"/>
                <w:highlight w:val="none"/>
              </w:rPr>
            </m:ctrlPr>
          </m:sup>
        </m:sSup>
        <m:sSup>
          <m:sSupPr>
            <m:ctrlPr>
              <w:rPr>
                <w:rFonts w:ascii="Cambria Math" w:hAnsi="Cambria Math"/>
                <w:color w:val="auto"/>
                <w:highlight w:val="none"/>
              </w:rPr>
            </m:ctrlPr>
          </m:sSupPr>
          <m:e>
            <m:r>
              <m:rPr>
                <m:sty m:val="p"/>
              </m:rPr>
              <w:rPr>
                <w:rFonts w:ascii="Cambria Math" w:hAnsi="Cambria Math"/>
                <w:color w:val="auto"/>
                <w:highlight w:val="none"/>
              </w:rPr>
              <m:t>C</m:t>
            </m:r>
            <m:ctrlPr>
              <w:rPr>
                <w:rFonts w:ascii="Cambria Math" w:hAnsi="Cambria Math"/>
                <w:color w:val="auto"/>
                <w:highlight w:val="none"/>
              </w:rPr>
            </m:ctrlPr>
          </m:e>
          <m:sup>
            <m:r>
              <m:rPr>
                <m:sty m:val="p"/>
              </m:rPr>
              <w:rPr>
                <w:rFonts w:ascii="Cambria Math" w:hAnsi="Cambria Math"/>
                <w:color w:val="auto"/>
                <w:highlight w:val="none"/>
              </w:rPr>
              <m:t>−1</m:t>
            </m:r>
            <m:ctrlPr>
              <w:rPr>
                <w:rFonts w:ascii="Cambria Math" w:hAnsi="Cambria Math"/>
                <w:color w:val="auto"/>
                <w:highlight w:val="none"/>
              </w:rPr>
            </m:ctrlPr>
          </m:sup>
        </m:sSup>
        <m:r>
          <m:rPr>
            <m:sty m:val="p"/>
          </m:rPr>
          <w:rPr>
            <w:rFonts w:ascii="Cambria Math" w:hAnsi="Cambria Math"/>
            <w:color w:val="auto"/>
            <w:highlight w:val="none"/>
          </w:rPr>
          <m:t>⋅</m:t>
        </m:r>
        <m:sSup>
          <m:sSupPr>
            <m:ctrlPr>
              <w:rPr>
                <w:rFonts w:ascii="Cambria Math" w:hAnsi="Cambria Math"/>
                <w:color w:val="auto"/>
                <w:highlight w:val="none"/>
              </w:rPr>
            </m:ctrlPr>
          </m:sSupPr>
          <m:e>
            <m:r>
              <m:rPr>
                <m:sty m:val="p"/>
              </m:rPr>
              <w:rPr>
                <w:rFonts w:ascii="Cambria Math" w:hAnsi="Cambria Math"/>
                <w:color w:val="auto"/>
                <w:highlight w:val="none"/>
              </w:rPr>
              <m:t>d</m:t>
            </m:r>
            <m:ctrlPr>
              <w:rPr>
                <w:rFonts w:ascii="Cambria Math" w:hAnsi="Cambria Math"/>
                <w:color w:val="auto"/>
                <w:highlight w:val="none"/>
              </w:rPr>
            </m:ctrlPr>
          </m:e>
          <m:sup>
            <m:r>
              <m:rPr>
                <m:sty m:val="p"/>
              </m:rPr>
              <w:rPr>
                <w:rFonts w:ascii="Cambria Math" w:hAnsi="Cambria Math"/>
                <w:color w:val="auto"/>
                <w:highlight w:val="none"/>
              </w:rPr>
              <m:t>−1</m:t>
            </m:r>
            <m:ctrlPr>
              <w:rPr>
                <w:rFonts w:ascii="Cambria Math" w:hAnsi="Cambria Math"/>
                <w:color w:val="auto"/>
                <w:highlight w:val="none"/>
              </w:rPr>
            </m:ctrlPr>
          </m:sup>
        </m:sSup>
      </m:oMath>
      <w:r>
        <w:rPr>
          <w:color w:val="auto"/>
          <w:highlight w:val="none"/>
          <w:lang w:bidi="ar"/>
        </w:rPr>
        <w:t>）</w:t>
      </w:r>
      <w:r>
        <w:rPr>
          <w:rFonts w:hint="eastAsia"/>
          <w:color w:val="auto"/>
          <w:highlight w:val="none"/>
          <w:lang w:bidi="ar"/>
        </w:rPr>
        <w:t>。</w:t>
      </w:r>
      <w:r>
        <w:rPr>
          <w:color w:val="auto"/>
          <w:highlight w:val="none"/>
          <w:lang w:bidi="ar"/>
        </w:rPr>
        <w:t xml:space="preserve"> </w:t>
      </w:r>
      <w:r>
        <w:rPr>
          <w:color w:val="auto"/>
          <w:highlight w:val="none"/>
          <w:lang w:bidi="ar"/>
        </w:rPr>
        <w:drawing>
          <wp:inline distT="0" distB="0" distL="114300" distR="114300">
            <wp:extent cx="5270500" cy="3986530"/>
            <wp:effectExtent l="0" t="0" r="0" b="1270"/>
            <wp:docPr id="16" name="图片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
                    <pic:cNvPicPr>
                      <a:picLocks noChangeAspect="1"/>
                    </pic:cNvPicPr>
                  </pic:nvPicPr>
                  <pic:blipFill>
                    <a:blip r:embed="rId31"/>
                    <a:stretch>
                      <a:fillRect/>
                    </a:stretch>
                  </pic:blipFill>
                  <pic:spPr>
                    <a:xfrm>
                      <a:off x="0" y="0"/>
                      <a:ext cx="5270500" cy="3986530"/>
                    </a:xfrm>
                    <a:prstGeom prst="rect">
                      <a:avLst/>
                    </a:prstGeom>
                  </pic:spPr>
                </pic:pic>
              </a:graphicData>
            </a:graphic>
          </wp:inline>
        </w:drawing>
      </w:r>
      <w:r>
        <w:rPr>
          <w:color w:val="auto"/>
          <w:highlight w:val="none"/>
          <w:lang w:bidi="ar"/>
        </w:rPr>
        <w:t xml:space="preserve">   </w:t>
      </w:r>
      <w:r>
        <w:rPr>
          <w:rFonts w:hint="eastAsia"/>
          <w:color w:val="auto"/>
          <w:highlight w:val="none"/>
        </w:rPr>
        <w:t xml:space="preserve">     </w:t>
      </w:r>
    </w:p>
    <w:p w14:paraId="32047A70">
      <w:pPr>
        <w:ind w:firstLine="0" w:firstLineChars="0"/>
        <w:jc w:val="center"/>
        <w:rPr>
          <w:rFonts w:eastAsia="黑体"/>
          <w:color w:val="auto"/>
          <w:sz w:val="18"/>
          <w:szCs w:val="18"/>
          <w:highlight w:val="none"/>
        </w:rPr>
      </w:pPr>
      <w:r>
        <w:rPr>
          <w:rFonts w:eastAsia="黑体"/>
          <w:color w:val="auto"/>
          <w:sz w:val="18"/>
          <w:szCs w:val="18"/>
          <w:highlight w:val="none"/>
        </w:rPr>
        <w:t>图</w:t>
      </w:r>
      <w:r>
        <w:rPr>
          <w:rFonts w:hint="eastAsia" w:eastAsia="黑体"/>
          <w:color w:val="auto"/>
          <w:sz w:val="18"/>
          <w:szCs w:val="18"/>
          <w:highlight w:val="none"/>
        </w:rPr>
        <w:t>2</w:t>
      </w:r>
      <w:r>
        <w:rPr>
          <w:rFonts w:eastAsia="黑体"/>
          <w:color w:val="auto"/>
          <w:sz w:val="18"/>
          <w:szCs w:val="18"/>
          <w:highlight w:val="none"/>
        </w:rPr>
        <w:t xml:space="preserve">  </w:t>
      </w:r>
      <w:r>
        <w:rPr>
          <w:rFonts w:hint="eastAsia" w:eastAsia="黑体"/>
          <w:color w:val="auto"/>
          <w:sz w:val="18"/>
          <w:szCs w:val="18"/>
          <w:highlight w:val="none"/>
        </w:rPr>
        <w:t>SPHY结构原理</w:t>
      </w:r>
    </w:p>
    <w:p w14:paraId="70D9F280">
      <w:pPr>
        <w:pStyle w:val="8"/>
        <w:spacing w:after="0"/>
        <w:ind w:firstLine="0" w:firstLineChars="0"/>
        <w:jc w:val="center"/>
        <w:rPr>
          <w:rFonts w:eastAsia="黑体"/>
          <w:bCs/>
          <w:color w:val="auto"/>
          <w:sz w:val="18"/>
          <w:szCs w:val="18"/>
          <w:highlight w:val="none"/>
        </w:rPr>
      </w:pPr>
      <w:r>
        <w:rPr>
          <w:rFonts w:eastAsia="黑体"/>
          <w:bCs/>
          <w:color w:val="auto"/>
          <w:sz w:val="18"/>
          <w:szCs w:val="18"/>
          <w:highlight w:val="none"/>
        </w:rPr>
        <w:t>Fig.2</w:t>
      </w:r>
      <w:r>
        <w:rPr>
          <w:rFonts w:eastAsia="黑体"/>
          <w:color w:val="auto"/>
          <w:sz w:val="18"/>
          <w:szCs w:val="18"/>
          <w:highlight w:val="none"/>
        </w:rPr>
        <w:t xml:space="preserve">  </w:t>
      </w:r>
      <w:r>
        <w:rPr>
          <w:rFonts w:eastAsia="黑体"/>
          <w:bCs/>
          <w:color w:val="auto"/>
          <w:sz w:val="18"/>
          <w:szCs w:val="18"/>
          <w:highlight w:val="none"/>
        </w:rPr>
        <w:t>Structural principle of SPHY model</w:t>
      </w:r>
    </w:p>
    <w:p w14:paraId="251E65E6">
      <w:pPr>
        <w:pStyle w:val="3"/>
        <w:rPr>
          <w:color w:val="auto"/>
          <w:highlight w:val="none"/>
        </w:rPr>
      </w:pPr>
      <w:r>
        <w:rPr>
          <w:rFonts w:hint="eastAsia"/>
          <w:color w:val="auto"/>
          <w:highlight w:val="none"/>
        </w:rPr>
        <w:t>2.2 融雪径流模拟改进</w:t>
      </w:r>
    </w:p>
    <w:p w14:paraId="1A37DDAE">
      <w:pPr>
        <w:pStyle w:val="4"/>
        <w:rPr>
          <w:color w:val="auto"/>
          <w:highlight w:val="none"/>
        </w:rPr>
      </w:pPr>
      <w:r>
        <w:rPr>
          <w:rFonts w:hint="eastAsia"/>
          <w:color w:val="auto"/>
          <w:highlight w:val="none"/>
        </w:rPr>
        <w:t>2.2.1考虑太阳短波辐射的潜在融雪量计算</w:t>
      </w:r>
    </w:p>
    <w:p w14:paraId="6C402DBB">
      <w:pPr>
        <w:rPr>
          <w:color w:val="auto"/>
          <w:highlight w:val="none"/>
        </w:rPr>
      </w:pPr>
      <w:r>
        <w:rPr>
          <w:rFonts w:hint="eastAsia"/>
          <w:color w:val="auto"/>
          <w:highlight w:val="none"/>
        </w:rPr>
        <w:t>区域的融雪除了受气温主导，太阳辐射驱动的融雪也占有很大的比例（辐射加热导致雪面温度远高于气温）。因此，为进一步提高模型在辐射影响显著区域的适用性，本研究引入太阳短波辐射项，将潜在融雪量计算改进为</w:t>
      </w:r>
    </w:p>
    <w:p w14:paraId="2DABFCDF">
      <w:pPr>
        <w:pStyle w:val="12"/>
        <w:tabs>
          <w:tab w:val="center" w:pos="4160"/>
          <w:tab w:val="right" w:pos="8300"/>
        </w:tabs>
        <w:snapToGrid w:val="0"/>
        <w:spacing w:beforeAutospacing="0" w:afterAutospacing="0"/>
        <w:ind w:firstLine="0" w:firstLineChars="0"/>
        <w:jc w:val="center"/>
        <w:rPr>
          <w:rFonts w:hint="eastAsia" w:eastAsia="宋体"/>
          <w:color w:val="auto"/>
          <w:highlight w:val="none"/>
          <w:lang w:val="en-US" w:eastAsia="zh-CN"/>
        </w:rPr>
      </w:pPr>
      <w:r>
        <w:rPr>
          <w:color w:val="auto"/>
          <w:kern w:val="2"/>
          <w:sz w:val="21"/>
          <w:highlight w:val="none"/>
          <w:lang w:bidi="ar"/>
        </w:rPr>
        <w:tab/>
      </w:r>
      <w:r>
        <w:rPr>
          <w:rFonts w:hint="eastAsia"/>
          <w:color w:val="auto"/>
          <w:kern w:val="2"/>
          <w:sz w:val="21"/>
          <w:highlight w:val="none"/>
          <w:lang w:eastAsia="zh-CN" w:bidi="ar"/>
        </w:rPr>
        <w:t xml:space="preserve"> </w:t>
      </w:r>
      <w:r>
        <w:rPr>
          <w:color w:val="auto"/>
          <w:kern w:val="2"/>
          <w:position w:val="-14"/>
          <w:sz w:val="21"/>
          <w:highlight w:val="none"/>
          <w:lang w:bidi="ar"/>
        </w:rPr>
        <w:object>
          <v:shape id="_x0000_i1036" o:spt="75" type="#_x0000_t75" style="height:18pt;width:72pt;" o:ole="t" filled="f" o:preferrelative="t" stroked="f" coordsize="21600,21600">
            <v:path/>
            <v:fill on="f" focussize="0,0"/>
            <v:stroke on="f"/>
            <v:imagedata r:id="rId33" o:title=""/>
            <o:lock v:ext="edit" aspectratio="t"/>
            <w10:wrap type="none"/>
            <w10:anchorlock/>
          </v:shape>
          <o:OLEObject Type="Embed" ProgID="Equation.DSMT4" ShapeID="_x0000_i1036" DrawAspect="Content" ObjectID="_1468075736" r:id="rId32">
            <o:LockedField>false</o:LockedField>
          </o:OLEObject>
        </w:object>
      </w:r>
      <w:r>
        <w:rPr>
          <w:color w:val="auto"/>
          <w:kern w:val="2"/>
          <w:sz w:val="21"/>
          <w:highlight w:val="none"/>
          <w:lang w:bidi="ar"/>
        </w:rPr>
        <w:tab/>
      </w:r>
      <w:r>
        <w:rPr>
          <w:color w:val="auto"/>
          <w:kern w:val="2"/>
          <w:sz w:val="21"/>
          <w:szCs w:val="21"/>
          <w:highlight w:val="none"/>
          <w:lang w:bidi="ar"/>
        </w:rPr>
        <w:fldChar w:fldCharType="begin"/>
      </w:r>
      <w:r>
        <w:rPr>
          <w:color w:val="auto"/>
          <w:kern w:val="2"/>
          <w:sz w:val="21"/>
          <w:szCs w:val="21"/>
          <w:highlight w:val="none"/>
          <w:lang w:bidi="ar"/>
        </w:rPr>
        <w:instrText xml:space="preserve"> MACROBUTTON MTPlaceRef \* MERGEFORMAT </w:instrText>
      </w:r>
      <w:r>
        <w:rPr>
          <w:color w:val="auto"/>
          <w:kern w:val="2"/>
          <w:sz w:val="21"/>
          <w:szCs w:val="21"/>
          <w:highlight w:val="none"/>
          <w:lang w:bidi="ar"/>
        </w:rPr>
        <w:fldChar w:fldCharType="begin"/>
      </w:r>
      <w:r>
        <w:rPr>
          <w:color w:val="auto"/>
          <w:kern w:val="2"/>
          <w:sz w:val="21"/>
          <w:szCs w:val="21"/>
          <w:highlight w:val="none"/>
          <w:lang w:bidi="ar"/>
        </w:rPr>
        <w:instrText xml:space="preserve"> SEQ MTEqn \h \* MERGEFORMAT </w:instrText>
      </w:r>
      <w:r>
        <w:rPr>
          <w:color w:val="auto"/>
          <w:kern w:val="2"/>
          <w:sz w:val="21"/>
          <w:szCs w:val="21"/>
          <w:highlight w:val="none"/>
          <w:lang w:bidi="ar"/>
        </w:rPr>
        <w:fldChar w:fldCharType="separate"/>
      </w:r>
      <w:r>
        <w:rPr>
          <w:color w:val="auto"/>
          <w:kern w:val="2"/>
          <w:sz w:val="21"/>
          <w:szCs w:val="21"/>
          <w:highlight w:val="none"/>
          <w:lang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3</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color w:val="auto"/>
          <w:kern w:val="2"/>
          <w:sz w:val="21"/>
          <w:szCs w:val="21"/>
          <w:highlight w:val="none"/>
          <w:lang w:bidi="ar"/>
        </w:rPr>
        <w:fldChar w:fldCharType="separate"/>
      </w:r>
      <w:r>
        <w:rPr>
          <w:color w:val="auto"/>
          <w:kern w:val="2"/>
          <w:sz w:val="21"/>
          <w:szCs w:val="21"/>
          <w:highlight w:val="none"/>
          <w:lang w:bidi="ar"/>
        </w:rPr>
        <w:fldChar w:fldCharType="end"/>
      </w:r>
    </w:p>
    <w:p w14:paraId="59068B8A">
      <w:pPr>
        <w:pStyle w:val="12"/>
        <w:tabs>
          <w:tab w:val="center" w:pos="4160"/>
          <w:tab w:val="right" w:pos="8300"/>
        </w:tabs>
        <w:snapToGrid w:val="0"/>
        <w:spacing w:beforeAutospacing="0" w:afterAutospacing="0"/>
        <w:ind w:firstLine="0" w:firstLineChars="0"/>
        <w:jc w:val="center"/>
        <w:rPr>
          <w:rFonts w:hint="eastAsia"/>
          <w:color w:val="auto"/>
          <w:kern w:val="2"/>
          <w:sz w:val="21"/>
          <w:highlight w:val="none"/>
          <w:lang w:eastAsia="zh-CN" w:bidi="ar"/>
        </w:rPr>
      </w:pPr>
      <w:r>
        <w:rPr>
          <w:color w:val="auto"/>
          <w:kern w:val="2"/>
          <w:sz w:val="21"/>
          <w:highlight w:val="none"/>
          <w:lang w:bidi="ar"/>
        </w:rPr>
        <w:tab/>
      </w:r>
      <w:r>
        <w:rPr>
          <w:color w:val="auto"/>
          <w:kern w:val="2"/>
          <w:position w:val="-14"/>
          <w:sz w:val="21"/>
          <w:highlight w:val="none"/>
          <w:lang w:bidi="ar"/>
        </w:rPr>
        <w:object>
          <v:shape id="_x0000_i1037" o:spt="75" type="#_x0000_t75" style="height:18pt;width:125pt;" o:ole="t" filled="f" o:preferrelative="t" stroked="f" coordsize="21600,21600">
            <v:path/>
            <v:fill on="f" focussize="0,0"/>
            <v:stroke on="f" joinstyle="miter"/>
            <v:imagedata r:id="rId35" o:title=""/>
            <o:lock v:ext="edit" aspectratio="t"/>
            <w10:wrap type="none"/>
            <w10:anchorlock/>
          </v:shape>
          <o:OLEObject Type="Embed" ProgID="Equation.DSMT4" ShapeID="_x0000_i1037" DrawAspect="Content" ObjectID="_1468075737" r:id="rId34">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4</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24AB7082">
      <w:pPr>
        <w:pStyle w:val="12"/>
        <w:keepNext w:val="0"/>
        <w:keepLines w:val="0"/>
        <w:pageBreakBefore w:val="0"/>
        <w:widowControl/>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color w:val="auto"/>
          <w:kern w:val="2"/>
          <w:sz w:val="21"/>
          <w:highlight w:val="none"/>
        </w:rPr>
      </w:pPr>
      <w:r>
        <w:rPr>
          <w:color w:val="auto"/>
          <w:kern w:val="2"/>
          <w:sz w:val="21"/>
          <w:highlight w:val="none"/>
          <w:lang w:bidi="ar"/>
        </w:rPr>
        <w:tab/>
      </w:r>
      <w:r>
        <w:rPr>
          <w:color w:val="auto"/>
          <w:kern w:val="2"/>
          <w:position w:val="-14"/>
          <w:sz w:val="21"/>
          <w:highlight w:val="none"/>
          <w:lang w:bidi="ar"/>
        </w:rPr>
        <w:object>
          <v:shape id="_x0000_i1038" o:spt="75" type="#_x0000_t75" style="height:18pt;width:93pt;" o:ole="t" filled="f" o:preferrelative="t" stroked="f" coordsize="21600,21600">
            <v:path/>
            <v:fill on="f" focussize="0,0"/>
            <v:stroke on="f"/>
            <v:imagedata r:id="rId37" o:title=""/>
            <o:lock v:ext="edit" aspectratio="t"/>
            <w10:wrap type="none"/>
            <w10:anchorlock/>
          </v:shape>
          <o:OLEObject Type="Embed" ProgID="Equation.DSMT4" ShapeID="_x0000_i1038" DrawAspect="Content" ObjectID="_1468075738" r:id="rId36">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5</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652B921D">
      <w:pPr>
        <w:snapToGrid w:val="0"/>
        <w:ind w:firstLine="0" w:firstLineChars="0"/>
        <w:textAlignment w:val="baseline"/>
        <w:rPr>
          <w:color w:val="auto"/>
          <w:highlight w:val="none"/>
        </w:rPr>
      </w:pPr>
      <w:r>
        <w:rPr>
          <w:color w:val="auto"/>
          <w:highlight w:val="none"/>
          <w:lang w:bidi="ar"/>
        </w:rPr>
        <w:t>式中</w:t>
      </w:r>
      <w:r>
        <w:rPr>
          <w:rFonts w:hint="eastAsia"/>
          <w:color w:val="auto"/>
          <w:highlight w:val="none"/>
          <w:lang w:bidi="ar"/>
        </w:rPr>
        <w:t>，</w:t>
      </w:r>
      <w:r>
        <w:rPr>
          <w:i/>
          <w:iCs/>
          <w:color w:val="auto"/>
          <w:highlight w:val="none"/>
          <w:lang w:bidi="ar"/>
        </w:rPr>
        <w:t>MT</w:t>
      </w:r>
      <w:r>
        <w:rPr>
          <w:color w:val="auto"/>
          <w:highlight w:val="none"/>
          <w:lang w:bidi="ar"/>
        </w:rPr>
        <w:t>为</w:t>
      </w:r>
      <w:r>
        <w:rPr>
          <w:rFonts w:hint="eastAsia"/>
          <w:color w:val="auto"/>
          <w:highlight w:val="none"/>
          <w:lang w:bidi="ar"/>
        </w:rPr>
        <w:t>日</w:t>
      </w:r>
      <w:r>
        <w:rPr>
          <w:color w:val="auto"/>
          <w:highlight w:val="none"/>
          <w:lang w:bidi="ar"/>
        </w:rPr>
        <w:t>温度项融雪（mm）；</w:t>
      </w:r>
      <w:r>
        <w:rPr>
          <w:i/>
          <w:iCs/>
          <w:color w:val="auto"/>
          <w:highlight w:val="none"/>
          <w:lang w:bidi="ar"/>
        </w:rPr>
        <w:t>MS</w:t>
      </w:r>
      <w:r>
        <w:rPr>
          <w:color w:val="auto"/>
          <w:highlight w:val="none"/>
          <w:lang w:bidi="ar"/>
        </w:rPr>
        <w:t>为</w:t>
      </w:r>
      <w:r>
        <w:rPr>
          <w:rFonts w:hint="eastAsia"/>
          <w:color w:val="auto"/>
          <w:highlight w:val="none"/>
          <w:lang w:bidi="ar"/>
        </w:rPr>
        <w:t>日</w:t>
      </w:r>
      <w:r>
        <w:rPr>
          <w:color w:val="auto"/>
          <w:highlight w:val="none"/>
          <w:lang w:bidi="ar"/>
        </w:rPr>
        <w:t>辐射项融雪（mm）；</w:t>
      </w:r>
      <w:r>
        <w:rPr>
          <w:i/>
          <w:iCs/>
          <w:color w:val="auto"/>
          <w:highlight w:val="none"/>
          <w:lang w:bidi="ar"/>
        </w:rPr>
        <w:t>SR</w:t>
      </w:r>
      <w:r>
        <w:rPr>
          <w:color w:val="auto"/>
          <w:highlight w:val="none"/>
          <w:lang w:bidi="ar"/>
        </w:rPr>
        <w:t>为入射太阳总辐射（W</w:t>
      </w:r>
      <w:r>
        <w:rPr>
          <w:rFonts w:hint="eastAsia"/>
          <w:color w:val="auto"/>
          <w:highlight w:val="none"/>
        </w:rPr>
        <w:t>·</w:t>
      </w:r>
      <w:r>
        <w:rPr>
          <w:color w:val="auto"/>
          <w:highlight w:val="none"/>
          <w:lang w:bidi="ar"/>
        </w:rPr>
        <w:t>m</w:t>
      </w:r>
      <w:r>
        <w:rPr>
          <w:color w:val="auto"/>
          <w:highlight w:val="none"/>
          <w:vertAlign w:val="superscript"/>
          <w:lang w:bidi="ar"/>
        </w:rPr>
        <w:t>-2</w:t>
      </w:r>
      <w:r>
        <w:rPr>
          <w:color w:val="auto"/>
          <w:highlight w:val="none"/>
          <w:lang w:bidi="ar"/>
        </w:rPr>
        <w:t>）；</w:t>
      </w:r>
      <m:oMath>
        <m:r>
          <m:rPr/>
          <w:rPr>
            <w:rFonts w:ascii="Cambria Math" w:hAnsi="Cambria Math"/>
            <w:color w:val="auto"/>
            <w:highlight w:val="none"/>
            <w:lang w:bidi="ar"/>
          </w:rPr>
          <m:t>α</m:t>
        </m:r>
      </m:oMath>
      <w:r>
        <w:rPr>
          <w:color w:val="auto"/>
          <w:highlight w:val="none"/>
          <w:lang w:bidi="ar"/>
        </w:rPr>
        <w:t>为雪反照率</w:t>
      </w:r>
      <w:r>
        <w:rPr>
          <w:rFonts w:hint="eastAsia"/>
          <w:color w:val="auto"/>
          <w:highlight w:val="none"/>
        </w:rPr>
        <w:t>，根据先前青藏高原的研究</w:t>
      </w:r>
      <w:r>
        <w:rPr>
          <w:rFonts w:hint="eastAsia"/>
          <w:color w:val="auto"/>
          <w:highlight w:val="none"/>
          <w:vertAlign w:val="superscript"/>
        </w:rPr>
        <w:t>[26]</w:t>
      </w:r>
      <w:r>
        <w:rPr>
          <w:rFonts w:hint="eastAsia"/>
          <w:color w:val="auto"/>
          <w:highlight w:val="none"/>
        </w:rPr>
        <w:t>，这里选择使用</w:t>
      </w:r>
      <m:oMath>
        <m:r>
          <m:rPr/>
          <w:rPr>
            <w:rFonts w:ascii="Cambria Math" w:hAnsi="Cambria Math"/>
            <w:color w:val="auto"/>
            <w:highlight w:val="none"/>
          </w:rPr>
          <m:t>α</m:t>
        </m:r>
      </m:oMath>
      <w:r>
        <w:rPr>
          <w:rFonts w:hint="eastAsia"/>
          <w:color w:val="auto"/>
          <w:highlight w:val="none"/>
        </w:rPr>
        <w:t>= 0.7</w:t>
      </w:r>
      <w:r>
        <w:rPr>
          <w:rFonts w:hint="eastAsia"/>
          <w:color w:val="auto"/>
          <w:highlight w:val="none"/>
          <w:lang w:bidi="ar"/>
        </w:rPr>
        <w:t>；</w:t>
      </w:r>
      <m:oMath>
        <m:sSub>
          <m:sSubPr>
            <m:ctrlPr>
              <w:rPr>
                <w:rFonts w:ascii="Cambria Math" w:hAnsi="Cambria Math"/>
                <w:i/>
                <w:iCs/>
                <w:color w:val="auto"/>
                <w:highlight w:val="none"/>
                <w:lang w:bidi="ar"/>
              </w:rPr>
            </m:ctrlPr>
          </m:sSubPr>
          <m:e>
            <m:r>
              <m:rPr/>
              <w:rPr>
                <w:rFonts w:ascii="Cambria Math" w:hAnsi="Cambria Math"/>
                <w:color w:val="auto"/>
                <w:highlight w:val="none"/>
                <w:lang w:bidi="ar"/>
              </w:rPr>
              <m:t>m</m:t>
            </m:r>
            <m:ctrlPr>
              <w:rPr>
                <w:rFonts w:ascii="Cambria Math" w:hAnsi="Cambria Math"/>
                <w:i/>
                <w:iCs/>
                <w:color w:val="auto"/>
                <w:highlight w:val="none"/>
                <w:lang w:bidi="ar"/>
              </w:rPr>
            </m:ctrlPr>
          </m:e>
          <m:sub>
            <m:r>
              <m:rPr/>
              <w:rPr>
                <w:rFonts w:ascii="Cambria Math" w:hAnsi="Cambria Math"/>
                <w:color w:val="auto"/>
                <w:highlight w:val="none"/>
                <w:lang w:bidi="ar"/>
              </w:rPr>
              <m:t>Q</m:t>
            </m:r>
            <m:ctrlPr>
              <w:rPr>
                <w:rFonts w:ascii="Cambria Math" w:hAnsi="Cambria Math"/>
                <w:i/>
                <w:iCs/>
                <w:color w:val="auto"/>
                <w:highlight w:val="none"/>
                <w:lang w:bidi="ar"/>
              </w:rPr>
            </m:ctrlPr>
          </m:sub>
        </m:sSub>
      </m:oMath>
      <w:r>
        <w:rPr>
          <w:color w:val="auto"/>
          <w:highlight w:val="none"/>
          <w:lang w:bidi="ar"/>
        </w:rPr>
        <w:t>为能量-水深转</w:t>
      </w:r>
      <w:r>
        <w:rPr>
          <w:rFonts w:hint="eastAsia"/>
          <w:color w:val="auto"/>
          <w:highlight w:val="none"/>
        </w:rPr>
        <w:t>换系数</w:t>
      </w:r>
      <w:r>
        <w:rPr>
          <w:rFonts w:hint="eastAsia" w:hAnsi="Cambria Math"/>
          <w:color w:val="auto"/>
          <w:highlight w:val="none"/>
        </w:rPr>
        <w:t>（</w:t>
      </w:r>
      <w:r>
        <w:rPr>
          <w:rFonts w:hint="eastAsia"/>
          <w:color w:val="auto"/>
          <w:highlight w:val="none"/>
        </w:rPr>
        <w:t>mm·W</w:t>
      </w:r>
      <w:r>
        <w:rPr>
          <w:rFonts w:hint="eastAsia"/>
          <w:color w:val="auto"/>
          <w:highlight w:val="none"/>
          <w:vertAlign w:val="superscript"/>
        </w:rPr>
        <w:t>−1</w:t>
      </w:r>
      <w:r>
        <w:rPr>
          <w:rFonts w:hint="eastAsia"/>
          <w:color w:val="auto"/>
          <w:highlight w:val="none"/>
        </w:rPr>
        <w:t>·m</w:t>
      </w:r>
      <w:r>
        <w:rPr>
          <w:rFonts w:hint="eastAsia"/>
          <w:color w:val="auto"/>
          <w:highlight w:val="none"/>
          <w:vertAlign w:val="superscript"/>
        </w:rPr>
        <w:t>2</w:t>
      </w:r>
      <w:r>
        <w:rPr>
          <w:rFonts w:hint="eastAsia"/>
          <w:color w:val="auto"/>
          <w:highlight w:val="none"/>
        </w:rPr>
        <w:t>·d</w:t>
      </w:r>
      <w:r>
        <w:rPr>
          <w:rFonts w:hint="eastAsia"/>
          <w:color w:val="auto"/>
          <w:highlight w:val="none"/>
          <w:vertAlign w:val="superscript"/>
        </w:rPr>
        <w:t>−1</w:t>
      </w:r>
      <w:r>
        <w:rPr>
          <w:rFonts w:hint="eastAsia"/>
          <w:color w:val="auto"/>
          <w:highlight w:val="none"/>
        </w:rPr>
        <w:t>），可由</w:t>
      </w:r>
      <w:bookmarkStart w:id="3" w:name="MTBlankEqn"/>
      <w:r>
        <w:rPr>
          <w:color w:val="auto"/>
          <w:position w:val="-14"/>
          <w:highlight w:val="none"/>
        </w:rPr>
        <w:object>
          <v:shape id="_x0000_i1039" o:spt="75" type="#_x0000_t75" style="height:18pt;width:81pt;" o:ole="t" filled="f" o:preferrelative="t" stroked="f" coordsize="21600,21600">
            <v:path/>
            <v:fill on="f" focussize="0,0"/>
            <v:stroke on="f" joinstyle="miter"/>
            <v:imagedata r:id="rId39" o:title=""/>
            <o:lock v:ext="edit" aspectratio="t"/>
            <w10:wrap type="none"/>
            <w10:anchorlock/>
          </v:shape>
          <o:OLEObject Type="Embed" ProgID="Equation.DSMT4" ShapeID="_x0000_i1039" DrawAspect="Content" ObjectID="_1468075739" r:id="rId38">
            <o:LockedField>false</o:LockedField>
          </o:OLEObject>
        </w:object>
      </w:r>
      <w:bookmarkEnd w:id="3"/>
      <w:r>
        <w:rPr>
          <w:rFonts w:hint="eastAsia"/>
          <w:color w:val="auto"/>
          <w:highlight w:val="none"/>
        </w:rPr>
        <w:t>计算，其中</w:t>
      </w:r>
      <w:r>
        <w:rPr>
          <w:rFonts w:hint="eastAsia"/>
          <w:i/>
          <w:iCs/>
          <w:color w:val="auto"/>
          <w:highlight w:val="none"/>
        </w:rPr>
        <w:t>Δt</w:t>
      </w:r>
      <w:r>
        <w:rPr>
          <w:rFonts w:hint="eastAsia"/>
          <w:color w:val="auto"/>
          <w:highlight w:val="none"/>
        </w:rPr>
        <w:t>是时间步长（s），</w:t>
      </w:r>
      <m:oMath>
        <m:sSub>
          <m:sSubPr>
            <m:ctrlPr>
              <w:rPr>
                <w:rFonts w:hint="eastAsia" w:ascii="Cambria Math" w:hAnsi="Cambria Math"/>
                <w:i/>
                <w:iCs/>
                <w:color w:val="auto"/>
                <w:highlight w:val="none"/>
              </w:rPr>
            </m:ctrlPr>
          </m:sSubPr>
          <m:e>
            <m:r>
              <m:rPr/>
              <w:rPr>
                <w:rFonts w:ascii="Cambria Math" w:hAnsi="Cambria Math"/>
                <w:color w:val="auto"/>
                <w:highlight w:val="none"/>
              </w:rPr>
              <m:t>ρ</m:t>
            </m:r>
            <m:ctrlPr>
              <w:rPr>
                <w:rFonts w:hint="eastAsia" w:ascii="Cambria Math" w:hAnsi="Cambria Math"/>
                <w:i/>
                <w:iCs/>
                <w:color w:val="auto"/>
                <w:highlight w:val="none"/>
              </w:rPr>
            </m:ctrlPr>
          </m:e>
          <m:sub>
            <m:r>
              <m:rPr/>
              <w:rPr>
                <w:rFonts w:hint="eastAsia" w:ascii="Cambria Math" w:hAnsi="Cambria Math"/>
                <w:color w:val="auto"/>
                <w:highlight w:val="none"/>
              </w:rPr>
              <m:t>w</m:t>
            </m:r>
            <m:ctrlPr>
              <w:rPr>
                <w:rFonts w:hint="eastAsia" w:ascii="Cambria Math" w:hAnsi="Cambria Math"/>
                <w:i/>
                <w:iCs/>
                <w:color w:val="auto"/>
                <w:highlight w:val="none"/>
              </w:rPr>
            </m:ctrlPr>
          </m:sub>
        </m:sSub>
        <m:r>
          <m:rPr>
            <m:sty m:val="p"/>
          </m:rPr>
          <w:rPr>
            <w:rFonts w:hint="eastAsia" w:ascii="Cambria Math" w:hAnsi="Cambria Math"/>
            <w:color w:val="auto"/>
            <w:highlight w:val="none"/>
          </w:rPr>
          <m:t xml:space="preserve"> </m:t>
        </m:r>
      </m:oMath>
      <w:r>
        <w:rPr>
          <w:rFonts w:hint="eastAsia"/>
          <w:color w:val="auto"/>
          <w:highlight w:val="none"/>
        </w:rPr>
        <w:t>是水密度（1000 kg·m</w:t>
      </w:r>
      <w:r>
        <w:rPr>
          <w:rFonts w:hint="eastAsia"/>
          <w:color w:val="auto"/>
          <w:highlight w:val="none"/>
          <w:vertAlign w:val="superscript"/>
        </w:rPr>
        <w:t>-</w:t>
      </w:r>
      <w:r>
        <w:rPr>
          <w:rFonts w:hint="eastAsia"/>
          <w:color w:val="auto"/>
          <w:highlight w:val="none"/>
        </w:rPr>
        <w:t>³），</w:t>
      </w:r>
      <m:oMath>
        <m:sSub>
          <m:sSubPr>
            <m:ctrlPr>
              <w:rPr>
                <w:rFonts w:hint="eastAsia" w:ascii="Cambria Math" w:hAnsi="Cambria Math"/>
                <w:i/>
                <w:iCs/>
                <w:color w:val="auto"/>
                <w:highlight w:val="none"/>
              </w:rPr>
            </m:ctrlPr>
          </m:sSubPr>
          <m:e>
            <m:r>
              <m:rPr/>
              <w:rPr>
                <w:rFonts w:hint="eastAsia" w:ascii="Cambria Math" w:hAnsi="Cambria Math"/>
                <w:color w:val="auto"/>
                <w:highlight w:val="none"/>
              </w:rPr>
              <m:t>L</m:t>
            </m:r>
            <m:ctrlPr>
              <w:rPr>
                <w:rFonts w:hint="eastAsia" w:ascii="Cambria Math" w:hAnsi="Cambria Math"/>
                <w:i/>
                <w:iCs/>
                <w:color w:val="auto"/>
                <w:highlight w:val="none"/>
              </w:rPr>
            </m:ctrlPr>
          </m:e>
          <m:sub>
            <m:r>
              <m:rPr/>
              <w:rPr>
                <w:rFonts w:hint="eastAsia" w:ascii="Cambria Math" w:hAnsi="Cambria Math"/>
                <w:color w:val="auto"/>
                <w:highlight w:val="none"/>
              </w:rPr>
              <m:t>f</m:t>
            </m:r>
            <m:ctrlPr>
              <w:rPr>
                <w:rFonts w:hint="eastAsia" w:ascii="Cambria Math" w:hAnsi="Cambria Math"/>
                <w:i/>
                <w:iCs/>
                <w:color w:val="auto"/>
                <w:highlight w:val="none"/>
              </w:rPr>
            </m:ctrlPr>
          </m:sub>
        </m:sSub>
      </m:oMath>
      <w:r>
        <w:rPr>
          <w:rFonts w:hint="eastAsia"/>
          <w:color w:val="auto"/>
          <w:highlight w:val="none"/>
        </w:rPr>
        <w:t>是冰的融化潜热（</w:t>
      </w:r>
      <w:r>
        <w:rPr>
          <w:color w:val="auto"/>
          <w:highlight w:val="none"/>
        </w:rPr>
        <w:t>3.34×10⁵ J·k</w:t>
      </w:r>
      <w:r>
        <w:rPr>
          <w:rFonts w:hint="eastAsia"/>
          <w:color w:val="auto"/>
          <w:highlight w:val="none"/>
        </w:rPr>
        <w:t>g</w:t>
      </w:r>
      <w:r>
        <w:rPr>
          <w:rFonts w:hint="eastAsia"/>
          <w:color w:val="auto"/>
          <w:highlight w:val="none"/>
          <w:vertAlign w:val="superscript"/>
        </w:rPr>
        <w:t>-1</w:t>
      </w:r>
      <w:r>
        <w:rPr>
          <w:rFonts w:hint="eastAsia"/>
          <w:color w:val="auto"/>
          <w:highlight w:val="none"/>
        </w:rPr>
        <w:t>），这里取为物理理论值，</w:t>
      </w:r>
      <m:oMath>
        <m:sSub>
          <m:sSubPr>
            <m:ctrlPr>
              <w:rPr>
                <w:rFonts w:ascii="Cambria Math" w:hAnsi="Cambria Math"/>
                <w:color w:val="auto"/>
                <w:highlight w:val="none"/>
              </w:rPr>
            </m:ctrlPr>
          </m:sSubPr>
          <m:e>
            <m:r>
              <m:rPr/>
              <w:rPr>
                <w:rFonts w:ascii="Cambria Math" w:hAnsi="Cambria Math"/>
                <w:color w:val="auto"/>
                <w:highlight w:val="none"/>
              </w:rPr>
              <m:t>m</m:t>
            </m:r>
            <m:ctrlPr>
              <w:rPr>
                <w:rFonts w:ascii="Cambria Math" w:hAnsi="Cambria Math"/>
                <w:color w:val="auto"/>
                <w:highlight w:val="none"/>
              </w:rPr>
            </m:ctrlPr>
          </m:e>
          <m:sub>
            <m:r>
              <m:rPr/>
              <w:rPr>
                <w:rFonts w:ascii="Cambria Math" w:hAnsi="Cambria Math"/>
                <w:color w:val="auto"/>
                <w:highlight w:val="none"/>
              </w:rPr>
              <m:t>Q</m:t>
            </m:r>
            <m:ctrlPr>
              <w:rPr>
                <w:rFonts w:ascii="Cambria Math" w:hAnsi="Cambria Math"/>
                <w:color w:val="auto"/>
                <w:highlight w:val="none"/>
              </w:rPr>
            </m:ctrlPr>
          </m:sub>
        </m:sSub>
      </m:oMath>
      <w:r>
        <w:rPr>
          <w:rFonts w:hint="eastAsia"/>
          <w:color w:val="auto"/>
          <w:highlight w:val="none"/>
        </w:rPr>
        <w:t>= 0.258mm·W</w:t>
      </w:r>
      <w:r>
        <w:rPr>
          <w:rFonts w:hint="eastAsia"/>
          <w:color w:val="auto"/>
          <w:highlight w:val="none"/>
          <w:vertAlign w:val="superscript"/>
        </w:rPr>
        <w:t>−1</w:t>
      </w:r>
      <w:r>
        <w:rPr>
          <w:rFonts w:hint="eastAsia"/>
          <w:color w:val="auto"/>
          <w:highlight w:val="none"/>
        </w:rPr>
        <w:t>·m</w:t>
      </w:r>
      <w:r>
        <w:rPr>
          <w:rFonts w:hint="eastAsia"/>
          <w:color w:val="auto"/>
          <w:highlight w:val="none"/>
          <w:vertAlign w:val="superscript"/>
        </w:rPr>
        <w:t>2</w:t>
      </w:r>
      <w:r>
        <w:rPr>
          <w:rFonts w:hint="eastAsia"/>
          <w:color w:val="auto"/>
          <w:highlight w:val="none"/>
        </w:rPr>
        <w:t>·d</w:t>
      </w:r>
      <w:r>
        <w:rPr>
          <w:rFonts w:hint="eastAsia"/>
          <w:color w:val="auto"/>
          <w:highlight w:val="none"/>
          <w:vertAlign w:val="superscript"/>
        </w:rPr>
        <w:t>−1</w:t>
      </w:r>
      <w:r>
        <w:rPr>
          <w:rFonts w:hint="eastAsia"/>
          <w:color w:val="auto"/>
          <w:highlight w:val="none"/>
        </w:rPr>
        <w:t>。</w:t>
      </w:r>
    </w:p>
    <w:p w14:paraId="539150E7">
      <w:pPr>
        <w:pStyle w:val="4"/>
        <w:rPr>
          <w:color w:val="auto"/>
          <w:highlight w:val="none"/>
        </w:rPr>
      </w:pPr>
      <w:r>
        <w:rPr>
          <w:rFonts w:hint="eastAsia"/>
          <w:color w:val="auto"/>
          <w:highlight w:val="none"/>
        </w:rPr>
        <w:t>2.2.2将静态度日因子改进为季节性动态变化</w:t>
      </w:r>
    </w:p>
    <w:p w14:paraId="08D99D1E">
      <w:pPr>
        <w:rPr>
          <w:color w:val="auto"/>
          <w:highlight w:val="none"/>
        </w:rPr>
      </w:pPr>
      <w:r>
        <w:rPr>
          <w:rFonts w:hint="eastAsia"/>
          <w:color w:val="auto"/>
          <w:highlight w:val="none"/>
        </w:rPr>
        <w:t>原始SPHY模型中静态的度日因子不适用于季节性融雪地区。本研究通过分析流域2009</w:t>
      </w:r>
      <w:r>
        <w:rPr>
          <w:rFonts w:hint="eastAsia" w:hAnsi="Times New Roman"/>
          <w:color w:val="auto"/>
          <w:highlight w:val="none"/>
        </w:rPr>
        <w:t>—</w:t>
      </w:r>
      <w:r>
        <w:rPr>
          <w:rFonts w:hint="eastAsia"/>
          <w:color w:val="auto"/>
          <w:highlight w:val="none"/>
        </w:rPr>
        <w:t>2016年10月至次年6月雪深与太阳辐射的7天移动平均关系，识别年内融雪速率最大与最小日期，进而构建以正弦函数为基础的季节性动态度日因子表达式。</w:t>
      </w:r>
      <w:r>
        <w:rPr>
          <w:color w:val="auto"/>
          <w:highlight w:val="none"/>
        </w:rPr>
        <w:t>雪深随着太阳辐射的逐渐增加而减小</w:t>
      </w:r>
      <w:r>
        <w:rPr>
          <w:rFonts w:hint="eastAsia"/>
          <w:color w:val="auto"/>
          <w:highlight w:val="none"/>
        </w:rPr>
        <w:t>，</w:t>
      </w:r>
      <w:r>
        <w:rPr>
          <w:color w:val="auto"/>
          <w:highlight w:val="none"/>
        </w:rPr>
        <w:t>当雪深较高，同时太阳辐射最小的时候，</w:t>
      </w:r>
      <w:r>
        <w:rPr>
          <w:rFonts w:hint="eastAsia"/>
          <w:color w:val="auto"/>
          <w:highlight w:val="none"/>
        </w:rPr>
        <w:t>表示融雪度日因子出现最小值的时间；反之，当雪深逐渐减小时，最大辐射所对应的时间将是最大融雪度日因子出现的时间。</w:t>
      </w:r>
    </w:p>
    <w:p w14:paraId="1F6D2A4B">
      <w:pPr>
        <w:textAlignment w:val="center"/>
        <w:rPr>
          <w:color w:val="auto"/>
          <w:highlight w:val="none"/>
        </w:rPr>
      </w:pPr>
      <w:r>
        <w:rPr>
          <w:rFonts w:hint="eastAsia"/>
          <w:color w:val="auto"/>
          <w:highlight w:val="none"/>
        </w:rPr>
        <w:t>通过分析两个日期的时间分布，获得度日因子的最大值和最小值的多年平均发生时间。度日因子最小值的中位数日期为2月25日（第56天），度日因子最大值的中位数日期为5月31日（第151天）。在本研究中，这两个中位数分别代表融雪度日因子的最大值和最小值。根据正弦变化原理，将其值代入公式时，分别出现最小正弦值和最大正弦值。即当n =56时，sin函数应处于3π/2相位而正弦值应为- 1。同时，sin函数为π/2相位，</w:t>
      </w:r>
      <w:r>
        <w:rPr>
          <w:rFonts w:hint="eastAsia"/>
          <w:i/>
          <w:iCs/>
          <w:color w:val="auto"/>
          <w:highlight w:val="none"/>
        </w:rPr>
        <w:t xml:space="preserve">n </w:t>
      </w:r>
      <w:r>
        <w:rPr>
          <w:rFonts w:hint="eastAsia"/>
          <w:color w:val="auto"/>
          <w:highlight w:val="none"/>
        </w:rPr>
        <w:t>= 151时正弦值为1。在此基础上，将融雪度日因子的公式修改为</w:t>
      </w:r>
    </w:p>
    <w:p w14:paraId="39FC4109">
      <w:pPr>
        <w:pStyle w:val="12"/>
        <w:tabs>
          <w:tab w:val="center" w:pos="4160"/>
          <w:tab w:val="right" w:pos="8300"/>
        </w:tabs>
        <w:snapToGrid w:val="0"/>
        <w:spacing w:beforeAutospacing="0" w:afterAutospacing="0"/>
        <w:ind w:firstLine="0" w:firstLineChars="0"/>
        <w:jc w:val="center"/>
        <w:rPr>
          <w:rFonts w:hint="eastAsia" w:eastAsia="宋体"/>
          <w:color w:val="auto"/>
          <w:highlight w:val="none"/>
          <w:lang w:eastAsia="zh-CN"/>
        </w:rPr>
      </w:pPr>
      <w:r>
        <w:rPr>
          <w:color w:val="auto"/>
          <w:kern w:val="2"/>
          <w:sz w:val="21"/>
          <w:highlight w:val="none"/>
          <w:lang w:bidi="ar"/>
        </w:rPr>
        <w:tab/>
      </w:r>
      <w:r>
        <w:rPr>
          <w:color w:val="auto"/>
          <w:kern w:val="2"/>
          <w:position w:val="-26"/>
          <w:sz w:val="21"/>
          <w:highlight w:val="none"/>
          <w:lang w:bidi="ar"/>
        </w:rPr>
        <w:object>
          <v:shape id="_x0000_i1040" o:spt="75" type="#_x0000_t75" style="height:31pt;width:316.1pt;" o:ole="t" filled="f" o:preferrelative="t" stroked="f" coordsize="21600,21600">
            <v:path/>
            <v:fill on="f" focussize="0,0"/>
            <v:stroke on="f" joinstyle="miter"/>
            <v:imagedata r:id="rId41" o:title=""/>
            <o:lock v:ext="edit" aspectratio="t"/>
            <w10:wrap type="none"/>
            <w10:anchorlock/>
          </v:shape>
          <o:OLEObject Type="Embed" ProgID="Equation.DSMT4" ShapeID="_x0000_i1040" DrawAspect="Content" ObjectID="_1468075740" r:id="rId40">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6</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1D57BC2E">
      <w:pPr>
        <w:snapToGrid w:val="0"/>
        <w:ind w:firstLine="0" w:firstLineChars="0"/>
        <w:textAlignment w:val="center"/>
        <w:rPr>
          <w:color w:val="auto"/>
          <w:highlight w:val="none"/>
        </w:rPr>
      </w:pPr>
      <w:r>
        <w:rPr>
          <w:color w:val="auto"/>
          <w:highlight w:val="none"/>
          <w:lang w:bidi="ar"/>
        </w:rPr>
        <w:t>式中，</w:t>
      </w:r>
      <w:bookmarkStart w:id="4" w:name="MTToggleStart"/>
      <w:bookmarkEnd w:id="4"/>
      <w:r>
        <w:rPr>
          <w:color w:val="auto"/>
          <w:highlight w:val="none"/>
          <w:lang w:bidi="ar"/>
        </w:rPr>
        <w:object>
          <v:shape id="_x0000_i1041" o:spt="75" type="#_x0000_t75" style="height:16pt;width:45pt;" o:ole="t" filled="f" o:preferrelative="t" stroked="f" coordsize="21600,21600">
            <v:path/>
            <v:fill on="f" focussize="0,0"/>
            <v:stroke on="f" joinstyle="miter"/>
            <v:imagedata r:id="rId43" o:title=""/>
            <o:lock v:ext="edit" aspectratio="t"/>
            <w10:wrap type="none"/>
            <w10:anchorlock/>
          </v:shape>
          <o:OLEObject Type="Embed" ProgID="Equation.DSMT4" ShapeID="_x0000_i1041" DrawAspect="Content" ObjectID="_1468075741" r:id="rId42">
            <o:LockedField>false</o:LockedField>
          </o:OLEObject>
        </w:object>
      </w:r>
      <w:r>
        <w:rPr>
          <w:color w:val="auto"/>
          <w:highlight w:val="none"/>
          <w:lang w:bidi="ar"/>
        </w:rPr>
        <w:t>和</w:t>
      </w:r>
      <w:r>
        <w:rPr>
          <w:color w:val="auto"/>
          <w:highlight w:val="none"/>
          <w:lang w:bidi="ar"/>
        </w:rPr>
        <w:object>
          <v:shape id="_x0000_i1042" o:spt="75" type="#_x0000_t75" style="height:16pt;width:42pt;" o:ole="t" filled="f" o:preferrelative="t" stroked="f" coordsize="21600,21600">
            <v:path/>
            <v:fill on="f" focussize="0,0"/>
            <v:stroke on="f" joinstyle="miter"/>
            <v:imagedata r:id="rId45" o:title=""/>
            <o:lock v:ext="edit" aspectratio="t"/>
            <w10:wrap type="none"/>
            <w10:anchorlock/>
          </v:shape>
          <o:OLEObject Type="Embed" ProgID="Equation.DSMT4" ShapeID="_x0000_i1042" DrawAspect="Content" ObjectID="_1468075742" r:id="rId44">
            <o:LockedField>false</o:LockedField>
          </o:OLEObject>
        </w:object>
      </w:r>
      <w:r>
        <w:rPr>
          <w:color w:val="auto"/>
          <w:highlight w:val="none"/>
          <w:lang w:bidi="ar"/>
        </w:rPr>
        <w:t>分别</w:t>
      </w:r>
      <w:r>
        <w:rPr>
          <w:rFonts w:hint="eastAsia"/>
          <w:color w:val="auto"/>
          <w:highlight w:val="none"/>
          <w:lang w:bidi="ar"/>
        </w:rPr>
        <w:t>为</w:t>
      </w:r>
      <w:r>
        <w:rPr>
          <w:color w:val="auto"/>
          <w:highlight w:val="none"/>
          <w:lang w:bidi="ar"/>
        </w:rPr>
        <w:t>最大最小度日因子</w:t>
      </w:r>
      <w:r>
        <w:rPr>
          <w:rFonts w:hint="eastAsia"/>
          <w:color w:val="auto"/>
          <w:highlight w:val="none"/>
          <w:lang w:bidi="ar"/>
        </w:rPr>
        <w:t>；</w:t>
      </w:r>
      <w:r>
        <w:rPr>
          <w:i/>
          <w:iCs/>
          <w:color w:val="auto"/>
          <w:highlight w:val="none"/>
          <w:lang w:bidi="ar"/>
        </w:rPr>
        <w:t>n</w:t>
      </w:r>
      <w:r>
        <w:rPr>
          <w:rFonts w:hint="eastAsia"/>
          <w:color w:val="auto"/>
          <w:highlight w:val="none"/>
          <w:lang w:bidi="ar"/>
        </w:rPr>
        <w:t>为年序日，</w:t>
      </w:r>
      <w:r>
        <w:rPr>
          <w:color w:val="auto"/>
          <w:highlight w:val="none"/>
          <w:lang w:bidi="ar"/>
        </w:rPr>
        <w:t>即一年中</w:t>
      </w:r>
      <w:r>
        <w:rPr>
          <w:rFonts w:hint="eastAsia"/>
          <w:color w:val="auto"/>
          <w:highlight w:val="none"/>
          <w:lang w:bidi="ar"/>
        </w:rPr>
        <w:t>的</w:t>
      </w:r>
      <w:r>
        <w:rPr>
          <w:color w:val="auto"/>
          <w:highlight w:val="none"/>
          <w:lang w:bidi="ar"/>
        </w:rPr>
        <w:t>第</w:t>
      </w:r>
      <w:r>
        <w:rPr>
          <w:rFonts w:hint="eastAsia"/>
          <w:color w:val="auto"/>
          <w:highlight w:val="none"/>
          <w:lang w:bidi="ar"/>
        </w:rPr>
        <w:t>几</w:t>
      </w:r>
      <w:r>
        <w:rPr>
          <w:color w:val="auto"/>
          <w:highlight w:val="none"/>
          <w:lang w:bidi="ar"/>
        </w:rPr>
        <w:t>天</w:t>
      </w:r>
      <w:r>
        <w:rPr>
          <w:rFonts w:hint="eastAsia"/>
          <w:color w:val="auto"/>
          <w:highlight w:val="none"/>
          <w:lang w:bidi="ar"/>
        </w:rPr>
        <w:t>；</w:t>
      </w:r>
      <w:r>
        <w:rPr>
          <w:rFonts w:hint="eastAsia"/>
          <w:i/>
          <w:iCs/>
          <w:color w:val="auto"/>
          <w:highlight w:val="none"/>
          <w:lang w:bidi="ar"/>
        </w:rPr>
        <w:t>a</w:t>
      </w:r>
      <w:r>
        <w:rPr>
          <w:rFonts w:hint="eastAsia"/>
          <w:color w:val="auto"/>
          <w:highlight w:val="none"/>
          <w:lang w:bidi="ar"/>
        </w:rPr>
        <w:t>，</w:t>
      </w:r>
      <w:r>
        <w:rPr>
          <w:rFonts w:hint="eastAsia"/>
          <w:i/>
          <w:iCs/>
          <w:color w:val="auto"/>
          <w:highlight w:val="none"/>
          <w:lang w:bidi="ar"/>
        </w:rPr>
        <w:t>b</w:t>
      </w:r>
      <w:r>
        <w:rPr>
          <w:rFonts w:hint="eastAsia"/>
          <w:color w:val="auto"/>
          <w:highlight w:val="none"/>
          <w:lang w:bidi="ar"/>
        </w:rPr>
        <w:t>为参数，由两个年序日代入</w:t>
      </w:r>
      <w:r>
        <w:rPr>
          <w:rFonts w:hint="eastAsia"/>
          <w:color w:val="auto"/>
          <w:highlight w:val="none"/>
        </w:rPr>
        <w:t>sin函数</w:t>
      </w:r>
      <w:r>
        <w:rPr>
          <w:rFonts w:hint="eastAsia"/>
          <w:color w:val="auto"/>
          <w:highlight w:val="none"/>
          <w:lang w:bidi="ar"/>
        </w:rPr>
        <w:t>联立方程组确定，本研究流域中，通过计算，</w:t>
      </w:r>
      <w:r>
        <w:rPr>
          <w:rFonts w:hint="eastAsia"/>
          <w:i/>
          <w:iCs/>
          <w:color w:val="auto"/>
          <w:highlight w:val="none"/>
          <w:lang w:bidi="ar"/>
        </w:rPr>
        <w:t>a</w:t>
      </w:r>
      <w:r>
        <w:rPr>
          <w:rFonts w:hint="eastAsia"/>
          <w:color w:val="auto"/>
          <w:highlight w:val="none"/>
          <w:lang w:bidi="ar"/>
        </w:rPr>
        <w:t>取95，</w:t>
      </w:r>
      <w:r>
        <w:rPr>
          <w:rFonts w:hint="eastAsia"/>
          <w:i/>
          <w:iCs/>
          <w:color w:val="auto"/>
          <w:highlight w:val="none"/>
          <w:lang w:bidi="ar"/>
        </w:rPr>
        <w:t>b</w:t>
      </w:r>
      <w:r>
        <w:rPr>
          <w:rFonts w:hint="eastAsia"/>
          <w:color w:val="auto"/>
          <w:highlight w:val="none"/>
          <w:lang w:bidi="ar"/>
        </w:rPr>
        <w:t>取198.5</w:t>
      </w:r>
      <w:r>
        <w:rPr>
          <w:color w:val="auto"/>
          <w:highlight w:val="none"/>
          <w:lang w:bidi="ar"/>
        </w:rPr>
        <w:t>。</w:t>
      </w:r>
    </w:p>
    <w:p w14:paraId="49DAF63E">
      <w:pPr>
        <w:pStyle w:val="8"/>
        <w:spacing w:after="0"/>
        <w:rPr>
          <w:color w:val="auto"/>
          <w:highlight w:val="none"/>
        </w:rPr>
      </w:pPr>
      <w:r>
        <w:rPr>
          <w:rFonts w:hint="eastAsia"/>
          <w:color w:val="auto"/>
          <w:highlight w:val="none"/>
        </w:rPr>
        <w:t>改进的融雪模块如图3所示。</w:t>
      </w:r>
    </w:p>
    <w:p w14:paraId="2402ADEC">
      <w:pPr>
        <w:pStyle w:val="8"/>
        <w:spacing w:after="0"/>
        <w:ind w:firstLine="0" w:firstLineChars="0"/>
        <w:rPr>
          <w:color w:val="auto"/>
          <w:highlight w:val="none"/>
        </w:rPr>
      </w:pPr>
      <w:r>
        <w:rPr>
          <w:rFonts w:hint="eastAsia"/>
          <w:color w:val="auto"/>
          <w:highlight w:val="none"/>
        </w:rPr>
        <w:drawing>
          <wp:inline distT="0" distB="0" distL="114300" distR="114300">
            <wp:extent cx="5255895" cy="3258820"/>
            <wp:effectExtent l="0" t="0" r="1905" b="5080"/>
            <wp:docPr id="15" name="图片 15" descr="改进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改进图"/>
                    <pic:cNvPicPr>
                      <a:picLocks noChangeAspect="1"/>
                    </pic:cNvPicPr>
                  </pic:nvPicPr>
                  <pic:blipFill>
                    <a:blip r:embed="rId46"/>
                    <a:stretch>
                      <a:fillRect/>
                    </a:stretch>
                  </pic:blipFill>
                  <pic:spPr>
                    <a:xfrm>
                      <a:off x="0" y="0"/>
                      <a:ext cx="5255895" cy="3258820"/>
                    </a:xfrm>
                    <a:prstGeom prst="rect">
                      <a:avLst/>
                    </a:prstGeom>
                  </pic:spPr>
                </pic:pic>
              </a:graphicData>
            </a:graphic>
          </wp:inline>
        </w:drawing>
      </w:r>
    </w:p>
    <w:p w14:paraId="15D6EC63">
      <w:pPr>
        <w:pStyle w:val="8"/>
        <w:spacing w:after="0"/>
        <w:ind w:firstLine="0" w:firstLineChars="0"/>
        <w:jc w:val="center"/>
        <w:rPr>
          <w:rFonts w:eastAsia="黑体"/>
          <w:bCs/>
          <w:color w:val="auto"/>
          <w:sz w:val="18"/>
          <w:szCs w:val="18"/>
          <w:highlight w:val="none"/>
        </w:rPr>
      </w:pPr>
      <w:r>
        <w:rPr>
          <w:rFonts w:eastAsia="黑体"/>
          <w:bCs/>
          <w:color w:val="auto"/>
          <w:sz w:val="18"/>
          <w:szCs w:val="18"/>
          <w:highlight w:val="none"/>
        </w:rPr>
        <w:t xml:space="preserve">图3  </w:t>
      </w:r>
      <w:r>
        <w:rPr>
          <w:rFonts w:hint="eastAsia" w:eastAsia="黑体"/>
          <w:bCs/>
          <w:color w:val="auto"/>
          <w:sz w:val="18"/>
          <w:szCs w:val="18"/>
          <w:highlight w:val="none"/>
        </w:rPr>
        <w:t>改进的融雪模块示意</w:t>
      </w:r>
    </w:p>
    <w:p w14:paraId="71374789">
      <w:pPr>
        <w:pStyle w:val="8"/>
        <w:spacing w:after="0"/>
        <w:ind w:firstLine="0" w:firstLineChars="0"/>
        <w:jc w:val="center"/>
        <w:rPr>
          <w:rFonts w:eastAsia="黑体"/>
          <w:bCs/>
          <w:color w:val="auto"/>
          <w:sz w:val="18"/>
          <w:szCs w:val="18"/>
          <w:highlight w:val="none"/>
        </w:rPr>
      </w:pPr>
      <w:r>
        <w:rPr>
          <w:rFonts w:hint="eastAsia" w:eastAsia="黑体"/>
          <w:bCs/>
          <w:color w:val="auto"/>
          <w:sz w:val="18"/>
          <w:szCs w:val="18"/>
          <w:highlight w:val="none"/>
        </w:rPr>
        <w:t>Fig.3</w:t>
      </w:r>
      <w:r>
        <w:rPr>
          <w:rFonts w:eastAsia="黑体"/>
          <w:bCs/>
          <w:color w:val="auto"/>
          <w:sz w:val="18"/>
          <w:szCs w:val="18"/>
          <w:highlight w:val="none"/>
        </w:rPr>
        <w:t xml:space="preserve">  Schematic diagram of improved snowmelt module</w:t>
      </w:r>
    </w:p>
    <w:p w14:paraId="70C04E19">
      <w:pPr>
        <w:pStyle w:val="2"/>
        <w:rPr>
          <w:color w:val="auto"/>
          <w:highlight w:val="none"/>
        </w:rPr>
      </w:pPr>
      <w:r>
        <w:rPr>
          <w:rFonts w:hint="eastAsia"/>
          <w:color w:val="auto"/>
          <w:highlight w:val="none"/>
        </w:rPr>
        <w:t xml:space="preserve">3结果与分析 </w:t>
      </w:r>
    </w:p>
    <w:p w14:paraId="1C81148A">
      <w:pPr>
        <w:pStyle w:val="3"/>
        <w:rPr>
          <w:color w:val="auto"/>
          <w:highlight w:val="none"/>
        </w:rPr>
      </w:pPr>
      <w:r>
        <w:rPr>
          <w:rFonts w:hint="eastAsia"/>
          <w:color w:val="auto"/>
          <w:highlight w:val="none"/>
        </w:rPr>
        <w:t>3.1模型率定与验证</w:t>
      </w:r>
    </w:p>
    <w:p w14:paraId="1EFDA490">
      <w:pPr>
        <w:rPr>
          <w:color w:val="auto"/>
          <w:highlight w:val="none"/>
        </w:rPr>
      </w:pPr>
      <w:r>
        <w:rPr>
          <w:rFonts w:hint="eastAsia"/>
          <w:color w:val="auto"/>
          <w:highlight w:val="none"/>
        </w:rPr>
        <w:t>采用HE等</w:t>
      </w:r>
      <w:r>
        <w:rPr>
          <w:rFonts w:hint="eastAsia"/>
          <w:color w:val="auto"/>
          <w:highlight w:val="none"/>
          <w:vertAlign w:val="superscript"/>
        </w:rPr>
        <w:t>[27]</w:t>
      </w:r>
      <w:r>
        <w:rPr>
          <w:rFonts w:hint="eastAsia"/>
          <w:color w:val="auto"/>
          <w:highlight w:val="none"/>
        </w:rPr>
        <w:t>提出的</w:t>
      </w:r>
      <w:r>
        <w:rPr>
          <w:color w:val="auto"/>
          <w:highlight w:val="none"/>
        </w:rPr>
        <w:t>水文过程分割</w:t>
      </w:r>
      <w:r>
        <w:rPr>
          <w:rFonts w:hint="eastAsia"/>
          <w:color w:val="auto"/>
          <w:highlight w:val="none"/>
        </w:rPr>
        <w:t>（</w:t>
      </w:r>
      <w:r>
        <w:rPr>
          <w:color w:val="auto"/>
          <w:highlight w:val="none"/>
        </w:rPr>
        <w:t>Hydrograph Partitioning Curves</w:t>
      </w:r>
      <w:r>
        <w:rPr>
          <w:rFonts w:hint="eastAsia"/>
          <w:color w:val="auto"/>
          <w:highlight w:val="none"/>
        </w:rPr>
        <w:t>，</w:t>
      </w:r>
      <w:r>
        <w:rPr>
          <w:color w:val="auto"/>
          <w:highlight w:val="none"/>
        </w:rPr>
        <w:t>HPC）</w:t>
      </w:r>
      <w:r>
        <w:rPr>
          <w:rFonts w:hint="eastAsia"/>
          <w:color w:val="auto"/>
          <w:highlight w:val="none"/>
        </w:rPr>
        <w:t>法</w:t>
      </w:r>
      <w:r>
        <w:rPr>
          <w:color w:val="auto"/>
          <w:highlight w:val="none"/>
        </w:rPr>
        <w:t>对201</w:t>
      </w:r>
      <w:r>
        <w:rPr>
          <w:rFonts w:hint="eastAsia"/>
          <w:color w:val="auto"/>
          <w:highlight w:val="none"/>
        </w:rPr>
        <w:t>0</w:t>
      </w:r>
      <w:r>
        <w:rPr>
          <w:rFonts w:hint="eastAsia" w:hAnsi="Times New Roman"/>
          <w:color w:val="auto"/>
          <w:highlight w:val="none"/>
        </w:rPr>
        <w:t>—</w:t>
      </w:r>
      <w:r>
        <w:rPr>
          <w:color w:val="auto"/>
          <w:highlight w:val="none"/>
        </w:rPr>
        <w:t>2015年间</w:t>
      </w:r>
      <w:r>
        <w:rPr>
          <w:rFonts w:hint="eastAsia"/>
          <w:color w:val="auto"/>
          <w:highlight w:val="none"/>
        </w:rPr>
        <w:t>更张</w:t>
      </w:r>
      <w:r>
        <w:rPr>
          <w:color w:val="auto"/>
          <w:highlight w:val="none"/>
        </w:rPr>
        <w:t>水文站实测径流</w:t>
      </w:r>
      <w:r>
        <w:rPr>
          <w:rFonts w:hint="eastAsia"/>
          <w:color w:val="auto"/>
          <w:highlight w:val="none"/>
        </w:rPr>
        <w:t>曲线</w:t>
      </w:r>
      <w:r>
        <w:rPr>
          <w:color w:val="auto"/>
          <w:highlight w:val="none"/>
        </w:rPr>
        <w:t>进行划分，结果</w:t>
      </w:r>
      <w:r>
        <w:rPr>
          <w:rFonts w:hint="eastAsia"/>
          <w:color w:val="auto"/>
          <w:highlight w:val="none"/>
        </w:rPr>
        <w:t>如</w:t>
      </w:r>
      <w:r>
        <w:rPr>
          <w:color w:val="auto"/>
          <w:highlight w:val="none"/>
        </w:rPr>
        <w:t xml:space="preserve">图 </w:t>
      </w:r>
      <w:r>
        <w:rPr>
          <w:rFonts w:hint="eastAsia"/>
          <w:color w:val="auto"/>
          <w:highlight w:val="none"/>
        </w:rPr>
        <w:t>4（a）所示。</w:t>
      </w:r>
      <w:r>
        <w:rPr>
          <w:color w:val="auto"/>
          <w:highlight w:val="none"/>
        </w:rPr>
        <w:t>为验证划分结果的合理性，将更张站2010</w:t>
      </w:r>
      <w:r>
        <w:rPr>
          <w:rFonts w:hint="eastAsia" w:hAnsi="Times New Roman"/>
          <w:color w:val="auto"/>
          <w:highlight w:val="none"/>
        </w:rPr>
        <w:t>—</w:t>
      </w:r>
      <w:r>
        <w:rPr>
          <w:color w:val="auto"/>
          <w:highlight w:val="none"/>
        </w:rPr>
        <w:t>2015年融雪径流主导期划分结果与流域平均MODIS雪被覆盖</w:t>
      </w:r>
      <w:r>
        <w:rPr>
          <w:rFonts w:hint="eastAsia"/>
          <w:color w:val="auto"/>
          <w:highlight w:val="none"/>
        </w:rPr>
        <w:t>度</w:t>
      </w:r>
      <w:r>
        <w:rPr>
          <w:color w:val="auto"/>
          <w:highlight w:val="none"/>
        </w:rPr>
        <w:t>进行对比</w:t>
      </w:r>
      <w:r>
        <w:rPr>
          <w:rFonts w:hint="eastAsia"/>
          <w:color w:val="auto"/>
          <w:highlight w:val="none"/>
        </w:rPr>
        <w:t>，如图4（b）所示</w:t>
      </w:r>
      <w:r>
        <w:rPr>
          <w:color w:val="auto"/>
          <w:highlight w:val="none"/>
        </w:rPr>
        <w:t>。结果显示，划分出的融雪主导期与遥感观测的</w:t>
      </w:r>
      <w:r>
        <w:rPr>
          <w:rFonts w:hint="eastAsia"/>
          <w:color w:val="auto"/>
          <w:highlight w:val="none"/>
        </w:rPr>
        <w:t>积</w:t>
      </w:r>
      <w:r>
        <w:rPr>
          <w:color w:val="auto"/>
          <w:highlight w:val="none"/>
        </w:rPr>
        <w:t>雪覆盖</w:t>
      </w:r>
      <w:r>
        <w:rPr>
          <w:rFonts w:hint="eastAsia"/>
          <w:color w:val="auto"/>
          <w:highlight w:val="none"/>
        </w:rPr>
        <w:t>度</w:t>
      </w:r>
      <w:r>
        <w:rPr>
          <w:color w:val="auto"/>
          <w:highlight w:val="none"/>
        </w:rPr>
        <w:t>快速衰减期高度吻合，表明HPC方法能</w:t>
      </w:r>
      <w:r>
        <w:rPr>
          <w:rFonts w:hint="eastAsia"/>
          <w:color w:val="auto"/>
          <w:highlight w:val="none"/>
        </w:rPr>
        <w:t>够</w:t>
      </w:r>
      <w:r>
        <w:rPr>
          <w:color w:val="auto"/>
          <w:highlight w:val="none"/>
        </w:rPr>
        <w:t>有效捕捉尼洋河流域以融雪为主要驱动的水文动态，划分结果具有可靠性。</w:t>
      </w:r>
    </w:p>
    <w:p w14:paraId="039EE529">
      <w:pPr>
        <w:ind w:firstLine="0" w:firstLineChars="0"/>
        <w:jc w:val="center"/>
        <w:rPr>
          <w:color w:val="auto"/>
          <w:highlight w:val="none"/>
        </w:rPr>
      </w:pPr>
      <w:r>
        <w:rPr>
          <w:rFonts w:hint="eastAsia"/>
          <w:color w:val="auto"/>
          <w:highlight w:val="none"/>
        </w:rPr>
        <w:drawing>
          <wp:inline distT="0" distB="0" distL="114300" distR="114300">
            <wp:extent cx="5271770" cy="4464685"/>
            <wp:effectExtent l="0" t="0" r="11430" b="5715"/>
            <wp:docPr id="3" name="图片 3" descr="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演"/>
                    <pic:cNvPicPr>
                      <a:picLocks noChangeAspect="1"/>
                    </pic:cNvPicPr>
                  </pic:nvPicPr>
                  <pic:blipFill>
                    <a:blip r:embed="rId47"/>
                    <a:stretch>
                      <a:fillRect/>
                    </a:stretch>
                  </pic:blipFill>
                  <pic:spPr>
                    <a:xfrm>
                      <a:off x="0" y="0"/>
                      <a:ext cx="5271770" cy="4464685"/>
                    </a:xfrm>
                    <a:prstGeom prst="rect">
                      <a:avLst/>
                    </a:prstGeom>
                  </pic:spPr>
                </pic:pic>
              </a:graphicData>
            </a:graphic>
          </wp:inline>
        </w:drawing>
      </w:r>
    </w:p>
    <w:p w14:paraId="01C9F5E5">
      <w:pPr>
        <w:ind w:firstLine="0" w:firstLineChars="0"/>
        <w:jc w:val="center"/>
        <w:rPr>
          <w:rFonts w:eastAsia="黑体"/>
          <w:color w:val="auto"/>
          <w:sz w:val="18"/>
          <w:szCs w:val="18"/>
          <w:highlight w:val="none"/>
        </w:rPr>
      </w:pPr>
      <w:r>
        <w:rPr>
          <w:rFonts w:hint="eastAsia" w:eastAsia="黑体"/>
          <w:color w:val="auto"/>
          <w:sz w:val="18"/>
          <w:szCs w:val="18"/>
          <w:highlight w:val="none"/>
        </w:rPr>
        <w:t>图4  2010-2015年更张站HPC径流组分划分结果（QBF为基流；QRR为降雨径流；QSR为融雪径流；QGR为冰川融水径流）</w:t>
      </w:r>
    </w:p>
    <w:p w14:paraId="3BEAF4CF">
      <w:pPr>
        <w:pStyle w:val="8"/>
        <w:spacing w:after="0"/>
        <w:ind w:firstLine="0" w:firstLineChars="0"/>
        <w:jc w:val="center"/>
        <w:rPr>
          <w:rFonts w:eastAsia="黑体"/>
          <w:bCs/>
          <w:color w:val="auto"/>
          <w:sz w:val="18"/>
          <w:szCs w:val="18"/>
          <w:highlight w:val="none"/>
        </w:rPr>
      </w:pPr>
      <w:r>
        <w:rPr>
          <w:rFonts w:eastAsia="黑体"/>
          <w:bCs/>
          <w:color w:val="auto"/>
          <w:sz w:val="18"/>
          <w:szCs w:val="18"/>
          <w:highlight w:val="none"/>
        </w:rPr>
        <w:t>Fig.</w:t>
      </w:r>
      <w:r>
        <w:rPr>
          <w:rFonts w:hint="eastAsia" w:eastAsia="黑体"/>
          <w:bCs/>
          <w:color w:val="auto"/>
          <w:sz w:val="18"/>
          <w:szCs w:val="18"/>
          <w:highlight w:val="none"/>
        </w:rPr>
        <w:t>4</w:t>
      </w:r>
      <w:r>
        <w:rPr>
          <w:rFonts w:eastAsia="黑体"/>
          <w:color w:val="auto"/>
          <w:sz w:val="18"/>
          <w:szCs w:val="18"/>
          <w:highlight w:val="none"/>
        </w:rPr>
        <w:t xml:space="preserve">  </w:t>
      </w:r>
      <w:r>
        <w:rPr>
          <w:rFonts w:eastAsia="黑体"/>
          <w:bCs/>
          <w:color w:val="auto"/>
          <w:sz w:val="18"/>
          <w:szCs w:val="18"/>
          <w:highlight w:val="none"/>
        </w:rPr>
        <w:t xml:space="preserve">HPC runoff component </w:t>
      </w:r>
      <w:r>
        <w:rPr>
          <w:rFonts w:hint="eastAsia" w:eastAsia="黑体"/>
          <w:bCs/>
          <w:color w:val="auto"/>
          <w:sz w:val="18"/>
          <w:szCs w:val="18"/>
          <w:highlight w:val="none"/>
          <w:lang w:val="en-US" w:eastAsia="zh-CN"/>
        </w:rPr>
        <w:t>d</w:t>
      </w:r>
      <w:r>
        <w:rPr>
          <w:rFonts w:hint="eastAsia" w:eastAsia="黑体"/>
          <w:bCs/>
          <w:color w:val="auto"/>
          <w:sz w:val="18"/>
          <w:szCs w:val="18"/>
          <w:highlight w:val="none"/>
        </w:rPr>
        <w:t>ivision</w:t>
      </w:r>
      <w:r>
        <w:rPr>
          <w:rFonts w:eastAsia="黑体"/>
          <w:bCs/>
          <w:color w:val="auto"/>
          <w:sz w:val="18"/>
          <w:szCs w:val="18"/>
          <w:highlight w:val="none"/>
        </w:rPr>
        <w:t xml:space="preserve"> results at Gengzhang </w:t>
      </w:r>
      <w:r>
        <w:rPr>
          <w:rFonts w:hint="eastAsia" w:eastAsia="黑体"/>
          <w:bCs/>
          <w:color w:val="auto"/>
          <w:sz w:val="18"/>
          <w:szCs w:val="18"/>
          <w:highlight w:val="none"/>
          <w:lang w:val="en-US" w:eastAsia="zh-CN"/>
        </w:rPr>
        <w:t>h</w:t>
      </w:r>
      <w:r>
        <w:rPr>
          <w:rFonts w:eastAsia="黑体"/>
          <w:bCs/>
          <w:color w:val="auto"/>
          <w:sz w:val="18"/>
          <w:szCs w:val="18"/>
          <w:highlight w:val="none"/>
        </w:rPr>
        <w:t xml:space="preserve">ydrological </w:t>
      </w:r>
      <w:r>
        <w:rPr>
          <w:rFonts w:hint="eastAsia" w:eastAsia="黑体"/>
          <w:bCs/>
          <w:color w:val="auto"/>
          <w:sz w:val="18"/>
          <w:szCs w:val="18"/>
          <w:highlight w:val="none"/>
          <w:lang w:val="en-US" w:eastAsia="zh-CN"/>
        </w:rPr>
        <w:t>s</w:t>
      </w:r>
      <w:r>
        <w:rPr>
          <w:rFonts w:eastAsia="黑体"/>
          <w:bCs/>
          <w:color w:val="auto"/>
          <w:sz w:val="18"/>
          <w:szCs w:val="18"/>
          <w:highlight w:val="none"/>
        </w:rPr>
        <w:t>tation (2010</w:t>
      </w:r>
      <w:r>
        <w:rPr>
          <w:rFonts w:hint="eastAsia" w:eastAsia="黑体"/>
          <w:bCs/>
          <w:color w:val="auto"/>
          <w:sz w:val="18"/>
          <w:szCs w:val="18"/>
          <w:highlight w:val="none"/>
          <w:lang w:val="en-US" w:eastAsia="zh-CN"/>
        </w:rPr>
        <w:t>-</w:t>
      </w:r>
      <w:r>
        <w:rPr>
          <w:rFonts w:eastAsia="黑体"/>
          <w:bCs/>
          <w:color w:val="auto"/>
          <w:sz w:val="18"/>
          <w:szCs w:val="18"/>
          <w:highlight w:val="none"/>
        </w:rPr>
        <w:t>2015) (QBF: baseflow; QRR: rainfall runoff; QSR: snowmelt runoff; QGR: glacier meltwater runoff)</w:t>
      </w:r>
    </w:p>
    <w:p w14:paraId="3FBE7FE5">
      <w:pPr>
        <w:rPr>
          <w:color w:val="auto"/>
          <w:highlight w:val="none"/>
        </w:rPr>
      </w:pPr>
      <w:r>
        <w:rPr>
          <w:color w:val="auto"/>
          <w:highlight w:val="none"/>
        </w:rPr>
        <w:t>综合考虑了流域面积、下垫面特征、输入数据精度及计算效率</w:t>
      </w:r>
      <w:r>
        <w:rPr>
          <w:rFonts w:hint="eastAsia"/>
          <w:color w:val="auto"/>
          <w:highlight w:val="none"/>
        </w:rPr>
        <w:t>，本研究</w:t>
      </w:r>
      <w:r>
        <w:rPr>
          <w:color w:val="auto"/>
          <w:highlight w:val="none"/>
        </w:rPr>
        <w:t>模型空</w:t>
      </w:r>
      <w:r>
        <w:rPr>
          <w:rFonts w:hint="eastAsia"/>
          <w:color w:val="auto"/>
          <w:highlight w:val="none"/>
        </w:rPr>
        <w:t>间</w:t>
      </w:r>
      <w:r>
        <w:rPr>
          <w:color w:val="auto"/>
          <w:highlight w:val="none"/>
        </w:rPr>
        <w:t>分辨率设定为3 km</w:t>
      </w:r>
      <w:r>
        <w:rPr>
          <w:rFonts w:hint="eastAsia"/>
          <w:color w:val="auto"/>
          <w:highlight w:val="none"/>
        </w:rPr>
        <w:t>。</w:t>
      </w:r>
      <w:r>
        <w:rPr>
          <w:color w:val="auto"/>
          <w:highlight w:val="none"/>
        </w:rPr>
        <w:t>模型以2010年作为预热期稳定初始水文状态，2011</w:t>
      </w:r>
      <w:r>
        <w:rPr>
          <w:rFonts w:hint="eastAsia" w:hAnsi="Times New Roman"/>
          <w:color w:val="auto"/>
          <w:highlight w:val="none"/>
        </w:rPr>
        <w:t>—</w:t>
      </w:r>
      <w:r>
        <w:rPr>
          <w:color w:val="auto"/>
          <w:highlight w:val="none"/>
        </w:rPr>
        <w:t>2013年为率定期，2014</w:t>
      </w:r>
      <w:r>
        <w:rPr>
          <w:rFonts w:hint="eastAsia" w:hAnsi="Times New Roman"/>
          <w:color w:val="auto"/>
          <w:highlight w:val="none"/>
        </w:rPr>
        <w:t>—</w:t>
      </w:r>
      <w:r>
        <w:rPr>
          <w:color w:val="auto"/>
          <w:highlight w:val="none"/>
        </w:rPr>
        <w:t>2015年为验证期</w:t>
      </w:r>
      <w:r>
        <w:rPr>
          <w:rFonts w:hint="eastAsia"/>
          <w:color w:val="auto"/>
          <w:highlight w:val="none"/>
        </w:rPr>
        <w:t>进行模型模拟</w:t>
      </w:r>
      <w:r>
        <w:rPr>
          <w:color w:val="auto"/>
          <w:highlight w:val="none"/>
        </w:rPr>
        <w:t>。由于SPHY模型未内置自动参数优化模块，本研究在参考前人研究基础上采用手动调参方式，对关键敏感性参数进行率定</w:t>
      </w:r>
      <w:r>
        <w:rPr>
          <w:rFonts w:hint="eastAsia"/>
          <w:color w:val="auto"/>
          <w:highlight w:val="none"/>
          <w:vertAlign w:val="superscript"/>
        </w:rPr>
        <w:t>[8-9]</w:t>
      </w:r>
      <w:r>
        <w:rPr>
          <w:color w:val="auto"/>
          <w:highlight w:val="none"/>
        </w:rPr>
        <w:t>。参数率定依据前述HPC径流组分划分结果，分四个步骤依次进行（</w:t>
      </w:r>
      <w:r>
        <w:rPr>
          <w:rFonts w:hint="eastAsia"/>
          <w:color w:val="auto"/>
          <w:highlight w:val="none"/>
        </w:rPr>
        <w:t>见</w:t>
      </w:r>
      <w:r>
        <w:rPr>
          <w:color w:val="auto"/>
          <w:highlight w:val="none"/>
        </w:rPr>
        <w:t>表1），步骤1以基流和降雨径流子集（QBF+QRR）为对象，率定与地下水过程相关的参数；步骤2加入融雪径流（QSR），率定与融雪过程相关的参数；步骤3进一步加入冰川融水径流（QGR），率定冰川消融相关参数；步骤4则以全序列径流（QTR）为对象，率定其余与整体模拟效果相关但难以归属前述步骤的参数，</w:t>
      </w:r>
      <w:r>
        <w:rPr>
          <w:rFonts w:hint="eastAsia"/>
          <w:color w:val="auto"/>
          <w:highlight w:val="none"/>
        </w:rPr>
        <w:t>采用多目标函数进行综合优化：</w:t>
      </w:r>
      <w:r>
        <w:rPr>
          <w:color w:val="auto"/>
          <w:highlight w:val="none"/>
        </w:rPr>
        <w:t>一是采用</w:t>
      </w:r>
      <w:r>
        <w:rPr>
          <w:rFonts w:hint="eastAsia"/>
          <w:i/>
          <w:color w:val="auto"/>
          <w:highlight w:val="none"/>
        </w:rPr>
        <w:t>NSE</w:t>
      </w:r>
      <w:r>
        <w:rPr>
          <w:color w:val="auto"/>
          <w:highlight w:val="none"/>
        </w:rPr>
        <w:t>作为目标函数进行率定，主要关注峰值流量过程</w:t>
      </w:r>
      <w:r>
        <w:rPr>
          <w:rFonts w:hint="eastAsia"/>
          <w:color w:val="auto"/>
          <w:highlight w:val="none"/>
        </w:rPr>
        <w:t>；</w:t>
      </w:r>
      <w:r>
        <w:rPr>
          <w:color w:val="auto"/>
          <w:highlight w:val="none"/>
        </w:rPr>
        <w:t xml:space="preserve">二是采用 </w:t>
      </w:r>
      <w:r>
        <w:rPr>
          <w:i/>
          <w:iCs/>
          <w:color w:val="auto"/>
          <w:highlight w:val="none"/>
        </w:rPr>
        <w:t>N</w:t>
      </w:r>
      <w:r>
        <w:rPr>
          <w:rFonts w:hint="eastAsia"/>
          <w:i/>
          <w:iCs/>
          <w:color w:val="auto"/>
          <w:highlight w:val="none"/>
          <w:vertAlign w:val="subscript"/>
        </w:rPr>
        <w:t>l</w:t>
      </w:r>
      <w:r>
        <w:rPr>
          <w:color w:val="auto"/>
          <w:highlight w:val="none"/>
        </w:rPr>
        <w:t>作为目标函数进行率定，主要关注基流过程</w:t>
      </w:r>
      <w:r>
        <w:rPr>
          <w:rFonts w:hint="eastAsia"/>
          <w:color w:val="auto"/>
          <w:highlight w:val="none"/>
        </w:rPr>
        <w:t>；</w:t>
      </w:r>
      <w:r>
        <w:rPr>
          <w:color w:val="auto"/>
          <w:highlight w:val="none"/>
        </w:rPr>
        <w:t xml:space="preserve">三是采用 </w:t>
      </w:r>
      <w:r>
        <w:rPr>
          <w:i/>
          <w:iCs/>
          <w:color w:val="auto"/>
          <w:highlight w:val="none"/>
        </w:rPr>
        <w:t>N</w:t>
      </w:r>
      <w:r>
        <w:rPr>
          <w:i/>
          <w:iCs/>
          <w:color w:val="auto"/>
          <w:highlight w:val="none"/>
          <w:vertAlign w:val="subscript"/>
        </w:rPr>
        <w:t>ave</w:t>
      </w:r>
      <w:r>
        <w:rPr>
          <w:color w:val="auto"/>
          <w:highlight w:val="none"/>
        </w:rPr>
        <w:t>作为目标函数进行率定，同时关注峰值流量过程和基流过程</w:t>
      </w:r>
      <w:r>
        <w:rPr>
          <w:rFonts w:hint="eastAsia"/>
          <w:color w:val="auto"/>
          <w:highlight w:val="none"/>
        </w:rPr>
        <w:t>。各</w:t>
      </w:r>
      <w:r>
        <w:rPr>
          <w:color w:val="auto"/>
          <w:highlight w:val="none"/>
        </w:rPr>
        <w:t>目标函数计算公式见式</w:t>
      </w:r>
      <w:r>
        <w:rPr>
          <w:rFonts w:hint="eastAsia"/>
          <w:color w:val="auto"/>
          <w:highlight w:val="none"/>
        </w:rPr>
        <w:t>（7）</w:t>
      </w:r>
      <w:r>
        <w:rPr>
          <w:rFonts w:hint="eastAsia"/>
          <w:color w:val="auto"/>
          <w:highlight w:val="none"/>
          <w:lang w:eastAsia="zh-CN"/>
        </w:rPr>
        <w:t>—</w:t>
      </w:r>
      <w:r>
        <w:rPr>
          <w:color w:val="auto"/>
          <w:highlight w:val="none"/>
        </w:rPr>
        <w:t>式</w:t>
      </w:r>
      <w:r>
        <w:rPr>
          <w:rFonts w:hint="eastAsia"/>
          <w:color w:val="auto"/>
          <w:highlight w:val="none"/>
        </w:rPr>
        <w:t>（11）</w:t>
      </w:r>
      <w:r>
        <w:rPr>
          <w:color w:val="auto"/>
          <w:highlight w:val="none"/>
        </w:rPr>
        <w:t>。</w:t>
      </w:r>
    </w:p>
    <w:p w14:paraId="0A3D44BE">
      <w:pPr>
        <w:ind w:firstLine="360"/>
        <w:jc w:val="center"/>
        <w:rPr>
          <w:rFonts w:eastAsia="黑体"/>
          <w:color w:val="auto"/>
          <w:sz w:val="18"/>
          <w:szCs w:val="18"/>
          <w:highlight w:val="none"/>
        </w:rPr>
      </w:pPr>
      <w:r>
        <w:rPr>
          <w:rFonts w:eastAsia="黑体"/>
          <w:color w:val="auto"/>
          <w:sz w:val="18"/>
          <w:szCs w:val="18"/>
          <w:highlight w:val="none"/>
        </w:rPr>
        <w:t xml:space="preserve">表1  </w:t>
      </w:r>
      <w:r>
        <w:rPr>
          <w:rFonts w:hint="eastAsia" w:eastAsia="黑体"/>
          <w:color w:val="auto"/>
          <w:sz w:val="18"/>
          <w:szCs w:val="18"/>
          <w:highlight w:val="none"/>
        </w:rPr>
        <w:t>基于HPC划分方法的SPHY模型参数逐步校准</w:t>
      </w:r>
    </w:p>
    <w:p w14:paraId="6B82EA9D">
      <w:pPr>
        <w:ind w:firstLine="360"/>
        <w:jc w:val="center"/>
        <w:rPr>
          <w:color w:val="auto"/>
          <w:highlight w:val="none"/>
        </w:rPr>
      </w:pPr>
      <w:r>
        <w:rPr>
          <w:rFonts w:eastAsia="黑体"/>
          <w:color w:val="auto"/>
          <w:sz w:val="18"/>
          <w:szCs w:val="18"/>
          <w:highlight w:val="none"/>
        </w:rPr>
        <w:t xml:space="preserve">Table 1  Stepwise calibration of SPHY model parameters based on HPC </w:t>
      </w:r>
      <w:r>
        <w:rPr>
          <w:rFonts w:hint="eastAsia" w:eastAsia="黑体"/>
          <w:color w:val="auto"/>
          <w:sz w:val="18"/>
          <w:szCs w:val="18"/>
          <w:highlight w:val="none"/>
          <w:lang w:val="en-US" w:eastAsia="zh-CN"/>
        </w:rPr>
        <w:t xml:space="preserve">division </w:t>
      </w:r>
      <w:r>
        <w:rPr>
          <w:rFonts w:eastAsia="黑体"/>
          <w:color w:val="auto"/>
          <w:sz w:val="18"/>
          <w:szCs w:val="18"/>
          <w:highlight w:val="none"/>
        </w:rPr>
        <w:t>method</w:t>
      </w:r>
    </w:p>
    <w:tbl>
      <w:tblPr>
        <w:tblStyle w:val="14"/>
        <w:tblW w:w="4998" w:type="pct"/>
        <w:tblInd w:w="0" w:type="dxa"/>
        <w:tblLayout w:type="autofit"/>
        <w:tblCellMar>
          <w:top w:w="0" w:type="dxa"/>
          <w:left w:w="108" w:type="dxa"/>
          <w:bottom w:w="0" w:type="dxa"/>
          <w:right w:w="108" w:type="dxa"/>
        </w:tblCellMar>
      </w:tblPr>
      <w:tblGrid>
        <w:gridCol w:w="1027"/>
        <w:gridCol w:w="2455"/>
        <w:gridCol w:w="1494"/>
        <w:gridCol w:w="3543"/>
      </w:tblGrid>
      <w:tr w14:paraId="4A9D6427">
        <w:tblPrEx>
          <w:tblCellMar>
            <w:top w:w="0" w:type="dxa"/>
            <w:left w:w="108" w:type="dxa"/>
            <w:bottom w:w="0" w:type="dxa"/>
            <w:right w:w="108" w:type="dxa"/>
          </w:tblCellMar>
        </w:tblPrEx>
        <w:trPr>
          <w:trHeight w:val="317" w:hRule="atLeast"/>
        </w:trPr>
        <w:tc>
          <w:tcPr>
            <w:tcW w:w="603" w:type="pct"/>
            <w:tcBorders>
              <w:top w:val="single" w:color="000000" w:sz="12" w:space="0"/>
              <w:left w:val="nil"/>
              <w:bottom w:val="single" w:color="000000" w:sz="4" w:space="0"/>
              <w:right w:val="nil"/>
              <w:tl2br w:val="nil"/>
            </w:tcBorders>
            <w:shd w:val="clear" w:color="auto" w:fill="FFFFFF"/>
            <w:vAlign w:val="center"/>
          </w:tcPr>
          <w:p w14:paraId="186F6EB7">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步骤</w:t>
            </w:r>
          </w:p>
        </w:tc>
        <w:tc>
          <w:tcPr>
            <w:tcW w:w="1441" w:type="pct"/>
            <w:tcBorders>
              <w:top w:val="single" w:color="000000" w:sz="12" w:space="0"/>
              <w:left w:val="nil"/>
              <w:bottom w:val="single" w:color="000000" w:sz="4" w:space="0"/>
              <w:right w:val="nil"/>
            </w:tcBorders>
            <w:shd w:val="clear" w:color="auto" w:fill="FFFFFF"/>
            <w:vAlign w:val="center"/>
          </w:tcPr>
          <w:p w14:paraId="05F728B1">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水文过程子集</w:t>
            </w:r>
          </w:p>
        </w:tc>
        <w:tc>
          <w:tcPr>
            <w:tcW w:w="877" w:type="pct"/>
            <w:tcBorders>
              <w:top w:val="single" w:color="000000" w:sz="12" w:space="0"/>
              <w:left w:val="nil"/>
              <w:bottom w:val="single" w:color="000000" w:sz="4" w:space="0"/>
              <w:right w:val="nil"/>
            </w:tcBorders>
            <w:shd w:val="clear" w:color="auto" w:fill="FFFFFF"/>
            <w:vAlign w:val="center"/>
          </w:tcPr>
          <w:p w14:paraId="75E0C957">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目标函数</w:t>
            </w:r>
          </w:p>
        </w:tc>
        <w:tc>
          <w:tcPr>
            <w:tcW w:w="2079" w:type="pct"/>
            <w:tcBorders>
              <w:top w:val="single" w:color="000000" w:sz="12" w:space="0"/>
              <w:left w:val="nil"/>
              <w:bottom w:val="single" w:color="000000" w:sz="4" w:space="0"/>
              <w:right w:val="nil"/>
            </w:tcBorders>
            <w:shd w:val="clear" w:color="auto" w:fill="FFFFFF"/>
            <w:vAlign w:val="center"/>
          </w:tcPr>
          <w:p w14:paraId="4B9913E7">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参数</w:t>
            </w:r>
          </w:p>
        </w:tc>
      </w:tr>
      <w:tr w14:paraId="0941F7E0">
        <w:tblPrEx>
          <w:tblCellMar>
            <w:top w:w="0" w:type="dxa"/>
            <w:left w:w="108" w:type="dxa"/>
            <w:bottom w:w="0" w:type="dxa"/>
            <w:right w:w="108" w:type="dxa"/>
          </w:tblCellMar>
        </w:tblPrEx>
        <w:trPr>
          <w:trHeight w:val="317" w:hRule="atLeast"/>
        </w:trPr>
        <w:tc>
          <w:tcPr>
            <w:tcW w:w="603" w:type="pct"/>
            <w:tcBorders>
              <w:top w:val="single" w:color="000000" w:sz="4" w:space="0"/>
              <w:left w:val="nil"/>
              <w:bottom w:val="nil"/>
              <w:right w:val="nil"/>
            </w:tcBorders>
            <w:shd w:val="clear" w:color="auto" w:fill="FFFFFF"/>
            <w:vAlign w:val="center"/>
          </w:tcPr>
          <w:p w14:paraId="131800D7">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1</w:t>
            </w:r>
          </w:p>
        </w:tc>
        <w:tc>
          <w:tcPr>
            <w:tcW w:w="1441" w:type="pct"/>
            <w:tcBorders>
              <w:top w:val="single" w:color="000000" w:sz="4" w:space="0"/>
              <w:left w:val="nil"/>
              <w:bottom w:val="nil"/>
              <w:right w:val="nil"/>
            </w:tcBorders>
            <w:shd w:val="clear" w:color="auto" w:fill="FFFFFF"/>
            <w:vAlign w:val="center"/>
          </w:tcPr>
          <w:p w14:paraId="1AE4F553">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QBF+QRR</w:t>
            </w:r>
          </w:p>
        </w:tc>
        <w:tc>
          <w:tcPr>
            <w:tcW w:w="877" w:type="pct"/>
            <w:tcBorders>
              <w:top w:val="single" w:color="000000" w:sz="4" w:space="0"/>
              <w:left w:val="nil"/>
              <w:bottom w:val="nil"/>
              <w:right w:val="nil"/>
            </w:tcBorders>
            <w:shd w:val="clear" w:color="auto" w:fill="FFFFFF"/>
            <w:vAlign w:val="center"/>
          </w:tcPr>
          <w:p w14:paraId="5CA433FD">
            <w:pPr>
              <w:ind w:right="-35" w:firstLine="0" w:firstLineChars="0"/>
              <w:jc w:val="center"/>
              <w:rPr>
                <w:rFonts w:eastAsiaTheme="minorEastAsia"/>
                <w:iCs/>
                <w:color w:val="auto"/>
                <w:sz w:val="15"/>
                <w:szCs w:val="15"/>
                <w:highlight w:val="none"/>
              </w:rPr>
            </w:pPr>
            <w:r>
              <w:rPr>
                <w:rFonts w:hint="eastAsia" w:eastAsiaTheme="minorEastAsia"/>
                <w:i/>
                <w:color w:val="auto"/>
                <w:sz w:val="15"/>
                <w:szCs w:val="15"/>
                <w:highlight w:val="none"/>
              </w:rPr>
              <w:t>E</w:t>
            </w:r>
            <w:r>
              <w:rPr>
                <w:rFonts w:hint="eastAsia" w:eastAsiaTheme="minorEastAsia"/>
                <w:i/>
                <w:color w:val="auto"/>
                <w:sz w:val="15"/>
                <w:szCs w:val="15"/>
                <w:highlight w:val="none"/>
                <w:vertAlign w:val="subscript"/>
              </w:rPr>
              <w:t>l</w:t>
            </w:r>
          </w:p>
        </w:tc>
        <w:tc>
          <w:tcPr>
            <w:tcW w:w="2079" w:type="pct"/>
            <w:tcBorders>
              <w:top w:val="single" w:color="000000" w:sz="4" w:space="0"/>
              <w:left w:val="nil"/>
              <w:bottom w:val="nil"/>
              <w:right w:val="nil"/>
            </w:tcBorders>
            <w:shd w:val="clear" w:color="auto" w:fill="FFFFFF"/>
            <w:vAlign w:val="center"/>
          </w:tcPr>
          <w:p w14:paraId="226B4BA7">
            <w:pPr>
              <w:ind w:right="-35" w:firstLine="0" w:firstLineChars="0"/>
              <w:jc w:val="center"/>
              <w:rPr>
                <w:rFonts w:eastAsiaTheme="minorEastAsia"/>
                <w:iCs/>
                <w:color w:val="auto"/>
                <w:sz w:val="15"/>
                <w:szCs w:val="15"/>
                <w:highlight w:val="none"/>
                <w:lang w:val="es-ES"/>
              </w:rPr>
            </w:pPr>
            <w:r>
              <w:rPr>
                <w:rFonts w:hint="eastAsia" w:eastAsiaTheme="minorEastAsia"/>
                <w:i/>
                <w:color w:val="auto"/>
                <w:sz w:val="15"/>
                <w:szCs w:val="15"/>
                <w:highlight w:val="none"/>
              </w:rPr>
              <w:t>GwDepth,GwSat,deltaGw,alphaGv</w:t>
            </w:r>
            <w:r>
              <w:rPr>
                <w:rFonts w:eastAsiaTheme="minorEastAsia"/>
                <w:i/>
                <w:color w:val="auto"/>
                <w:sz w:val="15"/>
                <w:szCs w:val="15"/>
                <w:highlight w:val="none"/>
              </w:rPr>
              <w:t>.</w:t>
            </w:r>
          </w:p>
        </w:tc>
      </w:tr>
      <w:tr w14:paraId="4FC256D9">
        <w:tblPrEx>
          <w:tblCellMar>
            <w:top w:w="0" w:type="dxa"/>
            <w:left w:w="108" w:type="dxa"/>
            <w:bottom w:w="0" w:type="dxa"/>
            <w:right w:w="108" w:type="dxa"/>
          </w:tblCellMar>
        </w:tblPrEx>
        <w:trPr>
          <w:trHeight w:val="317" w:hRule="atLeast"/>
        </w:trPr>
        <w:tc>
          <w:tcPr>
            <w:tcW w:w="603" w:type="pct"/>
            <w:tcBorders>
              <w:top w:val="nil"/>
              <w:left w:val="nil"/>
              <w:bottom w:val="nil"/>
              <w:right w:val="nil"/>
            </w:tcBorders>
            <w:shd w:val="clear" w:color="auto" w:fill="FFFFFF"/>
            <w:vAlign w:val="center"/>
          </w:tcPr>
          <w:p w14:paraId="42CEF450">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2</w:t>
            </w:r>
          </w:p>
        </w:tc>
        <w:tc>
          <w:tcPr>
            <w:tcW w:w="1441" w:type="pct"/>
            <w:tcBorders>
              <w:top w:val="nil"/>
              <w:left w:val="nil"/>
              <w:bottom w:val="nil"/>
              <w:right w:val="nil"/>
            </w:tcBorders>
            <w:shd w:val="clear" w:color="auto" w:fill="FFFFFF"/>
            <w:vAlign w:val="center"/>
          </w:tcPr>
          <w:p w14:paraId="187F73C9">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QBF+QRR+QSR</w:t>
            </w:r>
          </w:p>
        </w:tc>
        <w:tc>
          <w:tcPr>
            <w:tcW w:w="877" w:type="pct"/>
            <w:tcBorders>
              <w:top w:val="nil"/>
              <w:left w:val="nil"/>
              <w:bottom w:val="nil"/>
              <w:right w:val="nil"/>
            </w:tcBorders>
            <w:shd w:val="clear" w:color="auto" w:fill="FFFFFF"/>
            <w:vAlign w:val="center"/>
          </w:tcPr>
          <w:p w14:paraId="6C89ADE0">
            <w:pPr>
              <w:ind w:right="-35" w:firstLine="0" w:firstLineChars="0"/>
              <w:jc w:val="center"/>
              <w:rPr>
                <w:rFonts w:eastAsiaTheme="minorEastAsia"/>
                <w:iCs/>
                <w:color w:val="auto"/>
                <w:sz w:val="15"/>
                <w:szCs w:val="15"/>
                <w:highlight w:val="none"/>
                <w:lang w:val="es-ES"/>
              </w:rPr>
            </w:pPr>
            <w:r>
              <w:rPr>
                <w:rFonts w:hint="eastAsia" w:eastAsiaTheme="minorEastAsia"/>
                <w:i/>
                <w:color w:val="auto"/>
                <w:sz w:val="15"/>
                <w:szCs w:val="15"/>
                <w:highlight w:val="none"/>
              </w:rPr>
              <w:t>E</w:t>
            </w:r>
          </w:p>
        </w:tc>
        <w:tc>
          <w:tcPr>
            <w:tcW w:w="2079" w:type="pct"/>
            <w:tcBorders>
              <w:top w:val="nil"/>
              <w:left w:val="nil"/>
              <w:bottom w:val="nil"/>
              <w:right w:val="nil"/>
            </w:tcBorders>
            <w:shd w:val="clear" w:color="auto" w:fill="FFFFFF"/>
            <w:vAlign w:val="center"/>
          </w:tcPr>
          <w:p w14:paraId="78E04BA1">
            <w:pPr>
              <w:ind w:right="-35" w:firstLine="0" w:firstLineChars="0"/>
              <w:jc w:val="center"/>
              <w:rPr>
                <w:rFonts w:eastAsiaTheme="minorEastAsia"/>
                <w:iCs/>
                <w:color w:val="auto"/>
                <w:sz w:val="15"/>
                <w:szCs w:val="15"/>
                <w:highlight w:val="none"/>
                <w:lang w:val="es-ES"/>
              </w:rPr>
            </w:pPr>
            <w:r>
              <w:rPr>
                <w:rFonts w:hint="eastAsia" w:eastAsiaTheme="minorEastAsia"/>
                <w:i/>
                <w:color w:val="auto"/>
                <w:sz w:val="15"/>
                <w:szCs w:val="15"/>
                <w:highlight w:val="none"/>
              </w:rPr>
              <w:t>DDF</w:t>
            </w:r>
            <w:r>
              <w:rPr>
                <w:rFonts w:eastAsiaTheme="minorEastAsia"/>
                <w:iCs/>
                <w:color w:val="auto"/>
                <w:sz w:val="15"/>
                <w:szCs w:val="15"/>
                <w:highlight w:val="none"/>
                <w:vertAlign w:val="subscript"/>
              </w:rPr>
              <w:t>sMAX</w:t>
            </w:r>
            <w:r>
              <w:rPr>
                <w:rFonts w:hint="eastAsia" w:eastAsiaTheme="minorEastAsia"/>
                <w:i/>
                <w:color w:val="auto"/>
                <w:sz w:val="15"/>
                <w:szCs w:val="15"/>
                <w:highlight w:val="none"/>
              </w:rPr>
              <w:t>,DDF</w:t>
            </w:r>
            <w:r>
              <w:rPr>
                <w:rFonts w:eastAsiaTheme="minorEastAsia"/>
                <w:iCs/>
                <w:color w:val="auto"/>
                <w:sz w:val="15"/>
                <w:szCs w:val="15"/>
                <w:highlight w:val="none"/>
                <w:vertAlign w:val="subscript"/>
              </w:rPr>
              <w:t>sMIN</w:t>
            </w:r>
            <w:r>
              <w:rPr>
                <w:rFonts w:hint="eastAsia" w:eastAsiaTheme="minorEastAsia"/>
                <w:iCs/>
                <w:color w:val="auto"/>
                <w:sz w:val="15"/>
                <w:szCs w:val="15"/>
                <w:highlight w:val="none"/>
                <w:vertAlign w:val="subscript"/>
              </w:rPr>
              <w:t>,</w:t>
            </w:r>
            <w:r>
              <w:rPr>
                <w:rFonts w:hint="eastAsia" w:eastAsiaTheme="minorEastAsia"/>
                <w:i/>
                <w:color w:val="auto"/>
                <w:sz w:val="15"/>
                <w:szCs w:val="15"/>
                <w:highlight w:val="none"/>
              </w:rPr>
              <w:t>T</w:t>
            </w:r>
            <w:r>
              <w:rPr>
                <w:rFonts w:hint="eastAsia" w:eastAsiaTheme="minorEastAsia"/>
                <w:i/>
                <w:color w:val="auto"/>
                <w:sz w:val="15"/>
                <w:szCs w:val="15"/>
                <w:highlight w:val="none"/>
                <w:vertAlign w:val="subscript"/>
              </w:rPr>
              <w:t>crit</w:t>
            </w:r>
            <w:r>
              <w:rPr>
                <w:rFonts w:hint="eastAsia" w:eastAsiaTheme="minorEastAsia"/>
                <w:iCs/>
                <w:color w:val="auto"/>
                <w:sz w:val="15"/>
                <w:szCs w:val="15"/>
                <w:highlight w:val="none"/>
              </w:rPr>
              <w:t>,</w:t>
            </w:r>
            <w:r>
              <w:rPr>
                <w:rFonts w:hint="eastAsia" w:eastAsiaTheme="minorEastAsia"/>
                <w:i/>
                <w:color w:val="auto"/>
                <w:sz w:val="15"/>
                <w:szCs w:val="15"/>
                <w:highlight w:val="none"/>
              </w:rPr>
              <w:t>SnowSC</w:t>
            </w:r>
          </w:p>
        </w:tc>
      </w:tr>
      <w:tr w14:paraId="15636827">
        <w:tblPrEx>
          <w:tblCellMar>
            <w:top w:w="0" w:type="dxa"/>
            <w:left w:w="108" w:type="dxa"/>
            <w:bottom w:w="0" w:type="dxa"/>
            <w:right w:w="108" w:type="dxa"/>
          </w:tblCellMar>
        </w:tblPrEx>
        <w:trPr>
          <w:trHeight w:val="317" w:hRule="atLeast"/>
        </w:trPr>
        <w:tc>
          <w:tcPr>
            <w:tcW w:w="603" w:type="pct"/>
            <w:tcBorders>
              <w:top w:val="nil"/>
              <w:left w:val="nil"/>
              <w:bottom w:val="nil"/>
              <w:right w:val="nil"/>
            </w:tcBorders>
            <w:shd w:val="clear" w:color="auto" w:fill="FFFFFF"/>
            <w:vAlign w:val="center"/>
          </w:tcPr>
          <w:p w14:paraId="6D8AAA4E">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3</w:t>
            </w:r>
          </w:p>
        </w:tc>
        <w:tc>
          <w:tcPr>
            <w:tcW w:w="1441" w:type="pct"/>
            <w:tcBorders>
              <w:top w:val="nil"/>
              <w:left w:val="nil"/>
              <w:bottom w:val="nil"/>
              <w:right w:val="nil"/>
            </w:tcBorders>
            <w:shd w:val="clear" w:color="auto" w:fill="FFFFFF"/>
            <w:vAlign w:val="center"/>
          </w:tcPr>
          <w:p w14:paraId="7BB46C9E">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QBF+QRR+QSR+QGR</w:t>
            </w:r>
          </w:p>
        </w:tc>
        <w:tc>
          <w:tcPr>
            <w:tcW w:w="877" w:type="pct"/>
            <w:tcBorders>
              <w:top w:val="nil"/>
              <w:left w:val="nil"/>
              <w:bottom w:val="nil"/>
              <w:right w:val="nil"/>
            </w:tcBorders>
            <w:shd w:val="clear" w:color="auto" w:fill="FFFFFF"/>
            <w:vAlign w:val="center"/>
          </w:tcPr>
          <w:p w14:paraId="53B7D405">
            <w:pPr>
              <w:ind w:right="-35" w:firstLine="0" w:firstLineChars="0"/>
              <w:jc w:val="center"/>
              <w:rPr>
                <w:rFonts w:eastAsiaTheme="minorEastAsia"/>
                <w:iCs/>
                <w:color w:val="auto"/>
                <w:sz w:val="15"/>
                <w:szCs w:val="15"/>
                <w:highlight w:val="none"/>
              </w:rPr>
            </w:pPr>
            <w:r>
              <w:rPr>
                <w:rFonts w:hint="eastAsia" w:eastAsiaTheme="minorEastAsia"/>
                <w:i/>
                <w:color w:val="auto"/>
                <w:sz w:val="15"/>
                <w:szCs w:val="15"/>
                <w:highlight w:val="none"/>
              </w:rPr>
              <w:t>E</w:t>
            </w:r>
          </w:p>
        </w:tc>
        <w:tc>
          <w:tcPr>
            <w:tcW w:w="2079" w:type="pct"/>
            <w:tcBorders>
              <w:top w:val="nil"/>
              <w:left w:val="nil"/>
              <w:bottom w:val="nil"/>
              <w:right w:val="nil"/>
            </w:tcBorders>
            <w:shd w:val="clear" w:color="auto" w:fill="FFFFFF"/>
            <w:vAlign w:val="center"/>
          </w:tcPr>
          <w:p w14:paraId="4E4DAFF0">
            <w:pPr>
              <w:ind w:right="-35" w:firstLine="0" w:firstLineChars="0"/>
              <w:jc w:val="center"/>
              <w:rPr>
                <w:rFonts w:eastAsiaTheme="minorEastAsia"/>
                <w:iCs/>
                <w:color w:val="auto"/>
                <w:sz w:val="15"/>
                <w:szCs w:val="15"/>
                <w:highlight w:val="none"/>
              </w:rPr>
            </w:pPr>
            <w:r>
              <w:rPr>
                <w:rFonts w:hint="eastAsia" w:eastAsiaTheme="minorEastAsia"/>
                <w:i/>
                <w:color w:val="auto"/>
                <w:sz w:val="15"/>
                <w:szCs w:val="15"/>
                <w:highlight w:val="none"/>
              </w:rPr>
              <w:t>DDFG,DDFDG,Glacf</w:t>
            </w:r>
          </w:p>
        </w:tc>
      </w:tr>
      <w:tr w14:paraId="7991F335">
        <w:tblPrEx>
          <w:tblCellMar>
            <w:top w:w="0" w:type="dxa"/>
            <w:left w:w="108" w:type="dxa"/>
            <w:bottom w:w="0" w:type="dxa"/>
            <w:right w:w="108" w:type="dxa"/>
          </w:tblCellMar>
        </w:tblPrEx>
        <w:trPr>
          <w:trHeight w:val="317" w:hRule="atLeast"/>
        </w:trPr>
        <w:tc>
          <w:tcPr>
            <w:tcW w:w="603" w:type="pct"/>
            <w:tcBorders>
              <w:top w:val="nil"/>
              <w:left w:val="nil"/>
              <w:bottom w:val="single" w:color="000000" w:sz="12" w:space="0"/>
              <w:right w:val="nil"/>
            </w:tcBorders>
            <w:shd w:val="clear" w:color="auto" w:fill="FFFFFF"/>
            <w:vAlign w:val="center"/>
          </w:tcPr>
          <w:p w14:paraId="219F4B1B">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4</w:t>
            </w:r>
          </w:p>
        </w:tc>
        <w:tc>
          <w:tcPr>
            <w:tcW w:w="1441" w:type="pct"/>
            <w:tcBorders>
              <w:top w:val="nil"/>
              <w:left w:val="nil"/>
              <w:bottom w:val="single" w:color="000000" w:sz="12" w:space="0"/>
              <w:right w:val="nil"/>
            </w:tcBorders>
            <w:shd w:val="clear" w:color="auto" w:fill="FFFFFF"/>
            <w:vAlign w:val="center"/>
          </w:tcPr>
          <w:p w14:paraId="7711015A">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QTR</w:t>
            </w:r>
          </w:p>
        </w:tc>
        <w:tc>
          <w:tcPr>
            <w:tcW w:w="877" w:type="pct"/>
            <w:tcBorders>
              <w:top w:val="nil"/>
              <w:left w:val="nil"/>
              <w:bottom w:val="single" w:color="000000" w:sz="12" w:space="0"/>
              <w:right w:val="nil"/>
            </w:tcBorders>
            <w:shd w:val="clear" w:color="auto" w:fill="FFFFFF"/>
            <w:vAlign w:val="center"/>
          </w:tcPr>
          <w:p w14:paraId="626DE2E3">
            <w:pPr>
              <w:ind w:right="-35" w:firstLine="0" w:firstLineChars="0"/>
              <w:jc w:val="center"/>
              <w:rPr>
                <w:rFonts w:eastAsiaTheme="minorEastAsia"/>
                <w:iCs/>
                <w:color w:val="auto"/>
                <w:sz w:val="15"/>
                <w:szCs w:val="15"/>
                <w:highlight w:val="none"/>
              </w:rPr>
            </w:pPr>
            <w:r>
              <w:rPr>
                <w:rFonts w:hint="eastAsia" w:eastAsiaTheme="minorEastAsia"/>
                <w:i/>
                <w:iCs/>
                <w:color w:val="auto"/>
                <w:sz w:val="15"/>
                <w:szCs w:val="15"/>
                <w:highlight w:val="none"/>
              </w:rPr>
              <w:t>NSE</w:t>
            </w:r>
            <w:r>
              <w:rPr>
                <w:rFonts w:hint="eastAsia" w:eastAsiaTheme="minorEastAsia"/>
                <w:iCs/>
                <w:color w:val="auto"/>
                <w:sz w:val="15"/>
                <w:szCs w:val="15"/>
                <w:highlight w:val="none"/>
              </w:rPr>
              <w:t>,</w:t>
            </w:r>
            <w:r>
              <w:rPr>
                <w:rFonts w:eastAsiaTheme="minorEastAsia"/>
                <w:i/>
                <w:color w:val="auto"/>
                <w:sz w:val="15"/>
                <w:szCs w:val="15"/>
                <w:highlight w:val="none"/>
              </w:rPr>
              <w:t>N</w:t>
            </w:r>
            <w:r>
              <w:rPr>
                <w:rFonts w:hint="eastAsia" w:eastAsiaTheme="minorEastAsia"/>
                <w:i/>
                <w:color w:val="auto"/>
                <w:sz w:val="15"/>
                <w:szCs w:val="15"/>
                <w:highlight w:val="none"/>
                <w:vertAlign w:val="subscript"/>
              </w:rPr>
              <w:t>l</w:t>
            </w:r>
            <w:r>
              <w:rPr>
                <w:rFonts w:hint="eastAsia" w:eastAsiaTheme="minorEastAsia"/>
                <w:i/>
                <w:color w:val="auto"/>
                <w:sz w:val="15"/>
                <w:szCs w:val="15"/>
                <w:highlight w:val="none"/>
              </w:rPr>
              <w:t>,</w:t>
            </w:r>
            <w:r>
              <w:rPr>
                <w:rFonts w:eastAsiaTheme="minorEastAsia"/>
                <w:i/>
                <w:color w:val="auto"/>
                <w:sz w:val="15"/>
                <w:szCs w:val="15"/>
                <w:highlight w:val="none"/>
              </w:rPr>
              <w:t>N</w:t>
            </w:r>
            <w:r>
              <w:rPr>
                <w:rFonts w:eastAsiaTheme="minorEastAsia"/>
                <w:i/>
                <w:color w:val="auto"/>
                <w:sz w:val="15"/>
                <w:szCs w:val="15"/>
                <w:highlight w:val="none"/>
                <w:vertAlign w:val="subscript"/>
              </w:rPr>
              <w:t>ave</w:t>
            </w:r>
          </w:p>
        </w:tc>
        <w:tc>
          <w:tcPr>
            <w:tcW w:w="2079" w:type="pct"/>
            <w:tcBorders>
              <w:top w:val="nil"/>
              <w:left w:val="nil"/>
              <w:bottom w:val="single" w:color="000000" w:sz="12" w:space="0"/>
              <w:right w:val="nil"/>
            </w:tcBorders>
            <w:shd w:val="clear" w:color="auto" w:fill="FFFFFF"/>
            <w:vAlign w:val="center"/>
          </w:tcPr>
          <w:p w14:paraId="2CA60EC9">
            <w:pPr>
              <w:ind w:right="-35" w:firstLine="0" w:firstLineChars="0"/>
              <w:jc w:val="center"/>
              <w:rPr>
                <w:rFonts w:eastAsiaTheme="minorEastAsia"/>
                <w:iCs/>
                <w:color w:val="auto"/>
                <w:sz w:val="15"/>
                <w:szCs w:val="15"/>
                <w:highlight w:val="none"/>
              </w:rPr>
            </w:pPr>
            <w:r>
              <w:rPr>
                <w:rFonts w:hint="eastAsia" w:eastAsiaTheme="minorEastAsia"/>
                <w:i/>
                <w:color w:val="auto"/>
                <w:sz w:val="15"/>
                <w:szCs w:val="15"/>
                <w:highlight w:val="none"/>
              </w:rPr>
              <w:t>RootDepthFlat,SubDepthFlat,kx</w:t>
            </w:r>
          </w:p>
        </w:tc>
      </w:tr>
    </w:tbl>
    <w:p w14:paraId="2D40DFC5">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rFonts w:hint="eastAsia" w:eastAsia="宋体"/>
          <w:color w:val="auto"/>
          <w:highlight w:val="none"/>
          <w:lang w:eastAsia="zh-CN"/>
        </w:rPr>
      </w:pPr>
      <w:r>
        <w:rPr>
          <w:color w:val="auto"/>
          <w:kern w:val="2"/>
          <w:sz w:val="21"/>
          <w:highlight w:val="none"/>
          <w:lang w:bidi="ar"/>
        </w:rPr>
        <w:tab/>
      </w:r>
      <w:r>
        <w:rPr>
          <w:color w:val="auto"/>
          <w:kern w:val="2"/>
          <w:sz w:val="21"/>
          <w:highlight w:val="none"/>
          <w:lang w:bidi="ar"/>
        </w:rPr>
        <w:object>
          <v:shape id="_x0000_i1043"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43" DrawAspect="Content" ObjectID="_1468075743" r:id="rId48">
            <o:LockedField>false</o:LockedField>
          </o:OLEObject>
        </w:object>
      </w:r>
      <w:r>
        <w:rPr>
          <w:color w:val="auto"/>
          <w:kern w:val="2"/>
          <w:position w:val="-24"/>
          <w:sz w:val="21"/>
          <w:highlight w:val="none"/>
          <w:lang w:bidi="ar"/>
        </w:rPr>
        <w:object>
          <v:shape id="_x0000_i1044" o:spt="75" type="#_x0000_t75" style="height:41pt;width:141pt;" o:ole="t" filled="f" o:preferrelative="t" stroked="f" coordsize="21600,21600">
            <v:path/>
            <v:fill on="f" focussize="0,0"/>
            <v:stroke on="f"/>
            <v:imagedata r:id="rId51" o:title=""/>
            <o:lock v:ext="edit" aspectratio="t"/>
            <w10:wrap type="none"/>
            <w10:anchorlock/>
          </v:shape>
          <o:OLEObject Type="Embed" ProgID="Equation.DSMT4" ShapeID="_x0000_i1044" DrawAspect="Content" ObjectID="_1468075744" r:id="rId50">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7</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2CD55691">
      <w:pPr>
        <w:pStyle w:val="12"/>
        <w:tabs>
          <w:tab w:val="center" w:pos="4160"/>
          <w:tab w:val="right" w:pos="8300"/>
        </w:tabs>
        <w:snapToGrid w:val="0"/>
        <w:spacing w:beforeAutospacing="0" w:afterAutospacing="0"/>
        <w:ind w:firstLine="0" w:firstLineChars="0"/>
        <w:jc w:val="center"/>
        <w:rPr>
          <w:rFonts w:hint="eastAsia" w:eastAsia="宋体"/>
          <w:color w:val="auto"/>
          <w:highlight w:val="none"/>
          <w:lang w:eastAsia="zh-CN"/>
        </w:rPr>
      </w:pPr>
      <w:r>
        <w:rPr>
          <w:color w:val="auto"/>
          <w:kern w:val="2"/>
          <w:sz w:val="21"/>
          <w:highlight w:val="none"/>
          <w:lang w:bidi="ar"/>
        </w:rPr>
        <w:tab/>
      </w:r>
      <w:r>
        <w:rPr>
          <w:color w:val="auto"/>
          <w:kern w:val="2"/>
          <w:sz w:val="21"/>
          <w:highlight w:val="none"/>
          <w:lang w:bidi="ar"/>
        </w:rPr>
        <w:object>
          <v:shape id="_x0000_i1045"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45" DrawAspect="Content" ObjectID="_1468075745" r:id="rId52">
            <o:LockedField>false</o:LockedField>
          </o:OLEObject>
        </w:object>
      </w:r>
      <w:r>
        <w:rPr>
          <w:color w:val="auto"/>
          <w:kern w:val="2"/>
          <w:position w:val="-24"/>
          <w:sz w:val="21"/>
          <w:highlight w:val="none"/>
          <w:lang w:bidi="ar"/>
        </w:rPr>
        <w:object>
          <v:shape id="_x0000_i1046" o:spt="75" type="#_x0000_t75" style="height:41pt;width:114.95pt;" o:ole="t" filled="f" o:preferrelative="t" stroked="f" coordsize="21600,21600">
            <v:path/>
            <v:fill on="f" focussize="0,0"/>
            <v:stroke on="f" joinstyle="miter"/>
            <v:imagedata r:id="rId54" o:title=""/>
            <o:lock v:ext="edit" aspectratio="t"/>
            <w10:wrap type="none"/>
            <w10:anchorlock/>
          </v:shape>
          <o:OLEObject Type="Embed" ProgID="Equation.DSMT4" ShapeID="_x0000_i1046" DrawAspect="Content" ObjectID="_1468075746" r:id="rId53">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8</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0F66D5E4">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rFonts w:hint="eastAsia" w:eastAsia="宋体"/>
          <w:color w:val="auto"/>
          <w:kern w:val="2"/>
          <w:sz w:val="21"/>
          <w:highlight w:val="none"/>
          <w:lang w:eastAsia="zh-CN"/>
        </w:rPr>
      </w:pPr>
      <w:r>
        <w:rPr>
          <w:color w:val="auto"/>
          <w:kern w:val="2"/>
          <w:sz w:val="21"/>
          <w:highlight w:val="none"/>
          <w:lang w:bidi="ar"/>
        </w:rPr>
        <w:object>
          <v:shape id="_x0000_i1047"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47" DrawAspect="Content" ObjectID="_1468075747" r:id="rId55">
            <o:LockedField>false</o:LockedField>
          </o:OLEObject>
        </w:object>
      </w:r>
      <w:r>
        <w:rPr>
          <w:color w:val="auto"/>
          <w:kern w:val="2"/>
          <w:sz w:val="21"/>
          <w:highlight w:val="none"/>
          <w:lang w:bidi="ar"/>
        </w:rPr>
        <w:tab/>
      </w:r>
      <w:r>
        <w:rPr>
          <w:color w:val="auto"/>
          <w:kern w:val="2"/>
          <w:position w:val="-46"/>
          <w:sz w:val="21"/>
          <w:highlight w:val="none"/>
          <w:lang w:bidi="ar"/>
        </w:rPr>
        <w:object>
          <v:shape id="_x0000_i1048" o:spt="75" type="#_x0000_t75" style="height:50pt;width:132pt;" o:ole="t" filled="f" o:preferrelative="t" stroked="f" coordsize="21600,21600">
            <v:path/>
            <v:fill on="f" focussize="0,0"/>
            <v:stroke on="f" joinstyle="miter"/>
            <v:imagedata r:id="rId57" o:title=""/>
            <o:lock v:ext="edit" aspectratio="t"/>
            <w10:wrap type="none"/>
            <w10:anchorlock/>
          </v:shape>
          <o:OLEObject Type="Embed" ProgID="Equation.DSMT4" ShapeID="_x0000_i1048" DrawAspect="Content" ObjectID="_1468075748" r:id="rId56">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9</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77283DCD">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rFonts w:hint="eastAsia" w:eastAsia="宋体"/>
          <w:color w:val="auto"/>
          <w:kern w:val="2"/>
          <w:sz w:val="21"/>
          <w:highlight w:val="none"/>
          <w:lang w:eastAsia="zh-CN"/>
        </w:rPr>
      </w:pPr>
      <w:r>
        <w:rPr>
          <w:color w:val="auto"/>
          <w:kern w:val="2"/>
          <w:sz w:val="21"/>
          <w:highlight w:val="none"/>
          <w:lang w:bidi="ar"/>
        </w:rPr>
        <w:tab/>
      </w:r>
      <w:r>
        <w:rPr>
          <w:color w:val="auto"/>
          <w:kern w:val="2"/>
          <w:sz w:val="21"/>
          <w:highlight w:val="none"/>
          <w:lang w:bidi="ar"/>
        </w:rPr>
        <w:object>
          <v:shape id="_x0000_i1049"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49" DrawAspect="Content" ObjectID="_1468075749" r:id="rId58">
            <o:LockedField>false</o:LockedField>
          </o:OLEObject>
        </w:object>
      </w:r>
      <w:r>
        <w:rPr>
          <w:color w:val="auto"/>
          <w:kern w:val="2"/>
          <w:position w:val="-46"/>
          <w:sz w:val="21"/>
          <w:highlight w:val="none"/>
          <w:lang w:bidi="ar"/>
        </w:rPr>
        <w:object>
          <v:shape id="_x0000_i1050" o:spt="75" type="#_x0000_t75" style="height:50pt;width:139.95pt;" o:ole="t" filled="f" o:preferrelative="t" stroked="f" coordsize="21600,21600">
            <v:path/>
            <v:fill on="f" focussize="0,0"/>
            <v:stroke on="f" joinstyle="miter"/>
            <v:imagedata r:id="rId60" o:title=""/>
            <o:lock v:ext="edit" aspectratio="t"/>
            <w10:wrap type="none"/>
            <w10:anchorlock/>
          </v:shape>
          <o:OLEObject Type="Embed" ProgID="Equation.DSMT4" ShapeID="_x0000_i1050" DrawAspect="Content" ObjectID="_1468075750" r:id="rId59">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10</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5DD7E798">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rFonts w:hint="eastAsia" w:eastAsia="宋体"/>
          <w:color w:val="auto"/>
          <w:kern w:val="2"/>
          <w:sz w:val="21"/>
          <w:highlight w:val="none"/>
          <w:lang w:eastAsia="zh-CN"/>
        </w:rPr>
      </w:pPr>
      <w:r>
        <w:rPr>
          <w:color w:val="auto"/>
          <w:kern w:val="2"/>
          <w:sz w:val="21"/>
          <w:highlight w:val="none"/>
          <w:lang w:bidi="ar"/>
        </w:rPr>
        <w:tab/>
      </w:r>
      <w:r>
        <w:rPr>
          <w:color w:val="auto"/>
          <w:kern w:val="2"/>
          <w:position w:val="-22"/>
          <w:sz w:val="21"/>
          <w:highlight w:val="none"/>
          <w:lang w:bidi="ar"/>
        </w:rPr>
        <w:object>
          <v:shape id="_x0000_i1051" o:spt="75" type="#_x0000_t75" style="height:28pt;width:66.05pt;" o:ole="t" filled="f" o:preferrelative="t" stroked="f" coordsize="21600,21600">
            <v:path/>
            <v:fill on="f" focussize="0,0"/>
            <v:stroke on="f"/>
            <v:imagedata r:id="rId62" o:title=""/>
            <o:lock v:ext="edit" aspectratio="t"/>
            <w10:wrap type="none"/>
            <w10:anchorlock/>
          </v:shape>
          <o:OLEObject Type="Embed" ProgID="Equation.DSMT4" ShapeID="_x0000_i1051" DrawAspect="Content" ObjectID="_1468075751" r:id="rId61">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11</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3EDC914E">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center"/>
        <w:textAlignment w:val="auto"/>
        <w:rPr>
          <w:rFonts w:hint="eastAsia" w:eastAsia="宋体"/>
          <w:color w:val="auto"/>
          <w:kern w:val="2"/>
          <w:sz w:val="21"/>
          <w:highlight w:val="none"/>
          <w:lang w:eastAsia="zh-CN" w:bidi="ar"/>
        </w:rPr>
      </w:pPr>
      <w:r>
        <w:rPr>
          <w:color w:val="auto"/>
          <w:kern w:val="2"/>
          <w:sz w:val="21"/>
          <w:highlight w:val="none"/>
          <w:lang w:bidi="ar"/>
        </w:rPr>
        <w:tab/>
      </w:r>
      <w:r>
        <w:rPr>
          <w:color w:val="auto"/>
          <w:kern w:val="2"/>
          <w:sz w:val="21"/>
          <w:highlight w:val="none"/>
          <w:lang w:bidi="ar"/>
        </w:rPr>
        <w:object>
          <v:shape id="_x0000_i1052"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52" DrawAspect="Content" ObjectID="_1468075752" r:id="rId63">
            <o:LockedField>false</o:LockedField>
          </o:OLEObject>
        </w:object>
      </w:r>
      <w:r>
        <w:rPr>
          <w:color w:val="auto"/>
          <w:kern w:val="2"/>
          <w:position w:val="-40"/>
          <w:sz w:val="21"/>
          <w:highlight w:val="none"/>
          <w:lang w:bidi="ar"/>
        </w:rPr>
        <w:object>
          <v:shape id="_x0000_i1053" o:spt="75" type="#_x0000_t75" style="height:45pt;width:154pt;" o:ole="t" filled="f" o:preferrelative="t" stroked="f" coordsize="21600,21600">
            <v:path/>
            <v:fill on="f" focussize="0,0"/>
            <v:stroke on="f" joinstyle="miter"/>
            <v:imagedata r:id="rId65" o:title=""/>
            <o:lock v:ext="edit" aspectratio="t"/>
            <w10:wrap type="none"/>
            <w10:anchorlock/>
          </v:shape>
          <o:OLEObject Type="Embed" ProgID="Equation.DSMT4" ShapeID="_x0000_i1053" DrawAspect="Content" ObjectID="_1468075753" r:id="rId64">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12</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2EBF2412">
      <w:pPr>
        <w:pStyle w:val="12"/>
        <w:keepNext w:val="0"/>
        <w:keepLines w:val="0"/>
        <w:pageBreakBefore w:val="0"/>
        <w:widowControl w:val="0"/>
        <w:tabs>
          <w:tab w:val="center" w:pos="4160"/>
          <w:tab w:val="right" w:pos="8300"/>
        </w:tabs>
        <w:kinsoku/>
        <w:wordWrap/>
        <w:overflowPunct/>
        <w:topLinePunct w:val="0"/>
        <w:autoSpaceDE/>
        <w:autoSpaceDN/>
        <w:bidi w:val="0"/>
        <w:adjustRightInd/>
        <w:snapToGrid w:val="0"/>
        <w:spacing w:beforeAutospacing="0" w:afterAutospacing="0"/>
        <w:ind w:firstLine="0" w:firstLineChars="0"/>
        <w:jc w:val="right"/>
        <w:textAlignment w:val="auto"/>
        <w:rPr>
          <w:rFonts w:hint="eastAsia" w:eastAsia="宋体"/>
          <w:color w:val="auto"/>
          <w:kern w:val="2"/>
          <w:sz w:val="21"/>
          <w:highlight w:val="none"/>
          <w:lang w:eastAsia="zh-CN"/>
        </w:rPr>
      </w:pPr>
      <w:r>
        <w:rPr>
          <w:color w:val="auto"/>
          <w:kern w:val="2"/>
          <w:sz w:val="21"/>
          <w:highlight w:val="none"/>
          <w:lang w:bidi="ar"/>
        </w:rPr>
        <w:object>
          <v:shape id="_x0000_i1054" o:spt="75" type="#_x0000_t75" style="height:14pt;width:9pt;" o:ole="t" filled="f" o:preferrelative="t" stroked="f" coordsize="21600,21600">
            <v:path/>
            <v:fill on="f" focussize="0,0"/>
            <v:stroke on="f" joinstyle="miter"/>
            <v:imagedata r:id="rId49" o:title=""/>
            <o:lock v:ext="edit" aspectratio="t"/>
            <w10:wrap type="none"/>
            <w10:anchorlock/>
          </v:shape>
          <o:OLEObject Type="Embed" ProgID="Equation.DSMT4" ShapeID="_x0000_i1054" DrawAspect="Content" ObjectID="_1468075754" r:id="rId66">
            <o:LockedField>false</o:LockedField>
          </o:OLEObject>
        </w:object>
      </w:r>
      <w:r>
        <w:rPr>
          <w:color w:val="auto"/>
          <w:kern w:val="2"/>
          <w:sz w:val="21"/>
          <w:highlight w:val="none"/>
          <w:lang w:bidi="ar"/>
        </w:rPr>
        <w:tab/>
      </w:r>
      <w:r>
        <w:rPr>
          <w:color w:val="auto"/>
          <w:kern w:val="2"/>
          <w:position w:val="-54"/>
          <w:sz w:val="21"/>
          <w:highlight w:val="none"/>
          <w:lang w:bidi="ar"/>
        </w:rPr>
        <w:object>
          <v:shape id="_x0000_i1055" o:spt="75" type="#_x0000_t75" style="height:62pt;width:211.95pt;" o:ole="t" filled="f" o:preferrelative="t" stroked="f" coordsize="21600,21600">
            <v:path/>
            <v:fill on="f" focussize="0,0"/>
            <v:stroke on="f" joinstyle="miter"/>
            <v:imagedata r:id="rId68" o:title=""/>
            <o:lock v:ext="edit" aspectratio="t"/>
            <w10:wrap type="none"/>
            <w10:anchorlock/>
          </v:shape>
          <o:OLEObject Type="Embed" ProgID="Equation.DSMT4" ShapeID="_x0000_i1055" DrawAspect="Content" ObjectID="_1468075755" r:id="rId67">
            <o:LockedField>false</o:LockedField>
          </o:OLEObject>
        </w:object>
      </w:r>
      <w:r>
        <w:rPr>
          <w:color w:val="auto"/>
          <w:kern w:val="2"/>
          <w:sz w:val="21"/>
          <w:highlight w:val="none"/>
          <w:lang w:bidi="ar"/>
        </w:rPr>
        <w:tab/>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MACROBUTTON MTPlaceRef \* MERGEFORMAT </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\h \* MERGEFORMAT </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begin"/>
      </w:r>
      <w:r>
        <w:rPr>
          <w:rFonts w:hint="eastAsia"/>
          <w:color w:val="auto"/>
          <w:kern w:val="2"/>
          <w:sz w:val="21"/>
          <w:szCs w:val="21"/>
          <w:highlight w:val="none"/>
          <w:lang w:eastAsia="zh-CN" w:bidi="ar"/>
        </w:rPr>
        <w:instrText xml:space="preserve"> SEQ MTEqn \c \* Arabic \* MERGEFORMAT </w:instrText>
      </w:r>
      <w:r>
        <w:rPr>
          <w:rFonts w:hint="eastAsia"/>
          <w:color w:val="auto"/>
          <w:kern w:val="2"/>
          <w:sz w:val="21"/>
          <w:szCs w:val="21"/>
          <w:highlight w:val="none"/>
          <w:lang w:eastAsia="zh-CN" w:bidi="ar"/>
        </w:rPr>
        <w:fldChar w:fldCharType="separate"/>
      </w:r>
      <w:r>
        <w:rPr>
          <w:color w:val="auto"/>
          <w:sz w:val="21"/>
          <w:szCs w:val="21"/>
          <w:highlight w:val="none"/>
        </w:rPr>
        <w:instrText xml:space="preserve">13</w:instrText>
      </w:r>
      <w:r>
        <w:rPr>
          <w:rFonts w:hint="eastAsia"/>
          <w:color w:val="auto"/>
          <w:kern w:val="2"/>
          <w:sz w:val="21"/>
          <w:szCs w:val="21"/>
          <w:highlight w:val="none"/>
          <w:lang w:eastAsia="zh-CN" w:bidi="ar"/>
        </w:rPr>
        <w:fldChar w:fldCharType="end"/>
      </w:r>
      <w:r>
        <w:rPr>
          <w:rFonts w:hint="eastAsia"/>
          <w:color w:val="auto"/>
          <w:kern w:val="2"/>
          <w:sz w:val="21"/>
          <w:szCs w:val="21"/>
          <w:highlight w:val="none"/>
          <w:lang w:eastAsia="zh-CN" w:bidi="ar"/>
        </w:rPr>
        <w:instrText xml:space="preserve">)</w:instrText>
      </w:r>
      <w:r>
        <w:rPr>
          <w:rFonts w:hint="eastAsia"/>
          <w:color w:val="auto"/>
          <w:kern w:val="2"/>
          <w:sz w:val="21"/>
          <w:szCs w:val="21"/>
          <w:highlight w:val="none"/>
          <w:lang w:eastAsia="zh-CN" w:bidi="ar"/>
        </w:rPr>
        <w:fldChar w:fldCharType="separate"/>
      </w:r>
      <w:r>
        <w:rPr>
          <w:rFonts w:hint="eastAsia"/>
          <w:color w:val="auto"/>
          <w:kern w:val="2"/>
          <w:sz w:val="21"/>
          <w:szCs w:val="21"/>
          <w:highlight w:val="none"/>
          <w:lang w:eastAsia="zh-CN" w:bidi="ar"/>
        </w:rPr>
        <w:fldChar w:fldCharType="end"/>
      </w:r>
    </w:p>
    <w:p w14:paraId="31994F44">
      <w:pPr>
        <w:snapToGrid w:val="0"/>
        <w:ind w:firstLine="0" w:firstLineChars="0"/>
        <w:jc w:val="left"/>
        <w:textAlignment w:val="center"/>
        <w:rPr>
          <w:color w:val="auto"/>
          <w:highlight w:val="none"/>
          <w:lang w:bidi="ar"/>
        </w:rPr>
      </w:pPr>
      <w:r>
        <w:rPr>
          <w:color w:val="auto"/>
          <w:highlight w:val="none"/>
          <w:lang w:bidi="ar"/>
        </w:rPr>
        <w:t>式中</w:t>
      </w:r>
      <w:r>
        <w:rPr>
          <w:rFonts w:hint="eastAsia"/>
          <w:color w:val="auto"/>
          <w:highlight w:val="none"/>
          <w:lang w:bidi="ar"/>
        </w:rPr>
        <w:t>，</w:t>
      </w:r>
      <w:r>
        <w:rPr>
          <w:rFonts w:hint="eastAsia"/>
          <w:i/>
          <w:iCs/>
          <w:color w:val="auto"/>
          <w:highlight w:val="none"/>
          <w:lang w:bidi="ar"/>
        </w:rPr>
        <w:t>E</w:t>
      </w:r>
      <w:r>
        <w:rPr>
          <w:rFonts w:hint="eastAsia"/>
          <w:color w:val="auto"/>
          <w:highlight w:val="none"/>
          <w:lang w:bidi="ar"/>
        </w:rPr>
        <w:t>为均方根误差；</w:t>
      </w:r>
      <w:r>
        <w:rPr>
          <w:color w:val="auto"/>
          <w:highlight w:val="none"/>
          <w:lang w:bidi="ar"/>
        </w:rPr>
        <w:object>
          <v:shape id="_x0000_i1056" o:spt="75" type="#_x0000_t75" style="height:18pt;width:20pt;" o:ole="t" filled="f" o:preferrelative="t" stroked="f" coordsize="21600,21600">
            <v:path/>
            <v:fill on="f" focussize="0,0"/>
            <v:stroke on="f" joinstyle="miter"/>
            <v:imagedata r:id="rId70" o:title=""/>
            <o:lock v:ext="edit" aspectratio="t"/>
            <w10:wrap type="none"/>
            <w10:anchorlock/>
          </v:shape>
          <o:OLEObject Type="Embed" ProgID="Equation.DSMT4" ShapeID="_x0000_i1056" DrawAspect="Content" ObjectID="_1468075756" r:id="rId69">
            <o:LockedField>false</o:LockedField>
          </o:OLEObject>
        </w:object>
      </w:r>
      <w:r>
        <w:rPr>
          <w:color w:val="auto"/>
          <w:highlight w:val="none"/>
          <w:lang w:bidi="ar"/>
        </w:rPr>
        <w:t>为第</w:t>
      </w:r>
      <w:r>
        <w:rPr>
          <w:i/>
          <w:iCs/>
          <w:color w:val="auto"/>
          <w:highlight w:val="none"/>
          <w:lang w:bidi="ar"/>
        </w:rPr>
        <w:t>j</w:t>
      </w:r>
      <w:r>
        <w:rPr>
          <w:color w:val="auto"/>
          <w:highlight w:val="none"/>
          <w:lang w:bidi="ar"/>
        </w:rPr>
        <w:t>时段实测径流</w:t>
      </w:r>
      <w:r>
        <w:rPr>
          <w:rFonts w:hint="eastAsia"/>
          <w:color w:val="auto"/>
          <w:highlight w:val="none"/>
        </w:rPr>
        <w:t>（m³·s</w:t>
      </w:r>
      <w:r>
        <w:rPr>
          <w:rFonts w:hint="eastAsia"/>
          <w:color w:val="auto"/>
          <w:highlight w:val="none"/>
          <w:vertAlign w:val="superscript"/>
        </w:rPr>
        <w:t>-1</w:t>
      </w:r>
      <w:r>
        <w:rPr>
          <w:rFonts w:hint="eastAsia"/>
          <w:color w:val="auto"/>
          <w:highlight w:val="none"/>
        </w:rPr>
        <w:t>）；</w:t>
      </w:r>
      <w:r>
        <w:rPr>
          <w:color w:val="auto"/>
          <w:highlight w:val="none"/>
          <w:lang w:bidi="ar"/>
        </w:rPr>
        <w:object>
          <v:shape id="_x0000_i1057" o:spt="75" type="#_x0000_t75" style="height:18pt;width:20pt;" o:ole="t" filled="f" o:preferrelative="t" stroked="f" coordsize="21600,21600">
            <v:path/>
            <v:fill on="f" focussize="0,0"/>
            <v:stroke on="f" joinstyle="miter"/>
            <v:imagedata r:id="rId72" o:title=""/>
            <o:lock v:ext="edit" aspectratio="t"/>
            <w10:wrap type="none"/>
            <w10:anchorlock/>
          </v:shape>
          <o:OLEObject Type="Embed" ProgID="Equation.DSMT4" ShapeID="_x0000_i1057" DrawAspect="Content" ObjectID="_1468075757" r:id="rId71">
            <o:LockedField>false</o:LockedField>
          </o:OLEObject>
        </w:object>
      </w:r>
      <w:r>
        <w:rPr>
          <w:color w:val="auto"/>
          <w:highlight w:val="none"/>
          <w:lang w:bidi="ar"/>
        </w:rPr>
        <w:t>为第</w:t>
      </w:r>
      <w:r>
        <w:rPr>
          <w:i/>
          <w:iCs/>
          <w:color w:val="auto"/>
          <w:highlight w:val="none"/>
          <w:lang w:bidi="ar"/>
        </w:rPr>
        <w:t>j</w:t>
      </w:r>
      <w:r>
        <w:rPr>
          <w:color w:val="auto"/>
          <w:highlight w:val="none"/>
          <w:lang w:bidi="ar"/>
        </w:rPr>
        <w:t>时段模拟径流</w:t>
      </w:r>
    </w:p>
    <w:p w14:paraId="75D78BFF">
      <w:pPr>
        <w:snapToGrid w:val="0"/>
        <w:ind w:firstLine="0" w:firstLineChars="0"/>
        <w:jc w:val="left"/>
        <w:textAlignment w:val="center"/>
        <w:rPr>
          <w:color w:val="auto"/>
          <w:highlight w:val="none"/>
        </w:rPr>
      </w:pPr>
      <w:r>
        <w:rPr>
          <w:rFonts w:hint="eastAsia"/>
          <w:color w:val="auto"/>
          <w:highlight w:val="none"/>
        </w:rPr>
        <w:t>（m³·s</w:t>
      </w:r>
      <w:r>
        <w:rPr>
          <w:rFonts w:hint="eastAsia"/>
          <w:color w:val="auto"/>
          <w:highlight w:val="none"/>
          <w:vertAlign w:val="superscript"/>
        </w:rPr>
        <w:t>-1</w:t>
      </w:r>
      <w:r>
        <w:rPr>
          <w:rFonts w:hint="eastAsia"/>
          <w:color w:val="auto"/>
          <w:highlight w:val="none"/>
        </w:rPr>
        <w:t>）；</w:t>
      </w:r>
      <w:r>
        <w:rPr>
          <w:rFonts w:hint="eastAsia"/>
          <w:color w:val="auto"/>
          <w:highlight w:val="none"/>
        </w:rPr>
        <w:object>
          <v:shape id="_x0000_i1058" o:spt="75" type="#_x0000_t75" style="height:18pt;width:15pt;" o:ole="t" filled="f" o:preferrelative="t" stroked="f" coordsize="21600,21600">
            <v:path/>
            <v:fill on="f" focussize="0,0"/>
            <v:stroke on="f" joinstyle="miter"/>
            <v:imagedata r:id="rId74" o:title=""/>
            <o:lock v:ext="edit" aspectratio="t"/>
            <w10:wrap type="none"/>
            <w10:anchorlock/>
          </v:shape>
          <o:OLEObject Type="Embed" ProgID="Equation.DSMT4" ShapeID="_x0000_i1058" DrawAspect="Content" ObjectID="_1468075758" r:id="rId73">
            <o:LockedField>false</o:LockedField>
          </o:OLEObject>
        </w:object>
      </w:r>
      <w:r>
        <w:rPr>
          <w:rFonts w:hint="eastAsia"/>
          <w:color w:val="auto"/>
          <w:highlight w:val="none"/>
        </w:rPr>
        <w:t>为实测径流均值（m³·s</w:t>
      </w:r>
      <w:r>
        <w:rPr>
          <w:rFonts w:hint="eastAsia"/>
          <w:color w:val="auto"/>
          <w:highlight w:val="none"/>
          <w:vertAlign w:val="superscript"/>
        </w:rPr>
        <w:t>-1</w:t>
      </w:r>
      <w:r>
        <w:rPr>
          <w:rFonts w:hint="eastAsia"/>
          <w:color w:val="auto"/>
          <w:highlight w:val="none"/>
        </w:rPr>
        <w:t>）；</w:t>
      </w:r>
      <w:r>
        <w:rPr>
          <w:rFonts w:hint="eastAsia"/>
          <w:color w:val="auto"/>
          <w:highlight w:val="none"/>
          <w:lang w:bidi="ar"/>
        </w:rPr>
        <w:object>
          <v:shape id="_x0000_i1059" o:spt="75" type="#_x0000_t75" style="height:18pt;width:15pt;" o:ole="t" filled="f" o:preferrelative="t" stroked="f" coordsize="21600,21600">
            <v:path/>
            <v:fill on="f" focussize="0,0"/>
            <v:stroke on="f" joinstyle="miter"/>
            <v:imagedata r:id="rId76" o:title=""/>
            <o:lock v:ext="edit" aspectratio="t"/>
            <w10:wrap type="none"/>
            <w10:anchorlock/>
          </v:shape>
          <o:OLEObject Type="Embed" ProgID="Equation.DSMT4" ShapeID="_x0000_i1059" DrawAspect="Content" ObjectID="_1468075759" r:id="rId75">
            <o:LockedField>false</o:LockedField>
          </o:OLEObject>
        </w:object>
      </w:r>
      <w:r>
        <w:rPr>
          <w:rFonts w:hint="eastAsia"/>
          <w:color w:val="auto"/>
          <w:highlight w:val="none"/>
        </w:rPr>
        <w:t>为模拟径流均值（m³·s</w:t>
      </w:r>
      <w:r>
        <w:rPr>
          <w:rFonts w:hint="eastAsia"/>
          <w:color w:val="auto"/>
          <w:highlight w:val="none"/>
          <w:vertAlign w:val="superscript"/>
        </w:rPr>
        <w:t>-1</w:t>
      </w:r>
      <w:r>
        <w:rPr>
          <w:rFonts w:hint="eastAsia"/>
          <w:color w:val="auto"/>
          <w:highlight w:val="none"/>
        </w:rPr>
        <w:t>）；</w:t>
      </w:r>
      <w:r>
        <w:rPr>
          <w:rFonts w:hint="eastAsia"/>
          <w:i/>
          <w:iCs/>
          <w:color w:val="auto"/>
          <w:highlight w:val="none"/>
        </w:rPr>
        <w:t>n</w:t>
      </w:r>
      <w:r>
        <w:rPr>
          <w:rFonts w:hint="eastAsia"/>
          <w:color w:val="auto"/>
          <w:highlight w:val="none"/>
        </w:rPr>
        <w:t>为模拟时段总数。</w:t>
      </w:r>
    </w:p>
    <w:p w14:paraId="69229E16">
      <w:pPr>
        <w:rPr>
          <w:color w:val="auto"/>
          <w:highlight w:val="none"/>
        </w:rPr>
      </w:pPr>
      <w:r>
        <w:rPr>
          <w:color w:val="auto"/>
          <w:highlight w:val="none"/>
        </w:rPr>
        <w:t>采用纳什效率系数（</w:t>
      </w:r>
      <w:r>
        <w:rPr>
          <w:rFonts w:hint="eastAsia"/>
          <w:i/>
          <w:color w:val="auto"/>
          <w:highlight w:val="none"/>
        </w:rPr>
        <w:t>NSE</w:t>
      </w:r>
      <w:r>
        <w:rPr>
          <w:color w:val="auto"/>
          <w:highlight w:val="none"/>
        </w:rPr>
        <w:t>）、均方根误差（</w:t>
      </w:r>
      <w:r>
        <w:rPr>
          <w:rFonts w:hint="eastAsia"/>
          <w:i/>
          <w:color w:val="auto"/>
          <w:highlight w:val="none"/>
        </w:rPr>
        <w:t>RMSE</w:t>
      </w:r>
      <w:r>
        <w:rPr>
          <w:color w:val="auto"/>
          <w:highlight w:val="none"/>
        </w:rPr>
        <w:t>）</w:t>
      </w:r>
      <w:r>
        <w:rPr>
          <w:rFonts w:hint="eastAsia"/>
          <w:color w:val="auto"/>
          <w:highlight w:val="none"/>
        </w:rPr>
        <w:t>（见式8）、</w:t>
      </w:r>
      <w:r>
        <w:rPr>
          <w:color w:val="auto"/>
          <w:highlight w:val="none"/>
        </w:rPr>
        <w:t>百分比偏差（</w:t>
      </w:r>
      <w:r>
        <w:rPr>
          <w:i/>
          <w:iCs/>
          <w:color w:val="auto"/>
          <w:highlight w:val="none"/>
        </w:rPr>
        <w:t>PBIAS</w:t>
      </w:r>
      <w:r>
        <w:rPr>
          <w:color w:val="auto"/>
          <w:highlight w:val="none"/>
        </w:rPr>
        <w:t>）（</w:t>
      </w:r>
      <w:r>
        <w:rPr>
          <w:rFonts w:hint="eastAsia"/>
          <w:color w:val="auto"/>
          <w:highlight w:val="none"/>
        </w:rPr>
        <w:t>见式12）和决定性系数（</w:t>
      </w:r>
      <w:r>
        <w:rPr>
          <w:i/>
          <w:iCs/>
          <w:color w:val="auto"/>
          <w:highlight w:val="none"/>
        </w:rPr>
        <w:t>R</w:t>
      </w:r>
      <w:r>
        <w:rPr>
          <w:i/>
          <w:iCs/>
          <w:color w:val="auto"/>
          <w:highlight w:val="none"/>
          <w:vertAlign w:val="superscript"/>
        </w:rPr>
        <w:t>2</w:t>
      </w:r>
      <w:r>
        <w:rPr>
          <w:rFonts w:hint="eastAsia"/>
          <w:color w:val="auto"/>
          <w:highlight w:val="none"/>
        </w:rPr>
        <w:t>）（见式13）</w:t>
      </w:r>
      <w:r>
        <w:rPr>
          <w:color w:val="auto"/>
          <w:highlight w:val="none"/>
        </w:rPr>
        <w:t>对模拟效果进行评价。如图</w:t>
      </w:r>
      <w:r>
        <w:rPr>
          <w:rFonts w:hint="eastAsia"/>
          <w:color w:val="auto"/>
          <w:highlight w:val="none"/>
        </w:rPr>
        <w:t>5（</w:t>
      </w:r>
      <w:r>
        <w:rPr>
          <w:color w:val="auto"/>
          <w:highlight w:val="none"/>
        </w:rPr>
        <w:t>a</w:t>
      </w:r>
      <w:r>
        <w:rPr>
          <w:rFonts w:hint="eastAsia"/>
          <w:color w:val="auto"/>
          <w:highlight w:val="none"/>
        </w:rPr>
        <w:t>）</w:t>
      </w:r>
      <w:r>
        <w:rPr>
          <w:color w:val="auto"/>
          <w:highlight w:val="none"/>
        </w:rPr>
        <w:t>所示，</w:t>
      </w:r>
      <w:r>
        <w:rPr>
          <w:rFonts w:hint="eastAsia"/>
          <w:color w:val="auto"/>
          <w:highlight w:val="none"/>
        </w:rPr>
        <w:t>整体上改进后的模型率定期</w:t>
      </w:r>
      <w:r>
        <w:rPr>
          <w:color w:val="auto"/>
          <w:highlight w:val="none"/>
        </w:rPr>
        <w:t>（2011</w:t>
      </w:r>
      <w:r>
        <w:rPr>
          <w:rFonts w:hint="eastAsia" w:hAnsi="Times New Roman"/>
          <w:color w:val="auto"/>
          <w:highlight w:val="none"/>
        </w:rPr>
        <w:t>—</w:t>
      </w:r>
      <w:r>
        <w:rPr>
          <w:color w:val="auto"/>
          <w:highlight w:val="none"/>
        </w:rPr>
        <w:t>2013年）</w:t>
      </w:r>
      <w:r>
        <w:rPr>
          <w:rFonts w:hint="eastAsia"/>
          <w:i/>
          <w:color w:val="auto"/>
          <w:highlight w:val="none"/>
        </w:rPr>
        <w:t>NSE</w:t>
      </w:r>
      <w:r>
        <w:rPr>
          <w:rFonts w:hint="eastAsia"/>
          <w:color w:val="auto"/>
          <w:highlight w:val="none"/>
        </w:rPr>
        <w:t>为0.88</w:t>
      </w:r>
      <w:r>
        <w:rPr>
          <w:color w:val="auto"/>
          <w:highlight w:val="none"/>
        </w:rPr>
        <w:t>，</w:t>
      </w:r>
      <w:r>
        <w:rPr>
          <w:rFonts w:hint="eastAsia"/>
          <w:i/>
          <w:color w:val="auto"/>
          <w:highlight w:val="none"/>
        </w:rPr>
        <w:t>RMSE</w:t>
      </w:r>
      <w:r>
        <w:rPr>
          <w:rFonts w:hint="eastAsia"/>
          <w:color w:val="auto"/>
          <w:highlight w:val="none"/>
        </w:rPr>
        <w:t>为191.01m³·s</w:t>
      </w:r>
      <w:r>
        <w:rPr>
          <w:rFonts w:hint="eastAsia"/>
          <w:color w:val="auto"/>
          <w:highlight w:val="none"/>
          <w:vertAlign w:val="superscript"/>
        </w:rPr>
        <w:t>-1</w:t>
      </w:r>
      <w:r>
        <w:rPr>
          <w:rFonts w:hint="eastAsia"/>
          <w:color w:val="auto"/>
          <w:highlight w:val="none"/>
        </w:rPr>
        <w:t>，验证期</w:t>
      </w:r>
      <w:r>
        <w:rPr>
          <w:color w:val="auto"/>
          <w:highlight w:val="none"/>
        </w:rPr>
        <w:t>（2014</w:t>
      </w:r>
      <w:r>
        <w:rPr>
          <w:rFonts w:hint="eastAsia" w:hAnsi="Times New Roman"/>
          <w:color w:val="auto"/>
          <w:highlight w:val="none"/>
        </w:rPr>
        <w:t>—</w:t>
      </w:r>
      <w:r>
        <w:rPr>
          <w:color w:val="auto"/>
          <w:highlight w:val="none"/>
        </w:rPr>
        <w:t>2015年）</w:t>
      </w:r>
      <w:r>
        <w:rPr>
          <w:rFonts w:hint="eastAsia"/>
          <w:i/>
          <w:color w:val="auto"/>
          <w:highlight w:val="none"/>
        </w:rPr>
        <w:t>NSE</w:t>
      </w:r>
      <w:r>
        <w:rPr>
          <w:rFonts w:hint="eastAsia"/>
          <w:color w:val="auto"/>
          <w:highlight w:val="none"/>
        </w:rPr>
        <w:t>为0.91，</w:t>
      </w:r>
      <w:r>
        <w:rPr>
          <w:rFonts w:hint="eastAsia"/>
          <w:i/>
          <w:color w:val="auto"/>
          <w:highlight w:val="none"/>
        </w:rPr>
        <w:t>RMSE</w:t>
      </w:r>
      <w:r>
        <w:rPr>
          <w:rFonts w:hint="eastAsia"/>
          <w:color w:val="auto"/>
          <w:highlight w:val="none"/>
        </w:rPr>
        <w:t>为180.41m³·s</w:t>
      </w:r>
      <w:r>
        <w:rPr>
          <w:rFonts w:hint="eastAsia"/>
          <w:color w:val="auto"/>
          <w:highlight w:val="none"/>
          <w:vertAlign w:val="superscript"/>
        </w:rPr>
        <w:t>-1</w:t>
      </w:r>
      <w:r>
        <w:rPr>
          <w:rFonts w:hint="eastAsia"/>
          <w:color w:val="auto"/>
          <w:highlight w:val="none"/>
        </w:rPr>
        <w:t>，模型模拟的各径流组分及占比如图5（b）所示，其中融雪径流占比较高（18.1%），对流域径流模拟影响较大</w:t>
      </w:r>
      <w:r>
        <w:rPr>
          <w:color w:val="auto"/>
          <w:highlight w:val="none"/>
        </w:rPr>
        <w:t>。</w:t>
      </w:r>
      <w:r>
        <w:rPr>
          <w:rFonts w:hint="eastAsia"/>
          <w:color w:val="auto"/>
          <w:highlight w:val="none"/>
        </w:rPr>
        <w:t>进一步分析融雪期日径流模拟结果（见图6），</w:t>
      </w:r>
      <w:r>
        <w:rPr>
          <w:color w:val="auto"/>
          <w:highlight w:val="none"/>
        </w:rPr>
        <w:t>结果显示，改进后</w:t>
      </w:r>
      <w:r>
        <w:rPr>
          <w:rFonts w:hint="eastAsia"/>
          <w:color w:val="auto"/>
          <w:highlight w:val="none"/>
        </w:rPr>
        <w:t>的</w:t>
      </w:r>
      <w:r>
        <w:rPr>
          <w:color w:val="auto"/>
          <w:highlight w:val="none"/>
        </w:rPr>
        <w:t>模型</w:t>
      </w:r>
      <w:r>
        <w:rPr>
          <w:rFonts w:hint="eastAsia"/>
          <w:color w:val="auto"/>
          <w:highlight w:val="none"/>
        </w:rPr>
        <w:t>模拟</w:t>
      </w:r>
      <w:r>
        <w:rPr>
          <w:color w:val="auto"/>
          <w:highlight w:val="none"/>
        </w:rPr>
        <w:t>性能</w:t>
      </w:r>
      <w:r>
        <w:rPr>
          <w:rFonts w:hint="eastAsia"/>
          <w:color w:val="auto"/>
          <w:highlight w:val="none"/>
        </w:rPr>
        <w:t>有效</w:t>
      </w:r>
      <w:r>
        <w:rPr>
          <w:color w:val="auto"/>
          <w:highlight w:val="none"/>
        </w:rPr>
        <w:t>提升</w:t>
      </w:r>
      <w:r>
        <w:rPr>
          <w:rFonts w:hint="eastAsia"/>
          <w:color w:val="auto"/>
          <w:highlight w:val="none"/>
        </w:rPr>
        <w:t>（见</w:t>
      </w:r>
      <w:r>
        <w:rPr>
          <w:rFonts w:hint="eastAsia"/>
          <w:color w:val="auto"/>
          <w:highlight w:val="none"/>
          <w:lang w:val="en-US" w:eastAsia="zh-CN"/>
        </w:rPr>
        <w:t>表2</w:t>
      </w:r>
      <w:r>
        <w:rPr>
          <w:rFonts w:hint="eastAsia"/>
          <w:color w:val="auto"/>
          <w:highlight w:val="none"/>
        </w:rPr>
        <w:t>）</w:t>
      </w:r>
      <w:r>
        <w:rPr>
          <w:color w:val="auto"/>
          <w:highlight w:val="none"/>
        </w:rPr>
        <w:t>：在率定期与验证期中，融雪期的</w:t>
      </w:r>
      <w:r>
        <w:rPr>
          <w:rFonts w:hint="eastAsia"/>
          <w:i/>
          <w:color w:val="auto"/>
          <w:highlight w:val="none"/>
        </w:rPr>
        <w:t>NSE</w:t>
      </w:r>
      <w:r>
        <w:rPr>
          <w:rFonts w:hint="eastAsia"/>
          <w:color w:val="auto"/>
          <w:highlight w:val="none"/>
        </w:rPr>
        <w:t>由原模型0.74</w:t>
      </w:r>
      <w:r>
        <w:rPr>
          <w:color w:val="auto"/>
          <w:highlight w:val="none"/>
        </w:rPr>
        <w:t>提高</w:t>
      </w:r>
      <w:r>
        <w:rPr>
          <w:rFonts w:hint="eastAsia"/>
          <w:color w:val="auto"/>
          <w:highlight w:val="none"/>
        </w:rPr>
        <w:t>到0.80，提升</w:t>
      </w:r>
      <w:r>
        <w:rPr>
          <w:color w:val="auto"/>
          <w:highlight w:val="none"/>
        </w:rPr>
        <w:t>约</w:t>
      </w:r>
      <w:r>
        <w:rPr>
          <w:rFonts w:hint="eastAsia"/>
          <w:color w:val="auto"/>
          <w:highlight w:val="none"/>
        </w:rPr>
        <w:t>8</w:t>
      </w:r>
      <w:r>
        <w:rPr>
          <w:color w:val="auto"/>
          <w:highlight w:val="none"/>
        </w:rPr>
        <w:t>%</w:t>
      </w:r>
      <w:r>
        <w:rPr>
          <w:rFonts w:hint="eastAsia"/>
          <w:color w:val="auto"/>
          <w:highlight w:val="none"/>
        </w:rPr>
        <w:t>；</w:t>
      </w:r>
      <w:r>
        <w:rPr>
          <w:rFonts w:hint="eastAsia"/>
          <w:i/>
          <w:color w:val="auto"/>
          <w:highlight w:val="none"/>
        </w:rPr>
        <w:t>RMSE</w:t>
      </w:r>
      <w:r>
        <w:rPr>
          <w:rFonts w:hint="eastAsia"/>
          <w:color w:val="auto"/>
          <w:highlight w:val="none"/>
        </w:rPr>
        <w:t>由164.22m³· s</w:t>
      </w:r>
      <w:r>
        <w:rPr>
          <w:rFonts w:hint="eastAsia"/>
          <w:color w:val="auto"/>
          <w:highlight w:val="none"/>
          <w:vertAlign w:val="superscript"/>
        </w:rPr>
        <w:t>-1</w:t>
      </w:r>
      <w:r>
        <w:rPr>
          <w:rFonts w:hint="eastAsia"/>
          <w:color w:val="auto"/>
          <w:highlight w:val="none"/>
        </w:rPr>
        <w:t>下降至147.96m³· s</w:t>
      </w:r>
      <w:r>
        <w:rPr>
          <w:rFonts w:hint="eastAsia"/>
          <w:color w:val="auto"/>
          <w:highlight w:val="none"/>
          <w:vertAlign w:val="superscript"/>
        </w:rPr>
        <w:t>-1</w:t>
      </w:r>
      <w:r>
        <w:rPr>
          <w:rFonts w:hint="eastAsia"/>
          <w:color w:val="auto"/>
          <w:highlight w:val="none"/>
        </w:rPr>
        <w:t>，</w:t>
      </w:r>
      <w:r>
        <w:rPr>
          <w:color w:val="auto"/>
          <w:highlight w:val="none"/>
        </w:rPr>
        <w:t>下降</w:t>
      </w:r>
      <w:r>
        <w:rPr>
          <w:rFonts w:hint="eastAsia"/>
          <w:color w:val="auto"/>
          <w:highlight w:val="none"/>
        </w:rPr>
        <w:t>约</w:t>
      </w:r>
      <w:r>
        <w:rPr>
          <w:color w:val="auto"/>
          <w:highlight w:val="none"/>
        </w:rPr>
        <w:t>17%</w:t>
      </w:r>
      <w:r>
        <w:rPr>
          <w:rFonts w:hint="eastAsia"/>
          <w:color w:val="auto"/>
          <w:highlight w:val="none"/>
        </w:rPr>
        <w:t>；</w:t>
      </w:r>
      <w:r>
        <w:rPr>
          <w:color w:val="auto"/>
          <w:highlight w:val="none"/>
        </w:rPr>
        <w:t>整体偏差由-14.77%改善至-0.05%，绝对值下降14.72%</w:t>
      </w:r>
      <w:r>
        <w:rPr>
          <w:rFonts w:hint="eastAsia"/>
          <w:color w:val="auto"/>
          <w:highlight w:val="none"/>
        </w:rPr>
        <w:t>；</w:t>
      </w:r>
      <w:r>
        <w:rPr>
          <w:i/>
          <w:iCs/>
          <w:color w:val="auto"/>
          <w:highlight w:val="none"/>
        </w:rPr>
        <w:t>R</w:t>
      </w:r>
      <w:r>
        <w:rPr>
          <w:i/>
          <w:iCs/>
          <w:color w:val="auto"/>
          <w:highlight w:val="none"/>
          <w:vertAlign w:val="superscript"/>
        </w:rPr>
        <w:t>2</w:t>
      </w:r>
      <w:r>
        <w:rPr>
          <w:rFonts w:hint="eastAsia"/>
          <w:color w:val="auto"/>
          <w:highlight w:val="none"/>
        </w:rPr>
        <w:t>由0.9提升至</w:t>
      </w:r>
      <w:bookmarkStart w:id="5" w:name="OLE_LINK4"/>
      <w:r>
        <w:rPr>
          <w:rFonts w:hint="eastAsia"/>
          <w:color w:val="auto"/>
          <w:highlight w:val="none"/>
        </w:rPr>
        <w:t>0.92（见图6（a）和</w:t>
      </w:r>
      <w:r>
        <w:rPr>
          <w:rFonts w:hint="eastAsia"/>
          <w:color w:val="auto"/>
          <w:highlight w:val="none"/>
          <w:lang w:val="en-US" w:eastAsia="zh-CN"/>
        </w:rPr>
        <w:t>图6</w:t>
      </w:r>
      <w:r>
        <w:rPr>
          <w:rFonts w:hint="eastAsia"/>
          <w:color w:val="auto"/>
          <w:highlight w:val="none"/>
        </w:rPr>
        <w:t>（b））</w:t>
      </w:r>
      <w:bookmarkEnd w:id="5"/>
      <w:r>
        <w:rPr>
          <w:rFonts w:hint="eastAsia"/>
          <w:color w:val="auto"/>
          <w:highlight w:val="none"/>
        </w:rPr>
        <w:t>，</w:t>
      </w:r>
      <w:r>
        <w:rPr>
          <w:color w:val="auto"/>
          <w:highlight w:val="none"/>
        </w:rPr>
        <w:t>反映出模型对</w:t>
      </w:r>
      <w:r>
        <w:rPr>
          <w:rFonts w:hint="eastAsia"/>
          <w:color w:val="auto"/>
          <w:highlight w:val="none"/>
        </w:rPr>
        <w:t>融雪期</w:t>
      </w:r>
      <w:r>
        <w:rPr>
          <w:color w:val="auto"/>
          <w:highlight w:val="none"/>
        </w:rPr>
        <w:t>径流总量的模拟能力明显增强</w:t>
      </w:r>
      <w:r>
        <w:rPr>
          <w:rFonts w:hint="eastAsia"/>
          <w:color w:val="auto"/>
          <w:highlight w:val="none"/>
        </w:rPr>
        <w:t>。典型场次融雪径流模拟可以看出改进后的模型对峰值模拟的更为准确（见图6（c）和</w:t>
      </w:r>
      <w:r>
        <w:rPr>
          <w:rFonts w:hint="eastAsia"/>
          <w:color w:val="auto"/>
          <w:highlight w:val="none"/>
          <w:lang w:val="en-US" w:eastAsia="zh-CN"/>
        </w:rPr>
        <w:t>图6</w:t>
      </w:r>
      <w:r>
        <w:rPr>
          <w:rFonts w:hint="eastAsia"/>
          <w:color w:val="auto"/>
          <w:highlight w:val="none"/>
        </w:rPr>
        <w:t>（d）），验证了本文改进的</w:t>
      </w:r>
      <w:r>
        <w:rPr>
          <w:color w:val="auto"/>
          <w:highlight w:val="none"/>
        </w:rPr>
        <w:t>融雪模块</w:t>
      </w:r>
      <w:r>
        <w:rPr>
          <w:rFonts w:hint="eastAsia"/>
          <w:color w:val="auto"/>
          <w:highlight w:val="none"/>
        </w:rPr>
        <w:t>的有效性</w:t>
      </w:r>
      <w:r>
        <w:rPr>
          <w:color w:val="auto"/>
          <w:highlight w:val="none"/>
        </w:rPr>
        <w:t>。</w:t>
      </w:r>
    </w:p>
    <w:p w14:paraId="5D5055E5">
      <w:pPr>
        <w:ind w:firstLine="0" w:firstLineChars="0"/>
        <w:jc w:val="center"/>
        <w:rPr>
          <w:color w:val="auto"/>
          <w:highlight w:val="none"/>
        </w:rPr>
      </w:pPr>
      <w:r>
        <w:rPr>
          <w:rFonts w:hint="eastAsia"/>
          <w:color w:val="auto"/>
          <w:highlight w:val="none"/>
        </w:rPr>
        <w:drawing>
          <wp:inline distT="0" distB="0" distL="114300" distR="114300">
            <wp:extent cx="5262880" cy="2080895"/>
            <wp:effectExtent l="0" t="0" r="7620" b="1905"/>
            <wp:docPr id="8" name="图片 8" descr="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稿1"/>
                    <pic:cNvPicPr>
                      <a:picLocks noChangeAspect="1"/>
                    </pic:cNvPicPr>
                  </pic:nvPicPr>
                  <pic:blipFill>
                    <a:blip r:embed="rId77"/>
                    <a:stretch>
                      <a:fillRect/>
                    </a:stretch>
                  </pic:blipFill>
                  <pic:spPr>
                    <a:xfrm>
                      <a:off x="0" y="0"/>
                      <a:ext cx="5262880" cy="2080895"/>
                    </a:xfrm>
                    <a:prstGeom prst="rect">
                      <a:avLst/>
                    </a:prstGeom>
                  </pic:spPr>
                </pic:pic>
              </a:graphicData>
            </a:graphic>
          </wp:inline>
        </w:drawing>
      </w:r>
    </w:p>
    <w:p w14:paraId="6DFC2341">
      <w:pPr>
        <w:ind w:firstLine="0" w:firstLineChars="0"/>
        <w:jc w:val="center"/>
        <w:rPr>
          <w:rFonts w:eastAsia="黑体"/>
          <w:color w:val="auto"/>
          <w:sz w:val="18"/>
          <w:szCs w:val="18"/>
          <w:highlight w:val="none"/>
        </w:rPr>
      </w:pPr>
      <w:r>
        <w:rPr>
          <w:rFonts w:eastAsia="黑体"/>
          <w:color w:val="auto"/>
          <w:sz w:val="18"/>
          <w:szCs w:val="18"/>
          <w:highlight w:val="none"/>
        </w:rPr>
        <w:t>图</w:t>
      </w:r>
      <w:r>
        <w:rPr>
          <w:rFonts w:hint="eastAsia" w:eastAsia="黑体"/>
          <w:color w:val="auto"/>
          <w:sz w:val="18"/>
          <w:szCs w:val="18"/>
          <w:highlight w:val="none"/>
        </w:rPr>
        <w:t>5  2011-2015年模型模拟各径流组分及实测对比（</w:t>
      </w:r>
      <w:r>
        <w:rPr>
          <w:rFonts w:hint="eastAsia" w:eastAsia="黑体"/>
          <w:i/>
          <w:iCs/>
          <w:color w:val="auto"/>
          <w:sz w:val="18"/>
          <w:szCs w:val="18"/>
          <w:highlight w:val="none"/>
        </w:rPr>
        <w:t>Qsim</w:t>
      </w:r>
      <w:r>
        <w:rPr>
          <w:rFonts w:hint="eastAsia" w:eastAsia="黑体"/>
          <w:color w:val="auto"/>
          <w:sz w:val="18"/>
          <w:szCs w:val="18"/>
          <w:highlight w:val="none"/>
        </w:rPr>
        <w:t>为模拟总径流；</w:t>
      </w:r>
      <w:r>
        <w:rPr>
          <w:rFonts w:hint="eastAsia" w:eastAsia="黑体"/>
          <w:i/>
          <w:iCs/>
          <w:color w:val="auto"/>
          <w:sz w:val="18"/>
          <w:szCs w:val="18"/>
          <w:highlight w:val="none"/>
        </w:rPr>
        <w:t>Qobs</w:t>
      </w:r>
      <w:r>
        <w:rPr>
          <w:rFonts w:hint="eastAsia" w:eastAsia="黑体"/>
          <w:color w:val="auto"/>
          <w:sz w:val="18"/>
          <w:szCs w:val="18"/>
          <w:highlight w:val="none"/>
        </w:rPr>
        <w:t>为实测总径流）</w:t>
      </w:r>
    </w:p>
    <w:p w14:paraId="7CE1787C">
      <w:pPr>
        <w:ind w:firstLine="0" w:firstLineChars="0"/>
        <w:jc w:val="center"/>
        <w:rPr>
          <w:rFonts w:eastAsia="黑体"/>
          <w:color w:val="auto"/>
          <w:sz w:val="18"/>
          <w:szCs w:val="18"/>
          <w:highlight w:val="none"/>
        </w:rPr>
      </w:pPr>
      <w:r>
        <w:rPr>
          <w:rFonts w:hint="eastAsia" w:eastAsia="黑体"/>
          <w:color w:val="auto"/>
          <w:sz w:val="18"/>
          <w:szCs w:val="18"/>
          <w:highlight w:val="none"/>
        </w:rPr>
        <w:t xml:space="preserve">Fig.5   </w:t>
      </w:r>
      <w:r>
        <w:rPr>
          <w:rFonts w:eastAsia="黑体"/>
          <w:color w:val="auto"/>
          <w:sz w:val="18"/>
          <w:szCs w:val="18"/>
          <w:highlight w:val="none"/>
        </w:rPr>
        <w:t>Comparison of model-simulated runoff components and observed values (2011</w:t>
      </w:r>
      <w:r>
        <w:rPr>
          <w:rFonts w:hint="eastAsia" w:eastAsia="黑体"/>
          <w:color w:val="auto"/>
          <w:sz w:val="18"/>
          <w:szCs w:val="18"/>
          <w:highlight w:val="none"/>
          <w:lang w:val="en-US" w:eastAsia="zh-CN"/>
        </w:rPr>
        <w:t>—</w:t>
      </w:r>
      <w:r>
        <w:rPr>
          <w:rFonts w:eastAsia="黑体"/>
          <w:color w:val="auto"/>
          <w:sz w:val="18"/>
          <w:szCs w:val="18"/>
          <w:highlight w:val="none"/>
        </w:rPr>
        <w:t>2015) (</w:t>
      </w:r>
      <w:r>
        <w:rPr>
          <w:rFonts w:eastAsia="黑体"/>
          <w:i/>
          <w:iCs/>
          <w:color w:val="auto"/>
          <w:sz w:val="18"/>
          <w:szCs w:val="18"/>
          <w:highlight w:val="none"/>
        </w:rPr>
        <w:t xml:space="preserve">Qsim: </w:t>
      </w:r>
      <w:r>
        <w:rPr>
          <w:rFonts w:eastAsia="黑体"/>
          <w:color w:val="auto"/>
          <w:sz w:val="18"/>
          <w:szCs w:val="18"/>
          <w:highlight w:val="none"/>
        </w:rPr>
        <w:t xml:space="preserve">simulated total runoff; </w:t>
      </w:r>
      <w:r>
        <w:rPr>
          <w:rFonts w:eastAsia="黑体"/>
          <w:i/>
          <w:iCs/>
          <w:color w:val="auto"/>
          <w:sz w:val="18"/>
          <w:szCs w:val="18"/>
          <w:highlight w:val="none"/>
        </w:rPr>
        <w:t xml:space="preserve">Qobs: </w:t>
      </w:r>
      <w:r>
        <w:rPr>
          <w:rFonts w:eastAsia="黑体"/>
          <w:color w:val="auto"/>
          <w:sz w:val="18"/>
          <w:szCs w:val="18"/>
          <w:highlight w:val="none"/>
        </w:rPr>
        <w:t>observed total runoff)</w:t>
      </w:r>
    </w:p>
    <w:p w14:paraId="0325540E">
      <w:pPr>
        <w:ind w:firstLine="0" w:firstLineChars="0"/>
        <w:jc w:val="center"/>
        <w:rPr>
          <w:rFonts w:eastAsia="黑体"/>
          <w:color w:val="auto"/>
          <w:sz w:val="18"/>
          <w:szCs w:val="18"/>
          <w:highlight w:val="none"/>
        </w:rPr>
      </w:pPr>
      <w:r>
        <w:rPr>
          <w:rFonts w:hint="eastAsia" w:asciiTheme="minorHAnsi" w:hAnsiTheme="minorHAnsi" w:cstheme="minorBidi"/>
          <w:color w:val="auto"/>
          <w:szCs w:val="24"/>
          <w:highlight w:val="none"/>
        </w:rPr>
        <w:drawing>
          <wp:inline distT="0" distB="0" distL="114300" distR="114300">
            <wp:extent cx="5273675" cy="3902710"/>
            <wp:effectExtent l="0" t="0" r="9525" b="8890"/>
            <wp:docPr id="10" name="图片 10" descr="演示T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演示TU1"/>
                    <pic:cNvPicPr>
                      <a:picLocks noChangeAspect="1"/>
                    </pic:cNvPicPr>
                  </pic:nvPicPr>
                  <pic:blipFill>
                    <a:blip r:embed="rId78"/>
                    <a:stretch>
                      <a:fillRect/>
                    </a:stretch>
                  </pic:blipFill>
                  <pic:spPr>
                    <a:xfrm>
                      <a:off x="0" y="0"/>
                      <a:ext cx="5273675" cy="3902710"/>
                    </a:xfrm>
                    <a:prstGeom prst="rect">
                      <a:avLst/>
                    </a:prstGeom>
                  </pic:spPr>
                </pic:pic>
              </a:graphicData>
            </a:graphic>
          </wp:inline>
        </w:drawing>
      </w:r>
    </w:p>
    <w:p w14:paraId="4A163C1B">
      <w:pPr>
        <w:ind w:firstLine="0" w:firstLineChars="0"/>
        <w:jc w:val="center"/>
        <w:rPr>
          <w:rFonts w:eastAsia="黑体"/>
          <w:color w:val="auto"/>
          <w:sz w:val="18"/>
          <w:szCs w:val="18"/>
          <w:highlight w:val="none"/>
        </w:rPr>
      </w:pPr>
      <w:r>
        <w:rPr>
          <w:rFonts w:hint="eastAsia" w:eastAsia="黑体"/>
          <w:color w:val="auto"/>
          <w:sz w:val="18"/>
          <w:szCs w:val="18"/>
          <w:highlight w:val="none"/>
        </w:rPr>
        <w:t>图6  模型改进前后融雪期径流模拟效果对比</w:t>
      </w:r>
    </w:p>
    <w:p w14:paraId="4D2D48CA">
      <w:pPr>
        <w:pStyle w:val="8"/>
        <w:spacing w:after="0"/>
        <w:ind w:firstLine="0" w:firstLineChars="0"/>
        <w:jc w:val="center"/>
        <w:rPr>
          <w:rFonts w:eastAsia="黑体"/>
          <w:color w:val="auto"/>
          <w:sz w:val="18"/>
          <w:szCs w:val="18"/>
          <w:highlight w:val="none"/>
        </w:rPr>
      </w:pPr>
      <w:r>
        <w:rPr>
          <w:rFonts w:eastAsia="黑体"/>
          <w:bCs/>
          <w:color w:val="auto"/>
          <w:sz w:val="18"/>
          <w:szCs w:val="18"/>
          <w:highlight w:val="none"/>
        </w:rPr>
        <w:t>Fig</w:t>
      </w:r>
      <w:r>
        <w:rPr>
          <w:rFonts w:hint="eastAsia" w:eastAsia="黑体"/>
          <w:bCs/>
          <w:color w:val="auto"/>
          <w:sz w:val="18"/>
          <w:szCs w:val="18"/>
          <w:highlight w:val="none"/>
        </w:rPr>
        <w:t>.6</w:t>
      </w:r>
      <w:r>
        <w:rPr>
          <w:rFonts w:eastAsia="黑体"/>
          <w:bCs/>
          <w:color w:val="auto"/>
          <w:sz w:val="18"/>
          <w:szCs w:val="18"/>
          <w:highlight w:val="none"/>
        </w:rPr>
        <w:t xml:space="preserve">  </w:t>
      </w:r>
      <w:r>
        <w:rPr>
          <w:rFonts w:eastAsia="黑体"/>
          <w:color w:val="auto"/>
          <w:sz w:val="18"/>
          <w:szCs w:val="18"/>
          <w:highlight w:val="none"/>
        </w:rPr>
        <w:t>Comparison of runoff simulation performance before and after model improvement during snowmelt period</w:t>
      </w:r>
    </w:p>
    <w:p w14:paraId="09A9B042">
      <w:pPr>
        <w:ind w:firstLine="360"/>
        <w:jc w:val="center"/>
        <w:rPr>
          <w:rFonts w:eastAsia="黑体"/>
          <w:color w:val="auto"/>
          <w:sz w:val="18"/>
          <w:szCs w:val="18"/>
          <w:highlight w:val="none"/>
        </w:rPr>
      </w:pPr>
      <w:r>
        <w:rPr>
          <w:rFonts w:eastAsia="黑体"/>
          <w:color w:val="auto"/>
          <w:sz w:val="18"/>
          <w:szCs w:val="18"/>
          <w:highlight w:val="none"/>
        </w:rPr>
        <w:t>表2  融雪期模型性能指标改进对比</w:t>
      </w:r>
    </w:p>
    <w:p w14:paraId="3324C22C">
      <w:pPr>
        <w:ind w:firstLine="360"/>
        <w:jc w:val="center"/>
        <w:rPr>
          <w:rFonts w:eastAsia="黑体"/>
          <w:color w:val="auto"/>
          <w:sz w:val="18"/>
          <w:szCs w:val="18"/>
          <w:highlight w:val="none"/>
        </w:rPr>
      </w:pPr>
      <w:r>
        <w:rPr>
          <w:rFonts w:eastAsia="黑体"/>
          <w:color w:val="auto"/>
          <w:sz w:val="18"/>
          <w:szCs w:val="18"/>
          <w:highlight w:val="none"/>
        </w:rPr>
        <w:t xml:space="preserve">Table 2   Comparison of improvement in model performance </w:t>
      </w:r>
      <w:r>
        <w:rPr>
          <w:rFonts w:hint="eastAsia" w:eastAsia="黑体"/>
          <w:color w:val="auto"/>
          <w:sz w:val="18"/>
          <w:szCs w:val="18"/>
          <w:highlight w:val="none"/>
          <w:lang w:val="en-US" w:eastAsia="zh-CN"/>
        </w:rPr>
        <w:t>indicators</w:t>
      </w:r>
      <w:r>
        <w:rPr>
          <w:rFonts w:eastAsia="黑体"/>
          <w:color w:val="auto"/>
          <w:sz w:val="18"/>
          <w:szCs w:val="18"/>
          <w:highlight w:val="none"/>
        </w:rPr>
        <w:t xml:space="preserve"> during snowmelt period</w:t>
      </w:r>
    </w:p>
    <w:tbl>
      <w:tblPr>
        <w:tblStyle w:val="14"/>
        <w:tblW w:w="2919" w:type="pct"/>
        <w:jc w:val="center"/>
        <w:tblLayout w:type="autofit"/>
        <w:tblCellMar>
          <w:top w:w="0" w:type="dxa"/>
          <w:left w:w="108" w:type="dxa"/>
          <w:bottom w:w="0" w:type="dxa"/>
          <w:right w:w="108" w:type="dxa"/>
        </w:tblCellMar>
      </w:tblPr>
      <w:tblGrid>
        <w:gridCol w:w="1621"/>
        <w:gridCol w:w="1859"/>
        <w:gridCol w:w="1495"/>
      </w:tblGrid>
      <w:tr w14:paraId="3F069BB7">
        <w:tblPrEx>
          <w:tblCellMar>
            <w:top w:w="0" w:type="dxa"/>
            <w:left w:w="108" w:type="dxa"/>
            <w:bottom w:w="0" w:type="dxa"/>
            <w:right w:w="108" w:type="dxa"/>
          </w:tblCellMar>
        </w:tblPrEx>
        <w:trPr>
          <w:trHeight w:val="317" w:hRule="atLeast"/>
          <w:jc w:val="center"/>
        </w:trPr>
        <w:tc>
          <w:tcPr>
            <w:tcW w:w="1629" w:type="pct"/>
            <w:tcBorders>
              <w:top w:val="single" w:color="000000" w:sz="12" w:space="0"/>
              <w:left w:val="nil"/>
              <w:bottom w:val="single" w:color="000000" w:sz="4" w:space="0"/>
              <w:right w:val="nil"/>
              <w:tl2br w:val="nil"/>
            </w:tcBorders>
            <w:shd w:val="clear" w:color="auto" w:fill="FFFFFF"/>
            <w:vAlign w:val="center"/>
          </w:tcPr>
          <w:p w14:paraId="2643DC2C">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评估指标</w:t>
            </w:r>
          </w:p>
        </w:tc>
        <w:tc>
          <w:tcPr>
            <w:tcW w:w="1868" w:type="pct"/>
            <w:tcBorders>
              <w:top w:val="single" w:color="000000" w:sz="12" w:space="0"/>
              <w:left w:val="nil"/>
              <w:bottom w:val="single" w:color="000000" w:sz="4" w:space="0"/>
              <w:right w:val="nil"/>
            </w:tcBorders>
            <w:shd w:val="clear" w:color="auto" w:fill="FFFFFF"/>
            <w:vAlign w:val="center"/>
          </w:tcPr>
          <w:p w14:paraId="4372B18B">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原模型结果</w:t>
            </w:r>
          </w:p>
        </w:tc>
        <w:tc>
          <w:tcPr>
            <w:tcW w:w="1502" w:type="pct"/>
            <w:tcBorders>
              <w:top w:val="single" w:color="000000" w:sz="12" w:space="0"/>
              <w:left w:val="nil"/>
              <w:bottom w:val="single" w:color="000000" w:sz="4" w:space="0"/>
              <w:right w:val="nil"/>
            </w:tcBorders>
            <w:shd w:val="clear" w:color="auto" w:fill="FFFFFF"/>
            <w:vAlign w:val="center"/>
          </w:tcPr>
          <w:p w14:paraId="1E74BFFB">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改进后模型结果</w:t>
            </w:r>
          </w:p>
        </w:tc>
      </w:tr>
      <w:tr w14:paraId="6B8D0B99">
        <w:tblPrEx>
          <w:tblCellMar>
            <w:top w:w="0" w:type="dxa"/>
            <w:left w:w="108" w:type="dxa"/>
            <w:bottom w:w="0" w:type="dxa"/>
            <w:right w:w="108" w:type="dxa"/>
          </w:tblCellMar>
        </w:tblPrEx>
        <w:trPr>
          <w:trHeight w:val="317" w:hRule="atLeast"/>
          <w:jc w:val="center"/>
        </w:trPr>
        <w:tc>
          <w:tcPr>
            <w:tcW w:w="1629" w:type="pct"/>
            <w:tcBorders>
              <w:top w:val="single" w:color="000000" w:sz="4" w:space="0"/>
              <w:left w:val="nil"/>
              <w:bottom w:val="nil"/>
              <w:right w:val="nil"/>
            </w:tcBorders>
            <w:shd w:val="clear" w:color="auto" w:fill="FFFFFF"/>
            <w:vAlign w:val="center"/>
          </w:tcPr>
          <w:p w14:paraId="30C6754F">
            <w:pPr>
              <w:ind w:right="-35" w:firstLine="0" w:firstLineChars="0"/>
              <w:jc w:val="center"/>
              <w:rPr>
                <w:rFonts w:eastAsiaTheme="minorEastAsia"/>
                <w:iCs/>
                <w:color w:val="auto"/>
                <w:sz w:val="15"/>
                <w:szCs w:val="15"/>
                <w:highlight w:val="none"/>
              </w:rPr>
            </w:pPr>
            <w:r>
              <w:rPr>
                <w:rFonts w:eastAsiaTheme="minorEastAsia"/>
                <w:i/>
                <w:color w:val="auto"/>
                <w:sz w:val="15"/>
                <w:szCs w:val="15"/>
                <w:highlight w:val="none"/>
              </w:rPr>
              <w:t>NSE</w:t>
            </w:r>
          </w:p>
        </w:tc>
        <w:tc>
          <w:tcPr>
            <w:tcW w:w="1868" w:type="pct"/>
            <w:tcBorders>
              <w:top w:val="single" w:color="000000" w:sz="4" w:space="0"/>
              <w:left w:val="nil"/>
              <w:bottom w:val="nil"/>
              <w:right w:val="nil"/>
            </w:tcBorders>
            <w:shd w:val="clear" w:color="auto" w:fill="FFFFFF"/>
            <w:vAlign w:val="center"/>
          </w:tcPr>
          <w:p w14:paraId="425ABD60">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0.74</w:t>
            </w:r>
          </w:p>
        </w:tc>
        <w:tc>
          <w:tcPr>
            <w:tcW w:w="1502" w:type="pct"/>
            <w:tcBorders>
              <w:top w:val="single" w:color="000000" w:sz="4" w:space="0"/>
              <w:left w:val="nil"/>
              <w:bottom w:val="nil"/>
              <w:right w:val="nil"/>
            </w:tcBorders>
            <w:shd w:val="clear" w:color="auto" w:fill="FFFFFF"/>
            <w:vAlign w:val="center"/>
          </w:tcPr>
          <w:p w14:paraId="3873CB44">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0.80</w:t>
            </w:r>
          </w:p>
        </w:tc>
      </w:tr>
      <w:tr w14:paraId="25A377F8">
        <w:tblPrEx>
          <w:tblCellMar>
            <w:top w:w="0" w:type="dxa"/>
            <w:left w:w="108" w:type="dxa"/>
            <w:bottom w:w="0" w:type="dxa"/>
            <w:right w:w="108" w:type="dxa"/>
          </w:tblCellMar>
        </w:tblPrEx>
        <w:trPr>
          <w:trHeight w:val="317" w:hRule="atLeast"/>
          <w:jc w:val="center"/>
        </w:trPr>
        <w:tc>
          <w:tcPr>
            <w:tcW w:w="1629" w:type="pct"/>
            <w:tcBorders>
              <w:top w:val="nil"/>
              <w:left w:val="nil"/>
              <w:bottom w:val="nil"/>
              <w:right w:val="nil"/>
            </w:tcBorders>
            <w:shd w:val="clear" w:color="auto" w:fill="FFFFFF"/>
            <w:vAlign w:val="center"/>
          </w:tcPr>
          <w:p w14:paraId="496A9839">
            <w:pPr>
              <w:ind w:right="-35" w:firstLine="0" w:firstLineChars="0"/>
              <w:jc w:val="center"/>
              <w:rPr>
                <w:rFonts w:eastAsiaTheme="minorEastAsia"/>
                <w:iCs/>
                <w:color w:val="auto"/>
                <w:sz w:val="15"/>
                <w:szCs w:val="15"/>
                <w:highlight w:val="none"/>
              </w:rPr>
            </w:pPr>
            <w:r>
              <w:rPr>
                <w:rFonts w:eastAsiaTheme="minorEastAsia"/>
                <w:i/>
                <w:color w:val="auto"/>
                <w:sz w:val="15"/>
                <w:szCs w:val="15"/>
                <w:highlight w:val="none"/>
              </w:rPr>
              <w:t>RMSE</w:t>
            </w:r>
            <w:r>
              <w:rPr>
                <w:rFonts w:hint="eastAsia" w:eastAsiaTheme="minorEastAsia"/>
                <w:iCs/>
                <w:color w:val="auto"/>
                <w:sz w:val="15"/>
                <w:szCs w:val="15"/>
                <w:highlight w:val="none"/>
              </w:rPr>
              <w:t xml:space="preserve"> </w:t>
            </w:r>
            <w:r>
              <w:rPr>
                <w:rFonts w:hint="eastAsia" w:eastAsiaTheme="minorEastAsia"/>
                <w:iCs/>
                <w:color w:val="auto"/>
                <w:sz w:val="15"/>
                <w:szCs w:val="15"/>
                <w:highlight w:val="none"/>
                <w:lang w:val="en-US" w:eastAsia="zh-CN"/>
              </w:rPr>
              <w:t>/</w:t>
            </w:r>
            <w:r>
              <w:rPr>
                <w:rFonts w:hint="eastAsia" w:eastAsiaTheme="minorEastAsia"/>
                <w:iCs/>
                <w:color w:val="auto"/>
                <w:sz w:val="15"/>
                <w:szCs w:val="15"/>
                <w:highlight w:val="none"/>
              </w:rPr>
              <w:t>m³·s</w:t>
            </w:r>
            <w:r>
              <w:rPr>
                <w:rFonts w:hint="eastAsia" w:eastAsiaTheme="minorEastAsia"/>
                <w:iCs/>
                <w:color w:val="auto"/>
                <w:sz w:val="15"/>
                <w:szCs w:val="15"/>
                <w:highlight w:val="none"/>
                <w:vertAlign w:val="superscript"/>
              </w:rPr>
              <w:t>-</w:t>
            </w:r>
            <w:r>
              <w:rPr>
                <w:rFonts w:hint="eastAsia" w:eastAsiaTheme="minorEastAsia"/>
                <w:iCs/>
                <w:color w:val="auto"/>
                <w:sz w:val="15"/>
                <w:szCs w:val="15"/>
                <w:highlight w:val="none"/>
              </w:rPr>
              <w:t>¹</w:t>
            </w:r>
          </w:p>
        </w:tc>
        <w:tc>
          <w:tcPr>
            <w:tcW w:w="1868" w:type="pct"/>
            <w:tcBorders>
              <w:top w:val="nil"/>
              <w:left w:val="nil"/>
              <w:bottom w:val="nil"/>
              <w:right w:val="nil"/>
            </w:tcBorders>
            <w:shd w:val="clear" w:color="auto" w:fill="FFFFFF"/>
            <w:vAlign w:val="center"/>
          </w:tcPr>
          <w:p w14:paraId="77EE0CAC">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164.22</w:t>
            </w:r>
          </w:p>
        </w:tc>
        <w:tc>
          <w:tcPr>
            <w:tcW w:w="1502" w:type="pct"/>
            <w:tcBorders>
              <w:top w:val="nil"/>
              <w:left w:val="nil"/>
              <w:bottom w:val="nil"/>
              <w:right w:val="nil"/>
            </w:tcBorders>
            <w:shd w:val="clear" w:color="auto" w:fill="FFFFFF"/>
            <w:vAlign w:val="center"/>
          </w:tcPr>
          <w:p w14:paraId="7321A330">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147.96</w:t>
            </w:r>
          </w:p>
        </w:tc>
      </w:tr>
      <w:tr w14:paraId="08643ED4">
        <w:tblPrEx>
          <w:tblCellMar>
            <w:top w:w="0" w:type="dxa"/>
            <w:left w:w="108" w:type="dxa"/>
            <w:bottom w:w="0" w:type="dxa"/>
            <w:right w:w="108" w:type="dxa"/>
          </w:tblCellMar>
        </w:tblPrEx>
        <w:trPr>
          <w:trHeight w:val="317" w:hRule="atLeast"/>
          <w:jc w:val="center"/>
        </w:trPr>
        <w:tc>
          <w:tcPr>
            <w:tcW w:w="1629" w:type="pct"/>
            <w:tcBorders>
              <w:top w:val="nil"/>
              <w:left w:val="nil"/>
              <w:bottom w:val="nil"/>
              <w:right w:val="nil"/>
            </w:tcBorders>
            <w:shd w:val="clear" w:color="auto" w:fill="FFFFFF"/>
            <w:vAlign w:val="center"/>
          </w:tcPr>
          <w:p w14:paraId="26694B4E">
            <w:pPr>
              <w:ind w:right="-35" w:firstLine="0" w:firstLineChars="0"/>
              <w:jc w:val="center"/>
              <w:rPr>
                <w:rFonts w:eastAsiaTheme="minorEastAsia"/>
                <w:iCs/>
                <w:color w:val="auto"/>
                <w:sz w:val="15"/>
                <w:szCs w:val="15"/>
                <w:highlight w:val="none"/>
                <w:lang w:val="es-ES"/>
              </w:rPr>
            </w:pPr>
            <w:r>
              <w:rPr>
                <w:rFonts w:eastAsiaTheme="minorEastAsia"/>
                <w:i/>
                <w:color w:val="auto"/>
                <w:sz w:val="15"/>
                <w:szCs w:val="15"/>
                <w:highlight w:val="none"/>
              </w:rPr>
              <w:t>PBIAS</w:t>
            </w:r>
            <w:r>
              <w:rPr>
                <w:rFonts w:hint="eastAsia" w:eastAsiaTheme="minorEastAsia"/>
                <w:iCs/>
                <w:color w:val="auto"/>
                <w:sz w:val="15"/>
                <w:szCs w:val="15"/>
                <w:highlight w:val="none"/>
              </w:rPr>
              <w:t xml:space="preserve"> </w:t>
            </w:r>
            <w:r>
              <w:rPr>
                <w:rFonts w:hint="eastAsia" w:eastAsiaTheme="minorEastAsia"/>
                <w:iCs/>
                <w:color w:val="auto"/>
                <w:sz w:val="15"/>
                <w:szCs w:val="15"/>
                <w:highlight w:val="none"/>
                <w:lang w:val="en-US" w:eastAsia="zh-CN"/>
              </w:rPr>
              <w:t>/</w:t>
            </w:r>
            <w:r>
              <w:rPr>
                <w:rFonts w:hint="eastAsia" w:eastAsiaTheme="minorEastAsia"/>
                <w:iCs/>
                <w:color w:val="auto"/>
                <w:sz w:val="15"/>
                <w:szCs w:val="15"/>
                <w:highlight w:val="none"/>
              </w:rPr>
              <w:t>%</w:t>
            </w:r>
          </w:p>
        </w:tc>
        <w:tc>
          <w:tcPr>
            <w:tcW w:w="1868" w:type="pct"/>
            <w:tcBorders>
              <w:top w:val="nil"/>
              <w:left w:val="nil"/>
              <w:bottom w:val="nil"/>
              <w:right w:val="nil"/>
            </w:tcBorders>
            <w:shd w:val="clear" w:color="auto" w:fill="FFFFFF"/>
            <w:vAlign w:val="center"/>
          </w:tcPr>
          <w:p w14:paraId="0DFA198F">
            <w:pPr>
              <w:ind w:right="-35" w:firstLine="0" w:firstLineChars="0"/>
              <w:jc w:val="center"/>
              <w:rPr>
                <w:rFonts w:eastAsiaTheme="minorEastAsia"/>
                <w:iCs/>
                <w:color w:val="auto"/>
                <w:sz w:val="15"/>
                <w:szCs w:val="15"/>
                <w:highlight w:val="none"/>
                <w:lang w:val="es-ES"/>
              </w:rPr>
            </w:pPr>
            <w:r>
              <w:rPr>
                <w:rFonts w:hint="eastAsia" w:eastAsiaTheme="minorEastAsia"/>
                <w:iCs/>
                <w:color w:val="auto"/>
                <w:sz w:val="15"/>
                <w:szCs w:val="15"/>
                <w:highlight w:val="none"/>
              </w:rPr>
              <w:t>-14.77%</w:t>
            </w:r>
          </w:p>
        </w:tc>
        <w:tc>
          <w:tcPr>
            <w:tcW w:w="1502" w:type="pct"/>
            <w:tcBorders>
              <w:top w:val="nil"/>
              <w:left w:val="nil"/>
              <w:bottom w:val="nil"/>
              <w:right w:val="nil"/>
            </w:tcBorders>
            <w:shd w:val="clear" w:color="auto" w:fill="FFFFFF"/>
            <w:vAlign w:val="center"/>
          </w:tcPr>
          <w:p w14:paraId="200672F8">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-0.05%</w:t>
            </w:r>
          </w:p>
        </w:tc>
      </w:tr>
      <w:tr w14:paraId="69852997">
        <w:tblPrEx>
          <w:tblCellMar>
            <w:top w:w="0" w:type="dxa"/>
            <w:left w:w="108" w:type="dxa"/>
            <w:bottom w:w="0" w:type="dxa"/>
            <w:right w:w="108" w:type="dxa"/>
          </w:tblCellMar>
        </w:tblPrEx>
        <w:trPr>
          <w:trHeight w:val="317" w:hRule="atLeast"/>
          <w:jc w:val="center"/>
        </w:trPr>
        <w:tc>
          <w:tcPr>
            <w:tcW w:w="1629" w:type="pct"/>
            <w:tcBorders>
              <w:top w:val="nil"/>
              <w:left w:val="nil"/>
              <w:bottom w:val="single" w:color="000000" w:sz="12" w:space="0"/>
              <w:right w:val="nil"/>
            </w:tcBorders>
            <w:shd w:val="clear" w:color="auto" w:fill="FFFFFF"/>
            <w:vAlign w:val="center"/>
          </w:tcPr>
          <w:p w14:paraId="5F19F4AC">
            <w:pPr>
              <w:ind w:right="-35" w:firstLine="0" w:firstLineChars="0"/>
              <w:jc w:val="center"/>
              <w:rPr>
                <w:rFonts w:eastAsiaTheme="minorEastAsia"/>
                <w:iCs/>
                <w:color w:val="auto"/>
                <w:sz w:val="15"/>
                <w:szCs w:val="15"/>
                <w:highlight w:val="none"/>
                <w:lang w:val="es-ES"/>
              </w:rPr>
            </w:pPr>
            <w:r>
              <w:rPr>
                <w:rFonts w:eastAsiaTheme="minorEastAsia"/>
                <w:i/>
                <w:color w:val="auto"/>
                <w:sz w:val="15"/>
                <w:szCs w:val="15"/>
                <w:highlight w:val="none"/>
              </w:rPr>
              <w:t>R²</w:t>
            </w:r>
          </w:p>
        </w:tc>
        <w:tc>
          <w:tcPr>
            <w:tcW w:w="1868" w:type="pct"/>
            <w:tcBorders>
              <w:top w:val="nil"/>
              <w:left w:val="nil"/>
              <w:bottom w:val="single" w:color="000000" w:sz="12" w:space="0"/>
              <w:right w:val="nil"/>
            </w:tcBorders>
            <w:shd w:val="clear" w:color="auto" w:fill="FFFFFF"/>
            <w:vAlign w:val="center"/>
          </w:tcPr>
          <w:p w14:paraId="54379964">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0.90</w:t>
            </w:r>
          </w:p>
        </w:tc>
        <w:tc>
          <w:tcPr>
            <w:tcW w:w="1502" w:type="pct"/>
            <w:tcBorders>
              <w:top w:val="nil"/>
              <w:left w:val="nil"/>
              <w:bottom w:val="single" w:color="000000" w:sz="12" w:space="0"/>
              <w:right w:val="nil"/>
            </w:tcBorders>
            <w:shd w:val="clear" w:color="auto" w:fill="FFFFFF"/>
            <w:vAlign w:val="center"/>
          </w:tcPr>
          <w:p w14:paraId="7D352937">
            <w:pPr>
              <w:ind w:right="-35" w:firstLine="0" w:firstLineChars="0"/>
              <w:jc w:val="center"/>
              <w:rPr>
                <w:rFonts w:eastAsiaTheme="minorEastAsia"/>
                <w:iCs/>
                <w:color w:val="auto"/>
                <w:sz w:val="15"/>
                <w:szCs w:val="15"/>
                <w:highlight w:val="none"/>
              </w:rPr>
            </w:pPr>
            <w:r>
              <w:rPr>
                <w:rFonts w:hint="eastAsia" w:eastAsiaTheme="minorEastAsia"/>
                <w:iCs/>
                <w:color w:val="auto"/>
                <w:sz w:val="15"/>
                <w:szCs w:val="15"/>
                <w:highlight w:val="none"/>
              </w:rPr>
              <w:t>0.92</w:t>
            </w:r>
          </w:p>
        </w:tc>
      </w:tr>
    </w:tbl>
    <w:p w14:paraId="5CD01EC8">
      <w:pPr>
        <w:pStyle w:val="8"/>
        <w:spacing w:after="0"/>
        <w:ind w:firstLine="0" w:firstLineChars="0"/>
        <w:jc w:val="center"/>
        <w:rPr>
          <w:rFonts w:eastAsia="黑体"/>
          <w:color w:val="auto"/>
          <w:sz w:val="18"/>
          <w:szCs w:val="18"/>
          <w:highlight w:val="none"/>
        </w:rPr>
      </w:pPr>
    </w:p>
    <w:p w14:paraId="1DE154F6">
      <w:pPr>
        <w:pStyle w:val="3"/>
        <w:rPr>
          <w:color w:val="auto"/>
          <w:highlight w:val="none"/>
        </w:rPr>
      </w:pPr>
      <w:r>
        <w:rPr>
          <w:rFonts w:hint="eastAsia"/>
          <w:color w:val="auto"/>
          <w:highlight w:val="none"/>
        </w:rPr>
        <w:t>3.2融雪径流与气象因子关系分析</w:t>
      </w:r>
    </w:p>
    <w:p w14:paraId="68851F1B">
      <w:pPr>
        <w:rPr>
          <w:color w:val="auto"/>
          <w:highlight w:val="none"/>
        </w:rPr>
      </w:pPr>
      <w:r>
        <w:rPr>
          <w:color w:val="auto"/>
          <w:highlight w:val="none"/>
        </w:rPr>
        <w:t>基于改进模型模拟的201</w:t>
      </w:r>
      <w:r>
        <w:rPr>
          <w:rFonts w:hint="eastAsia"/>
          <w:color w:val="auto"/>
          <w:highlight w:val="none"/>
        </w:rPr>
        <w:t>0</w:t>
      </w:r>
      <w:r>
        <w:rPr>
          <w:rFonts w:hint="eastAsia" w:hAnsi="Times New Roman"/>
          <w:color w:val="auto"/>
          <w:highlight w:val="none"/>
        </w:rPr>
        <w:t>—</w:t>
      </w:r>
      <w:r>
        <w:rPr>
          <w:color w:val="auto"/>
          <w:highlight w:val="none"/>
        </w:rPr>
        <w:t>2015年</w:t>
      </w:r>
      <w:r>
        <w:rPr>
          <w:rFonts w:hint="eastAsia"/>
          <w:color w:val="auto"/>
          <w:highlight w:val="none"/>
        </w:rPr>
        <w:t>融雪</w:t>
      </w:r>
      <w:r>
        <w:rPr>
          <w:color w:val="auto"/>
          <w:highlight w:val="none"/>
        </w:rPr>
        <w:t>径流数据，</w:t>
      </w:r>
      <w:r>
        <w:rPr>
          <w:rFonts w:hint="eastAsia"/>
          <w:color w:val="auto"/>
          <w:highlight w:val="none"/>
        </w:rPr>
        <w:t>选取</w:t>
      </w:r>
      <w:r>
        <w:rPr>
          <w:color w:val="auto"/>
          <w:highlight w:val="none"/>
        </w:rPr>
        <w:t>降水、太阳辐射、气温、风速</w:t>
      </w:r>
      <w:r>
        <w:rPr>
          <w:rFonts w:hint="eastAsia"/>
          <w:color w:val="auto"/>
          <w:highlight w:val="none"/>
        </w:rPr>
        <w:t>这四个关键气象因子进行</w:t>
      </w:r>
      <w:r>
        <w:rPr>
          <w:color w:val="auto"/>
          <w:highlight w:val="none"/>
        </w:rPr>
        <w:t>深入</w:t>
      </w:r>
      <w:r>
        <w:rPr>
          <w:rFonts w:hint="eastAsia"/>
          <w:color w:val="auto"/>
          <w:highlight w:val="none"/>
        </w:rPr>
        <w:t>的</w:t>
      </w:r>
      <w:r>
        <w:rPr>
          <w:color w:val="auto"/>
          <w:highlight w:val="none"/>
        </w:rPr>
        <w:t>分析。</w:t>
      </w:r>
      <w:r>
        <w:rPr>
          <w:rFonts w:hint="eastAsia"/>
          <w:color w:val="auto"/>
          <w:highlight w:val="none"/>
        </w:rPr>
        <w:t xml:space="preserve"> </w:t>
      </w:r>
    </w:p>
    <w:p w14:paraId="5607426C">
      <w:pPr>
        <w:pStyle w:val="4"/>
        <w:rPr>
          <w:color w:val="auto"/>
          <w:highlight w:val="none"/>
        </w:rPr>
      </w:pPr>
      <w:r>
        <w:rPr>
          <w:rFonts w:hint="eastAsia"/>
          <w:color w:val="auto"/>
          <w:highlight w:val="none"/>
        </w:rPr>
        <w:t>3.2.1 时滞效应分析</w:t>
      </w:r>
    </w:p>
    <w:p w14:paraId="6F8C0D7C">
      <w:pPr>
        <w:rPr>
          <w:color w:val="auto"/>
          <w:highlight w:val="none"/>
        </w:rPr>
      </w:pPr>
      <w:r>
        <w:rPr>
          <w:rFonts w:hint="eastAsia"/>
          <w:color w:val="auto"/>
          <w:highlight w:val="none"/>
        </w:rPr>
        <w:t>时滞分析揭示了气象因子与融雪径流之间的动态响应特征。如图7（</w:t>
      </w:r>
      <w:r>
        <w:rPr>
          <w:color w:val="auto"/>
          <w:highlight w:val="none"/>
        </w:rPr>
        <w:t>a</w:t>
      </w:r>
      <w:r>
        <w:rPr>
          <w:rFonts w:hint="eastAsia"/>
          <w:color w:val="auto"/>
          <w:highlight w:val="none"/>
        </w:rPr>
        <w:t>）所示，气温、太阳辐射和风速对径流的影响均在</w:t>
      </w:r>
      <w:r>
        <w:rPr>
          <w:color w:val="auto"/>
          <w:highlight w:val="none"/>
        </w:rPr>
        <w:t>5</w:t>
      </w:r>
      <w:r>
        <w:rPr>
          <w:rFonts w:hint="eastAsia"/>
          <w:color w:val="auto"/>
          <w:highlight w:val="none"/>
          <w:lang w:val="en-US" w:eastAsia="zh-CN"/>
        </w:rPr>
        <w:t>d</w:t>
      </w:r>
      <w:r>
        <w:rPr>
          <w:rFonts w:hint="eastAsia"/>
          <w:color w:val="auto"/>
          <w:highlight w:val="none"/>
        </w:rPr>
        <w:t>后达到最大，反映了从积雪消融到产汇流的完整过程需要一定时间。相比之下，降水对径流的响应更快，时滞仅为</w:t>
      </w:r>
      <w:r>
        <w:rPr>
          <w:color w:val="auto"/>
          <w:highlight w:val="none"/>
        </w:rPr>
        <w:t>2</w:t>
      </w:r>
      <w:r>
        <w:rPr>
          <w:rFonts w:hint="eastAsia"/>
          <w:color w:val="auto"/>
          <w:highlight w:val="none"/>
        </w:rPr>
        <w:t>天，这与其通过地表径流和快速壤中流路径形成径流的特征相符。这一时滞效应表明，气象因子的驱动作用需通过时间尺度的累积效应逐步显现，为后续相关性分析提供了时间维度的参考。</w:t>
      </w:r>
    </w:p>
    <w:p w14:paraId="6AEE4F98">
      <w:pPr>
        <w:ind w:firstLine="0" w:firstLineChars="0"/>
        <w:rPr>
          <w:color w:val="auto"/>
          <w:highlight w:val="none"/>
        </w:rPr>
      </w:pPr>
      <w:r>
        <w:rPr>
          <w:rFonts w:hint="eastAsia"/>
          <w:color w:val="auto"/>
          <w:highlight w:val="none"/>
        </w:rPr>
        <w:drawing>
          <wp:inline distT="0" distB="0" distL="114300" distR="114300">
            <wp:extent cx="5273040" cy="1840865"/>
            <wp:effectExtent l="0" t="0" r="10160" b="635"/>
            <wp:docPr id="14" name="图片 14" descr="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演1"/>
                    <pic:cNvPicPr>
                      <a:picLocks noChangeAspect="1"/>
                    </pic:cNvPicPr>
                  </pic:nvPicPr>
                  <pic:blipFill>
                    <a:blip r:embed="rId79"/>
                    <a:stretch>
                      <a:fillRect/>
                    </a:stretch>
                  </pic:blipFill>
                  <pic:spPr>
                    <a:xfrm>
                      <a:off x="0" y="0"/>
                      <a:ext cx="5273040" cy="1840865"/>
                    </a:xfrm>
                    <a:prstGeom prst="rect">
                      <a:avLst/>
                    </a:prstGeom>
                  </pic:spPr>
                </pic:pic>
              </a:graphicData>
            </a:graphic>
          </wp:inline>
        </w:drawing>
      </w:r>
    </w:p>
    <w:p w14:paraId="53707CAB">
      <w:pPr>
        <w:ind w:firstLine="360"/>
        <w:jc w:val="center"/>
        <w:rPr>
          <w:rFonts w:eastAsia="黑体"/>
          <w:color w:val="auto"/>
          <w:sz w:val="18"/>
          <w:szCs w:val="18"/>
          <w:highlight w:val="none"/>
        </w:rPr>
      </w:pPr>
      <w:r>
        <w:rPr>
          <w:rFonts w:hint="eastAsia" w:eastAsia="黑体"/>
          <w:color w:val="auto"/>
          <w:sz w:val="18"/>
          <w:szCs w:val="18"/>
          <w:highlight w:val="none"/>
        </w:rPr>
        <w:t>图7  融雪径流与气象因子关系分析</w:t>
      </w:r>
    </w:p>
    <w:p w14:paraId="1D6B8F1B">
      <w:pPr>
        <w:pStyle w:val="8"/>
        <w:spacing w:after="156"/>
        <w:ind w:firstLine="0" w:firstLineChars="0"/>
        <w:jc w:val="center"/>
        <w:rPr>
          <w:rFonts w:eastAsia="黑体"/>
          <w:bCs/>
          <w:color w:val="auto"/>
          <w:sz w:val="18"/>
          <w:szCs w:val="18"/>
          <w:highlight w:val="none"/>
        </w:rPr>
      </w:pPr>
      <w:r>
        <w:rPr>
          <w:rFonts w:eastAsia="黑体"/>
          <w:bCs/>
          <w:color w:val="auto"/>
          <w:sz w:val="18"/>
          <w:szCs w:val="18"/>
          <w:highlight w:val="none"/>
        </w:rPr>
        <w:t>Fig.</w:t>
      </w:r>
      <w:r>
        <w:rPr>
          <w:rFonts w:hint="eastAsia" w:eastAsia="黑体"/>
          <w:bCs/>
          <w:color w:val="auto"/>
          <w:sz w:val="18"/>
          <w:szCs w:val="18"/>
          <w:highlight w:val="none"/>
        </w:rPr>
        <w:t>7</w:t>
      </w:r>
      <w:r>
        <w:rPr>
          <w:rFonts w:eastAsia="黑体"/>
          <w:bCs/>
          <w:color w:val="auto"/>
          <w:sz w:val="18"/>
          <w:szCs w:val="18"/>
          <w:highlight w:val="none"/>
        </w:rPr>
        <w:t xml:space="preserve">  Analysis of relationship between snowmelt runoff and meteorological factors</w:t>
      </w:r>
    </w:p>
    <w:p w14:paraId="425DB043">
      <w:pPr>
        <w:pStyle w:val="4"/>
        <w:rPr>
          <w:color w:val="auto"/>
          <w:highlight w:val="none"/>
        </w:rPr>
      </w:pPr>
      <w:r>
        <w:rPr>
          <w:rFonts w:hint="eastAsia"/>
          <w:color w:val="auto"/>
          <w:highlight w:val="none"/>
        </w:rPr>
        <w:t>3.2.2</w:t>
      </w:r>
      <w:r>
        <w:rPr>
          <w:color w:val="auto"/>
          <w:highlight w:val="none"/>
        </w:rPr>
        <w:t xml:space="preserve"> 相关性分析</w:t>
      </w:r>
    </w:p>
    <w:p w14:paraId="1F3FCFAF">
      <w:pPr>
        <w:rPr>
          <w:color w:val="auto"/>
          <w:highlight w:val="none"/>
        </w:rPr>
      </w:pPr>
      <w:r>
        <w:rPr>
          <w:color w:val="auto"/>
          <w:highlight w:val="none"/>
        </w:rPr>
        <w:t>基于时滞效应的分析结果，进一步进行相关性分析以量化各气象因子与融雪径流的线性关系。</w:t>
      </w:r>
      <w:r>
        <w:rPr>
          <w:rFonts w:hint="eastAsia"/>
          <w:color w:val="auto"/>
          <w:highlight w:val="none"/>
        </w:rPr>
        <w:t>结果</w:t>
      </w:r>
      <w:r>
        <w:rPr>
          <w:color w:val="auto"/>
          <w:highlight w:val="none"/>
        </w:rPr>
        <w:t>表明，气温与</w:t>
      </w:r>
      <w:r>
        <w:rPr>
          <w:rFonts w:hint="eastAsia"/>
          <w:color w:val="auto"/>
          <w:highlight w:val="none"/>
        </w:rPr>
        <w:t>融雪</w:t>
      </w:r>
      <w:r>
        <w:rPr>
          <w:color w:val="auto"/>
          <w:highlight w:val="none"/>
        </w:rPr>
        <w:t>径流的相关性最强（</w:t>
      </w:r>
      <w:r>
        <w:rPr>
          <w:i/>
          <w:iCs/>
          <w:color w:val="auto"/>
          <w:highlight w:val="none"/>
        </w:rPr>
        <w:t>r</w:t>
      </w:r>
      <w:r>
        <w:rPr>
          <w:color w:val="auto"/>
          <w:highlight w:val="none"/>
        </w:rPr>
        <w:t>=0.465, 中等相关），其次是太阳辐射（</w:t>
      </w:r>
      <w:r>
        <w:rPr>
          <w:i/>
          <w:iCs/>
          <w:color w:val="auto"/>
          <w:highlight w:val="none"/>
        </w:rPr>
        <w:t>r</w:t>
      </w:r>
      <w:r>
        <w:rPr>
          <w:color w:val="auto"/>
          <w:highlight w:val="none"/>
        </w:rPr>
        <w:t>=0.310, 中等相关），再次是降水（</w:t>
      </w:r>
      <w:r>
        <w:rPr>
          <w:i/>
          <w:iCs/>
          <w:color w:val="auto"/>
          <w:highlight w:val="none"/>
        </w:rPr>
        <w:t>r</w:t>
      </w:r>
      <w:r>
        <w:rPr>
          <w:color w:val="auto"/>
          <w:highlight w:val="none"/>
        </w:rPr>
        <w:t>=0.263, 弱相关）和风速（</w:t>
      </w:r>
      <w:r>
        <w:rPr>
          <w:i/>
          <w:iCs/>
          <w:color w:val="auto"/>
          <w:highlight w:val="none"/>
        </w:rPr>
        <w:t>r</w:t>
      </w:r>
      <w:r>
        <w:rPr>
          <w:color w:val="auto"/>
          <w:highlight w:val="none"/>
        </w:rPr>
        <w:t>=0.202, 弱相关）。这一排序符合融雪主导流域的基本物理认知：温度是启动融雪过程的关键控制因子，辐射是能量的主要来源。敏感性分析进一步确认气温是对径流变化最敏感的因子（敏感性指数为0.235）。</w:t>
      </w:r>
    </w:p>
    <w:p w14:paraId="6E0F4224">
      <w:pPr>
        <w:pStyle w:val="4"/>
        <w:rPr>
          <w:color w:val="auto"/>
          <w:highlight w:val="none"/>
        </w:rPr>
      </w:pPr>
      <w:r>
        <w:rPr>
          <w:rFonts w:hint="eastAsia"/>
          <w:color w:val="auto"/>
          <w:highlight w:val="none"/>
        </w:rPr>
        <w:t>3.2.3</w:t>
      </w:r>
      <w:r>
        <w:rPr>
          <w:color w:val="auto"/>
          <w:highlight w:val="none"/>
        </w:rPr>
        <w:t xml:space="preserve"> 贡献率</w:t>
      </w:r>
      <w:r>
        <w:rPr>
          <w:rFonts w:hint="eastAsia"/>
          <w:color w:val="auto"/>
          <w:highlight w:val="none"/>
        </w:rPr>
        <w:t>量化</w:t>
      </w:r>
      <w:r>
        <w:rPr>
          <w:color w:val="auto"/>
          <w:highlight w:val="none"/>
        </w:rPr>
        <w:t>分析</w:t>
      </w:r>
    </w:p>
    <w:p w14:paraId="5A69498D">
      <w:pPr>
        <w:rPr>
          <w:color w:val="auto"/>
          <w:highlight w:val="none"/>
        </w:rPr>
      </w:pPr>
      <w:r>
        <w:rPr>
          <w:rFonts w:hint="eastAsia"/>
          <w:color w:val="auto"/>
          <w:highlight w:val="none"/>
        </w:rPr>
        <w:t>基于时滞效应和相关性分析结果，采用随机森林模型量化各气象因子的贡献率。贡献率分析结果显示，基于2010</w:t>
      </w:r>
      <w:r>
        <w:rPr>
          <w:rFonts w:hint="eastAsia" w:hAnsi="Times New Roman"/>
          <w:color w:val="auto"/>
          <w:highlight w:val="none"/>
        </w:rPr>
        <w:t>—</w:t>
      </w:r>
      <w:r>
        <w:rPr>
          <w:rFonts w:hint="eastAsia"/>
          <w:color w:val="auto"/>
          <w:highlight w:val="none"/>
        </w:rPr>
        <w:t>2015年日数据构建的模型拟合优度较高（R²= 0.913），表明模型能够准确地捕捉融雪径流变化的驱动机制，其输出的贡献率结果具有较高的可信度。各气象因子对融雪径流变化的具体贡献率如图7（b）所示，依次为：气温41.79%、风速25.58%、太阳辐射19.29%、降水13.34%。结果突显了气温在融雪过程中的重要作用，其贡献率与前述相关性和敏感性分析结论一致。能量因子（气温、太阳辐射）的总贡献率高达61.08%，而作为物质输入的降水贡献率仅为13.34%，表明在融雪径流模拟中准确刻画能量平衡过程的重要性，也从机理层面验证了本研究改进SPHY模型能量计算模块的科学基础。</w:t>
      </w:r>
    </w:p>
    <w:p w14:paraId="14378469">
      <w:pPr>
        <w:pStyle w:val="8"/>
        <w:spacing w:after="0"/>
        <w:rPr>
          <w:rFonts w:eastAsia="楷体"/>
          <w:color w:val="auto"/>
          <w:szCs w:val="22"/>
          <w:highlight w:val="none"/>
        </w:rPr>
      </w:pPr>
      <w:r>
        <w:rPr>
          <w:color w:val="auto"/>
          <w:highlight w:val="none"/>
        </w:rPr>
        <w:t>此外，研</w:t>
      </w:r>
      <w:r>
        <w:rPr>
          <w:rFonts w:hint="eastAsia"/>
          <w:color w:val="auto"/>
          <w:highlight w:val="none"/>
        </w:rPr>
        <w:t>究流域</w:t>
      </w:r>
      <w:r>
        <w:rPr>
          <w:color w:val="auto"/>
          <w:highlight w:val="none"/>
        </w:rPr>
        <w:t>2010</w:t>
      </w:r>
      <w:r>
        <w:rPr>
          <w:rFonts w:hint="eastAsia" w:hAnsi="Times New Roman"/>
          <w:color w:val="auto"/>
          <w:highlight w:val="none"/>
        </w:rPr>
        <w:t>—</w:t>
      </w:r>
      <w:r>
        <w:rPr>
          <w:color w:val="auto"/>
          <w:highlight w:val="none"/>
        </w:rPr>
        <w:t>2015年Mann-Kendall趋势检验结果</w:t>
      </w:r>
      <w:r>
        <w:rPr>
          <w:rFonts w:hint="eastAsia"/>
          <w:color w:val="auto"/>
          <w:highlight w:val="none"/>
        </w:rPr>
        <w:t>显</w:t>
      </w:r>
      <w:r>
        <w:rPr>
          <w:color w:val="auto"/>
          <w:highlight w:val="none"/>
        </w:rPr>
        <w:t>示，融雪径流呈现显著上升趋势（</w:t>
      </w:r>
      <w:r>
        <w:rPr>
          <w:i/>
          <w:iCs/>
          <w:color w:val="auto"/>
          <w:highlight w:val="none"/>
        </w:rPr>
        <w:t>Z</w:t>
      </w:r>
      <w:r>
        <w:rPr>
          <w:color w:val="auto"/>
          <w:highlight w:val="none"/>
        </w:rPr>
        <w:t>=2.01, p=0.045），而气温（</w:t>
      </w:r>
      <w:r>
        <w:rPr>
          <w:i/>
          <w:iCs/>
          <w:color w:val="auto"/>
          <w:highlight w:val="none"/>
        </w:rPr>
        <w:t>Z</w:t>
      </w:r>
      <w:r>
        <w:rPr>
          <w:color w:val="auto"/>
          <w:highlight w:val="none"/>
        </w:rPr>
        <w:t>=-2.57, p=0.010）和太阳辐射（</w:t>
      </w:r>
      <w:r>
        <w:rPr>
          <w:i/>
          <w:iCs/>
          <w:color w:val="auto"/>
          <w:highlight w:val="none"/>
        </w:rPr>
        <w:t>Z</w:t>
      </w:r>
      <w:r>
        <w:rPr>
          <w:color w:val="auto"/>
          <w:highlight w:val="none"/>
        </w:rPr>
        <w:t>=-4.65, p&lt;0.001）均表现出显著下降趋势</w:t>
      </w:r>
      <w:r>
        <w:rPr>
          <w:rFonts w:hint="eastAsia"/>
          <w:color w:val="auto"/>
          <w:highlight w:val="none"/>
        </w:rPr>
        <w:t>；</w:t>
      </w:r>
      <w:r>
        <w:rPr>
          <w:color w:val="auto"/>
          <w:highlight w:val="none"/>
        </w:rPr>
        <w:t>与此同时，风速显著增强（</w:t>
      </w:r>
      <w:r>
        <w:rPr>
          <w:i/>
          <w:iCs/>
          <w:color w:val="auto"/>
          <w:highlight w:val="none"/>
        </w:rPr>
        <w:t>Z</w:t>
      </w:r>
      <w:r>
        <w:rPr>
          <w:color w:val="auto"/>
          <w:highlight w:val="none"/>
        </w:rPr>
        <w:t>=11.51, p&lt;0.001），降水量虽略有增加但未通过显著性检验（</w:t>
      </w:r>
      <w:r>
        <w:rPr>
          <w:i/>
          <w:iCs/>
          <w:color w:val="auto"/>
          <w:highlight w:val="none"/>
        </w:rPr>
        <w:t>p</w:t>
      </w:r>
      <w:r>
        <w:rPr>
          <w:color w:val="auto"/>
          <w:highlight w:val="none"/>
        </w:rPr>
        <w:t>=0.622）</w:t>
      </w:r>
      <w:r>
        <w:rPr>
          <w:rFonts w:hint="eastAsia"/>
          <w:color w:val="auto"/>
          <w:highlight w:val="none"/>
        </w:rPr>
        <w:t>，</w:t>
      </w:r>
      <w:r>
        <w:rPr>
          <w:color w:val="auto"/>
          <w:highlight w:val="none"/>
        </w:rPr>
        <w:t>反映出多因子耦合驱动的复杂响应。</w:t>
      </w:r>
    </w:p>
    <w:p w14:paraId="30DF6FFC">
      <w:pPr>
        <w:pStyle w:val="2"/>
        <w:rPr>
          <w:color w:val="auto"/>
          <w:highlight w:val="none"/>
        </w:rPr>
      </w:pPr>
      <w:r>
        <w:rPr>
          <w:rFonts w:hint="eastAsia"/>
          <w:color w:val="auto"/>
          <w:highlight w:val="none"/>
        </w:rPr>
        <w:t>4讨论</w:t>
      </w:r>
    </w:p>
    <w:p w14:paraId="06D7E719">
      <w:pPr>
        <w:rPr>
          <w:color w:val="auto"/>
          <w:highlight w:val="none"/>
        </w:rPr>
      </w:pPr>
      <w:r>
        <w:rPr>
          <w:color w:val="auto"/>
          <w:highlight w:val="none"/>
        </w:rPr>
        <w:t>本研究将静态度日因</w:t>
      </w:r>
      <w:r>
        <w:rPr>
          <w:rFonts w:hint="eastAsia"/>
          <w:color w:val="auto"/>
          <w:highlight w:val="none"/>
        </w:rPr>
        <w:t>子模型改进</w:t>
      </w:r>
      <w:r>
        <w:rPr>
          <w:color w:val="auto"/>
          <w:highlight w:val="none"/>
        </w:rPr>
        <w:t>为考虑辐射与季节性的动态模型，有效提升了SPHY</w:t>
      </w:r>
      <w:r>
        <w:rPr>
          <w:rFonts w:hint="eastAsia"/>
          <w:color w:val="auto"/>
          <w:highlight w:val="none"/>
        </w:rPr>
        <w:t>模型</w:t>
      </w:r>
      <w:r>
        <w:rPr>
          <w:color w:val="auto"/>
          <w:highlight w:val="none"/>
        </w:rPr>
        <w:t>在尼洋河流域的融雪径流模拟</w:t>
      </w:r>
      <w:r>
        <w:rPr>
          <w:rFonts w:hint="eastAsia"/>
          <w:color w:val="auto"/>
          <w:highlight w:val="none"/>
        </w:rPr>
        <w:t>精度</w:t>
      </w:r>
      <w:r>
        <w:rPr>
          <w:color w:val="auto"/>
          <w:highlight w:val="none"/>
        </w:rPr>
        <w:t>。原模型因忽略辐射作用，在晴朗或雪面反照率较低时期系统</w:t>
      </w:r>
      <w:r>
        <w:rPr>
          <w:rFonts w:hint="eastAsia"/>
          <w:color w:val="auto"/>
          <w:highlight w:val="none"/>
        </w:rPr>
        <w:t>存在</w:t>
      </w:r>
      <w:r>
        <w:rPr>
          <w:color w:val="auto"/>
          <w:highlight w:val="none"/>
        </w:rPr>
        <w:t>低估融雪能量</w:t>
      </w:r>
      <w:r>
        <w:rPr>
          <w:rFonts w:hint="eastAsia"/>
          <w:color w:val="auto"/>
          <w:highlight w:val="none"/>
        </w:rPr>
        <w:t>的问题。</w:t>
      </w:r>
      <w:r>
        <w:rPr>
          <w:color w:val="auto"/>
          <w:highlight w:val="none"/>
        </w:rPr>
        <w:t>改进模型增强了物理合理性与时序一致性</w:t>
      </w:r>
      <w:r>
        <w:rPr>
          <w:rFonts w:hint="eastAsia"/>
          <w:color w:val="auto"/>
          <w:highlight w:val="none"/>
        </w:rPr>
        <w:t>，其</w:t>
      </w:r>
      <w:r>
        <w:rPr>
          <w:color w:val="auto"/>
          <w:highlight w:val="none"/>
        </w:rPr>
        <w:t>与</w:t>
      </w:r>
      <w:r>
        <w:rPr>
          <w:rFonts w:hint="eastAsia"/>
          <w:color w:val="auto"/>
          <w:highlight w:val="none"/>
        </w:rPr>
        <w:t>原模型</w:t>
      </w:r>
      <w:r>
        <w:rPr>
          <w:color w:val="auto"/>
          <w:highlight w:val="none"/>
        </w:rPr>
        <w:t>在</w:t>
      </w:r>
      <w:r>
        <w:rPr>
          <w:rFonts w:hint="eastAsia"/>
          <w:color w:val="auto"/>
          <w:highlight w:val="none"/>
        </w:rPr>
        <w:t>研究</w:t>
      </w:r>
      <w:r>
        <w:rPr>
          <w:color w:val="auto"/>
          <w:highlight w:val="none"/>
        </w:rPr>
        <w:t>流域的结果相比精度有所提升，表明考虑辐射的</w:t>
      </w:r>
      <w:r>
        <w:rPr>
          <w:rFonts w:hint="eastAsia"/>
          <w:color w:val="auto"/>
          <w:highlight w:val="none"/>
        </w:rPr>
        <w:t>季节性</w:t>
      </w:r>
      <w:r>
        <w:rPr>
          <w:color w:val="auto"/>
          <w:highlight w:val="none"/>
        </w:rPr>
        <w:t>动态度日因子方法在青藏高原流域具有良好的适用性和可靠性。</w:t>
      </w:r>
      <w:r>
        <w:rPr>
          <w:rFonts w:hint="eastAsia"/>
          <w:color w:val="auto"/>
          <w:highlight w:val="none"/>
        </w:rPr>
        <w:t>该</w:t>
      </w:r>
      <w:r>
        <w:rPr>
          <w:color w:val="auto"/>
          <w:highlight w:val="none"/>
        </w:rPr>
        <w:t>方法本质上是在温度指数法中引入辐射效应的季节动态，属于介于传统温度指数法与完整能量平衡法之间的半物理模型。与近年来发展的其他改进模型相比，如耦合机器学习的融雪模型或考虑湍流热交换的详细能量平衡模型，</w:t>
      </w:r>
      <w:r>
        <w:rPr>
          <w:rFonts w:hint="eastAsia"/>
          <w:color w:val="auto"/>
          <w:highlight w:val="none"/>
        </w:rPr>
        <w:t>该</w:t>
      </w:r>
      <w:r>
        <w:rPr>
          <w:color w:val="auto"/>
          <w:highlight w:val="none"/>
        </w:rPr>
        <w:t>模型在保持较低参数需求与计算复杂度的同时，增强了物理过程的代表性，尤其适用于资料相对稀缺的高寒流域。然而，与完全的能量平衡模型相比，</w:t>
      </w:r>
      <w:r>
        <w:rPr>
          <w:rFonts w:hint="eastAsia"/>
          <w:color w:val="auto"/>
          <w:highlight w:val="none"/>
        </w:rPr>
        <w:t>改进</w:t>
      </w:r>
      <w:r>
        <w:rPr>
          <w:color w:val="auto"/>
          <w:highlight w:val="none"/>
        </w:rPr>
        <w:t>模型仍对湍流交换过程做了较大简化，未显式模拟感热与潜热通量的动态变化。</w:t>
      </w:r>
    </w:p>
    <w:p w14:paraId="23C967AD">
      <w:pPr>
        <w:rPr>
          <w:color w:val="auto"/>
          <w:highlight w:val="none"/>
        </w:rPr>
      </w:pPr>
      <w:r>
        <w:rPr>
          <w:rFonts w:hint="eastAsia"/>
          <w:color w:val="auto"/>
          <w:highlight w:val="none"/>
        </w:rPr>
        <w:t>研究流域</w:t>
      </w:r>
      <w:r>
        <w:rPr>
          <w:color w:val="auto"/>
          <w:highlight w:val="none"/>
        </w:rPr>
        <w:t>2010</w:t>
      </w:r>
      <w:r>
        <w:rPr>
          <w:rFonts w:hint="eastAsia" w:hAnsi="Times New Roman"/>
          <w:color w:val="auto"/>
          <w:highlight w:val="none"/>
        </w:rPr>
        <w:t>—</w:t>
      </w:r>
      <w:r>
        <w:rPr>
          <w:color w:val="auto"/>
          <w:highlight w:val="none"/>
        </w:rPr>
        <w:t>2015年</w:t>
      </w:r>
      <w:r>
        <w:rPr>
          <w:rFonts w:hint="eastAsia"/>
          <w:color w:val="auto"/>
          <w:highlight w:val="none"/>
        </w:rPr>
        <w:t>驱动因子贡献分析表明，除了能量因子，风速作用也非常显著</w:t>
      </w:r>
      <w:r>
        <w:rPr>
          <w:color w:val="auto"/>
          <w:highlight w:val="none"/>
        </w:rPr>
        <w:t>（贡献率25.58%）</w:t>
      </w:r>
      <w:r>
        <w:rPr>
          <w:rFonts w:hint="eastAsia"/>
          <w:color w:val="auto"/>
          <w:highlight w:val="none"/>
        </w:rPr>
        <w:t>。</w:t>
      </w:r>
      <w:r>
        <w:rPr>
          <w:color w:val="auto"/>
          <w:highlight w:val="none"/>
        </w:rPr>
        <w:t>Mann-Kendall趋势检验结果</w:t>
      </w:r>
      <w:r>
        <w:rPr>
          <w:rFonts w:hint="eastAsia"/>
          <w:color w:val="auto"/>
          <w:highlight w:val="none"/>
        </w:rPr>
        <w:t>显</w:t>
      </w:r>
      <w:r>
        <w:rPr>
          <w:color w:val="auto"/>
          <w:highlight w:val="none"/>
        </w:rPr>
        <w:t>示，融雪径流呈现上升趋势，而气温和太阳辐射均表现出下降趋势</w:t>
      </w:r>
      <w:r>
        <w:rPr>
          <w:rFonts w:hint="eastAsia"/>
          <w:color w:val="auto"/>
          <w:highlight w:val="none"/>
        </w:rPr>
        <w:t>，</w:t>
      </w:r>
      <w:r>
        <w:rPr>
          <w:color w:val="auto"/>
          <w:highlight w:val="none"/>
        </w:rPr>
        <w:t>同时，风速显著增强</w:t>
      </w:r>
      <w:r>
        <w:rPr>
          <w:rFonts w:hint="eastAsia"/>
          <w:color w:val="auto"/>
          <w:highlight w:val="none"/>
        </w:rPr>
        <w:t>。</w:t>
      </w:r>
      <w:r>
        <w:rPr>
          <w:color w:val="auto"/>
          <w:highlight w:val="none"/>
        </w:rPr>
        <w:t>这一</w:t>
      </w:r>
      <w:r>
        <w:rPr>
          <w:rFonts w:hint="eastAsia"/>
          <w:color w:val="auto"/>
          <w:highlight w:val="none"/>
        </w:rPr>
        <w:t>“</w:t>
      </w:r>
      <w:r>
        <w:rPr>
          <w:color w:val="auto"/>
          <w:highlight w:val="none"/>
        </w:rPr>
        <w:t>能量输入减少而径流反升</w:t>
      </w:r>
      <w:r>
        <w:rPr>
          <w:rFonts w:hint="eastAsia"/>
          <w:color w:val="auto"/>
          <w:highlight w:val="none"/>
        </w:rPr>
        <w:t>”</w:t>
      </w:r>
      <w:r>
        <w:rPr>
          <w:color w:val="auto"/>
          <w:highlight w:val="none"/>
        </w:rPr>
        <w:t>的现象，反映出融雪径流对气候变化的多因子耦合驱动复杂响应。</w:t>
      </w:r>
      <w:r>
        <w:rPr>
          <w:rFonts w:hint="eastAsia"/>
          <w:color w:val="auto"/>
          <w:highlight w:val="none"/>
        </w:rPr>
        <w:t>进一步结合</w:t>
      </w:r>
      <w:r>
        <w:rPr>
          <w:color w:val="auto"/>
          <w:highlight w:val="none"/>
        </w:rPr>
        <w:t>风速作为仅次于气温的关键驱动因子</w:t>
      </w:r>
      <w:r>
        <w:rPr>
          <w:rFonts w:hint="eastAsia"/>
          <w:color w:val="auto"/>
          <w:highlight w:val="none"/>
        </w:rPr>
        <w:t>的分析结果</w:t>
      </w:r>
      <w:r>
        <w:rPr>
          <w:color w:val="auto"/>
          <w:highlight w:val="none"/>
        </w:rPr>
        <w:t>，</w:t>
      </w:r>
      <w:r>
        <w:rPr>
          <w:rFonts w:hint="eastAsia"/>
          <w:color w:val="auto"/>
          <w:highlight w:val="none"/>
        </w:rPr>
        <w:t>提出一种合理解释：</w:t>
      </w:r>
      <w:r>
        <w:rPr>
          <w:color w:val="auto"/>
          <w:highlight w:val="none"/>
        </w:rPr>
        <w:t>研究区域地处高原东南缘、受复杂地形与局地环流影响，显著上升的风速可能通过增强积雪表面的湍流热交换（包括感热和</w:t>
      </w:r>
      <w:r>
        <w:rPr>
          <w:rFonts w:hint="eastAsia"/>
          <w:color w:val="auto"/>
          <w:highlight w:val="none"/>
        </w:rPr>
        <w:t>潜热通量）</w:t>
      </w:r>
      <w:r>
        <w:rPr>
          <w:color w:val="auto"/>
          <w:highlight w:val="none"/>
        </w:rPr>
        <w:t>，有效补偿了气温与辐射下降</w:t>
      </w:r>
      <w:r>
        <w:rPr>
          <w:rFonts w:hint="eastAsia"/>
          <w:color w:val="auto"/>
          <w:highlight w:val="none"/>
        </w:rPr>
        <w:t>导致的</w:t>
      </w:r>
      <w:r>
        <w:rPr>
          <w:color w:val="auto"/>
          <w:highlight w:val="none"/>
        </w:rPr>
        <w:t>能量亏损，从而促进了</w:t>
      </w:r>
      <w:r>
        <w:rPr>
          <w:rFonts w:hint="eastAsia"/>
          <w:color w:val="auto"/>
          <w:highlight w:val="none"/>
        </w:rPr>
        <w:t>融雪量增加</w:t>
      </w:r>
      <w:r>
        <w:rPr>
          <w:color w:val="auto"/>
          <w:highlight w:val="none"/>
        </w:rPr>
        <w:t>。</w:t>
      </w:r>
      <w:r>
        <w:rPr>
          <w:rFonts w:hint="eastAsia"/>
          <w:color w:val="auto"/>
          <w:highlight w:val="none"/>
        </w:rPr>
        <w:t>湍流热通量（感热与潜热通量）是地表与大气能量交换的关键组分。根据空气动力学理论，风速是驱动湍流交换的核心变量。本研究中观测到的风速显著增强，可通过促进感热与潜热向雪面的输送。在气温高于冰点时，增强的感热直接促进融雪；在低湿条件下，增强的潜热通量可能通过升华或特定条件下的凝结潜热释放，间接加剧融雪。风速驱动的湍流热通量放大效应，很可能补偿了辐射与气温下降导致的能量亏损，成为驱动融雪径流增加的关键物理过程。</w:t>
      </w:r>
      <w:r>
        <w:rPr>
          <w:color w:val="auto"/>
          <w:highlight w:val="none"/>
        </w:rPr>
        <w:t>这一</w:t>
      </w:r>
      <w:r>
        <w:rPr>
          <w:rFonts w:hint="eastAsia"/>
          <w:color w:val="auto"/>
          <w:highlight w:val="none"/>
        </w:rPr>
        <w:t>机制解释</w:t>
      </w:r>
      <w:r>
        <w:rPr>
          <w:color w:val="auto"/>
          <w:highlight w:val="none"/>
        </w:rPr>
        <w:t>与</w:t>
      </w:r>
      <w:r>
        <w:rPr>
          <w:rFonts w:hint="eastAsia"/>
          <w:color w:val="auto"/>
          <w:highlight w:val="none"/>
        </w:rPr>
        <w:t>QI等</w:t>
      </w:r>
      <w:r>
        <w:rPr>
          <w:rFonts w:hint="eastAsia"/>
          <w:color w:val="auto"/>
          <w:highlight w:val="none"/>
          <w:vertAlign w:val="superscript"/>
        </w:rPr>
        <w:t>[28]</w:t>
      </w:r>
      <w:r>
        <w:rPr>
          <w:color w:val="auto"/>
          <w:highlight w:val="none"/>
        </w:rPr>
        <w:t>在青藏高原东部和南部流域关于湍流通量在融雪变率中关键作用的研究一致</w:t>
      </w:r>
      <w:r>
        <w:rPr>
          <w:rFonts w:hint="eastAsia"/>
          <w:color w:val="auto"/>
          <w:highlight w:val="none"/>
        </w:rPr>
        <w:t>。</w:t>
      </w:r>
      <w:r>
        <w:rPr>
          <w:color w:val="auto"/>
          <w:highlight w:val="none"/>
        </w:rPr>
        <w:t>HOELZLE等</w:t>
      </w:r>
      <w:r>
        <w:rPr>
          <w:rFonts w:hint="eastAsia"/>
          <w:color w:val="auto"/>
          <w:highlight w:val="none"/>
          <w:vertAlign w:val="superscript"/>
        </w:rPr>
        <w:t>[29]</w:t>
      </w:r>
      <w:r>
        <w:rPr>
          <w:color w:val="auto"/>
          <w:highlight w:val="none"/>
        </w:rPr>
        <w:t>的</w:t>
      </w:r>
      <w:r>
        <w:rPr>
          <w:rFonts w:hint="eastAsia"/>
          <w:color w:val="auto"/>
          <w:highlight w:val="none"/>
        </w:rPr>
        <w:t>研究也表明，</w:t>
      </w:r>
      <w:r>
        <w:rPr>
          <w:color w:val="auto"/>
          <w:highlight w:val="none"/>
        </w:rPr>
        <w:t>湍流热通量在表面能量平衡中占有重要比重，感热与潜热通量的贡献率合计可达20</w:t>
      </w:r>
      <w:r>
        <w:rPr>
          <w:rFonts w:hint="eastAsia"/>
          <w:color w:val="auto"/>
          <w:highlight w:val="none"/>
          <w:lang w:val="en-US" w:eastAsia="zh-CN"/>
        </w:rPr>
        <w:t>%</w:t>
      </w:r>
      <w:r>
        <w:rPr>
          <w:color w:val="auto"/>
          <w:highlight w:val="none"/>
        </w:rPr>
        <w:t>~35%甚至更高。结合</w:t>
      </w:r>
      <w:r>
        <w:rPr>
          <w:rFonts w:hint="eastAsia"/>
          <w:color w:val="auto"/>
          <w:highlight w:val="none"/>
        </w:rPr>
        <w:t>其他</w:t>
      </w:r>
      <w:r>
        <w:rPr>
          <w:color w:val="auto"/>
          <w:highlight w:val="none"/>
        </w:rPr>
        <w:t>青藏高原感热通量相关研究，王慧等</w:t>
      </w:r>
      <w:r>
        <w:rPr>
          <w:rFonts w:hint="eastAsia"/>
          <w:color w:val="auto"/>
          <w:highlight w:val="none"/>
          <w:vertAlign w:val="superscript"/>
        </w:rPr>
        <w:t>[30]</w:t>
      </w:r>
      <w:r>
        <w:rPr>
          <w:color w:val="auto"/>
          <w:highlight w:val="none"/>
        </w:rPr>
        <w:t>指出高原地面风速对地表感热具有重要贡献，在夏季甚至是趋势变化的主因；李宏毅等</w:t>
      </w:r>
      <w:r>
        <w:rPr>
          <w:rFonts w:hint="eastAsia"/>
          <w:color w:val="auto"/>
          <w:highlight w:val="none"/>
          <w:vertAlign w:val="superscript"/>
        </w:rPr>
        <w:t>[31]</w:t>
      </w:r>
      <w:r>
        <w:rPr>
          <w:color w:val="auto"/>
          <w:highlight w:val="none"/>
        </w:rPr>
        <w:t>的观测表明高原站点感热与风速存在显著正相关。这些研究共同</w:t>
      </w:r>
      <w:r>
        <w:rPr>
          <w:rFonts w:hint="eastAsia"/>
          <w:color w:val="auto"/>
          <w:highlight w:val="none"/>
        </w:rPr>
        <w:t>说明</w:t>
      </w:r>
      <w:r>
        <w:rPr>
          <w:color w:val="auto"/>
          <w:highlight w:val="none"/>
        </w:rPr>
        <w:t>了风速通过调控感热通量，影响高原地区能量收支与相变过程。本研究</w:t>
      </w:r>
      <w:r>
        <w:rPr>
          <w:rFonts w:hint="eastAsia"/>
          <w:color w:val="auto"/>
          <w:highlight w:val="none"/>
        </w:rPr>
        <w:t>表明，</w:t>
      </w:r>
      <w:r>
        <w:rPr>
          <w:color w:val="auto"/>
          <w:highlight w:val="none"/>
        </w:rPr>
        <w:t>在寒区水文气候研究中，除温度与降水外，风速等气候因子也可能在某些时段对径流变化起到重要驱动作用。</w:t>
      </w:r>
    </w:p>
    <w:p w14:paraId="009B172B">
      <w:pPr>
        <w:rPr>
          <w:color w:val="auto"/>
          <w:highlight w:val="none"/>
        </w:rPr>
      </w:pPr>
      <w:r>
        <w:rPr>
          <w:rFonts w:hint="eastAsia"/>
          <w:color w:val="auto"/>
          <w:highlight w:val="none"/>
        </w:rPr>
        <w:t>本</w:t>
      </w:r>
      <w:r>
        <w:rPr>
          <w:color w:val="auto"/>
          <w:highlight w:val="none"/>
        </w:rPr>
        <w:t>研究</w:t>
      </w:r>
      <w:r>
        <w:rPr>
          <w:rFonts w:hint="eastAsia"/>
          <w:color w:val="auto"/>
          <w:highlight w:val="none"/>
        </w:rPr>
        <w:t>结果</w:t>
      </w:r>
      <w:r>
        <w:rPr>
          <w:color w:val="auto"/>
          <w:highlight w:val="none"/>
        </w:rPr>
        <w:t>基于</w:t>
      </w:r>
      <w:r>
        <w:rPr>
          <w:rFonts w:hint="eastAsia"/>
          <w:color w:val="auto"/>
          <w:highlight w:val="none"/>
        </w:rPr>
        <w:t>尼洋河流域2010</w:t>
      </w:r>
      <w:r>
        <w:rPr>
          <w:rFonts w:hint="eastAsia" w:hAnsi="Times New Roman"/>
          <w:color w:val="auto"/>
          <w:highlight w:val="none"/>
        </w:rPr>
        <w:t>—</w:t>
      </w:r>
      <w:r>
        <w:rPr>
          <w:rFonts w:hint="eastAsia"/>
          <w:color w:val="auto"/>
          <w:highlight w:val="none"/>
        </w:rPr>
        <w:t>2015</w:t>
      </w:r>
      <w:r>
        <w:rPr>
          <w:color w:val="auto"/>
          <w:highlight w:val="none"/>
        </w:rPr>
        <w:t>年数据，</w:t>
      </w:r>
      <w:r>
        <w:rPr>
          <w:rFonts w:hint="eastAsia"/>
          <w:color w:val="auto"/>
          <w:highlight w:val="none"/>
        </w:rPr>
        <w:t>模型在其他流域的有效性还</w:t>
      </w:r>
      <w:r>
        <w:rPr>
          <w:color w:val="auto"/>
          <w:highlight w:val="none"/>
        </w:rPr>
        <w:t>有待进一步验证。</w:t>
      </w:r>
      <w:r>
        <w:rPr>
          <w:rFonts w:hint="eastAsia"/>
          <w:color w:val="auto"/>
          <w:highlight w:val="none"/>
        </w:rPr>
        <w:t>此外，尽管本文改进的模型精度有明显提升，但仍存在一定的低估问题，可能原因为SPHY模型模拟雪存储不够，未来应进一步加强研究，</w:t>
      </w:r>
      <w:r>
        <w:rPr>
          <w:color w:val="auto"/>
          <w:highlight w:val="none"/>
        </w:rPr>
        <w:t>将应用</w:t>
      </w:r>
      <w:r>
        <w:rPr>
          <w:rFonts w:hint="eastAsia"/>
          <w:color w:val="auto"/>
          <w:highlight w:val="none"/>
        </w:rPr>
        <w:t>模</w:t>
      </w:r>
      <w:r>
        <w:rPr>
          <w:color w:val="auto"/>
          <w:highlight w:val="none"/>
        </w:rPr>
        <w:t>型于更长时段</w:t>
      </w:r>
      <w:r>
        <w:rPr>
          <w:rFonts w:hint="eastAsia"/>
          <w:color w:val="auto"/>
          <w:highlight w:val="none"/>
        </w:rPr>
        <w:t>及更多流域</w:t>
      </w:r>
      <w:r>
        <w:rPr>
          <w:color w:val="auto"/>
          <w:highlight w:val="none"/>
        </w:rPr>
        <w:t>，</w:t>
      </w:r>
      <w:r>
        <w:rPr>
          <w:rFonts w:hint="eastAsia"/>
          <w:color w:val="auto"/>
          <w:highlight w:val="none"/>
        </w:rPr>
        <w:t>模型中</w:t>
      </w:r>
      <w:r>
        <w:rPr>
          <w:color w:val="auto"/>
          <w:highlight w:val="none"/>
        </w:rPr>
        <w:t>引入</w:t>
      </w:r>
      <w:r>
        <w:rPr>
          <w:rFonts w:hint="eastAsia"/>
          <w:color w:val="auto"/>
          <w:highlight w:val="none"/>
        </w:rPr>
        <w:t>其他因子的影响（如风速、</w:t>
      </w:r>
      <w:r>
        <w:rPr>
          <w:color w:val="auto"/>
          <w:highlight w:val="none"/>
        </w:rPr>
        <w:t>地形与高程因子的空间异质性</w:t>
      </w:r>
      <w:r>
        <w:rPr>
          <w:rFonts w:hint="eastAsia"/>
          <w:color w:val="auto"/>
          <w:highlight w:val="none"/>
        </w:rPr>
        <w:t>）</w:t>
      </w:r>
      <w:r>
        <w:rPr>
          <w:color w:val="auto"/>
          <w:highlight w:val="none"/>
        </w:rPr>
        <w:t>，</w:t>
      </w:r>
      <w:r>
        <w:rPr>
          <w:rFonts w:hint="eastAsia"/>
          <w:color w:val="auto"/>
          <w:highlight w:val="none"/>
        </w:rPr>
        <w:t>以及分区域、分季节的驱动因子量化分析，以</w:t>
      </w:r>
      <w:r>
        <w:rPr>
          <w:color w:val="auto"/>
          <w:highlight w:val="none"/>
        </w:rPr>
        <w:t>进一步提升模型的模拟精度。</w:t>
      </w:r>
    </w:p>
    <w:p w14:paraId="58D46C64">
      <w:pPr>
        <w:pStyle w:val="2"/>
        <w:rPr>
          <w:color w:val="auto"/>
          <w:highlight w:val="none"/>
        </w:rPr>
      </w:pPr>
      <w:r>
        <w:rPr>
          <w:rFonts w:hint="eastAsia"/>
          <w:color w:val="auto"/>
          <w:highlight w:val="none"/>
        </w:rPr>
        <w:t>5结论</w:t>
      </w:r>
    </w:p>
    <w:p w14:paraId="684F12C4">
      <w:pPr>
        <w:rPr>
          <w:color w:val="auto"/>
          <w:highlight w:val="none"/>
        </w:rPr>
      </w:pPr>
      <w:r>
        <w:rPr>
          <w:rFonts w:hint="eastAsia"/>
          <w:color w:val="auto"/>
          <w:highlight w:val="none"/>
        </w:rPr>
        <w:t>本文</w:t>
      </w:r>
      <w:r>
        <w:rPr>
          <w:color w:val="auto"/>
          <w:highlight w:val="none"/>
        </w:rPr>
        <w:t>通过耦合辐射</w:t>
      </w:r>
      <w:r>
        <w:rPr>
          <w:rFonts w:hint="eastAsia"/>
          <w:color w:val="auto"/>
          <w:highlight w:val="none"/>
        </w:rPr>
        <w:t>因素</w:t>
      </w:r>
      <w:r>
        <w:rPr>
          <w:color w:val="auto"/>
          <w:highlight w:val="none"/>
        </w:rPr>
        <w:t>与季节性动态度日因子，改进了SPHY模型的融雪模块。改进后模型在尼洋河流域融雪期的</w:t>
      </w:r>
      <w:r>
        <w:rPr>
          <w:rFonts w:hint="eastAsia"/>
          <w:i/>
          <w:color w:val="auto"/>
          <w:highlight w:val="none"/>
        </w:rPr>
        <w:t>NSE</w:t>
      </w:r>
      <w:r>
        <w:rPr>
          <w:color w:val="auto"/>
          <w:highlight w:val="none"/>
        </w:rPr>
        <w:t>提升</w:t>
      </w:r>
      <w:r>
        <w:rPr>
          <w:rFonts w:hint="eastAsia"/>
          <w:color w:val="auto"/>
          <w:highlight w:val="none"/>
        </w:rPr>
        <w:t>8</w:t>
      </w:r>
      <w:r>
        <w:rPr>
          <w:color w:val="auto"/>
          <w:highlight w:val="none"/>
        </w:rPr>
        <w:t>%，</w:t>
      </w:r>
      <w:r>
        <w:rPr>
          <w:rFonts w:hint="eastAsia"/>
          <w:i/>
          <w:color w:val="auto"/>
          <w:highlight w:val="none"/>
        </w:rPr>
        <w:t>RMSE</w:t>
      </w:r>
      <w:r>
        <w:rPr>
          <w:color w:val="auto"/>
          <w:highlight w:val="none"/>
        </w:rPr>
        <w:t>降低17%，</w:t>
      </w:r>
      <w:r>
        <w:rPr>
          <w:rFonts w:hint="eastAsia"/>
          <w:i/>
          <w:iCs/>
          <w:color w:val="auto"/>
          <w:highlight w:val="none"/>
        </w:rPr>
        <w:t>PBIAS</w:t>
      </w:r>
      <w:r>
        <w:rPr>
          <w:color w:val="auto"/>
          <w:highlight w:val="none"/>
        </w:rPr>
        <w:t>由-14.77%优化至-0.05%，</w:t>
      </w:r>
      <w:r>
        <w:rPr>
          <w:rFonts w:hint="eastAsia"/>
          <w:color w:val="auto"/>
          <w:highlight w:val="none"/>
        </w:rPr>
        <w:t>有效</w:t>
      </w:r>
      <w:r>
        <w:rPr>
          <w:color w:val="auto"/>
          <w:highlight w:val="none"/>
        </w:rPr>
        <w:t>提升了</w:t>
      </w:r>
      <w:r>
        <w:rPr>
          <w:rFonts w:hint="eastAsia"/>
          <w:color w:val="auto"/>
          <w:highlight w:val="none"/>
        </w:rPr>
        <w:t>寒区流域</w:t>
      </w:r>
      <w:r>
        <w:rPr>
          <w:color w:val="auto"/>
          <w:highlight w:val="none"/>
        </w:rPr>
        <w:t>径流模拟性能</w:t>
      </w:r>
      <w:r>
        <w:rPr>
          <w:rFonts w:hint="eastAsia"/>
          <w:color w:val="auto"/>
          <w:highlight w:val="none"/>
        </w:rPr>
        <w:t>。</w:t>
      </w:r>
      <w:r>
        <w:rPr>
          <w:color w:val="auto"/>
          <w:highlight w:val="none"/>
        </w:rPr>
        <w:t>驱动机制分析表明，气温是融雪径流变化的核心驱动因子（贡献率41.79%），而风速的作用</w:t>
      </w:r>
      <w:r>
        <w:rPr>
          <w:rFonts w:hint="eastAsia"/>
          <w:color w:val="auto"/>
          <w:highlight w:val="none"/>
        </w:rPr>
        <w:t>也较为显著</w:t>
      </w:r>
      <w:r>
        <w:rPr>
          <w:color w:val="auto"/>
          <w:highlight w:val="none"/>
        </w:rPr>
        <w:t>（贡献率25.58%）。能量因子（气温、</w:t>
      </w:r>
      <w:r>
        <w:rPr>
          <w:rFonts w:hint="eastAsia"/>
          <w:color w:val="auto"/>
          <w:highlight w:val="none"/>
        </w:rPr>
        <w:t>太阳</w:t>
      </w:r>
      <w:r>
        <w:rPr>
          <w:color w:val="auto"/>
          <w:highlight w:val="none"/>
        </w:rPr>
        <w:t>辐射）的总贡献率达6</w:t>
      </w:r>
      <w:r>
        <w:rPr>
          <w:rFonts w:hint="eastAsia"/>
          <w:color w:val="auto"/>
          <w:highlight w:val="none"/>
        </w:rPr>
        <w:t>1</w:t>
      </w:r>
      <w:r>
        <w:rPr>
          <w:color w:val="auto"/>
          <w:highlight w:val="none"/>
        </w:rPr>
        <w:t>.</w:t>
      </w:r>
      <w:r>
        <w:rPr>
          <w:rFonts w:hint="eastAsia"/>
          <w:color w:val="auto"/>
          <w:highlight w:val="none"/>
        </w:rPr>
        <w:t>08</w:t>
      </w:r>
      <w:r>
        <w:rPr>
          <w:color w:val="auto"/>
          <w:highlight w:val="none"/>
        </w:rPr>
        <w:t>%，</w:t>
      </w:r>
      <w:r>
        <w:rPr>
          <w:rFonts w:hint="eastAsia"/>
          <w:color w:val="auto"/>
          <w:highlight w:val="none"/>
        </w:rPr>
        <w:t>表明</w:t>
      </w:r>
      <w:r>
        <w:rPr>
          <w:color w:val="auto"/>
          <w:highlight w:val="none"/>
        </w:rPr>
        <w:t>了寒区融雪径流模拟中准确刻画能量平衡过程的重要性。在未来气候变化影响评估</w:t>
      </w:r>
      <w:r>
        <w:rPr>
          <w:rFonts w:hint="eastAsia"/>
          <w:color w:val="auto"/>
          <w:highlight w:val="none"/>
        </w:rPr>
        <w:t>等研究中</w:t>
      </w:r>
      <w:r>
        <w:rPr>
          <w:color w:val="auto"/>
          <w:highlight w:val="none"/>
        </w:rPr>
        <w:t>，除关注温</w:t>
      </w:r>
      <w:r>
        <w:rPr>
          <w:rFonts w:hint="eastAsia"/>
          <w:color w:val="auto"/>
          <w:highlight w:val="none"/>
        </w:rPr>
        <w:t>度、降水等</w:t>
      </w:r>
      <w:r>
        <w:rPr>
          <w:color w:val="auto"/>
          <w:highlight w:val="none"/>
        </w:rPr>
        <w:t>变化外，还需重视风速等气候因子的潜在主导作用。</w:t>
      </w:r>
    </w:p>
    <w:p w14:paraId="3C8FD7B9">
      <w:pPr>
        <w:ind w:firstLine="0" w:firstLineChars="0"/>
        <w:rPr>
          <w:color w:val="auto"/>
          <w:sz w:val="15"/>
          <w:szCs w:val="15"/>
          <w:highlight w:val="none"/>
        </w:rPr>
      </w:pPr>
    </w:p>
    <w:p w14:paraId="7553AAF9">
      <w:pPr>
        <w:ind w:firstLine="0" w:firstLineChars="0"/>
        <w:rPr>
          <w:color w:val="auto"/>
          <w:sz w:val="15"/>
          <w:szCs w:val="15"/>
          <w:highlight w:val="none"/>
        </w:rPr>
      </w:pPr>
      <w:r>
        <w:rPr>
          <w:rFonts w:eastAsia="黑体"/>
          <w:color w:val="auto"/>
          <w:highlight w:val="none"/>
        </w:rPr>
        <w:t>参考文献：</w:t>
      </w:r>
    </w:p>
    <w:p w14:paraId="473FAFA7">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 LI G H, LI Z X, ZHANG B Q, et al. Changes in runoff from major Alpine watersheds on the Qinghai-Tibetan Plateau: A review[J]. Journal of Hydrology: Regional Studies, 2025, 60: 102514. </w:t>
      </w:r>
    </w:p>
    <w:p w14:paraId="237A2C9F">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 WANG Y B, XIE X H, SHI J C, et al. Ensemble runoff modeling driven by multi-source precipitation products over the Tibetan Plateau[J]. Chinese Science Bulletin, 2021, 66(32): 4169-4186. </w:t>
      </w:r>
    </w:p>
    <w:p w14:paraId="0A278C04">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[3] MYERS D T, FICKLIN D L, ROBESON S M. Incorporating rain-on-snow into the SWAT model results in more accurate simulations of hydrologic extremes[J]. Journal of Hydrology, 2021, 603: 126972. </w:t>
      </w:r>
    </w:p>
    <w:p w14:paraId="2BE40344">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[4] 刘金平, 任艳群, 张万昌, 等. 雅鲁藏布江流域气候和下垫面变化对径流的影响研究[J]. 冰川冻土, 2022, 44(1): 275-287.</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LIU J P, REN Y Q, ZHANG W C, et al. Study on the influence of climate and underlying surface change on runoff in the Yarlung Zangbo River basin[J]. Journal of Glaciology and Geocryology, 2022, 44(1): 275-287. </w:t>
      </w:r>
    </w:p>
    <w:p w14:paraId="76D2119D">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[5] 王奕钧, 于德永, 周祉蕴. 青藏高原寒区水文过程研究进展及模型述评[J]. 冰川冻土, 2024, 46(4): 1312-1328.</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WANG Y J, YU D Y, ZHOU Z (W /Y). Review of research progress and modeling of hydrological processes in the cold regions of the Qinghai-Xizang Plateau[J]. Journal of Glaciology and Geocryology, 2024, 46(4): 1312-1328. </w:t>
      </w:r>
    </w:p>
    <w:p w14:paraId="466E0F3A">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[6] 伊明启, 唐元智, 霍军军, 等. 未来气候变化下拉萨河流域径流变化趋势研究[J]. 水利水电技术(中英文), 2023, 54(1): 95-107.</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YI M Q, TANG Y Z, HUO J J, et al. Study of runoff trends in the Lhasa River Basin under future climate change[J]. Water Resources and Hydropower Engineering, 2023, 54(1): 95-107. </w:t>
      </w:r>
    </w:p>
    <w:p w14:paraId="778A6E7D">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[7] NUNCHHANI V, CHIPHANG N, BANDYOPADHYAY A, et al. Development of a Spatially Distributed Snow and Glacier Melt Runoff Model (SDSGRM) for data scarce high-altitude river basins[J]. Environmental Modelling &amp; Software, 2024, 175: 106004. </w:t>
      </w:r>
    </w:p>
    <w:p w14:paraId="44D50C8A">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[8] 班春广, 徐宗学, 左德鹏, 等. 高寒流域水文模拟与径流水源解析: 以雅鲁藏布江帕隆藏布上游流域为例[J]. 北京师范大学学报(自然科学版), 2023, 59(1): 85-93.</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BAN C G, XU Z X, ZUO D P, et al. Hydrological simulation and runoff components analysis in the high cold Alpine region: Case study in the upper reaches of the Parlung Zangbo watershed of the Yarlung Zangbo River basin[J]. Journal of Beijing Normal University (Natural Science), 2023, 59(1): 85-93. </w:t>
      </w:r>
    </w:p>
    <w:p w14:paraId="16B2D068">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[9] 李洪源, 赵求东, 吴锦奎, 等. 疏勒河上游径流组分及其变化特征定量模拟[J]. 冰川冻土, 2019, 41(4): 907-917.</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LI H Y, ZHAO Q D, WU J K, et al. Quantitative simulation of the runoff components and its variation characteristics in the upstream of the Shule River[J]. Journal of Glaciology and Geocryology, 2019, 41(4): 907-917. </w:t>
      </w:r>
    </w:p>
    <w:p w14:paraId="533B8E3B">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[10] 刘扬李, 周祖昊, 刘佳嘉, 等. 基于水热耦合的青藏高原分布式水文模型: Ⅱ.考虑冰川和冻土的尼洋河流域水循环过程模拟[J]. 水科学进展, 2021, 32(2): 201-210.</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LIU Y L, ZHOU Z H, LIU J J, et al. Distributed hydrological model of the Qinghai Tibet Plateau based on the hydrothermal coupling: Ⅱ. Simulation of water cycle processes in the Niyang River basin considering glaciers and frozen soils[J]. Advances in Water Science, 2021, 32(2): 201-210. </w:t>
      </w:r>
    </w:p>
    <w:p w14:paraId="527CB4DD">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[11] JU Q, LIU X N, ZHANG D W, et al. Application of distributed Xin’anjiang model of melting ice and snow in Bahe River basin[J]. Journal of Hydrology: Regional Studies, 2024, 51: 101638. </w:t>
      </w:r>
    </w:p>
    <w:p w14:paraId="6B7A4C57">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[12] DEBELE B, SRINIVASAN R, GOSAIN A K. Comparison of process-based and temperature-index snowmelt modeling in SWAT[J]. Water Resources Management, 2010, 24(6): 1065-1088. </w:t>
      </w:r>
    </w:p>
    <w:p w14:paraId="28FEC89E">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[13] MOHAMMADI B, GAO H K, PILESJÖ P, et al. Integrating machine learning with process-based glacio-hydrological model for improving the performance of runoff simulation in cold regions[J]. Journal of Hydrology, 2025, 656: 132963. </w:t>
      </w:r>
    </w:p>
    <w:p w14:paraId="52133328">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[14] BOUAMRI H, BOUDHAR A, GASCOIN S, et al. Performance of temperature and radiation index models for point-scale snow water equivalent (SWE) simulations in the Moroccan High Atlas Mountains[J]. Hydrological Sciences Journal, 2018, 63(12): 1844-1862. </w:t>
      </w:r>
    </w:p>
    <w:p w14:paraId="762F379F">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[15] ZHAO H L, LI H Y, XUAN Y Q, et al. Improvement of the SWAT model for snowmelt runoff simulation in seasonal snowmelt area using remote sensing data[J]. Remote Sensing, 2022, 14(22): 5823. </w:t>
      </w:r>
    </w:p>
    <w:p w14:paraId="69E8D551">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[16] 刘江涛, 徐宗学, 赵焕, 等. 基于改进降水输入模块的融雪径流模拟: 以拉萨河为例[J]. 水利学报, 2018, 49(11): 1396-1408.</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LIU J T, XU Z X, ZHAO H, et al. Simulation of snowmelt runoff processes based on enhanced precipitation input module: Case studies in the Lhasa River basin[J]. Journal of Hydraulic Engineering, 2018, 49(11): 1396-1408. </w:t>
      </w:r>
    </w:p>
    <w:p w14:paraId="03ACBC6E">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[17] 穆艾塔尔·赛地, 丁建丽, 崔春亮. 基于地形因子改进融雪径流的模拟及验证[J]. 农业工程学报, 2017, 33(19): 179-186.</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MUAITAR S, DING J L, CUI C L. Simulation and verification of improved snowmelt runoff based on topographic factors[J]. Transactions of the Chinese Society of Agricultural Engineering, 2017, 33(19): 179-186.</w:t>
      </w:r>
    </w:p>
    <w:p w14:paraId="10476F9B">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[18] 达瓦次仁, 巴桑赤烈, 白玛, 等. 尼洋河流域水文特性分析[J]. 水文, 2008, 28(4): 92-94.</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DA W, BA S, BAI M, et al. Analysis of hydrologic characteristics in the </w:t>
      </w:r>
      <w:r>
        <w:rPr>
          <w:rFonts w:hint="eastAsia"/>
          <w:color w:val="auto"/>
          <w:sz w:val="15"/>
          <w:szCs w:val="15"/>
          <w:highlight w:val="none"/>
          <w:lang w:eastAsia="zh-CN"/>
        </w:rPr>
        <w:t>Niyang</w:t>
      </w:r>
      <w:r>
        <w:rPr>
          <w:rFonts w:hint="eastAsia"/>
          <w:color w:val="auto"/>
          <w:sz w:val="15"/>
          <w:szCs w:val="15"/>
          <w:highlight w:val="none"/>
          <w:shd w:val="clear" w:color="auto" w:fill="FFFFFF"/>
          <w:lang w:eastAsia="zh-CN"/>
        </w:rPr>
        <w:t xml:space="preserve"> River Basin[J]. Journal of China Hydrology, 2008, 28(4): 92-94. </w:t>
      </w:r>
    </w:p>
    <w:p w14:paraId="7C3691DD">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[19] ZHANG M F, REN Q S, WEI X H, et al. Climate change, glacier melting and streamflow in the Niyang River Basin, Southeast Tibet, China[J]. Ecohydrology, 2011, 4(2): 288-298. </w:t>
      </w:r>
    </w:p>
    <w:p w14:paraId="1515454F">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[20] 苏立彬, 郭永刚, 吴悦, 等. 基于DEM的尼洋河流域地貌形态分析[J]. 中国水土保持科学, 2020, 18(3): 12-21.</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SU L B, GUO Y G, WU Y, et al. Analysis of geomorphology of Niyang River Basin based on digital elevation model[J]. Science of Soil and Water Conservation, 2020, 18(3): 12-21. </w:t>
      </w:r>
    </w:p>
    <w:p w14:paraId="41582016">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[21] 牛振国, 单玉秀, 张海英. 全球土地覆盖GlobCover2009数据中的中国区域湿地数据精度评价[J]. 湿地科学, 2012, 10(4): 389-395.</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NIU Z G, SHAN Y X, ZHANG H Y. Accuracy assessment of wetland categories from the GlobCover2009 data over China[J]. Wetland Science, 2012, 10(4): 389-395. </w:t>
      </w:r>
    </w:p>
    <w:p w14:paraId="16F6BEA2">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[22] PFEFFER W T, ARENDT A A, BLISS A, et al. The Randolph Glacier Inventory: A globally complete inventory of glaciers[J]. Journal of Glaciology, 2014, 60(221): 537-552. </w:t>
      </w:r>
    </w:p>
    <w:p w14:paraId="36B2E374">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[23] HE J, YANG K, TANG W J, et al. The first high-resolution meteorological forcing dataset for land process studies over China[J]. Scientific Data, 2020, 7: 25. </w:t>
      </w:r>
    </w:p>
    <w:p w14:paraId="64759445">
      <w:pPr>
        <w:pStyle w:val="26"/>
        <w:ind w:left="340" w:hanging="340"/>
        <w:rPr>
          <w:rFonts w:hint="eastAsia" w:eastAsia="宋体"/>
          <w:color w:val="auto"/>
          <w:sz w:val="15"/>
          <w:szCs w:val="15"/>
          <w:highlight w:val="none"/>
          <w:lang w:eastAsia="zh-CN"/>
        </w:rPr>
      </w:pPr>
      <w:bookmarkStart w:id="6" w:name="_ENREF_25"/>
      <w:r>
        <w:rPr>
          <w:rFonts w:hint="eastAsia"/>
          <w:color w:val="auto"/>
          <w:sz w:val="15"/>
          <w:szCs w:val="15"/>
          <w:highlight w:val="none"/>
          <w:lang w:eastAsia="zh-CN"/>
        </w:rPr>
        <w:t xml:space="preserve">[24] HAO X H, HUANG G H, ZHENG Z J, et al. Development and validation of a new MODIS snow-cover-extent product over China[J]. Hydrology and Earth System Sciences, 2022, 26(8): 1937-1952. </w:t>
      </w:r>
    </w:p>
    <w:bookmarkEnd w:id="6"/>
    <w:p w14:paraId="7F340022">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[25] DAI L Y, CHE T, DING Y J, et al. Evaluation of snow cover and snow depth on the Qinghai</w:t>
      </w:r>
      <w:r>
        <w:rPr>
          <w:rFonts w:hint="eastAsia" w:hAnsi="Times New Roman"/>
          <w:color w:val="auto"/>
          <w:sz w:val="15"/>
          <w:szCs w:val="15"/>
          <w:highlight w:val="none"/>
          <w:lang w:eastAsia="zh-CN"/>
        </w:rPr>
        <w:t>–</w:t>
      </w:r>
      <w:r>
        <w:rPr>
          <w:rFonts w:hint="eastAsia"/>
          <w:color w:val="auto"/>
          <w:sz w:val="15"/>
          <w:szCs w:val="15"/>
          <w:highlight w:val="none"/>
          <w:lang w:eastAsia="zh-CN"/>
        </w:rPr>
        <w:t xml:space="preserve">Tibetan Plateau derived from passive microwave remote sensing[J]. The Cryosphere, 2017, 11(4): 1933-1948. </w:t>
      </w:r>
    </w:p>
    <w:p w14:paraId="3EE8C678">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[26] 张正, 肖鹏峰, 张学良, 等. 青藏高原融雪期积雪反照率特性分析[J]. 遥感技术与应用, 2019, 34(6): 1146-1154.</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ZHANG Z, XIAO P F, ZHANG X L, et al. Analysis of the characteristics of snow albedo during the snowmelt period of the Qinghai-Tibet Plateau[J]. Remote Sensing Technology and Application, 2019, 34(6): 1146-1154. </w:t>
      </w:r>
    </w:p>
    <w:p w14:paraId="055913BF">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[27] HE Z H, VOROGUSHYN S, UNGER-SHAYESTEH K, et al. The value of hydrograph partitioning curves for calibrating hydrological models in glacierized basins[J]. Water Resources Research, 2018, 54(3): 2336-2361. </w:t>
      </w:r>
    </w:p>
    <w:p w14:paraId="7B0112D3">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[28] QI W, FENG L, KUANG X X, et al. Divergent and changing importance of glaciers and snow as natural water reservoirs in the eastern and southern Tibetan Plateau[J]. Journal of Geophysical Research: Atmospheres, 2022, 127(7): e2021JD035888. </w:t>
      </w:r>
    </w:p>
    <w:p w14:paraId="6B76CEA1">
      <w:pPr>
        <w:pStyle w:val="26"/>
        <w:ind w:left="340" w:hanging="340"/>
        <w:rPr>
          <w:rFonts w:hint="eastAsia" w:eastAsia="宋体"/>
          <w:color w:val="auto"/>
          <w:sz w:val="15"/>
          <w:szCs w:val="15"/>
          <w:highlight w:val="none"/>
          <w:lang w:eastAsia="zh-CN"/>
        </w:rPr>
      </w:pPr>
      <w:r>
        <w:rPr>
          <w:rFonts w:hint="eastAsia"/>
          <w:color w:val="auto"/>
          <w:sz w:val="15"/>
          <w:szCs w:val="15"/>
          <w:highlight w:val="none"/>
          <w:lang w:eastAsia="zh-CN"/>
        </w:rPr>
        <w:t xml:space="preserve">[29] HOELZLE M, HAUCK C, MATHYS T, et al. Long-term energy balance measurements at three different mountain permafrost sites in the Swiss Alps[J]. Earth System Science Data, 2022, 14(4): 1531-1547. </w:t>
      </w:r>
    </w:p>
    <w:p w14:paraId="0B244D87">
      <w:pPr>
        <w:pStyle w:val="26"/>
        <w:ind w:left="340" w:hanging="340"/>
        <w:rPr>
          <w:rFonts w:hint="eastAsia" w:eastAsia="宋体"/>
          <w:color w:val="auto"/>
          <w:sz w:val="15"/>
          <w:szCs w:val="15"/>
          <w:highlight w:val="none"/>
          <w:shd w:val="clear" w:color="auto" w:fill="FFFFFF"/>
          <w:lang w:eastAsia="zh-CN"/>
        </w:rPr>
      </w:pPr>
      <w:r>
        <w:rPr>
          <w:rFonts w:hint="eastAsia"/>
          <w:color w:val="auto"/>
          <w:sz w:val="15"/>
          <w:szCs w:val="15"/>
          <w:highlight w:val="none"/>
          <w:shd w:val="clear" w:color="auto" w:fill="FFFFFF"/>
          <w:lang w:eastAsia="zh-CN"/>
        </w:rPr>
        <w:t>[30] 王慧, 张璐, 石兴东, 等. 青藏高原中东部地表感热趋势转折特征的季节差异[J]. 大气科学, 2022, 46(1): 133-150.</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WANG H, ZHANG L, SHI X D, et al. Seasonal differences in the trend turning characteristics of surface sensible heat over the central and eastern Tibetan Plateau[J]. Chinese Journal of Atmospheric Sciences, 2022, 46(1): 133-150. </w:t>
      </w:r>
    </w:p>
    <w:p w14:paraId="3B260996">
      <w:pPr>
        <w:pStyle w:val="26"/>
        <w:ind w:left="340" w:hanging="340"/>
        <w:rPr>
          <w:rFonts w:hint="eastAsia"/>
          <w:color w:val="auto"/>
          <w:sz w:val="15"/>
          <w:szCs w:val="15"/>
          <w:highlight w:val="none"/>
          <w:lang w:eastAsia="zh-CN"/>
        </w:rPr>
      </w:pPr>
      <w:r>
        <w:rPr>
          <w:rFonts w:hint="eastAsia"/>
          <w:color w:val="auto"/>
          <w:sz w:val="15"/>
          <w:szCs w:val="15"/>
          <w:highlight w:val="none"/>
          <w:shd w:val="clear" w:color="auto" w:fill="FFFFFF"/>
          <w:lang w:eastAsia="zh-CN"/>
        </w:rPr>
        <w:t>[31] 李宏毅, 肖子牛. 青藏高原不同地区湍流输送特征及其与气象因子的关系[J]. 气候与环境研究, 2022, 27(4): 533-546.</w:t>
      </w:r>
      <w:r>
        <w:rPr>
          <w:rFonts w:hint="eastAsia"/>
          <w:i w:val="0"/>
          <w:color w:val="auto"/>
          <w:sz w:val="15"/>
          <w:szCs w:val="15"/>
          <w:highlight w:val="none"/>
          <w:shd w:val="clear" w:color="auto" w:fill="FFFFFF"/>
          <w:lang w:eastAsia="zh-CN"/>
        </w:rPr>
        <w:br w:type="textWrapping"/>
      </w:r>
      <w:r>
        <w:rPr>
          <w:rFonts w:hint="eastAsia"/>
          <w:color w:val="auto"/>
          <w:sz w:val="15"/>
          <w:szCs w:val="15"/>
          <w:highlight w:val="none"/>
          <w:shd w:val="clear" w:color="auto" w:fill="FFFFFF"/>
          <w:lang w:eastAsia="zh-CN"/>
        </w:rPr>
        <w:t xml:space="preserve">LI H Y, XIAO Z N. Characteristics of turbulent transport in different areas of Qinghai-Tibet Plateau and its relationship with meteorological factors[J]. Climatic and Environmental Research, 2022, 27(4): 533-546. </w:t>
      </w:r>
    </w:p>
    <w:sectPr>
      <w:footerReference r:id="rId5"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2F691">
    <w:pPr>
      <w:pStyle w:val="9"/>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2503D7">
                          <w:pPr>
                            <w:pStyle w:val="9"/>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032503D7">
                    <w:pPr>
                      <w:pStyle w:val="9"/>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ind w:firstLine="420"/>
      </w:pPr>
      <w:r>
        <w:separator/>
      </w:r>
    </w:p>
  </w:footnote>
  <w:footnote w:type="continuationSeparator" w:id="3">
    <w:p>
      <w:pPr>
        <w:ind w:firstLine="420"/>
      </w:pPr>
      <w:r>
        <w:continuationSeparator/>
      </w:r>
    </w:p>
  </w:footnote>
  <w:footnote w:id="0">
    <w:p w14:paraId="7BDA710F">
      <w:pPr>
        <w:pStyle w:val="11"/>
        <w:snapToGrid/>
        <w:ind w:firstLine="0" w:firstLineChars="0"/>
        <w:jc w:val="both"/>
        <w:rPr>
          <w:rFonts w:hint="default" w:eastAsia="黑体"/>
          <w:b w:val="0"/>
          <w:bCs w:val="0"/>
          <w:color w:val="FF0000"/>
          <w:lang w:val="en-US" w:eastAsia="zh-CN"/>
        </w:rPr>
      </w:pPr>
      <w:r>
        <w:rPr>
          <w:rFonts w:eastAsia="黑体"/>
          <w:b/>
          <w:bCs/>
        </w:rPr>
        <w:t>收稿日期：</w:t>
      </w:r>
      <w:r>
        <w:t>2025-</w:t>
      </w:r>
      <w:r>
        <w:rPr>
          <w:rFonts w:hint="eastAsia"/>
        </w:rPr>
        <w:t>11</w:t>
      </w:r>
      <w:r>
        <w:t>-</w:t>
      </w:r>
      <w:r>
        <w:rPr>
          <w:rFonts w:hint="eastAsia"/>
        </w:rPr>
        <w:t>21</w:t>
      </w:r>
      <w:r>
        <w:t>；</w:t>
      </w:r>
      <w:r>
        <w:rPr>
          <w:rFonts w:eastAsia="黑体"/>
          <w:b/>
          <w:bCs/>
        </w:rPr>
        <w:t>修回日期：</w:t>
      </w:r>
      <w:r>
        <w:t>2025-</w:t>
      </w:r>
      <w:r>
        <w:rPr>
          <w:rFonts w:hint="eastAsia"/>
        </w:rPr>
        <w:t>11</w:t>
      </w:r>
      <w:r>
        <w:t>-</w:t>
      </w:r>
      <w:r>
        <w:rPr>
          <w:rFonts w:hint="eastAsia"/>
        </w:rPr>
        <w:t>21</w:t>
      </w:r>
      <w:r>
        <w:t>；</w:t>
      </w:r>
      <w:r>
        <w:rPr>
          <w:rFonts w:eastAsia="黑体"/>
          <w:b/>
          <w:bCs/>
        </w:rPr>
        <w:t>录用日期：</w:t>
      </w:r>
      <w:r>
        <w:t>2025-</w:t>
      </w:r>
      <w:r>
        <w:rPr>
          <w:rFonts w:hint="eastAsia"/>
        </w:rPr>
        <w:t>11</w:t>
      </w:r>
      <w:r>
        <w:t>-</w:t>
      </w:r>
      <w:r>
        <w:rPr>
          <w:rFonts w:hint="eastAsia"/>
        </w:rPr>
        <w:t>21</w:t>
      </w:r>
      <w:r>
        <w:t>；</w:t>
      </w:r>
      <w:r>
        <w:rPr>
          <w:rFonts w:eastAsia="黑体"/>
          <w:b/>
          <w:bCs/>
        </w:rPr>
        <w:t>网络出版日期：</w:t>
      </w:r>
      <w:r>
        <w:rPr>
          <w:rFonts w:hint="eastAsia" w:eastAsia="黑体"/>
          <w:b w:val="0"/>
          <w:bCs w:val="0"/>
          <w:lang w:val="en-US" w:eastAsia="zh-CN"/>
        </w:rPr>
        <w:t>2025-01-26</w:t>
      </w:r>
    </w:p>
    <w:p w14:paraId="06304DA1">
      <w:pPr>
        <w:pStyle w:val="11"/>
        <w:ind w:firstLine="0" w:firstLineChars="0"/>
        <w:jc w:val="both"/>
      </w:pPr>
      <w:r>
        <w:rPr>
          <w:rFonts w:eastAsia="黑体"/>
          <w:b/>
          <w:bCs/>
          <w:spacing w:val="-2"/>
        </w:rPr>
        <w:t>基金项目：</w:t>
      </w:r>
      <w:r>
        <w:rPr>
          <w:rFonts w:hint="eastAsia"/>
        </w:rPr>
        <w:t>国家自然科学基金面上项目（52479021）</w:t>
      </w:r>
    </w:p>
    <w:p w14:paraId="061ED2AA">
      <w:pPr>
        <w:pStyle w:val="11"/>
        <w:ind w:firstLine="0" w:firstLineChars="0"/>
        <w:rPr>
          <w:spacing w:val="4"/>
        </w:rPr>
      </w:pPr>
      <w:r>
        <w:rPr>
          <w:rFonts w:eastAsia="黑体"/>
          <w:b/>
          <w:bCs/>
          <w:spacing w:val="-2"/>
        </w:rPr>
        <w:t>作者简介：</w:t>
      </w:r>
      <w:r>
        <w:rPr>
          <w:spacing w:val="4"/>
        </w:rPr>
        <w:t>冷亚君（</w:t>
      </w:r>
      <w:r>
        <w:rPr>
          <w:rFonts w:hint="eastAsia"/>
          <w:spacing w:val="4"/>
        </w:rPr>
        <w:t>2001</w:t>
      </w:r>
      <w:r>
        <w:t>—），</w:t>
      </w:r>
      <w:r>
        <w:rPr>
          <w:rFonts w:hint="eastAsia"/>
        </w:rPr>
        <w:t>女</w:t>
      </w:r>
      <w:r>
        <w:rPr>
          <w:spacing w:val="4"/>
        </w:rPr>
        <w:t>，硕士研究生，主要从事水文模拟及预报研究。E-mail：2024223060021@stu.scu.edu.cn</w:t>
      </w:r>
    </w:p>
    <w:p w14:paraId="67846792">
      <w:pPr>
        <w:pStyle w:val="11"/>
        <w:spacing w:line="240" w:lineRule="exact"/>
        <w:ind w:firstLine="0" w:firstLineChars="0"/>
      </w:pPr>
      <w:r>
        <w:rPr>
          <w:rFonts w:eastAsia="黑体"/>
          <w:b/>
          <w:bCs/>
          <w:spacing w:val="-2"/>
        </w:rPr>
        <w:t>通信作者：</w:t>
      </w:r>
      <w:r>
        <w:rPr>
          <w:rFonts w:hint="eastAsia"/>
          <w:spacing w:val="4"/>
        </w:rPr>
        <w:t>李红霞（1981</w:t>
      </w:r>
      <w:r>
        <w:rPr>
          <w:spacing w:val="4"/>
        </w:rPr>
        <w:t>—），</w:t>
      </w:r>
      <w:r>
        <w:rPr>
          <w:rFonts w:hint="eastAsia"/>
          <w:spacing w:val="4"/>
        </w:rPr>
        <w:t>女</w:t>
      </w:r>
      <w:r>
        <w:rPr>
          <w:spacing w:val="4"/>
        </w:rPr>
        <w:t>，</w:t>
      </w:r>
      <w:r>
        <w:rPr>
          <w:rFonts w:hint="eastAsia"/>
          <w:spacing w:val="4"/>
        </w:rPr>
        <w:t>教授</w:t>
      </w:r>
      <w:r>
        <w:rPr>
          <w:spacing w:val="4"/>
        </w:rPr>
        <w:t>，主要从事水文模拟及预报研究。E-mail：hongxiali@scu.edu.cn</w:t>
      </w:r>
    </w:p>
    <w:p w14:paraId="5D86457F">
      <w:pPr>
        <w:pStyle w:val="11"/>
        <w:ind w:firstLine="36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071CED"/>
    <w:multiLevelType w:val="multilevel"/>
    <w:tmpl w:val="10071CED"/>
    <w:lvl w:ilvl="0" w:tentative="0">
      <w:start w:val="1"/>
      <w:numFmt w:val="none"/>
      <w:pStyle w:val="34"/>
      <w:lvlText w:val="Abstract:"/>
      <w:lvlJc w:val="left"/>
      <w:pPr>
        <w:tabs>
          <w:tab w:val="left" w:pos="1080"/>
        </w:tabs>
        <w:ind w:left="360" w:hanging="360"/>
      </w:pPr>
      <w:rPr>
        <w:rFonts w:hint="default" w:ascii="Arial" w:hAnsi="Arial"/>
        <w:b/>
        <w:i w:val="0"/>
        <w:sz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44DB54CE"/>
    <w:multiLevelType w:val="multilevel"/>
    <w:tmpl w:val="44DB54CE"/>
    <w:lvl w:ilvl="0" w:tentative="0">
      <w:start w:val="1"/>
      <w:numFmt w:val="none"/>
      <w:pStyle w:val="35"/>
      <w:lvlText w:val="key words: "/>
      <w:lvlJc w:val="left"/>
      <w:pPr>
        <w:tabs>
          <w:tab w:val="left" w:pos="1080"/>
        </w:tabs>
        <w:ind w:left="360" w:hanging="360"/>
      </w:pPr>
      <w:rPr>
        <w:rFonts w:hint="default" w:ascii="Arial" w:hAnsi="Arial"/>
        <w:b/>
        <w:i w:val="0"/>
        <w:sz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51143224"/>
    <w:multiLevelType w:val="multilevel"/>
    <w:tmpl w:val="51143224"/>
    <w:lvl w:ilvl="0" w:tentative="0">
      <w:start w:val="1"/>
      <w:numFmt w:val="none"/>
      <w:pStyle w:val="30"/>
      <w:lvlText w:val="关键词："/>
      <w:lvlJc w:val="left"/>
      <w:pPr>
        <w:tabs>
          <w:tab w:val="left" w:pos="1500"/>
        </w:tabs>
        <w:ind w:left="840" w:hanging="420"/>
      </w:pPr>
      <w:rPr>
        <w:rFonts w:hint="eastAsia" w:eastAsia="黑体"/>
        <w:b/>
        <w:i w:val="0"/>
        <w:sz w:val="21"/>
        <w:szCs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7D447A9C"/>
    <w:multiLevelType w:val="multilevel"/>
    <w:tmpl w:val="7D447A9C"/>
    <w:lvl w:ilvl="0" w:tentative="0">
      <w:start w:val="1"/>
      <w:numFmt w:val="none"/>
      <w:pStyle w:val="29"/>
      <w:lvlText w:val="摘  要："/>
      <w:lvlJc w:val="left"/>
      <w:pPr>
        <w:tabs>
          <w:tab w:val="left" w:pos="720"/>
        </w:tabs>
        <w:ind w:left="420" w:hanging="420"/>
      </w:pPr>
      <w:rPr>
        <w:rFonts w:hint="eastAsia" w:eastAsia="黑体"/>
        <w:b/>
        <w:i w:val="0"/>
        <w:sz w:val="21"/>
        <w:szCs w:val="21"/>
      </w:rPr>
    </w:lvl>
    <w:lvl w:ilvl="1" w:tentative="0">
      <w:start w:val="1"/>
      <w:numFmt w:val="none"/>
      <w:lvlText w:val="关键词："/>
      <w:lvlJc w:val="left"/>
      <w:pPr>
        <w:tabs>
          <w:tab w:val="left" w:pos="1500"/>
        </w:tabs>
        <w:ind w:left="840" w:hanging="420"/>
      </w:pPr>
      <w:rPr>
        <w:rFonts w:hint="eastAsia" w:eastAsia="黑体"/>
        <w:b/>
        <w:i w:val="0"/>
        <w:sz w:val="18"/>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4898002B"/>
    <w:rsid w:val="0002644F"/>
    <w:rsid w:val="00091DD0"/>
    <w:rsid w:val="0014273A"/>
    <w:rsid w:val="001F10A5"/>
    <w:rsid w:val="0020619A"/>
    <w:rsid w:val="002853B0"/>
    <w:rsid w:val="003671FD"/>
    <w:rsid w:val="0046375D"/>
    <w:rsid w:val="007E0B41"/>
    <w:rsid w:val="00A8655C"/>
    <w:rsid w:val="00C1431A"/>
    <w:rsid w:val="00C94F7F"/>
    <w:rsid w:val="00CB1EBF"/>
    <w:rsid w:val="00D5748E"/>
    <w:rsid w:val="00F551BC"/>
    <w:rsid w:val="00F577E6"/>
    <w:rsid w:val="01DA1631"/>
    <w:rsid w:val="022428A8"/>
    <w:rsid w:val="03807974"/>
    <w:rsid w:val="03B23B1B"/>
    <w:rsid w:val="05137986"/>
    <w:rsid w:val="05793C8D"/>
    <w:rsid w:val="059211F2"/>
    <w:rsid w:val="061A5470"/>
    <w:rsid w:val="06F04422"/>
    <w:rsid w:val="07091040"/>
    <w:rsid w:val="0774295E"/>
    <w:rsid w:val="083746C8"/>
    <w:rsid w:val="085F4F32"/>
    <w:rsid w:val="08633740"/>
    <w:rsid w:val="08A454C4"/>
    <w:rsid w:val="08C90A87"/>
    <w:rsid w:val="08F543BB"/>
    <w:rsid w:val="09540C99"/>
    <w:rsid w:val="0AE66BD8"/>
    <w:rsid w:val="0B580014"/>
    <w:rsid w:val="0B7E024F"/>
    <w:rsid w:val="0BD7351C"/>
    <w:rsid w:val="0C30706F"/>
    <w:rsid w:val="0D1F511A"/>
    <w:rsid w:val="0DCC386E"/>
    <w:rsid w:val="0EA16002"/>
    <w:rsid w:val="0F281170"/>
    <w:rsid w:val="0F610608"/>
    <w:rsid w:val="0FC0256E"/>
    <w:rsid w:val="10AA3894"/>
    <w:rsid w:val="11F0310F"/>
    <w:rsid w:val="12641821"/>
    <w:rsid w:val="143F6CBA"/>
    <w:rsid w:val="14AB4264"/>
    <w:rsid w:val="15057436"/>
    <w:rsid w:val="16B8213B"/>
    <w:rsid w:val="17F65611"/>
    <w:rsid w:val="18057ADC"/>
    <w:rsid w:val="183D3240"/>
    <w:rsid w:val="193979AC"/>
    <w:rsid w:val="19B755C3"/>
    <w:rsid w:val="19D63004"/>
    <w:rsid w:val="1B162728"/>
    <w:rsid w:val="1B1C713C"/>
    <w:rsid w:val="1B9C64CF"/>
    <w:rsid w:val="1BEA2C70"/>
    <w:rsid w:val="1C8E7BC6"/>
    <w:rsid w:val="1D9B5AD2"/>
    <w:rsid w:val="1DDB32DF"/>
    <w:rsid w:val="1DFB28D0"/>
    <w:rsid w:val="1ED246A0"/>
    <w:rsid w:val="1F2003F5"/>
    <w:rsid w:val="22552F34"/>
    <w:rsid w:val="22C407E5"/>
    <w:rsid w:val="232A749D"/>
    <w:rsid w:val="23700030"/>
    <w:rsid w:val="238B7E26"/>
    <w:rsid w:val="24C70119"/>
    <w:rsid w:val="25243F0A"/>
    <w:rsid w:val="25953892"/>
    <w:rsid w:val="27435A51"/>
    <w:rsid w:val="27514612"/>
    <w:rsid w:val="27902E78"/>
    <w:rsid w:val="27FF406E"/>
    <w:rsid w:val="29995DFC"/>
    <w:rsid w:val="299F633C"/>
    <w:rsid w:val="2AB70C30"/>
    <w:rsid w:val="2C5801F0"/>
    <w:rsid w:val="2C5C561E"/>
    <w:rsid w:val="2CC16D4D"/>
    <w:rsid w:val="2CDA0C05"/>
    <w:rsid w:val="2D6277AA"/>
    <w:rsid w:val="2D652BC5"/>
    <w:rsid w:val="2EC13229"/>
    <w:rsid w:val="2FB12379"/>
    <w:rsid w:val="30055F99"/>
    <w:rsid w:val="305D4027"/>
    <w:rsid w:val="330B1F0D"/>
    <w:rsid w:val="34452E08"/>
    <w:rsid w:val="35B92201"/>
    <w:rsid w:val="35EE6609"/>
    <w:rsid w:val="36897924"/>
    <w:rsid w:val="368F0CB2"/>
    <w:rsid w:val="37392DCD"/>
    <w:rsid w:val="377054F7"/>
    <w:rsid w:val="37C36E66"/>
    <w:rsid w:val="37F73044"/>
    <w:rsid w:val="38303DCF"/>
    <w:rsid w:val="38CB67F2"/>
    <w:rsid w:val="395A55A8"/>
    <w:rsid w:val="39657E59"/>
    <w:rsid w:val="3A2940F7"/>
    <w:rsid w:val="3AD15B74"/>
    <w:rsid w:val="3C254A5D"/>
    <w:rsid w:val="3D956BAE"/>
    <w:rsid w:val="3F764E9C"/>
    <w:rsid w:val="40325444"/>
    <w:rsid w:val="40972062"/>
    <w:rsid w:val="40D93ABF"/>
    <w:rsid w:val="41267BFF"/>
    <w:rsid w:val="4355293C"/>
    <w:rsid w:val="43D2785E"/>
    <w:rsid w:val="4492209A"/>
    <w:rsid w:val="44AC7645"/>
    <w:rsid w:val="45725A27"/>
    <w:rsid w:val="45ED7726"/>
    <w:rsid w:val="46081EE8"/>
    <w:rsid w:val="461F72DA"/>
    <w:rsid w:val="473E5455"/>
    <w:rsid w:val="47E10B72"/>
    <w:rsid w:val="48610E04"/>
    <w:rsid w:val="4896297B"/>
    <w:rsid w:val="4898002B"/>
    <w:rsid w:val="48E83F8B"/>
    <w:rsid w:val="4AF96AB2"/>
    <w:rsid w:val="4B654C93"/>
    <w:rsid w:val="4D3D12F2"/>
    <w:rsid w:val="4E2752E0"/>
    <w:rsid w:val="4E9C3B15"/>
    <w:rsid w:val="50C30C12"/>
    <w:rsid w:val="52132340"/>
    <w:rsid w:val="5224454D"/>
    <w:rsid w:val="526D3D56"/>
    <w:rsid w:val="52AE45C6"/>
    <w:rsid w:val="530C74BB"/>
    <w:rsid w:val="5463310B"/>
    <w:rsid w:val="548E3F00"/>
    <w:rsid w:val="54B716A8"/>
    <w:rsid w:val="54BE7AD4"/>
    <w:rsid w:val="54CF254E"/>
    <w:rsid w:val="54F70BA6"/>
    <w:rsid w:val="557310B4"/>
    <w:rsid w:val="559612BE"/>
    <w:rsid w:val="55F67B10"/>
    <w:rsid w:val="5748483A"/>
    <w:rsid w:val="57F86260"/>
    <w:rsid w:val="57FA7689"/>
    <w:rsid w:val="58406BFB"/>
    <w:rsid w:val="5973150C"/>
    <w:rsid w:val="5C587790"/>
    <w:rsid w:val="5C6A53FA"/>
    <w:rsid w:val="5D8435ED"/>
    <w:rsid w:val="5D955DC0"/>
    <w:rsid w:val="5DF86736"/>
    <w:rsid w:val="5EBB3019"/>
    <w:rsid w:val="5F3D09FC"/>
    <w:rsid w:val="5F546472"/>
    <w:rsid w:val="5F9D7E80"/>
    <w:rsid w:val="60AF76D8"/>
    <w:rsid w:val="60C018E5"/>
    <w:rsid w:val="612147E3"/>
    <w:rsid w:val="61AD59D4"/>
    <w:rsid w:val="61C223FB"/>
    <w:rsid w:val="627E7362"/>
    <w:rsid w:val="63352116"/>
    <w:rsid w:val="64CD7D5B"/>
    <w:rsid w:val="65B45F10"/>
    <w:rsid w:val="65B71508"/>
    <w:rsid w:val="66AB3C37"/>
    <w:rsid w:val="67136C12"/>
    <w:rsid w:val="674C5C80"/>
    <w:rsid w:val="67C1666E"/>
    <w:rsid w:val="68230E2D"/>
    <w:rsid w:val="68352BB8"/>
    <w:rsid w:val="68A85138"/>
    <w:rsid w:val="698C62E0"/>
    <w:rsid w:val="69E55F18"/>
    <w:rsid w:val="69F36887"/>
    <w:rsid w:val="69FE6E73"/>
    <w:rsid w:val="6A4F7C12"/>
    <w:rsid w:val="6AF97ECD"/>
    <w:rsid w:val="6B5B6A48"/>
    <w:rsid w:val="6BF95CAB"/>
    <w:rsid w:val="6D532B9C"/>
    <w:rsid w:val="6D5C4743"/>
    <w:rsid w:val="6E2E7E8E"/>
    <w:rsid w:val="6EE40E94"/>
    <w:rsid w:val="6F2614AD"/>
    <w:rsid w:val="6F7639FA"/>
    <w:rsid w:val="6FB95E7D"/>
    <w:rsid w:val="703B4884"/>
    <w:rsid w:val="715B3690"/>
    <w:rsid w:val="71777D9E"/>
    <w:rsid w:val="717E2EDA"/>
    <w:rsid w:val="718D0315"/>
    <w:rsid w:val="71F268FE"/>
    <w:rsid w:val="727101A8"/>
    <w:rsid w:val="74DB0643"/>
    <w:rsid w:val="756B1EDB"/>
    <w:rsid w:val="75AD3D8E"/>
    <w:rsid w:val="76A42A4C"/>
    <w:rsid w:val="77F26B51"/>
    <w:rsid w:val="78571CD3"/>
    <w:rsid w:val="78B63538"/>
    <w:rsid w:val="79657141"/>
    <w:rsid w:val="79AD57E2"/>
    <w:rsid w:val="7A2C70A4"/>
    <w:rsid w:val="7A8D211A"/>
    <w:rsid w:val="7B844BCE"/>
    <w:rsid w:val="7C2F7BF3"/>
    <w:rsid w:val="7CBB1CBA"/>
    <w:rsid w:val="7CC320E9"/>
    <w:rsid w:val="7CF20C20"/>
    <w:rsid w:val="7D4D578F"/>
    <w:rsid w:val="7DDC7906"/>
    <w:rsid w:val="7E5B6C64"/>
    <w:rsid w:val="7E9D7D8D"/>
    <w:rsid w:val="7EE822DB"/>
    <w:rsid w:val="7F1629A4"/>
    <w:rsid w:val="7F472D18"/>
    <w:rsid w:val="7FF511E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ind w:firstLine="420" w:firstLineChars="200"/>
      <w:jc w:val="both"/>
    </w:pPr>
    <w:rPr>
      <w:rFonts w:ascii="Times New Roman" w:hAnsi="Times New Roman" w:eastAsia="宋体" w:cs="Times New Roman"/>
      <w:kern w:val="2"/>
      <w:sz w:val="21"/>
      <w:szCs w:val="28"/>
      <w:lang w:val="en-US" w:eastAsia="zh-CN" w:bidi="ar-SA"/>
    </w:rPr>
  </w:style>
  <w:style w:type="paragraph" w:styleId="2">
    <w:name w:val="heading 1"/>
    <w:basedOn w:val="1"/>
    <w:next w:val="1"/>
    <w:link w:val="24"/>
    <w:autoRedefine/>
    <w:qFormat/>
    <w:uiPriority w:val="0"/>
    <w:pPr>
      <w:keepNext/>
      <w:keepLines/>
      <w:ind w:firstLine="0" w:firstLineChars="0"/>
      <w:outlineLvl w:val="0"/>
    </w:pPr>
    <w:rPr>
      <w:rFonts w:ascii="宋体" w:hAnsi="宋体"/>
      <w:b/>
      <w:bCs/>
      <w:kern w:val="44"/>
      <w:sz w:val="28"/>
    </w:rPr>
  </w:style>
  <w:style w:type="paragraph" w:styleId="3">
    <w:name w:val="heading 2"/>
    <w:basedOn w:val="1"/>
    <w:next w:val="1"/>
    <w:autoRedefine/>
    <w:unhideWhenUsed/>
    <w:qFormat/>
    <w:uiPriority w:val="0"/>
    <w:pPr>
      <w:ind w:firstLine="0" w:firstLineChars="0"/>
      <w:jc w:val="left"/>
      <w:outlineLvl w:val="1"/>
    </w:pPr>
    <w:rPr>
      <w:rFonts w:eastAsia="黑体"/>
      <w:szCs w:val="22"/>
    </w:rPr>
  </w:style>
  <w:style w:type="paragraph" w:styleId="4">
    <w:name w:val="heading 3"/>
    <w:basedOn w:val="1"/>
    <w:next w:val="1"/>
    <w:link w:val="41"/>
    <w:autoRedefine/>
    <w:unhideWhenUsed/>
    <w:qFormat/>
    <w:uiPriority w:val="0"/>
    <w:pPr>
      <w:ind w:firstLine="0" w:firstLineChars="0"/>
      <w:jc w:val="left"/>
      <w:outlineLvl w:val="2"/>
    </w:pPr>
    <w:rPr>
      <w:rFonts w:eastAsia="楷体"/>
      <w:szCs w:val="22"/>
    </w:rPr>
  </w:style>
  <w:style w:type="paragraph" w:styleId="5">
    <w:name w:val="heading 4"/>
    <w:basedOn w:val="1"/>
    <w:next w:val="1"/>
    <w:autoRedefine/>
    <w:unhideWhenUsed/>
    <w:qFormat/>
    <w:uiPriority w:val="0"/>
    <w:pPr>
      <w:spacing w:beforeAutospacing="1" w:afterAutospacing="1"/>
      <w:jc w:val="left"/>
      <w:outlineLvl w:val="3"/>
    </w:pPr>
    <w:rPr>
      <w:rFonts w:hint="eastAsia" w:ascii="宋体" w:hAnsi="宋体"/>
      <w:b/>
      <w:bCs/>
      <w:kern w:val="0"/>
      <w:sz w:val="24"/>
      <w:szCs w:val="24"/>
    </w:rPr>
  </w:style>
  <w:style w:type="paragraph" w:styleId="6">
    <w:name w:val="heading 5"/>
    <w:basedOn w:val="1"/>
    <w:next w:val="1"/>
    <w:autoRedefine/>
    <w:semiHidden/>
    <w:unhideWhenUsed/>
    <w:qFormat/>
    <w:uiPriority w:val="0"/>
    <w:pPr>
      <w:spacing w:beforeAutospacing="1" w:afterAutospacing="1"/>
      <w:jc w:val="left"/>
      <w:outlineLvl w:val="4"/>
    </w:pPr>
    <w:rPr>
      <w:rFonts w:hint="eastAsia" w:ascii="宋体" w:hAnsi="宋体"/>
      <w:b/>
      <w:bCs/>
      <w:kern w:val="0"/>
      <w:sz w:val="20"/>
      <w:szCs w:val="20"/>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7">
    <w:name w:val="annotation text"/>
    <w:basedOn w:val="1"/>
    <w:autoRedefine/>
    <w:qFormat/>
    <w:uiPriority w:val="0"/>
    <w:pPr>
      <w:jc w:val="left"/>
    </w:pPr>
  </w:style>
  <w:style w:type="paragraph" w:styleId="8">
    <w:name w:val="Body Text"/>
    <w:basedOn w:val="1"/>
    <w:link w:val="37"/>
    <w:autoRedefine/>
    <w:qFormat/>
    <w:uiPriority w:val="0"/>
    <w:pPr>
      <w:spacing w:after="120"/>
    </w:pPr>
  </w:style>
  <w:style w:type="paragraph" w:styleId="9">
    <w:name w:val="footer"/>
    <w:basedOn w:val="1"/>
    <w:autoRedefine/>
    <w:qFormat/>
    <w:uiPriority w:val="0"/>
    <w:pPr>
      <w:tabs>
        <w:tab w:val="center" w:pos="4153"/>
        <w:tab w:val="right" w:pos="8306"/>
      </w:tabs>
      <w:snapToGrid w:val="0"/>
      <w:jc w:val="left"/>
    </w:pPr>
    <w:rPr>
      <w:sz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footnote text"/>
    <w:basedOn w:val="1"/>
    <w:autoRedefine/>
    <w:semiHidden/>
    <w:qFormat/>
    <w:uiPriority w:val="0"/>
    <w:pPr>
      <w:snapToGrid w:val="0"/>
      <w:jc w:val="left"/>
    </w:pPr>
    <w:rPr>
      <w:sz w:val="18"/>
      <w:szCs w:val="18"/>
    </w:rPr>
  </w:style>
  <w:style w:type="paragraph" w:styleId="12">
    <w:name w:val="Normal (Web)"/>
    <w:basedOn w:val="1"/>
    <w:autoRedefine/>
    <w:qFormat/>
    <w:uiPriority w:val="0"/>
    <w:pPr>
      <w:spacing w:beforeAutospacing="1" w:afterAutospacing="1"/>
      <w:jc w:val="left"/>
    </w:pPr>
    <w:rPr>
      <w:kern w:val="0"/>
      <w:sz w:val="24"/>
    </w:rPr>
  </w:style>
  <w:style w:type="paragraph" w:styleId="13">
    <w:name w:val="Title"/>
    <w:basedOn w:val="1"/>
    <w:next w:val="1"/>
    <w:autoRedefine/>
    <w:qFormat/>
    <w:uiPriority w:val="10"/>
    <w:pPr>
      <w:ind w:firstLine="0" w:firstLineChars="0"/>
      <w:jc w:val="center"/>
      <w:outlineLvl w:val="0"/>
    </w:pPr>
    <w:rPr>
      <w:rFonts w:ascii="Cambria" w:hAnsi="Cambria"/>
      <w:b/>
      <w:bCs/>
      <w:sz w:val="48"/>
      <w:szCs w:val="32"/>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b/>
    </w:rPr>
  </w:style>
  <w:style w:type="character" w:styleId="18">
    <w:name w:val="Emphasis"/>
    <w:basedOn w:val="16"/>
    <w:autoRedefine/>
    <w:qFormat/>
    <w:uiPriority w:val="0"/>
    <w:rPr>
      <w:i/>
    </w:rPr>
  </w:style>
  <w:style w:type="character" w:styleId="19">
    <w:name w:val="Hyperlink"/>
    <w:basedOn w:val="16"/>
    <w:autoRedefine/>
    <w:qFormat/>
    <w:uiPriority w:val="0"/>
    <w:rPr>
      <w:color w:val="0000FF"/>
      <w:u w:val="single"/>
    </w:rPr>
  </w:style>
  <w:style w:type="character" w:styleId="20">
    <w:name w:val="HTML Code"/>
    <w:basedOn w:val="16"/>
    <w:autoRedefine/>
    <w:qFormat/>
    <w:uiPriority w:val="0"/>
    <w:rPr>
      <w:rFonts w:ascii="Courier New" w:hAnsi="Courier New"/>
      <w:sz w:val="20"/>
    </w:rPr>
  </w:style>
  <w:style w:type="character" w:styleId="21">
    <w:name w:val="footnote reference"/>
    <w:basedOn w:val="16"/>
    <w:autoRedefine/>
    <w:qFormat/>
    <w:uiPriority w:val="0"/>
    <w:rPr>
      <w:vertAlign w:val="superscript"/>
    </w:rPr>
  </w:style>
  <w:style w:type="character" w:customStyle="1" w:styleId="22">
    <w:name w:val="font21"/>
    <w:basedOn w:val="16"/>
    <w:autoRedefine/>
    <w:qFormat/>
    <w:uiPriority w:val="0"/>
    <w:rPr>
      <w:rFonts w:hint="eastAsia" w:ascii="宋体" w:hAnsi="宋体" w:eastAsia="宋体" w:cs="宋体"/>
      <w:color w:val="0F1115"/>
      <w:sz w:val="22"/>
      <w:szCs w:val="22"/>
      <w:u w:val="none"/>
    </w:rPr>
  </w:style>
  <w:style w:type="character" w:customStyle="1" w:styleId="23">
    <w:name w:val="font11"/>
    <w:basedOn w:val="16"/>
    <w:autoRedefine/>
    <w:qFormat/>
    <w:uiPriority w:val="0"/>
    <w:rPr>
      <w:rFonts w:hint="default" w:ascii="Times New Roman" w:hAnsi="Times New Roman" w:cs="Times New Roman"/>
      <w:color w:val="0F1115"/>
      <w:sz w:val="22"/>
      <w:szCs w:val="22"/>
      <w:u w:val="none"/>
    </w:rPr>
  </w:style>
  <w:style w:type="character" w:customStyle="1" w:styleId="24">
    <w:name w:val="标题 1 字符"/>
    <w:link w:val="2"/>
    <w:autoRedefine/>
    <w:qFormat/>
    <w:uiPriority w:val="0"/>
    <w:rPr>
      <w:rFonts w:ascii="宋体" w:hAnsi="宋体"/>
      <w:b/>
      <w:bCs/>
      <w:kern w:val="44"/>
      <w:sz w:val="28"/>
    </w:rPr>
  </w:style>
  <w:style w:type="paragraph" w:customStyle="1" w:styleId="25">
    <w:name w:val="EndNote Bibliography Title"/>
    <w:autoRedefine/>
    <w:qFormat/>
    <w:uiPriority w:val="0"/>
    <w:pPr>
      <w:jc w:val="center"/>
    </w:pPr>
    <w:rPr>
      <w:rFonts w:ascii="Times New Roman" w:hAnsi="Times New Roman" w:eastAsia="宋体" w:cs="Times New Roman"/>
      <w:kern w:val="2"/>
      <w:szCs w:val="28"/>
      <w:lang w:val="en-US" w:eastAsia="zh-CN" w:bidi="ar-SA"/>
    </w:rPr>
  </w:style>
  <w:style w:type="paragraph" w:customStyle="1" w:styleId="26">
    <w:name w:val="EndNote Bibliography"/>
    <w:autoRedefine/>
    <w:qFormat/>
    <w:uiPriority w:val="0"/>
    <w:pPr>
      <w:jc w:val="both"/>
    </w:pPr>
    <w:rPr>
      <w:rFonts w:ascii="Times New Roman" w:hAnsi="Times New Roman" w:eastAsia="宋体" w:cs="Times New Roman"/>
      <w:kern w:val="2"/>
      <w:szCs w:val="28"/>
      <w:lang w:val="en-US" w:eastAsia="zh-CN" w:bidi="ar-SA"/>
    </w:rPr>
  </w:style>
  <w:style w:type="paragraph" w:customStyle="1" w:styleId="27">
    <w:name w:val="CAuthor"/>
    <w:basedOn w:val="1"/>
    <w:next w:val="28"/>
    <w:autoRedefine/>
    <w:qFormat/>
    <w:uiPriority w:val="0"/>
    <w:pPr>
      <w:spacing w:before="156" w:beforeLines="50" w:after="156" w:afterLines="50"/>
      <w:jc w:val="center"/>
    </w:pPr>
    <w:rPr>
      <w:rFonts w:ascii="楷体_GB2312" w:eastAsia="楷体_GB2312"/>
      <w:sz w:val="28"/>
    </w:rPr>
  </w:style>
  <w:style w:type="paragraph" w:customStyle="1" w:styleId="28">
    <w:name w:val="CAffiliation"/>
    <w:basedOn w:val="1"/>
    <w:next w:val="29"/>
    <w:autoRedefine/>
    <w:qFormat/>
    <w:uiPriority w:val="0"/>
    <w:pPr>
      <w:spacing w:before="156" w:beforeLines="50" w:after="156" w:afterLines="50"/>
      <w:jc w:val="center"/>
    </w:pPr>
    <w:rPr>
      <w:rFonts w:ascii="宋体" w:hAnsi="宋体"/>
      <w:sz w:val="15"/>
    </w:rPr>
  </w:style>
  <w:style w:type="paragraph" w:customStyle="1" w:styleId="29">
    <w:name w:val="CAbstract"/>
    <w:basedOn w:val="1"/>
    <w:next w:val="30"/>
    <w:autoRedefine/>
    <w:qFormat/>
    <w:uiPriority w:val="0"/>
    <w:pPr>
      <w:numPr>
        <w:ilvl w:val="0"/>
        <w:numId w:val="1"/>
      </w:numPr>
      <w:tabs>
        <w:tab w:val="clear" w:pos="720"/>
      </w:tabs>
      <w:spacing w:before="156" w:beforeLines="50" w:after="156" w:afterLines="50"/>
      <w:ind w:left="284" w:right="378" w:rightChars="180" w:firstLine="0"/>
    </w:pPr>
    <w:rPr>
      <w:sz w:val="18"/>
    </w:rPr>
  </w:style>
  <w:style w:type="paragraph" w:customStyle="1" w:styleId="30">
    <w:name w:val="CKeyWords"/>
    <w:basedOn w:val="1"/>
    <w:next w:val="31"/>
    <w:autoRedefine/>
    <w:qFormat/>
    <w:uiPriority w:val="0"/>
    <w:pPr>
      <w:numPr>
        <w:ilvl w:val="0"/>
        <w:numId w:val="2"/>
      </w:numPr>
      <w:tabs>
        <w:tab w:val="clear" w:pos="1500"/>
      </w:tabs>
      <w:spacing w:before="156" w:beforeLines="50" w:after="156" w:afterLines="50"/>
      <w:ind w:left="1257" w:leftChars="140" w:right="378" w:rightChars="180" w:hanging="963" w:hangingChars="535"/>
    </w:pPr>
    <w:rPr>
      <w:sz w:val="18"/>
    </w:rPr>
  </w:style>
  <w:style w:type="paragraph" w:customStyle="1" w:styleId="31">
    <w:name w:val="English Title"/>
    <w:basedOn w:val="1"/>
    <w:next w:val="32"/>
    <w:autoRedefine/>
    <w:qFormat/>
    <w:uiPriority w:val="0"/>
    <w:pPr>
      <w:spacing w:before="780" w:beforeLines="250" w:after="156" w:afterLines="50"/>
      <w:jc w:val="center"/>
    </w:pPr>
    <w:rPr>
      <w:rFonts w:ascii="Arial" w:hAnsi="Arial" w:cs="Arial"/>
      <w:sz w:val="44"/>
    </w:rPr>
  </w:style>
  <w:style w:type="paragraph" w:customStyle="1" w:styleId="32">
    <w:name w:val="Author"/>
    <w:basedOn w:val="1"/>
    <w:next w:val="33"/>
    <w:autoRedefine/>
    <w:qFormat/>
    <w:uiPriority w:val="0"/>
    <w:pPr>
      <w:jc w:val="center"/>
    </w:pPr>
    <w:rPr>
      <w:sz w:val="28"/>
    </w:rPr>
  </w:style>
  <w:style w:type="paragraph" w:customStyle="1" w:styleId="33">
    <w:name w:val="Affiliation"/>
    <w:basedOn w:val="1"/>
    <w:next w:val="34"/>
    <w:autoRedefine/>
    <w:qFormat/>
    <w:uiPriority w:val="0"/>
    <w:pPr>
      <w:spacing w:before="312" w:beforeLines="100" w:after="312" w:afterLines="100"/>
      <w:jc w:val="center"/>
    </w:pPr>
    <w:rPr>
      <w:sz w:val="15"/>
    </w:rPr>
  </w:style>
  <w:style w:type="paragraph" w:customStyle="1" w:styleId="34">
    <w:name w:val="Abstract"/>
    <w:basedOn w:val="1"/>
    <w:next w:val="35"/>
    <w:autoRedefine/>
    <w:qFormat/>
    <w:uiPriority w:val="0"/>
    <w:pPr>
      <w:numPr>
        <w:ilvl w:val="0"/>
        <w:numId w:val="3"/>
      </w:numPr>
      <w:spacing w:before="156" w:beforeLines="50" w:after="156" w:afterLines="50"/>
      <w:ind w:left="0" w:firstLine="0"/>
    </w:pPr>
    <w:rPr>
      <w:rFonts w:cs="Arial"/>
      <w:sz w:val="18"/>
    </w:rPr>
  </w:style>
  <w:style w:type="paragraph" w:customStyle="1" w:styleId="35">
    <w:name w:val="key words"/>
    <w:basedOn w:val="1"/>
    <w:next w:val="1"/>
    <w:autoRedefine/>
    <w:qFormat/>
    <w:uiPriority w:val="0"/>
    <w:pPr>
      <w:numPr>
        <w:ilvl w:val="0"/>
        <w:numId w:val="4"/>
      </w:numPr>
      <w:tabs>
        <w:tab w:val="clear" w:pos="1080"/>
      </w:tabs>
      <w:spacing w:before="156" w:beforeLines="50" w:after="312" w:afterLines="100"/>
      <w:ind w:left="1069" w:hanging="1069" w:hangingChars="594"/>
    </w:pPr>
    <w:rPr>
      <w:sz w:val="18"/>
    </w:rPr>
  </w:style>
  <w:style w:type="paragraph" w:customStyle="1" w:styleId="36">
    <w:name w:val="MTDisplayEquation"/>
    <w:basedOn w:val="8"/>
    <w:next w:val="1"/>
    <w:link w:val="38"/>
    <w:autoRedefine/>
    <w:qFormat/>
    <w:uiPriority w:val="0"/>
    <w:pPr>
      <w:tabs>
        <w:tab w:val="center" w:pos="4160"/>
        <w:tab w:val="right" w:pos="8300"/>
      </w:tabs>
      <w:jc w:val="center"/>
    </w:pPr>
  </w:style>
  <w:style w:type="character" w:customStyle="1" w:styleId="37">
    <w:name w:val="正文文本 字符"/>
    <w:basedOn w:val="16"/>
    <w:link w:val="8"/>
    <w:autoRedefine/>
    <w:qFormat/>
    <w:uiPriority w:val="0"/>
  </w:style>
  <w:style w:type="character" w:customStyle="1" w:styleId="38">
    <w:name w:val="MTDisplayEquation 字符"/>
    <w:basedOn w:val="37"/>
    <w:link w:val="36"/>
    <w:autoRedefine/>
    <w:qFormat/>
    <w:uiPriority w:val="0"/>
  </w:style>
  <w:style w:type="character" w:customStyle="1" w:styleId="39">
    <w:name w:val="MTConvertedEquation"/>
    <w:basedOn w:val="16"/>
    <w:autoRedefine/>
    <w:qFormat/>
    <w:uiPriority w:val="0"/>
  </w:style>
  <w:style w:type="paragraph" w:customStyle="1" w:styleId="40">
    <w:name w:val="修订1"/>
    <w:hidden/>
    <w:unhideWhenUsed/>
    <w:qFormat/>
    <w:uiPriority w:val="99"/>
    <w:rPr>
      <w:rFonts w:ascii="Times New Roman" w:hAnsi="Times New Roman" w:eastAsia="宋体" w:cs="Times New Roman"/>
      <w:kern w:val="2"/>
      <w:sz w:val="21"/>
      <w:szCs w:val="28"/>
      <w:lang w:val="en-US" w:eastAsia="zh-CN" w:bidi="ar-SA"/>
    </w:rPr>
  </w:style>
  <w:style w:type="character" w:customStyle="1" w:styleId="41">
    <w:name w:val="标题 3 字符"/>
    <w:basedOn w:val="16"/>
    <w:link w:val="4"/>
    <w:qFormat/>
    <w:uiPriority w:val="0"/>
    <w:rPr>
      <w:rFonts w:ascii="Times New Roman" w:hAnsi="Times New Roman" w:eastAsia="楷体" w:cs="Times New Roman"/>
      <w:kern w:val="2"/>
      <w:sz w:val="21"/>
      <w:szCs w:val="22"/>
    </w:rPr>
  </w:style>
  <w:style w:type="paragraph" w:customStyle="1" w:styleId="42">
    <w:name w:val="修订2"/>
    <w:hidden/>
    <w:unhideWhenUsed/>
    <w:qFormat/>
    <w:uiPriority w:val="99"/>
    <w:rPr>
      <w:rFonts w:ascii="Times New Roman" w:hAnsi="Times New Roman" w:eastAsia="宋体" w:cs="Times New Roman"/>
      <w:kern w:val="2"/>
      <w:sz w:val="21"/>
      <w:szCs w:val="28"/>
      <w:lang w:val="en-US" w:eastAsia="zh-CN" w:bidi="ar-SA"/>
    </w:rPr>
  </w:style>
  <w:style w:type="paragraph" w:customStyle="1" w:styleId="43">
    <w:name w:val="标准三号正文"/>
    <w:basedOn w:val="1"/>
    <w:qFormat/>
    <w:uiPriority w:val="0"/>
    <w:pPr>
      <w:spacing w:line="360" w:lineRule="auto"/>
      <w:ind w:firstLine="880"/>
    </w:pPr>
    <w:rPr>
      <w:rFonts w:ascii="宋体" w:hAnsi="宋体" w:eastAsia="仿宋"/>
      <w:sz w:val="32"/>
    </w:rPr>
  </w:style>
  <w:style w:type="paragraph" w:customStyle="1" w:styleId="44">
    <w:name w:val="Revision"/>
    <w:hidden/>
    <w:unhideWhenUsed/>
    <w:qFormat/>
    <w:uiPriority w:val="99"/>
    <w:rPr>
      <w:rFonts w:ascii="Times New Roman" w:hAnsi="Times New Roman" w:eastAsia="宋体" w:cs="Times New Roman"/>
      <w:kern w:val="2"/>
      <w:sz w:val="21"/>
      <w:szCs w:val="28"/>
      <w:lang w:val="en-US" w:eastAsia="zh-CN" w:bidi="ar-SA"/>
    </w:rPr>
  </w:style>
  <w:style w:type="character" w:customStyle="1" w:styleId="45">
    <w:name w:val="MTEquationSection"/>
    <w:basedOn w:val="16"/>
    <w:qFormat/>
    <w:uiPriority w:val="0"/>
    <w:rPr>
      <w:vanish/>
      <w:color w:val="FF000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2.jpeg"/><Relationship Id="rId79" Type="http://schemas.openxmlformats.org/officeDocument/2006/relationships/image" Target="media/image38.jpeg"/><Relationship Id="rId78" Type="http://schemas.openxmlformats.org/officeDocument/2006/relationships/image" Target="media/image37.jpeg"/><Relationship Id="rId77" Type="http://schemas.openxmlformats.org/officeDocument/2006/relationships/image" Target="media/image36.jpeg"/><Relationship Id="rId76" Type="http://schemas.openxmlformats.org/officeDocument/2006/relationships/image" Target="media/image35.wmf"/><Relationship Id="rId75" Type="http://schemas.openxmlformats.org/officeDocument/2006/relationships/oleObject" Target="embeddings/oleObject35.bin"/><Relationship Id="rId74" Type="http://schemas.openxmlformats.org/officeDocument/2006/relationships/image" Target="media/image34.wmf"/><Relationship Id="rId73" Type="http://schemas.openxmlformats.org/officeDocument/2006/relationships/oleObject" Target="embeddings/oleObject34.bin"/><Relationship Id="rId72" Type="http://schemas.openxmlformats.org/officeDocument/2006/relationships/image" Target="media/image33.wmf"/><Relationship Id="rId71" Type="http://schemas.openxmlformats.org/officeDocument/2006/relationships/oleObject" Target="embeddings/oleObject33.bin"/><Relationship Id="rId70" Type="http://schemas.openxmlformats.org/officeDocument/2006/relationships/image" Target="media/image32.wmf"/><Relationship Id="rId7" Type="http://schemas.openxmlformats.org/officeDocument/2006/relationships/image" Target="media/image1.jpeg"/><Relationship Id="rId69" Type="http://schemas.openxmlformats.org/officeDocument/2006/relationships/oleObject" Target="embeddings/oleObject32.bin"/><Relationship Id="rId68" Type="http://schemas.openxmlformats.org/officeDocument/2006/relationships/image" Target="media/image31.wmf"/><Relationship Id="rId67" Type="http://schemas.openxmlformats.org/officeDocument/2006/relationships/oleObject" Target="embeddings/oleObject31.bin"/><Relationship Id="rId66" Type="http://schemas.openxmlformats.org/officeDocument/2006/relationships/oleObject" Target="embeddings/oleObject30.bin"/><Relationship Id="rId65" Type="http://schemas.openxmlformats.org/officeDocument/2006/relationships/image" Target="media/image30.wmf"/><Relationship Id="rId64" Type="http://schemas.openxmlformats.org/officeDocument/2006/relationships/oleObject" Target="embeddings/oleObject29.bin"/><Relationship Id="rId63" Type="http://schemas.openxmlformats.org/officeDocument/2006/relationships/oleObject" Target="embeddings/oleObject28.bin"/><Relationship Id="rId62" Type="http://schemas.openxmlformats.org/officeDocument/2006/relationships/image" Target="media/image29.wmf"/><Relationship Id="rId61" Type="http://schemas.openxmlformats.org/officeDocument/2006/relationships/oleObject" Target="embeddings/oleObject27.bin"/><Relationship Id="rId60" Type="http://schemas.openxmlformats.org/officeDocument/2006/relationships/image" Target="media/image28.wmf"/><Relationship Id="rId6" Type="http://schemas.openxmlformats.org/officeDocument/2006/relationships/theme" Target="theme/theme1.xml"/><Relationship Id="rId59" Type="http://schemas.openxmlformats.org/officeDocument/2006/relationships/oleObject" Target="embeddings/oleObject26.bin"/><Relationship Id="rId58" Type="http://schemas.openxmlformats.org/officeDocument/2006/relationships/oleObject" Target="embeddings/oleObject25.bin"/><Relationship Id="rId57" Type="http://schemas.openxmlformats.org/officeDocument/2006/relationships/image" Target="media/image27.wmf"/><Relationship Id="rId56" Type="http://schemas.openxmlformats.org/officeDocument/2006/relationships/oleObject" Target="embeddings/oleObject24.bin"/><Relationship Id="rId55" Type="http://schemas.openxmlformats.org/officeDocument/2006/relationships/oleObject" Target="embeddings/oleObject23.bin"/><Relationship Id="rId54" Type="http://schemas.openxmlformats.org/officeDocument/2006/relationships/image" Target="media/image26.wmf"/><Relationship Id="rId53" Type="http://schemas.openxmlformats.org/officeDocument/2006/relationships/oleObject" Target="embeddings/oleObject22.bin"/><Relationship Id="rId52" Type="http://schemas.openxmlformats.org/officeDocument/2006/relationships/oleObject" Target="embeddings/oleObject21.bin"/><Relationship Id="rId51" Type="http://schemas.openxmlformats.org/officeDocument/2006/relationships/image" Target="media/image25.wmf"/><Relationship Id="rId50" Type="http://schemas.openxmlformats.org/officeDocument/2006/relationships/oleObject" Target="embeddings/oleObject20.bin"/><Relationship Id="rId5" Type="http://schemas.openxmlformats.org/officeDocument/2006/relationships/footer" Target="footer1.xml"/><Relationship Id="rId49" Type="http://schemas.openxmlformats.org/officeDocument/2006/relationships/image" Target="media/image24.wmf"/><Relationship Id="rId48" Type="http://schemas.openxmlformats.org/officeDocument/2006/relationships/oleObject" Target="embeddings/oleObject19.bin"/><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wmf"/><Relationship Id="rId44" Type="http://schemas.openxmlformats.org/officeDocument/2006/relationships/oleObject" Target="embeddings/oleObject18.bin"/><Relationship Id="rId43" Type="http://schemas.openxmlformats.org/officeDocument/2006/relationships/image" Target="media/image20.wmf"/><Relationship Id="rId42" Type="http://schemas.openxmlformats.org/officeDocument/2006/relationships/oleObject" Target="embeddings/oleObject17.bin"/><Relationship Id="rId41" Type="http://schemas.openxmlformats.org/officeDocument/2006/relationships/image" Target="media/image19.wmf"/><Relationship Id="rId40" Type="http://schemas.openxmlformats.org/officeDocument/2006/relationships/oleObject" Target="embeddings/oleObject16.bin"/><Relationship Id="rId4" Type="http://schemas.openxmlformats.org/officeDocument/2006/relationships/endnotes" Target="endnotes.xml"/><Relationship Id="rId39" Type="http://schemas.openxmlformats.org/officeDocument/2006/relationships/image" Target="media/image18.wmf"/><Relationship Id="rId38" Type="http://schemas.openxmlformats.org/officeDocument/2006/relationships/oleObject" Target="embeddings/oleObject15.bin"/><Relationship Id="rId37" Type="http://schemas.openxmlformats.org/officeDocument/2006/relationships/image" Target="media/image17.wmf"/><Relationship Id="rId36" Type="http://schemas.openxmlformats.org/officeDocument/2006/relationships/oleObject" Target="embeddings/oleObject14.bin"/><Relationship Id="rId35" Type="http://schemas.openxmlformats.org/officeDocument/2006/relationships/image" Target="media/image16.wmf"/><Relationship Id="rId34" Type="http://schemas.openxmlformats.org/officeDocument/2006/relationships/oleObject" Target="embeddings/oleObject13.bin"/><Relationship Id="rId33" Type="http://schemas.openxmlformats.org/officeDocument/2006/relationships/image" Target="media/image15.wmf"/><Relationship Id="rId32" Type="http://schemas.openxmlformats.org/officeDocument/2006/relationships/oleObject" Target="embeddings/oleObject12.bin"/><Relationship Id="rId31" Type="http://schemas.openxmlformats.org/officeDocument/2006/relationships/image" Target="media/image14.jpeg"/><Relationship Id="rId30" Type="http://schemas.openxmlformats.org/officeDocument/2006/relationships/image" Target="media/image13.wmf"/><Relationship Id="rId3" Type="http://schemas.openxmlformats.org/officeDocument/2006/relationships/footnotes" Target="footnotes.xml"/><Relationship Id="rId29" Type="http://schemas.openxmlformats.org/officeDocument/2006/relationships/oleObject" Target="embeddings/oleObject11.bin"/><Relationship Id="rId28" Type="http://schemas.openxmlformats.org/officeDocument/2006/relationships/image" Target="media/image12.wmf"/><Relationship Id="rId27" Type="http://schemas.openxmlformats.org/officeDocument/2006/relationships/oleObject" Target="embeddings/oleObject10.bin"/><Relationship Id="rId26" Type="http://schemas.openxmlformats.org/officeDocument/2006/relationships/image" Target="media/image11.wmf"/><Relationship Id="rId25" Type="http://schemas.openxmlformats.org/officeDocument/2006/relationships/oleObject" Target="embeddings/oleObject9.bin"/><Relationship Id="rId24" Type="http://schemas.openxmlformats.org/officeDocument/2006/relationships/image" Target="media/image10.wmf"/><Relationship Id="rId23" Type="http://schemas.openxmlformats.org/officeDocument/2006/relationships/oleObject" Target="embeddings/oleObject8.bin"/><Relationship Id="rId22" Type="http://schemas.openxmlformats.org/officeDocument/2006/relationships/image" Target="media/image9.wmf"/><Relationship Id="rId21" Type="http://schemas.openxmlformats.org/officeDocument/2006/relationships/oleObject" Target="embeddings/oleObject7.bin"/><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oleObject" Target="embeddings/oleObject6.bin"/><Relationship Id="rId18" Type="http://schemas.openxmlformats.org/officeDocument/2006/relationships/image" Target="media/image7.wmf"/><Relationship Id="rId17" Type="http://schemas.openxmlformats.org/officeDocument/2006/relationships/oleObject" Target="embeddings/oleObject5.bin"/><Relationship Id="rId16" Type="http://schemas.openxmlformats.org/officeDocument/2006/relationships/image" Target="media/image6.wmf"/><Relationship Id="rId15" Type="http://schemas.openxmlformats.org/officeDocument/2006/relationships/oleObject" Target="embeddings/oleObject4.bin"/><Relationship Id="rId14" Type="http://schemas.openxmlformats.org/officeDocument/2006/relationships/image" Target="media/image5.wmf"/><Relationship Id="rId13" Type="http://schemas.openxmlformats.org/officeDocument/2006/relationships/oleObject" Target="embeddings/oleObject3.bin"/><Relationship Id="rId12" Type="http://schemas.openxmlformats.org/officeDocument/2006/relationships/image" Target="media/image4.wmf"/><Relationship Id="rId11" Type="http://schemas.openxmlformats.org/officeDocument/2006/relationships/oleObject" Target="embeddings/oleObject2.bin"/><Relationship Id="rId10" Type="http://schemas.openxmlformats.org/officeDocument/2006/relationships/image" Target="media/image3.w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4211</Words>
  <Characters>6767</Characters>
  <Lines>1</Lines>
  <Paragraphs>1</Paragraphs>
  <TotalTime>1506</TotalTime>
  <ScaleCrop>false</ScaleCrop>
  <LinksUpToDate>false</LinksUpToDate>
  <CharactersWithSpaces>7226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2026-01-12T13:14:00Z</dcterms:created>
  <dc:creator>冷亚君</dc:creator>
  <cp:lastModifiedBy>aaa</cp:lastModifiedBy>
  <dcterms:modified xsi:type="dcterms:W3CDTF">2026-02-02T02:06:19Z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D1CAB8F1C84E4E23BFE874FAC8E21BA8_11</vt:lpwstr>
  </property>
  <property fmtid="{D5CDD505-2E9C-101B-9397-08002B2CF9AE}" pid="4" name="KSOTemplateDocerSaveRecord">
    <vt:lpwstr>eyJoZGlkIjoiZGE2Mjg2YTZkZTMyMTYwY2M1OTQ5YzJlN2MyYmRjOGEiLCJ1c2VySWQiOiIyNjUyMTM2ODcifQ==</vt:lpwstr>
  </property>
  <property fmtid="{D5CDD505-2E9C-101B-9397-08002B2CF9AE}" pid="5" name="MTEquationSection">
    <vt:lpwstr>1</vt:lpwstr>
  </property>
  <property fmtid="{D5CDD505-2E9C-101B-9397-08002B2CF9AE}" pid="6" name="MTEquationNumber2">
    <vt:lpwstr>(#E1)</vt:lpwstr>
  </property>
</Properties>
</file>