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62D30">
      <w:pPr>
        <w:ind w:firstLine="0" w:firstLineChars="0"/>
        <w:jc w:val="center"/>
        <w:outlineLvl w:val="0"/>
        <w:rPr>
          <w:rFonts w:eastAsia="宋体" w:cs="Times New Roman"/>
          <w:b/>
          <w:bCs/>
          <w:color w:val="auto"/>
          <w:sz w:val="48"/>
          <w:szCs w:val="32"/>
        </w:rPr>
      </w:pPr>
      <w:r>
        <w:rPr>
          <w:rFonts w:hint="eastAsia" w:eastAsia="宋体" w:cs="Times New Roman"/>
          <w:b/>
          <w:bCs/>
          <w:color w:val="auto"/>
          <w:sz w:val="48"/>
          <w:szCs w:val="32"/>
        </w:rPr>
        <w:t>基于浅水方程的河网水动力数值模拟</w:t>
      </w:r>
    </w:p>
    <w:p w14:paraId="5FB2BD8F">
      <w:pPr>
        <w:ind w:firstLine="0" w:firstLineChars="0"/>
        <w:jc w:val="center"/>
        <w:outlineLvl w:val="0"/>
        <w:rPr>
          <w:rFonts w:eastAsia="宋体" w:cs="Times New Roman"/>
          <w:b/>
          <w:bCs/>
          <w:color w:val="auto"/>
          <w:sz w:val="48"/>
          <w:szCs w:val="32"/>
        </w:rPr>
      </w:pPr>
      <w:r>
        <w:rPr>
          <w:rFonts w:hint="eastAsia" w:eastAsia="宋体" w:cs="Times New Roman"/>
          <w:b/>
          <w:bCs/>
          <w:color w:val="auto"/>
          <w:sz w:val="48"/>
          <w:szCs w:val="32"/>
        </w:rPr>
        <w:t>方法综述</w:t>
      </w:r>
    </w:p>
    <w:p w14:paraId="57050212">
      <w:pPr>
        <w:ind w:firstLine="0" w:firstLineChars="0"/>
        <w:jc w:val="center"/>
        <w:rPr>
          <w:rFonts w:eastAsia="楷体" w:cs="Times New Roman"/>
          <w:color w:val="auto"/>
          <w:szCs w:val="21"/>
        </w:rPr>
      </w:pPr>
      <w:r>
        <w:rPr>
          <w:rFonts w:hint="eastAsia" w:eastAsia="楷体" w:cs="Times New Roman"/>
          <w:color w:val="auto"/>
          <w:sz w:val="28"/>
          <w:szCs w:val="28"/>
        </w:rPr>
        <w:t>曹翔</w:t>
      </w:r>
      <w:r>
        <w:rPr>
          <w:rFonts w:eastAsia="楷体" w:cs="Times New Roman"/>
          <w:color w:val="auto"/>
          <w:sz w:val="28"/>
          <w:szCs w:val="28"/>
          <w:vertAlign w:val="superscript"/>
        </w:rPr>
        <w:t>1</w:t>
      </w:r>
      <w:r>
        <w:rPr>
          <w:rFonts w:eastAsia="楷体" w:cs="Times New Roman"/>
          <w:color w:val="auto"/>
          <w:sz w:val="28"/>
          <w:szCs w:val="28"/>
        </w:rPr>
        <w:t>，</w:t>
      </w:r>
      <w:r>
        <w:rPr>
          <w:rFonts w:hint="eastAsia" w:eastAsia="楷体" w:cs="Times New Roman"/>
          <w:color w:val="auto"/>
          <w:sz w:val="28"/>
          <w:szCs w:val="28"/>
        </w:rPr>
        <w:t>伍永年</w:t>
      </w:r>
      <w:r>
        <w:rPr>
          <w:rFonts w:hint="eastAsia" w:eastAsia="楷体" w:cs="Times New Roman"/>
          <w:color w:val="auto"/>
          <w:sz w:val="28"/>
          <w:szCs w:val="28"/>
          <w:vertAlign w:val="superscript"/>
        </w:rPr>
        <w:t>2</w:t>
      </w:r>
      <w:r>
        <w:rPr>
          <w:rFonts w:hint="eastAsia" w:eastAsia="楷体" w:cs="Times New Roman"/>
          <w:color w:val="auto"/>
          <w:sz w:val="28"/>
          <w:szCs w:val="28"/>
        </w:rPr>
        <w:t>，刘慧</w:t>
      </w:r>
      <w:r>
        <w:rPr>
          <w:rFonts w:hint="eastAsia" w:eastAsia="楷体" w:cs="Times New Roman"/>
          <w:color w:val="auto"/>
          <w:sz w:val="28"/>
          <w:szCs w:val="28"/>
          <w:vertAlign w:val="superscript"/>
        </w:rPr>
        <w:t>1</w:t>
      </w:r>
      <w:r>
        <w:rPr>
          <w:rFonts w:hint="eastAsia" w:eastAsia="楷体" w:cs="Times New Roman"/>
          <w:color w:val="auto"/>
          <w:sz w:val="28"/>
          <w:szCs w:val="28"/>
        </w:rPr>
        <w:t>，胡宏昌</w:t>
      </w:r>
      <w:r>
        <w:rPr>
          <w:rFonts w:hint="eastAsia" w:eastAsia="楷体" w:cs="Times New Roman"/>
          <w:color w:val="auto"/>
          <w:sz w:val="28"/>
          <w:szCs w:val="28"/>
          <w:vertAlign w:val="superscript"/>
        </w:rPr>
        <w:t>1</w:t>
      </w:r>
      <w:r>
        <w:rPr>
          <w:rFonts w:hint="eastAsia" w:eastAsia="楷体" w:cs="Times New Roman"/>
          <w:color w:val="auto"/>
          <w:sz w:val="28"/>
          <w:szCs w:val="28"/>
        </w:rPr>
        <w:t>，董志强</w:t>
      </w:r>
      <w:r>
        <w:rPr>
          <w:rFonts w:hint="eastAsia" w:eastAsia="楷体" w:cs="Times New Roman"/>
          <w:color w:val="auto"/>
          <w:sz w:val="28"/>
          <w:szCs w:val="28"/>
          <w:vertAlign w:val="superscript"/>
        </w:rPr>
        <w:t>1</w:t>
      </w:r>
      <w:r>
        <w:rPr>
          <w:rFonts w:hint="eastAsia" w:eastAsia="楷体" w:cs="Times New Roman"/>
          <w:color w:val="auto"/>
          <w:sz w:val="28"/>
          <w:szCs w:val="28"/>
        </w:rPr>
        <w:t>，穆祥鹏</w:t>
      </w:r>
      <w:r>
        <w:rPr>
          <w:rFonts w:hint="eastAsia" w:eastAsia="楷体" w:cs="Times New Roman"/>
          <w:color w:val="auto"/>
          <w:sz w:val="28"/>
          <w:szCs w:val="28"/>
          <w:vertAlign w:val="superscript"/>
        </w:rPr>
        <w:t>1</w:t>
      </w:r>
      <w:r>
        <w:rPr>
          <w:rFonts w:hint="eastAsia" w:eastAsia="楷体" w:cs="Times New Roman"/>
          <w:color w:val="auto"/>
          <w:sz w:val="28"/>
          <w:szCs w:val="28"/>
        </w:rPr>
        <w:t>，孙健</w:t>
      </w:r>
      <w:r>
        <w:rPr>
          <w:rFonts w:hint="eastAsia" w:eastAsia="楷体" w:cs="Times New Roman"/>
          <w:color w:val="auto"/>
          <w:sz w:val="28"/>
          <w:szCs w:val="28"/>
          <w:vertAlign w:val="superscript"/>
        </w:rPr>
        <w:t>3</w:t>
      </w:r>
    </w:p>
    <w:p w14:paraId="7BBFA90C">
      <w:pPr>
        <w:ind w:firstLine="0" w:firstLineChars="0"/>
        <w:jc w:val="center"/>
        <w:rPr>
          <w:rFonts w:eastAsia="宋体" w:cs="Times New Roman"/>
          <w:color w:val="auto"/>
          <w:szCs w:val="21"/>
        </w:rPr>
      </w:pPr>
      <w:r>
        <w:rPr>
          <w:rFonts w:eastAsia="宋体" w:cs="Times New Roman"/>
          <w:color w:val="auto"/>
          <w:szCs w:val="21"/>
        </w:rPr>
        <w:t>（</w:t>
      </w:r>
      <w:r>
        <w:rPr>
          <w:rFonts w:eastAsia="仿宋" w:cs="Times New Roman"/>
          <w:color w:val="auto"/>
          <w:szCs w:val="21"/>
        </w:rPr>
        <w:t>1.</w:t>
      </w:r>
      <w:r>
        <w:rPr>
          <w:rFonts w:hint="eastAsia" w:eastAsia="仿宋" w:cs="Times New Roman"/>
          <w:color w:val="auto"/>
          <w:szCs w:val="21"/>
        </w:rPr>
        <w:t>中国水利水电科学研究院 流域水循环与水安全全国重点实验室</w:t>
      </w:r>
      <w:r>
        <w:rPr>
          <w:rFonts w:eastAsia="仿宋" w:cs="Times New Roman"/>
          <w:color w:val="auto"/>
          <w:szCs w:val="21"/>
        </w:rPr>
        <w:t>，北京100038；2.</w:t>
      </w:r>
      <w:r>
        <w:rPr>
          <w:rFonts w:hint="eastAsia" w:eastAsia="仿宋" w:cs="Times New Roman"/>
          <w:color w:val="auto"/>
          <w:szCs w:val="21"/>
        </w:rPr>
        <w:t>太湖流域管理局水文局</w:t>
      </w:r>
      <w:bookmarkStart w:id="0" w:name="Bookmark0"/>
      <w:r>
        <w:rPr>
          <w:rFonts w:hint="eastAsia" w:eastAsia="仿宋" w:cs="Times New Roman"/>
          <w:color w:val="auto"/>
          <w:szCs w:val="21"/>
        </w:rPr>
        <w:t>（</w:t>
      </w:r>
      <w:bookmarkEnd w:id="0"/>
      <w:r>
        <w:rPr>
          <w:rFonts w:hint="eastAsia" w:eastAsia="仿宋" w:cs="Times New Roman"/>
          <w:color w:val="auto"/>
          <w:szCs w:val="21"/>
        </w:rPr>
        <w:t>信息中心）</w:t>
      </w:r>
      <w:r>
        <w:rPr>
          <w:rFonts w:eastAsia="仿宋" w:cs="Times New Roman"/>
          <w:color w:val="auto"/>
          <w:szCs w:val="21"/>
        </w:rPr>
        <w:t>，</w:t>
      </w:r>
      <w:r>
        <w:rPr>
          <w:rFonts w:hint="eastAsia" w:eastAsia="仿宋" w:cs="Times New Roman"/>
          <w:color w:val="auto"/>
          <w:szCs w:val="21"/>
        </w:rPr>
        <w:t>上海 200434；3.清华大学</w:t>
      </w:r>
      <w:bookmarkStart w:id="1" w:name="Bookmark1"/>
      <w:r>
        <w:rPr>
          <w:rFonts w:hint="eastAsia" w:eastAsia="仿宋" w:cs="Times New Roman"/>
          <w:color w:val="auto"/>
          <w:szCs w:val="21"/>
        </w:rPr>
        <w:t xml:space="preserve"> </w:t>
      </w:r>
      <w:bookmarkEnd w:id="1"/>
      <w:r>
        <w:rPr>
          <w:rFonts w:hint="eastAsia" w:eastAsia="仿宋" w:cs="Times New Roman"/>
          <w:color w:val="auto"/>
          <w:szCs w:val="21"/>
        </w:rPr>
        <w:t>水利水电工程系，北京100084</w:t>
      </w:r>
      <w:r>
        <w:rPr>
          <w:rFonts w:eastAsia="宋体" w:cs="Times New Roman"/>
          <w:color w:val="auto"/>
          <w:szCs w:val="21"/>
        </w:rPr>
        <w:t>）</w:t>
      </w:r>
    </w:p>
    <w:p w14:paraId="20C349D7">
      <w:pPr>
        <w:ind w:firstLine="0" w:firstLineChars="0"/>
        <w:jc w:val="center"/>
        <w:rPr>
          <w:rFonts w:eastAsia="宋体" w:cs="Times New Roman"/>
          <w:color w:val="auto"/>
          <w:szCs w:val="21"/>
        </w:rPr>
      </w:pPr>
    </w:p>
    <w:p w14:paraId="65EB18E9">
      <w:pPr>
        <w:ind w:firstLine="0" w:firstLineChars="0"/>
        <w:rPr>
          <w:rFonts w:eastAsia="宋体" w:cs="Times New Roman"/>
          <w:color w:val="auto"/>
          <w:szCs w:val="22"/>
        </w:rPr>
      </w:pPr>
      <w:r>
        <w:rPr>
          <w:rFonts w:eastAsia="黑体" w:cs="Times New Roman"/>
          <w:b/>
          <w:bCs/>
          <w:color w:val="auto"/>
          <w:szCs w:val="22"/>
        </w:rPr>
        <w:t>摘要：</w:t>
      </w:r>
      <w:r>
        <w:rPr>
          <w:rFonts w:hint="eastAsia" w:eastAsia="楷体" w:cs="Times New Roman"/>
          <w:color w:val="auto"/>
          <w:szCs w:val="21"/>
        </w:rPr>
        <w:t>【目的】系统梳理河网水动力数值模拟方法的发展历程与研究现状，分析传统方法与人工智能融合的潜力，为应对国家水网建设中的高精度、高效率模拟需求提供理论支撑与技术参考。【方法】通过文献综述与比较分析，系统总结有限差分法、有限体积法、有限元法等传统数值方法的基本原理、优劣与适用场景，探讨汊点-河道耦合与解耦策略及其并行实现，综述人工智能技术在河网水动力模拟中的最新应用与挑战。【结果】传统方法在理论体系与工程应用中较为成熟，但在大尺度实时模拟、复杂拓扑适应性与参数率定等方面存在局限；人工智能技术虽能显著提升计算效率与数据驱动能力，但其物理一致性与外推泛化能力仍有待加强。【结论】未来应重点发展汊点-河道解耦集成框架、智能模型选择系统、拓扑感知的AI建模范式、高效并行计算架构以及开源模块化模拟平台，推动河网水动力模拟向智能、高效、可解释方向发展。</w:t>
      </w:r>
    </w:p>
    <w:p w14:paraId="090E46FC">
      <w:pPr>
        <w:ind w:firstLine="0" w:firstLineChars="0"/>
        <w:rPr>
          <w:rFonts w:eastAsia="楷体" w:cs="Times New Roman"/>
          <w:color w:val="auto"/>
          <w:szCs w:val="21"/>
        </w:rPr>
      </w:pPr>
      <w:r>
        <w:rPr>
          <w:rFonts w:eastAsia="黑体" w:cs="Times New Roman"/>
          <w:b/>
          <w:bCs/>
          <w:color w:val="auto"/>
          <w:szCs w:val="22"/>
        </w:rPr>
        <w:t>关键词：</w:t>
      </w:r>
      <w:r>
        <w:rPr>
          <w:rFonts w:hint="eastAsia" w:eastAsia="楷体" w:cs="Times New Roman"/>
          <w:color w:val="auto"/>
          <w:szCs w:val="21"/>
        </w:rPr>
        <w:t>河网水动力；数值模拟；人工智能；浅水方程；并行计算</w:t>
      </w:r>
    </w:p>
    <w:p w14:paraId="5E76FC7D">
      <w:pPr>
        <w:ind w:firstLine="0" w:firstLineChars="0"/>
        <w:rPr>
          <w:rFonts w:eastAsia="楷体" w:cs="Times New Roman"/>
          <w:color w:val="auto"/>
          <w:szCs w:val="21"/>
        </w:rPr>
      </w:pPr>
      <w:r>
        <w:rPr>
          <w:rFonts w:hint="eastAsia" w:eastAsia="楷体" w:cs="Times New Roman"/>
          <w:color w:val="auto"/>
          <w:szCs w:val="21"/>
        </w:rPr>
        <w:t>DOI:                  OSID:</w:t>
      </w:r>
    </w:p>
    <w:p w14:paraId="60196910">
      <w:pPr>
        <w:ind w:firstLine="0" w:firstLineChars="0"/>
        <w:rPr>
          <w:rFonts w:eastAsia="宋体" w:cs="Times New Roman"/>
          <w:color w:val="auto"/>
          <w:sz w:val="18"/>
          <w:szCs w:val="18"/>
        </w:rPr>
      </w:pPr>
      <w:r>
        <w:rPr>
          <w:rFonts w:eastAsia="黑体" w:cs="Times New Roman"/>
          <w:b/>
          <w:bCs/>
          <w:color w:val="auto"/>
          <w:sz w:val="18"/>
          <w:szCs w:val="18"/>
        </w:rPr>
        <w:t>中图分类号</w:t>
      </w:r>
      <w:r>
        <w:rPr>
          <w:rFonts w:eastAsia="宋体" w:cs="Times New Roman"/>
          <w:color w:val="auto"/>
          <w:sz w:val="18"/>
          <w:szCs w:val="18"/>
        </w:rPr>
        <w:t>：TV</w:t>
      </w:r>
      <w:r>
        <w:rPr>
          <w:rFonts w:hint="eastAsia" w:eastAsia="宋体" w:cs="Times New Roman"/>
          <w:color w:val="auto"/>
          <w:sz w:val="18"/>
          <w:szCs w:val="18"/>
        </w:rPr>
        <w:t xml:space="preserve">131.2        </w:t>
      </w:r>
      <w:r>
        <w:rPr>
          <w:rFonts w:eastAsia="黑体" w:cs="Times New Roman"/>
          <w:b/>
          <w:color w:val="auto"/>
          <w:sz w:val="18"/>
          <w:szCs w:val="18"/>
        </w:rPr>
        <w:t>文献标志码</w:t>
      </w:r>
      <w:r>
        <w:rPr>
          <w:rFonts w:eastAsia="宋体" w:cs="Times New Roman"/>
          <w:b/>
          <w:color w:val="auto"/>
          <w:sz w:val="18"/>
          <w:szCs w:val="18"/>
        </w:rPr>
        <w:t>：A</w:t>
      </w:r>
      <w:r>
        <w:rPr>
          <w:rFonts w:hint="eastAsia" w:eastAsia="宋体" w:cs="Times New Roman"/>
          <w:b/>
          <w:color w:val="auto"/>
          <w:sz w:val="18"/>
          <w:szCs w:val="18"/>
        </w:rPr>
        <w:t xml:space="preserve">         文章编号：</w:t>
      </w:r>
    </w:p>
    <w:p w14:paraId="35352F6A">
      <w:pPr>
        <w:ind w:firstLine="0" w:firstLineChars="0"/>
        <w:jc w:val="center"/>
        <w:rPr>
          <w:rFonts w:eastAsia="宋体" w:cs="Times New Roman"/>
          <w:color w:val="auto"/>
          <w:sz w:val="18"/>
          <w:szCs w:val="18"/>
        </w:rPr>
      </w:pPr>
    </w:p>
    <w:p w14:paraId="685306FD">
      <w:pPr>
        <w:ind w:firstLine="0" w:firstLineChars="0"/>
        <w:jc w:val="center"/>
        <w:outlineLvl w:val="0"/>
        <w:rPr>
          <w:rFonts w:eastAsia="宋体" w:cs="Times New Roman"/>
          <w:b/>
          <w:bCs/>
          <w:color w:val="auto"/>
          <w:sz w:val="28"/>
          <w:szCs w:val="28"/>
        </w:rPr>
      </w:pPr>
      <w:r>
        <w:rPr>
          <w:rFonts w:hint="eastAsia" w:eastAsia="宋体" w:cs="Times New Roman"/>
          <w:b/>
          <w:bCs/>
          <w:color w:val="auto"/>
          <w:sz w:val="28"/>
          <w:szCs w:val="28"/>
        </w:rPr>
        <w:t>A review of shallow water equation-based hydrodynamic numerical modeling for river networks</w:t>
      </w:r>
    </w:p>
    <w:p w14:paraId="36B25462">
      <w:pPr>
        <w:ind w:firstLine="0" w:firstLineChars="0"/>
        <w:jc w:val="center"/>
        <w:rPr>
          <w:rFonts w:eastAsia="楷体" w:cs="Times New Roman"/>
          <w:color w:val="auto"/>
          <w:szCs w:val="21"/>
        </w:rPr>
      </w:pPr>
      <w:r>
        <w:rPr>
          <w:rFonts w:hint="eastAsia" w:eastAsia="楷体" w:cs="Times New Roman"/>
          <w:color w:val="auto"/>
          <w:szCs w:val="21"/>
        </w:rPr>
        <w:t>CAO Xiang</w:t>
      </w:r>
      <w:r>
        <w:rPr>
          <w:rFonts w:eastAsia="楷体" w:cs="Times New Roman"/>
          <w:color w:val="auto"/>
          <w:szCs w:val="21"/>
          <w:vertAlign w:val="superscript"/>
        </w:rPr>
        <w:t>1</w:t>
      </w:r>
      <w:r>
        <w:rPr>
          <w:rFonts w:eastAsia="楷体" w:cs="Times New Roman"/>
          <w:color w:val="auto"/>
          <w:szCs w:val="21"/>
        </w:rPr>
        <w:t>，</w:t>
      </w:r>
      <w:r>
        <w:rPr>
          <w:rFonts w:hint="eastAsia" w:eastAsia="楷体" w:cs="Times New Roman"/>
          <w:color w:val="auto"/>
          <w:szCs w:val="21"/>
        </w:rPr>
        <w:t>WU Yongnian</w:t>
      </w:r>
      <w:r>
        <w:rPr>
          <w:rFonts w:eastAsia="楷体" w:cs="Times New Roman"/>
          <w:color w:val="auto"/>
          <w:szCs w:val="21"/>
          <w:vertAlign w:val="superscript"/>
        </w:rPr>
        <w:t>2</w:t>
      </w:r>
      <w:r>
        <w:rPr>
          <w:rFonts w:eastAsia="楷体" w:cs="Times New Roman"/>
          <w:color w:val="auto"/>
          <w:szCs w:val="21"/>
        </w:rPr>
        <w:t>，</w:t>
      </w:r>
      <w:r>
        <w:rPr>
          <w:rFonts w:hint="eastAsia" w:eastAsia="楷体" w:cs="Times New Roman"/>
          <w:color w:val="auto"/>
          <w:szCs w:val="21"/>
        </w:rPr>
        <w:t>LIU Hui</w:t>
      </w:r>
      <w:r>
        <w:rPr>
          <w:rFonts w:eastAsia="楷体" w:cs="Times New Roman"/>
          <w:color w:val="auto"/>
          <w:szCs w:val="21"/>
          <w:vertAlign w:val="superscript"/>
        </w:rPr>
        <w:t>1</w:t>
      </w:r>
      <w:r>
        <w:rPr>
          <w:rFonts w:hint="eastAsia" w:eastAsia="楷体" w:cs="Times New Roman"/>
          <w:color w:val="auto"/>
          <w:szCs w:val="21"/>
        </w:rPr>
        <w:t>，HU Hongchang</w:t>
      </w:r>
      <w:r>
        <w:rPr>
          <w:rFonts w:hint="eastAsia" w:eastAsia="楷体" w:cs="Times New Roman"/>
          <w:color w:val="auto"/>
          <w:szCs w:val="21"/>
          <w:vertAlign w:val="superscript"/>
        </w:rPr>
        <w:t>1</w:t>
      </w:r>
      <w:r>
        <w:rPr>
          <w:rFonts w:hint="eastAsia" w:eastAsia="楷体" w:cs="Times New Roman"/>
          <w:color w:val="auto"/>
          <w:szCs w:val="21"/>
        </w:rPr>
        <w:t>，DONG Zhiqiang</w:t>
      </w:r>
      <w:r>
        <w:rPr>
          <w:rFonts w:hint="eastAsia" w:eastAsia="楷体" w:cs="Times New Roman"/>
          <w:color w:val="auto"/>
          <w:szCs w:val="21"/>
          <w:vertAlign w:val="superscript"/>
        </w:rPr>
        <w:t>1</w:t>
      </w:r>
      <w:r>
        <w:rPr>
          <w:rFonts w:hint="eastAsia" w:eastAsia="楷体" w:cs="Times New Roman"/>
          <w:color w:val="auto"/>
          <w:szCs w:val="21"/>
        </w:rPr>
        <w:t>，MU Xiangpeng</w:t>
      </w:r>
      <w:r>
        <w:rPr>
          <w:rFonts w:hint="eastAsia" w:eastAsia="楷体" w:cs="Times New Roman"/>
          <w:color w:val="auto"/>
          <w:szCs w:val="21"/>
          <w:vertAlign w:val="superscript"/>
        </w:rPr>
        <w:t>1</w:t>
      </w:r>
      <w:r>
        <w:rPr>
          <w:rFonts w:hint="eastAsia" w:eastAsia="楷体" w:cs="Times New Roman"/>
          <w:color w:val="auto"/>
          <w:szCs w:val="21"/>
        </w:rPr>
        <w:t>，SUN Jian</w:t>
      </w:r>
      <w:r>
        <w:rPr>
          <w:rFonts w:hint="eastAsia" w:eastAsia="楷体" w:cs="Times New Roman"/>
          <w:color w:val="auto"/>
          <w:szCs w:val="21"/>
          <w:vertAlign w:val="superscript"/>
        </w:rPr>
        <w:t>3</w:t>
      </w:r>
    </w:p>
    <w:p w14:paraId="10AA86EB">
      <w:pPr>
        <w:ind w:firstLine="0" w:firstLineChars="0"/>
        <w:jc w:val="center"/>
        <w:rPr>
          <w:rFonts w:eastAsia="宋体" w:cs="Times New Roman"/>
          <w:color w:val="auto"/>
          <w:sz w:val="18"/>
          <w:szCs w:val="18"/>
        </w:rPr>
      </w:pPr>
      <w:r>
        <w:rPr>
          <w:rFonts w:eastAsia="宋体" w:cs="Times New Roman"/>
          <w:color w:val="auto"/>
          <w:sz w:val="18"/>
          <w:szCs w:val="18"/>
        </w:rPr>
        <w:t>（1.</w:t>
      </w:r>
      <w:r>
        <w:rPr>
          <w:rFonts w:hint="eastAsia" w:eastAsia="宋体" w:cs="Times New Roman"/>
          <w:color w:val="auto"/>
          <w:sz w:val="18"/>
          <w:szCs w:val="18"/>
        </w:rPr>
        <w:t>China Institute of Water Resources and Hydropower Research,</w:t>
      </w:r>
      <w:r>
        <w:rPr>
          <w:rFonts w:hint="eastAsia" w:eastAsia="宋体" w:cs="Times New Roman"/>
          <w:color w:val="auto"/>
          <w:sz w:val="18"/>
          <w:szCs w:val="18"/>
          <w:lang w:val="en-US" w:eastAsia="zh-CN"/>
        </w:rPr>
        <w:t xml:space="preserve"> </w:t>
      </w:r>
      <w:r>
        <w:rPr>
          <w:rFonts w:hint="eastAsia" w:eastAsia="仿宋" w:cs="Times New Roman"/>
          <w:color w:val="auto"/>
          <w:sz w:val="18"/>
          <w:szCs w:val="18"/>
        </w:rPr>
        <w:t>State Key Laboratory of Water Cycle and Water Security</w:t>
      </w:r>
      <w:r>
        <w:rPr>
          <w:rFonts w:hint="eastAsia" w:eastAsia="仿宋" w:cs="Times New Roman"/>
          <w:color w:val="auto"/>
          <w:sz w:val="18"/>
          <w:szCs w:val="18"/>
        </w:rPr>
        <w:t xml:space="preserve">, </w:t>
      </w:r>
      <w:r>
        <w:rPr>
          <w:rFonts w:eastAsia="仿宋" w:cs="Times New Roman"/>
          <w:color w:val="auto"/>
          <w:sz w:val="18"/>
          <w:szCs w:val="18"/>
        </w:rPr>
        <w:t>Beijing</w:t>
      </w:r>
      <w:r>
        <w:rPr>
          <w:rFonts w:hint="eastAsia" w:eastAsia="仿宋" w:cs="Times New Roman"/>
          <w:color w:val="auto"/>
          <w:sz w:val="18"/>
          <w:szCs w:val="18"/>
        </w:rPr>
        <w:t xml:space="preserve"> </w:t>
      </w:r>
      <w:r>
        <w:rPr>
          <w:rFonts w:eastAsia="仿宋" w:cs="Times New Roman"/>
          <w:color w:val="auto"/>
          <w:sz w:val="18"/>
          <w:szCs w:val="18"/>
        </w:rPr>
        <w:t>100038</w:t>
      </w:r>
      <w:r>
        <w:rPr>
          <w:rFonts w:hint="eastAsia" w:eastAsia="仿宋" w:cs="Times New Roman"/>
          <w:color w:val="auto"/>
          <w:sz w:val="18"/>
          <w:szCs w:val="18"/>
        </w:rPr>
        <w:t xml:space="preserve">, </w:t>
      </w:r>
      <w:r>
        <w:rPr>
          <w:rFonts w:eastAsia="仿宋" w:cs="Times New Roman"/>
          <w:color w:val="auto"/>
          <w:sz w:val="18"/>
          <w:szCs w:val="18"/>
        </w:rPr>
        <w:t>China；</w:t>
      </w:r>
      <w:r>
        <w:rPr>
          <w:rFonts w:hint="eastAsia" w:eastAsia="仿宋" w:cs="Times New Roman"/>
          <w:color w:val="auto"/>
          <w:sz w:val="18"/>
          <w:szCs w:val="18"/>
        </w:rPr>
        <w:t xml:space="preserve"> </w:t>
      </w:r>
      <w:r>
        <w:rPr>
          <w:rFonts w:eastAsia="仿宋" w:cs="Times New Roman"/>
          <w:color w:val="auto"/>
          <w:sz w:val="18"/>
          <w:szCs w:val="18"/>
        </w:rPr>
        <w:t>2.</w:t>
      </w:r>
      <w:r>
        <w:rPr>
          <w:rFonts w:hint="eastAsia" w:eastAsia="仿宋" w:cs="Times New Roman"/>
          <w:color w:val="auto"/>
          <w:sz w:val="18"/>
          <w:szCs w:val="18"/>
        </w:rPr>
        <w:t xml:space="preserve"> Bureau of Hydrology (Information Center ) of Taihu Basin Authority, Shanghai 200434, </w:t>
      </w:r>
      <w:r>
        <w:rPr>
          <w:rFonts w:eastAsia="仿宋" w:cs="Times New Roman"/>
          <w:color w:val="auto"/>
          <w:sz w:val="18"/>
          <w:szCs w:val="18"/>
        </w:rPr>
        <w:t>China</w:t>
      </w:r>
      <w:r>
        <w:rPr>
          <w:rFonts w:hint="eastAsia" w:eastAsia="仿宋" w:cs="Times New Roman"/>
          <w:color w:val="auto"/>
          <w:sz w:val="18"/>
          <w:szCs w:val="18"/>
          <w:lang w:eastAsia="zh-CN"/>
        </w:rPr>
        <w:t>;</w:t>
      </w:r>
      <w:r>
        <w:rPr>
          <w:rFonts w:hint="eastAsia" w:eastAsia="仿宋" w:cs="Times New Roman"/>
          <w:color w:val="auto"/>
          <w:sz w:val="18"/>
          <w:szCs w:val="18"/>
        </w:rPr>
        <w:t xml:space="preserve"> 3. Department of Hydraulic Engineering, Tsinghua University, Beijing 100084, China</w:t>
      </w:r>
      <w:r>
        <w:rPr>
          <w:rFonts w:eastAsia="宋体" w:cs="Times New Roman"/>
          <w:color w:val="auto"/>
          <w:sz w:val="18"/>
          <w:szCs w:val="18"/>
        </w:rPr>
        <w:t>）</w:t>
      </w:r>
    </w:p>
    <w:p w14:paraId="4C957A60">
      <w:pPr>
        <w:ind w:firstLine="0" w:firstLineChars="0"/>
        <w:jc w:val="center"/>
        <w:rPr>
          <w:rFonts w:eastAsia="宋体" w:cs="Times New Roman"/>
          <w:color w:val="auto"/>
          <w:szCs w:val="21"/>
        </w:rPr>
      </w:pPr>
    </w:p>
    <w:p w14:paraId="1551BA3C">
      <w:pPr>
        <w:ind w:firstLine="0" w:firstLineChars="0"/>
        <w:rPr>
          <w:rFonts w:eastAsia="宋体" w:cs="Times New Roman"/>
          <w:color w:val="auto"/>
          <w:szCs w:val="21"/>
        </w:rPr>
      </w:pPr>
      <w:r>
        <w:rPr>
          <w:rFonts w:eastAsia="宋体" w:cs="Times New Roman"/>
          <w:b/>
          <w:bCs/>
          <w:color w:val="auto"/>
          <w:szCs w:val="22"/>
        </w:rPr>
        <w:t>Abstract</w:t>
      </w:r>
      <w:r>
        <w:rPr>
          <w:rFonts w:hint="eastAsia" w:eastAsia="宋体" w:cs="Times New Roman"/>
          <w:b/>
          <w:bCs/>
          <w:color w:val="auto"/>
          <w:szCs w:val="22"/>
        </w:rPr>
        <w:t xml:space="preserve">: </w:t>
      </w:r>
      <w:r>
        <w:rPr>
          <w:rFonts w:eastAsia="宋体" w:cs="Times New Roman"/>
          <w:color w:val="auto"/>
          <w:szCs w:val="22"/>
        </w:rPr>
        <w:t>[Objective]</w:t>
      </w:r>
      <w:r>
        <w:rPr>
          <w:rFonts w:hint="eastAsia" w:eastAsia="宋体" w:cs="Times New Roman"/>
          <w:color w:val="auto"/>
          <w:szCs w:val="22"/>
        </w:rPr>
        <w:t xml:space="preserve"> This study systematically reviews the development and current status of hydrodynamic numerical simulation methods for river networks, analyze the potential of integrating traditional methods with artificial intelligence (AI), and provide theoretical and technical support for high-precision and high-efficiency simulation in the context of national water network construction. [Method] Using a literature review and comparative analysis, this study summarizes the basic principles, advantages, limitations, and applicable scenarios of traditional numerical methods such as finite difference method (FDM), finite volume method (FVM), and finite element method (FEM). The coupling and decoupling strategies for branch-junction interactions and their parallel implementations are discussed, along with the latest applications and challenges of AI technologies in river network hydrodynamic modeling. [Results] Traditional methods, while well-established in theoretical frameworks and engineering applications, exhibit limitations in large-scale real-time simulation, adaptability to complex topology, and parameter calibration. AI technologies significantly enhance computational efficiency and data-driven capabilities, yet challenges remain in their physical consistency and extrapolation capabilities. [Conclusion] Future efforts should prioritize the development of decoupled integration frameworks for channels and confluences, intelligent model selection systems, topology-aware AI modeling paradigms, high-performance parallel computing architectures, and open-source modular simulation platforms to propel river network hydrodynamic modeling towards an intelligent, efficient, and interpretable future.</w:t>
      </w:r>
    </w:p>
    <w:p w14:paraId="70008C10">
      <w:pPr>
        <w:pStyle w:val="7"/>
        <w:ind w:firstLine="0" w:firstLineChars="0"/>
        <w:rPr>
          <w:color w:val="auto"/>
        </w:rPr>
      </w:pPr>
      <w:r>
        <w:rPr>
          <w:rFonts w:eastAsia="宋体" w:cs="Times New Roman"/>
          <w:color w:val="auto"/>
          <w:szCs w:val="22"/>
        </w:rPr>
        <w:t>Keywords</w:t>
      </w:r>
      <w:r>
        <w:rPr>
          <w:rFonts w:hint="eastAsia" w:eastAsia="宋体" w:cs="Times New Roman"/>
          <w:color w:val="auto"/>
          <w:szCs w:val="22"/>
        </w:rPr>
        <w:t>: River network hydrodynamics; Numerical simulation; Artificial intelligence; Shallow water equations; Parallel computing</w:t>
      </w:r>
    </w:p>
    <w:p w14:paraId="001096B2">
      <w:pPr>
        <w:pStyle w:val="2"/>
        <w:rPr>
          <w:color w:val="auto"/>
        </w:rPr>
      </w:pPr>
      <w:r>
        <w:rPr>
          <w:rFonts w:hint="eastAsia"/>
          <w:color w:val="auto"/>
        </w:rPr>
        <w:t>0引  言</w:t>
      </w:r>
    </w:p>
    <w:p w14:paraId="41B1EDC2">
      <w:pPr>
        <w:ind w:firstLine="420"/>
        <w:rPr>
          <w:rFonts w:eastAsia="宋体"/>
          <w:color w:val="auto"/>
        </w:rPr>
      </w:pPr>
      <w:r>
        <w:rPr>
          <w:rFonts w:hint="eastAsia" w:eastAsia="宋体"/>
          <w:color w:val="auto"/>
        </w:rPr>
        <w:t>近年来，在全球气候变化与人类活动的双重驱动下，地球系统水循环的变异性与不确定性显著增强</w:t>
      </w:r>
      <w:r>
        <w:rPr>
          <w:rFonts w:cs="Times New Roman"/>
          <w:color w:val="auto"/>
          <w:vertAlign w:val="superscript"/>
        </w:rPr>
        <w:t>[1]</w:t>
      </w:r>
      <w:r>
        <w:rPr>
          <w:rFonts w:hint="eastAsia" w:eastAsia="宋体"/>
          <w:color w:val="auto"/>
        </w:rPr>
        <w:t>。我国作为全球气候变化的敏感区和影响显著区</w:t>
      </w:r>
      <w:r>
        <w:rPr>
          <w:rFonts w:cs="Times New Roman"/>
          <w:color w:val="auto"/>
          <w:vertAlign w:val="superscript"/>
        </w:rPr>
        <w:t>[2]</w:t>
      </w:r>
      <w:r>
        <w:rPr>
          <w:rFonts w:hint="eastAsia" w:eastAsia="宋体"/>
          <w:color w:val="auto"/>
        </w:rPr>
        <w:t>，极端水文事件呈现出“频发、突发、强影响”的特征</w:t>
      </w:r>
      <w:r>
        <w:rPr>
          <w:rFonts w:cs="Times New Roman"/>
          <w:color w:val="auto"/>
          <w:vertAlign w:val="superscript"/>
        </w:rPr>
        <w:t>[3–5]</w:t>
      </w:r>
      <w:r>
        <w:rPr>
          <w:rFonts w:hint="eastAsia" w:eastAsia="宋体"/>
          <w:color w:val="auto"/>
        </w:rPr>
        <w:t>，尤其是大江大河流域的暴雨洪水、城市内涝、山洪灾害等，对水利工程调度、灾害预警预报和水资源管理提出了更高要求。在这一背景下，提升河网水动力模拟的精度与效率，已成为支撑国家水安全保障与智慧水利建设的核心技术需求。</w:t>
      </w:r>
    </w:p>
    <w:p w14:paraId="16971725">
      <w:pPr>
        <w:ind w:firstLine="420"/>
        <w:rPr>
          <w:rFonts w:eastAsia="宋体"/>
          <w:color w:val="auto"/>
        </w:rPr>
      </w:pPr>
      <w:r>
        <w:rPr>
          <w:rFonts w:hint="eastAsia" w:eastAsia="宋体"/>
          <w:color w:val="auto"/>
        </w:rPr>
        <w:t>在此背景下，中共中央、国务院印发的《国家水网建设规划纲要》为解决问题指明了方向，明确提出要构建“系统完备、安全可靠、集约高效、绿色智能”的国家水网</w:t>
      </w:r>
      <w:r>
        <w:rPr>
          <w:rFonts w:cs="Times New Roman"/>
          <w:color w:val="auto"/>
          <w:vertAlign w:val="superscript"/>
        </w:rPr>
        <w:t>[6]</w:t>
      </w:r>
      <w:r>
        <w:rPr>
          <w:rFonts w:hint="eastAsia" w:eastAsia="宋体"/>
          <w:color w:val="auto"/>
        </w:rPr>
        <w:t>，为全面建设社会主义现代化国家提供有力的水安全保障。这一战略目标对河网水动力模拟技术提出了三重挑战：一是</w:t>
      </w:r>
      <w:r>
        <w:rPr>
          <w:rFonts w:hint="eastAsia" w:eastAsia="宋体"/>
          <w:color w:val="auto"/>
          <w:lang w:eastAsia="zh-CN"/>
        </w:rPr>
        <w:t>须具备</w:t>
      </w:r>
      <w:r>
        <w:rPr>
          <w:rFonts w:hint="eastAsia" w:eastAsia="宋体"/>
          <w:color w:val="auto"/>
        </w:rPr>
        <w:t>高精度捕捉局部复杂水力现象（如汊点交汇、闸坝调控、干湿交替等）的能力；二是需实现流域乃至区域尺度下的高效计算与多情景实时模拟；三是</w:t>
      </w:r>
      <w:r>
        <w:rPr>
          <w:rFonts w:hint="eastAsia" w:eastAsia="宋体"/>
          <w:color w:val="auto"/>
          <w:lang w:eastAsia="zh-CN"/>
        </w:rPr>
        <w:t>须具备</w:t>
      </w:r>
      <w:r>
        <w:rPr>
          <w:rFonts w:hint="eastAsia" w:eastAsia="宋体"/>
          <w:color w:val="auto"/>
        </w:rPr>
        <w:t>对未知水文情势的自适应与智能化响应能力。因此，河网水动力数值模拟不仅是水网数字化、网络化、智能化建设的基石，更是推动水科学从“描述”走向“预测”、从“经验”走向“智能”的关键技术支撑。</w:t>
      </w:r>
    </w:p>
    <w:p w14:paraId="37B96F5F">
      <w:pPr>
        <w:ind w:firstLine="420"/>
        <w:rPr>
          <w:rFonts w:eastAsia="宋体"/>
          <w:color w:val="auto"/>
        </w:rPr>
      </w:pPr>
      <w:r>
        <w:rPr>
          <w:rFonts w:hint="eastAsia" w:eastAsia="宋体"/>
          <w:color w:val="auto"/>
        </w:rPr>
        <w:t>河网水动力数值模拟的理论基础可追溯至1871年法国工程师Saint-Venant提出的圣维南方程组</w:t>
      </w:r>
      <w:r>
        <w:rPr>
          <w:rFonts w:cs="Times New Roman"/>
          <w:color w:val="auto"/>
          <w:vertAlign w:val="superscript"/>
        </w:rPr>
        <w:t>[7]</w:t>
      </w:r>
      <w:r>
        <w:rPr>
          <w:rFonts w:hint="eastAsia" w:eastAsia="宋体"/>
          <w:color w:val="auto"/>
        </w:rPr>
        <w:t>，该方程组以一维浅水方程形式描述了明渠非恒定流的基本规律。然而，由于其非线性和双曲性，方程的解析解仅存在于理想条件下</w:t>
      </w:r>
      <w:r>
        <w:rPr>
          <w:rFonts w:cs="Times New Roman"/>
          <w:color w:val="auto"/>
          <w:vertAlign w:val="superscript"/>
        </w:rPr>
        <w:t>[8</w:t>
      </w:r>
      <w:r>
        <w:rPr>
          <w:rFonts w:hint="eastAsia" w:cs="Times New Roman"/>
          <w:color w:val="auto"/>
          <w:vertAlign w:val="superscript"/>
        </w:rPr>
        <w:t>-</w:t>
      </w:r>
      <w:r>
        <w:rPr>
          <w:rFonts w:cs="Times New Roman"/>
          <w:color w:val="auto"/>
          <w:vertAlign w:val="superscript"/>
        </w:rPr>
        <w:t>9]</w:t>
      </w:r>
      <w:r>
        <w:rPr>
          <w:rFonts w:hint="eastAsia" w:eastAsia="宋体"/>
          <w:color w:val="auto"/>
        </w:rPr>
        <w:t>，这也就导致了在针对实际工程的相关模拟中必须依赖数值方法进行求解。20世纪50年代以来，随着计算机技术的发展，有限差分法（FDM）、有限体积法（FVM）和有限元法（FEM）等数值离散方法逐渐成为主流，并衍生出多种高精度、高稳定性的数值格式，如Preissmann隐式格式、Godunov型格式、SUPG稳定化有限元等，广泛应用于洪涝模拟、水质模拟、工程调度等场景。</w:t>
      </w:r>
    </w:p>
    <w:p w14:paraId="0C7F1D72">
      <w:pPr>
        <w:ind w:firstLine="420"/>
        <w:rPr>
          <w:rFonts w:eastAsia="宋体"/>
          <w:color w:val="auto"/>
        </w:rPr>
      </w:pPr>
      <w:r>
        <w:rPr>
          <w:rFonts w:hint="eastAsia" w:eastAsia="宋体"/>
          <w:color w:val="auto"/>
        </w:rPr>
        <w:t>尽管传统数值方法在理论体系与工程应用中已较为成熟，但仍面临诸多瓶颈：一是计算效率难以满足大尺度、多情景、实时模拟的需求；二是对复杂河网拓扑结构（如多汊点、环路、闸泵群）的适应性不足；三是参数率定</w:t>
      </w:r>
      <w:bookmarkStart w:id="2" w:name="Bookmark2"/>
      <w:r>
        <w:rPr>
          <w:rFonts w:hint="eastAsia" w:eastAsia="宋体"/>
          <w:color w:val="auto"/>
        </w:rPr>
        <w:t>依</w:t>
      </w:r>
      <w:bookmarkEnd w:id="2"/>
      <w:r>
        <w:rPr>
          <w:rFonts w:hint="eastAsia" w:eastAsia="宋体"/>
          <w:color w:val="auto"/>
        </w:rPr>
        <w:t>赖经验，泛化能力有限。这些局限在一定程度上制约了水网数字孪生与智能决策的发展。</w:t>
      </w:r>
    </w:p>
    <w:p w14:paraId="451762F0">
      <w:pPr>
        <w:ind w:firstLine="420"/>
        <w:rPr>
          <w:rFonts w:eastAsia="宋体"/>
          <w:color w:val="auto"/>
        </w:rPr>
      </w:pPr>
      <w:r>
        <w:rPr>
          <w:rFonts w:hint="eastAsia" w:eastAsia="宋体"/>
          <w:color w:val="auto"/>
        </w:rPr>
        <w:t>近年来，人工智能技术的迅猛发展为河网水动力模拟带来了新的机遇。数据驱动的机器学习模型通过数据驱动方式，能够高效学习水动力规律，显著提升计算速度，并在缺测数据插补、参数反演、快速预报等任务中展现出优势。然而，纯数据驱动模型往往缺乏物理一致性，对极端外推情境的适应性较差，且模型可解释性不足，限制了其在工程实践中的直接应用。另一方面，物理约束的机器学习模型（如PINNs）虽通过嵌入物理方程增强一致性，却常面临训练复杂度高、收敛性不稳定、对多物理场耦合及复杂边界条件的适应性有限等问题。因此，如何实现“物理机理”与“数据驱动”的深度融合，构建兼具高效性、准确性、可解释性与稳健性的智能模拟框架，已成为当前研究的热点与难点。</w:t>
      </w:r>
    </w:p>
    <w:p w14:paraId="6D08F2E1">
      <w:pPr>
        <w:ind w:firstLine="420"/>
        <w:rPr>
          <w:rFonts w:eastAsia="宋体"/>
          <w:color w:val="auto"/>
        </w:rPr>
      </w:pPr>
      <w:r>
        <w:rPr>
          <w:rFonts w:hint="eastAsia" w:eastAsia="宋体"/>
          <w:color w:val="auto"/>
        </w:rPr>
        <w:t>目前，尽管已有大量研究围绕河网水动力</w:t>
      </w:r>
      <w:r>
        <w:rPr>
          <w:rFonts w:hint="eastAsia" w:eastAsia="宋体"/>
          <w:color w:val="auto"/>
          <w:lang w:val="en-US" w:eastAsia="zh-CN"/>
        </w:rPr>
        <w:t>的</w:t>
      </w:r>
      <w:r>
        <w:rPr>
          <w:rFonts w:hint="eastAsia" w:eastAsia="宋体"/>
          <w:color w:val="auto"/>
        </w:rPr>
        <w:t>模拟展开，但在国家水网建设与AI技术发展的双重背景下，仍缺乏系统性的综述研究，尤其是在传统方法与AI融合路径、复杂拓扑建模策略、高效并行计算架构、模块化平台构建等方面的总结与展望。为此，本文以“传统方法-AI融合”为主线，系统梳理河网水动力数值模拟方法的发展历程、核心机制与应用局限，重点分析有限差分、有限体积、有限元等经典方法的优劣与适用场景，探讨汊点-河道耦合与解耦策略及其并行实现，并综述人工智能技术在河网模拟中的最新进展与挑战。最后，结合国家水网建设的战略需求，提出未来重点研究方向，旨在为河网水动力模拟的理论创新与技术应用提供系统性参考，为国家水网建设提供“理论参考-技术支撑-方法创新”的系统性方案。</w:t>
      </w:r>
    </w:p>
    <w:p w14:paraId="087F2016">
      <w:pPr>
        <w:pStyle w:val="2"/>
        <w:rPr>
          <w:color w:val="auto"/>
        </w:rPr>
      </w:pPr>
      <w:r>
        <w:rPr>
          <w:color w:val="auto"/>
        </w:rPr>
        <w:t>1</w:t>
      </w:r>
      <w:r>
        <w:rPr>
          <w:rFonts w:hint="eastAsia"/>
          <w:color w:val="auto"/>
        </w:rPr>
        <w:t>基本概念</w:t>
      </w:r>
    </w:p>
    <w:p w14:paraId="22EEC814">
      <w:pPr>
        <w:ind w:firstLine="420"/>
        <w:rPr>
          <w:rFonts w:eastAsia="宋体" w:cs="Times New Roman"/>
          <w:color w:val="auto"/>
          <w:szCs w:val="22"/>
        </w:rPr>
      </w:pPr>
      <w:r>
        <w:rPr>
          <w:rFonts w:hint="eastAsia" w:eastAsia="宋体" w:cs="Times New Roman"/>
          <w:color w:val="auto"/>
          <w:szCs w:val="22"/>
        </w:rPr>
        <w:t>1871年Barre de Saint-Venant提出了圣维南方程组，为河网水动力学理论研究奠定基础，圣维南方程组的基本形式</w:t>
      </w:r>
    </w:p>
    <w:p w14:paraId="5331274E">
      <w:pPr>
        <w:pStyle w:val="29"/>
        <w:rPr>
          <w:color w:val="auto"/>
        </w:rPr>
      </w:pPr>
      <w:r>
        <w:rPr>
          <w:rFonts w:hint="eastAsia"/>
          <w:color w:val="auto"/>
        </w:rPr>
        <w:tab/>
      </w:r>
      <m:oMath>
        <m:f>
          <m:fPr>
            <m:ctrlPr>
              <w:rPr>
                <w:rFonts w:ascii="Cambria Math"/>
                <w:i/>
                <w:iCs/>
                <w:color w:val="auto"/>
              </w:rPr>
            </m:ctrlPr>
          </m:fPr>
          <m:num>
            <m:r>
              <m:rPr/>
              <w:rPr>
                <w:rFonts w:ascii="Cambria Math"/>
                <w:color w:val="auto"/>
              </w:rPr>
              <m:t>∂A</m:t>
            </m:r>
            <m:ctrlPr>
              <w:rPr>
                <w:rFonts w:ascii="Cambria Math"/>
                <w:i/>
                <w:iCs/>
                <w:color w:val="auto"/>
              </w:rPr>
            </m:ctrlPr>
          </m:num>
          <m:den>
            <m:r>
              <m:rPr/>
              <w:rPr>
                <w:rFonts w:ascii="Cambria Math"/>
                <w:color w:val="auto"/>
              </w:rPr>
              <m:t>∂t</m:t>
            </m:r>
            <m:ctrlPr>
              <w:rPr>
                <w:rFonts w:ascii="Cambria Math"/>
                <w:i/>
                <w:iCs/>
                <w:color w:val="auto"/>
              </w:rPr>
            </m:ctrlPr>
          </m:den>
        </m:f>
        <m:r>
          <m:rPr/>
          <w:rPr>
            <w:rFonts w:ascii="Cambria Math"/>
            <w:color w:val="auto"/>
          </w:rPr>
          <m:t>+</m:t>
        </m:r>
        <m:f>
          <m:fPr>
            <m:ctrlPr>
              <w:rPr>
                <w:rFonts w:ascii="Cambria Math"/>
                <w:i/>
                <w:iCs/>
                <w:color w:val="auto"/>
              </w:rPr>
            </m:ctrlPr>
          </m:fPr>
          <m:num>
            <m:r>
              <m:rPr/>
              <w:rPr>
                <w:rFonts w:ascii="Cambria Math"/>
                <w:color w:val="auto"/>
              </w:rPr>
              <m:t>∂Q</m:t>
            </m:r>
            <m:ctrlPr>
              <w:rPr>
                <w:rFonts w:ascii="Cambria Math"/>
                <w:i/>
                <w:iCs/>
                <w:color w:val="auto"/>
              </w:rPr>
            </m:ctrlPr>
          </m:num>
          <m:den>
            <m:r>
              <m:rPr/>
              <w:rPr>
                <w:rFonts w:ascii="Cambria Math"/>
                <w:color w:val="auto"/>
              </w:rPr>
              <m:t>∂x</m:t>
            </m:r>
            <m:ctrlPr>
              <w:rPr>
                <w:rFonts w:ascii="Cambria Math"/>
                <w:i/>
                <w:iCs/>
                <w:color w:val="auto"/>
              </w:rPr>
            </m:ctrlPr>
          </m:den>
        </m:f>
        <m:r>
          <m:rPr/>
          <w:rPr>
            <w:rFonts w:ascii="Cambria Math"/>
            <w:color w:val="auto"/>
          </w:rPr>
          <m:t>=0</m:t>
        </m:r>
      </m:oMath>
      <w:r>
        <w:rPr>
          <w:rFonts w:hint="eastAsia"/>
          <w:color w:val="auto"/>
        </w:rPr>
        <w:tab/>
      </w:r>
      <w:r>
        <w:rPr>
          <w:rFonts w:hint="eastAsia"/>
          <w:color w:val="auto"/>
        </w:rPr>
        <w:t>（1）</w:t>
      </w:r>
    </w:p>
    <w:p w14:paraId="268243D8">
      <w:pPr>
        <w:spacing w:line="360" w:lineRule="auto"/>
        <w:ind w:firstLine="480" w:firstLineChars="0"/>
        <w:rPr>
          <w:rFonts w:eastAsia="宋体"/>
          <w:color w:val="auto"/>
          <w:sz w:val="24"/>
        </w:rPr>
      </w:pPr>
      <m:oMath>
        <m:f>
          <m:fPr>
            <m:ctrlPr>
              <w:rPr>
                <w:rFonts w:ascii="Cambria Math" w:hAnsi="Cambria Math" w:eastAsia="宋体" w:cs="Times New Roman"/>
                <w:i/>
                <w:color w:val="auto"/>
                <w:sz w:val="24"/>
                <w:szCs w:val="21"/>
              </w:rPr>
            </m:ctrlPr>
          </m:fPr>
          <m:num>
            <m:r>
              <m:rPr/>
              <w:rPr>
                <w:rFonts w:ascii="Cambria Math" w:hAnsi="Cambria Math" w:eastAsia="宋体" w:cs="Times New Roman"/>
                <w:color w:val="auto"/>
                <w:sz w:val="24"/>
                <w:szCs w:val="21"/>
              </w:rPr>
              <m:t>∂Q</m:t>
            </m:r>
            <m:ctrlPr>
              <w:rPr>
                <w:rFonts w:ascii="Cambria Math" w:hAnsi="Cambria Math" w:eastAsia="宋体" w:cs="Times New Roman"/>
                <w:i/>
                <w:color w:val="auto"/>
                <w:sz w:val="24"/>
                <w:szCs w:val="21"/>
              </w:rPr>
            </m:ctrlPr>
          </m:num>
          <m:den>
            <m:r>
              <m:rPr/>
              <w:rPr>
                <w:rFonts w:ascii="Cambria Math" w:hAnsi="Cambria Math" w:eastAsia="宋体" w:cs="Times New Roman"/>
                <w:color w:val="auto"/>
                <w:sz w:val="24"/>
                <w:szCs w:val="21"/>
              </w:rPr>
              <m:t>∂t</m:t>
            </m:r>
            <m:ctrlPr>
              <w:rPr>
                <w:rFonts w:ascii="Cambria Math" w:hAnsi="Cambria Math" w:eastAsia="宋体" w:cs="Times New Roman"/>
                <w:i/>
                <w:color w:val="auto"/>
                <w:sz w:val="24"/>
                <w:szCs w:val="21"/>
              </w:rPr>
            </m:ctrlPr>
          </m:den>
        </m:f>
        <m:r>
          <m:rPr/>
          <w:rPr>
            <w:rFonts w:ascii="Cambria Math" w:hAnsi="Cambria Math" w:eastAsia="宋体" w:cs="Times New Roman"/>
            <w:color w:val="auto"/>
            <w:sz w:val="24"/>
            <w:szCs w:val="21"/>
          </w:rPr>
          <m:t>+</m:t>
        </m:r>
        <m:f>
          <m:fPr>
            <m:ctrlPr>
              <w:rPr>
                <w:rFonts w:ascii="Cambria Math" w:hAnsi="Cambria Math" w:eastAsia="宋体" w:cs="Times New Roman"/>
                <w:i/>
                <w:color w:val="auto"/>
                <w:sz w:val="24"/>
                <w:szCs w:val="21"/>
              </w:rPr>
            </m:ctrlPr>
          </m:fPr>
          <m:num>
            <m:r>
              <m:rPr/>
              <w:rPr>
                <w:rFonts w:ascii="Cambria Math" w:hAnsi="Cambria Math" w:eastAsia="宋体" w:cs="Times New Roman"/>
                <w:color w:val="auto"/>
                <w:sz w:val="24"/>
                <w:szCs w:val="21"/>
              </w:rPr>
              <m:t>∂</m:t>
            </m:r>
            <m:d>
              <m:dPr>
                <m:ctrlPr>
                  <w:rPr>
                    <w:rFonts w:ascii="Cambria Math" w:hAnsi="Cambria Math" w:eastAsia="宋体" w:cs="Times New Roman"/>
                    <w:i/>
                    <w:color w:val="auto"/>
                    <w:sz w:val="24"/>
                    <w:szCs w:val="21"/>
                  </w:rPr>
                </m:ctrlPr>
              </m:dPr>
              <m:e>
                <m:f>
                  <m:fPr>
                    <m:ctrlPr>
                      <w:rPr>
                        <w:rFonts w:ascii="Cambria Math" w:hAnsi="Cambria Math" w:eastAsia="宋体" w:cs="Times New Roman"/>
                        <w:i/>
                        <w:color w:val="auto"/>
                        <w:sz w:val="24"/>
                        <w:szCs w:val="21"/>
                      </w:rPr>
                    </m:ctrlPr>
                  </m:fPr>
                  <m:num>
                    <m:sSup>
                      <m:sSupPr>
                        <m:ctrlPr>
                          <w:rPr>
                            <w:rFonts w:ascii="Cambria Math" w:hAnsi="Cambria Math" w:eastAsia="宋体" w:cs="Times New Roman"/>
                            <w:i/>
                            <w:color w:val="auto"/>
                            <w:sz w:val="24"/>
                            <w:szCs w:val="21"/>
                          </w:rPr>
                        </m:ctrlPr>
                      </m:sSupPr>
                      <m:e>
                        <m:r>
                          <m:rPr/>
                          <w:rPr>
                            <w:rFonts w:ascii="Cambria Math" w:hAnsi="Cambria Math" w:eastAsia="宋体" w:cs="Times New Roman"/>
                            <w:color w:val="auto"/>
                            <w:sz w:val="24"/>
                            <w:szCs w:val="21"/>
                          </w:rPr>
                          <m:t>Q</m:t>
                        </m:r>
                        <m:ctrlPr>
                          <w:rPr>
                            <w:rFonts w:ascii="Cambria Math" w:hAnsi="Cambria Math" w:eastAsia="宋体" w:cs="Times New Roman"/>
                            <w:i/>
                            <w:color w:val="auto"/>
                            <w:sz w:val="24"/>
                            <w:szCs w:val="21"/>
                          </w:rPr>
                        </m:ctrlPr>
                      </m:e>
                      <m:sup>
                        <m:r>
                          <m:rPr/>
                          <w:rPr>
                            <w:rFonts w:ascii="Cambria Math" w:hAnsi="Cambria Math" w:eastAsia="宋体" w:cs="Times New Roman"/>
                            <w:color w:val="auto"/>
                            <w:sz w:val="24"/>
                            <w:szCs w:val="21"/>
                          </w:rPr>
                          <m:t>2</m:t>
                        </m:r>
                        <m:ctrlPr>
                          <w:rPr>
                            <w:rFonts w:ascii="Cambria Math" w:hAnsi="Cambria Math" w:eastAsia="宋体" w:cs="Times New Roman"/>
                            <w:i/>
                            <w:color w:val="auto"/>
                            <w:sz w:val="24"/>
                            <w:szCs w:val="21"/>
                          </w:rPr>
                        </m:ctrlPr>
                      </m:sup>
                    </m:sSup>
                    <m:ctrlPr>
                      <w:rPr>
                        <w:rFonts w:ascii="Cambria Math" w:hAnsi="Cambria Math" w:eastAsia="宋体" w:cs="Times New Roman"/>
                        <w:i/>
                        <w:color w:val="auto"/>
                        <w:sz w:val="24"/>
                        <w:szCs w:val="21"/>
                      </w:rPr>
                    </m:ctrlPr>
                  </m:num>
                  <m:den>
                    <m:r>
                      <m:rPr/>
                      <w:rPr>
                        <w:rFonts w:ascii="Cambria Math" w:hAnsi="Cambria Math" w:eastAsia="宋体" w:cs="Times New Roman"/>
                        <w:color w:val="auto"/>
                        <w:sz w:val="24"/>
                        <w:szCs w:val="21"/>
                      </w:rPr>
                      <m:t>A</m:t>
                    </m:r>
                    <m:ctrlPr>
                      <w:rPr>
                        <w:rFonts w:ascii="Cambria Math" w:hAnsi="Cambria Math" w:eastAsia="宋体" w:cs="Times New Roman"/>
                        <w:i/>
                        <w:color w:val="auto"/>
                        <w:sz w:val="24"/>
                        <w:szCs w:val="21"/>
                      </w:rPr>
                    </m:ctrlPr>
                  </m:den>
                </m:f>
                <m:ctrlPr>
                  <w:rPr>
                    <w:rFonts w:ascii="Cambria Math" w:hAnsi="Cambria Math" w:eastAsia="宋体" w:cs="Times New Roman"/>
                    <w:i/>
                    <w:color w:val="auto"/>
                    <w:sz w:val="24"/>
                    <w:szCs w:val="21"/>
                  </w:rPr>
                </m:ctrlPr>
              </m:e>
            </m:d>
            <m:ctrlPr>
              <w:rPr>
                <w:rFonts w:ascii="Cambria Math" w:hAnsi="Cambria Math" w:eastAsia="宋体" w:cs="Times New Roman"/>
                <w:i/>
                <w:color w:val="auto"/>
                <w:sz w:val="24"/>
                <w:szCs w:val="21"/>
              </w:rPr>
            </m:ctrlPr>
          </m:num>
          <m:den>
            <m:r>
              <m:rPr/>
              <w:rPr>
                <w:rFonts w:ascii="Cambria Math" w:hAnsi="Cambria Math" w:eastAsia="宋体" w:cs="Times New Roman"/>
                <w:color w:val="auto"/>
                <w:sz w:val="24"/>
                <w:szCs w:val="21"/>
              </w:rPr>
              <m:t>∂x</m:t>
            </m:r>
            <m:ctrlPr>
              <w:rPr>
                <w:rFonts w:ascii="Cambria Math" w:hAnsi="Cambria Math" w:eastAsia="宋体" w:cs="Times New Roman"/>
                <w:i/>
                <w:color w:val="auto"/>
                <w:sz w:val="24"/>
                <w:szCs w:val="21"/>
              </w:rPr>
            </m:ctrlPr>
          </m:den>
        </m:f>
        <m:r>
          <m:rPr/>
          <w:rPr>
            <w:rFonts w:ascii="Cambria Math" w:hAnsi="Cambria Math" w:eastAsia="宋体" w:cs="Times New Roman"/>
            <w:color w:val="auto"/>
            <w:sz w:val="24"/>
            <w:szCs w:val="21"/>
          </w:rPr>
          <m:t>+</m:t>
        </m:r>
        <m:f>
          <m:fPr>
            <m:ctrlPr>
              <w:rPr>
                <w:rFonts w:ascii="Cambria Math" w:hAnsi="Cambria Math" w:eastAsia="宋体" w:cs="Times New Roman"/>
                <w:i/>
                <w:color w:val="auto"/>
                <w:sz w:val="24"/>
                <w:szCs w:val="21"/>
              </w:rPr>
            </m:ctrlPr>
          </m:fPr>
          <m:num>
            <m:r>
              <m:rPr/>
              <w:rPr>
                <w:rFonts w:ascii="Cambria Math" w:hAnsi="Cambria Math" w:eastAsia="宋体" w:cs="Times New Roman"/>
                <w:color w:val="auto"/>
                <w:sz w:val="24"/>
                <w:szCs w:val="21"/>
              </w:rPr>
              <m:t>∂</m:t>
            </m:r>
            <m:ctrlPr>
              <w:rPr>
                <w:rFonts w:ascii="Cambria Math" w:hAnsi="Cambria Math" w:eastAsia="宋体" w:cs="Times New Roman"/>
                <w:i/>
                <w:color w:val="auto"/>
                <w:sz w:val="24"/>
                <w:szCs w:val="21"/>
              </w:rPr>
            </m:ctrlPr>
          </m:num>
          <m:den>
            <m:r>
              <m:rPr/>
              <w:rPr>
                <w:rFonts w:ascii="Cambria Math" w:hAnsi="Cambria Math" w:eastAsia="宋体" w:cs="Times New Roman"/>
                <w:color w:val="auto"/>
                <w:sz w:val="24"/>
                <w:szCs w:val="21"/>
              </w:rPr>
              <m:t>∂x</m:t>
            </m:r>
            <m:ctrlPr>
              <w:rPr>
                <w:rFonts w:ascii="Cambria Math" w:hAnsi="Cambria Math" w:eastAsia="宋体" w:cs="Times New Roman"/>
                <w:i/>
                <w:color w:val="auto"/>
                <w:sz w:val="24"/>
                <w:szCs w:val="21"/>
              </w:rPr>
            </m:ctrlPr>
          </m:den>
        </m:f>
        <m:d>
          <m:dPr>
            <m:ctrlPr>
              <w:rPr>
                <w:rFonts w:ascii="Cambria Math" w:hAnsi="Cambria Math" w:eastAsia="宋体" w:cs="Times New Roman"/>
                <w:i/>
                <w:color w:val="auto"/>
                <w:sz w:val="24"/>
                <w:szCs w:val="21"/>
              </w:rPr>
            </m:ctrlPr>
          </m:dPr>
          <m:e>
            <m:r>
              <m:rPr/>
              <w:rPr>
                <w:rFonts w:ascii="Cambria Math" w:hAnsi="Cambria Math" w:eastAsia="宋体" w:cs="Times New Roman"/>
                <w:color w:val="auto"/>
                <w:sz w:val="24"/>
                <w:szCs w:val="21"/>
              </w:rPr>
              <m:t>g</m:t>
            </m:r>
            <m:nary>
              <m:naryPr>
                <m:limLoc m:val="subSup"/>
                <m:ctrlPr>
                  <w:rPr>
                    <w:rFonts w:ascii="Cambria Math" w:hAnsi="Cambria Math" w:eastAsia="宋体" w:cs="Times New Roman"/>
                    <w:i/>
                    <w:color w:val="auto"/>
                    <w:sz w:val="24"/>
                    <w:szCs w:val="21"/>
                  </w:rPr>
                </m:ctrlPr>
              </m:naryPr>
              <m:sub>
                <m:r>
                  <m:rPr/>
                  <w:rPr>
                    <w:rFonts w:hint="eastAsia" w:ascii="Cambria Math" w:hAnsi="Cambria Math" w:eastAsia="宋体" w:cs="Times New Roman"/>
                    <w:color w:val="auto"/>
                    <w:sz w:val="24"/>
                    <w:szCs w:val="21"/>
                  </w:rPr>
                  <m:t>z</m:t>
                </m:r>
                <m:r>
                  <m:rPr/>
                  <w:rPr>
                    <w:rFonts w:ascii="Cambria Math" w:hAnsi="Cambria Math" w:eastAsia="宋体" w:cs="Times New Roman"/>
                    <w:color w:val="auto"/>
                    <w:sz w:val="24"/>
                    <w:szCs w:val="21"/>
                  </w:rPr>
                  <m:t>=0</m:t>
                </m:r>
                <m:ctrlPr>
                  <w:rPr>
                    <w:rFonts w:ascii="Cambria Math" w:hAnsi="Cambria Math" w:eastAsia="宋体" w:cs="Times New Roman"/>
                    <w:i/>
                    <w:color w:val="auto"/>
                    <w:sz w:val="24"/>
                    <w:szCs w:val="21"/>
                  </w:rPr>
                </m:ctrlPr>
              </m:sub>
              <m:sup>
                <m:r>
                  <m:rPr/>
                  <w:rPr>
                    <w:rFonts w:ascii="Cambria Math" w:hAnsi="Cambria Math" w:eastAsia="宋体" w:cs="Times New Roman"/>
                    <w:color w:val="auto"/>
                    <w:sz w:val="24"/>
                    <w:szCs w:val="21"/>
                  </w:rPr>
                  <m:t>h</m:t>
                </m:r>
                <m:d>
                  <m:dPr>
                    <m:ctrlPr>
                      <w:rPr>
                        <w:rFonts w:ascii="Cambria Math" w:hAnsi="Cambria Math" w:eastAsia="宋体" w:cs="Times New Roman"/>
                        <w:i/>
                        <w:color w:val="auto"/>
                        <w:sz w:val="24"/>
                        <w:szCs w:val="21"/>
                      </w:rPr>
                    </m:ctrlPr>
                  </m:dPr>
                  <m:e>
                    <m:r>
                      <m:rPr/>
                      <w:rPr>
                        <w:rFonts w:ascii="Cambria Math" w:hAnsi="Cambria Math" w:eastAsia="宋体" w:cs="Times New Roman"/>
                        <w:color w:val="auto"/>
                        <w:sz w:val="24"/>
                        <w:szCs w:val="21"/>
                      </w:rPr>
                      <m:t>x</m:t>
                    </m:r>
                    <m:ctrlPr>
                      <w:rPr>
                        <w:rFonts w:ascii="Cambria Math" w:hAnsi="Cambria Math" w:eastAsia="宋体" w:cs="Times New Roman"/>
                        <w:i/>
                        <w:color w:val="auto"/>
                        <w:sz w:val="24"/>
                        <w:szCs w:val="21"/>
                      </w:rPr>
                    </m:ctrlPr>
                  </m:e>
                </m:d>
                <m:ctrlPr>
                  <w:rPr>
                    <w:rFonts w:ascii="Cambria Math" w:hAnsi="Cambria Math" w:eastAsia="宋体" w:cs="Times New Roman"/>
                    <w:i/>
                    <w:color w:val="auto"/>
                    <w:sz w:val="24"/>
                    <w:szCs w:val="21"/>
                  </w:rPr>
                </m:ctrlPr>
              </m:sup>
              <m:e>
                <m:d>
                  <m:dPr>
                    <m:ctrlPr>
                      <w:rPr>
                        <w:rFonts w:ascii="Cambria Math" w:hAnsi="Cambria Math" w:eastAsia="宋体" w:cs="Times New Roman"/>
                        <w:i/>
                        <w:color w:val="auto"/>
                        <w:sz w:val="24"/>
                        <w:szCs w:val="21"/>
                      </w:rPr>
                    </m:ctrlPr>
                  </m:dPr>
                  <m:e>
                    <m:r>
                      <m:rPr/>
                      <w:rPr>
                        <w:rFonts w:ascii="Cambria Math" w:hAnsi="Cambria Math" w:eastAsia="宋体" w:cs="Times New Roman"/>
                        <w:color w:val="auto"/>
                        <w:sz w:val="24"/>
                        <w:szCs w:val="21"/>
                      </w:rPr>
                      <m:t>h</m:t>
                    </m:r>
                    <m:d>
                      <m:dPr>
                        <m:ctrlPr>
                          <w:rPr>
                            <w:rFonts w:ascii="Cambria Math" w:hAnsi="Cambria Math" w:eastAsia="宋体" w:cs="Times New Roman"/>
                            <w:i/>
                            <w:color w:val="auto"/>
                            <w:sz w:val="24"/>
                            <w:szCs w:val="21"/>
                          </w:rPr>
                        </m:ctrlPr>
                      </m:dPr>
                      <m:e>
                        <m:r>
                          <m:rPr/>
                          <w:rPr>
                            <w:rFonts w:ascii="Cambria Math" w:hAnsi="Cambria Math" w:eastAsia="宋体" w:cs="Times New Roman"/>
                            <w:color w:val="auto"/>
                            <w:sz w:val="24"/>
                            <w:szCs w:val="21"/>
                          </w:rPr>
                          <m:t>x</m:t>
                        </m:r>
                        <m:ctrlPr>
                          <w:rPr>
                            <w:rFonts w:ascii="Cambria Math" w:hAnsi="Cambria Math" w:eastAsia="宋体" w:cs="Times New Roman"/>
                            <w:i/>
                            <w:color w:val="auto"/>
                            <w:sz w:val="24"/>
                            <w:szCs w:val="21"/>
                          </w:rPr>
                        </m:ctrlPr>
                      </m:e>
                    </m:d>
                    <m:r>
                      <m:rPr/>
                      <w:rPr>
                        <w:rFonts w:ascii="Cambria Math" w:hAnsi="Cambria Math" w:eastAsia="宋体" w:cs="Times New Roman"/>
                        <w:color w:val="auto"/>
                        <w:sz w:val="24"/>
                        <w:szCs w:val="21"/>
                      </w:rPr>
                      <m:t>−</m:t>
                    </m:r>
                    <m:r>
                      <m:rPr/>
                      <w:rPr>
                        <w:rFonts w:hint="eastAsia" w:ascii="Cambria Math" w:hAnsi="Cambria Math" w:eastAsia="宋体" w:cs="Times New Roman"/>
                        <w:color w:val="auto"/>
                        <w:sz w:val="24"/>
                        <w:szCs w:val="21"/>
                      </w:rPr>
                      <m:t>z</m:t>
                    </m:r>
                    <m:ctrlPr>
                      <w:rPr>
                        <w:rFonts w:ascii="Cambria Math" w:hAnsi="Cambria Math" w:eastAsia="宋体" w:cs="Times New Roman"/>
                        <w:i/>
                        <w:color w:val="auto"/>
                        <w:sz w:val="24"/>
                        <w:szCs w:val="21"/>
                      </w:rPr>
                    </m:ctrlPr>
                  </m:e>
                </m:d>
                <m:r>
                  <m:rPr/>
                  <w:rPr>
                    <w:rFonts w:ascii="Cambria Math" w:hAnsi="Cambria Math" w:eastAsia="宋体" w:cs="Times New Roman"/>
                    <w:color w:val="auto"/>
                    <w:sz w:val="24"/>
                    <w:szCs w:val="21"/>
                  </w:rPr>
                  <m:t>b</m:t>
                </m:r>
                <m:d>
                  <m:dPr>
                    <m:ctrlPr>
                      <w:rPr>
                        <w:rFonts w:ascii="Cambria Math" w:hAnsi="Cambria Math" w:eastAsia="宋体" w:cs="Times New Roman"/>
                        <w:i/>
                        <w:color w:val="auto"/>
                        <w:sz w:val="24"/>
                        <w:szCs w:val="21"/>
                      </w:rPr>
                    </m:ctrlPr>
                  </m:dPr>
                  <m:e>
                    <m:r>
                      <m:rPr/>
                      <w:rPr>
                        <w:rFonts w:ascii="Cambria Math" w:hAnsi="Cambria Math" w:eastAsia="宋体" w:cs="Times New Roman"/>
                        <w:color w:val="auto"/>
                        <w:sz w:val="24"/>
                        <w:szCs w:val="21"/>
                      </w:rPr>
                      <m:t>z,x</m:t>
                    </m:r>
                    <m:ctrlPr>
                      <w:rPr>
                        <w:rFonts w:ascii="Cambria Math" w:hAnsi="Cambria Math" w:eastAsia="宋体" w:cs="Times New Roman"/>
                        <w:i/>
                        <w:color w:val="auto"/>
                        <w:sz w:val="24"/>
                        <w:szCs w:val="21"/>
                      </w:rPr>
                    </m:ctrlPr>
                  </m:e>
                </m:d>
                <m:r>
                  <m:rPr/>
                  <w:rPr>
                    <w:rFonts w:ascii="Cambria Math" w:hAnsi="Cambria Math" w:eastAsia="宋体" w:cs="Times New Roman"/>
                    <w:color w:val="auto"/>
                    <w:sz w:val="24"/>
                    <w:szCs w:val="21"/>
                  </w:rPr>
                  <m:t>dz</m:t>
                </m:r>
                <m:ctrlPr>
                  <w:rPr>
                    <w:rFonts w:ascii="Cambria Math" w:hAnsi="Cambria Math" w:eastAsia="宋体" w:cs="Times New Roman"/>
                    <w:i/>
                    <w:color w:val="auto"/>
                    <w:sz w:val="24"/>
                    <w:szCs w:val="21"/>
                  </w:rPr>
                </m:ctrlPr>
              </m:e>
            </m:nary>
            <m:ctrlPr>
              <w:rPr>
                <w:rFonts w:ascii="Cambria Math" w:hAnsi="Cambria Math" w:eastAsia="宋体" w:cs="Times New Roman"/>
                <w:i/>
                <w:color w:val="auto"/>
                <w:sz w:val="24"/>
                <w:szCs w:val="21"/>
              </w:rPr>
            </m:ctrlPr>
          </m:e>
        </m:d>
        <m:r>
          <m:rPr/>
          <w:rPr>
            <w:rFonts w:ascii="Cambria Math" w:hAnsi="Cambria Math" w:eastAsia="宋体" w:cs="Times New Roman"/>
            <w:color w:val="auto"/>
            <w:sz w:val="24"/>
            <w:szCs w:val="21"/>
          </w:rPr>
          <m:t>+gA</m:t>
        </m:r>
        <m:f>
          <m:fPr>
            <m:ctrlPr>
              <w:rPr>
                <w:rFonts w:ascii="Cambria Math" w:hAnsi="Cambria Math" w:eastAsia="宋体" w:cs="Times New Roman"/>
                <w:i/>
                <w:color w:val="auto"/>
                <w:sz w:val="24"/>
                <w:szCs w:val="21"/>
              </w:rPr>
            </m:ctrlPr>
          </m:fPr>
          <m:num>
            <m:r>
              <m:rPr/>
              <w:rPr>
                <w:rFonts w:ascii="Cambria Math" w:hAnsi="Cambria Math" w:eastAsia="宋体" w:cs="Times New Roman"/>
                <w:color w:val="auto"/>
                <w:sz w:val="24"/>
                <w:szCs w:val="21"/>
              </w:rPr>
              <m:t>∂Z</m:t>
            </m:r>
            <m:ctrlPr>
              <w:rPr>
                <w:rFonts w:ascii="Cambria Math" w:hAnsi="Cambria Math" w:eastAsia="宋体" w:cs="Times New Roman"/>
                <w:i/>
                <w:color w:val="auto"/>
                <w:sz w:val="24"/>
                <w:szCs w:val="21"/>
              </w:rPr>
            </m:ctrlPr>
          </m:num>
          <m:den>
            <m:r>
              <m:rPr/>
              <w:rPr>
                <w:rFonts w:ascii="Cambria Math" w:hAnsi="Cambria Math" w:eastAsia="宋体" w:cs="Times New Roman"/>
                <w:color w:val="auto"/>
                <w:sz w:val="24"/>
                <w:szCs w:val="21"/>
              </w:rPr>
              <m:t>∂x</m:t>
            </m:r>
            <m:ctrlPr>
              <w:rPr>
                <w:rFonts w:ascii="Cambria Math" w:hAnsi="Cambria Math" w:eastAsia="宋体" w:cs="Times New Roman"/>
                <w:i/>
                <w:color w:val="auto"/>
                <w:sz w:val="24"/>
                <w:szCs w:val="21"/>
              </w:rPr>
            </m:ctrlPr>
          </m:den>
        </m:f>
        <m:r>
          <m:rPr/>
          <w:rPr>
            <w:rFonts w:ascii="Cambria Math" w:hAnsi="Cambria Math" w:eastAsia="宋体" w:cs="Times New Roman"/>
            <w:color w:val="auto"/>
            <w:sz w:val="24"/>
            <w:szCs w:val="21"/>
          </w:rPr>
          <m:t>+gA</m:t>
        </m:r>
        <m:sSub>
          <m:sSubPr>
            <m:ctrlPr>
              <w:rPr>
                <w:rFonts w:ascii="Cambria Math" w:hAnsi="Cambria Math" w:eastAsia="宋体" w:cs="Times New Roman"/>
                <w:i/>
                <w:color w:val="auto"/>
                <w:sz w:val="24"/>
                <w:szCs w:val="21"/>
              </w:rPr>
            </m:ctrlPr>
          </m:sSubPr>
          <m:e>
            <m:r>
              <m:rPr/>
              <w:rPr>
                <w:rFonts w:ascii="Cambria Math" w:hAnsi="Cambria Math" w:eastAsia="宋体" w:cs="Times New Roman"/>
                <w:color w:val="auto"/>
                <w:sz w:val="24"/>
                <w:szCs w:val="21"/>
              </w:rPr>
              <m:t>S</m:t>
            </m:r>
            <m:ctrlPr>
              <w:rPr>
                <w:rFonts w:ascii="Cambria Math" w:hAnsi="Cambria Math" w:eastAsia="宋体" w:cs="Times New Roman"/>
                <w:i/>
                <w:color w:val="auto"/>
                <w:sz w:val="24"/>
                <w:szCs w:val="21"/>
              </w:rPr>
            </m:ctrlPr>
          </m:e>
          <m:sub>
            <m:r>
              <m:rPr/>
              <w:rPr>
                <w:rFonts w:ascii="Cambria Math" w:hAnsi="Cambria Math" w:eastAsia="宋体" w:cs="Times New Roman"/>
                <w:color w:val="auto"/>
                <w:sz w:val="24"/>
                <w:szCs w:val="21"/>
              </w:rPr>
              <m:t>f</m:t>
            </m:r>
            <m:ctrlPr>
              <w:rPr>
                <w:rFonts w:ascii="Cambria Math" w:hAnsi="Cambria Math" w:eastAsia="宋体" w:cs="Times New Roman"/>
                <w:i/>
                <w:color w:val="auto"/>
                <w:sz w:val="24"/>
                <w:szCs w:val="21"/>
              </w:rPr>
            </m:ctrlPr>
          </m:sub>
        </m:sSub>
        <m:r>
          <m:rPr/>
          <w:rPr>
            <w:rFonts w:ascii="Cambria Math" w:hAnsi="Cambria Math" w:eastAsia="宋体" w:cs="Times New Roman"/>
            <w:color w:val="auto"/>
            <w:sz w:val="24"/>
            <w:szCs w:val="21"/>
          </w:rPr>
          <m:t>=0</m:t>
        </m:r>
      </m:oMath>
      <w:r>
        <w:rPr>
          <w:rFonts w:hint="eastAsia" w:eastAsia="宋体"/>
          <w:color w:val="auto"/>
          <w:sz w:val="24"/>
        </w:rPr>
        <w:t xml:space="preserve">     （2）</w:t>
      </w:r>
    </w:p>
    <w:p w14:paraId="0FD97B7C">
      <w:pPr>
        <w:ind w:firstLine="0" w:firstLineChars="0"/>
        <w:rPr>
          <w:color w:val="auto"/>
        </w:rPr>
      </w:pPr>
      <w:r>
        <w:rPr>
          <w:rFonts w:hint="eastAsia"/>
          <w:color w:val="auto"/>
        </w:rPr>
        <w:t>式中，</w:t>
      </w:r>
      <w:r>
        <w:rPr>
          <w:rFonts w:hint="eastAsia"/>
          <w:i/>
          <w:iCs/>
          <w:color w:val="auto"/>
        </w:rPr>
        <w:t>A</w:t>
      </w:r>
      <w:r>
        <w:rPr>
          <w:rFonts w:hint="eastAsia"/>
          <w:color w:val="auto"/>
        </w:rPr>
        <w:t>为过水面积（m</w:t>
      </w:r>
      <w:r>
        <w:rPr>
          <w:rFonts w:hint="eastAsia"/>
          <w:color w:val="auto"/>
          <w:vertAlign w:val="superscript"/>
        </w:rPr>
        <w:t>2</w:t>
      </w:r>
      <w:r>
        <w:rPr>
          <w:rFonts w:hint="eastAsia"/>
          <w:color w:val="auto"/>
        </w:rPr>
        <w:t>）；</w:t>
      </w:r>
      <w:r>
        <w:rPr>
          <w:rFonts w:hint="eastAsia"/>
          <w:i/>
          <w:iCs/>
          <w:color w:val="auto"/>
        </w:rPr>
        <w:t>Q</w:t>
      </w:r>
      <w:r>
        <w:rPr>
          <w:rFonts w:hint="eastAsia"/>
          <w:color w:val="auto"/>
        </w:rPr>
        <w:t>为流量（m</w:t>
      </w:r>
      <w:r>
        <w:rPr>
          <w:rFonts w:hint="eastAsia"/>
          <w:color w:val="auto"/>
          <w:vertAlign w:val="superscript"/>
        </w:rPr>
        <w:t>3</w:t>
      </w:r>
      <w:r>
        <w:rPr>
          <w:rFonts w:hint="eastAsia"/>
          <w:color w:val="auto"/>
        </w:rPr>
        <w:t>/s）；</w:t>
      </w:r>
      <w:r>
        <w:rPr>
          <w:rFonts w:hint="eastAsia"/>
          <w:i/>
          <w:iCs/>
          <w:color w:val="auto"/>
        </w:rPr>
        <w:t>t</w:t>
      </w:r>
      <w:r>
        <w:rPr>
          <w:rFonts w:hint="eastAsia"/>
          <w:color w:val="auto"/>
        </w:rPr>
        <w:t>为时间（s）；</w:t>
      </w:r>
      <w:r>
        <w:rPr>
          <w:rFonts w:hint="eastAsia"/>
          <w:i/>
          <w:iCs/>
          <w:color w:val="auto"/>
        </w:rPr>
        <w:t>x</w:t>
      </w:r>
      <w:r>
        <w:rPr>
          <w:rFonts w:hint="eastAsia"/>
          <w:color w:val="auto"/>
        </w:rPr>
        <w:t>为沿河中心线或河道主流方向的水平坐标（m）；</w:t>
      </w:r>
      <w:r>
        <w:rPr>
          <w:rFonts w:hint="eastAsia"/>
          <w:i/>
          <w:iCs/>
          <w:color w:val="auto"/>
        </w:rPr>
        <w:t>z</w:t>
      </w:r>
      <w:r>
        <w:rPr>
          <w:rFonts w:hint="eastAsia"/>
          <w:color w:val="auto"/>
        </w:rPr>
        <w:t>为垂向坐标（m）；</w:t>
      </w:r>
      <w:r>
        <w:rPr>
          <w:rFonts w:hint="eastAsia"/>
          <w:i/>
          <w:iCs/>
          <w:color w:val="auto"/>
        </w:rPr>
        <w:t>Z</w:t>
      </w:r>
      <w:r>
        <w:rPr>
          <w:rFonts w:hint="eastAsia"/>
          <w:color w:val="auto"/>
        </w:rPr>
        <w:t>为河床高程（m）；</w:t>
      </w:r>
      <w:r>
        <w:rPr>
          <w:rFonts w:hint="eastAsia"/>
          <w:i/>
          <w:iCs/>
          <w:color w:val="auto"/>
        </w:rPr>
        <w:t>b</w:t>
      </w:r>
      <w:r>
        <w:rPr>
          <w:rFonts w:hint="eastAsia"/>
          <w:color w:val="auto"/>
        </w:rPr>
        <w:t>(</w:t>
      </w:r>
      <w:r>
        <w:rPr>
          <w:rFonts w:hint="eastAsia"/>
          <w:i/>
          <w:iCs/>
          <w:color w:val="auto"/>
        </w:rPr>
        <w:t>z,x</w:t>
      </w:r>
      <w:r>
        <w:rPr>
          <w:rFonts w:hint="eastAsia"/>
          <w:color w:val="auto"/>
        </w:rPr>
        <w:t>)为横断面在高程</w:t>
      </w:r>
      <w:r>
        <w:rPr>
          <w:rFonts w:hint="eastAsia"/>
          <w:i/>
          <w:iCs/>
          <w:color w:val="auto"/>
        </w:rPr>
        <w:t>z</w:t>
      </w:r>
      <w:r>
        <w:rPr>
          <w:rFonts w:hint="eastAsia"/>
          <w:color w:val="auto"/>
        </w:rPr>
        <w:t>处的宽度（m）；</w:t>
      </w:r>
      <w:r>
        <w:rPr>
          <w:rFonts w:hint="eastAsia"/>
          <w:i/>
          <w:iCs/>
          <w:color w:val="auto"/>
        </w:rPr>
        <w:t>h</w:t>
      </w:r>
      <w:r>
        <w:rPr>
          <w:rFonts w:hint="eastAsia"/>
          <w:color w:val="auto"/>
        </w:rPr>
        <w:t>(</w:t>
      </w:r>
      <w:r>
        <w:rPr>
          <w:rFonts w:hint="eastAsia"/>
          <w:i/>
          <w:iCs/>
          <w:color w:val="auto"/>
        </w:rPr>
        <w:t>x</w:t>
      </w:r>
      <w:r>
        <w:rPr>
          <w:rFonts w:hint="eastAsia"/>
          <w:color w:val="auto"/>
        </w:rPr>
        <w:t>)为水深（m）；</w:t>
      </w:r>
      <w:r>
        <w:rPr>
          <w:rFonts w:hint="eastAsia"/>
          <w:i/>
          <w:iCs/>
          <w:color w:val="auto"/>
        </w:rPr>
        <w:t>S</w:t>
      </w:r>
      <w:r>
        <w:rPr>
          <w:rFonts w:hint="eastAsia"/>
          <w:i/>
          <w:iCs/>
          <w:color w:val="auto"/>
          <w:vertAlign w:val="subscript"/>
        </w:rPr>
        <w:t>f</w:t>
      </w:r>
      <w:r>
        <w:rPr>
          <w:rFonts w:hint="eastAsia"/>
          <w:color w:val="auto"/>
        </w:rPr>
        <w:t>为摩阻坡度。</w:t>
      </w:r>
    </w:p>
    <w:p w14:paraId="033A07A9">
      <w:pPr>
        <w:ind w:firstLine="420"/>
        <w:rPr>
          <w:color w:val="auto"/>
        </w:rPr>
      </w:pPr>
      <w:r>
        <w:rPr>
          <w:rFonts w:hint="eastAsia"/>
          <w:color w:val="auto"/>
        </w:rPr>
        <w:t>在工程计算中，常将实际断面假设为矩形，或通过等效化简为矩形并取单位河宽，从而可将浅水方程写为以下形式</w:t>
      </w:r>
    </w:p>
    <w:p w14:paraId="4CCAEDB7">
      <w:pPr>
        <w:pStyle w:val="29"/>
        <w:rPr>
          <w:color w:val="auto"/>
        </w:rPr>
      </w:pPr>
      <w:r>
        <w:rPr>
          <w:rFonts w:hint="eastAsia"/>
          <w:color w:val="auto"/>
        </w:rPr>
        <w:tab/>
      </w:r>
      <m:oMath>
        <m:f>
          <m:fPr>
            <m:ctrlPr>
              <w:rPr>
                <w:rFonts w:ascii="Cambria Math"/>
                <w:i/>
                <w:iCs/>
                <w:color w:val="auto"/>
              </w:rPr>
            </m:ctrlPr>
          </m:fPr>
          <m:num>
            <m:r>
              <m:rPr/>
              <w:rPr>
                <w:rFonts w:ascii="Cambria Math"/>
                <w:color w:val="auto"/>
              </w:rPr>
              <m:t>∂</m:t>
            </m:r>
            <m:r>
              <m:rPr>
                <m:sty m:val="bi"/>
              </m:rPr>
              <w:rPr>
                <w:rFonts w:hint="default" w:ascii="Cambria Math" w:hAnsi="Cambria Math"/>
                <w:color w:val="auto"/>
              </w:rPr>
              <m:t>U</m:t>
            </m:r>
            <m:ctrlPr>
              <w:rPr>
                <w:rFonts w:ascii="Cambria Math"/>
                <w:i/>
                <w:iCs/>
                <w:color w:val="auto"/>
              </w:rPr>
            </m:ctrlPr>
          </m:num>
          <m:den>
            <m:r>
              <m:rPr/>
              <w:rPr>
                <w:rFonts w:ascii="Cambria Math"/>
                <w:color w:val="auto"/>
              </w:rPr>
              <m:t>∂</m:t>
            </m:r>
            <m:r>
              <m:rPr/>
              <w:rPr>
                <w:rFonts w:hint="eastAsia" w:ascii="Cambria Math"/>
                <w:color w:val="auto"/>
              </w:rPr>
              <m:t>t</m:t>
            </m:r>
            <m:ctrlPr>
              <w:rPr>
                <w:rFonts w:ascii="Cambria Math"/>
                <w:i/>
                <w:iCs/>
                <w:color w:val="auto"/>
              </w:rPr>
            </m:ctrlPr>
          </m:den>
        </m:f>
        <m:r>
          <m:rPr/>
          <w:rPr>
            <w:rFonts w:hint="eastAsia" w:ascii="Cambria Math"/>
            <w:color w:val="auto"/>
          </w:rPr>
          <m:t>+</m:t>
        </m:r>
        <m:f>
          <m:fPr>
            <m:ctrlPr>
              <w:rPr>
                <w:rFonts w:ascii="Cambria Math"/>
                <w:i/>
                <w:iCs/>
                <w:color w:val="auto"/>
              </w:rPr>
            </m:ctrlPr>
          </m:fPr>
          <m:num>
            <m:r>
              <m:rPr/>
              <w:rPr>
                <w:rFonts w:ascii="Cambria Math"/>
                <w:color w:val="auto"/>
              </w:rPr>
              <m:t>∂</m:t>
            </m:r>
            <m:r>
              <m:rPr>
                <m:sty m:val="bi"/>
              </m:rPr>
              <w:rPr>
                <w:rFonts w:hint="default" w:ascii="Cambria Math" w:hAnsi="Cambria Math"/>
                <w:color w:val="auto"/>
              </w:rPr>
              <m:t>F</m:t>
            </m:r>
            <m:d>
              <m:dPr>
                <m:ctrlPr>
                  <w:rPr>
                    <w:rFonts w:ascii="Cambria Math"/>
                    <w:i/>
                    <w:iCs/>
                    <w:color w:val="auto"/>
                  </w:rPr>
                </m:ctrlPr>
              </m:dPr>
              <m:e>
                <m:r>
                  <m:rPr>
                    <m:sty m:val="bi"/>
                  </m:rPr>
                  <w:rPr>
                    <w:rFonts w:hint="default" w:ascii="Cambria Math" w:hAnsi="Cambria Math"/>
                    <w:color w:val="auto"/>
                  </w:rPr>
                  <m:t>U</m:t>
                </m:r>
                <m:ctrlPr>
                  <w:rPr>
                    <w:rFonts w:ascii="Cambria Math"/>
                    <w:i/>
                    <w:iCs/>
                    <w:color w:val="auto"/>
                  </w:rPr>
                </m:ctrlPr>
              </m:e>
            </m:d>
            <m:ctrlPr>
              <w:rPr>
                <w:rFonts w:ascii="Cambria Math"/>
                <w:i/>
                <w:iCs/>
                <w:color w:val="auto"/>
              </w:rPr>
            </m:ctrlPr>
          </m:num>
          <m:den>
            <m:r>
              <m:rPr/>
              <w:rPr>
                <w:rFonts w:ascii="Cambria Math"/>
                <w:color w:val="auto"/>
              </w:rPr>
              <m:t>∂</m:t>
            </m:r>
            <m:r>
              <m:rPr/>
              <w:rPr>
                <w:rFonts w:hint="eastAsia" w:ascii="Cambria Math"/>
                <w:color w:val="auto"/>
              </w:rPr>
              <m:t>x</m:t>
            </m:r>
            <m:ctrlPr>
              <w:rPr>
                <w:rFonts w:ascii="Cambria Math"/>
                <w:i/>
                <w:iCs/>
                <w:color w:val="auto"/>
              </w:rPr>
            </m:ctrlPr>
          </m:den>
        </m:f>
        <m:r>
          <m:rPr/>
          <w:rPr>
            <w:rFonts w:hint="eastAsia" w:ascii="Cambria Math"/>
            <w:color w:val="auto"/>
          </w:rPr>
          <m:t>=</m:t>
        </m:r>
        <m:r>
          <m:rPr>
            <m:sty m:val="bi"/>
          </m:rPr>
          <w:rPr>
            <w:rFonts w:hint="default" w:ascii="Cambria Math" w:hAnsi="Cambria Math"/>
            <w:color w:val="auto"/>
          </w:rPr>
          <m:t>S</m:t>
        </m:r>
        <m:d>
          <m:dPr>
            <m:ctrlPr>
              <w:rPr>
                <w:rFonts w:ascii="Cambria Math"/>
                <w:i/>
                <w:iCs/>
                <w:color w:val="auto"/>
              </w:rPr>
            </m:ctrlPr>
          </m:dPr>
          <m:e>
            <m:r>
              <m:rPr>
                <m:sty m:val="bi"/>
              </m:rPr>
              <w:rPr>
                <w:rFonts w:hint="default" w:ascii="Cambria Math" w:hAnsi="Cambria Math"/>
                <w:color w:val="auto"/>
              </w:rPr>
              <m:t>U</m:t>
            </m:r>
            <m:ctrlPr>
              <w:rPr>
                <w:rFonts w:ascii="Cambria Math"/>
                <w:i/>
                <w:iCs/>
                <w:color w:val="auto"/>
              </w:rPr>
            </m:ctrlPr>
          </m:e>
        </m:d>
      </m:oMath>
      <w:r>
        <w:rPr>
          <w:rFonts w:hint="eastAsia"/>
          <w:color w:val="auto"/>
        </w:rPr>
        <w:tab/>
      </w:r>
      <w:r>
        <w:rPr>
          <w:rFonts w:hint="eastAsia"/>
          <w:color w:val="auto"/>
        </w:rPr>
        <w:t>（3）</w:t>
      </w:r>
    </w:p>
    <w:p w14:paraId="744B4D16">
      <w:pPr>
        <w:pStyle w:val="29"/>
        <w:rPr>
          <w:color w:val="auto"/>
        </w:rPr>
      </w:pPr>
      <w:r>
        <w:rPr>
          <w:rFonts w:hint="eastAsia"/>
          <w:color w:val="auto"/>
        </w:rPr>
        <w:tab/>
      </w:r>
      <m:oMath>
        <m:r>
          <m:rPr>
            <m:sty m:val="bi"/>
          </m:rPr>
          <w:rPr>
            <w:rFonts w:hint="default" w:ascii="Cambria Math" w:hAnsi="Cambria Math"/>
            <w:color w:val="auto"/>
          </w:rPr>
          <m:t>U</m:t>
        </m:r>
        <m:r>
          <m:rPr/>
          <w:rPr>
            <w:rFonts w:ascii="Cambria Math"/>
            <w:color w:val="auto"/>
          </w:rPr>
          <m:t>=</m:t>
        </m:r>
        <m:d>
          <m:dPr>
            <m:begChr m:val="["/>
            <m:endChr m:val="]"/>
            <m:ctrlPr>
              <w:rPr>
                <w:rFonts w:ascii="Cambria Math"/>
                <w:i/>
                <w:iCs/>
                <w:color w:val="auto"/>
              </w:rPr>
            </m:ctrlPr>
          </m:dPr>
          <m:e>
            <m:m>
              <m:mPr>
                <m:mcs>
                  <m:mc>
                    <m:mcPr>
                      <m:count m:val="1"/>
                      <m:mcJc m:val="center"/>
                    </m:mcPr>
                  </m:mc>
                </m:mcs>
                <m:ctrlPr>
                  <w:rPr>
                    <w:rFonts w:ascii="Cambria Math"/>
                    <w:i/>
                    <w:iCs/>
                    <w:color w:val="auto"/>
                  </w:rPr>
                </m:ctrlPr>
              </m:mPr>
              <m:mr>
                <m:e>
                  <m:r>
                    <m:rPr/>
                    <w:rPr>
                      <w:rFonts w:ascii="Cambria Math"/>
                      <w:color w:val="auto"/>
                    </w:rPr>
                    <m:t>h</m:t>
                  </m:r>
                  <m:ctrlPr>
                    <w:rPr>
                      <w:rFonts w:ascii="Cambria Math"/>
                      <w:i/>
                      <w:iCs/>
                      <w:color w:val="auto"/>
                    </w:rPr>
                  </m:ctrlPr>
                </m:e>
              </m:mr>
              <m:mr>
                <m:e>
                  <m:r>
                    <m:rPr/>
                    <w:rPr>
                      <w:rFonts w:ascii="Cambria Math"/>
                      <w:color w:val="auto"/>
                    </w:rPr>
                    <m:t>hu</m:t>
                  </m:r>
                  <m:ctrlPr>
                    <w:rPr>
                      <w:rFonts w:ascii="Cambria Math"/>
                      <w:i/>
                      <w:iCs/>
                      <w:color w:val="auto"/>
                    </w:rPr>
                  </m:ctrlPr>
                </m:e>
              </m:mr>
            </m:m>
            <m:ctrlPr>
              <w:rPr>
                <w:rFonts w:ascii="Cambria Math"/>
                <w:i/>
                <w:iCs/>
                <w:color w:val="auto"/>
              </w:rPr>
            </m:ctrlPr>
          </m:e>
        </m:d>
      </m:oMath>
      <w:r>
        <w:rPr>
          <w:rFonts w:hint="eastAsia"/>
          <w:color w:val="auto"/>
        </w:rPr>
        <w:tab/>
      </w:r>
      <w:r>
        <w:rPr>
          <w:rFonts w:hint="eastAsia"/>
          <w:color w:val="auto"/>
        </w:rPr>
        <w:t>（4）</w:t>
      </w:r>
    </w:p>
    <w:p w14:paraId="2F8AE24E">
      <w:pPr>
        <w:pStyle w:val="29"/>
        <w:rPr>
          <w:color w:val="auto"/>
        </w:rPr>
      </w:pPr>
      <w:r>
        <w:rPr>
          <w:rFonts w:hint="eastAsia"/>
          <w:color w:val="auto"/>
        </w:rPr>
        <w:tab/>
      </w:r>
      <m:oMath>
        <m:r>
          <m:rPr>
            <m:sty m:val="bi"/>
          </m:rPr>
          <w:rPr>
            <w:rFonts w:hint="default" w:ascii="Cambria Math" w:hAnsi="Cambria Math"/>
            <w:color w:val="auto"/>
          </w:rPr>
          <m:t>F</m:t>
        </m:r>
        <m:d>
          <m:dPr>
            <m:ctrlPr>
              <w:rPr>
                <w:rFonts w:ascii="Cambria Math"/>
                <w:i/>
                <w:iCs/>
                <w:color w:val="auto"/>
              </w:rPr>
            </m:ctrlPr>
          </m:dPr>
          <m:e>
            <m:r>
              <m:rPr>
                <m:sty m:val="bi"/>
              </m:rPr>
              <w:rPr>
                <w:rFonts w:hint="default" w:ascii="Cambria Math" w:hAnsi="Cambria Math"/>
                <w:color w:val="auto"/>
              </w:rPr>
              <m:t>U</m:t>
            </m:r>
            <m:ctrlPr>
              <w:rPr>
                <w:rFonts w:ascii="Cambria Math"/>
                <w:i/>
                <w:iCs/>
                <w:color w:val="auto"/>
              </w:rPr>
            </m:ctrlPr>
          </m:e>
        </m:d>
        <m:r>
          <m:rPr/>
          <w:rPr>
            <w:rFonts w:ascii="Cambria Math"/>
            <w:color w:val="auto"/>
          </w:rPr>
          <m:t>=</m:t>
        </m:r>
        <m:d>
          <m:dPr>
            <m:begChr m:val="["/>
            <m:endChr m:val="]"/>
            <m:ctrlPr>
              <w:rPr>
                <w:rFonts w:ascii="Cambria Math"/>
                <w:i/>
                <w:iCs/>
                <w:color w:val="auto"/>
              </w:rPr>
            </m:ctrlPr>
          </m:dPr>
          <m:e>
            <m:m>
              <m:mPr>
                <m:mcs>
                  <m:mc>
                    <m:mcPr>
                      <m:count m:val="1"/>
                      <m:mcJc m:val="center"/>
                    </m:mcPr>
                  </m:mc>
                </m:mcs>
                <m:ctrlPr>
                  <w:rPr>
                    <w:rFonts w:ascii="Cambria Math"/>
                    <w:i/>
                    <w:iCs/>
                    <w:color w:val="auto"/>
                  </w:rPr>
                </m:ctrlPr>
              </m:mPr>
              <m:mr>
                <m:e>
                  <m:r>
                    <m:rPr/>
                    <w:rPr>
                      <w:rFonts w:ascii="Cambria Math"/>
                      <w:color w:val="auto"/>
                    </w:rPr>
                    <m:t>hu</m:t>
                  </m:r>
                  <m:ctrlPr>
                    <w:rPr>
                      <w:rFonts w:ascii="Cambria Math"/>
                      <w:i/>
                      <w:iCs/>
                      <w:color w:val="auto"/>
                    </w:rPr>
                  </m:ctrlPr>
                </m:e>
              </m:mr>
              <m:mr>
                <m:e>
                  <m:r>
                    <m:rPr/>
                    <w:rPr>
                      <w:rFonts w:ascii="Cambria Math"/>
                      <w:color w:val="auto"/>
                    </w:rPr>
                    <m:t>h</m:t>
                  </m:r>
                  <m:sSup>
                    <m:sSupPr>
                      <m:ctrlPr>
                        <w:rPr>
                          <w:rFonts w:ascii="Cambria Math"/>
                          <w:i/>
                          <w:iCs/>
                          <w:color w:val="auto"/>
                        </w:rPr>
                      </m:ctrlPr>
                    </m:sSupPr>
                    <m:e>
                      <m:r>
                        <m:rPr/>
                        <w:rPr>
                          <w:rFonts w:ascii="Cambria Math"/>
                          <w:color w:val="auto"/>
                        </w:rPr>
                        <m:t>u</m:t>
                      </m:r>
                      <m:ctrlPr>
                        <w:rPr>
                          <w:rFonts w:ascii="Cambria Math"/>
                          <w:i/>
                          <w:iCs/>
                          <w:color w:val="auto"/>
                        </w:rPr>
                      </m:ctrlPr>
                    </m:e>
                    <m:sup>
                      <m:r>
                        <m:rPr/>
                        <w:rPr>
                          <w:rFonts w:ascii="Cambria Math"/>
                          <w:color w:val="auto"/>
                        </w:rPr>
                        <m:t>2</m:t>
                      </m:r>
                      <m:ctrlPr>
                        <w:rPr>
                          <w:rFonts w:ascii="Cambria Math"/>
                          <w:i/>
                          <w:iCs/>
                          <w:color w:val="auto"/>
                        </w:rPr>
                      </m:ctrlPr>
                    </m:sup>
                  </m:sSup>
                  <m:r>
                    <m:rPr/>
                    <w:rPr>
                      <w:rFonts w:ascii="Cambria Math"/>
                      <w:color w:val="auto"/>
                    </w:rPr>
                    <m:t>+</m:t>
                  </m:r>
                  <m:f>
                    <m:fPr>
                      <m:ctrlPr>
                        <w:rPr>
                          <w:rFonts w:ascii="Cambria Math"/>
                          <w:i/>
                          <w:iCs/>
                          <w:color w:val="auto"/>
                        </w:rPr>
                      </m:ctrlPr>
                    </m:fPr>
                    <m:num>
                      <m:r>
                        <m:rPr/>
                        <w:rPr>
                          <w:rFonts w:ascii="Cambria Math"/>
                          <w:color w:val="auto"/>
                        </w:rPr>
                        <m:t>1</m:t>
                      </m:r>
                      <m:ctrlPr>
                        <w:rPr>
                          <w:rFonts w:ascii="Cambria Math"/>
                          <w:i/>
                          <w:iCs/>
                          <w:color w:val="auto"/>
                        </w:rPr>
                      </m:ctrlPr>
                    </m:num>
                    <m:den>
                      <m:r>
                        <m:rPr/>
                        <w:rPr>
                          <w:rFonts w:ascii="Cambria Math"/>
                          <w:color w:val="auto"/>
                        </w:rPr>
                        <m:t>2</m:t>
                      </m:r>
                      <m:ctrlPr>
                        <w:rPr>
                          <w:rFonts w:ascii="Cambria Math"/>
                          <w:i/>
                          <w:iCs/>
                          <w:color w:val="auto"/>
                        </w:rPr>
                      </m:ctrlPr>
                    </m:den>
                  </m:f>
                  <m:r>
                    <m:rPr/>
                    <w:rPr>
                      <w:rFonts w:ascii="Cambria Math"/>
                      <w:color w:val="auto"/>
                    </w:rPr>
                    <m:t>g</m:t>
                  </m:r>
                  <m:sSup>
                    <m:sSupPr>
                      <m:ctrlPr>
                        <w:rPr>
                          <w:rFonts w:ascii="Cambria Math"/>
                          <w:i/>
                          <w:iCs/>
                          <w:color w:val="auto"/>
                        </w:rPr>
                      </m:ctrlPr>
                    </m:sSupPr>
                    <m:e>
                      <m:r>
                        <m:rPr/>
                        <w:rPr>
                          <w:rFonts w:ascii="Cambria Math"/>
                          <w:color w:val="auto"/>
                        </w:rPr>
                        <m:t>h</m:t>
                      </m:r>
                      <m:ctrlPr>
                        <w:rPr>
                          <w:rFonts w:ascii="Cambria Math"/>
                          <w:i/>
                          <w:iCs/>
                          <w:color w:val="auto"/>
                        </w:rPr>
                      </m:ctrlPr>
                    </m:e>
                    <m:sup>
                      <m:r>
                        <m:rPr/>
                        <w:rPr>
                          <w:rFonts w:ascii="Cambria Math"/>
                          <w:color w:val="auto"/>
                        </w:rPr>
                        <m:t>2</m:t>
                      </m:r>
                      <m:ctrlPr>
                        <w:rPr>
                          <w:rFonts w:ascii="Cambria Math"/>
                          <w:i/>
                          <w:iCs/>
                          <w:color w:val="auto"/>
                        </w:rPr>
                      </m:ctrlPr>
                    </m:sup>
                  </m:sSup>
                  <m:ctrlPr>
                    <w:rPr>
                      <w:rFonts w:ascii="Cambria Math"/>
                      <w:i/>
                      <w:iCs/>
                      <w:color w:val="auto"/>
                    </w:rPr>
                  </m:ctrlPr>
                </m:e>
              </m:mr>
            </m:m>
            <m:ctrlPr>
              <w:rPr>
                <w:rFonts w:ascii="Cambria Math"/>
                <w:i/>
                <w:iCs/>
                <w:color w:val="auto"/>
              </w:rPr>
            </m:ctrlPr>
          </m:e>
        </m:d>
      </m:oMath>
      <w:r>
        <w:rPr>
          <w:rFonts w:hint="eastAsia"/>
          <w:color w:val="auto"/>
        </w:rPr>
        <w:tab/>
      </w:r>
      <w:r>
        <w:rPr>
          <w:rFonts w:hint="eastAsia"/>
          <w:color w:val="auto"/>
        </w:rPr>
        <w:t>（5）</w:t>
      </w:r>
    </w:p>
    <w:p w14:paraId="7F680DA3">
      <w:pPr>
        <w:pStyle w:val="29"/>
        <w:rPr>
          <w:color w:val="auto"/>
        </w:rPr>
      </w:pPr>
      <w:r>
        <w:rPr>
          <w:rFonts w:hint="eastAsia"/>
          <w:color w:val="auto"/>
        </w:rPr>
        <w:tab/>
      </w:r>
      <m:oMath>
        <m:r>
          <m:rPr>
            <m:sty m:val="bi"/>
          </m:rPr>
          <w:rPr>
            <w:rFonts w:hint="default" w:ascii="Cambria Math" w:hAnsi="Cambria Math"/>
            <w:color w:val="auto"/>
          </w:rPr>
          <m:t>S</m:t>
        </m:r>
        <m:d>
          <m:dPr>
            <m:ctrlPr>
              <w:rPr>
                <w:rFonts w:ascii="Cambria Math"/>
                <w:i/>
                <w:iCs/>
                <w:color w:val="auto"/>
              </w:rPr>
            </m:ctrlPr>
          </m:dPr>
          <m:e>
            <m:r>
              <m:rPr>
                <m:sty m:val="bi"/>
              </m:rPr>
              <w:rPr>
                <w:rFonts w:hint="default" w:ascii="Cambria Math" w:hAnsi="Cambria Math"/>
                <w:color w:val="auto"/>
              </w:rPr>
              <m:t>U</m:t>
            </m:r>
            <m:ctrlPr>
              <w:rPr>
                <w:rFonts w:ascii="Cambria Math"/>
                <w:i/>
                <w:iCs/>
                <w:color w:val="auto"/>
              </w:rPr>
            </m:ctrlPr>
          </m:e>
        </m:d>
        <m:r>
          <m:rPr/>
          <w:rPr>
            <w:rFonts w:ascii="Cambria Math"/>
            <w:color w:val="auto"/>
          </w:rPr>
          <m:t>=</m:t>
        </m:r>
        <m:d>
          <m:dPr>
            <m:begChr m:val="["/>
            <m:endChr m:val="]"/>
            <m:ctrlPr>
              <w:rPr>
                <w:rFonts w:ascii="Cambria Math"/>
                <w:i/>
                <w:iCs/>
                <w:color w:val="auto"/>
              </w:rPr>
            </m:ctrlPr>
          </m:dPr>
          <m:e>
            <m:m>
              <m:mPr>
                <m:mcs>
                  <m:mc>
                    <m:mcPr>
                      <m:count m:val="1"/>
                      <m:mcJc m:val="center"/>
                    </m:mcPr>
                  </m:mc>
                </m:mcs>
                <m:ctrlPr>
                  <w:rPr>
                    <w:rFonts w:ascii="Cambria Math"/>
                    <w:i/>
                    <w:iCs/>
                    <w:color w:val="auto"/>
                  </w:rPr>
                </m:ctrlPr>
              </m:mPr>
              <m:mr>
                <m:e>
                  <m:r>
                    <m:rPr/>
                    <w:rPr>
                      <w:rFonts w:ascii="Cambria Math"/>
                      <w:color w:val="auto"/>
                    </w:rPr>
                    <m:t>0</m:t>
                  </m:r>
                  <m:ctrlPr>
                    <w:rPr>
                      <w:rFonts w:ascii="Cambria Math"/>
                      <w:i/>
                      <w:iCs/>
                      <w:color w:val="auto"/>
                    </w:rPr>
                  </m:ctrlPr>
                </m:e>
              </m:mr>
              <m:mr>
                <m:e>
                  <m:r>
                    <m:rPr/>
                    <w:rPr>
                      <w:rFonts w:ascii="Cambria Math"/>
                      <w:color w:val="auto"/>
                    </w:rPr>
                    <m:t>gh</m:t>
                  </m:r>
                  <m:d>
                    <m:dPr>
                      <m:ctrlPr>
                        <w:rPr>
                          <w:rFonts w:ascii="Cambria Math"/>
                          <w:i/>
                          <w:iCs/>
                          <w:color w:val="auto"/>
                        </w:rPr>
                      </m:ctrlPr>
                    </m:dPr>
                    <m:e>
                      <m:sSub>
                        <m:sSubPr>
                          <m:ctrlPr>
                            <w:rPr>
                              <w:rFonts w:ascii="Cambria Math"/>
                              <w:i/>
                              <w:iCs/>
                              <w:color w:val="auto"/>
                            </w:rPr>
                          </m:ctrlPr>
                        </m:sSubPr>
                        <m:e>
                          <m:r>
                            <m:rPr/>
                            <w:rPr>
                              <w:rFonts w:ascii="Cambria Math"/>
                              <w:color w:val="auto"/>
                            </w:rPr>
                            <m:t>S</m:t>
                          </m:r>
                          <m:ctrlPr>
                            <w:rPr>
                              <w:rFonts w:ascii="Cambria Math"/>
                              <w:i/>
                              <w:iCs/>
                              <w:color w:val="auto"/>
                            </w:rPr>
                          </m:ctrlPr>
                        </m:e>
                        <m:sub>
                          <m:r>
                            <m:rPr/>
                            <w:rPr>
                              <w:rFonts w:ascii="Cambria Math"/>
                              <w:color w:val="auto"/>
                            </w:rPr>
                            <m:t>0</m:t>
                          </m:r>
                          <m:ctrlPr>
                            <w:rPr>
                              <w:rFonts w:ascii="Cambria Math"/>
                              <w:i/>
                              <w:iCs/>
                              <w:color w:val="auto"/>
                            </w:rPr>
                          </m:ctrlPr>
                        </m:sub>
                      </m:sSub>
                      <m:r>
                        <m:rPr/>
                        <w:rPr>
                          <w:rFonts w:ascii="Cambria Math"/>
                          <w:color w:val="auto"/>
                        </w:rPr>
                        <m:t>−</m:t>
                      </m:r>
                      <m:sSub>
                        <m:sSubPr>
                          <m:ctrlPr>
                            <w:rPr>
                              <w:rFonts w:ascii="Cambria Math"/>
                              <w:i/>
                              <w:iCs/>
                              <w:color w:val="auto"/>
                            </w:rPr>
                          </m:ctrlPr>
                        </m:sSubPr>
                        <m:e>
                          <m:r>
                            <m:rPr/>
                            <w:rPr>
                              <w:rFonts w:ascii="Cambria Math"/>
                              <w:color w:val="auto"/>
                            </w:rPr>
                            <m:t>S</m:t>
                          </m:r>
                          <m:ctrlPr>
                            <w:rPr>
                              <w:rFonts w:ascii="Cambria Math"/>
                              <w:i/>
                              <w:iCs/>
                              <w:color w:val="auto"/>
                            </w:rPr>
                          </m:ctrlPr>
                        </m:e>
                        <m:sub>
                          <m:r>
                            <m:rPr/>
                            <w:rPr>
                              <w:rFonts w:ascii="Cambria Math"/>
                              <w:color w:val="auto"/>
                            </w:rPr>
                            <m:t>f</m:t>
                          </m:r>
                          <m:ctrlPr>
                            <w:rPr>
                              <w:rFonts w:ascii="Cambria Math"/>
                              <w:i/>
                              <w:iCs/>
                              <w:color w:val="auto"/>
                            </w:rPr>
                          </m:ctrlPr>
                        </m:sub>
                      </m:sSub>
                      <m:ctrlPr>
                        <w:rPr>
                          <w:rFonts w:ascii="Cambria Math"/>
                          <w:i/>
                          <w:iCs/>
                          <w:color w:val="auto"/>
                        </w:rPr>
                      </m:ctrlPr>
                    </m:e>
                  </m:d>
                  <m:ctrlPr>
                    <w:rPr>
                      <w:rFonts w:ascii="Cambria Math"/>
                      <w:i/>
                      <w:iCs/>
                      <w:color w:val="auto"/>
                    </w:rPr>
                  </m:ctrlPr>
                </m:e>
              </m:mr>
            </m:m>
            <m:ctrlPr>
              <w:rPr>
                <w:rFonts w:ascii="Cambria Math"/>
                <w:i/>
                <w:iCs/>
                <w:color w:val="auto"/>
              </w:rPr>
            </m:ctrlPr>
          </m:e>
        </m:d>
      </m:oMath>
      <w:r>
        <w:rPr>
          <w:rFonts w:hint="eastAsia"/>
          <w:color w:val="auto"/>
        </w:rPr>
        <w:tab/>
      </w:r>
      <w:r>
        <w:rPr>
          <w:rFonts w:hint="eastAsia"/>
          <w:color w:val="auto"/>
        </w:rPr>
        <w:t>（6）</w:t>
      </w:r>
    </w:p>
    <w:p w14:paraId="2479DC05">
      <w:pPr>
        <w:ind w:firstLine="0" w:firstLineChars="0"/>
        <w:rPr>
          <w:color w:val="auto"/>
        </w:rPr>
      </w:pPr>
      <w:r>
        <w:rPr>
          <w:rFonts w:hint="eastAsia"/>
          <w:color w:val="auto"/>
        </w:rPr>
        <w:t>式中，</w:t>
      </w:r>
      <w:r>
        <w:rPr>
          <w:rFonts w:hint="eastAsia"/>
          <w:b/>
          <w:bCs/>
          <w:i/>
          <w:iCs/>
          <w:color w:val="auto"/>
        </w:rPr>
        <w:t>U</w:t>
      </w:r>
      <w:r>
        <w:rPr>
          <w:rFonts w:hint="eastAsia"/>
          <w:color w:val="auto"/>
        </w:rPr>
        <w:t>、</w:t>
      </w:r>
      <w:r>
        <w:rPr>
          <w:rFonts w:hint="eastAsia"/>
          <w:b/>
          <w:bCs/>
          <w:i/>
          <w:iCs/>
          <w:color w:val="auto"/>
        </w:rPr>
        <w:t>F</w:t>
      </w:r>
      <w:r>
        <w:rPr>
          <w:rFonts w:hint="eastAsia"/>
          <w:b/>
          <w:bCs/>
          <w:color w:val="auto"/>
        </w:rPr>
        <w:t>(</w:t>
      </w:r>
      <w:r>
        <w:rPr>
          <w:rFonts w:hint="eastAsia"/>
          <w:b/>
          <w:bCs/>
          <w:i/>
          <w:iCs/>
          <w:color w:val="auto"/>
        </w:rPr>
        <w:t>U</w:t>
      </w:r>
      <w:r>
        <w:rPr>
          <w:rFonts w:hint="eastAsia"/>
          <w:b/>
          <w:bCs/>
          <w:color w:val="auto"/>
        </w:rPr>
        <w:t>)</w:t>
      </w:r>
      <w:r>
        <w:rPr>
          <w:rFonts w:hint="eastAsia"/>
          <w:color w:val="auto"/>
        </w:rPr>
        <w:t>、</w:t>
      </w:r>
      <w:r>
        <w:rPr>
          <w:rFonts w:hint="eastAsia"/>
          <w:b/>
          <w:bCs/>
          <w:i/>
          <w:iCs/>
          <w:color w:val="auto"/>
        </w:rPr>
        <w:t>S</w:t>
      </w:r>
      <w:r>
        <w:rPr>
          <w:rFonts w:hint="eastAsia"/>
          <w:b/>
          <w:bCs/>
          <w:color w:val="auto"/>
        </w:rPr>
        <w:t>(</w:t>
      </w:r>
      <w:r>
        <w:rPr>
          <w:rFonts w:hint="eastAsia"/>
          <w:b/>
          <w:bCs/>
          <w:i/>
          <w:iCs/>
          <w:color w:val="auto"/>
        </w:rPr>
        <w:t>U</w:t>
      </w:r>
      <w:r>
        <w:rPr>
          <w:rFonts w:hint="eastAsia"/>
          <w:b/>
          <w:bCs/>
          <w:color w:val="auto"/>
        </w:rPr>
        <w:t>)</w:t>
      </w:r>
      <w:r>
        <w:rPr>
          <w:rFonts w:hint="eastAsia"/>
          <w:color w:val="auto"/>
        </w:rPr>
        <w:t>分别为变量向量、通量和源项；</w:t>
      </w:r>
      <w:r>
        <w:rPr>
          <w:rFonts w:hint="eastAsia"/>
          <w:i/>
          <w:iCs/>
          <w:color w:val="auto"/>
        </w:rPr>
        <w:t>h</w:t>
      </w:r>
      <w:r>
        <w:rPr>
          <w:rFonts w:hint="eastAsia"/>
          <w:color w:val="auto"/>
        </w:rPr>
        <w:t>为水深（m），</w:t>
      </w:r>
      <w:r>
        <w:rPr>
          <w:rFonts w:hint="eastAsia"/>
          <w:i/>
          <w:iCs/>
          <w:color w:val="auto"/>
        </w:rPr>
        <w:t>u</w:t>
      </w:r>
      <w:r>
        <w:rPr>
          <w:rFonts w:hint="eastAsia"/>
          <w:color w:val="auto"/>
        </w:rPr>
        <w:t>为流速（m/s），</w:t>
      </w:r>
      <w:r>
        <w:rPr>
          <w:rFonts w:hint="eastAsia"/>
          <w:i/>
          <w:iCs/>
          <w:color w:val="auto"/>
        </w:rPr>
        <w:t>g</w:t>
      </w:r>
      <w:r>
        <w:rPr>
          <w:rFonts w:hint="eastAsia"/>
          <w:color w:val="auto"/>
        </w:rPr>
        <w:t>为重力加速度（m/s</w:t>
      </w:r>
      <w:r>
        <w:rPr>
          <w:rFonts w:hint="eastAsia"/>
          <w:color w:val="auto"/>
          <w:vertAlign w:val="superscript"/>
        </w:rPr>
        <w:t>2</w:t>
      </w:r>
      <w:r>
        <w:rPr>
          <w:rFonts w:hint="eastAsia"/>
          <w:color w:val="auto"/>
        </w:rPr>
        <w:t>），</w:t>
      </w:r>
      <w:r>
        <w:rPr>
          <w:rFonts w:hint="eastAsia"/>
          <w:i/>
          <w:iCs/>
          <w:color w:val="auto"/>
        </w:rPr>
        <w:t>S</w:t>
      </w:r>
      <w:r>
        <w:rPr>
          <w:rFonts w:hint="eastAsia"/>
          <w:i/>
          <w:iCs/>
          <w:color w:val="auto"/>
          <w:vertAlign w:val="subscript"/>
        </w:rPr>
        <w:t>0</w:t>
      </w:r>
      <w:r>
        <w:rPr>
          <w:rFonts w:hint="eastAsia"/>
          <w:color w:val="auto"/>
        </w:rPr>
        <w:t>为底坡。</w:t>
      </w:r>
    </w:p>
    <w:p w14:paraId="7CF277C7">
      <w:pPr>
        <w:ind w:firstLine="420"/>
        <w:rPr>
          <w:color w:val="auto"/>
        </w:rPr>
      </w:pPr>
      <w:r>
        <w:rPr>
          <w:rFonts w:hint="eastAsia"/>
          <w:color w:val="auto"/>
        </w:rPr>
        <w:t>由于方程组解析解仅在理想化条件下存在，工程实践通常依赖数值方法进行求解。常用的数值离散方法主要包括有限差分法、有限体积法和有限元法等。有限差分法（FDM）通过泰勒展开将偏导数近似为离散点上的差商；有限体积法（FVM）基于守恒思想，在控制体积上对方程积分，使通量守恒得到体现；有限元法（FEM）则采用插值函数近似解的分布，结合加权余量法或变分原理，将偏微分方程转化为代数方程组求解，关于三种方法的具体介绍如表1所列。</w:t>
      </w:r>
    </w:p>
    <w:p w14:paraId="42F9399A">
      <w:pPr>
        <w:autoSpaceDE w:val="0"/>
        <w:ind w:firstLine="0" w:firstLineChars="0"/>
        <w:jc w:val="center"/>
        <w:rPr>
          <w:rFonts w:eastAsia="黑体" w:cs="Times New Roman"/>
          <w:color w:val="auto"/>
          <w:sz w:val="18"/>
          <w:szCs w:val="18"/>
        </w:rPr>
      </w:pPr>
      <w:r>
        <w:rPr>
          <w:rFonts w:ascii="黑体" w:hAnsi="黑体" w:eastAsia="黑体" w:cs="Times New Roman"/>
          <w:color w:val="auto"/>
          <w:sz w:val="18"/>
          <w:szCs w:val="18"/>
        </w:rPr>
        <w:t>表</w:t>
      </w:r>
      <w:r>
        <w:rPr>
          <w:rFonts w:eastAsia="黑体" w:cs="Times New Roman"/>
          <w:color w:val="auto"/>
          <w:sz w:val="18"/>
          <w:szCs w:val="18"/>
        </w:rPr>
        <w:t xml:space="preserve"> 1 </w:t>
      </w:r>
      <w:r>
        <w:rPr>
          <w:rFonts w:ascii="黑体" w:hAnsi="黑体" w:eastAsia="黑体" w:cs="Times New Roman"/>
          <w:color w:val="auto"/>
          <w:sz w:val="18"/>
          <w:szCs w:val="18"/>
        </w:rPr>
        <w:t>主流的三种数值模拟方法</w:t>
      </w:r>
      <w:r>
        <w:rPr>
          <w:rFonts w:hint="eastAsia" w:ascii="黑体" w:hAnsi="黑体" w:eastAsia="黑体" w:cs="Times New Roman"/>
          <w:color w:val="auto"/>
          <w:sz w:val="18"/>
          <w:szCs w:val="18"/>
        </w:rPr>
        <w:t>简介</w:t>
      </w:r>
    </w:p>
    <w:p w14:paraId="18D191B3">
      <w:pPr>
        <w:autoSpaceDE w:val="0"/>
        <w:ind w:firstLine="0" w:firstLineChars="0"/>
        <w:jc w:val="center"/>
        <w:rPr>
          <w:rFonts w:eastAsia="黑体" w:cs="Times New Roman"/>
          <w:color w:val="auto"/>
          <w:sz w:val="18"/>
          <w:szCs w:val="18"/>
        </w:rPr>
      </w:pPr>
      <w:r>
        <w:rPr>
          <w:rFonts w:eastAsia="黑体" w:cs="Times New Roman"/>
          <w:color w:val="auto"/>
          <w:sz w:val="18"/>
          <w:szCs w:val="18"/>
        </w:rPr>
        <w:t>Table 1  Introduction to</w:t>
      </w:r>
      <w:r>
        <w:rPr>
          <w:rFonts w:hint="eastAsia" w:eastAsia="黑体" w:cs="Times New Roman"/>
          <w:color w:val="auto"/>
          <w:sz w:val="18"/>
          <w:szCs w:val="18"/>
        </w:rPr>
        <w:t xml:space="preserve"> the three classic numerical simulation methods</w:t>
      </w:r>
    </w:p>
    <w:tbl>
      <w:tblPr>
        <w:tblStyle w:val="12"/>
        <w:tblW w:w="876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4"/>
        <w:gridCol w:w="1418"/>
        <w:gridCol w:w="961"/>
        <w:gridCol w:w="2625"/>
        <w:gridCol w:w="2962"/>
      </w:tblGrid>
      <w:tr w14:paraId="72DA256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794" w:type="dxa"/>
            <w:tcBorders>
              <w:top w:val="single" w:color="000000" w:sz="12" w:space="0"/>
              <w:left w:val="nil"/>
              <w:bottom w:val="single" w:color="000000" w:sz="4" w:space="0"/>
              <w:right w:val="single" w:color="000000" w:sz="4" w:space="0"/>
            </w:tcBorders>
            <w:vAlign w:val="center"/>
          </w:tcPr>
          <w:p w14:paraId="0FE54CFA">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方  法</w:t>
            </w:r>
          </w:p>
        </w:tc>
        <w:tc>
          <w:tcPr>
            <w:tcW w:w="1418" w:type="dxa"/>
            <w:tcBorders>
              <w:top w:val="single" w:color="000000" w:sz="12" w:space="0"/>
              <w:left w:val="nil"/>
              <w:bottom w:val="single" w:color="000000" w:sz="4" w:space="0"/>
              <w:right w:val="single" w:color="000000" w:sz="4" w:space="0"/>
            </w:tcBorders>
            <w:vAlign w:val="center"/>
          </w:tcPr>
          <w:p w14:paraId="402E9686">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离散的</w:t>
            </w:r>
          </w:p>
          <w:p w14:paraId="04E9617F">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基本单元</w:t>
            </w:r>
          </w:p>
        </w:tc>
        <w:tc>
          <w:tcPr>
            <w:tcW w:w="961" w:type="dxa"/>
            <w:tcBorders>
              <w:top w:val="single" w:color="000000" w:sz="12" w:space="0"/>
              <w:left w:val="nil"/>
              <w:bottom w:val="single" w:color="000000" w:sz="4" w:space="0"/>
              <w:right w:val="single" w:color="000000" w:sz="4" w:space="0"/>
            </w:tcBorders>
            <w:vAlign w:val="center"/>
          </w:tcPr>
          <w:p w14:paraId="400EE252">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核心</w:t>
            </w:r>
          </w:p>
          <w:p w14:paraId="79F9B574">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计算单元</w:t>
            </w:r>
          </w:p>
        </w:tc>
        <w:tc>
          <w:tcPr>
            <w:tcW w:w="2625" w:type="dxa"/>
            <w:tcBorders>
              <w:top w:val="single" w:color="000000" w:sz="12" w:space="0"/>
              <w:left w:val="nil"/>
              <w:bottom w:val="single" w:color="000000" w:sz="4" w:space="0"/>
              <w:right w:val="single" w:color="000000" w:sz="4" w:space="0"/>
            </w:tcBorders>
            <w:vAlign w:val="center"/>
          </w:tcPr>
          <w:p w14:paraId="6D60BD98">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求解逻辑</w:t>
            </w:r>
          </w:p>
        </w:tc>
        <w:tc>
          <w:tcPr>
            <w:tcW w:w="2962" w:type="dxa"/>
            <w:tcBorders>
              <w:top w:val="single" w:color="000000" w:sz="12" w:space="0"/>
              <w:left w:val="nil"/>
              <w:bottom w:val="single" w:color="000000" w:sz="4" w:space="0"/>
              <w:right w:val="nil"/>
            </w:tcBorders>
            <w:vAlign w:val="center"/>
          </w:tcPr>
          <w:p w14:paraId="5498C4E1">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物理/数学本质</w:t>
            </w:r>
          </w:p>
        </w:tc>
      </w:tr>
      <w:tr w14:paraId="5747BA9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single" w:color="000000" w:sz="4" w:space="0"/>
              <w:left w:val="nil"/>
              <w:bottom w:val="single" w:color="000000" w:sz="12" w:space="0"/>
              <w:right w:val="single" w:color="000000" w:sz="4" w:space="0"/>
            </w:tcBorders>
          </w:tcPr>
          <w:p w14:paraId="3A3EC9B3">
            <w:pPr>
              <w:autoSpaceDE w:val="0"/>
              <w:autoSpaceDN w:val="0"/>
              <w:adjustRightInd w:val="0"/>
              <w:ind w:firstLine="0" w:firstLineChars="0"/>
              <w:jc w:val="center"/>
              <w:rPr>
                <w:rFonts w:eastAsia="宋体" w:cs="Times New Roman"/>
                <w:color w:val="auto"/>
                <w:kern w:val="0"/>
                <w:sz w:val="15"/>
                <w:szCs w:val="15"/>
              </w:rPr>
            </w:pPr>
            <w:r>
              <w:rPr>
                <w:rFonts w:eastAsia="宋体" w:cs="Times New Roman"/>
                <w:color w:val="auto"/>
                <w:kern w:val="0"/>
                <w:sz w:val="15"/>
                <w:szCs w:val="15"/>
              </w:rPr>
              <w:t>FDM</w:t>
            </w:r>
          </w:p>
          <w:p w14:paraId="30FFFEB2">
            <w:pPr>
              <w:autoSpaceDE w:val="0"/>
              <w:autoSpaceDN w:val="0"/>
              <w:adjustRightInd w:val="0"/>
              <w:ind w:firstLine="0" w:firstLineChars="0"/>
              <w:jc w:val="center"/>
              <w:rPr>
                <w:rFonts w:eastAsia="宋体" w:cs="Times New Roman"/>
                <w:color w:val="auto"/>
                <w:kern w:val="0"/>
                <w:sz w:val="15"/>
                <w:szCs w:val="15"/>
              </w:rPr>
            </w:pPr>
            <w:r>
              <w:rPr>
                <w:rFonts w:eastAsia="宋体" w:cs="Times New Roman"/>
                <w:color w:val="auto"/>
                <w:kern w:val="0"/>
                <w:sz w:val="15"/>
                <w:szCs w:val="15"/>
              </w:rPr>
              <w:t>FVM</w:t>
            </w:r>
          </w:p>
          <w:p w14:paraId="6DE4B218">
            <w:pPr>
              <w:autoSpaceDE w:val="0"/>
              <w:autoSpaceDN w:val="0"/>
              <w:adjustRightInd w:val="0"/>
              <w:ind w:firstLine="0" w:firstLineChars="0"/>
              <w:jc w:val="center"/>
              <w:rPr>
                <w:rFonts w:hint="eastAsia" w:ascii="宋体" w:hAnsi="宋体" w:eastAsia="宋体" w:cs="Arial"/>
                <w:color w:val="auto"/>
                <w:kern w:val="0"/>
                <w:sz w:val="15"/>
                <w:szCs w:val="15"/>
              </w:rPr>
            </w:pPr>
            <w:r>
              <w:rPr>
                <w:rFonts w:eastAsia="宋体" w:cs="Times New Roman"/>
                <w:color w:val="auto"/>
                <w:kern w:val="0"/>
                <w:sz w:val="15"/>
                <w:szCs w:val="15"/>
              </w:rPr>
              <w:t>FEM</w:t>
            </w:r>
          </w:p>
        </w:tc>
        <w:tc>
          <w:tcPr>
            <w:tcW w:w="1418" w:type="dxa"/>
            <w:tcBorders>
              <w:top w:val="single" w:color="000000" w:sz="4" w:space="0"/>
              <w:left w:val="nil"/>
              <w:bottom w:val="single" w:color="000000" w:sz="12" w:space="0"/>
              <w:right w:val="single" w:color="000000" w:sz="4" w:space="0"/>
            </w:tcBorders>
          </w:tcPr>
          <w:p w14:paraId="4B2E2C99">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点</w:t>
            </w:r>
          </w:p>
          <w:p w14:paraId="389F39BF">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控制体积（断面）</w:t>
            </w:r>
          </w:p>
          <w:p w14:paraId="759A2857">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单元</w:t>
            </w:r>
          </w:p>
        </w:tc>
        <w:tc>
          <w:tcPr>
            <w:tcW w:w="961" w:type="dxa"/>
            <w:tcBorders>
              <w:top w:val="single" w:color="000000" w:sz="4" w:space="0"/>
              <w:left w:val="nil"/>
              <w:bottom w:val="single" w:color="000000" w:sz="12" w:space="0"/>
              <w:right w:val="single" w:color="000000" w:sz="4" w:space="0"/>
            </w:tcBorders>
          </w:tcPr>
          <w:p w14:paraId="09368DDB">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节点变量</w:t>
            </w:r>
          </w:p>
          <w:p w14:paraId="2C99AD01">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通量</w:t>
            </w:r>
          </w:p>
          <w:p w14:paraId="140A146B">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基函数</w:t>
            </w:r>
          </w:p>
        </w:tc>
        <w:tc>
          <w:tcPr>
            <w:tcW w:w="2625" w:type="dxa"/>
            <w:tcBorders>
              <w:top w:val="single" w:color="000000" w:sz="4" w:space="0"/>
              <w:left w:val="nil"/>
              <w:bottom w:val="single" w:color="000000" w:sz="12" w:space="0"/>
              <w:right w:val="single" w:color="000000" w:sz="4" w:space="0"/>
            </w:tcBorders>
          </w:tcPr>
          <w:p w14:paraId="16146049">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导数的差分近似</w:t>
            </w:r>
          </w:p>
          <w:p w14:paraId="6C5F4759">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控制体积的通量守恒</w:t>
            </w:r>
          </w:p>
          <w:p w14:paraId="5625D741">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变分原理下的弱形式离散与能量逼近</w:t>
            </w:r>
          </w:p>
        </w:tc>
        <w:tc>
          <w:tcPr>
            <w:tcW w:w="2962" w:type="dxa"/>
            <w:tcBorders>
              <w:top w:val="single" w:color="000000" w:sz="4" w:space="0"/>
              <w:left w:val="nil"/>
              <w:bottom w:val="single" w:color="000000" w:sz="12" w:space="0"/>
              <w:right w:val="nil"/>
            </w:tcBorders>
          </w:tcPr>
          <w:p w14:paraId="03379898">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微分方程的直接离散化</w:t>
            </w:r>
          </w:p>
          <w:p w14:paraId="29AFFE04">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物理量守恒定律的积分表达</w:t>
            </w:r>
          </w:p>
          <w:p w14:paraId="16735E5C">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微分方程转化为</w:t>
            </w:r>
            <w:bookmarkStart w:id="3" w:name="Bookmark3"/>
            <w:r>
              <w:rPr>
                <w:rFonts w:hint="eastAsia" w:ascii="宋体" w:hAnsi="宋体" w:eastAsia="宋体" w:cs="Arial"/>
                <w:color w:val="auto"/>
                <w:kern w:val="0"/>
                <w:sz w:val="15"/>
                <w:szCs w:val="15"/>
              </w:rPr>
              <w:t>积分弱</w:t>
            </w:r>
            <w:bookmarkEnd w:id="3"/>
            <w:r>
              <w:rPr>
                <w:rFonts w:hint="eastAsia" w:ascii="宋体" w:hAnsi="宋体" w:eastAsia="宋体" w:cs="Arial"/>
                <w:color w:val="auto"/>
                <w:kern w:val="0"/>
                <w:sz w:val="15"/>
                <w:szCs w:val="15"/>
              </w:rPr>
              <w:t>形式，基函数插值</w:t>
            </w:r>
          </w:p>
        </w:tc>
      </w:tr>
    </w:tbl>
    <w:p w14:paraId="050225E6">
      <w:pPr>
        <w:autoSpaceDE w:val="0"/>
        <w:autoSpaceDN w:val="0"/>
        <w:adjustRightInd w:val="0"/>
        <w:ind w:firstLine="0" w:firstLineChars="0"/>
        <w:jc w:val="center"/>
        <w:rPr>
          <w:rFonts w:hint="eastAsia" w:ascii="宋体" w:hAnsi="宋体" w:eastAsia="宋体" w:cs="Arial"/>
          <w:color w:val="auto"/>
          <w:kern w:val="0"/>
          <w:sz w:val="15"/>
          <w:szCs w:val="15"/>
        </w:rPr>
      </w:pPr>
    </w:p>
    <w:p w14:paraId="3BF1E99E">
      <w:pPr>
        <w:ind w:firstLine="420"/>
        <w:rPr>
          <w:color w:val="auto"/>
        </w:rPr>
      </w:pPr>
      <w:r>
        <w:rPr>
          <w:rFonts w:hint="eastAsia"/>
          <w:color w:val="auto"/>
        </w:rPr>
        <w:t>然而，在实际计算中，水流扰动常引发两侧状态差异，从而产生黎曼问题。为此，近年来基于有限体积思想的Godunov方法得到广泛应用。Godunov方法以黎曼问题求解为核心，在单元</w:t>
      </w:r>
      <w:bookmarkStart w:id="4" w:name="Bookmark4"/>
      <w:r>
        <w:rPr>
          <w:rFonts w:hint="eastAsia"/>
          <w:color w:val="auto"/>
        </w:rPr>
        <w:t>界面</w:t>
      </w:r>
      <w:bookmarkEnd w:id="4"/>
      <w:r>
        <w:rPr>
          <w:rFonts w:hint="eastAsia"/>
          <w:color w:val="auto"/>
        </w:rPr>
        <w:t>处利用黎曼解（精确或近似）来确定数值通量，并结合高阶重构与时间推进技术，实现既守恒又高精度的数值求解。需要指出的是，Godunov方法在理论上可通过精确波系分析得到解析解，但在考虑源项时解析解难以获取且计算成本极高，因此实际应用中通常采用近似求解格式进行实现。</w:t>
      </w:r>
    </w:p>
    <w:p w14:paraId="3964050B">
      <w:pPr>
        <w:ind w:firstLine="420"/>
        <w:rPr>
          <w:color w:val="auto"/>
        </w:rPr>
      </w:pPr>
      <w:r>
        <w:rPr>
          <w:rFonts w:hint="eastAsia"/>
          <w:color w:val="auto"/>
        </w:rPr>
        <w:t>尽管上述传统数值方法在理论和应用中已相当成熟，但在应对复杂河网、极端情景及大规模实时模拟时，仍面临计算效率不足和参数率定困难等挑战。在此背景下，近年来基于人工智能（Artificial Intelligence, AI）的机器学习技术逐渐被引入水动力学研究。纯数据驱动的机器学习模型通过从大量历史观测与模拟结果中学习输入与输出的映射关系，可以在不直接求解偏微分方程的情况下快速给出预测结果；而物理约束的机器学习模型则通过将物理定律或方程项嵌入到学习框架中，对传统数值模型进行补充或加速，从而兼顾计算效率与物理一致性。</w:t>
      </w:r>
    </w:p>
    <w:p w14:paraId="1700E51D">
      <w:pPr>
        <w:pStyle w:val="2"/>
        <w:rPr>
          <w:color w:val="auto"/>
        </w:rPr>
      </w:pPr>
      <w:r>
        <w:rPr>
          <w:rFonts w:hint="eastAsia"/>
          <w:color w:val="auto"/>
        </w:rPr>
        <w:t>2传统方法</w:t>
      </w:r>
    </w:p>
    <w:p w14:paraId="021AFFDD">
      <w:pPr>
        <w:pStyle w:val="4"/>
        <w:rPr>
          <w:color w:val="auto"/>
        </w:rPr>
      </w:pPr>
      <w:r>
        <w:rPr>
          <w:rFonts w:hint="eastAsia"/>
          <w:color w:val="auto"/>
        </w:rPr>
        <w:t>2</w:t>
      </w:r>
      <w:r>
        <w:rPr>
          <w:color w:val="auto"/>
        </w:rPr>
        <w:t xml:space="preserve">.1 </w:t>
      </w:r>
      <w:r>
        <w:rPr>
          <w:rFonts w:hint="eastAsia"/>
          <w:color w:val="auto"/>
        </w:rPr>
        <w:t>主流数值方法的基本框架</w:t>
      </w:r>
    </w:p>
    <w:p w14:paraId="47841E64">
      <w:pPr>
        <w:ind w:firstLine="420"/>
        <w:rPr>
          <w:color w:val="auto"/>
        </w:rPr>
      </w:pPr>
      <w:r>
        <w:rPr>
          <w:rFonts w:hint="eastAsia"/>
          <w:color w:val="auto"/>
        </w:rPr>
        <w:t>解析解仅能在理想条件下获得，因而复杂水动力问题必须依赖数值方法求解，而这些数值解在本质上均是对解析解的近似。</w:t>
      </w:r>
    </w:p>
    <w:p w14:paraId="47823B79">
      <w:pPr>
        <w:ind w:firstLine="420"/>
        <w:rPr>
          <w:color w:val="auto"/>
        </w:rPr>
      </w:pPr>
      <w:r>
        <w:rPr>
          <w:rFonts w:hint="eastAsia"/>
          <w:color w:val="auto"/>
        </w:rPr>
        <w:t>有限差分法是最早应用于河网水动力模拟的数值方法，早在20世纪50年代，STOKER</w:t>
      </w:r>
      <w:r>
        <w:rPr>
          <w:rFonts w:cs="Times New Roman"/>
          <w:color w:val="auto"/>
          <w:vertAlign w:val="superscript"/>
        </w:rPr>
        <w:t>[10]</w:t>
      </w:r>
      <w:r>
        <w:rPr>
          <w:rFonts w:hint="eastAsia"/>
          <w:color w:val="auto"/>
        </w:rPr>
        <w:t>就系统展示了有限差分法在圣维南方程组数值求解中的应用，并通过典型洪水算例验证了其数值精度与工程可行性。</w:t>
      </w:r>
      <w:r>
        <w:rPr>
          <w:color w:val="auto"/>
        </w:rPr>
        <w:t>Preissmann</w:t>
      </w:r>
      <w:r>
        <w:rPr>
          <w:rFonts w:hint="eastAsia"/>
          <w:color w:val="auto"/>
        </w:rPr>
        <w:t>提出了著名的四点隐式差分格式，通过引入隐式时间离散显著提高了计算稳定性，成为洪水演进与河网模拟中应用最广泛的差分格式</w:t>
      </w:r>
      <w:r>
        <w:rPr>
          <w:rFonts w:hint="eastAsia"/>
          <w:color w:val="auto"/>
          <w:vertAlign w:val="superscript"/>
        </w:rPr>
        <w:t>[11]</w:t>
      </w:r>
      <w:r>
        <w:rPr>
          <w:rFonts w:hint="eastAsia"/>
          <w:color w:val="auto"/>
        </w:rPr>
        <w:t>，该格式离散方式和公式如图1所示。</w:t>
      </w:r>
      <w:r>
        <w:rPr>
          <w:rFonts w:hint="eastAsia"/>
          <w:color w:val="auto"/>
        </w:rPr>
        <w:t>ABBOTT与</w:t>
      </w:r>
      <w:r>
        <w:rPr>
          <w:rFonts w:hint="eastAsia"/>
          <w:color w:val="auto"/>
          <w:lang w:val="en-US" w:eastAsia="zh-CN"/>
        </w:rPr>
        <w:t>IONESCU</w:t>
      </w:r>
      <w:r>
        <w:rPr>
          <w:rFonts w:hint="eastAsia"/>
          <w:color w:val="auto"/>
          <w:vertAlign w:val="superscript"/>
        </w:rPr>
        <w:t>[12]</w:t>
      </w:r>
      <w:r>
        <w:rPr>
          <w:rFonts w:hint="eastAsia"/>
          <w:color w:val="auto"/>
        </w:rPr>
        <w:t>在20世纪60年代末期提出了基于交错网格的隐式差分方法，将控制方程转化为两个三对角方程组求解，从而开发出支持非均匀网格和非均匀时间步长并具有无条件稳定性的Abbott-Ionescu六点隐式差分格式，提升了</w:t>
      </w:r>
      <w:r>
        <w:rPr>
          <w:rFonts w:hint="eastAsia"/>
          <w:color w:val="auto"/>
          <w:lang w:val="en-US" w:eastAsia="zh-CN"/>
        </w:rPr>
        <w:t>差分格式的</w:t>
      </w:r>
      <w:r>
        <w:rPr>
          <w:rFonts w:hint="eastAsia"/>
          <w:color w:val="auto"/>
        </w:rPr>
        <w:t>数值精度和复杂工况下的适应性</w:t>
      </w:r>
      <w:r>
        <w:rPr>
          <w:rFonts w:hint="eastAsia"/>
          <w:color w:val="auto"/>
          <w:vertAlign w:val="superscript"/>
        </w:rPr>
        <w:t>[13]</w:t>
      </w:r>
      <w:r>
        <w:rPr>
          <w:rFonts w:hint="eastAsia"/>
          <w:color w:val="auto"/>
        </w:rPr>
        <w:t>，该格式离散方式和公式如图1所示。在此基础上，一系列水动力学软件体系相继发展，如采用Preissmann四点隐式差分格式或其改进版本的HEC-RAS模型</w:t>
      </w:r>
      <w:r>
        <w:rPr>
          <w:rFonts w:cs="Times New Roman"/>
          <w:color w:val="auto"/>
          <w:vertAlign w:val="superscript"/>
        </w:rPr>
        <w:t>[14]</w:t>
      </w:r>
      <w:r>
        <w:rPr>
          <w:rFonts w:hint="eastAsia"/>
          <w:color w:val="auto"/>
        </w:rPr>
        <w:t>和早期的TELEMAC系统</w:t>
      </w:r>
      <w:r>
        <w:rPr>
          <w:rFonts w:cs="Times New Roman"/>
          <w:color w:val="auto"/>
          <w:vertAlign w:val="superscript"/>
        </w:rPr>
        <w:t>[15]</w:t>
      </w:r>
      <w:r>
        <w:rPr>
          <w:rFonts w:hint="eastAsia"/>
          <w:color w:val="auto"/>
        </w:rPr>
        <w:t>，采用Abbott六点隐式差分格式的MIKE11系统</w:t>
      </w:r>
      <w:r>
        <w:rPr>
          <w:rFonts w:cs="Times New Roman"/>
          <w:color w:val="auto"/>
          <w:vertAlign w:val="superscript"/>
        </w:rPr>
        <w:t>[16]</w:t>
      </w:r>
      <w:r>
        <w:rPr>
          <w:rFonts w:hint="eastAsia"/>
          <w:color w:val="auto"/>
        </w:rPr>
        <w:t>，以及采用了更加简化的隐式差分方法的SWMM</w:t>
      </w:r>
      <w:r>
        <w:rPr>
          <w:rFonts w:cs="Times New Roman"/>
          <w:color w:val="auto"/>
          <w:vertAlign w:val="superscript"/>
        </w:rPr>
        <w:t>[17]</w:t>
      </w:r>
      <w:r>
        <w:rPr>
          <w:rFonts w:hint="eastAsia"/>
          <w:color w:val="auto"/>
        </w:rPr>
        <w:t>。近年来，为进一步适应现代复杂河网模拟需求的提升，有限差分法在非均匀网格、交错网格及多水工结构耦合方面取得显著进展，如ZHANG等</w:t>
      </w:r>
      <w:r>
        <w:rPr>
          <w:rFonts w:cs="Times New Roman"/>
          <w:color w:val="auto"/>
          <w:vertAlign w:val="superscript"/>
        </w:rPr>
        <w:t>[18]</w:t>
      </w:r>
      <w:r>
        <w:rPr>
          <w:rFonts w:hint="eastAsia"/>
          <w:color w:val="auto"/>
        </w:rPr>
        <w:t>提出的自适应动网格有限差分格式，通过构建非均匀的自适应网格，有效提升有限差分方法对非平坦底部地形的适应性与计算效率；RAK等</w:t>
      </w:r>
      <w:r>
        <w:rPr>
          <w:rFonts w:cs="Times New Roman"/>
          <w:color w:val="auto"/>
          <w:vertAlign w:val="superscript"/>
        </w:rPr>
        <w:t>[19]</w:t>
      </w:r>
      <w:r>
        <w:rPr>
          <w:rFonts w:hint="eastAsia"/>
          <w:color w:val="auto"/>
        </w:rPr>
        <w:t>通过对有限差分格式的改进，构建了适用于交错网格的模型，实现了准确、超实时和高分辨率的洪水模拟；管光华等</w:t>
      </w:r>
      <w:r>
        <w:rPr>
          <w:rFonts w:cs="Times New Roman"/>
          <w:color w:val="auto"/>
          <w:vertAlign w:val="superscript"/>
        </w:rPr>
        <w:t>[20]</w:t>
      </w:r>
      <w:r>
        <w:rPr>
          <w:rFonts w:hint="eastAsia"/>
          <w:color w:val="auto"/>
        </w:rPr>
        <w:t>基于Preissmann四点隐式差分，采用HENRY公式求解分水流量，简化了渠道中的多类水工结构，为多级干支耦合渠系的数值模拟提供了针对性技术路径。</w:t>
      </w:r>
    </w:p>
    <w:p w14:paraId="18B8D7A9">
      <w:pPr>
        <w:pStyle w:val="5"/>
        <w:rPr>
          <w:color w:val="auto"/>
        </w:rPr>
      </w:pPr>
      <w:r>
        <w:rPr>
          <w:rFonts w:hint="eastAsia"/>
          <w:color w:val="auto"/>
        </w:rPr>
        <w:drawing>
          <wp:inline distT="0" distB="0" distL="114300" distR="114300">
            <wp:extent cx="5344795" cy="19767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349158" cy="1978366"/>
                    </a:xfrm>
                    <a:prstGeom prst="rect">
                      <a:avLst/>
                    </a:prstGeom>
                  </pic:spPr>
                </pic:pic>
              </a:graphicData>
            </a:graphic>
          </wp:inline>
        </w:drawing>
      </w:r>
    </w:p>
    <w:p w14:paraId="5BC9BFCD">
      <w:pPr>
        <w:pStyle w:val="5"/>
        <w:ind w:firstLine="420"/>
        <w:rPr>
          <w:color w:val="auto"/>
        </w:rPr>
      </w:pPr>
      <w:r>
        <w:rPr>
          <w:rFonts w:hint="eastAsia"/>
          <w:color w:val="auto"/>
        </w:rPr>
        <w:t>图1  有限差分部分经典格式示意</w:t>
      </w:r>
    </w:p>
    <w:p w14:paraId="7540E73E">
      <w:pPr>
        <w:pStyle w:val="5"/>
        <w:ind w:firstLine="420"/>
        <w:rPr>
          <w:color w:val="auto"/>
        </w:rPr>
      </w:pPr>
      <w:r>
        <w:rPr>
          <w:color w:val="auto"/>
        </w:rPr>
        <w:t>Fig.1  Representative classical schemes in the finite difference method</w:t>
      </w:r>
    </w:p>
    <w:p w14:paraId="79A4D437">
      <w:pPr>
        <w:ind w:firstLine="420"/>
        <w:rPr>
          <w:color w:val="auto"/>
        </w:rPr>
      </w:pPr>
      <w:r>
        <w:rPr>
          <w:rFonts w:hint="eastAsia"/>
          <w:color w:val="auto"/>
        </w:rPr>
        <w:t>有限体积法的思想起源虽可追溯至20世纪50年代，但其在浅水方程和水动力学中的系统化和规模化应用则主要出现在20世纪80年代之后。自</w:t>
      </w:r>
      <w:r>
        <w:rPr>
          <w:color w:val="auto"/>
        </w:rPr>
        <w:t>Godunov</w:t>
      </w:r>
      <w:r>
        <w:rPr>
          <w:rFonts w:hint="eastAsia"/>
          <w:color w:val="auto"/>
        </w:rPr>
        <w:t>提出基于局部黎曼问题解的守恒型格式以来，该思想逐渐发展为Godunov型格式，成为河网水动力数值模拟有限体积法的主要体系</w:t>
      </w:r>
      <w:r>
        <w:rPr>
          <w:rFonts w:hint="eastAsia"/>
          <w:color w:val="auto"/>
          <w:vertAlign w:val="superscript"/>
        </w:rPr>
        <w:t>[21]</w:t>
      </w:r>
      <w:r>
        <w:rPr>
          <w:rFonts w:hint="eastAsia"/>
          <w:color w:val="auto"/>
        </w:rPr>
        <w:t>。ROE</w:t>
      </w:r>
      <w:r>
        <w:rPr>
          <w:rFonts w:cs="Times New Roman"/>
          <w:color w:val="auto"/>
          <w:vertAlign w:val="superscript"/>
        </w:rPr>
        <w:t>[22]</w:t>
      </w:r>
      <w:r>
        <w:rPr>
          <w:rFonts w:hint="eastAsia"/>
          <w:color w:val="auto"/>
        </w:rPr>
        <w:t>在此基础上提出了著名的Roe格式，HARTE</w:t>
      </w:r>
      <w:bookmarkStart w:id="5" w:name="Bookmark6"/>
      <w:r>
        <w:rPr>
          <w:rFonts w:hint="eastAsia"/>
          <w:color w:val="auto"/>
        </w:rPr>
        <w:t>N、L</w:t>
      </w:r>
      <w:bookmarkEnd w:id="5"/>
      <w:r>
        <w:rPr>
          <w:rFonts w:hint="eastAsia"/>
          <w:color w:val="auto"/>
        </w:rPr>
        <w:t>AX与VAN LEER</w:t>
      </w:r>
      <w:r>
        <w:rPr>
          <w:rFonts w:cs="Times New Roman"/>
          <w:color w:val="auto"/>
          <w:vertAlign w:val="superscript"/>
        </w:rPr>
        <w:t>[23]</w:t>
      </w:r>
      <w:r>
        <w:rPr>
          <w:rFonts w:hint="eastAsia"/>
          <w:color w:val="auto"/>
        </w:rPr>
        <w:t>联合提出了HLL格式，两种离散方式和公式如图2所示。MURILLO等</w:t>
      </w:r>
      <w:r>
        <w:rPr>
          <w:rFonts w:cs="Times New Roman"/>
          <w:color w:val="auto"/>
          <w:vertAlign w:val="superscript"/>
        </w:rPr>
        <w:t>[24]</w:t>
      </w:r>
      <w:r>
        <w:rPr>
          <w:rFonts w:hint="eastAsia"/>
          <w:color w:val="auto"/>
        </w:rPr>
        <w:t>在HLL格式的基础上提出了HLLS格式，在通量计算中引入源项处理以考虑摩阻和不规则断面，从而提升了河网模拟的适应性。MURILLO等</w:t>
      </w:r>
      <w:r>
        <w:rPr>
          <w:rFonts w:cs="Times New Roman"/>
          <w:color w:val="auto"/>
          <w:vertAlign w:val="superscript"/>
        </w:rPr>
        <w:t>[25]</w:t>
      </w:r>
      <w:r>
        <w:rPr>
          <w:rFonts w:hint="eastAsia"/>
          <w:color w:val="auto"/>
        </w:rPr>
        <w:t>基于Roe格式研究了含源项偏微分方程的弱解，分析了源项积分与稳定性区域等问题。YING等</w:t>
      </w:r>
      <w:r>
        <w:rPr>
          <w:rFonts w:cs="Times New Roman"/>
          <w:color w:val="auto"/>
          <w:vertAlign w:val="superscript"/>
        </w:rPr>
        <w:t>[26]</w:t>
      </w:r>
      <w:r>
        <w:rPr>
          <w:rFonts w:hint="eastAsia"/>
          <w:color w:val="auto"/>
        </w:rPr>
        <w:t>在采用合并源项形式的圣维南方程基础上，以水面高程为原始变量，依据HLL通量定义界面流量，并在二阶格式中通过线性重构估算水面坡度，开发了HLL-B格式。孙万光等</w:t>
      </w:r>
      <w:r>
        <w:rPr>
          <w:rFonts w:cs="Times New Roman"/>
          <w:color w:val="auto"/>
          <w:vertAlign w:val="superscript"/>
        </w:rPr>
        <w:t>[27]</w:t>
      </w:r>
      <w:r>
        <w:rPr>
          <w:rFonts w:hint="eastAsia"/>
          <w:color w:val="auto"/>
        </w:rPr>
        <w:t>在不规则断面河网计算中提出了简化断面的等效河宽与等效水深概念。HUANG等</w:t>
      </w:r>
      <w:r>
        <w:rPr>
          <w:rFonts w:cs="Times New Roman"/>
          <w:color w:val="auto"/>
          <w:vertAlign w:val="superscript"/>
        </w:rPr>
        <w:t>[</w:t>
      </w:r>
      <w:r>
        <w:rPr>
          <w:rFonts w:hint="eastAsia" w:cs="Times New Roman"/>
          <w:color w:val="auto"/>
          <w:vertAlign w:val="superscript"/>
        </w:rPr>
        <w:t>28</w:t>
      </w:r>
      <w:r>
        <w:rPr>
          <w:rFonts w:cs="Times New Roman"/>
          <w:color w:val="auto"/>
          <w:vertAlign w:val="superscript"/>
        </w:rPr>
        <w:t>]</w:t>
      </w:r>
      <w:r>
        <w:rPr>
          <w:rFonts w:hint="eastAsia"/>
          <w:color w:val="auto"/>
        </w:rPr>
        <w:t>在HLLS框架下优化了源项计算方式，开发了PHLLS格式，提升了其对瞬态混合流及长距离复杂渠隧系统模拟的适用性。此外，MUSCL</w:t>
      </w:r>
      <w:r>
        <w:rPr>
          <w:rFonts w:cs="Times New Roman"/>
          <w:color w:val="auto"/>
          <w:vertAlign w:val="superscript"/>
        </w:rPr>
        <w:t>[</w:t>
      </w:r>
      <w:r>
        <w:rPr>
          <w:rFonts w:hint="eastAsia" w:cs="Times New Roman"/>
          <w:color w:val="auto"/>
          <w:vertAlign w:val="superscript"/>
        </w:rPr>
        <w:t>29</w:t>
      </w:r>
      <w:r>
        <w:rPr>
          <w:rFonts w:cs="Times New Roman"/>
          <w:color w:val="auto"/>
          <w:vertAlign w:val="superscript"/>
        </w:rPr>
        <w:t>]</w:t>
      </w:r>
      <w:r>
        <w:rPr>
          <w:rFonts w:hint="eastAsia"/>
          <w:color w:val="auto"/>
        </w:rPr>
        <w:t>和WENO</w:t>
      </w:r>
      <w:r>
        <w:rPr>
          <w:rFonts w:cs="Times New Roman"/>
          <w:color w:val="auto"/>
          <w:vertAlign w:val="superscript"/>
        </w:rPr>
        <w:t>[3</w:t>
      </w:r>
      <w:r>
        <w:rPr>
          <w:rFonts w:hint="eastAsia" w:cs="Times New Roman"/>
          <w:color w:val="auto"/>
          <w:vertAlign w:val="superscript"/>
        </w:rPr>
        <w:t>0</w:t>
      </w:r>
      <w:r>
        <w:rPr>
          <w:rFonts w:cs="Times New Roman"/>
          <w:color w:val="auto"/>
          <w:vertAlign w:val="superscript"/>
        </w:rPr>
        <w:t>]</w:t>
      </w:r>
      <w:r>
        <w:rPr>
          <w:rFonts w:hint="eastAsia"/>
          <w:color w:val="auto"/>
        </w:rPr>
        <w:t>等高阶重构方法也在河网水动力数值模拟中得到广泛应用，为这一体系提供了高阶精度与间断捕捉能力的平衡。</w:t>
      </w:r>
    </w:p>
    <w:p w14:paraId="729185A0">
      <w:pPr>
        <w:pStyle w:val="5"/>
        <w:jc w:val="both"/>
        <w:rPr>
          <w:color w:val="auto"/>
        </w:rPr>
      </w:pPr>
      <w:r>
        <w:rPr>
          <w:rFonts w:hint="eastAsia"/>
          <w:color w:val="auto"/>
        </w:rPr>
        <w:drawing>
          <wp:inline distT="0" distB="0" distL="114300" distR="114300">
            <wp:extent cx="5121910" cy="182689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123861" cy="1827628"/>
                    </a:xfrm>
                    <a:prstGeom prst="rect">
                      <a:avLst/>
                    </a:prstGeom>
                  </pic:spPr>
                </pic:pic>
              </a:graphicData>
            </a:graphic>
          </wp:inline>
        </w:drawing>
      </w:r>
    </w:p>
    <w:p w14:paraId="6052C5D1">
      <w:pPr>
        <w:pStyle w:val="5"/>
        <w:ind w:firstLine="420"/>
        <w:rPr>
          <w:color w:val="auto"/>
        </w:rPr>
      </w:pPr>
      <w:r>
        <w:rPr>
          <w:rFonts w:hint="eastAsia"/>
          <w:color w:val="auto"/>
        </w:rPr>
        <w:t>图2  有限体积部分经典格式示意</w:t>
      </w:r>
    </w:p>
    <w:p w14:paraId="4EAF05A2">
      <w:pPr>
        <w:pStyle w:val="5"/>
        <w:ind w:firstLine="420"/>
        <w:rPr>
          <w:color w:val="auto"/>
        </w:rPr>
      </w:pPr>
      <w:r>
        <w:rPr>
          <w:color w:val="auto"/>
        </w:rPr>
        <w:t>Fig.2  Representative classical schemes in the finite volume method</w:t>
      </w:r>
    </w:p>
    <w:p w14:paraId="1F1C4A74">
      <w:pPr>
        <w:pStyle w:val="7"/>
        <w:ind w:firstLine="420"/>
        <w:rPr>
          <w:color w:val="auto"/>
        </w:rPr>
      </w:pPr>
      <w:r>
        <w:rPr>
          <w:rFonts w:hint="eastAsia"/>
          <w:color w:val="auto"/>
        </w:rPr>
        <w:t>有限元法起源于工程力学与结构分析，并在20世纪中期扩展至流体力学，其在水动力学中的早期应用主要用于Navier-Stokes方程的数值求解，以处理复杂边界和稳定性问题</w:t>
      </w:r>
      <w:r>
        <w:rPr>
          <w:rFonts w:cs="Times New Roman"/>
          <w:color w:val="auto"/>
          <w:vertAlign w:val="superscript"/>
        </w:rPr>
        <w:t>[3</w:t>
      </w:r>
      <w:r>
        <w:rPr>
          <w:rFonts w:hint="eastAsia" w:cs="Times New Roman"/>
          <w:color w:val="auto"/>
          <w:vertAlign w:val="superscript"/>
        </w:rPr>
        <w:t>1</w:t>
      </w:r>
      <w:r>
        <w:rPr>
          <w:rFonts w:cs="Times New Roman"/>
          <w:color w:val="auto"/>
          <w:vertAlign w:val="superscript"/>
        </w:rPr>
        <w:t>]</w:t>
      </w:r>
      <w:r>
        <w:rPr>
          <w:rFonts w:hint="eastAsia"/>
          <w:color w:val="auto"/>
        </w:rPr>
        <w:t>，其最经典的Galerkin格式的离散方式和公式如图3所示。但后来，为了解决浅水方程的复杂边界</w:t>
      </w:r>
      <w:r>
        <w:rPr>
          <w:rFonts w:cs="Times New Roman"/>
          <w:color w:val="auto"/>
          <w:vertAlign w:val="superscript"/>
        </w:rPr>
        <w:t>[3</w:t>
      </w:r>
      <w:r>
        <w:rPr>
          <w:rFonts w:hint="eastAsia" w:cs="Times New Roman"/>
          <w:color w:val="auto"/>
          <w:vertAlign w:val="superscript"/>
        </w:rPr>
        <w:t>2</w:t>
      </w:r>
      <w:r>
        <w:rPr>
          <w:rFonts w:cs="Times New Roman"/>
          <w:color w:val="auto"/>
          <w:vertAlign w:val="superscript"/>
        </w:rPr>
        <w:t>]</w:t>
      </w:r>
      <w:r>
        <w:rPr>
          <w:rFonts w:hint="eastAsia"/>
          <w:color w:val="auto"/>
        </w:rPr>
        <w:t>、干湿界面动态处理</w:t>
      </w:r>
      <w:r>
        <w:rPr>
          <w:rFonts w:cs="Times New Roman"/>
          <w:color w:val="auto"/>
          <w:vertAlign w:val="superscript"/>
        </w:rPr>
        <w:t>[3</w:t>
      </w:r>
      <w:r>
        <w:rPr>
          <w:rFonts w:hint="eastAsia" w:cs="Times New Roman"/>
          <w:color w:val="auto"/>
          <w:vertAlign w:val="superscript"/>
        </w:rPr>
        <w:t>3</w:t>
      </w:r>
      <w:r>
        <w:rPr>
          <w:rFonts w:cs="Times New Roman"/>
          <w:color w:val="auto"/>
          <w:vertAlign w:val="superscript"/>
        </w:rPr>
        <w:t>]</w:t>
      </w:r>
      <w:r>
        <w:rPr>
          <w:rFonts w:hint="eastAsia"/>
          <w:color w:val="auto"/>
        </w:rPr>
        <w:t>和多物理耦合</w:t>
      </w:r>
      <w:r>
        <w:rPr>
          <w:rFonts w:cs="Times New Roman"/>
          <w:color w:val="auto"/>
          <w:vertAlign w:val="superscript"/>
        </w:rPr>
        <w:t>[3</w:t>
      </w:r>
      <w:r>
        <w:rPr>
          <w:rFonts w:hint="eastAsia" w:cs="Times New Roman"/>
          <w:color w:val="auto"/>
          <w:vertAlign w:val="superscript"/>
        </w:rPr>
        <w:t>4</w:t>
      </w:r>
      <w:r>
        <w:rPr>
          <w:rFonts w:cs="Times New Roman"/>
          <w:color w:val="auto"/>
          <w:vertAlign w:val="superscript"/>
        </w:rPr>
        <w:t>]</w:t>
      </w:r>
      <w:r>
        <w:rPr>
          <w:rFonts w:hint="eastAsia"/>
          <w:color w:val="auto"/>
        </w:rPr>
        <w:t>等问题，有限元方法逐渐被广泛引入浅水方程的数值模拟研究。由于浅水方程本就是Navier-Stokes方程在浅水中的简化形式，所以在引入过程中可以直接借用稳定化有限元框架</w:t>
      </w:r>
      <w:r>
        <w:rPr>
          <w:rFonts w:cs="Times New Roman"/>
          <w:color w:val="auto"/>
          <w:vertAlign w:val="superscript"/>
        </w:rPr>
        <w:t>[3</w:t>
      </w:r>
      <w:r>
        <w:rPr>
          <w:rFonts w:hint="eastAsia" w:cs="Times New Roman"/>
          <w:color w:val="auto"/>
          <w:vertAlign w:val="superscript"/>
        </w:rPr>
        <w:t>5</w:t>
      </w:r>
      <w:r>
        <w:rPr>
          <w:rFonts w:cs="Times New Roman"/>
          <w:color w:val="auto"/>
          <w:vertAlign w:val="superscript"/>
        </w:rPr>
        <w:t>]</w:t>
      </w:r>
      <w:r>
        <w:rPr>
          <w:rFonts w:hint="eastAsia"/>
          <w:color w:val="auto"/>
        </w:rPr>
        <w:t>，但后期为了解决相关数值模拟中的关键问题，又在此基础上提出了进一步的发展与改进。为了在确保良好的平衡特性与稳健性的前提下更准确地反映复杂地形下的干湿前沿变化，CHEN等</w:t>
      </w:r>
      <w:r>
        <w:rPr>
          <w:rFonts w:cs="Times New Roman"/>
          <w:color w:val="auto"/>
          <w:vertAlign w:val="superscript"/>
        </w:rPr>
        <w:t>[3</w:t>
      </w:r>
      <w:r>
        <w:rPr>
          <w:rFonts w:hint="eastAsia" w:cs="Times New Roman"/>
          <w:color w:val="auto"/>
          <w:vertAlign w:val="superscript"/>
        </w:rPr>
        <w:t>6</w:t>
      </w:r>
      <w:r>
        <w:rPr>
          <w:rFonts w:cs="Times New Roman"/>
          <w:color w:val="auto"/>
          <w:vertAlign w:val="superscript"/>
        </w:rPr>
        <w:t>]</w:t>
      </w:r>
      <w:r>
        <w:rPr>
          <w:rFonts w:hint="eastAsia"/>
          <w:color w:val="auto"/>
        </w:rPr>
        <w:t>通过元素分类重构、2D与3D限制器联合使用等，开发了一种无模式分裂的三维不连续Galerkin水动力模型干湿处理方法。ERSING等</w:t>
      </w:r>
      <w:r>
        <w:rPr>
          <w:rFonts w:cs="Times New Roman"/>
          <w:color w:val="auto"/>
          <w:vertAlign w:val="superscript"/>
        </w:rPr>
        <w:t>[</w:t>
      </w:r>
      <w:r>
        <w:rPr>
          <w:rFonts w:hint="eastAsia" w:cs="Times New Roman"/>
          <w:color w:val="auto"/>
          <w:vertAlign w:val="superscript"/>
        </w:rPr>
        <w:t>37</w:t>
      </w:r>
      <w:r>
        <w:rPr>
          <w:rFonts w:cs="Times New Roman"/>
          <w:color w:val="auto"/>
          <w:vertAlign w:val="superscript"/>
        </w:rPr>
        <w:t>]</w:t>
      </w:r>
      <w:r>
        <w:rPr>
          <w:rFonts w:hint="eastAsia"/>
          <w:color w:val="auto"/>
        </w:rPr>
        <w:t>为解决干湿过渡场景下流体静压力</w:t>
      </w:r>
      <w:bookmarkStart w:id="6" w:name="Bookmark11"/>
      <w:r>
        <w:rPr>
          <w:rFonts w:hint="eastAsia"/>
          <w:color w:val="auto"/>
        </w:rPr>
        <w:t>易</w:t>
      </w:r>
      <w:bookmarkEnd w:id="6"/>
      <w:r>
        <w:rPr>
          <w:rFonts w:hint="eastAsia"/>
          <w:color w:val="auto"/>
        </w:rPr>
        <w:t>不连续、平衡态难以保持、易产生虚假波动的问题，结合共定位节点分裂形式间断Galerkin谱元法和子胞有限体积方法开发出兼顾熵稳定性、平衡态保持与正性保持的新型流体静力学重构方法。</w:t>
      </w:r>
    </w:p>
    <w:p w14:paraId="61126074">
      <w:pPr>
        <w:ind w:firstLine="0" w:firstLineChars="0"/>
        <w:rPr>
          <w:rFonts w:eastAsia="宋体" w:cs="Times New Roman"/>
          <w:color w:val="auto"/>
          <w:szCs w:val="22"/>
        </w:rPr>
      </w:pPr>
      <w:r>
        <w:rPr>
          <w:rFonts w:eastAsia="宋体" w:cs="Times New Roman"/>
          <w:color w:val="auto"/>
          <w:szCs w:val="22"/>
        </w:rPr>
        <w:drawing>
          <wp:inline distT="0" distB="0" distL="0" distR="0">
            <wp:extent cx="5330190" cy="1748155"/>
            <wp:effectExtent l="0" t="0" r="3810" b="0"/>
            <wp:docPr id="1890796670" name="图片 189079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96670" name="图片 1890796670"/>
                    <pic:cNvPicPr>
                      <a:picLocks noChangeAspect="1" noChangeArrowheads="1"/>
                    </pic:cNvPicPr>
                  </pic:nvPicPr>
                  <pic:blipFill>
                    <a:blip r:embed="rId14"/>
                    <a:srcRect t="78" b="78"/>
                    <a:stretch>
                      <a:fillRect/>
                    </a:stretch>
                  </pic:blipFill>
                  <pic:spPr>
                    <a:xfrm>
                      <a:off x="0" y="0"/>
                      <a:ext cx="5333669" cy="1749433"/>
                    </a:xfrm>
                    <a:prstGeom prst="rect">
                      <a:avLst/>
                    </a:prstGeom>
                    <a:noFill/>
                    <a:ln>
                      <a:noFill/>
                    </a:ln>
                  </pic:spPr>
                </pic:pic>
              </a:graphicData>
            </a:graphic>
          </wp:inline>
        </w:drawing>
      </w:r>
    </w:p>
    <w:p w14:paraId="46ACA00A">
      <w:pPr>
        <w:ind w:firstLine="0" w:firstLineChars="0"/>
        <w:jc w:val="center"/>
        <w:rPr>
          <w:rFonts w:eastAsia="黑体" w:cs="Times New Roman"/>
          <w:color w:val="auto"/>
          <w:sz w:val="18"/>
          <w:szCs w:val="18"/>
        </w:rPr>
      </w:pPr>
      <w:r>
        <w:rPr>
          <w:rFonts w:eastAsia="黑体" w:cs="Times New Roman"/>
          <w:color w:val="auto"/>
          <w:sz w:val="18"/>
          <w:szCs w:val="18"/>
        </w:rPr>
        <w:t>图</w:t>
      </w:r>
      <w:r>
        <w:rPr>
          <w:rFonts w:hint="eastAsia" w:eastAsia="黑体" w:cs="Times New Roman"/>
          <w:color w:val="auto"/>
          <w:sz w:val="18"/>
          <w:szCs w:val="18"/>
        </w:rPr>
        <w:t>3</w:t>
      </w:r>
      <w:r>
        <w:rPr>
          <w:rFonts w:eastAsia="黑体" w:cs="Times New Roman"/>
          <w:color w:val="auto"/>
          <w:sz w:val="18"/>
          <w:szCs w:val="18"/>
        </w:rPr>
        <w:t xml:space="preserve">  </w:t>
      </w:r>
      <w:r>
        <w:rPr>
          <w:rFonts w:hint="eastAsia" w:eastAsia="黑体" w:cs="Times New Roman"/>
          <w:color w:val="auto"/>
          <w:sz w:val="18"/>
          <w:szCs w:val="18"/>
        </w:rPr>
        <w:t>有限元部分经典格式示意</w:t>
      </w:r>
    </w:p>
    <w:p w14:paraId="08F1E449">
      <w:pPr>
        <w:ind w:firstLine="0" w:firstLineChars="0"/>
        <w:jc w:val="center"/>
        <w:rPr>
          <w:rFonts w:eastAsia="黑体" w:cs="Times New Roman"/>
          <w:bCs/>
          <w:color w:val="auto"/>
          <w:sz w:val="18"/>
          <w:szCs w:val="18"/>
        </w:rPr>
      </w:pPr>
      <w:r>
        <w:rPr>
          <w:rFonts w:eastAsia="黑体" w:cs="Times New Roman"/>
          <w:bCs/>
          <w:color w:val="auto"/>
          <w:sz w:val="18"/>
          <w:szCs w:val="18"/>
        </w:rPr>
        <w:t>Fig.</w:t>
      </w:r>
      <w:r>
        <w:rPr>
          <w:rFonts w:hint="eastAsia" w:eastAsia="黑体" w:cs="Times New Roman"/>
          <w:bCs/>
          <w:color w:val="auto"/>
          <w:sz w:val="18"/>
          <w:szCs w:val="18"/>
        </w:rPr>
        <w:t>3</w:t>
      </w:r>
      <w:r>
        <w:rPr>
          <w:rFonts w:eastAsia="黑体" w:cs="Times New Roman"/>
          <w:bCs/>
          <w:color w:val="auto"/>
          <w:sz w:val="18"/>
          <w:szCs w:val="18"/>
        </w:rPr>
        <w:t xml:space="preserve">  </w:t>
      </w:r>
      <w:r>
        <w:rPr>
          <w:rFonts w:hint="eastAsia" w:eastAsia="黑体" w:cs="Times New Roman"/>
          <w:bCs/>
          <w:color w:val="auto"/>
          <w:sz w:val="18"/>
          <w:szCs w:val="18"/>
        </w:rPr>
        <w:t>Representative classical schemes in the finite element method</w:t>
      </w:r>
    </w:p>
    <w:p w14:paraId="15EE2B4E">
      <w:pPr>
        <w:pStyle w:val="4"/>
        <w:rPr>
          <w:color w:val="auto"/>
        </w:rPr>
      </w:pPr>
      <w:r>
        <w:rPr>
          <w:rFonts w:hint="eastAsia"/>
          <w:color w:val="auto"/>
        </w:rPr>
        <w:t>2.2 各类方法的机制与应用</w:t>
      </w:r>
    </w:p>
    <w:p w14:paraId="287ECEAD">
      <w:pPr>
        <w:ind w:firstLine="420"/>
        <w:rPr>
          <w:color w:val="auto"/>
        </w:rPr>
      </w:pPr>
      <w:r>
        <w:rPr>
          <w:rFonts w:hint="eastAsia"/>
          <w:color w:val="auto"/>
        </w:rPr>
        <w:t>虽然有限差分、有限体积与有限元方法的根本目的均是通过离散近似实现对解析解的逼近，但它们在理论机制上存在显著差异。</w:t>
      </w:r>
    </w:p>
    <w:p w14:paraId="34D028D9">
      <w:pPr>
        <w:ind w:firstLine="420"/>
        <w:rPr>
          <w:color w:val="auto"/>
        </w:rPr>
      </w:pPr>
      <w:r>
        <w:rPr>
          <w:rFonts w:hint="eastAsia"/>
          <w:color w:val="auto"/>
        </w:rPr>
        <w:t>有限差分法以偏微分方程的微分形式为基础，直接通过差商近似导数来构造离散方程。由于以差分近似微分，推导实现直接且计算仅涉及有限点间的加减乘除，故在需保障效率、资源受限或需快速建模的场景中备受青睐。如VILLAZON等</w:t>
      </w:r>
      <w:r>
        <w:rPr>
          <w:rFonts w:cs="Times New Roman"/>
          <w:color w:val="auto"/>
          <w:vertAlign w:val="superscript"/>
        </w:rPr>
        <w:t>[3</w:t>
      </w:r>
      <w:r>
        <w:rPr>
          <w:rFonts w:hint="eastAsia" w:cs="Times New Roman"/>
          <w:color w:val="auto"/>
          <w:vertAlign w:val="superscript"/>
        </w:rPr>
        <w:t>8</w:t>
      </w:r>
      <w:r>
        <w:rPr>
          <w:rFonts w:cs="Times New Roman"/>
          <w:color w:val="auto"/>
          <w:vertAlign w:val="superscript"/>
        </w:rPr>
        <w:t>]</w:t>
      </w:r>
      <w:r>
        <w:rPr>
          <w:rFonts w:hint="eastAsia"/>
          <w:color w:val="auto"/>
        </w:rPr>
        <w:t>明确指出，主流一维水动力模型（如MIKE1</w:t>
      </w:r>
      <w:bookmarkStart w:id="7" w:name="Bookmark8"/>
      <w:r>
        <w:rPr>
          <w:rFonts w:hint="eastAsia"/>
          <w:color w:val="auto"/>
        </w:rPr>
        <w:t>1、I</w:t>
      </w:r>
      <w:bookmarkEnd w:id="7"/>
      <w:r>
        <w:rPr>
          <w:rFonts w:hint="eastAsia"/>
          <w:color w:val="auto"/>
        </w:rPr>
        <w:t>nfoWorks-R</w:t>
      </w:r>
      <w:bookmarkStart w:id="8" w:name="Bookmark9"/>
      <w:r>
        <w:rPr>
          <w:rFonts w:hint="eastAsia"/>
          <w:color w:val="auto"/>
        </w:rPr>
        <w:t>S、H</w:t>
      </w:r>
      <w:bookmarkEnd w:id="8"/>
      <w:r>
        <w:rPr>
          <w:rFonts w:hint="eastAsia"/>
          <w:color w:val="auto"/>
        </w:rPr>
        <w:t>EC-RAS）采用了Abbott-Ionescu或Preissmann的隐式有限差分法，这些方法在工程实践中因其数值稳定性好、计算效率高而广泛应用；BUWALDA等</w:t>
      </w:r>
      <w:r>
        <w:rPr>
          <w:rFonts w:cs="Times New Roman"/>
          <w:color w:val="auto"/>
          <w:vertAlign w:val="superscript"/>
        </w:rPr>
        <w:t>[</w:t>
      </w:r>
      <w:r>
        <w:rPr>
          <w:rFonts w:hint="eastAsia" w:cs="Times New Roman"/>
          <w:color w:val="auto"/>
          <w:vertAlign w:val="superscript"/>
        </w:rPr>
        <w:t>39</w:t>
      </w:r>
      <w:r>
        <w:rPr>
          <w:rFonts w:cs="Times New Roman"/>
          <w:color w:val="auto"/>
          <w:vertAlign w:val="superscript"/>
        </w:rPr>
        <w:t>]</w:t>
      </w:r>
      <w:r>
        <w:rPr>
          <w:rFonts w:hint="eastAsia"/>
          <w:color w:val="auto"/>
        </w:rPr>
        <w:t>明确指出基于有限差分方法开发的代码相对简单、易读且能轻易适配GPU并行。此外，规则网格具有均匀的步长与固定的邻域结构，天然适配经典的有限差分格式；同时，规则河网可直接映射至规则网格上，从而降低网格生成与边界处理的复杂度。所以有限差分方法在规则</w:t>
      </w:r>
      <w:bookmarkStart w:id="9" w:name="Bookmark10"/>
      <w:r>
        <w:rPr>
          <w:rFonts w:hint="eastAsia"/>
          <w:color w:val="auto"/>
        </w:rPr>
        <w:t>河</w:t>
      </w:r>
      <w:bookmarkEnd w:id="9"/>
      <w:r>
        <w:rPr>
          <w:rFonts w:hint="eastAsia"/>
          <w:color w:val="auto"/>
        </w:rPr>
        <w:t>网的模拟方面应用广泛，如SADOURNY</w:t>
      </w:r>
      <w:r>
        <w:rPr>
          <w:rFonts w:cs="Times New Roman"/>
          <w:color w:val="auto"/>
          <w:vertAlign w:val="superscript"/>
        </w:rPr>
        <w:t>[4</w:t>
      </w:r>
      <w:r>
        <w:rPr>
          <w:rFonts w:hint="eastAsia" w:cs="Times New Roman"/>
          <w:color w:val="auto"/>
          <w:vertAlign w:val="superscript"/>
        </w:rPr>
        <w:t>0</w:t>
      </w:r>
      <w:r>
        <w:rPr>
          <w:rFonts w:cs="Times New Roman"/>
          <w:color w:val="auto"/>
          <w:vertAlign w:val="superscript"/>
        </w:rPr>
        <w:t>]</w:t>
      </w:r>
      <w:r>
        <w:rPr>
          <w:rFonts w:hint="eastAsia"/>
          <w:color w:val="auto"/>
        </w:rPr>
        <w:t>详细阐述了使用有限差分方法和规则网格求解浅水方程的优势，并基于此设计并比较了两种数值模型。传统的有限差分法对网格规则性较为依赖，遇到不规则河网或复杂边界时，需要额外处理</w:t>
      </w:r>
      <w:r>
        <w:rPr>
          <w:rFonts w:cs="Times New Roman"/>
          <w:color w:val="auto"/>
          <w:vertAlign w:val="superscript"/>
        </w:rPr>
        <w:t>[4</w:t>
      </w:r>
      <w:r>
        <w:rPr>
          <w:rFonts w:hint="eastAsia" w:cs="Times New Roman"/>
          <w:color w:val="auto"/>
          <w:vertAlign w:val="superscript"/>
        </w:rPr>
        <w:t>1</w:t>
      </w:r>
      <w:r>
        <w:rPr>
          <w:rFonts w:cs="Times New Roman"/>
          <w:color w:val="auto"/>
          <w:vertAlign w:val="superscript"/>
        </w:rPr>
        <w:t>]</w:t>
      </w:r>
      <w:r>
        <w:rPr>
          <w:rFonts w:hint="eastAsia"/>
          <w:color w:val="auto"/>
        </w:rPr>
        <w:t>。而且，该方法从微分形式出发近似导数，未显式保障积分意义下的方程守恒性，因此在长时间、大尺度模拟中，如果不进行优化，可能累积质量或能量偏差</w:t>
      </w:r>
      <w:r>
        <w:rPr>
          <w:rFonts w:cs="Times New Roman"/>
          <w:color w:val="auto"/>
          <w:vertAlign w:val="superscript"/>
        </w:rPr>
        <w:t>[4</w:t>
      </w:r>
      <w:r>
        <w:rPr>
          <w:rFonts w:hint="eastAsia" w:cs="Times New Roman"/>
          <w:color w:val="auto"/>
          <w:vertAlign w:val="superscript"/>
        </w:rPr>
        <w:t>2</w:t>
      </w:r>
      <w:r>
        <w:rPr>
          <w:rFonts w:cs="Times New Roman"/>
          <w:color w:val="auto"/>
          <w:vertAlign w:val="superscript"/>
        </w:rPr>
        <w:t>]</w:t>
      </w:r>
      <w:r>
        <w:rPr>
          <w:rFonts w:hint="eastAsia"/>
          <w:color w:val="auto"/>
        </w:rPr>
        <w:t>。为克服这些固有局限，如前文所述的一系列面向有限差分法的改进技术应运而生，并在实际工程中证明了其价值，如KURNIAWAN等</w:t>
      </w:r>
      <w:r>
        <w:rPr>
          <w:rFonts w:cs="Times New Roman"/>
          <w:color w:val="auto"/>
          <w:vertAlign w:val="superscript"/>
        </w:rPr>
        <w:t>[4</w:t>
      </w:r>
      <w:r>
        <w:rPr>
          <w:rFonts w:hint="eastAsia" w:cs="Times New Roman"/>
          <w:color w:val="auto"/>
          <w:vertAlign w:val="superscript"/>
        </w:rPr>
        <w:t>3</w:t>
      </w:r>
      <w:r>
        <w:rPr>
          <w:rFonts w:cs="Times New Roman"/>
          <w:color w:val="auto"/>
          <w:vertAlign w:val="superscript"/>
        </w:rPr>
        <w:t>]</w:t>
      </w:r>
      <w:r>
        <w:rPr>
          <w:rFonts w:hint="eastAsia"/>
          <w:color w:val="auto"/>
        </w:rPr>
        <w:t>结合水利工程中常见的溃坝相关场景证明了基于交错网格的有限差分在复杂边界条件下的稳定性与适用性。</w:t>
      </w:r>
    </w:p>
    <w:p w14:paraId="7B05D625">
      <w:pPr>
        <w:ind w:firstLine="420"/>
        <w:rPr>
          <w:color w:val="auto"/>
        </w:rPr>
      </w:pPr>
      <w:r>
        <w:rPr>
          <w:rFonts w:hint="eastAsia"/>
          <w:color w:val="auto"/>
        </w:rPr>
        <w:t>有限体积法则以积分形式的守恒律为出发点，通过在控制体积上积分并用数值通量逼近边界通量，严格保证了全局守恒性。该方法不仅适用于弱解形式允许的间断解，还能够在界面上自然捕捉激波或稀疏波等间断特征。因此，在要求严格守恒性或需准确捕捉间断解的计算场景中，有限体积法常被视为首选数值方法。如ALAYACHI等</w:t>
      </w:r>
      <w:r>
        <w:rPr>
          <w:rFonts w:cs="Times New Roman"/>
          <w:color w:val="auto"/>
          <w:vertAlign w:val="superscript"/>
        </w:rPr>
        <w:t>[4</w:t>
      </w:r>
      <w:r>
        <w:rPr>
          <w:rFonts w:hint="eastAsia" w:cs="Times New Roman"/>
          <w:color w:val="auto"/>
          <w:vertAlign w:val="superscript"/>
        </w:rPr>
        <w:t>4</w:t>
      </w:r>
      <w:r>
        <w:rPr>
          <w:rFonts w:cs="Times New Roman"/>
          <w:color w:val="auto"/>
          <w:vertAlign w:val="superscript"/>
        </w:rPr>
        <w:t>]</w:t>
      </w:r>
      <w:r>
        <w:rPr>
          <w:rFonts w:hint="eastAsia"/>
          <w:color w:val="auto"/>
        </w:rPr>
        <w:t>在开发模型的过程中充分利用了有限体积的守恒性质，通过控制体积分推导保障局部与全局守恒；ZHAO等</w:t>
      </w:r>
      <w:r>
        <w:rPr>
          <w:rFonts w:cs="Times New Roman"/>
          <w:color w:val="auto"/>
          <w:vertAlign w:val="superscript"/>
        </w:rPr>
        <w:t>[3</w:t>
      </w:r>
      <w:r>
        <w:rPr>
          <w:rFonts w:hint="eastAsia" w:cs="Times New Roman"/>
          <w:color w:val="auto"/>
          <w:vertAlign w:val="superscript"/>
        </w:rPr>
        <w:t>2</w:t>
      </w:r>
      <w:r>
        <w:rPr>
          <w:rFonts w:cs="Times New Roman"/>
          <w:color w:val="auto"/>
          <w:vertAlign w:val="superscript"/>
        </w:rPr>
        <w:t>]</w:t>
      </w:r>
      <w:r>
        <w:rPr>
          <w:rFonts w:hint="eastAsia"/>
          <w:color w:val="auto"/>
        </w:rPr>
        <w:t>提出了一种基于常数减法技术的有限体积格式，用于求解带底地形源项的浅水方程，验证发现，该方法具有良好的平衡保持性，同时具备保正性，适用于干湿界面模拟，且该方法在激波、稀疏波及小扰动传播等复杂流动中均表现出高分辨率与低耗散特性。但由于有限体积单元存储的是单元平均值，若要实现二阶及更高精度需通过非线性重构（如MUSC</w:t>
      </w:r>
      <w:bookmarkStart w:id="10" w:name="Bookmark5"/>
      <w:r>
        <w:rPr>
          <w:rFonts w:hint="eastAsia"/>
          <w:color w:val="auto"/>
        </w:rPr>
        <w:t>L、W</w:t>
      </w:r>
      <w:bookmarkEnd w:id="10"/>
      <w:r>
        <w:rPr>
          <w:rFonts w:hint="eastAsia"/>
          <w:color w:val="auto"/>
        </w:rPr>
        <w:t>ENO）将平均值恢复为点值。高阶重构在间断处易产生非物理振荡，因此需利用限制器自适应调节斜率，实现精度与稳定性的权衡。特别是在含复杂地形源项的浅水方程中，还需通过平衡态保持与正性保持策略，使格式在静水平衡与干湿过渡条件下仍能维持数值稳定与物理合理性。如BERTHON等</w:t>
      </w:r>
      <w:r>
        <w:rPr>
          <w:rFonts w:cs="Times New Roman"/>
          <w:color w:val="auto"/>
          <w:vertAlign w:val="superscript"/>
        </w:rPr>
        <w:t>[4</w:t>
      </w:r>
      <w:r>
        <w:rPr>
          <w:rFonts w:hint="eastAsia" w:cs="Times New Roman"/>
          <w:color w:val="auto"/>
          <w:vertAlign w:val="superscript"/>
        </w:rPr>
        <w:t>5</w:t>
      </w:r>
      <w:r>
        <w:rPr>
          <w:rFonts w:cs="Times New Roman"/>
          <w:color w:val="auto"/>
          <w:vertAlign w:val="superscript"/>
        </w:rPr>
        <w:t>]</w:t>
      </w:r>
      <w:r>
        <w:rPr>
          <w:rFonts w:hint="eastAsia"/>
          <w:color w:val="auto"/>
        </w:rPr>
        <w:t>通过引入含稳态检测器的修正因子并融合高阶MUSCL重构与一阶稳态保持格式，改进了高阶有限体积格式的数值稳定性；JUNG等</w:t>
      </w:r>
      <w:r>
        <w:rPr>
          <w:rFonts w:cs="Times New Roman"/>
          <w:color w:val="auto"/>
          <w:vertAlign w:val="superscript"/>
        </w:rPr>
        <w:t>[4</w:t>
      </w:r>
      <w:r>
        <w:rPr>
          <w:rFonts w:hint="eastAsia" w:cs="Times New Roman"/>
          <w:color w:val="auto"/>
          <w:vertAlign w:val="superscript"/>
        </w:rPr>
        <w:t>6</w:t>
      </w:r>
      <w:r>
        <w:rPr>
          <w:rFonts w:cs="Times New Roman"/>
          <w:color w:val="auto"/>
          <w:vertAlign w:val="superscript"/>
        </w:rPr>
        <w:t>]</w:t>
      </w:r>
      <w:r>
        <w:rPr>
          <w:rFonts w:hint="eastAsia"/>
          <w:color w:val="auto"/>
        </w:rPr>
        <w:t>通过设计平衡良好的WENO重构和引入保正性限制器，实现了基于高阶有限体积的平衡态保持与正性保持。</w:t>
      </w:r>
    </w:p>
    <w:p w14:paraId="327E7DDD">
      <w:pPr>
        <w:ind w:firstLine="420"/>
        <w:rPr>
          <w:color w:val="auto"/>
        </w:rPr>
      </w:pPr>
      <w:r>
        <w:rPr>
          <w:rFonts w:hint="eastAsia"/>
          <w:color w:val="auto"/>
        </w:rPr>
        <w:t>有限元法则基于加权残差与变分原理，将原方程转化为弱形式，通过选取试函数与权函数在整体上逼近方程解。由于弱形式仅涉及积分且边界条件可通过试函数和权函数自然融入弱形式积分中，因此有限元方法能够灵活适应复杂几何形状、复杂边界条件和非结构网格，并成为处理此类问题的首选方法。如MICALETTO等</w:t>
      </w:r>
      <w:r>
        <w:rPr>
          <w:rFonts w:cs="Times New Roman"/>
          <w:color w:val="auto"/>
          <w:vertAlign w:val="superscript"/>
        </w:rPr>
        <w:t>[4</w:t>
      </w:r>
      <w:r>
        <w:rPr>
          <w:rFonts w:hint="eastAsia" w:cs="Times New Roman"/>
          <w:color w:val="auto"/>
          <w:vertAlign w:val="superscript"/>
        </w:rPr>
        <w:t>7</w:t>
      </w:r>
      <w:r>
        <w:rPr>
          <w:rFonts w:cs="Times New Roman"/>
          <w:color w:val="auto"/>
          <w:vertAlign w:val="superscript"/>
        </w:rPr>
        <w:t>]</w:t>
      </w:r>
      <w:r>
        <w:rPr>
          <w:rFonts w:hint="eastAsia"/>
          <w:color w:val="auto"/>
        </w:rPr>
        <w:t>基于有限元方法对SHYFEM非结构网格模型进行了并行化实现，并依托该模型的特性设置模拟场景，展示了其在复杂边界条件和非结构网格上的适用性。此外，凭借其弱形式的数学框架，有限元法通过灵活设计权函数，可方便地引入不同物理量或稳定化项，这赋予了有限元法在多物理耦合和稳定化方法的可扩展性方面较大的优势。如KENT等</w:t>
      </w:r>
      <w:r>
        <w:rPr>
          <w:rFonts w:cs="Times New Roman"/>
          <w:color w:val="auto"/>
          <w:vertAlign w:val="superscript"/>
        </w:rPr>
        <w:t>[4</w:t>
      </w:r>
      <w:r>
        <w:rPr>
          <w:rFonts w:hint="eastAsia" w:cs="Times New Roman"/>
          <w:color w:val="auto"/>
          <w:vertAlign w:val="superscript"/>
        </w:rPr>
        <w:t>8</w:t>
      </w:r>
      <w:r>
        <w:rPr>
          <w:rFonts w:cs="Times New Roman"/>
          <w:color w:val="auto"/>
          <w:vertAlign w:val="superscript"/>
        </w:rPr>
        <w:t>]</w:t>
      </w:r>
      <w:r>
        <w:rPr>
          <w:rFonts w:hint="eastAsia"/>
          <w:color w:val="auto"/>
        </w:rPr>
        <w:t>开发了一种基于混合有限元法的浅水模型，充分利用了有限元的可扩展性，使用不同插值空间与权函数来建立守恒且可扩展的浅水格点离散；TELEMAC系统通过有限元法的可扩展性，实现了水动力、波浪和泥沙输运（Sisyphe）三大核心模块的内部耦合</w:t>
      </w:r>
      <w:r>
        <w:rPr>
          <w:rFonts w:cs="Times New Roman"/>
          <w:color w:val="auto"/>
          <w:vertAlign w:val="superscript"/>
        </w:rPr>
        <w:t>[</w:t>
      </w:r>
      <w:r>
        <w:rPr>
          <w:rFonts w:hint="eastAsia" w:cs="Times New Roman"/>
          <w:color w:val="auto"/>
          <w:vertAlign w:val="superscript"/>
        </w:rPr>
        <w:t>49</w:t>
      </w:r>
      <w:r>
        <w:rPr>
          <w:rFonts w:cs="Times New Roman"/>
          <w:color w:val="auto"/>
          <w:vertAlign w:val="superscript"/>
        </w:rPr>
        <w:t>]</w:t>
      </w:r>
      <w:r>
        <w:rPr>
          <w:rFonts w:hint="eastAsia"/>
          <w:color w:val="auto"/>
        </w:rPr>
        <w:t>。弱形式离散化过程同时引入了全局耦合性与较高的实现复杂度，这导致在每个时间步中通常需要组装并求解大型稀疏矩阵系统，而无法仅通过局部更新完成推进，也使得代码结构更为复杂，对数值库的依赖更强，从而整体上提高了有限元法的计算成本和实现难度</w:t>
      </w:r>
      <w:r>
        <w:rPr>
          <w:rFonts w:cs="Times New Roman"/>
          <w:color w:val="auto"/>
          <w:vertAlign w:val="superscript"/>
        </w:rPr>
        <w:t>[5</w:t>
      </w:r>
      <w:r>
        <w:rPr>
          <w:rFonts w:hint="eastAsia" w:cs="Times New Roman"/>
          <w:color w:val="auto"/>
          <w:vertAlign w:val="superscript"/>
        </w:rPr>
        <w:t>0</w:t>
      </w:r>
      <w:r>
        <w:rPr>
          <w:rFonts w:cs="Times New Roman"/>
          <w:color w:val="auto"/>
          <w:vertAlign w:val="superscript"/>
        </w:rPr>
        <w:t>]</w:t>
      </w:r>
      <w:r>
        <w:rPr>
          <w:rFonts w:hint="eastAsia"/>
          <w:color w:val="auto"/>
        </w:rPr>
        <w:t>。同时，有限元法建立在加权残差最小化的弱形式基础上，并不严格保证跨单元通量的连续性，因此不具备天然守恒性，通常需要引入特定的数值技术或修正格式来实现守恒性</w:t>
      </w:r>
      <w:r>
        <w:rPr>
          <w:rFonts w:cs="Times New Roman"/>
          <w:color w:val="auto"/>
          <w:vertAlign w:val="superscript"/>
        </w:rPr>
        <w:t>[5</w:t>
      </w:r>
      <w:r>
        <w:rPr>
          <w:rFonts w:hint="eastAsia" w:cs="Times New Roman"/>
          <w:color w:val="auto"/>
          <w:vertAlign w:val="superscript"/>
        </w:rPr>
        <w:t>1</w:t>
      </w:r>
      <w:r>
        <w:rPr>
          <w:rFonts w:cs="Times New Roman"/>
          <w:color w:val="auto"/>
          <w:vertAlign w:val="superscript"/>
        </w:rPr>
        <w:t>]</w:t>
      </w:r>
      <w:r>
        <w:rPr>
          <w:rFonts w:hint="eastAsia"/>
          <w:color w:val="auto"/>
        </w:rPr>
        <w:t>。</w:t>
      </w:r>
    </w:p>
    <w:p w14:paraId="2C2CDBA0">
      <w:pPr>
        <w:pStyle w:val="7"/>
        <w:ind w:firstLine="420"/>
        <w:rPr>
          <w:color w:val="auto"/>
        </w:rPr>
      </w:pPr>
      <w:r>
        <w:rPr>
          <w:rFonts w:hint="eastAsia"/>
          <w:color w:val="auto"/>
        </w:rPr>
        <w:t>总之，各类方法的机制及其所造成的优劣如表2所列。</w:t>
      </w:r>
    </w:p>
    <w:p w14:paraId="352F1274">
      <w:pPr>
        <w:ind w:firstLine="0" w:firstLineChars="0"/>
        <w:jc w:val="center"/>
        <w:rPr>
          <w:rFonts w:eastAsia="黑体" w:cs="Times New Roman"/>
          <w:color w:val="auto"/>
          <w:sz w:val="18"/>
          <w:szCs w:val="18"/>
        </w:rPr>
      </w:pPr>
      <w:r>
        <w:rPr>
          <w:rFonts w:hint="eastAsia" w:eastAsia="黑体" w:cs="Times New Roman"/>
          <w:color w:val="auto"/>
          <w:sz w:val="18"/>
          <w:szCs w:val="18"/>
        </w:rPr>
        <w:t>表2 各种数值方法的机制与优劣</w:t>
      </w:r>
    </w:p>
    <w:p w14:paraId="24C7AAE1">
      <w:pPr>
        <w:ind w:firstLine="0" w:firstLineChars="0"/>
        <w:jc w:val="center"/>
        <w:rPr>
          <w:rFonts w:eastAsia="黑体" w:cs="Times New Roman"/>
          <w:color w:val="auto"/>
          <w:sz w:val="18"/>
          <w:szCs w:val="18"/>
        </w:rPr>
      </w:pPr>
      <w:r>
        <w:rPr>
          <w:rFonts w:eastAsia="黑体" w:cs="Times New Roman"/>
          <w:color w:val="auto"/>
          <w:sz w:val="18"/>
          <w:szCs w:val="18"/>
        </w:rPr>
        <w:t>Table 2 Mechanisms, advantages and disadvantages of various numerical methods</w:t>
      </w:r>
    </w:p>
    <w:tbl>
      <w:tblPr>
        <w:tblStyle w:val="12"/>
        <w:tblW w:w="0" w:type="auto"/>
        <w:jc w:val="center"/>
        <w:tblCellSpacing w:w="15" w:type="dxa"/>
        <w:tblLayout w:type="autofit"/>
        <w:tblCellMar>
          <w:top w:w="15" w:type="dxa"/>
          <w:left w:w="15" w:type="dxa"/>
          <w:bottom w:w="15" w:type="dxa"/>
          <w:right w:w="15" w:type="dxa"/>
        </w:tblCellMar>
      </w:tblPr>
      <w:tblGrid>
        <w:gridCol w:w="899"/>
        <w:gridCol w:w="2268"/>
        <w:gridCol w:w="2410"/>
        <w:gridCol w:w="1975"/>
      </w:tblGrid>
      <w:tr w14:paraId="7B6111AB">
        <w:tblPrEx>
          <w:tblCellMar>
            <w:top w:w="15" w:type="dxa"/>
            <w:left w:w="15" w:type="dxa"/>
            <w:bottom w:w="15" w:type="dxa"/>
            <w:right w:w="15" w:type="dxa"/>
          </w:tblCellMar>
        </w:tblPrEx>
        <w:trPr>
          <w:tblHeader/>
          <w:tblCellSpacing w:w="15" w:type="dxa"/>
          <w:jc w:val="center"/>
        </w:trPr>
        <w:tc>
          <w:tcPr>
            <w:tcW w:w="854" w:type="dxa"/>
            <w:tcBorders>
              <w:top w:val="single" w:color="auto" w:sz="8" w:space="0"/>
            </w:tcBorders>
            <w:vAlign w:val="center"/>
          </w:tcPr>
          <w:p w14:paraId="251FEBA0">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方法</w:t>
            </w:r>
          </w:p>
        </w:tc>
        <w:tc>
          <w:tcPr>
            <w:tcW w:w="2238" w:type="dxa"/>
            <w:tcBorders>
              <w:top w:val="single" w:color="auto" w:sz="8" w:space="0"/>
            </w:tcBorders>
            <w:vAlign w:val="center"/>
          </w:tcPr>
          <w:p w14:paraId="06B535C4">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机制</w:t>
            </w:r>
          </w:p>
        </w:tc>
        <w:tc>
          <w:tcPr>
            <w:tcW w:w="2380" w:type="dxa"/>
            <w:tcBorders>
              <w:top w:val="single" w:color="auto" w:sz="8" w:space="0"/>
            </w:tcBorders>
            <w:vAlign w:val="center"/>
          </w:tcPr>
          <w:p w14:paraId="7502BD5C">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优势</w:t>
            </w:r>
          </w:p>
        </w:tc>
        <w:tc>
          <w:tcPr>
            <w:tcW w:w="1930" w:type="dxa"/>
            <w:tcBorders>
              <w:top w:val="single" w:color="auto" w:sz="8" w:space="0"/>
            </w:tcBorders>
            <w:vAlign w:val="center"/>
          </w:tcPr>
          <w:p w14:paraId="0EECA220">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不足</w:t>
            </w:r>
          </w:p>
        </w:tc>
      </w:tr>
      <w:tr w14:paraId="33BCE52D">
        <w:tblPrEx>
          <w:tblCellMar>
            <w:top w:w="15" w:type="dxa"/>
            <w:left w:w="15" w:type="dxa"/>
            <w:bottom w:w="15" w:type="dxa"/>
            <w:right w:w="15" w:type="dxa"/>
          </w:tblCellMar>
        </w:tblPrEx>
        <w:trPr>
          <w:tblCellSpacing w:w="15" w:type="dxa"/>
          <w:jc w:val="center"/>
        </w:trPr>
        <w:tc>
          <w:tcPr>
            <w:tcW w:w="854" w:type="dxa"/>
            <w:tcBorders>
              <w:top w:val="single" w:color="auto" w:sz="4" w:space="0"/>
            </w:tcBorders>
            <w:vAlign w:val="center"/>
          </w:tcPr>
          <w:p w14:paraId="7E8449A5">
            <w:pPr>
              <w:autoSpaceDE w:val="0"/>
              <w:autoSpaceDN w:val="0"/>
              <w:adjustRightInd w:val="0"/>
              <w:ind w:firstLine="0" w:firstLineChars="0"/>
              <w:jc w:val="center"/>
              <w:rPr>
                <w:rFonts w:eastAsia="宋体" w:cs="Times New Roman"/>
                <w:color w:val="auto"/>
                <w:kern w:val="0"/>
                <w:sz w:val="15"/>
                <w:szCs w:val="15"/>
              </w:rPr>
            </w:pPr>
            <w:r>
              <w:rPr>
                <w:rFonts w:eastAsia="宋体" w:cs="Times New Roman"/>
                <w:color w:val="auto"/>
                <w:kern w:val="0"/>
                <w:sz w:val="15"/>
                <w:szCs w:val="15"/>
              </w:rPr>
              <w:t>FDM</w:t>
            </w:r>
          </w:p>
        </w:tc>
        <w:tc>
          <w:tcPr>
            <w:tcW w:w="2238" w:type="dxa"/>
            <w:tcBorders>
              <w:top w:val="single" w:color="auto" w:sz="4" w:space="0"/>
            </w:tcBorders>
            <w:vAlign w:val="center"/>
          </w:tcPr>
          <w:p w14:paraId="3B610172">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差分近似导数</w:t>
            </w:r>
          </w:p>
        </w:tc>
        <w:tc>
          <w:tcPr>
            <w:tcW w:w="2380" w:type="dxa"/>
            <w:tcBorders>
              <w:top w:val="single" w:color="auto" w:sz="4" w:space="0"/>
            </w:tcBorders>
            <w:vAlign w:val="center"/>
          </w:tcPr>
          <w:p w14:paraId="5B1690FE">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简单高效；适合规则河网</w:t>
            </w:r>
          </w:p>
        </w:tc>
        <w:tc>
          <w:tcPr>
            <w:tcW w:w="1930" w:type="dxa"/>
            <w:tcBorders>
              <w:top w:val="single" w:color="auto" w:sz="4" w:space="0"/>
            </w:tcBorders>
            <w:vAlign w:val="center"/>
          </w:tcPr>
          <w:p w14:paraId="6AB2FA2A">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守恒性差；边界处理弱</w:t>
            </w:r>
          </w:p>
        </w:tc>
      </w:tr>
      <w:tr w14:paraId="40A6FDFC">
        <w:tblPrEx>
          <w:tblCellMar>
            <w:top w:w="15" w:type="dxa"/>
            <w:left w:w="15" w:type="dxa"/>
            <w:bottom w:w="15" w:type="dxa"/>
            <w:right w:w="15" w:type="dxa"/>
          </w:tblCellMar>
        </w:tblPrEx>
        <w:trPr>
          <w:tblCellSpacing w:w="15" w:type="dxa"/>
          <w:jc w:val="center"/>
        </w:trPr>
        <w:tc>
          <w:tcPr>
            <w:tcW w:w="854" w:type="dxa"/>
            <w:tcBorders>
              <w:top w:val="single" w:color="auto" w:sz="4" w:space="0"/>
            </w:tcBorders>
            <w:vAlign w:val="center"/>
          </w:tcPr>
          <w:p w14:paraId="717A70F9">
            <w:pPr>
              <w:autoSpaceDE w:val="0"/>
              <w:autoSpaceDN w:val="0"/>
              <w:adjustRightInd w:val="0"/>
              <w:ind w:firstLine="0" w:firstLineChars="0"/>
              <w:jc w:val="center"/>
              <w:rPr>
                <w:rFonts w:eastAsia="宋体" w:cs="Times New Roman"/>
                <w:color w:val="auto"/>
                <w:kern w:val="0"/>
                <w:sz w:val="15"/>
                <w:szCs w:val="15"/>
              </w:rPr>
            </w:pPr>
            <w:r>
              <w:rPr>
                <w:rFonts w:eastAsia="宋体" w:cs="Times New Roman"/>
                <w:color w:val="auto"/>
                <w:kern w:val="0"/>
                <w:sz w:val="15"/>
                <w:szCs w:val="15"/>
              </w:rPr>
              <w:t>FVM</w:t>
            </w:r>
          </w:p>
        </w:tc>
        <w:tc>
          <w:tcPr>
            <w:tcW w:w="2238" w:type="dxa"/>
            <w:tcBorders>
              <w:top w:val="single" w:color="auto" w:sz="4" w:space="0"/>
            </w:tcBorders>
            <w:vAlign w:val="center"/>
          </w:tcPr>
          <w:p w14:paraId="1771274F">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控制体积守恒，数值通量</w:t>
            </w:r>
          </w:p>
        </w:tc>
        <w:tc>
          <w:tcPr>
            <w:tcW w:w="2380" w:type="dxa"/>
            <w:tcBorders>
              <w:top w:val="single" w:color="auto" w:sz="4" w:space="0"/>
            </w:tcBorders>
            <w:vAlign w:val="center"/>
          </w:tcPr>
          <w:p w14:paraId="593446AF">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守恒精确；捕捉激波</w:t>
            </w:r>
            <w:r>
              <w:rPr>
                <w:rFonts w:hint="eastAsia" w:ascii="宋体" w:hAnsi="宋体" w:eastAsia="宋体" w:cs="Arial"/>
                <w:color w:val="auto"/>
                <w:kern w:val="0"/>
                <w:sz w:val="15"/>
                <w:szCs w:val="15"/>
              </w:rPr>
              <w:t>和</w:t>
            </w:r>
            <w:r>
              <w:rPr>
                <w:rFonts w:ascii="宋体" w:hAnsi="宋体" w:eastAsia="宋体" w:cs="Arial"/>
                <w:color w:val="auto"/>
                <w:kern w:val="0"/>
                <w:sz w:val="15"/>
                <w:szCs w:val="15"/>
              </w:rPr>
              <w:t>稀疏波</w:t>
            </w:r>
          </w:p>
        </w:tc>
        <w:tc>
          <w:tcPr>
            <w:tcW w:w="1930" w:type="dxa"/>
            <w:tcBorders>
              <w:top w:val="single" w:color="auto" w:sz="4" w:space="0"/>
            </w:tcBorders>
            <w:vAlign w:val="center"/>
          </w:tcPr>
          <w:p w14:paraId="4955DFD0">
            <w:pPr>
              <w:autoSpaceDE w:val="0"/>
              <w:autoSpaceDN w:val="0"/>
              <w:adjustRightInd w:val="0"/>
              <w:ind w:firstLine="0" w:firstLineChars="0"/>
              <w:jc w:val="center"/>
              <w:rPr>
                <w:rFonts w:hint="eastAsia" w:ascii="宋体" w:hAnsi="宋体" w:eastAsia="宋体" w:cs="Arial"/>
                <w:color w:val="auto"/>
                <w:kern w:val="0"/>
                <w:sz w:val="15"/>
                <w:szCs w:val="15"/>
              </w:rPr>
            </w:pPr>
            <w:r>
              <w:rPr>
                <w:rFonts w:hint="eastAsia" w:ascii="宋体" w:hAnsi="宋体" w:eastAsia="宋体" w:cs="Arial"/>
                <w:color w:val="auto"/>
                <w:kern w:val="0"/>
                <w:sz w:val="15"/>
                <w:szCs w:val="15"/>
              </w:rPr>
              <w:t>高阶</w:t>
            </w:r>
            <w:r>
              <w:rPr>
                <w:rFonts w:ascii="宋体" w:hAnsi="宋体" w:eastAsia="宋体" w:cs="Arial"/>
                <w:color w:val="auto"/>
                <w:kern w:val="0"/>
                <w:sz w:val="15"/>
                <w:szCs w:val="15"/>
              </w:rPr>
              <w:t>实现复杂；高阶</w:t>
            </w:r>
            <w:bookmarkStart w:id="11" w:name="Bookmark12"/>
            <w:r>
              <w:rPr>
                <w:rFonts w:ascii="宋体" w:hAnsi="宋体" w:eastAsia="宋体" w:cs="Arial"/>
                <w:color w:val="auto"/>
                <w:kern w:val="0"/>
                <w:sz w:val="15"/>
                <w:szCs w:val="15"/>
              </w:rPr>
              <w:t>需重构</w:t>
            </w:r>
            <w:bookmarkEnd w:id="11"/>
          </w:p>
        </w:tc>
      </w:tr>
      <w:tr w14:paraId="5E5D4219">
        <w:tblPrEx>
          <w:tblCellMar>
            <w:top w:w="15" w:type="dxa"/>
            <w:left w:w="15" w:type="dxa"/>
            <w:bottom w:w="15" w:type="dxa"/>
            <w:right w:w="15" w:type="dxa"/>
          </w:tblCellMar>
        </w:tblPrEx>
        <w:trPr>
          <w:tblCellSpacing w:w="15" w:type="dxa"/>
          <w:jc w:val="center"/>
        </w:trPr>
        <w:tc>
          <w:tcPr>
            <w:tcW w:w="854" w:type="dxa"/>
            <w:tcBorders>
              <w:top w:val="single" w:color="auto" w:sz="4" w:space="0"/>
              <w:bottom w:val="single" w:color="auto" w:sz="8" w:space="0"/>
            </w:tcBorders>
            <w:vAlign w:val="center"/>
          </w:tcPr>
          <w:p w14:paraId="6E0D73F2">
            <w:pPr>
              <w:autoSpaceDE w:val="0"/>
              <w:autoSpaceDN w:val="0"/>
              <w:adjustRightInd w:val="0"/>
              <w:ind w:firstLine="0" w:firstLineChars="0"/>
              <w:jc w:val="center"/>
              <w:rPr>
                <w:rFonts w:eastAsia="宋体" w:cs="Times New Roman"/>
                <w:color w:val="auto"/>
                <w:kern w:val="0"/>
                <w:sz w:val="15"/>
                <w:szCs w:val="15"/>
              </w:rPr>
            </w:pPr>
            <w:r>
              <w:rPr>
                <w:rFonts w:eastAsia="宋体" w:cs="Times New Roman"/>
                <w:color w:val="auto"/>
                <w:kern w:val="0"/>
                <w:sz w:val="15"/>
                <w:szCs w:val="15"/>
              </w:rPr>
              <w:t>FEM</w:t>
            </w:r>
          </w:p>
        </w:tc>
        <w:tc>
          <w:tcPr>
            <w:tcW w:w="2238" w:type="dxa"/>
            <w:tcBorders>
              <w:top w:val="single" w:color="auto" w:sz="4" w:space="0"/>
              <w:bottom w:val="single" w:color="auto" w:sz="8" w:space="0"/>
            </w:tcBorders>
            <w:vAlign w:val="center"/>
          </w:tcPr>
          <w:p w14:paraId="3770799E">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变分弱</w:t>
            </w:r>
            <w:bookmarkStart w:id="12" w:name="Bookmark13"/>
            <w:r>
              <w:rPr>
                <w:rFonts w:ascii="宋体" w:hAnsi="宋体" w:eastAsia="宋体" w:cs="Arial"/>
                <w:color w:val="auto"/>
                <w:kern w:val="0"/>
                <w:sz w:val="15"/>
                <w:szCs w:val="15"/>
              </w:rPr>
              <w:t>式</w:t>
            </w:r>
            <w:bookmarkEnd w:id="12"/>
            <w:r>
              <w:rPr>
                <w:rFonts w:ascii="宋体" w:hAnsi="宋体" w:eastAsia="宋体" w:cs="Arial"/>
                <w:color w:val="auto"/>
                <w:kern w:val="0"/>
                <w:sz w:val="15"/>
                <w:szCs w:val="15"/>
              </w:rPr>
              <w:t>，试函数逼近</w:t>
            </w:r>
          </w:p>
        </w:tc>
        <w:tc>
          <w:tcPr>
            <w:tcW w:w="2380" w:type="dxa"/>
            <w:tcBorders>
              <w:top w:val="single" w:color="auto" w:sz="4" w:space="0"/>
              <w:bottom w:val="single" w:color="auto" w:sz="8" w:space="0"/>
            </w:tcBorders>
            <w:vAlign w:val="center"/>
          </w:tcPr>
          <w:p w14:paraId="50B33DA8">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适应复杂边界；支持多物理</w:t>
            </w:r>
            <w:r>
              <w:rPr>
                <w:rFonts w:hint="eastAsia" w:ascii="宋体" w:hAnsi="宋体" w:eastAsia="宋体" w:cs="Arial"/>
                <w:color w:val="auto"/>
                <w:kern w:val="0"/>
                <w:sz w:val="15"/>
                <w:szCs w:val="15"/>
              </w:rPr>
              <w:t>耦合</w:t>
            </w:r>
          </w:p>
        </w:tc>
        <w:tc>
          <w:tcPr>
            <w:tcW w:w="1930" w:type="dxa"/>
            <w:tcBorders>
              <w:top w:val="single" w:color="auto" w:sz="4" w:space="0"/>
              <w:bottom w:val="single" w:color="auto" w:sz="8" w:space="0"/>
            </w:tcBorders>
            <w:vAlign w:val="center"/>
          </w:tcPr>
          <w:p w14:paraId="39EB8454">
            <w:pPr>
              <w:autoSpaceDE w:val="0"/>
              <w:autoSpaceDN w:val="0"/>
              <w:adjustRightInd w:val="0"/>
              <w:ind w:firstLine="0" w:firstLineChars="0"/>
              <w:jc w:val="center"/>
              <w:rPr>
                <w:rFonts w:hint="eastAsia" w:ascii="宋体" w:hAnsi="宋体" w:eastAsia="宋体" w:cs="Arial"/>
                <w:color w:val="auto"/>
                <w:kern w:val="0"/>
                <w:sz w:val="15"/>
                <w:szCs w:val="15"/>
              </w:rPr>
            </w:pPr>
            <w:r>
              <w:rPr>
                <w:rFonts w:ascii="宋体" w:hAnsi="宋体" w:eastAsia="宋体" w:cs="Arial"/>
                <w:color w:val="auto"/>
                <w:kern w:val="0"/>
                <w:sz w:val="15"/>
                <w:szCs w:val="15"/>
              </w:rPr>
              <w:t>计算量大；守恒性需处理</w:t>
            </w:r>
          </w:p>
        </w:tc>
      </w:tr>
    </w:tbl>
    <w:p w14:paraId="24023D1D">
      <w:pPr>
        <w:ind w:firstLine="0" w:firstLineChars="0"/>
        <w:jc w:val="center"/>
        <w:rPr>
          <w:rFonts w:eastAsia="黑体" w:cs="Times New Roman"/>
          <w:color w:val="auto"/>
          <w:sz w:val="18"/>
          <w:szCs w:val="18"/>
        </w:rPr>
      </w:pPr>
    </w:p>
    <w:p w14:paraId="2032743E">
      <w:pPr>
        <w:pStyle w:val="4"/>
        <w:rPr>
          <w:color w:val="auto"/>
        </w:rPr>
      </w:pPr>
      <w:r>
        <w:rPr>
          <w:rFonts w:hint="eastAsia"/>
          <w:color w:val="auto"/>
        </w:rPr>
        <w:t>2.3 汊点耦合与并行</w:t>
      </w:r>
    </w:p>
    <w:p w14:paraId="43D624D8">
      <w:pPr>
        <w:ind w:firstLine="420"/>
        <w:rPr>
          <w:color w:val="auto"/>
        </w:rPr>
      </w:pPr>
      <w:r>
        <w:rPr>
          <w:rFonts w:hint="eastAsia"/>
          <w:color w:val="auto"/>
        </w:rPr>
        <w:t>尽管有限差分、有限体积与有限元构成了求解浅水方程的核心框架，但复杂河网（见图4）的可靠模拟还依赖面向拓扑的处理策略与工程化实现，包括汊点耦合与并行加速等关键环节。</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6"/>
        <w:gridCol w:w="4206"/>
      </w:tblGrid>
      <w:tr w14:paraId="74255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18ED1DF6">
            <w:pPr>
              <w:ind w:firstLine="0" w:firstLineChars="0"/>
              <w:jc w:val="center"/>
              <w:rPr>
                <w:rFonts w:eastAsia="宋体" w:cs="Times New Roman"/>
                <w:color w:val="auto"/>
                <w:szCs w:val="21"/>
              </w:rPr>
            </w:pPr>
            <w:r>
              <w:rPr>
                <w:rFonts w:eastAsia="宋体" w:cs="Times New Roman"/>
                <w:color w:val="auto"/>
                <w:szCs w:val="21"/>
              </w:rPr>
              <w:drawing>
                <wp:inline distT="0" distB="0" distL="0" distR="0">
                  <wp:extent cx="2498725" cy="16656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5"/>
                          <a:srcRect t="6" b="6"/>
                          <a:stretch>
                            <a:fillRect/>
                          </a:stretch>
                        </pic:blipFill>
                        <pic:spPr>
                          <a:xfrm>
                            <a:off x="0" y="0"/>
                            <a:ext cx="2498725" cy="1665605"/>
                          </a:xfrm>
                          <a:prstGeom prst="rect">
                            <a:avLst/>
                          </a:prstGeom>
                          <a:noFill/>
                        </pic:spPr>
                      </pic:pic>
                    </a:graphicData>
                  </a:graphic>
                </wp:inline>
              </w:drawing>
            </w:r>
          </w:p>
        </w:tc>
        <w:tc>
          <w:tcPr>
            <w:tcW w:w="4206" w:type="dxa"/>
            <w:vAlign w:val="center"/>
          </w:tcPr>
          <w:p w14:paraId="0FF5FD64">
            <w:pPr>
              <w:ind w:firstLine="0" w:firstLineChars="0"/>
              <w:jc w:val="center"/>
              <w:rPr>
                <w:rFonts w:eastAsia="宋体" w:cs="Times New Roman"/>
                <w:color w:val="auto"/>
                <w:szCs w:val="21"/>
              </w:rPr>
            </w:pPr>
            <w:r>
              <w:rPr>
                <w:rFonts w:eastAsia="宋体" w:cs="Times New Roman"/>
                <w:color w:val="auto"/>
                <w:szCs w:val="21"/>
              </w:rPr>
              <w:drawing>
                <wp:inline distT="0" distB="0" distL="0" distR="0">
                  <wp:extent cx="2406650" cy="14687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a:srcRect l="67" r="67"/>
                          <a:stretch>
                            <a:fillRect/>
                          </a:stretch>
                        </pic:blipFill>
                        <pic:spPr>
                          <a:xfrm>
                            <a:off x="0" y="0"/>
                            <a:ext cx="2406650" cy="1468755"/>
                          </a:xfrm>
                          <a:prstGeom prst="rect">
                            <a:avLst/>
                          </a:prstGeom>
                          <a:noFill/>
                        </pic:spPr>
                      </pic:pic>
                    </a:graphicData>
                  </a:graphic>
                </wp:inline>
              </w:drawing>
            </w:r>
          </w:p>
        </w:tc>
      </w:tr>
      <w:tr w14:paraId="42100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1E72AE18">
            <w:pPr>
              <w:ind w:firstLine="0" w:firstLineChars="0"/>
              <w:jc w:val="center"/>
              <w:rPr>
                <w:rFonts w:eastAsia="宋体" w:cs="Times New Roman"/>
                <w:color w:val="auto"/>
                <w:sz w:val="15"/>
                <w:szCs w:val="15"/>
              </w:rPr>
            </w:pPr>
            <w:r>
              <w:rPr>
                <w:rFonts w:eastAsia="宋体" w:cs="Times New Roman"/>
                <w:color w:val="auto"/>
                <w:sz w:val="15"/>
                <w:szCs w:val="15"/>
              </w:rPr>
              <w:t>（a）</w:t>
            </w:r>
            <w:r>
              <w:rPr>
                <w:rFonts w:hint="eastAsia" w:eastAsia="宋体" w:cs="Times New Roman"/>
                <w:color w:val="auto"/>
                <w:sz w:val="15"/>
                <w:szCs w:val="15"/>
              </w:rPr>
              <w:t>某天然河网</w:t>
            </w:r>
          </w:p>
        </w:tc>
        <w:tc>
          <w:tcPr>
            <w:tcW w:w="4206" w:type="dxa"/>
            <w:vAlign w:val="center"/>
          </w:tcPr>
          <w:p w14:paraId="06D96F19">
            <w:pPr>
              <w:ind w:firstLine="0" w:firstLineChars="0"/>
              <w:jc w:val="center"/>
              <w:rPr>
                <w:rFonts w:eastAsia="宋体" w:cs="Times New Roman"/>
                <w:color w:val="auto"/>
                <w:sz w:val="15"/>
                <w:szCs w:val="15"/>
              </w:rPr>
            </w:pPr>
            <w:r>
              <w:rPr>
                <w:rFonts w:eastAsia="宋体" w:cs="Times New Roman"/>
                <w:color w:val="auto"/>
                <w:sz w:val="15"/>
                <w:szCs w:val="15"/>
              </w:rPr>
              <w:t>（b）</w:t>
            </w:r>
            <w:r>
              <w:rPr>
                <w:rFonts w:hint="eastAsia" w:eastAsia="宋体" w:cs="Times New Roman"/>
                <w:color w:val="auto"/>
                <w:sz w:val="15"/>
                <w:szCs w:val="15"/>
              </w:rPr>
              <w:t>水动力数值模拟所用的某抽象河网</w:t>
            </w:r>
          </w:p>
        </w:tc>
      </w:tr>
    </w:tbl>
    <w:p w14:paraId="3560D356">
      <w:pPr>
        <w:ind w:firstLine="0" w:firstLineChars="0"/>
        <w:jc w:val="center"/>
        <w:rPr>
          <w:rFonts w:eastAsia="黑体" w:cs="Times New Roman"/>
          <w:color w:val="auto"/>
          <w:sz w:val="18"/>
          <w:szCs w:val="18"/>
        </w:rPr>
      </w:pPr>
      <w:bookmarkStart w:id="13" w:name="_Toc4873806"/>
      <w:bookmarkStart w:id="14" w:name="_Toc5808244"/>
      <w:r>
        <w:rPr>
          <w:rFonts w:eastAsia="黑体" w:cs="Times New Roman"/>
          <w:color w:val="auto"/>
          <w:sz w:val="18"/>
          <w:szCs w:val="18"/>
        </w:rPr>
        <w:t>图</w:t>
      </w:r>
      <w:r>
        <w:rPr>
          <w:rFonts w:hint="eastAsia" w:eastAsia="黑体" w:cs="Times New Roman"/>
          <w:color w:val="auto"/>
          <w:sz w:val="18"/>
          <w:szCs w:val="18"/>
        </w:rPr>
        <w:t>4</w:t>
      </w:r>
      <w:r>
        <w:rPr>
          <w:rFonts w:eastAsia="黑体" w:cs="Times New Roman"/>
          <w:color w:val="auto"/>
          <w:sz w:val="18"/>
          <w:szCs w:val="18"/>
        </w:rPr>
        <w:t xml:space="preserve"> </w:t>
      </w:r>
      <w:r>
        <w:rPr>
          <w:rFonts w:hint="eastAsia" w:eastAsia="黑体" w:cs="Times New Roman"/>
          <w:color w:val="auto"/>
          <w:sz w:val="18"/>
          <w:szCs w:val="18"/>
        </w:rPr>
        <w:t xml:space="preserve"> </w:t>
      </w:r>
      <w:bookmarkEnd w:id="13"/>
      <w:bookmarkEnd w:id="14"/>
      <w:r>
        <w:rPr>
          <w:rFonts w:hint="eastAsia" w:eastAsia="黑体" w:cs="Times New Roman"/>
          <w:color w:val="auto"/>
          <w:sz w:val="18"/>
          <w:szCs w:val="18"/>
        </w:rPr>
        <w:t>复杂河网示意</w:t>
      </w:r>
    </w:p>
    <w:p w14:paraId="028ACEA2">
      <w:pPr>
        <w:ind w:firstLine="0" w:firstLineChars="0"/>
        <w:jc w:val="center"/>
        <w:rPr>
          <w:rFonts w:eastAsia="宋体" w:cs="Times New Roman"/>
          <w:bCs/>
          <w:color w:val="auto"/>
          <w:sz w:val="18"/>
          <w:szCs w:val="18"/>
        </w:rPr>
      </w:pPr>
      <w:r>
        <w:rPr>
          <w:rFonts w:eastAsia="宋体" w:cs="Times New Roman"/>
          <w:bCs/>
          <w:color w:val="auto"/>
          <w:sz w:val="18"/>
          <w:szCs w:val="18"/>
        </w:rPr>
        <w:t>Fig.</w:t>
      </w:r>
      <w:r>
        <w:rPr>
          <w:rFonts w:hint="eastAsia" w:eastAsia="宋体" w:cs="Times New Roman"/>
          <w:bCs/>
          <w:color w:val="auto"/>
          <w:sz w:val="18"/>
          <w:szCs w:val="18"/>
        </w:rPr>
        <w:t>4</w:t>
      </w:r>
      <w:r>
        <w:rPr>
          <w:rFonts w:eastAsia="宋体" w:cs="Times New Roman"/>
          <w:bCs/>
          <w:color w:val="auto"/>
          <w:sz w:val="18"/>
          <w:szCs w:val="18"/>
        </w:rPr>
        <w:t xml:space="preserve"> </w:t>
      </w:r>
      <w:r>
        <w:rPr>
          <w:rFonts w:hint="eastAsia" w:eastAsia="宋体" w:cs="Times New Roman"/>
          <w:bCs/>
          <w:color w:val="auto"/>
          <w:sz w:val="18"/>
          <w:szCs w:val="18"/>
        </w:rPr>
        <w:t xml:space="preserve"> Schematic diagram of a complex river network</w:t>
      </w:r>
    </w:p>
    <w:p w14:paraId="4C396A5A">
      <w:pPr>
        <w:pStyle w:val="5"/>
        <w:rPr>
          <w:color w:val="auto"/>
        </w:rPr>
      </w:pPr>
    </w:p>
    <w:p w14:paraId="1185787A">
      <w:pPr>
        <w:ind w:firstLine="420"/>
        <w:rPr>
          <w:color w:val="auto"/>
        </w:rPr>
      </w:pPr>
      <w:r>
        <w:rPr>
          <w:rFonts w:hint="eastAsia"/>
          <w:color w:val="auto"/>
        </w:rPr>
        <w:t>面向汊点的处理可概括为耦合与解耦两类策略，其共同目标是在多支路交汇处同时维持质量和能量守恒与数值稳定。</w:t>
      </w:r>
    </w:p>
    <w:p w14:paraId="03ED8BD1">
      <w:pPr>
        <w:ind w:firstLine="420"/>
        <w:rPr>
          <w:color w:val="auto"/>
        </w:rPr>
      </w:pPr>
      <w:r>
        <w:rPr>
          <w:rFonts w:hint="eastAsia"/>
          <w:color w:val="auto"/>
        </w:rPr>
        <w:t>耦合方法是早期针对河网求解的常用逻辑，即将河网求解视作一个整体的过程，将汊点求解和河道求解耦合起来。耦合方法中，最早出现的直接解法即把汊点当作边界条件，先对内断面方程和边界方程进行差分，然后联立方程，并直接求解方程组</w:t>
      </w:r>
      <w:r>
        <w:rPr>
          <w:rFonts w:cs="Times New Roman"/>
          <w:color w:val="auto"/>
          <w:vertAlign w:val="superscript"/>
        </w:rPr>
        <w:t>[5</w:t>
      </w:r>
      <w:r>
        <w:rPr>
          <w:rFonts w:hint="eastAsia" w:cs="Times New Roman"/>
          <w:color w:val="auto"/>
          <w:vertAlign w:val="superscript"/>
        </w:rPr>
        <w:t>2</w:t>
      </w:r>
      <w:r>
        <w:rPr>
          <w:rFonts w:cs="Times New Roman"/>
          <w:color w:val="auto"/>
          <w:vertAlign w:val="superscript"/>
        </w:rPr>
        <w:t>,5</w:t>
      </w:r>
      <w:r>
        <w:rPr>
          <w:rFonts w:hint="eastAsia" w:cs="Times New Roman"/>
          <w:color w:val="auto"/>
          <w:vertAlign w:val="superscript"/>
        </w:rPr>
        <w:t>3</w:t>
      </w:r>
      <w:r>
        <w:rPr>
          <w:rFonts w:cs="Times New Roman"/>
          <w:color w:val="auto"/>
          <w:vertAlign w:val="superscript"/>
        </w:rPr>
        <w:t>]</w:t>
      </w:r>
      <w:r>
        <w:rPr>
          <w:rFonts w:hint="eastAsia"/>
          <w:color w:val="auto"/>
        </w:rPr>
        <w:t>。后来，为了便于使用计算机辅助求解，李岳生等</w:t>
      </w:r>
      <w:r>
        <w:rPr>
          <w:rFonts w:cs="Times New Roman"/>
          <w:color w:val="auto"/>
          <w:vertAlign w:val="superscript"/>
        </w:rPr>
        <w:t>[5</w:t>
      </w:r>
      <w:r>
        <w:rPr>
          <w:rFonts w:hint="eastAsia" w:cs="Times New Roman"/>
          <w:color w:val="auto"/>
          <w:vertAlign w:val="superscript"/>
        </w:rPr>
        <w:t>4</w:t>
      </w:r>
      <w:r>
        <w:rPr>
          <w:rFonts w:cs="Times New Roman"/>
          <w:color w:val="auto"/>
          <w:vertAlign w:val="superscript"/>
        </w:rPr>
        <w:t>]</w:t>
      </w:r>
      <w:r>
        <w:rPr>
          <w:rFonts w:hint="eastAsia"/>
          <w:color w:val="auto"/>
        </w:rPr>
        <w:t>开发了河网求解的稀疏矩阵法，即通过河道编号和汊点假定等方法推导出了河网方程组的系数矩阵，并将该矩阵转化为两个信息数组，输入计算机中进行求解。在此基础上，李光炽等</w:t>
      </w:r>
      <w:r>
        <w:rPr>
          <w:rFonts w:cs="Times New Roman"/>
          <w:color w:val="auto"/>
          <w:vertAlign w:val="superscript"/>
        </w:rPr>
        <w:t>[5</w:t>
      </w:r>
      <w:r>
        <w:rPr>
          <w:rFonts w:hint="eastAsia" w:cs="Times New Roman"/>
          <w:color w:val="auto"/>
          <w:vertAlign w:val="superscript"/>
        </w:rPr>
        <w:t>5</w:t>
      </w:r>
      <w:r>
        <w:rPr>
          <w:rFonts w:cs="Times New Roman"/>
          <w:color w:val="auto"/>
          <w:vertAlign w:val="superscript"/>
        </w:rPr>
        <w:t>]</w:t>
      </w:r>
      <w:r>
        <w:rPr>
          <w:rFonts w:hint="eastAsia"/>
          <w:color w:val="auto"/>
        </w:rPr>
        <w:t>提出了大型河网水流模拟的矩阵标识法，通过对系数矩阵中的非零元素进行标识和单独计算，提升了计算效率。这些耦合方法，由于把汊点与河段方程放在同一系统中联立求解，所以全网守恒性和反馈一致性强、强耦合工况更稳健；但整体组装与全局通信放大了矩阵规模与条件数并牵制并行度，所以计算成本和实现成本高、并行伸缩性差、收敛对求解器敏感。</w:t>
      </w:r>
    </w:p>
    <w:p w14:paraId="7E8E5CB2">
      <w:pPr>
        <w:ind w:firstLine="420"/>
        <w:rPr>
          <w:color w:val="auto"/>
        </w:rPr>
      </w:pPr>
      <w:r>
        <w:rPr>
          <w:rFonts w:hint="eastAsia"/>
          <w:color w:val="auto"/>
        </w:rPr>
        <w:t>解耦方法主要存在两种思路，一种是将复杂的河网系统分解为相对独立的子系统，分别进行求解，从而降低计算复杂度，提高计算效率。如分组解法通过对河网中的汊点按层级或功能分组将汊点方程组解耦，逐层处理各组的耦合关系，并递</w:t>
      </w:r>
      <w:bookmarkStart w:id="15" w:name="Bookmark16"/>
      <w:r>
        <w:rPr>
          <w:rFonts w:hint="eastAsia"/>
          <w:color w:val="auto"/>
        </w:rPr>
        <w:t>推</w:t>
      </w:r>
      <w:bookmarkEnd w:id="15"/>
      <w:r>
        <w:rPr>
          <w:rFonts w:hint="eastAsia"/>
          <w:color w:val="auto"/>
        </w:rPr>
        <w:t>求解，从而将复杂河网拆解为若干子系统，通过组</w:t>
      </w:r>
      <w:bookmarkStart w:id="16" w:name="Bookmark17"/>
      <w:r>
        <w:rPr>
          <w:rFonts w:hint="eastAsia"/>
          <w:color w:val="auto"/>
        </w:rPr>
        <w:t>间</w:t>
      </w:r>
      <w:bookmarkEnd w:id="16"/>
      <w:r>
        <w:rPr>
          <w:rFonts w:hint="eastAsia"/>
          <w:color w:val="auto"/>
        </w:rPr>
        <w:t>迭代实现全局耦合</w:t>
      </w:r>
      <w:r>
        <w:rPr>
          <w:rFonts w:cs="Times New Roman"/>
          <w:color w:val="auto"/>
          <w:vertAlign w:val="superscript"/>
        </w:rPr>
        <w:t>[5</w:t>
      </w:r>
      <w:r>
        <w:rPr>
          <w:rFonts w:hint="eastAsia" w:cs="Times New Roman"/>
          <w:color w:val="auto"/>
          <w:vertAlign w:val="superscript"/>
        </w:rPr>
        <w:t>6</w:t>
      </w:r>
      <w:r>
        <w:rPr>
          <w:rFonts w:cs="Times New Roman"/>
          <w:color w:val="auto"/>
          <w:vertAlign w:val="superscript"/>
        </w:rPr>
        <w:t>]</w:t>
      </w:r>
      <w:r>
        <w:rPr>
          <w:rFonts w:hint="eastAsia"/>
          <w:color w:val="auto"/>
        </w:rPr>
        <w:t>。另一种是将汊点求解和河道求解先解耦，再把求解出来的汊点处水位流量等作为边界条件代入河道求解过程。如分级解法主要通过河段方程自消元后代入边点方程和汊点连接方程，从而将汊点方程和河段方程解耦，依次求解</w:t>
      </w:r>
      <w:r>
        <w:rPr>
          <w:rFonts w:cs="Times New Roman"/>
          <w:color w:val="auto"/>
          <w:vertAlign w:val="superscript"/>
        </w:rPr>
        <w:t>[5</w:t>
      </w:r>
      <w:r>
        <w:rPr>
          <w:rFonts w:hint="eastAsia" w:cs="Times New Roman"/>
          <w:color w:val="auto"/>
          <w:vertAlign w:val="superscript"/>
        </w:rPr>
        <w:t>7</w:t>
      </w:r>
      <w:r>
        <w:rPr>
          <w:rFonts w:cs="Times New Roman"/>
          <w:color w:val="auto"/>
          <w:vertAlign w:val="superscript"/>
        </w:rPr>
        <w:t>]</w:t>
      </w:r>
      <w:r>
        <w:rPr>
          <w:rFonts w:hint="eastAsia"/>
          <w:color w:val="auto"/>
        </w:rPr>
        <w:t>；汊点的水位预测校正法（JPWSPC法），通过引入汊点水位的预测-校正避免了整体矩阵的建立，将物理特性与数值求解结合，实现了更自然的解耦</w:t>
      </w:r>
      <w:r>
        <w:rPr>
          <w:rFonts w:cs="Times New Roman"/>
          <w:color w:val="auto"/>
          <w:vertAlign w:val="superscript"/>
        </w:rPr>
        <w:t>[5</w:t>
      </w:r>
      <w:r>
        <w:rPr>
          <w:rFonts w:hint="eastAsia" w:cs="Times New Roman"/>
          <w:color w:val="auto"/>
          <w:vertAlign w:val="superscript"/>
        </w:rPr>
        <w:t>8-59</w:t>
      </w:r>
      <w:r>
        <w:rPr>
          <w:rFonts w:cs="Times New Roman"/>
          <w:color w:val="auto"/>
          <w:vertAlign w:val="superscript"/>
        </w:rPr>
        <w:t>]</w:t>
      </w:r>
      <w:r>
        <w:rPr>
          <w:rFonts w:hint="eastAsia"/>
          <w:color w:val="auto"/>
        </w:rPr>
        <w:t>。这些解耦方法，因为将河段和汊点分离或子网分组分离，通过边界变量交换或预测-校正实现松耦合、降低单次求解维度，所以复杂度可控、并行友好、方法与拓扑兼容性强。</w:t>
      </w:r>
    </w:p>
    <w:p w14:paraId="0564F064">
      <w:pPr>
        <w:ind w:firstLine="420"/>
        <w:rPr>
          <w:color w:val="auto"/>
        </w:rPr>
      </w:pPr>
      <w:r>
        <w:rPr>
          <w:rFonts w:hint="eastAsia"/>
          <w:color w:val="auto"/>
        </w:rPr>
        <w:t>此外，为进一步提升河网模拟的计算效率，现阶段并行实践主要包含MPI域分解、OpenMP共享内存和GPU加速等几种。MPI域分解通过将计算域（河段图）划分为若干子域，进程仅在子域边界（汊点）交换幽灵层（水位、流速等）信息，从而使计算量按河道单元总数扩展、通信量按汊点数量增长，具备良好的扩展性并能突破单节点内存上限</w:t>
      </w:r>
      <w:r>
        <w:rPr>
          <w:rFonts w:cs="Times New Roman"/>
          <w:color w:val="auto"/>
          <w:vertAlign w:val="superscript"/>
        </w:rPr>
        <w:t>[6</w:t>
      </w:r>
      <w:r>
        <w:rPr>
          <w:rFonts w:hint="eastAsia" w:cs="Times New Roman"/>
          <w:color w:val="auto"/>
          <w:vertAlign w:val="superscript"/>
        </w:rPr>
        <w:t>0</w:t>
      </w:r>
      <w:r>
        <w:rPr>
          <w:rFonts w:cs="Times New Roman"/>
          <w:color w:val="auto"/>
          <w:vertAlign w:val="superscript"/>
        </w:rPr>
        <w:t>]</w:t>
      </w:r>
      <w:r>
        <w:rPr>
          <w:rFonts w:hint="eastAsia"/>
          <w:color w:val="auto"/>
        </w:rPr>
        <w:t>；但其效率受通信与全局同步开销和干湿迁移导致的负载不均制约</w:t>
      </w:r>
      <w:r>
        <w:rPr>
          <w:rFonts w:cs="Times New Roman"/>
          <w:color w:val="auto"/>
          <w:vertAlign w:val="superscript"/>
        </w:rPr>
        <w:t>[6</w:t>
      </w:r>
      <w:r>
        <w:rPr>
          <w:rFonts w:hint="eastAsia" w:cs="Times New Roman"/>
          <w:color w:val="auto"/>
          <w:vertAlign w:val="superscript"/>
        </w:rPr>
        <w:t>1-</w:t>
      </w:r>
      <w:r>
        <w:rPr>
          <w:rFonts w:cs="Times New Roman"/>
          <w:color w:val="auto"/>
          <w:vertAlign w:val="superscript"/>
        </w:rPr>
        <w:t>6</w:t>
      </w:r>
      <w:r>
        <w:rPr>
          <w:rFonts w:hint="eastAsia" w:cs="Times New Roman"/>
          <w:color w:val="auto"/>
          <w:vertAlign w:val="superscript"/>
        </w:rPr>
        <w:t>2</w:t>
      </w:r>
      <w:r>
        <w:rPr>
          <w:rFonts w:cs="Times New Roman"/>
          <w:color w:val="auto"/>
          <w:vertAlign w:val="superscript"/>
        </w:rPr>
        <w:t>]</w:t>
      </w:r>
      <w:r>
        <w:rPr>
          <w:rFonts w:hint="eastAsia"/>
          <w:color w:val="auto"/>
        </w:rPr>
        <w:t>。OpenMP共享内存并行在单机多核内对单元或界面循环加速，并辅以SoA数据布局与SIMD向量化以提升吞吐，改造成本低、见效快、调试友好</w:t>
      </w:r>
      <w:r>
        <w:rPr>
          <w:rFonts w:cs="Times New Roman"/>
          <w:color w:val="auto"/>
          <w:vertAlign w:val="superscript"/>
        </w:rPr>
        <w:t>[6</w:t>
      </w:r>
      <w:r>
        <w:rPr>
          <w:rFonts w:hint="eastAsia" w:cs="Times New Roman"/>
          <w:color w:val="auto"/>
          <w:vertAlign w:val="superscript"/>
        </w:rPr>
        <w:t>3-</w:t>
      </w:r>
      <w:r>
        <w:rPr>
          <w:rFonts w:cs="Times New Roman"/>
          <w:color w:val="auto"/>
          <w:vertAlign w:val="superscript"/>
        </w:rPr>
        <w:t>6</w:t>
      </w:r>
      <w:r>
        <w:rPr>
          <w:rFonts w:hint="eastAsia" w:cs="Times New Roman"/>
          <w:color w:val="auto"/>
          <w:vertAlign w:val="superscript"/>
        </w:rPr>
        <w:t>4</w:t>
      </w:r>
      <w:r>
        <w:rPr>
          <w:rFonts w:cs="Times New Roman"/>
          <w:color w:val="auto"/>
          <w:vertAlign w:val="superscript"/>
        </w:rPr>
        <w:t>]</w:t>
      </w:r>
      <w:r>
        <w:rPr>
          <w:rFonts w:hint="eastAsia"/>
          <w:color w:val="auto"/>
        </w:rPr>
        <w:t>；然而受限于单机内存带宽与核心数上界和干湿判别带来的不规则访存易削弱收益</w:t>
      </w:r>
      <w:r>
        <w:rPr>
          <w:rFonts w:cs="Times New Roman"/>
          <w:color w:val="auto"/>
          <w:vertAlign w:val="superscript"/>
        </w:rPr>
        <w:t>[</w:t>
      </w:r>
      <w:r>
        <w:rPr>
          <w:rFonts w:hint="eastAsia" w:cs="Times New Roman"/>
          <w:color w:val="auto"/>
          <w:vertAlign w:val="superscript"/>
        </w:rPr>
        <w:t>61,</w:t>
      </w:r>
      <w:r>
        <w:rPr>
          <w:rFonts w:cs="Times New Roman"/>
          <w:color w:val="auto"/>
          <w:vertAlign w:val="superscript"/>
        </w:rPr>
        <w:t>6</w:t>
      </w:r>
      <w:r>
        <w:rPr>
          <w:rFonts w:hint="eastAsia" w:cs="Times New Roman"/>
          <w:color w:val="auto"/>
          <w:vertAlign w:val="superscript"/>
        </w:rPr>
        <w:t>5</w:t>
      </w:r>
      <w:r>
        <w:rPr>
          <w:rFonts w:cs="Times New Roman"/>
          <w:color w:val="auto"/>
          <w:vertAlign w:val="superscript"/>
        </w:rPr>
        <w:t>]</w:t>
      </w:r>
      <w:r>
        <w:rPr>
          <w:rFonts w:hint="eastAsia"/>
          <w:color w:val="auto"/>
        </w:rPr>
        <w:t>。GPU加速将通量、重构与源项等单元级算子映射为大规模SIMT kernel，并通过合并访存、共享内存与设备侧多步推进显著提高算力与能效，尤其与显式有限体积和间断Galerkin格式契合</w:t>
      </w:r>
      <w:r>
        <w:rPr>
          <w:rFonts w:cs="Times New Roman"/>
          <w:color w:val="auto"/>
          <w:vertAlign w:val="superscript"/>
        </w:rPr>
        <w:t>[6</w:t>
      </w:r>
      <w:r>
        <w:rPr>
          <w:rFonts w:hint="eastAsia" w:cs="Times New Roman"/>
          <w:color w:val="auto"/>
          <w:vertAlign w:val="superscript"/>
        </w:rPr>
        <w:t>6-</w:t>
      </w:r>
      <w:r>
        <w:rPr>
          <w:rFonts w:cs="Times New Roman"/>
          <w:color w:val="auto"/>
          <w:vertAlign w:val="superscript"/>
        </w:rPr>
        <w:t>6</w:t>
      </w:r>
      <w:r>
        <w:rPr>
          <w:rFonts w:hint="eastAsia" w:cs="Times New Roman"/>
          <w:color w:val="auto"/>
          <w:vertAlign w:val="superscript"/>
        </w:rPr>
        <w:t>7</w:t>
      </w:r>
      <w:r>
        <w:rPr>
          <w:rFonts w:cs="Times New Roman"/>
          <w:color w:val="auto"/>
          <w:vertAlign w:val="superscript"/>
        </w:rPr>
        <w:t>]</w:t>
      </w:r>
      <w:r>
        <w:rPr>
          <w:rFonts w:hint="eastAsia"/>
          <w:color w:val="auto"/>
        </w:rPr>
        <w:t>；但需要针对数据布局与控制流做深度重构，易受warp分歧与显存容量约束，且全局耦合和隐式求解的效率提升不如显式核显著</w:t>
      </w:r>
      <w:r>
        <w:rPr>
          <w:rFonts w:cs="Times New Roman"/>
          <w:color w:val="auto"/>
          <w:vertAlign w:val="superscript"/>
        </w:rPr>
        <w:t>[</w:t>
      </w:r>
      <w:r>
        <w:rPr>
          <w:rFonts w:hint="eastAsia" w:cs="Times New Roman"/>
          <w:color w:val="auto"/>
          <w:vertAlign w:val="superscript"/>
        </w:rPr>
        <w:t>68</w:t>
      </w:r>
      <w:r>
        <w:rPr>
          <w:rFonts w:cs="Times New Roman"/>
          <w:color w:val="auto"/>
          <w:vertAlign w:val="superscript"/>
        </w:rPr>
        <w:t>]</w:t>
      </w:r>
      <w:r>
        <w:rPr>
          <w:rFonts w:hint="eastAsia"/>
          <w:color w:val="auto"/>
        </w:rPr>
        <w:t>。</w:t>
      </w:r>
    </w:p>
    <w:p w14:paraId="66CD027F">
      <w:pPr>
        <w:pStyle w:val="2"/>
        <w:rPr>
          <w:color w:val="auto"/>
        </w:rPr>
      </w:pPr>
      <w:r>
        <w:rPr>
          <w:rFonts w:hint="eastAsia"/>
          <w:color w:val="auto"/>
        </w:rPr>
        <w:t>3新兴方法</w:t>
      </w:r>
    </w:p>
    <w:p w14:paraId="07941833">
      <w:pPr>
        <w:ind w:firstLine="420"/>
        <w:rPr>
          <w:color w:val="auto"/>
        </w:rPr>
      </w:pPr>
      <w:r>
        <w:rPr>
          <w:rFonts w:hint="eastAsia"/>
          <w:color w:val="auto"/>
        </w:rPr>
        <w:t>传统方法在理论和应用中已经相对成熟，但在应对大尺度实时模拟、参数率定和极端条件下的适应性方面仍存在瓶颈。近年来，人工智能尤其是机器学习技术的快速发展，为河网水动力数值模拟提供了新的思路。其核心在于通过数据驱动模式提取水动力学规律，或与物理模型结合提升计算效率和泛化能力，从而成为突破传统方法局限的重要途径。</w:t>
      </w:r>
    </w:p>
    <w:p w14:paraId="788530D1">
      <w:pPr>
        <w:pStyle w:val="4"/>
        <w:rPr>
          <w:color w:val="auto"/>
        </w:rPr>
      </w:pPr>
      <w:r>
        <w:rPr>
          <w:rFonts w:hint="eastAsia"/>
          <w:color w:val="auto"/>
        </w:rPr>
        <w:t>3.1 数据驱动的机器学习模型</w:t>
      </w:r>
    </w:p>
    <w:p w14:paraId="5C6AC7B0">
      <w:pPr>
        <w:ind w:firstLine="420"/>
        <w:rPr>
          <w:color w:val="auto"/>
        </w:rPr>
      </w:pPr>
      <w:r>
        <w:rPr>
          <w:rFonts w:hint="eastAsia"/>
          <w:color w:val="auto"/>
        </w:rPr>
        <w:t>数据驱动模型依赖历史观测与模拟数据，通过深度神经网络直接学习输入-输出映射，能够在不显式求解偏微分方程的情况下快速预测流量与水位。当前应用在河网水动力数值模拟方面的数据驱动的机器学习模型大致可分为四种，一是用神经网络替代数值求解器，</w:t>
      </w:r>
      <w:r>
        <w:rPr>
          <w:rFonts w:hint="eastAsia"/>
          <w:color w:val="auto"/>
        </w:rPr>
        <w:t>如SONG等</w:t>
      </w:r>
      <w:r>
        <w:rPr>
          <w:rFonts w:hint="eastAsia"/>
          <w:color w:val="auto"/>
          <w:vertAlign w:val="superscript"/>
        </w:rPr>
        <w:t>[69]</w:t>
      </w:r>
      <w:r>
        <w:rPr>
          <w:rFonts w:hint="eastAsia"/>
          <w:color w:val="auto"/>
        </w:rPr>
        <w:t>提出的NN-p2p点到点神经网络代理模型，以数据驱动方式近似二维浅水方程求解器，基于多层感知器在非结构网格实现流场点预测，可替代传统数值求解器</w:t>
      </w:r>
      <w:r>
        <w:rPr>
          <w:rFonts w:hint="eastAsia"/>
          <w:color w:val="auto"/>
          <w:lang w:val="en-US" w:eastAsia="zh-CN"/>
        </w:rPr>
        <w:t>并</w:t>
      </w:r>
      <w:r>
        <w:rPr>
          <w:rFonts w:hint="eastAsia"/>
          <w:color w:val="auto"/>
        </w:rPr>
        <w:t>实现近3个数量级的计算提速，且空间外推性更佳、更严格遵循物理守恒律</w:t>
      </w:r>
      <w:r>
        <w:rPr>
          <w:rFonts w:hint="eastAsia"/>
          <w:color w:val="auto"/>
        </w:rPr>
        <w:t>；KONTOLATI等</w:t>
      </w:r>
      <w:r>
        <w:rPr>
          <w:rFonts w:hint="eastAsia"/>
          <w:color w:val="auto"/>
          <w:vertAlign w:val="superscript"/>
        </w:rPr>
        <w:t>[70]</w:t>
      </w:r>
      <w:r>
        <w:rPr>
          <w:rFonts w:hint="eastAsia"/>
          <w:color w:val="auto"/>
        </w:rPr>
        <w:t>提出在latent空间学习神经算子的L-DeepONet框架，通过自编码器对高维数据降维后训练DeepONet以实现物理系统复杂动力学的实时预测，且在浅水方程的数值求解方面应用良好。二是基于图神经网络与算子学习的多尺度建模，如BENTIVOGLIO等</w:t>
      </w:r>
      <w:r>
        <w:rPr>
          <w:rFonts w:cs="Times New Roman"/>
          <w:color w:val="auto"/>
          <w:vertAlign w:val="superscript"/>
        </w:rPr>
        <w:t>[7</w:t>
      </w:r>
      <w:r>
        <w:rPr>
          <w:rFonts w:hint="eastAsia" w:cs="Times New Roman"/>
          <w:color w:val="auto"/>
          <w:vertAlign w:val="superscript"/>
        </w:rPr>
        <w:t>1</w:t>
      </w:r>
      <w:r>
        <w:rPr>
          <w:rFonts w:cs="Times New Roman"/>
          <w:color w:val="auto"/>
          <w:vertAlign w:val="superscript"/>
        </w:rPr>
        <w:t>]</w:t>
      </w:r>
      <w:r>
        <w:rPr>
          <w:rFonts w:hint="eastAsia"/>
          <w:color w:val="auto"/>
        </w:rPr>
        <w:t>提出了结合浅水方程与图神经网络的SWE-GNN模型，用于快速时空洪水模拟，经高保真数值模拟数据集验证，该模型对未见过的地形、溃决位置及更大区域泛化性良好，计算速度较数值求解器快两个数量级。三是洪水快速预报与淹没模拟的深度学习替代，如ZHOU等</w:t>
      </w:r>
      <w:r>
        <w:rPr>
          <w:rFonts w:cs="Times New Roman"/>
          <w:color w:val="auto"/>
          <w:vertAlign w:val="superscript"/>
        </w:rPr>
        <w:t>[7</w:t>
      </w:r>
      <w:r>
        <w:rPr>
          <w:rFonts w:hint="eastAsia" w:cs="Times New Roman"/>
          <w:color w:val="auto"/>
          <w:vertAlign w:val="superscript"/>
        </w:rPr>
        <w:t>2</w:t>
      </w:r>
      <w:r>
        <w:rPr>
          <w:rFonts w:cs="Times New Roman"/>
          <w:color w:val="auto"/>
          <w:vertAlign w:val="superscript"/>
        </w:rPr>
        <w:t>]</w:t>
      </w:r>
      <w:r>
        <w:rPr>
          <w:rFonts w:hint="eastAsia"/>
          <w:color w:val="auto"/>
        </w:rPr>
        <w:t>提出的一种结合一维卷积神经网络与基于U-Net的空间缩减与重建方法的深度学习模型，用于模拟平坦且流路复杂洪泛区的洪水淹没，以替代计算耗时的二维水动力模型，该模型能快速且高精度实现洪水淹没模拟。四是反演与数据同化等其他特殊任务，如LIU等</w:t>
      </w:r>
      <w:r>
        <w:rPr>
          <w:rFonts w:cs="Times New Roman"/>
          <w:color w:val="auto"/>
          <w:vertAlign w:val="superscript"/>
        </w:rPr>
        <w:t>[7</w:t>
      </w:r>
      <w:r>
        <w:rPr>
          <w:rFonts w:hint="eastAsia" w:cs="Times New Roman"/>
          <w:color w:val="auto"/>
          <w:vertAlign w:val="superscript"/>
        </w:rPr>
        <w:t>3</w:t>
      </w:r>
      <w:r>
        <w:rPr>
          <w:rFonts w:cs="Times New Roman"/>
          <w:color w:val="auto"/>
          <w:vertAlign w:val="superscript"/>
        </w:rPr>
        <w:t>]</w:t>
      </w:r>
      <w:r>
        <w:rPr>
          <w:rFonts w:hint="eastAsia"/>
          <w:color w:val="auto"/>
        </w:rPr>
        <w:t>提出并验证了一种基于CNN自编码器的深度学习替代模型方法，该方法依托浅水方程求解器生成训练数据，通过自动微分实现梯度优化的测深反演，并加入床面高程和坡度的物理正则化约束，在简单案例和真实河流案例中均表现出良好性能。这类方法在洪水预报和缺测数据插补中展现了显著</w:t>
      </w:r>
      <w:r>
        <w:rPr>
          <w:rFonts w:hint="eastAsia"/>
          <w:color w:val="auto"/>
          <w:lang w:val="en-US" w:eastAsia="zh-CN"/>
        </w:rPr>
        <w:t>的</w:t>
      </w:r>
      <w:r>
        <w:rPr>
          <w:rFonts w:hint="eastAsia"/>
          <w:color w:val="auto"/>
        </w:rPr>
        <w:t>效率优势，但其物理一致性有限，对超出训练样本的极端情景适应性不足。</w:t>
      </w:r>
    </w:p>
    <w:p w14:paraId="32112F7A">
      <w:pPr>
        <w:pStyle w:val="4"/>
        <w:rPr>
          <w:color w:val="auto"/>
        </w:rPr>
      </w:pPr>
      <w:r>
        <w:rPr>
          <w:rFonts w:hint="eastAsia"/>
          <w:color w:val="auto"/>
        </w:rPr>
        <w:t>3.2 物理约束的机器学习模型</w:t>
      </w:r>
    </w:p>
    <w:p w14:paraId="4B5079B0">
      <w:pPr>
        <w:ind w:firstLine="420"/>
        <w:rPr>
          <w:color w:val="auto"/>
        </w:rPr>
      </w:pPr>
      <w:r>
        <w:rPr>
          <w:rFonts w:hint="eastAsia"/>
          <w:color w:val="auto"/>
        </w:rPr>
        <w:t>为弥补“黑箱”缺陷，物理约束机器学习（如PINNs与混合模型）将守恒方程或物理残差引入损失函数，或嵌入到数值框架中作为加速模块。当前应用在河网水动力数值模拟方面的物理约束的机器学习模型大致可分为三种，一是直接在损失函数中嵌入浅水方程，如QI等</w:t>
      </w:r>
      <w:r>
        <w:rPr>
          <w:rFonts w:cs="Times New Roman"/>
          <w:color w:val="auto"/>
          <w:vertAlign w:val="superscript"/>
        </w:rPr>
        <w:t>[7</w:t>
      </w:r>
      <w:r>
        <w:rPr>
          <w:rFonts w:hint="eastAsia" w:cs="Times New Roman"/>
          <w:color w:val="auto"/>
          <w:vertAlign w:val="superscript"/>
        </w:rPr>
        <w:t>4</w:t>
      </w:r>
      <w:r>
        <w:rPr>
          <w:rFonts w:cs="Times New Roman"/>
          <w:color w:val="auto"/>
          <w:vertAlign w:val="superscript"/>
        </w:rPr>
        <w:t>]</w:t>
      </w:r>
      <w:r>
        <w:rPr>
          <w:rFonts w:hint="eastAsia"/>
          <w:color w:val="auto"/>
        </w:rPr>
        <w:t>开发了物理信息全连接神经网络（PIFCN）和物理信息卷积神经网络（PICN）两种无需标记数据的物理约束机器学习模型，通过将二维浅水方程、初始及边界条件嵌入损失函数来训练模型。二是引入地形、源项或多任务正则，如DAZZI等</w:t>
      </w:r>
      <w:r>
        <w:rPr>
          <w:rFonts w:cs="Times New Roman"/>
          <w:color w:val="auto"/>
          <w:vertAlign w:val="superscript"/>
        </w:rPr>
        <w:t>[7</w:t>
      </w:r>
      <w:r>
        <w:rPr>
          <w:rFonts w:hint="eastAsia" w:cs="Times New Roman"/>
          <w:color w:val="auto"/>
          <w:vertAlign w:val="superscript"/>
        </w:rPr>
        <w:t>5</w:t>
      </w:r>
      <w:r>
        <w:rPr>
          <w:rFonts w:cs="Times New Roman"/>
          <w:color w:val="auto"/>
          <w:vertAlign w:val="superscript"/>
        </w:rPr>
        <w:t>]</w:t>
      </w:r>
      <w:r>
        <w:rPr>
          <w:rFonts w:hint="eastAsia"/>
          <w:color w:val="auto"/>
        </w:rPr>
        <w:t>研究了将物理</w:t>
      </w:r>
      <w:r>
        <w:rPr>
          <w:rFonts w:hint="eastAsia"/>
          <w:color w:val="auto"/>
          <w:lang w:val="en-US" w:eastAsia="zh-CN"/>
        </w:rPr>
        <w:t>信息</w:t>
      </w:r>
      <w:r>
        <w:rPr>
          <w:rFonts w:hint="eastAsia"/>
          <w:color w:val="auto"/>
        </w:rPr>
        <w:t>神经网络（PINNs）应用于求解</w:t>
      </w:r>
      <w:bookmarkStart w:id="17" w:name="Bookmark18"/>
      <w:r>
        <w:rPr>
          <w:rFonts w:hint="eastAsia"/>
          <w:color w:val="auto"/>
        </w:rPr>
        <w:t>带</w:t>
      </w:r>
      <w:bookmarkEnd w:id="17"/>
      <w:r>
        <w:rPr>
          <w:rFonts w:hint="eastAsia"/>
          <w:color w:val="auto"/>
        </w:rPr>
        <w:t>地形的增广浅水方程，通过一维非平坦床面自由表面流案例测试，验证了其解的良好准确性，并指出</w:t>
      </w:r>
      <w:bookmarkStart w:id="18" w:name="Bookmark19"/>
      <w:r>
        <w:rPr>
          <w:rFonts w:hint="eastAsia"/>
          <w:color w:val="auto"/>
        </w:rPr>
        <w:t>求解</w:t>
      </w:r>
      <w:bookmarkEnd w:id="18"/>
      <w:r>
        <w:rPr>
          <w:rFonts w:hint="eastAsia"/>
          <w:color w:val="auto"/>
        </w:rPr>
        <w:t>该增广系统是处理非平坦地形的一种替代方法。三是数值格式与神经网络融合，如靳放等</w:t>
      </w:r>
      <w:r>
        <w:rPr>
          <w:rFonts w:cs="Times New Roman"/>
          <w:color w:val="auto"/>
          <w:vertAlign w:val="superscript"/>
        </w:rPr>
        <w:t>[7</w:t>
      </w:r>
      <w:r>
        <w:rPr>
          <w:rFonts w:hint="eastAsia" w:cs="Times New Roman"/>
          <w:color w:val="auto"/>
          <w:vertAlign w:val="superscript"/>
        </w:rPr>
        <w:t>6</w:t>
      </w:r>
      <w:r>
        <w:rPr>
          <w:rFonts w:cs="Times New Roman"/>
          <w:color w:val="auto"/>
          <w:vertAlign w:val="superscript"/>
        </w:rPr>
        <w:t>]</w:t>
      </w:r>
      <w:r>
        <w:rPr>
          <w:rFonts w:hint="eastAsia"/>
          <w:color w:val="auto"/>
        </w:rPr>
        <w:t>基于PINN反问题框架构建包含两个并行神经网络的新网络，在损失函数中引入权重系数，利用已知速度数据求解未知水深，并通过一维和二维数值算例验证了该网络用于浅水波方程求解的可行性，且能较精确推算水深。此类方法既能维持物理一致性，又能在摩阻率</w:t>
      </w:r>
      <w:bookmarkStart w:id="19" w:name="Bookmark20"/>
      <w:r>
        <w:rPr>
          <w:rFonts w:hint="eastAsia"/>
          <w:color w:val="auto"/>
        </w:rPr>
        <w:t>定</w:t>
      </w:r>
      <w:bookmarkEnd w:id="19"/>
      <w:r>
        <w:rPr>
          <w:rFonts w:hint="eastAsia"/>
          <w:color w:val="auto"/>
        </w:rPr>
        <w:t>、湍流参数化及源项近似等方面大幅降低计算成本，但其对算力和数据依赖较高，且在复杂多尺度、多物理耦合问题中的收敛性和稳定性仍</w:t>
      </w:r>
      <w:r>
        <w:rPr>
          <w:rFonts w:hint="eastAsia"/>
          <w:color w:val="auto"/>
          <w:lang w:eastAsia="zh-CN"/>
        </w:rPr>
        <w:t>存在</w:t>
      </w:r>
      <w:r>
        <w:rPr>
          <w:rFonts w:hint="eastAsia"/>
          <w:color w:val="auto"/>
        </w:rPr>
        <w:t>挑战。</w:t>
      </w:r>
    </w:p>
    <w:p w14:paraId="67ADB160">
      <w:pPr>
        <w:ind w:firstLine="420"/>
        <w:rPr>
          <w:color w:val="auto"/>
        </w:rPr>
      </w:pPr>
      <w:r>
        <w:rPr>
          <w:rFonts w:hint="eastAsia"/>
          <w:color w:val="auto"/>
        </w:rPr>
        <w:t>尽管物理约束神经网络在浅水方程求解中展现出较强的可微分性与无网格特征，但其在河网水动力复杂工况下仍面临显著局限。特别是，当涉及闸门开合、泵站调度、强非线性摩阻项（如曼宁公式）及复杂边界耦合时，PINNs的损失函数难以兼顾方程残差与边界约束，导致训练收敛缓慢或出现物理偏差。为应对这一问题，近期研究提出了多种改进思路，如KHARAZMI等</w:t>
      </w:r>
      <w:r>
        <w:rPr>
          <w:rFonts w:cs="Times New Roman"/>
          <w:color w:val="auto"/>
          <w:vertAlign w:val="superscript"/>
        </w:rPr>
        <w:t>[7</w:t>
      </w:r>
      <w:r>
        <w:rPr>
          <w:rFonts w:hint="eastAsia" w:cs="Times New Roman"/>
          <w:color w:val="auto"/>
          <w:vertAlign w:val="superscript"/>
        </w:rPr>
        <w:t>7</w:t>
      </w:r>
      <w:r>
        <w:rPr>
          <w:rFonts w:cs="Times New Roman"/>
          <w:color w:val="auto"/>
          <w:vertAlign w:val="superscript"/>
        </w:rPr>
        <w:t>]</w:t>
      </w:r>
      <w:r>
        <w:rPr>
          <w:rFonts w:hint="eastAsia"/>
          <w:color w:val="auto"/>
        </w:rPr>
        <w:t>提出的hp-VPINN框架通过结合弱式变分求解与hp域分解，将高阶多项式投影与局部化学习相结合，有效提高了PINNs在复杂边界与源项下的收敛效率与计算稳定性；JAGTAP等</w:t>
      </w:r>
      <w:r>
        <w:rPr>
          <w:rFonts w:cs="Times New Roman"/>
          <w:color w:val="auto"/>
          <w:vertAlign w:val="superscript"/>
        </w:rPr>
        <w:t>[</w:t>
      </w:r>
      <w:r>
        <w:rPr>
          <w:rFonts w:hint="eastAsia" w:cs="Times New Roman"/>
          <w:color w:val="auto"/>
          <w:vertAlign w:val="superscript"/>
        </w:rPr>
        <w:t>78</w:t>
      </w:r>
      <w:r>
        <w:rPr>
          <w:rFonts w:cs="Times New Roman"/>
          <w:color w:val="auto"/>
          <w:vertAlign w:val="superscript"/>
        </w:rPr>
        <w:t>]</w:t>
      </w:r>
      <w:r>
        <w:rPr>
          <w:rFonts w:hint="eastAsia"/>
          <w:color w:val="auto"/>
        </w:rPr>
        <w:t>提出的XPINN框架通过在空间与时间上进行域分解并引入子网络接口连续约束，有效提升了PINNs在复杂边界与非线性方程下的收敛性与计算效率。</w:t>
      </w:r>
    </w:p>
    <w:p w14:paraId="189F6F99">
      <w:pPr>
        <w:ind w:firstLine="420"/>
        <w:rPr>
          <w:color w:val="auto"/>
        </w:rPr>
      </w:pPr>
      <w:r>
        <w:rPr>
          <w:rFonts w:hint="eastAsia"/>
          <w:color w:val="auto"/>
        </w:rPr>
        <w:t>人工智能为河网水动力模拟提供了新的机遇，不仅能显著提升计算速度和实时性，还能增强对复杂工况与非结构化数据的适应性。但其在物理可解释性、对高质量数据的依赖、跨区域与极端情境下的泛化能力等方面仍存在不足。</w:t>
      </w:r>
    </w:p>
    <w:p w14:paraId="090F9765">
      <w:pPr>
        <w:pStyle w:val="2"/>
        <w:rPr>
          <w:color w:val="auto"/>
        </w:rPr>
      </w:pPr>
      <w:r>
        <w:rPr>
          <w:rFonts w:hint="eastAsia"/>
          <w:color w:val="auto"/>
        </w:rPr>
        <w:t>4未来展望</w:t>
      </w:r>
    </w:p>
    <w:p w14:paraId="43F427BF">
      <w:pPr>
        <w:pStyle w:val="4"/>
        <w:rPr>
          <w:color w:val="auto"/>
        </w:rPr>
      </w:pPr>
      <w:r>
        <w:rPr>
          <w:rFonts w:hint="eastAsia"/>
          <w:color w:val="auto"/>
        </w:rPr>
        <w:t>4.1 发展复杂拓扑自适应离散与高效参数反演的传统方法新框架</w:t>
      </w:r>
    </w:p>
    <w:p w14:paraId="78314A38">
      <w:pPr>
        <w:ind w:firstLine="420"/>
        <w:rPr>
          <w:color w:val="auto"/>
        </w:rPr>
      </w:pPr>
      <w:r>
        <w:rPr>
          <w:rFonts w:hint="eastAsia"/>
          <w:color w:val="auto"/>
        </w:rPr>
        <w:t>传统数值方法在应对包含密集汊点、环路及复杂水工结构的河网时，其网格生成、离散策略与参数率定仍面临挑战。未来研究可致力于发展拓扑自适应的离散方法，利用非结构网格、移动网格等技术动态契合河网连通性的变化，并设计能</w:t>
      </w:r>
      <w:bookmarkStart w:id="20" w:name="Bookmark14"/>
      <w:r>
        <w:rPr>
          <w:rFonts w:hint="eastAsia"/>
          <w:color w:val="auto"/>
        </w:rPr>
        <w:t>天然嵌入</w:t>
      </w:r>
      <w:bookmarkEnd w:id="20"/>
      <w:r>
        <w:rPr>
          <w:rFonts w:hint="eastAsia"/>
          <w:color w:val="auto"/>
        </w:rPr>
        <w:t>汊点连接条件的通用离散格式。同时，需突破传统试错率定模式的局限，大力发展基于伴随方程、变分同化等数学物理反演理论的高效全局参数优化方法，实现对于曼宁糙率等关键物理参数在时空分布上的客观、精准识别。此举旨在提升传统方法自身在复杂水网中的适用性与可靠性，为与AI技术的深度融合奠定坚实的物理基础。</w:t>
      </w:r>
    </w:p>
    <w:p w14:paraId="5F9A5A91">
      <w:pPr>
        <w:pStyle w:val="4"/>
        <w:rPr>
          <w:color w:val="auto"/>
        </w:rPr>
      </w:pPr>
      <w:r>
        <w:rPr>
          <w:rFonts w:hint="eastAsia"/>
          <w:color w:val="auto"/>
        </w:rPr>
        <w:t>4.2 汊点-河道解耦求解与灵活重组机制研究</w:t>
      </w:r>
    </w:p>
    <w:p w14:paraId="0D899DBC">
      <w:pPr>
        <w:ind w:firstLine="420"/>
        <w:rPr>
          <w:color w:val="auto"/>
        </w:rPr>
      </w:pPr>
      <w:r>
        <w:rPr>
          <w:rFonts w:hint="eastAsia"/>
          <w:color w:val="auto"/>
        </w:rPr>
        <w:t>截至目前大部分河网水动力数值模型整体性较强，在河道求解和汊点求解等环节使用的方法较为单一，这在一定程度上限制了模型的灵活性与计算效率。事实上，许多将汊点求解与河道求解进行了高度解耦的方法已经发展得较为成熟，未来研究可以致力于对其进行系统性梳理与重组优化。重点在于将不同的汊点处理模块与多样的河道数值求解器进行灵活组合与性能评估，构建一套模块化的解耦集成框架。通过研究重组方案的稳定性控制与效率提升策略，最终形成基于性能图谱的决策支持工具，为针对特定河网与情景定制高效、稳健的模拟方案提供实用参考。</w:t>
      </w:r>
    </w:p>
    <w:p w14:paraId="200E6854">
      <w:pPr>
        <w:pStyle w:val="4"/>
        <w:rPr>
          <w:color w:val="auto"/>
        </w:rPr>
      </w:pPr>
      <w:r>
        <w:rPr>
          <w:rFonts w:hint="eastAsia"/>
          <w:color w:val="auto"/>
        </w:rPr>
        <w:t>4.3 基于人工智能的模型选择与适配决策系统</w:t>
      </w:r>
    </w:p>
    <w:p w14:paraId="146BB3BB">
      <w:pPr>
        <w:ind w:firstLine="420"/>
        <w:rPr>
          <w:color w:val="auto"/>
        </w:rPr>
      </w:pPr>
      <w:r>
        <w:rPr>
          <w:rFonts w:hint="eastAsia"/>
          <w:color w:val="auto"/>
        </w:rPr>
        <w:t>针对不同河网形态、流态机制与计算目标对数值方法的特定需求，当前依赖专家经验的模型选型方式存在效率低且主观性强的问题。未来可以构建以数据驱动为核心的智能化模型选择系统，其实现路径包括建立覆盖多类河网结构及水文情景的高保真模拟案例库，系统提取如拓扑复杂性、干湿动态变化与流速分布等特征，并对有限差分、有限体积、有限元及人工智能等不同方法在计算效率、守恒性与稳定性等方面的表现进行定量评估；进而基于图神经网络或梯度提升决策树等机器学习算法，训练能够根据任务特征自动推荐最优数值方法的分类与推荐模型，从而在应对多样化的河网模拟任务时实现精度、效率与鲁棒性的协同优化。</w:t>
      </w:r>
    </w:p>
    <w:p w14:paraId="451BE00E">
      <w:pPr>
        <w:pStyle w:val="4"/>
        <w:rPr>
          <w:color w:val="auto"/>
        </w:rPr>
      </w:pPr>
      <w:r>
        <w:rPr>
          <w:rFonts w:hint="eastAsia"/>
          <w:color w:val="auto"/>
        </w:rPr>
        <w:t>4.4 发展面向复杂河网拓扑结构的智能建模新范式</w:t>
      </w:r>
    </w:p>
    <w:p w14:paraId="53F49077">
      <w:pPr>
        <w:ind w:firstLine="420"/>
        <w:rPr>
          <w:color w:val="auto"/>
        </w:rPr>
      </w:pPr>
      <w:r>
        <w:rPr>
          <w:rFonts w:hint="eastAsia"/>
          <w:color w:val="auto"/>
        </w:rPr>
        <w:t>当前人工智能在河网水动力模拟中的应用多局限于单一河道或简化场景，面对具有复杂拓扑结构（如密集汊点、环路及闸坝群）的河网，智能建模研究仍处于初步阶段。主流机器学习模型难以有效表达河网的非欧几里得结构及水力耦合关系，未来可以发展一种融合拓扑感知、物理约束与机理建模的新范式。可以构建基于图神经网络（GNN）的河网模型，以图结构显式表达河网拓扑，并嵌入物理约束形成物理信息图神经网络，同时探索“全局代理-局部机理”混合建模方式。还可以建立河网拓扑预训练与迁移学习机制，提升模型泛化能力。该范式有望从根本上解决复杂水网“建模难、计算慢”问题，为水网数字孪生系统提供核心智能引擎，推动模拟范式转型。</w:t>
      </w:r>
    </w:p>
    <w:p w14:paraId="25F83905">
      <w:pPr>
        <w:pStyle w:val="4"/>
        <w:rPr>
          <w:color w:val="auto"/>
        </w:rPr>
      </w:pPr>
      <w:r>
        <w:rPr>
          <w:rFonts w:hint="eastAsia"/>
          <w:color w:val="auto"/>
        </w:rPr>
        <w:t>4.5 面向河网拓扑结构的高效并行计算框架</w:t>
      </w:r>
    </w:p>
    <w:p w14:paraId="122CA046">
      <w:pPr>
        <w:ind w:firstLine="420"/>
        <w:rPr>
          <w:color w:val="auto"/>
        </w:rPr>
      </w:pPr>
      <w:r>
        <w:rPr>
          <w:rFonts w:hint="eastAsia"/>
          <w:color w:val="auto"/>
        </w:rPr>
        <w:t>现有的并行加速策略大多依赖通用计算库（如MPI/OpenMP），尚未充分考虑河网自身所具有的拓扑特性。未来可以致力于开发与河网图结构及层次特征深度融合的专用并行框架，重点包括设计基于河道-汊点-计算单元三级统一编码的新型数据结构，通过将计算变量整合至一维数组以显著提升内存访问效率与数据局部性；依据河网连通性实施动态负载均衡划分，减少进程间同步开销，增强GPU等加速设备的利用效率；并推进河网拓扑结构与异构计算架构（CPU+GPU+AI加速器）的协同融合，实现从传统数值计算到嵌入式AI推理的全流程计算加速。</w:t>
      </w:r>
    </w:p>
    <w:p w14:paraId="5FC1D0CD">
      <w:pPr>
        <w:pStyle w:val="4"/>
        <w:rPr>
          <w:color w:val="auto"/>
        </w:rPr>
      </w:pPr>
      <w:r>
        <w:rPr>
          <w:rFonts w:hint="eastAsia"/>
          <w:color w:val="auto"/>
        </w:rPr>
        <w:t>4.6 开源化、模块化与协同化模拟平台的构建</w:t>
      </w:r>
    </w:p>
    <w:p w14:paraId="1CCB3D9A">
      <w:pPr>
        <w:pStyle w:val="7"/>
        <w:ind w:firstLine="420"/>
        <w:rPr>
          <w:color w:val="auto"/>
        </w:rPr>
      </w:pPr>
      <w:r>
        <w:rPr>
          <w:rFonts w:hint="eastAsia"/>
          <w:color w:val="auto"/>
        </w:rPr>
        <w:t>目前主流商业软件通常内置固定数值方法，扩展性较差，严重限制了方法的创新与比较验证。未来可以大力推进开源、模块化河网模拟平台的研发，通过标准化接口封装各类数值方法、汊点处理机制、AI功能模块及并行计算策略，支持用户根据实际需求灵活组合与替换不同组件。同时，应构建社区共同维护的案例库、基准测试标准及协同开发环境，推动模拟方法的可重现性、透明度与持续发展；并积极引入云原生模拟与Web可视化技术，显著降低高性能数值模拟的应用门槛，为防洪调度、水资源管理等决策支持系统提供易于部署和访问的先进模拟工具。</w:t>
      </w:r>
    </w:p>
    <w:p w14:paraId="7466C5CA">
      <w:pPr>
        <w:pStyle w:val="2"/>
        <w:rPr>
          <w:color w:val="auto"/>
        </w:rPr>
      </w:pPr>
      <w:r>
        <w:rPr>
          <w:rFonts w:hint="eastAsia"/>
          <w:color w:val="auto"/>
        </w:rPr>
        <w:t>参考文献：</w:t>
      </w:r>
    </w:p>
    <w:p w14:paraId="742A3609">
      <w:pPr>
        <w:ind w:left="180" w:hanging="180" w:hangingChars="120"/>
        <w:rPr>
          <w:color w:val="auto"/>
          <w:sz w:val="15"/>
          <w:szCs w:val="15"/>
        </w:rPr>
      </w:pPr>
      <w:r>
        <w:rPr>
          <w:rFonts w:hint="eastAsia"/>
          <w:color w:val="auto"/>
          <w:sz w:val="15"/>
          <w:szCs w:val="15"/>
        </w:rPr>
        <w:t>[1] 胡庆芳, 张根瑞, 方琼, 等. 联合国世界水发展报告述评[J]. 水利水运工程学报, 2025(3): 1-13.</w:t>
      </w:r>
      <w:r>
        <w:rPr>
          <w:rFonts w:hint="eastAsia"/>
          <w:color w:val="auto"/>
          <w:sz w:val="15"/>
          <w:szCs w:val="15"/>
        </w:rPr>
        <w:br w:type="textWrapping"/>
      </w:r>
      <w:r>
        <w:rPr>
          <w:rFonts w:hint="eastAsia"/>
          <w:color w:val="auto"/>
          <w:sz w:val="15"/>
          <w:szCs w:val="15"/>
        </w:rPr>
        <w:t xml:space="preserve">HU Q F, ZHANG G R, FANG Q, et al. A review of the United Nations world water development report[J]. Hydro-Science and Engineering, 2025(3): 1-13. </w:t>
      </w:r>
    </w:p>
    <w:p w14:paraId="4AFAB058">
      <w:pPr>
        <w:ind w:left="180" w:hanging="180" w:hangingChars="120"/>
        <w:rPr>
          <w:color w:val="auto"/>
          <w:sz w:val="15"/>
          <w:szCs w:val="15"/>
        </w:rPr>
      </w:pPr>
      <w:r>
        <w:rPr>
          <w:color w:val="auto"/>
          <w:sz w:val="15"/>
          <w:szCs w:val="15"/>
        </w:rPr>
        <w:t>[2] GAO Y. China’s response to climate change issues after Paris Climate Change Conference[J]. Advances in Climate Change Research, 2016, 7(4): 235-240.</w:t>
      </w:r>
    </w:p>
    <w:p w14:paraId="324FF1CB">
      <w:pPr>
        <w:ind w:left="180" w:hanging="180" w:hangingChars="120"/>
        <w:rPr>
          <w:color w:val="auto"/>
          <w:sz w:val="15"/>
          <w:szCs w:val="15"/>
        </w:rPr>
      </w:pPr>
      <w:r>
        <w:rPr>
          <w:rFonts w:hint="eastAsia"/>
          <w:color w:val="auto"/>
          <w:sz w:val="15"/>
          <w:szCs w:val="15"/>
        </w:rPr>
        <w:t>[3] 周彪, 温姗姗, 蒋富霜, 等. 1961—2020年珠江流域极端气温和降水复合事件的时空演变特征分析[J]. 水利水电技术</w:t>
      </w:r>
      <w:bookmarkStart w:id="21" w:name="Bookmark25"/>
      <w:r>
        <w:rPr>
          <w:rFonts w:hint="eastAsia"/>
          <w:color w:val="auto"/>
          <w:sz w:val="15"/>
          <w:szCs w:val="15"/>
        </w:rPr>
        <w:t>(</w:t>
      </w:r>
      <w:bookmarkEnd w:id="21"/>
      <w:r>
        <w:rPr>
          <w:rFonts w:hint="eastAsia"/>
          <w:color w:val="auto"/>
          <w:sz w:val="15"/>
          <w:szCs w:val="15"/>
        </w:rPr>
        <w:t>中英文</w:t>
      </w:r>
      <w:bookmarkStart w:id="22" w:name="Bookmark26"/>
      <w:r>
        <w:rPr>
          <w:rFonts w:hint="eastAsia"/>
          <w:color w:val="auto"/>
          <w:sz w:val="15"/>
          <w:szCs w:val="15"/>
        </w:rPr>
        <w:t>)</w:t>
      </w:r>
      <w:bookmarkEnd w:id="22"/>
      <w:r>
        <w:rPr>
          <w:rFonts w:hint="eastAsia"/>
          <w:color w:val="auto"/>
          <w:sz w:val="15"/>
          <w:szCs w:val="15"/>
        </w:rPr>
        <w:t>, 2025, 56(8): 1-18.</w:t>
      </w:r>
      <w:r>
        <w:rPr>
          <w:rFonts w:hint="eastAsia"/>
          <w:color w:val="auto"/>
          <w:sz w:val="15"/>
          <w:szCs w:val="15"/>
        </w:rPr>
        <w:br w:type="textWrapping"/>
      </w:r>
      <w:r>
        <w:rPr>
          <w:rFonts w:hint="eastAsia"/>
          <w:color w:val="auto"/>
          <w:sz w:val="15"/>
          <w:szCs w:val="15"/>
        </w:rPr>
        <w:t xml:space="preserve">ZHOU B, WEN S S, JIANG F S, et al. Spatiotemporal variations of compound extreme temperature and precipitation events in Pearl River Basin from 1961 to 2020[J]. Water Resources and Hydropower Engineering, 2025, 56(8): 1-18. </w:t>
      </w:r>
    </w:p>
    <w:p w14:paraId="674867E1">
      <w:pPr>
        <w:ind w:left="180" w:hanging="180" w:hangingChars="120"/>
        <w:rPr>
          <w:rFonts w:hint="eastAsia"/>
          <w:color w:val="auto"/>
          <w:sz w:val="15"/>
          <w:szCs w:val="15"/>
        </w:rPr>
      </w:pPr>
      <w:r>
        <w:rPr>
          <w:color w:val="auto"/>
          <w:sz w:val="15"/>
          <w:szCs w:val="15"/>
        </w:rPr>
        <w:t xml:space="preserve">[4] </w:t>
      </w:r>
      <w:r>
        <w:rPr>
          <w:rFonts w:hint="eastAsia"/>
          <w:color w:val="auto"/>
          <w:sz w:val="15"/>
          <w:szCs w:val="15"/>
        </w:rPr>
        <w:t xml:space="preserve">王慧杰, 逯家宝, 周君, 等. 1961—2014年中国洪水-热浪复合极端事件特征的时空演变规律[J]. 水利水电技术（中英文）, 2025, 56(6): 13-25. </w:t>
      </w:r>
    </w:p>
    <w:p w14:paraId="6F3C50D5">
      <w:pPr>
        <w:keepNext w:val="0"/>
        <w:keepLines w:val="0"/>
        <w:pageBreakBefore w:val="0"/>
        <w:widowControl w:val="0"/>
        <w:kinsoku/>
        <w:wordWrap/>
        <w:overflowPunct/>
        <w:topLinePunct w:val="0"/>
        <w:autoSpaceDE/>
        <w:autoSpaceDN/>
        <w:bidi w:val="0"/>
        <w:adjustRightInd/>
        <w:snapToGrid/>
        <w:ind w:left="179" w:leftChars="71" w:hanging="30" w:hangingChars="20"/>
        <w:textAlignment w:val="auto"/>
        <w:rPr>
          <w:rFonts w:hint="eastAsia"/>
          <w:color w:val="auto"/>
          <w:sz w:val="15"/>
          <w:szCs w:val="15"/>
        </w:rPr>
      </w:pPr>
      <w:r>
        <w:rPr>
          <w:rFonts w:hint="eastAsia"/>
          <w:color w:val="auto"/>
          <w:sz w:val="15"/>
          <w:szCs w:val="15"/>
        </w:rPr>
        <w:t>WANG Huijie,LU Jiabao,ZHOU Jun,et al. Spatiotemporal evolution patterns of successive flood-heat extreme events in China from 1961 to 2014[J]. Water Resources and Hydropower Engineering,2025,56( 6) : 13-25.</w:t>
      </w:r>
    </w:p>
    <w:p w14:paraId="383E63BE">
      <w:pPr>
        <w:ind w:left="180" w:hanging="180" w:hangingChars="120"/>
        <w:rPr>
          <w:color w:val="auto"/>
          <w:sz w:val="15"/>
          <w:szCs w:val="15"/>
        </w:rPr>
      </w:pPr>
      <w:r>
        <w:rPr>
          <w:rFonts w:hint="eastAsia"/>
          <w:color w:val="auto"/>
          <w:sz w:val="15"/>
          <w:szCs w:val="15"/>
        </w:rPr>
        <w:t xml:space="preserve">[5] 尚子琦, 王树芳, 吴芮欣, 等. </w:t>
      </w:r>
      <w:r>
        <w:rPr>
          <w:rFonts w:hint="eastAsia"/>
          <w:color w:val="auto"/>
          <w:sz w:val="15"/>
          <w:szCs w:val="15"/>
        </w:rPr>
        <w:t>极端降水引发地下水位上升对城市韧性的影响: 以北京为例</w:t>
      </w:r>
      <w:r>
        <w:rPr>
          <w:rFonts w:hint="eastAsia"/>
          <w:color w:val="auto"/>
          <w:sz w:val="15"/>
          <w:szCs w:val="15"/>
        </w:rPr>
        <w:t>[J/OL]. 水利水电技术(中英文), 2025: 1-22. (2025-07-01).</w:t>
      </w:r>
      <w:r>
        <w:rPr>
          <w:color w:val="auto"/>
        </w:rPr>
        <w:t xml:space="preserve"> </w:t>
      </w:r>
      <w:r>
        <w:rPr>
          <w:color w:val="auto"/>
          <w:sz w:val="15"/>
          <w:szCs w:val="15"/>
        </w:rPr>
        <w:t>https://link.cnki.net/urlid/10.1746.TV.20250701.1313.008.</w:t>
      </w:r>
      <w:r>
        <w:rPr>
          <w:rFonts w:hint="eastAsia"/>
          <w:color w:val="auto"/>
          <w:sz w:val="15"/>
          <w:szCs w:val="15"/>
        </w:rPr>
        <w:br w:type="textWrapping"/>
      </w:r>
      <w:r>
        <w:rPr>
          <w:rFonts w:hint="eastAsia"/>
          <w:color w:val="auto"/>
          <w:sz w:val="15"/>
          <w:szCs w:val="15"/>
        </w:rPr>
        <w:t>SHANG Z Q, WANG S F, WU R X, et al. Impact of extreme precipitation-induced groundwater level rise on urban resilience: A case study of Beijing[J/OL]. Water Resources and Hydropower Engineering, 2025: 1-22. (2025-07-01). https://link.cnki.net/urlid/10.1746.TV.20250701.1313.008.</w:t>
      </w:r>
    </w:p>
    <w:p w14:paraId="20DCFDC6">
      <w:pPr>
        <w:ind w:left="180" w:hanging="180" w:hangingChars="120"/>
        <w:rPr>
          <w:color w:val="auto"/>
          <w:sz w:val="15"/>
          <w:szCs w:val="15"/>
        </w:rPr>
      </w:pPr>
      <w:r>
        <w:rPr>
          <w:color w:val="auto"/>
          <w:sz w:val="15"/>
          <w:szCs w:val="15"/>
        </w:rPr>
        <w:t>[6] 中共中央</w:t>
      </w:r>
      <w:bookmarkStart w:id="23" w:name="Bookmark21"/>
      <w:r>
        <w:rPr>
          <w:color w:val="auto"/>
          <w:sz w:val="15"/>
          <w:szCs w:val="15"/>
        </w:rPr>
        <w:t xml:space="preserve"> </w:t>
      </w:r>
      <w:bookmarkEnd w:id="23"/>
      <w:r>
        <w:rPr>
          <w:color w:val="auto"/>
          <w:sz w:val="15"/>
          <w:szCs w:val="15"/>
        </w:rPr>
        <w:t>国务院. 国家水网建设规划纲要[</w:t>
      </w:r>
      <w:r>
        <w:rPr>
          <w:rFonts w:hint="eastAsia"/>
          <w:color w:val="auto"/>
          <w:sz w:val="15"/>
          <w:szCs w:val="15"/>
          <w:lang w:val="en-US" w:eastAsia="zh-CN"/>
        </w:rPr>
        <w:t>EB/OL</w:t>
      </w:r>
      <w:r>
        <w:rPr>
          <w:color w:val="auto"/>
          <w:sz w:val="15"/>
          <w:szCs w:val="15"/>
        </w:rPr>
        <w:t>]. 北京：</w:t>
      </w:r>
      <w:r>
        <w:rPr>
          <w:rFonts w:hint="eastAsia"/>
          <w:color w:val="auto"/>
          <w:sz w:val="15"/>
          <w:szCs w:val="15"/>
          <w:lang w:val="en-US" w:eastAsia="zh-CN"/>
        </w:rPr>
        <w:t>新华社</w:t>
      </w:r>
      <w:r>
        <w:rPr>
          <w:color w:val="auto"/>
          <w:sz w:val="15"/>
          <w:szCs w:val="15"/>
        </w:rPr>
        <w:t>，</w:t>
      </w:r>
      <w:r>
        <w:rPr>
          <w:rFonts w:hint="eastAsia"/>
          <w:color w:val="auto"/>
          <w:sz w:val="15"/>
          <w:szCs w:val="15"/>
          <w:lang w:eastAsia="zh-CN"/>
        </w:rPr>
        <w:t>（</w:t>
      </w:r>
      <w:r>
        <w:rPr>
          <w:color w:val="auto"/>
          <w:sz w:val="15"/>
          <w:szCs w:val="15"/>
        </w:rPr>
        <w:t>2023</w:t>
      </w:r>
      <w:r>
        <w:rPr>
          <w:rFonts w:hint="eastAsia"/>
          <w:color w:val="auto"/>
          <w:sz w:val="15"/>
          <w:szCs w:val="15"/>
          <w:lang w:val="en-US" w:eastAsia="zh-CN"/>
        </w:rPr>
        <w:t>-05-25）[2025-10-01]</w:t>
      </w:r>
      <w:r>
        <w:rPr>
          <w:color w:val="auto"/>
          <w:sz w:val="15"/>
          <w:szCs w:val="15"/>
        </w:rPr>
        <w:t>.</w:t>
      </w:r>
      <w:r>
        <w:rPr>
          <w:rFonts w:hint="eastAsia"/>
          <w:color w:val="auto"/>
          <w:sz w:val="15"/>
          <w:szCs w:val="15"/>
          <w:lang w:val="en-US" w:eastAsia="zh-CN"/>
        </w:rPr>
        <w:t xml:space="preserve"> </w:t>
      </w:r>
      <w:r>
        <w:rPr>
          <w:rFonts w:hint="eastAsia"/>
          <w:color w:val="auto"/>
          <w:sz w:val="15"/>
          <w:szCs w:val="15"/>
        </w:rPr>
        <w:t>https://www.gov.cn/zhengce/202305/content_6876214.htm</w:t>
      </w:r>
      <w:r>
        <w:rPr>
          <w:color w:val="auto"/>
          <w:sz w:val="15"/>
          <w:szCs w:val="15"/>
        </w:rPr>
        <w:br w:type="textWrapping"/>
      </w:r>
      <w:r>
        <w:rPr>
          <w:rFonts w:hint="eastAsia"/>
          <w:color w:val="auto"/>
          <w:sz w:val="15"/>
          <w:szCs w:val="15"/>
        </w:rPr>
        <w:t>T</w:t>
      </w:r>
      <w:r>
        <w:rPr>
          <w:color w:val="auto"/>
          <w:sz w:val="15"/>
          <w:szCs w:val="15"/>
        </w:rPr>
        <w:t>he Central Committee of the Communist Party of China</w:t>
      </w:r>
      <w:r>
        <w:rPr>
          <w:rFonts w:hint="eastAsia"/>
          <w:color w:val="auto"/>
          <w:sz w:val="15"/>
          <w:szCs w:val="15"/>
        </w:rPr>
        <w:t xml:space="preserve"> and The State Council. Outline of the National Water Network Construction Plan[</w:t>
      </w:r>
      <w:r>
        <w:rPr>
          <w:rFonts w:hint="eastAsia"/>
          <w:color w:val="auto"/>
          <w:sz w:val="15"/>
          <w:szCs w:val="15"/>
          <w:lang w:val="en-US" w:eastAsia="zh-CN"/>
        </w:rPr>
        <w:t>EB/OL</w:t>
      </w:r>
      <w:r>
        <w:rPr>
          <w:rFonts w:hint="eastAsia"/>
          <w:color w:val="auto"/>
          <w:sz w:val="15"/>
          <w:szCs w:val="15"/>
        </w:rPr>
        <w:t>]. Beijing: Xinhua News Agency, （2023-05-25）[2025-10-01]. https://www.gov.cn/zhengce/202305/content_6876214.htm</w:t>
      </w:r>
    </w:p>
    <w:p w14:paraId="41670B28">
      <w:pPr>
        <w:ind w:left="180" w:hanging="180" w:hangingChars="120"/>
        <w:rPr>
          <w:color w:val="auto"/>
          <w:sz w:val="15"/>
          <w:szCs w:val="15"/>
        </w:rPr>
      </w:pPr>
      <w:r>
        <w:rPr>
          <w:color w:val="auto"/>
          <w:sz w:val="15"/>
          <w:szCs w:val="15"/>
        </w:rPr>
        <w:t>[7] HAGER W H, CASTRO-ORGAZ O, HUTTER K. Correspondence between de Saint-Venant and Boussinesq. 1: Birth of the Shallow–Water Equations[J]. Comptes Rendus. Mécanique, 2019, 347(9): 632-662.</w:t>
      </w:r>
    </w:p>
    <w:p w14:paraId="43C72E7B">
      <w:pPr>
        <w:ind w:left="180" w:hanging="180" w:hangingChars="120"/>
        <w:rPr>
          <w:color w:val="auto"/>
          <w:sz w:val="15"/>
          <w:szCs w:val="15"/>
        </w:rPr>
      </w:pPr>
      <w:r>
        <w:rPr>
          <w:rFonts w:hint="eastAsia"/>
          <w:color w:val="auto"/>
          <w:sz w:val="15"/>
          <w:szCs w:val="15"/>
        </w:rPr>
        <w:t xml:space="preserve">[8] CASTRO-ORGAZ O, HAGER W H. Shallow Water Hydraulics[M]. Cham: Springer International Publishing, 2019. </w:t>
      </w:r>
    </w:p>
    <w:p w14:paraId="37582AAE">
      <w:pPr>
        <w:ind w:left="180" w:hanging="180" w:hangingChars="120"/>
        <w:rPr>
          <w:color w:val="auto"/>
          <w:sz w:val="15"/>
          <w:szCs w:val="15"/>
        </w:rPr>
      </w:pPr>
      <w:r>
        <w:rPr>
          <w:rFonts w:hint="eastAsia"/>
          <w:color w:val="auto"/>
          <w:sz w:val="15"/>
          <w:szCs w:val="15"/>
        </w:rPr>
        <w:t xml:space="preserve">[9] CHALFEN M, NIEMIEC A. Analytical and numerical solution of Saint-Venant equations[J]. Journal of Hydrology, 1986, 86(1/2): 1-13. </w:t>
      </w:r>
    </w:p>
    <w:p w14:paraId="4602222A">
      <w:pPr>
        <w:ind w:left="180" w:hanging="180" w:hangingChars="120"/>
        <w:rPr>
          <w:color w:val="auto"/>
          <w:sz w:val="15"/>
          <w:szCs w:val="15"/>
        </w:rPr>
      </w:pPr>
      <w:r>
        <w:rPr>
          <w:rFonts w:hint="eastAsia"/>
          <w:color w:val="auto"/>
          <w:sz w:val="15"/>
          <w:szCs w:val="15"/>
        </w:rPr>
        <w:t xml:space="preserve">[10] STOKER J J. Numerical solution of flood wave and river regulation problems[J]. Proceedings of the American Philosophical Society, 1959, 103(4): 548-553. </w:t>
      </w:r>
    </w:p>
    <w:p w14:paraId="74B9F5E8">
      <w:pPr>
        <w:ind w:left="180" w:hanging="180" w:hangingChars="120"/>
        <w:rPr>
          <w:color w:val="auto"/>
          <w:sz w:val="15"/>
          <w:szCs w:val="15"/>
        </w:rPr>
      </w:pPr>
      <w:r>
        <w:rPr>
          <w:color w:val="auto"/>
          <w:sz w:val="15"/>
          <w:szCs w:val="15"/>
        </w:rPr>
        <w:t>[11] SULISTYONO B A, WIDODO S. Preissmann four-point methods for solution of simplified saint-venant equations applied to flood routing in prismatic open channels[J]. Science and Technology Indonesia, 2024, 9(1): 183-188.</w:t>
      </w:r>
    </w:p>
    <w:p w14:paraId="594E2BD1">
      <w:pPr>
        <w:ind w:left="180" w:hanging="180" w:hangingChars="120"/>
        <w:rPr>
          <w:color w:val="auto"/>
          <w:sz w:val="15"/>
          <w:szCs w:val="15"/>
        </w:rPr>
      </w:pPr>
      <w:r>
        <w:rPr>
          <w:rFonts w:hint="eastAsia"/>
          <w:color w:val="auto"/>
          <w:sz w:val="15"/>
          <w:szCs w:val="15"/>
        </w:rPr>
        <w:t xml:space="preserve">[12] ABBOTT M B, IONESCU F. On the numerical computation of nearly horizontal flows[J]. Journal of Hydraulic Research, 1967, 5(2): 97-117. </w:t>
      </w:r>
    </w:p>
    <w:p w14:paraId="627DD96B">
      <w:pPr>
        <w:ind w:left="180" w:hanging="180" w:hangingChars="120"/>
        <w:rPr>
          <w:color w:val="auto"/>
          <w:sz w:val="15"/>
          <w:szCs w:val="15"/>
        </w:rPr>
      </w:pPr>
      <w:r>
        <w:rPr>
          <w:rFonts w:hint="eastAsia"/>
          <w:color w:val="auto"/>
          <w:sz w:val="15"/>
          <w:szCs w:val="15"/>
        </w:rPr>
        <w:t xml:space="preserve">[13] YI Y J, TANG C H, YANG Z F, et al. A one-dimensional hydrodynamic and water quality model for a water transfer project with multihydraulic structures[J]. Mathematical Problems in Engineering, 2017, 2017: 2656191. </w:t>
      </w:r>
    </w:p>
    <w:p w14:paraId="53020EE2">
      <w:pPr>
        <w:ind w:left="180" w:hanging="180" w:hangingChars="120"/>
        <w:rPr>
          <w:color w:val="auto"/>
          <w:sz w:val="15"/>
          <w:szCs w:val="15"/>
        </w:rPr>
      </w:pPr>
      <w:r>
        <w:rPr>
          <w:rFonts w:hint="eastAsia"/>
          <w:color w:val="auto"/>
          <w:sz w:val="15"/>
          <w:szCs w:val="15"/>
        </w:rPr>
        <w:t xml:space="preserve">[14] PALU M C, JULIEN P Y. Test and improvement of 1D routing algorithms for dam-break floods[J]. Journal of Hydraulic Engineering, 2020, 146(6): 04020043. </w:t>
      </w:r>
    </w:p>
    <w:p w14:paraId="43F28E75">
      <w:pPr>
        <w:ind w:left="180" w:hanging="180" w:hangingChars="120"/>
        <w:rPr>
          <w:color w:val="auto"/>
          <w:sz w:val="15"/>
          <w:szCs w:val="15"/>
        </w:rPr>
      </w:pPr>
      <w:r>
        <w:rPr>
          <w:color w:val="auto"/>
          <w:sz w:val="15"/>
          <w:szCs w:val="15"/>
        </w:rPr>
        <w:t xml:space="preserve">[15] </w:t>
      </w:r>
      <w:r>
        <w:rPr>
          <w:rFonts w:hint="eastAsia"/>
          <w:color w:val="auto"/>
          <w:sz w:val="15"/>
          <w:szCs w:val="15"/>
        </w:rPr>
        <w:t>KIVVA S, ZHELEZNYAK M, PYLYPENKO O, et al. Open water flow in a wet/dry multiply-connected channel network: a robust numerical modeling algorithm[J]. Pure and Applied Geophysics, 2020, 177(7): 3421-3458.</w:t>
      </w:r>
    </w:p>
    <w:p w14:paraId="3EA3D30D">
      <w:pPr>
        <w:ind w:left="180" w:hanging="180" w:hangingChars="120"/>
        <w:rPr>
          <w:color w:val="auto"/>
          <w:sz w:val="15"/>
          <w:szCs w:val="15"/>
        </w:rPr>
      </w:pPr>
      <w:r>
        <w:rPr>
          <w:rFonts w:hint="eastAsia"/>
          <w:color w:val="auto"/>
          <w:sz w:val="15"/>
          <w:szCs w:val="15"/>
        </w:rPr>
        <w:t>[16] 梁璐,蒋佑承.基于HEC-RAS和MIKE11模型分析锦江水面线[J].水资源研究, 2023, 12(1):</w:t>
      </w:r>
      <w:r>
        <w:rPr>
          <w:color w:val="auto"/>
        </w:rPr>
        <w:t xml:space="preserve"> </w:t>
      </w:r>
      <w:r>
        <w:rPr>
          <w:color w:val="auto"/>
          <w:sz w:val="15"/>
          <w:szCs w:val="15"/>
        </w:rPr>
        <w:t>58-64.</w:t>
      </w:r>
    </w:p>
    <w:p w14:paraId="5452C615">
      <w:pPr>
        <w:ind w:left="252" w:leftChars="120" w:firstLine="0" w:firstLineChars="0"/>
        <w:rPr>
          <w:color w:val="auto"/>
          <w:sz w:val="15"/>
          <w:szCs w:val="15"/>
        </w:rPr>
      </w:pPr>
      <w:r>
        <w:rPr>
          <w:rFonts w:hint="eastAsia"/>
          <w:color w:val="auto"/>
          <w:sz w:val="15"/>
          <w:szCs w:val="15"/>
        </w:rPr>
        <w:t>LIANG L, JIANG Y</w:t>
      </w:r>
      <w:r>
        <w:rPr>
          <w:rFonts w:hint="eastAsia"/>
          <w:color w:val="auto"/>
          <w:sz w:val="15"/>
          <w:szCs w:val="15"/>
          <w:lang w:val="en-US" w:eastAsia="zh-CN"/>
        </w:rPr>
        <w:t xml:space="preserve"> C</w:t>
      </w:r>
      <w:r>
        <w:rPr>
          <w:rFonts w:hint="eastAsia"/>
          <w:color w:val="auto"/>
          <w:sz w:val="15"/>
          <w:szCs w:val="15"/>
        </w:rPr>
        <w:t xml:space="preserve">. Analysis of water surface line of Jinjiang based on HEC-RAS and MIKE11 models[J]. Journal of Water Resources Research, 2023, 12(1): 58-64. </w:t>
      </w:r>
    </w:p>
    <w:p w14:paraId="6432F8E5">
      <w:pPr>
        <w:ind w:left="180" w:hanging="180" w:hangingChars="120"/>
        <w:rPr>
          <w:color w:val="auto"/>
          <w:sz w:val="15"/>
          <w:szCs w:val="15"/>
        </w:rPr>
      </w:pPr>
      <w:r>
        <w:rPr>
          <w:rFonts w:hint="eastAsia"/>
          <w:color w:val="auto"/>
          <w:sz w:val="15"/>
          <w:szCs w:val="15"/>
        </w:rPr>
        <w:t xml:space="preserve">[17] FERREIRA J P, FERRAS D, COVAS D I C, et al. Improved SWMM modeling for rapid pipe filling incorporating air behavior in intermittent water supply systems[J]. Journal of Hydraulic Engineering, 2023, 149(4): 04023004. </w:t>
      </w:r>
    </w:p>
    <w:p w14:paraId="069F5D33">
      <w:pPr>
        <w:ind w:left="180" w:hanging="180" w:hangingChars="120"/>
        <w:rPr>
          <w:color w:val="auto"/>
          <w:sz w:val="15"/>
          <w:szCs w:val="15"/>
        </w:rPr>
      </w:pPr>
      <w:r>
        <w:rPr>
          <w:rFonts w:hint="eastAsia"/>
          <w:color w:val="auto"/>
          <w:sz w:val="15"/>
          <w:szCs w:val="15"/>
        </w:rPr>
        <w:t xml:space="preserve">[18] ZHANG Z H, DUAN J M, TANG H Z. High-order accurate well-balanced energy stable adaptive moving mesh finite difference schemes for the shallow water equations with non-flat bottom topography[J]. Journal of Computational Physics, 2023, 492: 112451. </w:t>
      </w:r>
    </w:p>
    <w:p w14:paraId="54427CA6">
      <w:pPr>
        <w:ind w:left="180" w:hanging="180" w:hangingChars="120"/>
        <w:rPr>
          <w:color w:val="auto"/>
          <w:sz w:val="15"/>
          <w:szCs w:val="15"/>
        </w:rPr>
      </w:pPr>
      <w:r>
        <w:rPr>
          <w:rFonts w:hint="eastAsia"/>
          <w:color w:val="auto"/>
          <w:sz w:val="15"/>
          <w:szCs w:val="15"/>
        </w:rPr>
        <w:t xml:space="preserve">[19] RAK A, MEWIS P, GUTHE S. Accelerating flash flood simulations: An efficient GPU implementation for a slim shallow water solver[J]. Environmental Modelling &amp; Software, 2024, 177: 106030. </w:t>
      </w:r>
    </w:p>
    <w:p w14:paraId="4D6BFCEA">
      <w:pPr>
        <w:ind w:left="180" w:hanging="180" w:hangingChars="120"/>
        <w:rPr>
          <w:color w:val="auto"/>
          <w:sz w:val="15"/>
          <w:szCs w:val="15"/>
        </w:rPr>
      </w:pPr>
      <w:r>
        <w:rPr>
          <w:rFonts w:hint="eastAsia"/>
          <w:color w:val="auto"/>
          <w:sz w:val="15"/>
          <w:szCs w:val="15"/>
        </w:rPr>
        <w:t>[20] 管光华, 周致远, 陈晓敏, 等. 输水渠系干支耦合仿真模型构建及控制方式[J]. 农业工程学报, 2025, 41(14): 113-120.</w:t>
      </w:r>
      <w:r>
        <w:rPr>
          <w:rFonts w:hint="eastAsia"/>
          <w:color w:val="auto"/>
          <w:sz w:val="15"/>
          <w:szCs w:val="15"/>
        </w:rPr>
        <w:br w:type="textWrapping"/>
      </w:r>
      <w:r>
        <w:rPr>
          <w:rFonts w:hint="eastAsia"/>
          <w:color w:val="auto"/>
          <w:sz w:val="15"/>
          <w:szCs w:val="15"/>
        </w:rPr>
        <w:t xml:space="preserve">GUAN G H, ZHOU Z Y, CHEN X M, et al. Model construction and control method of coupled main and branch waterdistribution canal system[J]. Transactions of the Chinese Society of Agricultural Engineering, 2025, 41(14): 113-120. </w:t>
      </w:r>
    </w:p>
    <w:p w14:paraId="3A940F3E">
      <w:pPr>
        <w:ind w:left="180" w:hanging="180" w:hangingChars="120"/>
        <w:rPr>
          <w:color w:val="auto"/>
          <w:sz w:val="15"/>
          <w:szCs w:val="15"/>
        </w:rPr>
      </w:pPr>
      <w:r>
        <w:rPr>
          <w:color w:val="auto"/>
          <w:sz w:val="15"/>
          <w:szCs w:val="15"/>
        </w:rPr>
        <w:t>[21] HODGES B R. Conservative finite-volume forms of the Saint-Venant equations for hydrology and urban drainage[J]. Hydrology and Earth System Sciences, 2019, 23(3): 1281-1304.</w:t>
      </w:r>
    </w:p>
    <w:p w14:paraId="7B8F930C">
      <w:pPr>
        <w:ind w:left="180" w:hanging="180" w:hangingChars="120"/>
        <w:rPr>
          <w:color w:val="auto"/>
          <w:sz w:val="15"/>
          <w:szCs w:val="15"/>
        </w:rPr>
      </w:pPr>
      <w:r>
        <w:rPr>
          <w:rFonts w:hint="eastAsia"/>
          <w:color w:val="auto"/>
          <w:sz w:val="15"/>
          <w:szCs w:val="15"/>
        </w:rPr>
        <w:t xml:space="preserve">[22] ROE P L. Approximate Riemann solvers, parameter vectors, and difference schemes[J]. Journal of Computational Physics, 1997, 135(2): 250-258. </w:t>
      </w:r>
    </w:p>
    <w:p w14:paraId="794AA933">
      <w:pPr>
        <w:ind w:left="180" w:hanging="180" w:hangingChars="120"/>
        <w:rPr>
          <w:color w:val="auto"/>
          <w:sz w:val="15"/>
          <w:szCs w:val="15"/>
        </w:rPr>
      </w:pPr>
      <w:r>
        <w:rPr>
          <w:rFonts w:hint="eastAsia"/>
          <w:color w:val="auto"/>
          <w:sz w:val="15"/>
          <w:szCs w:val="15"/>
        </w:rPr>
        <w:t xml:space="preserve">[23] HARTEN A, LAX P D, VAN LEER B. On upstream differencing and Godunov-type schemes for hyperbolic conservation laws[J]. SIAM Review, 1983, 25(1): 35-61. </w:t>
      </w:r>
    </w:p>
    <w:p w14:paraId="05BD57D0">
      <w:pPr>
        <w:ind w:left="180" w:hanging="180" w:hangingChars="120"/>
        <w:rPr>
          <w:color w:val="auto"/>
          <w:sz w:val="15"/>
          <w:szCs w:val="15"/>
        </w:rPr>
      </w:pPr>
      <w:r>
        <w:rPr>
          <w:rFonts w:hint="eastAsia"/>
          <w:color w:val="auto"/>
          <w:sz w:val="15"/>
          <w:szCs w:val="15"/>
        </w:rPr>
        <w:t xml:space="preserve">[24] MURILLO J, GARCÍA-NAVARRO P. Augmented versions of the HLL and HLLC Riemann solvers including source terms in one and two dimensions for shallow flow applications[J]. Journal of Computational Physics, 2012, 231(20): </w:t>
      </w:r>
      <w:bookmarkStart w:id="24" w:name="Bookmark32"/>
      <w:r>
        <w:rPr>
          <w:rFonts w:hint="eastAsia"/>
          <w:color w:val="auto"/>
          <w:sz w:val="15"/>
          <w:szCs w:val="15"/>
        </w:rPr>
        <w:t>6861-6906</w:t>
      </w:r>
      <w:bookmarkEnd w:id="24"/>
      <w:r>
        <w:rPr>
          <w:rFonts w:hint="eastAsia"/>
          <w:color w:val="auto"/>
          <w:sz w:val="15"/>
          <w:szCs w:val="15"/>
        </w:rPr>
        <w:t xml:space="preserve">. </w:t>
      </w:r>
    </w:p>
    <w:p w14:paraId="14D1DD07">
      <w:pPr>
        <w:ind w:left="180" w:hanging="180" w:hangingChars="120"/>
        <w:rPr>
          <w:color w:val="auto"/>
          <w:sz w:val="15"/>
          <w:szCs w:val="15"/>
        </w:rPr>
      </w:pPr>
      <w:r>
        <w:rPr>
          <w:rFonts w:hint="eastAsia"/>
          <w:color w:val="auto"/>
          <w:sz w:val="15"/>
          <w:szCs w:val="15"/>
        </w:rPr>
        <w:t xml:space="preserve">[25] MURILLO J, GARCÍA-NAVARRO P. Weak solutions for partial differential equations with source terms: Application to the shallow water equations[J]. Journal of Computational Physics, 2010, 229(11): </w:t>
      </w:r>
      <w:bookmarkStart w:id="25" w:name="Bookmark31"/>
      <w:r>
        <w:rPr>
          <w:rFonts w:hint="eastAsia"/>
          <w:color w:val="auto"/>
          <w:sz w:val="15"/>
          <w:szCs w:val="15"/>
        </w:rPr>
        <w:t>4327-4368</w:t>
      </w:r>
      <w:bookmarkEnd w:id="25"/>
      <w:r>
        <w:rPr>
          <w:rFonts w:hint="eastAsia"/>
          <w:color w:val="auto"/>
          <w:sz w:val="15"/>
          <w:szCs w:val="15"/>
        </w:rPr>
        <w:t xml:space="preserve">. </w:t>
      </w:r>
    </w:p>
    <w:p w14:paraId="22D4A04A">
      <w:pPr>
        <w:ind w:left="180" w:hanging="180" w:hangingChars="120"/>
        <w:rPr>
          <w:color w:val="auto"/>
          <w:sz w:val="15"/>
          <w:szCs w:val="15"/>
        </w:rPr>
      </w:pPr>
      <w:r>
        <w:rPr>
          <w:rFonts w:hint="eastAsia"/>
          <w:color w:val="auto"/>
          <w:sz w:val="15"/>
          <w:szCs w:val="15"/>
        </w:rPr>
        <w:t xml:space="preserve">[26] YING X Y, WANG S S Y. Improved implementation of the HLL approximate Riemann solver for one-dimensional open channel flows[J]. Journal of Hydraulic Research, 2008, 46(1): 21-34. </w:t>
      </w:r>
    </w:p>
    <w:p w14:paraId="6F01F842">
      <w:pPr>
        <w:ind w:left="180" w:hanging="180" w:hangingChars="120"/>
        <w:rPr>
          <w:color w:val="auto"/>
          <w:sz w:val="15"/>
          <w:szCs w:val="15"/>
        </w:rPr>
      </w:pPr>
      <w:r>
        <w:rPr>
          <w:rFonts w:hint="eastAsia"/>
          <w:color w:val="auto"/>
          <w:sz w:val="15"/>
          <w:szCs w:val="15"/>
        </w:rPr>
        <w:t>[27] 孙万光, 杨海滔, 杨斌斌, 等. 基于HLLC近似Riemann求解器的天然河道水流运动模拟[J]. 中国农村水利水电, 2022(2): 12-19.</w:t>
      </w:r>
      <w:r>
        <w:rPr>
          <w:rFonts w:hint="eastAsia"/>
          <w:color w:val="auto"/>
          <w:sz w:val="15"/>
          <w:szCs w:val="15"/>
        </w:rPr>
        <w:br w:type="textWrapping"/>
      </w:r>
      <w:r>
        <w:rPr>
          <w:rFonts w:hint="eastAsia"/>
          <w:color w:val="auto"/>
          <w:sz w:val="15"/>
          <w:szCs w:val="15"/>
        </w:rPr>
        <w:t xml:space="preserve">SUN W G, YANG H T, YANG B B, et al. Simulation of natural river flow based on HLLC approximate Riemann solver[J]. China Rural Water and Hydropower, 2022(2): 12-19. </w:t>
      </w:r>
    </w:p>
    <w:p w14:paraId="3CF382E5">
      <w:pPr>
        <w:ind w:left="180" w:hanging="180" w:hangingChars="120"/>
        <w:rPr>
          <w:color w:val="auto"/>
          <w:sz w:val="15"/>
          <w:szCs w:val="15"/>
        </w:rPr>
      </w:pPr>
      <w:r>
        <w:rPr>
          <w:rFonts w:hint="eastAsia"/>
          <w:color w:val="auto"/>
          <w:sz w:val="15"/>
          <w:szCs w:val="15"/>
        </w:rPr>
        <w:t xml:space="preserve">[28] HUANG Y F, MAO Z H, GUAN G H, et al. Improved HLL Riemann solver including source term for transient mixed flow[J]. Journal of Hydraulic Engineering, 2023, 149(11): 04023041. </w:t>
      </w:r>
    </w:p>
    <w:p w14:paraId="7C0C5DE5">
      <w:pPr>
        <w:ind w:left="180" w:hanging="180" w:hangingChars="120"/>
        <w:rPr>
          <w:color w:val="auto"/>
          <w:sz w:val="15"/>
          <w:szCs w:val="15"/>
        </w:rPr>
      </w:pPr>
      <w:r>
        <w:rPr>
          <w:color w:val="auto"/>
          <w:sz w:val="15"/>
          <w:szCs w:val="15"/>
        </w:rPr>
        <w:t>[29] 李晓瑜, 贺焕亮. 基于MUSCL重构模式的明渠水流模型研究[J]. 中国高新科技, 2022(15): 40-44.</w:t>
      </w:r>
      <w:r>
        <w:rPr>
          <w:color w:val="auto"/>
          <w:sz w:val="15"/>
          <w:szCs w:val="15"/>
        </w:rPr>
        <w:br w:type="textWrapping"/>
      </w:r>
      <w:r>
        <w:rPr>
          <w:rFonts w:hint="eastAsia"/>
          <w:color w:val="auto"/>
          <w:sz w:val="15"/>
          <w:szCs w:val="15"/>
        </w:rPr>
        <w:t>LI X Y, HE H L. Re</w:t>
      </w:r>
      <w:r>
        <w:rPr>
          <w:color w:val="auto"/>
          <w:sz w:val="15"/>
          <w:szCs w:val="15"/>
        </w:rPr>
        <w:t>search on open channel flow model b</w:t>
      </w:r>
      <w:r>
        <w:rPr>
          <w:rFonts w:hint="eastAsia"/>
          <w:color w:val="auto"/>
          <w:sz w:val="15"/>
          <w:szCs w:val="15"/>
        </w:rPr>
        <w:t xml:space="preserve">ased on MUSCL </w:t>
      </w:r>
      <w:r>
        <w:rPr>
          <w:color w:val="auto"/>
          <w:sz w:val="15"/>
          <w:szCs w:val="15"/>
        </w:rPr>
        <w:t>reconstruction sche</w:t>
      </w:r>
      <w:r>
        <w:rPr>
          <w:rFonts w:hint="eastAsia"/>
          <w:color w:val="auto"/>
          <w:sz w:val="15"/>
          <w:szCs w:val="15"/>
        </w:rPr>
        <w:t>me[J]. China High-Tech, 2022(15): 40-44.</w:t>
      </w:r>
    </w:p>
    <w:p w14:paraId="65CD0555">
      <w:pPr>
        <w:ind w:left="180" w:hanging="180" w:hangingChars="120"/>
        <w:rPr>
          <w:color w:val="auto"/>
          <w:sz w:val="15"/>
          <w:szCs w:val="15"/>
        </w:rPr>
      </w:pPr>
      <w:r>
        <w:rPr>
          <w:rFonts w:hint="eastAsia"/>
          <w:color w:val="auto"/>
          <w:sz w:val="15"/>
          <w:szCs w:val="15"/>
        </w:rPr>
        <w:t xml:space="preserve">[30] ZHAO L D, TAO Z J, ZHANG M. Well-balanced fifth-order finite volume WENO schemes with constant subtraction technique for shallow water equations[J]. Journal of Scientific Computing, 2025, 102(2): 32. </w:t>
      </w:r>
    </w:p>
    <w:p w14:paraId="4E3C56CF">
      <w:pPr>
        <w:ind w:left="180" w:hanging="180" w:hangingChars="120"/>
        <w:rPr>
          <w:color w:val="auto"/>
          <w:sz w:val="15"/>
          <w:szCs w:val="15"/>
        </w:rPr>
      </w:pPr>
      <w:r>
        <w:rPr>
          <w:rFonts w:hint="eastAsia"/>
          <w:color w:val="auto"/>
          <w:sz w:val="15"/>
          <w:szCs w:val="15"/>
        </w:rPr>
        <w:t xml:space="preserve">[31] LIU W K, LI S F, PARK H S. Eighty years of the finite element method: Birth, evolution, and future[J]. Archives of Computational Methods in Engineering, 2022, 29(6): </w:t>
      </w:r>
      <w:bookmarkStart w:id="26" w:name="Bookmark29"/>
      <w:r>
        <w:rPr>
          <w:rFonts w:hint="eastAsia"/>
          <w:color w:val="auto"/>
          <w:sz w:val="15"/>
          <w:szCs w:val="15"/>
        </w:rPr>
        <w:t>4431-4453</w:t>
      </w:r>
      <w:bookmarkEnd w:id="26"/>
      <w:r>
        <w:rPr>
          <w:rFonts w:hint="eastAsia"/>
          <w:color w:val="auto"/>
          <w:sz w:val="15"/>
          <w:szCs w:val="15"/>
        </w:rPr>
        <w:t xml:space="preserve">. </w:t>
      </w:r>
    </w:p>
    <w:p w14:paraId="5110D7C4">
      <w:pPr>
        <w:ind w:left="180" w:hanging="180" w:hangingChars="120"/>
        <w:rPr>
          <w:color w:val="auto"/>
          <w:sz w:val="15"/>
          <w:szCs w:val="15"/>
        </w:rPr>
      </w:pPr>
      <w:r>
        <w:rPr>
          <w:rFonts w:hint="eastAsia"/>
          <w:color w:val="auto"/>
          <w:sz w:val="15"/>
          <w:szCs w:val="15"/>
        </w:rPr>
        <w:t xml:space="preserve">[32] GHOSTINE R, KESSERWANI G, HOTEIT I, et al. Robust wetting and drying with discontinuous Galerkin flood model on unstructured triangular meshes[J]. Water, 2025, 17(8): </w:t>
      </w:r>
      <w:r>
        <w:rPr>
          <w:color w:val="auto"/>
          <w:sz w:val="15"/>
          <w:szCs w:val="15"/>
        </w:rPr>
        <w:t>1141</w:t>
      </w:r>
      <w:r>
        <w:rPr>
          <w:rFonts w:hint="eastAsia"/>
          <w:color w:val="auto"/>
          <w:sz w:val="15"/>
          <w:szCs w:val="15"/>
        </w:rPr>
        <w:t xml:space="preserve">. </w:t>
      </w:r>
    </w:p>
    <w:p w14:paraId="349A82C4">
      <w:pPr>
        <w:ind w:left="180" w:hanging="180" w:hangingChars="120"/>
        <w:rPr>
          <w:color w:val="auto"/>
          <w:sz w:val="15"/>
          <w:szCs w:val="15"/>
        </w:rPr>
      </w:pPr>
      <w:r>
        <w:rPr>
          <w:rFonts w:hint="eastAsia"/>
          <w:color w:val="auto"/>
          <w:sz w:val="15"/>
          <w:szCs w:val="15"/>
        </w:rPr>
        <w:t xml:space="preserve">[33] POUSSEL C, ERSOY M, GOLAY F. Wetting and drying treatments with mesh adaptation for shallow water equations using a runge–kutta discontinuous Galerkin method[J]. International Journal for Numerical Methods in Fluids, 2025, 97(5): 692-712. </w:t>
      </w:r>
    </w:p>
    <w:p w14:paraId="1378C04A">
      <w:pPr>
        <w:ind w:left="180" w:hanging="180" w:hangingChars="120"/>
        <w:rPr>
          <w:color w:val="auto"/>
          <w:sz w:val="15"/>
          <w:szCs w:val="15"/>
        </w:rPr>
      </w:pPr>
      <w:r>
        <w:rPr>
          <w:color w:val="auto"/>
          <w:sz w:val="15"/>
          <w:szCs w:val="15"/>
        </w:rPr>
        <w:t xml:space="preserve">[34] SUMI T, KANTOUSH S A, SABER M. Wadi Flash Floods: Challenges and Advanced Approaches for Disaster Risk Reduction[M]. Singapore: Springer Singapore, 2022. </w:t>
      </w:r>
    </w:p>
    <w:p w14:paraId="1A42D7B1">
      <w:pPr>
        <w:ind w:left="180" w:hanging="180" w:hangingChars="120"/>
        <w:rPr>
          <w:color w:val="auto"/>
          <w:sz w:val="15"/>
          <w:szCs w:val="15"/>
        </w:rPr>
      </w:pPr>
      <w:r>
        <w:rPr>
          <w:color w:val="auto"/>
          <w:sz w:val="15"/>
          <w:szCs w:val="15"/>
        </w:rPr>
        <w:t>[35] VELLANDO P, PUERTAS J, COLOMINAS I. SUPG stabilized finite element resolution of the Navier–Stokes equations: Applications to water treatment engineering[J]. Computer Methods in Applied Mechanics and Engineering, 2002, 191(51-52): 5899-5922.</w:t>
      </w:r>
    </w:p>
    <w:p w14:paraId="11E8BCC8">
      <w:pPr>
        <w:ind w:left="180" w:hanging="180" w:hangingChars="120"/>
        <w:rPr>
          <w:color w:val="auto"/>
          <w:sz w:val="15"/>
          <w:szCs w:val="15"/>
        </w:rPr>
      </w:pPr>
      <w:r>
        <w:rPr>
          <w:rFonts w:hint="eastAsia"/>
          <w:color w:val="auto"/>
          <w:sz w:val="15"/>
          <w:szCs w:val="15"/>
        </w:rPr>
        <w:t xml:space="preserve">[36] CHEN Z R, ZHANG Q H, RAN G Q, et al. A wetting and drying approach for a mode-nonsplit discontinuous Galerkin hydrodynamic model with application to Laizhou Bay[J]. Journal of Marine Science and Engineering, 2024, 12(1): </w:t>
      </w:r>
      <w:r>
        <w:rPr>
          <w:color w:val="auto"/>
          <w:sz w:val="15"/>
          <w:szCs w:val="15"/>
        </w:rPr>
        <w:t>147-164</w:t>
      </w:r>
      <w:r>
        <w:rPr>
          <w:rFonts w:hint="eastAsia"/>
          <w:color w:val="auto"/>
          <w:sz w:val="15"/>
          <w:szCs w:val="15"/>
        </w:rPr>
        <w:t xml:space="preserve">. </w:t>
      </w:r>
    </w:p>
    <w:p w14:paraId="48C23055">
      <w:pPr>
        <w:ind w:left="180" w:hanging="180" w:hangingChars="120"/>
        <w:rPr>
          <w:color w:val="auto"/>
          <w:sz w:val="15"/>
          <w:szCs w:val="15"/>
        </w:rPr>
      </w:pPr>
      <w:r>
        <w:rPr>
          <w:rFonts w:hint="eastAsia"/>
          <w:color w:val="auto"/>
          <w:sz w:val="15"/>
          <w:szCs w:val="15"/>
        </w:rPr>
        <w:t xml:space="preserve">[37] ERSING P, GOLDBERG S, WINTERS A R. Entropy stable hydrostatic reconstruction schemes for shallow water systems[J]. Journal of Computational Physics, 2025, 527: 113802. </w:t>
      </w:r>
    </w:p>
    <w:p w14:paraId="4DC57219">
      <w:pPr>
        <w:ind w:left="180" w:hanging="180" w:hangingChars="120"/>
        <w:rPr>
          <w:color w:val="auto"/>
          <w:sz w:val="15"/>
          <w:szCs w:val="15"/>
        </w:rPr>
      </w:pPr>
      <w:r>
        <w:rPr>
          <w:rFonts w:hint="eastAsia"/>
          <w:color w:val="auto"/>
          <w:sz w:val="15"/>
          <w:szCs w:val="15"/>
        </w:rPr>
        <w:t xml:space="preserve">[38] VILLAZÓN M, TIMBE L, WILLEMS P. Comparative analysis of 1-D river flow models applied in a quasi 2-D approach for floodplain inundation prediction[J]. Maskana, 2013, 4(1): 107-126. </w:t>
      </w:r>
    </w:p>
    <w:p w14:paraId="1C83D48A">
      <w:pPr>
        <w:ind w:left="180" w:hanging="180" w:hangingChars="120"/>
        <w:rPr>
          <w:color w:val="auto"/>
          <w:sz w:val="15"/>
          <w:szCs w:val="15"/>
        </w:rPr>
      </w:pPr>
      <w:r>
        <w:rPr>
          <w:rFonts w:hint="eastAsia"/>
          <w:color w:val="auto"/>
          <w:sz w:val="15"/>
          <w:szCs w:val="15"/>
        </w:rPr>
        <w:t xml:space="preserve">[39] BUWALDA F J L, DE GOEDE E, KNEPFLÉ M, et al. Comparison of an explicit and implicit time integration method on GPUs for shallow water flows on structured grids[J]. Water, 2023, 15(6): </w:t>
      </w:r>
      <w:r>
        <w:rPr>
          <w:color w:val="auto"/>
          <w:sz w:val="15"/>
          <w:szCs w:val="15"/>
        </w:rPr>
        <w:t>1165</w:t>
      </w:r>
      <w:r>
        <w:rPr>
          <w:rFonts w:hint="eastAsia"/>
          <w:color w:val="auto"/>
          <w:sz w:val="15"/>
          <w:szCs w:val="15"/>
        </w:rPr>
        <w:t xml:space="preserve">. </w:t>
      </w:r>
    </w:p>
    <w:p w14:paraId="7823248A">
      <w:pPr>
        <w:ind w:left="180" w:hanging="180" w:hangingChars="120"/>
        <w:rPr>
          <w:color w:val="auto"/>
          <w:sz w:val="15"/>
          <w:szCs w:val="15"/>
        </w:rPr>
      </w:pPr>
      <w:r>
        <w:rPr>
          <w:rFonts w:hint="eastAsia"/>
          <w:color w:val="auto"/>
          <w:sz w:val="15"/>
          <w:szCs w:val="15"/>
        </w:rPr>
        <w:t xml:space="preserve">[40] SADOURNY R. The dynamics of finite-difference models of the shallow-water equations[J]. Journal of the Atmospheric Sciences, 1975, 32(4): 680-689. </w:t>
      </w:r>
    </w:p>
    <w:p w14:paraId="76A9B687">
      <w:pPr>
        <w:ind w:left="180" w:hanging="180" w:hangingChars="120"/>
        <w:rPr>
          <w:color w:val="auto"/>
          <w:sz w:val="15"/>
          <w:szCs w:val="15"/>
        </w:rPr>
      </w:pPr>
      <w:r>
        <w:rPr>
          <w:rFonts w:hint="eastAsia"/>
          <w:color w:val="auto"/>
          <w:sz w:val="15"/>
          <w:szCs w:val="15"/>
        </w:rPr>
        <w:t xml:space="preserve">[41] ALAM M M, PAUL G C, RAJU I, et al. Discretization of complex geometric domain through computer-based stair-step representation method for estimating water levels associated with a storm[J]. China Ocean Engineering, 2022, 36(5): 791-801. </w:t>
      </w:r>
    </w:p>
    <w:p w14:paraId="4DF28437">
      <w:pPr>
        <w:ind w:left="180" w:hanging="180" w:hangingChars="120"/>
        <w:rPr>
          <w:color w:val="auto"/>
          <w:sz w:val="15"/>
          <w:szCs w:val="15"/>
        </w:rPr>
      </w:pPr>
      <w:r>
        <w:rPr>
          <w:rFonts w:hint="eastAsia"/>
          <w:color w:val="auto"/>
          <w:sz w:val="15"/>
          <w:szCs w:val="15"/>
        </w:rPr>
        <w:t xml:space="preserve">[42] HEW J K J, DURU K, ROBERTS S, et al. Strongly stable dual-pairing summation by parts finite difference schemes for the vector invariant nonlinear shallow water equations–I: Numerical scheme and validation on the plane[J]. Journal of Computational Physics, 2025, 523: 113624. </w:t>
      </w:r>
    </w:p>
    <w:p w14:paraId="544E6712">
      <w:pPr>
        <w:ind w:left="180" w:hanging="180" w:hangingChars="120"/>
        <w:rPr>
          <w:color w:val="auto"/>
          <w:sz w:val="15"/>
          <w:szCs w:val="15"/>
        </w:rPr>
      </w:pPr>
      <w:r>
        <w:rPr>
          <w:rFonts w:hint="eastAsia"/>
          <w:color w:val="auto"/>
          <w:sz w:val="15"/>
          <w:szCs w:val="15"/>
        </w:rPr>
        <w:t xml:space="preserve">[43] KURNIAWAN R, PUDJAPRASETYA S R, SULVIANURI R. Numerical study of two-dimensional sediment transport using momentum-conserving staggered grid scheme[J]. Journal of Computational Science, 2025, 92: 102714. </w:t>
      </w:r>
    </w:p>
    <w:p w14:paraId="44E55D48">
      <w:pPr>
        <w:ind w:left="180" w:hanging="180" w:hangingChars="120"/>
        <w:rPr>
          <w:color w:val="auto"/>
          <w:sz w:val="15"/>
          <w:szCs w:val="15"/>
        </w:rPr>
      </w:pPr>
      <w:r>
        <w:rPr>
          <w:rFonts w:hint="eastAsia"/>
          <w:color w:val="auto"/>
          <w:sz w:val="15"/>
          <w:szCs w:val="15"/>
        </w:rPr>
        <w:t>[44] ALAYACHI H S, ABDELRAHMAN M A E, MOHAMED K. Finite-volume two-step scheme for solving the shear shallow water model[J]. AIMS Mathematics, 2024, 9(8): 2</w:t>
      </w:r>
      <w:bookmarkStart w:id="27" w:name="Bookmark30"/>
      <w:r>
        <w:rPr>
          <w:rFonts w:hint="eastAsia"/>
          <w:color w:val="auto"/>
          <w:sz w:val="15"/>
          <w:szCs w:val="15"/>
        </w:rPr>
        <w:t>0118-2013</w:t>
      </w:r>
      <w:bookmarkEnd w:id="27"/>
      <w:r>
        <w:rPr>
          <w:rFonts w:hint="eastAsia"/>
          <w:color w:val="auto"/>
          <w:sz w:val="15"/>
          <w:szCs w:val="15"/>
        </w:rPr>
        <w:t xml:space="preserve">5. </w:t>
      </w:r>
    </w:p>
    <w:p w14:paraId="2ED45C2B">
      <w:pPr>
        <w:ind w:left="180" w:hanging="180" w:hangingChars="120"/>
        <w:rPr>
          <w:color w:val="auto"/>
          <w:sz w:val="15"/>
          <w:szCs w:val="15"/>
        </w:rPr>
      </w:pPr>
      <w:r>
        <w:rPr>
          <w:rFonts w:hint="eastAsia"/>
          <w:color w:val="auto"/>
          <w:sz w:val="15"/>
          <w:szCs w:val="15"/>
        </w:rPr>
        <w:t xml:space="preserve">[45] BERTHON C, BULTEAU S, FOUCHER F, et al. A very easy high-order well-balanced reconstruction for hyperbolic systems with source terms[J]. SIAM Journal on Scientific Computing, 2022, 44(4): A2506-A2535. </w:t>
      </w:r>
    </w:p>
    <w:p w14:paraId="2FAE0C34">
      <w:pPr>
        <w:ind w:left="180" w:hanging="180" w:hangingChars="120"/>
        <w:rPr>
          <w:color w:val="auto"/>
          <w:sz w:val="15"/>
          <w:szCs w:val="15"/>
        </w:rPr>
      </w:pPr>
      <w:r>
        <w:rPr>
          <w:rFonts w:hint="eastAsia"/>
          <w:color w:val="auto"/>
          <w:sz w:val="15"/>
          <w:szCs w:val="15"/>
        </w:rPr>
        <w:t xml:space="preserve">[46] JUNG J, HWAN H. Path-conservative positivity-preserving well-balanced finite volume WENO method for porous shallow water equations[J]. Journal of Computational Physics, 2023, 490: 112321. </w:t>
      </w:r>
    </w:p>
    <w:p w14:paraId="5BD05F42">
      <w:pPr>
        <w:ind w:left="180" w:hanging="180" w:hangingChars="120"/>
        <w:rPr>
          <w:color w:val="auto"/>
          <w:sz w:val="15"/>
          <w:szCs w:val="15"/>
        </w:rPr>
      </w:pPr>
      <w:r>
        <w:rPr>
          <w:rFonts w:hint="eastAsia"/>
          <w:color w:val="auto"/>
          <w:sz w:val="15"/>
          <w:szCs w:val="15"/>
        </w:rPr>
        <w:t xml:space="preserve">[47] MICALETTO G, BARLETTA I, MOCAVERO S, et al. Parallel implementation of the SHYFEM (system of HydrodYnamic finite element modules) model[J]. Geoscientific Model Development, 2022, 15(15): </w:t>
      </w:r>
      <w:bookmarkStart w:id="28" w:name="Bookmark33"/>
      <w:r>
        <w:rPr>
          <w:rFonts w:hint="eastAsia"/>
          <w:color w:val="auto"/>
          <w:sz w:val="15"/>
          <w:szCs w:val="15"/>
        </w:rPr>
        <w:t>6025-6046</w:t>
      </w:r>
      <w:bookmarkEnd w:id="28"/>
      <w:r>
        <w:rPr>
          <w:rFonts w:hint="eastAsia"/>
          <w:color w:val="auto"/>
          <w:sz w:val="15"/>
          <w:szCs w:val="15"/>
        </w:rPr>
        <w:t xml:space="preserve">. </w:t>
      </w:r>
    </w:p>
    <w:p w14:paraId="088F410F">
      <w:pPr>
        <w:ind w:left="180" w:hanging="180" w:hangingChars="120"/>
        <w:rPr>
          <w:color w:val="auto"/>
          <w:sz w:val="15"/>
          <w:szCs w:val="15"/>
        </w:rPr>
      </w:pPr>
      <w:r>
        <w:rPr>
          <w:rFonts w:hint="eastAsia"/>
          <w:color w:val="auto"/>
          <w:sz w:val="15"/>
          <w:szCs w:val="15"/>
        </w:rPr>
        <w:t xml:space="preserve">[48] KENT J, MELVIN T, WIMMER G A. A mixed finite-element discretisation of the shallow-water equations[J]. Geoscientific Model Development, 2023, 16(4): </w:t>
      </w:r>
      <w:bookmarkStart w:id="29" w:name="Bookmark37"/>
      <w:r>
        <w:rPr>
          <w:rFonts w:hint="eastAsia"/>
          <w:color w:val="auto"/>
          <w:sz w:val="15"/>
          <w:szCs w:val="15"/>
        </w:rPr>
        <w:t>1265-1276</w:t>
      </w:r>
      <w:bookmarkEnd w:id="29"/>
      <w:r>
        <w:rPr>
          <w:rFonts w:hint="eastAsia"/>
          <w:color w:val="auto"/>
          <w:sz w:val="15"/>
          <w:szCs w:val="15"/>
        </w:rPr>
        <w:t xml:space="preserve">. </w:t>
      </w:r>
    </w:p>
    <w:p w14:paraId="6D06B79B">
      <w:pPr>
        <w:ind w:left="180" w:hanging="180" w:hangingChars="120"/>
        <w:rPr>
          <w:color w:val="auto"/>
          <w:sz w:val="15"/>
          <w:szCs w:val="15"/>
        </w:rPr>
      </w:pPr>
      <w:r>
        <w:rPr>
          <w:rFonts w:hint="eastAsia"/>
          <w:color w:val="auto"/>
          <w:sz w:val="15"/>
          <w:szCs w:val="15"/>
        </w:rPr>
        <w:t xml:space="preserve">[49] VILLARET C, HERVOUET J M, KOPMANN R, et al. Morphodynamic modeling using the Telemac finite-element system[J]. Computers &amp; Geosciences, 2013, 53: 105-113. </w:t>
      </w:r>
    </w:p>
    <w:p w14:paraId="2C5C2957">
      <w:pPr>
        <w:ind w:left="180" w:hanging="180" w:hangingChars="120"/>
        <w:rPr>
          <w:color w:val="auto"/>
          <w:sz w:val="15"/>
          <w:szCs w:val="15"/>
        </w:rPr>
      </w:pPr>
      <w:r>
        <w:rPr>
          <w:rFonts w:hint="eastAsia"/>
          <w:color w:val="auto"/>
          <w:sz w:val="15"/>
          <w:szCs w:val="15"/>
        </w:rPr>
        <w:t xml:space="preserve">[50] HOPE-COLLINS J, HAMDAN A, BAUER W, et al. asQ: Parallel-in-time finite element simulations using ParaDiag for geoscientific models and beyond[J]. Geoscientific Model Development, 2025, 18(14): </w:t>
      </w:r>
      <w:bookmarkStart w:id="30" w:name="Bookmark36"/>
      <w:r>
        <w:rPr>
          <w:rFonts w:hint="eastAsia"/>
          <w:color w:val="auto"/>
          <w:sz w:val="15"/>
          <w:szCs w:val="15"/>
        </w:rPr>
        <w:t>4535-4569</w:t>
      </w:r>
      <w:bookmarkEnd w:id="30"/>
      <w:r>
        <w:rPr>
          <w:rFonts w:hint="eastAsia"/>
          <w:color w:val="auto"/>
          <w:sz w:val="15"/>
          <w:szCs w:val="15"/>
        </w:rPr>
        <w:t xml:space="preserve">. </w:t>
      </w:r>
    </w:p>
    <w:p w14:paraId="4CA57001">
      <w:pPr>
        <w:ind w:left="180" w:hanging="180" w:hangingChars="120"/>
        <w:rPr>
          <w:color w:val="auto"/>
          <w:sz w:val="15"/>
          <w:szCs w:val="15"/>
        </w:rPr>
      </w:pPr>
      <w:r>
        <w:rPr>
          <w:rFonts w:hint="eastAsia"/>
          <w:color w:val="auto"/>
          <w:sz w:val="15"/>
          <w:szCs w:val="15"/>
        </w:rPr>
        <w:t xml:space="preserve">[51] BUSTO S, DUMBSER M. A staggered semi-implicit hybrid finite volume/finite element scheme for the shallow water equations at all Froude numbers[J]. Applied Numerical Mathematics, 2022, 175: 108-132. </w:t>
      </w:r>
    </w:p>
    <w:p w14:paraId="370F7D32">
      <w:pPr>
        <w:ind w:left="180" w:hanging="180" w:hangingChars="120"/>
        <w:rPr>
          <w:color w:val="auto"/>
          <w:sz w:val="15"/>
          <w:szCs w:val="15"/>
        </w:rPr>
      </w:pPr>
      <w:r>
        <w:rPr>
          <w:rFonts w:hint="eastAsia"/>
          <w:color w:val="auto"/>
          <w:sz w:val="15"/>
          <w:szCs w:val="15"/>
        </w:rPr>
        <w:t>[52] 白玉川, 万艳春, 黄本胜, 等. 河网非恒定流数值模拟的研究进展[J]. 水利学报, 2000, 31(12): 43-47.</w:t>
      </w:r>
      <w:r>
        <w:rPr>
          <w:rFonts w:hint="eastAsia"/>
          <w:color w:val="auto"/>
          <w:sz w:val="15"/>
          <w:szCs w:val="15"/>
        </w:rPr>
        <w:br w:type="textWrapping"/>
      </w:r>
      <w:r>
        <w:rPr>
          <w:rFonts w:hint="eastAsia"/>
          <w:color w:val="auto"/>
          <w:sz w:val="15"/>
          <w:szCs w:val="15"/>
        </w:rPr>
        <w:t xml:space="preserve">BAI Y C, WAN Y C, HUANG B S, et al. A review on development of numerical simulation of unsteady flow in river networks[J]. Journal of Hydraulic Engineering, 2000, 31(12): 43-47. </w:t>
      </w:r>
    </w:p>
    <w:p w14:paraId="044A12EB">
      <w:pPr>
        <w:ind w:left="180" w:hanging="180" w:hangingChars="120"/>
        <w:rPr>
          <w:color w:val="auto"/>
          <w:sz w:val="15"/>
          <w:szCs w:val="15"/>
        </w:rPr>
      </w:pPr>
      <w:r>
        <w:rPr>
          <w:rFonts w:hint="eastAsia"/>
          <w:color w:val="auto"/>
          <w:sz w:val="15"/>
          <w:szCs w:val="15"/>
        </w:rPr>
        <w:t xml:space="preserve">[53] ELSHOBAKI M, VALIANI A, CALEFFI V. Numerical modelling of open channel junctions using the Riemann problem approach[J]. Journal of Hydraulic Research, 2019, 57(5): 662-674. </w:t>
      </w:r>
    </w:p>
    <w:p w14:paraId="68729662">
      <w:pPr>
        <w:ind w:left="180" w:hanging="180" w:hangingChars="120"/>
        <w:rPr>
          <w:rFonts w:hint="eastAsia"/>
          <w:color w:val="auto"/>
          <w:sz w:val="15"/>
          <w:szCs w:val="15"/>
        </w:rPr>
      </w:pPr>
      <w:r>
        <w:rPr>
          <w:rFonts w:hint="eastAsia"/>
          <w:color w:val="auto"/>
          <w:sz w:val="15"/>
          <w:szCs w:val="15"/>
        </w:rPr>
        <w:t>[54] 中山大学数力系计算数学专业珠江小组, 李岳生, 杨世孝, 等. 网河不恒定流隐式方程组的稀疏矩阵解法[J]. 中山大学学报</w:t>
      </w:r>
      <w:bookmarkStart w:id="31" w:name="Bookmark34"/>
      <w:r>
        <w:rPr>
          <w:rFonts w:hint="eastAsia"/>
          <w:color w:val="auto"/>
          <w:sz w:val="15"/>
          <w:szCs w:val="15"/>
        </w:rPr>
        <w:t>(</w:t>
      </w:r>
      <w:bookmarkEnd w:id="31"/>
      <w:r>
        <w:rPr>
          <w:rFonts w:hint="eastAsia"/>
          <w:color w:val="auto"/>
          <w:sz w:val="15"/>
          <w:szCs w:val="15"/>
        </w:rPr>
        <w:t>自然科学版</w:t>
      </w:r>
      <w:bookmarkStart w:id="32" w:name="Bookmark35"/>
      <w:r>
        <w:rPr>
          <w:rFonts w:hint="eastAsia"/>
          <w:color w:val="auto"/>
          <w:sz w:val="15"/>
          <w:szCs w:val="15"/>
        </w:rPr>
        <w:t>)</w:t>
      </w:r>
      <w:bookmarkEnd w:id="32"/>
      <w:r>
        <w:rPr>
          <w:rFonts w:hint="eastAsia"/>
          <w:color w:val="auto"/>
          <w:sz w:val="15"/>
          <w:szCs w:val="15"/>
        </w:rPr>
        <w:t xml:space="preserve">, 1977, 16(3): </w:t>
      </w:r>
      <w:r>
        <w:rPr>
          <w:color w:val="auto"/>
          <w:sz w:val="15"/>
          <w:szCs w:val="15"/>
        </w:rPr>
        <w:t>28-38</w:t>
      </w:r>
      <w:r>
        <w:rPr>
          <w:rFonts w:hint="eastAsia"/>
          <w:color w:val="auto"/>
          <w:sz w:val="15"/>
          <w:szCs w:val="15"/>
        </w:rPr>
        <w:t xml:space="preserve">. </w:t>
      </w:r>
    </w:p>
    <w:p w14:paraId="1CD4397E">
      <w:pPr>
        <w:keepNext w:val="0"/>
        <w:keepLines w:val="0"/>
        <w:pageBreakBefore w:val="0"/>
        <w:widowControl w:val="0"/>
        <w:kinsoku/>
        <w:wordWrap/>
        <w:overflowPunct/>
        <w:topLinePunct w:val="0"/>
        <w:autoSpaceDE/>
        <w:autoSpaceDN/>
        <w:bidi w:val="0"/>
        <w:adjustRightInd/>
        <w:snapToGrid/>
        <w:ind w:left="252" w:leftChars="120" w:firstLine="0" w:firstLineChars="0"/>
        <w:textAlignment w:val="auto"/>
        <w:rPr>
          <w:rFonts w:hint="eastAsia"/>
          <w:color w:val="auto"/>
          <w:sz w:val="15"/>
          <w:szCs w:val="15"/>
        </w:rPr>
      </w:pPr>
      <w:r>
        <w:rPr>
          <w:rFonts w:hint="eastAsia"/>
          <w:color w:val="auto"/>
          <w:sz w:val="15"/>
          <w:szCs w:val="15"/>
        </w:rPr>
        <w:t>Zhujiang Group, Specialized in Computational Mathematics, Department of Mathematics and Mechanics, Sun Yat-sen University. LI Yuesheng. Sparse Matrix Solution for Implicit Equations of Unsteady Flow in River Networks[J]. Journal of Sun Yat-sen University, 1977(3): 28-38.</w:t>
      </w:r>
    </w:p>
    <w:p w14:paraId="3618BCD0">
      <w:pPr>
        <w:ind w:left="180" w:hanging="180" w:hangingChars="120"/>
        <w:rPr>
          <w:color w:val="auto"/>
          <w:sz w:val="15"/>
          <w:szCs w:val="15"/>
        </w:rPr>
      </w:pPr>
      <w:r>
        <w:rPr>
          <w:rFonts w:hint="eastAsia"/>
          <w:color w:val="auto"/>
          <w:sz w:val="15"/>
          <w:szCs w:val="15"/>
        </w:rPr>
        <w:t>[55] 李光炽, 王船海. 大型河网水流模拟的矩阵标识法[J]. 河海大学学报, 1995, 23(1): 36-43.</w:t>
      </w:r>
      <w:r>
        <w:rPr>
          <w:rFonts w:hint="eastAsia"/>
          <w:color w:val="auto"/>
          <w:sz w:val="15"/>
          <w:szCs w:val="15"/>
        </w:rPr>
        <w:br w:type="textWrapping"/>
      </w:r>
      <w:r>
        <w:rPr>
          <w:rFonts w:hint="eastAsia"/>
          <w:color w:val="auto"/>
          <w:sz w:val="15"/>
          <w:szCs w:val="15"/>
        </w:rPr>
        <w:t xml:space="preserve">LI G C, WANG C H. Matrix mark method for large-scale river network flow modeling[J]. Journal of Hohai University (Natural Sciences), 1995, 23(1): 36-43. </w:t>
      </w:r>
    </w:p>
    <w:p w14:paraId="4C7F65CF">
      <w:pPr>
        <w:ind w:left="180" w:hanging="180" w:hangingChars="120"/>
        <w:rPr>
          <w:color w:val="auto"/>
          <w:sz w:val="15"/>
          <w:szCs w:val="15"/>
        </w:rPr>
      </w:pPr>
      <w:r>
        <w:rPr>
          <w:rFonts w:hint="eastAsia"/>
          <w:color w:val="auto"/>
          <w:sz w:val="15"/>
          <w:szCs w:val="15"/>
        </w:rPr>
        <w:t>[56] 李义天. 河网非恒定流隐式方程组的汊点分组解法[J]. 水利学报, 1997, 28(3): 49-57.</w:t>
      </w:r>
      <w:r>
        <w:rPr>
          <w:rFonts w:hint="eastAsia"/>
          <w:color w:val="auto"/>
          <w:sz w:val="15"/>
          <w:szCs w:val="15"/>
        </w:rPr>
        <w:br w:type="textWrapping"/>
      </w:r>
      <w:r>
        <w:rPr>
          <w:rFonts w:hint="eastAsia"/>
          <w:color w:val="auto"/>
          <w:sz w:val="15"/>
          <w:szCs w:val="15"/>
        </w:rPr>
        <w:t xml:space="preserve">LI Y T. A junctions group method for unsteady flow in multiply connected networks[J]. Journal of Hydraulic Engineering, 1997, 28(3): 49-57. </w:t>
      </w:r>
    </w:p>
    <w:p w14:paraId="6123EA5D">
      <w:pPr>
        <w:ind w:left="180" w:hanging="180" w:hangingChars="120"/>
        <w:rPr>
          <w:color w:val="auto"/>
          <w:sz w:val="15"/>
          <w:szCs w:val="15"/>
        </w:rPr>
      </w:pPr>
      <w:r>
        <w:rPr>
          <w:rFonts w:hint="eastAsia"/>
          <w:color w:val="auto"/>
          <w:sz w:val="15"/>
          <w:szCs w:val="15"/>
        </w:rPr>
        <w:t xml:space="preserve">[57] 吴寿红. 河网非恒定流四级解法[J]. 水利学报, 1985, 16(8): 42-50. </w:t>
      </w:r>
    </w:p>
    <w:p w14:paraId="72C6DD0D">
      <w:pPr>
        <w:ind w:left="252" w:leftChars="120" w:firstLine="0" w:firstLineChars="0"/>
        <w:rPr>
          <w:color w:val="auto"/>
          <w:sz w:val="15"/>
          <w:szCs w:val="15"/>
        </w:rPr>
      </w:pPr>
      <w:r>
        <w:rPr>
          <w:color w:val="auto"/>
          <w:sz w:val="15"/>
          <w:szCs w:val="15"/>
        </w:rPr>
        <w:t>WU Shouhong. Four-Level Solution Method for Unsteady Flow in River Networks[J]. Journal of Hydraulic Engineering, 1985(8): 42-50.</w:t>
      </w:r>
    </w:p>
    <w:p w14:paraId="1B76922F">
      <w:pPr>
        <w:ind w:left="180" w:hanging="180" w:hangingChars="120"/>
        <w:rPr>
          <w:color w:val="auto"/>
          <w:sz w:val="15"/>
          <w:szCs w:val="15"/>
        </w:rPr>
      </w:pPr>
      <w:r>
        <w:rPr>
          <w:rFonts w:hint="eastAsia"/>
          <w:color w:val="auto"/>
          <w:sz w:val="15"/>
          <w:szCs w:val="15"/>
        </w:rPr>
        <w:t>[58] 朱德军, 陈永灿, 王智勇, 等. 复杂河网水动力数值模型[J]. 水科学进展, 2011, 22(2): 203-207.</w:t>
      </w:r>
      <w:r>
        <w:rPr>
          <w:rFonts w:hint="eastAsia"/>
          <w:color w:val="auto"/>
          <w:sz w:val="15"/>
          <w:szCs w:val="15"/>
        </w:rPr>
        <w:br w:type="textWrapping"/>
      </w:r>
      <w:r>
        <w:rPr>
          <w:rFonts w:hint="eastAsia"/>
          <w:color w:val="auto"/>
          <w:sz w:val="15"/>
          <w:szCs w:val="15"/>
        </w:rPr>
        <w:t xml:space="preserve">ZHU D J, CHEN Y C, WANG Z Y, et al. Hydrodynamic model for complex flow in open-channel networks[J]. Advances in Water Science, 2011, 22(2): 203-207. </w:t>
      </w:r>
    </w:p>
    <w:p w14:paraId="32A64267">
      <w:pPr>
        <w:ind w:left="180" w:hanging="180" w:hangingChars="120"/>
        <w:rPr>
          <w:color w:val="auto"/>
          <w:sz w:val="15"/>
          <w:szCs w:val="15"/>
        </w:rPr>
      </w:pPr>
      <w:r>
        <w:rPr>
          <w:rFonts w:hint="eastAsia"/>
          <w:color w:val="auto"/>
          <w:sz w:val="15"/>
          <w:szCs w:val="15"/>
        </w:rPr>
        <w:t xml:space="preserve">[59] ZHU D J, CHEN Y C, WANG Z Y, et al. Simple, robust, and efficient algorithm for gradually varied subcritical flow simulation in general channel networks[J]. Journal of Hydraulic Engineering, 2011, 137(7): 766-774. </w:t>
      </w:r>
    </w:p>
    <w:p w14:paraId="636D405B">
      <w:pPr>
        <w:ind w:left="180" w:hanging="180" w:hangingChars="120"/>
        <w:rPr>
          <w:color w:val="auto"/>
          <w:sz w:val="15"/>
          <w:szCs w:val="15"/>
        </w:rPr>
      </w:pPr>
      <w:r>
        <w:rPr>
          <w:rFonts w:hint="eastAsia"/>
          <w:color w:val="auto"/>
          <w:sz w:val="15"/>
          <w:szCs w:val="15"/>
        </w:rPr>
        <w:t xml:space="preserve">[60] DELMAS V, SOULAÏMANI A. Parallel high-order resolution of the Shallow-water equations on real large-scale meshes with complex bathymetries[J]. Journal of Computational Physics, 2022, 471: 111629. </w:t>
      </w:r>
    </w:p>
    <w:p w14:paraId="5DAA3635">
      <w:pPr>
        <w:ind w:left="180" w:hanging="180" w:hangingChars="120"/>
        <w:rPr>
          <w:color w:val="auto"/>
          <w:sz w:val="15"/>
          <w:szCs w:val="15"/>
        </w:rPr>
      </w:pPr>
      <w:r>
        <w:rPr>
          <w:rFonts w:hint="eastAsia"/>
          <w:color w:val="auto"/>
          <w:sz w:val="15"/>
          <w:szCs w:val="15"/>
        </w:rPr>
        <w:t>[61] CAVIEDES-VOULLIÈME D, MORALES-HERNÁNDEZ M, NORMAN M R, 等. SERGHEI (SERGHEI-SWE) v1.0: a performance-portable high-performance parallel-computing shallow-water solver for hydrology and environmental hydraulics[J/OL]. Geoscientific Model Development, 2023, 1</w:t>
      </w:r>
      <w:r>
        <w:rPr>
          <w:color w:val="auto"/>
          <w:sz w:val="15"/>
          <w:szCs w:val="15"/>
        </w:rPr>
        <w:t>6(3): 977-1008.</w:t>
      </w:r>
    </w:p>
    <w:p w14:paraId="06A965B3">
      <w:pPr>
        <w:ind w:left="180" w:hanging="180" w:hangingChars="120"/>
        <w:rPr>
          <w:color w:val="auto"/>
          <w:sz w:val="15"/>
          <w:szCs w:val="15"/>
        </w:rPr>
      </w:pPr>
      <w:r>
        <w:rPr>
          <w:color w:val="auto"/>
          <w:sz w:val="15"/>
          <w:szCs w:val="15"/>
        </w:rPr>
        <w:t>[62] SALEEM A H, NORMAN M R. Accelerated numerical modeling of shallow water flows with MPI, OpenACC, and GPUs[J]. Environmental Modelling &amp; Software, 2024, 180: 106141.</w:t>
      </w:r>
    </w:p>
    <w:p w14:paraId="7047AA85">
      <w:pPr>
        <w:ind w:left="180" w:hanging="180" w:hangingChars="120"/>
        <w:rPr>
          <w:color w:val="auto"/>
          <w:sz w:val="15"/>
          <w:szCs w:val="15"/>
        </w:rPr>
      </w:pPr>
      <w:r>
        <w:rPr>
          <w:rFonts w:hint="eastAsia"/>
          <w:color w:val="auto"/>
          <w:sz w:val="15"/>
          <w:szCs w:val="15"/>
        </w:rPr>
        <w:t xml:space="preserve">[63] GINTING B M, MUNDANI R P, GINTING B M, et al. Comparison of shallow water solvers: Applications for dam-break and tsunami cases with reordering strategy for efficient vectorization on modern hardware[J]. Water, 2019, 11(4): </w:t>
      </w:r>
      <w:r>
        <w:rPr>
          <w:color w:val="auto"/>
          <w:sz w:val="15"/>
          <w:szCs w:val="15"/>
        </w:rPr>
        <w:t>639</w:t>
      </w:r>
      <w:r>
        <w:rPr>
          <w:rFonts w:hint="eastAsia"/>
          <w:color w:val="auto"/>
          <w:sz w:val="15"/>
          <w:szCs w:val="15"/>
        </w:rPr>
        <w:t xml:space="preserve">. </w:t>
      </w:r>
    </w:p>
    <w:p w14:paraId="5968D6AA">
      <w:pPr>
        <w:ind w:left="180" w:hanging="180" w:hangingChars="120"/>
        <w:rPr>
          <w:color w:val="auto"/>
          <w:sz w:val="15"/>
          <w:szCs w:val="15"/>
        </w:rPr>
      </w:pPr>
      <w:r>
        <w:rPr>
          <w:rFonts w:hint="eastAsia"/>
          <w:color w:val="auto"/>
          <w:sz w:val="15"/>
          <w:szCs w:val="15"/>
        </w:rPr>
        <w:t>[64] 齐永孟. 基于OpenMP的明渠圣维南系统的大规模模拟[J]. 计算机科学与应用, 2021, 11(12): 2845-2852.</w:t>
      </w:r>
    </w:p>
    <w:p w14:paraId="0541E84B">
      <w:pPr>
        <w:ind w:left="252" w:leftChars="120" w:firstLine="0" w:firstLineChars="0"/>
        <w:rPr>
          <w:color w:val="auto"/>
          <w:sz w:val="15"/>
          <w:szCs w:val="15"/>
        </w:rPr>
      </w:pPr>
      <w:r>
        <w:rPr>
          <w:rFonts w:hint="eastAsia"/>
          <w:color w:val="auto"/>
          <w:sz w:val="15"/>
          <w:szCs w:val="15"/>
        </w:rPr>
        <w:t xml:space="preserve">QI Yongmeng. Large-scale simulation of the open channel saint-venant system based on OpenMP[J]. Computer Science and Application, 2021, 11(12): </w:t>
      </w:r>
      <w:bookmarkStart w:id="33" w:name="Bookmark39"/>
      <w:r>
        <w:rPr>
          <w:rFonts w:hint="eastAsia"/>
          <w:color w:val="auto"/>
          <w:sz w:val="15"/>
          <w:szCs w:val="15"/>
        </w:rPr>
        <w:t>2845-2852</w:t>
      </w:r>
      <w:bookmarkEnd w:id="33"/>
      <w:r>
        <w:rPr>
          <w:rFonts w:hint="eastAsia"/>
          <w:color w:val="auto"/>
          <w:sz w:val="15"/>
          <w:szCs w:val="15"/>
        </w:rPr>
        <w:t xml:space="preserve">. </w:t>
      </w:r>
    </w:p>
    <w:p w14:paraId="6CCFA5CF">
      <w:pPr>
        <w:ind w:left="180" w:hanging="180" w:hangingChars="120"/>
        <w:rPr>
          <w:color w:val="auto"/>
          <w:sz w:val="15"/>
          <w:szCs w:val="15"/>
        </w:rPr>
      </w:pPr>
      <w:r>
        <w:rPr>
          <w:rFonts w:hint="eastAsia"/>
          <w:color w:val="auto"/>
          <w:sz w:val="15"/>
          <w:szCs w:val="15"/>
        </w:rPr>
        <w:t xml:space="preserve">[65] GARCÍA-FEAL O, GONZÁLEZ-CAO J, GÓMEZ-GESTEIRA M, et al. An accelerated tool for flood modelling based on iber[J]. Water, 2018, 10(10): </w:t>
      </w:r>
      <w:r>
        <w:rPr>
          <w:color w:val="auto"/>
          <w:sz w:val="15"/>
          <w:szCs w:val="15"/>
        </w:rPr>
        <w:t>1459</w:t>
      </w:r>
      <w:r>
        <w:rPr>
          <w:rFonts w:hint="eastAsia"/>
          <w:color w:val="auto"/>
          <w:sz w:val="15"/>
          <w:szCs w:val="15"/>
        </w:rPr>
        <w:t xml:space="preserve">. </w:t>
      </w:r>
    </w:p>
    <w:p w14:paraId="20254CB0">
      <w:pPr>
        <w:ind w:left="180" w:hanging="180" w:hangingChars="120"/>
        <w:rPr>
          <w:color w:val="auto"/>
          <w:sz w:val="15"/>
          <w:szCs w:val="15"/>
        </w:rPr>
      </w:pPr>
      <w:r>
        <w:rPr>
          <w:rFonts w:hint="eastAsia"/>
          <w:color w:val="auto"/>
          <w:sz w:val="15"/>
          <w:szCs w:val="15"/>
        </w:rPr>
        <w:t xml:space="preserve">[66] XIA X L, LIANG Q H, MING X D. A full-scale fluvial flood modelling framework based on a high-performance integrated hydrodynamic modelling system (HiPIMS)[J]. Advances in Water Resources, 2019, 132: 103392. </w:t>
      </w:r>
    </w:p>
    <w:p w14:paraId="092B5669">
      <w:pPr>
        <w:ind w:left="180" w:hanging="180" w:hangingChars="120"/>
        <w:rPr>
          <w:color w:val="auto"/>
          <w:sz w:val="15"/>
          <w:szCs w:val="15"/>
        </w:rPr>
      </w:pPr>
      <w:r>
        <w:rPr>
          <w:rFonts w:hint="eastAsia"/>
          <w:color w:val="auto"/>
          <w:sz w:val="15"/>
          <w:szCs w:val="15"/>
        </w:rPr>
        <w:t xml:space="preserve">[67] SHAW J, KESSERWANI G, NEAL J, et al. LISFLOOD-FP 8.0: The new discontinuous Galerkin shallow-water solver for multi-core CPUs and GPUs[J]. Geoscientific Model Development, 2021, 14(6): </w:t>
      </w:r>
      <w:bookmarkStart w:id="34" w:name="Bookmark38"/>
      <w:r>
        <w:rPr>
          <w:rFonts w:hint="eastAsia"/>
          <w:color w:val="auto"/>
          <w:sz w:val="15"/>
          <w:szCs w:val="15"/>
        </w:rPr>
        <w:t>3577-3602</w:t>
      </w:r>
      <w:bookmarkEnd w:id="34"/>
      <w:r>
        <w:rPr>
          <w:rFonts w:hint="eastAsia"/>
          <w:color w:val="auto"/>
          <w:sz w:val="15"/>
          <w:szCs w:val="15"/>
        </w:rPr>
        <w:t xml:space="preserve">. </w:t>
      </w:r>
    </w:p>
    <w:p w14:paraId="304C3244">
      <w:pPr>
        <w:ind w:left="180" w:hanging="180" w:hangingChars="120"/>
        <w:rPr>
          <w:color w:val="auto"/>
          <w:sz w:val="15"/>
          <w:szCs w:val="15"/>
        </w:rPr>
      </w:pPr>
      <w:r>
        <w:rPr>
          <w:rFonts w:hint="eastAsia"/>
          <w:color w:val="auto"/>
          <w:sz w:val="15"/>
          <w:szCs w:val="15"/>
        </w:rPr>
        <w:t xml:space="preserve">[68] ZHANG H C, CAO Q, WU C M, et al. Lightweight GPU-accelerated parallel processing of the SCHISM model using CUDA fortran[J]. Journal of Marine Science and Engineering, 2025, 13(4): </w:t>
      </w:r>
      <w:r>
        <w:rPr>
          <w:color w:val="auto"/>
          <w:sz w:val="15"/>
          <w:szCs w:val="15"/>
        </w:rPr>
        <w:t>662</w:t>
      </w:r>
      <w:r>
        <w:rPr>
          <w:rFonts w:hint="eastAsia"/>
          <w:color w:val="auto"/>
          <w:sz w:val="15"/>
          <w:szCs w:val="15"/>
        </w:rPr>
        <w:t xml:space="preserve">. </w:t>
      </w:r>
    </w:p>
    <w:p w14:paraId="21B7948F">
      <w:pPr>
        <w:ind w:left="180" w:hanging="180" w:hangingChars="120"/>
        <w:rPr>
          <w:color w:val="auto"/>
          <w:sz w:val="15"/>
          <w:szCs w:val="15"/>
        </w:rPr>
      </w:pPr>
      <w:r>
        <w:rPr>
          <w:rFonts w:hint="eastAsia"/>
          <w:color w:val="auto"/>
          <w:sz w:val="15"/>
          <w:szCs w:val="15"/>
        </w:rPr>
        <w:t xml:space="preserve">[69] </w:t>
      </w:r>
      <w:r>
        <w:rPr>
          <w:color w:val="auto"/>
          <w:sz w:val="15"/>
          <w:szCs w:val="15"/>
        </w:rPr>
        <w:t>SONG Y, SHEN C, LIU X. A Surrogate Model for Shallow Water Equations Solvers with Deep Learning[J]. Journal of Hydraulic Engineering, 2023, 149(11): 04023045.</w:t>
      </w:r>
    </w:p>
    <w:p w14:paraId="413AC8FD">
      <w:pPr>
        <w:ind w:left="180" w:hanging="180" w:hangingChars="120"/>
        <w:rPr>
          <w:color w:val="auto"/>
          <w:sz w:val="15"/>
          <w:szCs w:val="15"/>
        </w:rPr>
      </w:pPr>
      <w:r>
        <w:rPr>
          <w:rFonts w:hint="eastAsia"/>
          <w:color w:val="auto"/>
          <w:sz w:val="15"/>
          <w:szCs w:val="15"/>
        </w:rPr>
        <w:t xml:space="preserve">[70] KONTOLATI K, GOSWAMI S, EM KARNIADAKIS G, et al. Learning nonlinear operators in latent spaces for real-time predictions of complex dynamics in physical systems[J]. Nature Communications, 2024, 15: 5101. </w:t>
      </w:r>
    </w:p>
    <w:p w14:paraId="6A76A805">
      <w:pPr>
        <w:ind w:left="180" w:hanging="180" w:hangingChars="120"/>
        <w:rPr>
          <w:color w:val="auto"/>
          <w:sz w:val="15"/>
          <w:szCs w:val="15"/>
        </w:rPr>
      </w:pPr>
      <w:r>
        <w:rPr>
          <w:rFonts w:hint="eastAsia"/>
          <w:color w:val="auto"/>
          <w:sz w:val="15"/>
          <w:szCs w:val="15"/>
        </w:rPr>
        <w:t xml:space="preserve">[71] BENTIVOGLIO R, ISUFI E, JONKMAN S N, et al. Rapid spatio-temporal flood modelling </w:t>
      </w:r>
      <w:r>
        <w:rPr>
          <w:rFonts w:hint="eastAsia"/>
          <w:i/>
          <w:color w:val="auto"/>
          <w:sz w:val="15"/>
          <w:szCs w:val="15"/>
        </w:rPr>
        <w:t>via</w:t>
      </w:r>
      <w:r>
        <w:rPr>
          <w:rFonts w:hint="eastAsia"/>
          <w:color w:val="auto"/>
          <w:sz w:val="15"/>
          <w:szCs w:val="15"/>
        </w:rPr>
        <w:t xml:space="preserve"> hydraulics-based graph neural networks[J]. Hydrology and Earth System Sciences, 2023, 27(23): </w:t>
      </w:r>
      <w:bookmarkStart w:id="35" w:name="Bookmark40"/>
      <w:r>
        <w:rPr>
          <w:rFonts w:hint="eastAsia"/>
          <w:color w:val="auto"/>
          <w:sz w:val="15"/>
          <w:szCs w:val="15"/>
        </w:rPr>
        <w:t>4227-4246</w:t>
      </w:r>
      <w:bookmarkEnd w:id="35"/>
      <w:r>
        <w:rPr>
          <w:rFonts w:hint="eastAsia"/>
          <w:color w:val="auto"/>
          <w:sz w:val="15"/>
          <w:szCs w:val="15"/>
        </w:rPr>
        <w:t xml:space="preserve">. </w:t>
      </w:r>
    </w:p>
    <w:p w14:paraId="43376E56">
      <w:pPr>
        <w:ind w:left="180" w:hanging="180" w:hangingChars="120"/>
        <w:rPr>
          <w:color w:val="auto"/>
          <w:sz w:val="15"/>
          <w:szCs w:val="15"/>
        </w:rPr>
      </w:pPr>
      <w:r>
        <w:rPr>
          <w:rFonts w:hint="eastAsia"/>
          <w:color w:val="auto"/>
          <w:sz w:val="15"/>
          <w:szCs w:val="15"/>
        </w:rPr>
        <w:t xml:space="preserve">[72] ZHOU Y R, WU W Y, NATHAN R, et al. Deep learning-based rapid flood inundation modeling for flat floodplains with complex flow paths[J]. Water Resources Research, 2022, 58(12): e2022WR033214. </w:t>
      </w:r>
    </w:p>
    <w:p w14:paraId="288E4DCD">
      <w:pPr>
        <w:ind w:left="180" w:hanging="180" w:hangingChars="120"/>
        <w:rPr>
          <w:color w:val="auto"/>
          <w:sz w:val="15"/>
          <w:szCs w:val="15"/>
        </w:rPr>
      </w:pPr>
      <w:r>
        <w:rPr>
          <w:rFonts w:hint="eastAsia"/>
          <w:color w:val="auto"/>
          <w:sz w:val="15"/>
          <w:szCs w:val="15"/>
        </w:rPr>
        <w:t xml:space="preserve">[73] LIU X F, SONG Y L, SHEN C P. Bathymetry inversion using a deep-learning-based surrogate for shallow water equations solvers[J]. Water Resources Research, 2024, 60(3): e2023WR035890. </w:t>
      </w:r>
    </w:p>
    <w:p w14:paraId="033362EC">
      <w:pPr>
        <w:ind w:left="180" w:hanging="180" w:hangingChars="120"/>
        <w:rPr>
          <w:color w:val="auto"/>
          <w:sz w:val="15"/>
          <w:szCs w:val="15"/>
        </w:rPr>
      </w:pPr>
      <w:r>
        <w:rPr>
          <w:rFonts w:hint="eastAsia"/>
          <w:color w:val="auto"/>
          <w:sz w:val="15"/>
          <w:szCs w:val="15"/>
        </w:rPr>
        <w:t xml:space="preserve">[74] QI X, DE ALMEIDA G A M, MALDONADO S. Physics-informed neural networks for solving flow problems modeled by the 2D Shallow Water Equations without labeled data[J]. Journal of Hydrology, 2024, 636: 131263. </w:t>
      </w:r>
    </w:p>
    <w:p w14:paraId="5FF1A4C0">
      <w:pPr>
        <w:ind w:left="180" w:hanging="180" w:hangingChars="120"/>
        <w:rPr>
          <w:color w:val="auto"/>
          <w:sz w:val="15"/>
          <w:szCs w:val="15"/>
        </w:rPr>
      </w:pPr>
      <w:r>
        <w:rPr>
          <w:rFonts w:hint="eastAsia"/>
          <w:color w:val="auto"/>
          <w:sz w:val="15"/>
          <w:szCs w:val="15"/>
        </w:rPr>
        <w:t xml:space="preserve">[75] DAZZI S. Physics-informed neural networks for the augmented system of shallow water equations with topography[J]. Water Resources Research, 2024, 60(10): e2023WR036589. </w:t>
      </w:r>
    </w:p>
    <w:p w14:paraId="7936BC92">
      <w:pPr>
        <w:ind w:left="180" w:hanging="180" w:hangingChars="120"/>
        <w:rPr>
          <w:color w:val="auto"/>
          <w:sz w:val="15"/>
          <w:szCs w:val="15"/>
        </w:rPr>
      </w:pPr>
      <w:r>
        <w:rPr>
          <w:rFonts w:hint="eastAsia"/>
          <w:color w:val="auto"/>
          <w:sz w:val="15"/>
          <w:szCs w:val="15"/>
        </w:rPr>
        <w:t>[76] 靳放, 郑素佩, 封建湖, 等. 求解浅水波方程的并行物理信息神经网络算法[J]. 计算力学学报, 2024, 41(2): 352-358.</w:t>
      </w:r>
      <w:r>
        <w:rPr>
          <w:rFonts w:hint="eastAsia"/>
          <w:color w:val="auto"/>
          <w:sz w:val="15"/>
          <w:szCs w:val="15"/>
        </w:rPr>
        <w:br w:type="textWrapping"/>
      </w:r>
      <w:r>
        <w:rPr>
          <w:rFonts w:hint="eastAsia"/>
          <w:color w:val="auto"/>
          <w:sz w:val="15"/>
          <w:szCs w:val="15"/>
        </w:rPr>
        <w:t xml:space="preserve">JIN F, ZHENG S P, FENG J H, et al. Concurrent PINN algorithm for solving shallow water wave equations[J]. Chinese Journal of Computational Mechanics, 2024, 41(2): 352-358. </w:t>
      </w:r>
    </w:p>
    <w:p w14:paraId="4A5907C9">
      <w:pPr>
        <w:ind w:left="180" w:hanging="180" w:hangingChars="120"/>
        <w:rPr>
          <w:color w:val="auto"/>
          <w:sz w:val="15"/>
          <w:szCs w:val="15"/>
        </w:rPr>
      </w:pPr>
      <w:r>
        <w:rPr>
          <w:rFonts w:hint="eastAsia"/>
          <w:color w:val="auto"/>
          <w:sz w:val="15"/>
          <w:szCs w:val="15"/>
        </w:rPr>
        <w:t xml:space="preserve">[77] KHARAZMI E, ZHANG Z Q, KARNIADAKIS G E M. </w:t>
      </w:r>
      <w:r>
        <w:rPr>
          <w:rFonts w:hint="eastAsia"/>
          <w:i/>
          <w:color w:val="auto"/>
          <w:sz w:val="15"/>
          <w:szCs w:val="15"/>
        </w:rPr>
        <w:t>hp</w:t>
      </w:r>
      <w:r>
        <w:rPr>
          <w:rFonts w:hint="eastAsia"/>
          <w:color w:val="auto"/>
          <w:sz w:val="15"/>
          <w:szCs w:val="15"/>
        </w:rPr>
        <w:t xml:space="preserve">-VPINNs: Variational physics-informed neural networks with domain decomposition[J]. Computer Methods in Applied Mechanics and Engineering, 2021, 374: 113547. </w:t>
      </w:r>
    </w:p>
    <w:p w14:paraId="3AC20220">
      <w:pPr>
        <w:ind w:left="180" w:hanging="180" w:hangingChars="120"/>
        <w:rPr>
          <w:color w:val="auto"/>
          <w:sz w:val="15"/>
          <w:szCs w:val="15"/>
        </w:rPr>
      </w:pPr>
      <w:r>
        <w:rPr>
          <w:rFonts w:hint="eastAsia"/>
          <w:color w:val="auto"/>
          <w:sz w:val="15"/>
          <w:szCs w:val="15"/>
        </w:rPr>
        <w:t xml:space="preserve">[78] JAGTAP A D, EM KARNIADAKIS G. Extended physics-informed neural networks (XPINNs): A generalized space-time domain decomposition based deep learning framework for nonlinear partial differential equations[J]. Communications in Computational Physics, 2025, 28(5): </w:t>
      </w:r>
      <w:bookmarkStart w:id="36" w:name="Bookmark41"/>
      <w:r>
        <w:rPr>
          <w:rFonts w:hint="eastAsia"/>
          <w:color w:val="auto"/>
          <w:sz w:val="15"/>
          <w:szCs w:val="15"/>
        </w:rPr>
        <w:t>2002-2041</w:t>
      </w:r>
      <w:bookmarkEnd w:id="36"/>
      <w:r>
        <w:rPr>
          <w:rFonts w:hint="eastAsia"/>
          <w:color w:val="auto"/>
          <w:sz w:val="15"/>
          <w:szCs w:val="15"/>
        </w:rPr>
        <w:t xml:space="preserve">. </w:t>
      </w:r>
    </w:p>
    <w:p w14:paraId="7662D444">
      <w:pPr>
        <w:ind w:left="180" w:hanging="180" w:hangingChars="120"/>
        <w:rPr>
          <w:color w:val="auto"/>
          <w:sz w:val="15"/>
          <w:szCs w:val="15"/>
        </w:rPr>
      </w:pPr>
    </w:p>
    <w:p w14:paraId="13E55E80">
      <w:pPr>
        <w:ind w:left="180" w:hanging="180" w:hangingChars="120"/>
        <w:jc w:val="right"/>
        <w:rPr>
          <w:color w:val="auto"/>
          <w:sz w:val="15"/>
          <w:szCs w:val="15"/>
        </w:rPr>
      </w:pPr>
      <w:r>
        <w:rPr>
          <w:rFonts w:hint="eastAsia"/>
          <w:color w:val="auto"/>
          <w:sz w:val="15"/>
          <w:szCs w:val="15"/>
        </w:rPr>
        <w:t>（责任编辑 王璐）</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AD25">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65DD7">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3AA6">
    <w:pPr>
      <w:ind w:firstLine="0" w:firstLineChars="0"/>
      <w:rPr>
        <w:rFonts w:hint="default" w:eastAsia="黑体" w:cs="Times New Roman"/>
        <w:b/>
        <w:color w:val="auto"/>
        <w:sz w:val="18"/>
        <w:szCs w:val="18"/>
        <w:lang w:val="en-US" w:eastAsia="zh-CN"/>
      </w:rPr>
    </w:pPr>
    <w:r>
      <w:rPr>
        <w:rFonts w:eastAsia="黑体" w:cs="Times New Roman"/>
        <w:b/>
        <w:bCs/>
        <w:color w:val="auto"/>
        <w:sz w:val="18"/>
        <w:szCs w:val="18"/>
      </w:rPr>
      <w:t>收稿日期：</w:t>
    </w:r>
    <w:r>
      <w:rPr>
        <w:rFonts w:hint="eastAsia" w:eastAsia="黑体" w:cs="Times New Roman"/>
        <w:b/>
        <w:bCs/>
        <w:color w:val="auto"/>
        <w:sz w:val="18"/>
        <w:szCs w:val="18"/>
      </w:rPr>
      <w:t>2025-09-17</w:t>
    </w:r>
    <w:r>
      <w:rPr>
        <w:rFonts w:hint="eastAsia" w:eastAsia="宋体" w:cs="Times New Roman"/>
        <w:color w:val="auto"/>
        <w:sz w:val="18"/>
        <w:szCs w:val="18"/>
      </w:rPr>
      <w:t>；</w:t>
    </w:r>
    <w:r>
      <w:rPr>
        <w:rFonts w:hint="eastAsia" w:eastAsia="黑体" w:cs="Times New Roman"/>
        <w:b/>
        <w:bCs/>
        <w:color w:val="auto"/>
        <w:sz w:val="18"/>
        <w:szCs w:val="18"/>
      </w:rPr>
      <w:t>修回</w:t>
    </w:r>
    <w:r>
      <w:rPr>
        <w:rFonts w:eastAsia="黑体" w:cs="Times New Roman"/>
        <w:b/>
        <w:bCs/>
        <w:color w:val="auto"/>
        <w:sz w:val="18"/>
        <w:szCs w:val="18"/>
      </w:rPr>
      <w:t>日期：</w:t>
    </w:r>
    <w:r>
      <w:rPr>
        <w:rFonts w:hint="eastAsia" w:eastAsia="黑体" w:cs="Times New Roman"/>
        <w:b/>
        <w:bCs/>
        <w:color w:val="auto"/>
        <w:sz w:val="18"/>
        <w:szCs w:val="18"/>
      </w:rPr>
      <w:t>2025-11-11</w:t>
    </w:r>
    <w:r>
      <w:rPr>
        <w:rFonts w:hint="eastAsia" w:eastAsia="宋体" w:cs="Times New Roman"/>
        <w:color w:val="auto"/>
        <w:sz w:val="18"/>
        <w:szCs w:val="18"/>
      </w:rPr>
      <w:t>；</w:t>
    </w:r>
    <w:r>
      <w:rPr>
        <w:rFonts w:hint="eastAsia" w:eastAsia="黑体" w:cs="Times New Roman"/>
        <w:b/>
        <w:bCs/>
        <w:color w:val="auto"/>
        <w:sz w:val="18"/>
        <w:szCs w:val="18"/>
      </w:rPr>
      <w:t>录用</w:t>
    </w:r>
    <w:r>
      <w:rPr>
        <w:rFonts w:eastAsia="黑体" w:cs="Times New Roman"/>
        <w:b/>
        <w:bCs/>
        <w:color w:val="auto"/>
        <w:sz w:val="18"/>
        <w:szCs w:val="18"/>
      </w:rPr>
      <w:t>日期：</w:t>
    </w:r>
    <w:r>
      <w:rPr>
        <w:rFonts w:hint="eastAsia" w:eastAsia="黑体" w:cs="Times New Roman"/>
        <w:b/>
        <w:bCs/>
        <w:color w:val="auto"/>
        <w:sz w:val="18"/>
        <w:szCs w:val="18"/>
      </w:rPr>
      <w:t>2025-11-25</w:t>
    </w:r>
    <w:r>
      <w:rPr>
        <w:rFonts w:hint="eastAsia" w:eastAsia="宋体" w:cs="Times New Roman"/>
        <w:color w:val="auto"/>
        <w:sz w:val="18"/>
        <w:szCs w:val="18"/>
      </w:rPr>
      <w:t>；</w:t>
    </w:r>
    <w:r>
      <w:rPr>
        <w:rFonts w:hint="eastAsia" w:eastAsia="黑体" w:cs="Times New Roman"/>
        <w:b/>
        <w:bCs/>
        <w:color w:val="auto"/>
        <w:sz w:val="18"/>
        <w:szCs w:val="18"/>
      </w:rPr>
      <w:t>网络出版</w:t>
    </w:r>
    <w:r>
      <w:rPr>
        <w:rFonts w:eastAsia="黑体" w:cs="Times New Roman"/>
        <w:b/>
        <w:bCs/>
        <w:color w:val="auto"/>
        <w:sz w:val="18"/>
        <w:szCs w:val="18"/>
      </w:rPr>
      <w:t>日期：</w:t>
    </w:r>
    <w:r>
      <w:rPr>
        <w:rFonts w:hint="eastAsia" w:eastAsia="黑体" w:cs="Times New Roman"/>
        <w:b/>
        <w:bCs/>
        <w:color w:val="auto"/>
        <w:sz w:val="18"/>
        <w:szCs w:val="18"/>
      </w:rPr>
      <w:t>2026-02-</w:t>
    </w:r>
    <w:r>
      <w:rPr>
        <w:rFonts w:hint="eastAsia" w:eastAsia="黑体" w:cs="Times New Roman"/>
        <w:b/>
        <w:bCs/>
        <w:color w:val="auto"/>
        <w:sz w:val="18"/>
        <w:szCs w:val="18"/>
        <w:lang w:val="en-US" w:eastAsia="zh-CN"/>
      </w:rPr>
      <w:t>10</w:t>
    </w:r>
    <w:bookmarkStart w:id="37" w:name="_GoBack"/>
    <w:bookmarkEnd w:id="37"/>
  </w:p>
  <w:p w14:paraId="4E1F9D60">
    <w:pPr>
      <w:snapToGrid w:val="0"/>
      <w:ind w:firstLine="0" w:firstLineChars="0"/>
      <w:rPr>
        <w:rFonts w:hint="eastAsia" w:eastAsia="宋体" w:cs="Times New Roman"/>
        <w:color w:val="auto"/>
        <w:sz w:val="18"/>
        <w:szCs w:val="18"/>
        <w:lang w:eastAsia="zh-CN"/>
      </w:rPr>
    </w:pPr>
    <w:r>
      <w:rPr>
        <w:rFonts w:eastAsia="黑体" w:cs="Times New Roman"/>
        <w:b/>
        <w:bCs/>
        <w:color w:val="auto"/>
        <w:spacing w:val="-2"/>
        <w:sz w:val="18"/>
        <w:szCs w:val="18"/>
      </w:rPr>
      <w:t>基金项目：</w:t>
    </w:r>
    <w:r>
      <w:rPr>
        <w:rFonts w:hint="eastAsia" w:eastAsia="宋体" w:cs="Times New Roman"/>
        <w:color w:val="auto"/>
        <w:sz w:val="18"/>
        <w:szCs w:val="18"/>
      </w:rPr>
      <w:t>国家重点研发计划“黄河上游径流历史规律及未来趋势研究”（2023YFC3206701-2）；中国水科院揭榜挂帅项目</w:t>
    </w:r>
    <w:r>
      <w:rPr>
        <w:rFonts w:hint="eastAsia" w:eastAsia="宋体" w:cs="Times New Roman"/>
        <w:color w:val="auto"/>
        <w:sz w:val="18"/>
        <w:szCs w:val="18"/>
        <w:lang w:eastAsia="zh-CN"/>
      </w:rPr>
      <w:t>“</w:t>
    </w:r>
    <w:r>
      <w:rPr>
        <w:rFonts w:hint="eastAsia" w:eastAsia="宋体" w:cs="Times New Roman"/>
        <w:color w:val="auto"/>
        <w:sz w:val="18"/>
        <w:szCs w:val="18"/>
      </w:rPr>
      <w:t>基于SkyShare的跨界流域水文水动力过程研究与系统平台构建</w:t>
    </w:r>
    <w:r>
      <w:rPr>
        <w:rFonts w:hint="eastAsia" w:eastAsia="宋体" w:cs="Times New Roman"/>
        <w:color w:val="auto"/>
        <w:sz w:val="18"/>
        <w:szCs w:val="18"/>
        <w:lang w:eastAsia="zh-CN"/>
      </w:rPr>
      <w:t>”（</w:t>
    </w:r>
    <w:r>
      <w:rPr>
        <w:rFonts w:hint="eastAsia" w:eastAsia="宋体" w:cs="Times New Roman"/>
        <w:color w:val="auto"/>
        <w:sz w:val="18"/>
        <w:szCs w:val="18"/>
      </w:rPr>
      <w:t>HY110145B0012025</w:t>
    </w:r>
    <w:r>
      <w:rPr>
        <w:rFonts w:hint="eastAsia" w:eastAsia="宋体" w:cs="Times New Roman"/>
        <w:color w:val="auto"/>
        <w:sz w:val="18"/>
        <w:szCs w:val="18"/>
        <w:lang w:eastAsia="zh-CN"/>
      </w:rPr>
      <w:t>）</w:t>
    </w:r>
  </w:p>
  <w:p w14:paraId="5C2C294F">
    <w:pPr>
      <w:ind w:firstLine="0" w:firstLineChars="0"/>
      <w:rPr>
        <w:rFonts w:eastAsia="宋体" w:cs="Times New Roman"/>
        <w:color w:val="auto"/>
        <w:spacing w:val="4"/>
        <w:sz w:val="18"/>
        <w:szCs w:val="18"/>
      </w:rPr>
    </w:pPr>
    <w:r>
      <w:rPr>
        <w:rFonts w:eastAsia="黑体" w:cs="Times New Roman"/>
        <w:b/>
        <w:bCs/>
        <w:color w:val="auto"/>
        <w:spacing w:val="-2"/>
        <w:sz w:val="18"/>
        <w:szCs w:val="18"/>
      </w:rPr>
      <w:t>作者简介：</w:t>
    </w:r>
    <w:r>
      <w:rPr>
        <w:rFonts w:hint="eastAsia" w:eastAsia="宋体" w:cs="Times New Roman"/>
        <w:color w:val="auto"/>
        <w:sz w:val="18"/>
        <w:szCs w:val="18"/>
      </w:rPr>
      <w:t>曹翔</w:t>
    </w:r>
    <w:r>
      <w:rPr>
        <w:rFonts w:eastAsia="宋体" w:cs="Times New Roman"/>
        <w:color w:val="auto"/>
        <w:sz w:val="18"/>
        <w:szCs w:val="18"/>
      </w:rPr>
      <w:t>（</w:t>
    </w:r>
    <w:r>
      <w:rPr>
        <w:rFonts w:hint="eastAsia" w:eastAsia="宋体" w:cs="Times New Roman"/>
        <w:color w:val="auto"/>
        <w:sz w:val="18"/>
        <w:szCs w:val="18"/>
      </w:rPr>
      <w:t>2001—</w:t>
    </w:r>
    <w:r>
      <w:rPr>
        <w:rFonts w:eastAsia="宋体" w:cs="Times New Roman"/>
        <w:color w:val="auto"/>
        <w:sz w:val="18"/>
        <w:szCs w:val="18"/>
      </w:rPr>
      <w:t>），</w:t>
    </w:r>
    <w:r>
      <w:rPr>
        <w:rFonts w:hint="eastAsia" w:eastAsia="宋体" w:cs="Times New Roman"/>
        <w:color w:val="auto"/>
        <w:sz w:val="18"/>
        <w:szCs w:val="18"/>
      </w:rPr>
      <w:t>男</w:t>
    </w:r>
    <w:r>
      <w:rPr>
        <w:rFonts w:eastAsia="宋体" w:cs="Times New Roman"/>
        <w:color w:val="auto"/>
        <w:spacing w:val="4"/>
        <w:sz w:val="18"/>
        <w:szCs w:val="18"/>
      </w:rPr>
      <w:t>，硕士研究生，主要从事</w:t>
    </w:r>
    <w:r>
      <w:rPr>
        <w:rFonts w:hint="eastAsia" w:eastAsia="宋体" w:cs="Times New Roman"/>
        <w:color w:val="auto"/>
        <w:spacing w:val="4"/>
        <w:sz w:val="18"/>
        <w:szCs w:val="18"/>
      </w:rPr>
      <w:t>水动力及水文相关</w:t>
    </w:r>
    <w:r>
      <w:rPr>
        <w:rFonts w:eastAsia="宋体" w:cs="Times New Roman"/>
        <w:color w:val="auto"/>
        <w:spacing w:val="4"/>
        <w:sz w:val="18"/>
        <w:szCs w:val="18"/>
      </w:rPr>
      <w:t>研究。E-mail：</w:t>
    </w:r>
    <w:r>
      <w:rPr>
        <w:rFonts w:hint="eastAsia" w:eastAsia="宋体" w:cs="Times New Roman"/>
        <w:color w:val="auto"/>
        <w:spacing w:val="4"/>
        <w:sz w:val="18"/>
        <w:szCs w:val="18"/>
      </w:rPr>
      <w:t>caoxiang@edu.iwhr.com</w:t>
    </w:r>
  </w:p>
  <w:p w14:paraId="3A0F1EA0">
    <w:pPr>
      <w:ind w:firstLine="0" w:firstLineChars="0"/>
      <w:rPr>
        <w:rFonts w:eastAsia="宋体" w:cs="Times New Roman"/>
        <w:color w:val="auto"/>
        <w:spacing w:val="4"/>
        <w:sz w:val="18"/>
        <w:szCs w:val="18"/>
      </w:rPr>
    </w:pPr>
    <w:r>
      <w:rPr>
        <w:rFonts w:eastAsia="黑体" w:cs="Times New Roman"/>
        <w:b/>
        <w:bCs/>
        <w:color w:val="auto"/>
        <w:spacing w:val="-2"/>
        <w:sz w:val="18"/>
        <w:szCs w:val="18"/>
      </w:rPr>
      <w:t>通信作者：</w:t>
    </w:r>
    <w:r>
      <w:rPr>
        <w:rFonts w:hint="eastAsia" w:eastAsia="宋体" w:cs="Times New Roman"/>
        <w:color w:val="auto"/>
        <w:sz w:val="18"/>
        <w:szCs w:val="18"/>
      </w:rPr>
      <w:t>胡宏昌</w:t>
    </w:r>
    <w:r>
      <w:rPr>
        <w:rFonts w:eastAsia="宋体" w:cs="Times New Roman"/>
        <w:color w:val="auto"/>
        <w:spacing w:val="4"/>
        <w:sz w:val="18"/>
        <w:szCs w:val="18"/>
      </w:rPr>
      <w:t>（</w:t>
    </w:r>
    <w:r>
      <w:rPr>
        <w:rFonts w:hint="eastAsia" w:eastAsia="宋体" w:cs="Times New Roman"/>
        <w:color w:val="auto"/>
        <w:spacing w:val="4"/>
        <w:sz w:val="18"/>
        <w:szCs w:val="18"/>
      </w:rPr>
      <w:t>1981</w:t>
    </w:r>
    <w:r>
      <w:rPr>
        <w:rFonts w:hint="eastAsia" w:eastAsia="宋体" w:cs="Times New Roman"/>
        <w:color w:val="auto"/>
        <w:sz w:val="18"/>
        <w:szCs w:val="18"/>
      </w:rPr>
      <w:t>—</w:t>
    </w:r>
    <w:r>
      <w:rPr>
        <w:rFonts w:eastAsia="宋体" w:cs="Times New Roman"/>
        <w:color w:val="auto"/>
        <w:spacing w:val="4"/>
        <w:sz w:val="18"/>
        <w:szCs w:val="18"/>
      </w:rPr>
      <w:t>），</w:t>
    </w:r>
    <w:r>
      <w:rPr>
        <w:rFonts w:hint="eastAsia" w:eastAsia="宋体" w:cs="Times New Roman"/>
        <w:color w:val="auto"/>
        <w:spacing w:val="4"/>
        <w:sz w:val="18"/>
        <w:szCs w:val="18"/>
      </w:rPr>
      <w:t>男</w:t>
    </w:r>
    <w:r>
      <w:rPr>
        <w:rFonts w:eastAsia="宋体" w:cs="Times New Roman"/>
        <w:color w:val="auto"/>
        <w:spacing w:val="4"/>
        <w:sz w:val="18"/>
        <w:szCs w:val="18"/>
      </w:rPr>
      <w:t>，</w:t>
    </w:r>
    <w:r>
      <w:rPr>
        <w:rFonts w:hint="eastAsia" w:eastAsia="宋体" w:cs="Times New Roman"/>
        <w:color w:val="auto"/>
        <w:spacing w:val="4"/>
        <w:sz w:val="18"/>
        <w:szCs w:val="18"/>
        <w:lang w:val="en-US" w:eastAsia="zh-CN"/>
      </w:rPr>
      <w:t>高级工程师</w:t>
    </w:r>
    <w:r>
      <w:rPr>
        <w:rFonts w:eastAsia="宋体" w:cs="Times New Roman"/>
        <w:color w:val="auto"/>
        <w:spacing w:val="4"/>
        <w:sz w:val="18"/>
        <w:szCs w:val="18"/>
      </w:rPr>
      <w:t>，</w:t>
    </w:r>
    <w:r>
      <w:rPr>
        <w:rFonts w:hint="eastAsia" w:eastAsia="宋体" w:cs="Times New Roman"/>
        <w:color w:val="auto"/>
        <w:spacing w:val="4"/>
        <w:sz w:val="18"/>
        <w:szCs w:val="18"/>
      </w:rPr>
      <w:t>博士</w:t>
    </w:r>
    <w:r>
      <w:rPr>
        <w:rFonts w:eastAsia="宋体" w:cs="Times New Roman"/>
        <w:color w:val="auto"/>
        <w:spacing w:val="4"/>
        <w:sz w:val="18"/>
        <w:szCs w:val="18"/>
      </w:rPr>
      <w:t>，主要从事</w:t>
    </w:r>
    <w:r>
      <w:rPr>
        <w:rFonts w:hint="eastAsia" w:eastAsia="宋体" w:cs="Times New Roman"/>
        <w:color w:val="auto"/>
        <w:spacing w:val="4"/>
        <w:sz w:val="18"/>
        <w:szCs w:val="18"/>
      </w:rPr>
      <w:t>水文水动力</w:t>
    </w:r>
    <w:r>
      <w:rPr>
        <w:rFonts w:eastAsia="宋体" w:cs="Times New Roman"/>
        <w:color w:val="auto"/>
        <w:spacing w:val="4"/>
        <w:sz w:val="18"/>
        <w:szCs w:val="18"/>
      </w:rPr>
      <w:t>研究。E-mail：</w:t>
    </w:r>
    <w:r>
      <w:rPr>
        <w:rFonts w:hint="eastAsia" w:eastAsia="宋体" w:cs="Times New Roman"/>
        <w:color w:val="auto"/>
        <w:spacing w:val="4"/>
        <w:sz w:val="18"/>
        <w:szCs w:val="18"/>
      </w:rPr>
      <w:t>huhc@iwhr.com</w:t>
    </w:r>
  </w:p>
  <w:p w14:paraId="79804AD9">
    <w:pPr>
      <w:pStyle w:val="9"/>
      <w:ind w:firstLine="360"/>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3573D">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1E5D">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9959">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C13"/>
    <w:rsid w:val="00005736"/>
    <w:rsid w:val="000218A7"/>
    <w:rsid w:val="00033F8C"/>
    <w:rsid w:val="00044367"/>
    <w:rsid w:val="00055DA9"/>
    <w:rsid w:val="000811AE"/>
    <w:rsid w:val="00090B41"/>
    <w:rsid w:val="000B0C2C"/>
    <w:rsid w:val="000B5606"/>
    <w:rsid w:val="000D000A"/>
    <w:rsid w:val="000E262A"/>
    <w:rsid w:val="000E5A72"/>
    <w:rsid w:val="000F6105"/>
    <w:rsid w:val="00121A86"/>
    <w:rsid w:val="001537D6"/>
    <w:rsid w:val="0015579A"/>
    <w:rsid w:val="00155DDF"/>
    <w:rsid w:val="001621D6"/>
    <w:rsid w:val="00170921"/>
    <w:rsid w:val="00172A27"/>
    <w:rsid w:val="001825B2"/>
    <w:rsid w:val="001C114E"/>
    <w:rsid w:val="00210DF5"/>
    <w:rsid w:val="002127C9"/>
    <w:rsid w:val="00234F77"/>
    <w:rsid w:val="00255BF4"/>
    <w:rsid w:val="0025761B"/>
    <w:rsid w:val="00261D47"/>
    <w:rsid w:val="00270BCD"/>
    <w:rsid w:val="002741A0"/>
    <w:rsid w:val="00284E04"/>
    <w:rsid w:val="00297BAC"/>
    <w:rsid w:val="002B0BE5"/>
    <w:rsid w:val="002B185B"/>
    <w:rsid w:val="002B18D6"/>
    <w:rsid w:val="002B452A"/>
    <w:rsid w:val="002B76E8"/>
    <w:rsid w:val="002C3859"/>
    <w:rsid w:val="002C4062"/>
    <w:rsid w:val="002D53D8"/>
    <w:rsid w:val="002E71F1"/>
    <w:rsid w:val="002F69E0"/>
    <w:rsid w:val="0030787C"/>
    <w:rsid w:val="00382966"/>
    <w:rsid w:val="00385667"/>
    <w:rsid w:val="003A4AED"/>
    <w:rsid w:val="003B369D"/>
    <w:rsid w:val="003B64EB"/>
    <w:rsid w:val="00404DCF"/>
    <w:rsid w:val="0040613A"/>
    <w:rsid w:val="004246DE"/>
    <w:rsid w:val="00446B3E"/>
    <w:rsid w:val="004477D2"/>
    <w:rsid w:val="00454BAB"/>
    <w:rsid w:val="004619AC"/>
    <w:rsid w:val="00483D46"/>
    <w:rsid w:val="00487F20"/>
    <w:rsid w:val="00490F94"/>
    <w:rsid w:val="0049368A"/>
    <w:rsid w:val="004A4F4D"/>
    <w:rsid w:val="004C0FED"/>
    <w:rsid w:val="004E66B3"/>
    <w:rsid w:val="004F28A8"/>
    <w:rsid w:val="004F5294"/>
    <w:rsid w:val="00501FE6"/>
    <w:rsid w:val="005052AC"/>
    <w:rsid w:val="005522D2"/>
    <w:rsid w:val="00570904"/>
    <w:rsid w:val="005D422C"/>
    <w:rsid w:val="005D5405"/>
    <w:rsid w:val="005D569D"/>
    <w:rsid w:val="00602717"/>
    <w:rsid w:val="00633FA3"/>
    <w:rsid w:val="00657827"/>
    <w:rsid w:val="0067095A"/>
    <w:rsid w:val="00682BA2"/>
    <w:rsid w:val="006A1803"/>
    <w:rsid w:val="006A1C52"/>
    <w:rsid w:val="006A2E65"/>
    <w:rsid w:val="006C1A74"/>
    <w:rsid w:val="006E6B3E"/>
    <w:rsid w:val="006F1DF9"/>
    <w:rsid w:val="00731412"/>
    <w:rsid w:val="007323CC"/>
    <w:rsid w:val="00737D1E"/>
    <w:rsid w:val="007402CA"/>
    <w:rsid w:val="007768D7"/>
    <w:rsid w:val="00795310"/>
    <w:rsid w:val="007C6F2C"/>
    <w:rsid w:val="007D60E0"/>
    <w:rsid w:val="007F6F24"/>
    <w:rsid w:val="0082477A"/>
    <w:rsid w:val="0083748B"/>
    <w:rsid w:val="00842B68"/>
    <w:rsid w:val="00844160"/>
    <w:rsid w:val="00855F14"/>
    <w:rsid w:val="0086504D"/>
    <w:rsid w:val="00881383"/>
    <w:rsid w:val="00885FB4"/>
    <w:rsid w:val="00886CB5"/>
    <w:rsid w:val="008973A2"/>
    <w:rsid w:val="008A0F90"/>
    <w:rsid w:val="008A74D7"/>
    <w:rsid w:val="008D3E57"/>
    <w:rsid w:val="008F1085"/>
    <w:rsid w:val="008F57A6"/>
    <w:rsid w:val="009044CB"/>
    <w:rsid w:val="00913EC8"/>
    <w:rsid w:val="00913F5F"/>
    <w:rsid w:val="00922D53"/>
    <w:rsid w:val="00933C30"/>
    <w:rsid w:val="00944184"/>
    <w:rsid w:val="00960F2B"/>
    <w:rsid w:val="00983591"/>
    <w:rsid w:val="009944C6"/>
    <w:rsid w:val="009C1EF2"/>
    <w:rsid w:val="009C3B1E"/>
    <w:rsid w:val="009F5AC2"/>
    <w:rsid w:val="00A133C4"/>
    <w:rsid w:val="00A30287"/>
    <w:rsid w:val="00A34C56"/>
    <w:rsid w:val="00A50FAF"/>
    <w:rsid w:val="00A51C89"/>
    <w:rsid w:val="00A57089"/>
    <w:rsid w:val="00A861CA"/>
    <w:rsid w:val="00AB6A2B"/>
    <w:rsid w:val="00AC6301"/>
    <w:rsid w:val="00AD6B18"/>
    <w:rsid w:val="00AE1D7F"/>
    <w:rsid w:val="00AE6AE0"/>
    <w:rsid w:val="00B41C71"/>
    <w:rsid w:val="00B54C48"/>
    <w:rsid w:val="00B768F4"/>
    <w:rsid w:val="00B778BF"/>
    <w:rsid w:val="00B81BCE"/>
    <w:rsid w:val="00B953A0"/>
    <w:rsid w:val="00BA7CA7"/>
    <w:rsid w:val="00BE0891"/>
    <w:rsid w:val="00C04679"/>
    <w:rsid w:val="00C2063A"/>
    <w:rsid w:val="00C360EE"/>
    <w:rsid w:val="00C43640"/>
    <w:rsid w:val="00C7425F"/>
    <w:rsid w:val="00C857AE"/>
    <w:rsid w:val="00C94CA1"/>
    <w:rsid w:val="00CA2409"/>
    <w:rsid w:val="00CF6146"/>
    <w:rsid w:val="00D04883"/>
    <w:rsid w:val="00D16D9B"/>
    <w:rsid w:val="00D3001C"/>
    <w:rsid w:val="00D474CB"/>
    <w:rsid w:val="00D813EF"/>
    <w:rsid w:val="00D82662"/>
    <w:rsid w:val="00D85342"/>
    <w:rsid w:val="00DB2E4B"/>
    <w:rsid w:val="00DC17C1"/>
    <w:rsid w:val="00DF4F2E"/>
    <w:rsid w:val="00E058D6"/>
    <w:rsid w:val="00E309D9"/>
    <w:rsid w:val="00E543E9"/>
    <w:rsid w:val="00E629CB"/>
    <w:rsid w:val="00E74DCA"/>
    <w:rsid w:val="00E92325"/>
    <w:rsid w:val="00E948C7"/>
    <w:rsid w:val="00E96FFD"/>
    <w:rsid w:val="00EB66CD"/>
    <w:rsid w:val="00F028F6"/>
    <w:rsid w:val="00F21BD1"/>
    <w:rsid w:val="00F24520"/>
    <w:rsid w:val="00F27A0E"/>
    <w:rsid w:val="00F35FD6"/>
    <w:rsid w:val="00F54F4D"/>
    <w:rsid w:val="00F77AF8"/>
    <w:rsid w:val="00F800AD"/>
    <w:rsid w:val="00F83399"/>
    <w:rsid w:val="00F8607A"/>
    <w:rsid w:val="00FA3437"/>
    <w:rsid w:val="00FA4111"/>
    <w:rsid w:val="00FC227F"/>
    <w:rsid w:val="00FD1D87"/>
    <w:rsid w:val="00FE67E6"/>
    <w:rsid w:val="00FF7114"/>
    <w:rsid w:val="01001B66"/>
    <w:rsid w:val="011E7B7C"/>
    <w:rsid w:val="012C5700"/>
    <w:rsid w:val="0142677D"/>
    <w:rsid w:val="017165B7"/>
    <w:rsid w:val="01A73D87"/>
    <w:rsid w:val="01E35F07"/>
    <w:rsid w:val="02016A0F"/>
    <w:rsid w:val="02343E4F"/>
    <w:rsid w:val="02B7624C"/>
    <w:rsid w:val="02DC5A07"/>
    <w:rsid w:val="02EA4873"/>
    <w:rsid w:val="02FA25DD"/>
    <w:rsid w:val="031136B6"/>
    <w:rsid w:val="031C5016"/>
    <w:rsid w:val="03465822"/>
    <w:rsid w:val="036B5E4C"/>
    <w:rsid w:val="0371289F"/>
    <w:rsid w:val="038D16A3"/>
    <w:rsid w:val="03A54596"/>
    <w:rsid w:val="03B64756"/>
    <w:rsid w:val="03DB0660"/>
    <w:rsid w:val="04082AD7"/>
    <w:rsid w:val="042774DD"/>
    <w:rsid w:val="04702B56"/>
    <w:rsid w:val="0475016D"/>
    <w:rsid w:val="049752DD"/>
    <w:rsid w:val="04AB3B8E"/>
    <w:rsid w:val="04DC4690"/>
    <w:rsid w:val="04DF7CDC"/>
    <w:rsid w:val="04ED512E"/>
    <w:rsid w:val="04F41EFB"/>
    <w:rsid w:val="052E6BC2"/>
    <w:rsid w:val="058A40EC"/>
    <w:rsid w:val="05B02291"/>
    <w:rsid w:val="060A3E55"/>
    <w:rsid w:val="0612468B"/>
    <w:rsid w:val="064E336B"/>
    <w:rsid w:val="06913A7D"/>
    <w:rsid w:val="06A938AC"/>
    <w:rsid w:val="06BA630B"/>
    <w:rsid w:val="06C63DFD"/>
    <w:rsid w:val="06C70A28"/>
    <w:rsid w:val="06C76681"/>
    <w:rsid w:val="06D21D6E"/>
    <w:rsid w:val="06D870D9"/>
    <w:rsid w:val="06E93094"/>
    <w:rsid w:val="070174DD"/>
    <w:rsid w:val="071163A2"/>
    <w:rsid w:val="072A2F74"/>
    <w:rsid w:val="073D0CEA"/>
    <w:rsid w:val="074F739B"/>
    <w:rsid w:val="07524795"/>
    <w:rsid w:val="079654E0"/>
    <w:rsid w:val="079C0106"/>
    <w:rsid w:val="083D3697"/>
    <w:rsid w:val="085B3B1D"/>
    <w:rsid w:val="08887E73"/>
    <w:rsid w:val="08CE609D"/>
    <w:rsid w:val="08F70DAF"/>
    <w:rsid w:val="08FA7FE4"/>
    <w:rsid w:val="092D5890"/>
    <w:rsid w:val="093F343F"/>
    <w:rsid w:val="096473F5"/>
    <w:rsid w:val="098608AA"/>
    <w:rsid w:val="09A11A04"/>
    <w:rsid w:val="09A6526C"/>
    <w:rsid w:val="09D26061"/>
    <w:rsid w:val="09E3201C"/>
    <w:rsid w:val="09EF6C13"/>
    <w:rsid w:val="0A03752B"/>
    <w:rsid w:val="0A2A7C4B"/>
    <w:rsid w:val="0A474359"/>
    <w:rsid w:val="0A481E7F"/>
    <w:rsid w:val="0A48552D"/>
    <w:rsid w:val="0A4F76B2"/>
    <w:rsid w:val="0A586566"/>
    <w:rsid w:val="0A5C1147"/>
    <w:rsid w:val="0A6A1090"/>
    <w:rsid w:val="0A775D4F"/>
    <w:rsid w:val="0A821835"/>
    <w:rsid w:val="0A96708F"/>
    <w:rsid w:val="0AA3355A"/>
    <w:rsid w:val="0AD02C53"/>
    <w:rsid w:val="0B024724"/>
    <w:rsid w:val="0B0E003D"/>
    <w:rsid w:val="0B1C57E6"/>
    <w:rsid w:val="0B2508ED"/>
    <w:rsid w:val="0B304DED"/>
    <w:rsid w:val="0B5D195B"/>
    <w:rsid w:val="0B7474BB"/>
    <w:rsid w:val="0BA92DF2"/>
    <w:rsid w:val="0BAD47AA"/>
    <w:rsid w:val="0BDA2FAB"/>
    <w:rsid w:val="0BEA58E4"/>
    <w:rsid w:val="0BEA7692"/>
    <w:rsid w:val="0BF73B5D"/>
    <w:rsid w:val="0BFA3A3E"/>
    <w:rsid w:val="0BFE6C9A"/>
    <w:rsid w:val="0C3F14E5"/>
    <w:rsid w:val="0C71390F"/>
    <w:rsid w:val="0CC9374C"/>
    <w:rsid w:val="0D1D3396"/>
    <w:rsid w:val="0D38442D"/>
    <w:rsid w:val="0D5A522A"/>
    <w:rsid w:val="0D6E6672"/>
    <w:rsid w:val="0D9A4402"/>
    <w:rsid w:val="0DAB2E51"/>
    <w:rsid w:val="0DCA2888"/>
    <w:rsid w:val="0DD226C9"/>
    <w:rsid w:val="0E0802A4"/>
    <w:rsid w:val="0E2A6D6A"/>
    <w:rsid w:val="0E2F5830"/>
    <w:rsid w:val="0E6A2D0C"/>
    <w:rsid w:val="0E707BD8"/>
    <w:rsid w:val="0E867352"/>
    <w:rsid w:val="0E8872EF"/>
    <w:rsid w:val="0E8C5013"/>
    <w:rsid w:val="0EA77ABC"/>
    <w:rsid w:val="0EA9219A"/>
    <w:rsid w:val="0ED3686C"/>
    <w:rsid w:val="0EF07145"/>
    <w:rsid w:val="0EFA3966"/>
    <w:rsid w:val="0F294935"/>
    <w:rsid w:val="0F3B1FB3"/>
    <w:rsid w:val="0F711E78"/>
    <w:rsid w:val="0FB13ED8"/>
    <w:rsid w:val="0FD7617F"/>
    <w:rsid w:val="10012058"/>
    <w:rsid w:val="10041E73"/>
    <w:rsid w:val="10133F86"/>
    <w:rsid w:val="10192607"/>
    <w:rsid w:val="10303AE2"/>
    <w:rsid w:val="103A670E"/>
    <w:rsid w:val="10800423"/>
    <w:rsid w:val="10973B61"/>
    <w:rsid w:val="10A65B52"/>
    <w:rsid w:val="10E85BA5"/>
    <w:rsid w:val="11290C5D"/>
    <w:rsid w:val="11365128"/>
    <w:rsid w:val="113D64B6"/>
    <w:rsid w:val="117143B2"/>
    <w:rsid w:val="119C142F"/>
    <w:rsid w:val="11A11E84"/>
    <w:rsid w:val="11D24E50"/>
    <w:rsid w:val="11FC6F0C"/>
    <w:rsid w:val="123F000C"/>
    <w:rsid w:val="127C76B1"/>
    <w:rsid w:val="128C3251"/>
    <w:rsid w:val="133631BD"/>
    <w:rsid w:val="138419BE"/>
    <w:rsid w:val="14027543"/>
    <w:rsid w:val="140B289C"/>
    <w:rsid w:val="140D728C"/>
    <w:rsid w:val="141D437D"/>
    <w:rsid w:val="147246C9"/>
    <w:rsid w:val="14975EDD"/>
    <w:rsid w:val="149A3C1F"/>
    <w:rsid w:val="14A800EA"/>
    <w:rsid w:val="14D925C1"/>
    <w:rsid w:val="1528122B"/>
    <w:rsid w:val="15883A78"/>
    <w:rsid w:val="15C26F8A"/>
    <w:rsid w:val="15D57434"/>
    <w:rsid w:val="15DD2016"/>
    <w:rsid w:val="15E92769"/>
    <w:rsid w:val="15E943C5"/>
    <w:rsid w:val="162E461F"/>
    <w:rsid w:val="166C5148"/>
    <w:rsid w:val="16A42B33"/>
    <w:rsid w:val="16AE5760"/>
    <w:rsid w:val="16B72867"/>
    <w:rsid w:val="16E86EC4"/>
    <w:rsid w:val="17045380"/>
    <w:rsid w:val="172123D6"/>
    <w:rsid w:val="174A659D"/>
    <w:rsid w:val="178F5592"/>
    <w:rsid w:val="17996410"/>
    <w:rsid w:val="17A821AF"/>
    <w:rsid w:val="17C4045B"/>
    <w:rsid w:val="17E05CBA"/>
    <w:rsid w:val="17F6116D"/>
    <w:rsid w:val="18622CA6"/>
    <w:rsid w:val="18667418"/>
    <w:rsid w:val="186B1B5B"/>
    <w:rsid w:val="18A1557C"/>
    <w:rsid w:val="18C748B7"/>
    <w:rsid w:val="18D92F68"/>
    <w:rsid w:val="18DF60A5"/>
    <w:rsid w:val="18EA221C"/>
    <w:rsid w:val="18ED2570"/>
    <w:rsid w:val="19120228"/>
    <w:rsid w:val="19832ED4"/>
    <w:rsid w:val="19866520"/>
    <w:rsid w:val="198D78AF"/>
    <w:rsid w:val="19BE5D1C"/>
    <w:rsid w:val="19DB4ABE"/>
    <w:rsid w:val="19E971DB"/>
    <w:rsid w:val="19FD67E3"/>
    <w:rsid w:val="1A085187"/>
    <w:rsid w:val="1A564145"/>
    <w:rsid w:val="1A9A1B4D"/>
    <w:rsid w:val="1AAC1FB7"/>
    <w:rsid w:val="1AC45552"/>
    <w:rsid w:val="1AD00105"/>
    <w:rsid w:val="1AD13A86"/>
    <w:rsid w:val="1B0911B7"/>
    <w:rsid w:val="1B2B2B54"/>
    <w:rsid w:val="1B3268DA"/>
    <w:rsid w:val="1B3C333B"/>
    <w:rsid w:val="1B3F107D"/>
    <w:rsid w:val="1B8371BB"/>
    <w:rsid w:val="1BDD4B1E"/>
    <w:rsid w:val="1BF14ADC"/>
    <w:rsid w:val="1C125103"/>
    <w:rsid w:val="1C6963B1"/>
    <w:rsid w:val="1C772E21"/>
    <w:rsid w:val="1C9F0025"/>
    <w:rsid w:val="1CB42A47"/>
    <w:rsid w:val="1CBF06C7"/>
    <w:rsid w:val="1CEA0FDE"/>
    <w:rsid w:val="1D0E51AB"/>
    <w:rsid w:val="1D3F5364"/>
    <w:rsid w:val="1D436C02"/>
    <w:rsid w:val="1D743260"/>
    <w:rsid w:val="1D7F13CF"/>
    <w:rsid w:val="1D870000"/>
    <w:rsid w:val="1DC87107"/>
    <w:rsid w:val="1E197963"/>
    <w:rsid w:val="1E4569AA"/>
    <w:rsid w:val="1E796654"/>
    <w:rsid w:val="1E827A99"/>
    <w:rsid w:val="1EBD29E4"/>
    <w:rsid w:val="1EDB1A02"/>
    <w:rsid w:val="1EEE2B9E"/>
    <w:rsid w:val="1F5F584A"/>
    <w:rsid w:val="1F784E52"/>
    <w:rsid w:val="1F7946A8"/>
    <w:rsid w:val="1F7F1734"/>
    <w:rsid w:val="1FB73434"/>
    <w:rsid w:val="1FCC42FB"/>
    <w:rsid w:val="1FDB15EE"/>
    <w:rsid w:val="1FDC333E"/>
    <w:rsid w:val="1FDE7F6F"/>
    <w:rsid w:val="1FFB0F80"/>
    <w:rsid w:val="204A043C"/>
    <w:rsid w:val="20A200E4"/>
    <w:rsid w:val="20DB53A4"/>
    <w:rsid w:val="211D776A"/>
    <w:rsid w:val="21415B4F"/>
    <w:rsid w:val="21556F04"/>
    <w:rsid w:val="21BB449B"/>
    <w:rsid w:val="21DE514B"/>
    <w:rsid w:val="21E36C06"/>
    <w:rsid w:val="221A4B12"/>
    <w:rsid w:val="22301E93"/>
    <w:rsid w:val="226C09A9"/>
    <w:rsid w:val="22981523"/>
    <w:rsid w:val="22A16179"/>
    <w:rsid w:val="22C5630B"/>
    <w:rsid w:val="22DC376E"/>
    <w:rsid w:val="22E80836"/>
    <w:rsid w:val="22E91FFA"/>
    <w:rsid w:val="22EB3FC4"/>
    <w:rsid w:val="22F34A05"/>
    <w:rsid w:val="233D40F4"/>
    <w:rsid w:val="234E6D44"/>
    <w:rsid w:val="236C49D9"/>
    <w:rsid w:val="237D0994"/>
    <w:rsid w:val="23A777BF"/>
    <w:rsid w:val="23AB56CD"/>
    <w:rsid w:val="23C06A12"/>
    <w:rsid w:val="23E66539"/>
    <w:rsid w:val="2401386A"/>
    <w:rsid w:val="24815BA6"/>
    <w:rsid w:val="24EB7C26"/>
    <w:rsid w:val="24FB78A2"/>
    <w:rsid w:val="252E1F46"/>
    <w:rsid w:val="25441769"/>
    <w:rsid w:val="255A1523"/>
    <w:rsid w:val="257A518B"/>
    <w:rsid w:val="257B0F03"/>
    <w:rsid w:val="259D531E"/>
    <w:rsid w:val="25C97EC1"/>
    <w:rsid w:val="25F0369F"/>
    <w:rsid w:val="25F56F08"/>
    <w:rsid w:val="25F807A6"/>
    <w:rsid w:val="261E020C"/>
    <w:rsid w:val="262F241A"/>
    <w:rsid w:val="26435EC5"/>
    <w:rsid w:val="264A1B0E"/>
    <w:rsid w:val="26720558"/>
    <w:rsid w:val="268362C1"/>
    <w:rsid w:val="26A0179B"/>
    <w:rsid w:val="26E74AA2"/>
    <w:rsid w:val="26EA4592"/>
    <w:rsid w:val="27120038"/>
    <w:rsid w:val="27170840"/>
    <w:rsid w:val="271E423C"/>
    <w:rsid w:val="27327868"/>
    <w:rsid w:val="275525FD"/>
    <w:rsid w:val="276E51C4"/>
    <w:rsid w:val="277767C5"/>
    <w:rsid w:val="2790513A"/>
    <w:rsid w:val="27D50D9F"/>
    <w:rsid w:val="27E67999"/>
    <w:rsid w:val="281D44F4"/>
    <w:rsid w:val="282C4737"/>
    <w:rsid w:val="2858552C"/>
    <w:rsid w:val="28642123"/>
    <w:rsid w:val="289E73E3"/>
    <w:rsid w:val="28DF7DF7"/>
    <w:rsid w:val="28EB63A0"/>
    <w:rsid w:val="290556B4"/>
    <w:rsid w:val="2937040D"/>
    <w:rsid w:val="296E14AB"/>
    <w:rsid w:val="29723FBC"/>
    <w:rsid w:val="29AD620E"/>
    <w:rsid w:val="29BF1D06"/>
    <w:rsid w:val="29CD31C8"/>
    <w:rsid w:val="29CE5DA6"/>
    <w:rsid w:val="29E7300B"/>
    <w:rsid w:val="29F509F4"/>
    <w:rsid w:val="2A2D4EC2"/>
    <w:rsid w:val="2A6D3510"/>
    <w:rsid w:val="2A9C7CEC"/>
    <w:rsid w:val="2AC944BF"/>
    <w:rsid w:val="2AD134D0"/>
    <w:rsid w:val="2AD21972"/>
    <w:rsid w:val="2AE9690F"/>
    <w:rsid w:val="2B366200"/>
    <w:rsid w:val="2B514F38"/>
    <w:rsid w:val="2B66245D"/>
    <w:rsid w:val="2B696BA9"/>
    <w:rsid w:val="2B792014"/>
    <w:rsid w:val="2B9351F9"/>
    <w:rsid w:val="2BF832AE"/>
    <w:rsid w:val="2C11436F"/>
    <w:rsid w:val="2C212804"/>
    <w:rsid w:val="2C5B55EB"/>
    <w:rsid w:val="2CC15D95"/>
    <w:rsid w:val="2CDF446E"/>
    <w:rsid w:val="2CEF46B1"/>
    <w:rsid w:val="2D597D7C"/>
    <w:rsid w:val="2D6E2A3E"/>
    <w:rsid w:val="2D7746A6"/>
    <w:rsid w:val="2D925870"/>
    <w:rsid w:val="2D964B2C"/>
    <w:rsid w:val="2DCD2FD2"/>
    <w:rsid w:val="2DDF0A87"/>
    <w:rsid w:val="2E0C1292"/>
    <w:rsid w:val="2E0F2351"/>
    <w:rsid w:val="2E20089A"/>
    <w:rsid w:val="2E255EB0"/>
    <w:rsid w:val="2E385BE3"/>
    <w:rsid w:val="2E4C78E1"/>
    <w:rsid w:val="2ED3590C"/>
    <w:rsid w:val="2F193C67"/>
    <w:rsid w:val="2F2E6FE6"/>
    <w:rsid w:val="2F3740ED"/>
    <w:rsid w:val="2F601896"/>
    <w:rsid w:val="2F655205"/>
    <w:rsid w:val="2F81180C"/>
    <w:rsid w:val="2FAB0637"/>
    <w:rsid w:val="2FD44032"/>
    <w:rsid w:val="2FEA4BB5"/>
    <w:rsid w:val="30146116"/>
    <w:rsid w:val="304E5B92"/>
    <w:rsid w:val="307040AB"/>
    <w:rsid w:val="30803872"/>
    <w:rsid w:val="30D20571"/>
    <w:rsid w:val="30EE4C7F"/>
    <w:rsid w:val="312B1A2F"/>
    <w:rsid w:val="313C59EB"/>
    <w:rsid w:val="31674F0F"/>
    <w:rsid w:val="31832FA6"/>
    <w:rsid w:val="31885988"/>
    <w:rsid w:val="31D41AA5"/>
    <w:rsid w:val="321C6473"/>
    <w:rsid w:val="32430FFB"/>
    <w:rsid w:val="326718D0"/>
    <w:rsid w:val="32892EB1"/>
    <w:rsid w:val="32B36180"/>
    <w:rsid w:val="32E225C2"/>
    <w:rsid w:val="32EB1476"/>
    <w:rsid w:val="332F677D"/>
    <w:rsid w:val="33370B5F"/>
    <w:rsid w:val="339A4C4A"/>
    <w:rsid w:val="33A8380B"/>
    <w:rsid w:val="33AD7074"/>
    <w:rsid w:val="33D97E69"/>
    <w:rsid w:val="33DE722D"/>
    <w:rsid w:val="340A6274"/>
    <w:rsid w:val="341669C7"/>
    <w:rsid w:val="34515C51"/>
    <w:rsid w:val="34737FC2"/>
    <w:rsid w:val="34A915E9"/>
    <w:rsid w:val="34C401D1"/>
    <w:rsid w:val="34CD748C"/>
    <w:rsid w:val="34CE1050"/>
    <w:rsid w:val="34D90058"/>
    <w:rsid w:val="35366BF5"/>
    <w:rsid w:val="35415CC5"/>
    <w:rsid w:val="35492330"/>
    <w:rsid w:val="35683252"/>
    <w:rsid w:val="356A2A1B"/>
    <w:rsid w:val="35773495"/>
    <w:rsid w:val="35777529"/>
    <w:rsid w:val="35C42453"/>
    <w:rsid w:val="35E5295E"/>
    <w:rsid w:val="35F72828"/>
    <w:rsid w:val="360A0015"/>
    <w:rsid w:val="361E1B63"/>
    <w:rsid w:val="361E6007"/>
    <w:rsid w:val="3643781B"/>
    <w:rsid w:val="364D2448"/>
    <w:rsid w:val="367F4CF7"/>
    <w:rsid w:val="36897924"/>
    <w:rsid w:val="369E0EF6"/>
    <w:rsid w:val="36BF1B7D"/>
    <w:rsid w:val="36EA7C97"/>
    <w:rsid w:val="37060F75"/>
    <w:rsid w:val="37092813"/>
    <w:rsid w:val="370C40B1"/>
    <w:rsid w:val="370F16D6"/>
    <w:rsid w:val="371B60A2"/>
    <w:rsid w:val="372223AA"/>
    <w:rsid w:val="373D540C"/>
    <w:rsid w:val="37607F59"/>
    <w:rsid w:val="376C68FE"/>
    <w:rsid w:val="376F6EDF"/>
    <w:rsid w:val="376F7A7E"/>
    <w:rsid w:val="37920FAE"/>
    <w:rsid w:val="379412E7"/>
    <w:rsid w:val="37986788"/>
    <w:rsid w:val="379A790F"/>
    <w:rsid w:val="37A92409"/>
    <w:rsid w:val="37B3452D"/>
    <w:rsid w:val="37D270A9"/>
    <w:rsid w:val="37D741EB"/>
    <w:rsid w:val="38055562"/>
    <w:rsid w:val="382A2A41"/>
    <w:rsid w:val="38521F98"/>
    <w:rsid w:val="38524F93"/>
    <w:rsid w:val="386E5BFC"/>
    <w:rsid w:val="38877E93"/>
    <w:rsid w:val="38BB2AC2"/>
    <w:rsid w:val="38D04F99"/>
    <w:rsid w:val="38D8249D"/>
    <w:rsid w:val="38EA0422"/>
    <w:rsid w:val="39217FFC"/>
    <w:rsid w:val="397622BB"/>
    <w:rsid w:val="399628DE"/>
    <w:rsid w:val="399F2FBB"/>
    <w:rsid w:val="39BA6046"/>
    <w:rsid w:val="39C81811"/>
    <w:rsid w:val="39E3734B"/>
    <w:rsid w:val="3A5B46D2"/>
    <w:rsid w:val="3A6C2E0F"/>
    <w:rsid w:val="3AFB6916"/>
    <w:rsid w:val="3B1B6E04"/>
    <w:rsid w:val="3B201ED9"/>
    <w:rsid w:val="3B3140E6"/>
    <w:rsid w:val="3B581673"/>
    <w:rsid w:val="3B6C3370"/>
    <w:rsid w:val="3BF544BB"/>
    <w:rsid w:val="3C1F267C"/>
    <w:rsid w:val="3C3E2F5F"/>
    <w:rsid w:val="3C8628E4"/>
    <w:rsid w:val="3C9B118B"/>
    <w:rsid w:val="3CAD1E92"/>
    <w:rsid w:val="3CEC29BB"/>
    <w:rsid w:val="3CF36340"/>
    <w:rsid w:val="3D145A6E"/>
    <w:rsid w:val="3D4225DB"/>
    <w:rsid w:val="3DAE7C70"/>
    <w:rsid w:val="3DBD626B"/>
    <w:rsid w:val="3DD84CED"/>
    <w:rsid w:val="3DF37D79"/>
    <w:rsid w:val="3DFA47F9"/>
    <w:rsid w:val="3E1F46CA"/>
    <w:rsid w:val="3E334137"/>
    <w:rsid w:val="3E366DDC"/>
    <w:rsid w:val="3E75020E"/>
    <w:rsid w:val="3E8238E3"/>
    <w:rsid w:val="3EF50E21"/>
    <w:rsid w:val="3F41575D"/>
    <w:rsid w:val="3F731171"/>
    <w:rsid w:val="3FB90E32"/>
    <w:rsid w:val="40297A82"/>
    <w:rsid w:val="402C1320"/>
    <w:rsid w:val="40363F4D"/>
    <w:rsid w:val="404D7C4D"/>
    <w:rsid w:val="405014B2"/>
    <w:rsid w:val="40925627"/>
    <w:rsid w:val="40DD79B5"/>
    <w:rsid w:val="4114428E"/>
    <w:rsid w:val="4125649B"/>
    <w:rsid w:val="41344CBB"/>
    <w:rsid w:val="413606A8"/>
    <w:rsid w:val="4148218A"/>
    <w:rsid w:val="4181131A"/>
    <w:rsid w:val="418F6D56"/>
    <w:rsid w:val="42162288"/>
    <w:rsid w:val="422E5823"/>
    <w:rsid w:val="42336996"/>
    <w:rsid w:val="42A85CB2"/>
    <w:rsid w:val="42AE5E51"/>
    <w:rsid w:val="43087E22"/>
    <w:rsid w:val="431C742A"/>
    <w:rsid w:val="433C4B1C"/>
    <w:rsid w:val="4346094B"/>
    <w:rsid w:val="43822C44"/>
    <w:rsid w:val="439F2A49"/>
    <w:rsid w:val="43A51B15"/>
    <w:rsid w:val="43B6162D"/>
    <w:rsid w:val="43BE6733"/>
    <w:rsid w:val="43C57AC2"/>
    <w:rsid w:val="43DD433B"/>
    <w:rsid w:val="440200CE"/>
    <w:rsid w:val="441D16AC"/>
    <w:rsid w:val="442F6127"/>
    <w:rsid w:val="443D4992"/>
    <w:rsid w:val="443D58AA"/>
    <w:rsid w:val="4447497A"/>
    <w:rsid w:val="44616C9F"/>
    <w:rsid w:val="446505FA"/>
    <w:rsid w:val="44D426B2"/>
    <w:rsid w:val="44D9323B"/>
    <w:rsid w:val="452572E5"/>
    <w:rsid w:val="45613176"/>
    <w:rsid w:val="45717F01"/>
    <w:rsid w:val="457C4AF8"/>
    <w:rsid w:val="458B7560"/>
    <w:rsid w:val="45A11786"/>
    <w:rsid w:val="45A1630C"/>
    <w:rsid w:val="45A94530"/>
    <w:rsid w:val="45D3296A"/>
    <w:rsid w:val="45D54A22"/>
    <w:rsid w:val="45DE2E69"/>
    <w:rsid w:val="461E795D"/>
    <w:rsid w:val="46256F3D"/>
    <w:rsid w:val="46405B25"/>
    <w:rsid w:val="46565349"/>
    <w:rsid w:val="469551E9"/>
    <w:rsid w:val="46F7636C"/>
    <w:rsid w:val="46F81A26"/>
    <w:rsid w:val="46FF153C"/>
    <w:rsid w:val="47206CBE"/>
    <w:rsid w:val="474653BD"/>
    <w:rsid w:val="475F7720"/>
    <w:rsid w:val="47655843"/>
    <w:rsid w:val="47867568"/>
    <w:rsid w:val="47C00B3A"/>
    <w:rsid w:val="47CA56A6"/>
    <w:rsid w:val="47CA7D9C"/>
    <w:rsid w:val="48233B89"/>
    <w:rsid w:val="482E20D9"/>
    <w:rsid w:val="48BE3582"/>
    <w:rsid w:val="48FF5824"/>
    <w:rsid w:val="49217DF9"/>
    <w:rsid w:val="492D6ED1"/>
    <w:rsid w:val="49303C2F"/>
    <w:rsid w:val="493A2D00"/>
    <w:rsid w:val="49431BB4"/>
    <w:rsid w:val="495B16E4"/>
    <w:rsid w:val="49E80B8C"/>
    <w:rsid w:val="4A393D33"/>
    <w:rsid w:val="4A45370A"/>
    <w:rsid w:val="4A7C3BA7"/>
    <w:rsid w:val="4A9D71DB"/>
    <w:rsid w:val="4AB10DA0"/>
    <w:rsid w:val="4AD4683C"/>
    <w:rsid w:val="4AD8457E"/>
    <w:rsid w:val="4ADF3B5F"/>
    <w:rsid w:val="4B215F25"/>
    <w:rsid w:val="4B887D52"/>
    <w:rsid w:val="4BA821A3"/>
    <w:rsid w:val="4BD016F9"/>
    <w:rsid w:val="4BF92DFA"/>
    <w:rsid w:val="4C2A2BB8"/>
    <w:rsid w:val="4C2D4456"/>
    <w:rsid w:val="4C3B4264"/>
    <w:rsid w:val="4C475CA7"/>
    <w:rsid w:val="4C6B4F7E"/>
    <w:rsid w:val="4C787DC7"/>
    <w:rsid w:val="4CA778D6"/>
    <w:rsid w:val="4CC626B4"/>
    <w:rsid w:val="4CD90E06"/>
    <w:rsid w:val="4CDB2104"/>
    <w:rsid w:val="4CE4545C"/>
    <w:rsid w:val="4CE47E68"/>
    <w:rsid w:val="4D29796A"/>
    <w:rsid w:val="4D2A4704"/>
    <w:rsid w:val="4D704F42"/>
    <w:rsid w:val="4DBF3025"/>
    <w:rsid w:val="4DCB03CA"/>
    <w:rsid w:val="4DDA685F"/>
    <w:rsid w:val="4E1C29D4"/>
    <w:rsid w:val="4E3E0B9C"/>
    <w:rsid w:val="4E807407"/>
    <w:rsid w:val="4EF179BD"/>
    <w:rsid w:val="4F29184C"/>
    <w:rsid w:val="4FA90297"/>
    <w:rsid w:val="4FCE41A2"/>
    <w:rsid w:val="4FD712A8"/>
    <w:rsid w:val="4FE26824"/>
    <w:rsid w:val="501C4F0D"/>
    <w:rsid w:val="50250266"/>
    <w:rsid w:val="503546BB"/>
    <w:rsid w:val="503E1327"/>
    <w:rsid w:val="506643DA"/>
    <w:rsid w:val="507E7A1A"/>
    <w:rsid w:val="50C21AA1"/>
    <w:rsid w:val="50E53551"/>
    <w:rsid w:val="50EA6DB9"/>
    <w:rsid w:val="51423430"/>
    <w:rsid w:val="515E2771"/>
    <w:rsid w:val="51612C25"/>
    <w:rsid w:val="51644DBE"/>
    <w:rsid w:val="51711289"/>
    <w:rsid w:val="51960CEF"/>
    <w:rsid w:val="519A258E"/>
    <w:rsid w:val="51B450B7"/>
    <w:rsid w:val="51C55D72"/>
    <w:rsid w:val="51CB46D7"/>
    <w:rsid w:val="51DB7F97"/>
    <w:rsid w:val="51E41789"/>
    <w:rsid w:val="51EE67A6"/>
    <w:rsid w:val="522B58DB"/>
    <w:rsid w:val="523C3645"/>
    <w:rsid w:val="525210BA"/>
    <w:rsid w:val="52855B2A"/>
    <w:rsid w:val="52947046"/>
    <w:rsid w:val="52A64F62"/>
    <w:rsid w:val="530028C4"/>
    <w:rsid w:val="537D3F15"/>
    <w:rsid w:val="53AB0A82"/>
    <w:rsid w:val="53CC2939"/>
    <w:rsid w:val="53F00B8B"/>
    <w:rsid w:val="54065CB8"/>
    <w:rsid w:val="54160245"/>
    <w:rsid w:val="545A6004"/>
    <w:rsid w:val="54E7478C"/>
    <w:rsid w:val="55472A2C"/>
    <w:rsid w:val="55766B43"/>
    <w:rsid w:val="557C1FAA"/>
    <w:rsid w:val="55A439DB"/>
    <w:rsid w:val="55DF4A23"/>
    <w:rsid w:val="55EA33B8"/>
    <w:rsid w:val="55F06C20"/>
    <w:rsid w:val="55F44741"/>
    <w:rsid w:val="5604091D"/>
    <w:rsid w:val="56091A90"/>
    <w:rsid w:val="56095F34"/>
    <w:rsid w:val="56130B60"/>
    <w:rsid w:val="5613290E"/>
    <w:rsid w:val="566D6D0C"/>
    <w:rsid w:val="56881A0F"/>
    <w:rsid w:val="569F23F4"/>
    <w:rsid w:val="56A619D5"/>
    <w:rsid w:val="56C500AD"/>
    <w:rsid w:val="56D06A51"/>
    <w:rsid w:val="571C3A45"/>
    <w:rsid w:val="57437223"/>
    <w:rsid w:val="575256B8"/>
    <w:rsid w:val="575651A9"/>
    <w:rsid w:val="57572CCF"/>
    <w:rsid w:val="57725C07"/>
    <w:rsid w:val="57A852D8"/>
    <w:rsid w:val="57CC7080"/>
    <w:rsid w:val="57CC79AB"/>
    <w:rsid w:val="57F9426B"/>
    <w:rsid w:val="57F96890"/>
    <w:rsid w:val="58482E44"/>
    <w:rsid w:val="58657C25"/>
    <w:rsid w:val="58682C37"/>
    <w:rsid w:val="586C637E"/>
    <w:rsid w:val="586E02D0"/>
    <w:rsid w:val="588412A1"/>
    <w:rsid w:val="58AB42E3"/>
    <w:rsid w:val="591C5F7E"/>
    <w:rsid w:val="592D1D9B"/>
    <w:rsid w:val="594F45CB"/>
    <w:rsid w:val="59605E6B"/>
    <w:rsid w:val="596D0588"/>
    <w:rsid w:val="597731B4"/>
    <w:rsid w:val="59837DAB"/>
    <w:rsid w:val="59E00D5A"/>
    <w:rsid w:val="59F82547"/>
    <w:rsid w:val="5A0C7908"/>
    <w:rsid w:val="5A1E1882"/>
    <w:rsid w:val="5A455061"/>
    <w:rsid w:val="5A7542C1"/>
    <w:rsid w:val="5A8262B5"/>
    <w:rsid w:val="5AA41CEA"/>
    <w:rsid w:val="5AA47FD9"/>
    <w:rsid w:val="5AA77AC9"/>
    <w:rsid w:val="5AB40E78"/>
    <w:rsid w:val="5AC42429"/>
    <w:rsid w:val="5AC661A1"/>
    <w:rsid w:val="5ADA7E9F"/>
    <w:rsid w:val="5B4377F2"/>
    <w:rsid w:val="5B8B2F47"/>
    <w:rsid w:val="5B8C1D52"/>
    <w:rsid w:val="5B9A723E"/>
    <w:rsid w:val="5BB66216"/>
    <w:rsid w:val="5BDC37A3"/>
    <w:rsid w:val="5BFE196B"/>
    <w:rsid w:val="5C074CC3"/>
    <w:rsid w:val="5C0A0310"/>
    <w:rsid w:val="5C1C603C"/>
    <w:rsid w:val="5C4B1054"/>
    <w:rsid w:val="5C4E46A0"/>
    <w:rsid w:val="5C5129B6"/>
    <w:rsid w:val="5C602626"/>
    <w:rsid w:val="5C71213D"/>
    <w:rsid w:val="5C9D1184"/>
    <w:rsid w:val="5CB12E81"/>
    <w:rsid w:val="5CDF3DD1"/>
    <w:rsid w:val="5CF76AE6"/>
    <w:rsid w:val="5D0B433F"/>
    <w:rsid w:val="5D0C00B7"/>
    <w:rsid w:val="5D3513BC"/>
    <w:rsid w:val="5D4A130C"/>
    <w:rsid w:val="5D786419"/>
    <w:rsid w:val="5D9E1657"/>
    <w:rsid w:val="5DAB78D0"/>
    <w:rsid w:val="5DF179D9"/>
    <w:rsid w:val="5E0019CA"/>
    <w:rsid w:val="5E015742"/>
    <w:rsid w:val="5E116998"/>
    <w:rsid w:val="5E9E44A2"/>
    <w:rsid w:val="5F9A19AB"/>
    <w:rsid w:val="5FC41398"/>
    <w:rsid w:val="5FCC63D2"/>
    <w:rsid w:val="5FEA46E0"/>
    <w:rsid w:val="601C4AB5"/>
    <w:rsid w:val="6022031E"/>
    <w:rsid w:val="602A7EDE"/>
    <w:rsid w:val="603E2C7E"/>
    <w:rsid w:val="60B371C8"/>
    <w:rsid w:val="60CA62C0"/>
    <w:rsid w:val="60CE03E6"/>
    <w:rsid w:val="60EC6236"/>
    <w:rsid w:val="61413A18"/>
    <w:rsid w:val="6170205F"/>
    <w:rsid w:val="617C2A9E"/>
    <w:rsid w:val="617F52FC"/>
    <w:rsid w:val="61954B1F"/>
    <w:rsid w:val="61B31169"/>
    <w:rsid w:val="61DB4C28"/>
    <w:rsid w:val="61EB0BE3"/>
    <w:rsid w:val="622D2FAA"/>
    <w:rsid w:val="622F6D22"/>
    <w:rsid w:val="628506F0"/>
    <w:rsid w:val="62982F47"/>
    <w:rsid w:val="62A611DF"/>
    <w:rsid w:val="62C05BCC"/>
    <w:rsid w:val="62F45876"/>
    <w:rsid w:val="630E6937"/>
    <w:rsid w:val="631754A0"/>
    <w:rsid w:val="634B193A"/>
    <w:rsid w:val="6361115D"/>
    <w:rsid w:val="6377272F"/>
    <w:rsid w:val="63957059"/>
    <w:rsid w:val="63A159FD"/>
    <w:rsid w:val="63A728E8"/>
    <w:rsid w:val="63C60FC0"/>
    <w:rsid w:val="63C630B6"/>
    <w:rsid w:val="63CE4319"/>
    <w:rsid w:val="645804F4"/>
    <w:rsid w:val="647C5B23"/>
    <w:rsid w:val="647E7AED"/>
    <w:rsid w:val="64CD637E"/>
    <w:rsid w:val="64CE2822"/>
    <w:rsid w:val="64DC36BB"/>
    <w:rsid w:val="65077AE2"/>
    <w:rsid w:val="655B398A"/>
    <w:rsid w:val="65817895"/>
    <w:rsid w:val="65984BDE"/>
    <w:rsid w:val="661C75BD"/>
    <w:rsid w:val="6655487D"/>
    <w:rsid w:val="667A0D03"/>
    <w:rsid w:val="66D81D4D"/>
    <w:rsid w:val="66D9725C"/>
    <w:rsid w:val="66DB1226"/>
    <w:rsid w:val="66E14AAB"/>
    <w:rsid w:val="66EA796E"/>
    <w:rsid w:val="67146B4F"/>
    <w:rsid w:val="672524A2"/>
    <w:rsid w:val="67650AF0"/>
    <w:rsid w:val="676E7D45"/>
    <w:rsid w:val="6775322C"/>
    <w:rsid w:val="678B49FB"/>
    <w:rsid w:val="67A1421E"/>
    <w:rsid w:val="67B32FF1"/>
    <w:rsid w:val="67BF46A4"/>
    <w:rsid w:val="68012F0F"/>
    <w:rsid w:val="681E586F"/>
    <w:rsid w:val="682C2166"/>
    <w:rsid w:val="68465D84"/>
    <w:rsid w:val="68466B73"/>
    <w:rsid w:val="68CE02CC"/>
    <w:rsid w:val="68D370A0"/>
    <w:rsid w:val="69392234"/>
    <w:rsid w:val="694C01BA"/>
    <w:rsid w:val="694E199B"/>
    <w:rsid w:val="695D23C7"/>
    <w:rsid w:val="699F653B"/>
    <w:rsid w:val="69A73642"/>
    <w:rsid w:val="6A0C5001"/>
    <w:rsid w:val="6A18009C"/>
    <w:rsid w:val="6A2C1D99"/>
    <w:rsid w:val="6A537326"/>
    <w:rsid w:val="6A553BF7"/>
    <w:rsid w:val="6A701AF0"/>
    <w:rsid w:val="6A9736B6"/>
    <w:rsid w:val="6A986ED7"/>
    <w:rsid w:val="6ABA0CF1"/>
    <w:rsid w:val="6AC83870"/>
    <w:rsid w:val="6ACF4DB3"/>
    <w:rsid w:val="6AEA1A38"/>
    <w:rsid w:val="6AEC20B5"/>
    <w:rsid w:val="6AF723A7"/>
    <w:rsid w:val="6AFD60AF"/>
    <w:rsid w:val="6B3B6738"/>
    <w:rsid w:val="6B6D2669"/>
    <w:rsid w:val="6BAE1ABF"/>
    <w:rsid w:val="6BC404DB"/>
    <w:rsid w:val="6BD10E4A"/>
    <w:rsid w:val="6BFF59B7"/>
    <w:rsid w:val="6C0303C3"/>
    <w:rsid w:val="6C0E5BFA"/>
    <w:rsid w:val="6C3F1707"/>
    <w:rsid w:val="6C5D26DE"/>
    <w:rsid w:val="6C67530A"/>
    <w:rsid w:val="6C6972D4"/>
    <w:rsid w:val="6C705F6D"/>
    <w:rsid w:val="6C871509"/>
    <w:rsid w:val="6C9C6D62"/>
    <w:rsid w:val="6CAB169B"/>
    <w:rsid w:val="6CCD7863"/>
    <w:rsid w:val="6CE1330F"/>
    <w:rsid w:val="6CF44DF0"/>
    <w:rsid w:val="6D2F407A"/>
    <w:rsid w:val="6D394EF9"/>
    <w:rsid w:val="6D5238C5"/>
    <w:rsid w:val="6D5E670D"/>
    <w:rsid w:val="6DC5678C"/>
    <w:rsid w:val="6DC6202A"/>
    <w:rsid w:val="6DC870F0"/>
    <w:rsid w:val="6E1B63AC"/>
    <w:rsid w:val="6E2A65EF"/>
    <w:rsid w:val="6E2E60E0"/>
    <w:rsid w:val="6E4771A1"/>
    <w:rsid w:val="6E657628"/>
    <w:rsid w:val="6E663ACB"/>
    <w:rsid w:val="6E775CD9"/>
    <w:rsid w:val="6EA91C0A"/>
    <w:rsid w:val="6EF74724"/>
    <w:rsid w:val="6F0357BE"/>
    <w:rsid w:val="6F09008D"/>
    <w:rsid w:val="6F141779"/>
    <w:rsid w:val="6F285225"/>
    <w:rsid w:val="6F3E37DC"/>
    <w:rsid w:val="6F912DCA"/>
    <w:rsid w:val="6F9E54E7"/>
    <w:rsid w:val="6FC5082C"/>
    <w:rsid w:val="6FD76303"/>
    <w:rsid w:val="6FF04731"/>
    <w:rsid w:val="70626515"/>
    <w:rsid w:val="707A5038"/>
    <w:rsid w:val="708625A6"/>
    <w:rsid w:val="70911841"/>
    <w:rsid w:val="70BB3092"/>
    <w:rsid w:val="70BE37D1"/>
    <w:rsid w:val="70F44F53"/>
    <w:rsid w:val="71146B31"/>
    <w:rsid w:val="714874B8"/>
    <w:rsid w:val="714E0847"/>
    <w:rsid w:val="71A93EF9"/>
    <w:rsid w:val="71C54519"/>
    <w:rsid w:val="71E249D6"/>
    <w:rsid w:val="71FE401B"/>
    <w:rsid w:val="7216013B"/>
    <w:rsid w:val="724B0ECA"/>
    <w:rsid w:val="726C7228"/>
    <w:rsid w:val="72750781"/>
    <w:rsid w:val="72907369"/>
    <w:rsid w:val="72CE1C3F"/>
    <w:rsid w:val="73046FE8"/>
    <w:rsid w:val="7315161C"/>
    <w:rsid w:val="733C0072"/>
    <w:rsid w:val="73505C42"/>
    <w:rsid w:val="735D2FC3"/>
    <w:rsid w:val="736175D9"/>
    <w:rsid w:val="73774085"/>
    <w:rsid w:val="737E3665"/>
    <w:rsid w:val="738F7621"/>
    <w:rsid w:val="73974727"/>
    <w:rsid w:val="73A10265"/>
    <w:rsid w:val="73A77042"/>
    <w:rsid w:val="74942438"/>
    <w:rsid w:val="74942A15"/>
    <w:rsid w:val="74AC7D5E"/>
    <w:rsid w:val="74EC0A46"/>
    <w:rsid w:val="753D175A"/>
    <w:rsid w:val="7592164A"/>
    <w:rsid w:val="759A6034"/>
    <w:rsid w:val="75C630A2"/>
    <w:rsid w:val="75F45C04"/>
    <w:rsid w:val="760B6D06"/>
    <w:rsid w:val="760F46FF"/>
    <w:rsid w:val="76232CDF"/>
    <w:rsid w:val="76D37B3D"/>
    <w:rsid w:val="76FB0AD5"/>
    <w:rsid w:val="77065E4C"/>
    <w:rsid w:val="77093EA9"/>
    <w:rsid w:val="772207AC"/>
    <w:rsid w:val="77277B70"/>
    <w:rsid w:val="775C056B"/>
    <w:rsid w:val="77792664"/>
    <w:rsid w:val="77DE46D3"/>
    <w:rsid w:val="780D398B"/>
    <w:rsid w:val="78105BB0"/>
    <w:rsid w:val="782C7B34"/>
    <w:rsid w:val="784C2545"/>
    <w:rsid w:val="784D0218"/>
    <w:rsid w:val="784D3606"/>
    <w:rsid w:val="78570929"/>
    <w:rsid w:val="7860333A"/>
    <w:rsid w:val="78762B5D"/>
    <w:rsid w:val="789631FF"/>
    <w:rsid w:val="78A43FAC"/>
    <w:rsid w:val="78DE7320"/>
    <w:rsid w:val="791505C8"/>
    <w:rsid w:val="791D122B"/>
    <w:rsid w:val="79222CE5"/>
    <w:rsid w:val="796926C2"/>
    <w:rsid w:val="796B5D3E"/>
    <w:rsid w:val="79784573"/>
    <w:rsid w:val="79860A5D"/>
    <w:rsid w:val="7988058F"/>
    <w:rsid w:val="79A96F62"/>
    <w:rsid w:val="79F30FA6"/>
    <w:rsid w:val="7A1C7FC7"/>
    <w:rsid w:val="7A266805"/>
    <w:rsid w:val="7A2D2128"/>
    <w:rsid w:val="7A5F190C"/>
    <w:rsid w:val="7A7364B4"/>
    <w:rsid w:val="7A844288"/>
    <w:rsid w:val="7AA53BCD"/>
    <w:rsid w:val="7AB91427"/>
    <w:rsid w:val="7ABB5669"/>
    <w:rsid w:val="7ABE07EB"/>
    <w:rsid w:val="7AD46261"/>
    <w:rsid w:val="7AD61FD9"/>
    <w:rsid w:val="7AEA7832"/>
    <w:rsid w:val="7AF4245F"/>
    <w:rsid w:val="7B14665D"/>
    <w:rsid w:val="7B2F5245"/>
    <w:rsid w:val="7B450F0D"/>
    <w:rsid w:val="7B524AED"/>
    <w:rsid w:val="7B613B82"/>
    <w:rsid w:val="7B641393"/>
    <w:rsid w:val="7B892BA7"/>
    <w:rsid w:val="7B8E6410"/>
    <w:rsid w:val="7BB96C82"/>
    <w:rsid w:val="7BF15019"/>
    <w:rsid w:val="7C376AA7"/>
    <w:rsid w:val="7C517C20"/>
    <w:rsid w:val="7C6C2B2C"/>
    <w:rsid w:val="7C790E6E"/>
    <w:rsid w:val="7C8C5268"/>
    <w:rsid w:val="7CF130FA"/>
    <w:rsid w:val="7CF31A12"/>
    <w:rsid w:val="7D0D2609"/>
    <w:rsid w:val="7D8201F6"/>
    <w:rsid w:val="7D9D0B8C"/>
    <w:rsid w:val="7DA16B80"/>
    <w:rsid w:val="7DAC0DCF"/>
    <w:rsid w:val="7DB3215D"/>
    <w:rsid w:val="7DEA02BE"/>
    <w:rsid w:val="7E094473"/>
    <w:rsid w:val="7E603096"/>
    <w:rsid w:val="7E8458A8"/>
    <w:rsid w:val="7EAF0B77"/>
    <w:rsid w:val="7EB10D93"/>
    <w:rsid w:val="7EC94FAA"/>
    <w:rsid w:val="7ECA3C03"/>
    <w:rsid w:val="7ECF2FC7"/>
    <w:rsid w:val="7EEA1BAF"/>
    <w:rsid w:val="7EFC7B34"/>
    <w:rsid w:val="7F022716"/>
    <w:rsid w:val="7F1B4387"/>
    <w:rsid w:val="7F3351B5"/>
    <w:rsid w:val="7F3F73E5"/>
    <w:rsid w:val="7F5259A6"/>
    <w:rsid w:val="7F54786E"/>
    <w:rsid w:val="7F994EE9"/>
    <w:rsid w:val="7FCC5758"/>
    <w:rsid w:val="7FDF723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Theme="minorEastAsia" w:cstheme="minorBidi"/>
      <w:kern w:val="2"/>
      <w:sz w:val="21"/>
      <w:szCs w:val="24"/>
      <w:lang w:val="en-US" w:eastAsia="zh-CN" w:bidi="ar-SA"/>
    </w:rPr>
  </w:style>
  <w:style w:type="paragraph" w:styleId="2">
    <w:name w:val="heading 1"/>
    <w:basedOn w:val="3"/>
    <w:next w:val="1"/>
    <w:qFormat/>
    <w:uiPriority w:val="9"/>
    <w:pPr>
      <w:keepNext/>
      <w:keepLines/>
      <w:ind w:firstLine="0" w:firstLineChars="0"/>
      <w:outlineLvl w:val="0"/>
    </w:pPr>
    <w:rPr>
      <w:rFonts w:eastAsia="黑体"/>
      <w:b/>
      <w:bCs/>
      <w:kern w:val="44"/>
      <w:sz w:val="28"/>
      <w:szCs w:val="44"/>
    </w:rPr>
  </w:style>
  <w:style w:type="paragraph" w:styleId="4">
    <w:name w:val="heading 2"/>
    <w:basedOn w:val="1"/>
    <w:next w:val="1"/>
    <w:link w:val="18"/>
    <w:unhideWhenUsed/>
    <w:qFormat/>
    <w:uiPriority w:val="0"/>
    <w:pPr>
      <w:ind w:firstLine="0" w:firstLineChars="0"/>
      <w:outlineLvl w:val="1"/>
    </w:pPr>
    <w:rPr>
      <w:rFonts w:eastAsia="黑体" w:cs="Times New Roman"/>
      <w:szCs w:val="21"/>
    </w:rPr>
  </w:style>
  <w:style w:type="character" w:default="1" w:styleId="14">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toc 1"/>
    <w:basedOn w:val="1"/>
    <w:next w:val="1"/>
    <w:autoRedefine/>
    <w:qFormat/>
    <w:uiPriority w:val="0"/>
  </w:style>
  <w:style w:type="paragraph" w:styleId="5">
    <w:name w:val="caption"/>
    <w:basedOn w:val="1"/>
    <w:next w:val="1"/>
    <w:unhideWhenUsed/>
    <w:qFormat/>
    <w:uiPriority w:val="0"/>
    <w:pPr>
      <w:ind w:firstLine="0" w:firstLineChars="0"/>
      <w:jc w:val="center"/>
    </w:pPr>
    <w:rPr>
      <w:rFonts w:eastAsia="黑体" w:cs="Times New Roman"/>
      <w:sz w:val="18"/>
      <w:szCs w:val="18"/>
    </w:rPr>
  </w:style>
  <w:style w:type="paragraph" w:styleId="6">
    <w:name w:val="annotation text"/>
    <w:basedOn w:val="1"/>
    <w:link w:val="23"/>
    <w:qFormat/>
    <w:uiPriority w:val="0"/>
    <w:pPr>
      <w:jc w:val="left"/>
    </w:pPr>
  </w:style>
  <w:style w:type="paragraph" w:styleId="7">
    <w:name w:val="Body Text"/>
    <w:basedOn w:val="1"/>
    <w:unhideWhenUsed/>
    <w:qFormat/>
    <w:uiPriority w:val="99"/>
    <w:pPr>
      <w:spacing w:after="120"/>
    </w:pPr>
  </w:style>
  <w:style w:type="paragraph" w:styleId="8">
    <w:name w:val="Balloon Text"/>
    <w:basedOn w:val="1"/>
    <w:link w:val="28"/>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tabs>
        <w:tab w:val="center" w:pos="4153"/>
        <w:tab w:val="right" w:pos="8306"/>
      </w:tabs>
      <w:snapToGrid w:val="0"/>
      <w:jc w:val="center"/>
    </w:pPr>
    <w:rPr>
      <w:sz w:val="18"/>
      <w:szCs w:val="18"/>
    </w:rPr>
  </w:style>
  <w:style w:type="paragraph" w:styleId="11">
    <w:name w:val="annotation subject"/>
    <w:basedOn w:val="6"/>
    <w:next w:val="6"/>
    <w:link w:val="24"/>
    <w:qFormat/>
    <w:uiPriority w:val="0"/>
    <w:rPr>
      <w:b/>
      <w:bCs/>
    </w:rPr>
  </w:style>
  <w:style w:type="table" w:styleId="13">
    <w:name w:val="Table Grid"/>
    <w:qFormat/>
    <w:uiPriority w:val="39"/>
    <w:rPr>
      <w:rFonts w:ascii="Calibri" w:hAnsi="Calibri" w:eastAsia="宋体"/>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5">
    <w:name w:val="FollowedHyperlink"/>
    <w:basedOn w:val="14"/>
    <w:qFormat/>
    <w:uiPriority w:val="0"/>
    <w:rPr>
      <w:color w:val="7E1FAD" w:themeColor="followedHyperlink"/>
      <w:u w:val="single"/>
      <w14:textFill>
        <w14:solidFill>
          <w14:schemeClr w14:val="folHlink"/>
        </w14:solidFill>
      </w14:textFill>
    </w:rPr>
  </w:style>
  <w:style w:type="character" w:styleId="16">
    <w:name w:val="Hyperlink"/>
    <w:basedOn w:val="14"/>
    <w:qFormat/>
    <w:uiPriority w:val="0"/>
    <w:rPr>
      <w:color w:val="0000FF"/>
      <w:u w:val="single"/>
    </w:rPr>
  </w:style>
  <w:style w:type="character" w:styleId="17">
    <w:name w:val="annotation reference"/>
    <w:basedOn w:val="14"/>
    <w:qFormat/>
    <w:uiPriority w:val="0"/>
    <w:rPr>
      <w:sz w:val="21"/>
      <w:szCs w:val="21"/>
    </w:rPr>
  </w:style>
  <w:style w:type="character" w:customStyle="1" w:styleId="18">
    <w:name w:val="标题 2 字符"/>
    <w:basedOn w:val="14"/>
    <w:link w:val="4"/>
    <w:qFormat/>
    <w:uiPriority w:val="0"/>
    <w:rPr>
      <w:rFonts w:ascii="Times New Roman" w:hAnsi="Times New Roman" w:eastAsia="黑体" w:cs="Times New Roman"/>
      <w:kern w:val="2"/>
      <w:sz w:val="21"/>
      <w:szCs w:val="21"/>
    </w:rPr>
  </w:style>
  <w:style w:type="table" w:customStyle="1" w:styleId="19">
    <w:name w:val="网格型1"/>
    <w:qFormat/>
    <w:uiPriority w:val="39"/>
    <w:rPr>
      <w:rFonts w:ascii="Calibri" w:hAnsi="Calibri" w:eastAsia="宋体"/>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20">
    <w:name w:val="未处理的提及1"/>
    <w:basedOn w:val="14"/>
    <w:semiHidden/>
    <w:unhideWhenUsed/>
    <w:qFormat/>
    <w:uiPriority w:val="99"/>
    <w:rPr>
      <w:color w:val="605E5C"/>
      <w:shd w:val="clear" w:color="auto" w:fill="E1DFDD"/>
    </w:rPr>
  </w:style>
  <w:style w:type="paragraph" w:customStyle="1" w:styleId="21">
    <w:name w:val="书目1"/>
    <w:basedOn w:val="1"/>
    <w:qFormat/>
    <w:uiPriority w:val="0"/>
    <w:pPr>
      <w:tabs>
        <w:tab w:val="left" w:pos="384"/>
      </w:tabs>
      <w:ind w:firstLine="0" w:firstLineChars="0"/>
    </w:pPr>
  </w:style>
  <w:style w:type="paragraph" w:customStyle="1" w:styleId="22">
    <w:name w:val="修订1"/>
    <w:hidden/>
    <w:unhideWhenUsed/>
    <w:qFormat/>
    <w:uiPriority w:val="99"/>
    <w:rPr>
      <w:rFonts w:ascii="Times New Roman" w:hAnsi="Times New Roman" w:eastAsiaTheme="minorEastAsia" w:cstheme="minorBidi"/>
      <w:kern w:val="2"/>
      <w:sz w:val="21"/>
      <w:szCs w:val="24"/>
      <w:lang w:val="en-US" w:eastAsia="zh-CN" w:bidi="ar-SA"/>
    </w:rPr>
  </w:style>
  <w:style w:type="character" w:customStyle="1" w:styleId="23">
    <w:name w:val="批注文字 字符"/>
    <w:basedOn w:val="14"/>
    <w:link w:val="6"/>
    <w:qFormat/>
    <w:uiPriority w:val="0"/>
    <w:rPr>
      <w:rFonts w:ascii="Times New Roman" w:hAnsi="Times New Roman"/>
      <w:kern w:val="2"/>
      <w:sz w:val="21"/>
      <w:szCs w:val="24"/>
    </w:rPr>
  </w:style>
  <w:style w:type="character" w:customStyle="1" w:styleId="24">
    <w:name w:val="批注主题 字符"/>
    <w:basedOn w:val="23"/>
    <w:link w:val="11"/>
    <w:qFormat/>
    <w:uiPriority w:val="0"/>
    <w:rPr>
      <w:rFonts w:ascii="Times New Roman" w:hAnsi="Times New Roman"/>
      <w:b/>
      <w:bCs/>
      <w:kern w:val="2"/>
      <w:sz w:val="21"/>
      <w:szCs w:val="24"/>
    </w:rPr>
  </w:style>
  <w:style w:type="character" w:customStyle="1" w:styleId="25">
    <w:name w:val="页眉 字符"/>
    <w:basedOn w:val="14"/>
    <w:link w:val="10"/>
    <w:qFormat/>
    <w:uiPriority w:val="0"/>
    <w:rPr>
      <w:rFonts w:ascii="Times New Roman" w:hAnsi="Times New Roman"/>
      <w:kern w:val="2"/>
      <w:sz w:val="18"/>
      <w:szCs w:val="18"/>
    </w:rPr>
  </w:style>
  <w:style w:type="character" w:customStyle="1" w:styleId="26">
    <w:name w:val="页脚 字符"/>
    <w:basedOn w:val="14"/>
    <w:link w:val="9"/>
    <w:qFormat/>
    <w:uiPriority w:val="0"/>
    <w:rPr>
      <w:rFonts w:ascii="Times New Roman" w:hAnsi="Times New Roman"/>
      <w:kern w:val="2"/>
      <w:sz w:val="18"/>
      <w:szCs w:val="18"/>
    </w:rPr>
  </w:style>
  <w:style w:type="paragraph" w:customStyle="1" w:styleId="27">
    <w:name w:val="修订2"/>
    <w:hidden/>
    <w:unhideWhenUsed/>
    <w:qFormat/>
    <w:uiPriority w:val="99"/>
    <w:rPr>
      <w:rFonts w:ascii="Times New Roman" w:hAnsi="Times New Roman" w:eastAsiaTheme="minorEastAsia" w:cstheme="minorBidi"/>
      <w:kern w:val="2"/>
      <w:sz w:val="21"/>
      <w:szCs w:val="24"/>
      <w:lang w:val="en-US" w:eastAsia="zh-CN" w:bidi="ar-SA"/>
    </w:rPr>
  </w:style>
  <w:style w:type="character" w:customStyle="1" w:styleId="28">
    <w:name w:val="批注框文本 字符"/>
    <w:basedOn w:val="14"/>
    <w:link w:val="8"/>
    <w:qFormat/>
    <w:uiPriority w:val="0"/>
    <w:rPr>
      <w:rFonts w:ascii="Times New Roman" w:hAnsi="Times New Roman"/>
      <w:kern w:val="2"/>
      <w:sz w:val="18"/>
      <w:szCs w:val="18"/>
    </w:rPr>
  </w:style>
  <w:style w:type="paragraph" w:customStyle="1" w:styleId="29">
    <w:name w:val="公式"/>
    <w:basedOn w:val="1"/>
    <w:qFormat/>
    <w:uiPriority w:val="0"/>
    <w:pPr>
      <w:tabs>
        <w:tab w:val="left" w:pos="3360"/>
        <w:tab w:val="left" w:pos="7560"/>
      </w:tabs>
      <w:spacing w:line="360" w:lineRule="auto"/>
      <w:ind w:firstLine="0" w:firstLineChars="0"/>
    </w:pPr>
    <w:rPr>
      <w:rFonts w:hAnsi="Cambria Math" w:eastAsia="宋体"/>
      <w:sz w:val="24"/>
      <w:szCs w:val="21"/>
    </w:rPr>
  </w:style>
  <w:style w:type="character" w:styleId="30">
    <w:name w:val="Placeholder Text"/>
    <w:basedOn w:val="14"/>
    <w:unhideWhenUsed/>
    <w:qFormat/>
    <w:uiPriority w:val="99"/>
    <w:rPr>
      <w:color w:val="66666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72d15636-5798-4624-befc-a853db845988</errorID>
      <errorWord>（</errorWord>
      <group>L1_Punc</group>
      <groupName>标点问题</groupName>
      <ability>L2_Punc</ability>
      <abilityName>标点符号检查</abilityName>
      <candidateList/>
      <explain>同一形式括号套用。</explain>
      <paraID>7BBFA90C</paraID>
      <start>53</start>
      <end>54</end>
      <status>ignored</status>
      <modifiedWord/>
      <trackRevisions>false</trackRevisions>
    </reviewItem>
    <reviewItem>
      <errorID>5018be99-0872-4e49-8c78-25ccaa3b25a9</errorID>
      <errorWord>）</errorWord>
      <group>L1_Punc</group>
      <groupName>标点问题</groupName>
      <ability>L2_Punc</ability>
      <abilityName>标点符号检查</abilityName>
      <candidateList/>
      <explain>同一形式括号套用。</explain>
      <paraID>7BBFA90C</paraID>
      <start>58</start>
      <end>59</end>
      <status>ignored</status>
      <modifiedWord/>
      <trackRevisions>false</trackRevisions>
    </reviewItem>
    <reviewItem>
      <errorID>665d0d09-cf1a-4c9e-a402-815a6e429338</errorID>
      <errorWord>-</errorWord>
      <group>L1_Format</group>
      <groupName>格式问题</groupName>
      <ability>L2_HalfPunc</ability>
      <abilityName>全半角检查</abilityName>
      <candidateList>
        <item>－</item>
      </candidateList>
      <explain>文本全半角错误。</explain>
      <paraID>65EB18E9</paraID>
      <start>145</start>
      <end>146</end>
      <status>ignored</status>
      <modifiedWord/>
      <trackRevisions>false</trackRevisions>
    </reviewItem>
    <reviewItem>
      <errorID>c32d4232-db5f-463e-babe-860983e78db8</errorID>
      <errorWord>-</errorWord>
      <group>L1_Format</group>
      <groupName>格式问题</groupName>
      <ability>L2_HalfPunc</ability>
      <abilityName>全半角检查</abilityName>
      <candidateList>
        <item>－</item>
      </candidateList>
      <explain>文本全半角错误。</explain>
      <paraID>65EB18E9</paraID>
      <start>299</start>
      <end>300</end>
      <status>ignored</status>
      <modifiedWord/>
      <trackRevisions>false</trackRevisions>
    </reviewItem>
    <reviewItem>
      <errorID>1854fa7b-82c8-408e-a0cb-790257053055</errorID>
      <errorWord>标志码</errorWord>
      <group>L1_Word</group>
      <groupName>字词问题</groupName>
      <ability>L2_Typo</ability>
      <abilityName>字词错误</abilityName>
      <candidateList>
        <item>标识码</item>
      </candidateList>
      <explain/>
      <paraID>60196910</paraID>
      <start>23</start>
      <end>26</end>
      <status>ignored</status>
      <modifiedWord/>
      <trackRevisions>false</trackRevisions>
    </reviewItem>
    <reviewItem>
      <errorID>ff8b4ae8-569c-49fb-af19-a4b3fd8b859b</errorID>
      <errorWord>，</errorWord>
      <group>L1_Format</group>
      <groupName>格式问题</groupName>
      <ability>L2_HalfPunc</ability>
      <abilityName>全半角检查</abilityName>
      <candidateList>
        <item>, </item>
      </candidateList>
      <explain>文本全半角错误。</explain>
      <paraID>36B25462</paraID>
      <start>10</start>
      <end>11</end>
      <status>ignored</status>
      <modifiedWord/>
      <trackRevisions>false</trackRevisions>
    </reviewItem>
    <reviewItem>
      <errorID>e543775f-5a6b-40a7-ade4-295ff97fbd7b</errorID>
      <errorWord>，</errorWord>
      <group>L1_Format</group>
      <groupName>格式问题</groupName>
      <ability>L2_HalfPunc</ability>
      <abilityName>全半角检查</abilityName>
      <candidateList>
        <item>, </item>
      </candidateList>
      <explain>文本全半角错误。</explain>
      <paraID>36B25462</paraID>
      <start>23</start>
      <end>24</end>
      <status>ignored</status>
      <modifiedWord/>
      <trackRevisions>false</trackRevisions>
    </reviewItem>
    <reviewItem>
      <errorID>1390cdae-dc16-4e1e-8e0c-085cd2b11a98</errorID>
      <errorWord>，</errorWord>
      <group>L1_Format</group>
      <groupName>格式问题</groupName>
      <ability>L2_HalfPunc</ability>
      <abilityName>全半角检查</abilityName>
      <candidateList>
        <item>, </item>
      </candidateList>
      <explain>文本全半角错误。</explain>
      <paraID>36B25462</paraID>
      <start>32</start>
      <end>33</end>
      <status>ignored</status>
      <modifiedWord/>
      <trackRevisions>false</trackRevisions>
    </reviewItem>
    <reviewItem>
      <errorID>31bb75b7-9d4c-4a17-989f-1d288e45cdf8</errorID>
      <errorWord>，</errorWord>
      <group>L1_Format</group>
      <groupName>格式问题</groupName>
      <ability>L2_HalfPunc</ability>
      <abilityName>全半角检查</abilityName>
      <candidateList>
        <item>, </item>
      </candidateList>
      <explain>文本全半角错误。</explain>
      <paraID>36B25462</paraID>
      <start>46</start>
      <end>47</end>
      <status>ignored</status>
      <modifiedWord/>
      <trackRevisions>false</trackRevisions>
    </reviewItem>
    <reviewItem>
      <errorID>0ac8c79b-42b7-4bbf-b9d4-95ff0fd25302</errorID>
      <errorWord>，</errorWord>
      <group>L1_Format</group>
      <groupName>格式问题</groupName>
      <ability>L2_HalfPunc</ability>
      <abilityName>全半角检查</abilityName>
      <candidateList>
        <item>, </item>
      </candidateList>
      <explain>文本全半角错误。</explain>
      <paraID>36B25462</paraID>
      <start>61</start>
      <end>62</end>
      <status>ignored</status>
      <modifiedWord/>
      <trackRevisions>false</trackRevisions>
    </reviewItem>
    <reviewItem>
      <errorID>fa824aa9-ffc0-4893-9358-5f9043fdeee7</errorID>
      <errorWord>，</errorWord>
      <group>L1_Format</group>
      <groupName>格式问题</groupName>
      <ability>L2_HalfPunc</ability>
      <abilityName>全半角检查</abilityName>
      <candidateList>
        <item>, </item>
      </candidateList>
      <explain>文本全半角错误。</explain>
      <paraID>36B25462</paraID>
      <start>75</start>
      <end>76</end>
      <status>ignored</status>
      <modifiedWord/>
      <trackRevisions>false</trackRevisions>
    </reviewItem>
    <reviewItem>
      <errorID>bcb6a755-21f7-4066-ab1e-d512350eb995</errorID>
      <errorWord>（</errorWord>
      <group>L1_Punc</group>
      <groupName>标点问题</groupName>
      <ability>L2_Punc</ability>
      <abilityName>标点符号检查</abilityName>
      <candidateList>
        <item/>
      </candidateList>
      <explain>同一形式括号套用。</explain>
      <paraID>10AA86EB</paraID>
      <start>0</start>
      <end>1</end>
      <status>ignored</status>
      <modifiedWord/>
      <trackRevisions>false</trackRevisions>
    </reviewItem>
    <reviewItem>
      <errorID>18b63e71-ab84-4983-b218-6b32e399740e</errorID>
      <errorWord>；</errorWord>
      <group>L1_Format</group>
      <groupName>格式问题</groupName>
      <ability>L2_HalfPunc</ability>
      <abilityName>全半角检查</abilityName>
      <candidateList>
        <item>;</item>
      </candidateList>
      <explain>文本全半角错误。</explain>
      <paraID>10AA86EB</paraID>
      <start>140</start>
      <end>141</end>
      <status>ignored</status>
      <modifiedWord/>
      <trackRevisions>false</trackRevisions>
    </reviewItem>
    <reviewItem>
      <errorID>55bacf34-d908-495a-8e47-a6b22e1f819d</errorID>
      <errorWord>(</errorWord>
      <group>L1_Punc</group>
      <groupName>标点问题</groupName>
      <ability>L2_Punc</ability>
      <abilityName>标点符号检查</abilityName>
      <candidateList/>
      <explain>同一形式括号套用。</explain>
      <paraID>10AA86EB</paraID>
      <start>165</start>
      <end>166</end>
      <status>ignored</status>
      <modifiedWord/>
      <trackRevisions>false</trackRevisions>
    </reviewItem>
    <reviewItem>
      <errorID>1c843dc8-7581-4984-a05a-fd713cf2edba</errorID>
      <errorWord>)</errorWord>
      <group>L1_Punc</group>
      <groupName>标点问题</groupName>
      <ability>L2_Punc</ability>
      <abilityName>标点符号检查</abilityName>
      <candidateList/>
      <explain>同一形式括号套用。</explain>
      <paraID>10AA86EB</paraID>
      <start>185</start>
      <end>186</end>
      <status>ignored</status>
      <modifiedWord/>
      <trackRevisions>false</trackRevisions>
    </reviewItem>
    <reviewItem>
      <errorID>4cb1a8ff-edd0-481e-bde6-e3d63a9e4ea4</errorID>
      <errorWord>；</errorWord>
      <group>L1_Format</group>
      <groupName>格式问题</groupName>
      <ability>L2_HalfPunc</ability>
      <abilityName>全半角检查</abilityName>
      <candidateList>
        <item>;</item>
      </candidateList>
      <explain>文本全半角错误。</explain>
      <paraID>10AA86EB</paraID>
      <start>235</start>
      <end>236</end>
      <status>modified</status>
      <modifiedWord>;</modifiedWord>
      <trackRevisions>false</trackRevisions>
    </reviewItem>
    <reviewItem>
      <errorID>b82d0245-1e93-409e-8062-7308f9b8b364</errorID>
      <errorWord>）</errorWord>
      <group>L1_Punc</group>
      <groupName>标点问题</groupName>
      <ability>L2_Punc</ability>
      <abilityName>标点符号检查</abilityName>
      <candidateList/>
      <explain>同一形式括号套用。</explain>
      <paraID>10AA86EB</paraID>
      <start>319</start>
      <end>320</end>
      <status>ignored</status>
      <modifiedWord/>
      <trackRevisions>false</trackRevisions>
    </reviewItem>
    <reviewItem>
      <errorID>a8acae6a-3c45-495d-9b23-2efc53fce7f0</errorID>
      <errorWord>需具备</errorWord>
      <group>L1_Word</group>
      <groupName>字词问题</groupName>
      <ability>L2_Typo</ability>
      <abilityName>字词错误</abilityName>
      <candidateList>
        <item>须具备</item>
      </candidateList>
      <explain/>
      <paraID>16971725</paraID>
      <start>128</start>
      <end>131</end>
      <status>modified</status>
      <modifiedWord>须具备</modifiedWord>
      <trackRevisions>false</trackRevisions>
    </reviewItem>
    <reviewItem>
      <errorID>28161c22-eb77-4648-910f-84d5a400e11f</errorID>
      <errorWord>-</errorWord>
      <group>L1_Format</group>
      <groupName>格式问题</groupName>
      <ability>L2_HalfPunc</ability>
      <abilityName>全半角检查</abilityName>
      <candidateList>
        <item>－</item>
      </candidateList>
      <explain>文本全半角错误。</explain>
      <paraID>6D08F2E1</paraID>
      <start>195</start>
      <end>196</end>
      <status>ignored</status>
      <modifiedWord/>
      <trackRevisions>false</trackRevisions>
    </reviewItem>
    <reviewItem>
      <errorID>6f71ca8f-f44b-4ef4-bcb8-0d3cfdaa203f</errorID>
      <errorWord>-</errorWord>
      <group>L1_Format</group>
      <groupName>格式问题</groupName>
      <ability>L2_HalfPunc</ability>
      <abilityName>全半角检查</abilityName>
      <candidateList>
        <item>－</item>
      </candidateList>
      <explain>文本全半角错误。</explain>
      <paraID>6D08F2E1</paraID>
      <start>306</start>
      <end>307</end>
      <status>ignored</status>
      <modifiedWord/>
      <trackRevisions>false</trackRevisions>
    </reviewItem>
    <reviewItem>
      <errorID>8c77eda0-bbe3-458e-ab0b-020e06837559</errorID>
      <errorWord>-</errorWord>
      <group>L1_Format</group>
      <groupName>格式问题</groupName>
      <ability>L2_HalfPunc</ability>
      <abilityName>全半角检查</abilityName>
      <candidateList>
        <item>－</item>
      </candidateList>
      <explain>文本全半角错误。</explain>
      <paraID>6D08F2E1</paraID>
      <start>311</start>
      <end>312</end>
      <status>ignored</status>
      <modifiedWord/>
      <trackRevisions>false</trackRevisions>
    </reviewItem>
    <reviewItem>
      <errorID>60953714-1987-4937-9323-959fa0b25ed8</errorID>
      <errorWord>（</errorWord>
      <group>L1_Format</group>
      <groupName>格式问题</groupName>
      <ability>L2_HalfPunc</ability>
      <abilityName>全半角检查</abilityName>
      <candidateList>
        <item>(</item>
      </candidateList>
      <explain>文本全半角错误。</explain>
      <paraID>5331274E</paraID>
      <start>27</start>
      <end>28</end>
      <status>ignored</status>
      <modifiedWord/>
      <trackRevisions>false</trackRevisions>
    </reviewItem>
    <reviewItem>
      <errorID>7ee85510-64e8-479d-852d-7b5a7de31b78</errorID>
      <errorWord>）</errorWord>
      <group>L1_Format</group>
      <groupName>格式问题</groupName>
      <ability>L2_HalfPunc</ability>
      <abilityName>全半角检查</abilityName>
      <candidateList>
        <item>)</item>
      </candidateList>
      <explain>文本全半角错误。</explain>
      <paraID>5331274E</paraID>
      <start>29</start>
      <end>30</end>
      <status>ignored</status>
      <modifiedWord/>
      <trackRevisions>false</trackRevisions>
    </reviewItem>
    <reviewItem>
      <errorID>6d63f765-0fb0-48ad-bb90-f8408db9c5f3</errorID>
      <errorWord>（</errorWord>
      <group>L1_Format</group>
      <groupName>格式问题</groupName>
      <ability>L2_HalfPunc</ability>
      <abilityName>全半角检查</abilityName>
      <candidateList>
        <item>(</item>
      </candidateList>
      <explain>文本全半角错误。</explain>
      <paraID>268243D8</paraID>
      <start>119</start>
      <end>120</end>
      <status>ignored</status>
      <modifiedWord/>
      <trackRevisions>false</trackRevisions>
    </reviewItem>
    <reviewItem>
      <errorID>4ea98870-1771-4da8-9a2f-9e1dead5d895</errorID>
      <errorWord>）</errorWord>
      <group>L1_Format</group>
      <groupName>格式问题</groupName>
      <ability>L2_HalfPunc</ability>
      <abilityName>全半角检查</abilityName>
      <candidateList>
        <item>)</item>
      </candidateList>
      <explain>文本全半角错误。</explain>
      <paraID>268243D8</paraID>
      <start>121</start>
      <end>122</end>
      <status>ignored</status>
      <modifiedWord/>
      <trackRevisions>false</trackRevisions>
    </reviewItem>
    <reviewItem>
      <errorID>bbdaaf8d-6eb2-4a6c-88f9-4ba4f0f19f0b</errorID>
      <errorWord>)</errorWord>
      <group>L1_Format</group>
      <groupName>格式问题</groupName>
      <ability>L2_HalfPunc</ability>
      <abilityName>全半角检查</abilityName>
      <candidateList>
        <item>）</item>
      </candidateList>
      <explain>文本全半角错误。</explain>
      <paraID> FD97B7C</paraID>
      <start>81</start>
      <end>82</end>
      <status>ignored</status>
      <modifiedWord/>
      <trackRevisions>false</trackRevisions>
    </reviewItem>
    <reviewItem>
      <errorID>2d1b97f6-2525-42ef-9a84-084b601ef47a</errorID>
      <errorWord>)</errorWord>
      <group>L1_Format</group>
      <groupName>格式问题</groupName>
      <ability>L2_HalfPunc</ability>
      <abilityName>全半角检查</abilityName>
      <candidateList>
        <item>）</item>
      </candidateList>
      <explain>文本全半角错误。</explain>
      <paraID> FD97B7C</paraID>
      <start>101</start>
      <end>102</end>
      <status>ignored</status>
      <modifiedWord/>
      <trackRevisions>false</trackRevisions>
    </reviewItem>
    <reviewItem>
      <errorID>e9ffe6f0-4cb9-4ada-9dfc-2e729c0e70ac</errorID>
      <errorWord>（</errorWord>
      <group>L1_Format</group>
      <groupName>格式问题</groupName>
      <ability>L2_HalfPunc</ability>
      <abilityName>全半角检查</abilityName>
      <candidateList>
        <item>(</item>
      </candidateList>
      <explain>文本全半角错误。</explain>
      <paraID>4CCAEDB7</paraID>
      <start>36</start>
      <end>37</end>
      <status>ignored</status>
      <modifiedWord/>
      <trackRevisions>false</trackRevisions>
    </reviewItem>
    <reviewItem>
      <errorID>197666b5-7d05-4138-a79f-99773a9f319d</errorID>
      <errorWord>）</errorWord>
      <group>L1_Format</group>
      <groupName>格式问题</groupName>
      <ability>L2_HalfPunc</ability>
      <abilityName>全半角检查</abilityName>
      <candidateList>
        <item>)</item>
      </candidateList>
      <explain>文本全半角错误。</explain>
      <paraID>4CCAEDB7</paraID>
      <start>38</start>
      <end>39</end>
      <status>ignored</status>
      <modifiedWord/>
      <trackRevisions>false</trackRevisions>
    </reviewItem>
    <reviewItem>
      <errorID>9c50043e-b495-4588-bc9c-22ac8a415ef8</errorID>
      <errorWord>（</errorWord>
      <group>L1_Format</group>
      <groupName>格式问题</groupName>
      <ability>L2_HalfPunc</ability>
      <abilityName>全半角检查</abilityName>
      <candidateList>
        <item>(</item>
      </candidateList>
      <explain>文本全半角错误。</explain>
      <paraID>744B4D16</paraID>
      <start>14</start>
      <end>15</end>
      <status>ignored</status>
      <modifiedWord/>
      <trackRevisions>false</trackRevisions>
    </reviewItem>
    <reviewItem>
      <errorID>649ec8c9-5629-464f-aefe-6a1ec6c07932</errorID>
      <errorWord>）</errorWord>
      <group>L1_Format</group>
      <groupName>格式问题</groupName>
      <ability>L2_HalfPunc</ability>
      <abilityName>全半角检查</abilityName>
      <candidateList>
        <item>)</item>
      </candidateList>
      <explain>文本全半角错误。</explain>
      <paraID>744B4D16</paraID>
      <start>16</start>
      <end>17</end>
      <status>ignored</status>
      <modifiedWord/>
      <trackRevisions>false</trackRevisions>
    </reviewItem>
    <reviewItem>
      <errorID>8a24c9ec-8f98-4fba-822c-49028d95f100</errorID>
      <errorWord>（</errorWord>
      <group>L1_Format</group>
      <groupName>格式问题</groupName>
      <ability>L2_HalfPunc</ability>
      <abilityName>全半角检查</abilityName>
      <candidateList>
        <item>(</item>
      </candidateList>
      <explain>文本全半角错误。</explain>
      <paraID>7F680DA3</paraID>
      <start>34</start>
      <end>35</end>
      <status>ignored</status>
      <modifiedWord/>
      <trackRevisions>false</trackRevisions>
    </reviewItem>
    <reviewItem>
      <errorID>7934fe18-5bf2-4d55-8106-68def4d9ace6</errorID>
      <errorWord>）</errorWord>
      <group>L1_Format</group>
      <groupName>格式问题</groupName>
      <ability>L2_HalfPunc</ability>
      <abilityName>全半角检查</abilityName>
      <candidateList>
        <item>)</item>
      </candidateList>
      <explain>文本全半角错误。</explain>
      <paraID>7F680DA3</paraID>
      <start>36</start>
      <end>37</end>
      <status>ignored</status>
      <modifiedWord/>
      <trackRevisions>false</trackRevisions>
    </reviewItem>
    <reviewItem>
      <errorID>107986b6-c410-4466-9499-e563f38d4b26</errorID>
      <errorWord>)</errorWord>
      <group>L1_Format</group>
      <groupName>格式问题</groupName>
      <ability>L2_HalfPunc</ability>
      <abilityName>全半角检查</abilityName>
      <candidateList>
        <item>）</item>
      </candidateList>
      <explain>文本全半角错误。</explain>
      <paraID>2479DC05</paraID>
      <start>8</start>
      <end>9</end>
      <status>ignored</status>
      <modifiedWord/>
      <trackRevisions>false</trackRevisions>
    </reviewItem>
    <reviewItem>
      <errorID>67f1221e-0c48-4947-bf4a-286e5c71f3ab</errorID>
      <errorWord>)</errorWord>
      <group>L1_Format</group>
      <groupName>格式问题</groupName>
      <ability>L2_HalfPunc</ability>
      <abilityName>全半角检查</abilityName>
      <candidateList>
        <item>）</item>
      </candidateList>
      <explain>文本全半角错误。</explain>
      <paraID>2479DC05</paraID>
      <start>13</start>
      <end>14</end>
      <status>ignored</status>
      <modifiedWord/>
      <trackRevisions>false</trackRevisions>
    </reviewItem>
    <reviewItem>
      <errorID>0b863c70-a21e-48bc-823e-9164dca40cb5</errorID>
      <errorWord>-</errorWord>
      <group>L1_Format</group>
      <groupName>格式问题</groupName>
      <ability>L2_HalfPunc</ability>
      <abilityName>全半角检查</abilityName>
      <candidateList>
        <item>－</item>
      </candidateList>
      <explain>文本全半角错误。</explain>
      <paraID>7E8E5CB2</paraID>
      <start>276</start>
      <end>277</end>
      <status>ignored</status>
      <modifiedWord/>
      <trackRevisions>false</trackRevisions>
    </reviewItem>
    <reviewItem>
      <errorID>ddf7496d-66c1-4882-b3ae-eb65d245a008</errorID>
      <errorWord>-</errorWord>
      <group>L1_Format</group>
      <groupName>格式问题</groupName>
      <ability>L2_HalfPunc</ability>
      <abilityName>全半角检查</abilityName>
      <candidateList>
        <item>－</item>
      </candidateList>
      <explain>文本全半角错误。</explain>
      <paraID>7E8E5CB2</paraID>
      <start>356</start>
      <end>357</end>
      <status>ignored</status>
      <modifiedWord/>
      <trackRevisions>false</trackRevisions>
    </reviewItem>
    <reviewItem>
      <errorID>39c256a3-1efd-49fd-9447-36d47dcd355b</errorID>
      <errorWord>显式</errorWord>
      <group>L1_Word</group>
      <groupName>字词问题</groupName>
      <ability>L2_Typo</ability>
      <abilityName>字词错误</abilityName>
      <candidateList>
        <item>显示</item>
      </candidateList>
      <explain>〈动〉明显地表现：～威力｜作品～了作者纯熟的写作技巧。</explain>
      <paraID> 564F064</paraID>
      <start>386</start>
      <end>388</end>
      <status>ignored</status>
      <modifiedWord/>
      <trackRevisions>false</trackRevisions>
    </reviewItem>
    <reviewItem>
      <errorID>b2d392ad-722a-4c40-82ca-4922b4ff8167</errorID>
      <errorWord>-</errorWord>
      <group>L1_Format</group>
      <groupName>格式问题</groupName>
      <ability>L2_HalfPunc</ability>
      <abilityName>全半角检查</abilityName>
      <candidateList>
        <item>－</item>
      </candidateList>
      <explain>文本全半角错误。</explain>
      <paraID>5C6AC7B0</paraID>
      <start>32</start>
      <end>33</end>
      <status>ignored</status>
      <modifiedWord/>
      <trackRevisions>false</trackRevisions>
    </reviewItem>
    <reviewItem>
      <errorID>62c69b9e-9a2a-4015-994c-1925a3368d11</errorID>
      <errorWord>嵌入到</errorWord>
      <group>L1_Word</group>
      <groupName>字词问题</groupName>
      <ability>L2_Typo</ability>
      <abilityName>字词错误</abilityName>
      <candidateList>
        <item>嵌入</item>
      </candidateList>
      <explain/>
      <paraID>4B5079B0</paraID>
      <start>49</start>
      <end>52</end>
      <status>ignored</status>
      <modifiedWord/>
      <trackRevisions>false</trackRevisions>
    </reviewItem>
    <reviewItem>
      <errorID>b4db4cde-aebf-499a-ab4f-6c90f7c1e806</errorID>
      <errorWord>存</errorWord>
      <group>L1_Word</group>
      <groupName>字词问题</groupName>
      <ability>L2_Typo</ability>
      <abilityName>字词错误</abilityName>
      <candidateList>
        <item>存在</item>
      </candidateList>
      <explain/>
      <paraID>4B5079B0</paraID>
      <start>533</start>
      <end>535</end>
      <status>modified</status>
      <modifiedWord>存在</modifiedWord>
      <trackRevisions>false</trackRevisions>
    </reviewItem>
    <reviewItem>
      <errorID>14471bf3-0e78-4361-9faa-d4ae7ba3d08f</errorID>
      <errorWord>-</errorWord>
      <group>L1_Format</group>
      <groupName>格式问题</groupName>
      <ability>L2_HalfPunc</ability>
      <abilityName>全半角检查</abilityName>
      <candidateList>
        <item>－</item>
      </candidateList>
      <explain>文本全半角错误。</explain>
      <paraID>5F9A5A91</paraID>
      <start>6</start>
      <end>7</end>
      <status>ignored</status>
      <modifiedWord/>
      <trackRevisions>false</trackRevisions>
    </reviewItem>
    <reviewItem>
      <errorID>71d43490-8895-4ed3-9767-fccb7b4a88d0</errorID>
      <errorWord>-</errorWord>
      <group>L1_Format</group>
      <groupName>格式问题</groupName>
      <ability>L2_HalfPunc</ability>
      <abilityName>全半角检查</abilityName>
      <candidateList>
        <item>－</item>
      </candidateList>
      <explain>文本全半角错误。</explain>
      <paraID>53F49077</paraID>
      <start>198</start>
      <end>199</end>
      <status>ignored</status>
      <modifiedWord/>
      <trackRevisions>false</trackRevisions>
    </reviewItem>
    <reviewItem>
      <errorID>2ca86066-389f-4ba5-a8cf-4673c58a54c3</errorID>
      <errorWord>-</errorWord>
      <group>L1_Format</group>
      <groupName>格式问题</groupName>
      <ability>L2_HalfPunc</ability>
      <abilityName>全半角检查</abilityName>
      <candidateList>
        <item>－</item>
      </candidateList>
      <explain>文本全半角错误。</explain>
      <paraID>122CA046</paraID>
      <start>93</start>
      <end>94</end>
      <status>ignored</status>
      <modifiedWord/>
      <trackRevisions>false</trackRevisions>
    </reviewItem>
    <reviewItem>
      <errorID>0d4a7152-719e-4926-a2b9-8cde14789332</errorID>
      <errorWord>-</errorWord>
      <group>L1_Format</group>
      <groupName>格式问题</groupName>
      <ability>L2_HalfPunc</ability>
      <abilityName>全半角检查</abilityName>
      <candidateList>
        <item>－</item>
      </candidateList>
      <explain>文本全半角错误。</explain>
      <paraID>122CA046</paraID>
      <start>96</start>
      <end>97</end>
      <status>ignored</status>
      <modifiedWord/>
      <trackRevisions>false</trackRevisions>
    </reviewItem>
    <reviewItem>
      <errorID>2981e782-3392-4100-afac-ae8051c72c30</errorID>
      <errorWord>,</errorWord>
      <group>L1_Format</group>
      <groupName>格式问题</groupName>
      <ability>L2_HalfPunc</ability>
      <abilityName>全半角检查</abilityName>
      <candidateList>
        <item>，</item>
      </candidateList>
      <explain>文本全半角错误。</explain>
      <paraID>674867E1</paraID>
      <start>7</start>
      <end>8</end>
      <status>ignored</status>
      <modifiedWord/>
      <trackRevisions>false</trackRevisions>
    </reviewItem>
    <reviewItem>
      <errorID>cd55b520-912c-4962-8e8d-a33f4ee59043</errorID>
      <errorWord>,</errorWord>
      <group>L1_Format</group>
      <groupName>格式问题</groupName>
      <ability>L2_HalfPunc</ability>
      <abilityName>全半角检查</abilityName>
      <candidateList>
        <item>，</item>
      </candidateList>
      <explain>文本全半角错误。</explain>
      <paraID>674867E1</paraID>
      <start>12</start>
      <end>13</end>
      <status>ignored</status>
      <modifiedWord/>
      <trackRevisions>false</trackRevisions>
    </reviewItem>
    <reviewItem>
      <errorID>7e60af90-4ec0-4393-8990-935d301e710e</errorID>
      <errorWord>,</errorWord>
      <group>L1_Format</group>
      <groupName>格式问题</groupName>
      <ability>L2_HalfPunc</ability>
      <abilityName>全半角检查</abilityName>
      <candidateList>
        <item>，</item>
      </candidateList>
      <explain>文本全半角错误。</explain>
      <paraID>674867E1</paraID>
      <start>17</start>
      <end>18</end>
      <status>ignored</status>
      <modifiedWord/>
      <trackRevisions>false</trackRevisions>
    </reviewItem>
    <reviewItem>
      <errorID>7d29673d-f9b3-4b8a-be82-dfbb37e9bf26</errorID>
      <errorWord>.</errorWord>
      <group>L1_Format</group>
      <groupName>格式问题</groupName>
      <ability>L2_HalfPunc</ability>
      <abilityName>全半角检查</abilityName>
      <candidateList>
        <item>。</item>
      </candidateList>
      <explain>文本全半角错误。</explain>
      <paraID>674867E1</paraID>
      <start>20</start>
      <end>21</end>
      <status>ignored</status>
      <modifiedWord/>
      <trackRevisions>false</trackRevisions>
    </reviewItem>
    <reviewItem>
      <errorID>4ef65a19-cc20-44a8-ac2e-750204a66514</errorID>
      <errorWord>(</errorWord>
      <group>L1_Format</group>
      <groupName>格式问题</groupName>
      <ability>L2_HalfPunc</ability>
      <abilityName>全半角检查</abilityName>
      <candidateList>
        <item>（</item>
      </candidateList>
      <explain>文本全半角错误。</explain>
      <paraID>674867E1</paraID>
      <start>63</start>
      <end>64</end>
      <status>ignored</status>
      <modifiedWord/>
      <trackRevisions>false</trackRevisions>
    </reviewItem>
    <reviewItem>
      <errorID>2fdd2cd4-9fcb-4435-946f-0b451f7ff761</errorID>
      <errorWord>)</errorWord>
      <group>L1_Format</group>
      <groupName>格式问题</groupName>
      <ability>L2_HalfPunc</ability>
      <abilityName>全半角检查</abilityName>
      <candidateList>
        <item>）</item>
      </candidateList>
      <explain>文本全半角错误。</explain>
      <paraID>674867E1</paraID>
      <start>67</start>
      <end>68</end>
      <status>ignored</status>
      <modifiedWord/>
      <trackRevisions>false</trackRevisions>
    </reviewItem>
    <reviewItem>
      <errorID>0857ce6b-636e-4c28-870c-0fea22305edf</errorID>
      <errorWord>.</errorWord>
      <group>L1_Format</group>
      <groupName>格式问题</groupName>
      <ability>L2_HalfPunc</ability>
      <abilityName>全半角检查</abilityName>
      <candidateList>
        <item>。</item>
      </candidateList>
      <explain>文本全半角错误。</explain>
      <paraID>5DAA3635</paraID>
      <start>61</start>
      <end>62</end>
      <status>ignored</status>
      <modifiedWord/>
      <trackRevisions>false</trackRevisions>
    </reviewItem>
  </reviewItems>
  <config/>
</contractReview>
</file>

<file path=customXml/itemProps1.xml><?xml version="1.0" encoding="utf-8"?>
<ds:datastoreItem xmlns:ds="http://schemas.openxmlformats.org/officeDocument/2006/customXml" ds:itemID="{49675c3c-3b7e-4b29-9bb5-ebd6e1ed5763}">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3557</Words>
  <Characters>5597</Characters>
  <Lines>226</Lines>
  <Paragraphs>63</Paragraphs>
  <TotalTime>778</TotalTime>
  <ScaleCrop>false</ScaleCrop>
  <LinksUpToDate>false</LinksUpToDate>
  <CharactersWithSpaces>5947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2025-06-30T07:12:00Z</dcterms:created>
  <dc:creator>30993</dc:creator>
  <cp:lastModifiedBy>王璐</cp:lastModifiedBy>
  <dcterms:modified xsi:type="dcterms:W3CDTF">2026-02-10T06:35:35Z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eyJoZGlkIjoiNGJjZWI2NmMzYjBlM2UyZGMwZjUwNDQyMjU3NjRlOGUiLCJ1c2VySWQiOiIzNjMyNDI1ODUifQ==</vt:lpwstr>
  </property>
  <property fmtid="{D5CDD505-2E9C-101B-9397-08002B2CF9AE}" pid="4" name="ICV">
    <vt:lpwstr>4EBCDD5270F54F37B32F1E29D5136387_13</vt:lpwstr>
  </property>
  <property fmtid="{D5CDD505-2E9C-101B-9397-08002B2CF9AE}" pid="5" name="ZOTERO_PREF_1">
    <vt:lpwstr>&lt;data data-version="3" zotero-version="7.0.27"&gt;&lt;session id="cOTfN6zf"/&gt;&lt;style id="http://www.zotero.org/styles/china-national-standard-gb-t-7714-2015-numeric" hasBibliography="1" bibliographyStyleHasBeenSet="1"/&gt;&lt;prefs&gt;&lt;pref name="fieldType" value="Field"</vt:lpwstr>
  </property>
  <property fmtid="{D5CDD505-2E9C-101B-9397-08002B2CF9AE}" pid="6" name="ZOTERO_PREF_2">
    <vt:lpwstr>/&gt;&lt;/prefs&gt;&lt;/data&gt;</vt:lpwstr>
  </property>
</Properties>
</file>