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08152F">
      <w:pPr>
        <w:adjustRightInd w:val="0"/>
        <w:snapToGrid w:val="0"/>
        <w:jc w:val="center"/>
        <w:rPr>
          <w:rFonts w:ascii="黑体" w:hAnsi="黑体" w:eastAsia="黑体" w:cs="Times New Roman"/>
          <w:color w:val="000000"/>
          <w:sz w:val="48"/>
          <w:szCs w:val="48"/>
          <w:shd w:val="clear" w:color="auto" w:fill="FFFFFF"/>
        </w:rPr>
      </w:pPr>
      <w:r>
        <w:rPr>
          <w:rFonts w:ascii="黑体" w:hAnsi="黑体" w:eastAsia="黑体" w:cs="Times New Roman"/>
          <w:color w:val="000000"/>
          <w:sz w:val="48"/>
          <w:szCs w:val="48"/>
          <w:shd w:val="clear" w:color="auto" w:fill="FFFFFF"/>
        </w:rPr>
        <w:t>基于</w:t>
      </w:r>
      <w:r>
        <w:rPr>
          <w:rFonts w:hint="eastAsia" w:ascii="黑体" w:hAnsi="黑体" w:eastAsia="黑体" w:cs="Times New Roman"/>
          <w:color w:val="000000"/>
          <w:sz w:val="48"/>
          <w:szCs w:val="48"/>
          <w:shd w:val="clear" w:color="auto" w:fill="FFFFFF"/>
        </w:rPr>
        <w:t>LB</w:t>
      </w:r>
      <w:r>
        <w:rPr>
          <w:rFonts w:ascii="黑体" w:hAnsi="黑体" w:eastAsia="黑体" w:cs="Times New Roman"/>
          <w:color w:val="000000"/>
          <w:sz w:val="48"/>
          <w:szCs w:val="48"/>
          <w:shd w:val="clear" w:color="auto" w:fill="FFFFFF"/>
        </w:rPr>
        <w:t>方法的河库流-温-质耦合模拟研究</w:t>
      </w:r>
    </w:p>
    <w:p w14:paraId="53219619">
      <w:pPr>
        <w:adjustRightInd w:val="0"/>
        <w:snapToGrid w:val="0"/>
        <w:jc w:val="center"/>
        <w:rPr>
          <w:rFonts w:ascii="楷体" w:hAnsi="楷体" w:eastAsia="楷体" w:cs="Times New Roman"/>
          <w:sz w:val="28"/>
          <w:szCs w:val="28"/>
        </w:rPr>
      </w:pPr>
      <w:bookmarkStart w:id="0" w:name="_Hlk187687601"/>
      <w:r>
        <w:rPr>
          <w:rFonts w:hint="eastAsia" w:ascii="楷体" w:hAnsi="楷体" w:eastAsia="楷体" w:cs="Times New Roman"/>
          <w:sz w:val="28"/>
          <w:szCs w:val="28"/>
        </w:rPr>
        <w:t>赵浩楠</w:t>
      </w:r>
      <w:r>
        <w:rPr>
          <w:rFonts w:ascii="楷体" w:hAnsi="楷体" w:eastAsia="楷体" w:cs="Times New Roman"/>
          <w:sz w:val="28"/>
          <w:szCs w:val="28"/>
          <w:vertAlign w:val="superscript"/>
        </w:rPr>
        <w:t>1</w:t>
      </w:r>
      <w:r>
        <w:rPr>
          <w:rFonts w:ascii="楷体" w:hAnsi="楷体" w:eastAsia="楷体" w:cs="Times New Roman"/>
          <w:sz w:val="28"/>
          <w:szCs w:val="28"/>
        </w:rPr>
        <w:t>，</w:t>
      </w:r>
      <w:r>
        <w:rPr>
          <w:rFonts w:hint="eastAsia" w:ascii="楷体" w:hAnsi="楷体" w:eastAsia="楷体" w:cs="Times New Roman"/>
          <w:sz w:val="28"/>
          <w:szCs w:val="28"/>
        </w:rPr>
        <w:t>但云峰</w:t>
      </w:r>
      <w:r>
        <w:rPr>
          <w:rFonts w:hint="eastAsia" w:ascii="楷体" w:hAnsi="楷体" w:eastAsia="楷体" w:cs="Times New Roman"/>
          <w:sz w:val="28"/>
          <w:szCs w:val="28"/>
          <w:vertAlign w:val="superscript"/>
        </w:rPr>
        <w:t>1</w:t>
      </w:r>
      <w:r>
        <w:rPr>
          <w:rFonts w:ascii="楷体" w:hAnsi="楷体" w:eastAsia="楷体" w:cs="Times New Roman"/>
          <w:sz w:val="28"/>
          <w:szCs w:val="28"/>
        </w:rPr>
        <w:t>，</w:t>
      </w:r>
      <w:r>
        <w:rPr>
          <w:rFonts w:hint="eastAsia" w:ascii="楷体" w:hAnsi="楷体" w:eastAsia="楷体" w:cs="Times New Roman"/>
          <w:sz w:val="28"/>
          <w:szCs w:val="28"/>
        </w:rPr>
        <w:t>鲍玲玲</w:t>
      </w:r>
      <w:r>
        <w:rPr>
          <w:rFonts w:hint="eastAsia" w:ascii="楷体" w:hAnsi="楷体" w:eastAsia="楷体" w:cs="Times New Roman"/>
          <w:sz w:val="28"/>
          <w:szCs w:val="28"/>
          <w:vertAlign w:val="superscript"/>
        </w:rPr>
        <w:t>1</w:t>
      </w:r>
      <w:r>
        <w:rPr>
          <w:rFonts w:ascii="楷体" w:hAnsi="楷体" w:eastAsia="楷体" w:cs="Times New Roman"/>
          <w:sz w:val="28"/>
          <w:szCs w:val="28"/>
        </w:rPr>
        <w:t>，</w:t>
      </w:r>
      <w:r>
        <w:rPr>
          <w:rFonts w:hint="eastAsia" w:ascii="楷体" w:hAnsi="楷体" w:eastAsia="楷体" w:cs="Times New Roman"/>
          <w:sz w:val="28"/>
          <w:szCs w:val="28"/>
        </w:rPr>
        <w:t>袁</w:t>
      </w:r>
      <w:r>
        <w:rPr>
          <w:rFonts w:hint="eastAsia" w:ascii="楷体" w:hAnsi="楷体" w:eastAsia="楷体" w:cs="Times New Roman"/>
          <w:color w:val="000000"/>
          <w:sz w:val="28"/>
          <w:szCs w:val="28"/>
          <w:shd w:val="clear" w:color="auto" w:fill="FFFFFF"/>
        </w:rPr>
        <w:t xml:space="preserve"> </w:t>
      </w:r>
      <w:r>
        <w:rPr>
          <w:rFonts w:hint="eastAsia" w:ascii="楷体" w:hAnsi="楷体" w:eastAsia="楷体" w:cs="Times New Roman"/>
          <w:sz w:val="28"/>
          <w:szCs w:val="28"/>
        </w:rPr>
        <w:t>浩</w:t>
      </w:r>
      <w:r>
        <w:rPr>
          <w:rFonts w:hint="eastAsia" w:ascii="楷体" w:hAnsi="楷体" w:eastAsia="楷体" w:cs="Times New Roman"/>
          <w:sz w:val="28"/>
          <w:szCs w:val="28"/>
          <w:vertAlign w:val="superscript"/>
        </w:rPr>
        <w:t>2</w:t>
      </w:r>
      <w:r>
        <w:rPr>
          <w:rFonts w:ascii="楷体" w:hAnsi="楷体" w:eastAsia="楷体" w:cs="Times New Roman"/>
          <w:sz w:val="28"/>
          <w:szCs w:val="28"/>
        </w:rPr>
        <w:t>，</w:t>
      </w:r>
      <w:bookmarkEnd w:id="0"/>
      <w:r>
        <w:rPr>
          <w:rFonts w:hint="eastAsia" w:ascii="楷体" w:hAnsi="楷体" w:eastAsia="楷体" w:cs="Times New Roman"/>
          <w:sz w:val="28"/>
          <w:szCs w:val="28"/>
        </w:rPr>
        <w:t>邹翼遥</w:t>
      </w:r>
      <w:r>
        <w:rPr>
          <w:rFonts w:hint="eastAsia" w:ascii="楷体" w:hAnsi="楷体" w:eastAsia="楷体" w:cs="Times New Roman"/>
          <w:sz w:val="28"/>
          <w:szCs w:val="28"/>
          <w:vertAlign w:val="superscript"/>
        </w:rPr>
        <w:t>3</w:t>
      </w:r>
    </w:p>
    <w:p w14:paraId="6B2FE377">
      <w:pPr>
        <w:adjustRightInd w:val="0"/>
        <w:snapToGrid w:val="0"/>
        <w:jc w:val="center"/>
        <w:rPr>
          <w:rFonts w:ascii="仿宋" w:hAnsi="仿宋" w:eastAsia="仿宋" w:cs="Times New Roman"/>
          <w:szCs w:val="21"/>
        </w:rPr>
      </w:pPr>
      <w:bookmarkStart w:id="1" w:name="_Hlk187687654"/>
      <w:r>
        <w:rPr>
          <w:rFonts w:ascii="仿宋" w:hAnsi="仿宋" w:eastAsia="仿宋" w:cs="Times New Roman"/>
          <w:color w:val="000000"/>
          <w:szCs w:val="21"/>
          <w:shd w:val="clear" w:color="auto" w:fill="FFFFFF"/>
        </w:rPr>
        <w:t>(</w:t>
      </w:r>
      <w:r>
        <w:rPr>
          <w:rFonts w:ascii="仿宋" w:hAnsi="仿宋" w:eastAsia="仿宋" w:cs="Times New Roman"/>
          <w:szCs w:val="21"/>
        </w:rPr>
        <w:t>1. 重庆市水利电力建筑勘测设计研究院有限公司，重庆 400020；2.</w:t>
      </w:r>
      <w:r>
        <w:rPr>
          <w:rFonts w:ascii="仿宋" w:hAnsi="仿宋" w:eastAsia="仿宋"/>
          <w:sz w:val="24"/>
          <w:szCs w:val="28"/>
        </w:rPr>
        <w:t xml:space="preserve"> </w:t>
      </w:r>
      <w:r>
        <w:rPr>
          <w:rFonts w:ascii="仿宋" w:hAnsi="仿宋" w:eastAsia="仿宋" w:cs="Times New Roman"/>
          <w:szCs w:val="21"/>
        </w:rPr>
        <w:t xml:space="preserve">重庆交通大学 </w:t>
      </w:r>
    </w:p>
    <w:p w14:paraId="6203CBFB">
      <w:pPr>
        <w:adjustRightInd w:val="0"/>
        <w:snapToGrid w:val="0"/>
        <w:jc w:val="center"/>
        <w:rPr>
          <w:rFonts w:ascii="仿宋" w:hAnsi="仿宋" w:eastAsia="仿宋" w:cs="Times New Roman"/>
          <w:szCs w:val="21"/>
        </w:rPr>
      </w:pPr>
      <w:r>
        <w:rPr>
          <w:rFonts w:hint="eastAsia" w:ascii="仿宋" w:hAnsi="仿宋" w:eastAsia="仿宋" w:cs="Times New Roman"/>
          <w:szCs w:val="21"/>
        </w:rPr>
        <w:t>西南水利水运工程科学研究院</w:t>
      </w:r>
      <w:r>
        <w:rPr>
          <w:rFonts w:ascii="仿宋" w:hAnsi="仿宋" w:eastAsia="仿宋" w:cs="Times New Roman"/>
          <w:szCs w:val="21"/>
        </w:rPr>
        <w:t>，重庆 400016</w:t>
      </w:r>
      <w:r>
        <w:rPr>
          <w:rFonts w:hint="eastAsia" w:ascii="仿宋" w:hAnsi="仿宋" w:eastAsia="仿宋" w:cs="Times New Roman"/>
          <w:szCs w:val="21"/>
        </w:rPr>
        <w:t xml:space="preserve">；3 </w:t>
      </w:r>
      <w:r>
        <w:rPr>
          <w:rFonts w:ascii="仿宋" w:hAnsi="仿宋" w:eastAsia="仿宋" w:cs="Times New Roman"/>
          <w:szCs w:val="21"/>
        </w:rPr>
        <w:t>重庆交通大学</w:t>
      </w:r>
      <w:r>
        <w:rPr>
          <w:rFonts w:ascii="仿宋" w:hAnsi="仿宋" w:eastAsia="仿宋" w:cs="Times New Roman"/>
          <w:color w:val="000000"/>
          <w:szCs w:val="21"/>
          <w:shd w:val="clear" w:color="auto" w:fill="FFFFFF"/>
        </w:rPr>
        <w:t xml:space="preserve"> </w:t>
      </w:r>
      <w:r>
        <w:rPr>
          <w:rFonts w:hint="eastAsia" w:ascii="仿宋" w:hAnsi="仿宋" w:eastAsia="仿宋" w:cs="Times New Roman"/>
          <w:szCs w:val="21"/>
        </w:rPr>
        <w:t>河海学院</w:t>
      </w:r>
      <w:r>
        <w:rPr>
          <w:rFonts w:ascii="仿宋" w:hAnsi="仿宋" w:eastAsia="仿宋" w:cs="Times New Roman"/>
          <w:szCs w:val="21"/>
        </w:rPr>
        <w:t>，重庆 400016</w:t>
      </w:r>
      <w:r>
        <w:rPr>
          <w:rFonts w:ascii="仿宋" w:hAnsi="仿宋" w:eastAsia="仿宋" w:cs="Times New Roman"/>
          <w:color w:val="000000"/>
          <w:szCs w:val="21"/>
          <w:shd w:val="clear" w:color="auto" w:fill="FFFFFF"/>
        </w:rPr>
        <w:t>)</w:t>
      </w:r>
      <w:bookmarkEnd w:id="1"/>
    </w:p>
    <w:p w14:paraId="2A2F286A">
      <w:pPr>
        <w:adjustRightInd w:val="0"/>
        <w:snapToGrid w:val="0"/>
        <w:jc w:val="left"/>
        <w:rPr>
          <w:rFonts w:ascii="Times New Roman" w:hAnsi="Times New Roman" w:cs="Times New Roman"/>
          <w:sz w:val="18"/>
          <w:szCs w:val="18"/>
        </w:rPr>
      </w:pPr>
    </w:p>
    <w:p w14:paraId="6239242F">
      <w:pPr>
        <w:adjustRightInd w:val="0"/>
        <w:snapToGrid w:val="0"/>
        <w:rPr>
          <w:rFonts w:ascii="楷体" w:hAnsi="楷体" w:eastAsia="楷体"/>
          <w:bCs/>
          <w:szCs w:val="21"/>
        </w:rPr>
      </w:pPr>
      <w:r>
        <w:rPr>
          <w:rFonts w:ascii="黑体" w:hAnsi="黑体" w:eastAsia="黑体" w:cs="Times New Roman"/>
          <w:b/>
          <w:bCs/>
          <w:szCs w:val="21"/>
        </w:rPr>
        <w:t>摘</w:t>
      </w:r>
      <w:r>
        <w:rPr>
          <w:rFonts w:hint="eastAsia" w:ascii="黑体" w:hAnsi="黑体" w:eastAsia="黑体" w:cs="Times New Roman"/>
          <w:b/>
          <w:bCs/>
          <w:color w:val="000000"/>
          <w:szCs w:val="21"/>
          <w:shd w:val="clear" w:color="auto" w:fill="FFFFFF"/>
        </w:rPr>
        <w:t xml:space="preserve"> </w:t>
      </w:r>
      <w:r>
        <w:rPr>
          <w:rFonts w:ascii="黑体" w:hAnsi="黑体" w:eastAsia="黑体" w:cs="Times New Roman"/>
          <w:b/>
          <w:bCs/>
          <w:szCs w:val="21"/>
        </w:rPr>
        <w:t>要</w:t>
      </w:r>
      <w:r>
        <w:rPr>
          <w:rFonts w:ascii="Times New Roman" w:hAnsi="Times New Roman" w:cs="Times New Roman"/>
          <w:szCs w:val="21"/>
        </w:rPr>
        <w:t>：</w:t>
      </w:r>
      <w:r>
        <w:rPr>
          <w:rFonts w:ascii="Times New Roman" w:hAnsi="Times New Roman" w:eastAsia="楷体" w:cs="Times New Roman"/>
          <w:bCs/>
          <w:szCs w:val="21"/>
        </w:rPr>
        <w:t>【目的】</w:t>
      </w:r>
      <w:r>
        <w:rPr>
          <w:rFonts w:hint="eastAsia" w:ascii="Times New Roman" w:hAnsi="Times New Roman" w:eastAsia="楷体" w:cs="Times New Roman"/>
          <w:bCs/>
          <w:szCs w:val="21"/>
        </w:rPr>
        <w:t>针对山区河库复杂水动力条件，构建基于格子玻尔兹曼方法的三维流-温-质耦合数值模型，用于描述水体流动、温度分层及污染物输移过程。</w:t>
      </w:r>
      <w:r>
        <w:rPr>
          <w:rFonts w:ascii="Times New Roman" w:hAnsi="Times New Roman" w:eastAsia="楷体" w:cs="Times New Roman"/>
          <w:bCs/>
          <w:szCs w:val="21"/>
        </w:rPr>
        <w:t>【方法】模型采用多分布函数格式并行求解流场、温度场与浓度场，并通过三维双扩散自然对流算例进行验证，在多组 Rayleigh 数工况下平均 Nusselt 数与 Sherwood 数的相对误差均小于 0.8%。【结果】</w:t>
      </w:r>
      <w:r>
        <w:rPr>
          <w:rFonts w:hint="eastAsia" w:ascii="Times New Roman" w:hAnsi="Times New Roman" w:eastAsia="楷体" w:cs="Times New Roman"/>
          <w:bCs/>
          <w:szCs w:val="21"/>
        </w:rPr>
        <w:t xml:space="preserve">在此基础上，将模型应用于西南高原山区典型河库，模拟冷水入汇条件下的水温演化及污染物短时扩散过程。结果表明，冷水入汇后在库底形成潜流并诱发水温分层；当冷水主流到达坝址后，下泄水温在约 60 min 内由约 11.5 </w:t>
      </w:r>
      <w:r>
        <w:rPr>
          <w:rFonts w:ascii="Times New Roman" w:hAnsi="Times New Roman" w:eastAsia="楷体" w:cs="Times New Roman"/>
          <w:bCs/>
          <w:szCs w:val="21"/>
        </w:rPr>
        <w:t>℃</w:t>
      </w:r>
      <w:r>
        <w:rPr>
          <w:rFonts w:hint="eastAsia" w:ascii="Times New Roman" w:hAnsi="Times New Roman" w:eastAsia="楷体" w:cs="Times New Roman"/>
          <w:bCs/>
          <w:szCs w:val="21"/>
        </w:rPr>
        <w:t xml:space="preserve"> 降至约 6.5 </w:t>
      </w:r>
      <w:r>
        <w:rPr>
          <w:rFonts w:ascii="Times New Roman" w:hAnsi="Times New Roman" w:eastAsia="楷体" w:cs="Times New Roman"/>
          <w:bCs/>
          <w:szCs w:val="21"/>
        </w:rPr>
        <w:t>℃</w:t>
      </w:r>
      <w:r>
        <w:rPr>
          <w:rFonts w:hint="eastAsia" w:ascii="Times New Roman" w:hAnsi="Times New Roman" w:eastAsia="楷体" w:cs="Times New Roman"/>
          <w:bCs/>
          <w:szCs w:val="21"/>
        </w:rPr>
        <w:t>。污染物在缓流区发生局部富集，高浓度区尺度可达约 150 m，并在主流区表现为以对流为主的纵向输移特征。</w:t>
      </w:r>
      <w:r>
        <w:rPr>
          <w:rFonts w:ascii="Times New Roman" w:hAnsi="Times New Roman" w:eastAsia="楷体" w:cs="Times New Roman"/>
          <w:bCs/>
          <w:szCs w:val="21"/>
        </w:rPr>
        <w:t>【结论】</w:t>
      </w:r>
      <w:r>
        <w:rPr>
          <w:rFonts w:hint="eastAsia" w:ascii="Times New Roman" w:hAnsi="Times New Roman" w:eastAsia="楷体"/>
          <w:bCs/>
          <w:szCs w:val="21"/>
        </w:rPr>
        <w:t>研究表明，该耦合模型能够在复杂边界条件下稳定刻画流-温-质多场相互作用，适用于山区河库冷水潜流诱发分层及污染物短历时扩散过程的高分辨率模拟，可为分层取水调度与污染风险分析提供参考</w:t>
      </w:r>
      <w:r>
        <w:rPr>
          <w:rFonts w:ascii="Times New Roman" w:hAnsi="Times New Roman" w:eastAsia="楷体"/>
          <w:bCs/>
          <w:szCs w:val="21"/>
        </w:rPr>
        <w:t>。</w:t>
      </w:r>
    </w:p>
    <w:p w14:paraId="35898071">
      <w:pPr>
        <w:pStyle w:val="36"/>
        <w:adjustRightInd w:val="0"/>
        <w:snapToGrid w:val="0"/>
        <w:ind w:left="0" w:firstLine="0"/>
        <w:jc w:val="both"/>
        <w:rPr>
          <w:rFonts w:ascii="楷体" w:hAnsi="楷体" w:eastAsia="楷体" w:cs="Times New Roman"/>
        </w:rPr>
      </w:pPr>
      <w:r>
        <w:rPr>
          <w:rFonts w:ascii="黑体" w:hAnsi="黑体" w:eastAsia="黑体" w:cs="Times New Roman"/>
          <w:b/>
          <w:bCs/>
        </w:rPr>
        <w:t>关键词</w:t>
      </w:r>
      <w:r>
        <w:rPr>
          <w:rFonts w:ascii="楷体" w:hAnsi="楷体" w:eastAsia="楷体" w:cs="Times New Roman"/>
        </w:rPr>
        <w:t>：格子玻尔兹曼方法；多场耦合；河库；传热传质；对流扩散</w:t>
      </w:r>
    </w:p>
    <w:p w14:paraId="7683C8CD">
      <w:pPr>
        <w:rPr>
          <w:rFonts w:eastAsia="楷体"/>
        </w:rPr>
      </w:pPr>
      <w:r>
        <w:rPr>
          <w:rFonts w:hint="eastAsia" w:ascii="楷体" w:hAnsi="楷体" w:eastAsia="楷体" w:cs="Times New Roman"/>
        </w:rPr>
        <w:t>DOI:          OSID:</w:t>
      </w:r>
    </w:p>
    <w:p w14:paraId="77113A6D">
      <w:pPr>
        <w:adjustRightInd w:val="0"/>
        <w:snapToGrid w:val="0"/>
        <w:rPr>
          <w:rFonts w:ascii="Times New Roman" w:hAnsi="Times New Roman" w:cs="Times New Roman"/>
          <w:w w:val="95"/>
        </w:rPr>
      </w:pPr>
      <w:r>
        <w:rPr>
          <w:rFonts w:ascii="黑体" w:hAnsi="黑体" w:eastAsia="黑体" w:cs="Times New Roman"/>
          <w:b/>
          <w:bCs/>
          <w:sz w:val="18"/>
          <w:szCs w:val="18"/>
        </w:rPr>
        <w:t>中图分类号</w:t>
      </w:r>
      <w:r>
        <w:rPr>
          <w:rFonts w:ascii="Times New Roman" w:hAnsi="Times New Roman" w:cs="Times New Roman"/>
          <w:szCs w:val="21"/>
        </w:rPr>
        <w:t>：</w:t>
      </w:r>
      <w:r>
        <w:rPr>
          <w:rFonts w:ascii="Times New Roman" w:hAnsi="Times New Roman" w:cs="Times New Roman"/>
          <w:sz w:val="18"/>
          <w:szCs w:val="18"/>
        </w:rPr>
        <w:t xml:space="preserve">TV135           </w:t>
      </w:r>
      <w:r>
        <w:rPr>
          <w:rFonts w:ascii="黑体" w:hAnsi="黑体" w:eastAsia="黑体" w:cs="Times New Roman"/>
          <w:b/>
          <w:bCs/>
          <w:sz w:val="18"/>
          <w:szCs w:val="18"/>
        </w:rPr>
        <w:t xml:space="preserve"> 文献标</w:t>
      </w:r>
      <w:r>
        <w:rPr>
          <w:rFonts w:hint="eastAsia" w:ascii="黑体" w:hAnsi="黑体" w:eastAsia="黑体" w:cs="Times New Roman"/>
          <w:b/>
          <w:bCs/>
          <w:sz w:val="18"/>
          <w:szCs w:val="18"/>
        </w:rPr>
        <w:t>志</w:t>
      </w:r>
      <w:r>
        <w:rPr>
          <w:rFonts w:ascii="黑体" w:hAnsi="黑体" w:eastAsia="黑体" w:cs="Times New Roman"/>
          <w:b/>
          <w:bCs/>
          <w:sz w:val="18"/>
          <w:szCs w:val="18"/>
        </w:rPr>
        <w:t>码</w:t>
      </w:r>
      <w:r>
        <w:rPr>
          <w:rFonts w:ascii="Times New Roman" w:hAnsi="Times New Roman" w:cs="Times New Roman"/>
          <w:b/>
          <w:sz w:val="18"/>
          <w:szCs w:val="18"/>
        </w:rPr>
        <w:t>：</w:t>
      </w:r>
      <w:r>
        <w:rPr>
          <w:rFonts w:ascii="Times New Roman" w:hAnsi="Times New Roman" w:cs="Times New Roman"/>
          <w:sz w:val="18"/>
          <w:szCs w:val="18"/>
        </w:rPr>
        <w:t>A</w:t>
      </w:r>
      <w:r>
        <w:rPr>
          <w:rFonts w:hint="eastAsia" w:ascii="Times New Roman" w:hAnsi="Times New Roman" w:cs="Times New Roman"/>
          <w:sz w:val="18"/>
          <w:szCs w:val="18"/>
        </w:rPr>
        <w:t xml:space="preserve">           文章编号：</w:t>
      </w:r>
      <w:r>
        <w:rPr>
          <w:rFonts w:ascii="Times New Roman" w:hAnsi="Times New Roman" w:cs="Times New Roman"/>
          <w:sz w:val="18"/>
          <w:szCs w:val="18"/>
        </w:rPr>
        <w:t xml:space="preserve"> </w:t>
      </w:r>
      <w:r>
        <w:rPr>
          <w:rFonts w:ascii="Times New Roman" w:hAnsi="Times New Roman" w:cs="Times New Roman"/>
          <w:szCs w:val="21"/>
        </w:rPr>
        <w:t xml:space="preserve">   </w:t>
      </w:r>
      <w:r>
        <w:rPr>
          <w:rFonts w:ascii="Times New Roman" w:hAnsi="Times New Roman" w:cs="Times New Roman"/>
          <w:sz w:val="18"/>
        </w:rPr>
        <w:t xml:space="preserve">   </w:t>
      </w:r>
    </w:p>
    <w:p w14:paraId="6AFB5D75">
      <w:pPr>
        <w:adjustRightInd w:val="0"/>
        <w:snapToGrid w:val="0"/>
        <w:rPr>
          <w:rFonts w:ascii="Times New Roman" w:hAnsi="Times New Roman" w:cs="Times New Roman"/>
          <w:sz w:val="18"/>
        </w:rPr>
      </w:pPr>
    </w:p>
    <w:p w14:paraId="0759ED1D">
      <w:pPr>
        <w:adjustRightInd w:val="0"/>
        <w:snapToGrid w:val="0"/>
        <w:jc w:val="center"/>
        <w:rPr>
          <w:rFonts w:ascii="Times New Roman" w:hAnsi="Times New Roman" w:cs="Times New Roman"/>
          <w:b/>
          <w:bCs/>
          <w:sz w:val="30"/>
          <w:szCs w:val="30"/>
        </w:rPr>
      </w:pPr>
      <w:r>
        <w:rPr>
          <w:rFonts w:ascii="Times New Roman" w:hAnsi="Times New Roman" w:cs="Times New Roman"/>
          <w:b/>
          <w:bCs/>
          <w:sz w:val="30"/>
          <w:szCs w:val="30"/>
        </w:rPr>
        <w:t xml:space="preserve">Study on coupled simulation </w:t>
      </w:r>
      <w:r>
        <w:rPr>
          <w:rFonts w:hint="eastAsia" w:ascii="Times New Roman" w:hAnsi="Times New Roman" w:cs="Times New Roman"/>
          <w:b/>
          <w:bCs/>
          <w:sz w:val="30"/>
          <w:szCs w:val="30"/>
        </w:rPr>
        <w:t>o</w:t>
      </w:r>
      <w:r>
        <w:rPr>
          <w:rFonts w:ascii="Times New Roman" w:hAnsi="Times New Roman" w:cs="Times New Roman"/>
          <w:b/>
          <w:bCs/>
          <w:sz w:val="30"/>
          <w:szCs w:val="30"/>
        </w:rPr>
        <w:t xml:space="preserve">f river-reservoir flow, temperature </w:t>
      </w:r>
      <w:r>
        <w:rPr>
          <w:rFonts w:hint="eastAsia" w:ascii="Times New Roman" w:hAnsi="Times New Roman" w:cs="Times New Roman"/>
          <w:b/>
          <w:bCs/>
          <w:sz w:val="30"/>
          <w:szCs w:val="30"/>
        </w:rPr>
        <w:t>a</w:t>
      </w:r>
      <w:r>
        <w:rPr>
          <w:rFonts w:ascii="Times New Roman" w:hAnsi="Times New Roman" w:cs="Times New Roman"/>
          <w:b/>
          <w:bCs/>
          <w:sz w:val="30"/>
          <w:szCs w:val="30"/>
        </w:rPr>
        <w:t>nd quality based on LB Method</w:t>
      </w:r>
    </w:p>
    <w:p w14:paraId="71DC30DD">
      <w:pPr>
        <w:adjustRightInd w:val="0"/>
        <w:snapToGrid w:val="0"/>
        <w:jc w:val="center"/>
        <w:rPr>
          <w:rFonts w:ascii="Times New Roman" w:hAnsi="Times New Roman" w:cs="Times New Roman"/>
          <w:sz w:val="24"/>
          <w:szCs w:val="28"/>
        </w:rPr>
      </w:pPr>
      <w:r>
        <w:rPr>
          <w:rFonts w:ascii="Times New Roman" w:hAnsi="Times New Roman" w:cs="Times New Roman"/>
          <w:sz w:val="24"/>
          <w:szCs w:val="28"/>
        </w:rPr>
        <w:t>ZHAO Haonan</w:t>
      </w:r>
      <w:r>
        <w:rPr>
          <w:rFonts w:ascii="Times New Roman" w:hAnsi="Times New Roman" w:cs="Times New Roman"/>
          <w:sz w:val="24"/>
          <w:szCs w:val="28"/>
          <w:vertAlign w:val="superscript"/>
        </w:rPr>
        <w:t>1</w:t>
      </w:r>
      <w:r>
        <w:rPr>
          <w:rFonts w:ascii="Times New Roman" w:hAnsi="Times New Roman" w:cs="Times New Roman"/>
          <w:sz w:val="24"/>
          <w:szCs w:val="28"/>
          <w:lang w:val="en-GB"/>
        </w:rPr>
        <w:t>，</w:t>
      </w:r>
      <w:r>
        <w:rPr>
          <w:rFonts w:ascii="Times New Roman" w:hAnsi="Times New Roman" w:cs="Times New Roman"/>
          <w:sz w:val="24"/>
          <w:szCs w:val="28"/>
        </w:rPr>
        <w:t>DAN Yunfeng</w:t>
      </w:r>
      <w:r>
        <w:rPr>
          <w:rFonts w:ascii="Times New Roman" w:hAnsi="Times New Roman" w:cs="Times New Roman"/>
          <w:sz w:val="24"/>
          <w:szCs w:val="28"/>
          <w:vertAlign w:val="superscript"/>
        </w:rPr>
        <w:t>1</w:t>
      </w:r>
      <w:r>
        <w:rPr>
          <w:rFonts w:ascii="Times New Roman" w:hAnsi="Times New Roman" w:cs="Times New Roman"/>
          <w:sz w:val="24"/>
          <w:szCs w:val="28"/>
          <w:lang w:val="en-GB"/>
        </w:rPr>
        <w:t>，</w:t>
      </w:r>
      <w:r>
        <w:rPr>
          <w:rFonts w:ascii="Times New Roman" w:hAnsi="Times New Roman" w:cs="Times New Roman"/>
          <w:sz w:val="24"/>
          <w:szCs w:val="28"/>
        </w:rPr>
        <w:t>BAO Lingling</w:t>
      </w:r>
      <w:r>
        <w:rPr>
          <w:rFonts w:ascii="Times New Roman" w:hAnsi="Times New Roman" w:cs="Times New Roman"/>
          <w:sz w:val="24"/>
          <w:szCs w:val="28"/>
          <w:vertAlign w:val="superscript"/>
        </w:rPr>
        <w:t>1</w:t>
      </w:r>
      <w:r>
        <w:rPr>
          <w:rFonts w:ascii="Times New Roman" w:hAnsi="Times New Roman" w:cs="Times New Roman"/>
          <w:sz w:val="24"/>
          <w:szCs w:val="28"/>
        </w:rPr>
        <w:t xml:space="preserve">, </w:t>
      </w:r>
      <w:r>
        <w:rPr>
          <w:rFonts w:hint="eastAsia" w:ascii="Times New Roman" w:hAnsi="Times New Roman" w:cs="Times New Roman"/>
          <w:sz w:val="24"/>
          <w:szCs w:val="28"/>
        </w:rPr>
        <w:t>YUAN</w:t>
      </w:r>
      <w:r>
        <w:rPr>
          <w:rFonts w:ascii="Times New Roman" w:hAnsi="Times New Roman" w:cs="Times New Roman"/>
          <w:sz w:val="24"/>
          <w:szCs w:val="28"/>
        </w:rPr>
        <w:t xml:space="preserve"> H</w:t>
      </w:r>
      <w:r>
        <w:rPr>
          <w:rFonts w:hint="eastAsia" w:ascii="Times New Roman" w:hAnsi="Times New Roman" w:cs="Times New Roman"/>
          <w:sz w:val="24"/>
          <w:szCs w:val="28"/>
        </w:rPr>
        <w:t>ao</w:t>
      </w:r>
      <w:r>
        <w:rPr>
          <w:rFonts w:hint="eastAsia" w:ascii="Times New Roman" w:hAnsi="Times New Roman" w:cs="Times New Roman"/>
          <w:sz w:val="24"/>
          <w:szCs w:val="28"/>
          <w:vertAlign w:val="superscript"/>
        </w:rPr>
        <w:t>2</w:t>
      </w:r>
      <w:r>
        <w:rPr>
          <w:rFonts w:ascii="Times New Roman" w:hAnsi="Times New Roman" w:cs="Times New Roman"/>
          <w:sz w:val="24"/>
          <w:szCs w:val="28"/>
        </w:rPr>
        <w:t>，</w:t>
      </w:r>
      <w:r>
        <w:rPr>
          <w:rFonts w:hint="eastAsia" w:ascii="Times New Roman" w:hAnsi="Times New Roman" w:cs="Times New Roman"/>
          <w:sz w:val="24"/>
          <w:szCs w:val="28"/>
        </w:rPr>
        <w:t>ZOU Yiyao</w:t>
      </w:r>
      <w:r>
        <w:rPr>
          <w:rFonts w:hint="eastAsia" w:ascii="Times New Roman" w:hAnsi="Times New Roman" w:cs="Times New Roman"/>
          <w:sz w:val="24"/>
          <w:szCs w:val="28"/>
          <w:vertAlign w:val="superscript"/>
        </w:rPr>
        <w:t>3</w:t>
      </w:r>
    </w:p>
    <w:p w14:paraId="5098AAA0">
      <w:pPr>
        <w:adjustRightInd w:val="0"/>
        <w:snapToGrid w:val="0"/>
        <w:jc w:val="center"/>
        <w:rPr>
          <w:rFonts w:ascii="Times New Roman" w:hAnsi="Times New Roman" w:cs="Times New Roman"/>
          <w:sz w:val="18"/>
        </w:rPr>
      </w:pPr>
      <w:r>
        <w:rPr>
          <w:rFonts w:ascii="Times New Roman" w:hAnsi="Times New Roman" w:cs="Times New Roman"/>
          <w:color w:val="000000"/>
          <w:sz w:val="18"/>
          <w:shd w:val="clear" w:color="auto" w:fill="FFFFFF"/>
        </w:rPr>
        <w:t>(</w:t>
      </w:r>
      <w:r>
        <w:rPr>
          <w:rFonts w:ascii="Times New Roman" w:hAnsi="Times New Roman" w:cs="Times New Roman"/>
          <w:sz w:val="18"/>
        </w:rPr>
        <w:t>1.</w:t>
      </w:r>
      <w:r>
        <w:rPr>
          <w:rFonts w:ascii="Times New Roman" w:hAnsi="Times New Roman"/>
        </w:rPr>
        <w:t xml:space="preserve"> </w:t>
      </w:r>
      <w:r>
        <w:rPr>
          <w:rFonts w:ascii="Times New Roman" w:hAnsi="Times New Roman" w:cs="Times New Roman"/>
          <w:sz w:val="18"/>
        </w:rPr>
        <w:t>Chongqing Municipal Water Conservancy and Electric Power Architectural Survey and Design Research Institute Co.</w:t>
      </w:r>
      <w:r>
        <w:rPr>
          <w:rFonts w:hint="eastAsia" w:ascii="Times New Roman" w:hAnsi="Times New Roman" w:cs="Times New Roman"/>
          <w:sz w:val="18"/>
        </w:rPr>
        <w:t xml:space="preserve">, </w:t>
      </w:r>
      <w:r>
        <w:rPr>
          <w:rFonts w:ascii="Times New Roman" w:hAnsi="Times New Roman" w:cs="Times New Roman"/>
          <w:sz w:val="18"/>
        </w:rPr>
        <w:t>Chongqing</w:t>
      </w:r>
      <w:r>
        <w:rPr>
          <w:rFonts w:hint="eastAsia" w:ascii="Times New Roman" w:hAnsi="Times New Roman" w:cs="Times New Roman"/>
          <w:sz w:val="18"/>
        </w:rPr>
        <w:t xml:space="preserve"> </w:t>
      </w:r>
      <w:r>
        <w:rPr>
          <w:rFonts w:ascii="Times New Roman" w:hAnsi="Times New Roman" w:cs="Times New Roman"/>
          <w:sz w:val="18"/>
        </w:rPr>
        <w:t>40</w:t>
      </w:r>
      <w:r>
        <w:rPr>
          <w:rFonts w:hint="eastAsia" w:ascii="Times New Roman" w:hAnsi="Times New Roman" w:cs="Times New Roman"/>
          <w:sz w:val="18"/>
        </w:rPr>
        <w:t>0020, China</w:t>
      </w:r>
      <w:r>
        <w:rPr>
          <w:rFonts w:ascii="Times New Roman" w:hAnsi="Times New Roman" w:cs="Times New Roman"/>
          <w:sz w:val="18"/>
          <w:lang w:val="en-GB"/>
        </w:rPr>
        <w:t>；</w:t>
      </w:r>
      <w:r>
        <w:rPr>
          <w:rFonts w:hint="eastAsia" w:ascii="Times New Roman" w:hAnsi="Times New Roman" w:cs="Times New Roman"/>
          <w:sz w:val="18"/>
        </w:rPr>
        <w:t>2.</w:t>
      </w:r>
      <w:r>
        <w:rPr>
          <w:rFonts w:ascii="Times New Roman" w:hAnsi="Times New Roman" w:cs="Times New Roman"/>
          <w:sz w:val="18"/>
        </w:rPr>
        <w:t>Southwest Research Institute for Hydraulic and Water Transport Engineering, Chongqing Jiaotong University,</w:t>
      </w:r>
    </w:p>
    <w:p w14:paraId="1556293C">
      <w:pPr>
        <w:adjustRightInd w:val="0"/>
        <w:snapToGrid w:val="0"/>
        <w:jc w:val="center"/>
        <w:rPr>
          <w:rFonts w:ascii="Times New Roman" w:hAnsi="Times New Roman" w:cs="Times New Roman"/>
          <w:sz w:val="18"/>
        </w:rPr>
      </w:pPr>
      <w:r>
        <w:rPr>
          <w:rFonts w:ascii="Times New Roman" w:hAnsi="Times New Roman" w:cs="Times New Roman"/>
          <w:sz w:val="18"/>
        </w:rPr>
        <w:t>Chongqing 400016</w:t>
      </w:r>
      <w:r>
        <w:rPr>
          <w:rFonts w:hint="eastAsia" w:ascii="Times New Roman" w:hAnsi="Times New Roman" w:cs="Times New Roman"/>
          <w:sz w:val="18"/>
        </w:rPr>
        <w:t>, China;  3.</w:t>
      </w:r>
      <w:r>
        <w:rPr>
          <w:rFonts w:ascii="Times New Roman" w:hAnsi="Times New Roman" w:cs="Times New Roman"/>
          <w:sz w:val="18"/>
        </w:rPr>
        <w:t>School of River and Ocean Engineering, Chongqing Jiaotong University, Chongqing</w:t>
      </w:r>
      <w:r>
        <w:rPr>
          <w:rFonts w:hint="eastAsia" w:ascii="Times New Roman" w:hAnsi="Times New Roman" w:cs="Times New Roman"/>
          <w:sz w:val="18"/>
        </w:rPr>
        <w:t xml:space="preserve"> </w:t>
      </w:r>
      <w:r>
        <w:rPr>
          <w:rFonts w:ascii="Times New Roman" w:hAnsi="Times New Roman" w:cs="Times New Roman"/>
          <w:sz w:val="18"/>
        </w:rPr>
        <w:t>40</w:t>
      </w:r>
      <w:r>
        <w:rPr>
          <w:rFonts w:hint="eastAsia" w:ascii="Times New Roman" w:hAnsi="Times New Roman" w:cs="Times New Roman"/>
          <w:sz w:val="18"/>
        </w:rPr>
        <w:t>0074</w:t>
      </w:r>
      <w:r>
        <w:rPr>
          <w:rFonts w:hint="eastAsia" w:ascii="Times New Roman" w:hAnsi="Times New Roman" w:cs="Times New Roman"/>
          <w:color w:val="000000"/>
          <w:sz w:val="18"/>
          <w:shd w:val="clear" w:color="auto" w:fill="FFFFFF"/>
        </w:rPr>
        <w:t>, China</w:t>
      </w:r>
      <w:r>
        <w:rPr>
          <w:rFonts w:ascii="Times New Roman" w:hAnsi="Times New Roman" w:cs="Times New Roman"/>
          <w:color w:val="000000"/>
          <w:sz w:val="18"/>
          <w:shd w:val="clear" w:color="auto" w:fill="FFFFFF"/>
        </w:rPr>
        <w:t>)</w:t>
      </w:r>
    </w:p>
    <w:p w14:paraId="2578B046">
      <w:pPr>
        <w:pStyle w:val="12"/>
        <w:pBdr>
          <w:bottom w:val="none" w:color="auto" w:sz="0" w:space="0"/>
        </w:pBdr>
        <w:tabs>
          <w:tab w:val="clear" w:pos="4153"/>
          <w:tab w:val="clear" w:pos="8306"/>
        </w:tabs>
        <w:adjustRightInd w:val="0"/>
        <w:rPr>
          <w:rFonts w:ascii="Times New Roman" w:hAnsi="Times New Roman" w:cs="Times New Roman"/>
          <w:szCs w:val="24"/>
        </w:rPr>
      </w:pPr>
    </w:p>
    <w:p w14:paraId="22B47CC5">
      <w:pPr>
        <w:adjustRightInd w:val="0"/>
        <w:snapToGrid w:val="0"/>
        <w:rPr>
          <w:szCs w:val="21"/>
        </w:rPr>
      </w:pPr>
      <w:r>
        <w:rPr>
          <w:rFonts w:ascii="Times New Roman" w:hAnsi="Times New Roman" w:cs="Times New Roman"/>
          <w:b/>
          <w:bCs/>
          <w:sz w:val="18"/>
          <w:szCs w:val="20"/>
        </w:rPr>
        <w:t>Abstract</w:t>
      </w:r>
      <w:r>
        <w:rPr>
          <w:rFonts w:ascii="Times New Roman" w:hAnsi="Times New Roman" w:cs="Times New Roman"/>
          <w:b/>
          <w:bCs/>
          <w:sz w:val="18"/>
          <w:szCs w:val="20"/>
          <w:lang w:val="en-GB"/>
        </w:rPr>
        <w:t>：</w:t>
      </w:r>
      <w:r>
        <w:rPr>
          <w:rFonts w:ascii="Times New Roman" w:hAnsi="Times New Roman" w:cs="Times New Roman"/>
          <w:szCs w:val="21"/>
        </w:rPr>
        <w:t>[Objectives] To address complex hydrodynamic conditions in mountainous river–reservoir systems, a three-dimensional flow</w:t>
      </w:r>
      <w:r>
        <w:rPr>
          <w:rFonts w:hint="eastAsia" w:ascii="Times New Roman" w:hAnsi="Times New Roman" w:cs="Times New Roman"/>
          <w:szCs w:val="21"/>
        </w:rPr>
        <w:t>-</w:t>
      </w:r>
      <w:r>
        <w:rPr>
          <w:rFonts w:ascii="Times New Roman" w:hAnsi="Times New Roman" w:cs="Times New Roman"/>
          <w:szCs w:val="21"/>
        </w:rPr>
        <w:t>temperature</w:t>
      </w:r>
      <w:r>
        <w:rPr>
          <w:rFonts w:hint="eastAsia" w:ascii="Times New Roman" w:hAnsi="Times New Roman" w:cs="Times New Roman"/>
          <w:szCs w:val="21"/>
        </w:rPr>
        <w:t>-</w:t>
      </w:r>
      <w:r>
        <w:rPr>
          <w:rFonts w:ascii="Times New Roman" w:hAnsi="Times New Roman" w:cs="Times New Roman"/>
          <w:szCs w:val="21"/>
        </w:rPr>
        <w:t>concentration coupled numerical model based on the lattice Boltzmann method was developed to describe water flow, thermal stratification, and pollutant transport processes. [Methods] A multi-distribution-function scheme was employed to solve the flow field, temperature field, and concentration field in parallel. The model was validated using three-dimensional double-diffusive natural convection cases, in which the relative errors of the averaged Nusselt and Sherwood numbers under multiple Rayleigh number conditions were all less than 0.8%. [Results]</w:t>
      </w:r>
      <w:r>
        <w:t xml:space="preserve"> </w:t>
      </w:r>
      <w:r>
        <w:rPr>
          <w:rFonts w:ascii="Times New Roman" w:hAnsi="Times New Roman" w:cs="Times New Roman"/>
          <w:szCs w:val="21"/>
        </w:rPr>
        <w:t>The model was applied to a typical river reservoir in the southwestern plateau region to simulate water temperature evolution and short-term pollutant transport under cold-water inflow conditions. After cold-water inflow, a subsurface undercurrent was form</w:t>
      </w:r>
      <w:r>
        <w:rPr>
          <w:rFonts w:hint="eastAsia" w:ascii="Times New Roman" w:hAnsi="Times New Roman" w:cs="Times New Roman"/>
          <w:szCs w:val="21"/>
        </w:rPr>
        <w:t>ed at the reservoir bottom, inducing thermal stratification. When the main cold-water flow reached the dam site, the downstream water temperature decreased from approximately 11.5 ℃ to approximately 6.5 ℃ within about 60 minutes. Pollutants exhibited local</w:t>
      </w:r>
      <w:r>
        <w:rPr>
          <w:rFonts w:ascii="Times New Roman" w:hAnsi="Times New Roman" w:cs="Times New Roman"/>
          <w:szCs w:val="21"/>
        </w:rPr>
        <w:t xml:space="preserve"> accumulation in low-velocity zones, with high-concentration regions extending up to approximately 150 m, and were transported longitudinally in the mainstream predominantly by advection. [Conclusions]</w:t>
      </w:r>
      <w:r>
        <w:rPr>
          <w:rFonts w:ascii="Times New Roman" w:hAnsi="Times New Roman" w:cs="Times New Roman"/>
          <w:kern w:val="0"/>
          <w:sz w:val="24"/>
          <w:szCs w:val="24"/>
        </w:rPr>
        <w:t xml:space="preserve"> </w:t>
      </w:r>
      <w:r>
        <w:rPr>
          <w:rFonts w:ascii="Times New Roman" w:hAnsi="Times New Roman" w:cs="Times New Roman"/>
          <w:szCs w:val="21"/>
        </w:rPr>
        <w:t>The coupled model was demonstrated to be capable of stably characterizing flow</w:t>
      </w:r>
      <w:r>
        <w:rPr>
          <w:rFonts w:hint="eastAsia" w:ascii="Times New Roman" w:hAnsi="Times New Roman" w:cs="Times New Roman"/>
          <w:szCs w:val="21"/>
        </w:rPr>
        <w:t>-</w:t>
      </w:r>
      <w:r>
        <w:rPr>
          <w:rFonts w:ascii="Times New Roman" w:hAnsi="Times New Roman" w:cs="Times New Roman"/>
          <w:szCs w:val="21"/>
        </w:rPr>
        <w:t>temperature</w:t>
      </w:r>
      <w:r>
        <w:rPr>
          <w:rFonts w:hint="eastAsia" w:ascii="Times New Roman" w:hAnsi="Times New Roman" w:cs="Times New Roman"/>
          <w:szCs w:val="21"/>
        </w:rPr>
        <w:t>-</w:t>
      </w:r>
      <w:r>
        <w:rPr>
          <w:rFonts w:ascii="Times New Roman" w:hAnsi="Times New Roman" w:cs="Times New Roman"/>
          <w:szCs w:val="21"/>
        </w:rPr>
        <w:t>concentration interactions under complex boundary conditions. The model is applicable to high-resolution simulations of stratification induced by cold-water undercurrents and short-term pollutant transport in mountainous river–reservoir systems, and can provide a reference for stratified water intake scheduling and pollution risk analysis.</w:t>
      </w:r>
    </w:p>
    <w:p w14:paraId="3E1FBFE5">
      <w:pPr>
        <w:adjustRightInd w:val="0"/>
        <w:snapToGrid w:val="0"/>
        <w:rPr>
          <w:rFonts w:ascii="Times New Roman" w:hAnsi="Times New Roman" w:cs="Times New Roman"/>
          <w:szCs w:val="21"/>
        </w:rPr>
      </w:pPr>
      <w:r>
        <w:rPr>
          <w:rFonts w:ascii="Times New Roman" w:hAnsi="Times New Roman" w:cs="Times New Roman"/>
          <w:b/>
          <w:bCs/>
          <w:szCs w:val="21"/>
        </w:rPr>
        <w:t>Key words</w:t>
      </w:r>
      <w:r>
        <w:rPr>
          <w:rFonts w:ascii="Times New Roman" w:hAnsi="Times New Roman" w:cs="Times New Roman"/>
          <w:szCs w:val="21"/>
          <w:lang w:val="en-GB"/>
        </w:rPr>
        <w:t>：</w:t>
      </w:r>
      <w:r>
        <w:rPr>
          <w:rFonts w:ascii="Times New Roman" w:hAnsi="Times New Roman" w:cs="Times New Roman"/>
          <w:szCs w:val="21"/>
        </w:rPr>
        <w:t>Lattice Boltzmann method; multi-field coupling; river-reservoir; heat and mass transfer; convection-diffusion</w:t>
      </w:r>
    </w:p>
    <w:p w14:paraId="490957B2">
      <w:pPr>
        <w:adjustRightInd w:val="0"/>
        <w:snapToGrid w:val="0"/>
        <w:rPr>
          <w:rFonts w:ascii="Times New Roman" w:hAnsi="Times New Roman" w:cs="Times New Roman"/>
          <w:b/>
          <w:bCs/>
          <w:sz w:val="28"/>
          <w:szCs w:val="28"/>
        </w:rPr>
        <w:sectPr>
          <w:headerReference r:id="rId5" w:type="first"/>
          <w:footerReference r:id="rId8" w:type="first"/>
          <w:headerReference r:id="rId3" w:type="default"/>
          <w:footerReference r:id="rId6" w:type="default"/>
          <w:headerReference r:id="rId4" w:type="even"/>
          <w:footerReference r:id="rId7" w:type="even"/>
          <w:pgSz w:w="11906" w:h="16838"/>
          <w:pgMar w:top="1134" w:right="1134" w:bottom="1134" w:left="1134" w:header="1247" w:footer="992" w:gutter="0"/>
          <w:cols w:space="720" w:num="1"/>
          <w:titlePg/>
          <w:docGrid w:type="linesAndChars" w:linePitch="312" w:charSpace="0"/>
        </w:sectPr>
      </w:pPr>
    </w:p>
    <w:p w14:paraId="340114E4">
      <w:pPr>
        <w:adjustRightInd w:val="0"/>
        <w:snapToGrid w:val="0"/>
        <w:ind w:right="420" w:rightChars="200"/>
        <w:rPr>
          <w:rFonts w:ascii="Times New Roman" w:hAnsi="Times New Roman" w:cs="Times New Roman"/>
          <w:szCs w:val="21"/>
        </w:rPr>
        <w:sectPr>
          <w:type w:val="continuous"/>
          <w:pgSz w:w="11906" w:h="16838"/>
          <w:pgMar w:top="1134" w:right="1134" w:bottom="1134" w:left="1134" w:header="1247" w:footer="992" w:gutter="0"/>
          <w:cols w:space="720" w:num="2"/>
          <w:titlePg/>
          <w:docGrid w:type="linesAndChars" w:linePitch="312" w:charSpace="0"/>
        </w:sectPr>
      </w:pPr>
    </w:p>
    <w:p w14:paraId="5FF37F79">
      <w:pPr>
        <w:adjustRightInd w:val="0"/>
        <w:snapToGrid w:val="0"/>
        <w:rPr>
          <w:rFonts w:ascii="宋体" w:hAnsi="宋体"/>
          <w:color w:val="000000"/>
          <w:sz w:val="28"/>
          <w:szCs w:val="28"/>
          <w:shd w:val="clear" w:color="auto" w:fill="FFFFFF"/>
        </w:rPr>
      </w:pPr>
      <w:bookmarkStart w:id="2" w:name="_Hlk204635060"/>
      <w:r>
        <w:rPr>
          <w:rFonts w:hint="eastAsia" w:ascii="宋体" w:hAnsi="宋体"/>
          <w:color w:val="000000"/>
          <w:sz w:val="28"/>
          <w:szCs w:val="28"/>
          <w:shd w:val="clear" w:color="auto" w:fill="FFFFFF"/>
        </w:rPr>
        <w:t>0 引  言</w:t>
      </w:r>
    </w:p>
    <w:bookmarkEnd w:id="2"/>
    <w:p w14:paraId="740C5F1A">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大型水坝的建设使天然河流逐渐变成河道型水库简称河库</w:t>
      </w:r>
      <w:r>
        <w:rPr>
          <w:rFonts w:hint="eastAsia" w:ascii="Times New Roman" w:hAnsi="Times New Roman"/>
          <w:color w:val="000000"/>
          <w:szCs w:val="21"/>
          <w:shd w:val="clear" w:color="auto" w:fill="FFFFFF"/>
          <w:vertAlign w:val="superscript"/>
        </w:rPr>
        <w:t>[1]</w:t>
      </w:r>
      <w:r>
        <w:rPr>
          <w:rFonts w:hint="eastAsia" w:ascii="Times New Roman" w:hAnsi="Times New Roman"/>
          <w:color w:val="000000"/>
          <w:szCs w:val="21"/>
          <w:shd w:val="clear" w:color="auto" w:fill="FFFFFF"/>
        </w:rPr>
        <w:t>。而</w:t>
      </w:r>
      <w:r>
        <w:rPr>
          <w:rFonts w:ascii="Times New Roman" w:hAnsi="Times New Roman"/>
          <w:color w:val="000000"/>
          <w:szCs w:val="21"/>
          <w:shd w:val="clear" w:color="auto" w:fill="FFFFFF"/>
        </w:rPr>
        <w:t>河库作为兼具防洪、调水、发电与生态保障等功能的重要水利工程，在区域社会经济发展和生态环境保护中发</w:t>
      </w:r>
    </w:p>
    <w:p w14:paraId="51FDDEFC">
      <w:pPr>
        <w:jc w:val="left"/>
        <w:rPr>
          <w:rFonts w:ascii="Times New Roman" w:hAnsi="Times New Roman"/>
          <w:color w:val="000000"/>
          <w:szCs w:val="21"/>
          <w:shd w:val="clear" w:color="auto" w:fill="FFFFFF"/>
        </w:rPr>
      </w:pPr>
      <w:r>
        <w:rPr>
          <w:rFonts w:ascii="Times New Roman" w:hAnsi="Times New Roman"/>
          <w:color w:val="000000"/>
          <w:szCs w:val="21"/>
          <w:shd w:val="clear" w:color="auto" w:fill="FFFFFF"/>
        </w:rPr>
        <w:t>挥着关键作用</w:t>
      </w:r>
      <w:r>
        <w:rPr>
          <w:rFonts w:hint="eastAsia" w:ascii="Times New Roman" w:hAnsi="Times New Roman"/>
          <w:color w:val="000000"/>
          <w:szCs w:val="21"/>
          <w:shd w:val="clear" w:color="auto" w:fill="FFFFFF"/>
          <w:vertAlign w:val="superscript"/>
        </w:rPr>
        <w:t>[2-3]</w:t>
      </w:r>
      <w:r>
        <w:rPr>
          <w:rFonts w:ascii="Times New Roman" w:hAnsi="Times New Roman"/>
          <w:color w:val="000000"/>
          <w:szCs w:val="21"/>
          <w:shd w:val="clear" w:color="auto" w:fill="FFFFFF"/>
        </w:rPr>
        <w:t>。随着全球气候变化和人类活动强度的不断增强，极端降水事件的频发与暴雨强度的提升，给</w:t>
      </w:r>
      <w:r>
        <w:rPr>
          <w:rFonts w:hint="eastAsia" w:ascii="Times New Roman" w:hAnsi="Times New Roman"/>
          <w:color w:val="000000"/>
          <w:szCs w:val="21"/>
          <w:shd w:val="clear" w:color="auto" w:fill="FFFFFF"/>
        </w:rPr>
        <w:t>河</w:t>
      </w:r>
      <w:r>
        <w:rPr>
          <w:rFonts w:ascii="Times New Roman" w:hAnsi="Times New Roman"/>
          <w:color w:val="000000"/>
          <w:szCs w:val="21"/>
          <w:shd w:val="clear" w:color="auto" w:fill="FFFFFF"/>
        </w:rPr>
        <w:t>库的运行调度和生态安全管理带来了日益严峻的挑战</w:t>
      </w:r>
      <w:r>
        <w:rPr>
          <w:rFonts w:hint="eastAsia" w:ascii="Times New Roman" w:hAnsi="Times New Roman"/>
          <w:color w:val="000000"/>
          <w:szCs w:val="21"/>
          <w:shd w:val="clear" w:color="auto" w:fill="FFFFFF"/>
          <w:vertAlign w:val="superscript"/>
        </w:rPr>
        <w:t>[4-6]</w:t>
      </w:r>
      <w:r>
        <w:rPr>
          <w:rFonts w:ascii="Times New Roman" w:hAnsi="Times New Roman"/>
          <w:color w:val="000000"/>
          <w:szCs w:val="21"/>
          <w:shd w:val="clear" w:color="auto" w:fill="FFFFFF"/>
        </w:rPr>
        <w:t>。特别是在我国高原及山区流域，上游冰雪消融与气象条件剧烈变化引发了复杂的水动力演化过程，库区水体常表现出明显的热分层结构与污染物的富集与滞留特征</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7</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8</w:t>
      </w:r>
      <w:r>
        <w:rPr>
          <w:rFonts w:ascii="Times New Roman" w:hAnsi="Times New Roman"/>
          <w:color w:val="000000"/>
          <w:szCs w:val="21"/>
          <w:shd w:val="clear" w:color="auto" w:fill="FFFFFF"/>
          <w:vertAlign w:val="superscript"/>
        </w:rPr>
        <w:t>]</w:t>
      </w:r>
      <w:r>
        <w:rPr>
          <w:rFonts w:ascii="Times New Roman" w:hAnsi="Times New Roman"/>
          <w:color w:val="000000"/>
          <w:szCs w:val="21"/>
          <w:shd w:val="clear" w:color="auto" w:fill="FFFFFF"/>
        </w:rPr>
        <w:t>。这些过程不仅改变了水体交换与热量传递机制，也对水生态系统安全和下游水资源利用造成潜在风险</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9-11</w:t>
      </w:r>
      <w:r>
        <w:rPr>
          <w:rFonts w:ascii="Times New Roman" w:hAnsi="Times New Roman"/>
          <w:color w:val="000000"/>
          <w:szCs w:val="21"/>
          <w:shd w:val="clear" w:color="auto" w:fill="FFFFFF"/>
          <w:vertAlign w:val="superscript"/>
        </w:rPr>
        <w:t>]</w:t>
      </w:r>
      <w:r>
        <w:rPr>
          <w:rFonts w:ascii="Times New Roman" w:hAnsi="Times New Roman"/>
          <w:color w:val="000000"/>
          <w:szCs w:val="21"/>
          <w:shd w:val="clear" w:color="auto" w:fill="FFFFFF"/>
        </w:rPr>
        <w:t>。因此，准确模拟河库水动力与热–质输运过程，对于水库生态调度与污染风险控制具有重要科学意义。</w:t>
      </w:r>
    </w:p>
    <w:p w14:paraId="61BC4D81">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近年来，水库温度分层及其对下游生态的影响成为水动力学与水环境学领域的研究热点。基于</w:t>
      </w:r>
      <w:r>
        <w:rPr>
          <w:rFonts w:hint="eastAsia" w:ascii="Times New Roman" w:hAnsi="Times New Roman"/>
          <w:color w:val="000000"/>
          <w:szCs w:val="21"/>
          <w:shd w:val="clear" w:color="auto" w:fill="FFFFFF"/>
        </w:rPr>
        <w:t>多梯级水库模拟结果</w:t>
      </w:r>
      <w:r>
        <w:rPr>
          <w:rFonts w:ascii="Times New Roman" w:hAnsi="Times New Roman"/>
          <w:color w:val="000000"/>
          <w:szCs w:val="21"/>
          <w:shd w:val="clear" w:color="auto" w:fill="FFFFFF"/>
        </w:rPr>
        <w:t>，水库对河流热力学响应具有显著调节作用</w:t>
      </w:r>
      <w:r>
        <w:rPr>
          <w:rFonts w:hint="eastAsia" w:ascii="Times New Roman" w:hAnsi="Times New Roman"/>
          <w:color w:val="000000"/>
          <w:szCs w:val="21"/>
          <w:shd w:val="clear" w:color="auto" w:fill="FFFFFF"/>
          <w:vertAlign w:val="superscript"/>
        </w:rPr>
        <w:t>[12]</w:t>
      </w:r>
      <w:r>
        <w:rPr>
          <w:rFonts w:ascii="Times New Roman" w:hAnsi="Times New Roman"/>
          <w:color w:val="000000"/>
          <w:szCs w:val="21"/>
          <w:shd w:val="clear" w:color="auto" w:fill="FFFFFF"/>
        </w:rPr>
        <w:t>，冷水下泄导致下游温度敏感性增强并影响生态系统稳定性</w:t>
      </w:r>
      <w:r>
        <w:rPr>
          <w:rFonts w:hint="eastAsia" w:ascii="Times New Roman" w:hAnsi="Times New Roman"/>
          <w:color w:val="000000"/>
          <w:szCs w:val="21"/>
          <w:shd w:val="clear" w:color="auto" w:fill="FFFFFF"/>
          <w:vertAlign w:val="superscript"/>
        </w:rPr>
        <w:t>[13]</w:t>
      </w:r>
      <w:r>
        <w:rPr>
          <w:rFonts w:ascii="Times New Roman" w:hAnsi="Times New Roman"/>
          <w:color w:val="000000"/>
          <w:szCs w:val="21"/>
          <w:shd w:val="clear" w:color="auto" w:fill="FFFFFF"/>
        </w:rPr>
        <w:t>。WOOLWAY</w:t>
      </w:r>
      <w:r>
        <w:rPr>
          <w:rFonts w:hint="eastAsia" w:ascii="Times New Roman" w:hAnsi="Times New Roman"/>
          <w:color w:val="000000"/>
          <w:szCs w:val="21"/>
          <w:shd w:val="clear" w:color="auto" w:fill="FFFFFF"/>
          <w:vertAlign w:val="superscript"/>
        </w:rPr>
        <w:t>[14]</w:t>
      </w:r>
      <w:r>
        <w:rPr>
          <w:rFonts w:ascii="Times New Roman" w:hAnsi="Times New Roman"/>
          <w:color w:val="000000"/>
          <w:szCs w:val="21"/>
          <w:shd w:val="clear" w:color="auto" w:fill="FFFFFF"/>
        </w:rPr>
        <w:t>分析全球数百个湖库的观测资料，发现气候变暖使得湖库分层的持续时间普遍延长，破坏期推迟，分层强度显著提升。在区域尺度上，三峡库区典型支流湾</w:t>
      </w:r>
      <w:r>
        <w:rPr>
          <w:rFonts w:hint="eastAsia" w:ascii="Times New Roman" w:hAnsi="Times New Roman"/>
          <w:color w:val="000000"/>
          <w:szCs w:val="21"/>
          <w:shd w:val="clear" w:color="auto" w:fill="FFFFFF"/>
        </w:rPr>
        <w:t>的</w:t>
      </w:r>
      <w:r>
        <w:rPr>
          <w:rFonts w:ascii="Times New Roman" w:hAnsi="Times New Roman"/>
          <w:color w:val="000000"/>
          <w:szCs w:val="21"/>
          <w:shd w:val="clear" w:color="auto" w:fill="FFFFFF"/>
        </w:rPr>
        <w:t>实测与数值联合研究表明水位波动对热分层深度和强度影响显著，低水位时热层更易被扰动破裂</w:t>
      </w:r>
      <w:r>
        <w:rPr>
          <w:rFonts w:hint="eastAsia" w:ascii="Times New Roman" w:hAnsi="Times New Roman"/>
          <w:color w:val="000000"/>
          <w:szCs w:val="21"/>
          <w:shd w:val="clear" w:color="auto" w:fill="FFFFFF"/>
          <w:vertAlign w:val="superscript"/>
        </w:rPr>
        <w:t>[15]</w:t>
      </w:r>
      <w:r>
        <w:rPr>
          <w:rFonts w:ascii="Times New Roman" w:hAnsi="Times New Roman"/>
          <w:color w:val="000000"/>
          <w:szCs w:val="21"/>
          <w:shd w:val="clear" w:color="auto" w:fill="FFFFFF"/>
        </w:rPr>
        <w:t>。此外，</w:t>
      </w:r>
      <w:r>
        <w:rPr>
          <w:rFonts w:hint="eastAsia" w:ascii="Times New Roman" w:hAnsi="Times New Roman"/>
          <w:color w:val="000000"/>
          <w:szCs w:val="21"/>
          <w:shd w:val="clear" w:color="auto" w:fill="FFFFFF"/>
        </w:rPr>
        <w:t>周村水库</w:t>
      </w:r>
      <w:r>
        <w:rPr>
          <w:rFonts w:ascii="Times New Roman" w:hAnsi="Times New Roman"/>
          <w:color w:val="000000"/>
          <w:szCs w:val="21"/>
          <w:shd w:val="clear" w:color="auto" w:fill="FFFFFF"/>
        </w:rPr>
        <w:t>的观测结果显示，即使在最大水深仅15 m的浅水库中，也能形成稳定的热分层与化学分层同步结构，营养盐和溶解氧分布呈现明显的垂向分区</w:t>
      </w:r>
      <w:r>
        <w:rPr>
          <w:rFonts w:hint="eastAsia" w:ascii="Times New Roman" w:hAnsi="Times New Roman"/>
          <w:color w:val="000000"/>
          <w:szCs w:val="21"/>
          <w:shd w:val="clear" w:color="auto" w:fill="FFFFFF"/>
          <w:vertAlign w:val="superscript"/>
        </w:rPr>
        <w:t>[16]</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DUANA等</w:t>
      </w:r>
      <w:r>
        <w:rPr>
          <w:rFonts w:hint="eastAsia" w:ascii="Times New Roman" w:hAnsi="Times New Roman"/>
          <w:color w:val="000000"/>
          <w:szCs w:val="21"/>
          <w:shd w:val="clear" w:color="auto" w:fill="FFFFFF"/>
          <w:vertAlign w:val="superscript"/>
        </w:rPr>
        <w:t>[17]</w:t>
      </w:r>
      <w:r>
        <w:rPr>
          <w:rFonts w:hint="eastAsia" w:ascii="Times New Roman" w:hAnsi="Times New Roman"/>
          <w:color w:val="000000"/>
          <w:szCs w:val="21"/>
          <w:shd w:val="clear" w:color="auto" w:fill="FFFFFF"/>
        </w:rPr>
        <w:t>通过COMSOL软件，模拟了河流的水动力条件与温度场的变化。</w:t>
      </w:r>
      <w:r>
        <w:rPr>
          <w:rFonts w:ascii="Times New Roman" w:hAnsi="Times New Roman"/>
          <w:color w:val="000000"/>
          <w:szCs w:val="21"/>
          <w:shd w:val="clear" w:color="auto" w:fill="FFFFFF"/>
        </w:rPr>
        <w:t>这些研究共同揭示了库区热分层的普遍性与多因素控制特征，但现有成果多数基于特定边界或单一参数条件下的二维或准三维模型，对复杂地形条件下的高分辨率温度场演化与取水工况响应仍缺乏系统定量分析。</w:t>
      </w:r>
    </w:p>
    <w:p w14:paraId="722FCC9E">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在污染物迁移与水质演变研究中，主流水质模型如 WASP、EFDC、MIKE 等被广泛用于湖库富营养化与水质风险评估。这类模型通过耦合水动力、传热和多组分质量守恒方程，可较准确地描述溶解氧、营养盐及有机物的时空演变。WASP 模型已成为国际上多类型水质分析的主流工具，能够有效模拟湖泊中营养盐积聚与水质变化规律</w:t>
      </w:r>
      <w:r>
        <w:rPr>
          <w:rFonts w:hint="eastAsia" w:ascii="Times New Roman" w:hAnsi="Times New Roman"/>
          <w:color w:val="000000"/>
          <w:szCs w:val="21"/>
          <w:shd w:val="clear" w:color="auto" w:fill="FFFFFF"/>
          <w:vertAlign w:val="superscript"/>
        </w:rPr>
        <w:t>[18]</w:t>
      </w:r>
      <w:r>
        <w:rPr>
          <w:rFonts w:hint="eastAsia" w:ascii="Times New Roman" w:hAnsi="Times New Roman"/>
          <w:color w:val="000000"/>
          <w:szCs w:val="21"/>
          <w:shd w:val="clear" w:color="auto" w:fill="FFFFFF"/>
        </w:rPr>
        <w:t>，也能对河流的污染负荷进行评估</w:t>
      </w:r>
      <w:r>
        <w:rPr>
          <w:rFonts w:hint="eastAsia" w:ascii="Times New Roman" w:hAnsi="Times New Roman"/>
          <w:color w:val="000000"/>
          <w:szCs w:val="21"/>
          <w:shd w:val="clear" w:color="auto" w:fill="FFFFFF"/>
          <w:vertAlign w:val="superscript"/>
        </w:rPr>
        <w:t>[19]</w:t>
      </w:r>
      <w:r>
        <w:rPr>
          <w:rFonts w:ascii="Times New Roman" w:hAnsi="Times New Roman"/>
          <w:color w:val="000000"/>
          <w:szCs w:val="21"/>
          <w:shd w:val="clear" w:color="auto" w:fill="FFFFFF"/>
        </w:rPr>
        <w:t>。EFDC 模型在高分辨率流场与污染物扩散计算中表现良好，适用于复杂地形和多源入汇情景</w:t>
      </w:r>
      <w:r>
        <w:rPr>
          <w:rFonts w:hint="eastAsia" w:ascii="Times New Roman" w:hAnsi="Times New Roman"/>
          <w:color w:val="000000"/>
          <w:szCs w:val="21"/>
          <w:shd w:val="clear" w:color="auto" w:fill="FFFFFF"/>
          <w:vertAlign w:val="superscript"/>
        </w:rPr>
        <w:t>[20-21]</w:t>
      </w:r>
      <w:r>
        <w:rPr>
          <w:rFonts w:ascii="Times New Roman" w:hAnsi="Times New Roman"/>
          <w:color w:val="000000"/>
          <w:szCs w:val="21"/>
          <w:shd w:val="clear" w:color="auto" w:fill="FFFFFF"/>
        </w:rPr>
        <w:t>。然而，在大尺度高分辨率条件下，这些模型仍存在流–温–质多场耦合松散、对库区异重流突发、污染高峰短历时扩散等关键物理机制解析有限</w:t>
      </w:r>
      <w:r>
        <w:rPr>
          <w:rFonts w:hint="eastAsia" w:ascii="Times New Roman" w:hAnsi="Times New Roman"/>
          <w:color w:val="000000"/>
          <w:szCs w:val="21"/>
          <w:shd w:val="clear" w:color="auto" w:fill="FFFFFF"/>
        </w:rPr>
        <w:t>。</w:t>
      </w:r>
    </w:p>
    <w:p w14:paraId="1B738340">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 xml:space="preserve">随着数值计算能力和算法理论的不断发展，格子 Boltzmann 方法（LBM）因具有高并行效率、边界处理灵活以及多物理场耦合能力强等特点，已成为流体力学及环境模拟领域的重要研究方向 </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22-23</w:t>
      </w:r>
      <w:r>
        <w:rPr>
          <w:rFonts w:ascii="Times New Roman" w:hAnsi="Times New Roman"/>
          <w:color w:val="000000"/>
          <w:szCs w:val="21"/>
          <w:shd w:val="clear" w:color="auto" w:fill="FFFFFF"/>
          <w:vertAlign w:val="superscript"/>
        </w:rPr>
        <w:t>]</w:t>
      </w:r>
      <w:r>
        <w:rPr>
          <w:rFonts w:ascii="Times New Roman" w:hAnsi="Times New Roman"/>
          <w:color w:val="000000"/>
          <w:szCs w:val="21"/>
          <w:shd w:val="clear" w:color="auto" w:fill="FFFFFF"/>
        </w:rPr>
        <w:t xml:space="preserve">。通过合理构建分布函数和碰撞-弛豫模型，LBM 可实现多物理场耦合模拟，例如流体动力、传热及污染物输运的协同演化 </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24-25</w:t>
      </w:r>
      <w:r>
        <w:rPr>
          <w:rFonts w:ascii="Times New Roman" w:hAnsi="Times New Roman"/>
          <w:color w:val="000000"/>
          <w:szCs w:val="21"/>
          <w:shd w:val="clear" w:color="auto" w:fill="FFFFFF"/>
          <w:vertAlign w:val="superscript"/>
        </w:rPr>
        <w:t>]</w:t>
      </w:r>
      <w:r>
        <w:rPr>
          <w:rFonts w:ascii="Times New Roman" w:hAnsi="Times New Roman"/>
          <w:color w:val="000000"/>
          <w:szCs w:val="21"/>
          <w:shd w:val="clear" w:color="auto" w:fill="FFFFFF"/>
        </w:rPr>
        <w:t xml:space="preserve">，从而在高分辨率数值模拟中保持较好的数值稳定性和物理一致性。现有研究已在若干典型算例中验证了 LBM 的有效性。例如，热对流和双扩散流动问题中，LBM 能够准确捕捉温度梯度对流动结构的影响；在污染物扩散模拟中，LBM 可合理描述受流场驱动的物质输运过程 </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26</w:t>
      </w:r>
      <w:r>
        <w:rPr>
          <w:rFonts w:ascii="Times New Roman" w:hAnsi="Times New Roman"/>
          <w:color w:val="000000"/>
          <w:szCs w:val="21"/>
          <w:shd w:val="clear" w:color="auto" w:fill="FFFFFF"/>
          <w:vertAlign w:val="superscript"/>
        </w:rPr>
        <w:t>]</w:t>
      </w:r>
      <w:r>
        <w:rPr>
          <w:rFonts w:ascii="Times New Roman" w:hAnsi="Times New Roman"/>
          <w:color w:val="000000"/>
          <w:szCs w:val="21"/>
          <w:shd w:val="clear" w:color="auto" w:fill="FFFFFF"/>
        </w:rPr>
        <w:t>。然而，但针对高原山区大型水库等自然环境的综合应用仍处于探索阶段。尤其是对于冷水下泄、异温入汇及污染物</w:t>
      </w:r>
      <w:r>
        <w:rPr>
          <w:rFonts w:hint="eastAsia" w:ascii="Times New Roman" w:hAnsi="Times New Roman"/>
          <w:color w:val="000000"/>
          <w:szCs w:val="21"/>
          <w:shd w:val="clear" w:color="auto" w:fill="FFFFFF"/>
        </w:rPr>
        <w:t>高峰短历时</w:t>
      </w:r>
      <w:r>
        <w:rPr>
          <w:rFonts w:ascii="Times New Roman" w:hAnsi="Times New Roman"/>
          <w:color w:val="000000"/>
          <w:szCs w:val="21"/>
          <w:shd w:val="clear" w:color="auto" w:fill="FFFFFF"/>
        </w:rPr>
        <w:t>等多过程耦合的系统模拟，</w:t>
      </w:r>
      <w:r>
        <w:rPr>
          <w:rFonts w:hint="eastAsia" w:ascii="Times New Roman" w:hAnsi="Times New Roman"/>
          <w:color w:val="000000"/>
          <w:szCs w:val="21"/>
          <w:shd w:val="clear" w:color="auto" w:fill="FFFFFF"/>
        </w:rPr>
        <w:t>仍然</w:t>
      </w:r>
      <w:r>
        <w:rPr>
          <w:rFonts w:ascii="Times New Roman" w:hAnsi="Times New Roman"/>
          <w:color w:val="000000"/>
          <w:szCs w:val="21"/>
          <w:shd w:val="clear" w:color="auto" w:fill="FFFFFF"/>
        </w:rPr>
        <w:t>缺乏系统验证与工程应用支撑。</w:t>
      </w:r>
    </w:p>
    <w:p w14:paraId="2B78DE54">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基于此，本文采用格子 Boltzmann 方法构建集水动力、传热与污染物对流扩散于一体的三维多场耦合模型，并通过典型双扩散自然对流算例对其数值精度与稳定性进行验证。在此基础上，将模型应用于我国西南典型高原山区大型水库，分析冷水下泄对</w:t>
      </w:r>
      <w:r>
        <w:rPr>
          <w:rFonts w:hint="eastAsia" w:ascii="Times New Roman" w:hAnsi="Times New Roman"/>
          <w:color w:val="000000"/>
          <w:szCs w:val="21"/>
          <w:shd w:val="clear" w:color="auto" w:fill="FFFFFF"/>
        </w:rPr>
        <w:t>水库</w:t>
      </w:r>
      <w:r>
        <w:rPr>
          <w:rFonts w:ascii="Times New Roman" w:hAnsi="Times New Roman"/>
          <w:color w:val="000000"/>
          <w:szCs w:val="21"/>
          <w:shd w:val="clear" w:color="auto" w:fill="FFFFFF"/>
        </w:rPr>
        <w:t>温度分层及</w:t>
      </w:r>
      <w:r>
        <w:rPr>
          <w:rFonts w:hint="eastAsia" w:ascii="Times New Roman" w:hAnsi="Times New Roman"/>
          <w:color w:val="000000"/>
          <w:szCs w:val="21"/>
          <w:shd w:val="clear" w:color="auto" w:fill="FFFFFF"/>
        </w:rPr>
        <w:t>短时高峰值</w:t>
      </w:r>
      <w:r>
        <w:rPr>
          <w:rFonts w:ascii="Times New Roman" w:hAnsi="Times New Roman"/>
          <w:color w:val="000000"/>
          <w:szCs w:val="21"/>
          <w:shd w:val="clear" w:color="auto" w:fill="FFFFFF"/>
        </w:rPr>
        <w:t>污染物迁移特征的影响。研究旨在探索复杂地形条件下流–温–质多物理场的耦合机制，为山区水库的分层取水调度与污染风险防控提供理论支撑。本研究提出的 LBM 多场耦合框架在复杂边界与非均匀热源条件下表现出较好的稳定性与适用性，具有进一步推广应用于实际水环境模拟的潜力。</w:t>
      </w:r>
    </w:p>
    <w:p w14:paraId="4E694BB5">
      <w:pPr>
        <w:adjustRightInd w:val="0"/>
        <w:snapToGrid w:val="0"/>
        <w:ind w:firstLine="420" w:firstLineChars="200"/>
        <w:rPr>
          <w:rFonts w:ascii="Times New Roman" w:hAnsi="Times New Roman"/>
          <w:color w:val="000000"/>
          <w:szCs w:val="21"/>
          <w:shd w:val="clear" w:color="auto" w:fill="FFFFFF"/>
        </w:rPr>
      </w:pPr>
    </w:p>
    <w:p w14:paraId="7BEDD25E">
      <w:pPr>
        <w:adjustRightInd w:val="0"/>
        <w:snapToGrid w:val="0"/>
        <w:rPr>
          <w:rFonts w:ascii="宋体" w:hAnsi="宋体" w:cs="Times New Roman"/>
          <w:color w:val="000000"/>
          <w:sz w:val="28"/>
          <w:szCs w:val="28"/>
          <w:shd w:val="clear" w:color="auto" w:fill="FFFFFF"/>
        </w:rPr>
      </w:pPr>
      <w:r>
        <w:rPr>
          <w:rFonts w:hint="eastAsia" w:ascii="宋体" w:hAnsi="宋体" w:cs="Times New Roman"/>
          <w:color w:val="000000"/>
          <w:sz w:val="28"/>
          <w:szCs w:val="28"/>
          <w:shd w:val="clear" w:color="auto" w:fill="FFFFFF"/>
        </w:rPr>
        <w:t>1 模型算法</w:t>
      </w:r>
    </w:p>
    <w:p w14:paraId="062D6EB9">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1.1模拟传热的总能分布模型</w:t>
      </w:r>
    </w:p>
    <w:p w14:paraId="17FD6695">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本文采用的</w:t>
      </w:r>
      <w:r>
        <w:rPr>
          <w:rFonts w:hint="eastAsia" w:ascii="Times New Roman" w:hAnsi="Times New Roman"/>
          <w:color w:val="000000"/>
          <w:szCs w:val="21"/>
          <w:shd w:val="clear" w:color="auto" w:fill="FFFFFF"/>
        </w:rPr>
        <w:t>GUO</w:t>
      </w:r>
      <w:r>
        <w:rPr>
          <w:rFonts w:hint="eastAsia" w:ascii="Times New Roman" w:hAnsi="Times New Roman"/>
          <w:color w:val="000000"/>
          <w:szCs w:val="21"/>
          <w:shd w:val="clear" w:color="auto" w:fill="FFFFFF"/>
          <w:vertAlign w:val="superscript"/>
        </w:rPr>
        <w:t>[25-26]</w:t>
      </w:r>
      <w:r>
        <w:rPr>
          <w:rFonts w:hint="eastAsia" w:ascii="Times New Roman" w:hAnsi="Times New Roman"/>
          <w:color w:val="000000"/>
          <w:szCs w:val="21"/>
          <w:shd w:val="clear" w:color="auto" w:fill="FFFFFF"/>
        </w:rPr>
        <w:t>提出的</w:t>
      </w:r>
      <w:r>
        <w:rPr>
          <w:rFonts w:ascii="Times New Roman" w:hAnsi="Times New Roman"/>
          <w:color w:val="000000"/>
          <w:szCs w:val="21"/>
          <w:shd w:val="clear" w:color="auto" w:fill="FFFFFF"/>
        </w:rPr>
        <w:t>热流体总能分布LB模型，从连续的Boltzmann方程出发，考虑了可压缩功和黏性热耗，解决了动量方程和能量方程中粘度系数不一致的问题</w:t>
      </w:r>
      <w:r>
        <w:rPr>
          <w:rFonts w:hint="eastAsia" w:ascii="Times New Roman" w:hAnsi="Times New Roman"/>
          <w:color w:val="000000"/>
          <w:szCs w:val="21"/>
          <w:shd w:val="clear" w:color="auto" w:fill="FFFFFF"/>
        </w:rPr>
        <w:t>。公式如下</w:t>
      </w:r>
    </w:p>
    <w:tbl>
      <w:tblPr>
        <w:tblStyle w:val="16"/>
        <w:tblW w:w="5000" w:type="pct"/>
        <w:tblInd w:w="0" w:type="dxa"/>
        <w:tblLayout w:type="autofit"/>
        <w:tblCellMar>
          <w:top w:w="0" w:type="dxa"/>
          <w:left w:w="108" w:type="dxa"/>
          <w:bottom w:w="0" w:type="dxa"/>
          <w:right w:w="108" w:type="dxa"/>
        </w:tblCellMar>
      </w:tblPr>
      <w:tblGrid>
        <w:gridCol w:w="497"/>
        <w:gridCol w:w="7152"/>
        <w:gridCol w:w="873"/>
      </w:tblGrid>
      <w:tr w14:paraId="16F4E7A1">
        <w:tblPrEx>
          <w:tblCellMar>
            <w:top w:w="0" w:type="dxa"/>
            <w:left w:w="108" w:type="dxa"/>
            <w:bottom w:w="0" w:type="dxa"/>
            <w:right w:w="108" w:type="dxa"/>
          </w:tblCellMar>
        </w:tblPrEx>
        <w:tc>
          <w:tcPr>
            <w:tcW w:w="292" w:type="pct"/>
            <w:shd w:val="clear" w:color="auto" w:fill="auto"/>
            <w:vAlign w:val="center"/>
          </w:tcPr>
          <w:p w14:paraId="6F551E85">
            <w:pPr>
              <w:jc w:val="center"/>
              <w:rPr>
                <w:rFonts w:ascii="Times New Roman" w:hAnsi="Times New Roman" w:cs="Times New Roman"/>
                <w:color w:val="000000"/>
                <w:kern w:val="0"/>
                <w:szCs w:val="21"/>
                <w:shd w:val="clear" w:color="auto" w:fill="FFFFFF"/>
              </w:rPr>
            </w:pPr>
          </w:p>
        </w:tc>
        <w:tc>
          <w:tcPr>
            <w:tcW w:w="4196" w:type="pct"/>
            <w:shd w:val="clear" w:color="auto" w:fill="auto"/>
            <w:vAlign w:val="center"/>
          </w:tcPr>
          <w:p w14:paraId="2F80BD98">
            <w:pPr>
              <w:jc w:val="center"/>
              <w:rPr>
                <w:rFonts w:ascii="Times New Roman" w:hAnsi="Times New Roman" w:cs="Times New Roman"/>
                <w:color w:val="000000"/>
                <w:kern w:val="0"/>
                <w:szCs w:val="21"/>
                <w:shd w:val="clear" w:color="auto" w:fill="FFFFFF"/>
              </w:rPr>
            </w:pPr>
            <w:r>
              <w:rPr>
                <w:color w:val="000000"/>
                <w:position w:val="-22"/>
                <w:shd w:val="clear" w:color="auto" w:fill="FFFFFF"/>
              </w:rPr>
              <w:object>
                <v:shape id="_x0000_i1025" o:spt="75" type="#_x0000_t75" style="height:29.85pt;width:300.8pt;" o:ole="t" filled="f" o:preferrelative="t" stroked="f" coordsize="21600,21600">
                  <v:path/>
                  <v:fill on="f" focussize="0,0"/>
                  <v:stroke on="f" joinstyle="miter"/>
                  <v:imagedata r:id="rId13" o:title=""/>
                  <o:lock v:ext="edit" aspectratio="t"/>
                  <w10:wrap type="none"/>
                  <w10:anchorlock/>
                </v:shape>
                <o:OLEObject Type="Embed" ProgID="Equation.DSMT4" ShapeID="_x0000_i1025" DrawAspect="Content" ObjectID="_1468075725" r:id="rId12">
                  <o:LockedField>false</o:LockedField>
                </o:OLEObject>
              </w:object>
            </w:r>
          </w:p>
        </w:tc>
        <w:tc>
          <w:tcPr>
            <w:tcW w:w="512" w:type="pct"/>
            <w:shd w:val="clear" w:color="auto" w:fill="auto"/>
            <w:vAlign w:val="center"/>
          </w:tcPr>
          <w:p w14:paraId="78F62BA2">
            <w:pPr>
              <w:jc w:val="center"/>
              <w:rPr>
                <w:rFonts w:ascii="Times New Roman" w:hAnsi="Times New Roman" w:cs="Times New Roman"/>
                <w:color w:val="000000"/>
                <w:kern w:val="0"/>
                <w:szCs w:val="21"/>
                <w:shd w:val="clear" w:color="auto" w:fill="FFFFFF"/>
              </w:rPr>
            </w:pPr>
            <w:r>
              <w:rPr>
                <w:rFonts w:hint="eastAsia" w:ascii="Times New Roman" w:hAnsi="Times New Roman" w:cs="Times New Roman"/>
                <w:color w:val="000000"/>
                <w:szCs w:val="21"/>
                <w:shd w:val="clear" w:color="auto" w:fill="FFFFFF"/>
              </w:rPr>
              <w:t>(1)</w:t>
            </w:r>
          </w:p>
        </w:tc>
      </w:tr>
      <w:tr w14:paraId="0AC56CE1">
        <w:tblPrEx>
          <w:tblCellMar>
            <w:top w:w="0" w:type="dxa"/>
            <w:left w:w="108" w:type="dxa"/>
            <w:bottom w:w="0" w:type="dxa"/>
            <w:right w:w="108" w:type="dxa"/>
          </w:tblCellMar>
        </w:tblPrEx>
        <w:tc>
          <w:tcPr>
            <w:tcW w:w="292" w:type="pct"/>
            <w:shd w:val="clear" w:color="auto" w:fill="auto"/>
            <w:vAlign w:val="center"/>
          </w:tcPr>
          <w:p w14:paraId="4C66D60B">
            <w:pPr>
              <w:jc w:val="center"/>
              <w:rPr>
                <w:rFonts w:ascii="Times New Roman" w:hAnsi="Times New Roman" w:cs="Times New Roman"/>
                <w:color w:val="000000"/>
                <w:kern w:val="0"/>
                <w:szCs w:val="21"/>
                <w:shd w:val="clear" w:color="auto" w:fill="FFFFFF"/>
              </w:rPr>
            </w:pPr>
          </w:p>
        </w:tc>
        <w:tc>
          <w:tcPr>
            <w:tcW w:w="4196" w:type="pct"/>
            <w:shd w:val="clear" w:color="auto" w:fill="auto"/>
            <w:vAlign w:val="center"/>
          </w:tcPr>
          <w:p w14:paraId="202E3392">
            <w:pPr>
              <w:jc w:val="center"/>
              <w:rPr>
                <w:rFonts w:ascii="Times New Roman" w:hAnsi="Times New Roman" w:cs="Times New Roman"/>
                <w:color w:val="000000"/>
                <w:kern w:val="0"/>
                <w:szCs w:val="21"/>
                <w:shd w:val="clear" w:color="auto" w:fill="FFFFFF"/>
              </w:rPr>
            </w:pPr>
            <w:r>
              <w:rPr>
                <w:color w:val="000000"/>
                <w:position w:val="-14"/>
                <w:shd w:val="clear" w:color="auto" w:fill="FFFFFF"/>
              </w:rPr>
              <w:object>
                <v:shape id="_x0000_i1026" o:spt="75" type="#_x0000_t75" style="height:17.05pt;width:309.3pt;" o:ole="t" filled="f" o:preferrelative="t" stroked="f" coordsize="21600,21600">
                  <v:path/>
                  <v:fill on="f" focussize="0,0"/>
                  <v:stroke on="f" joinstyle="miter"/>
                  <v:imagedata r:id="rId15" o:title=""/>
                  <o:lock v:ext="edit" aspectratio="t"/>
                  <w10:wrap type="none"/>
                  <w10:anchorlock/>
                </v:shape>
                <o:OLEObject Type="Embed" ProgID="Equation.DSMT4" ShapeID="_x0000_i1026" DrawAspect="Content" ObjectID="_1468075726" r:id="rId14">
                  <o:LockedField>false</o:LockedField>
                </o:OLEObject>
              </w:object>
            </w:r>
          </w:p>
        </w:tc>
        <w:tc>
          <w:tcPr>
            <w:tcW w:w="512" w:type="pct"/>
            <w:shd w:val="clear" w:color="auto" w:fill="auto"/>
            <w:vAlign w:val="center"/>
          </w:tcPr>
          <w:p w14:paraId="277D3E22">
            <w:pPr>
              <w:jc w:val="center"/>
              <w:rPr>
                <w:rFonts w:ascii="Times New Roman" w:hAnsi="Times New Roman" w:cs="Times New Roman"/>
                <w:color w:val="000000"/>
                <w:kern w:val="0"/>
                <w:szCs w:val="21"/>
                <w:shd w:val="clear" w:color="auto" w:fill="FFFFFF"/>
              </w:rPr>
            </w:pPr>
            <w:r>
              <w:rPr>
                <w:rFonts w:hint="eastAsia" w:ascii="Times New Roman" w:hAnsi="Times New Roman" w:cs="Times New Roman"/>
                <w:color w:val="000000"/>
                <w:szCs w:val="21"/>
                <w:shd w:val="clear" w:color="auto" w:fill="FFFFFF"/>
              </w:rPr>
              <w:t>(2)</w:t>
            </w:r>
          </w:p>
        </w:tc>
      </w:tr>
    </w:tbl>
    <w:p w14:paraId="7A64DC28">
      <w:pPr>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式中，</w:t>
      </w:r>
      <w:r>
        <w:rPr>
          <w:color w:val="000000"/>
          <w:position w:val="-12"/>
          <w:shd w:val="clear" w:color="auto" w:fill="FFFFFF"/>
        </w:rPr>
        <w:object>
          <v:shape id="_x0000_i1027" o:spt="75" type="#_x0000_t75" style="height:17.05pt;width:12.8pt;" o:ole="t" filled="f" o:preferrelative="t" stroked="f" coordsize="21600,21600">
            <v:path/>
            <v:fill on="f" focussize="0,0"/>
            <v:stroke on="f" joinstyle="miter"/>
            <v:imagedata r:id="rId17" o:title=""/>
            <o:lock v:ext="edit" aspectratio="t"/>
            <w10:wrap type="none"/>
            <w10:anchorlock/>
          </v:shape>
          <o:OLEObject Type="Embed" ProgID="Equation.DSMT4" ShapeID="_x0000_i1027" DrawAspect="Content" ObjectID="_1468075727" r:id="rId16">
            <o:LockedField>false</o:LockedField>
          </o:OLEObject>
        </w:object>
      </w:r>
      <w:r>
        <w:rPr>
          <w:rFonts w:hint="eastAsia"/>
          <w:color w:val="000000"/>
          <w:shd w:val="clear" w:color="auto" w:fill="FFFFFF"/>
        </w:rPr>
        <w:t>为密度、动量守恒的分布函数</w:t>
      </w:r>
      <w:r>
        <w:rPr>
          <w:rFonts w:hint="eastAsia" w:ascii="Times New Roman" w:hAnsi="Times New Roman"/>
          <w:color w:val="000000"/>
          <w:szCs w:val="21"/>
          <w:shd w:val="clear" w:color="auto" w:fill="FFFFFF"/>
        </w:rPr>
        <w:t>；</w:t>
      </w:r>
      <w:r>
        <w:rPr>
          <w:color w:val="000000"/>
          <w:position w:val="-12"/>
          <w:shd w:val="clear" w:color="auto" w:fill="FFFFFF"/>
        </w:rPr>
        <w:object>
          <v:shape id="_x0000_i1028" o:spt="75" type="#_x0000_t75" style="height:17.05pt;width:25.6pt;" o:ole="t" filled="f" o:preferrelative="t" stroked="f" coordsize="21600,21600">
            <v:path/>
            <v:fill on="f" focussize="0,0"/>
            <v:stroke on="f" joinstyle="miter"/>
            <v:imagedata r:id="rId19" o:title=""/>
            <o:lock v:ext="edit" aspectratio="t"/>
            <w10:wrap type="none"/>
            <w10:anchorlock/>
          </v:shape>
          <o:OLEObject Type="Embed" ProgID="Equation.DSMT4" ShapeID="_x0000_i1028" DrawAspect="Content" ObjectID="_1468075728" r:id="rId18">
            <o:LockedField>false</o:LockedField>
          </o:OLEObject>
        </w:object>
      </w:r>
      <w:r>
        <w:rPr>
          <w:rFonts w:hint="eastAsia"/>
          <w:color w:val="000000"/>
          <w:shd w:val="clear" w:color="auto" w:fill="FFFFFF"/>
        </w:rPr>
        <w:t>为</w:t>
      </w:r>
      <w:r>
        <w:rPr>
          <w:color w:val="000000"/>
          <w:position w:val="-12"/>
          <w:shd w:val="clear" w:color="auto" w:fill="FFFFFF"/>
        </w:rPr>
        <w:object>
          <v:shape id="_x0000_i1029" o:spt="75" type="#_x0000_t75" style="height:17.05pt;width:12.8pt;" o:ole="t" filled="f" o:preferrelative="t" stroked="f" coordsize="21600,21600">
            <v:path/>
            <v:fill on="f" focussize="0,0"/>
            <v:stroke on="f" joinstyle="miter"/>
            <v:imagedata r:id="rId21" o:title=""/>
            <o:lock v:ext="edit" aspectratio="t"/>
            <w10:wrap type="none"/>
            <w10:anchorlock/>
          </v:shape>
          <o:OLEObject Type="Embed" ProgID="Equation.DSMT4" ShapeID="_x0000_i1029" DrawAspect="Content" ObjectID="_1468075729" r:id="rId20">
            <o:LockedField>false</o:LockedField>
          </o:OLEObject>
        </w:object>
      </w:r>
      <w:r>
        <w:rPr>
          <w:rFonts w:hint="eastAsia"/>
          <w:color w:val="000000"/>
          <w:shd w:val="clear" w:color="auto" w:fill="FFFFFF"/>
        </w:rPr>
        <w:t>的平衡态分布函数；</w:t>
      </w:r>
      <w:r>
        <w:rPr>
          <w:color w:val="000000"/>
          <w:position w:val="-14"/>
          <w:shd w:val="clear" w:color="auto" w:fill="FFFFFF"/>
        </w:rPr>
        <w:object>
          <v:shape id="_x0000_i1030" o:spt="75" type="#_x0000_t75" style="height:17.05pt;width:17.05pt;" o:ole="t" filled="f" o:preferrelative="t" stroked="f" coordsize="21600,21600">
            <v:path/>
            <v:fill on="f" focussize="0,0"/>
            <v:stroke on="f" joinstyle="miter"/>
            <v:imagedata r:id="rId23" o:title=""/>
            <o:lock v:ext="edit" aspectratio="t"/>
            <w10:wrap type="none"/>
            <w10:anchorlock/>
          </v:shape>
          <o:OLEObject Type="Embed" ProgID="Equation.DSMT4" ShapeID="_x0000_i1030" DrawAspect="Content" ObjectID="_1468075730" r:id="rId22">
            <o:LockedField>false</o:LockedField>
          </o:OLEObject>
        </w:object>
      </w:r>
      <w:r>
        <w:rPr>
          <w:rFonts w:hint="eastAsia"/>
          <w:color w:val="000000"/>
          <w:shd w:val="clear" w:color="auto" w:fill="FFFFFF"/>
        </w:rPr>
        <w:t>为</w:t>
      </w:r>
      <w:r>
        <w:rPr>
          <w:color w:val="000000"/>
          <w:position w:val="-12"/>
          <w:shd w:val="clear" w:color="auto" w:fill="FFFFFF"/>
        </w:rPr>
        <w:object>
          <v:shape id="_x0000_i1031" o:spt="75" type="#_x0000_t75" style="height:17.05pt;width:12.8pt;" o:ole="t" filled="f" o:preferrelative="t" stroked="f" coordsize="21600,21600">
            <v:path/>
            <v:fill on="f" focussize="0,0"/>
            <v:stroke on="f" joinstyle="miter"/>
            <v:imagedata r:id="rId25" o:title=""/>
            <o:lock v:ext="edit" aspectratio="t"/>
            <w10:wrap type="none"/>
            <w10:anchorlock/>
          </v:shape>
          <o:OLEObject Type="Embed" ProgID="Equation.DSMT4" ShapeID="_x0000_i1031" DrawAspect="Content" ObjectID="_1468075731" r:id="rId24">
            <o:LockedField>false</o:LockedField>
          </o:OLEObject>
        </w:object>
      </w:r>
      <w:r>
        <w:rPr>
          <w:rFonts w:hint="eastAsia"/>
          <w:color w:val="000000"/>
          <w:shd w:val="clear" w:color="auto" w:fill="FFFFFF"/>
        </w:rPr>
        <w:t>的松弛频率；</w:t>
      </w:r>
      <w:r>
        <w:rPr>
          <w:color w:val="000000"/>
          <w:position w:val="-12"/>
          <w:shd w:val="clear" w:color="auto" w:fill="FFFFFF"/>
        </w:rPr>
        <w:object>
          <v:shape id="_x0000_i1032" o:spt="75" type="#_x0000_t75" style="height:17.05pt;width:12.8pt;" o:ole="t" filled="f" o:preferrelative="t" stroked="f" coordsize="21600,21600">
            <v:path/>
            <v:fill on="f" focussize="0,0"/>
            <v:stroke on="f" joinstyle="miter"/>
            <v:imagedata r:id="rId27" o:title=""/>
            <o:lock v:ext="edit" aspectratio="t"/>
            <w10:wrap type="none"/>
            <w10:anchorlock/>
          </v:shape>
          <o:OLEObject Type="Embed" ProgID="Equation.DSMT4" ShapeID="_x0000_i1032" DrawAspect="Content" ObjectID="_1468075732" r:id="rId26">
            <o:LockedField>false</o:LockedField>
          </o:OLEObject>
        </w:object>
      </w:r>
      <w:r>
        <w:rPr>
          <w:rFonts w:hint="eastAsia"/>
          <w:color w:val="000000"/>
          <w:shd w:val="clear" w:color="auto" w:fill="FFFFFF"/>
        </w:rPr>
        <w:t>为能量传递的分布函数；</w:t>
      </w:r>
      <w:r>
        <w:rPr>
          <w:color w:val="000000"/>
          <w:position w:val="-12"/>
          <w:shd w:val="clear" w:color="auto" w:fill="FFFFFF"/>
        </w:rPr>
        <w:object>
          <v:shape id="_x0000_i1033" o:spt="75" type="#_x0000_t75" style="height:17.05pt;width:21.3pt;" o:ole="t" filled="f" o:preferrelative="t" stroked="f" coordsize="21600,21600">
            <v:path/>
            <v:fill on="f" focussize="0,0"/>
            <v:stroke on="f" joinstyle="miter"/>
            <v:imagedata r:id="rId29" o:title=""/>
            <o:lock v:ext="edit" aspectratio="t"/>
            <w10:wrap type="none"/>
            <w10:anchorlock/>
          </v:shape>
          <o:OLEObject Type="Embed" ProgID="Equation.DSMT4" ShapeID="_x0000_i1033" DrawAspect="Content" ObjectID="_1468075733" r:id="rId28">
            <o:LockedField>false</o:LockedField>
          </o:OLEObject>
        </w:object>
      </w:r>
      <w:r>
        <w:rPr>
          <w:rFonts w:hint="eastAsia"/>
          <w:color w:val="000000"/>
          <w:shd w:val="clear" w:color="auto" w:fill="FFFFFF"/>
        </w:rPr>
        <w:t>为</w:t>
      </w:r>
      <w:r>
        <w:rPr>
          <w:color w:val="000000"/>
          <w:position w:val="-12"/>
          <w:shd w:val="clear" w:color="auto" w:fill="FFFFFF"/>
        </w:rPr>
        <w:object>
          <v:shape id="_x0000_i1034" o:spt="75" type="#_x0000_t75" style="height:17.05pt;width:12.8pt;" o:ole="t" filled="f" o:preferrelative="t" stroked="f" coordsize="21600,21600">
            <v:path/>
            <v:fill on="f" focussize="0,0"/>
            <v:stroke on="f" joinstyle="miter"/>
            <v:imagedata r:id="rId31" o:title=""/>
            <o:lock v:ext="edit" aspectratio="t"/>
            <w10:wrap type="none"/>
            <w10:anchorlock/>
          </v:shape>
          <o:OLEObject Type="Embed" ProgID="Equation.DSMT4" ShapeID="_x0000_i1034" DrawAspect="Content" ObjectID="_1468075734" r:id="rId30">
            <o:LockedField>false</o:LockedField>
          </o:OLEObject>
        </w:object>
      </w:r>
      <w:r>
        <w:rPr>
          <w:rFonts w:hint="eastAsia"/>
          <w:color w:val="000000"/>
          <w:shd w:val="clear" w:color="auto" w:fill="FFFFFF"/>
        </w:rPr>
        <w:t>的平衡态分布函数；</w:t>
      </w:r>
      <w:r>
        <w:rPr>
          <w:color w:val="000000"/>
          <w:position w:val="-14"/>
          <w:shd w:val="clear" w:color="auto" w:fill="FFFFFF"/>
        </w:rPr>
        <w:object>
          <v:shape id="_x0000_i1035" o:spt="75" type="#_x0000_t75" style="height:17.05pt;width:17.05pt;" o:ole="t" filled="f" o:preferrelative="t" stroked="f" coordsize="21600,21600">
            <v:path/>
            <v:fill on="f" focussize="0,0"/>
            <v:stroke on="f" joinstyle="miter"/>
            <v:imagedata r:id="rId33" o:title=""/>
            <o:lock v:ext="edit" aspectratio="t"/>
            <w10:wrap type="none"/>
            <w10:anchorlock/>
          </v:shape>
          <o:OLEObject Type="Embed" ProgID="Equation.DSMT4" ShapeID="_x0000_i1035" DrawAspect="Content" ObjectID="_1468075735" r:id="rId32">
            <o:LockedField>false</o:LockedField>
          </o:OLEObject>
        </w:object>
      </w:r>
      <w:r>
        <w:rPr>
          <w:rFonts w:hint="eastAsia"/>
          <w:color w:val="000000"/>
          <w:shd w:val="clear" w:color="auto" w:fill="FFFFFF"/>
        </w:rPr>
        <w:t>为</w:t>
      </w:r>
      <w:r>
        <w:rPr>
          <w:color w:val="000000"/>
          <w:position w:val="-12"/>
          <w:shd w:val="clear" w:color="auto" w:fill="FFFFFF"/>
        </w:rPr>
        <w:object>
          <v:shape id="_x0000_i1036" o:spt="75" type="#_x0000_t75" style="height:17.05pt;width:12.8pt;" o:ole="t" filled="f" o:preferrelative="t" stroked="f" coordsize="21600,21600">
            <v:path/>
            <v:fill on="f" focussize="0,0"/>
            <v:stroke on="f" joinstyle="miter"/>
            <v:imagedata r:id="rId35" o:title=""/>
            <o:lock v:ext="edit" aspectratio="t"/>
            <w10:wrap type="none"/>
            <w10:anchorlock/>
          </v:shape>
          <o:OLEObject Type="Embed" ProgID="Equation.DSMT4" ShapeID="_x0000_i1036" DrawAspect="Content" ObjectID="_1468075736" r:id="rId34">
            <o:LockedField>false</o:LockedField>
          </o:OLEObject>
        </w:object>
      </w:r>
      <w:r>
        <w:rPr>
          <w:rFonts w:hint="eastAsia"/>
          <w:color w:val="000000"/>
          <w:shd w:val="clear" w:color="auto" w:fill="FFFFFF"/>
        </w:rPr>
        <w:t>的松弛频率；</w:t>
      </w:r>
      <w:r>
        <w:rPr>
          <w:color w:val="000000"/>
          <w:position w:val="-12"/>
          <w:shd w:val="clear" w:color="auto" w:fill="FFFFFF"/>
        </w:rPr>
        <w:object>
          <v:shape id="_x0000_i1037" o:spt="75" type="#_x0000_t75" style="height:17.05pt;width:12.8pt;" o:ole="t" filled="f" o:preferrelative="t" stroked="f" coordsize="21600,21600">
            <v:path/>
            <v:fill on="f" focussize="0,0"/>
            <v:stroke on="f" joinstyle="miter"/>
            <v:imagedata r:id="rId37" o:title=""/>
            <o:lock v:ext="edit" aspectratio="t"/>
            <w10:wrap type="none"/>
            <w10:anchorlock/>
          </v:shape>
          <o:OLEObject Type="Embed" ProgID="Equation.DSMT4" ShapeID="_x0000_i1037" DrawAspect="Content" ObjectID="_1468075737" r:id="rId36">
            <o:LockedField>false</o:LockedField>
          </o:OLEObject>
        </w:object>
      </w:r>
      <w:r>
        <w:rPr>
          <w:rFonts w:hint="eastAsia"/>
          <w:color w:val="000000"/>
          <w:shd w:val="clear" w:color="auto" w:fill="FFFFFF"/>
        </w:rPr>
        <w:t>为</w:t>
      </w:r>
      <w:r>
        <w:rPr>
          <w:color w:val="000000"/>
          <w:shd w:val="clear" w:color="auto" w:fill="FFFFFF"/>
        </w:rPr>
        <w:t>第</w:t>
      </w:r>
      <m:oMath>
        <m:r>
          <m:rPr/>
          <w:rPr>
            <w:rFonts w:ascii="Cambria Math" w:hAnsi="Cambria Math"/>
            <w:color w:val="000000"/>
            <w:shd w:val="clear" w:color="auto" w:fill="FFFFFF"/>
          </w:rPr>
          <m:t>i</m:t>
        </m:r>
      </m:oMath>
      <w:r>
        <w:rPr>
          <w:color w:val="000000"/>
          <w:shd w:val="clear" w:color="auto" w:fill="FFFFFF"/>
        </w:rPr>
        <w:t>方向的外力修正项</w:t>
      </w:r>
      <w:r>
        <w:rPr>
          <w:rFonts w:hint="eastAsia"/>
          <w:color w:val="000000"/>
          <w:shd w:val="clear" w:color="auto" w:fill="FFFFFF"/>
        </w:rPr>
        <w:t>；</w:t>
      </w:r>
      <m:oMath>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ω</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f</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 xml:space="preserve">= </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τ</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f</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+0.5</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m:t>
        </m:r>
      </m:oMath>
      <w:r>
        <w:rPr>
          <w:rFonts w:hint="eastAsia" w:ascii="Times New Roman" w:hAnsi="Times New Roman"/>
          <w:color w:val="000000"/>
          <w:szCs w:val="21"/>
          <w:shd w:val="clear" w:color="auto" w:fill="FFFFFF"/>
        </w:rPr>
        <w:t>；</w:t>
      </w:r>
      <m:oMath>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ω</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h</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τ</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h</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+0.5</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m:t>
        </m:r>
      </m:oMath>
      <w:r>
        <w:rPr>
          <w:rFonts w:hint="eastAsia" w:ascii="Times New Roman" w:hAnsi="Times New Roman"/>
          <w:color w:val="000000"/>
          <w:szCs w:val="21"/>
          <w:shd w:val="clear" w:color="auto" w:fill="FFFFFF"/>
        </w:rPr>
        <w:t xml:space="preserve">； </w:t>
      </w:r>
      <m:oMath>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Φ</m:t>
            </m:r>
            <m:r>
              <m:rPr/>
              <w:rPr>
                <w:rFonts w:hint="eastAsia" w:ascii="Cambria Math" w:hAnsi="Cambria Math"/>
                <w:color w:val="000000"/>
                <w:szCs w:val="21"/>
                <w:shd w:val="clear" w:color="auto" w:fill="FFFFFF"/>
              </w:rPr>
              <m:t xml:space="preserve"> </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 xml:space="preserve">= </m:t>
        </m:r>
        <m:sSub>
          <m:sSubPr>
            <m:ctrlPr>
              <w:rPr>
                <w:rFonts w:ascii="Cambria Math" w:hAnsi="Cambria Math"/>
                <w:i/>
                <w:color w:val="000000"/>
                <w:szCs w:val="21"/>
                <w:shd w:val="clear" w:color="auto" w:fill="FFFFFF"/>
              </w:rPr>
            </m:ctrlPr>
          </m:sSubPr>
          <m:e>
            <m:r>
              <m:rPr/>
              <w:rPr>
                <w:rFonts w:hint="eastAsia" w:ascii="Cambria Math" w:hAnsi="Cambria Math"/>
                <w:color w:val="000000"/>
                <w:szCs w:val="21"/>
                <w:shd w:val="clear" w:color="auto" w:fill="FFFFFF"/>
              </w:rPr>
              <m:t>f</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r>
          <m:rPr/>
          <w:rPr>
            <w:rFonts w:ascii="Cambria Math" w:hAnsi="Cambria Math"/>
            <w:color w:val="000000"/>
            <w:szCs w:val="21"/>
            <w:shd w:val="clear" w:color="auto" w:fill="FFFFFF"/>
          </w:rPr>
          <m:t>−</m:t>
        </m:r>
        <m:r>
          <m:rPr/>
          <w:rPr>
            <w:rFonts w:hint="eastAsia" w:ascii="Cambria Math" w:hAnsi="Cambria Math"/>
            <w:color w:val="000000"/>
            <w:szCs w:val="21"/>
            <w:shd w:val="clear" w:color="auto" w:fill="FFFFFF"/>
          </w:rPr>
          <m:t xml:space="preserve"> </m:t>
        </m:r>
        <m:sSup>
          <m:sSupPr>
            <m:ctrlPr>
              <w:rPr>
                <w:rFonts w:ascii="Cambria Math" w:hAnsi="Cambria Math"/>
                <w:i/>
                <w:color w:val="000000"/>
                <w:szCs w:val="21"/>
                <w:shd w:val="clear" w:color="auto" w:fill="FFFFFF"/>
              </w:rPr>
            </m:ctrlPr>
          </m:sSupPr>
          <m:e>
            <m:sSub>
              <m:sSubPr>
                <m:ctrlPr>
                  <w:rPr>
                    <w:rFonts w:ascii="Cambria Math" w:hAnsi="Cambria Math"/>
                    <w:i/>
                    <w:color w:val="000000"/>
                    <w:szCs w:val="21"/>
                    <w:shd w:val="clear" w:color="auto" w:fill="FFFFFF"/>
                  </w:rPr>
                </m:ctrlPr>
              </m:sSubPr>
              <m:e>
                <m:r>
                  <m:rPr/>
                  <w:rPr>
                    <w:rFonts w:hint="eastAsia" w:ascii="Cambria Math" w:hAnsi="Cambria Math"/>
                    <w:color w:val="000000"/>
                    <w:szCs w:val="21"/>
                    <w:shd w:val="clear" w:color="auto" w:fill="FFFFFF"/>
                  </w:rPr>
                  <m:t>f</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ctrlPr>
              <w:rPr>
                <w:rFonts w:ascii="Cambria Math" w:hAnsi="Cambria Math"/>
                <w:i/>
                <w:color w:val="000000"/>
                <w:szCs w:val="21"/>
                <w:shd w:val="clear" w:color="auto" w:fill="FFFFFF"/>
              </w:rPr>
            </m:ctrlPr>
          </m:e>
          <m:sup>
            <m:r>
              <m:rPr/>
              <w:rPr>
                <w:rFonts w:hint="eastAsia" w:ascii="Cambria Math" w:hAnsi="Cambria Math"/>
                <w:color w:val="000000"/>
                <w:szCs w:val="21"/>
                <w:shd w:val="clear" w:color="auto" w:fill="FFFFFF"/>
              </w:rPr>
              <m:t>(eq)</m:t>
            </m:r>
            <m:ctrlPr>
              <w:rPr>
                <w:rFonts w:ascii="Cambria Math" w:hAnsi="Cambria Math"/>
                <w:i/>
                <w:color w:val="000000"/>
                <w:szCs w:val="21"/>
                <w:shd w:val="clear" w:color="auto" w:fill="FFFFFF"/>
              </w:rPr>
            </m:ctrlPr>
          </m:sup>
        </m:sSup>
        <m:r>
          <m:rPr/>
          <w:rPr>
            <w:rFonts w:hint="eastAsia" w:ascii="Cambria Math" w:hAnsi="Cambria Math"/>
            <w:color w:val="000000"/>
            <w:szCs w:val="21"/>
            <w:shd w:val="clear" w:color="auto" w:fill="FFFFFF"/>
          </w:rPr>
          <m:t xml:space="preserve"> + 0.5</m:t>
        </m:r>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r>
          <m:rPr/>
          <w:rPr>
            <w:rFonts w:ascii="Cambria Math" w:hAnsi="Cambria Math"/>
            <w:color w:val="000000"/>
            <w:szCs w:val="21"/>
            <w:shd w:val="clear" w:color="auto" w:fill="FFFFFF"/>
          </w:rPr>
          <m:t>·</m:t>
        </m:r>
        <m:sSub>
          <m:sSubPr>
            <m:ctrlPr>
              <w:rPr>
                <w:rFonts w:ascii="Cambria Math" w:hAnsi="Cambria Math"/>
                <w:i/>
                <w:color w:val="000000"/>
                <w:szCs w:val="21"/>
                <w:shd w:val="clear" w:color="auto" w:fill="FFFFFF"/>
              </w:rPr>
            </m:ctrlPr>
          </m:sSubPr>
          <m:e>
            <m:r>
              <m:rPr/>
              <w:rPr>
                <w:rFonts w:hint="eastAsia" w:ascii="Cambria Math" w:hAnsi="Cambria Math"/>
                <w:color w:val="000000"/>
                <w:szCs w:val="21"/>
                <w:shd w:val="clear" w:color="auto" w:fill="FFFFFF"/>
              </w:rPr>
              <m:t>F</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oMath>
      <w:r>
        <w:rPr>
          <w:rFonts w:hint="eastAsia" w:ascii="Times New Roman" w:hAnsi="Times New Roman"/>
          <w:color w:val="000000"/>
          <w:szCs w:val="21"/>
          <w:shd w:val="clear" w:color="auto" w:fill="FFFFFF"/>
        </w:rPr>
        <w:t>；</w:t>
      </w:r>
      <m:oMath>
        <m:sSub>
          <m:sSubPr>
            <m:ctrlPr>
              <w:rPr>
                <w:rFonts w:ascii="Cambria Math" w:hAnsi="Cambria Math"/>
                <w:i/>
                <w:color w:val="000000"/>
                <w:szCs w:val="21"/>
                <w:shd w:val="clear" w:color="auto" w:fill="FFFFFF"/>
              </w:rPr>
            </m:ctrlPr>
          </m:sSubPr>
          <m:e>
            <m:r>
              <m:rPr/>
              <w:rPr>
                <w:rFonts w:hint="eastAsia" w:ascii="Cambria Math" w:hAnsi="Cambria Math"/>
                <w:color w:val="000000"/>
                <w:szCs w:val="21"/>
                <w:shd w:val="clear" w:color="auto" w:fill="FFFFFF"/>
              </w:rPr>
              <m:t>Z</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r>
          <m:rPr/>
          <w:rPr>
            <w:rFonts w:hint="eastAsia" w:ascii="Cambria Math" w:hAnsi="Cambria Math"/>
            <w:color w:val="000000"/>
            <w:szCs w:val="21"/>
            <w:shd w:val="clear" w:color="auto" w:fill="FFFFFF"/>
          </w:rPr>
          <m:t xml:space="preserve">= </m:t>
        </m:r>
        <m:sSub>
          <m:sSubPr>
            <m:ctrlPr>
              <w:rPr>
                <w:rFonts w:ascii="Cambria Math" w:hAnsi="Cambria Math"/>
                <w:i/>
                <w:color w:val="000000"/>
                <w:szCs w:val="21"/>
                <w:shd w:val="clear" w:color="auto" w:fill="FFFFFF"/>
              </w:rPr>
            </m:ctrlPr>
          </m:sSubPr>
          <m:e>
            <m:r>
              <m:rPr/>
              <w:rPr>
                <w:rFonts w:hint="eastAsia" w:ascii="Cambria Math" w:hAnsi="Cambria Math"/>
                <w:color w:val="000000"/>
                <w:szCs w:val="21"/>
                <w:shd w:val="clear" w:color="auto" w:fill="FFFFFF"/>
              </w:rPr>
              <m:t>c</m:t>
            </m:r>
            <m:ctrlPr>
              <w:rPr>
                <w:rFonts w:ascii="Cambria Math" w:hAnsi="Cambria Math"/>
                <w:i/>
                <w:color w:val="000000"/>
                <w:szCs w:val="21"/>
                <w:shd w:val="clear" w:color="auto" w:fill="FFFFFF"/>
              </w:rPr>
            </m:ctrlPr>
          </m:e>
          <m:sub>
            <m:r>
              <m:rPr/>
              <w:rPr>
                <w:rFonts w:ascii="Cambria Math" w:hAnsi="Cambria Math"/>
                <w:color w:val="000000"/>
                <w:szCs w:val="21"/>
                <w:shd w:val="clear" w:color="auto" w:fill="FFFFFF"/>
              </w:rPr>
              <m:t>i</m:t>
            </m:r>
            <m:ctrlPr>
              <w:rPr>
                <w:rFonts w:ascii="Cambria Math" w:hAnsi="Cambria Math"/>
                <w:i/>
                <w:color w:val="000000"/>
                <w:szCs w:val="21"/>
                <w:shd w:val="clear" w:color="auto" w:fill="FFFFFF"/>
              </w:rPr>
            </m:ctrlPr>
          </m:sub>
        </m:sSub>
        <m:r>
          <m:rPr/>
          <w:rPr>
            <w:rFonts w:ascii="Cambria Math" w:hAnsi="Cambria Math"/>
            <w:color w:val="000000"/>
            <w:szCs w:val="21"/>
            <w:shd w:val="clear" w:color="auto" w:fill="FFFFFF"/>
          </w:rPr>
          <m:t>·</m:t>
        </m:r>
        <m:r>
          <m:rPr/>
          <w:rPr>
            <w:rFonts w:hint="eastAsia" w:ascii="Cambria Math" w:hAnsi="Cambria Math"/>
            <w:color w:val="000000"/>
            <w:szCs w:val="21"/>
            <w:shd w:val="clear" w:color="auto" w:fill="FFFFFF"/>
          </w:rPr>
          <m:t>u</m:t>
        </m:r>
        <m:r>
          <m:rPr/>
          <w:rPr>
            <w:rFonts w:hint="eastAsia" w:ascii="Cambria Math" w:hAnsi="Cambria Math" w:eastAsia="微软雅黑" w:cs="微软雅黑"/>
            <w:color w:val="000000"/>
            <w:szCs w:val="21"/>
            <w:shd w:val="clear" w:color="auto" w:fill="FFFFFF"/>
          </w:rPr>
          <m:t>−</m:t>
        </m:r>
        <m:sSup>
          <m:sSupPr>
            <m:ctrlPr>
              <w:rPr>
                <w:rFonts w:ascii="Cambria Math" w:hAnsi="Cambria Math"/>
                <w:i/>
                <w:color w:val="000000"/>
                <w:szCs w:val="21"/>
                <w:shd w:val="clear" w:color="auto" w:fill="FFFFFF"/>
              </w:rPr>
            </m:ctrlPr>
          </m:sSupPr>
          <m:e>
            <m:r>
              <m:rPr/>
              <w:rPr>
                <w:rFonts w:hint="eastAsia" w:ascii="Cambria Math" w:hAnsi="Cambria Math"/>
                <w:color w:val="000000"/>
                <w:szCs w:val="21"/>
                <w:shd w:val="clear" w:color="auto" w:fill="FFFFFF"/>
              </w:rPr>
              <m:t>u</m:t>
            </m:r>
            <m:ctrlPr>
              <w:rPr>
                <w:rFonts w:ascii="Cambria Math" w:hAnsi="Cambria Math"/>
                <w:i/>
                <w:color w:val="000000"/>
                <w:szCs w:val="21"/>
                <w:shd w:val="clear" w:color="auto" w:fill="FFFFFF"/>
              </w:rPr>
            </m:ctrlPr>
          </m:e>
          <m:sup>
            <m:r>
              <m:rPr/>
              <w:rPr>
                <w:rFonts w:ascii="Cambria Math" w:hAnsi="Cambria Math"/>
                <w:color w:val="000000"/>
                <w:szCs w:val="21"/>
                <w:shd w:val="clear" w:color="auto" w:fill="FFFFFF"/>
              </w:rPr>
              <m:t>2</m:t>
            </m:r>
            <m:ctrlPr>
              <w:rPr>
                <w:rFonts w:ascii="Cambria Math" w:hAnsi="Cambria Math"/>
                <w:i/>
                <w:color w:val="000000"/>
                <w:szCs w:val="21"/>
                <w:shd w:val="clear" w:color="auto" w:fill="FFFFFF"/>
              </w:rPr>
            </m:ctrlPr>
          </m:sup>
        </m:sSup>
        <m:r>
          <m:rPr/>
          <w:rPr>
            <w:rFonts w:hint="eastAsia" w:ascii="Cambria Math" w:hAnsi="Cambria Math"/>
            <w:color w:val="000000"/>
            <w:szCs w:val="21"/>
            <w:shd w:val="clear" w:color="auto" w:fill="FFFFFF"/>
          </w:rPr>
          <m:t>/2</m:t>
        </m:r>
      </m:oMath>
      <w:r>
        <w:rPr>
          <w:rFonts w:hint="eastAsia" w:ascii="Times New Roman" w:hAnsi="Times New Roman"/>
          <w:color w:val="000000"/>
          <w:szCs w:val="21"/>
          <w:shd w:val="clear" w:color="auto" w:fill="FFFFFF"/>
        </w:rPr>
        <w:t>；</w:t>
      </w:r>
      <m:oMath>
        <m:sSub>
          <m:sSubPr>
            <m:ctrlPr>
              <w:rPr>
                <w:rFonts w:ascii="Cambria Math" w:hAnsi="Cambria Math"/>
                <w:i/>
                <w:color w:val="000000"/>
                <w:szCs w:val="21"/>
                <w:shd w:val="clear" w:color="auto" w:fill="FFFFFF"/>
              </w:rPr>
            </m:ctrlPr>
          </m:sSubPr>
          <m:e>
            <m:r>
              <m:rPr/>
              <w:rPr>
                <w:rFonts w:ascii="Cambria Math" w:hAnsi="Cambria Math"/>
                <w:color w:val="000000"/>
                <w:szCs w:val="21"/>
                <w:shd w:val="clear" w:color="auto" w:fill="FFFFFF"/>
              </w:rPr>
              <m:t>δ</m:t>
            </m:r>
            <m:ctrlPr>
              <w:rPr>
                <w:rFonts w:ascii="Cambria Math" w:hAnsi="Cambria Math"/>
                <w:i/>
                <w:color w:val="000000"/>
                <w:szCs w:val="21"/>
                <w:shd w:val="clear" w:color="auto" w:fill="FFFFFF"/>
              </w:rPr>
            </m:ctrlPr>
          </m:e>
          <m:sub>
            <m:r>
              <m:rPr/>
              <w:rPr>
                <w:rFonts w:hint="eastAsia" w:ascii="Cambria Math" w:hAnsi="Cambria Math"/>
                <w:color w:val="000000"/>
                <w:szCs w:val="21"/>
                <w:shd w:val="clear" w:color="auto" w:fill="FFFFFF"/>
              </w:rPr>
              <m:t>t</m:t>
            </m:r>
            <m:ctrlPr>
              <w:rPr>
                <w:rFonts w:ascii="Cambria Math" w:hAnsi="Cambria Math"/>
                <w:i/>
                <w:color w:val="000000"/>
                <w:szCs w:val="21"/>
                <w:shd w:val="clear" w:color="auto" w:fill="FFFFFF"/>
              </w:rPr>
            </m:ctrlPr>
          </m:sub>
        </m:sSub>
      </m:oMath>
      <w:r>
        <w:rPr>
          <w:rFonts w:hint="eastAsia" w:ascii="Times New Roman" w:hAnsi="Times New Roman"/>
          <w:color w:val="000000"/>
          <w:szCs w:val="21"/>
          <w:shd w:val="clear" w:color="auto" w:fill="FFFFFF"/>
        </w:rPr>
        <w:t>为</w:t>
      </w:r>
      <w:r>
        <w:rPr>
          <w:rFonts w:ascii="Times New Roman" w:hAnsi="Times New Roman"/>
          <w:color w:val="000000"/>
          <w:szCs w:val="21"/>
          <w:shd w:val="clear" w:color="auto" w:fill="FFFFFF"/>
        </w:rPr>
        <w:t>格子时间</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典型算例模拟时一般取为1</w:t>
      </w:r>
      <w:r>
        <w:rPr>
          <w:rFonts w:hint="eastAsia" w:ascii="Times New Roman" w:hAnsi="Times New Roman"/>
          <w:color w:val="000000"/>
          <w:szCs w:val="21"/>
          <w:shd w:val="clear" w:color="auto" w:fill="FFFFFF"/>
        </w:rPr>
        <w:t>。</w:t>
      </w:r>
    </w:p>
    <w:p w14:paraId="35CD6CB0">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以上即为本文用于模拟水库传热的基于LB方法总能分布模型。</w:t>
      </w:r>
    </w:p>
    <w:p w14:paraId="2FCF0E87">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1.2模拟传质的被动标量模型</w:t>
      </w:r>
    </w:p>
    <w:p w14:paraId="356D15C1">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S</w:t>
      </w:r>
      <w:r>
        <w:rPr>
          <w:rFonts w:hint="eastAsia" w:ascii="Times New Roman" w:hAnsi="Times New Roman"/>
          <w:color w:val="000000"/>
          <w:szCs w:val="21"/>
          <w:shd w:val="clear" w:color="auto" w:fill="FFFFFF"/>
        </w:rPr>
        <w:t>HAN</w:t>
      </w:r>
      <w:r>
        <w:rPr>
          <w:rFonts w:hint="eastAsia" w:ascii="Times New Roman" w:hAnsi="Times New Roman"/>
          <w:color w:val="000000"/>
          <w:szCs w:val="21"/>
          <w:shd w:val="clear" w:color="auto" w:fill="FFFFFF"/>
          <w:vertAlign w:val="superscript"/>
        </w:rPr>
        <w:t>[27]</w:t>
      </w:r>
      <w:r>
        <w:rPr>
          <w:rFonts w:ascii="Times New Roman" w:hAnsi="Times New Roman"/>
          <w:color w:val="000000"/>
          <w:szCs w:val="21"/>
          <w:shd w:val="clear" w:color="auto" w:fill="FFFFFF"/>
        </w:rPr>
        <w:t>等人基于对流扩散原理提出了用于模拟多组分流动的LB模型，该模型可</w:t>
      </w:r>
      <w:r>
        <w:rPr>
          <w:rFonts w:hint="eastAsia" w:ascii="Times New Roman" w:hAnsi="Times New Roman"/>
          <w:color w:val="000000"/>
          <w:szCs w:val="21"/>
          <w:shd w:val="clear" w:color="auto" w:fill="FFFFFF"/>
        </w:rPr>
        <w:t>广泛</w:t>
      </w:r>
      <w:r>
        <w:rPr>
          <w:rFonts w:ascii="Times New Roman" w:hAnsi="Times New Roman"/>
          <w:color w:val="000000"/>
          <w:szCs w:val="21"/>
          <w:shd w:val="clear" w:color="auto" w:fill="FFFFFF"/>
        </w:rPr>
        <w:t>用于模拟不同机制驱动的对流扩散现象</w:t>
      </w:r>
      <w:r>
        <w:rPr>
          <w:rFonts w:hint="eastAsia" w:ascii="Times New Roman" w:hAnsi="Times New Roman"/>
          <w:color w:val="000000"/>
          <w:szCs w:val="21"/>
          <w:shd w:val="clear" w:color="auto" w:fill="FFFFFF"/>
          <w:vertAlign w:val="superscript"/>
        </w:rPr>
        <w:t>[28-29]</w:t>
      </w:r>
      <w:r>
        <w:rPr>
          <w:rFonts w:ascii="Times New Roman" w:hAnsi="Times New Roman"/>
          <w:color w:val="000000"/>
          <w:szCs w:val="21"/>
          <w:shd w:val="clear" w:color="auto" w:fill="FFFFFF"/>
        </w:rPr>
        <w:t>。针对水库中的一般性污染物，若忽略其降解、吸附等物理化学反应，可以将其视为随水体运动的被动标量</w:t>
      </w:r>
      <w:r>
        <w:rPr>
          <w:rFonts w:hint="eastAsia" w:ascii="Times New Roman" w:hAnsi="Times New Roman"/>
          <w:color w:val="000000"/>
          <w:szCs w:val="21"/>
          <w:shd w:val="clear" w:color="auto" w:fill="FFFFFF"/>
        </w:rPr>
        <w:t>，亦可采用对流扩散来模拟污染物扩散现象，</w:t>
      </w:r>
      <w:r>
        <w:rPr>
          <w:rFonts w:ascii="Times New Roman" w:hAnsi="Times New Roman"/>
          <w:color w:val="000000"/>
          <w:szCs w:val="21"/>
          <w:shd w:val="clear" w:color="auto" w:fill="FFFFFF"/>
        </w:rPr>
        <w:t>本模型仅模拟随流扩散的污染质。</w:t>
      </w:r>
    </w:p>
    <w:p w14:paraId="34E8563F">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针对S种组分构成的流体系统，则通过S套分布函数n</w:t>
      </w:r>
      <w:r>
        <w:rPr>
          <w:rFonts w:ascii="Times New Roman" w:hAnsi="Times New Roman"/>
          <w:color w:val="000000"/>
          <w:szCs w:val="21"/>
          <w:shd w:val="clear" w:color="auto" w:fill="FFFFFF"/>
        </w:rPr>
        <w:t>ασ</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σ</w:t>
      </w:r>
      <w:r>
        <w:rPr>
          <w:rFonts w:hint="eastAsia" w:ascii="Times New Roman" w:hAnsi="Times New Roman"/>
          <w:color w:val="000000"/>
          <w:szCs w:val="21"/>
          <w:shd w:val="clear" w:color="auto" w:fill="FFFFFF"/>
        </w:rPr>
        <w:t xml:space="preserve"> = 1,</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,S)描述各组分，其演化方程为</w:t>
      </w:r>
    </w:p>
    <w:tbl>
      <w:tblPr>
        <w:tblStyle w:val="16"/>
        <w:tblW w:w="5000" w:type="pct"/>
        <w:tblInd w:w="0" w:type="dxa"/>
        <w:tblLayout w:type="autofit"/>
        <w:tblCellMar>
          <w:top w:w="0" w:type="dxa"/>
          <w:left w:w="108" w:type="dxa"/>
          <w:bottom w:w="0" w:type="dxa"/>
          <w:right w:w="108" w:type="dxa"/>
        </w:tblCellMar>
      </w:tblPr>
      <w:tblGrid>
        <w:gridCol w:w="497"/>
        <w:gridCol w:w="7152"/>
        <w:gridCol w:w="873"/>
      </w:tblGrid>
      <w:tr w14:paraId="45E0ECB1">
        <w:tblPrEx>
          <w:tblCellMar>
            <w:top w:w="0" w:type="dxa"/>
            <w:left w:w="108" w:type="dxa"/>
            <w:bottom w:w="0" w:type="dxa"/>
            <w:right w:w="108" w:type="dxa"/>
          </w:tblCellMar>
        </w:tblPrEx>
        <w:tc>
          <w:tcPr>
            <w:tcW w:w="292" w:type="pct"/>
            <w:shd w:val="clear" w:color="auto" w:fill="auto"/>
            <w:vAlign w:val="center"/>
          </w:tcPr>
          <w:p w14:paraId="50416D27">
            <w:pPr>
              <w:jc w:val="center"/>
              <w:rPr>
                <w:rFonts w:ascii="Times New Roman" w:hAnsi="Times New Roman" w:cs="Times New Roman"/>
                <w:color w:val="000000"/>
                <w:kern w:val="0"/>
                <w:szCs w:val="21"/>
                <w:shd w:val="clear" w:color="auto" w:fill="FFFFFF"/>
              </w:rPr>
            </w:pPr>
          </w:p>
        </w:tc>
        <w:tc>
          <w:tcPr>
            <w:tcW w:w="4196" w:type="pct"/>
            <w:shd w:val="clear" w:color="auto" w:fill="auto"/>
            <w:vAlign w:val="center"/>
          </w:tcPr>
          <w:p w14:paraId="790548D5">
            <w:pPr>
              <w:jc w:val="center"/>
              <w:rPr>
                <w:rFonts w:ascii="Times New Roman" w:hAnsi="Times New Roman" w:cs="Times New Roman"/>
                <w:color w:val="000000"/>
                <w:kern w:val="0"/>
                <w:szCs w:val="21"/>
                <w:shd w:val="clear" w:color="auto" w:fill="FFFFFF"/>
              </w:rPr>
            </w:pPr>
            <w:r>
              <w:rPr>
                <w:color w:val="000000"/>
                <w:position w:val="-22"/>
                <w:shd w:val="clear" w:color="auto" w:fill="FFFFFF"/>
              </w:rPr>
              <w:object>
                <v:shape id="_x0000_i1038" o:spt="75" type="#_x0000_t75" style="height:25.6pt;width:249.65pt;" o:ole="t" filled="f" o:preferrelative="t" stroked="f" coordsize="21600,21600">
                  <v:path/>
                  <v:fill on="f" focussize="0,0"/>
                  <v:stroke on="f" joinstyle="miter"/>
                  <v:imagedata r:id="rId39" o:title=""/>
                  <o:lock v:ext="edit" aspectratio="t"/>
                  <w10:wrap type="none"/>
                  <w10:anchorlock/>
                </v:shape>
                <o:OLEObject Type="Embed" ProgID="Equation.DSMT4" ShapeID="_x0000_i1038" DrawAspect="Content" ObjectID="_1468075738" r:id="rId38">
                  <o:LockedField>false</o:LockedField>
                </o:OLEObject>
              </w:object>
            </w:r>
          </w:p>
        </w:tc>
        <w:tc>
          <w:tcPr>
            <w:tcW w:w="512" w:type="pct"/>
            <w:shd w:val="clear" w:color="auto" w:fill="auto"/>
            <w:vAlign w:val="center"/>
          </w:tcPr>
          <w:p w14:paraId="5AC80126">
            <w:pPr>
              <w:jc w:val="center"/>
              <w:rPr>
                <w:rFonts w:ascii="Times New Roman" w:hAnsi="Times New Roman" w:cs="Times New Roman"/>
                <w:color w:val="000000"/>
                <w:kern w:val="0"/>
                <w:szCs w:val="21"/>
                <w:shd w:val="clear" w:color="auto" w:fill="FFFFFF"/>
              </w:rPr>
            </w:pPr>
            <w:r>
              <w:rPr>
                <w:rFonts w:hint="eastAsia" w:ascii="Times New Roman" w:hAnsi="Times New Roman" w:cs="Times New Roman"/>
                <w:color w:val="000000"/>
                <w:szCs w:val="21"/>
                <w:shd w:val="clear" w:color="auto" w:fill="FFFFFF"/>
              </w:rPr>
              <w:t>(3)</w:t>
            </w:r>
          </w:p>
        </w:tc>
      </w:tr>
    </w:tbl>
    <w:p w14:paraId="7FC60BC3">
      <w:pPr>
        <w:rPr>
          <w:color w:val="000000"/>
          <w:shd w:val="clear" w:color="auto" w:fill="FFFFFF"/>
        </w:rPr>
      </w:pPr>
      <w:r>
        <w:rPr>
          <w:rFonts w:hint="eastAsia" w:ascii="Times New Roman" w:hAnsi="Times New Roman"/>
          <w:color w:val="000000"/>
          <w:szCs w:val="21"/>
          <w:shd w:val="clear" w:color="auto" w:fill="FFFFFF"/>
        </w:rPr>
        <w:t>式中，</w:t>
      </w:r>
      <w:r>
        <w:rPr>
          <w:color w:val="000000"/>
          <w:position w:val="-12"/>
          <w:shd w:val="clear" w:color="auto" w:fill="FFFFFF"/>
        </w:rPr>
        <w:object>
          <v:shape id="_x0000_i1039" o:spt="75" type="#_x0000_t75" style="height:17.05pt;width:17.05pt;" o:ole="t" filled="f" o:preferrelative="t" stroked="f" coordsize="21600,21600">
            <v:path/>
            <v:fill on="f" focussize="0,0"/>
            <v:stroke on="f" joinstyle="miter"/>
            <v:imagedata r:id="rId41" o:title=""/>
            <o:lock v:ext="edit" aspectratio="t"/>
            <w10:wrap type="none"/>
            <w10:anchorlock/>
          </v:shape>
          <o:OLEObject Type="Embed" ProgID="Equation.DSMT4" ShapeID="_x0000_i1039" DrawAspect="Content" ObjectID="_1468075739" r:id="rId40">
            <o:LockedField>false</o:LockedField>
          </o:OLEObject>
        </w:object>
      </w:r>
      <w:r>
        <w:rPr>
          <w:rFonts w:hint="eastAsia"/>
          <w:color w:val="000000"/>
          <w:shd w:val="clear" w:color="auto" w:fill="FFFFFF"/>
        </w:rPr>
        <w:t>为</w:t>
      </w:r>
      <w:r>
        <w:rPr>
          <w:color w:val="000000"/>
          <w:shd w:val="clear" w:color="auto" w:fill="FFFFFF"/>
        </w:rPr>
        <w:t>第</w:t>
      </w:r>
      <w:r>
        <w:rPr>
          <w:i/>
          <w:iCs/>
          <w:color w:val="000000"/>
          <w:shd w:val="clear" w:color="auto" w:fill="FFFFFF"/>
        </w:rPr>
        <w:t>α</w:t>
      </w:r>
      <w:r>
        <w:rPr>
          <w:color w:val="000000"/>
          <w:shd w:val="clear" w:color="auto" w:fill="FFFFFF"/>
        </w:rPr>
        <w:t>组分在第</w:t>
      </w:r>
      <m:oMath>
        <m:r>
          <m:rPr/>
          <w:rPr>
            <w:rFonts w:ascii="Cambria Math" w:hAnsi="Cambria Math"/>
            <w:color w:val="000000"/>
            <w:shd w:val="clear" w:color="auto" w:fill="FFFFFF"/>
          </w:rPr>
          <m:t>i</m:t>
        </m:r>
      </m:oMath>
      <w:r>
        <w:rPr>
          <w:color w:val="000000"/>
          <w:shd w:val="clear" w:color="auto" w:fill="FFFFFF"/>
        </w:rPr>
        <w:t>速度方向的分布函数</w:t>
      </w:r>
      <w:r>
        <w:rPr>
          <w:rFonts w:hint="eastAsia"/>
          <w:color w:val="000000"/>
          <w:shd w:val="clear" w:color="auto" w:fill="FFFFFF"/>
          <w:lang w:eastAsia="zh-CN"/>
        </w:rPr>
        <w:t>；</w:t>
      </w:r>
      <w:r>
        <w:rPr>
          <w:color w:val="000000"/>
          <w:position w:val="-12"/>
          <w:shd w:val="clear" w:color="auto" w:fill="FFFFFF"/>
        </w:rPr>
        <w:object>
          <v:shape id="_x0000_i1040" o:spt="75" type="#_x0000_t75" style="height:17.05pt;width:12.8pt;" o:ole="t" filled="f" o:preferrelative="t" stroked="f" coordsize="21600,21600">
            <v:path/>
            <v:fill on="f" focussize="0,0"/>
            <v:stroke on="f" joinstyle="miter"/>
            <v:imagedata r:id="rId43" o:title=""/>
            <o:lock v:ext="edit" aspectratio="t"/>
            <w10:wrap type="none"/>
            <w10:anchorlock/>
          </v:shape>
          <o:OLEObject Type="Embed" ProgID="Equation.DSMT4" ShapeID="_x0000_i1040" DrawAspect="Content" ObjectID="_1468075740" r:id="rId42">
            <o:LockedField>false</o:LockedField>
          </o:OLEObject>
        </w:object>
      </w:r>
      <w:r>
        <w:rPr>
          <w:rFonts w:hint="eastAsia"/>
          <w:color w:val="000000"/>
          <w:shd w:val="clear" w:color="auto" w:fill="FFFFFF"/>
        </w:rPr>
        <w:t>为格子时间</w:t>
      </w:r>
      <w:r>
        <w:rPr>
          <w:rFonts w:hint="eastAsia"/>
          <w:color w:val="000000"/>
          <w:shd w:val="clear" w:color="auto" w:fill="FFFFFF"/>
          <w:lang w:eastAsia="zh-CN"/>
        </w:rPr>
        <w:t>；</w:t>
      </w:r>
      <w:r>
        <w:rPr>
          <w:color w:val="000000"/>
          <w:position w:val="-6"/>
          <w:shd w:val="clear" w:color="auto" w:fill="FFFFFF"/>
        </w:rPr>
        <w:object>
          <v:shape id="_x0000_i1041" o:spt="75" type="#_x0000_t75" style="height:12.8pt;width:12.8pt;" o:ole="t" filled="f" o:preferrelative="t" stroked="f" coordsize="21600,21600">
            <v:path/>
            <v:fill on="f" focussize="0,0"/>
            <v:stroke on="f" joinstyle="miter"/>
            <v:imagedata r:id="rId45" o:title=""/>
            <o:lock v:ext="edit" aspectratio="t"/>
            <w10:wrap type="none"/>
            <w10:anchorlock/>
          </v:shape>
          <o:OLEObject Type="Embed" ProgID="Equation.DSMT4" ShapeID="_x0000_i1041" DrawAspect="Content" ObjectID="_1468075741" r:id="rId44">
            <o:LockedField>false</o:LockedField>
          </o:OLEObject>
        </w:object>
      </w:r>
      <w:r>
        <w:rPr>
          <w:rFonts w:hint="eastAsia"/>
          <w:color w:val="000000"/>
          <w:shd w:val="clear" w:color="auto" w:fill="FFFFFF"/>
        </w:rPr>
        <w:t>为松弛时间</w:t>
      </w:r>
      <w:r>
        <w:rPr>
          <w:rFonts w:hint="eastAsia"/>
          <w:color w:val="000000"/>
          <w:shd w:val="clear" w:color="auto" w:fill="FFFFFF"/>
          <w:lang w:eastAsia="zh-CN"/>
        </w:rPr>
        <w:t>；</w:t>
      </w:r>
      <w:r>
        <w:rPr>
          <w:color w:val="000000"/>
          <w:position w:val="-12"/>
          <w:shd w:val="clear" w:color="auto" w:fill="FFFFFF"/>
        </w:rPr>
        <w:object>
          <v:shape id="_x0000_i1042" o:spt="75" type="#_x0000_t75" style="height:17.05pt;width:29.85pt;" o:ole="t" filled="f" o:preferrelative="t" stroked="f" coordsize="21600,21600">
            <v:path/>
            <v:fill on="f" focussize="0,0"/>
            <v:stroke on="f" joinstyle="miter"/>
            <v:imagedata r:id="rId47" o:title=""/>
            <o:lock v:ext="edit" aspectratio="t"/>
            <w10:wrap type="none"/>
            <w10:anchorlock/>
          </v:shape>
          <o:OLEObject Type="Embed" ProgID="Equation.DSMT4" ShapeID="_x0000_i1042" DrawAspect="Content" ObjectID="_1468075742" r:id="rId46">
            <o:LockedField>false</o:LockedField>
          </o:OLEObject>
        </w:object>
      </w:r>
      <w:r>
        <w:rPr>
          <w:rFonts w:hint="eastAsia"/>
          <w:color w:val="000000"/>
          <w:shd w:val="clear" w:color="auto" w:fill="FFFFFF"/>
        </w:rPr>
        <w:t>为</w:t>
      </w:r>
      <w:r>
        <w:rPr>
          <w:color w:val="000000"/>
          <w:shd w:val="clear" w:color="auto" w:fill="FFFFFF"/>
        </w:rPr>
        <w:t>第</w:t>
      </w:r>
      <w:r>
        <w:rPr>
          <w:i/>
          <w:iCs/>
          <w:color w:val="000000"/>
          <w:shd w:val="clear" w:color="auto" w:fill="FFFFFF"/>
        </w:rPr>
        <w:t>α</w:t>
      </w:r>
      <w:r>
        <w:rPr>
          <w:color w:val="000000"/>
          <w:shd w:val="clear" w:color="auto" w:fill="FFFFFF"/>
        </w:rPr>
        <w:t>组分在第</w:t>
      </w:r>
      <m:oMath>
        <m:r>
          <m:rPr/>
          <w:rPr>
            <w:rFonts w:ascii="Cambria Math" w:hAnsi="Cambria Math"/>
            <w:color w:val="000000"/>
            <w:shd w:val="clear" w:color="auto" w:fill="FFFFFF"/>
          </w:rPr>
          <m:t>i</m:t>
        </m:r>
      </m:oMath>
      <w:r>
        <w:rPr>
          <w:color w:val="000000"/>
          <w:shd w:val="clear" w:color="auto" w:fill="FFFFFF"/>
        </w:rPr>
        <w:t>速度方向的平衡分布函数</w:t>
      </w:r>
      <w:r>
        <w:rPr>
          <w:rFonts w:hint="eastAsia"/>
          <w:color w:val="000000"/>
          <w:shd w:val="clear" w:color="auto" w:fill="FFFFFF"/>
        </w:rPr>
        <w:t>。</w:t>
      </w:r>
    </w:p>
    <w:p w14:paraId="0BE958B4">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各组分浓度宏观量的统计式为</w:t>
      </w:r>
      <w:r>
        <w:rPr>
          <w:color w:val="000000"/>
          <w:position w:val="-14"/>
          <w:shd w:val="clear" w:color="auto" w:fill="FFFFFF"/>
        </w:rPr>
        <w:object>
          <v:shape id="_x0000_i1043" o:spt="75" type="#_x0000_t75" style="height:17.05pt;width:54.95pt;" o:ole="t" filled="f" o:preferrelative="t" stroked="f" coordsize="21600,21600">
            <v:path/>
            <v:fill on="f" focussize="0,0"/>
            <v:stroke on="f" joinstyle="miter"/>
            <v:imagedata r:id="rId49" o:title=""/>
            <o:lock v:ext="edit" aspectratio="t"/>
            <w10:wrap type="none"/>
            <w10:anchorlock/>
          </v:shape>
          <o:OLEObject Type="Embed" ProgID="Equation.DSMT4" ShapeID="_x0000_i1043" DrawAspect="Content" ObjectID="_1468075743" r:id="rId48">
            <o:LockedField>false</o:LockedField>
          </o:OLEObject>
        </w:object>
      </w:r>
      <w:r>
        <w:rPr>
          <w:rFonts w:hint="eastAsia" w:ascii="Times New Roman" w:hAnsi="Times New Roman"/>
          <w:color w:val="000000"/>
          <w:szCs w:val="21"/>
          <w:shd w:val="clear" w:color="auto" w:fill="FFFFFF"/>
        </w:rPr>
        <w:t>。各组分的扩散系数表达为</w:t>
      </w:r>
      <w:r>
        <w:rPr>
          <w:color w:val="000000"/>
          <w:position w:val="-14"/>
          <w:shd w:val="clear" w:color="auto" w:fill="FFFFFF"/>
        </w:rPr>
        <w:object>
          <v:shape id="_x0000_i1044" o:spt="75" type="#_x0000_t75" style="height:17.05pt;width:89.05pt;" o:ole="t" filled="f" o:preferrelative="t" stroked="f" coordsize="21600,21600">
            <v:path/>
            <v:fill on="f" focussize="0,0"/>
            <v:stroke on="f" joinstyle="miter"/>
            <v:imagedata r:id="rId51" o:title=""/>
            <o:lock v:ext="edit" aspectratio="t"/>
            <w10:wrap type="none"/>
            <w10:anchorlock/>
          </v:shape>
          <o:OLEObject Type="Embed" ProgID="Equation.DSMT4" ShapeID="_x0000_i1044" DrawAspect="Content" ObjectID="_1468075744" r:id="rId50">
            <o:LockedField>false</o:LockedField>
          </o:OLEObject>
        </w:objec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实际模拟中，首先根据污染物性质确定扩散系数，再反推污染物演化方程的松弛时间</w:t>
      </w:r>
      <w:r>
        <w:rPr>
          <w:color w:val="000000"/>
          <w:position w:val="-10"/>
          <w:shd w:val="clear" w:color="auto" w:fill="FFFFFF"/>
        </w:rPr>
        <w:object>
          <v:shape id="_x0000_i1045" o:spt="75" type="#_x0000_t75" style="height:17.05pt;width:12.8pt;" o:ole="t" filled="f" o:preferrelative="t" stroked="f" coordsize="21600,21600">
            <v:path/>
            <v:fill on="f" focussize="0,0"/>
            <v:stroke on="f" joinstyle="miter"/>
            <v:imagedata r:id="rId53" o:title=""/>
            <o:lock v:ext="edit" aspectratio="t"/>
            <w10:wrap type="none"/>
            <w10:anchorlock/>
          </v:shape>
          <o:OLEObject Type="Embed" ProgID="Equation.DSMT4" ShapeID="_x0000_i1045" DrawAspect="Content" ObjectID="_1468075745" r:id="rId52">
            <o:LockedField>false</o:LockedField>
          </o:OLEObject>
        </w:object>
      </w:r>
      <w:r>
        <w:rPr>
          <w:rFonts w:hint="eastAsia" w:ascii="Times New Roman" w:hAnsi="Times New Roman"/>
          <w:color w:val="000000"/>
          <w:szCs w:val="21"/>
          <w:shd w:val="clear" w:color="auto" w:fill="FFFFFF"/>
        </w:rPr>
        <w:t>用于演化方程的迭代。</w:t>
      </w:r>
    </w:p>
    <w:p w14:paraId="11FCA7CB">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1.3传热传质多场耦合LB</w:t>
      </w:r>
      <w:r>
        <w:rPr>
          <w:rFonts w:ascii="黑体" w:hAnsi="黑体" w:eastAsia="黑体"/>
          <w:b w:val="0"/>
          <w:bCs w:val="0"/>
          <w:color w:val="000000"/>
          <w:sz w:val="21"/>
          <w:szCs w:val="21"/>
          <w:shd w:val="clear" w:color="auto" w:fill="FFFFFF"/>
        </w:rPr>
        <w:t>模型的建立</w:t>
      </w:r>
    </w:p>
    <w:p w14:paraId="24BDC547">
      <w:pPr>
        <w:wordWrap w:val="0"/>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将流场分布函数</w:t>
      </w:r>
      <w:r>
        <w:rPr>
          <w:color w:val="000000"/>
          <w:position w:val="-12"/>
          <w:shd w:val="clear" w:color="auto" w:fill="FFFFFF"/>
        </w:rPr>
        <w:object>
          <v:shape id="_x0000_i1046" o:spt="75" type="#_x0000_t75" style="height:17.05pt;width:12.8pt;" o:ole="t" filled="f" o:preferrelative="t" stroked="f" coordsize="21600,21600">
            <v:path/>
            <v:fill on="f" focussize="0,0"/>
            <v:stroke on="f" joinstyle="miter"/>
            <v:imagedata r:id="rId17" o:title=""/>
            <o:lock v:ext="edit" aspectratio="t"/>
            <w10:wrap type="none"/>
            <w10:anchorlock/>
          </v:shape>
          <o:OLEObject Type="Embed" ProgID="Equation.DSMT4" ShapeID="_x0000_i1046" DrawAspect="Content" ObjectID="_1468075746" r:id="rId54">
            <o:LockedField>false</o:LockedField>
          </o:OLEObject>
        </w:object>
      </w:r>
      <w:r>
        <w:rPr>
          <w:rFonts w:hint="eastAsia" w:ascii="Times New Roman" w:hAnsi="Times New Roman"/>
          <w:color w:val="000000"/>
          <w:szCs w:val="21"/>
          <w:shd w:val="clear" w:color="auto" w:fill="FFFFFF"/>
        </w:rPr>
        <w:t>，同时耦合总能分布函数</w:t>
      </w:r>
      <w:r>
        <w:rPr>
          <w:color w:val="000000"/>
          <w:position w:val="-12"/>
          <w:shd w:val="clear" w:color="auto" w:fill="FFFFFF"/>
        </w:rPr>
        <w:object>
          <v:shape id="_x0000_i1047" o:spt="75" type="#_x0000_t75" style="height:17.05pt;width:12.8pt;" o:ole="t" filled="f" o:preferrelative="t" stroked="f" coordsize="21600,21600">
            <v:path/>
            <v:fill on="f" focussize="0,0"/>
            <v:stroke on="f" joinstyle="miter"/>
            <v:imagedata r:id="rId27" o:title=""/>
            <o:lock v:ext="edit" aspectratio="t"/>
            <w10:wrap type="none"/>
            <w10:anchorlock/>
          </v:shape>
          <o:OLEObject Type="Embed" ProgID="Equation.DSMT4" ShapeID="_x0000_i1047" DrawAspect="Content" ObjectID="_1468075747" r:id="rId55">
            <o:LockedField>false</o:LockedField>
          </o:OLEObject>
        </w:object>
      </w:r>
      <w:r>
        <w:rPr>
          <w:rFonts w:hint="eastAsia" w:ascii="Times New Roman" w:hAnsi="Times New Roman"/>
          <w:color w:val="000000"/>
          <w:szCs w:val="21"/>
          <w:shd w:val="clear" w:color="auto" w:fill="FFFFFF"/>
        </w:rPr>
        <w:t>，以及浓度分布函数</w:t>
      </w:r>
      <w:r>
        <w:rPr>
          <w:color w:val="000000"/>
          <w:position w:val="-12"/>
          <w:shd w:val="clear" w:color="auto" w:fill="FFFFFF"/>
        </w:rPr>
        <w:object>
          <v:shape id="_x0000_i1048" o:spt="75" type="#_x0000_t75" style="height:17.05pt;width:12.8pt;" o:ole="t" filled="f" o:preferrelative="t" stroked="f" coordsize="21600,21600">
            <v:path/>
            <v:fill on="f" focussize="0,0"/>
            <v:stroke on="f" joinstyle="miter"/>
            <v:imagedata r:id="rId57" o:title=""/>
            <o:lock v:ext="edit" aspectratio="t"/>
            <w10:wrap type="none"/>
            <w10:anchorlock/>
          </v:shape>
          <o:OLEObject Type="Embed" ProgID="Equation.DSMT4" ShapeID="_x0000_i1048" DrawAspect="Content" ObjectID="_1468075748" r:id="rId56">
            <o:LockedField>false</o:LockedField>
          </o:OLEObject>
        </w:object>
      </w:r>
      <w:r>
        <w:rPr>
          <w:rFonts w:hint="eastAsia" w:ascii="Times New Roman" w:hAnsi="Times New Roman"/>
          <w:color w:val="000000"/>
          <w:szCs w:val="21"/>
          <w:shd w:val="clear" w:color="auto" w:fill="FFFFFF"/>
        </w:rPr>
        <w:t>，构成传热传质多场耦合LB模型基本演化方程，其中</w:t>
      </w:r>
      <m:oMath>
        <m:r>
          <m:rPr/>
          <w:rPr>
            <w:rFonts w:ascii="Cambria Math" w:hAnsi="Cambria Math"/>
            <w:color w:val="000000"/>
            <w:shd w:val="clear" w:color="auto" w:fill="FFFFFF"/>
          </w:rPr>
          <m:t>i</m:t>
        </m:r>
      </m:oMath>
      <w:r>
        <w:rPr>
          <w:rFonts w:hint="eastAsia" w:ascii="Times New Roman" w:hAnsi="Times New Roman"/>
          <w:color w:val="000000"/>
          <w:szCs w:val="21"/>
          <w:shd w:val="clear" w:color="auto" w:fill="FFFFFF"/>
        </w:rPr>
        <w:t>为不同格子模型的离散速度个数。</w:t>
      </w:r>
    </w:p>
    <w:p w14:paraId="1EFBA16C">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流场速度影响温度场和浓度场变化，温度浓度的变化改变流体密度也影响着流场。</w:t>
      </w:r>
      <w:r>
        <w:rPr>
          <w:rFonts w:ascii="Times New Roman" w:hAnsi="Times New Roman"/>
          <w:color w:val="000000"/>
          <w:szCs w:val="21"/>
          <w:shd w:val="clear" w:color="auto" w:fill="FFFFFF"/>
        </w:rPr>
        <w:t>可见，要实现了三个物理场之间的</w:t>
      </w:r>
      <w:r>
        <w:rPr>
          <w:rFonts w:hint="eastAsia" w:ascii="Times New Roman" w:hAnsi="Times New Roman"/>
          <w:color w:val="000000"/>
          <w:szCs w:val="21"/>
          <w:shd w:val="clear" w:color="auto" w:fill="FFFFFF"/>
        </w:rPr>
        <w:t>相互</w:t>
      </w:r>
      <w:r>
        <w:rPr>
          <w:rFonts w:ascii="Times New Roman" w:hAnsi="Times New Roman"/>
          <w:color w:val="000000"/>
          <w:szCs w:val="21"/>
          <w:shd w:val="clear" w:color="auto" w:fill="FFFFFF"/>
        </w:rPr>
        <w:t>耦合，作用力项</w:t>
      </w:r>
      <w:r>
        <w:rPr>
          <w:color w:val="000000"/>
          <w:position w:val="-12"/>
          <w:shd w:val="clear" w:color="auto" w:fill="FFFFFF"/>
        </w:rPr>
        <w:object>
          <v:shape id="_x0000_i1049" o:spt="75" type="#_x0000_t75" style="height:17.05pt;width:12.8pt;" o:ole="t" filled="f" o:preferrelative="t" stroked="f" coordsize="21600,21600">
            <v:path/>
            <v:fill on="f" focussize="0,0"/>
            <v:stroke on="f" joinstyle="miter"/>
            <v:imagedata r:id="rId59" o:title=""/>
            <o:lock v:ext="edit" aspectratio="t"/>
            <w10:wrap type="none"/>
            <w10:anchorlock/>
          </v:shape>
          <o:OLEObject Type="Embed" ProgID="Equation.DSMT4" ShapeID="_x0000_i1049" DrawAspect="Content" ObjectID="_1468075749" r:id="rId58">
            <o:LockedField>false</o:LockedField>
          </o:OLEObject>
        </w:object>
      </w:r>
      <w:r>
        <w:rPr>
          <w:rFonts w:ascii="Times New Roman" w:hAnsi="Times New Roman"/>
          <w:color w:val="000000"/>
          <w:szCs w:val="21"/>
          <w:shd w:val="clear" w:color="auto" w:fill="FFFFFF"/>
        </w:rPr>
        <w:t>的准确实现是关键。</w:t>
      </w:r>
      <w:r>
        <w:rPr>
          <w:rFonts w:hint="eastAsia" w:ascii="Times New Roman" w:hAnsi="Times New Roman"/>
          <w:color w:val="000000"/>
          <w:szCs w:val="21"/>
          <w:shd w:val="clear" w:color="auto" w:fill="FFFFFF"/>
        </w:rPr>
        <w:t>而作用力所产生的加速度是动量方程中改变速度的源项，因此</w:t>
      </w:r>
      <w:r>
        <w:rPr>
          <w:rFonts w:ascii="Times New Roman" w:hAnsi="Times New Roman"/>
          <w:color w:val="000000"/>
          <w:szCs w:val="21"/>
          <w:shd w:val="clear" w:color="auto" w:fill="FFFFFF"/>
        </w:rPr>
        <w:t>本文</w:t>
      </w:r>
      <w:r>
        <w:rPr>
          <w:rFonts w:hint="eastAsia" w:ascii="Times New Roman" w:hAnsi="Times New Roman"/>
          <w:color w:val="000000"/>
          <w:szCs w:val="21"/>
          <w:shd w:val="clear" w:color="auto" w:fill="FFFFFF"/>
        </w:rPr>
        <w:t>参照</w:t>
      </w:r>
      <w:r>
        <w:rPr>
          <w:rFonts w:ascii="Times New Roman" w:hAnsi="Times New Roman"/>
          <w:color w:val="000000"/>
          <w:szCs w:val="21"/>
          <w:shd w:val="clear" w:color="auto" w:fill="FFFFFF"/>
        </w:rPr>
        <w:t>C</w:t>
      </w:r>
      <w:r>
        <w:rPr>
          <w:rFonts w:hint="eastAsia" w:ascii="Times New Roman" w:hAnsi="Times New Roman"/>
          <w:color w:val="000000"/>
          <w:szCs w:val="21"/>
          <w:shd w:val="clear" w:color="auto" w:fill="FFFFFF"/>
        </w:rPr>
        <w:t>HENG</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30</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提出的源项模型将作用力添加进流场的演化方程中。</w:t>
      </w:r>
      <w:r>
        <w:rPr>
          <w:rFonts w:ascii="Times New Roman" w:hAnsi="Times New Roman"/>
          <w:color w:val="000000"/>
          <w:szCs w:val="21"/>
          <w:shd w:val="clear" w:color="auto" w:fill="FFFFFF"/>
        </w:rPr>
        <w:t>具体计算公式为</w:t>
      </w:r>
    </w:p>
    <w:tbl>
      <w:tblPr>
        <w:tblStyle w:val="16"/>
        <w:tblW w:w="5000" w:type="pct"/>
        <w:tblInd w:w="0" w:type="dxa"/>
        <w:tblLayout w:type="autofit"/>
        <w:tblCellMar>
          <w:top w:w="0" w:type="dxa"/>
          <w:left w:w="108" w:type="dxa"/>
          <w:bottom w:w="0" w:type="dxa"/>
          <w:right w:w="108" w:type="dxa"/>
        </w:tblCellMar>
      </w:tblPr>
      <w:tblGrid>
        <w:gridCol w:w="501"/>
        <w:gridCol w:w="7148"/>
        <w:gridCol w:w="873"/>
      </w:tblGrid>
      <w:tr w14:paraId="7CB3820F">
        <w:tblPrEx>
          <w:tblCellMar>
            <w:top w:w="0" w:type="dxa"/>
            <w:left w:w="108" w:type="dxa"/>
            <w:bottom w:w="0" w:type="dxa"/>
            <w:right w:w="108" w:type="dxa"/>
          </w:tblCellMar>
        </w:tblPrEx>
        <w:tc>
          <w:tcPr>
            <w:tcW w:w="294" w:type="pct"/>
            <w:shd w:val="clear" w:color="auto" w:fill="auto"/>
            <w:vAlign w:val="center"/>
          </w:tcPr>
          <w:p w14:paraId="366C62A2">
            <w:pPr>
              <w:pStyle w:val="7"/>
              <w:spacing w:beforeLines="0" w:line="240" w:lineRule="auto"/>
              <w:rPr>
                <w:rFonts w:cs="Times New Roman"/>
                <w:color w:val="000000"/>
                <w:sz w:val="21"/>
                <w:szCs w:val="21"/>
                <w:shd w:val="clear" w:color="auto" w:fill="FFFFFF"/>
              </w:rPr>
            </w:pPr>
          </w:p>
        </w:tc>
        <w:tc>
          <w:tcPr>
            <w:tcW w:w="4194" w:type="pct"/>
            <w:shd w:val="clear" w:color="auto" w:fill="auto"/>
            <w:vAlign w:val="center"/>
          </w:tcPr>
          <w:p w14:paraId="7710B5BE">
            <w:pPr>
              <w:pStyle w:val="7"/>
              <w:spacing w:beforeLines="0" w:line="240" w:lineRule="auto"/>
              <w:rPr>
                <w:rFonts w:cs="Times New Roman"/>
                <w:color w:val="000000"/>
                <w:sz w:val="21"/>
                <w:szCs w:val="21"/>
                <w:shd w:val="clear" w:color="auto" w:fill="FFFFFF"/>
              </w:rPr>
            </w:pPr>
            <w:r>
              <w:rPr>
                <w:color w:val="000000"/>
                <w:position w:val="-22"/>
                <w:shd w:val="clear" w:color="auto" w:fill="FFFFFF"/>
              </w:rPr>
              <w:object>
                <v:shape id="_x0000_i1050" o:spt="75" type="#_x0000_t75" style="height:25.6pt;width:148.25pt;" o:ole="t" filled="f" o:preferrelative="t" stroked="f" coordsize="21600,21600">
                  <v:path/>
                  <v:fill on="f" focussize="0,0"/>
                  <v:stroke on="f" joinstyle="miter"/>
                  <v:imagedata r:id="rId61" o:title=""/>
                  <o:lock v:ext="edit" aspectratio="t"/>
                  <w10:wrap type="none"/>
                  <w10:anchorlock/>
                </v:shape>
                <o:OLEObject Type="Embed" ProgID="Equation.DSMT4" ShapeID="_x0000_i1050" DrawAspect="Content" ObjectID="_1468075750" r:id="rId60">
                  <o:LockedField>false</o:LockedField>
                </o:OLEObject>
              </w:object>
            </w:r>
          </w:p>
        </w:tc>
        <w:tc>
          <w:tcPr>
            <w:tcW w:w="512" w:type="pct"/>
            <w:shd w:val="clear" w:color="auto" w:fill="auto"/>
            <w:vAlign w:val="center"/>
          </w:tcPr>
          <w:p w14:paraId="57193282">
            <w:pPr>
              <w:pStyle w:val="7"/>
              <w:spacing w:beforeLines="0" w:line="240" w:lineRule="auto"/>
              <w:rPr>
                <w:rFonts w:cs="Times New Roman"/>
                <w:color w:val="000000"/>
                <w:sz w:val="21"/>
                <w:szCs w:val="21"/>
                <w:shd w:val="clear" w:color="auto" w:fill="FFFFFF"/>
              </w:rPr>
            </w:pPr>
            <w:r>
              <w:rPr>
                <w:rFonts w:cs="Times New Roman"/>
                <w:b w:val="0"/>
                <w:color w:val="000000"/>
                <w:sz w:val="21"/>
                <w:szCs w:val="21"/>
                <w:shd w:val="clear" w:color="auto" w:fill="FFFFFF"/>
              </w:rPr>
              <w:t>(</w:t>
            </w:r>
            <w:r>
              <w:rPr>
                <w:rFonts w:hint="eastAsia" w:cs="Times New Roman"/>
                <w:b w:val="0"/>
                <w:color w:val="000000"/>
                <w:sz w:val="21"/>
                <w:szCs w:val="21"/>
                <w:shd w:val="clear" w:color="auto" w:fill="FFFFFF"/>
              </w:rPr>
              <w:t>4</w:t>
            </w:r>
            <w:r>
              <w:rPr>
                <w:rFonts w:cs="Times New Roman"/>
                <w:b w:val="0"/>
                <w:color w:val="000000"/>
                <w:sz w:val="21"/>
                <w:szCs w:val="21"/>
                <w:shd w:val="clear" w:color="auto" w:fill="FFFFFF"/>
              </w:rPr>
              <w:t>)</w:t>
            </w:r>
          </w:p>
        </w:tc>
      </w:tr>
      <w:tr w14:paraId="76931513">
        <w:tblPrEx>
          <w:tblCellMar>
            <w:top w:w="0" w:type="dxa"/>
            <w:left w:w="108" w:type="dxa"/>
            <w:bottom w:w="0" w:type="dxa"/>
            <w:right w:w="108" w:type="dxa"/>
          </w:tblCellMar>
        </w:tblPrEx>
        <w:tc>
          <w:tcPr>
            <w:tcW w:w="294" w:type="pct"/>
            <w:shd w:val="clear" w:color="auto" w:fill="auto"/>
            <w:vAlign w:val="center"/>
          </w:tcPr>
          <w:p w14:paraId="06B7F372">
            <w:pPr>
              <w:pStyle w:val="7"/>
              <w:spacing w:beforeLines="0" w:line="240" w:lineRule="auto"/>
              <w:rPr>
                <w:rFonts w:cs="Times New Roman"/>
                <w:color w:val="000000"/>
                <w:sz w:val="21"/>
                <w:szCs w:val="21"/>
                <w:shd w:val="clear" w:color="auto" w:fill="FFFFFF"/>
              </w:rPr>
            </w:pPr>
          </w:p>
        </w:tc>
        <w:tc>
          <w:tcPr>
            <w:tcW w:w="4194" w:type="pct"/>
            <w:shd w:val="clear" w:color="auto" w:fill="auto"/>
            <w:vAlign w:val="center"/>
          </w:tcPr>
          <w:p w14:paraId="5A030E64">
            <w:pPr>
              <w:jc w:val="center"/>
              <w:rPr>
                <w:color w:val="000000"/>
                <w:shd w:val="clear" w:color="auto" w:fill="FFFFFF"/>
              </w:rPr>
            </w:pPr>
            <w:r>
              <w:rPr>
                <w:color w:val="000000"/>
                <w:position w:val="-14"/>
                <w:shd w:val="clear" w:color="auto" w:fill="FFFFFF"/>
              </w:rPr>
              <w:object>
                <v:shape id="_x0000_i1051" o:spt="75" type="#_x0000_t75" style="height:17.05pt;width:156.8pt;" o:ole="t" filled="f" o:preferrelative="t" stroked="f" coordsize="21600,21600">
                  <v:path/>
                  <v:fill on="f" focussize="0,0"/>
                  <v:stroke on="f" joinstyle="miter"/>
                  <v:imagedata r:id="rId63" o:title=""/>
                  <o:lock v:ext="edit" aspectratio="t"/>
                  <w10:wrap type="none"/>
                  <w10:anchorlock/>
                </v:shape>
                <o:OLEObject Type="Embed" ProgID="Equation.DSMT4" ShapeID="_x0000_i1051" DrawAspect="Content" ObjectID="_1468075751" r:id="rId62">
                  <o:LockedField>false</o:LockedField>
                </o:OLEObject>
              </w:object>
            </w:r>
          </w:p>
        </w:tc>
        <w:tc>
          <w:tcPr>
            <w:tcW w:w="512" w:type="pct"/>
            <w:shd w:val="clear" w:color="auto" w:fill="auto"/>
            <w:vAlign w:val="center"/>
          </w:tcPr>
          <w:p w14:paraId="424BF216">
            <w:pPr>
              <w:pStyle w:val="7"/>
              <w:spacing w:beforeLines="0" w:line="240" w:lineRule="auto"/>
              <w:rPr>
                <w:rFonts w:cs="Times New Roman"/>
                <w:b w:val="0"/>
                <w:color w:val="000000"/>
                <w:sz w:val="21"/>
                <w:szCs w:val="21"/>
                <w:shd w:val="clear" w:color="auto" w:fill="FFFFFF"/>
              </w:rPr>
            </w:pPr>
            <w:r>
              <w:rPr>
                <w:rFonts w:cs="Times New Roman"/>
                <w:b w:val="0"/>
                <w:color w:val="000000"/>
                <w:sz w:val="21"/>
                <w:szCs w:val="21"/>
                <w:shd w:val="clear" w:color="auto" w:fill="FFFFFF"/>
              </w:rPr>
              <w:t>(</w:t>
            </w:r>
            <w:r>
              <w:rPr>
                <w:rFonts w:hint="eastAsia" w:cs="Times New Roman"/>
                <w:b w:val="0"/>
                <w:color w:val="000000"/>
                <w:sz w:val="21"/>
                <w:szCs w:val="21"/>
                <w:shd w:val="clear" w:color="auto" w:fill="FFFFFF"/>
              </w:rPr>
              <w:t>5</w:t>
            </w:r>
            <w:r>
              <w:rPr>
                <w:rFonts w:cs="Times New Roman"/>
                <w:b w:val="0"/>
                <w:color w:val="000000"/>
                <w:sz w:val="21"/>
                <w:szCs w:val="21"/>
                <w:shd w:val="clear" w:color="auto" w:fill="FFFFFF"/>
              </w:rPr>
              <w:t>)</w:t>
            </w:r>
          </w:p>
        </w:tc>
      </w:tr>
    </w:tbl>
    <w:p w14:paraId="44FCEC82">
      <w:pPr>
        <w:rPr>
          <w:rFonts w:ascii="Times New Roman" w:hAnsi="Times New Roman"/>
          <w:color w:val="000000"/>
          <w:szCs w:val="21"/>
          <w:shd w:val="clear" w:color="auto" w:fill="FFFFFF"/>
        </w:rPr>
      </w:pPr>
      <w:r>
        <w:rPr>
          <w:rFonts w:ascii="Times New Roman" w:hAnsi="Times New Roman"/>
          <w:color w:val="000000"/>
          <w:szCs w:val="21"/>
          <w:shd w:val="clear" w:color="auto" w:fill="FFFFFF"/>
        </w:rPr>
        <w:t>式中</w:t>
      </w:r>
      <w:r>
        <w:rPr>
          <w:rFonts w:hint="eastAsia" w:ascii="Times New Roman" w:hAnsi="Times New Roman"/>
          <w:color w:val="000000"/>
          <w:szCs w:val="21"/>
          <w:shd w:val="clear" w:color="auto" w:fill="FFFFFF"/>
        </w:rPr>
        <w:t>，</w:t>
      </w:r>
      <w:r>
        <w:rPr>
          <w:color w:val="000000"/>
          <w:position w:val="-12"/>
          <w:shd w:val="clear" w:color="auto" w:fill="FFFFFF"/>
        </w:rPr>
        <w:object>
          <v:shape id="_x0000_i1052" o:spt="75" type="#_x0000_t75" style="height:17.05pt;width:12.8pt;" o:ole="t" filled="f" o:preferrelative="t" stroked="f" coordsize="21600,21600">
            <v:path/>
            <v:fill on="f" focussize="0,0"/>
            <v:stroke on="f" joinstyle="miter"/>
            <v:imagedata r:id="rId65" o:title=""/>
            <o:lock v:ext="edit" aspectratio="t"/>
            <w10:wrap type="none"/>
            <w10:anchorlock/>
          </v:shape>
          <o:OLEObject Type="Embed" ProgID="Equation.DSMT4" ShapeID="_x0000_i1052" DrawAspect="Content" ObjectID="_1468075752" r:id="rId64">
            <o:LockedField>false</o:LockedField>
          </o:OLEObject>
        </w:object>
      </w:r>
      <w:r>
        <w:rPr>
          <w:rFonts w:hint="eastAsia"/>
          <w:color w:val="000000"/>
          <w:shd w:val="clear" w:color="auto" w:fill="FFFFFF"/>
        </w:rPr>
        <w:t>为</w:t>
      </w:r>
      <w:r>
        <w:rPr>
          <w:color w:val="000000"/>
          <w:shd w:val="clear" w:color="auto" w:fill="FFFFFF"/>
        </w:rPr>
        <w:t>离散速度方向的权重系数</w:t>
      </w:r>
      <w:r>
        <w:rPr>
          <w:rFonts w:hint="eastAsia"/>
          <w:color w:val="000000"/>
          <w:shd w:val="clear" w:color="auto" w:fill="FFFFFF"/>
        </w:rPr>
        <w:t>；</w:t>
      </w:r>
      <w:r>
        <w:rPr>
          <w:rFonts w:ascii="Times New Roman" w:hAnsi="Times New Roman"/>
          <w:i/>
          <w:iCs/>
          <w:color w:val="000000"/>
          <w:szCs w:val="21"/>
          <w:shd w:val="clear" w:color="auto" w:fill="FFFFFF"/>
        </w:rPr>
        <w:t>A</w:t>
      </w:r>
      <w:r>
        <w:rPr>
          <w:rFonts w:hint="eastAsia" w:ascii="Times New Roman" w:hAnsi="Times New Roman"/>
          <w:color w:val="000000"/>
          <w:szCs w:val="21"/>
          <w:shd w:val="clear" w:color="auto" w:fill="FFFFFF"/>
        </w:rPr>
        <w:t>为</w:t>
      </w:r>
      <w:r>
        <w:rPr>
          <w:rFonts w:ascii="Times New Roman" w:hAnsi="Times New Roman"/>
          <w:color w:val="000000"/>
          <w:szCs w:val="21"/>
          <w:shd w:val="clear" w:color="auto" w:fill="FFFFFF"/>
        </w:rPr>
        <w:t>连续方程中的源项</w:t>
      </w:r>
      <w:r>
        <w:rPr>
          <w:rFonts w:hint="eastAsia" w:ascii="Times New Roman" w:hAnsi="Times New Roman"/>
          <w:color w:val="000000"/>
          <w:szCs w:val="21"/>
          <w:shd w:val="clear" w:color="auto" w:fill="FFFFFF"/>
        </w:rPr>
        <w:t>；</w:t>
      </w:r>
      <w:r>
        <w:rPr>
          <w:rFonts w:ascii="Times New Roman" w:hAnsi="Times New Roman"/>
          <w:i/>
          <w:iCs/>
          <w:color w:val="000000"/>
          <w:szCs w:val="21"/>
          <w:shd w:val="clear" w:color="auto" w:fill="FFFFFF"/>
        </w:rPr>
        <w:t>B</w:t>
      </w:r>
      <w:r>
        <w:rPr>
          <w:rFonts w:hint="eastAsia" w:ascii="Times New Roman" w:hAnsi="Times New Roman"/>
          <w:color w:val="000000"/>
          <w:szCs w:val="21"/>
          <w:shd w:val="clear" w:color="auto" w:fill="FFFFFF"/>
        </w:rPr>
        <w:t>代表</w:t>
      </w:r>
      <w:r>
        <w:rPr>
          <w:rFonts w:ascii="Times New Roman" w:hAnsi="Times New Roman"/>
          <w:color w:val="000000"/>
          <w:szCs w:val="21"/>
          <w:shd w:val="clear" w:color="auto" w:fill="FFFFFF"/>
        </w:rPr>
        <w:t>动量方程中的源项</w:t>
      </w:r>
      <w:r>
        <w:rPr>
          <w:rFonts w:hint="eastAsia" w:ascii="Times New Roman" w:hAnsi="Times New Roman"/>
          <w:color w:val="000000"/>
          <w:szCs w:val="21"/>
          <w:shd w:val="clear" w:color="auto" w:fill="FFFFFF"/>
        </w:rPr>
        <w:t>或汇项，即</w:t>
      </w:r>
      <w:r>
        <w:rPr>
          <w:rFonts w:ascii="Times New Roman" w:hAnsi="Times New Roman"/>
          <w:color w:val="000000"/>
          <w:szCs w:val="21"/>
          <w:shd w:val="clear" w:color="auto" w:fill="FFFFFF"/>
        </w:rPr>
        <w:t>作用力。</w:t>
      </w:r>
    </w:p>
    <w:p w14:paraId="0D917BAE">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针对水库传热传质流动特性</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经本文推导得到：</w:t>
      </w:r>
      <w:bookmarkStart w:id="3" w:name="_Hlk211686478"/>
      <w:r>
        <w:rPr>
          <w:rFonts w:ascii="Times New Roman" w:hAnsi="Times New Roman"/>
          <w:i/>
          <w:iCs/>
          <w:color w:val="000000"/>
          <w:szCs w:val="21"/>
          <w:shd w:val="clear" w:color="auto" w:fill="FFFFFF"/>
        </w:rPr>
        <w:t>A</w:t>
      </w:r>
      <w:r>
        <w:rPr>
          <w:rFonts w:hint="eastAsia"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0，</w:t>
      </w:r>
      <w:r>
        <w:rPr>
          <w:color w:val="000000"/>
          <w:position w:val="-12"/>
          <w:shd w:val="clear" w:color="auto" w:fill="FFFFFF"/>
        </w:rPr>
        <w:object>
          <v:shape id="_x0000_i1053" o:spt="75" type="#_x0000_t75" style="height:17.05pt;width:144pt;" o:ole="t" filled="f" o:preferrelative="t" stroked="f" coordsize="21600,21600">
            <v:path/>
            <v:fill on="f" focussize="0,0"/>
            <v:stroke on="f" joinstyle="miter"/>
            <v:imagedata r:id="rId67" o:title=""/>
            <o:lock v:ext="edit" aspectratio="t"/>
            <w10:wrap type="none"/>
            <w10:anchorlock/>
          </v:shape>
          <o:OLEObject Type="Embed" ProgID="Equation.DSMT4" ShapeID="_x0000_i1053" DrawAspect="Content" ObjectID="_1468075753" r:id="rId66">
            <o:LockedField>false</o:LockedField>
          </o:OLEObject>
        </w:object>
      </w:r>
      <w:r>
        <w:rPr>
          <w:rFonts w:ascii="Times New Roman" w:hAnsi="Times New Roman"/>
          <w:color w:val="000000"/>
          <w:szCs w:val="21"/>
          <w:shd w:val="clear" w:color="auto" w:fill="FFFFFF"/>
        </w:rPr>
        <w:t>。</w:t>
      </w:r>
      <w:bookmarkEnd w:id="3"/>
      <w:r>
        <w:rPr>
          <w:rFonts w:hint="eastAsia" w:ascii="Times New Roman" w:hAnsi="Times New Roman"/>
          <w:color w:val="000000"/>
          <w:szCs w:val="21"/>
          <w:shd w:val="clear" w:color="auto" w:fill="FFFFFF"/>
        </w:rPr>
        <w:t>其中</w:t>
      </w:r>
      <w:r>
        <w:rPr>
          <w:color w:val="000000"/>
          <w:position w:val="-10"/>
          <w:shd w:val="clear" w:color="auto" w:fill="FFFFFF"/>
        </w:rPr>
        <w:object>
          <v:shape id="_x0000_i1054" o:spt="75" type="#_x0000_t75" style="height:17.05pt;width:12.8pt;" o:ole="t" filled="f" o:preferrelative="t" stroked="f" coordsize="21600,21600">
            <v:path/>
            <v:fill on="f" focussize="0,0"/>
            <v:stroke on="f" joinstyle="miter"/>
            <v:imagedata r:id="rId69" o:title=""/>
            <o:lock v:ext="edit" aspectratio="t"/>
            <w10:wrap type="none"/>
            <w10:anchorlock/>
          </v:shape>
          <o:OLEObject Type="Embed" ProgID="Equation.DSMT4" ShapeID="_x0000_i1054" DrawAspect="Content" ObjectID="_1468075754" r:id="rId68">
            <o:LockedField>false</o:LockedField>
          </o:OLEObject>
        </w:object>
      </w:r>
      <w:r>
        <w:rPr>
          <w:rFonts w:hint="eastAsia" w:ascii="Times New Roman" w:hAnsi="Times New Roman"/>
          <w:color w:val="000000"/>
          <w:szCs w:val="21"/>
          <w:shd w:val="clear" w:color="auto" w:fill="FFFFFF"/>
        </w:rPr>
        <w:t>、</w:t>
      </w:r>
      <w:r>
        <w:rPr>
          <w:color w:val="000000"/>
          <w:position w:val="-10"/>
          <w:shd w:val="clear" w:color="auto" w:fill="FFFFFF"/>
        </w:rPr>
        <w:object>
          <v:shape id="_x0000_i1055" o:spt="75" type="#_x0000_t75" style="height:17.05pt;width:17.05pt;" o:ole="t" filled="f" o:preferrelative="t" stroked="f" coordsize="21600,21600">
            <v:path/>
            <v:fill on="f" focussize="0,0"/>
            <v:stroke on="f" joinstyle="miter"/>
            <v:imagedata r:id="rId71" o:title=""/>
            <o:lock v:ext="edit" aspectratio="t"/>
            <w10:wrap type="none"/>
            <w10:anchorlock/>
          </v:shape>
          <o:OLEObject Type="Embed" ProgID="Equation.DSMT4" ShapeID="_x0000_i1055" DrawAspect="Content" ObjectID="_1468075755" r:id="rId70">
            <o:LockedField>false</o:LockedField>
          </o:OLEObject>
        </w:object>
      </w:r>
      <w:r>
        <w:rPr>
          <w:rFonts w:hint="eastAsia" w:ascii="Times New Roman" w:hAnsi="Times New Roman"/>
          <w:color w:val="000000"/>
          <w:szCs w:val="21"/>
          <w:shd w:val="clear" w:color="auto" w:fill="FFFFFF"/>
        </w:rPr>
        <w:t>分别为热膨胀系数、溶质体积膨胀系数，定义为</w:t>
      </w:r>
      <w:r>
        <w:rPr>
          <w:color w:val="000000"/>
          <w:position w:val="-28"/>
          <w:shd w:val="clear" w:color="auto" w:fill="FFFFFF"/>
        </w:rPr>
        <w:object>
          <v:shape id="_x0000_i1056" o:spt="75" type="#_x0000_t75" style="height:29.85pt;width:54.95pt;" o:ole="t" filled="f" o:preferrelative="t" stroked="f" coordsize="21600,21600">
            <v:path/>
            <v:fill on="f" focussize="0,0"/>
            <v:stroke on="f" joinstyle="miter"/>
            <v:imagedata r:id="rId73" o:title=""/>
            <o:lock v:ext="edit" aspectratio="t"/>
            <w10:wrap type="none"/>
            <w10:anchorlock/>
          </v:shape>
          <o:OLEObject Type="Embed" ProgID="Equation.DSMT4" ShapeID="_x0000_i1056" DrawAspect="Content" ObjectID="_1468075756" r:id="rId72">
            <o:LockedField>false</o:LockedField>
          </o:OLEObject>
        </w:object>
      </w:r>
      <w:r>
        <w:rPr>
          <w:rFonts w:hint="eastAsia" w:ascii="Times New Roman" w:hAnsi="Times New Roman"/>
          <w:color w:val="000000"/>
          <w:szCs w:val="21"/>
          <w:shd w:val="clear" w:color="auto" w:fill="FFFFFF"/>
        </w:rPr>
        <w:t>、</w:t>
      </w:r>
      <w:r>
        <w:rPr>
          <w:color w:val="000000"/>
          <w:position w:val="-28"/>
          <w:shd w:val="clear" w:color="auto" w:fill="FFFFFF"/>
        </w:rPr>
        <w:object>
          <v:shape id="_x0000_i1057" o:spt="75" type="#_x0000_t75" style="height:29.85pt;width:54.95pt;" o:ole="t" filled="f" o:preferrelative="t" stroked="f" coordsize="21600,21600">
            <v:path/>
            <v:fill on="f" focussize="0,0"/>
            <v:stroke on="f" joinstyle="miter"/>
            <v:imagedata r:id="rId75" o:title=""/>
            <o:lock v:ext="edit" aspectratio="t"/>
            <w10:wrap type="none"/>
            <w10:anchorlock/>
          </v:shape>
          <o:OLEObject Type="Embed" ProgID="Equation.DSMT4" ShapeID="_x0000_i1057" DrawAspect="Content" ObjectID="_1468075757" r:id="rId74">
            <o:LockedField>false</o:LockedField>
          </o:OLEObject>
        </w:object>
      </w:r>
      <w:r>
        <w:rPr>
          <w:rFonts w:hint="eastAsia" w:ascii="Times New Roman" w:hAnsi="Times New Roman"/>
          <w:color w:val="000000"/>
          <w:szCs w:val="21"/>
          <w:shd w:val="clear" w:color="auto" w:fill="FFFFFF"/>
        </w:rPr>
        <w:t>。</w:t>
      </w:r>
    </w:p>
    <w:p w14:paraId="21426A00">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各物理场的平衡态分布函数共用一套流速，表达为</w:t>
      </w:r>
    </w:p>
    <w:tbl>
      <w:tblPr>
        <w:tblStyle w:val="16"/>
        <w:tblW w:w="5000" w:type="pct"/>
        <w:tblInd w:w="0" w:type="dxa"/>
        <w:tblLayout w:type="autofit"/>
        <w:tblCellMar>
          <w:top w:w="0" w:type="dxa"/>
          <w:left w:w="108" w:type="dxa"/>
          <w:bottom w:w="0" w:type="dxa"/>
          <w:right w:w="108" w:type="dxa"/>
        </w:tblCellMar>
      </w:tblPr>
      <w:tblGrid>
        <w:gridCol w:w="498"/>
        <w:gridCol w:w="7133"/>
        <w:gridCol w:w="891"/>
      </w:tblGrid>
      <w:tr w14:paraId="08ECF5D3">
        <w:tblPrEx>
          <w:tblCellMar>
            <w:top w:w="0" w:type="dxa"/>
            <w:left w:w="108" w:type="dxa"/>
            <w:bottom w:w="0" w:type="dxa"/>
            <w:right w:w="108" w:type="dxa"/>
          </w:tblCellMar>
        </w:tblPrEx>
        <w:tc>
          <w:tcPr>
            <w:tcW w:w="292" w:type="pct"/>
            <w:shd w:val="clear" w:color="auto" w:fill="auto"/>
            <w:vAlign w:val="center"/>
          </w:tcPr>
          <w:p w14:paraId="0BE946CA">
            <w:pPr>
              <w:adjustRightInd w:val="0"/>
              <w:snapToGrid w:val="0"/>
              <w:jc w:val="center"/>
              <w:rPr>
                <w:rFonts w:ascii="Times New Roman" w:hAnsi="Times New Roman" w:cs="Times New Roman"/>
                <w:color w:val="000000"/>
                <w:szCs w:val="21"/>
                <w:shd w:val="clear" w:color="auto" w:fill="FFFFFF"/>
              </w:rPr>
            </w:pPr>
            <w:bookmarkStart w:id="4" w:name="_Hlk194414164"/>
          </w:p>
        </w:tc>
        <w:tc>
          <w:tcPr>
            <w:tcW w:w="4185" w:type="pct"/>
            <w:shd w:val="clear" w:color="auto" w:fill="auto"/>
            <w:vAlign w:val="center"/>
          </w:tcPr>
          <w:p w14:paraId="0F4D5D1F">
            <w:pPr>
              <w:adjustRightInd w:val="0"/>
              <w:snapToGrid w:val="0"/>
              <w:jc w:val="center"/>
              <w:rPr>
                <w:rFonts w:ascii="Times New Roman" w:hAnsi="Times New Roman" w:cs="Times New Roman"/>
                <w:color w:val="000000"/>
                <w:szCs w:val="21"/>
                <w:shd w:val="clear" w:color="auto" w:fill="FFFFFF"/>
              </w:rPr>
            </w:pPr>
            <w:r>
              <w:rPr>
                <w:color w:val="000000"/>
                <w:position w:val="-28"/>
                <w:shd w:val="clear" w:color="auto" w:fill="FFFFFF"/>
              </w:rPr>
              <w:object>
                <v:shape id="_x0000_i1058" o:spt="75" type="#_x0000_t75" style="height:34.1pt;width:165.3pt;" o:ole="t" filled="f" o:preferrelative="t" stroked="f" coordsize="21600,21600">
                  <v:path/>
                  <v:fill on="f" focussize="0,0"/>
                  <v:stroke on="f" joinstyle="miter"/>
                  <v:imagedata r:id="rId77" o:title=""/>
                  <o:lock v:ext="edit" aspectratio="t"/>
                  <w10:wrap type="none"/>
                  <w10:anchorlock/>
                </v:shape>
                <o:OLEObject Type="Embed" ProgID="Equation.DSMT4" ShapeID="_x0000_i1058" DrawAspect="Content" ObjectID="_1468075758" r:id="rId76">
                  <o:LockedField>false</o:LockedField>
                </o:OLEObject>
              </w:object>
            </w:r>
          </w:p>
        </w:tc>
        <w:tc>
          <w:tcPr>
            <w:tcW w:w="523" w:type="pct"/>
            <w:shd w:val="clear" w:color="auto" w:fill="auto"/>
            <w:vAlign w:val="center"/>
          </w:tcPr>
          <w:p w14:paraId="25FA2868">
            <w:pPr>
              <w:adjustRightInd w:val="0"/>
              <w:snapToGrid w:val="0"/>
              <w:jc w:val="center"/>
              <w:rPr>
                <w:rFonts w:ascii="Times New Roman" w:hAnsi="Times New Roman" w:cs="Times New Roman"/>
                <w:color w:val="000000"/>
                <w:szCs w:val="21"/>
                <w:shd w:val="clear" w:color="auto" w:fill="FFFFFF"/>
              </w:rPr>
            </w:pPr>
            <w:r>
              <w:rPr>
                <w:rFonts w:hint="eastAsia" w:ascii="Times New Roman" w:hAnsi="Times New Roman" w:cs="Times New Roman"/>
                <w:color w:val="000000"/>
                <w:szCs w:val="21"/>
                <w:shd w:val="clear" w:color="auto" w:fill="FFFFFF"/>
              </w:rPr>
              <w:t>(6)</w:t>
            </w:r>
          </w:p>
        </w:tc>
      </w:tr>
      <w:tr w14:paraId="4DB73FA6">
        <w:tblPrEx>
          <w:tblCellMar>
            <w:top w:w="0" w:type="dxa"/>
            <w:left w:w="108" w:type="dxa"/>
            <w:bottom w:w="0" w:type="dxa"/>
            <w:right w:w="108" w:type="dxa"/>
          </w:tblCellMar>
        </w:tblPrEx>
        <w:tc>
          <w:tcPr>
            <w:tcW w:w="292" w:type="pct"/>
            <w:shd w:val="clear" w:color="auto" w:fill="auto"/>
            <w:vAlign w:val="center"/>
          </w:tcPr>
          <w:p w14:paraId="059F638B">
            <w:pPr>
              <w:adjustRightInd w:val="0"/>
              <w:snapToGrid w:val="0"/>
              <w:jc w:val="center"/>
              <w:rPr>
                <w:rFonts w:ascii="Times New Roman" w:hAnsi="Times New Roman" w:cs="Times New Roman"/>
                <w:color w:val="000000"/>
                <w:szCs w:val="21"/>
                <w:shd w:val="clear" w:color="auto" w:fill="FFFFFF"/>
              </w:rPr>
            </w:pPr>
          </w:p>
        </w:tc>
        <w:tc>
          <w:tcPr>
            <w:tcW w:w="4185" w:type="pct"/>
            <w:shd w:val="clear" w:color="auto" w:fill="auto"/>
            <w:vAlign w:val="center"/>
          </w:tcPr>
          <w:p w14:paraId="4EBA6E56">
            <w:pPr>
              <w:adjustRightInd w:val="0"/>
              <w:snapToGrid w:val="0"/>
              <w:jc w:val="center"/>
              <w:rPr>
                <w:rFonts w:ascii="Times New Roman" w:hAnsi="Times New Roman" w:cs="Times New Roman"/>
                <w:color w:val="000000"/>
                <w:szCs w:val="21"/>
                <w:shd w:val="clear" w:color="auto" w:fill="FFFFFF"/>
              </w:rPr>
            </w:pPr>
            <w:r>
              <w:rPr>
                <w:color w:val="000000"/>
                <w:position w:val="-28"/>
                <w:shd w:val="clear" w:color="auto" w:fill="FFFFFF"/>
              </w:rPr>
              <w:object>
                <v:shape id="_x0000_i1059" o:spt="75" type="#_x0000_t75" style="height:34.1pt;width:245.35pt;" o:ole="t" filled="f" o:preferrelative="t" stroked="f" coordsize="21600,21600">
                  <v:path/>
                  <v:fill on="f" focussize="0,0"/>
                  <v:stroke on="f" joinstyle="miter"/>
                  <v:imagedata r:id="rId79" o:title=""/>
                  <o:lock v:ext="edit" aspectratio="t"/>
                  <w10:wrap type="none"/>
                  <w10:anchorlock/>
                </v:shape>
                <o:OLEObject Type="Embed" ProgID="Equation.DSMT4" ShapeID="_x0000_i1059" DrawAspect="Content" ObjectID="_1468075759" r:id="rId78">
                  <o:LockedField>false</o:LockedField>
                </o:OLEObject>
              </w:object>
            </w:r>
          </w:p>
        </w:tc>
        <w:tc>
          <w:tcPr>
            <w:tcW w:w="523" w:type="pct"/>
            <w:shd w:val="clear" w:color="auto" w:fill="auto"/>
            <w:vAlign w:val="center"/>
          </w:tcPr>
          <w:p w14:paraId="6127C4D6">
            <w:pPr>
              <w:adjustRightInd w:val="0"/>
              <w:snapToGrid w:val="0"/>
              <w:jc w:val="center"/>
              <w:rPr>
                <w:rFonts w:ascii="Times New Roman" w:hAnsi="Times New Roman" w:cs="Times New Roman"/>
                <w:color w:val="000000"/>
                <w:szCs w:val="21"/>
                <w:shd w:val="clear" w:color="auto" w:fill="FFFFFF"/>
              </w:rPr>
            </w:pPr>
            <w:r>
              <w:rPr>
                <w:rFonts w:hint="eastAsia" w:ascii="Times New Roman" w:hAnsi="Times New Roman" w:cs="Times New Roman"/>
                <w:color w:val="000000"/>
                <w:szCs w:val="21"/>
                <w:shd w:val="clear" w:color="auto" w:fill="FFFFFF"/>
              </w:rPr>
              <w:t>(7)</w:t>
            </w:r>
          </w:p>
        </w:tc>
      </w:tr>
      <w:tr w14:paraId="0A921C47">
        <w:tblPrEx>
          <w:tblCellMar>
            <w:top w:w="0" w:type="dxa"/>
            <w:left w:w="108" w:type="dxa"/>
            <w:bottom w:w="0" w:type="dxa"/>
            <w:right w:w="108" w:type="dxa"/>
          </w:tblCellMar>
        </w:tblPrEx>
        <w:tc>
          <w:tcPr>
            <w:tcW w:w="292" w:type="pct"/>
            <w:shd w:val="clear" w:color="auto" w:fill="auto"/>
            <w:vAlign w:val="center"/>
          </w:tcPr>
          <w:p w14:paraId="0A11B174">
            <w:pPr>
              <w:adjustRightInd w:val="0"/>
              <w:snapToGrid w:val="0"/>
              <w:jc w:val="center"/>
              <w:rPr>
                <w:rFonts w:ascii="Times New Roman" w:hAnsi="Times New Roman" w:cs="Times New Roman"/>
                <w:color w:val="000000"/>
                <w:szCs w:val="21"/>
                <w:shd w:val="clear" w:color="auto" w:fill="FFFFFF"/>
              </w:rPr>
            </w:pPr>
          </w:p>
        </w:tc>
        <w:tc>
          <w:tcPr>
            <w:tcW w:w="4185" w:type="pct"/>
            <w:shd w:val="clear" w:color="auto" w:fill="auto"/>
            <w:vAlign w:val="center"/>
          </w:tcPr>
          <w:p w14:paraId="63D16310">
            <w:pPr>
              <w:adjustRightInd w:val="0"/>
              <w:snapToGrid w:val="0"/>
              <w:jc w:val="center"/>
              <w:rPr>
                <w:rFonts w:ascii="Times New Roman" w:hAnsi="Times New Roman" w:cs="Times New Roman"/>
                <w:color w:val="000000"/>
                <w:szCs w:val="21"/>
                <w:shd w:val="clear" w:color="auto" w:fill="FFFFFF"/>
              </w:rPr>
            </w:pPr>
            <w:r>
              <w:rPr>
                <w:color w:val="000000"/>
                <w:position w:val="-28"/>
                <w:shd w:val="clear" w:color="auto" w:fill="FFFFFF"/>
              </w:rPr>
              <w:object>
                <v:shape id="_x0000_i1060" o:spt="75" type="#_x0000_t75" style="height:34.1pt;width:161.05pt;" o:ole="t" filled="f" o:preferrelative="t" stroked="f" coordsize="21600,21600">
                  <v:path/>
                  <v:fill on="f" focussize="0,0"/>
                  <v:stroke on="f" joinstyle="miter"/>
                  <v:imagedata r:id="rId81" o:title=""/>
                  <o:lock v:ext="edit" aspectratio="t"/>
                  <w10:wrap type="none"/>
                  <w10:anchorlock/>
                </v:shape>
                <o:OLEObject Type="Embed" ProgID="Equation.DSMT4" ShapeID="_x0000_i1060" DrawAspect="Content" ObjectID="_1468075760" r:id="rId80">
                  <o:LockedField>false</o:LockedField>
                </o:OLEObject>
              </w:object>
            </w:r>
          </w:p>
        </w:tc>
        <w:tc>
          <w:tcPr>
            <w:tcW w:w="523" w:type="pct"/>
            <w:shd w:val="clear" w:color="auto" w:fill="auto"/>
            <w:vAlign w:val="center"/>
          </w:tcPr>
          <w:p w14:paraId="72D2584B">
            <w:pPr>
              <w:adjustRightInd w:val="0"/>
              <w:snapToGrid w:val="0"/>
              <w:jc w:val="center"/>
              <w:rPr>
                <w:rFonts w:ascii="Times New Roman" w:hAnsi="Times New Roman" w:cs="Times New Roman"/>
                <w:color w:val="000000"/>
                <w:szCs w:val="21"/>
                <w:shd w:val="clear" w:color="auto" w:fill="FFFFFF"/>
              </w:rPr>
            </w:pPr>
            <w:r>
              <w:rPr>
                <w:rFonts w:hint="eastAsia" w:ascii="Times New Roman" w:hAnsi="Times New Roman" w:cs="Times New Roman"/>
                <w:color w:val="000000"/>
                <w:szCs w:val="21"/>
                <w:shd w:val="clear" w:color="auto" w:fill="FFFFFF"/>
              </w:rPr>
              <w:t>(8)</w:t>
            </w:r>
          </w:p>
        </w:tc>
      </w:tr>
      <w:bookmarkEnd w:id="4"/>
    </w:tbl>
    <w:p w14:paraId="49AAA6D5">
      <w:pPr>
        <w:rPr>
          <w:color w:val="000000"/>
          <w:shd w:val="clear" w:color="auto" w:fill="FFFFFF"/>
        </w:rPr>
      </w:pPr>
      <w:r>
        <w:rPr>
          <w:rFonts w:hint="eastAsia" w:ascii="Times New Roman" w:hAnsi="Times New Roman"/>
          <w:color w:val="000000"/>
          <w:szCs w:val="21"/>
          <w:shd w:val="clear" w:color="auto" w:fill="FFFFFF"/>
        </w:rPr>
        <w:t>式中，</w:t>
      </w:r>
      <w:r>
        <w:rPr>
          <w:color w:val="000000"/>
          <w:position w:val="-12"/>
          <w:shd w:val="clear" w:color="auto" w:fill="FFFFFF"/>
        </w:rPr>
        <w:object>
          <v:shape id="_x0000_i1061" o:spt="75" type="#_x0000_t75" style="height:17.05pt;width:12.8pt;" o:ole="t" filled="f" o:preferrelative="t" stroked="f" coordsize="21600,21600">
            <v:path/>
            <v:fill on="f" focussize="0,0"/>
            <v:stroke on="f" joinstyle="miter"/>
            <v:imagedata r:id="rId65" o:title=""/>
            <o:lock v:ext="edit" aspectratio="t"/>
            <w10:wrap type="none"/>
            <w10:anchorlock/>
          </v:shape>
          <o:OLEObject Type="Embed" ProgID="Equation.DSMT4" ShapeID="_x0000_i1061" DrawAspect="Content" ObjectID="_1468075761" r:id="rId82">
            <o:LockedField>false</o:LockedField>
          </o:OLEObject>
        </w:object>
      </w:r>
      <w:r>
        <w:rPr>
          <w:rFonts w:hint="eastAsia"/>
          <w:color w:val="000000"/>
          <w:shd w:val="clear" w:color="auto" w:fill="FFFFFF"/>
        </w:rPr>
        <w:t>为</w:t>
      </w:r>
      <w:r>
        <w:rPr>
          <w:color w:val="000000"/>
          <w:shd w:val="clear" w:color="auto" w:fill="FFFFFF"/>
        </w:rPr>
        <w:t>离散速度方向的权重系数</w:t>
      </w:r>
      <w:r>
        <w:rPr>
          <w:rFonts w:hint="eastAsia"/>
          <w:color w:val="000000"/>
          <w:shd w:val="clear" w:color="auto" w:fill="FFFFFF"/>
        </w:rPr>
        <w:t>；</w:t>
      </w:r>
      <w:r>
        <w:rPr>
          <w:color w:val="000000"/>
          <w:position w:val="-10"/>
          <w:shd w:val="clear" w:color="auto" w:fill="FFFFFF"/>
        </w:rPr>
        <w:object>
          <v:shape id="_x0000_i1062" o:spt="75" type="#_x0000_t75" style="height:12.8pt;width:12.8pt;" o:ole="t" filled="f" o:preferrelative="t" stroked="f" coordsize="21600,21600">
            <v:path/>
            <v:fill on="f" focussize="0,0"/>
            <v:stroke on="f" joinstyle="miter"/>
            <v:imagedata r:id="rId84" o:title=""/>
            <o:lock v:ext="edit" aspectratio="t"/>
            <w10:wrap type="none"/>
            <w10:anchorlock/>
          </v:shape>
          <o:OLEObject Type="Embed" ProgID="Equation.DSMT4" ShapeID="_x0000_i1062" DrawAspect="Content" ObjectID="_1468075762" r:id="rId83">
            <o:LockedField>false</o:LockedField>
          </o:OLEObject>
        </w:object>
      </w:r>
      <w:r>
        <w:rPr>
          <w:rFonts w:hint="eastAsia"/>
          <w:color w:val="000000"/>
          <w:shd w:val="clear" w:color="auto" w:fill="FFFFFF"/>
        </w:rPr>
        <w:t>为宏观流体密度；</w:t>
      </w:r>
      <w:r>
        <w:rPr>
          <w:color w:val="000000"/>
          <w:position w:val="-12"/>
          <w:shd w:val="clear" w:color="auto" w:fill="FFFFFF"/>
        </w:rPr>
        <w:object>
          <v:shape id="_x0000_i1063" o:spt="75" type="#_x0000_t75" style="height:17.05pt;width:12.8pt;" o:ole="t" filled="f" o:preferrelative="t" stroked="f" coordsize="21600,21600">
            <v:path/>
            <v:fill on="f" focussize="0,0"/>
            <v:stroke on="f" joinstyle="miter"/>
            <v:imagedata r:id="rId86" o:title=""/>
            <o:lock v:ext="edit" aspectratio="t"/>
            <w10:wrap type="none"/>
            <w10:anchorlock/>
          </v:shape>
          <o:OLEObject Type="Embed" ProgID="Equation.DSMT4" ShapeID="_x0000_i1063" DrawAspect="Content" ObjectID="_1468075763" r:id="rId85">
            <o:LockedField>false</o:LockedField>
          </o:OLEObject>
        </w:object>
      </w:r>
      <w:r>
        <w:rPr>
          <w:rFonts w:hint="eastAsia"/>
          <w:color w:val="000000"/>
          <w:shd w:val="clear" w:color="auto" w:fill="FFFFFF"/>
        </w:rPr>
        <w:t>为格子声速一般取</w:t>
      </w:r>
      <w:r>
        <w:rPr>
          <w:color w:val="000000"/>
          <w:position w:val="-12"/>
          <w:shd w:val="clear" w:color="auto" w:fill="FFFFFF"/>
        </w:rPr>
        <w:object>
          <v:shape id="_x0000_i1064" o:spt="75" type="#_x0000_t75" style="height:17.05pt;width:12.8pt;" o:ole="t" filled="f" o:preferrelative="t" stroked="f" coordsize="21600,21600">
            <v:path/>
            <v:fill on="f" focussize="0,0"/>
            <v:stroke on="f" joinstyle="miter"/>
            <v:imagedata r:id="rId88" o:title=""/>
            <o:lock v:ext="edit" aspectratio="t"/>
            <w10:wrap type="none"/>
            <w10:anchorlock/>
          </v:shape>
          <o:OLEObject Type="Embed" ProgID="Equation.DSMT4" ShapeID="_x0000_i1064" DrawAspect="Content" ObjectID="_1468075764" r:id="rId87">
            <o:LockedField>false</o:LockedField>
          </o:OLEObject>
        </w:object>
      </w:r>
      <w:r>
        <w:rPr>
          <w:rFonts w:hint="eastAsia"/>
          <w:color w:val="000000"/>
          <w:shd w:val="clear" w:color="auto" w:fill="FFFFFF"/>
        </w:rPr>
        <w:t>为1/3；</w:t>
      </w:r>
      <w:r>
        <w:rPr>
          <w:color w:val="000000"/>
          <w:position w:val="-12"/>
          <w:shd w:val="clear" w:color="auto" w:fill="FFFFFF"/>
        </w:rPr>
        <w:object>
          <v:shape id="_x0000_i1065" o:spt="75" type="#_x0000_t75" style="height:17.05pt;width:12.8pt;" o:ole="t" filled="f" o:preferrelative="t" stroked="f" coordsize="21600,21600">
            <v:path/>
            <v:fill on="f" focussize="0,0"/>
            <v:stroke on="f" joinstyle="miter"/>
            <v:imagedata r:id="rId90" o:title=""/>
            <o:lock v:ext="edit" aspectratio="t"/>
            <w10:wrap type="none"/>
            <w10:anchorlock/>
          </v:shape>
          <o:OLEObject Type="Embed" ProgID="Equation.DSMT4" ShapeID="_x0000_i1065" DrawAspect="Content" ObjectID="_1468075765" r:id="rId89">
            <o:LockedField>false</o:LockedField>
          </o:OLEObject>
        </w:object>
      </w:r>
      <w:r>
        <w:rPr>
          <w:rFonts w:hint="eastAsia"/>
          <w:color w:val="000000"/>
          <w:shd w:val="clear" w:color="auto" w:fill="FFFFFF"/>
        </w:rPr>
        <w:t xml:space="preserve">为第 </w:t>
      </w:r>
      <m:oMath>
        <m:r>
          <m:rPr/>
          <w:rPr>
            <w:rFonts w:hint="eastAsia" w:ascii="Cambria Math" w:hAnsi="Cambria Math"/>
            <w:color w:val="000000"/>
            <w:shd w:val="clear" w:color="auto" w:fill="FFFFFF"/>
          </w:rPr>
          <m:t>i</m:t>
        </m:r>
      </m:oMath>
      <w:r>
        <w:rPr>
          <w:rFonts w:hint="eastAsia"/>
          <w:color w:val="000000"/>
          <w:shd w:val="clear" w:color="auto" w:fill="FFFFFF"/>
        </w:rPr>
        <w:t xml:space="preserve"> 个离散速度方向的速度矢量；</w:t>
      </w:r>
      <w:r>
        <w:rPr>
          <w:color w:val="000000"/>
          <w:position w:val="-6"/>
          <w:szCs w:val="21"/>
          <w:shd w:val="clear" w:color="auto" w:fill="FFFFFF"/>
        </w:rPr>
        <w:object>
          <v:shape id="_x0000_i1066" o:spt="75" type="#_x0000_t75" style="height:11.35pt;width:11.35pt;" o:ole="t" filled="f" o:preferrelative="t" stroked="f" coordsize="21600,21600">
            <v:path/>
            <v:fill on="f" focussize="0,0"/>
            <v:stroke on="f" joinstyle="miter"/>
            <v:imagedata r:id="rId92" o:title=""/>
            <o:lock v:ext="edit" aspectratio="t"/>
            <w10:wrap type="none"/>
            <w10:anchorlock/>
          </v:shape>
          <o:OLEObject Type="Embed" ProgID="Equation.DSMT4" ShapeID="_x0000_i1066" DrawAspect="Content" ObjectID="_1468075766" r:id="rId91">
            <o:LockedField>false</o:LockedField>
          </o:OLEObject>
        </w:object>
      </w:r>
      <w:r>
        <w:rPr>
          <w:rFonts w:hint="eastAsia"/>
          <w:color w:val="000000"/>
          <w:shd w:val="clear" w:color="auto" w:fill="FFFFFF"/>
        </w:rPr>
        <w:t>为</w:t>
      </w:r>
      <w:r>
        <w:rPr>
          <w:color w:val="000000"/>
          <w:shd w:val="clear" w:color="auto" w:fill="FFFFFF"/>
        </w:rPr>
        <w:t>宏观流体速度矢量</w:t>
      </w:r>
      <w:r>
        <w:rPr>
          <w:rFonts w:hint="eastAsia"/>
          <w:color w:val="000000"/>
          <w:shd w:val="clear" w:color="auto" w:fill="FFFFFF"/>
        </w:rPr>
        <w:t>；</w:t>
      </w:r>
      <w:r>
        <w:rPr>
          <w:color w:val="000000"/>
          <w:position w:val="-4"/>
          <w:shd w:val="clear" w:color="auto" w:fill="FFFFFF"/>
        </w:rPr>
        <w:object>
          <v:shape id="_x0000_i1067" o:spt="75" type="#_x0000_t75" style="height:12.8pt;width:12.8pt;" o:ole="t" filled="f" o:preferrelative="t" stroked="f" coordsize="21600,21600">
            <v:path/>
            <v:fill on="f" focussize="0,0"/>
            <v:stroke on="f" joinstyle="miter"/>
            <v:imagedata r:id="rId94" o:title=""/>
            <o:lock v:ext="edit" aspectratio="t"/>
            <w10:wrap type="none"/>
            <w10:anchorlock/>
          </v:shape>
          <o:OLEObject Type="Embed" ProgID="Equation.DSMT4" ShapeID="_x0000_i1067" DrawAspect="Content" ObjectID="_1468075767" r:id="rId93">
            <o:LockedField>false</o:LockedField>
          </o:OLEObject>
        </w:object>
      </w:r>
      <w:r>
        <w:rPr>
          <w:rFonts w:hint="eastAsia"/>
          <w:color w:val="000000"/>
          <w:shd w:val="clear" w:color="auto" w:fill="FFFFFF"/>
        </w:rPr>
        <w:t>为能量系数。</w:t>
      </w:r>
    </w:p>
    <w:p w14:paraId="225379FB">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相应宏观量的统计计算为</w:t>
      </w:r>
      <w:r>
        <w:rPr>
          <w:color w:val="000000"/>
          <w:position w:val="-12"/>
          <w:shd w:val="clear" w:color="auto" w:fill="FFFFFF"/>
        </w:rPr>
        <w:object>
          <v:shape id="_x0000_i1068" o:spt="75" type="#_x0000_t75" style="height:16.6pt;width:42.65pt;" o:ole="t" filled="f" o:preferrelative="t" stroked="f" coordsize="21600,21600">
            <v:path/>
            <v:fill on="f" focussize="0,0"/>
            <v:stroke on="f" joinstyle="miter"/>
            <v:imagedata r:id="rId96" o:title=""/>
            <o:lock v:ext="edit" aspectratio="t"/>
            <w10:wrap type="none"/>
            <w10:anchorlock/>
          </v:shape>
          <o:OLEObject Type="Embed" ProgID="Equation.DSMT4" ShapeID="_x0000_i1068" DrawAspect="Content" ObjectID="_1468075768" r:id="rId95">
            <o:LockedField>false</o:LockedField>
          </o:OLEObject>
        </w:object>
      </w:r>
      <w:r>
        <w:rPr>
          <w:rFonts w:hint="eastAsia" w:ascii="Times New Roman" w:hAnsi="Times New Roman"/>
          <w:color w:val="000000"/>
          <w:szCs w:val="21"/>
          <w:shd w:val="clear" w:color="auto" w:fill="FFFFFF"/>
        </w:rPr>
        <w:t>,</w:t>
      </w:r>
      <w:r>
        <w:rPr>
          <w:color w:val="000000"/>
          <w:position w:val="-12"/>
          <w:shd w:val="clear" w:color="auto" w:fill="FFFFFF"/>
        </w:rPr>
        <w:object>
          <v:shape id="_x0000_i1069" o:spt="75" type="#_x0000_t75" style="height:18pt;width:105.15pt;" o:ole="t" filled="f" o:preferrelative="t" stroked="f" coordsize="21600,21600">
            <v:path/>
            <v:fill on="f" focussize="0,0"/>
            <v:stroke on="f" joinstyle="miter"/>
            <v:imagedata r:id="rId98" o:title=""/>
            <o:lock v:ext="edit" aspectratio="t"/>
            <w10:wrap type="none"/>
            <w10:anchorlock/>
          </v:shape>
          <o:OLEObject Type="Embed" ProgID="Equation.DSMT4" ShapeID="_x0000_i1069" DrawAspect="Content" ObjectID="_1468075769" r:id="rId97">
            <o:LockedField>false</o:LockedField>
          </o:OLEObject>
        </w:object>
      </w:r>
      <w:r>
        <w:rPr>
          <w:rFonts w:hint="eastAsia"/>
          <w:color w:val="000000"/>
          <w:shd w:val="clear" w:color="auto" w:fill="FFFFFF"/>
        </w:rPr>
        <w:t>，</w:t>
      </w:r>
      <w:r>
        <w:rPr>
          <w:color w:val="000000"/>
          <w:position w:val="-12"/>
          <w:shd w:val="clear" w:color="auto" w:fill="FFFFFF"/>
        </w:rPr>
        <w:object>
          <v:shape id="_x0000_i1070" o:spt="75" type="#_x0000_t75" style="height:19.9pt;width:123.15pt;" o:ole="t" filled="f" o:preferrelative="t" stroked="f" coordsize="21600,21600">
            <v:path/>
            <v:fill on="f" focussize="0,0"/>
            <v:stroke on="f" joinstyle="miter"/>
            <v:imagedata r:id="rId100" o:title=""/>
            <o:lock v:ext="edit" aspectratio="t"/>
            <w10:wrap type="none"/>
            <w10:anchorlock/>
          </v:shape>
          <o:OLEObject Type="Embed" ProgID="Equation.DSMT4" ShapeID="_x0000_i1070" DrawAspect="Content" ObjectID="_1468075770" r:id="rId99">
            <o:LockedField>false</o:LockedField>
          </o:OLEObject>
        </w:object>
      </w:r>
      <w:r>
        <w:rPr>
          <w:rFonts w:hint="eastAsia" w:ascii="Times New Roman" w:hAnsi="Times New Roman"/>
          <w:color w:val="000000"/>
          <w:szCs w:val="21"/>
          <w:shd w:val="clear" w:color="auto" w:fill="FFFFFF"/>
        </w:rPr>
        <w:t>，</w:t>
      </w:r>
      <w:r>
        <w:rPr>
          <w:color w:val="000000"/>
          <w:position w:val="-12"/>
          <w:shd w:val="clear" w:color="auto" w:fill="FFFFFF"/>
        </w:rPr>
        <w:object>
          <v:shape id="_x0000_i1071" o:spt="75" type="#_x0000_t75" style="height:18.95pt;width:46.4pt;" o:ole="t" filled="f" o:preferrelative="t" stroked="f" coordsize="21600,21600">
            <v:path/>
            <v:fill on="f" focussize="0,0"/>
            <v:stroke on="f" joinstyle="miter"/>
            <v:imagedata r:id="rId102" o:title=""/>
            <o:lock v:ext="edit" aspectratio="t"/>
            <w10:wrap type="none"/>
            <w10:anchorlock/>
          </v:shape>
          <o:OLEObject Type="Embed" ProgID="Equation.DSMT4" ShapeID="_x0000_i1071" DrawAspect="Content" ObjectID="_1468075771" r:id="rId101">
            <o:LockedField>false</o:LockedField>
          </o:OLEObject>
        </w:object>
      </w:r>
      <w:r>
        <w:rPr>
          <w:rFonts w:hint="eastAsia" w:ascii="Times New Roman" w:hAnsi="Times New Roman"/>
          <w:color w:val="000000"/>
          <w:szCs w:val="21"/>
          <w:shd w:val="clear" w:color="auto" w:fill="FFFFFF"/>
        </w:rPr>
        <w:t>。若在模拟中需要考虑多组分的污染质时，直接将公式(8)进行多方程组扩展即可。</w:t>
      </w:r>
      <w:r>
        <w:rPr>
          <w:rFonts w:ascii="Times New Roman" w:hAnsi="Times New Roman"/>
          <w:color w:val="000000"/>
          <w:szCs w:val="21"/>
          <w:shd w:val="clear" w:color="auto" w:fill="FFFFFF"/>
        </w:rPr>
        <w:t>需说明的是，本文模型通过对流–扩散方程模拟污染质输运，适用于随流扩散的溶解性污染质，不涉及泥沙沉降与颗粒动力学过程。本文主要关注山区河库短时尺度下的水动力–热–质相互作用，污染质输运特征以流场控制为主，对扩散系数变化的敏感性较弱。为保证模型结构简洁与计算稳定，本文暂采用常数扩散系数近似处理。</w:t>
      </w:r>
      <w:r>
        <w:rPr>
          <w:rFonts w:hint="eastAsia" w:ascii="Times New Roman" w:hAnsi="Times New Roman"/>
          <w:color w:val="000000"/>
          <w:szCs w:val="21"/>
          <w:shd w:val="clear" w:color="auto" w:fill="FFFFFF"/>
        </w:rPr>
        <w:t>全文所使用的主要符号及参数定义</w:t>
      </w:r>
      <w:r>
        <w:rPr>
          <w:rFonts w:hint="eastAsia" w:ascii="Times New Roman" w:hAnsi="Times New Roman"/>
          <w:color w:val="000000"/>
          <w:szCs w:val="21"/>
          <w:shd w:val="clear" w:color="auto" w:fill="FFFFFF"/>
          <w:lang w:eastAsia="zh-CN"/>
        </w:rPr>
        <w:t>如</w:t>
      </w:r>
      <w:r>
        <w:rPr>
          <w:rFonts w:hint="eastAsia" w:ascii="Times New Roman" w:hAnsi="Times New Roman"/>
          <w:color w:val="000000"/>
          <w:szCs w:val="21"/>
          <w:shd w:val="clear" w:color="auto" w:fill="FFFFFF"/>
        </w:rPr>
        <w:t>表1</w:t>
      </w:r>
      <w:r>
        <w:rPr>
          <w:rFonts w:hint="eastAsia" w:ascii="Times New Roman" w:hAnsi="Times New Roman"/>
          <w:color w:val="000000"/>
          <w:szCs w:val="21"/>
          <w:shd w:val="clear" w:color="auto" w:fill="FFFFFF"/>
          <w:lang w:eastAsia="zh-CN"/>
        </w:rPr>
        <w:t>所列</w:t>
      </w:r>
      <w:r>
        <w:rPr>
          <w:rFonts w:hint="eastAsia" w:ascii="Times New Roman" w:hAnsi="Times New Roman"/>
          <w:color w:val="000000"/>
          <w:szCs w:val="21"/>
          <w:shd w:val="clear" w:color="auto" w:fill="FFFFFF"/>
        </w:rPr>
        <w:t>。</w:t>
      </w:r>
    </w:p>
    <w:p w14:paraId="2A4B7767">
      <w:pPr>
        <w:jc w:val="center"/>
        <w:rPr>
          <w:rFonts w:ascii="Times New Roman" w:hAnsi="Times New Roman" w:eastAsia="黑体" w:cs="Times New Roman"/>
          <w:bCs/>
          <w:color w:val="000000"/>
          <w:sz w:val="18"/>
          <w:szCs w:val="18"/>
          <w:shd w:val="clear" w:color="auto" w:fill="FFFFFF"/>
        </w:rPr>
      </w:pPr>
      <w:r>
        <w:rPr>
          <w:rFonts w:hint="eastAsia" w:ascii="Times New Roman" w:hAnsi="Times New Roman" w:eastAsia="黑体" w:cs="Times New Roman"/>
          <w:bCs/>
          <w:color w:val="000000"/>
          <w:sz w:val="18"/>
          <w:szCs w:val="18"/>
          <w:shd w:val="clear" w:color="auto" w:fill="FFFFFF"/>
        </w:rPr>
        <w:t>表1 主要符号与参数定义</w:t>
      </w:r>
    </w:p>
    <w:p w14:paraId="69DC9075">
      <w:pPr>
        <w:jc w:val="center"/>
        <w:rPr>
          <w:rFonts w:ascii="Times New Roman" w:hAnsi="Times New Roman" w:eastAsia="黑体" w:cs="Times New Roman"/>
          <w:bCs/>
          <w:color w:val="000000"/>
          <w:sz w:val="18"/>
          <w:szCs w:val="18"/>
          <w:shd w:val="clear" w:color="auto" w:fill="FFFFFF"/>
        </w:rPr>
      </w:pPr>
      <w:r>
        <w:rPr>
          <w:rFonts w:ascii="Times New Roman" w:hAnsi="Times New Roman" w:eastAsia="黑体" w:cs="Times New Roman"/>
          <w:bCs/>
          <w:color w:val="000000"/>
          <w:sz w:val="18"/>
          <w:szCs w:val="18"/>
          <w:shd w:val="clear" w:color="auto" w:fill="FFFFFF"/>
        </w:rPr>
        <w:t>Table 1 Main symbols and parameter definitions</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0"/>
        <w:gridCol w:w="3030"/>
        <w:gridCol w:w="2842"/>
      </w:tblGrid>
      <w:tr w14:paraId="39AB1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66C6EED">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符号</w:t>
            </w:r>
          </w:p>
        </w:tc>
        <w:tc>
          <w:tcPr>
            <w:tcW w:w="3071" w:type="dxa"/>
            <w:vAlign w:val="center"/>
          </w:tcPr>
          <w:p w14:paraId="18E86C4B">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含义</w:t>
            </w:r>
          </w:p>
        </w:tc>
        <w:tc>
          <w:tcPr>
            <w:tcW w:w="2880" w:type="dxa"/>
            <w:vAlign w:val="center"/>
          </w:tcPr>
          <w:p w14:paraId="278F25D5">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单位</w:t>
            </w:r>
          </w:p>
        </w:tc>
      </w:tr>
      <w:tr w14:paraId="7BBE2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2FC312F">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ρ</w:t>
            </w:r>
          </w:p>
        </w:tc>
        <w:tc>
          <w:tcPr>
            <w:tcW w:w="3071" w:type="dxa"/>
            <w:vAlign w:val="center"/>
          </w:tcPr>
          <w:p w14:paraId="4FF7D08F">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流体密度</w:t>
            </w:r>
          </w:p>
        </w:tc>
        <w:tc>
          <w:tcPr>
            <w:tcW w:w="2880" w:type="dxa"/>
            <w:vAlign w:val="center"/>
          </w:tcPr>
          <w:p w14:paraId="7108DAC8">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kg·m⁻³</w:t>
            </w:r>
          </w:p>
        </w:tc>
      </w:tr>
      <w:tr w14:paraId="3B299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9CCA840">
            <w:pPr>
              <w:jc w:val="center"/>
              <w:rPr>
                <w:rFonts w:ascii="Times New Roman" w:hAnsi="Times New Roman" w:cs="Times New Roman"/>
                <w:i/>
                <w:iCs/>
                <w:color w:val="000000"/>
                <w:sz w:val="15"/>
                <w:szCs w:val="15"/>
                <w:shd w:val="clear" w:color="auto" w:fill="FFFFFF"/>
                <w:vertAlign w:val="subscript"/>
              </w:rPr>
            </w:pPr>
            <w:r>
              <w:rPr>
                <w:rFonts w:ascii="Times New Roman" w:hAnsi="Times New Roman" w:cs="Times New Roman"/>
                <w:i/>
                <w:iCs/>
                <w:color w:val="000000"/>
                <w:sz w:val="15"/>
                <w:szCs w:val="15"/>
                <w:shd w:val="clear" w:color="auto" w:fill="FFFFFF"/>
              </w:rPr>
              <w:t>ρ</w:t>
            </w:r>
            <w:r>
              <w:rPr>
                <w:rFonts w:hint="eastAsia" w:ascii="Times New Roman" w:hAnsi="Times New Roman" w:cs="Times New Roman"/>
                <w:i/>
                <w:iCs/>
                <w:color w:val="000000"/>
                <w:sz w:val="15"/>
                <w:szCs w:val="15"/>
                <w:shd w:val="clear" w:color="auto" w:fill="FFFFFF"/>
                <w:vertAlign w:val="subscript"/>
              </w:rPr>
              <w:t>0</w:t>
            </w:r>
          </w:p>
        </w:tc>
        <w:tc>
          <w:tcPr>
            <w:tcW w:w="3071" w:type="dxa"/>
            <w:vAlign w:val="center"/>
          </w:tcPr>
          <w:p w14:paraId="4B5F8A79">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参考密度（常温常浓度下）</w:t>
            </w:r>
          </w:p>
        </w:tc>
        <w:tc>
          <w:tcPr>
            <w:tcW w:w="2880" w:type="dxa"/>
            <w:vAlign w:val="center"/>
          </w:tcPr>
          <w:p w14:paraId="2B501B06">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kg·m⁻³</w:t>
            </w:r>
          </w:p>
        </w:tc>
      </w:tr>
      <w:tr w14:paraId="6249A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4C24017">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T</w:t>
            </w:r>
          </w:p>
        </w:tc>
        <w:tc>
          <w:tcPr>
            <w:tcW w:w="3071" w:type="dxa"/>
            <w:vAlign w:val="center"/>
          </w:tcPr>
          <w:p w14:paraId="6B21991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温度</w:t>
            </w:r>
          </w:p>
        </w:tc>
        <w:tc>
          <w:tcPr>
            <w:tcW w:w="2880" w:type="dxa"/>
            <w:vAlign w:val="center"/>
          </w:tcPr>
          <w:p w14:paraId="02FA9599">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w:t>
            </w:r>
          </w:p>
        </w:tc>
      </w:tr>
      <w:tr w14:paraId="0FA01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FDDAB32">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T₀</w:t>
            </w:r>
          </w:p>
        </w:tc>
        <w:tc>
          <w:tcPr>
            <w:tcW w:w="3071" w:type="dxa"/>
            <w:vAlign w:val="center"/>
          </w:tcPr>
          <w:p w14:paraId="35FD7FC5">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参考温度</w:t>
            </w:r>
          </w:p>
        </w:tc>
        <w:tc>
          <w:tcPr>
            <w:tcW w:w="2880" w:type="dxa"/>
            <w:vAlign w:val="center"/>
          </w:tcPr>
          <w:p w14:paraId="591B83E7">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w:t>
            </w:r>
          </w:p>
        </w:tc>
      </w:tr>
      <w:tr w14:paraId="42454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CCCFE59">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C</w:t>
            </w:r>
          </w:p>
        </w:tc>
        <w:tc>
          <w:tcPr>
            <w:tcW w:w="3071" w:type="dxa"/>
            <w:vAlign w:val="center"/>
          </w:tcPr>
          <w:p w14:paraId="2F464BB0">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污染质浓度</w:t>
            </w:r>
          </w:p>
        </w:tc>
        <w:tc>
          <w:tcPr>
            <w:tcW w:w="2880" w:type="dxa"/>
            <w:vAlign w:val="center"/>
          </w:tcPr>
          <w:p w14:paraId="36D270FC">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kg·m⁻³</w:t>
            </w:r>
          </w:p>
        </w:tc>
      </w:tr>
      <w:tr w14:paraId="639EB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71E477D">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C₀</w:t>
            </w:r>
          </w:p>
        </w:tc>
        <w:tc>
          <w:tcPr>
            <w:tcW w:w="3071" w:type="dxa"/>
            <w:vAlign w:val="center"/>
          </w:tcPr>
          <w:p w14:paraId="5FA97A66">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参考浓度</w:t>
            </w:r>
          </w:p>
        </w:tc>
        <w:tc>
          <w:tcPr>
            <w:tcW w:w="2880" w:type="dxa"/>
            <w:vAlign w:val="center"/>
          </w:tcPr>
          <w:p w14:paraId="03C97BCB">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kg·m⁻³</w:t>
            </w:r>
          </w:p>
        </w:tc>
      </w:tr>
      <w:tr w14:paraId="6E1B6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B77739D">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ν</w:t>
            </w:r>
          </w:p>
        </w:tc>
        <w:tc>
          <w:tcPr>
            <w:tcW w:w="3071" w:type="dxa"/>
            <w:vAlign w:val="center"/>
          </w:tcPr>
          <w:p w14:paraId="109B3EBB">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动力黏度系数</w:t>
            </w:r>
          </w:p>
        </w:tc>
        <w:tc>
          <w:tcPr>
            <w:tcW w:w="2880" w:type="dxa"/>
            <w:vAlign w:val="center"/>
          </w:tcPr>
          <w:p w14:paraId="2EC2469B">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m²·s⁻¹</w:t>
            </w:r>
          </w:p>
        </w:tc>
      </w:tr>
      <w:tr w14:paraId="24BF4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BE790D2">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D</w:t>
            </w:r>
          </w:p>
        </w:tc>
        <w:tc>
          <w:tcPr>
            <w:tcW w:w="3071" w:type="dxa"/>
            <w:vAlign w:val="center"/>
          </w:tcPr>
          <w:p w14:paraId="6DAB9430">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污染质扩散系数</w:t>
            </w:r>
          </w:p>
        </w:tc>
        <w:tc>
          <w:tcPr>
            <w:tcW w:w="2880" w:type="dxa"/>
            <w:vAlign w:val="center"/>
          </w:tcPr>
          <w:p w14:paraId="6A60F5B6">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m²·s⁻¹</w:t>
            </w:r>
          </w:p>
        </w:tc>
      </w:tr>
      <w:tr w14:paraId="6F621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8F1E887">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g</w:t>
            </w:r>
          </w:p>
        </w:tc>
        <w:tc>
          <w:tcPr>
            <w:tcW w:w="3071" w:type="dxa"/>
            <w:vAlign w:val="center"/>
          </w:tcPr>
          <w:p w14:paraId="53727801">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重力加速度</w:t>
            </w:r>
          </w:p>
        </w:tc>
        <w:tc>
          <w:tcPr>
            <w:tcW w:w="2880" w:type="dxa"/>
            <w:vAlign w:val="center"/>
          </w:tcPr>
          <w:p w14:paraId="6972ACF5">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m·s⁻²</w:t>
            </w:r>
          </w:p>
        </w:tc>
      </w:tr>
      <w:tr w14:paraId="7EC44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029056B">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β</w:t>
            </w:r>
            <w:r>
              <w:rPr>
                <w:rFonts w:ascii="Times New Roman" w:hAnsi="Times New Roman" w:cs="Times New Roman"/>
                <w:i/>
                <w:iCs/>
                <w:color w:val="000000"/>
                <w:sz w:val="15"/>
                <w:szCs w:val="15"/>
                <w:shd w:val="clear" w:color="auto" w:fill="FFFFFF"/>
                <w:vertAlign w:val="subscript"/>
              </w:rPr>
              <w:t>T</w:t>
            </w:r>
          </w:p>
        </w:tc>
        <w:tc>
          <w:tcPr>
            <w:tcW w:w="3071" w:type="dxa"/>
            <w:vAlign w:val="center"/>
          </w:tcPr>
          <w:p w14:paraId="60C19CEE">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热膨胀系数</w:t>
            </w:r>
          </w:p>
        </w:tc>
        <w:tc>
          <w:tcPr>
            <w:tcW w:w="2880" w:type="dxa"/>
            <w:vAlign w:val="center"/>
          </w:tcPr>
          <w:p w14:paraId="7EAE461A">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K⁻¹</w:t>
            </w:r>
          </w:p>
        </w:tc>
      </w:tr>
      <w:tr w14:paraId="2F3E0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ABEB097">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β</w:t>
            </w:r>
            <w:r>
              <w:rPr>
                <w:rFonts w:ascii="Times New Roman" w:hAnsi="Times New Roman" w:cs="Times New Roman"/>
                <w:i/>
                <w:iCs/>
                <w:color w:val="000000"/>
                <w:sz w:val="15"/>
                <w:szCs w:val="15"/>
                <w:shd w:val="clear" w:color="auto" w:fill="FFFFFF"/>
                <w:vertAlign w:val="subscript"/>
              </w:rPr>
              <w:t>c</w:t>
            </w:r>
          </w:p>
        </w:tc>
        <w:tc>
          <w:tcPr>
            <w:tcW w:w="3071" w:type="dxa"/>
            <w:vAlign w:val="center"/>
          </w:tcPr>
          <w:p w14:paraId="1089600F">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溶质体积膨胀系数</w:t>
            </w:r>
          </w:p>
        </w:tc>
        <w:tc>
          <w:tcPr>
            <w:tcW w:w="2880" w:type="dxa"/>
            <w:vAlign w:val="center"/>
          </w:tcPr>
          <w:p w14:paraId="0136D2B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10234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898E448">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cs</w:t>
            </w:r>
          </w:p>
        </w:tc>
        <w:tc>
          <w:tcPr>
            <w:tcW w:w="3071" w:type="dxa"/>
            <w:vAlign w:val="center"/>
          </w:tcPr>
          <w:p w14:paraId="1C7A9D20">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格子声速（一般取 √(1/3)）</w:t>
            </w:r>
          </w:p>
        </w:tc>
        <w:tc>
          <w:tcPr>
            <w:tcW w:w="2880" w:type="dxa"/>
            <w:vAlign w:val="center"/>
          </w:tcPr>
          <w:p w14:paraId="26EA9358">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28064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51CA6E3">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f</w:t>
            </w:r>
            <w:r>
              <w:rPr>
                <w:rFonts w:ascii="Times New Roman" w:hAnsi="Times New Roman" w:cs="Times New Roman"/>
                <w:i/>
                <w:iCs/>
                <w:color w:val="000000"/>
                <w:sz w:val="15"/>
                <w:szCs w:val="15"/>
                <w:shd w:val="clear" w:color="auto" w:fill="FFFFFF"/>
                <w:vertAlign w:val="subscript"/>
              </w:rPr>
              <w:t>i</w:t>
            </w:r>
            <w:r>
              <w:rPr>
                <w:rFonts w:ascii="Times New Roman" w:hAnsi="Times New Roman" w:cs="Times New Roman"/>
                <w:i/>
                <w:iCs/>
                <w:color w:val="000000"/>
                <w:sz w:val="15"/>
                <w:szCs w:val="15"/>
                <w:shd w:val="clear" w:color="auto" w:fill="FFFFFF"/>
              </w:rPr>
              <w:t>, g</w:t>
            </w:r>
            <w:r>
              <w:rPr>
                <w:rFonts w:ascii="Times New Roman" w:hAnsi="Times New Roman" w:cs="Times New Roman"/>
                <w:i/>
                <w:iCs/>
                <w:color w:val="000000"/>
                <w:sz w:val="15"/>
                <w:szCs w:val="15"/>
                <w:shd w:val="clear" w:color="auto" w:fill="FFFFFF"/>
                <w:vertAlign w:val="subscript"/>
              </w:rPr>
              <w:t>i</w:t>
            </w:r>
            <w:r>
              <w:rPr>
                <w:rFonts w:ascii="Times New Roman" w:hAnsi="Times New Roman" w:cs="Times New Roman"/>
                <w:i/>
                <w:iCs/>
                <w:color w:val="000000"/>
                <w:sz w:val="15"/>
                <w:szCs w:val="15"/>
                <w:shd w:val="clear" w:color="auto" w:fill="FFFFFF"/>
              </w:rPr>
              <w:t>, h</w:t>
            </w:r>
            <w:r>
              <w:rPr>
                <w:rFonts w:ascii="Times New Roman" w:hAnsi="Times New Roman" w:cs="Times New Roman"/>
                <w:i/>
                <w:iCs/>
                <w:color w:val="000000"/>
                <w:sz w:val="15"/>
                <w:szCs w:val="15"/>
                <w:shd w:val="clear" w:color="auto" w:fill="FFFFFF"/>
                <w:vertAlign w:val="subscript"/>
              </w:rPr>
              <w:t>i</w:t>
            </w:r>
          </w:p>
        </w:tc>
        <w:tc>
          <w:tcPr>
            <w:tcW w:w="3071" w:type="dxa"/>
            <w:vAlign w:val="center"/>
          </w:tcPr>
          <w:p w14:paraId="273B3286">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分别为流场、温度场、浓度场的分布函数</w:t>
            </w:r>
          </w:p>
        </w:tc>
        <w:tc>
          <w:tcPr>
            <w:tcW w:w="2880" w:type="dxa"/>
            <w:vAlign w:val="center"/>
          </w:tcPr>
          <w:p w14:paraId="250E1347">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28DA0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2FA09F5">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e</w:t>
            </w:r>
            <w:r>
              <w:rPr>
                <w:rFonts w:ascii="Times New Roman" w:hAnsi="Times New Roman" w:cs="Times New Roman"/>
                <w:i/>
                <w:iCs/>
                <w:color w:val="000000"/>
                <w:sz w:val="15"/>
                <w:szCs w:val="15"/>
                <w:shd w:val="clear" w:color="auto" w:fill="FFFFFF"/>
                <w:vertAlign w:val="subscript"/>
              </w:rPr>
              <w:t>i</w:t>
            </w:r>
          </w:p>
        </w:tc>
        <w:tc>
          <w:tcPr>
            <w:tcW w:w="3071" w:type="dxa"/>
            <w:vAlign w:val="center"/>
          </w:tcPr>
          <w:p w14:paraId="1D5CB002">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第 i 个离散速度方向的速度矢量</w:t>
            </w:r>
          </w:p>
        </w:tc>
        <w:tc>
          <w:tcPr>
            <w:tcW w:w="2880" w:type="dxa"/>
            <w:vAlign w:val="center"/>
          </w:tcPr>
          <w:p w14:paraId="07D8F27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64EC5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F8BF26C">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u</w:t>
            </w:r>
          </w:p>
        </w:tc>
        <w:tc>
          <w:tcPr>
            <w:tcW w:w="3071" w:type="dxa"/>
            <w:vAlign w:val="center"/>
          </w:tcPr>
          <w:p w14:paraId="46DFF2B3">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宏观流体速度矢量</w:t>
            </w:r>
          </w:p>
        </w:tc>
        <w:tc>
          <w:tcPr>
            <w:tcW w:w="2880" w:type="dxa"/>
            <w:vAlign w:val="center"/>
          </w:tcPr>
          <w:p w14:paraId="186E9239">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m·s⁻¹</w:t>
            </w:r>
          </w:p>
        </w:tc>
      </w:tr>
      <w:tr w14:paraId="12A87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9F41F5">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t</w:t>
            </w:r>
          </w:p>
        </w:tc>
        <w:tc>
          <w:tcPr>
            <w:tcW w:w="3071" w:type="dxa"/>
            <w:vAlign w:val="center"/>
          </w:tcPr>
          <w:p w14:paraId="2AB2315E">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时间</w:t>
            </w:r>
          </w:p>
        </w:tc>
        <w:tc>
          <w:tcPr>
            <w:tcW w:w="2880" w:type="dxa"/>
            <w:vAlign w:val="center"/>
          </w:tcPr>
          <w:p w14:paraId="111CA311">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s</w:t>
            </w:r>
          </w:p>
        </w:tc>
      </w:tr>
      <w:tr w14:paraId="26804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3839A59">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x, y, z</w:t>
            </w:r>
          </w:p>
        </w:tc>
        <w:tc>
          <w:tcPr>
            <w:tcW w:w="3071" w:type="dxa"/>
            <w:vAlign w:val="center"/>
          </w:tcPr>
          <w:p w14:paraId="4AC52E62">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空间坐标</w:t>
            </w:r>
          </w:p>
        </w:tc>
        <w:tc>
          <w:tcPr>
            <w:tcW w:w="2880" w:type="dxa"/>
            <w:vAlign w:val="center"/>
          </w:tcPr>
          <w:p w14:paraId="09914E9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w:t>
            </w:r>
          </w:p>
        </w:tc>
      </w:tr>
      <w:tr w14:paraId="53E97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2945783">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ω</w:t>
            </w:r>
            <w:r>
              <w:rPr>
                <w:rFonts w:ascii="Times New Roman" w:hAnsi="Times New Roman" w:cs="Times New Roman"/>
                <w:i/>
                <w:iCs/>
                <w:color w:val="000000"/>
                <w:sz w:val="15"/>
                <w:szCs w:val="15"/>
                <w:shd w:val="clear" w:color="auto" w:fill="FFFFFF"/>
                <w:vertAlign w:val="subscript"/>
              </w:rPr>
              <w:t>i</w:t>
            </w:r>
          </w:p>
        </w:tc>
        <w:tc>
          <w:tcPr>
            <w:tcW w:w="3071" w:type="dxa"/>
            <w:vAlign w:val="center"/>
          </w:tcPr>
          <w:p w14:paraId="2FEE09C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离散方向权重系数</w:t>
            </w:r>
          </w:p>
        </w:tc>
        <w:tc>
          <w:tcPr>
            <w:tcW w:w="2880" w:type="dxa"/>
            <w:vAlign w:val="center"/>
          </w:tcPr>
          <w:p w14:paraId="59F9817D">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5ABF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EA2A97B">
            <w:pPr>
              <w:jc w:val="center"/>
              <w:rPr>
                <w:rFonts w:ascii="Times New Roman" w:hAnsi="Times New Roman" w:cs="Times New Roman"/>
                <w:i/>
                <w:iCs/>
                <w:color w:val="000000"/>
                <w:sz w:val="15"/>
                <w:szCs w:val="15"/>
                <w:shd w:val="clear" w:color="auto" w:fill="FFFFFF"/>
              </w:rPr>
            </w:pPr>
            <w:r>
              <w:rPr>
                <w:rFonts w:ascii="Times New Roman" w:hAnsi="Times New Roman" w:cs="Times New Roman"/>
                <w:i/>
                <w:iCs/>
                <w:color w:val="000000"/>
                <w:sz w:val="15"/>
                <w:szCs w:val="15"/>
                <w:shd w:val="clear" w:color="auto" w:fill="FFFFFF"/>
              </w:rPr>
              <w:t>τ</w:t>
            </w:r>
          </w:p>
        </w:tc>
        <w:tc>
          <w:tcPr>
            <w:tcW w:w="3071" w:type="dxa"/>
            <w:vAlign w:val="center"/>
          </w:tcPr>
          <w:p w14:paraId="014CB325">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松弛时间</w:t>
            </w:r>
          </w:p>
        </w:tc>
        <w:tc>
          <w:tcPr>
            <w:tcW w:w="2880" w:type="dxa"/>
            <w:vAlign w:val="center"/>
          </w:tcPr>
          <w:p w14:paraId="768155A6">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w:t>
            </w:r>
          </w:p>
        </w:tc>
      </w:tr>
      <w:tr w14:paraId="12E76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90AD9F8">
            <w:pPr>
              <w:jc w:val="center"/>
              <w:rPr>
                <w:rFonts w:ascii="Times New Roman" w:hAnsi="Times New Roman" w:cs="Times New Roman"/>
                <w:i/>
                <w:iCs/>
                <w:color w:val="000000"/>
                <w:sz w:val="15"/>
                <w:szCs w:val="15"/>
                <w:shd w:val="clear" w:color="auto" w:fill="FFFFFF"/>
              </w:rPr>
            </w:pPr>
            <w:r>
              <w:rPr>
                <w:rFonts w:ascii="Times New Roman" w:hAnsi="Times New Roman" w:cs="Times New Roman"/>
                <w:color w:val="000000"/>
                <w:sz w:val="15"/>
                <w:szCs w:val="15"/>
                <w:shd w:val="clear" w:color="auto" w:fill="FFFFFF"/>
              </w:rPr>
              <w:t>Δ</w:t>
            </w:r>
            <w:r>
              <w:rPr>
                <w:rFonts w:ascii="Times New Roman" w:hAnsi="Times New Roman" w:cs="Times New Roman"/>
                <w:i/>
                <w:iCs/>
                <w:color w:val="000000"/>
                <w:sz w:val="15"/>
                <w:szCs w:val="15"/>
                <w:shd w:val="clear" w:color="auto" w:fill="FFFFFF"/>
              </w:rPr>
              <w:t>x</w:t>
            </w:r>
            <w:r>
              <w:rPr>
                <w:rFonts w:ascii="Times New Roman" w:hAnsi="Times New Roman" w:cs="Times New Roman"/>
                <w:color w:val="000000"/>
                <w:sz w:val="15"/>
                <w:szCs w:val="15"/>
                <w:shd w:val="clear" w:color="auto" w:fill="FFFFFF"/>
              </w:rPr>
              <w:t>, Δ</w:t>
            </w:r>
            <w:r>
              <w:rPr>
                <w:rFonts w:ascii="Times New Roman" w:hAnsi="Times New Roman" w:cs="Times New Roman"/>
                <w:i/>
                <w:iCs/>
                <w:color w:val="000000"/>
                <w:sz w:val="15"/>
                <w:szCs w:val="15"/>
                <w:shd w:val="clear" w:color="auto" w:fill="FFFFFF"/>
              </w:rPr>
              <w:t>t</w:t>
            </w:r>
          </w:p>
        </w:tc>
        <w:tc>
          <w:tcPr>
            <w:tcW w:w="3071" w:type="dxa"/>
            <w:vAlign w:val="center"/>
          </w:tcPr>
          <w:p w14:paraId="0058A7DC">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格距与时间步长</w:t>
            </w:r>
          </w:p>
        </w:tc>
        <w:tc>
          <w:tcPr>
            <w:tcW w:w="2880" w:type="dxa"/>
            <w:vAlign w:val="center"/>
          </w:tcPr>
          <w:p w14:paraId="642C4F34">
            <w:pPr>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m, s</w:t>
            </w:r>
          </w:p>
        </w:tc>
      </w:tr>
    </w:tbl>
    <w:p w14:paraId="5353A349">
      <w:pPr>
        <w:rPr>
          <w:rFonts w:ascii="Times New Roman" w:hAnsi="Times New Roman"/>
          <w:color w:val="000000"/>
          <w:szCs w:val="21"/>
          <w:shd w:val="clear" w:color="auto" w:fill="FFFFFF"/>
        </w:rPr>
      </w:pPr>
    </w:p>
    <w:p w14:paraId="49AA93C0">
      <w:pPr>
        <w:adjustRightInd w:val="0"/>
        <w:snapToGrid w:val="0"/>
        <w:ind w:firstLine="420" w:firstLineChars="200"/>
        <w:rPr>
          <w:rFonts w:ascii="Times New Roman" w:hAnsi="Times New Roman"/>
          <w:color w:val="000000"/>
          <w:szCs w:val="21"/>
          <w:shd w:val="clear" w:color="auto" w:fill="FFFFFF"/>
        </w:rPr>
      </w:pPr>
    </w:p>
    <w:p w14:paraId="777B4FC6">
      <w:pPr>
        <w:adjustRightInd w:val="0"/>
        <w:snapToGrid w:val="0"/>
        <w:rPr>
          <w:rFonts w:ascii="宋体" w:hAnsi="宋体" w:cs="Times New Roman"/>
          <w:color w:val="000000"/>
          <w:sz w:val="28"/>
          <w:szCs w:val="28"/>
          <w:shd w:val="clear" w:color="auto" w:fill="FFFFFF"/>
        </w:rPr>
      </w:pPr>
      <w:r>
        <w:rPr>
          <w:rFonts w:hint="eastAsia" w:ascii="宋体" w:hAnsi="宋体" w:cs="Times New Roman"/>
          <w:color w:val="000000"/>
          <w:sz w:val="28"/>
          <w:szCs w:val="28"/>
          <w:shd w:val="clear" w:color="auto" w:fill="FFFFFF"/>
        </w:rPr>
        <w:t>2 模型验证与分析</w:t>
      </w:r>
    </w:p>
    <w:p w14:paraId="50B0449B">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为了验证模型在模拟流速场、温度场及浓度场相互作用中的准确性</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 xml:space="preserve">进行了受温度差浮力与浓度差浮力共同驱动的三维双扩散自然对流计算。计算区域为空间尺寸均为 </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rPr>
        <w:t xml:space="preserve"> 的立方腔体，六个壁面均为无滑移固壁边界。左、右壁面分别保持恒定温度 </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1​</w:t>
      </w:r>
      <w:r>
        <w:rPr>
          <w:rFonts w:ascii="Times New Roman" w:hAnsi="Times New Roman"/>
          <w:color w:val="000000"/>
          <w:szCs w:val="21"/>
          <w:shd w:val="clear" w:color="auto" w:fill="FFFFFF"/>
        </w:rPr>
        <w:t xml:space="preserve"> 和浓度 </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1​</w:t>
      </w:r>
      <w:r>
        <w:rPr>
          <w:rFonts w:ascii="Times New Roman" w:hAnsi="Times New Roman"/>
          <w:color w:val="000000"/>
          <w:szCs w:val="21"/>
          <w:shd w:val="clear" w:color="auto" w:fill="FFFFFF"/>
        </w:rPr>
        <w:t>，满足关系式</w:t>
      </w:r>
      <w:r>
        <w:rPr>
          <w:rFonts w:ascii="Times New Roman" w:hAnsi="Times New Roman" w:cs="Times New Roman"/>
          <w:i/>
          <w:iCs/>
          <w:color w:val="000000"/>
          <w:szCs w:val="21"/>
          <w:shd w:val="clear" w:color="auto" w:fill="FFFFFF"/>
        </w:rPr>
        <w:t>T</w:t>
      </w:r>
      <w:r>
        <w:rPr>
          <w:rFonts w:ascii="Times New Roman" w:hAnsi="Times New Roman" w:eastAsia="MS Gothic" w:cs="Times New Roman"/>
          <w:color w:val="000000"/>
          <w:szCs w:val="21"/>
          <w:shd w:val="clear" w:color="auto" w:fill="FFFFFF"/>
        </w:rPr>
        <w:t>₀</w:t>
      </w:r>
      <w:r>
        <w:rPr>
          <w:rFonts w:hint="eastAsia"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&lt;</w:t>
      </w:r>
      <w:r>
        <w:rPr>
          <w:rFonts w:hint="eastAsia" w:ascii="Times New Roman" w:hAnsi="Times New Roman"/>
          <w:i/>
          <w:iCs/>
          <w:color w:val="000000"/>
          <w:szCs w:val="21"/>
          <w:shd w:val="clear" w:color="auto" w:fill="FFFFFF"/>
        </w:rPr>
        <w:t xml:space="preserve"> </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rPr>
        <w:t>₁、</w:t>
      </w:r>
      <w:r>
        <w:rPr>
          <w:rFonts w:ascii="Times New Roman" w:hAnsi="Times New Roman"/>
          <w:i/>
          <w:iCs/>
          <w:color w:val="000000"/>
          <w:szCs w:val="21"/>
          <w:shd w:val="clear" w:color="auto" w:fill="FFFFFF"/>
        </w:rPr>
        <w:t>C</w:t>
      </w:r>
      <w:r>
        <w:rPr>
          <w:rFonts w:ascii="Times New Roman" w:hAnsi="Times New Roman" w:eastAsia="MS Gothic" w:cs="Times New Roman"/>
          <w:color w:val="000000"/>
          <w:szCs w:val="21"/>
          <w:shd w:val="clear" w:color="auto" w:fill="FFFFFF"/>
        </w:rPr>
        <w:t>₀</w:t>
      </w:r>
      <w:r>
        <w:rPr>
          <w:rFonts w:hint="eastAsia"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&lt;</w:t>
      </w:r>
      <w:r>
        <w:rPr>
          <w:rFonts w:ascii="Times New Roman" w:hAnsi="Times New Roman"/>
          <w:i/>
          <w:iCs/>
          <w:color w:val="000000"/>
          <w:szCs w:val="21"/>
          <w:shd w:val="clear" w:color="auto" w:fill="FFFFFF"/>
        </w:rPr>
        <w:t xml:space="preserve"> C</w:t>
      </w:r>
      <w:r>
        <w:rPr>
          <w:rFonts w:ascii="Times New Roman" w:hAnsi="Times New Roman"/>
          <w:color w:val="000000"/>
          <w:szCs w:val="21"/>
          <w:shd w:val="clear" w:color="auto" w:fill="FFFFFF"/>
        </w:rPr>
        <w:t>₁。上、下壁面以及前、后壁面均为绝热边界和不可渗透边界，即温度与浓度沿壁面法向的梯度为零。初始阶段，方腔内流体均质且静止，设定温度</w:t>
      </w:r>
      <w:r>
        <w:rPr>
          <w:rFonts w:ascii="Times New Roman" w:hAnsi="Times New Roman"/>
          <w:i/>
          <w:iCs/>
          <w:color w:val="000000"/>
          <w:szCs w:val="21"/>
          <w:shd w:val="clear" w:color="auto" w:fill="FFFFFF"/>
        </w:rPr>
        <w:t xml:space="preserve">T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T</w:t>
      </w:r>
      <w:r>
        <w:rPr>
          <w:rFonts w:ascii="Times New Roman" w:hAnsi="Times New Roman" w:eastAsia="MS Gothic" w:cs="Times New Roman"/>
          <w:color w:val="000000"/>
          <w:szCs w:val="21"/>
          <w:shd w:val="clear" w:color="auto" w:fill="FFFFFF"/>
        </w:rPr>
        <w:t>₀</w:t>
      </w:r>
      <w:r>
        <w:rPr>
          <w:rFonts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 xml:space="preserve"> T</w:t>
      </w:r>
      <w:r>
        <w:rPr>
          <w:rFonts w:ascii="Times New Roman" w:hAnsi="Times New Roman"/>
          <w:color w:val="000000"/>
          <w:szCs w:val="21"/>
          <w:shd w:val="clear" w:color="auto" w:fill="FFFFFF"/>
        </w:rPr>
        <w:t>₁) / 2，浓度</w:t>
      </w:r>
      <w:r>
        <w:rPr>
          <w:rFonts w:ascii="Times New Roman" w:hAnsi="Times New Roman"/>
          <w:i/>
          <w:iCs/>
          <w:color w:val="000000"/>
          <w:szCs w:val="21"/>
          <w:shd w:val="clear" w:color="auto" w:fill="FFFFFF"/>
        </w:rPr>
        <w:t xml:space="preserve">C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eastAsia="MS Gothic" w:cs="Times New Roman"/>
          <w:color w:val="000000"/>
          <w:szCs w:val="21"/>
          <w:shd w:val="clear" w:color="auto" w:fill="FFFFFF"/>
        </w:rPr>
        <w:t>₀</w:t>
      </w:r>
      <w:r>
        <w:rPr>
          <w:rFonts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 xml:space="preserve"> C</w:t>
      </w:r>
      <w:r>
        <w:rPr>
          <w:rFonts w:ascii="Times New Roman" w:hAnsi="Times New Roman"/>
          <w:color w:val="000000"/>
          <w:szCs w:val="21"/>
          <w:shd w:val="clear" w:color="auto" w:fill="FFFFFF"/>
        </w:rPr>
        <w:t>₁) / 2，</w:t>
      </w:r>
      <w:r>
        <w:rPr>
          <w:rFonts w:ascii="Times New Roman" w:hAnsi="Times New Roman"/>
          <w:i/>
          <w:iCs/>
          <w:color w:val="000000"/>
          <w:szCs w:val="21"/>
          <w:shd w:val="clear" w:color="auto" w:fill="FFFFFF"/>
        </w:rPr>
        <w:t>P</w:t>
      </w:r>
      <w:r>
        <w:rPr>
          <w:rFonts w:ascii="Times New Roman" w:hAnsi="Times New Roman"/>
          <w:color w:val="000000"/>
          <w:szCs w:val="21"/>
          <w:shd w:val="clear" w:color="auto" w:fill="FFFFFF"/>
          <w:vertAlign w:val="subscript"/>
        </w:rPr>
        <w:t>r</w:t>
      </w:r>
      <w:r>
        <w:rPr>
          <w:rFonts w:ascii="Times New Roman" w:hAnsi="Times New Roman"/>
          <w:color w:val="000000"/>
          <w:szCs w:val="21"/>
          <w:shd w:val="clear" w:color="auto" w:fill="FFFFFF"/>
        </w:rPr>
        <w:t>数为0.71。计算采用 128</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128</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128 网格离散，模型与数值设置如图1所示。</w:t>
      </w:r>
    </w:p>
    <w:tbl>
      <w:tblPr>
        <w:tblStyle w:val="16"/>
        <w:tblW w:w="5000" w:type="pct"/>
        <w:tblInd w:w="0" w:type="dxa"/>
        <w:tblLayout w:type="autofit"/>
        <w:tblCellMar>
          <w:top w:w="0" w:type="dxa"/>
          <w:left w:w="108" w:type="dxa"/>
          <w:bottom w:w="0" w:type="dxa"/>
          <w:right w:w="108" w:type="dxa"/>
        </w:tblCellMar>
      </w:tblPr>
      <w:tblGrid>
        <w:gridCol w:w="8522"/>
      </w:tblGrid>
      <w:tr w14:paraId="0D8DCB26">
        <w:tblPrEx>
          <w:tblCellMar>
            <w:top w:w="0" w:type="dxa"/>
            <w:left w:w="108" w:type="dxa"/>
            <w:bottom w:w="0" w:type="dxa"/>
            <w:right w:w="108" w:type="dxa"/>
          </w:tblCellMar>
        </w:tblPrEx>
        <w:tc>
          <w:tcPr>
            <w:tcW w:w="5000" w:type="pct"/>
            <w:shd w:val="clear" w:color="auto" w:fill="auto"/>
            <w:vAlign w:val="center"/>
          </w:tcPr>
          <w:p w14:paraId="1544DAE2">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2034540" cy="1741170"/>
                  <wp:effectExtent l="0" t="0" r="3810" b="0"/>
                  <wp:docPr id="1139129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2914" name="图片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054515" cy="1758566"/>
                          </a:xfrm>
                          <a:prstGeom prst="rect">
                            <a:avLst/>
                          </a:prstGeom>
                          <a:noFill/>
                          <a:ln>
                            <a:noFill/>
                          </a:ln>
                        </pic:spPr>
                      </pic:pic>
                    </a:graphicData>
                  </a:graphic>
                </wp:inline>
              </w:drawing>
            </w:r>
          </w:p>
        </w:tc>
      </w:tr>
      <w:tr w14:paraId="74BB2708">
        <w:tblPrEx>
          <w:tblCellMar>
            <w:top w:w="0" w:type="dxa"/>
            <w:left w:w="108" w:type="dxa"/>
            <w:bottom w:w="0" w:type="dxa"/>
            <w:right w:w="108" w:type="dxa"/>
          </w:tblCellMar>
        </w:tblPrEx>
        <w:tc>
          <w:tcPr>
            <w:tcW w:w="5000" w:type="pct"/>
            <w:shd w:val="clear" w:color="auto" w:fill="auto"/>
            <w:vAlign w:val="center"/>
          </w:tcPr>
          <w:p w14:paraId="13B72961">
            <w:pPr>
              <w:pStyle w:val="7"/>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图1 三维双扩散自然对流计算示意</w:t>
            </w:r>
          </w:p>
        </w:tc>
      </w:tr>
      <w:tr w14:paraId="74B67EDE">
        <w:tblPrEx>
          <w:tblCellMar>
            <w:top w:w="0" w:type="dxa"/>
            <w:left w:w="108" w:type="dxa"/>
            <w:bottom w:w="0" w:type="dxa"/>
            <w:right w:w="108" w:type="dxa"/>
          </w:tblCellMar>
        </w:tblPrEx>
        <w:tc>
          <w:tcPr>
            <w:tcW w:w="5000" w:type="pct"/>
            <w:shd w:val="clear" w:color="auto" w:fill="auto"/>
            <w:vAlign w:val="center"/>
          </w:tcPr>
          <w:p w14:paraId="4AD551F8">
            <w:pPr>
              <w:pStyle w:val="7"/>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Fig.1 Schematic diagram of three-dimensional double-diffusion natural convection calculation</w:t>
            </w:r>
          </w:p>
        </w:tc>
      </w:tr>
    </w:tbl>
    <w:p w14:paraId="182DFA72">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本算例</w:t>
      </w:r>
      <w:r>
        <w:rPr>
          <w:rFonts w:ascii="Times New Roman" w:hAnsi="Times New Roman"/>
          <w:color w:val="000000"/>
          <w:szCs w:val="21"/>
          <w:shd w:val="clear" w:color="auto" w:fill="FFFFFF"/>
        </w:rPr>
        <w:t>的</w:t>
      </w:r>
      <w:r>
        <w:rPr>
          <w:rFonts w:hint="eastAsia" w:ascii="Times New Roman" w:hAnsi="Times New Roman"/>
          <w:color w:val="000000"/>
          <w:szCs w:val="21"/>
          <w:shd w:val="clear" w:color="auto" w:fill="FFFFFF"/>
        </w:rPr>
        <w:t>传热传质特性可</w:t>
      </w:r>
      <w:r>
        <w:rPr>
          <w:rFonts w:ascii="Times New Roman" w:hAnsi="Times New Roman"/>
          <w:color w:val="000000"/>
          <w:szCs w:val="21"/>
          <w:shd w:val="clear" w:color="auto" w:fill="FFFFFF"/>
        </w:rPr>
        <w:t>用以下无量纲数</w:t>
      </w:r>
      <w:r>
        <w:rPr>
          <w:rFonts w:hint="eastAsia" w:ascii="Times New Roman" w:hAnsi="Times New Roman"/>
          <w:color w:val="000000"/>
          <w:szCs w:val="21"/>
          <w:shd w:val="clear" w:color="auto" w:fill="FFFFFF"/>
        </w:rPr>
        <w:t>进行</w:t>
      </w:r>
      <w:r>
        <w:rPr>
          <w:rFonts w:ascii="Times New Roman" w:hAnsi="Times New Roman"/>
          <w:color w:val="000000"/>
          <w:szCs w:val="21"/>
          <w:shd w:val="clear" w:color="auto" w:fill="FFFFFF"/>
        </w:rPr>
        <w:t>描述：温度Rayleigh数</w:t>
      </w:r>
      <w:r>
        <w:rPr>
          <w:color w:val="000000"/>
          <w:position w:val="-10"/>
          <w:shd w:val="clear" w:color="auto" w:fill="FFFFFF"/>
        </w:rPr>
        <w:object>
          <v:shape id="_x0000_i1072" o:spt="75" type="#_x0000_t75" style="height:17.05pt;width:122.7pt;" o:ole="t" filled="f" o:preferrelative="t" stroked="f" coordsize="21600,21600">
            <v:path/>
            <v:fill on="f" focussize="0,0"/>
            <v:stroke on="f" joinstyle="miter"/>
            <v:imagedata r:id="rId105" o:title=""/>
            <o:lock v:ext="edit" aspectratio="t"/>
            <w10:wrap type="none"/>
            <w10:anchorlock/>
          </v:shape>
          <o:OLEObject Type="Embed" ProgID="Equation.DSMT4" ShapeID="_x0000_i1072" DrawAspect="Content" ObjectID="_1468075772" r:id="rId104">
            <o:LockedField>false</o:LockedField>
          </o:OLEObject>
        </w:object>
      </w:r>
      <w:r>
        <w:rPr>
          <w:rFonts w:ascii="Times New Roman" w:hAnsi="Times New Roman"/>
          <w:color w:val="000000"/>
          <w:szCs w:val="21"/>
          <w:shd w:val="clear" w:color="auto" w:fill="FFFFFF"/>
        </w:rPr>
        <w:t>；浓度Rayleigh数</w:t>
      </w:r>
      <w:r>
        <w:rPr>
          <w:color w:val="000000"/>
          <w:position w:val="-10"/>
          <w:shd w:val="clear" w:color="auto" w:fill="FFFFFF"/>
        </w:rPr>
        <w:object>
          <v:shape id="_x0000_i1073" o:spt="75" type="#_x0000_t75" style="height:17.05pt;width:122.7pt;" o:ole="t" filled="f" o:preferrelative="t" stroked="f" coordsize="21600,21600">
            <v:path/>
            <v:fill on="f" focussize="0,0"/>
            <v:stroke on="f" joinstyle="miter"/>
            <v:imagedata r:id="rId107" o:title=""/>
            <o:lock v:ext="edit" aspectratio="t"/>
            <w10:wrap type="none"/>
            <w10:anchorlock/>
          </v:shape>
          <o:OLEObject Type="Embed" ProgID="Equation.DSMT4" ShapeID="_x0000_i1073" DrawAspect="Content" ObjectID="_1468075773" r:id="rId106">
            <o:LockedField>false</o:LockedField>
          </o:OLEObject>
        </w:object>
      </w:r>
      <w:r>
        <w:rPr>
          <w:rFonts w:ascii="Times New Roman" w:hAnsi="Times New Roman"/>
          <w:color w:val="000000"/>
          <w:szCs w:val="21"/>
          <w:shd w:val="clear" w:color="auto" w:fill="FFFFFF"/>
        </w:rPr>
        <w:t>；Lewis数</w:t>
      </w:r>
      <w:r>
        <w:rPr>
          <w:color w:val="000000"/>
          <w:position w:val="-10"/>
          <w:shd w:val="clear" w:color="auto" w:fill="FFFFFF"/>
        </w:rPr>
        <w:object>
          <v:shape id="_x0000_i1074" o:spt="75" type="#_x0000_t75" style="height:17.05pt;width:50.7pt;" o:ole="t" filled="f" o:preferrelative="t" stroked="f" coordsize="21600,21600">
            <v:path/>
            <v:fill on="f" focussize="0,0"/>
            <v:stroke on="f" joinstyle="miter"/>
            <v:imagedata r:id="rId109" o:title=""/>
            <o:lock v:ext="edit" aspectratio="t"/>
            <w10:wrap type="none"/>
            <w10:anchorlock/>
          </v:shape>
          <o:OLEObject Type="Embed" ProgID="Equation.DSMT4" ShapeID="_x0000_i1074" DrawAspect="Content" ObjectID="_1468075774" r:id="rId108">
            <o:LockedField>false</o:LockedField>
          </o:OLEObject>
        </w:object>
      </w:r>
      <w:r>
        <w:rPr>
          <w:rFonts w:hint="eastAsia" w:ascii="Times New Roman" w:hAnsi="Times New Roman"/>
          <w:color w:val="000000"/>
          <w:szCs w:val="21"/>
          <w:shd w:val="clear" w:color="auto" w:fill="FFFFFF"/>
        </w:rPr>
        <w:t>。</w:t>
      </w:r>
    </w:p>
    <w:p w14:paraId="36ED9B31">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为将模拟结果与</w:t>
      </w:r>
      <w:r>
        <w:rPr>
          <w:rFonts w:ascii="Times New Roman" w:hAnsi="Times New Roman"/>
          <w:color w:val="000000"/>
          <w:szCs w:val="21"/>
          <w:shd w:val="clear" w:color="auto" w:fill="FFFFFF"/>
        </w:rPr>
        <w:t>BEGHEIN</w:t>
      </w:r>
      <w:r>
        <w:rPr>
          <w:rFonts w:hint="eastAsia" w:ascii="Times New Roman" w:hAnsi="Times New Roman"/>
          <w:color w:val="000000"/>
          <w:szCs w:val="21"/>
          <w:shd w:val="clear" w:color="auto" w:fill="FFFFFF"/>
          <w:vertAlign w:val="superscript"/>
        </w:rPr>
        <w:t>[31]</w:t>
      </w:r>
      <w:r>
        <w:rPr>
          <w:rFonts w:hint="eastAsia" w:ascii="Times New Roman" w:hAnsi="Times New Roman"/>
          <w:color w:val="000000"/>
          <w:szCs w:val="21"/>
          <w:shd w:val="clear" w:color="auto" w:fill="FFFFFF"/>
        </w:rPr>
        <w:t>等的研究成果相比较，选用同样的边界条件、网格大小，模拟参数被设定为</w:t>
      </w:r>
      <w:r>
        <w:rPr>
          <w:color w:val="000000"/>
          <w:position w:val="-10"/>
          <w:shd w:val="clear" w:color="auto" w:fill="FFFFFF"/>
        </w:rPr>
        <w:object>
          <v:shape id="_x0000_i1075" o:spt="75" type="#_x0000_t75" style="height:17.05pt;width:17.05pt;" o:ole="t" filled="f" o:preferrelative="t" stroked="f" coordsize="21600,21600">
            <v:path/>
            <v:fill on="f" focussize="0,0"/>
            <v:stroke on="f" joinstyle="miter"/>
            <v:imagedata r:id="rId111" o:title=""/>
            <o:lock v:ext="edit" aspectratio="t"/>
            <w10:wrap type="none"/>
            <w10:anchorlock/>
          </v:shape>
          <o:OLEObject Type="Embed" ProgID="Equation.DSMT4" ShapeID="_x0000_i1075" DrawAspect="Content" ObjectID="_1468075775" r:id="rId110">
            <o:LockedField>false</o:LockedField>
          </o:OLEObject>
        </w:object>
      </w:r>
      <w:r>
        <w:rPr>
          <w:rFonts w:ascii="Times New Roman" w:hAnsi="Times New Roman"/>
          <w:color w:val="000000"/>
          <w:szCs w:val="21"/>
          <w:shd w:val="clear" w:color="auto" w:fill="FFFFFF"/>
        </w:rPr>
        <w:t>=10</w:t>
      </w:r>
      <w:r>
        <w:rPr>
          <w:rFonts w:ascii="Times New Roman" w:hAnsi="Times New Roman"/>
          <w:color w:val="000000"/>
          <w:szCs w:val="21"/>
          <w:shd w:val="clear" w:color="auto" w:fill="FFFFFF"/>
          <w:vertAlign w:val="superscript"/>
        </w:rPr>
        <w:t>4</w:t>
      </w:r>
      <w:r>
        <w:rPr>
          <w:rFonts w:hint="eastAsia" w:ascii="Times New Roman" w:hAnsi="Times New Roman"/>
          <w:color w:val="000000"/>
          <w:szCs w:val="21"/>
          <w:shd w:val="clear" w:color="auto" w:fill="FFFFFF"/>
        </w:rPr>
        <w:t>、</w:t>
      </w:r>
      <w:r>
        <w:rPr>
          <w:color w:val="000000"/>
          <w:position w:val="-10"/>
          <w:shd w:val="clear" w:color="auto" w:fill="FFFFFF"/>
        </w:rPr>
        <w:object>
          <v:shape id="_x0000_i1076" o:spt="75" type="#_x0000_t75" style="height:17.05pt;width:17.05pt;" o:ole="t" filled="f" o:preferrelative="t" stroked="f" coordsize="21600,21600">
            <v:path/>
            <v:fill on="f" focussize="0,0"/>
            <v:stroke on="f" joinstyle="miter"/>
            <v:imagedata r:id="rId113" o:title=""/>
            <o:lock v:ext="edit" aspectratio="t"/>
            <w10:wrap type="none"/>
            <w10:anchorlock/>
          </v:shape>
          <o:OLEObject Type="Embed" ProgID="Equation.DSMT4" ShapeID="_x0000_i1076" DrawAspect="Content" ObjectID="_1468075776" r:id="rId112">
            <o:LockedField>false</o:LockedField>
          </o:OLEObject>
        </w:object>
      </w:r>
      <w:r>
        <w:rPr>
          <w:rFonts w:ascii="Times New Roman" w:hAnsi="Times New Roman"/>
          <w:color w:val="000000"/>
          <w:szCs w:val="21"/>
          <w:shd w:val="clear" w:color="auto" w:fill="FFFFFF"/>
        </w:rPr>
        <w:t>=10</w:t>
      </w:r>
      <w:r>
        <w:rPr>
          <w:rFonts w:ascii="Times New Roman" w:hAnsi="Times New Roman"/>
          <w:color w:val="000000"/>
          <w:szCs w:val="21"/>
          <w:shd w:val="clear" w:color="auto" w:fill="FFFFFF"/>
          <w:vertAlign w:val="superscript"/>
        </w:rPr>
        <w:t>4</w:t>
      </w:r>
      <w:r>
        <w:rPr>
          <w:rFonts w:hint="eastAsia" w:ascii="Times New Roman" w:hAnsi="Times New Roman"/>
          <w:color w:val="000000"/>
          <w:szCs w:val="21"/>
          <w:shd w:val="clear" w:color="auto" w:fill="FFFFFF"/>
        </w:rPr>
        <w:t>、</w:t>
      </w:r>
      <w:r>
        <w:rPr>
          <w:color w:val="000000"/>
          <w:position w:val="-6"/>
          <w:shd w:val="clear" w:color="auto" w:fill="FFFFFF"/>
        </w:rPr>
        <w:object>
          <v:shape id="_x0000_i1077" o:spt="75" type="#_x0000_t75" style="height:12.8pt;width:17.05pt;" o:ole="t" filled="f" o:preferrelative="t" stroked="f" coordsize="21600,21600">
            <v:path/>
            <v:fill on="f" focussize="0,0"/>
            <v:stroke on="f" joinstyle="miter"/>
            <v:imagedata r:id="rId115" o:title=""/>
            <o:lock v:ext="edit" aspectratio="t"/>
            <w10:wrap type="none"/>
            <w10:anchorlock/>
          </v:shape>
          <o:OLEObject Type="Embed" ProgID="Equation.DSMT4" ShapeID="_x0000_i1077" DrawAspect="Content" ObjectID="_1468075777" r:id="rId114">
            <o:LockedField>false</o:LockedField>
          </o:OLEObject>
        </w:object>
      </w:r>
      <w:r>
        <w:rPr>
          <w:rFonts w:hint="eastAsia" w:ascii="Times New Roman" w:hAnsi="Times New Roman"/>
          <w:color w:val="000000"/>
          <w:szCs w:val="21"/>
          <w:shd w:val="clear" w:color="auto" w:fill="FFFFFF"/>
        </w:rPr>
        <w:t>=1。在此基础上</w:t>
      </w:r>
      <w:r>
        <w:rPr>
          <w:rFonts w:hint="eastAsia" w:ascii="Times New Roman" w:hAnsi="Times New Roman"/>
          <w:color w:val="000000"/>
          <w:szCs w:val="21"/>
        </w:rPr>
        <w:t>做</w:t>
      </w:r>
      <w:r>
        <w:rPr>
          <w:rFonts w:hint="eastAsia" w:ascii="Times New Roman" w:hAnsi="Times New Roman"/>
          <w:color w:val="000000"/>
          <w:szCs w:val="21"/>
          <w:shd w:val="clear" w:color="auto" w:fill="FFFFFF"/>
        </w:rPr>
        <w:t>了两个工况的计算，包括</w:t>
      </w:r>
      <w:r>
        <w:rPr>
          <w:rFonts w:ascii="Times New Roman" w:hAnsi="Times New Roman"/>
          <w:color w:val="000000"/>
          <w:szCs w:val="21"/>
          <w:shd w:val="clear" w:color="auto" w:fill="FFFFFF"/>
        </w:rPr>
        <w:t>温度场</w:t>
      </w:r>
      <w:r>
        <w:rPr>
          <w:rFonts w:hint="eastAsia" w:ascii="Times New Roman" w:hAnsi="Times New Roman"/>
          <w:color w:val="000000"/>
          <w:szCs w:val="21"/>
          <w:shd w:val="clear" w:color="auto" w:fill="FFFFFF"/>
        </w:rPr>
        <w:t>和</w:t>
      </w:r>
      <w:r>
        <w:rPr>
          <w:rFonts w:ascii="Times New Roman" w:hAnsi="Times New Roman"/>
          <w:color w:val="000000"/>
          <w:szCs w:val="21"/>
          <w:shd w:val="clear" w:color="auto" w:fill="FFFFFF"/>
        </w:rPr>
        <w:t>浓度场</w:t>
      </w:r>
      <w:r>
        <w:rPr>
          <w:rFonts w:hint="eastAsia" w:ascii="Times New Roman" w:hAnsi="Times New Roman"/>
          <w:color w:val="000000"/>
          <w:szCs w:val="21"/>
          <w:shd w:val="clear" w:color="auto" w:fill="FFFFFF"/>
        </w:rPr>
        <w:t>驱动力方向相同的叠加驱动工况，以及它们驱动力方向相反的反向驱动工况。模拟结果</w:t>
      </w:r>
      <w:r>
        <w:rPr>
          <w:rFonts w:hint="eastAsia" w:ascii="Times New Roman" w:hAnsi="Times New Roman"/>
          <w:color w:val="000000"/>
          <w:szCs w:val="21"/>
          <w:shd w:val="clear" w:color="auto" w:fill="FFFFFF"/>
          <w:lang w:eastAsia="zh-CN"/>
        </w:rPr>
        <w:t>如</w:t>
      </w:r>
      <w:r>
        <w:rPr>
          <w:rFonts w:hint="eastAsia" w:ascii="Times New Roman" w:hAnsi="Times New Roman"/>
          <w:color w:val="000000"/>
          <w:szCs w:val="21"/>
          <w:shd w:val="clear" w:color="auto" w:fill="FFFFFF"/>
        </w:rPr>
        <w:t>图2</w:t>
      </w:r>
      <w:r>
        <w:rPr>
          <w:rFonts w:hint="eastAsia" w:ascii="Times New Roman" w:hAnsi="Times New Roman"/>
          <w:color w:val="000000"/>
          <w:szCs w:val="21"/>
          <w:shd w:val="clear" w:color="auto" w:fill="FFFFFF"/>
          <w:lang w:eastAsia="zh-CN"/>
        </w:rPr>
        <w:t>所示</w:t>
      </w:r>
      <w:r>
        <w:rPr>
          <w:rFonts w:hint="eastAsia" w:ascii="Times New Roman" w:hAnsi="Times New Roman"/>
          <w:color w:val="000000"/>
          <w:szCs w:val="21"/>
          <w:shd w:val="clear" w:color="auto" w:fill="FFFFFF"/>
        </w:rPr>
        <w:t>，为了对模拟成果进行量化，下面对取自右侧热壁中垂线上的四个无量纲数进行计算，分别为局部Nusselt数、平均Nusselt数、局部Sherwood数以及平均Sherwood数，计算公式如下</w:t>
      </w:r>
    </w:p>
    <w:tbl>
      <w:tblPr>
        <w:tblStyle w:val="16"/>
        <w:tblW w:w="0" w:type="auto"/>
        <w:tblInd w:w="0" w:type="dxa"/>
        <w:tblLayout w:type="autofit"/>
        <w:tblCellMar>
          <w:top w:w="0" w:type="dxa"/>
          <w:left w:w="108" w:type="dxa"/>
          <w:bottom w:w="0" w:type="dxa"/>
          <w:right w:w="108" w:type="dxa"/>
        </w:tblCellMar>
      </w:tblPr>
      <w:tblGrid>
        <w:gridCol w:w="694"/>
        <w:gridCol w:w="3553"/>
        <w:gridCol w:w="3218"/>
        <w:gridCol w:w="1057"/>
      </w:tblGrid>
      <w:tr w14:paraId="01A4D5CA">
        <w:tblPrEx>
          <w:tblCellMar>
            <w:top w:w="0" w:type="dxa"/>
            <w:left w:w="108" w:type="dxa"/>
            <w:bottom w:w="0" w:type="dxa"/>
            <w:right w:w="108" w:type="dxa"/>
          </w:tblCellMar>
        </w:tblPrEx>
        <w:trPr>
          <w:trHeight w:val="567" w:hRule="atLeast"/>
        </w:trPr>
        <w:tc>
          <w:tcPr>
            <w:tcW w:w="747" w:type="dxa"/>
            <w:shd w:val="clear" w:color="auto" w:fill="auto"/>
            <w:vAlign w:val="center"/>
          </w:tcPr>
          <w:p w14:paraId="54676DFB">
            <w:pPr>
              <w:adjustRightInd w:val="0"/>
              <w:snapToGrid w:val="0"/>
              <w:jc w:val="center"/>
              <w:rPr>
                <w:rFonts w:ascii="Times New Roman" w:hAnsi="Times New Roman" w:cs="Times New Roman"/>
                <w:color w:val="000000"/>
                <w:szCs w:val="21"/>
                <w:shd w:val="clear" w:color="auto" w:fill="FFFFFF"/>
              </w:rPr>
            </w:pPr>
          </w:p>
        </w:tc>
        <w:tc>
          <w:tcPr>
            <w:tcW w:w="7753" w:type="dxa"/>
            <w:gridSpan w:val="2"/>
            <w:shd w:val="clear" w:color="auto" w:fill="auto"/>
            <w:vAlign w:val="center"/>
          </w:tcPr>
          <w:p w14:paraId="1EF32574">
            <w:pPr>
              <w:adjustRightInd w:val="0"/>
              <w:snapToGrid w:val="0"/>
              <w:jc w:val="center"/>
              <w:rPr>
                <w:rFonts w:ascii="Times New Roman" w:hAnsi="Times New Roman" w:cs="Times New Roman"/>
                <w:color w:val="000000"/>
                <w:szCs w:val="21"/>
                <w:shd w:val="clear" w:color="auto" w:fill="FFFFFF"/>
              </w:rPr>
            </w:pPr>
            <w:r>
              <w:rPr>
                <w:color w:val="000000"/>
                <w:position w:val="-22"/>
                <w:shd w:val="clear" w:color="auto" w:fill="FFFFFF"/>
              </w:rPr>
              <w:object>
                <v:shape id="_x0000_i1078" o:spt="75" type="#_x0000_t75" style="height:25.6pt;width:63.45pt;" o:ole="t" filled="f" o:preferrelative="t" stroked="f" coordsize="21600,21600">
                  <v:path/>
                  <v:fill on="f" focussize="0,0"/>
                  <v:stroke on="f" joinstyle="miter"/>
                  <v:imagedata r:id="rId117" o:title=""/>
                  <o:lock v:ext="edit" aspectratio="t"/>
                  <w10:wrap type="none"/>
                  <w10:anchorlock/>
                </v:shape>
                <o:OLEObject Type="Embed" ProgID="Equation.DSMT4" ShapeID="_x0000_i1078" DrawAspect="Content" ObjectID="_1468075778" r:id="rId116">
                  <o:LockedField>false</o:LockedField>
                </o:OLEObject>
              </w:object>
            </w:r>
          </w:p>
        </w:tc>
        <w:tc>
          <w:tcPr>
            <w:tcW w:w="1128" w:type="dxa"/>
            <w:shd w:val="clear" w:color="auto" w:fill="auto"/>
            <w:vAlign w:val="center"/>
          </w:tcPr>
          <w:p w14:paraId="5AA4DC50">
            <w:pPr>
              <w:adjustRightInd w:val="0"/>
              <w:snapToGrid w:val="0"/>
              <w:jc w:val="center"/>
              <w:rPr>
                <w:rFonts w:ascii="Times New Roman" w:hAnsi="Times New Roman" w:cs="Times New Roman"/>
                <w:color w:val="000000"/>
                <w:position w:val="-12"/>
                <w:szCs w:val="21"/>
                <w:shd w:val="clear" w:color="auto" w:fill="FFFFFF"/>
              </w:rPr>
            </w:pPr>
            <w:r>
              <w:rPr>
                <w:rFonts w:ascii="Times New Roman" w:hAnsi="Times New Roman" w:cs="Times New Roman"/>
                <w:color w:val="000000"/>
                <w:position w:val="-12"/>
                <w:szCs w:val="21"/>
                <w:shd w:val="clear" w:color="auto" w:fill="FFFFFF"/>
              </w:rPr>
              <w:t>(</w:t>
            </w:r>
            <w:r>
              <w:rPr>
                <w:rFonts w:hint="eastAsia" w:ascii="Times New Roman" w:hAnsi="Times New Roman" w:cs="Times New Roman"/>
                <w:color w:val="000000"/>
                <w:position w:val="-12"/>
                <w:szCs w:val="21"/>
                <w:shd w:val="clear" w:color="auto" w:fill="FFFFFF"/>
              </w:rPr>
              <w:t>9</w:t>
            </w:r>
            <w:r>
              <w:rPr>
                <w:rFonts w:ascii="Times New Roman" w:hAnsi="Times New Roman" w:cs="Times New Roman"/>
                <w:color w:val="000000"/>
                <w:position w:val="-12"/>
                <w:szCs w:val="21"/>
                <w:shd w:val="clear" w:color="auto" w:fill="FFFFFF"/>
              </w:rPr>
              <w:t>)</w:t>
            </w:r>
          </w:p>
        </w:tc>
      </w:tr>
      <w:tr w14:paraId="5CA9BDFB">
        <w:tblPrEx>
          <w:tblCellMar>
            <w:top w:w="0" w:type="dxa"/>
            <w:left w:w="108" w:type="dxa"/>
            <w:bottom w:w="0" w:type="dxa"/>
            <w:right w:w="108" w:type="dxa"/>
          </w:tblCellMar>
        </w:tblPrEx>
        <w:trPr>
          <w:trHeight w:val="567" w:hRule="atLeast"/>
        </w:trPr>
        <w:tc>
          <w:tcPr>
            <w:tcW w:w="747" w:type="dxa"/>
            <w:shd w:val="clear" w:color="auto" w:fill="auto"/>
            <w:vAlign w:val="center"/>
          </w:tcPr>
          <w:p w14:paraId="37F390F7">
            <w:pPr>
              <w:adjustRightInd w:val="0"/>
              <w:snapToGrid w:val="0"/>
              <w:jc w:val="center"/>
              <w:rPr>
                <w:rFonts w:ascii="Times New Roman" w:hAnsi="Times New Roman" w:cs="Times New Roman"/>
                <w:color w:val="000000"/>
                <w:szCs w:val="21"/>
                <w:shd w:val="clear" w:color="auto" w:fill="FFFFFF"/>
              </w:rPr>
            </w:pPr>
          </w:p>
        </w:tc>
        <w:tc>
          <w:tcPr>
            <w:tcW w:w="7753" w:type="dxa"/>
            <w:gridSpan w:val="2"/>
            <w:shd w:val="clear" w:color="auto" w:fill="auto"/>
            <w:vAlign w:val="center"/>
          </w:tcPr>
          <w:p w14:paraId="160D1C1D">
            <w:pPr>
              <w:adjustRightInd w:val="0"/>
              <w:snapToGrid w:val="0"/>
              <w:jc w:val="center"/>
              <w:rPr>
                <w:color w:val="000000"/>
                <w:shd w:val="clear" w:color="auto" w:fill="FFFFFF"/>
              </w:rPr>
            </w:pPr>
            <w:r>
              <w:rPr>
                <w:color w:val="000000"/>
                <w:position w:val="-22"/>
                <w:shd w:val="clear" w:color="auto" w:fill="FFFFFF"/>
              </w:rPr>
              <w:object>
                <v:shape id="_x0000_i1079" o:spt="75" type="#_x0000_t75" style="height:25.6pt;width:72pt;" o:ole="t" filled="f" o:preferrelative="t" stroked="f" coordsize="21600,21600">
                  <v:path/>
                  <v:fill on="f" focussize="0,0"/>
                  <v:stroke on="f" joinstyle="miter"/>
                  <v:imagedata r:id="rId119" o:title=""/>
                  <o:lock v:ext="edit" aspectratio="t"/>
                  <w10:wrap type="none"/>
                  <w10:anchorlock/>
                </v:shape>
                <o:OLEObject Type="Embed" ProgID="Equation.DSMT4" ShapeID="_x0000_i1079" DrawAspect="Content" ObjectID="_1468075779" r:id="rId118">
                  <o:LockedField>false</o:LockedField>
                </o:OLEObject>
              </w:object>
            </w:r>
          </w:p>
        </w:tc>
        <w:tc>
          <w:tcPr>
            <w:tcW w:w="1128" w:type="dxa"/>
            <w:shd w:val="clear" w:color="auto" w:fill="auto"/>
            <w:vAlign w:val="center"/>
          </w:tcPr>
          <w:p w14:paraId="0FFC49D9">
            <w:pPr>
              <w:adjustRightInd w:val="0"/>
              <w:snapToGrid w:val="0"/>
              <w:jc w:val="center"/>
              <w:rPr>
                <w:rFonts w:ascii="Times New Roman" w:hAnsi="Times New Roman" w:cs="Times New Roman"/>
                <w:color w:val="000000"/>
                <w:position w:val="-12"/>
                <w:szCs w:val="21"/>
                <w:shd w:val="clear" w:color="auto" w:fill="FFFFFF"/>
              </w:rPr>
            </w:pPr>
            <w:r>
              <w:rPr>
                <w:rFonts w:hint="eastAsia" w:ascii="Times New Roman" w:hAnsi="Times New Roman" w:cs="Times New Roman"/>
                <w:color w:val="000000"/>
                <w:position w:val="-12"/>
                <w:szCs w:val="21"/>
                <w:shd w:val="clear" w:color="auto" w:fill="FFFFFF"/>
              </w:rPr>
              <w:t>(10)</w:t>
            </w:r>
          </w:p>
        </w:tc>
      </w:tr>
      <w:tr w14:paraId="42AF9B63">
        <w:tblPrEx>
          <w:tblCellMar>
            <w:top w:w="0" w:type="dxa"/>
            <w:left w:w="108" w:type="dxa"/>
            <w:bottom w:w="0" w:type="dxa"/>
            <w:right w:w="108" w:type="dxa"/>
          </w:tblCellMar>
        </w:tblPrEx>
        <w:trPr>
          <w:trHeight w:val="567" w:hRule="atLeast"/>
        </w:trPr>
        <w:tc>
          <w:tcPr>
            <w:tcW w:w="747" w:type="dxa"/>
            <w:shd w:val="clear" w:color="auto" w:fill="auto"/>
            <w:vAlign w:val="center"/>
          </w:tcPr>
          <w:p w14:paraId="2BAA4900">
            <w:pPr>
              <w:adjustRightInd w:val="0"/>
              <w:snapToGrid w:val="0"/>
              <w:jc w:val="center"/>
              <w:rPr>
                <w:rFonts w:ascii="Times New Roman" w:hAnsi="Times New Roman" w:cs="Times New Roman"/>
                <w:color w:val="000000"/>
                <w:szCs w:val="21"/>
                <w:shd w:val="clear" w:color="auto" w:fill="FFFFFF"/>
              </w:rPr>
            </w:pPr>
          </w:p>
        </w:tc>
        <w:tc>
          <w:tcPr>
            <w:tcW w:w="7753" w:type="dxa"/>
            <w:gridSpan w:val="2"/>
            <w:shd w:val="clear" w:color="auto" w:fill="auto"/>
            <w:vAlign w:val="center"/>
          </w:tcPr>
          <w:p w14:paraId="3EBF5BB2">
            <w:pPr>
              <w:adjustRightInd w:val="0"/>
              <w:snapToGrid w:val="0"/>
              <w:jc w:val="center"/>
              <w:rPr>
                <w:rFonts w:ascii="Times New Roman" w:hAnsi="Times New Roman" w:cs="Times New Roman"/>
                <w:color w:val="000000"/>
                <w:szCs w:val="21"/>
                <w:shd w:val="clear" w:color="auto" w:fill="FFFFFF"/>
              </w:rPr>
            </w:pPr>
            <w:r>
              <w:rPr>
                <w:color w:val="000000"/>
                <w:position w:val="-22"/>
                <w:shd w:val="clear" w:color="auto" w:fill="FFFFFF"/>
              </w:rPr>
              <w:object>
                <v:shape id="_x0000_i1080" o:spt="75" type="#_x0000_t75" style="height:25.6pt;width:93.3pt;" o:ole="t" filled="f" o:preferrelative="t" stroked="f" coordsize="21600,21600">
                  <v:path/>
                  <v:fill on="f" focussize="0,0"/>
                  <v:stroke on="f" joinstyle="miter"/>
                  <v:imagedata r:id="rId121" o:title=""/>
                  <o:lock v:ext="edit" aspectratio="t"/>
                  <w10:wrap type="none"/>
                  <w10:anchorlock/>
                </v:shape>
                <o:OLEObject Type="Embed" ProgID="Equation.DSMT4" ShapeID="_x0000_i1080" DrawAspect="Content" ObjectID="_1468075780" r:id="rId120">
                  <o:LockedField>false</o:LockedField>
                </o:OLEObject>
              </w:object>
            </w:r>
          </w:p>
        </w:tc>
        <w:tc>
          <w:tcPr>
            <w:tcW w:w="1128" w:type="dxa"/>
            <w:shd w:val="clear" w:color="auto" w:fill="auto"/>
            <w:vAlign w:val="center"/>
          </w:tcPr>
          <w:p w14:paraId="4E2D80B6">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position w:val="-12"/>
                <w:szCs w:val="21"/>
                <w:shd w:val="clear" w:color="auto" w:fill="FFFFFF"/>
              </w:rPr>
              <w:t>(</w:t>
            </w:r>
            <w:r>
              <w:rPr>
                <w:rFonts w:hint="eastAsia" w:ascii="Times New Roman" w:hAnsi="Times New Roman" w:cs="Times New Roman"/>
                <w:color w:val="000000"/>
                <w:position w:val="-12"/>
                <w:szCs w:val="21"/>
                <w:shd w:val="clear" w:color="auto" w:fill="FFFFFF"/>
              </w:rPr>
              <w:t>11</w:t>
            </w:r>
            <w:r>
              <w:rPr>
                <w:rFonts w:ascii="Times New Roman" w:hAnsi="Times New Roman" w:cs="Times New Roman"/>
                <w:color w:val="000000"/>
                <w:position w:val="-12"/>
                <w:szCs w:val="21"/>
                <w:shd w:val="clear" w:color="auto" w:fill="FFFFFF"/>
              </w:rPr>
              <w:t>)</w:t>
            </w:r>
          </w:p>
        </w:tc>
      </w:tr>
      <w:tr w14:paraId="4A389679">
        <w:tblPrEx>
          <w:tblCellMar>
            <w:top w:w="0" w:type="dxa"/>
            <w:left w:w="108" w:type="dxa"/>
            <w:bottom w:w="0" w:type="dxa"/>
            <w:right w:w="108" w:type="dxa"/>
          </w:tblCellMar>
        </w:tblPrEx>
        <w:trPr>
          <w:trHeight w:val="567" w:hRule="atLeast"/>
        </w:trPr>
        <w:tc>
          <w:tcPr>
            <w:tcW w:w="747" w:type="dxa"/>
            <w:shd w:val="clear" w:color="auto" w:fill="auto"/>
            <w:vAlign w:val="center"/>
          </w:tcPr>
          <w:p w14:paraId="53C96824">
            <w:pPr>
              <w:adjustRightInd w:val="0"/>
              <w:snapToGrid w:val="0"/>
              <w:jc w:val="center"/>
              <w:rPr>
                <w:rFonts w:ascii="Times New Roman" w:hAnsi="Times New Roman" w:cs="Times New Roman"/>
                <w:color w:val="000000"/>
                <w:szCs w:val="21"/>
                <w:shd w:val="clear" w:color="auto" w:fill="FFFFFF"/>
              </w:rPr>
            </w:pPr>
          </w:p>
        </w:tc>
        <w:tc>
          <w:tcPr>
            <w:tcW w:w="7753" w:type="dxa"/>
            <w:gridSpan w:val="2"/>
            <w:shd w:val="clear" w:color="auto" w:fill="auto"/>
            <w:vAlign w:val="center"/>
          </w:tcPr>
          <w:p w14:paraId="70AD0438">
            <w:pPr>
              <w:adjustRightInd w:val="0"/>
              <w:snapToGrid w:val="0"/>
              <w:jc w:val="center"/>
              <w:rPr>
                <w:color w:val="000000"/>
                <w:shd w:val="clear" w:color="auto" w:fill="FFFFFF"/>
              </w:rPr>
            </w:pPr>
            <w:r>
              <w:rPr>
                <w:color w:val="000000"/>
                <w:position w:val="-22"/>
                <w:shd w:val="clear" w:color="auto" w:fill="FFFFFF"/>
              </w:rPr>
              <w:object>
                <v:shape id="_x0000_i1081" o:spt="75" type="#_x0000_t75" style="height:25.6pt;width:67.75pt;" o:ole="t" filled="f" o:preferrelative="t" stroked="f" coordsize="21600,21600">
                  <v:path/>
                  <v:fill on="f" focussize="0,0"/>
                  <v:stroke on="f" joinstyle="miter"/>
                  <v:imagedata r:id="rId123" o:title=""/>
                  <o:lock v:ext="edit" aspectratio="t"/>
                  <w10:wrap type="none"/>
                  <w10:anchorlock/>
                </v:shape>
                <o:OLEObject Type="Embed" ProgID="Equation.DSMT4" ShapeID="_x0000_i1081" DrawAspect="Content" ObjectID="_1468075781" r:id="rId122">
                  <o:LockedField>false</o:LockedField>
                </o:OLEObject>
              </w:object>
            </w:r>
          </w:p>
        </w:tc>
        <w:tc>
          <w:tcPr>
            <w:tcW w:w="1128" w:type="dxa"/>
            <w:shd w:val="clear" w:color="auto" w:fill="auto"/>
            <w:vAlign w:val="center"/>
          </w:tcPr>
          <w:p w14:paraId="3887BBB3">
            <w:pPr>
              <w:adjustRightInd w:val="0"/>
              <w:snapToGrid w:val="0"/>
              <w:jc w:val="center"/>
              <w:rPr>
                <w:rFonts w:ascii="Times New Roman" w:hAnsi="Times New Roman" w:cs="Times New Roman"/>
                <w:color w:val="000000"/>
                <w:position w:val="-12"/>
                <w:szCs w:val="21"/>
                <w:shd w:val="clear" w:color="auto" w:fill="FFFFFF"/>
              </w:rPr>
            </w:pPr>
            <w:r>
              <w:rPr>
                <w:rFonts w:hint="eastAsia" w:ascii="Times New Roman" w:hAnsi="Times New Roman" w:cs="Times New Roman"/>
                <w:color w:val="000000"/>
                <w:position w:val="-12"/>
                <w:szCs w:val="21"/>
                <w:shd w:val="clear" w:color="auto" w:fill="FFFFFF"/>
              </w:rPr>
              <w:t>(12)</w:t>
            </w:r>
          </w:p>
        </w:tc>
      </w:tr>
      <w:tr w14:paraId="2A35B287">
        <w:tblPrEx>
          <w:tblCellMar>
            <w:top w:w="0" w:type="dxa"/>
            <w:left w:w="108" w:type="dxa"/>
            <w:bottom w:w="0" w:type="dxa"/>
            <w:right w:w="108" w:type="dxa"/>
          </w:tblCellMar>
        </w:tblPrEx>
        <w:tc>
          <w:tcPr>
            <w:tcW w:w="4793" w:type="dxa"/>
            <w:gridSpan w:val="2"/>
            <w:shd w:val="clear" w:color="auto" w:fill="auto"/>
            <w:vAlign w:val="center"/>
          </w:tcPr>
          <w:p w14:paraId="6F185936">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1871980" cy="1708150"/>
                  <wp:effectExtent l="0" t="0" r="0" b="6350"/>
                  <wp:docPr id="982190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90229" name="图片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1872000" cy="1708474"/>
                          </a:xfrm>
                          <a:prstGeom prst="rect">
                            <a:avLst/>
                          </a:prstGeom>
                          <a:noFill/>
                          <a:ln>
                            <a:noFill/>
                          </a:ln>
                        </pic:spPr>
                      </pic:pic>
                    </a:graphicData>
                  </a:graphic>
                </wp:inline>
              </w:drawing>
            </w:r>
          </w:p>
        </w:tc>
        <w:tc>
          <w:tcPr>
            <w:tcW w:w="4835" w:type="dxa"/>
            <w:gridSpan w:val="2"/>
            <w:shd w:val="clear" w:color="auto" w:fill="auto"/>
            <w:vAlign w:val="center"/>
          </w:tcPr>
          <w:p w14:paraId="1423530C">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1871980" cy="1675130"/>
                  <wp:effectExtent l="0" t="0" r="0" b="1270"/>
                  <wp:docPr id="10464034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03448" name="图片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872000" cy="1675551"/>
                          </a:xfrm>
                          <a:prstGeom prst="rect">
                            <a:avLst/>
                          </a:prstGeom>
                          <a:noFill/>
                          <a:ln>
                            <a:noFill/>
                          </a:ln>
                        </pic:spPr>
                      </pic:pic>
                    </a:graphicData>
                  </a:graphic>
                </wp:inline>
              </w:drawing>
            </w:r>
          </w:p>
        </w:tc>
      </w:tr>
      <w:tr w14:paraId="6347EDBF">
        <w:tblPrEx>
          <w:tblCellMar>
            <w:top w:w="0" w:type="dxa"/>
            <w:left w:w="108" w:type="dxa"/>
            <w:bottom w:w="0" w:type="dxa"/>
            <w:right w:w="108" w:type="dxa"/>
          </w:tblCellMar>
        </w:tblPrEx>
        <w:tc>
          <w:tcPr>
            <w:tcW w:w="4793" w:type="dxa"/>
            <w:gridSpan w:val="2"/>
            <w:shd w:val="clear" w:color="auto" w:fill="auto"/>
            <w:vAlign w:val="center"/>
          </w:tcPr>
          <w:p w14:paraId="17DE2736">
            <w:pPr>
              <w:adjustRightInd w:val="0"/>
              <w:snapToGrid w:val="0"/>
              <w:jc w:val="center"/>
              <w:rPr>
                <w:rFonts w:ascii="Times New Roman" w:hAnsi="Times New Roman" w:cs="Times New Roman"/>
                <w:color w:val="000000"/>
                <w:position w:val="-12"/>
                <w:sz w:val="15"/>
                <w:szCs w:val="15"/>
                <w:shd w:val="clear" w:color="auto" w:fill="FFFFFF"/>
              </w:rPr>
            </w:pPr>
            <w:r>
              <w:rPr>
                <w:rFonts w:ascii="Times New Roman" w:hAnsi="Times New Roman" w:cs="Times New Roman"/>
                <w:color w:val="000000"/>
                <w:sz w:val="15"/>
                <w:szCs w:val="15"/>
                <w:shd w:val="clear" w:color="auto" w:fill="FFFFFF"/>
              </w:rPr>
              <w:t>(a)叠加驱动工况</w:t>
            </w:r>
          </w:p>
        </w:tc>
        <w:tc>
          <w:tcPr>
            <w:tcW w:w="4835" w:type="dxa"/>
            <w:gridSpan w:val="2"/>
            <w:shd w:val="clear" w:color="auto" w:fill="auto"/>
            <w:vAlign w:val="center"/>
          </w:tcPr>
          <w:p w14:paraId="40930587">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(b)反向驱动工况</w:t>
            </w:r>
          </w:p>
        </w:tc>
      </w:tr>
      <w:tr w14:paraId="067F53D8">
        <w:tblPrEx>
          <w:tblCellMar>
            <w:top w:w="0" w:type="dxa"/>
            <w:left w:w="108" w:type="dxa"/>
            <w:bottom w:w="0" w:type="dxa"/>
            <w:right w:w="108" w:type="dxa"/>
          </w:tblCellMar>
        </w:tblPrEx>
        <w:tc>
          <w:tcPr>
            <w:tcW w:w="9628" w:type="dxa"/>
            <w:gridSpan w:val="4"/>
            <w:shd w:val="clear" w:color="auto" w:fill="auto"/>
            <w:vAlign w:val="center"/>
          </w:tcPr>
          <w:p w14:paraId="5978B331">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 xml:space="preserve">图2 </w:t>
            </w:r>
            <w:r>
              <w:rPr>
                <w:rFonts w:hint="eastAsia" w:eastAsia="黑体" w:cs="Times New Roman"/>
                <w:b w:val="0"/>
                <w:color w:val="000000"/>
                <w:sz w:val="18"/>
                <w:szCs w:val="18"/>
                <w:shd w:val="clear" w:color="auto" w:fill="FFFFFF"/>
              </w:rPr>
              <w:t>三维</w:t>
            </w:r>
            <w:r>
              <w:rPr>
                <w:rFonts w:eastAsia="黑体" w:cs="Times New Roman"/>
                <w:b w:val="0"/>
                <w:color w:val="000000"/>
                <w:sz w:val="18"/>
                <w:szCs w:val="18"/>
                <w:shd w:val="clear" w:color="auto" w:fill="FFFFFF"/>
              </w:rPr>
              <w:t>双扩散对流等温面</w:t>
            </w:r>
            <w:r>
              <w:rPr>
                <w:rFonts w:hint="eastAsia" w:eastAsia="黑体" w:cs="Times New Roman"/>
                <w:b w:val="0"/>
                <w:color w:val="000000"/>
                <w:sz w:val="18"/>
                <w:szCs w:val="18"/>
                <w:shd w:val="clear" w:color="auto" w:fill="FFFFFF"/>
              </w:rPr>
              <w:t>分布</w:t>
            </w:r>
          </w:p>
        </w:tc>
      </w:tr>
      <w:tr w14:paraId="30BD3FF4">
        <w:tblPrEx>
          <w:tblCellMar>
            <w:top w:w="0" w:type="dxa"/>
            <w:left w:w="108" w:type="dxa"/>
            <w:bottom w:w="0" w:type="dxa"/>
            <w:right w:w="108" w:type="dxa"/>
          </w:tblCellMar>
        </w:tblPrEx>
        <w:tc>
          <w:tcPr>
            <w:tcW w:w="9628" w:type="dxa"/>
            <w:gridSpan w:val="4"/>
            <w:shd w:val="clear" w:color="auto" w:fill="auto"/>
            <w:vAlign w:val="center"/>
          </w:tcPr>
          <w:p w14:paraId="5DC02E4E">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Fig.2 Three-dimensional distribution of double-diffusion convective isothermal surface</w:t>
            </w:r>
          </w:p>
        </w:tc>
      </w:tr>
    </w:tbl>
    <w:p w14:paraId="674B3068">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本文计算了叠加工况下右壁面(热壁)局部Nusselt数</w:t>
      </w:r>
      <w:r>
        <w:rPr>
          <w:rFonts w:hint="eastAsia" w:ascii="Times New Roman" w:hAnsi="Times New Roman"/>
          <w:color w:val="000000"/>
          <w:szCs w:val="21"/>
          <w:shd w:val="clear" w:color="auto" w:fill="FFFFFF"/>
        </w:rPr>
        <w:t>与局部Sherwood数</w:t>
      </w:r>
      <w:r>
        <w:rPr>
          <w:rFonts w:ascii="Times New Roman" w:hAnsi="Times New Roman"/>
          <w:color w:val="000000"/>
          <w:szCs w:val="21"/>
          <w:shd w:val="clear" w:color="auto" w:fill="FFFFFF"/>
        </w:rPr>
        <w:t>，并将其垂向变化曲线绘制于图</w:t>
      </w:r>
      <w:r>
        <w:rPr>
          <w:rFonts w:hint="eastAsia" w:ascii="Times New Roman" w:hAnsi="Times New Roman"/>
          <w:color w:val="000000"/>
          <w:szCs w:val="21"/>
          <w:shd w:val="clear" w:color="auto" w:fill="FFFFFF"/>
        </w:rPr>
        <w:t>3</w:t>
      </w:r>
      <w:r>
        <w:rPr>
          <w:rFonts w:ascii="Times New Roman" w:hAnsi="Times New Roman"/>
          <w:color w:val="000000"/>
          <w:szCs w:val="21"/>
          <w:shd w:val="clear" w:color="auto" w:fill="FFFFFF"/>
        </w:rPr>
        <w:t>中。</w:t>
      </w:r>
      <w:r>
        <w:rPr>
          <w:rFonts w:hint="eastAsia" w:ascii="Times New Roman" w:hAnsi="Times New Roman"/>
          <w:color w:val="000000"/>
          <w:szCs w:val="21"/>
          <w:shd w:val="clear" w:color="auto" w:fill="FFFFFF"/>
        </w:rPr>
        <w:t>对比可知</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见图3</w:t>
      </w:r>
      <w:r>
        <w:rPr>
          <w:rFonts w:ascii="Times New Roman" w:hAnsi="Times New Roman"/>
          <w:color w:val="000000"/>
          <w:szCs w:val="21"/>
          <w:shd w:val="clear" w:color="auto" w:fill="FFFFFF"/>
        </w:rPr>
        <w:t>)，仅在右壁</w:t>
      </w:r>
      <w:r>
        <w:rPr>
          <w:rFonts w:hint="eastAsia" w:ascii="Times New Roman" w:hAnsi="Times New Roman"/>
          <w:color w:val="000000"/>
          <w:szCs w:val="21"/>
          <w:shd w:val="clear" w:color="auto" w:fill="FFFFFF"/>
        </w:rPr>
        <w:t>面的</w:t>
      </w:r>
      <w:r>
        <w:rPr>
          <w:rFonts w:ascii="Times New Roman" w:hAnsi="Times New Roman"/>
          <w:color w:val="000000"/>
          <w:szCs w:val="21"/>
          <w:shd w:val="clear" w:color="auto" w:fill="FFFFFF"/>
        </w:rPr>
        <w:t>上</w:t>
      </w:r>
      <w:r>
        <w:rPr>
          <w:rFonts w:hint="eastAsia" w:ascii="Times New Roman" w:hAnsi="Times New Roman"/>
          <w:color w:val="000000"/>
          <w:szCs w:val="21"/>
          <w:shd w:val="clear" w:color="auto" w:fill="FFFFFF"/>
        </w:rPr>
        <w:t>角点和</w:t>
      </w:r>
      <w:r>
        <w:rPr>
          <w:rFonts w:ascii="Times New Roman" w:hAnsi="Times New Roman"/>
          <w:color w:val="000000"/>
          <w:szCs w:val="21"/>
          <w:shd w:val="clear" w:color="auto" w:fill="FFFFFF"/>
        </w:rPr>
        <w:t>下角点附近</w:t>
      </w:r>
      <w:r>
        <w:rPr>
          <w:rFonts w:hint="eastAsia" w:ascii="Times New Roman" w:hAnsi="Times New Roman"/>
          <w:color w:val="000000"/>
          <w:szCs w:val="21"/>
          <w:shd w:val="clear" w:color="auto" w:fill="FFFFFF"/>
        </w:rPr>
        <w:t>略</w:t>
      </w:r>
      <w:r>
        <w:rPr>
          <w:rFonts w:ascii="Times New Roman" w:hAnsi="Times New Roman"/>
          <w:color w:val="000000"/>
          <w:szCs w:val="21"/>
          <w:shd w:val="clear" w:color="auto" w:fill="FFFFFF"/>
        </w:rPr>
        <w:t>有不同</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最大相对误差</w:t>
      </w:r>
      <w:r>
        <w:rPr>
          <w:rFonts w:hint="eastAsia" w:ascii="Times New Roman" w:hAnsi="Times New Roman"/>
          <w:color w:val="000000"/>
          <w:szCs w:val="21"/>
          <w:shd w:val="clear" w:color="auto" w:fill="FFFFFF"/>
        </w:rPr>
        <w:t>仅</w:t>
      </w:r>
      <w:r>
        <w:rPr>
          <w:rFonts w:ascii="Times New Roman" w:hAnsi="Times New Roman"/>
          <w:color w:val="000000"/>
          <w:szCs w:val="21"/>
          <w:shd w:val="clear" w:color="auto" w:fill="FFFFFF"/>
        </w:rPr>
        <w:t>为1.72%。</w:t>
      </w:r>
    </w:p>
    <w:tbl>
      <w:tblPr>
        <w:tblStyle w:val="16"/>
        <w:tblW w:w="5000" w:type="pct"/>
        <w:tblInd w:w="0" w:type="dxa"/>
        <w:tblLayout w:type="autofit"/>
        <w:tblCellMar>
          <w:top w:w="0" w:type="dxa"/>
          <w:left w:w="108" w:type="dxa"/>
          <w:bottom w:w="0" w:type="dxa"/>
          <w:right w:w="108" w:type="dxa"/>
        </w:tblCellMar>
      </w:tblPr>
      <w:tblGrid>
        <w:gridCol w:w="8522"/>
      </w:tblGrid>
      <w:tr w14:paraId="1B34B3E0">
        <w:tblPrEx>
          <w:tblCellMar>
            <w:top w:w="0" w:type="dxa"/>
            <w:left w:w="108" w:type="dxa"/>
            <w:bottom w:w="0" w:type="dxa"/>
            <w:right w:w="108" w:type="dxa"/>
          </w:tblCellMar>
        </w:tblPrEx>
        <w:tc>
          <w:tcPr>
            <w:tcW w:w="5000" w:type="pct"/>
            <w:shd w:val="clear" w:color="auto" w:fill="auto"/>
            <w:vAlign w:val="center"/>
          </w:tcPr>
          <w:p w14:paraId="4A8CEB89">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1997710" cy="1627505"/>
                  <wp:effectExtent l="0" t="0" r="2540" b="0"/>
                  <wp:docPr id="424159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59673" name="图片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037693" cy="1659970"/>
                          </a:xfrm>
                          <a:prstGeom prst="rect">
                            <a:avLst/>
                          </a:prstGeom>
                          <a:noFill/>
                          <a:ln>
                            <a:noFill/>
                          </a:ln>
                        </pic:spPr>
                      </pic:pic>
                    </a:graphicData>
                  </a:graphic>
                </wp:inline>
              </w:drawing>
            </w:r>
          </w:p>
        </w:tc>
      </w:tr>
      <w:tr w14:paraId="2A14A1F2">
        <w:tblPrEx>
          <w:tblCellMar>
            <w:top w:w="0" w:type="dxa"/>
            <w:left w:w="108" w:type="dxa"/>
            <w:bottom w:w="0" w:type="dxa"/>
            <w:right w:w="108" w:type="dxa"/>
          </w:tblCellMar>
        </w:tblPrEx>
        <w:tc>
          <w:tcPr>
            <w:tcW w:w="5000" w:type="pct"/>
            <w:shd w:val="clear" w:color="auto" w:fill="auto"/>
            <w:vAlign w:val="center"/>
          </w:tcPr>
          <w:p w14:paraId="4FE54854">
            <w:pPr>
              <w:pStyle w:val="7"/>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w:t>
            </w:r>
            <w:r>
              <w:rPr>
                <w:rFonts w:hint="eastAsia" w:eastAsia="黑体" w:cs="Times New Roman"/>
                <w:b w:val="0"/>
                <w:color w:val="000000"/>
                <w:sz w:val="18"/>
                <w:szCs w:val="18"/>
                <w:shd w:val="clear" w:color="auto" w:fill="FFFFFF"/>
              </w:rPr>
              <w:t>3右</w:t>
            </w:r>
            <w:r>
              <w:rPr>
                <w:rFonts w:eastAsia="黑体" w:cs="Times New Roman"/>
                <w:b w:val="0"/>
                <w:color w:val="000000"/>
                <w:sz w:val="18"/>
                <w:szCs w:val="18"/>
                <w:shd w:val="clear" w:color="auto" w:fill="FFFFFF"/>
              </w:rPr>
              <w:t>壁</w:t>
            </w:r>
            <w:r>
              <w:rPr>
                <w:rFonts w:hint="eastAsia" w:eastAsia="黑体" w:cs="Times New Roman"/>
                <w:b w:val="0"/>
                <w:color w:val="000000"/>
                <w:sz w:val="18"/>
                <w:szCs w:val="18"/>
                <w:shd w:val="clear" w:color="auto" w:fill="FFFFFF"/>
              </w:rPr>
              <w:t xml:space="preserve">局部 </w:t>
            </w:r>
            <w:r>
              <w:rPr>
                <w:rFonts w:eastAsia="黑体" w:cs="Times New Roman"/>
                <w:b w:val="0"/>
                <w:i/>
                <w:iCs/>
                <w:color w:val="000000"/>
                <w:sz w:val="18"/>
                <w:szCs w:val="18"/>
                <w:shd w:val="clear" w:color="auto" w:fill="FFFFFF"/>
              </w:rPr>
              <w:t>Nu</w:t>
            </w:r>
            <w:r>
              <w:rPr>
                <w:rFonts w:hint="eastAsia" w:eastAsia="黑体" w:cs="Times New Roman"/>
                <w:b w:val="0"/>
                <w:color w:val="000000"/>
                <w:sz w:val="18"/>
                <w:szCs w:val="18"/>
                <w:shd w:val="clear" w:color="auto" w:fill="FFFFFF"/>
              </w:rPr>
              <w:t>数</w:t>
            </w:r>
            <w:r>
              <w:rPr>
                <w:rFonts w:eastAsia="黑体" w:cs="Times New Roman"/>
                <w:b w:val="0"/>
                <w:color w:val="000000"/>
                <w:sz w:val="18"/>
                <w:szCs w:val="18"/>
                <w:shd w:val="clear" w:color="auto" w:fill="FFFFFF"/>
              </w:rPr>
              <w:t>/</w:t>
            </w:r>
            <w:r>
              <w:rPr>
                <w:rFonts w:eastAsia="黑体" w:cs="Times New Roman"/>
                <w:b w:val="0"/>
                <w:i/>
                <w:iCs/>
                <w:color w:val="000000"/>
                <w:sz w:val="18"/>
                <w:szCs w:val="18"/>
                <w:shd w:val="clear" w:color="auto" w:fill="FFFFFF"/>
              </w:rPr>
              <w:t>S</w:t>
            </w:r>
            <w:r>
              <w:rPr>
                <w:rFonts w:hint="eastAsia" w:eastAsia="黑体" w:cs="Times New Roman"/>
                <w:b w:val="0"/>
                <w:i/>
                <w:iCs/>
                <w:color w:val="000000"/>
                <w:sz w:val="18"/>
                <w:szCs w:val="18"/>
                <w:shd w:val="clear" w:color="auto" w:fill="FFFFFF"/>
              </w:rPr>
              <w:t xml:space="preserve">h </w:t>
            </w:r>
            <w:r>
              <w:rPr>
                <w:rFonts w:hint="eastAsia" w:eastAsia="黑体" w:cs="Times New Roman"/>
                <w:b w:val="0"/>
                <w:color w:val="000000"/>
                <w:sz w:val="18"/>
                <w:szCs w:val="18"/>
                <w:shd w:val="clear" w:color="auto" w:fill="FFFFFF"/>
              </w:rPr>
              <w:t>数分布(</w:t>
            </w:r>
            <w:r>
              <w:rPr>
                <w:rFonts w:eastAsia="黑体" w:cs="Times New Roman"/>
                <w:b w:val="0"/>
                <w:color w:val="000000"/>
                <w:sz w:val="18"/>
                <w:szCs w:val="18"/>
                <w:shd w:val="clear" w:color="auto" w:fill="FFFFFF"/>
              </w:rPr>
              <w:t>叠加驱动工况</w:t>
            </w:r>
            <w:r>
              <w:rPr>
                <w:rFonts w:hint="eastAsia" w:eastAsia="黑体" w:cs="Times New Roman"/>
                <w:b w:val="0"/>
                <w:color w:val="000000"/>
                <w:sz w:val="18"/>
                <w:szCs w:val="18"/>
                <w:shd w:val="clear" w:color="auto" w:fill="FFFFFF"/>
              </w:rPr>
              <w:t>)</w:t>
            </w:r>
          </w:p>
        </w:tc>
      </w:tr>
      <w:tr w14:paraId="2A954D54">
        <w:tblPrEx>
          <w:tblCellMar>
            <w:top w:w="0" w:type="dxa"/>
            <w:left w:w="108" w:type="dxa"/>
            <w:bottom w:w="0" w:type="dxa"/>
            <w:right w:w="108" w:type="dxa"/>
          </w:tblCellMar>
        </w:tblPrEx>
        <w:tc>
          <w:tcPr>
            <w:tcW w:w="5000" w:type="pct"/>
            <w:shd w:val="clear" w:color="auto" w:fill="auto"/>
            <w:vAlign w:val="center"/>
          </w:tcPr>
          <w:p w14:paraId="74959C2D">
            <w:pPr>
              <w:pStyle w:val="7"/>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 xml:space="preserve">Fig.3 Local </w:t>
            </w:r>
            <w:r>
              <w:rPr>
                <w:rFonts w:eastAsia="黑体" w:cs="Times New Roman"/>
                <w:b w:val="0"/>
                <w:i/>
                <w:iCs/>
                <w:color w:val="000000"/>
                <w:sz w:val="18"/>
                <w:szCs w:val="18"/>
                <w:shd w:val="clear" w:color="auto" w:fill="FFFFFF"/>
              </w:rPr>
              <w:t>Nu</w:t>
            </w:r>
            <w:r>
              <w:rPr>
                <w:rFonts w:eastAsia="黑体" w:cs="Times New Roman"/>
                <w:b w:val="0"/>
                <w:color w:val="000000"/>
                <w:sz w:val="18"/>
                <w:szCs w:val="18"/>
                <w:shd w:val="clear" w:color="auto" w:fill="FFFFFF"/>
              </w:rPr>
              <w:t>/</w:t>
            </w:r>
            <w:r>
              <w:rPr>
                <w:rFonts w:eastAsia="黑体" w:cs="Times New Roman"/>
                <w:b w:val="0"/>
                <w:i/>
                <w:iCs/>
                <w:color w:val="000000"/>
                <w:sz w:val="18"/>
                <w:szCs w:val="18"/>
                <w:shd w:val="clear" w:color="auto" w:fill="FFFFFF"/>
              </w:rPr>
              <w:t>S</w:t>
            </w:r>
            <w:r>
              <w:rPr>
                <w:rFonts w:hint="eastAsia" w:eastAsia="黑体" w:cs="Times New Roman"/>
                <w:b w:val="0"/>
                <w:i/>
                <w:iCs/>
                <w:color w:val="000000"/>
                <w:sz w:val="18"/>
                <w:szCs w:val="18"/>
                <w:shd w:val="clear" w:color="auto" w:fill="FFFFFF"/>
              </w:rPr>
              <w:t>h</w:t>
            </w:r>
            <w:r>
              <w:rPr>
                <w:rFonts w:eastAsia="黑体" w:cs="Times New Roman"/>
                <w:b w:val="0"/>
                <w:color w:val="000000"/>
                <w:sz w:val="18"/>
                <w:szCs w:val="18"/>
                <w:shd w:val="clear" w:color="auto" w:fill="FFFFFF"/>
              </w:rPr>
              <w:t xml:space="preserve"> distribution on the right wall (superimposed driving case)</w:t>
            </w:r>
          </w:p>
        </w:tc>
      </w:tr>
    </w:tbl>
    <w:p w14:paraId="0648E35F">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在温度Rayleigh数为 10</w:t>
      </w:r>
      <w:r>
        <w:rPr>
          <w:rFonts w:ascii="Times New Roman" w:hAnsi="Times New Roman"/>
          <w:color w:val="000000"/>
          <w:szCs w:val="21"/>
          <w:shd w:val="clear" w:color="auto" w:fill="FFFFFF"/>
          <w:vertAlign w:val="superscript"/>
        </w:rPr>
        <w:t>7</w:t>
      </w:r>
      <w:r>
        <w:rPr>
          <w:rFonts w:ascii="Times New Roman" w:hAnsi="Times New Roman"/>
          <w:color w:val="000000"/>
          <w:szCs w:val="21"/>
          <w:shd w:val="clear" w:color="auto" w:fill="FFFFFF"/>
        </w:rPr>
        <w:t>，浓度Rayleigh数分别为 10</w:t>
      </w:r>
      <w:r>
        <w:rPr>
          <w:rFonts w:ascii="Times New Roman" w:hAnsi="Times New Roman"/>
          <w:color w:val="000000"/>
          <w:szCs w:val="21"/>
          <w:shd w:val="clear" w:color="auto" w:fill="FFFFFF"/>
          <w:vertAlign w:val="superscript"/>
        </w:rPr>
        <w:t>6</w:t>
      </w:r>
      <w:r>
        <w:rPr>
          <w:rFonts w:ascii="Times New Roman" w:hAnsi="Times New Roman"/>
          <w:color w:val="000000"/>
          <w:szCs w:val="21"/>
          <w:shd w:val="clear" w:color="auto" w:fill="FFFFFF"/>
        </w:rPr>
        <w:t>、5</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10</w:t>
      </w:r>
      <w:r>
        <w:rPr>
          <w:rFonts w:ascii="Times New Roman" w:hAnsi="Times New Roman"/>
          <w:color w:val="000000"/>
          <w:szCs w:val="21"/>
          <w:shd w:val="clear" w:color="auto" w:fill="FFFFFF"/>
          <w:vertAlign w:val="superscript"/>
        </w:rPr>
        <w:t>6</w:t>
      </w:r>
      <w:r>
        <w:rPr>
          <w:rFonts w:ascii="Times New Roman" w:hAnsi="Times New Roman"/>
          <w:color w:val="000000"/>
          <w:szCs w:val="21"/>
          <w:shd w:val="clear" w:color="auto" w:fill="FFFFFF"/>
        </w:rPr>
        <w:t>、1.5</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10</w:t>
      </w:r>
      <w:r>
        <w:rPr>
          <w:rFonts w:ascii="Times New Roman" w:hAnsi="Times New Roman"/>
          <w:color w:val="000000"/>
          <w:szCs w:val="21"/>
          <w:shd w:val="clear" w:color="auto" w:fill="FFFFFF"/>
          <w:vertAlign w:val="superscript"/>
        </w:rPr>
        <w:t>7</w:t>
      </w:r>
      <w:r>
        <w:rPr>
          <w:rFonts w:ascii="Times New Roman" w:hAnsi="Times New Roman"/>
          <w:color w:val="000000"/>
          <w:szCs w:val="21"/>
          <w:shd w:val="clear" w:color="auto" w:fill="FFFFFF"/>
        </w:rPr>
        <w:t>和 5</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10</w:t>
      </w:r>
      <w:r>
        <w:rPr>
          <w:rFonts w:ascii="Times New Roman" w:hAnsi="Times New Roman"/>
          <w:color w:val="000000"/>
          <w:szCs w:val="21"/>
          <w:shd w:val="clear" w:color="auto" w:fill="FFFFFF"/>
          <w:vertAlign w:val="superscript"/>
        </w:rPr>
        <w:t>7</w:t>
      </w:r>
      <w:r>
        <w:rPr>
          <w:rFonts w:ascii="Times New Roman" w:hAnsi="Times New Roman"/>
          <w:color w:val="000000"/>
          <w:szCs w:val="21"/>
          <w:shd w:val="clear" w:color="auto" w:fill="FFFFFF"/>
        </w:rPr>
        <w:t>的四组工况下，对反向驱动双扩散自然对流进行了三维数值模拟，并计算右热壁的平均Nusselt数和平均Sherwood数，结果</w:t>
      </w:r>
      <w:r>
        <w:rPr>
          <w:rFonts w:hint="eastAsia" w:ascii="Times New Roman" w:hAnsi="Times New Roman"/>
          <w:color w:val="000000"/>
          <w:szCs w:val="21"/>
          <w:shd w:val="clear" w:color="auto" w:fill="FFFFFF"/>
        </w:rPr>
        <w:t>如</w:t>
      </w:r>
      <w:r>
        <w:rPr>
          <w:rFonts w:ascii="Times New Roman" w:hAnsi="Times New Roman"/>
          <w:color w:val="000000"/>
          <w:szCs w:val="21"/>
          <w:shd w:val="clear" w:color="auto" w:fill="FFFFFF"/>
        </w:rPr>
        <w:t>表</w:t>
      </w:r>
      <w:r>
        <w:rPr>
          <w:rFonts w:hint="eastAsia" w:ascii="Times New Roman" w:hAnsi="Times New Roman"/>
          <w:color w:val="000000"/>
          <w:szCs w:val="21"/>
          <w:shd w:val="clear" w:color="auto" w:fill="FFFFFF"/>
        </w:rPr>
        <w:t>2所列</w:t>
      </w:r>
      <w:r>
        <w:rPr>
          <w:rFonts w:ascii="Times New Roman" w:hAnsi="Times New Roman"/>
          <w:color w:val="000000"/>
          <w:szCs w:val="21"/>
          <w:shd w:val="clear" w:color="auto" w:fill="FFFFFF"/>
        </w:rPr>
        <w:t>。计算结果与文献数据吻合良好，相对误差均在0.8%以内，表明模型具有较高的计算精度与稳定性。该双扩散自然对流算例为封闭空腔流动，采用无滑移固壁边界，可用于检验模型在浮力驱动下热质传递的数值正确性。尽管实际河库工程为开口边界的非定常流动，但其控制方程与耦合机制与验证算例一致，因此通过固壁算例的数值验证可充分证明模型的可靠性与适用性。</w:t>
      </w:r>
    </w:p>
    <w:p w14:paraId="55BFDD18">
      <w:pPr>
        <w:adjustRightInd w:val="0"/>
        <w:snapToGrid w:val="0"/>
        <w:jc w:val="center"/>
        <w:rPr>
          <w:rFonts w:ascii="Times New Roman" w:hAnsi="Times New Roman" w:eastAsia="黑体" w:cs="Times New Roman"/>
          <w:bCs/>
          <w:color w:val="000000"/>
          <w:sz w:val="18"/>
          <w:szCs w:val="18"/>
          <w:shd w:val="clear" w:color="auto" w:fill="FFFFFF"/>
        </w:rPr>
      </w:pPr>
      <w:r>
        <w:rPr>
          <w:rFonts w:ascii="Times New Roman" w:hAnsi="Times New Roman" w:eastAsia="黑体" w:cs="Times New Roman"/>
          <w:bCs/>
          <w:color w:val="000000"/>
          <w:sz w:val="18"/>
          <w:szCs w:val="18"/>
          <w:shd w:val="clear" w:color="auto" w:fill="FFFFFF"/>
        </w:rPr>
        <w:t>表</w:t>
      </w:r>
      <w:r>
        <w:rPr>
          <w:rFonts w:hint="eastAsia" w:ascii="Times New Roman" w:hAnsi="Times New Roman" w:eastAsia="黑体" w:cs="Times New Roman"/>
          <w:bCs/>
          <w:color w:val="000000"/>
          <w:sz w:val="18"/>
          <w:szCs w:val="18"/>
          <w:shd w:val="clear" w:color="auto" w:fill="FFFFFF"/>
        </w:rPr>
        <w:t>2</w:t>
      </w:r>
      <w:r>
        <w:rPr>
          <w:rFonts w:ascii="Times New Roman" w:hAnsi="Times New Roman" w:eastAsia="黑体" w:cs="Times New Roman"/>
          <w:bCs/>
          <w:color w:val="000000"/>
          <w:sz w:val="18"/>
          <w:szCs w:val="18"/>
          <w:shd w:val="clear" w:color="auto" w:fill="FFFFFF"/>
        </w:rPr>
        <w:t xml:space="preserve"> 右壁上平均Nusselt数和平均Sherwood数统计</w:t>
      </w:r>
    </w:p>
    <w:p w14:paraId="3C91B32B">
      <w:pPr>
        <w:adjustRightInd w:val="0"/>
        <w:snapToGrid w:val="0"/>
        <w:jc w:val="center"/>
        <w:rPr>
          <w:rFonts w:ascii="Times New Roman" w:hAnsi="Times New Roman" w:eastAsia="黑体" w:cs="Times New Roman"/>
          <w:bCs/>
          <w:color w:val="000000"/>
          <w:sz w:val="18"/>
          <w:szCs w:val="18"/>
          <w:shd w:val="clear" w:color="auto" w:fill="FFFFFF"/>
        </w:rPr>
      </w:pPr>
      <w:r>
        <w:rPr>
          <w:rFonts w:ascii="Times New Roman" w:hAnsi="Times New Roman" w:eastAsia="黑体" w:cs="Times New Roman"/>
          <w:bCs/>
          <w:color w:val="000000"/>
          <w:sz w:val="18"/>
          <w:szCs w:val="18"/>
          <w:shd w:val="clear" w:color="auto" w:fill="FFFFFF"/>
        </w:rPr>
        <w:t xml:space="preserve">Table </w:t>
      </w:r>
      <w:r>
        <w:rPr>
          <w:rFonts w:hint="eastAsia" w:ascii="Times New Roman" w:hAnsi="Times New Roman" w:eastAsia="黑体" w:cs="Times New Roman"/>
          <w:bCs/>
          <w:color w:val="000000"/>
          <w:sz w:val="18"/>
          <w:szCs w:val="18"/>
          <w:shd w:val="clear" w:color="auto" w:fill="FFFFFF"/>
        </w:rPr>
        <w:t>2</w:t>
      </w:r>
      <w:r>
        <w:rPr>
          <w:rFonts w:ascii="Times New Roman" w:hAnsi="Times New Roman" w:eastAsia="黑体" w:cs="Times New Roman"/>
          <w:bCs/>
          <w:color w:val="000000"/>
          <w:sz w:val="18"/>
          <w:szCs w:val="18"/>
          <w:shd w:val="clear" w:color="auto" w:fill="FFFFFF"/>
        </w:rPr>
        <w:t xml:space="preserve"> Statistics of the average Nusselt number and the average Sherwood number on the right wall</w:t>
      </w:r>
    </w:p>
    <w:tbl>
      <w:tblPr>
        <w:tblStyle w:val="16"/>
        <w:tblW w:w="4697" w:type="dxa"/>
        <w:jc w:val="center"/>
        <w:tblBorders>
          <w:top w:val="single" w:color="auto" w:sz="12" w:space="0"/>
          <w:left w:val="none" w:color="auto" w:sz="0" w:space="0"/>
          <w:bottom w:val="single" w:color="auto" w:sz="12" w:space="0"/>
          <w:right w:val="none" w:color="auto" w:sz="0" w:space="0"/>
          <w:insideH w:val="single" w:color="auto" w:sz="8" w:space="0"/>
          <w:insideV w:val="none" w:color="auto" w:sz="0" w:space="0"/>
        </w:tblBorders>
        <w:tblLayout w:type="autofit"/>
        <w:tblCellMar>
          <w:top w:w="0" w:type="dxa"/>
          <w:left w:w="108" w:type="dxa"/>
          <w:bottom w:w="0" w:type="dxa"/>
          <w:right w:w="108" w:type="dxa"/>
        </w:tblCellMar>
      </w:tblPr>
      <w:tblGrid>
        <w:gridCol w:w="1210"/>
        <w:gridCol w:w="935"/>
        <w:gridCol w:w="764"/>
        <w:gridCol w:w="852"/>
        <w:gridCol w:w="936"/>
      </w:tblGrid>
      <w:tr w14:paraId="0AA97811">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shd w:val="clear" w:color="auto" w:fill="auto"/>
            <w:noWrap/>
            <w:vAlign w:val="center"/>
          </w:tcPr>
          <w:p w14:paraId="3C933D1B">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 xml:space="preserve">Rayleigh </w:t>
            </w:r>
            <w:r>
              <w:rPr>
                <w:rFonts w:hint="eastAsia" w:ascii="Times New Roman" w:hAnsi="Times New Roman" w:cs="Times New Roman"/>
                <w:color w:val="000000"/>
                <w:sz w:val="15"/>
                <w:szCs w:val="15"/>
                <w:shd w:val="clear" w:color="auto" w:fill="FFFFFF"/>
              </w:rPr>
              <w:t>数</w:t>
            </w:r>
          </w:p>
        </w:tc>
        <w:tc>
          <w:tcPr>
            <w:tcW w:w="0" w:type="auto"/>
            <w:shd w:val="clear" w:color="auto" w:fill="auto"/>
            <w:noWrap/>
            <w:vAlign w:val="center"/>
          </w:tcPr>
          <w:p w14:paraId="779C0F65">
            <w:pPr>
              <w:widowControl/>
              <w:adjustRightInd w:val="0"/>
              <w:snapToGrid w:val="0"/>
              <w:jc w:val="center"/>
              <w:rPr>
                <w:rFonts w:ascii="Times New Roman" w:hAnsi="Times New Roman" w:cs="Times New Roman"/>
                <w:color w:val="000000"/>
                <w:kern w:val="0"/>
                <w:sz w:val="15"/>
                <w:szCs w:val="15"/>
                <w:shd w:val="clear" w:color="auto" w:fill="FFFFFF"/>
              </w:rPr>
            </w:pPr>
            <w:r>
              <w:rPr>
                <w:rFonts w:hint="eastAsia" w:ascii="Times New Roman" w:hAnsi="Times New Roman" w:cs="Times New Roman"/>
                <w:color w:val="000000"/>
                <w:kern w:val="0"/>
                <w:sz w:val="15"/>
                <w:szCs w:val="15"/>
                <w:shd w:val="clear" w:color="auto" w:fill="FFFFFF"/>
              </w:rPr>
              <w:t>无量纲数</w:t>
            </w:r>
          </w:p>
        </w:tc>
        <w:tc>
          <w:tcPr>
            <w:tcW w:w="0" w:type="auto"/>
            <w:shd w:val="clear" w:color="auto" w:fill="auto"/>
            <w:noWrap/>
            <w:vAlign w:val="center"/>
          </w:tcPr>
          <w:p w14:paraId="390786AF">
            <w:pPr>
              <w:adjustRightInd w:val="0"/>
              <w:snapToGrid w:val="0"/>
              <w:jc w:val="center"/>
              <w:rPr>
                <w:rFonts w:ascii="Times New Roman" w:hAnsi="Times New Roman" w:cs="Times New Roman"/>
                <w:color w:val="000000"/>
                <w:sz w:val="15"/>
                <w:szCs w:val="15"/>
                <w:shd w:val="clear" w:color="auto" w:fill="FFFFFF"/>
              </w:rPr>
            </w:pPr>
            <w:r>
              <w:rPr>
                <w:rFonts w:hint="eastAsia" w:ascii="Times New Roman" w:hAnsi="Times New Roman" w:cs="Times New Roman"/>
                <w:color w:val="000000"/>
                <w:sz w:val="15"/>
                <w:szCs w:val="15"/>
                <w:shd w:val="clear" w:color="auto" w:fill="FFFFFF"/>
              </w:rPr>
              <w:t>计算值</w:t>
            </w:r>
          </w:p>
        </w:tc>
        <w:tc>
          <w:tcPr>
            <w:tcW w:w="0" w:type="auto"/>
            <w:shd w:val="clear" w:color="auto" w:fill="auto"/>
            <w:noWrap/>
            <w:vAlign w:val="center"/>
          </w:tcPr>
          <w:p w14:paraId="70C6BE1D">
            <w:pPr>
              <w:adjustRightInd w:val="0"/>
              <w:snapToGrid w:val="0"/>
              <w:jc w:val="center"/>
              <w:rPr>
                <w:rFonts w:ascii="Times New Roman" w:hAnsi="Times New Roman" w:cs="Times New Roman"/>
                <w:color w:val="000000"/>
                <w:sz w:val="15"/>
                <w:szCs w:val="15"/>
                <w:shd w:val="clear" w:color="auto" w:fill="FFFFFF"/>
              </w:rPr>
            </w:pPr>
            <w:r>
              <w:rPr>
                <w:rFonts w:hint="eastAsia" w:ascii="Times New Roman" w:hAnsi="Times New Roman" w:cs="Times New Roman"/>
                <w:color w:val="000000"/>
                <w:sz w:val="15"/>
                <w:szCs w:val="15"/>
                <w:shd w:val="clear" w:color="auto" w:fill="FFFFFF"/>
              </w:rPr>
              <w:t>文献</w:t>
            </w:r>
            <w:r>
              <w:rPr>
                <w:rFonts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vertAlign w:val="superscript"/>
              </w:rPr>
              <w:t>31</w:t>
            </w:r>
            <w:r>
              <w:rPr>
                <w:rFonts w:ascii="Times New Roman" w:hAnsi="Times New Roman"/>
                <w:color w:val="000000"/>
                <w:szCs w:val="21"/>
                <w:shd w:val="clear" w:color="auto" w:fill="FFFFFF"/>
                <w:vertAlign w:val="superscript"/>
              </w:rPr>
              <w:t>]</w:t>
            </w:r>
          </w:p>
        </w:tc>
        <w:tc>
          <w:tcPr>
            <w:tcW w:w="0" w:type="auto"/>
            <w:shd w:val="clear" w:color="auto" w:fill="auto"/>
            <w:vAlign w:val="center"/>
          </w:tcPr>
          <w:p w14:paraId="137856E0">
            <w:pPr>
              <w:adjustRightInd w:val="0"/>
              <w:snapToGrid w:val="0"/>
              <w:jc w:val="center"/>
              <w:rPr>
                <w:rFonts w:ascii="Times New Roman" w:hAnsi="Times New Roman" w:cs="Times New Roman"/>
                <w:color w:val="000000"/>
                <w:sz w:val="15"/>
                <w:szCs w:val="15"/>
                <w:shd w:val="clear" w:color="auto" w:fill="FFFFFF"/>
              </w:rPr>
            </w:pPr>
            <w:r>
              <w:rPr>
                <w:rFonts w:hint="eastAsia" w:ascii="Times New Roman" w:hAnsi="Times New Roman" w:cs="Times New Roman"/>
                <w:color w:val="000000"/>
                <w:sz w:val="15"/>
                <w:szCs w:val="15"/>
                <w:shd w:val="clear" w:color="auto" w:fill="FFFFFF"/>
              </w:rPr>
              <w:t>相对误差</w:t>
            </w:r>
          </w:p>
        </w:tc>
      </w:tr>
      <w:tr w14:paraId="2767EA5D">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restart"/>
            <w:shd w:val="clear" w:color="auto" w:fill="auto"/>
            <w:noWrap/>
            <w:vAlign w:val="center"/>
          </w:tcPr>
          <w:p w14:paraId="226FC97E">
            <w:pPr>
              <w:adjustRightInd w:val="0"/>
              <w:snapToGrid w:val="0"/>
              <w:jc w:val="center"/>
              <w:rPr>
                <w:rFonts w:ascii="Times New Roman" w:hAnsi="Times New Roman" w:cs="Times New Roman"/>
                <w:color w:val="000000"/>
                <w:sz w:val="15"/>
                <w:szCs w:val="15"/>
                <w:shd w:val="clear" w:color="auto" w:fill="FFFFFF"/>
                <w:vertAlign w:val="superscript"/>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T</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p w14:paraId="3591ABC9">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c</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6</w:t>
            </w:r>
          </w:p>
        </w:tc>
        <w:tc>
          <w:tcPr>
            <w:tcW w:w="0" w:type="auto"/>
            <w:shd w:val="clear" w:color="auto" w:fill="auto"/>
            <w:noWrap/>
            <w:vAlign w:val="center"/>
          </w:tcPr>
          <w:p w14:paraId="3077FCA9">
            <w:pPr>
              <w:adjustRightInd w:val="0"/>
              <w:snapToGrid w:val="0"/>
              <w:jc w:val="center"/>
              <w:rPr>
                <w:rFonts w:ascii="Times New Roman" w:hAnsi="Times New Roman" w:cs="Times New Roman"/>
                <w:i/>
                <w:color w:val="000000"/>
                <w:kern w:val="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Nu</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0624B38B">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16.0</w:t>
            </w:r>
            <w:r>
              <w:rPr>
                <w:rFonts w:hint="eastAsia" w:ascii="Times New Roman" w:hAnsi="Times New Roman" w:cs="Times New Roman"/>
                <w:color w:val="000000"/>
                <w:sz w:val="15"/>
                <w:szCs w:val="15"/>
                <w:shd w:val="clear" w:color="auto" w:fill="FFFFFF"/>
              </w:rPr>
              <w:t>4</w:t>
            </w:r>
          </w:p>
        </w:tc>
        <w:tc>
          <w:tcPr>
            <w:tcW w:w="0" w:type="auto"/>
            <w:shd w:val="clear" w:color="auto" w:fill="auto"/>
            <w:noWrap/>
            <w:vAlign w:val="center"/>
          </w:tcPr>
          <w:p w14:paraId="49088E4C">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16.0</w:t>
            </w:r>
          </w:p>
        </w:tc>
        <w:tc>
          <w:tcPr>
            <w:tcW w:w="0" w:type="auto"/>
            <w:shd w:val="clear" w:color="auto" w:fill="auto"/>
            <w:vAlign w:val="center"/>
          </w:tcPr>
          <w:p w14:paraId="6847D94A">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0.25%</w:t>
            </w:r>
          </w:p>
        </w:tc>
      </w:tr>
      <w:tr w14:paraId="155BB2D8">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continue"/>
            <w:shd w:val="clear" w:color="auto" w:fill="auto"/>
            <w:vAlign w:val="center"/>
          </w:tcPr>
          <w:p w14:paraId="5896BCA3">
            <w:pPr>
              <w:widowControl/>
              <w:adjustRightInd w:val="0"/>
              <w:snapToGrid w:val="0"/>
              <w:jc w:val="center"/>
              <w:rPr>
                <w:rFonts w:ascii="Times New Roman" w:hAnsi="Times New Roman" w:cs="Times New Roman"/>
                <w:color w:val="000000"/>
                <w:kern w:val="0"/>
                <w:sz w:val="15"/>
                <w:szCs w:val="15"/>
                <w:shd w:val="clear" w:color="auto" w:fill="FFFFFF"/>
              </w:rPr>
            </w:pPr>
          </w:p>
        </w:tc>
        <w:tc>
          <w:tcPr>
            <w:tcW w:w="0" w:type="auto"/>
            <w:shd w:val="clear" w:color="auto" w:fill="auto"/>
            <w:noWrap/>
            <w:vAlign w:val="center"/>
          </w:tcPr>
          <w:p w14:paraId="29CFA4AA">
            <w:pPr>
              <w:adjustRightInd w:val="0"/>
              <w:snapToGrid w:val="0"/>
              <w:jc w:val="center"/>
              <w:rPr>
                <w:rFonts w:ascii="Times New Roman" w:hAnsi="Times New Roman" w:cs="Times New Roman"/>
                <w:i/>
                <w:color w:val="00000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Sh</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1DECD35E">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-16.0</w:t>
            </w:r>
            <w:r>
              <w:rPr>
                <w:rFonts w:hint="eastAsia" w:ascii="Times New Roman" w:hAnsi="Times New Roman" w:cs="Times New Roman"/>
                <w:color w:val="000000"/>
                <w:sz w:val="15"/>
                <w:szCs w:val="15"/>
                <w:shd w:val="clear" w:color="auto" w:fill="FFFFFF"/>
              </w:rPr>
              <w:t>5</w:t>
            </w:r>
          </w:p>
        </w:tc>
        <w:tc>
          <w:tcPr>
            <w:tcW w:w="0" w:type="auto"/>
            <w:shd w:val="clear" w:color="auto" w:fill="auto"/>
            <w:noWrap/>
            <w:vAlign w:val="center"/>
          </w:tcPr>
          <w:p w14:paraId="21758D2D">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-16.0</w:t>
            </w:r>
          </w:p>
        </w:tc>
        <w:tc>
          <w:tcPr>
            <w:tcW w:w="0" w:type="auto"/>
            <w:shd w:val="clear" w:color="auto" w:fill="auto"/>
            <w:vAlign w:val="center"/>
          </w:tcPr>
          <w:p w14:paraId="35B5AA86">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0.31%</w:t>
            </w:r>
          </w:p>
        </w:tc>
      </w:tr>
      <w:tr w14:paraId="13131093">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restart"/>
            <w:shd w:val="clear" w:color="auto" w:fill="auto"/>
            <w:noWrap/>
            <w:vAlign w:val="center"/>
          </w:tcPr>
          <w:p w14:paraId="79E8CBFA">
            <w:pPr>
              <w:adjustRightInd w:val="0"/>
              <w:snapToGrid w:val="0"/>
              <w:jc w:val="center"/>
              <w:rPr>
                <w:rFonts w:ascii="Times New Roman" w:hAnsi="Times New Roman" w:cs="Times New Roman"/>
                <w:color w:val="000000"/>
                <w:sz w:val="15"/>
                <w:szCs w:val="15"/>
                <w:shd w:val="clear" w:color="auto" w:fill="FFFFFF"/>
                <w:vertAlign w:val="superscript"/>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T</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p w14:paraId="72E628E8">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c</w:t>
            </w:r>
            <w:r>
              <w:rPr>
                <w:rFonts w:ascii="Times New Roman" w:hAnsi="Times New Roman" w:cs="Times New Roman"/>
                <w:color w:val="000000"/>
                <w:sz w:val="15"/>
                <w:szCs w:val="15"/>
                <w:shd w:val="clear" w:color="auto" w:fill="FFFFFF"/>
              </w:rPr>
              <w:t>=5</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6</w:t>
            </w:r>
          </w:p>
        </w:tc>
        <w:tc>
          <w:tcPr>
            <w:tcW w:w="0" w:type="auto"/>
            <w:shd w:val="clear" w:color="auto" w:fill="auto"/>
            <w:noWrap/>
            <w:vAlign w:val="center"/>
          </w:tcPr>
          <w:p w14:paraId="02BC4C7D">
            <w:pPr>
              <w:adjustRightInd w:val="0"/>
              <w:snapToGrid w:val="0"/>
              <w:jc w:val="center"/>
              <w:rPr>
                <w:rFonts w:ascii="Times New Roman" w:hAnsi="Times New Roman" w:cs="Times New Roman"/>
                <w:i/>
                <w:color w:val="000000"/>
                <w:kern w:val="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Nu</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0CCF02CC">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13.68</w:t>
            </w:r>
          </w:p>
        </w:tc>
        <w:tc>
          <w:tcPr>
            <w:tcW w:w="0" w:type="auto"/>
            <w:shd w:val="clear" w:color="auto" w:fill="auto"/>
            <w:noWrap/>
            <w:vAlign w:val="center"/>
          </w:tcPr>
          <w:p w14:paraId="7CAB061A">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p>
        </w:tc>
        <w:tc>
          <w:tcPr>
            <w:tcW w:w="0" w:type="auto"/>
            <w:shd w:val="clear" w:color="auto" w:fill="auto"/>
            <w:vAlign w:val="center"/>
          </w:tcPr>
          <w:p w14:paraId="48161AE8">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0.59%</w:t>
            </w:r>
          </w:p>
        </w:tc>
      </w:tr>
      <w:tr w14:paraId="7C632C11">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continue"/>
            <w:shd w:val="clear" w:color="auto" w:fill="auto"/>
            <w:vAlign w:val="center"/>
          </w:tcPr>
          <w:p w14:paraId="5D6F8628">
            <w:pPr>
              <w:widowControl/>
              <w:adjustRightInd w:val="0"/>
              <w:snapToGrid w:val="0"/>
              <w:jc w:val="center"/>
              <w:rPr>
                <w:rFonts w:ascii="Times New Roman" w:hAnsi="Times New Roman" w:cs="Times New Roman"/>
                <w:color w:val="000000"/>
                <w:kern w:val="0"/>
                <w:sz w:val="15"/>
                <w:szCs w:val="15"/>
                <w:shd w:val="clear" w:color="auto" w:fill="FFFFFF"/>
              </w:rPr>
            </w:pPr>
          </w:p>
        </w:tc>
        <w:tc>
          <w:tcPr>
            <w:tcW w:w="0" w:type="auto"/>
            <w:shd w:val="clear" w:color="auto" w:fill="auto"/>
            <w:noWrap/>
            <w:vAlign w:val="center"/>
          </w:tcPr>
          <w:p w14:paraId="1A7A938F">
            <w:pPr>
              <w:adjustRightInd w:val="0"/>
              <w:snapToGrid w:val="0"/>
              <w:jc w:val="center"/>
              <w:rPr>
                <w:rFonts w:ascii="Times New Roman" w:hAnsi="Times New Roman" w:cs="Times New Roman"/>
                <w:i/>
                <w:color w:val="00000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Sh</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6B7BA56B">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w:t>
            </w:r>
            <w:r>
              <w:rPr>
                <w:rFonts w:hint="eastAsia" w:ascii="Times New Roman" w:hAnsi="Times New Roman" w:cs="Times New Roman"/>
                <w:color w:val="000000"/>
                <w:sz w:val="15"/>
                <w:szCs w:val="15"/>
                <w:shd w:val="clear" w:color="auto" w:fill="FFFFFF"/>
              </w:rPr>
              <w:t>70</w:t>
            </w:r>
          </w:p>
        </w:tc>
        <w:tc>
          <w:tcPr>
            <w:tcW w:w="0" w:type="auto"/>
            <w:shd w:val="clear" w:color="auto" w:fill="auto"/>
            <w:noWrap/>
            <w:vAlign w:val="center"/>
          </w:tcPr>
          <w:p w14:paraId="0185FD39">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p>
        </w:tc>
        <w:tc>
          <w:tcPr>
            <w:tcW w:w="0" w:type="auto"/>
            <w:shd w:val="clear" w:color="auto" w:fill="auto"/>
            <w:vAlign w:val="center"/>
          </w:tcPr>
          <w:p w14:paraId="0C503739">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0.74%</w:t>
            </w:r>
          </w:p>
        </w:tc>
      </w:tr>
      <w:tr w14:paraId="29EBD03C">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restart"/>
            <w:shd w:val="clear" w:color="auto" w:fill="auto"/>
            <w:noWrap/>
            <w:vAlign w:val="center"/>
          </w:tcPr>
          <w:p w14:paraId="039E93E2">
            <w:pPr>
              <w:adjustRightInd w:val="0"/>
              <w:snapToGrid w:val="0"/>
              <w:jc w:val="center"/>
              <w:rPr>
                <w:rFonts w:ascii="Times New Roman" w:hAnsi="Times New Roman" w:cs="Times New Roman"/>
                <w:color w:val="000000"/>
                <w:sz w:val="15"/>
                <w:szCs w:val="15"/>
                <w:shd w:val="clear" w:color="auto" w:fill="FFFFFF"/>
                <w:vertAlign w:val="superscript"/>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T</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p w14:paraId="759BFF2B">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c</w:t>
            </w:r>
            <w:r>
              <w:rPr>
                <w:rFonts w:ascii="Times New Roman" w:hAnsi="Times New Roman" w:cs="Times New Roman"/>
                <w:color w:val="000000"/>
                <w:sz w:val="15"/>
                <w:szCs w:val="15"/>
                <w:shd w:val="clear" w:color="auto" w:fill="FFFFFF"/>
              </w:rPr>
              <w:t>=1.5</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tc>
        <w:tc>
          <w:tcPr>
            <w:tcW w:w="0" w:type="auto"/>
            <w:shd w:val="clear" w:color="auto" w:fill="auto"/>
            <w:noWrap/>
            <w:vAlign w:val="center"/>
          </w:tcPr>
          <w:p w14:paraId="7C990C0E">
            <w:pPr>
              <w:adjustRightInd w:val="0"/>
              <w:snapToGrid w:val="0"/>
              <w:jc w:val="center"/>
              <w:rPr>
                <w:rFonts w:ascii="Times New Roman" w:hAnsi="Times New Roman" w:cs="Times New Roman"/>
                <w:i/>
                <w:color w:val="000000"/>
                <w:kern w:val="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Nu</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1670639C">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r>
              <w:rPr>
                <w:rFonts w:hint="eastAsia" w:ascii="Times New Roman" w:hAnsi="Times New Roman" w:cs="Times New Roman"/>
                <w:color w:val="000000"/>
                <w:sz w:val="15"/>
                <w:szCs w:val="15"/>
                <w:shd w:val="clear" w:color="auto" w:fill="FFFFFF"/>
              </w:rPr>
              <w:t>5</w:t>
            </w:r>
          </w:p>
        </w:tc>
        <w:tc>
          <w:tcPr>
            <w:tcW w:w="0" w:type="auto"/>
            <w:shd w:val="clear" w:color="auto" w:fill="auto"/>
            <w:noWrap/>
            <w:vAlign w:val="center"/>
          </w:tcPr>
          <w:p w14:paraId="70AA0826">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p>
        </w:tc>
        <w:tc>
          <w:tcPr>
            <w:tcW w:w="0" w:type="auto"/>
            <w:shd w:val="clear" w:color="auto" w:fill="auto"/>
            <w:vAlign w:val="center"/>
          </w:tcPr>
          <w:p w14:paraId="460787A6">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0.37%</w:t>
            </w:r>
          </w:p>
        </w:tc>
      </w:tr>
      <w:tr w14:paraId="64424F96">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continue"/>
            <w:shd w:val="clear" w:color="auto" w:fill="auto"/>
            <w:vAlign w:val="center"/>
          </w:tcPr>
          <w:p w14:paraId="56A05AF9">
            <w:pPr>
              <w:widowControl/>
              <w:adjustRightInd w:val="0"/>
              <w:snapToGrid w:val="0"/>
              <w:jc w:val="center"/>
              <w:rPr>
                <w:rFonts w:ascii="Times New Roman" w:hAnsi="Times New Roman" w:cs="Times New Roman"/>
                <w:color w:val="000000"/>
                <w:kern w:val="0"/>
                <w:sz w:val="15"/>
                <w:szCs w:val="15"/>
                <w:shd w:val="clear" w:color="auto" w:fill="FFFFFF"/>
              </w:rPr>
            </w:pPr>
          </w:p>
        </w:tc>
        <w:tc>
          <w:tcPr>
            <w:tcW w:w="0" w:type="auto"/>
            <w:shd w:val="clear" w:color="auto" w:fill="auto"/>
            <w:noWrap/>
            <w:vAlign w:val="center"/>
          </w:tcPr>
          <w:p w14:paraId="60CEDFBE">
            <w:pPr>
              <w:adjustRightInd w:val="0"/>
              <w:snapToGrid w:val="0"/>
              <w:jc w:val="center"/>
              <w:rPr>
                <w:rFonts w:ascii="Times New Roman" w:hAnsi="Times New Roman" w:cs="Times New Roman"/>
                <w:i/>
                <w:color w:val="00000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Sh</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7B6A5B54">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r>
              <w:rPr>
                <w:rFonts w:hint="eastAsia" w:ascii="Times New Roman" w:hAnsi="Times New Roman" w:cs="Times New Roman"/>
                <w:color w:val="000000"/>
                <w:sz w:val="15"/>
                <w:szCs w:val="15"/>
                <w:shd w:val="clear" w:color="auto" w:fill="FFFFFF"/>
              </w:rPr>
              <w:t>6</w:t>
            </w:r>
          </w:p>
        </w:tc>
        <w:tc>
          <w:tcPr>
            <w:tcW w:w="0" w:type="auto"/>
            <w:shd w:val="clear" w:color="auto" w:fill="auto"/>
            <w:noWrap/>
            <w:vAlign w:val="center"/>
          </w:tcPr>
          <w:p w14:paraId="3A3EA784">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-13.6</w:t>
            </w:r>
          </w:p>
        </w:tc>
        <w:tc>
          <w:tcPr>
            <w:tcW w:w="0" w:type="auto"/>
            <w:shd w:val="clear" w:color="auto" w:fill="auto"/>
            <w:vAlign w:val="center"/>
          </w:tcPr>
          <w:p w14:paraId="10AD527D">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0.44%</w:t>
            </w:r>
          </w:p>
        </w:tc>
      </w:tr>
      <w:tr w14:paraId="03876483">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restart"/>
            <w:shd w:val="clear" w:color="auto" w:fill="auto"/>
            <w:noWrap/>
            <w:vAlign w:val="center"/>
          </w:tcPr>
          <w:p w14:paraId="5EF426F3">
            <w:pPr>
              <w:adjustRightInd w:val="0"/>
              <w:snapToGrid w:val="0"/>
              <w:jc w:val="center"/>
              <w:rPr>
                <w:rFonts w:ascii="Times New Roman" w:hAnsi="Times New Roman" w:cs="Times New Roman"/>
                <w:color w:val="000000"/>
                <w:sz w:val="15"/>
                <w:szCs w:val="15"/>
                <w:shd w:val="clear" w:color="auto" w:fill="FFFFFF"/>
                <w:vertAlign w:val="superscript"/>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T</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p w14:paraId="578722F9">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i/>
                <w:color w:val="000000"/>
                <w:sz w:val="15"/>
                <w:szCs w:val="15"/>
                <w:shd w:val="clear" w:color="auto" w:fill="FFFFFF"/>
              </w:rPr>
              <w:t>Ra</w:t>
            </w:r>
            <w:r>
              <w:rPr>
                <w:rFonts w:ascii="Times New Roman" w:hAnsi="Times New Roman" w:cs="Times New Roman"/>
                <w:color w:val="000000"/>
                <w:sz w:val="15"/>
                <w:szCs w:val="15"/>
                <w:shd w:val="clear" w:color="auto" w:fill="FFFFFF"/>
                <w:vertAlign w:val="subscript"/>
              </w:rPr>
              <w:t>c</w:t>
            </w:r>
            <w:r>
              <w:rPr>
                <w:rFonts w:ascii="Times New Roman" w:hAnsi="Times New Roman" w:cs="Times New Roman"/>
                <w:color w:val="000000"/>
                <w:sz w:val="15"/>
                <w:szCs w:val="15"/>
                <w:shd w:val="clear" w:color="auto" w:fill="FFFFFF"/>
              </w:rPr>
              <w:t>=5</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w:t>
            </w:r>
            <w:r>
              <w:rPr>
                <w:rFonts w:hint="eastAsia" w:ascii="Times New Roman" w:hAnsi="Times New Roman" w:cs="Times New Roman"/>
                <w:color w:val="000000"/>
                <w:sz w:val="15"/>
                <w:szCs w:val="15"/>
                <w:shd w:val="clear" w:color="auto" w:fill="FFFFFF"/>
              </w:rPr>
              <w:t xml:space="preserve"> </w:t>
            </w:r>
            <w:r>
              <w:rPr>
                <w:rFonts w:ascii="Times New Roman" w:hAnsi="Times New Roman" w:cs="Times New Roman"/>
                <w:color w:val="000000"/>
                <w:sz w:val="15"/>
                <w:szCs w:val="15"/>
                <w:shd w:val="clear" w:color="auto" w:fill="FFFFFF"/>
              </w:rPr>
              <w:t>10</w:t>
            </w:r>
            <w:r>
              <w:rPr>
                <w:rFonts w:ascii="Times New Roman" w:hAnsi="Times New Roman" w:cs="Times New Roman"/>
                <w:color w:val="000000"/>
                <w:sz w:val="15"/>
                <w:szCs w:val="15"/>
                <w:shd w:val="clear" w:color="auto" w:fill="FFFFFF"/>
                <w:vertAlign w:val="superscript"/>
              </w:rPr>
              <w:t>7</w:t>
            </w:r>
          </w:p>
        </w:tc>
        <w:tc>
          <w:tcPr>
            <w:tcW w:w="0" w:type="auto"/>
            <w:shd w:val="clear" w:color="auto" w:fill="auto"/>
            <w:noWrap/>
            <w:vAlign w:val="center"/>
          </w:tcPr>
          <w:p w14:paraId="76559D78">
            <w:pPr>
              <w:adjustRightInd w:val="0"/>
              <w:snapToGrid w:val="0"/>
              <w:jc w:val="center"/>
              <w:rPr>
                <w:rFonts w:ascii="Times New Roman" w:hAnsi="Times New Roman" w:cs="Times New Roman"/>
                <w:i/>
                <w:color w:val="000000"/>
                <w:kern w:val="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Nu</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4D86FDD4">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23.60</w:t>
            </w:r>
          </w:p>
        </w:tc>
        <w:tc>
          <w:tcPr>
            <w:tcW w:w="0" w:type="auto"/>
            <w:shd w:val="clear" w:color="auto" w:fill="auto"/>
            <w:noWrap/>
            <w:vAlign w:val="center"/>
          </w:tcPr>
          <w:p w14:paraId="4EC483F5">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23.7</w:t>
            </w:r>
          </w:p>
        </w:tc>
        <w:tc>
          <w:tcPr>
            <w:tcW w:w="0" w:type="auto"/>
            <w:shd w:val="clear" w:color="auto" w:fill="auto"/>
            <w:vAlign w:val="center"/>
          </w:tcPr>
          <w:p w14:paraId="640734F4">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0.42%</w:t>
            </w:r>
          </w:p>
        </w:tc>
      </w:tr>
      <w:tr w14:paraId="1AD59FDF">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108" w:type="dxa"/>
            <w:bottom w:w="0" w:type="dxa"/>
            <w:right w:w="108" w:type="dxa"/>
          </w:tblCellMar>
        </w:tblPrEx>
        <w:trPr>
          <w:trHeight w:val="4" w:hRule="atLeast"/>
          <w:jc w:val="center"/>
        </w:trPr>
        <w:tc>
          <w:tcPr>
            <w:tcW w:w="0" w:type="auto"/>
            <w:vMerge w:val="continue"/>
            <w:shd w:val="clear" w:color="auto" w:fill="auto"/>
            <w:vAlign w:val="center"/>
          </w:tcPr>
          <w:p w14:paraId="7C27B055">
            <w:pPr>
              <w:widowControl/>
              <w:adjustRightInd w:val="0"/>
              <w:snapToGrid w:val="0"/>
              <w:jc w:val="center"/>
              <w:rPr>
                <w:rFonts w:ascii="Times New Roman" w:hAnsi="Times New Roman" w:cs="Times New Roman"/>
                <w:color w:val="000000"/>
                <w:kern w:val="0"/>
                <w:sz w:val="15"/>
                <w:szCs w:val="15"/>
                <w:shd w:val="clear" w:color="auto" w:fill="FFFFFF"/>
              </w:rPr>
            </w:pPr>
          </w:p>
        </w:tc>
        <w:tc>
          <w:tcPr>
            <w:tcW w:w="0" w:type="auto"/>
            <w:shd w:val="clear" w:color="auto" w:fill="auto"/>
            <w:noWrap/>
            <w:vAlign w:val="center"/>
          </w:tcPr>
          <w:p w14:paraId="19A4964E">
            <w:pPr>
              <w:adjustRightInd w:val="0"/>
              <w:snapToGrid w:val="0"/>
              <w:jc w:val="center"/>
              <w:rPr>
                <w:rFonts w:ascii="Times New Roman" w:hAnsi="Times New Roman" w:cs="Times New Roman"/>
                <w:i/>
                <w:color w:val="000000"/>
                <w:sz w:val="15"/>
                <w:szCs w:val="15"/>
                <w:shd w:val="clear" w:color="auto" w:fill="FFFFFF"/>
              </w:rPr>
            </w:pPr>
            <m:oMathPara>
              <m:oMath>
                <m:acc>
                  <m:accPr>
                    <m:chr m:val="̅"/>
                    <m:ctrlPr>
                      <w:rPr>
                        <w:rFonts w:ascii="Cambria Math" w:hAnsi="Cambria Math" w:cs="Times New Roman"/>
                        <w:i/>
                        <w:color w:val="000000"/>
                        <w:sz w:val="15"/>
                        <w:szCs w:val="15"/>
                        <w:shd w:val="clear" w:color="auto" w:fill="FFFFFF"/>
                      </w:rPr>
                    </m:ctrlPr>
                  </m:accPr>
                  <m:e>
                    <m:r>
                      <m:rPr/>
                      <w:rPr>
                        <w:rFonts w:ascii="Cambria Math" w:hAnsi="Cambria Math" w:cs="Times New Roman"/>
                        <w:color w:val="000000"/>
                        <w:sz w:val="15"/>
                        <w:szCs w:val="15"/>
                        <w:shd w:val="clear" w:color="auto" w:fill="FFFFFF"/>
                      </w:rPr>
                      <m:t>Sh</m:t>
                    </m:r>
                    <m:ctrlPr>
                      <w:rPr>
                        <w:rFonts w:ascii="Cambria Math" w:hAnsi="Cambria Math" w:cs="Times New Roman"/>
                        <w:i/>
                        <w:color w:val="000000"/>
                        <w:sz w:val="15"/>
                        <w:szCs w:val="15"/>
                        <w:shd w:val="clear" w:color="auto" w:fill="FFFFFF"/>
                      </w:rPr>
                    </m:ctrlPr>
                  </m:e>
                </m:acc>
              </m:oMath>
            </m:oMathPara>
          </w:p>
        </w:tc>
        <w:tc>
          <w:tcPr>
            <w:tcW w:w="0" w:type="auto"/>
            <w:shd w:val="clear" w:color="auto" w:fill="auto"/>
            <w:noWrap/>
            <w:vAlign w:val="center"/>
          </w:tcPr>
          <w:p w14:paraId="5A26F7B1">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-23.6</w:t>
            </w:r>
            <w:r>
              <w:rPr>
                <w:rFonts w:hint="eastAsia" w:ascii="Times New Roman" w:hAnsi="Times New Roman" w:cs="Times New Roman"/>
                <w:color w:val="000000"/>
                <w:sz w:val="15"/>
                <w:szCs w:val="15"/>
                <w:shd w:val="clear" w:color="auto" w:fill="FFFFFF"/>
              </w:rPr>
              <w:t>2</w:t>
            </w:r>
          </w:p>
        </w:tc>
        <w:tc>
          <w:tcPr>
            <w:tcW w:w="0" w:type="auto"/>
            <w:shd w:val="clear" w:color="auto" w:fill="auto"/>
            <w:noWrap/>
            <w:vAlign w:val="center"/>
          </w:tcPr>
          <w:p w14:paraId="23F91479">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-23.7</w:t>
            </w:r>
          </w:p>
        </w:tc>
        <w:tc>
          <w:tcPr>
            <w:tcW w:w="0" w:type="auto"/>
            <w:shd w:val="clear" w:color="auto" w:fill="auto"/>
            <w:vAlign w:val="center"/>
          </w:tcPr>
          <w:p w14:paraId="25933143">
            <w:pPr>
              <w:adjustRightInd w:val="0"/>
              <w:snapToGrid w:val="0"/>
              <w:jc w:val="center"/>
              <w:rPr>
                <w:rFonts w:ascii="Times New Roman" w:hAnsi="Times New Roman" w:cs="Times New Roman"/>
                <w:color w:val="000000"/>
                <w:sz w:val="15"/>
                <w:szCs w:val="15"/>
                <w:shd w:val="clear" w:color="auto" w:fill="FFFFFF"/>
              </w:rPr>
            </w:pPr>
            <w:r>
              <w:rPr>
                <w:rFonts w:ascii="Times New Roman" w:hAnsi="Times New Roman" w:cs="Times New Roman"/>
                <w:color w:val="000000"/>
                <w:sz w:val="15"/>
                <w:szCs w:val="15"/>
                <w:shd w:val="clear" w:color="auto" w:fill="FFFFFF"/>
              </w:rPr>
              <w:t>0.34%</w:t>
            </w:r>
          </w:p>
        </w:tc>
      </w:tr>
    </w:tbl>
    <w:p w14:paraId="10630143">
      <w:pPr>
        <w:adjustRightInd w:val="0"/>
        <w:snapToGrid w:val="0"/>
        <w:rPr>
          <w:rFonts w:ascii="宋体" w:hAnsi="宋体" w:cs="Times New Roman"/>
          <w:color w:val="000000"/>
          <w:sz w:val="28"/>
          <w:szCs w:val="28"/>
          <w:shd w:val="clear" w:color="auto" w:fill="FFFFFF"/>
        </w:rPr>
      </w:pPr>
      <w:r>
        <w:rPr>
          <w:rFonts w:hint="eastAsia" w:ascii="宋体" w:hAnsi="宋体" w:cs="Times New Roman"/>
          <w:color w:val="000000"/>
          <w:sz w:val="28"/>
          <w:szCs w:val="28"/>
          <w:shd w:val="clear" w:color="auto" w:fill="FFFFFF"/>
        </w:rPr>
        <w:t>3.实际水库水温水质模拟</w:t>
      </w:r>
    </w:p>
    <w:p w14:paraId="41341340">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3.1工程概况</w:t>
      </w:r>
    </w:p>
    <w:p w14:paraId="05D342AA">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我国西南地区某大型山区河流</w:t>
      </w:r>
      <w:r>
        <w:rPr>
          <w:rFonts w:hint="eastAsia" w:ascii="Times New Roman" w:hAnsi="Times New Roman"/>
          <w:color w:val="000000"/>
          <w:szCs w:val="21"/>
          <w:shd w:val="clear" w:color="auto" w:fill="FFFFFF"/>
        </w:rPr>
        <w:t>上的某电站采用重力坝结构形式，于河心偏左侧布置</w:t>
      </w:r>
      <w:r>
        <w:rPr>
          <w:rFonts w:ascii="Times New Roman" w:hAnsi="Times New Roman"/>
          <w:color w:val="000000"/>
          <w:szCs w:val="21"/>
          <w:shd w:val="clear" w:color="auto" w:fill="FFFFFF"/>
        </w:rPr>
        <w:t>6</w:t>
      </w:r>
      <w:r>
        <w:rPr>
          <w:rFonts w:hint="eastAsia" w:ascii="Times New Roman" w:hAnsi="Times New Roman"/>
          <w:color w:val="000000"/>
          <w:szCs w:val="21"/>
          <w:shd w:val="clear" w:color="auto" w:fill="FFFFFF"/>
        </w:rPr>
        <w:t>孔溢流表孔和6孔冲沙底孔，河心偏右侧布置1</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—6</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共</w:t>
      </w:r>
      <w:r>
        <w:rPr>
          <w:rFonts w:ascii="Times New Roman" w:hAnsi="Times New Roman"/>
          <w:color w:val="000000"/>
          <w:szCs w:val="21"/>
          <w:shd w:val="clear" w:color="auto" w:fill="FFFFFF"/>
        </w:rPr>
        <w:t>6</w:t>
      </w:r>
      <w:r>
        <w:rPr>
          <w:rFonts w:hint="eastAsia" w:ascii="Times New Roman" w:hAnsi="Times New Roman"/>
          <w:color w:val="000000"/>
          <w:szCs w:val="21"/>
          <w:shd w:val="clear" w:color="auto" w:fill="FFFFFF"/>
        </w:rPr>
        <w:t>台水轮发电机组。坝址处多年平均流量约1000 m</w:t>
      </w:r>
      <w:r>
        <w:rPr>
          <w:rFonts w:hint="eastAsia"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/s。该电站建成后形成了长约16 km、宽约350 m、水深约75 m的水库。</w:t>
      </w:r>
    </w:p>
    <w:p w14:paraId="14B12104">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3.2 电站发电工况坝下游流场分析</w:t>
      </w:r>
    </w:p>
    <w:p w14:paraId="6A4C6533">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发电工况下模拟工况如下：</w:t>
      </w:r>
      <w:bookmarkStart w:id="5" w:name="_Hlk211689900"/>
      <w:r>
        <w:rPr>
          <w:rFonts w:hint="eastAsia" w:ascii="Times New Roman" w:hAnsi="Times New Roman"/>
          <w:color w:val="000000"/>
          <w:szCs w:val="21"/>
          <w:shd w:val="clear" w:color="auto" w:fill="FFFFFF"/>
        </w:rPr>
        <w:t>电站泄洪闸门完全关闭，所有水流均通过4</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、5</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水轮机发电下泄</w:t>
      </w:r>
      <w:bookmarkEnd w:id="5"/>
      <w:r>
        <w:rPr>
          <w:rFonts w:hint="eastAsia" w:ascii="Times New Roman" w:hAnsi="Times New Roman"/>
          <w:color w:val="000000"/>
          <w:szCs w:val="21"/>
          <w:shd w:val="clear" w:color="auto" w:fill="FFFFFF"/>
        </w:rPr>
        <w:t>，其单台机组</w:t>
      </w:r>
      <w:r>
        <w:rPr>
          <w:rFonts w:ascii="Times New Roman" w:hAnsi="Times New Roman"/>
          <w:color w:val="000000"/>
          <w:szCs w:val="21"/>
          <w:shd w:val="clear" w:color="auto" w:fill="FFFFFF"/>
        </w:rPr>
        <w:t>引用流量178.55</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m</w:t>
      </w:r>
      <w:r>
        <w:rPr>
          <w:rFonts w:ascii="Times New Roman" w:hAnsi="Times New Roman"/>
          <w:color w:val="000000"/>
          <w:szCs w:val="21"/>
          <w:shd w:val="clear" w:color="auto" w:fill="FFFFFF"/>
          <w:vertAlign w:val="superscript"/>
        </w:rPr>
        <w:t>3</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s</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总泄流量357.10 </w:t>
      </w:r>
      <w:r>
        <w:rPr>
          <w:rFonts w:ascii="Times New Roman" w:hAnsi="Times New Roman"/>
          <w:color w:val="000000"/>
          <w:szCs w:val="21"/>
          <w:shd w:val="clear" w:color="auto" w:fill="FFFFFF"/>
        </w:rPr>
        <w:t>m</w:t>
      </w:r>
      <w:r>
        <w:rPr>
          <w:rFonts w:ascii="Times New Roman" w:hAnsi="Times New Roman"/>
          <w:color w:val="000000"/>
          <w:szCs w:val="21"/>
          <w:shd w:val="clear" w:color="auto" w:fill="FFFFFF"/>
          <w:vertAlign w:val="superscript"/>
        </w:rPr>
        <w:t>3</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s；坝前</w:t>
      </w:r>
      <w:r>
        <w:rPr>
          <w:rFonts w:ascii="Times New Roman" w:hAnsi="Times New Roman"/>
          <w:color w:val="000000"/>
          <w:szCs w:val="21"/>
          <w:shd w:val="clear" w:color="auto" w:fill="FFFFFF"/>
        </w:rPr>
        <w:t>水位3307.6</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m、</w:t>
      </w:r>
      <w:r>
        <w:rPr>
          <w:rFonts w:hint="eastAsia" w:ascii="Times New Roman" w:hAnsi="Times New Roman"/>
          <w:color w:val="000000"/>
          <w:szCs w:val="21"/>
          <w:shd w:val="clear" w:color="auto" w:fill="FFFFFF"/>
        </w:rPr>
        <w:t>坝下水位</w:t>
      </w:r>
      <w:r>
        <w:rPr>
          <w:rFonts w:ascii="Times New Roman" w:hAnsi="Times New Roman"/>
          <w:color w:val="000000"/>
          <w:szCs w:val="21"/>
          <w:shd w:val="clear" w:color="auto" w:fill="FFFFFF"/>
        </w:rPr>
        <w:t>为3248.5</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m(</w:t>
      </w:r>
      <w:r>
        <w:rPr>
          <w:rFonts w:hint="eastAsia" w:ascii="Times New Roman" w:hAnsi="Times New Roman"/>
          <w:color w:val="000000"/>
          <w:szCs w:val="21"/>
          <w:shd w:val="clear" w:color="auto" w:fill="FFFFFF"/>
        </w:rPr>
        <w:t>原型观测时间2016年6月18日</w:t>
      </w:r>
      <w:r>
        <w:rPr>
          <w:rFonts w:ascii="Times New Roman" w:hAnsi="Times New Roman"/>
          <w:color w:val="000000"/>
          <w:szCs w:val="21"/>
          <w:shd w:val="clear" w:color="auto" w:fill="FFFFFF"/>
        </w:rPr>
        <w:t>12</w:t>
      </w:r>
      <w:r>
        <w:rPr>
          <w:rFonts w:hint="eastAsia" w:ascii="Times New Roman" w:hAnsi="Times New Roman"/>
          <w:color w:val="000000"/>
          <w:szCs w:val="21"/>
          <w:shd w:val="clear" w:color="auto" w:fill="FFFFFF"/>
        </w:rPr>
        <w:t>时</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。电站发电工况坝下游三维流场如图4、图5所示，为水深2 m处平面流场。</w:t>
      </w:r>
    </w:p>
    <w:tbl>
      <w:tblPr>
        <w:tblStyle w:val="16"/>
        <w:tblW w:w="5000" w:type="pct"/>
        <w:tblInd w:w="0" w:type="dxa"/>
        <w:tblLayout w:type="autofit"/>
        <w:tblCellMar>
          <w:top w:w="0" w:type="dxa"/>
          <w:left w:w="108" w:type="dxa"/>
          <w:bottom w:w="0" w:type="dxa"/>
          <w:right w:w="108" w:type="dxa"/>
        </w:tblCellMar>
      </w:tblPr>
      <w:tblGrid>
        <w:gridCol w:w="8522"/>
      </w:tblGrid>
      <w:tr w14:paraId="38FFDEF1">
        <w:tblPrEx>
          <w:tblCellMar>
            <w:top w:w="0" w:type="dxa"/>
            <w:left w:w="108" w:type="dxa"/>
            <w:bottom w:w="0" w:type="dxa"/>
            <w:right w:w="108" w:type="dxa"/>
          </w:tblCellMar>
        </w:tblPrEx>
        <w:tc>
          <w:tcPr>
            <w:tcW w:w="5000" w:type="pct"/>
            <w:shd w:val="clear" w:color="auto" w:fill="auto"/>
            <w:vAlign w:val="center"/>
          </w:tcPr>
          <w:p w14:paraId="0FD35210">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drawing>
                <wp:inline distT="0" distB="0" distL="0" distR="0">
                  <wp:extent cx="2883535" cy="1671320"/>
                  <wp:effectExtent l="0" t="0" r="0" b="5080"/>
                  <wp:docPr id="17029545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54519" name="图片 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888963" cy="1674535"/>
                          </a:xfrm>
                          <a:prstGeom prst="rect">
                            <a:avLst/>
                          </a:prstGeom>
                          <a:noFill/>
                          <a:ln>
                            <a:noFill/>
                          </a:ln>
                        </pic:spPr>
                      </pic:pic>
                    </a:graphicData>
                  </a:graphic>
                </wp:inline>
              </w:drawing>
            </w:r>
          </w:p>
        </w:tc>
      </w:tr>
      <w:tr w14:paraId="0BCDA652">
        <w:tblPrEx>
          <w:tblCellMar>
            <w:top w:w="0" w:type="dxa"/>
            <w:left w:w="108" w:type="dxa"/>
            <w:bottom w:w="0" w:type="dxa"/>
            <w:right w:w="108" w:type="dxa"/>
          </w:tblCellMar>
        </w:tblPrEx>
        <w:tc>
          <w:tcPr>
            <w:tcW w:w="5000" w:type="pct"/>
            <w:shd w:val="clear" w:color="auto" w:fill="auto"/>
            <w:vAlign w:val="center"/>
          </w:tcPr>
          <w:p w14:paraId="4B18A70E">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w:t>
            </w:r>
            <w:r>
              <w:rPr>
                <w:rFonts w:hint="eastAsia" w:eastAsia="黑体" w:cs="Times New Roman"/>
                <w:b w:val="0"/>
                <w:color w:val="000000"/>
                <w:sz w:val="18"/>
                <w:szCs w:val="18"/>
                <w:shd w:val="clear" w:color="auto" w:fill="FFFFFF"/>
              </w:rPr>
              <w:t>4</w:t>
            </w:r>
            <w:r>
              <w:rPr>
                <w:rFonts w:eastAsia="黑体" w:cs="Times New Roman"/>
                <w:b w:val="0"/>
                <w:color w:val="000000"/>
                <w:sz w:val="18"/>
                <w:szCs w:val="18"/>
                <w:shd w:val="clear" w:color="auto" w:fill="FFFFFF"/>
              </w:rPr>
              <w:t xml:space="preserve"> 坝下游流场</w:t>
            </w:r>
          </w:p>
        </w:tc>
      </w:tr>
      <w:tr w14:paraId="1B7ED8B6">
        <w:tblPrEx>
          <w:tblCellMar>
            <w:top w:w="0" w:type="dxa"/>
            <w:left w:w="108" w:type="dxa"/>
            <w:bottom w:w="0" w:type="dxa"/>
            <w:right w:w="108" w:type="dxa"/>
          </w:tblCellMar>
        </w:tblPrEx>
        <w:tc>
          <w:tcPr>
            <w:tcW w:w="5000" w:type="pct"/>
            <w:shd w:val="clear" w:color="auto" w:fill="auto"/>
            <w:vAlign w:val="center"/>
          </w:tcPr>
          <w:p w14:paraId="6B725048">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Fig.4. Flow field diagram downstream of the dam</w:t>
            </w:r>
          </w:p>
        </w:tc>
      </w:tr>
      <w:tr w14:paraId="503DB162">
        <w:tblPrEx>
          <w:tblCellMar>
            <w:top w:w="0" w:type="dxa"/>
            <w:left w:w="108" w:type="dxa"/>
            <w:bottom w:w="0" w:type="dxa"/>
            <w:right w:w="108" w:type="dxa"/>
          </w:tblCellMar>
        </w:tblPrEx>
        <w:tc>
          <w:tcPr>
            <w:tcW w:w="5000" w:type="pct"/>
            <w:shd w:val="clear" w:color="auto" w:fill="auto"/>
            <w:vAlign w:val="center"/>
          </w:tcPr>
          <w:p w14:paraId="6C4C9003">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drawing>
                <wp:inline distT="0" distB="0" distL="0" distR="0">
                  <wp:extent cx="2992120" cy="1775460"/>
                  <wp:effectExtent l="0" t="0" r="0" b="0"/>
                  <wp:docPr id="8193217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21759" name="图片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2998524" cy="1779685"/>
                          </a:xfrm>
                          <a:prstGeom prst="rect">
                            <a:avLst/>
                          </a:prstGeom>
                          <a:noFill/>
                          <a:ln>
                            <a:noFill/>
                          </a:ln>
                        </pic:spPr>
                      </pic:pic>
                    </a:graphicData>
                  </a:graphic>
                </wp:inline>
              </w:drawing>
            </w:r>
          </w:p>
        </w:tc>
      </w:tr>
      <w:tr w14:paraId="27B965E5">
        <w:tblPrEx>
          <w:tblCellMar>
            <w:top w:w="0" w:type="dxa"/>
            <w:left w:w="108" w:type="dxa"/>
            <w:bottom w:w="0" w:type="dxa"/>
            <w:right w:w="108" w:type="dxa"/>
          </w:tblCellMar>
        </w:tblPrEx>
        <w:tc>
          <w:tcPr>
            <w:tcW w:w="5000" w:type="pct"/>
            <w:shd w:val="clear" w:color="auto" w:fill="auto"/>
            <w:vAlign w:val="center"/>
          </w:tcPr>
          <w:p w14:paraId="69CAE4D3">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w:t>
            </w:r>
            <w:r>
              <w:rPr>
                <w:rFonts w:hint="eastAsia" w:eastAsia="黑体" w:cs="Times New Roman"/>
                <w:b w:val="0"/>
                <w:color w:val="000000"/>
                <w:sz w:val="18"/>
                <w:szCs w:val="18"/>
                <w:shd w:val="clear" w:color="auto" w:fill="FFFFFF"/>
              </w:rPr>
              <w:t>5</w:t>
            </w:r>
            <w:r>
              <w:rPr>
                <w:rFonts w:eastAsia="黑体" w:cs="Times New Roman"/>
                <w:b w:val="0"/>
                <w:color w:val="000000"/>
                <w:sz w:val="18"/>
                <w:szCs w:val="18"/>
                <w:shd w:val="clear" w:color="auto" w:fill="FFFFFF"/>
              </w:rPr>
              <w:t xml:space="preserve"> 坝下游局部剖面图(水下2m平面)</w:t>
            </w:r>
          </w:p>
        </w:tc>
      </w:tr>
      <w:tr w14:paraId="630ADABD">
        <w:tblPrEx>
          <w:tblCellMar>
            <w:top w:w="0" w:type="dxa"/>
            <w:left w:w="108" w:type="dxa"/>
            <w:bottom w:w="0" w:type="dxa"/>
            <w:right w:w="108" w:type="dxa"/>
          </w:tblCellMar>
        </w:tblPrEx>
        <w:tc>
          <w:tcPr>
            <w:tcW w:w="5000" w:type="pct"/>
            <w:shd w:val="clear" w:color="auto" w:fill="auto"/>
            <w:vAlign w:val="center"/>
          </w:tcPr>
          <w:p w14:paraId="0E86C39B">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Fig.5</w:t>
            </w:r>
            <w:r>
              <w:rPr>
                <w:rFonts w:hint="eastAsia" w:eastAsia="黑体" w:cs="Times New Roman"/>
                <w:b w:val="0"/>
                <w:color w:val="000000"/>
                <w:sz w:val="18"/>
                <w:szCs w:val="18"/>
                <w:shd w:val="clear" w:color="auto" w:fill="FFFFFF"/>
              </w:rPr>
              <w:t xml:space="preserve"> </w:t>
            </w:r>
            <w:r>
              <w:rPr>
                <w:rFonts w:eastAsia="黑体" w:cs="Times New Roman"/>
                <w:b w:val="0"/>
                <w:color w:val="000000"/>
                <w:sz w:val="18"/>
                <w:szCs w:val="18"/>
                <w:shd w:val="clear" w:color="auto" w:fill="FFFFFF"/>
              </w:rPr>
              <w:t>Local profile of the downstream of the dam (underwater 2m plane)</w:t>
            </w:r>
          </w:p>
        </w:tc>
      </w:tr>
    </w:tbl>
    <w:p w14:paraId="32765ECD">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采用声学多普勒流速剖面仪（ADCP）对大坝下游消力池出口附近 2.0</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m水深处的流速进行原型测</w:t>
      </w:r>
      <w:r>
        <w:rPr>
          <w:rFonts w:hint="eastAsia" w:ascii="Times New Roman" w:hAnsi="Times New Roman"/>
          <w:color w:val="000000"/>
          <w:szCs w:val="21"/>
          <w:shd w:val="clear" w:color="auto" w:fill="FFFFFF"/>
        </w:rPr>
        <w:t>量</w:t>
      </w:r>
      <w:r>
        <w:rPr>
          <w:rFonts w:ascii="Times New Roman" w:hAnsi="Times New Roman"/>
          <w:color w:val="000000"/>
          <w:szCs w:val="21"/>
          <w:shd w:val="clear" w:color="auto" w:fill="FFFFFF"/>
        </w:rPr>
        <w:t xml:space="preserve">。测量区域如图 6 所示，沿河流流动方向定义为 </w:t>
      </w:r>
      <w:r>
        <w:rPr>
          <w:rFonts w:ascii="Times New Roman" w:hAnsi="Times New Roman"/>
          <w:i/>
          <w:iCs/>
          <w:color w:val="000000"/>
          <w:szCs w:val="21"/>
          <w:shd w:val="clear" w:color="auto" w:fill="FFFFFF"/>
        </w:rPr>
        <w:t>X</w:t>
      </w:r>
      <w:r>
        <w:rPr>
          <w:rFonts w:ascii="Times New Roman" w:hAnsi="Times New Roman"/>
          <w:color w:val="000000"/>
          <w:szCs w:val="21"/>
          <w:shd w:val="clear" w:color="auto" w:fill="FFFFFF"/>
        </w:rPr>
        <w:t xml:space="preserve"> 正方向，右岸至左岸方向为 </w:t>
      </w:r>
      <w:r>
        <w:rPr>
          <w:rFonts w:ascii="Times New Roman" w:hAnsi="Times New Roman"/>
          <w:i/>
          <w:iCs/>
          <w:color w:val="000000"/>
          <w:szCs w:val="21"/>
          <w:shd w:val="clear" w:color="auto" w:fill="FFFFFF"/>
        </w:rPr>
        <w:t>Y</w:t>
      </w:r>
      <w:r>
        <w:rPr>
          <w:rFonts w:ascii="Times New Roman" w:hAnsi="Times New Roman"/>
          <w:color w:val="000000"/>
          <w:szCs w:val="21"/>
          <w:shd w:val="clear" w:color="auto" w:fill="FFFFFF"/>
        </w:rPr>
        <w:t xml:space="preserve"> 正方向。后续涉及 </w:t>
      </w:r>
      <w:r>
        <w:rPr>
          <w:rFonts w:ascii="Times New Roman" w:hAnsi="Times New Roman"/>
          <w:i/>
          <w:iCs/>
          <w:color w:val="000000"/>
          <w:szCs w:val="21"/>
          <w:shd w:val="clear" w:color="auto" w:fill="FFFFFF"/>
        </w:rPr>
        <w:t>X</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Y</w:t>
      </w:r>
      <w:r>
        <w:rPr>
          <w:rFonts w:ascii="Times New Roman" w:hAnsi="Times New Roman"/>
          <w:color w:val="000000"/>
          <w:szCs w:val="21"/>
          <w:shd w:val="clear" w:color="auto" w:fill="FFFFFF"/>
        </w:rPr>
        <w:t xml:space="preserve"> 方向的描述均按此坐标系确定。在测量区域共布设 250 个测点，共获取 100 组有效流速数据。图 7 对比了电站消力池</w:t>
      </w:r>
      <w:r>
        <w:rPr>
          <w:rFonts w:hint="eastAsia" w:ascii="Times New Roman" w:hAnsi="Times New Roman"/>
          <w:color w:val="000000"/>
          <w:szCs w:val="21"/>
          <w:shd w:val="clear" w:color="auto" w:fill="FFFFFF"/>
        </w:rPr>
        <w:t>出口</w:t>
      </w:r>
      <w:r>
        <w:rPr>
          <w:rFonts w:ascii="Times New Roman" w:hAnsi="Times New Roman"/>
          <w:color w:val="000000"/>
          <w:szCs w:val="21"/>
          <w:shd w:val="clear" w:color="auto" w:fill="FFFFFF"/>
        </w:rPr>
        <w:t xml:space="preserve"> 2.0 m 水深处的平面流速实测值与模型计算值。结果表明，模型计算得到的流速空间分布特征与实测结果总体一致，数值范围相近。为定量评估模拟精度，进一步从统计角度分析模型误差。</w:t>
      </w:r>
    </w:p>
    <w:tbl>
      <w:tblPr>
        <w:tblStyle w:val="17"/>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08"/>
      </w:tblGrid>
      <w:tr w14:paraId="77B4E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08" w:type="dxa"/>
            <w:vAlign w:val="center"/>
          </w:tcPr>
          <w:p w14:paraId="009CA756">
            <w:pPr>
              <w:adjustRightInd w:val="0"/>
              <w:snapToGrid w:val="0"/>
              <w:jc w:val="center"/>
              <w:rPr>
                <w:rFonts w:ascii="Times New Roman" w:hAnsi="Times New Roman"/>
                <w:color w:val="000000"/>
                <w:sz w:val="15"/>
                <w:szCs w:val="15"/>
                <w:shd w:val="clear" w:color="auto" w:fill="FFFFFF"/>
              </w:rPr>
            </w:pPr>
            <w:r>
              <w:rPr>
                <w:rFonts w:ascii="Times New Roman" w:hAnsi="Times New Roman"/>
                <w:color w:val="000000"/>
                <w:sz w:val="15"/>
                <w:szCs w:val="15"/>
                <w:shd w:val="clear" w:color="auto" w:fill="FFFFFF"/>
              </w:rPr>
              <w:drawing>
                <wp:inline distT="0" distB="0" distL="0" distR="0">
                  <wp:extent cx="2405380" cy="1698625"/>
                  <wp:effectExtent l="0" t="0" r="0" b="0"/>
                  <wp:docPr id="20166776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77647" name="图片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2432179" cy="1717435"/>
                          </a:xfrm>
                          <a:prstGeom prst="rect">
                            <a:avLst/>
                          </a:prstGeom>
                          <a:noFill/>
                          <a:ln>
                            <a:noFill/>
                          </a:ln>
                        </pic:spPr>
                      </pic:pic>
                    </a:graphicData>
                  </a:graphic>
                </wp:inline>
              </w:drawing>
            </w:r>
          </w:p>
        </w:tc>
      </w:tr>
    </w:tbl>
    <w:tbl>
      <w:tblPr>
        <w:tblStyle w:val="16"/>
        <w:tblW w:w="5000" w:type="pct"/>
        <w:tblInd w:w="0" w:type="dxa"/>
        <w:tblLayout w:type="autofit"/>
        <w:tblCellMar>
          <w:top w:w="0" w:type="dxa"/>
          <w:left w:w="108" w:type="dxa"/>
          <w:bottom w:w="0" w:type="dxa"/>
          <w:right w:w="108" w:type="dxa"/>
        </w:tblCellMar>
      </w:tblPr>
      <w:tblGrid>
        <w:gridCol w:w="8522"/>
      </w:tblGrid>
      <w:tr w14:paraId="1D8069AE">
        <w:tblPrEx>
          <w:tblCellMar>
            <w:top w:w="0" w:type="dxa"/>
            <w:left w:w="108" w:type="dxa"/>
            <w:bottom w:w="0" w:type="dxa"/>
            <w:right w:w="108" w:type="dxa"/>
          </w:tblCellMar>
        </w:tblPrEx>
        <w:tc>
          <w:tcPr>
            <w:tcW w:w="5000" w:type="pct"/>
            <w:shd w:val="clear" w:color="auto" w:fill="auto"/>
            <w:vAlign w:val="center"/>
          </w:tcPr>
          <w:p w14:paraId="3D0254EA">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w:t>
            </w:r>
            <w:r>
              <w:rPr>
                <w:rFonts w:hint="eastAsia" w:eastAsia="黑体" w:cs="Times New Roman"/>
                <w:b w:val="0"/>
                <w:color w:val="000000"/>
                <w:sz w:val="18"/>
                <w:szCs w:val="18"/>
                <w:shd w:val="clear" w:color="auto" w:fill="FFFFFF"/>
              </w:rPr>
              <w:t>6</w:t>
            </w:r>
            <w:r>
              <w:rPr>
                <w:rFonts w:eastAsia="黑体" w:cs="Times New Roman"/>
                <w:b w:val="0"/>
                <w:color w:val="000000"/>
                <w:sz w:val="18"/>
                <w:szCs w:val="18"/>
                <w:shd w:val="clear" w:color="auto" w:fill="FFFFFF"/>
              </w:rPr>
              <w:t xml:space="preserve"> 原型流速测量区域</w:t>
            </w:r>
            <w:r>
              <w:rPr>
                <w:rFonts w:hint="eastAsia" w:eastAsia="黑体" w:cs="Times New Roman"/>
                <w:b w:val="0"/>
                <w:color w:val="000000"/>
                <w:sz w:val="18"/>
                <w:szCs w:val="18"/>
                <w:shd w:val="clear" w:color="auto" w:fill="FFFFFF"/>
              </w:rPr>
              <w:t>及排布方式</w:t>
            </w:r>
          </w:p>
        </w:tc>
      </w:tr>
      <w:tr w14:paraId="096E3FCD">
        <w:tblPrEx>
          <w:tblCellMar>
            <w:top w:w="0" w:type="dxa"/>
            <w:left w:w="108" w:type="dxa"/>
            <w:bottom w:w="0" w:type="dxa"/>
            <w:right w:w="108" w:type="dxa"/>
          </w:tblCellMar>
        </w:tblPrEx>
        <w:tc>
          <w:tcPr>
            <w:tcW w:w="5000" w:type="pct"/>
            <w:shd w:val="clear" w:color="auto" w:fill="auto"/>
            <w:vAlign w:val="center"/>
          </w:tcPr>
          <w:p w14:paraId="6262F56D">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Fig.6</w:t>
            </w:r>
            <w:r>
              <w:rPr>
                <w:rFonts w:hint="eastAsia" w:eastAsia="黑体" w:cs="Times New Roman"/>
                <w:b w:val="0"/>
                <w:color w:val="000000"/>
                <w:sz w:val="18"/>
                <w:szCs w:val="18"/>
                <w:shd w:val="clear" w:color="auto" w:fill="FFFFFF"/>
              </w:rPr>
              <w:t xml:space="preserve"> </w:t>
            </w:r>
            <w:r>
              <w:rPr>
                <w:rFonts w:eastAsia="黑体" w:cs="Times New Roman"/>
                <w:b w:val="0"/>
                <w:color w:val="000000"/>
                <w:sz w:val="18"/>
                <w:szCs w:val="18"/>
                <w:shd w:val="clear" w:color="auto" w:fill="FFFFFF"/>
              </w:rPr>
              <w:t xml:space="preserve"> Prototype flow velocity measurement area</w:t>
            </w:r>
          </w:p>
        </w:tc>
      </w:tr>
      <w:tr w14:paraId="390E1066">
        <w:tblPrEx>
          <w:tblCellMar>
            <w:top w:w="0" w:type="dxa"/>
            <w:left w:w="108" w:type="dxa"/>
            <w:bottom w:w="0" w:type="dxa"/>
            <w:right w:w="108" w:type="dxa"/>
          </w:tblCellMar>
        </w:tblPrEx>
        <w:tc>
          <w:tcPr>
            <w:tcW w:w="5000" w:type="pct"/>
            <w:shd w:val="clear" w:color="auto" w:fill="auto"/>
            <w:vAlign w:val="center"/>
          </w:tcPr>
          <w:p w14:paraId="65924FD8">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object>
                <v:shape id="_x0000_i1082" o:spt="75" type="#_x0000_t75" style="height:122.7pt;width:245.35pt;" o:ole="t" filled="f" o:preferrelative="t" stroked="f" coordsize="21600,21600">
                  <v:path/>
                  <v:fill on="f" focussize="0,0"/>
                  <v:stroke on="f" joinstyle="miter"/>
                  <v:imagedata r:id="rId131" cropleft="6923f" croptop="5553f" cropright="7705f" cropbottom="4010f" o:title=""/>
                  <o:lock v:ext="edit" aspectratio="t"/>
                  <w10:wrap type="none"/>
                  <w10:anchorlock/>
                </v:shape>
                <o:OLEObject Type="Embed" ProgID="Origin50.Graph" ShapeID="_x0000_i1082" DrawAspect="Content" ObjectID="_1468075782" r:id="rId130">
                  <o:LockedField>false</o:LockedField>
                </o:OLEObject>
              </w:object>
            </w:r>
          </w:p>
        </w:tc>
      </w:tr>
      <w:tr w14:paraId="3D9360C8">
        <w:tblPrEx>
          <w:tblCellMar>
            <w:top w:w="0" w:type="dxa"/>
            <w:left w:w="108" w:type="dxa"/>
            <w:bottom w:w="0" w:type="dxa"/>
            <w:right w:w="108" w:type="dxa"/>
          </w:tblCellMar>
        </w:tblPrEx>
        <w:tc>
          <w:tcPr>
            <w:tcW w:w="5000" w:type="pct"/>
            <w:shd w:val="clear" w:color="auto" w:fill="auto"/>
            <w:vAlign w:val="center"/>
          </w:tcPr>
          <w:p w14:paraId="6B97E75A">
            <w:pPr>
              <w:pStyle w:val="74"/>
              <w:adjustRightInd w:val="0"/>
              <w:snapToGrid w:val="0"/>
              <w:ind w:left="720" w:firstLine="0" w:firstLineChars="0"/>
              <w:jc w:val="center"/>
              <w:rPr>
                <w:rFonts w:ascii="Times New Roman" w:hAnsi="Times New Roman" w:cs="Times New Roman"/>
                <w:color w:val="000000"/>
                <w:sz w:val="18"/>
                <w:szCs w:val="18"/>
                <w:shd w:val="clear" w:color="auto" w:fill="FFFFFF"/>
              </w:rPr>
            </w:pPr>
            <w:r>
              <w:rPr>
                <w:rFonts w:hint="eastAsia" w:ascii="Times New Roman" w:hAnsi="Times New Roman" w:cs="Times New Roman"/>
                <w:color w:val="000000"/>
                <w:sz w:val="15"/>
                <w:szCs w:val="15"/>
                <w:shd w:val="clear" w:color="auto" w:fill="FFFFFF"/>
              </w:rPr>
              <w:t>(a)</w:t>
            </w:r>
            <w:r>
              <w:rPr>
                <w:rFonts w:ascii="Times New Roman" w:hAnsi="Times New Roman" w:cs="Times New Roman"/>
                <w:color w:val="000000"/>
                <w:sz w:val="15"/>
                <w:szCs w:val="15"/>
                <w:shd w:val="clear" w:color="auto" w:fill="FFFFFF"/>
              </w:rPr>
              <w:t>流速大小</w:t>
            </w:r>
          </w:p>
        </w:tc>
      </w:tr>
      <w:tr w14:paraId="18BEA2D9">
        <w:tblPrEx>
          <w:tblCellMar>
            <w:top w:w="0" w:type="dxa"/>
            <w:left w:w="108" w:type="dxa"/>
            <w:bottom w:w="0" w:type="dxa"/>
            <w:right w:w="108" w:type="dxa"/>
          </w:tblCellMar>
        </w:tblPrEx>
        <w:tc>
          <w:tcPr>
            <w:tcW w:w="5000" w:type="pct"/>
            <w:shd w:val="clear" w:color="auto" w:fill="auto"/>
            <w:vAlign w:val="center"/>
          </w:tcPr>
          <w:p w14:paraId="59F4A083">
            <w:pPr>
              <w:adjustRightInd w:val="0"/>
              <w:snapToGrid w:val="0"/>
              <w:jc w:val="center"/>
              <w:rPr>
                <w:rFonts w:ascii="Times New Roman" w:hAnsi="Times New Roman"/>
                <w:color w:val="000000"/>
                <w:sz w:val="18"/>
                <w:szCs w:val="18"/>
                <w:shd w:val="clear" w:color="auto" w:fill="FFFFFF"/>
              </w:rPr>
            </w:pPr>
            <w:r>
              <w:rPr>
                <w:rFonts w:ascii="Times New Roman" w:hAnsi="Times New Roman"/>
                <w:color w:val="000000"/>
                <w:sz w:val="18"/>
                <w:szCs w:val="18"/>
                <w:shd w:val="clear" w:color="auto" w:fill="FFFFFF"/>
              </w:rPr>
              <w:object>
                <v:shape id="_x0000_i1083" o:spt="75" type="#_x0000_t75" style="height:118.4pt;width:241.6pt;" o:ole="t" filled="f" o:preferrelative="t" stroked="f" coordsize="21600,21600">
                  <v:path/>
                  <v:fill on="f" focussize="0,0"/>
                  <v:stroke on="f" joinstyle="miter"/>
                  <v:imagedata r:id="rId133" cropleft="7120f" croptop="5766f" cropright="7807f" cropbottom="3780f" o:title=""/>
                  <o:lock v:ext="edit" aspectratio="t"/>
                  <w10:wrap type="none"/>
                  <w10:anchorlock/>
                </v:shape>
                <o:OLEObject Type="Embed" ProgID="Origin50.Graph" ShapeID="_x0000_i1083" DrawAspect="Content" ObjectID="_1468075783" r:id="rId132">
                  <o:LockedField>false</o:LockedField>
                </o:OLEObject>
              </w:object>
            </w:r>
          </w:p>
        </w:tc>
      </w:tr>
      <w:tr w14:paraId="3E89BF6B">
        <w:tblPrEx>
          <w:tblCellMar>
            <w:top w:w="0" w:type="dxa"/>
            <w:left w:w="108" w:type="dxa"/>
            <w:bottom w:w="0" w:type="dxa"/>
            <w:right w:w="108" w:type="dxa"/>
          </w:tblCellMar>
        </w:tblPrEx>
        <w:tc>
          <w:tcPr>
            <w:tcW w:w="5000" w:type="pct"/>
            <w:shd w:val="clear" w:color="auto" w:fill="auto"/>
            <w:vAlign w:val="center"/>
          </w:tcPr>
          <w:p w14:paraId="647A2FD4">
            <w:pPr>
              <w:pStyle w:val="7"/>
              <w:adjustRightInd w:val="0"/>
              <w:snapToGrid w:val="0"/>
              <w:spacing w:beforeLines="0" w:line="240" w:lineRule="auto"/>
              <w:ind w:left="360"/>
              <w:rPr>
                <w:rFonts w:cs="Times New Roman"/>
                <w:b w:val="0"/>
                <w:color w:val="000000"/>
                <w:sz w:val="18"/>
                <w:szCs w:val="18"/>
                <w:shd w:val="clear" w:color="auto" w:fill="FFFFFF"/>
              </w:rPr>
            </w:pPr>
            <w:r>
              <w:rPr>
                <w:rFonts w:hint="eastAsia" w:cs="Times New Roman"/>
                <w:b w:val="0"/>
                <w:color w:val="000000"/>
                <w:sz w:val="15"/>
                <w:szCs w:val="15"/>
                <w:shd w:val="clear" w:color="auto" w:fill="FFFFFF"/>
              </w:rPr>
              <w:t>(b)流速方向</w:t>
            </w:r>
          </w:p>
        </w:tc>
      </w:tr>
      <w:tr w14:paraId="096DBF09">
        <w:tblPrEx>
          <w:tblCellMar>
            <w:top w:w="0" w:type="dxa"/>
            <w:left w:w="108" w:type="dxa"/>
            <w:bottom w:w="0" w:type="dxa"/>
            <w:right w:w="108" w:type="dxa"/>
          </w:tblCellMar>
        </w:tblPrEx>
        <w:tc>
          <w:tcPr>
            <w:tcW w:w="5000" w:type="pct"/>
            <w:shd w:val="clear" w:color="auto" w:fill="auto"/>
            <w:vAlign w:val="center"/>
          </w:tcPr>
          <w:p w14:paraId="458138D3">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图7  2.0 m水深处平面流速对比</w:t>
            </w:r>
          </w:p>
        </w:tc>
      </w:tr>
      <w:tr w14:paraId="75E5E547">
        <w:tblPrEx>
          <w:tblCellMar>
            <w:top w:w="0" w:type="dxa"/>
            <w:left w:w="108" w:type="dxa"/>
            <w:bottom w:w="0" w:type="dxa"/>
            <w:right w:w="108" w:type="dxa"/>
          </w:tblCellMar>
        </w:tblPrEx>
        <w:tc>
          <w:tcPr>
            <w:tcW w:w="5000" w:type="pct"/>
            <w:shd w:val="clear" w:color="auto" w:fill="auto"/>
            <w:vAlign w:val="center"/>
          </w:tcPr>
          <w:p w14:paraId="52468194">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Fig.7</w:t>
            </w:r>
            <w:r>
              <w:rPr>
                <w:rFonts w:hint="eastAsia" w:eastAsia="黑体" w:cs="Times New Roman"/>
                <w:b w:val="0"/>
                <w:color w:val="000000"/>
                <w:sz w:val="18"/>
                <w:szCs w:val="18"/>
                <w:shd w:val="clear" w:color="auto" w:fill="FFFFFF"/>
              </w:rPr>
              <w:t xml:space="preserve"> </w:t>
            </w:r>
            <w:r>
              <w:rPr>
                <w:rFonts w:eastAsia="黑体" w:cs="Times New Roman"/>
                <w:b w:val="0"/>
                <w:color w:val="000000"/>
                <w:sz w:val="18"/>
                <w:szCs w:val="18"/>
                <w:shd w:val="clear" w:color="auto" w:fill="FFFFFF"/>
              </w:rPr>
              <w:t>Comparison of plane velocity at 2.0 m water depth</w:t>
            </w:r>
          </w:p>
        </w:tc>
      </w:tr>
    </w:tbl>
    <w:p w14:paraId="325E1A02">
      <w:pPr>
        <w:ind w:firstLine="420" w:firstLineChars="200"/>
        <w:rPr>
          <w:rFonts w:ascii="Times New Roman" w:hAnsi="Times New Roman"/>
          <w:color w:val="000000"/>
          <w:szCs w:val="21"/>
          <w:shd w:val="clear" w:color="auto" w:fill="FFFFFF"/>
        </w:rPr>
      </w:pPr>
      <w:bookmarkStart w:id="6" w:name="_Hlk211691286"/>
      <w:r>
        <w:rPr>
          <w:rFonts w:ascii="Times New Roman" w:hAnsi="Times New Roman"/>
          <w:color w:val="000000"/>
          <w:szCs w:val="21"/>
          <w:shd w:val="clear" w:color="auto" w:fill="FFFFFF"/>
        </w:rPr>
        <w:t>为定量评估模型模拟结果与实测数据的一致性，采用平均绝对误差（</w:t>
      </w:r>
      <w:r>
        <w:rPr>
          <w:rFonts w:ascii="Times New Roman" w:hAnsi="Times New Roman" w:cs="Times New Roman"/>
          <w:i/>
          <w:iCs/>
          <w:color w:val="000000"/>
          <w:szCs w:val="21"/>
          <w:shd w:val="clear" w:color="auto" w:fill="FFFFFF"/>
        </w:rPr>
        <w:t>AME</w:t>
      </w:r>
      <w:r>
        <w:rPr>
          <w:rFonts w:ascii="Times New Roman" w:hAnsi="Times New Roman"/>
          <w:color w:val="000000"/>
          <w:szCs w:val="21"/>
          <w:shd w:val="clear" w:color="auto" w:fill="FFFFFF"/>
        </w:rPr>
        <w:t>）、平均相对误差（</w:t>
      </w:r>
      <w:r>
        <w:rPr>
          <w:rFonts w:ascii="Times New Roman" w:hAnsi="Times New Roman"/>
          <w:i/>
          <w:iCs/>
          <w:color w:val="000000"/>
          <w:szCs w:val="21"/>
          <w:shd w:val="clear" w:color="auto" w:fill="FFFFFF"/>
        </w:rPr>
        <w:t>RME</w:t>
      </w:r>
      <w:r>
        <w:rPr>
          <w:rFonts w:ascii="Times New Roman" w:hAnsi="Times New Roman"/>
          <w:color w:val="000000"/>
          <w:szCs w:val="21"/>
          <w:shd w:val="clear" w:color="auto" w:fill="FFFFFF"/>
        </w:rPr>
        <w:t>）和均方根误差（</w:t>
      </w:r>
      <w:r>
        <w:rPr>
          <w:rFonts w:ascii="Times New Roman" w:hAnsi="Times New Roman"/>
          <w:i/>
          <w:iCs/>
          <w:color w:val="000000"/>
          <w:szCs w:val="21"/>
          <w:shd w:val="clear" w:color="auto" w:fill="FFFFFF"/>
        </w:rPr>
        <w:t>RMSE</w:t>
      </w:r>
      <w:r>
        <w:rPr>
          <w:rFonts w:ascii="Times New Roman" w:hAnsi="Times New Roman"/>
          <w:color w:val="000000"/>
          <w:szCs w:val="21"/>
          <w:shd w:val="clear" w:color="auto" w:fill="FFFFFF"/>
        </w:rPr>
        <w:t>）三项统计指标对计算精度进行分析。</w:t>
      </w:r>
    </w:p>
    <w:bookmarkEnd w:id="6"/>
    <w:p w14:paraId="21BE263E">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流速、流向误差统计情况如图8所示，误差的各特征数据统计于表3中。可见约80%检测点流速值误差低于20%，约90%检测点流向值误差低于20%。流速值的平均误差与平均相对误差为0.03 m/s和15%，而流向的分别为21.45°和12%。受小部分偏离较大的测点影响，两者均方根误差分别为0.05 m/s和38.11°。整体上本文模拟得到的流场与实测资料能够吻合，说明了其模拟实际工程的可行性。</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48"/>
        <w:gridCol w:w="4148"/>
      </w:tblGrid>
      <w:tr w14:paraId="64023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8" w:type="dxa"/>
            <w:vAlign w:val="center"/>
          </w:tcPr>
          <w:p w14:paraId="045A7268">
            <w:pPr>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drawing>
                <wp:inline distT="0" distB="0" distL="0" distR="0">
                  <wp:extent cx="1645920" cy="1471295"/>
                  <wp:effectExtent l="0" t="0" r="0" b="0"/>
                  <wp:docPr id="4525275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27502" name="图片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651227" cy="1475938"/>
                          </a:xfrm>
                          <a:prstGeom prst="rect">
                            <a:avLst/>
                          </a:prstGeom>
                          <a:noFill/>
                          <a:ln>
                            <a:noFill/>
                          </a:ln>
                        </pic:spPr>
                      </pic:pic>
                    </a:graphicData>
                  </a:graphic>
                </wp:inline>
              </w:drawing>
            </w:r>
          </w:p>
        </w:tc>
        <w:tc>
          <w:tcPr>
            <w:tcW w:w="4148" w:type="dxa"/>
            <w:vAlign w:val="center"/>
          </w:tcPr>
          <w:p w14:paraId="1CE3A373">
            <w:pPr>
              <w:spacing w:line="240" w:lineRule="atLeast"/>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drawing>
                <wp:inline distT="0" distB="0" distL="0" distR="0">
                  <wp:extent cx="1605280" cy="1464310"/>
                  <wp:effectExtent l="0" t="0" r="0" b="2540"/>
                  <wp:docPr id="18494990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99050" name="图片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609492" cy="1467916"/>
                          </a:xfrm>
                          <a:prstGeom prst="rect">
                            <a:avLst/>
                          </a:prstGeom>
                          <a:noFill/>
                          <a:ln>
                            <a:noFill/>
                          </a:ln>
                        </pic:spPr>
                      </pic:pic>
                    </a:graphicData>
                  </a:graphic>
                </wp:inline>
              </w:drawing>
            </w:r>
          </w:p>
        </w:tc>
      </w:tr>
      <w:tr w14:paraId="1607B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48" w:type="dxa"/>
            <w:vAlign w:val="center"/>
          </w:tcPr>
          <w:p w14:paraId="4428BEC4">
            <w:pPr>
              <w:jc w:val="center"/>
              <w:rPr>
                <w:rFonts w:ascii="Times New Roman" w:hAnsi="Times New Roman"/>
                <w:color w:val="000000"/>
                <w:szCs w:val="21"/>
                <w:shd w:val="clear" w:color="auto" w:fill="FFFFFF"/>
              </w:rPr>
            </w:pPr>
            <w:r>
              <w:rPr>
                <w:rFonts w:ascii="Times New Roman" w:hAnsi="Times New Roman" w:cs="Times New Roman"/>
                <w:color w:val="000000"/>
                <w:sz w:val="15"/>
                <w:szCs w:val="15"/>
                <w:shd w:val="clear" w:color="auto" w:fill="FFFFFF"/>
              </w:rPr>
              <w:t>(a) 流速大小</w:t>
            </w:r>
          </w:p>
        </w:tc>
        <w:tc>
          <w:tcPr>
            <w:tcW w:w="4148" w:type="dxa"/>
            <w:vAlign w:val="center"/>
          </w:tcPr>
          <w:p w14:paraId="6A2B311A">
            <w:pPr>
              <w:spacing w:line="240" w:lineRule="atLeast"/>
              <w:jc w:val="center"/>
              <w:rPr>
                <w:rFonts w:ascii="Times New Roman" w:hAnsi="Times New Roman"/>
                <w:color w:val="000000"/>
                <w:szCs w:val="21"/>
                <w:shd w:val="clear" w:color="auto" w:fill="FFFFFF"/>
              </w:rPr>
            </w:pPr>
            <w:r>
              <w:rPr>
                <w:rFonts w:ascii="Times New Roman" w:hAnsi="Times New Roman" w:cs="Times New Roman"/>
                <w:color w:val="000000"/>
                <w:sz w:val="15"/>
                <w:szCs w:val="15"/>
                <w:shd w:val="clear" w:color="auto" w:fill="FFFFFF"/>
              </w:rPr>
              <w:t>(b) 流速方向</w:t>
            </w:r>
          </w:p>
        </w:tc>
      </w:tr>
    </w:tbl>
    <w:tbl>
      <w:tblPr>
        <w:tblStyle w:val="16"/>
        <w:tblW w:w="5000" w:type="pct"/>
        <w:tblInd w:w="0" w:type="dxa"/>
        <w:tblLayout w:type="autofit"/>
        <w:tblCellMar>
          <w:top w:w="0" w:type="dxa"/>
          <w:left w:w="108" w:type="dxa"/>
          <w:bottom w:w="0" w:type="dxa"/>
          <w:right w:w="108" w:type="dxa"/>
        </w:tblCellMar>
      </w:tblPr>
      <w:tblGrid>
        <w:gridCol w:w="8522"/>
      </w:tblGrid>
      <w:tr w14:paraId="164C0309">
        <w:tblPrEx>
          <w:tblCellMar>
            <w:top w:w="0" w:type="dxa"/>
            <w:left w:w="108" w:type="dxa"/>
            <w:bottom w:w="0" w:type="dxa"/>
            <w:right w:w="108" w:type="dxa"/>
          </w:tblCellMar>
        </w:tblPrEx>
        <w:tc>
          <w:tcPr>
            <w:tcW w:w="5000" w:type="pct"/>
            <w:shd w:val="clear" w:color="auto" w:fill="auto"/>
            <w:vAlign w:val="center"/>
          </w:tcPr>
          <w:p w14:paraId="20130FA5">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图8</w:t>
            </w:r>
            <w:r>
              <w:rPr>
                <w:rFonts w:hint="eastAsia" w:eastAsia="黑体" w:cs="Times New Roman"/>
                <w:b w:val="0"/>
                <w:color w:val="000000"/>
                <w:sz w:val="18"/>
                <w:szCs w:val="18"/>
                <w:shd w:val="clear" w:color="auto" w:fill="FFFFFF"/>
              </w:rPr>
              <w:t xml:space="preserve"> </w:t>
            </w:r>
            <w:r>
              <w:rPr>
                <w:rFonts w:eastAsia="黑体" w:cs="Times New Roman"/>
                <w:b w:val="0"/>
                <w:color w:val="000000"/>
                <w:sz w:val="18"/>
                <w:szCs w:val="18"/>
                <w:shd w:val="clear" w:color="auto" w:fill="FFFFFF"/>
              </w:rPr>
              <w:t>2.0 m水深平面流速矢量误差对比验证</w:t>
            </w:r>
          </w:p>
        </w:tc>
      </w:tr>
      <w:tr w14:paraId="65FED95F">
        <w:tblPrEx>
          <w:tblCellMar>
            <w:top w:w="0" w:type="dxa"/>
            <w:left w:w="108" w:type="dxa"/>
            <w:bottom w:w="0" w:type="dxa"/>
            <w:right w:w="108" w:type="dxa"/>
          </w:tblCellMar>
        </w:tblPrEx>
        <w:trPr>
          <w:trHeight w:val="222" w:hRule="atLeast"/>
        </w:trPr>
        <w:tc>
          <w:tcPr>
            <w:tcW w:w="5000" w:type="pct"/>
            <w:shd w:val="clear" w:color="auto" w:fill="auto"/>
            <w:vAlign w:val="center"/>
          </w:tcPr>
          <w:p w14:paraId="7D1D3ECA">
            <w:pPr>
              <w:adjustRightInd w:val="0"/>
              <w:snapToGrid w:val="0"/>
              <w:jc w:val="center"/>
              <w:rPr>
                <w:rFonts w:ascii="Times New Roman" w:hAnsi="Times New Roman" w:eastAsia="黑体" w:cs="Times New Roman"/>
                <w:color w:val="000000"/>
                <w:sz w:val="18"/>
                <w:szCs w:val="18"/>
                <w:shd w:val="clear" w:color="auto" w:fill="FFFFFF"/>
              </w:rPr>
            </w:pPr>
            <w:r>
              <w:rPr>
                <w:rFonts w:ascii="Times New Roman" w:hAnsi="Times New Roman" w:eastAsia="黑体" w:cs="Times New Roman"/>
                <w:color w:val="000000"/>
                <w:sz w:val="18"/>
                <w:szCs w:val="18"/>
                <w:shd w:val="clear" w:color="auto" w:fill="FFFFFF"/>
              </w:rPr>
              <w:t xml:space="preserve">Fig.8 </w:t>
            </w:r>
            <w:r>
              <w:rPr>
                <w:rFonts w:hint="eastAsia" w:ascii="Times New Roman" w:hAnsi="Times New Roman" w:eastAsia="黑体" w:cs="Times New Roman"/>
                <w:color w:val="000000"/>
                <w:sz w:val="18"/>
                <w:szCs w:val="18"/>
                <w:shd w:val="clear" w:color="auto" w:fill="FFFFFF"/>
              </w:rPr>
              <w:t xml:space="preserve"> </w:t>
            </w:r>
            <w:r>
              <w:rPr>
                <w:rFonts w:ascii="Times New Roman" w:hAnsi="Times New Roman" w:eastAsia="黑体" w:cs="Times New Roman"/>
                <w:color w:val="000000"/>
                <w:sz w:val="18"/>
                <w:szCs w:val="18"/>
                <w:shd w:val="clear" w:color="auto" w:fill="FFFFFF"/>
              </w:rPr>
              <w:t>Comparison and verification of the vector error of the plane flow velocity at 2.0 m water depth</w:t>
            </w:r>
          </w:p>
        </w:tc>
      </w:tr>
    </w:tbl>
    <w:p w14:paraId="7CE5F371">
      <w:pPr>
        <w:adjustRightInd w:val="0"/>
        <w:snapToGrid w:val="0"/>
        <w:jc w:val="center"/>
        <w:rPr>
          <w:rFonts w:ascii="Times New Roman" w:hAnsi="Times New Roman" w:eastAsia="黑体" w:cs="Times New Roman"/>
          <w:bCs/>
          <w:color w:val="000000"/>
          <w:sz w:val="18"/>
          <w:szCs w:val="18"/>
          <w:shd w:val="clear" w:color="auto" w:fill="FFFFFF"/>
        </w:rPr>
      </w:pPr>
      <w:bookmarkStart w:id="7" w:name="_Ref479434612"/>
      <w:r>
        <w:rPr>
          <w:rFonts w:ascii="Times New Roman" w:hAnsi="Times New Roman" w:eastAsia="黑体" w:cs="Times New Roman"/>
          <w:bCs/>
          <w:color w:val="000000"/>
          <w:sz w:val="18"/>
          <w:szCs w:val="18"/>
          <w:shd w:val="clear" w:color="auto" w:fill="FFFFFF"/>
        </w:rPr>
        <w:t>表</w:t>
      </w:r>
      <w:bookmarkEnd w:id="7"/>
      <w:r>
        <w:rPr>
          <w:rFonts w:hint="eastAsia" w:ascii="Times New Roman" w:hAnsi="Times New Roman" w:eastAsia="黑体" w:cs="Times New Roman"/>
          <w:bCs/>
          <w:color w:val="000000"/>
          <w:sz w:val="18"/>
          <w:szCs w:val="18"/>
          <w:shd w:val="clear" w:color="auto" w:fill="FFFFFF"/>
        </w:rPr>
        <w:t>3</w:t>
      </w:r>
      <w:r>
        <w:rPr>
          <w:rFonts w:ascii="Times New Roman" w:hAnsi="Times New Roman" w:eastAsia="黑体" w:cs="Times New Roman"/>
          <w:bCs/>
          <w:color w:val="000000"/>
          <w:sz w:val="18"/>
          <w:szCs w:val="18"/>
          <w:shd w:val="clear" w:color="auto" w:fill="FFFFFF"/>
        </w:rPr>
        <w:t xml:space="preserve">  坝下2.0 m水深平面误差分析</w:t>
      </w:r>
    </w:p>
    <w:p w14:paraId="1CB91F67">
      <w:pPr>
        <w:adjustRightInd w:val="0"/>
        <w:snapToGrid w:val="0"/>
        <w:jc w:val="center"/>
        <w:rPr>
          <w:rFonts w:ascii="Times New Roman" w:hAnsi="Times New Roman" w:eastAsia="黑体" w:cs="Times New Roman"/>
          <w:bCs/>
          <w:color w:val="000000"/>
          <w:sz w:val="18"/>
          <w:szCs w:val="18"/>
          <w:shd w:val="clear" w:color="auto" w:fill="FFFFFF"/>
        </w:rPr>
      </w:pPr>
      <w:r>
        <w:rPr>
          <w:rFonts w:ascii="Times New Roman" w:hAnsi="Times New Roman" w:eastAsia="黑体" w:cs="Times New Roman"/>
          <w:bCs/>
          <w:color w:val="000000"/>
          <w:sz w:val="18"/>
          <w:szCs w:val="18"/>
          <w:shd w:val="clear" w:color="auto" w:fill="FFFFFF"/>
        </w:rPr>
        <w:t xml:space="preserve">Table </w:t>
      </w:r>
      <w:r>
        <w:rPr>
          <w:rFonts w:hint="eastAsia" w:ascii="Times New Roman" w:hAnsi="Times New Roman" w:eastAsia="黑体" w:cs="Times New Roman"/>
          <w:bCs/>
          <w:color w:val="000000"/>
          <w:sz w:val="18"/>
          <w:szCs w:val="18"/>
          <w:shd w:val="clear" w:color="auto" w:fill="FFFFFF"/>
        </w:rPr>
        <w:t xml:space="preserve">3 </w:t>
      </w:r>
      <w:r>
        <w:rPr>
          <w:rFonts w:ascii="Times New Roman" w:hAnsi="Times New Roman" w:eastAsia="黑体" w:cs="Times New Roman"/>
          <w:bCs/>
          <w:color w:val="000000"/>
          <w:sz w:val="18"/>
          <w:szCs w:val="18"/>
          <w:shd w:val="clear" w:color="auto" w:fill="FFFFFF"/>
        </w:rPr>
        <w:t>Analysis of plane error of 2.0 m water depth under the dam</w:t>
      </w:r>
    </w:p>
    <w:tbl>
      <w:tblPr>
        <w:tblStyle w:val="16"/>
        <w:tblW w:w="5000" w:type="pct"/>
        <w:jc w:val="center"/>
        <w:tblBorders>
          <w:top w:val="single" w:color="auto" w:sz="12" w:space="0"/>
          <w:left w:val="none" w:color="auto" w:sz="0" w:space="0"/>
          <w:bottom w:val="single" w:color="auto" w:sz="12" w:space="0"/>
          <w:right w:val="none" w:color="auto" w:sz="0" w:space="0"/>
          <w:insideH w:val="single" w:color="auto" w:sz="8" w:space="0"/>
          <w:insideV w:val="none" w:color="auto" w:sz="0" w:space="0"/>
        </w:tblBorders>
        <w:tblLayout w:type="autofit"/>
        <w:tblCellMar>
          <w:top w:w="0" w:type="dxa"/>
          <w:left w:w="0" w:type="dxa"/>
          <w:bottom w:w="0" w:type="dxa"/>
          <w:right w:w="0" w:type="dxa"/>
        </w:tblCellMar>
      </w:tblPr>
      <w:tblGrid>
        <w:gridCol w:w="2031"/>
        <w:gridCol w:w="999"/>
        <w:gridCol w:w="997"/>
        <w:gridCol w:w="997"/>
        <w:gridCol w:w="997"/>
        <w:gridCol w:w="749"/>
        <w:gridCol w:w="685"/>
        <w:gridCol w:w="851"/>
      </w:tblGrid>
      <w:tr w14:paraId="15F8242F">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0" w:type="dxa"/>
            <w:bottom w:w="0" w:type="dxa"/>
            <w:right w:w="0" w:type="dxa"/>
          </w:tblCellMar>
        </w:tblPrEx>
        <w:trPr>
          <w:trHeight w:val="329" w:hRule="atLeast"/>
          <w:jc w:val="center"/>
        </w:trPr>
        <w:tc>
          <w:tcPr>
            <w:tcW w:w="1824" w:type="pct"/>
            <w:gridSpan w:val="2"/>
            <w:shd w:val="clear" w:color="auto" w:fill="auto"/>
            <w:noWrap/>
            <w:vAlign w:val="center"/>
          </w:tcPr>
          <w:p w14:paraId="04F674E2">
            <w:pPr>
              <w:pStyle w:val="70"/>
              <w:rPr>
                <w:color w:val="000000"/>
                <w:sz w:val="15"/>
                <w:szCs w:val="15"/>
                <w:shd w:val="clear" w:color="auto" w:fill="FFFFFF"/>
              </w:rPr>
            </w:pPr>
            <w:r>
              <w:rPr>
                <w:color w:val="000000"/>
                <w:sz w:val="15"/>
                <w:szCs w:val="15"/>
                <w:shd w:val="clear" w:color="auto" w:fill="FFFFFF"/>
              </w:rPr>
              <w:t>项目</w:t>
            </w:r>
          </w:p>
        </w:tc>
        <w:tc>
          <w:tcPr>
            <w:tcW w:w="600" w:type="pct"/>
            <w:shd w:val="clear" w:color="auto" w:fill="auto"/>
            <w:noWrap/>
            <w:vAlign w:val="center"/>
          </w:tcPr>
          <w:p w14:paraId="7DEEB9FF">
            <w:pPr>
              <w:pStyle w:val="70"/>
              <w:rPr>
                <w:color w:val="000000"/>
                <w:sz w:val="15"/>
                <w:szCs w:val="15"/>
                <w:shd w:val="clear" w:color="auto" w:fill="FFFFFF"/>
              </w:rPr>
            </w:pPr>
            <w:r>
              <w:rPr>
                <w:color w:val="000000"/>
                <w:sz w:val="15"/>
                <w:szCs w:val="15"/>
                <w:shd w:val="clear" w:color="auto" w:fill="FFFFFF"/>
              </w:rPr>
              <w:t>最小值</w:t>
            </w:r>
          </w:p>
        </w:tc>
        <w:tc>
          <w:tcPr>
            <w:tcW w:w="600" w:type="pct"/>
            <w:shd w:val="clear" w:color="auto" w:fill="auto"/>
            <w:noWrap/>
            <w:vAlign w:val="center"/>
          </w:tcPr>
          <w:p w14:paraId="4A6258CF">
            <w:pPr>
              <w:pStyle w:val="70"/>
              <w:rPr>
                <w:color w:val="000000"/>
                <w:sz w:val="15"/>
                <w:szCs w:val="15"/>
                <w:shd w:val="clear" w:color="auto" w:fill="FFFFFF"/>
              </w:rPr>
            </w:pPr>
            <w:r>
              <w:rPr>
                <w:color w:val="000000"/>
                <w:sz w:val="15"/>
                <w:szCs w:val="15"/>
                <w:shd w:val="clear" w:color="auto" w:fill="FFFFFF"/>
              </w:rPr>
              <w:t>最大值</w:t>
            </w:r>
          </w:p>
        </w:tc>
        <w:tc>
          <w:tcPr>
            <w:tcW w:w="600" w:type="pct"/>
            <w:shd w:val="clear" w:color="auto" w:fill="auto"/>
            <w:noWrap/>
            <w:vAlign w:val="center"/>
          </w:tcPr>
          <w:p w14:paraId="39F5C9B4">
            <w:pPr>
              <w:pStyle w:val="70"/>
              <w:rPr>
                <w:color w:val="000000"/>
                <w:sz w:val="15"/>
                <w:szCs w:val="15"/>
                <w:shd w:val="clear" w:color="auto" w:fill="FFFFFF"/>
              </w:rPr>
            </w:pPr>
            <w:r>
              <w:rPr>
                <w:color w:val="000000"/>
                <w:sz w:val="15"/>
                <w:szCs w:val="15"/>
                <w:shd w:val="clear" w:color="auto" w:fill="FFFFFF"/>
              </w:rPr>
              <w:t>平均值</w:t>
            </w:r>
          </w:p>
        </w:tc>
        <w:tc>
          <w:tcPr>
            <w:tcW w:w="451" w:type="pct"/>
            <w:shd w:val="clear" w:color="auto" w:fill="auto"/>
            <w:noWrap/>
            <w:vAlign w:val="center"/>
          </w:tcPr>
          <w:p w14:paraId="2547C354">
            <w:pPr>
              <w:pStyle w:val="70"/>
              <w:rPr>
                <w:i/>
                <w:color w:val="000000"/>
                <w:sz w:val="15"/>
                <w:szCs w:val="15"/>
                <w:shd w:val="clear" w:color="auto" w:fill="FFFFFF"/>
              </w:rPr>
            </w:pPr>
            <w:r>
              <w:rPr>
                <w:i/>
                <w:color w:val="000000"/>
                <w:sz w:val="15"/>
                <w:szCs w:val="15"/>
                <w:shd w:val="clear" w:color="auto" w:fill="FFFFFF"/>
              </w:rPr>
              <w:t>AME</w:t>
            </w:r>
          </w:p>
        </w:tc>
        <w:tc>
          <w:tcPr>
            <w:tcW w:w="412" w:type="pct"/>
            <w:shd w:val="clear" w:color="auto" w:fill="auto"/>
            <w:noWrap/>
            <w:vAlign w:val="center"/>
          </w:tcPr>
          <w:p w14:paraId="4D1D2530">
            <w:pPr>
              <w:pStyle w:val="70"/>
              <w:rPr>
                <w:i/>
                <w:color w:val="000000"/>
                <w:sz w:val="15"/>
                <w:szCs w:val="15"/>
                <w:shd w:val="clear" w:color="auto" w:fill="FFFFFF"/>
              </w:rPr>
            </w:pPr>
            <w:r>
              <w:rPr>
                <w:i/>
                <w:color w:val="000000"/>
                <w:sz w:val="15"/>
                <w:szCs w:val="15"/>
                <w:shd w:val="clear" w:color="auto" w:fill="FFFFFF"/>
              </w:rPr>
              <w:t>RME</w:t>
            </w:r>
          </w:p>
        </w:tc>
        <w:tc>
          <w:tcPr>
            <w:tcW w:w="512" w:type="pct"/>
            <w:shd w:val="clear" w:color="auto" w:fill="auto"/>
            <w:noWrap/>
            <w:vAlign w:val="center"/>
          </w:tcPr>
          <w:p w14:paraId="72287AB3">
            <w:pPr>
              <w:pStyle w:val="70"/>
              <w:rPr>
                <w:i/>
                <w:color w:val="000000"/>
                <w:sz w:val="15"/>
                <w:szCs w:val="15"/>
                <w:shd w:val="clear" w:color="auto" w:fill="FFFFFF"/>
              </w:rPr>
            </w:pPr>
            <w:r>
              <w:rPr>
                <w:i/>
                <w:color w:val="000000"/>
                <w:sz w:val="15"/>
                <w:szCs w:val="15"/>
                <w:shd w:val="clear" w:color="auto" w:fill="FFFFFF"/>
              </w:rPr>
              <w:t>RMSE</w:t>
            </w:r>
          </w:p>
        </w:tc>
      </w:tr>
      <w:tr w14:paraId="098441A1">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0" w:type="dxa"/>
            <w:bottom w:w="0" w:type="dxa"/>
            <w:right w:w="0" w:type="dxa"/>
          </w:tblCellMar>
        </w:tblPrEx>
        <w:trPr>
          <w:trHeight w:val="329" w:hRule="atLeast"/>
          <w:jc w:val="center"/>
        </w:trPr>
        <w:tc>
          <w:tcPr>
            <w:tcW w:w="1223" w:type="pct"/>
            <w:vMerge w:val="restart"/>
            <w:shd w:val="clear" w:color="auto" w:fill="auto"/>
            <w:noWrap/>
            <w:vAlign w:val="center"/>
          </w:tcPr>
          <w:p w14:paraId="6B90DBFD">
            <w:pPr>
              <w:pStyle w:val="70"/>
              <w:rPr>
                <w:b/>
                <w:color w:val="000000"/>
                <w:sz w:val="15"/>
                <w:szCs w:val="15"/>
                <w:shd w:val="clear" w:color="auto" w:fill="FFFFFF"/>
              </w:rPr>
            </w:pPr>
            <w:r>
              <w:rPr>
                <w:color w:val="000000"/>
                <w:sz w:val="15"/>
                <w:szCs w:val="15"/>
                <w:shd w:val="clear" w:color="auto" w:fill="FFFFFF"/>
              </w:rPr>
              <w:t>流速大小(m/s)</w:t>
            </w:r>
          </w:p>
        </w:tc>
        <w:tc>
          <w:tcPr>
            <w:tcW w:w="600" w:type="pct"/>
            <w:shd w:val="clear" w:color="auto" w:fill="auto"/>
            <w:noWrap/>
            <w:vAlign w:val="center"/>
          </w:tcPr>
          <w:p w14:paraId="2F546C9A">
            <w:pPr>
              <w:pStyle w:val="70"/>
              <w:rPr>
                <w:b/>
                <w:color w:val="000000"/>
                <w:sz w:val="15"/>
                <w:szCs w:val="15"/>
                <w:shd w:val="clear" w:color="auto" w:fill="FFFFFF"/>
              </w:rPr>
            </w:pPr>
            <w:r>
              <w:rPr>
                <w:color w:val="000000"/>
                <w:sz w:val="15"/>
                <w:szCs w:val="15"/>
                <w:shd w:val="clear" w:color="auto" w:fill="FFFFFF"/>
              </w:rPr>
              <w:t>实测值</w:t>
            </w:r>
          </w:p>
        </w:tc>
        <w:tc>
          <w:tcPr>
            <w:tcW w:w="600" w:type="pct"/>
            <w:shd w:val="clear" w:color="auto" w:fill="auto"/>
            <w:noWrap/>
            <w:vAlign w:val="center"/>
          </w:tcPr>
          <w:p w14:paraId="54D714CE">
            <w:pPr>
              <w:pStyle w:val="70"/>
              <w:rPr>
                <w:b/>
                <w:color w:val="000000"/>
                <w:sz w:val="15"/>
                <w:szCs w:val="15"/>
                <w:shd w:val="clear" w:color="auto" w:fill="FFFFFF"/>
              </w:rPr>
            </w:pPr>
            <w:r>
              <w:rPr>
                <w:color w:val="000000"/>
                <w:sz w:val="15"/>
                <w:szCs w:val="15"/>
                <w:shd w:val="clear" w:color="auto" w:fill="FFFFFF"/>
              </w:rPr>
              <w:t>0.04</w:t>
            </w:r>
          </w:p>
        </w:tc>
        <w:tc>
          <w:tcPr>
            <w:tcW w:w="600" w:type="pct"/>
            <w:shd w:val="clear" w:color="auto" w:fill="auto"/>
            <w:noWrap/>
            <w:vAlign w:val="center"/>
          </w:tcPr>
          <w:p w14:paraId="5A45F9E7">
            <w:pPr>
              <w:pStyle w:val="70"/>
              <w:rPr>
                <w:b/>
                <w:color w:val="000000"/>
                <w:sz w:val="15"/>
                <w:szCs w:val="15"/>
                <w:shd w:val="clear" w:color="auto" w:fill="FFFFFF"/>
              </w:rPr>
            </w:pPr>
            <w:r>
              <w:rPr>
                <w:color w:val="000000"/>
                <w:sz w:val="15"/>
                <w:szCs w:val="15"/>
                <w:shd w:val="clear" w:color="auto" w:fill="FFFFFF"/>
              </w:rPr>
              <w:t>0.27</w:t>
            </w:r>
          </w:p>
        </w:tc>
        <w:tc>
          <w:tcPr>
            <w:tcW w:w="600" w:type="pct"/>
            <w:shd w:val="clear" w:color="auto" w:fill="auto"/>
            <w:noWrap/>
            <w:vAlign w:val="center"/>
          </w:tcPr>
          <w:p w14:paraId="4990EF4E">
            <w:pPr>
              <w:pStyle w:val="70"/>
              <w:rPr>
                <w:b/>
                <w:color w:val="000000"/>
                <w:sz w:val="15"/>
                <w:szCs w:val="15"/>
                <w:shd w:val="clear" w:color="auto" w:fill="FFFFFF"/>
              </w:rPr>
            </w:pPr>
            <w:r>
              <w:rPr>
                <w:color w:val="000000"/>
                <w:sz w:val="15"/>
                <w:szCs w:val="15"/>
                <w:shd w:val="clear" w:color="auto" w:fill="FFFFFF"/>
              </w:rPr>
              <w:t>0.15</w:t>
            </w:r>
          </w:p>
        </w:tc>
        <w:tc>
          <w:tcPr>
            <w:tcW w:w="451" w:type="pct"/>
            <w:vMerge w:val="restart"/>
            <w:shd w:val="clear" w:color="auto" w:fill="auto"/>
            <w:noWrap/>
            <w:vAlign w:val="center"/>
          </w:tcPr>
          <w:p w14:paraId="58395BC0">
            <w:pPr>
              <w:pStyle w:val="70"/>
              <w:rPr>
                <w:b/>
                <w:color w:val="000000"/>
                <w:sz w:val="15"/>
                <w:szCs w:val="15"/>
                <w:shd w:val="clear" w:color="auto" w:fill="FFFFFF"/>
              </w:rPr>
            </w:pPr>
            <w:r>
              <w:rPr>
                <w:color w:val="000000"/>
                <w:sz w:val="15"/>
                <w:szCs w:val="15"/>
                <w:shd w:val="clear" w:color="auto" w:fill="FFFFFF"/>
              </w:rPr>
              <w:t>0.03</w:t>
            </w:r>
          </w:p>
        </w:tc>
        <w:tc>
          <w:tcPr>
            <w:tcW w:w="412" w:type="pct"/>
            <w:vMerge w:val="restart"/>
            <w:shd w:val="clear" w:color="auto" w:fill="auto"/>
            <w:noWrap/>
            <w:vAlign w:val="center"/>
          </w:tcPr>
          <w:p w14:paraId="2B81BB7A">
            <w:pPr>
              <w:pStyle w:val="70"/>
              <w:rPr>
                <w:b/>
                <w:color w:val="000000"/>
                <w:sz w:val="15"/>
                <w:szCs w:val="15"/>
                <w:shd w:val="clear" w:color="auto" w:fill="FFFFFF"/>
              </w:rPr>
            </w:pPr>
            <w:r>
              <w:rPr>
                <w:color w:val="000000"/>
                <w:sz w:val="15"/>
                <w:szCs w:val="15"/>
                <w:shd w:val="clear" w:color="auto" w:fill="FFFFFF"/>
              </w:rPr>
              <w:t>15%</w:t>
            </w:r>
          </w:p>
        </w:tc>
        <w:tc>
          <w:tcPr>
            <w:tcW w:w="512" w:type="pct"/>
            <w:vMerge w:val="restart"/>
            <w:shd w:val="clear" w:color="auto" w:fill="auto"/>
            <w:noWrap/>
            <w:vAlign w:val="center"/>
          </w:tcPr>
          <w:p w14:paraId="2B021249">
            <w:pPr>
              <w:pStyle w:val="70"/>
              <w:rPr>
                <w:b/>
                <w:color w:val="000000"/>
                <w:sz w:val="15"/>
                <w:szCs w:val="15"/>
                <w:shd w:val="clear" w:color="auto" w:fill="FFFFFF"/>
              </w:rPr>
            </w:pPr>
            <w:r>
              <w:rPr>
                <w:color w:val="000000"/>
                <w:sz w:val="15"/>
                <w:szCs w:val="15"/>
                <w:shd w:val="clear" w:color="auto" w:fill="FFFFFF"/>
              </w:rPr>
              <w:t>0.05</w:t>
            </w:r>
          </w:p>
        </w:tc>
      </w:tr>
      <w:tr w14:paraId="422076BF">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0" w:type="dxa"/>
            <w:bottom w:w="0" w:type="dxa"/>
            <w:right w:w="0" w:type="dxa"/>
          </w:tblCellMar>
        </w:tblPrEx>
        <w:trPr>
          <w:trHeight w:val="329" w:hRule="atLeast"/>
          <w:jc w:val="center"/>
        </w:trPr>
        <w:tc>
          <w:tcPr>
            <w:tcW w:w="1223" w:type="pct"/>
            <w:vMerge w:val="continue"/>
            <w:shd w:val="clear" w:color="auto" w:fill="auto"/>
            <w:vAlign w:val="center"/>
          </w:tcPr>
          <w:p w14:paraId="31D67F6D">
            <w:pPr>
              <w:pStyle w:val="70"/>
              <w:rPr>
                <w:b/>
                <w:color w:val="000000"/>
                <w:sz w:val="15"/>
                <w:szCs w:val="15"/>
                <w:shd w:val="clear" w:color="auto" w:fill="FFFFFF"/>
              </w:rPr>
            </w:pPr>
          </w:p>
        </w:tc>
        <w:tc>
          <w:tcPr>
            <w:tcW w:w="600" w:type="pct"/>
            <w:shd w:val="clear" w:color="auto" w:fill="auto"/>
            <w:noWrap/>
            <w:vAlign w:val="center"/>
          </w:tcPr>
          <w:p w14:paraId="0CE34C72">
            <w:pPr>
              <w:pStyle w:val="70"/>
              <w:rPr>
                <w:b/>
                <w:color w:val="000000"/>
                <w:sz w:val="15"/>
                <w:szCs w:val="15"/>
                <w:shd w:val="clear" w:color="auto" w:fill="FFFFFF"/>
              </w:rPr>
            </w:pPr>
            <w:r>
              <w:rPr>
                <w:color w:val="000000"/>
                <w:sz w:val="15"/>
                <w:szCs w:val="15"/>
                <w:shd w:val="clear" w:color="auto" w:fill="FFFFFF"/>
              </w:rPr>
              <w:t>计算值</w:t>
            </w:r>
          </w:p>
        </w:tc>
        <w:tc>
          <w:tcPr>
            <w:tcW w:w="600" w:type="pct"/>
            <w:shd w:val="clear" w:color="auto" w:fill="auto"/>
            <w:noWrap/>
            <w:vAlign w:val="center"/>
          </w:tcPr>
          <w:p w14:paraId="06F86EB6">
            <w:pPr>
              <w:pStyle w:val="70"/>
              <w:rPr>
                <w:b/>
                <w:color w:val="000000"/>
                <w:sz w:val="15"/>
                <w:szCs w:val="15"/>
                <w:shd w:val="clear" w:color="auto" w:fill="FFFFFF"/>
              </w:rPr>
            </w:pPr>
            <w:r>
              <w:rPr>
                <w:color w:val="000000"/>
                <w:sz w:val="15"/>
                <w:szCs w:val="15"/>
                <w:shd w:val="clear" w:color="auto" w:fill="FFFFFF"/>
              </w:rPr>
              <w:t>0.05</w:t>
            </w:r>
          </w:p>
        </w:tc>
        <w:tc>
          <w:tcPr>
            <w:tcW w:w="600" w:type="pct"/>
            <w:shd w:val="clear" w:color="auto" w:fill="auto"/>
            <w:noWrap/>
            <w:vAlign w:val="center"/>
          </w:tcPr>
          <w:p w14:paraId="03BBDF90">
            <w:pPr>
              <w:pStyle w:val="70"/>
              <w:rPr>
                <w:b/>
                <w:color w:val="000000"/>
                <w:sz w:val="15"/>
                <w:szCs w:val="15"/>
                <w:shd w:val="clear" w:color="auto" w:fill="FFFFFF"/>
              </w:rPr>
            </w:pPr>
            <w:r>
              <w:rPr>
                <w:color w:val="000000"/>
                <w:sz w:val="15"/>
                <w:szCs w:val="15"/>
                <w:shd w:val="clear" w:color="auto" w:fill="FFFFFF"/>
              </w:rPr>
              <w:t>0.31</w:t>
            </w:r>
          </w:p>
        </w:tc>
        <w:tc>
          <w:tcPr>
            <w:tcW w:w="600" w:type="pct"/>
            <w:shd w:val="clear" w:color="auto" w:fill="auto"/>
            <w:noWrap/>
            <w:vAlign w:val="center"/>
          </w:tcPr>
          <w:p w14:paraId="597C4791">
            <w:pPr>
              <w:pStyle w:val="70"/>
              <w:rPr>
                <w:b/>
                <w:color w:val="000000"/>
                <w:sz w:val="15"/>
                <w:szCs w:val="15"/>
                <w:shd w:val="clear" w:color="auto" w:fill="FFFFFF"/>
              </w:rPr>
            </w:pPr>
            <w:r>
              <w:rPr>
                <w:color w:val="000000"/>
                <w:sz w:val="15"/>
                <w:szCs w:val="15"/>
                <w:shd w:val="clear" w:color="auto" w:fill="FFFFFF"/>
              </w:rPr>
              <w:t>0.16</w:t>
            </w:r>
          </w:p>
        </w:tc>
        <w:tc>
          <w:tcPr>
            <w:tcW w:w="451" w:type="pct"/>
            <w:vMerge w:val="continue"/>
            <w:shd w:val="clear" w:color="auto" w:fill="auto"/>
            <w:vAlign w:val="center"/>
          </w:tcPr>
          <w:p w14:paraId="0FD25E9E">
            <w:pPr>
              <w:pStyle w:val="70"/>
              <w:rPr>
                <w:b/>
                <w:color w:val="000000"/>
                <w:sz w:val="15"/>
                <w:szCs w:val="15"/>
                <w:shd w:val="clear" w:color="auto" w:fill="FFFFFF"/>
              </w:rPr>
            </w:pPr>
          </w:p>
        </w:tc>
        <w:tc>
          <w:tcPr>
            <w:tcW w:w="412" w:type="pct"/>
            <w:vMerge w:val="continue"/>
            <w:shd w:val="clear" w:color="auto" w:fill="auto"/>
            <w:vAlign w:val="center"/>
          </w:tcPr>
          <w:p w14:paraId="14849E2E">
            <w:pPr>
              <w:pStyle w:val="70"/>
              <w:rPr>
                <w:b/>
                <w:color w:val="000000"/>
                <w:sz w:val="15"/>
                <w:szCs w:val="15"/>
                <w:shd w:val="clear" w:color="auto" w:fill="FFFFFF"/>
              </w:rPr>
            </w:pPr>
          </w:p>
        </w:tc>
        <w:tc>
          <w:tcPr>
            <w:tcW w:w="512" w:type="pct"/>
            <w:vMerge w:val="continue"/>
            <w:shd w:val="clear" w:color="auto" w:fill="auto"/>
            <w:vAlign w:val="center"/>
          </w:tcPr>
          <w:p w14:paraId="3EB508D4">
            <w:pPr>
              <w:pStyle w:val="70"/>
              <w:rPr>
                <w:b/>
                <w:color w:val="000000"/>
                <w:sz w:val="15"/>
                <w:szCs w:val="15"/>
                <w:shd w:val="clear" w:color="auto" w:fill="FFFFFF"/>
              </w:rPr>
            </w:pPr>
          </w:p>
        </w:tc>
      </w:tr>
      <w:tr w14:paraId="56984BE8">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0" w:type="dxa"/>
            <w:bottom w:w="0" w:type="dxa"/>
            <w:right w:w="0" w:type="dxa"/>
          </w:tblCellMar>
        </w:tblPrEx>
        <w:trPr>
          <w:trHeight w:val="329" w:hRule="atLeast"/>
          <w:jc w:val="center"/>
        </w:trPr>
        <w:tc>
          <w:tcPr>
            <w:tcW w:w="1223" w:type="pct"/>
            <w:vMerge w:val="restart"/>
            <w:shd w:val="clear" w:color="auto" w:fill="auto"/>
            <w:noWrap/>
            <w:vAlign w:val="center"/>
          </w:tcPr>
          <w:p w14:paraId="72784D08">
            <w:pPr>
              <w:pStyle w:val="70"/>
              <w:rPr>
                <w:b/>
                <w:color w:val="000000"/>
                <w:sz w:val="15"/>
                <w:szCs w:val="15"/>
                <w:shd w:val="clear" w:color="auto" w:fill="FFFFFF"/>
              </w:rPr>
            </w:pPr>
            <w:r>
              <w:rPr>
                <w:color w:val="000000"/>
                <w:sz w:val="15"/>
                <w:szCs w:val="15"/>
                <w:shd w:val="clear" w:color="auto" w:fill="FFFFFF"/>
              </w:rPr>
              <w:t>流速方向(°)</w:t>
            </w:r>
          </w:p>
        </w:tc>
        <w:tc>
          <w:tcPr>
            <w:tcW w:w="600" w:type="pct"/>
            <w:shd w:val="clear" w:color="auto" w:fill="auto"/>
            <w:noWrap/>
            <w:vAlign w:val="center"/>
          </w:tcPr>
          <w:p w14:paraId="0C302F55">
            <w:pPr>
              <w:pStyle w:val="70"/>
              <w:rPr>
                <w:b/>
                <w:color w:val="000000"/>
                <w:sz w:val="15"/>
                <w:szCs w:val="15"/>
                <w:shd w:val="clear" w:color="auto" w:fill="FFFFFF"/>
              </w:rPr>
            </w:pPr>
            <w:r>
              <w:rPr>
                <w:color w:val="000000"/>
                <w:sz w:val="15"/>
                <w:szCs w:val="15"/>
                <w:shd w:val="clear" w:color="auto" w:fill="FFFFFF"/>
              </w:rPr>
              <w:t>实测值</w:t>
            </w:r>
          </w:p>
        </w:tc>
        <w:tc>
          <w:tcPr>
            <w:tcW w:w="600" w:type="pct"/>
            <w:shd w:val="clear" w:color="auto" w:fill="auto"/>
            <w:noWrap/>
            <w:vAlign w:val="center"/>
          </w:tcPr>
          <w:p w14:paraId="2F949A6F">
            <w:pPr>
              <w:pStyle w:val="70"/>
              <w:rPr>
                <w:b/>
                <w:color w:val="000000"/>
                <w:sz w:val="15"/>
                <w:szCs w:val="15"/>
                <w:shd w:val="clear" w:color="auto" w:fill="FFFFFF"/>
              </w:rPr>
            </w:pPr>
            <w:r>
              <w:rPr>
                <w:color w:val="000000"/>
                <w:sz w:val="15"/>
                <w:szCs w:val="15"/>
                <w:shd w:val="clear" w:color="auto" w:fill="FFFFFF"/>
              </w:rPr>
              <w:t>126.87</w:t>
            </w:r>
          </w:p>
        </w:tc>
        <w:tc>
          <w:tcPr>
            <w:tcW w:w="600" w:type="pct"/>
            <w:shd w:val="clear" w:color="auto" w:fill="auto"/>
            <w:noWrap/>
            <w:vAlign w:val="center"/>
          </w:tcPr>
          <w:p w14:paraId="72F563E5">
            <w:pPr>
              <w:pStyle w:val="70"/>
              <w:rPr>
                <w:b/>
                <w:color w:val="000000"/>
                <w:sz w:val="15"/>
                <w:szCs w:val="15"/>
                <w:shd w:val="clear" w:color="auto" w:fill="FFFFFF"/>
              </w:rPr>
            </w:pPr>
            <w:r>
              <w:rPr>
                <w:color w:val="000000"/>
                <w:sz w:val="15"/>
                <w:szCs w:val="15"/>
                <w:shd w:val="clear" w:color="auto" w:fill="FFFFFF"/>
              </w:rPr>
              <w:t>351.76</w:t>
            </w:r>
          </w:p>
        </w:tc>
        <w:tc>
          <w:tcPr>
            <w:tcW w:w="600" w:type="pct"/>
            <w:shd w:val="clear" w:color="auto" w:fill="auto"/>
            <w:noWrap/>
            <w:vAlign w:val="center"/>
          </w:tcPr>
          <w:p w14:paraId="4B0644A6">
            <w:pPr>
              <w:pStyle w:val="70"/>
              <w:rPr>
                <w:b/>
                <w:color w:val="000000"/>
                <w:sz w:val="15"/>
                <w:szCs w:val="15"/>
                <w:shd w:val="clear" w:color="auto" w:fill="FFFFFF"/>
              </w:rPr>
            </w:pPr>
            <w:r>
              <w:rPr>
                <w:color w:val="000000"/>
                <w:sz w:val="15"/>
                <w:szCs w:val="15"/>
                <w:shd w:val="clear" w:color="auto" w:fill="FFFFFF"/>
              </w:rPr>
              <w:t>271.72</w:t>
            </w:r>
          </w:p>
        </w:tc>
        <w:tc>
          <w:tcPr>
            <w:tcW w:w="451" w:type="pct"/>
            <w:vMerge w:val="restart"/>
            <w:shd w:val="clear" w:color="auto" w:fill="auto"/>
            <w:noWrap/>
            <w:vAlign w:val="center"/>
          </w:tcPr>
          <w:p w14:paraId="4A8462E7">
            <w:pPr>
              <w:pStyle w:val="70"/>
              <w:rPr>
                <w:b/>
                <w:color w:val="000000"/>
                <w:sz w:val="15"/>
                <w:szCs w:val="15"/>
                <w:shd w:val="clear" w:color="auto" w:fill="FFFFFF"/>
              </w:rPr>
            </w:pPr>
            <w:r>
              <w:rPr>
                <w:color w:val="000000"/>
                <w:sz w:val="15"/>
                <w:szCs w:val="15"/>
                <w:shd w:val="clear" w:color="auto" w:fill="FFFFFF"/>
              </w:rPr>
              <w:t>21.45</w:t>
            </w:r>
          </w:p>
        </w:tc>
        <w:tc>
          <w:tcPr>
            <w:tcW w:w="412" w:type="pct"/>
            <w:vMerge w:val="restart"/>
            <w:shd w:val="clear" w:color="auto" w:fill="auto"/>
            <w:noWrap/>
            <w:vAlign w:val="center"/>
          </w:tcPr>
          <w:p w14:paraId="53D32683">
            <w:pPr>
              <w:pStyle w:val="70"/>
              <w:rPr>
                <w:b/>
                <w:color w:val="000000"/>
                <w:sz w:val="15"/>
                <w:szCs w:val="15"/>
                <w:shd w:val="clear" w:color="auto" w:fill="FFFFFF"/>
              </w:rPr>
            </w:pPr>
            <w:r>
              <w:rPr>
                <w:color w:val="000000"/>
                <w:sz w:val="15"/>
                <w:szCs w:val="15"/>
                <w:shd w:val="clear" w:color="auto" w:fill="FFFFFF"/>
              </w:rPr>
              <w:t>12%</w:t>
            </w:r>
          </w:p>
        </w:tc>
        <w:tc>
          <w:tcPr>
            <w:tcW w:w="512" w:type="pct"/>
            <w:vMerge w:val="restart"/>
            <w:shd w:val="clear" w:color="auto" w:fill="auto"/>
            <w:noWrap/>
            <w:vAlign w:val="center"/>
          </w:tcPr>
          <w:p w14:paraId="66794D53">
            <w:pPr>
              <w:pStyle w:val="70"/>
              <w:rPr>
                <w:b/>
                <w:color w:val="000000"/>
                <w:sz w:val="15"/>
                <w:szCs w:val="15"/>
                <w:shd w:val="clear" w:color="auto" w:fill="FFFFFF"/>
              </w:rPr>
            </w:pPr>
            <w:r>
              <w:rPr>
                <w:color w:val="000000"/>
                <w:sz w:val="15"/>
                <w:szCs w:val="15"/>
                <w:shd w:val="clear" w:color="auto" w:fill="FFFFFF"/>
              </w:rPr>
              <w:t>38.11</w:t>
            </w:r>
          </w:p>
        </w:tc>
      </w:tr>
      <w:tr w14:paraId="7F3A2A2D">
        <w:tblPrEx>
          <w:tblBorders>
            <w:top w:val="single" w:color="auto" w:sz="12" w:space="0"/>
            <w:left w:val="none" w:color="auto" w:sz="0" w:space="0"/>
            <w:bottom w:val="single" w:color="auto" w:sz="12" w:space="0"/>
            <w:right w:val="none" w:color="auto" w:sz="0" w:space="0"/>
            <w:insideH w:val="single" w:color="auto" w:sz="8" w:space="0"/>
            <w:insideV w:val="none" w:color="auto" w:sz="0" w:space="0"/>
          </w:tblBorders>
          <w:tblCellMar>
            <w:top w:w="0" w:type="dxa"/>
            <w:left w:w="0" w:type="dxa"/>
            <w:bottom w:w="0" w:type="dxa"/>
            <w:right w:w="0" w:type="dxa"/>
          </w:tblCellMar>
        </w:tblPrEx>
        <w:trPr>
          <w:trHeight w:val="329" w:hRule="atLeast"/>
          <w:jc w:val="center"/>
        </w:trPr>
        <w:tc>
          <w:tcPr>
            <w:tcW w:w="1223" w:type="pct"/>
            <w:vMerge w:val="continue"/>
            <w:shd w:val="clear" w:color="auto" w:fill="auto"/>
            <w:vAlign w:val="center"/>
          </w:tcPr>
          <w:p w14:paraId="2BA4EC8F">
            <w:pPr>
              <w:pStyle w:val="70"/>
              <w:rPr>
                <w:color w:val="000000"/>
                <w:sz w:val="15"/>
                <w:szCs w:val="15"/>
                <w:shd w:val="clear" w:color="auto" w:fill="FFFFFF"/>
              </w:rPr>
            </w:pPr>
          </w:p>
        </w:tc>
        <w:tc>
          <w:tcPr>
            <w:tcW w:w="600" w:type="pct"/>
            <w:shd w:val="clear" w:color="auto" w:fill="auto"/>
            <w:noWrap/>
            <w:vAlign w:val="center"/>
          </w:tcPr>
          <w:p w14:paraId="7113E54A">
            <w:pPr>
              <w:pStyle w:val="70"/>
              <w:rPr>
                <w:b/>
                <w:color w:val="000000"/>
                <w:sz w:val="15"/>
                <w:szCs w:val="15"/>
                <w:shd w:val="clear" w:color="auto" w:fill="FFFFFF"/>
              </w:rPr>
            </w:pPr>
            <w:r>
              <w:rPr>
                <w:color w:val="000000"/>
                <w:sz w:val="15"/>
                <w:szCs w:val="15"/>
                <w:shd w:val="clear" w:color="auto" w:fill="FFFFFF"/>
              </w:rPr>
              <w:t>计算值</w:t>
            </w:r>
          </w:p>
        </w:tc>
        <w:tc>
          <w:tcPr>
            <w:tcW w:w="600" w:type="pct"/>
            <w:shd w:val="clear" w:color="auto" w:fill="auto"/>
            <w:noWrap/>
            <w:vAlign w:val="center"/>
          </w:tcPr>
          <w:p w14:paraId="235042B1">
            <w:pPr>
              <w:pStyle w:val="70"/>
              <w:rPr>
                <w:b/>
                <w:color w:val="000000"/>
                <w:sz w:val="15"/>
                <w:szCs w:val="15"/>
                <w:shd w:val="clear" w:color="auto" w:fill="FFFFFF"/>
              </w:rPr>
            </w:pPr>
            <w:r>
              <w:rPr>
                <w:color w:val="000000"/>
                <w:sz w:val="15"/>
                <w:szCs w:val="15"/>
                <w:shd w:val="clear" w:color="auto" w:fill="FFFFFF"/>
              </w:rPr>
              <w:t>133.45</w:t>
            </w:r>
          </w:p>
        </w:tc>
        <w:tc>
          <w:tcPr>
            <w:tcW w:w="600" w:type="pct"/>
            <w:shd w:val="clear" w:color="auto" w:fill="auto"/>
            <w:noWrap/>
            <w:vAlign w:val="center"/>
          </w:tcPr>
          <w:p w14:paraId="591B4F0D">
            <w:pPr>
              <w:pStyle w:val="70"/>
              <w:rPr>
                <w:b/>
                <w:color w:val="000000"/>
                <w:sz w:val="15"/>
                <w:szCs w:val="15"/>
                <w:shd w:val="clear" w:color="auto" w:fill="FFFFFF"/>
              </w:rPr>
            </w:pPr>
            <w:r>
              <w:rPr>
                <w:color w:val="000000"/>
                <w:sz w:val="15"/>
                <w:szCs w:val="15"/>
                <w:shd w:val="clear" w:color="auto" w:fill="FFFFFF"/>
              </w:rPr>
              <w:t>347.79</w:t>
            </w:r>
          </w:p>
        </w:tc>
        <w:tc>
          <w:tcPr>
            <w:tcW w:w="600" w:type="pct"/>
            <w:shd w:val="clear" w:color="auto" w:fill="auto"/>
            <w:noWrap/>
            <w:vAlign w:val="center"/>
          </w:tcPr>
          <w:p w14:paraId="07B47BE5">
            <w:pPr>
              <w:pStyle w:val="70"/>
              <w:rPr>
                <w:b/>
                <w:color w:val="000000"/>
                <w:sz w:val="15"/>
                <w:szCs w:val="15"/>
                <w:shd w:val="clear" w:color="auto" w:fill="FFFFFF"/>
              </w:rPr>
            </w:pPr>
            <w:r>
              <w:rPr>
                <w:color w:val="000000"/>
                <w:sz w:val="15"/>
                <w:szCs w:val="15"/>
                <w:shd w:val="clear" w:color="auto" w:fill="FFFFFF"/>
              </w:rPr>
              <w:t>276.82</w:t>
            </w:r>
          </w:p>
        </w:tc>
        <w:tc>
          <w:tcPr>
            <w:tcW w:w="451" w:type="pct"/>
            <w:vMerge w:val="continue"/>
            <w:shd w:val="clear" w:color="auto" w:fill="auto"/>
            <w:vAlign w:val="center"/>
          </w:tcPr>
          <w:p w14:paraId="3201AF53">
            <w:pPr>
              <w:pStyle w:val="70"/>
              <w:rPr>
                <w:color w:val="000000"/>
                <w:sz w:val="15"/>
                <w:szCs w:val="15"/>
                <w:shd w:val="clear" w:color="auto" w:fill="FFFFFF"/>
              </w:rPr>
            </w:pPr>
          </w:p>
        </w:tc>
        <w:tc>
          <w:tcPr>
            <w:tcW w:w="412" w:type="pct"/>
            <w:vMerge w:val="continue"/>
            <w:shd w:val="clear" w:color="auto" w:fill="auto"/>
            <w:vAlign w:val="center"/>
          </w:tcPr>
          <w:p w14:paraId="05AFC04C">
            <w:pPr>
              <w:pStyle w:val="70"/>
              <w:rPr>
                <w:color w:val="000000"/>
                <w:sz w:val="15"/>
                <w:szCs w:val="15"/>
                <w:shd w:val="clear" w:color="auto" w:fill="FFFFFF"/>
              </w:rPr>
            </w:pPr>
          </w:p>
        </w:tc>
        <w:tc>
          <w:tcPr>
            <w:tcW w:w="512" w:type="pct"/>
            <w:vMerge w:val="continue"/>
            <w:shd w:val="clear" w:color="auto" w:fill="auto"/>
            <w:vAlign w:val="center"/>
          </w:tcPr>
          <w:p w14:paraId="4270DF7A">
            <w:pPr>
              <w:pStyle w:val="70"/>
              <w:rPr>
                <w:color w:val="000000"/>
                <w:sz w:val="15"/>
                <w:szCs w:val="15"/>
                <w:shd w:val="clear" w:color="auto" w:fill="FFFFFF"/>
              </w:rPr>
            </w:pPr>
          </w:p>
        </w:tc>
      </w:tr>
    </w:tbl>
    <w:p w14:paraId="5F4FA198">
      <w:pPr>
        <w:ind w:firstLine="300" w:firstLineChars="200"/>
        <w:jc w:val="left"/>
        <w:rPr>
          <w:color w:val="000000"/>
          <w:sz w:val="15"/>
          <w:szCs w:val="15"/>
          <w:shd w:val="clear" w:color="auto" w:fill="FFFFFF"/>
        </w:rPr>
      </w:pPr>
      <w:r>
        <w:rPr>
          <w:rFonts w:hint="eastAsia"/>
          <w:color w:val="000000"/>
          <w:sz w:val="15"/>
          <w:szCs w:val="15"/>
          <w:shd w:val="clear" w:color="auto" w:fill="FFFFFF"/>
        </w:rPr>
        <w:t>注：</w:t>
      </w:r>
      <w:r>
        <w:rPr>
          <w:color w:val="000000"/>
          <w:sz w:val="15"/>
          <w:szCs w:val="15"/>
          <w:shd w:val="clear" w:color="auto" w:fill="FFFFFF"/>
        </w:rPr>
        <w:t>表</w:t>
      </w:r>
      <w:r>
        <w:rPr>
          <w:rFonts w:hint="eastAsia"/>
          <w:color w:val="000000"/>
          <w:sz w:val="15"/>
          <w:szCs w:val="15"/>
          <w:shd w:val="clear" w:color="auto" w:fill="FFFFFF"/>
        </w:rPr>
        <w:t>3</w:t>
      </w:r>
      <w:r>
        <w:rPr>
          <w:color w:val="000000"/>
          <w:sz w:val="15"/>
          <w:szCs w:val="15"/>
          <w:shd w:val="clear" w:color="auto" w:fill="FFFFFF"/>
        </w:rPr>
        <w:t>所示流速的最小值、最大值及平均值均取自实测水下2.0 m处的100组有效流速数据。流速大小为各测点合速度的模，流速方向对应合速度的方向。</w:t>
      </w:r>
    </w:p>
    <w:p w14:paraId="7570FEE6">
      <w:pPr>
        <w:pStyle w:val="6"/>
        <w:adjustRightInd w:val="0"/>
        <w:snapToGrid w:val="0"/>
        <w:spacing w:before="0" w:after="0" w:line="240" w:lineRule="auto"/>
        <w:rPr>
          <w:rFonts w:ascii="黑体" w:hAnsi="黑体" w:eastAsia="黑体"/>
          <w:b w:val="0"/>
          <w:bCs w:val="0"/>
          <w:color w:val="000000"/>
          <w:sz w:val="21"/>
          <w:szCs w:val="21"/>
          <w:shd w:val="clear" w:color="auto" w:fill="FFFFFF"/>
        </w:rPr>
      </w:pPr>
      <w:r>
        <w:rPr>
          <w:rFonts w:hint="eastAsia" w:ascii="黑体" w:hAnsi="黑体" w:eastAsia="黑体"/>
          <w:b w:val="0"/>
          <w:bCs w:val="0"/>
          <w:color w:val="000000"/>
          <w:sz w:val="21"/>
          <w:szCs w:val="21"/>
          <w:shd w:val="clear" w:color="auto" w:fill="FFFFFF"/>
        </w:rPr>
        <w:t>3.3水温变化过程分析</w:t>
      </w:r>
    </w:p>
    <w:p w14:paraId="291EDAEF">
      <w:pPr>
        <w:ind w:firstLine="420" w:firstLineChars="200"/>
        <w:rPr>
          <w:rFonts w:ascii="Times New Roman" w:hAnsi="Times New Roman"/>
          <w:color w:val="000000"/>
          <w:szCs w:val="21"/>
          <w:shd w:val="clear" w:color="auto" w:fill="FFFFFF"/>
        </w:rPr>
      </w:pPr>
      <w:bookmarkStart w:id="8" w:name="_Hlk211692110"/>
      <w:r>
        <w:rPr>
          <w:rFonts w:ascii="Times New Roman" w:hAnsi="Times New Roman"/>
          <w:color w:val="000000"/>
          <w:szCs w:val="21"/>
          <w:shd w:val="clear" w:color="auto" w:fill="FFFFFF"/>
        </w:rPr>
        <w:t>模拟假定坝前水位维持在正常蓄水位 3310 m，上游来流流量为</w:t>
      </w:r>
      <w:r>
        <w:rPr>
          <w:rFonts w:ascii="Times New Roman" w:hAnsi="Times New Roman"/>
          <w:i/>
          <w:iCs/>
          <w:color w:val="000000"/>
          <w:szCs w:val="21"/>
          <w:shd w:val="clear" w:color="auto" w:fill="FFFFFF"/>
        </w:rPr>
        <w:t>Q</w:t>
      </w:r>
      <w:r>
        <w:rPr>
          <w:rFonts w:ascii="Times New Roman" w:hAnsi="Times New Roman"/>
          <w:color w:val="000000"/>
          <w:szCs w:val="21"/>
          <w:shd w:val="clear" w:color="auto" w:fill="FFFFFF"/>
        </w:rPr>
        <w:t xml:space="preserve"> = </w:t>
      </w:r>
      <w:r>
        <w:rPr>
          <w:rFonts w:hint="eastAsia" w:ascii="Times New Roman" w:hAnsi="Times New Roman"/>
          <w:color w:val="000000"/>
          <w:szCs w:val="21"/>
          <w:shd w:val="clear" w:color="auto" w:fill="FFFFFF"/>
        </w:rPr>
        <w:t>1000 m</w:t>
      </w:r>
      <w:r>
        <w:rPr>
          <w:rFonts w:hint="eastAsia"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 xml:space="preserve">/s。电站6台机组满负荷发电，泄洪闸门完全关闭。水库初始充满温度为12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的均匀水体。待水库流场模拟达到稳定状态后，距电站上游2 km底部设置冷水入汇，入流水温为2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，流量为1000 m3/s，用以模拟典型的冷水潜流过程。</w:t>
      </w:r>
      <w:bookmarkEnd w:id="8"/>
      <w:r>
        <w:rPr>
          <w:rFonts w:hint="eastAsia" w:ascii="Times New Roman" w:hAnsi="Times New Roman"/>
          <w:color w:val="000000"/>
          <w:szCs w:val="21"/>
          <w:shd w:val="clear" w:color="auto" w:fill="FFFFFF"/>
        </w:rPr>
        <w:t>整个模拟时长为150分钟，模型同时考虑环境与水体间的表面热交换作用：</w:t>
      </w:r>
      <w:r>
        <w:rPr>
          <w:rFonts w:ascii="Times New Roman" w:hAnsi="Times New Roman"/>
          <w:color w:val="000000"/>
          <w:szCs w:val="21"/>
          <w:shd w:val="clear" w:color="auto" w:fill="FFFFFF"/>
        </w:rPr>
        <w:t>水面处的气温20</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℃、相对云量0.6、</w:t>
      </w:r>
      <w:r>
        <w:rPr>
          <w:rFonts w:hint="eastAsia" w:ascii="Times New Roman" w:hAnsi="Times New Roman"/>
          <w:color w:val="000000"/>
          <w:szCs w:val="21"/>
          <w:shd w:val="clear" w:color="auto" w:fill="FFFFFF"/>
        </w:rPr>
        <w:t>水面对长波反射率0.03，</w:t>
      </w:r>
      <w:r>
        <w:rPr>
          <w:rFonts w:ascii="Times New Roman" w:hAnsi="Times New Roman"/>
          <w:color w:val="000000"/>
          <w:szCs w:val="21"/>
          <w:shd w:val="clear" w:color="auto" w:fill="FFFFFF"/>
        </w:rPr>
        <w:t>水比热容4.2×10</w:t>
      </w:r>
      <w:r>
        <w:rPr>
          <w:rFonts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J/(Kg·℃)</w:t>
      </w:r>
      <w:r>
        <w:rPr>
          <w:rFonts w:hint="eastAsia" w:ascii="Times New Roman" w:hAnsi="Times New Roman"/>
          <w:color w:val="000000"/>
          <w:szCs w:val="21"/>
          <w:shd w:val="clear" w:color="auto" w:fill="FFFFFF"/>
        </w:rPr>
        <w:t>。</w:t>
      </w:r>
    </w:p>
    <w:p w14:paraId="1FC1CBA8">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冷水进入水库60 min、90 min、120 min、150 min后水温分布</w:t>
      </w:r>
      <w:r>
        <w:rPr>
          <w:rFonts w:hint="eastAsia" w:ascii="Times New Roman" w:hAnsi="Times New Roman"/>
          <w:color w:val="000000"/>
          <w:szCs w:val="21"/>
          <w:shd w:val="clear" w:color="auto" w:fill="FFFFFF"/>
          <w:lang w:eastAsia="zh-CN"/>
        </w:rPr>
        <w:t>如</w:t>
      </w:r>
      <w:r>
        <w:rPr>
          <w:rFonts w:ascii="Times New Roman" w:hAnsi="Times New Roman"/>
          <w:color w:val="000000"/>
          <w:szCs w:val="21"/>
          <w:shd w:val="clear" w:color="auto" w:fill="FFFFFF"/>
        </w:rPr>
        <w:t>图</w:t>
      </w:r>
      <w:r>
        <w:rPr>
          <w:rFonts w:hint="eastAsia" w:ascii="Times New Roman" w:hAnsi="Times New Roman"/>
          <w:color w:val="000000"/>
          <w:szCs w:val="21"/>
          <w:shd w:val="clear" w:color="auto" w:fill="FFFFFF"/>
        </w:rPr>
        <w:t>9</w:t>
      </w:r>
      <w:r>
        <w:rPr>
          <w:rFonts w:hint="eastAsia" w:ascii="Times New Roman" w:hAnsi="Times New Roman"/>
          <w:color w:val="000000"/>
          <w:szCs w:val="21"/>
          <w:shd w:val="clear" w:color="auto" w:fill="FFFFFF"/>
          <w:lang w:eastAsia="zh-CN"/>
        </w:rPr>
        <w:t>所示。图</w:t>
      </w:r>
      <w:r>
        <w:rPr>
          <w:rFonts w:hint="eastAsia" w:ascii="Times New Roman" w:hAnsi="Times New Roman"/>
          <w:color w:val="000000"/>
          <w:szCs w:val="21"/>
          <w:shd w:val="clear" w:color="auto" w:fill="FFFFFF"/>
          <w:lang w:val="en-US" w:eastAsia="zh-CN"/>
        </w:rPr>
        <w:t>9</w:t>
      </w:r>
      <w:r>
        <w:rPr>
          <w:rFonts w:hint="eastAsia" w:ascii="Times New Roman" w:hAnsi="Times New Roman"/>
          <w:color w:val="000000"/>
          <w:szCs w:val="21"/>
          <w:shd w:val="clear" w:color="auto" w:fill="FFFFFF"/>
        </w:rPr>
        <w:t>分别给出了温度</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3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、4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、6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、8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、10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共五个等温度面，其中浅蓝色区域为水面。水库</w:t>
      </w:r>
      <w:r>
        <w:rPr>
          <w:rFonts w:hint="eastAsia" w:ascii="Times New Roman" w:hAnsi="Times New Roman"/>
          <w:i/>
          <w:iCs/>
          <w:color w:val="000000"/>
          <w:szCs w:val="21"/>
          <w:shd w:val="clear" w:color="auto" w:fill="FFFFFF"/>
        </w:rPr>
        <w:t>Y</w:t>
      </w:r>
      <w:r>
        <w:rPr>
          <w:rFonts w:hint="eastAsia" w:ascii="Times New Roman" w:hAnsi="Times New Roman"/>
          <w:color w:val="000000"/>
          <w:szCs w:val="21"/>
          <w:shd w:val="clear" w:color="auto" w:fill="FFFFFF"/>
        </w:rPr>
        <w:t>=300m的剖面冷水进入水库60 min、90 min、120 min、150 min后水温分布</w:t>
      </w:r>
      <w:r>
        <w:rPr>
          <w:rFonts w:hint="eastAsia" w:ascii="Times New Roman" w:hAnsi="Times New Roman"/>
          <w:color w:val="000000"/>
          <w:szCs w:val="21"/>
          <w:shd w:val="clear" w:color="auto" w:fill="FFFFFF"/>
          <w:lang w:eastAsia="zh-CN"/>
        </w:rPr>
        <w:t>如</w:t>
      </w:r>
      <w:r>
        <w:rPr>
          <w:rFonts w:hint="eastAsia" w:ascii="Times New Roman" w:hAnsi="Times New Roman"/>
          <w:color w:val="000000"/>
          <w:szCs w:val="21"/>
          <w:shd w:val="clear" w:color="auto" w:fill="FFFFFF"/>
        </w:rPr>
        <w:t>图10</w:t>
      </w:r>
      <w:r>
        <w:rPr>
          <w:rFonts w:hint="eastAsia" w:ascii="Times New Roman" w:hAnsi="Times New Roman"/>
          <w:color w:val="000000"/>
          <w:szCs w:val="21"/>
          <w:shd w:val="clear" w:color="auto" w:fill="FFFFFF"/>
          <w:lang w:eastAsia="zh-CN"/>
        </w:rPr>
        <w:t>所示</w:t>
      </w:r>
      <w:r>
        <w:rPr>
          <w:rFonts w:hint="eastAsia" w:ascii="Times New Roman" w:hAnsi="Times New Roman"/>
          <w:color w:val="000000"/>
          <w:szCs w:val="21"/>
          <w:shd w:val="clear" w:color="auto" w:fill="FFFFFF"/>
        </w:rPr>
        <w:t>。</w:t>
      </w:r>
    </w:p>
    <w:p w14:paraId="68AEB4C9">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根据等温面分布可知，冷水进入温水水库时，并未立刻与温水发生大范围的掺混，而是在较大的密度作用下沉入库底，并潜入温水区形成冷水潜流。</w:t>
      </w:r>
    </w:p>
    <w:p w14:paraId="1C26C7C8">
      <w:pPr>
        <w:ind w:firstLine="420" w:firstLineChars="200"/>
        <w:rPr>
          <w:rFonts w:ascii="Times New Roman" w:hAnsi="Times New Roman"/>
          <w:color w:val="000000"/>
          <w:szCs w:val="21"/>
          <w:shd w:val="clear" w:color="auto" w:fill="FFFFFF"/>
        </w:rPr>
      </w:pP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60</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90 min期间，随着冷水前锋沿库底的继续推进，各等温面在横向上因热扩散作用而有了明显的扩展。冷水潜流的整个推进过程中，其核心温度衰减较为缓慢。随着低温扰动区域的扩大，水库水体逐渐出现局部的水温分层现象，如图9（</w:t>
      </w:r>
      <w:r>
        <w:rPr>
          <w:rFonts w:hint="eastAsia" w:ascii="Times New Roman" w:hAnsi="Times New Roman"/>
          <w:i/>
          <w:iCs/>
          <w:color w:val="000000"/>
          <w:szCs w:val="21"/>
          <w:shd w:val="clear" w:color="auto" w:fill="FFFFFF"/>
        </w:rPr>
        <w:t xml:space="preserve">t </w:t>
      </w:r>
      <w:r>
        <w:rPr>
          <w:rFonts w:hint="eastAsia" w:ascii="Times New Roman" w:hAnsi="Times New Roman"/>
          <w:color w:val="000000"/>
          <w:szCs w:val="21"/>
          <w:shd w:val="clear" w:color="auto" w:fill="FFFFFF"/>
        </w:rPr>
        <w:t>= 90 min）、图10（</w:t>
      </w:r>
      <w:r>
        <w:rPr>
          <w:rFonts w:hint="eastAsia" w:ascii="Times New Roman" w:hAnsi="Times New Roman"/>
          <w:i/>
          <w:iCs/>
          <w:color w:val="000000"/>
          <w:szCs w:val="21"/>
          <w:shd w:val="clear" w:color="auto" w:fill="FFFFFF"/>
        </w:rPr>
        <w:t xml:space="preserve">t </w:t>
      </w:r>
      <w:r>
        <w:rPr>
          <w:rFonts w:hint="eastAsia" w:ascii="Times New Roman" w:hAnsi="Times New Roman"/>
          <w:color w:val="000000"/>
          <w:szCs w:val="21"/>
          <w:shd w:val="clear" w:color="auto" w:fill="FFFFFF"/>
        </w:rPr>
        <w:t>= 90 min）所示。</w:t>
      </w:r>
    </w:p>
    <w:p w14:paraId="2A3C9C3E">
      <w:pPr>
        <w:ind w:firstLine="420" w:firstLineChars="200"/>
        <w:rPr>
          <w:rFonts w:ascii="Times New Roman" w:hAnsi="Times New Roman"/>
          <w:color w:val="000000"/>
          <w:szCs w:val="21"/>
          <w:shd w:val="clear" w:color="auto" w:fill="FFFFFF"/>
        </w:rPr>
      </w:pP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90</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120 min期间，由于垂向对流仍受该方向较大温度梯度的抑制，使得水深方向的温度主要通过热传递向上进行，而表层水体受到光照及大气等环境因素的长波辐射、热传导原因，在一定程度上维持了温水状态。该水库水深较大，环境辐射提升中下层水体温度的效果甚微。受此影响，低温水的等温面在纵向上难以有效向上扩展，导致了水温水平分层现象的初步形成，如图9（</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120 min）、图10（</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120 min）。</w:t>
      </w:r>
    </w:p>
    <w:p w14:paraId="115A6B2C">
      <w:pPr>
        <w:ind w:firstLine="420" w:firstLineChars="200"/>
        <w:rPr>
          <w:rFonts w:ascii="Times New Roman" w:hAnsi="Times New Roman"/>
          <w:color w:val="000000"/>
          <w:szCs w:val="21"/>
          <w:shd w:val="clear" w:color="auto" w:fill="FFFFFF"/>
        </w:rPr>
      </w:pP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120</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150 min期间，随着低温水从电站的下泄，以及低温等温面扩展至两侧岸坡，水库水温水平分层现象即正式形成了。随后，冷水通过电站发电引流而离开水库，水库流场趋于稳定。</w:t>
      </w:r>
    </w:p>
    <w:p w14:paraId="54CE3CE4">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在整个冷水潜流的推进过程中，温度差引起的冷水下潜和对紊动的抑制作用强烈地影响着潜流层的形成、发展和消失，同时伴随着温度分层的形成和发展过程。水库的流场和温度场相互耦合，说明了正确模拟湍浮力流是模拟水库水温分层的关键。而这个过程也间接反映了天然水库同一水平层趋于同温的形成机理。</w:t>
      </w:r>
    </w:p>
    <w:tbl>
      <w:tblPr>
        <w:tblStyle w:val="16"/>
        <w:tblW w:w="5000" w:type="pct"/>
        <w:tblInd w:w="0" w:type="dxa"/>
        <w:tblLayout w:type="autofit"/>
        <w:tblCellMar>
          <w:top w:w="0" w:type="dxa"/>
          <w:left w:w="108" w:type="dxa"/>
          <w:bottom w:w="0" w:type="dxa"/>
          <w:right w:w="108" w:type="dxa"/>
        </w:tblCellMar>
      </w:tblPr>
      <w:tblGrid>
        <w:gridCol w:w="8522"/>
      </w:tblGrid>
      <w:tr w14:paraId="14C0C2A1">
        <w:tblPrEx>
          <w:tblCellMar>
            <w:top w:w="0" w:type="dxa"/>
            <w:left w:w="108" w:type="dxa"/>
            <w:bottom w:w="0" w:type="dxa"/>
            <w:right w:w="108" w:type="dxa"/>
          </w:tblCellMar>
        </w:tblPrEx>
        <w:tc>
          <w:tcPr>
            <w:tcW w:w="5000" w:type="pct"/>
            <w:shd w:val="clear" w:color="auto" w:fill="auto"/>
            <w:vAlign w:val="center"/>
          </w:tcPr>
          <w:p w14:paraId="0702E2BB">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2713990" cy="3730625"/>
                  <wp:effectExtent l="0" t="0" r="0" b="3175"/>
                  <wp:docPr id="16429805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80572" name="图片 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742832" cy="3769866"/>
                          </a:xfrm>
                          <a:prstGeom prst="rect">
                            <a:avLst/>
                          </a:prstGeom>
                          <a:noFill/>
                          <a:ln>
                            <a:noFill/>
                          </a:ln>
                        </pic:spPr>
                      </pic:pic>
                    </a:graphicData>
                  </a:graphic>
                </wp:inline>
              </w:drawing>
            </w:r>
          </w:p>
        </w:tc>
      </w:tr>
      <w:tr w14:paraId="480967CE">
        <w:tblPrEx>
          <w:tblCellMar>
            <w:top w:w="0" w:type="dxa"/>
            <w:left w:w="108" w:type="dxa"/>
            <w:bottom w:w="0" w:type="dxa"/>
            <w:right w:w="108" w:type="dxa"/>
          </w:tblCellMar>
        </w:tblPrEx>
        <w:tc>
          <w:tcPr>
            <w:tcW w:w="5000" w:type="pct"/>
            <w:shd w:val="clear" w:color="auto" w:fill="auto"/>
            <w:vAlign w:val="center"/>
          </w:tcPr>
          <w:p w14:paraId="41F751C9">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图9 各时刻水库水温等值面</w:t>
            </w:r>
          </w:p>
        </w:tc>
      </w:tr>
      <w:tr w14:paraId="53B3B3C4">
        <w:tblPrEx>
          <w:tblCellMar>
            <w:top w:w="0" w:type="dxa"/>
            <w:left w:w="108" w:type="dxa"/>
            <w:bottom w:w="0" w:type="dxa"/>
            <w:right w:w="108" w:type="dxa"/>
          </w:tblCellMar>
        </w:tblPrEx>
        <w:tc>
          <w:tcPr>
            <w:tcW w:w="5000" w:type="pct"/>
            <w:shd w:val="clear" w:color="auto" w:fill="auto"/>
            <w:vAlign w:val="center"/>
          </w:tcPr>
          <w:p w14:paraId="2BE0373C">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Fig.9 Isosurface of reservoir water temperature at each time</w:t>
            </w:r>
          </w:p>
        </w:tc>
      </w:tr>
      <w:tr w14:paraId="2DD1DAE7">
        <w:tblPrEx>
          <w:tblCellMar>
            <w:top w:w="0" w:type="dxa"/>
            <w:left w:w="108" w:type="dxa"/>
            <w:bottom w:w="0" w:type="dxa"/>
            <w:right w:w="108" w:type="dxa"/>
          </w:tblCellMar>
        </w:tblPrEx>
        <w:tc>
          <w:tcPr>
            <w:tcW w:w="5000" w:type="pct"/>
            <w:shd w:val="clear" w:color="auto" w:fill="auto"/>
            <w:vAlign w:val="center"/>
          </w:tcPr>
          <w:p w14:paraId="30043E2C">
            <w:pPr>
              <w:adjustRightInd w:val="0"/>
              <w:snapToGrid w:val="0"/>
              <w:jc w:val="center"/>
              <w:rPr>
                <w:rFonts w:ascii="Times New Roman" w:hAnsi="Times New Roman"/>
                <w:color w:val="000000"/>
                <w:szCs w:val="21"/>
                <w:shd w:val="clear" w:color="auto" w:fill="FFFFFF"/>
              </w:rPr>
            </w:pPr>
            <w:r>
              <w:rPr>
                <w:color w:val="000000"/>
                <w:shd w:val="clear" w:color="auto" w:fill="FFFFFF"/>
              </w:rPr>
              <w:drawing>
                <wp:inline distT="0" distB="0" distL="0" distR="0">
                  <wp:extent cx="2938145" cy="3134995"/>
                  <wp:effectExtent l="0" t="0" r="0" b="8255"/>
                  <wp:docPr id="13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pic:cNvPicPr>
                            <a:picLocks noChangeAspect="1"/>
                          </pic:cNvPicPr>
                        </pic:nvPicPr>
                        <pic:blipFill>
                          <a:blip r:embed="rId137"/>
                          <a:stretch>
                            <a:fillRect/>
                          </a:stretch>
                        </pic:blipFill>
                        <pic:spPr>
                          <a:xfrm>
                            <a:off x="0" y="0"/>
                            <a:ext cx="2969737" cy="3168774"/>
                          </a:xfrm>
                          <a:prstGeom prst="rect">
                            <a:avLst/>
                          </a:prstGeom>
                        </pic:spPr>
                      </pic:pic>
                    </a:graphicData>
                  </a:graphic>
                </wp:inline>
              </w:drawing>
            </w:r>
          </w:p>
        </w:tc>
      </w:tr>
      <w:tr w14:paraId="12E83EC0">
        <w:tblPrEx>
          <w:tblCellMar>
            <w:top w:w="0" w:type="dxa"/>
            <w:left w:w="108" w:type="dxa"/>
            <w:bottom w:w="0" w:type="dxa"/>
            <w:right w:w="108" w:type="dxa"/>
          </w:tblCellMar>
        </w:tblPrEx>
        <w:tc>
          <w:tcPr>
            <w:tcW w:w="5000" w:type="pct"/>
            <w:shd w:val="clear" w:color="auto" w:fill="auto"/>
            <w:vAlign w:val="center"/>
          </w:tcPr>
          <w:p w14:paraId="66C79D3E">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图10 温度纵剖面</w:t>
            </w:r>
          </w:p>
        </w:tc>
      </w:tr>
      <w:tr w14:paraId="30D0CA87">
        <w:tblPrEx>
          <w:tblCellMar>
            <w:top w:w="0" w:type="dxa"/>
            <w:left w:w="108" w:type="dxa"/>
            <w:bottom w:w="0" w:type="dxa"/>
            <w:right w:w="108" w:type="dxa"/>
          </w:tblCellMar>
        </w:tblPrEx>
        <w:tc>
          <w:tcPr>
            <w:tcW w:w="5000" w:type="pct"/>
            <w:shd w:val="clear" w:color="auto" w:fill="auto"/>
            <w:vAlign w:val="center"/>
          </w:tcPr>
          <w:p w14:paraId="72BBFC73">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Fig.10 Longitudinal profile of temperature</w:t>
            </w:r>
          </w:p>
        </w:tc>
      </w:tr>
    </w:tbl>
    <w:p w14:paraId="7B4A4831">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电站泄水的温度过程曲线如图11所示。在</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120 min分钟后，随着冷水主流到达坝址，尾水温度出现了长约60 min的快速下降期，从约11.5 </w:t>
      </w:r>
      <w:r>
        <w:rPr>
          <w:rFonts w:ascii="Times New Roman" w:hAnsi="Times New Roman" w:cs="Times New Roman"/>
          <w:color w:val="000000"/>
          <w:szCs w:val="21"/>
          <w:shd w:val="clear" w:color="auto" w:fill="FFFFFF"/>
        </w:rPr>
        <w:t>℃</w:t>
      </w:r>
      <w:r>
        <w:rPr>
          <w:rFonts w:hint="eastAsia" w:ascii="Times New Roman" w:hAnsi="Times New Roman"/>
          <w:color w:val="000000"/>
          <w:szCs w:val="21"/>
          <w:shd w:val="clear" w:color="auto" w:fill="FFFFFF"/>
        </w:rPr>
        <w:t xml:space="preserve">降低至约6.5 </w:t>
      </w:r>
      <w:r>
        <w:rPr>
          <w:rFonts w:ascii="Times New Roman" w:hAnsi="Times New Roman" w:cs="Times New Roman"/>
          <w:color w:val="000000"/>
          <w:szCs w:val="21"/>
          <w:shd w:val="clear" w:color="auto" w:fill="FFFFFF"/>
        </w:rPr>
        <w:t>℃</w:t>
      </w:r>
      <w:r>
        <w:rPr>
          <w:rFonts w:hint="eastAsia" w:ascii="Times New Roman" w:hAnsi="Times New Roman"/>
          <w:color w:val="000000"/>
          <w:szCs w:val="21"/>
          <w:shd w:val="clear" w:color="auto" w:fill="FFFFFF"/>
        </w:rPr>
        <w:t>。低温水的下泄可能使植物遭遇冷害、改变水生生物繁衍特性等，进而造成生物多样性退化、生态环境失衡等问题。枢纽泄洪或电站发电可采取分层取水的策略，将下泄水温控制在对生态环境有明显影响的临界值之上。</w:t>
      </w:r>
    </w:p>
    <w:tbl>
      <w:tblPr>
        <w:tblStyle w:val="16"/>
        <w:tblW w:w="5000" w:type="pct"/>
        <w:tblInd w:w="0" w:type="dxa"/>
        <w:tblLayout w:type="autofit"/>
        <w:tblCellMar>
          <w:top w:w="0" w:type="dxa"/>
          <w:left w:w="108" w:type="dxa"/>
          <w:bottom w:w="0" w:type="dxa"/>
          <w:right w:w="108" w:type="dxa"/>
        </w:tblCellMar>
      </w:tblPr>
      <w:tblGrid>
        <w:gridCol w:w="8522"/>
      </w:tblGrid>
      <w:tr w14:paraId="5CC74C49">
        <w:tblPrEx>
          <w:tblCellMar>
            <w:top w:w="0" w:type="dxa"/>
            <w:left w:w="108" w:type="dxa"/>
            <w:bottom w:w="0" w:type="dxa"/>
            <w:right w:w="108" w:type="dxa"/>
          </w:tblCellMar>
        </w:tblPrEx>
        <w:tc>
          <w:tcPr>
            <w:tcW w:w="5000" w:type="pct"/>
            <w:shd w:val="clear" w:color="auto" w:fill="auto"/>
            <w:vAlign w:val="center"/>
          </w:tcPr>
          <w:p w14:paraId="0E07D01B">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object>
                <v:shape id="_x0000_i1084" o:spt="75" type="#_x0000_t75" style="height:139.75pt;width:245.35pt;" o:ole="t" filled="f" o:preferrelative="t" stroked="f" coordsize="21600,21600">
                  <v:path/>
                  <v:fill on="f" focussize="0,0"/>
                  <v:stroke on="f" joinstyle="miter"/>
                  <v:imagedata r:id="rId139" cropleft="5043f" croptop="5736f" cropright="6553f" cropbottom="2165f" o:title=""/>
                  <o:lock v:ext="edit" aspectratio="t"/>
                  <w10:wrap type="none"/>
                  <w10:anchorlock/>
                </v:shape>
                <o:OLEObject Type="Embed" ProgID="Origin50.Graph" ShapeID="_x0000_i1084" DrawAspect="Content" ObjectID="_1468075784" r:id="rId138">
                  <o:LockedField>false</o:LockedField>
                </o:OLEObject>
              </w:object>
            </w:r>
          </w:p>
        </w:tc>
      </w:tr>
      <w:tr w14:paraId="2D512691">
        <w:tblPrEx>
          <w:tblCellMar>
            <w:top w:w="0" w:type="dxa"/>
            <w:left w:w="108" w:type="dxa"/>
            <w:bottom w:w="0" w:type="dxa"/>
            <w:right w:w="108" w:type="dxa"/>
          </w:tblCellMar>
        </w:tblPrEx>
        <w:tc>
          <w:tcPr>
            <w:tcW w:w="5000" w:type="pct"/>
            <w:shd w:val="clear" w:color="auto" w:fill="auto"/>
            <w:vAlign w:val="center"/>
          </w:tcPr>
          <w:p w14:paraId="64C67A5D">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图11 电站下泄水温过程曲线</w:t>
            </w:r>
          </w:p>
        </w:tc>
      </w:tr>
      <w:tr w14:paraId="6C70C189">
        <w:tblPrEx>
          <w:tblCellMar>
            <w:top w:w="0" w:type="dxa"/>
            <w:left w:w="108" w:type="dxa"/>
            <w:bottom w:w="0" w:type="dxa"/>
            <w:right w:w="108" w:type="dxa"/>
          </w:tblCellMar>
        </w:tblPrEx>
        <w:trPr>
          <w:trHeight w:val="57" w:hRule="atLeast"/>
        </w:trPr>
        <w:tc>
          <w:tcPr>
            <w:tcW w:w="5000" w:type="pct"/>
            <w:shd w:val="clear" w:color="auto" w:fill="auto"/>
            <w:vAlign w:val="center"/>
          </w:tcPr>
          <w:p w14:paraId="1D4147EB">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Fig.11</w:t>
            </w:r>
            <w:r>
              <w:rPr>
                <w:rFonts w:hint="eastAsia" w:eastAsia="黑体" w:cs="Times New Roman"/>
                <w:b w:val="0"/>
                <w:color w:val="000000"/>
                <w:sz w:val="18"/>
                <w:szCs w:val="18"/>
                <w:shd w:val="clear" w:color="auto" w:fill="FFFFFF"/>
              </w:rPr>
              <w:t xml:space="preserve"> </w:t>
            </w:r>
            <w:r>
              <w:rPr>
                <w:rFonts w:eastAsia="黑体" w:cs="Times New Roman"/>
                <w:b w:val="0"/>
                <w:color w:val="000000"/>
                <w:sz w:val="18"/>
                <w:szCs w:val="18"/>
                <w:shd w:val="clear" w:color="auto" w:fill="FFFFFF"/>
              </w:rPr>
              <w:t>Temperature curve of discharge water under the power station</w:t>
            </w:r>
          </w:p>
        </w:tc>
      </w:tr>
    </w:tbl>
    <w:p w14:paraId="3CBD8354">
      <w:pPr>
        <w:pStyle w:val="6"/>
        <w:adjustRightInd w:val="0"/>
        <w:snapToGrid w:val="0"/>
        <w:spacing w:before="0" w:after="0" w:line="240" w:lineRule="auto"/>
        <w:rPr>
          <w:rFonts w:ascii="黑体" w:hAnsi="黑体" w:eastAsia="黑体"/>
          <w:b w:val="0"/>
          <w:bCs w:val="0"/>
          <w:color w:val="000000"/>
          <w:sz w:val="21"/>
          <w:szCs w:val="21"/>
          <w:shd w:val="clear" w:color="auto" w:fill="FFFFFF"/>
        </w:rPr>
      </w:pPr>
      <w:bookmarkStart w:id="9" w:name="_Toc97848053"/>
      <w:bookmarkStart w:id="10" w:name="_Toc95739082"/>
      <w:r>
        <w:rPr>
          <w:rFonts w:hint="eastAsia" w:ascii="黑体" w:hAnsi="黑体" w:eastAsia="黑体"/>
          <w:b w:val="0"/>
          <w:bCs w:val="0"/>
          <w:color w:val="000000"/>
          <w:sz w:val="21"/>
          <w:szCs w:val="21"/>
          <w:shd w:val="clear" w:color="auto" w:fill="FFFFFF"/>
        </w:rPr>
        <w:t>3.4 污染质变化过程分析</w:t>
      </w:r>
      <w:bookmarkEnd w:id="9"/>
      <w:bookmarkEnd w:id="10"/>
    </w:p>
    <w:p w14:paraId="4D641058">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该电站所在的高原地区生态十分脆弱，土地沙化严重、植被覆盖率差，并且由于气候恶劣等原因，生态一旦遭到破坏就难以恢复，本节就水库内污染扩散现象进行模拟和分析。假定坝前保持正常蓄水位3310 m运行，上游来流流量为</w:t>
      </w:r>
      <w:r>
        <w:rPr>
          <w:rFonts w:ascii="Times New Roman" w:hAnsi="Times New Roman"/>
          <w:i/>
          <w:iCs/>
          <w:color w:val="000000"/>
          <w:szCs w:val="21"/>
          <w:shd w:val="clear" w:color="auto" w:fill="FFFFFF"/>
        </w:rPr>
        <w:t>Q</w:t>
      </w:r>
      <w:r>
        <w:rPr>
          <w:rFonts w:ascii="Times New Roman" w:hAnsi="Times New Roman"/>
          <w:color w:val="000000"/>
          <w:szCs w:val="21"/>
          <w:shd w:val="clear" w:color="auto" w:fill="FFFFFF"/>
        </w:rPr>
        <w:t xml:space="preserve"> = </w:t>
      </w:r>
      <w:r>
        <w:rPr>
          <w:rFonts w:hint="eastAsia" w:ascii="Times New Roman" w:hAnsi="Times New Roman"/>
          <w:color w:val="000000"/>
          <w:szCs w:val="21"/>
          <w:shd w:val="clear" w:color="auto" w:fill="FFFFFF"/>
        </w:rPr>
        <w:t>1730 m</w:t>
      </w:r>
      <w:r>
        <w:rPr>
          <w:rFonts w:hint="eastAsia"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/s，电站3台机组满负荷发电，1</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、3</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、5</w:t>
      </w:r>
      <w:r>
        <w:rPr>
          <w:rFonts w:hint="eastAsia" w:ascii="Times New Roman" w:hAnsi="Times New Roman"/>
          <w:color w:val="000000"/>
          <w:szCs w:val="21"/>
          <w:shd w:val="clear" w:color="auto" w:fill="FFFFFF"/>
          <w:vertAlign w:val="superscript"/>
        </w:rPr>
        <w:t>#</w:t>
      </w:r>
      <w:r>
        <w:rPr>
          <w:rFonts w:hint="eastAsia" w:ascii="Times New Roman" w:hAnsi="Times New Roman"/>
          <w:color w:val="000000"/>
          <w:szCs w:val="21"/>
          <w:shd w:val="clear" w:color="auto" w:fill="FFFFFF"/>
        </w:rPr>
        <w:t>泄洪表孔开启2 m宣泄洪水，水库初始水体为清洁状态。待流场模拟达到稳定后，有一浓度为0.5 k</w:t>
      </w:r>
      <w:r>
        <w:rPr>
          <w:rFonts w:ascii="Times New Roman" w:hAnsi="Times New Roman"/>
          <w:color w:val="000000"/>
          <w:szCs w:val="21"/>
          <w:shd w:val="clear" w:color="auto" w:fill="FFFFFF"/>
        </w:rPr>
        <w:t>g/</w:t>
      </w:r>
      <w:r>
        <w:rPr>
          <w:rFonts w:hint="eastAsia" w:ascii="Times New Roman" w:hAnsi="Times New Roman"/>
          <w:color w:val="000000"/>
          <w:szCs w:val="21"/>
          <w:shd w:val="clear" w:color="auto" w:fill="FFFFFF"/>
        </w:rPr>
        <w:t>m</w:t>
      </w:r>
      <w:r>
        <w:rPr>
          <w:rFonts w:hint="eastAsia"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、流量为10 m</w:t>
      </w:r>
      <w:r>
        <w:rPr>
          <w:rFonts w:hint="eastAsia" w:ascii="Times New Roman" w:hAnsi="Times New Roman"/>
          <w:color w:val="000000"/>
          <w:szCs w:val="21"/>
          <w:shd w:val="clear" w:color="auto" w:fill="FFFFFF"/>
          <w:vertAlign w:val="superscript"/>
        </w:rPr>
        <w:t>3</w:t>
      </w:r>
      <w:r>
        <w:rPr>
          <w:rFonts w:hint="eastAsia" w:ascii="Times New Roman" w:hAnsi="Times New Roman"/>
          <w:color w:val="000000"/>
          <w:szCs w:val="21"/>
          <w:shd w:val="clear" w:color="auto" w:fill="FFFFFF"/>
        </w:rPr>
        <w:t>/s的污水从坝址上游1.5 km处左岸排入水库，并模拟90 min时长的污染扩散现象，研究此过程中水库污染质分布的时空</w:t>
      </w:r>
      <w:r>
        <w:rPr>
          <w:rFonts w:ascii="Times New Roman" w:hAnsi="Times New Roman"/>
          <w:color w:val="000000"/>
          <w:szCs w:val="21"/>
          <w:shd w:val="clear" w:color="auto" w:fill="FFFFFF"/>
        </w:rPr>
        <w:t>变化过程，并</w:t>
      </w:r>
      <w:r>
        <w:rPr>
          <w:rFonts w:hint="eastAsia" w:ascii="Times New Roman" w:hAnsi="Times New Roman"/>
          <w:color w:val="000000"/>
          <w:szCs w:val="21"/>
          <w:shd w:val="clear" w:color="auto" w:fill="FFFFFF"/>
        </w:rPr>
        <w:t>记录</w:t>
      </w:r>
      <w:r>
        <w:rPr>
          <w:rFonts w:ascii="Times New Roman" w:hAnsi="Times New Roman"/>
          <w:color w:val="000000"/>
          <w:szCs w:val="21"/>
          <w:shd w:val="clear" w:color="auto" w:fill="FFFFFF"/>
        </w:rPr>
        <w:t>由电站、泄洪表孔下泄水浓度过程曲线。</w:t>
      </w:r>
      <w:bookmarkStart w:id="11" w:name="_Hlk211765229"/>
      <w:r>
        <w:rPr>
          <w:rFonts w:hint="eastAsia" w:ascii="Times New Roman" w:hAnsi="Times New Roman"/>
          <w:color w:val="000000"/>
          <w:szCs w:val="21"/>
          <w:shd w:val="clear" w:color="auto" w:fill="FFFFFF"/>
        </w:rPr>
        <w:t>为了准确描述污染质变化过程，</w:t>
      </w:r>
      <w:r>
        <w:rPr>
          <w:rFonts w:ascii="Times New Roman" w:hAnsi="Times New Roman"/>
          <w:color w:val="000000"/>
          <w:szCs w:val="21"/>
          <w:shd w:val="clear" w:color="auto" w:fill="FFFFFF"/>
        </w:rPr>
        <w:t>便于不同方向和时间尺度的对比分析</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本节对污染物传播的时间、空间及浓度参数进行了无量纲化处理。其中，</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rPr>
        <w:t>为模拟时间，</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rPr>
        <w:t>₀ = 65 min 为特征时间，用于时间无量纲化；</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rPr>
        <w:t xml:space="preserve"> 表示污染质在各方向上的传播距离，</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rPr>
        <w:t>₀分别取各方向的特征长度，即纵向 1500 m、横向 453 m、垂向 112 m；</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 xml:space="preserve"> 为污染物在水体中任意位置、任意时刻的浓度值，</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₀ = 0.5 kg/m³ 为排污口处的初始浓度。因此，</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T</w:t>
      </w:r>
      <w:r>
        <w:rPr>
          <w:rFonts w:ascii="Times New Roman" w:hAnsi="Times New Roman"/>
          <w:color w:val="000000"/>
          <w:szCs w:val="21"/>
          <w:shd w:val="clear" w:color="auto" w:fill="FFFFFF"/>
        </w:rPr>
        <w:t>₀反映了污染传播的相对时间进程，</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rPr>
        <w:t>₀表示污染质在不同方向上的相对扩散范围，</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₀则用于表征污染稀释程度。</w:t>
      </w:r>
      <w:bookmarkEnd w:id="11"/>
    </w:p>
    <w:p w14:paraId="12D3F037">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为污染排入水库</w:t>
      </w:r>
      <w:r>
        <w:rPr>
          <w:rFonts w:hint="eastAsia" w:ascii="Times New Roman" w:hAnsi="Times New Roman"/>
          <w:color w:val="000000"/>
          <w:szCs w:val="21"/>
          <w:shd w:val="clear" w:color="auto" w:fill="FFFFFF"/>
        </w:rPr>
        <w:t>不同时间</w:t>
      </w:r>
      <w:r>
        <w:rPr>
          <w:rFonts w:ascii="Times New Roman" w:hAnsi="Times New Roman"/>
          <w:color w:val="000000"/>
          <w:szCs w:val="21"/>
          <w:shd w:val="clear" w:color="auto" w:fill="FFFFFF"/>
        </w:rPr>
        <w:t>后浓度分布</w:t>
      </w:r>
      <w:r>
        <w:rPr>
          <w:rFonts w:hint="eastAsia" w:ascii="Times New Roman" w:hAnsi="Times New Roman"/>
          <w:color w:val="000000"/>
          <w:szCs w:val="21"/>
          <w:shd w:val="clear" w:color="auto" w:fill="FFFFFF"/>
          <w:lang w:eastAsia="zh-CN"/>
        </w:rPr>
        <w:t>如</w:t>
      </w:r>
      <w:r>
        <w:rPr>
          <w:rFonts w:ascii="Times New Roman" w:hAnsi="Times New Roman"/>
          <w:color w:val="000000"/>
          <w:szCs w:val="21"/>
          <w:shd w:val="clear" w:color="auto" w:fill="FFFFFF"/>
        </w:rPr>
        <w:t>图</w:t>
      </w:r>
      <w:r>
        <w:rPr>
          <w:rFonts w:hint="eastAsia" w:ascii="Times New Roman" w:hAnsi="Times New Roman"/>
          <w:color w:val="000000"/>
          <w:szCs w:val="21"/>
          <w:shd w:val="clear" w:color="auto" w:fill="FFFFFF"/>
        </w:rPr>
        <w:t>12</w:t>
      </w:r>
      <w:r>
        <w:rPr>
          <w:rFonts w:hint="eastAsia" w:ascii="Times New Roman" w:hAnsi="Times New Roman"/>
          <w:color w:val="000000"/>
          <w:szCs w:val="21"/>
          <w:shd w:val="clear" w:color="auto" w:fill="FFFFFF"/>
          <w:lang w:eastAsia="zh-CN"/>
        </w:rPr>
        <w:t>所示</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其中浅蓝色区域为水面</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从河势条件看，排污口位于左岸一凸咀下游的掩蔽缓流区内，加之水库水流流速较小，污染物在模拟初期的传播以扩散为主，图12 (</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30 min)可以看出高浓度面向各个方向基本是均匀扩展的。</w:t>
      </w:r>
      <w:r>
        <w:rPr>
          <w:rFonts w:hint="eastAsia" w:ascii="Times New Roman" w:hAnsi="Times New Roman"/>
          <w:i/>
          <w:iCs/>
          <w:color w:val="000000"/>
          <w:szCs w:val="21"/>
          <w:shd w:val="clear" w:color="auto" w:fill="FFFFFF"/>
        </w:rPr>
        <w:t xml:space="preserve">t </w:t>
      </w:r>
      <w:r>
        <w:rPr>
          <w:rFonts w:hint="eastAsia" w:ascii="Times New Roman" w:hAnsi="Times New Roman"/>
          <w:color w:val="000000"/>
          <w:szCs w:val="21"/>
          <w:shd w:val="clear" w:color="auto" w:fill="FFFFFF"/>
        </w:rPr>
        <w:t>= 30</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50min期间，</w:t>
      </w:r>
      <w:r>
        <w:rPr>
          <w:rFonts w:ascii="Times New Roman" w:hAnsi="Times New Roman"/>
          <w:i/>
          <w:iCs/>
          <w:color w:val="000000"/>
          <w:szCs w:val="21"/>
          <w:shd w:val="clear" w:color="auto" w:fill="FFFFFF"/>
        </w:rPr>
        <w:t>C/C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0.3</w:t>
      </w:r>
      <w:r>
        <w:rPr>
          <w:rFonts w:hint="eastAsia" w:ascii="Times New Roman" w:hAnsi="Times New Roman"/>
          <w:color w:val="000000"/>
          <w:szCs w:val="21"/>
          <w:shd w:val="clear" w:color="auto" w:fill="FFFFFF"/>
        </w:rPr>
        <w:t>的浓度面进入水库主流区，此时对流作用对污染物传播的影响显著大于扩散作用，污染质由此进入快速传播的阶段。排污</w:t>
      </w:r>
      <w:r>
        <w:rPr>
          <w:rFonts w:hint="eastAsia" w:ascii="Times New Roman" w:hAnsi="Times New Roman"/>
          <w:i/>
          <w:iCs/>
          <w:color w:val="000000"/>
          <w:szCs w:val="21"/>
          <w:shd w:val="clear" w:color="auto" w:fill="FFFFFF"/>
        </w:rPr>
        <w:t xml:space="preserve">t </w:t>
      </w:r>
      <w:r>
        <w:rPr>
          <w:rFonts w:hint="eastAsia" w:ascii="Times New Roman" w:hAnsi="Times New Roman"/>
          <w:color w:val="000000"/>
          <w:szCs w:val="21"/>
          <w:shd w:val="clear" w:color="auto" w:fill="FFFFFF"/>
        </w:rPr>
        <w:t>= 90min后，</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hint="eastAsia"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0.1</w:t>
      </w:r>
      <w:r>
        <w:rPr>
          <w:rFonts w:hint="eastAsia" w:ascii="Times New Roman" w:hAnsi="Times New Roman"/>
          <w:color w:val="000000"/>
          <w:szCs w:val="21"/>
          <w:shd w:val="clear" w:color="auto" w:fill="FFFFFF"/>
        </w:rPr>
        <w:t>浓度面在坝址处通过电站引水横向传播到取水口区域，并在尾水渠处检测到污染质(见图12)。由于上游源源不断有清水进入水库，并对污染质进行稀释，污水</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i/>
          <w:iCs/>
          <w:color w:val="000000"/>
          <w:szCs w:val="21"/>
          <w:shd w:val="clear" w:color="auto" w:fill="FFFFFF"/>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0.1</w:t>
      </w:r>
      <w:r>
        <w:rPr>
          <w:rFonts w:hint="eastAsia" w:ascii="Times New Roman" w:hAnsi="Times New Roman"/>
          <w:color w:val="000000"/>
          <w:szCs w:val="21"/>
          <w:shd w:val="clear" w:color="auto" w:fill="FFFFFF"/>
        </w:rPr>
        <w:t>浓度面始终未能跨过河道传播到水库右岸，并且电站尾水的浓度最终也稳定在约</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0.085。</w:t>
      </w:r>
      <w:r>
        <w:rPr>
          <w:rFonts w:hint="eastAsia" w:ascii="Times New Roman" w:hAnsi="Times New Roman"/>
          <w:color w:val="000000"/>
          <w:szCs w:val="21"/>
          <w:shd w:val="clear" w:color="auto" w:fill="FFFFFF"/>
        </w:rPr>
        <w:t>从模拟结果看来，排放的污染物无法有效随水库主流下泄，而是大量聚集在排污口处的缓流区内，浓度</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=0.5</w:t>
      </w:r>
      <w:r>
        <w:rPr>
          <w:rFonts w:hint="eastAsia" w:ascii="Times New Roman" w:hAnsi="Times New Roman"/>
          <w:color w:val="000000"/>
          <w:szCs w:val="21"/>
          <w:shd w:val="clear" w:color="auto" w:fill="FFFFFF"/>
        </w:rPr>
        <w:t>的范围可达150 m，这对局部环境的影响是较大的。</w:t>
      </w:r>
    </w:p>
    <w:tbl>
      <w:tblPr>
        <w:tblStyle w:val="16"/>
        <w:tblW w:w="5000" w:type="pct"/>
        <w:tblInd w:w="0" w:type="dxa"/>
        <w:tblLayout w:type="autofit"/>
        <w:tblCellMar>
          <w:top w:w="0" w:type="dxa"/>
          <w:left w:w="108" w:type="dxa"/>
          <w:bottom w:w="0" w:type="dxa"/>
          <w:right w:w="108" w:type="dxa"/>
        </w:tblCellMar>
      </w:tblPr>
      <w:tblGrid>
        <w:gridCol w:w="8522"/>
      </w:tblGrid>
      <w:tr w14:paraId="5EA710B5">
        <w:tblPrEx>
          <w:tblCellMar>
            <w:top w:w="0" w:type="dxa"/>
            <w:left w:w="108" w:type="dxa"/>
            <w:bottom w:w="0" w:type="dxa"/>
            <w:right w:w="108" w:type="dxa"/>
          </w:tblCellMar>
        </w:tblPrEx>
        <w:tc>
          <w:tcPr>
            <w:tcW w:w="5000" w:type="pct"/>
            <w:shd w:val="clear" w:color="auto" w:fill="auto"/>
            <w:vAlign w:val="center"/>
          </w:tcPr>
          <w:p w14:paraId="67B32533">
            <w:pPr>
              <w:adjustRightInd w:val="0"/>
              <w:snapToGrid w:val="0"/>
              <w:jc w:val="center"/>
              <w:rPr>
                <w:rFonts w:ascii="Times New Roman" w:hAnsi="Times New Roman" w:cs="Times New Roman"/>
                <w:color w:val="000000"/>
                <w:szCs w:val="21"/>
                <w:shd w:val="clear" w:color="auto" w:fill="FFFFFF"/>
              </w:rPr>
            </w:pPr>
            <w:r>
              <w:rPr>
                <w:rFonts w:ascii="Times New Roman" w:hAnsi="Times New Roman" w:cs="Times New Roman"/>
                <w:color w:val="000000"/>
                <w:szCs w:val="21"/>
                <w:shd w:val="clear" w:color="auto" w:fill="FFFFFF"/>
              </w:rPr>
              <w:drawing>
                <wp:inline distT="0" distB="0" distL="0" distR="0">
                  <wp:extent cx="3114675" cy="3517265"/>
                  <wp:effectExtent l="0" t="0" r="9525" b="6985"/>
                  <wp:docPr id="11784266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26640" name="图片 2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3128907" cy="3532941"/>
                          </a:xfrm>
                          <a:prstGeom prst="rect">
                            <a:avLst/>
                          </a:prstGeom>
                          <a:noFill/>
                          <a:ln>
                            <a:noFill/>
                          </a:ln>
                        </pic:spPr>
                      </pic:pic>
                    </a:graphicData>
                  </a:graphic>
                </wp:inline>
              </w:drawing>
            </w:r>
          </w:p>
        </w:tc>
      </w:tr>
      <w:tr w14:paraId="0326F507">
        <w:tblPrEx>
          <w:tblCellMar>
            <w:top w:w="0" w:type="dxa"/>
            <w:left w:w="108" w:type="dxa"/>
            <w:bottom w:w="0" w:type="dxa"/>
            <w:right w:w="108" w:type="dxa"/>
          </w:tblCellMar>
        </w:tblPrEx>
        <w:tc>
          <w:tcPr>
            <w:tcW w:w="5000" w:type="pct"/>
            <w:shd w:val="clear" w:color="auto" w:fill="auto"/>
            <w:vAlign w:val="center"/>
          </w:tcPr>
          <w:p w14:paraId="4A38E145">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图12 各时刻水库污染质等浓度面</w:t>
            </w:r>
          </w:p>
        </w:tc>
      </w:tr>
      <w:tr w14:paraId="0142EBA6">
        <w:tblPrEx>
          <w:tblCellMar>
            <w:top w:w="0" w:type="dxa"/>
            <w:left w:w="108" w:type="dxa"/>
            <w:bottom w:w="0" w:type="dxa"/>
            <w:right w:w="108" w:type="dxa"/>
          </w:tblCellMar>
        </w:tblPrEx>
        <w:tc>
          <w:tcPr>
            <w:tcW w:w="5000" w:type="pct"/>
            <w:shd w:val="clear" w:color="auto" w:fill="auto"/>
            <w:vAlign w:val="center"/>
          </w:tcPr>
          <w:p w14:paraId="0892C2AC">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Fig.12 Isoconcentration of reservoir pollution at each time</w:t>
            </w:r>
          </w:p>
        </w:tc>
      </w:tr>
    </w:tbl>
    <w:p w14:paraId="7F56FB62">
      <w:pPr>
        <w:ind w:firstLine="420" w:firstLineChars="200"/>
        <w:rPr>
          <w:rFonts w:ascii="Times New Roman" w:hAnsi="Times New Roman"/>
          <w:color w:val="000000"/>
          <w:szCs w:val="21"/>
          <w:shd w:val="clear" w:color="auto" w:fill="FFFFFF"/>
        </w:rPr>
      </w:pP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0.1等浓度面在纵向、横向及垂向上的传播曲线</w:t>
      </w:r>
      <w:r>
        <w:rPr>
          <w:rFonts w:hint="eastAsia" w:ascii="Times New Roman" w:hAnsi="Times New Roman"/>
          <w:color w:val="000000"/>
          <w:szCs w:val="21"/>
          <w:shd w:val="clear" w:color="auto" w:fill="FFFFFF"/>
          <w:lang w:eastAsia="zh-CN"/>
        </w:rPr>
        <w:t>如</w:t>
      </w:r>
      <w:r>
        <w:rPr>
          <w:rFonts w:ascii="Times New Roman" w:hAnsi="Times New Roman"/>
          <w:color w:val="000000"/>
          <w:szCs w:val="21"/>
          <w:shd w:val="clear" w:color="auto" w:fill="FFFFFF"/>
        </w:rPr>
        <w:t>图</w:t>
      </w:r>
      <w:r>
        <w:rPr>
          <w:rFonts w:hint="eastAsia" w:ascii="Times New Roman" w:hAnsi="Times New Roman"/>
          <w:color w:val="000000"/>
          <w:szCs w:val="21"/>
          <w:shd w:val="clear" w:color="auto" w:fill="FFFFFF"/>
        </w:rPr>
        <w:t>13</w:t>
      </w:r>
      <w:r>
        <w:rPr>
          <w:rFonts w:hint="eastAsia" w:ascii="Times New Roman" w:hAnsi="Times New Roman"/>
          <w:color w:val="000000"/>
          <w:szCs w:val="21"/>
          <w:shd w:val="clear" w:color="auto" w:fill="FFFFFF"/>
          <w:lang w:eastAsia="zh-CN"/>
        </w:rPr>
        <w:t>所示</w:t>
      </w:r>
      <w:r>
        <w:rPr>
          <w:rFonts w:ascii="Times New Roman" w:hAnsi="Times New Roman"/>
          <w:color w:val="000000"/>
          <w:szCs w:val="21"/>
          <w:shd w:val="clear" w:color="auto" w:fill="FFFFFF"/>
        </w:rPr>
        <w:t>。为了便于比较和分析，本文对传播时间(横轴，</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hint="eastAsia" w:ascii="Times New Roman" w:hAnsi="Times New Roman"/>
          <w:color w:val="000000"/>
          <w:szCs w:val="21"/>
          <w:shd w:val="clear" w:color="auto" w:fill="FFFFFF"/>
          <w:vertAlign w:val="subscript"/>
        </w:rPr>
        <w:t xml:space="preserve"> </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 xml:space="preserve"> </w:t>
      </w:r>
      <w:r>
        <w:rPr>
          <w:rFonts w:ascii="Times New Roman" w:hAnsi="Times New Roman"/>
          <w:color w:val="000000"/>
          <w:szCs w:val="21"/>
          <w:shd w:val="clear" w:color="auto" w:fill="FFFFFF"/>
        </w:rPr>
        <w:t>65min)、传播距离(垂向最大水深、横向水库宽度、纵向距坝址距离的</w:t>
      </w:r>
      <w:r>
        <w:rPr>
          <w:rFonts w:ascii="Times New Roman" w:hAnsi="Times New Roman"/>
          <w:i/>
          <w:iCs/>
          <w:color w:val="000000"/>
          <w:szCs w:val="21"/>
          <w:shd w:val="clear" w:color="auto" w:fill="FFFFFF"/>
        </w:rPr>
        <w:t>L</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分别为112</w:t>
      </w:r>
      <w:r>
        <w:rPr>
          <w:rFonts w:hint="eastAsia" w:ascii="Times New Roman" w:hAnsi="Times New Roman"/>
          <w:color w:val="000000"/>
          <w:szCs w:val="21"/>
          <w:shd w:val="clear" w:color="auto" w:fill="FFFFFF"/>
        </w:rPr>
        <w:t xml:space="preserve"> m、453 m、1500 m</w:t>
      </w:r>
      <w:r>
        <w:rPr>
          <w:rFonts w:ascii="Times New Roman" w:hAnsi="Times New Roman"/>
          <w:color w:val="000000"/>
          <w:szCs w:val="21"/>
          <w:shd w:val="clear" w:color="auto" w:fill="FFFFFF"/>
        </w:rPr>
        <w:t>)作了无量纲处理。</w:t>
      </w:r>
    </w:p>
    <w:p w14:paraId="2475B62E">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从传播曲线可以看到，污染物注入水库内，在初始动量的作用下，立刻在垂向上进行了掺混和传播，在</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0.4（</w:t>
      </w:r>
      <w:r>
        <w:rPr>
          <w:rFonts w:hint="eastAsia" w:ascii="Times New Roman" w:hAnsi="Times New Roman"/>
          <w:color w:val="000000"/>
          <w:szCs w:val="21"/>
          <w:shd w:val="clear" w:color="auto" w:fill="FFFFFF"/>
        </w:rPr>
        <w:t>时间0.4×65 s=26min</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时即到达排污口处河床底部</w:t>
      </w:r>
      <w:r>
        <w:rPr>
          <w:rFonts w:hint="eastAsia" w:ascii="Times New Roman" w:hAnsi="Times New Roman"/>
          <w:i/>
          <w:iCs/>
          <w:color w:val="000000"/>
          <w:szCs w:val="21"/>
          <w:shd w:val="clear" w:color="auto" w:fill="FFFFFF"/>
        </w:rPr>
        <w:t>L</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L</w:t>
      </w:r>
      <w:r>
        <w:rPr>
          <w:rFonts w:ascii="Times New Roman" w:hAnsi="Times New Roman"/>
          <w:color w:val="000000"/>
          <w:szCs w:val="21"/>
          <w:shd w:val="clear" w:color="auto" w:fill="FFFFFF"/>
          <w:vertAlign w:val="subscript"/>
        </w:rPr>
        <w:t xml:space="preserve">0 </w:t>
      </w:r>
      <w:r>
        <w:rPr>
          <w:rFonts w:ascii="Times New Roman" w:hAnsi="Times New Roman"/>
          <w:color w:val="000000"/>
          <w:szCs w:val="21"/>
          <w:shd w:val="clear" w:color="auto" w:fill="FFFFFF"/>
        </w:rPr>
        <w:t>= 0.</w:t>
      </w:r>
      <w:r>
        <w:rPr>
          <w:rFonts w:hint="eastAsia" w:ascii="Times New Roman" w:hAnsi="Times New Roman"/>
          <w:color w:val="000000"/>
          <w:szCs w:val="21"/>
          <w:shd w:val="clear" w:color="auto" w:fill="FFFFFF"/>
        </w:rPr>
        <w:t>6</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距离0.6×112 m=67.2 m，下同</w:t>
      </w:r>
      <w:r>
        <w:rPr>
          <w:rFonts w:ascii="Times New Roman" w:hAnsi="Times New Roman"/>
          <w:color w:val="000000"/>
          <w:szCs w:val="21"/>
          <w:shd w:val="clear" w:color="auto" w:fill="FFFFFF"/>
        </w:rPr>
        <w:t>）</w:t>
      </w:r>
      <w:r>
        <w:rPr>
          <w:rFonts w:hint="eastAsia" w:ascii="Times New Roman" w:hAnsi="Times New Roman"/>
          <w:color w:val="000000"/>
          <w:szCs w:val="21"/>
          <w:shd w:val="clear" w:color="auto" w:fill="FFFFFF"/>
        </w:rPr>
        <w:t>。这是污染传播的第一阶段：近区垂向混合段。</w:t>
      </w:r>
    </w:p>
    <w:p w14:paraId="52DAC46C">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横向上，</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0.2</w:t>
      </w:r>
      <w:r>
        <w:rPr>
          <w:rFonts w:hint="eastAsia" w:ascii="Times New Roman" w:hAnsi="Times New Roman"/>
          <w:color w:val="000000"/>
          <w:szCs w:val="21"/>
          <w:shd w:val="clear" w:color="auto" w:fill="FFFFFF"/>
        </w:rPr>
        <w:t>时，污染物在缓流区内通过扩散作用传播，速度较慢。而</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0.2</w:t>
      </w:r>
      <w:r>
        <w:rPr>
          <w:rFonts w:hint="eastAsia" w:ascii="Times New Roman" w:hAnsi="Times New Roman"/>
          <w:color w:val="000000"/>
          <w:szCs w:val="21"/>
          <w:shd w:val="clear" w:color="auto" w:fill="FFFFFF"/>
          <w:lang w:val="en-US" w:eastAsia="zh-CN"/>
        </w:rPr>
        <w:t>~</w:t>
      </w:r>
      <w:r>
        <w:rPr>
          <w:rFonts w:ascii="Times New Roman" w:hAnsi="Times New Roman"/>
          <w:color w:val="000000"/>
          <w:szCs w:val="21"/>
          <w:shd w:val="clear" w:color="auto" w:fill="FFFFFF"/>
        </w:rPr>
        <w:t>0.75</w:t>
      </w:r>
      <w:r>
        <w:rPr>
          <w:rFonts w:hint="eastAsia" w:ascii="Times New Roman" w:hAnsi="Times New Roman"/>
          <w:color w:val="000000"/>
          <w:szCs w:val="21"/>
          <w:shd w:val="clear" w:color="auto" w:fill="FFFFFF"/>
        </w:rPr>
        <w:t>期间，污染质进入河心主流区，以对流为主的传播速度明显加快。但因上游大量清水的稀释，</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rPr>
        <w:t>/</w:t>
      </w:r>
      <w:r>
        <w:rPr>
          <w:rFonts w:ascii="Times New Roman" w:hAnsi="Times New Roman"/>
          <w:i/>
          <w:iCs/>
          <w:color w:val="000000"/>
          <w:szCs w:val="21"/>
          <w:shd w:val="clear" w:color="auto" w:fill="FFFFFF"/>
        </w:rPr>
        <w:t>C</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0.1等浓度面</w:t>
      </w:r>
      <w:r>
        <w:rPr>
          <w:rFonts w:hint="eastAsia" w:ascii="Times New Roman" w:hAnsi="Times New Roman"/>
          <w:color w:val="000000"/>
          <w:szCs w:val="21"/>
          <w:shd w:val="clear" w:color="auto" w:fill="FFFFFF"/>
        </w:rPr>
        <w:t>未能跨过水库传播至对岸，最终在</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0.8</w:t>
      </w:r>
      <w:r>
        <w:rPr>
          <w:rFonts w:hint="eastAsia" w:ascii="Times New Roman" w:hAnsi="Times New Roman"/>
          <w:color w:val="000000"/>
          <w:szCs w:val="21"/>
          <w:shd w:val="clear" w:color="auto" w:fill="FFFFFF"/>
        </w:rPr>
        <w:t>后稳定在</w:t>
      </w:r>
      <w:r>
        <w:rPr>
          <w:rFonts w:hint="eastAsia" w:ascii="Times New Roman" w:hAnsi="Times New Roman"/>
          <w:i/>
          <w:iCs/>
          <w:color w:val="000000"/>
          <w:szCs w:val="21"/>
          <w:shd w:val="clear" w:color="auto" w:fill="FFFFFF"/>
        </w:rPr>
        <w:t>L</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L</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w:t>
      </w:r>
      <w:r>
        <w:rPr>
          <w:rFonts w:hint="eastAsia" w:ascii="Times New Roman" w:hAnsi="Times New Roman"/>
          <w:color w:val="000000"/>
          <w:szCs w:val="21"/>
          <w:shd w:val="clear" w:color="auto" w:fill="FFFFFF"/>
        </w:rPr>
        <w:t>51位置。这是污染传播的第二阶段：近区横向混合段。</w:t>
      </w:r>
    </w:p>
    <w:p w14:paraId="2DAE488A">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纵向上，污染物同样在</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＜0.2</w:t>
      </w:r>
      <w:r>
        <w:rPr>
          <w:rFonts w:hint="eastAsia" w:ascii="Times New Roman" w:hAnsi="Times New Roman"/>
          <w:color w:val="000000"/>
          <w:szCs w:val="21"/>
          <w:shd w:val="clear" w:color="auto" w:fill="FFFFFF"/>
        </w:rPr>
        <w:t>时间段内处于扩散传播状态而速度较慢。在</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0.2</w:t>
      </w:r>
      <w:r>
        <w:rPr>
          <w:rFonts w:hint="eastAsia" w:ascii="Times New Roman" w:hAnsi="Times New Roman"/>
          <w:color w:val="000000"/>
          <w:szCs w:val="21"/>
          <w:shd w:val="clear" w:color="auto" w:fill="FFFFFF"/>
          <w:lang w:val="en-US" w:eastAsia="zh-CN"/>
        </w:rPr>
        <w:t>~</w:t>
      </w:r>
      <w:r>
        <w:rPr>
          <w:rFonts w:ascii="Times New Roman" w:hAnsi="Times New Roman"/>
          <w:color w:val="000000"/>
          <w:szCs w:val="21"/>
          <w:shd w:val="clear" w:color="auto" w:fill="FFFFFF"/>
        </w:rPr>
        <w:t>0.55</w:t>
      </w:r>
      <w:r>
        <w:rPr>
          <w:rFonts w:hint="eastAsia" w:ascii="Times New Roman" w:hAnsi="Times New Roman"/>
          <w:color w:val="000000"/>
          <w:szCs w:val="21"/>
          <w:shd w:val="clear" w:color="auto" w:fill="FFFFFF"/>
        </w:rPr>
        <w:t>期间，污染物由缓流区进入河心主流区，传播速度明显加快。在</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 0.55</w:t>
      </w:r>
      <w:r>
        <w:rPr>
          <w:rFonts w:hint="eastAsia" w:ascii="Times New Roman" w:hAnsi="Times New Roman"/>
          <w:color w:val="000000"/>
          <w:szCs w:val="21"/>
          <w:shd w:val="clear" w:color="auto" w:fill="FFFFFF"/>
          <w:lang w:val="en-US" w:eastAsia="zh-CN"/>
        </w:rPr>
        <w:t>~</w:t>
      </w:r>
      <w:r>
        <w:rPr>
          <w:rFonts w:ascii="Times New Roman" w:hAnsi="Times New Roman"/>
          <w:color w:val="000000"/>
          <w:szCs w:val="21"/>
          <w:shd w:val="clear" w:color="auto" w:fill="FFFFFF"/>
        </w:rPr>
        <w:t>0.9</w:t>
      </w:r>
      <w:r>
        <w:rPr>
          <w:rFonts w:hint="eastAsia" w:ascii="Times New Roman" w:hAnsi="Times New Roman"/>
          <w:color w:val="000000"/>
          <w:szCs w:val="21"/>
          <w:shd w:val="clear" w:color="auto" w:fill="FFFFFF"/>
        </w:rPr>
        <w:t>期间，图中描述纵向传播的黑线呈直线状态，计算其斜率为0.28 m/s，约等于水库水流的主流流速。说明此过程中，污染物是随主流在纵向上稳定地快速运动。而</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T</w:t>
      </w:r>
      <w:r>
        <w:rPr>
          <w:rFonts w:ascii="Times New Roman" w:hAnsi="Times New Roman"/>
          <w:color w:val="000000"/>
          <w:szCs w:val="21"/>
          <w:shd w:val="clear" w:color="auto" w:fill="FFFFFF"/>
          <w:vertAlign w:val="subscript"/>
        </w:rPr>
        <w:t>0</w:t>
      </w:r>
      <w:r>
        <w:rPr>
          <w:rFonts w:ascii="Times New Roman" w:hAnsi="Times New Roman"/>
          <w:color w:val="000000"/>
          <w:szCs w:val="21"/>
          <w:shd w:val="clear" w:color="auto" w:fill="FFFFFF"/>
        </w:rPr>
        <w:t xml:space="preserve"> </w:t>
      </w:r>
      <w:r>
        <w:rPr>
          <w:rFonts w:hint="eastAsia" w:ascii="Times New Roman" w:hAnsi="Times New Roman"/>
          <w:color w:val="000000"/>
          <w:szCs w:val="21"/>
          <w:shd w:val="clear" w:color="auto" w:fill="FFFFFF"/>
        </w:rPr>
        <w:t>＞</w:t>
      </w:r>
      <w:r>
        <w:rPr>
          <w:rFonts w:ascii="Times New Roman" w:hAnsi="Times New Roman"/>
          <w:color w:val="000000"/>
          <w:szCs w:val="21"/>
          <w:shd w:val="clear" w:color="auto" w:fill="FFFFFF"/>
        </w:rPr>
        <w:t>0.9</w:t>
      </w:r>
      <w:r>
        <w:rPr>
          <w:rFonts w:hint="eastAsia" w:ascii="Times New Roman" w:hAnsi="Times New Roman"/>
          <w:color w:val="000000"/>
          <w:szCs w:val="21"/>
          <w:shd w:val="clear" w:color="auto" w:fill="FFFFFF"/>
        </w:rPr>
        <w:t>后，污染物接近枢纽泄洪表孔，该河段的水流距离泄洪表孔越近则流速越大，因此最后一段可以看到污染传播的速度进一步加快。以上便是污染传播的第三阶段：远区纵向混合段。</w:t>
      </w:r>
    </w:p>
    <w:p w14:paraId="0C9020E5">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可以看到，由于水库水体的纵向尺度、横向尺度和垂向尺度是呈数量级减小的，因此污染质传播的第一、第二阶段都很短，污染发生后往往来不及防控。而第三阶段时间较长，是研究防治补救措施的重点阶段。</w:t>
      </w:r>
    </w:p>
    <w:tbl>
      <w:tblPr>
        <w:tblStyle w:val="16"/>
        <w:tblW w:w="5000" w:type="pct"/>
        <w:tblInd w:w="0" w:type="dxa"/>
        <w:tblLayout w:type="autofit"/>
        <w:tblCellMar>
          <w:top w:w="0" w:type="dxa"/>
          <w:left w:w="108" w:type="dxa"/>
          <w:bottom w:w="0" w:type="dxa"/>
          <w:right w:w="108" w:type="dxa"/>
        </w:tblCellMar>
      </w:tblPr>
      <w:tblGrid>
        <w:gridCol w:w="8522"/>
      </w:tblGrid>
      <w:tr w14:paraId="1B00A145">
        <w:tblPrEx>
          <w:tblCellMar>
            <w:top w:w="0" w:type="dxa"/>
            <w:left w:w="108" w:type="dxa"/>
            <w:bottom w:w="0" w:type="dxa"/>
            <w:right w:w="108" w:type="dxa"/>
          </w:tblCellMar>
        </w:tblPrEx>
        <w:tc>
          <w:tcPr>
            <w:tcW w:w="5000" w:type="pct"/>
            <w:shd w:val="clear" w:color="auto" w:fill="auto"/>
            <w:vAlign w:val="center"/>
          </w:tcPr>
          <w:p w14:paraId="104AA74B">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object>
                <v:shape id="_x0000_i1085" o:spt="75" type="#_x0000_t75" style="height:144pt;width:241.1pt;" o:ole="t" filled="f" o:preferrelative="t" stroked="f" coordsize="21600,21600">
                  <v:path/>
                  <v:fill on="f" focussize="0,0"/>
                  <v:stroke on="f" joinstyle="miter"/>
                  <v:imagedata r:id="rId142" cropleft="5505f" croptop="5504f" cropright="6623f" cropbottom="1067f" o:title=""/>
                  <o:lock v:ext="edit" aspectratio="t"/>
                  <w10:wrap type="none"/>
                  <w10:anchorlock/>
                </v:shape>
                <o:OLEObject Type="Embed" ProgID="Origin50.Graph" ShapeID="_x0000_i1085" DrawAspect="Content" ObjectID="_1468075785" r:id="rId141">
                  <o:LockedField>false</o:LockedField>
                </o:OLEObject>
              </w:object>
            </w:r>
          </w:p>
        </w:tc>
      </w:tr>
      <w:tr w14:paraId="28A8020A">
        <w:tblPrEx>
          <w:tblCellMar>
            <w:top w:w="0" w:type="dxa"/>
            <w:left w:w="108" w:type="dxa"/>
            <w:bottom w:w="0" w:type="dxa"/>
            <w:right w:w="108" w:type="dxa"/>
          </w:tblCellMar>
        </w:tblPrEx>
        <w:tc>
          <w:tcPr>
            <w:tcW w:w="5000" w:type="pct"/>
            <w:shd w:val="clear" w:color="auto" w:fill="auto"/>
            <w:vAlign w:val="center"/>
          </w:tcPr>
          <w:p w14:paraId="02379050">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 xml:space="preserve">图13  </w:t>
            </w:r>
            <w:r>
              <w:rPr>
                <w:rFonts w:eastAsia="黑体" w:cs="Times New Roman"/>
                <w:b w:val="0"/>
                <w:i/>
                <w:iCs/>
                <w:color w:val="000000"/>
                <w:sz w:val="18"/>
                <w:szCs w:val="18"/>
                <w:shd w:val="clear" w:color="auto" w:fill="FFFFFF"/>
              </w:rPr>
              <w:t>C</w:t>
            </w:r>
            <w:r>
              <w:rPr>
                <w:rFonts w:eastAsia="黑体" w:cs="Times New Roman"/>
                <w:b w:val="0"/>
                <w:color w:val="000000"/>
                <w:sz w:val="18"/>
                <w:szCs w:val="18"/>
                <w:shd w:val="clear" w:color="auto" w:fill="FFFFFF"/>
              </w:rPr>
              <w:t>/</w:t>
            </w:r>
            <w:r>
              <w:rPr>
                <w:rFonts w:eastAsia="黑体" w:cs="Times New Roman"/>
                <w:b w:val="0"/>
                <w:i/>
                <w:iCs/>
                <w:color w:val="000000"/>
                <w:sz w:val="18"/>
                <w:szCs w:val="18"/>
                <w:shd w:val="clear" w:color="auto" w:fill="FFFFFF"/>
              </w:rPr>
              <w:t>C</w:t>
            </w:r>
            <w:r>
              <w:rPr>
                <w:rFonts w:eastAsia="黑体" w:cs="Times New Roman"/>
                <w:b w:val="0"/>
                <w:color w:val="000000"/>
                <w:sz w:val="18"/>
                <w:szCs w:val="18"/>
                <w:shd w:val="clear" w:color="auto" w:fill="FFFFFF"/>
                <w:vertAlign w:val="subscript"/>
              </w:rPr>
              <w:t>0</w:t>
            </w:r>
            <w:r>
              <w:rPr>
                <w:rFonts w:eastAsia="黑体" w:cs="Times New Roman"/>
                <w:b w:val="0"/>
                <w:color w:val="000000"/>
                <w:sz w:val="18"/>
                <w:szCs w:val="18"/>
                <w:shd w:val="clear" w:color="auto" w:fill="FFFFFF"/>
              </w:rPr>
              <w:t xml:space="preserve"> = 0.1等浓度面传播曲线</w:t>
            </w:r>
          </w:p>
        </w:tc>
      </w:tr>
      <w:tr w14:paraId="0099380C">
        <w:tblPrEx>
          <w:tblCellMar>
            <w:top w:w="0" w:type="dxa"/>
            <w:left w:w="108" w:type="dxa"/>
            <w:bottom w:w="0" w:type="dxa"/>
            <w:right w:w="108" w:type="dxa"/>
          </w:tblCellMar>
        </w:tblPrEx>
        <w:tc>
          <w:tcPr>
            <w:tcW w:w="5000" w:type="pct"/>
            <w:shd w:val="clear" w:color="auto" w:fill="auto"/>
            <w:vAlign w:val="center"/>
          </w:tcPr>
          <w:p w14:paraId="5062FD38">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 xml:space="preserve">Fig.13 </w:t>
            </w:r>
            <w:r>
              <w:rPr>
                <w:rFonts w:eastAsia="黑体" w:cs="Times New Roman"/>
                <w:b w:val="0"/>
                <w:i/>
                <w:iCs/>
                <w:color w:val="000000"/>
                <w:sz w:val="18"/>
                <w:szCs w:val="18"/>
                <w:shd w:val="clear" w:color="auto" w:fill="FFFFFF"/>
              </w:rPr>
              <w:t>C</w:t>
            </w:r>
            <w:r>
              <w:rPr>
                <w:rFonts w:eastAsia="黑体" w:cs="Times New Roman"/>
                <w:b w:val="0"/>
                <w:color w:val="000000"/>
                <w:sz w:val="18"/>
                <w:szCs w:val="18"/>
                <w:shd w:val="clear" w:color="auto" w:fill="FFFFFF"/>
              </w:rPr>
              <w:t>/</w:t>
            </w:r>
            <w:r>
              <w:rPr>
                <w:rFonts w:eastAsia="黑体" w:cs="Times New Roman"/>
                <w:b w:val="0"/>
                <w:i/>
                <w:iCs/>
                <w:color w:val="000000"/>
                <w:sz w:val="18"/>
                <w:szCs w:val="18"/>
                <w:shd w:val="clear" w:color="auto" w:fill="FFFFFF"/>
              </w:rPr>
              <w:t>C</w:t>
            </w:r>
            <w:r>
              <w:rPr>
                <w:rFonts w:eastAsia="黑体" w:cs="Times New Roman"/>
                <w:b w:val="0"/>
                <w:color w:val="000000"/>
                <w:sz w:val="18"/>
                <w:szCs w:val="18"/>
                <w:shd w:val="clear" w:color="auto" w:fill="FFFFFF"/>
                <w:vertAlign w:val="subscript"/>
              </w:rPr>
              <w:t>0</w:t>
            </w:r>
            <w:r>
              <w:rPr>
                <w:rFonts w:eastAsia="黑体" w:cs="Times New Roman"/>
                <w:b w:val="0"/>
                <w:color w:val="000000"/>
                <w:sz w:val="18"/>
                <w:szCs w:val="18"/>
                <w:shd w:val="clear" w:color="auto" w:fill="FFFFFF"/>
              </w:rPr>
              <w:t xml:space="preserve"> = 0.1 isoconcentration surface propagation curve</w:t>
            </w:r>
          </w:p>
        </w:tc>
      </w:tr>
    </w:tbl>
    <w:p w14:paraId="1107CAA7">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泄洪闸表孔和电站下泄水污染浓度过程</w:t>
      </w:r>
      <w:r>
        <w:rPr>
          <w:rFonts w:hint="eastAsia" w:ascii="Times New Roman" w:hAnsi="Times New Roman"/>
          <w:color w:val="000000"/>
          <w:szCs w:val="21"/>
          <w:shd w:val="clear" w:color="auto" w:fill="FFFFFF"/>
          <w:lang w:eastAsia="zh-CN"/>
        </w:rPr>
        <w:t>如</w:t>
      </w:r>
      <w:r>
        <w:rPr>
          <w:rFonts w:hint="eastAsia" w:ascii="Times New Roman" w:hAnsi="Times New Roman"/>
          <w:color w:val="000000"/>
          <w:szCs w:val="21"/>
          <w:shd w:val="clear" w:color="auto" w:fill="FFFFFF"/>
        </w:rPr>
        <w:t>图14</w:t>
      </w:r>
      <w:r>
        <w:rPr>
          <w:rFonts w:hint="eastAsia" w:ascii="Times New Roman" w:hAnsi="Times New Roman"/>
          <w:color w:val="000000"/>
          <w:szCs w:val="21"/>
          <w:shd w:val="clear" w:color="auto" w:fill="FFFFFF"/>
          <w:lang w:eastAsia="zh-CN"/>
        </w:rPr>
        <w:t>所示</w:t>
      </w:r>
      <w:r>
        <w:rPr>
          <w:rFonts w:hint="eastAsia" w:ascii="Times New Roman" w:hAnsi="Times New Roman"/>
          <w:color w:val="000000"/>
          <w:szCs w:val="21"/>
          <w:shd w:val="clear" w:color="auto" w:fill="FFFFFF"/>
        </w:rPr>
        <w:t>。在模拟开始68 min、73 min后，泄洪表孔和电站尾水处就分别明显地监测到了污染浓度的上升。随着污染物的持续传播，两条浓度曲线均逐渐上升，并观察到了一处驼峰，其中泄洪表孔处浓度曲线发生在</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75 min、电站尾水处浓度曲线发生在</w:t>
      </w:r>
      <w:r>
        <w:rPr>
          <w:rFonts w:hint="eastAsia" w:ascii="Times New Roman" w:hAnsi="Times New Roman"/>
          <w:i/>
          <w:iCs/>
          <w:color w:val="000000"/>
          <w:szCs w:val="21"/>
          <w:shd w:val="clear" w:color="auto" w:fill="FFFFFF"/>
        </w:rPr>
        <w:t xml:space="preserve">t </w:t>
      </w:r>
      <w:r>
        <w:rPr>
          <w:rFonts w:hint="eastAsia" w:ascii="Times New Roman" w:hAnsi="Times New Roman"/>
          <w:color w:val="000000"/>
          <w:szCs w:val="21"/>
          <w:shd w:val="clear" w:color="auto" w:fill="FFFFFF"/>
        </w:rPr>
        <w:t>= 80 min处。这是因前期聚集在缓流区的污染物被集中冲至下游引起的，从图12中等温面较大的头部形态也可以印证。最终，电站尾水浓度在清水的不断稀释下，于</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85min后稳定在</w:t>
      </w:r>
      <w:r>
        <w:rPr>
          <w:rFonts w:hint="eastAsia" w:ascii="Times New Roman" w:hAnsi="Times New Roman"/>
          <w:i/>
          <w:iCs/>
          <w:color w:val="000000"/>
          <w:szCs w:val="21"/>
          <w:shd w:val="clear" w:color="auto" w:fill="FFFFFF"/>
        </w:rPr>
        <w:t>C</w:t>
      </w:r>
      <w:r>
        <w:rPr>
          <w:rFonts w:hint="eastAsia"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C</w:t>
      </w:r>
      <w:r>
        <w:rPr>
          <w:rFonts w:hint="eastAsia" w:ascii="Times New Roman" w:hAnsi="Times New Roman"/>
          <w:color w:val="000000"/>
          <w:szCs w:val="21"/>
          <w:shd w:val="clear" w:color="auto" w:fill="FFFFFF"/>
          <w:vertAlign w:val="subscript"/>
        </w:rPr>
        <w:t>0</w:t>
      </w:r>
      <w:r>
        <w:rPr>
          <w:rFonts w:hint="eastAsia" w:ascii="Times New Roman" w:hAnsi="Times New Roman"/>
          <w:color w:val="000000"/>
          <w:szCs w:val="21"/>
          <w:shd w:val="clear" w:color="auto" w:fill="FFFFFF"/>
        </w:rPr>
        <w:t xml:space="preserve"> = 0.085。而泄洪表孔处浓度在</w:t>
      </w:r>
      <w:r>
        <w:rPr>
          <w:rFonts w:hint="eastAsia" w:ascii="Times New Roman" w:hAnsi="Times New Roman"/>
          <w:i/>
          <w:iCs/>
          <w:color w:val="000000"/>
          <w:szCs w:val="21"/>
          <w:shd w:val="clear" w:color="auto" w:fill="FFFFFF"/>
        </w:rPr>
        <w:t>t</w:t>
      </w:r>
      <w:r>
        <w:rPr>
          <w:rFonts w:hint="eastAsia" w:ascii="Times New Roman" w:hAnsi="Times New Roman"/>
          <w:color w:val="000000"/>
          <w:szCs w:val="21"/>
          <w:shd w:val="clear" w:color="auto" w:fill="FFFFFF"/>
        </w:rPr>
        <w:t xml:space="preserve"> = 95min时，逐渐攀升到</w:t>
      </w:r>
      <w:r>
        <w:rPr>
          <w:rFonts w:hint="eastAsia" w:ascii="Times New Roman" w:hAnsi="Times New Roman"/>
          <w:i/>
          <w:iCs/>
          <w:color w:val="000000"/>
          <w:szCs w:val="21"/>
          <w:shd w:val="clear" w:color="auto" w:fill="FFFFFF"/>
        </w:rPr>
        <w:t>C</w:t>
      </w:r>
      <w:r>
        <w:rPr>
          <w:rFonts w:hint="eastAsia" w:ascii="Times New Roman" w:hAnsi="Times New Roman"/>
          <w:color w:val="000000"/>
          <w:szCs w:val="21"/>
          <w:shd w:val="clear" w:color="auto" w:fill="FFFFFF"/>
        </w:rPr>
        <w:t>/</w:t>
      </w:r>
      <w:r>
        <w:rPr>
          <w:rFonts w:hint="eastAsia" w:ascii="Times New Roman" w:hAnsi="Times New Roman"/>
          <w:i/>
          <w:iCs/>
          <w:color w:val="000000"/>
          <w:szCs w:val="21"/>
          <w:shd w:val="clear" w:color="auto" w:fill="FFFFFF"/>
        </w:rPr>
        <w:t>C</w:t>
      </w:r>
      <w:r>
        <w:rPr>
          <w:rFonts w:hint="eastAsia" w:ascii="Times New Roman" w:hAnsi="Times New Roman"/>
          <w:color w:val="000000"/>
          <w:szCs w:val="21"/>
          <w:shd w:val="clear" w:color="auto" w:fill="FFFFFF"/>
          <w:vertAlign w:val="subscript"/>
        </w:rPr>
        <w:t>0</w:t>
      </w:r>
      <w:r>
        <w:rPr>
          <w:rFonts w:hint="eastAsia" w:ascii="Times New Roman" w:hAnsi="Times New Roman"/>
          <w:color w:val="000000"/>
          <w:szCs w:val="21"/>
          <w:shd w:val="clear" w:color="auto" w:fill="FFFFFF"/>
        </w:rPr>
        <w:t xml:space="preserve"> = 0.265。绝大部分污染物通过布置枢纽河心偏左的泄洪表孔排至下游，并在排污口到泄洪孔之间呈现了一条清晰的传播路径。</w:t>
      </w:r>
    </w:p>
    <w:tbl>
      <w:tblPr>
        <w:tblStyle w:val="73"/>
        <w:tblW w:w="5000" w:type="pct"/>
        <w:jc w:val="center"/>
        <w:tblLayout w:type="autofit"/>
        <w:tblCellMar>
          <w:top w:w="0" w:type="dxa"/>
          <w:left w:w="108" w:type="dxa"/>
          <w:bottom w:w="0" w:type="dxa"/>
          <w:right w:w="108" w:type="dxa"/>
        </w:tblCellMar>
      </w:tblPr>
      <w:tblGrid>
        <w:gridCol w:w="8522"/>
      </w:tblGrid>
      <w:tr w14:paraId="659740A4">
        <w:tblPrEx>
          <w:tblCellMar>
            <w:top w:w="0" w:type="dxa"/>
            <w:left w:w="108" w:type="dxa"/>
            <w:bottom w:w="0" w:type="dxa"/>
            <w:right w:w="108" w:type="dxa"/>
          </w:tblCellMar>
        </w:tblPrEx>
        <w:trPr>
          <w:jc w:val="center"/>
        </w:trPr>
        <w:tc>
          <w:tcPr>
            <w:tcW w:w="5000" w:type="pct"/>
            <w:vAlign w:val="center"/>
          </w:tcPr>
          <w:p w14:paraId="72F6152C">
            <w:pPr>
              <w:adjustRightInd w:val="0"/>
              <w:snapToGrid w:val="0"/>
              <w:jc w:val="center"/>
              <w:rPr>
                <w:rFonts w:ascii="Times New Roman" w:hAnsi="Times New Roman"/>
                <w:color w:val="000000"/>
                <w:szCs w:val="21"/>
                <w:shd w:val="clear" w:color="auto" w:fill="FFFFFF"/>
              </w:rPr>
            </w:pPr>
            <w:r>
              <w:rPr>
                <w:rFonts w:ascii="Times New Roman" w:hAnsi="Times New Roman"/>
                <w:color w:val="000000"/>
                <w:szCs w:val="21"/>
                <w:shd w:val="clear" w:color="auto" w:fill="FFFFFF"/>
              </w:rPr>
              <w:object>
                <v:shape id="_x0000_i1086" o:spt="75" type="#_x0000_t75" style="height:131.2pt;width:250.1pt;" o:ole="t" filled="f" o:preferrelative="t" stroked="f" coordsize="21600,21600">
                  <v:path/>
                  <v:fill on="f" focussize="0,0"/>
                  <v:stroke on="f" joinstyle="miter"/>
                  <v:imagedata r:id="rId144" cropleft="4858f" croptop="6117f" cropright="7902f" cropbottom="1010f" o:title=""/>
                  <o:lock v:ext="edit" aspectratio="t"/>
                  <w10:wrap type="none"/>
                  <w10:anchorlock/>
                </v:shape>
                <o:OLEObject Type="Embed" ProgID="Origin50.Graph" ShapeID="_x0000_i1086" DrawAspect="Content" ObjectID="_1468075786" r:id="rId143">
                  <o:LockedField>false</o:LockedField>
                </o:OLEObject>
              </w:object>
            </w:r>
          </w:p>
        </w:tc>
      </w:tr>
      <w:tr w14:paraId="35FB5B7D">
        <w:tblPrEx>
          <w:tblCellMar>
            <w:top w:w="0" w:type="dxa"/>
            <w:left w:w="108" w:type="dxa"/>
            <w:bottom w:w="0" w:type="dxa"/>
            <w:right w:w="108" w:type="dxa"/>
          </w:tblCellMar>
        </w:tblPrEx>
        <w:trPr>
          <w:jc w:val="center"/>
        </w:trPr>
        <w:tc>
          <w:tcPr>
            <w:tcW w:w="5000" w:type="pct"/>
            <w:vAlign w:val="center"/>
          </w:tcPr>
          <w:p w14:paraId="7697BB5A">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图14 下泄水浓度过程曲线</w:t>
            </w:r>
          </w:p>
        </w:tc>
      </w:tr>
      <w:tr w14:paraId="7F427C67">
        <w:tblPrEx>
          <w:tblCellMar>
            <w:top w:w="0" w:type="dxa"/>
            <w:left w:w="108" w:type="dxa"/>
            <w:bottom w:w="0" w:type="dxa"/>
            <w:right w:w="108" w:type="dxa"/>
          </w:tblCellMar>
        </w:tblPrEx>
        <w:trPr>
          <w:jc w:val="center"/>
        </w:trPr>
        <w:tc>
          <w:tcPr>
            <w:tcW w:w="5000" w:type="pct"/>
            <w:vAlign w:val="center"/>
          </w:tcPr>
          <w:p w14:paraId="06F1A48D">
            <w:pPr>
              <w:pStyle w:val="7"/>
              <w:adjustRightInd w:val="0"/>
              <w:snapToGrid w:val="0"/>
              <w:spacing w:beforeLines="0" w:line="240" w:lineRule="auto"/>
              <w:rPr>
                <w:rFonts w:eastAsia="黑体" w:cs="Times New Roman"/>
                <w:b w:val="0"/>
                <w:color w:val="000000"/>
                <w:sz w:val="18"/>
                <w:szCs w:val="18"/>
                <w:shd w:val="clear" w:color="auto" w:fill="FFFFFF"/>
              </w:rPr>
            </w:pPr>
            <w:r>
              <w:rPr>
                <w:rFonts w:eastAsia="黑体" w:cs="Times New Roman"/>
                <w:b w:val="0"/>
                <w:color w:val="000000"/>
                <w:sz w:val="18"/>
                <w:szCs w:val="18"/>
                <w:shd w:val="clear" w:color="auto" w:fill="FFFFFF"/>
              </w:rPr>
              <w:t>Fig.14 Downward discharge concentration process curve</w:t>
            </w:r>
          </w:p>
        </w:tc>
      </w:tr>
    </w:tbl>
    <w:p w14:paraId="4CB7A017">
      <w:pPr>
        <w:adjustRightInd w:val="0"/>
        <w:snapToGrid w:val="0"/>
        <w:rPr>
          <w:rFonts w:ascii="宋体" w:hAnsi="宋体" w:cs="Times New Roman"/>
          <w:color w:val="000000"/>
          <w:sz w:val="28"/>
          <w:szCs w:val="28"/>
          <w:shd w:val="clear" w:color="auto" w:fill="FFFFFF"/>
        </w:rPr>
      </w:pPr>
      <w:r>
        <w:rPr>
          <w:rFonts w:ascii="宋体" w:hAnsi="宋体" w:cs="Times New Roman"/>
          <w:color w:val="000000"/>
          <w:sz w:val="28"/>
          <w:szCs w:val="28"/>
          <w:shd w:val="clear" w:color="auto" w:fill="FFFFFF"/>
        </w:rPr>
        <w:t>4 结果讨论</w:t>
      </w:r>
    </w:p>
    <w:p w14:paraId="3B857749">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基于LBM建立的三维流–温–质耦合模型在典型算例与河库实例中的应用结果总体合理，能够较完整地反映流场、温度场与浓度场的耦合关系。数值模拟结果显示，冷水入汇后在密度差作用下形成库底潜流，水体沿垂向产生明显温度分层；污染物在缓流区有局部聚集趋势，在主流区则以对流为主向下游扩散。这些现象与已有观测及文献结果相符，表明模型在描述多场交互作用方面具有一定物理合理性。</w:t>
      </w:r>
    </w:p>
    <w:p w14:paraId="0A3DF8B3">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与传统有限体积或有限差分模型相比，LBM在复杂边界和多源入汇条件下更易实现耦合求解，其局部更新和显式计算特性在高分辨率模拟中具有较高效率。然而，由于模型的时间步长受格点尺度限制，长时模拟中误差可能累积；此外，本研究尚未考虑湍流效应及污染物反应过程，</w:t>
      </w:r>
      <w:r>
        <w:rPr>
          <w:rFonts w:hint="eastAsia" w:ascii="Times New Roman" w:hAnsi="Times New Roman"/>
          <w:color w:val="000000"/>
          <w:szCs w:val="21"/>
          <w:shd w:val="clear" w:color="auto" w:fill="FFFFFF"/>
        </w:rPr>
        <w:t>以及温度对污染物的扩散系数的变化，</w:t>
      </w:r>
      <w:r>
        <w:rPr>
          <w:rFonts w:ascii="Times New Roman" w:hAnsi="Times New Roman"/>
          <w:color w:val="000000"/>
          <w:szCs w:val="21"/>
          <w:shd w:val="clear" w:color="auto" w:fill="FFFFFF"/>
        </w:rPr>
        <w:t>对强非稳态及高雷诺数情形的适用性仍需进一步验证。未来可在湍流闭合、反应–扩散耦合及时间分段计算等方向继续改进，以提高模型的普适性和稳定性。</w:t>
      </w:r>
    </w:p>
    <w:p w14:paraId="74DC5FCD">
      <w:pPr>
        <w:adjustRightInd w:val="0"/>
        <w:snapToGrid w:val="0"/>
        <w:rPr>
          <w:rFonts w:ascii="宋体" w:hAnsi="宋体" w:cs="Times New Roman"/>
          <w:color w:val="000000"/>
          <w:sz w:val="28"/>
          <w:szCs w:val="28"/>
          <w:shd w:val="clear" w:color="auto" w:fill="FFFFFF"/>
        </w:rPr>
      </w:pPr>
    </w:p>
    <w:p w14:paraId="6D5C1307">
      <w:pPr>
        <w:adjustRightInd w:val="0"/>
        <w:snapToGrid w:val="0"/>
        <w:rPr>
          <w:rFonts w:ascii="宋体" w:hAnsi="宋体" w:cs="Times New Roman"/>
          <w:color w:val="000000"/>
          <w:sz w:val="28"/>
          <w:szCs w:val="28"/>
          <w:shd w:val="clear" w:color="auto" w:fill="FFFFFF"/>
        </w:rPr>
      </w:pPr>
    </w:p>
    <w:p w14:paraId="37E29901">
      <w:pPr>
        <w:adjustRightInd w:val="0"/>
        <w:snapToGrid w:val="0"/>
        <w:rPr>
          <w:rFonts w:ascii="宋体" w:hAnsi="宋体" w:cs="Times New Roman"/>
          <w:color w:val="000000"/>
          <w:sz w:val="28"/>
          <w:szCs w:val="28"/>
          <w:shd w:val="clear" w:color="auto" w:fill="FFFFFF"/>
        </w:rPr>
      </w:pPr>
      <w:r>
        <w:rPr>
          <w:rFonts w:hint="eastAsia" w:ascii="宋体" w:hAnsi="宋体" w:cs="Times New Roman"/>
          <w:color w:val="000000"/>
          <w:sz w:val="28"/>
          <w:szCs w:val="28"/>
          <w:shd w:val="clear" w:color="auto" w:fill="FFFFFF"/>
        </w:rPr>
        <w:t>5结论</w:t>
      </w:r>
    </w:p>
    <w:p w14:paraId="0E0A2065">
      <w:pPr>
        <w:ind w:firstLine="420" w:firstLineChars="200"/>
        <w:rPr>
          <w:rFonts w:ascii="Times New Roman" w:hAnsi="Times New Roman"/>
          <w:color w:val="000000"/>
          <w:szCs w:val="21"/>
          <w:shd w:val="clear" w:color="auto" w:fill="FFFFFF"/>
        </w:rPr>
      </w:pPr>
      <w:r>
        <w:rPr>
          <w:rFonts w:ascii="Times New Roman" w:hAnsi="Times New Roman"/>
          <w:color w:val="000000"/>
          <w:szCs w:val="21"/>
          <w:shd w:val="clear" w:color="auto" w:fill="FFFFFF"/>
        </w:rPr>
        <w:t>本文以西南高原某大型山区河库为对象，基于格子Boltzmann多场耦合方法，开展了流场、温度场及污染物扩散协同模拟与规律分析，并对温度分层及污染防控措施进行定量研究。主要结论如下：</w:t>
      </w:r>
    </w:p>
    <w:p w14:paraId="089A455E">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（1）本文构建的LBM流</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温</w:t>
      </w:r>
      <w:r>
        <w:rPr>
          <w:rFonts w:hint="eastAsia" w:ascii="Times New Roman" w:hAnsi="Times New Roman"/>
          <w:color w:val="000000"/>
          <w:szCs w:val="21"/>
          <w:shd w:val="clear" w:color="auto" w:fill="FFFFFF"/>
          <w:lang w:val="en-US" w:eastAsia="zh-CN"/>
        </w:rPr>
        <w:t>-</w:t>
      </w:r>
      <w:r>
        <w:rPr>
          <w:rFonts w:hint="eastAsia" w:ascii="Times New Roman" w:hAnsi="Times New Roman"/>
          <w:color w:val="000000"/>
          <w:szCs w:val="21"/>
          <w:shd w:val="clear" w:color="auto" w:fill="FFFFFF"/>
        </w:rPr>
        <w:t>质耦合模型实现了流体流动、传热与污染物输运的统一求解。双扩散自然对流算例结果与文献数据误差在1%以内，表明模型在多场耦合计算中具有较好的一致性。</w:t>
      </w:r>
    </w:p>
    <w:p w14:paraId="2163CFD6">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2）在高原山区河库的应用中，模拟结果显示冷水入汇易在库底形成潜流，并引起温度分层；污染质在缓流区有富集现象，在主流区则以对流传输为主。总体上，模型结果与观测特征基本一致，说明其适用于复杂地形条件下的短期高分辨率模拟。</w:t>
      </w:r>
    </w:p>
    <w:p w14:paraId="6588821E">
      <w:pPr>
        <w:ind w:firstLine="420" w:firstLineChars="200"/>
        <w:rPr>
          <w:rFonts w:ascii="Times New Roman" w:hAnsi="Times New Roman"/>
          <w:color w:val="000000"/>
          <w:szCs w:val="21"/>
          <w:shd w:val="clear" w:color="auto" w:fill="FFFFFF"/>
        </w:rPr>
      </w:pPr>
      <w:r>
        <w:rPr>
          <w:rFonts w:hint="eastAsia" w:ascii="Times New Roman" w:hAnsi="Times New Roman"/>
          <w:color w:val="000000"/>
          <w:szCs w:val="21"/>
          <w:shd w:val="clear" w:color="auto" w:fill="FFFFFF"/>
        </w:rPr>
        <w:t>（3）研究结果反映了山区河库中流动、分层与污染输移的耦合规律，对分层取水调度和污染风险评估具有一定参考价值。</w:t>
      </w:r>
    </w:p>
    <w:p w14:paraId="1A95389B">
      <w:pPr>
        <w:adjustRightInd w:val="0"/>
        <w:snapToGrid w:val="0"/>
        <w:ind w:firstLine="420" w:firstLineChars="200"/>
        <w:rPr>
          <w:rFonts w:ascii="Times New Roman" w:hAnsi="Times New Roman"/>
          <w:color w:val="000000"/>
          <w:szCs w:val="21"/>
          <w:shd w:val="clear" w:color="auto" w:fill="FFFFFF"/>
        </w:rPr>
      </w:pPr>
    </w:p>
    <w:p w14:paraId="4737644B">
      <w:pPr>
        <w:adjustRightInd w:val="0"/>
        <w:snapToGrid w:val="0"/>
        <w:rPr>
          <w:rFonts w:ascii="Times New Roman" w:hAnsi="Times New Roman"/>
          <w:b/>
          <w:bCs/>
          <w:color w:val="000000"/>
          <w:szCs w:val="21"/>
          <w:shd w:val="clear" w:color="auto" w:fill="FFFFFF"/>
        </w:rPr>
      </w:pPr>
      <w:r>
        <w:rPr>
          <w:rFonts w:hint="eastAsia" w:ascii="Times New Roman" w:hAnsi="Times New Roman"/>
          <w:b/>
          <w:bCs/>
          <w:color w:val="000000"/>
          <w:szCs w:val="21"/>
          <w:shd w:val="clear" w:color="auto" w:fill="FFFFFF"/>
        </w:rPr>
        <w:t>参考文献：</w:t>
      </w:r>
    </w:p>
    <w:p w14:paraId="65A9C938">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 xml:space="preserve">[1] YOSEFIPOOR P, SAADATPOUR M, SOLIS S S, et al. An adaptive surrogate-based, multi-pollutant, and multi-objective optimization for river-reservoir system management[J]. Ecological Engineering, 2022, 175: 106487. </w:t>
      </w:r>
    </w:p>
    <w:p w14:paraId="7F0730EA">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[2] AHMAD A, EL-SHAFIE A, RAZALI S F M, et al. Reservoir optimization in water resources: A review[J]. Water Resources Management, 2014, 28(11): </w:t>
      </w:r>
      <w:r>
        <w:rPr>
          <w:rFonts w:hint="eastAsia" w:ascii="Times New Roman" w:hAnsi="Times New Roman"/>
          <w:color w:val="000000"/>
          <w:sz w:val="15"/>
          <w:szCs w:val="15"/>
          <w:shd w:val="clear" w:color="auto" w:fill="FFFFFF"/>
        </w:rPr>
        <w:t>3391-3405</w:t>
      </w:r>
      <w:r>
        <w:rPr>
          <w:rFonts w:hint="eastAsia" w:ascii="Times New Roman" w:hAnsi="Times New Roman"/>
          <w:sz w:val="15"/>
          <w:szCs w:val="15"/>
        </w:rPr>
        <w:t xml:space="preserve">. </w:t>
      </w:r>
    </w:p>
    <w:p w14:paraId="3D95E9CB">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[3] LI Y, ZHAO G, ALLEN G H, et al. Diminishing storage returns of reservoir construction[J]. Nature Communications, 2023, 14: 3203. </w:t>
      </w:r>
    </w:p>
    <w:p w14:paraId="1BD174C0">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[4] LOARIE S R, DUFFY P B, HAMILTON H, et al. The velocity of climate change[J]. Nature, 2009, 462(7276): </w:t>
      </w:r>
      <w:r>
        <w:rPr>
          <w:rFonts w:hint="eastAsia" w:ascii="Times New Roman" w:hAnsi="Times New Roman"/>
          <w:color w:val="000000"/>
          <w:sz w:val="15"/>
          <w:szCs w:val="15"/>
          <w:shd w:val="clear" w:color="auto" w:fill="FFFFFF"/>
        </w:rPr>
        <w:t>1052-1055</w:t>
      </w:r>
      <w:r>
        <w:rPr>
          <w:rFonts w:hint="eastAsia" w:ascii="Times New Roman" w:hAnsi="Times New Roman"/>
          <w:sz w:val="15"/>
          <w:szCs w:val="15"/>
        </w:rPr>
        <w:t xml:space="preserve">. </w:t>
      </w:r>
    </w:p>
    <w:p w14:paraId="44E6D32A">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[5] RIBES A, THAO S, VAUTARD R, et al. Observed increase in extreme daily rainfall in the French Mediterranean[J]. Climate Dynamics, 2019, 52(1): </w:t>
      </w:r>
      <w:r>
        <w:rPr>
          <w:rFonts w:hint="eastAsia" w:ascii="Times New Roman" w:hAnsi="Times New Roman"/>
          <w:color w:val="000000"/>
          <w:sz w:val="15"/>
          <w:szCs w:val="15"/>
          <w:shd w:val="clear" w:color="auto" w:fill="FFFFFF"/>
        </w:rPr>
        <w:t>1095-1114</w:t>
      </w:r>
      <w:r>
        <w:rPr>
          <w:rFonts w:hint="eastAsia" w:ascii="Times New Roman" w:hAnsi="Times New Roman"/>
          <w:sz w:val="15"/>
          <w:szCs w:val="15"/>
        </w:rPr>
        <w:t xml:space="preserve">. </w:t>
      </w:r>
    </w:p>
    <w:p w14:paraId="1A0DCEA1">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[6] WANG M R, BODIRSKY B L, RIJNEVELD R, et al. A triple increase in global river basins with water scarcity due to future pollution[J]. Nature Communications, 2024, 15: 880. </w:t>
      </w:r>
    </w:p>
    <w:p w14:paraId="620FE6F0">
      <w:pPr>
        <w:suppressAutoHyphens/>
        <w:rPr>
          <w:rFonts w:ascii="Times New Roman" w:hAnsi="Times New Roman"/>
          <w:sz w:val="15"/>
          <w:szCs w:val="15"/>
        </w:rPr>
      </w:pPr>
      <w:r>
        <w:rPr>
          <w:rFonts w:hint="eastAsia" w:ascii="Times New Roman" w:hAnsi="Times New Roman"/>
          <w:sz w:val="15"/>
          <w:szCs w:val="15"/>
        </w:rPr>
        <w:t>[7] 王荣, 叶殿秀, 肖潺, 等. 近62 a三峡地区区域性暴雨过程气候特征及长期变化规律[J]. 水利水电技术</w:t>
      </w:r>
      <w:r>
        <w:rPr>
          <w:rFonts w:hint="eastAsia" w:ascii="Times New Roman" w:hAnsi="Times New Roman"/>
          <w:color w:val="000000"/>
          <w:sz w:val="15"/>
          <w:szCs w:val="15"/>
          <w:shd w:val="clear" w:color="auto" w:fill="FFFFFF"/>
        </w:rPr>
        <w:t>(</w:t>
      </w:r>
      <w:r>
        <w:rPr>
          <w:rFonts w:hint="eastAsia" w:ascii="Times New Roman" w:hAnsi="Times New Roman"/>
          <w:sz w:val="15"/>
          <w:szCs w:val="15"/>
        </w:rPr>
        <w:t>中英文</w:t>
      </w:r>
      <w:r>
        <w:rPr>
          <w:rFonts w:hint="eastAsia" w:ascii="Times New Roman" w:hAnsi="Times New Roman"/>
          <w:color w:val="000000"/>
          <w:sz w:val="15"/>
          <w:szCs w:val="15"/>
          <w:shd w:val="clear" w:color="auto" w:fill="FFFFFF"/>
        </w:rPr>
        <w:t>)</w:t>
      </w:r>
      <w:r>
        <w:rPr>
          <w:rFonts w:hint="eastAsia" w:ascii="Times New Roman" w:hAnsi="Times New Roman"/>
          <w:sz w:val="15"/>
          <w:szCs w:val="15"/>
        </w:rPr>
        <w:t>, 2024, 55(2): 16-26.</w:t>
      </w:r>
      <w:r>
        <w:rPr>
          <w:rFonts w:hint="eastAsia" w:ascii="Times New Roman" w:hAnsi="Times New Roman"/>
          <w:sz w:val="15"/>
          <w:szCs w:val="15"/>
        </w:rPr>
        <w:br w:type="textWrapping"/>
      </w:r>
      <w:r>
        <w:rPr>
          <w:rFonts w:hint="eastAsia" w:ascii="Times New Roman" w:hAnsi="Times New Roman"/>
          <w:sz w:val="15"/>
          <w:szCs w:val="15"/>
        </w:rPr>
        <w:t xml:space="preserve">WANG R, YE D X, XIAO C, et al. Climatic characteristics and long-term variation of regional rainstorm process in the Three Gorges area in recent 62 years[J]. Water Resources and Hydropower Engineering, 2024, 55(2): 16-26. </w:t>
      </w:r>
    </w:p>
    <w:p w14:paraId="7168917F">
      <w:pPr>
        <w:suppressAutoHyphens/>
        <w:rPr>
          <w:rFonts w:ascii="Times New Roman" w:hAnsi="Times New Roman"/>
          <w:sz w:val="15"/>
          <w:szCs w:val="15"/>
        </w:rPr>
      </w:pPr>
      <w:r>
        <w:rPr>
          <w:rFonts w:hint="eastAsia" w:ascii="Times New Roman" w:hAnsi="Times New Roman"/>
          <w:sz w:val="15"/>
          <w:szCs w:val="15"/>
        </w:rPr>
        <w:t>[8] 荆平飞, 张丹, 吴碧琼, 等. 三峡大坝下游突发水污染事故水量应急调度模拟研究[J]. 水利水电技术</w:t>
      </w:r>
      <w:r>
        <w:rPr>
          <w:rFonts w:hint="eastAsia" w:ascii="Times New Roman" w:hAnsi="Times New Roman"/>
          <w:color w:val="000000"/>
          <w:sz w:val="15"/>
          <w:szCs w:val="15"/>
          <w:shd w:val="clear" w:color="auto" w:fill="FFFFFF"/>
        </w:rPr>
        <w:t>(</w:t>
      </w:r>
      <w:r>
        <w:rPr>
          <w:rFonts w:hint="eastAsia" w:ascii="Times New Roman" w:hAnsi="Times New Roman"/>
          <w:sz w:val="15"/>
          <w:szCs w:val="15"/>
        </w:rPr>
        <w:t>中英文</w:t>
      </w:r>
      <w:r>
        <w:rPr>
          <w:rFonts w:hint="eastAsia" w:ascii="Times New Roman" w:hAnsi="Times New Roman"/>
          <w:color w:val="000000"/>
          <w:sz w:val="15"/>
          <w:szCs w:val="15"/>
          <w:shd w:val="clear" w:color="auto" w:fill="FFFFFF"/>
        </w:rPr>
        <w:t>)</w:t>
      </w:r>
      <w:r>
        <w:rPr>
          <w:rFonts w:hint="eastAsia" w:ascii="Times New Roman" w:hAnsi="Times New Roman"/>
          <w:sz w:val="15"/>
          <w:szCs w:val="15"/>
        </w:rPr>
        <w:t>, 2024, 55(12): 128-147.</w:t>
      </w:r>
      <w:r>
        <w:rPr>
          <w:rFonts w:hint="eastAsia" w:ascii="Times New Roman" w:hAnsi="Times New Roman"/>
          <w:sz w:val="15"/>
          <w:szCs w:val="15"/>
        </w:rPr>
        <w:br w:type="textWrapping"/>
      </w:r>
      <w:r>
        <w:rPr>
          <w:rFonts w:hint="eastAsia" w:ascii="Times New Roman" w:hAnsi="Times New Roman"/>
          <w:sz w:val="15"/>
          <w:szCs w:val="15"/>
        </w:rPr>
        <w:t xml:space="preserve">JING P F, ZHANG D, WU B Q, et al. Emergency dispatch simulation for sudden water pollution accident in downstream reach of the Three Gorges Reservoir[J]. Water Resources and Hydropower Engineering, 2024, 55(12): 128-147. </w:t>
      </w:r>
    </w:p>
    <w:p w14:paraId="0273699B">
      <w:pPr>
        <w:suppressAutoHyphens/>
        <w:rPr>
          <w:rFonts w:ascii="Times New Roman" w:hAnsi="Times New Roman"/>
          <w:sz w:val="15"/>
          <w:szCs w:val="15"/>
        </w:rPr>
      </w:pPr>
      <w:r>
        <w:rPr>
          <w:rFonts w:hint="eastAsia" w:ascii="Times New Roman" w:hAnsi="Times New Roman"/>
          <w:sz w:val="15"/>
          <w:szCs w:val="15"/>
        </w:rPr>
        <w:t>[9] 张春晋, 郭淑君, 张敏, 等. 黄河下游游荡性河段心滩形态特征与水沙过程响应关系[J]. 长江科学院院报, 2024, 41(5): 8-17.</w:t>
      </w:r>
      <w:r>
        <w:rPr>
          <w:rFonts w:hint="eastAsia" w:ascii="Times New Roman" w:hAnsi="Times New Roman"/>
          <w:sz w:val="15"/>
          <w:szCs w:val="15"/>
        </w:rPr>
        <w:br w:type="textWrapping"/>
      </w:r>
      <w:r>
        <w:rPr>
          <w:rFonts w:hint="eastAsia" w:ascii="Times New Roman" w:hAnsi="Times New Roman"/>
          <w:sz w:val="15"/>
          <w:szCs w:val="15"/>
        </w:rPr>
        <w:t xml:space="preserve">ZHANG C J, GUO S J, ZHANG M, et al. Response relationship between morphological characteristics of mid-channel bar and water and sediment processes in wandering reach of the lower Yellow River[J]. Journal of Yangtze River Scientific Research Institute, 2024, 41(5): 8-17. </w:t>
      </w:r>
    </w:p>
    <w:p w14:paraId="2BD2418B">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[10] WANG Z Y, HU C H. Strategies for managing reservoir sedimentation[J]. International Journal of Sediment Research, 2009, 24(4): 369-384. </w:t>
      </w:r>
    </w:p>
    <w:p w14:paraId="2AD94EB5">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[11] RUECKER A, UZUN H, KARANFIL T, et al. Disinfection byproduct precursor dynamics and water treatability during an extreme flooding event in a coastal blackwater river in southeastern United States[J]. Chemosphere, 2017, 188: 90-98. </w:t>
      </w:r>
    </w:p>
    <w:p w14:paraId="1ECD1EE3">
      <w:pPr>
        <w:suppressAutoHyphens/>
        <w:rPr>
          <w:rFonts w:ascii="Times New Roman" w:hAnsi="Times New Roman"/>
          <w:sz w:val="15"/>
          <w:szCs w:val="15"/>
        </w:rPr>
      </w:pPr>
      <w:r>
        <w:rPr>
          <w:rFonts w:hint="eastAsia" w:ascii="Times New Roman" w:hAnsi="Times New Roman"/>
          <w:sz w:val="15"/>
          <w:szCs w:val="15"/>
        </w:rPr>
        <w:t>[12]赵高磊,林玲,蒲迅赤,等.梯级水库水温影响的极限[J].水科学进展,2020,31(01):120-128.</w:t>
      </w:r>
    </w:p>
    <w:p w14:paraId="7F05BE0A">
      <w:pPr>
        <w:suppressAutoHyphens/>
        <w:rPr>
          <w:rFonts w:ascii="Times New Roman" w:hAnsi="Times New Roman"/>
          <w:sz w:val="15"/>
          <w:szCs w:val="15"/>
        </w:rPr>
      </w:pPr>
      <w:r>
        <w:rPr>
          <w:rFonts w:hint="eastAsia" w:ascii="Times New Roman" w:hAnsi="Times New Roman"/>
          <w:sz w:val="15"/>
          <w:szCs w:val="15"/>
        </w:rPr>
        <w:t xml:space="preserve"> ZHAO G L,LIN L,PU X C, et al.</w:t>
      </w:r>
      <w:r>
        <w:t xml:space="preserve"> </w:t>
      </w:r>
      <w:r>
        <w:rPr>
          <w:rFonts w:ascii="Times New Roman" w:hAnsi="Times New Roman"/>
          <w:sz w:val="15"/>
          <w:szCs w:val="15"/>
        </w:rPr>
        <w:t>Limits of the influence of water temperature in cascade reservoirs</w:t>
      </w:r>
      <w:r>
        <w:rPr>
          <w:rFonts w:hint="eastAsia" w:ascii="Times New Roman" w:hAnsi="Times New Roman"/>
          <w:sz w:val="15"/>
          <w:szCs w:val="15"/>
        </w:rPr>
        <w:t>[J].</w:t>
      </w:r>
      <w:r>
        <w:t xml:space="preserve"> </w:t>
      </w:r>
      <w:r>
        <w:rPr>
          <w:rFonts w:ascii="Times New Roman" w:hAnsi="Times New Roman"/>
          <w:sz w:val="15"/>
          <w:szCs w:val="15"/>
        </w:rPr>
        <w:t>Advances in Water Science</w:t>
      </w:r>
      <w:r>
        <w:rPr>
          <w:rFonts w:hint="eastAsia" w:ascii="Times New Roman" w:hAnsi="Times New Roman"/>
          <w:sz w:val="15"/>
          <w:szCs w:val="15"/>
        </w:rPr>
        <w:t>,2020,31(01):120-128.</w:t>
      </w:r>
    </w:p>
    <w:p w14:paraId="62C8ED47">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[13] CHENG Y F, VOISIN N, YEARSLEY J R, et al. Reservoirs modify river thermal regime sensitivity to climate change: A case study in the southeastern United States[J]. Water Resources Research, 2020, 56(6): e2019WR025784. </w:t>
      </w:r>
    </w:p>
    <w:p w14:paraId="79A52423">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[14] WOOLWAY R I, SHARMA S, WEYHENMEYER G A, et al. Phenological shifts in lake stratification under climate change[J]. Nature Communications, 2021, 12: 2318. </w:t>
      </w:r>
    </w:p>
    <w:p w14:paraId="5FAE364A">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[15] JIN J X, WELLS S A, LIU D F, et al. Effects of water level fluctuation on thermal stratification in a typical tributary bay of Three Gorges Reservoir, China[J]. PeerJ, 2019, 7: e6925. </w:t>
      </w:r>
    </w:p>
    <w:p w14:paraId="0044B4EA">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[16] SHI J C, WANG L X, YANG Y R, et al. A case study of thermal and chemical stratification in a drinking water reservoir[J]. Science of the Total Environment, 2022, 848: 157787. </w:t>
      </w:r>
    </w:p>
    <w:p w14:paraId="3047A2BC">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[17] LEI D A, HU J M, SUN Y Q, et al. Numerical simulation and verification of water and heat transport in the lateral hyporheic zone of river-groundwater under water exchange conditions[J]. Water Resources, 2024, 51(5): 826-835. </w:t>
      </w:r>
    </w:p>
    <w:p w14:paraId="45E39DE4">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[18] ŻELAZNY M, BRYŁA M, OZGA-ZIELINSKI B, et al. Applicability of the WASP model in an assessment of the impact of anthropogenic pollution on water quality: Dunajec river case study[J]. Sustainability, 2023, 15(3): 2444. </w:t>
      </w:r>
    </w:p>
    <w:p w14:paraId="7CB9201C">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[19] OBIN N, TAO H N, GE F, et al. Research on water quality simulation and water environmental capacity in Lushui River based on WASP model[J]. Water, 2021, 13(20): 2819. </w:t>
      </w:r>
    </w:p>
    <w:p w14:paraId="043BBE1E">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[20] WU G Z, XU Z X. Prediction of algal blooming using EFDC model: Case study in the Daoxiang Lake[J]. Ecological Modelling, 2011, 222(6): </w:t>
      </w:r>
      <w:r>
        <w:rPr>
          <w:rFonts w:hint="eastAsia" w:ascii="Times New Roman" w:hAnsi="Times New Roman"/>
          <w:color w:val="000000"/>
          <w:sz w:val="15"/>
          <w:szCs w:val="15"/>
          <w:shd w:val="clear" w:color="auto" w:fill="FFFFFF"/>
        </w:rPr>
        <w:t>1245-1252</w:t>
      </w:r>
      <w:r>
        <w:rPr>
          <w:rFonts w:hint="eastAsia" w:ascii="Times New Roman" w:hAnsi="Times New Roman"/>
          <w:sz w:val="15"/>
          <w:szCs w:val="15"/>
        </w:rPr>
        <w:t xml:space="preserve">. </w:t>
      </w:r>
    </w:p>
    <w:p w14:paraId="024FD7D9">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[21] KIM J, LEE T, SEO D. Algal bloom prediction of the lower Han River, Korea using the EFDC hydrodynamic and water quality model[J]. Ecological Modelling, 2017, 366: 27-36. </w:t>
      </w:r>
    </w:p>
    <w:p w14:paraId="487958E3">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[22]</w:t>
      </w:r>
      <w:r>
        <w:rPr>
          <w:rFonts w:ascii="Times New Roman" w:hAnsi="Times New Roman"/>
          <w:caps/>
          <w:color w:val="000000"/>
          <w:sz w:val="15"/>
          <w:szCs w:val="15"/>
          <w:shd w:val="clear" w:color="auto" w:fill="FFFFFF"/>
        </w:rPr>
        <w:t>Liu</w:t>
      </w:r>
      <w:r>
        <w:rPr>
          <w:rFonts w:ascii="Times New Roman" w:hAnsi="Times New Roman"/>
          <w:color w:val="000000"/>
          <w:sz w:val="15"/>
          <w:szCs w:val="15"/>
          <w:shd w:val="clear" w:color="auto" w:fill="FFFFFF"/>
        </w:rPr>
        <w:t xml:space="preserve"> Y, </w:t>
      </w:r>
      <w:r>
        <w:rPr>
          <w:rFonts w:ascii="Times New Roman" w:hAnsi="Times New Roman"/>
          <w:caps/>
          <w:color w:val="000000"/>
          <w:sz w:val="15"/>
          <w:szCs w:val="15"/>
          <w:shd w:val="clear" w:color="auto" w:fill="FFFFFF"/>
        </w:rPr>
        <w:t>Shu</w:t>
      </w:r>
      <w:r>
        <w:rPr>
          <w:rFonts w:ascii="Times New Roman" w:hAnsi="Times New Roman"/>
          <w:color w:val="000000"/>
          <w:sz w:val="15"/>
          <w:szCs w:val="15"/>
          <w:shd w:val="clear" w:color="auto" w:fill="FFFFFF"/>
        </w:rPr>
        <w:t xml:space="preserve"> C, </w:t>
      </w:r>
      <w:r>
        <w:rPr>
          <w:rFonts w:ascii="Times New Roman" w:hAnsi="Times New Roman"/>
          <w:caps/>
          <w:color w:val="000000"/>
          <w:sz w:val="15"/>
          <w:szCs w:val="15"/>
          <w:shd w:val="clear" w:color="auto" w:fill="FFFFFF"/>
        </w:rPr>
        <w:t>Yu</w:t>
      </w:r>
      <w:r>
        <w:rPr>
          <w:rFonts w:ascii="Times New Roman" w:hAnsi="Times New Roman"/>
          <w:color w:val="000000"/>
          <w:sz w:val="15"/>
          <w:szCs w:val="15"/>
          <w:shd w:val="clear" w:color="auto" w:fill="FFFFFF"/>
        </w:rPr>
        <w:t xml:space="preserve"> P, et al. A high-order generalized differential quadrature method with lattice Boltzmann flux solver for simulating incompressible flows[J]. Physics of Fluids, 2023, 35(4)</w:t>
      </w:r>
      <w:r>
        <w:rPr>
          <w:rFonts w:hint="eastAsia" w:ascii="Times New Roman" w:hAnsi="Times New Roman"/>
          <w:color w:val="000000"/>
          <w:sz w:val="15"/>
          <w:szCs w:val="15"/>
          <w:shd w:val="clear" w:color="auto" w:fill="FFFFFF"/>
        </w:rPr>
        <w:t>:</w:t>
      </w:r>
      <w:r>
        <w:rPr>
          <w:rFonts w:ascii="Times New Roman" w:hAnsi="Times New Roman"/>
          <w:color w:val="000000"/>
          <w:sz w:val="15"/>
          <w:szCs w:val="15"/>
          <w:shd w:val="clear" w:color="auto" w:fill="FFFFFF"/>
        </w:rPr>
        <w:t>047107</w:t>
      </w:r>
      <w:r>
        <w:rPr>
          <w:rFonts w:hint="eastAsia" w:ascii="Times New Roman" w:hAnsi="Times New Roman"/>
          <w:color w:val="000000"/>
          <w:sz w:val="15"/>
          <w:szCs w:val="15"/>
          <w:shd w:val="clear" w:color="auto" w:fill="FFFFFF"/>
        </w:rPr>
        <w:t>.</w:t>
      </w:r>
    </w:p>
    <w:p w14:paraId="51576E24">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 xml:space="preserve">[23] AIDUN C K, CLAUSEN J R. Lattice-Boltzmann method for complex flows[J]. Annual Review of Fluid Mechanics, 2010, 42: 439-472. </w:t>
      </w:r>
    </w:p>
    <w:p w14:paraId="0B601915">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 xml:space="preserve">[24] YUAN H, ZOU Y Y, DIAO W, et al. A coupled two-dimensional-three-dimensional hydrodynamic model for simulating flood wave evolution in reservoirs and riverbeds[J]. Physics of Fluids, 2025, 37(2): 027117. </w:t>
      </w:r>
    </w:p>
    <w:p w14:paraId="1A9B7A14">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 xml:space="preserve">[25] GUO Z L, ZHENG C G, SHI B C, et al. Thermal lattice Boltzmann equation for low Mach number flows: Decoupling model[J]. Physical Review E, Statistical, Nonlinear, and Soft Matter Physics, 2007, 75(3 Pt 2): 036704. </w:t>
      </w:r>
    </w:p>
    <w:p w14:paraId="5446820B">
      <w:pPr>
        <w:suppressAutoHyphens/>
        <w:ind w:left="225" w:hanging="225" w:hangingChars="150"/>
        <w:rPr>
          <w:rFonts w:ascii="Times New Roman" w:hAnsi="Times New Roman"/>
          <w:color w:val="000000"/>
          <w:sz w:val="15"/>
          <w:szCs w:val="15"/>
          <w:shd w:val="clear" w:color="auto" w:fill="FFFFFF"/>
        </w:rPr>
      </w:pPr>
      <w:r>
        <w:rPr>
          <w:rFonts w:hint="eastAsia" w:ascii="Times New Roman" w:hAnsi="Times New Roman"/>
          <w:color w:val="000000"/>
          <w:sz w:val="15"/>
          <w:szCs w:val="15"/>
          <w:shd w:val="clear" w:color="auto" w:fill="FFFFFF"/>
        </w:rPr>
        <w:t xml:space="preserve">[26] ALI HOSSEINI S, BOIVIN P, THÉVENIN D, et al. Lattice Boltzmann methods for combustion applications[J]. Progress in Energy and Combustion Science, 2024, 102: 101140. </w:t>
      </w:r>
    </w:p>
    <w:p w14:paraId="0A93A897">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[27] </w:t>
      </w:r>
      <w:r>
        <w:rPr>
          <w:rFonts w:ascii="Times New Roman" w:hAnsi="Times New Roman"/>
          <w:sz w:val="15"/>
          <w:szCs w:val="15"/>
        </w:rPr>
        <w:t>S</w:t>
      </w:r>
      <w:r>
        <w:rPr>
          <w:rFonts w:hint="eastAsia" w:ascii="Times New Roman" w:hAnsi="Times New Roman"/>
          <w:sz w:val="15"/>
          <w:szCs w:val="15"/>
        </w:rPr>
        <w:t>HAN</w:t>
      </w:r>
      <w:r>
        <w:rPr>
          <w:rFonts w:ascii="Times New Roman" w:hAnsi="Times New Roman"/>
          <w:sz w:val="15"/>
          <w:szCs w:val="15"/>
        </w:rPr>
        <w:t xml:space="preserve"> X</w:t>
      </w:r>
      <w:r>
        <w:rPr>
          <w:rFonts w:hint="eastAsia" w:ascii="Times New Roman" w:hAnsi="Times New Roman"/>
          <w:sz w:val="15"/>
          <w:szCs w:val="15"/>
        </w:rPr>
        <w:t xml:space="preserve"> </w:t>
      </w:r>
      <w:r>
        <w:rPr>
          <w:rFonts w:ascii="Times New Roman" w:hAnsi="Times New Roman"/>
          <w:sz w:val="15"/>
          <w:szCs w:val="15"/>
        </w:rPr>
        <w:t>W. Central-moment-based Galilean-invariant multiple-relaxation-time collision model</w:t>
      </w:r>
      <w:r>
        <w:rPr>
          <w:rFonts w:hint="eastAsia" w:ascii="Times New Roman" w:hAnsi="Times New Roman"/>
          <w:sz w:val="15"/>
          <w:szCs w:val="15"/>
        </w:rPr>
        <w:t>[J]</w:t>
      </w:r>
      <w:r>
        <w:rPr>
          <w:rFonts w:ascii="Times New Roman" w:hAnsi="Times New Roman"/>
          <w:sz w:val="15"/>
          <w:szCs w:val="15"/>
        </w:rPr>
        <w:t xml:space="preserve">. Physical Review E 2019, 100 (4). </w:t>
      </w:r>
    </w:p>
    <w:p w14:paraId="3CBF4688">
      <w:pPr>
        <w:suppressAutoHyphens/>
        <w:ind w:left="225" w:hanging="225" w:hangingChars="150"/>
        <w:rPr>
          <w:rFonts w:ascii="Times New Roman" w:hAnsi="Times New Roman"/>
          <w:sz w:val="15"/>
          <w:szCs w:val="15"/>
        </w:rPr>
      </w:pPr>
      <w:r>
        <w:rPr>
          <w:rFonts w:hint="eastAsia" w:ascii="Times New Roman" w:hAnsi="Times New Roman"/>
          <w:sz w:val="15"/>
          <w:szCs w:val="15"/>
        </w:rPr>
        <w:t>[28] WANG S Y, ZHUO J L, JIA F C, et al. Simulation of pollutant diffusion in vegetation open channel based on LBM-CA method[J]. Environmental Science and Pollution Research, 2023, 30(27): 7</w:t>
      </w:r>
      <w:r>
        <w:rPr>
          <w:rFonts w:hint="eastAsia" w:ascii="Times New Roman" w:hAnsi="Times New Roman"/>
          <w:color w:val="000000"/>
          <w:sz w:val="15"/>
          <w:szCs w:val="15"/>
          <w:shd w:val="clear" w:color="auto" w:fill="FFFFFF"/>
        </w:rPr>
        <w:t>1252-7126</w:t>
      </w:r>
      <w:r>
        <w:rPr>
          <w:rFonts w:hint="eastAsia" w:ascii="Times New Roman" w:hAnsi="Times New Roman"/>
          <w:sz w:val="15"/>
          <w:szCs w:val="15"/>
        </w:rPr>
        <w:t xml:space="preserve">9. </w:t>
      </w:r>
    </w:p>
    <w:p w14:paraId="57AE6EB9">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[29] XUAN W D, BAI Y, TANG W L. A sustainable management-oriented model for hydrodynamics and pollutant transport in vegetated seepage river channels using LBM-RDM[J]. Sustainability, 2025, 17(22): 10138. </w:t>
      </w:r>
    </w:p>
    <w:p w14:paraId="4F71EEA1">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[30] CHENG Y G, LI J P. Introducing unsteady non-uniform source terms into the lattice Boltzmann model[J]. International Journal for Numerical Methods in Fluids, 2008, 56(6): 629-641. </w:t>
      </w:r>
    </w:p>
    <w:p w14:paraId="328BA8E2">
      <w:pPr>
        <w:suppressAutoHyphens/>
        <w:ind w:left="225" w:hanging="225" w:hangingChars="150"/>
        <w:rPr>
          <w:rFonts w:ascii="Times New Roman" w:hAnsi="Times New Roman"/>
          <w:sz w:val="15"/>
          <w:szCs w:val="15"/>
        </w:rPr>
      </w:pPr>
      <w:r>
        <w:rPr>
          <w:rFonts w:hint="eastAsia" w:ascii="Times New Roman" w:hAnsi="Times New Roman"/>
          <w:sz w:val="15"/>
          <w:szCs w:val="15"/>
        </w:rPr>
        <w:t xml:space="preserve">[31] BÉGHEIN C, HAGHIGHAT F, ALLARD F. Numerical study of double-diffusive natural convection in a square cavity[J]. International Journal of Heat and Mass Transfer, 1992, 35(4): 833-846. </w:t>
      </w:r>
    </w:p>
    <w:p w14:paraId="4D4158EA">
      <w:pPr>
        <w:suppressAutoHyphens/>
        <w:rPr>
          <w:rFonts w:ascii="Times New Roman" w:hAnsi="Times New Roman"/>
          <w:sz w:val="15"/>
          <w:szCs w:val="15"/>
        </w:rPr>
      </w:pPr>
    </w:p>
    <w:p w14:paraId="4BEF1E25">
      <w:pPr>
        <w:jc w:val="right"/>
        <w:rPr>
          <w:rFonts w:ascii="Times New Roman" w:hAnsi="Times New Roman" w:cs="Times New Roman"/>
          <w:sz w:val="15"/>
          <w:szCs w:val="15"/>
        </w:rPr>
      </w:pPr>
      <w:r>
        <w:rPr>
          <w:rFonts w:hint="eastAsia" w:ascii="Times New Roman" w:hAnsi="Times New Roman" w:cs="Times New Roman"/>
          <w:sz w:val="15"/>
          <w:szCs w:val="15"/>
        </w:rPr>
        <w:t>（责任编辑</w:t>
      </w:r>
      <w:r>
        <w:rPr>
          <w:rFonts w:hint="eastAsia" w:ascii="Times New Roman" w:hAnsi="Times New Roman" w:cs="Times New Roman"/>
          <w:color w:val="000000"/>
          <w:sz w:val="15"/>
          <w:szCs w:val="15"/>
          <w:shd w:val="clear" w:color="auto" w:fill="FFFFFF"/>
        </w:rPr>
        <w:t xml:space="preserve"> </w:t>
      </w:r>
      <w:r>
        <w:rPr>
          <w:rFonts w:hint="eastAsia" w:ascii="Times New Roman" w:hAnsi="Times New Roman" w:cs="Times New Roman"/>
          <w:sz w:val="15"/>
          <w:szCs w:val="15"/>
        </w:rPr>
        <w:t>王</w:t>
      </w:r>
      <w:r>
        <w:rPr>
          <w:rFonts w:hint="eastAsia" w:ascii="Times New Roman" w:hAnsi="Times New Roman" w:cs="Times New Roman"/>
          <w:sz w:val="15"/>
          <w:szCs w:val="15"/>
          <w:lang w:val="en-US" w:eastAsia="zh-CN"/>
        </w:rPr>
        <w:t xml:space="preserve">  </w:t>
      </w:r>
      <w:r>
        <w:rPr>
          <w:rFonts w:hint="eastAsia" w:ascii="Times New Roman" w:hAnsi="Times New Roman" w:cs="Times New Roman"/>
          <w:sz w:val="15"/>
          <w:szCs w:val="15"/>
        </w:rPr>
        <w:t>璐）</w:t>
      </w:r>
    </w:p>
    <w:p w14:paraId="649ECBF6">
      <w:pPr>
        <w:jc w:val="right"/>
        <w:rPr>
          <w:rFonts w:ascii="Times New Roman" w:hAnsi="Times New Roman" w:cs="Times New Roman"/>
          <w:sz w:val="15"/>
          <w:szCs w:val="15"/>
        </w:rPr>
      </w:pPr>
    </w:p>
    <w:p w14:paraId="7E6A1E3A">
      <w:pPr>
        <w:jc w:val="right"/>
        <w:rPr>
          <w:rFonts w:ascii="Times New Roman" w:hAnsi="Times New Roman" w:cs="Times New Roman"/>
          <w:sz w:val="15"/>
          <w:szCs w:val="15"/>
        </w:rPr>
      </w:pPr>
    </w:p>
    <w:sectPr>
      <w:headerReference r:id="rId9" w:type="first"/>
      <w:footerReference r:id="rId10" w:type="first"/>
      <w:type w:val="continuous"/>
      <w:pgSz w:w="11906" w:h="16838"/>
      <w:pgMar w:top="1440" w:right="1800" w:bottom="1440" w:left="1800" w:header="1474" w:footer="992" w:gutter="0"/>
      <w:cols w:space="720" w:num="1"/>
      <w:titlePg/>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A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方正黑体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Times bold">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MS Gothic">
    <w:panose1 w:val="020B0609070205080204"/>
    <w:charset w:val="80"/>
    <w:family w:val="modern"/>
    <w:pitch w:val="default"/>
    <w:sig w:usb0="E00002FF" w:usb1="6AC7FDFB" w:usb2="00000012" w:usb3="00000000" w:csb0="4002009F" w:csb1="DFD7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B521F">
    <w:pPr>
      <w:pStyle w:val="1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E9519">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EB3AA6">
    <w:pPr>
      <w:rPr>
        <w:rFonts w:hint="default" w:ascii="Times New Roman" w:hAnsi="Times New Roman" w:eastAsia="黑体" w:cs="Times New Roman"/>
        <w:b/>
        <w:sz w:val="18"/>
        <w:szCs w:val="18"/>
        <w:lang w:val="en-US" w:eastAsia="zh-CN"/>
      </w:rPr>
    </w:pPr>
    <w:r>
      <w:rPr>
        <w:rFonts w:ascii="Times New Roman" w:hAnsi="Times New Roman" w:eastAsia="黑体" w:cs="Times New Roman"/>
        <w:b/>
        <w:bCs/>
        <w:sz w:val="18"/>
        <w:szCs w:val="18"/>
      </w:rPr>
      <w:t>收稿日期：</w:t>
    </w:r>
    <w:r>
      <w:rPr>
        <w:rFonts w:hint="eastAsia" w:ascii="Times New Roman" w:hAnsi="Times New Roman" w:eastAsia="黑体" w:cs="Times New Roman"/>
        <w:b/>
        <w:bCs/>
        <w:sz w:val="18"/>
        <w:szCs w:val="18"/>
      </w:rPr>
      <w:t>2025-07-31</w:t>
    </w:r>
    <w:r>
      <w:rPr>
        <w:rFonts w:hint="eastAsia" w:ascii="Times New Roman" w:hAnsi="Times New Roman" w:cs="Times New Roman"/>
        <w:sz w:val="18"/>
        <w:szCs w:val="18"/>
      </w:rPr>
      <w:t>；</w:t>
    </w:r>
    <w:r>
      <w:rPr>
        <w:rFonts w:hint="eastAsia" w:ascii="Times New Roman" w:hAnsi="Times New Roman" w:eastAsia="黑体" w:cs="Times New Roman"/>
        <w:b/>
        <w:bCs/>
        <w:sz w:val="18"/>
        <w:szCs w:val="18"/>
      </w:rPr>
      <w:t>修回</w:t>
    </w:r>
    <w:r>
      <w:rPr>
        <w:rFonts w:ascii="Times New Roman" w:hAnsi="Times New Roman" w:eastAsia="黑体" w:cs="Times New Roman"/>
        <w:b/>
        <w:bCs/>
        <w:sz w:val="18"/>
        <w:szCs w:val="18"/>
      </w:rPr>
      <w:t>日期：</w:t>
    </w:r>
    <w:r>
      <w:rPr>
        <w:rFonts w:hint="eastAsia" w:ascii="Times New Roman" w:hAnsi="Times New Roman" w:eastAsia="黑体" w:cs="Times New Roman"/>
        <w:b/>
        <w:bCs/>
        <w:sz w:val="18"/>
        <w:szCs w:val="18"/>
      </w:rPr>
      <w:t>2025-12-18</w:t>
    </w:r>
    <w:r>
      <w:rPr>
        <w:rFonts w:hint="eastAsia" w:ascii="Times New Roman" w:hAnsi="Times New Roman" w:cs="Times New Roman"/>
        <w:sz w:val="18"/>
        <w:szCs w:val="18"/>
      </w:rPr>
      <w:t>；</w:t>
    </w:r>
    <w:r>
      <w:rPr>
        <w:rFonts w:hint="eastAsia" w:ascii="Times New Roman" w:hAnsi="Times New Roman" w:eastAsia="黑体" w:cs="Times New Roman"/>
        <w:b/>
        <w:bCs/>
        <w:sz w:val="18"/>
        <w:szCs w:val="18"/>
      </w:rPr>
      <w:t>录用</w:t>
    </w:r>
    <w:r>
      <w:rPr>
        <w:rFonts w:ascii="Times New Roman" w:hAnsi="Times New Roman" w:eastAsia="黑体" w:cs="Times New Roman"/>
        <w:b/>
        <w:bCs/>
        <w:sz w:val="18"/>
        <w:szCs w:val="18"/>
      </w:rPr>
      <w:t>日期：</w:t>
    </w:r>
    <w:r>
      <w:rPr>
        <w:rFonts w:hint="eastAsia" w:ascii="Times New Roman" w:hAnsi="Times New Roman" w:eastAsia="黑体" w:cs="Times New Roman"/>
        <w:b/>
        <w:bCs/>
        <w:sz w:val="18"/>
        <w:szCs w:val="18"/>
      </w:rPr>
      <w:t>2025-12-31</w:t>
    </w:r>
    <w:r>
      <w:rPr>
        <w:rFonts w:hint="eastAsia" w:ascii="Times New Roman" w:hAnsi="Times New Roman" w:cs="Times New Roman"/>
        <w:sz w:val="18"/>
        <w:szCs w:val="18"/>
      </w:rPr>
      <w:t>；</w:t>
    </w:r>
    <w:r>
      <w:rPr>
        <w:rFonts w:hint="eastAsia" w:ascii="Times New Roman" w:hAnsi="Times New Roman" w:eastAsia="黑体" w:cs="Times New Roman"/>
        <w:b/>
        <w:bCs/>
        <w:sz w:val="18"/>
        <w:szCs w:val="18"/>
      </w:rPr>
      <w:t>网络出版</w:t>
    </w:r>
    <w:r>
      <w:rPr>
        <w:rFonts w:ascii="Times New Roman" w:hAnsi="Times New Roman" w:eastAsia="黑体" w:cs="Times New Roman"/>
        <w:b/>
        <w:bCs/>
        <w:sz w:val="18"/>
        <w:szCs w:val="18"/>
      </w:rPr>
      <w:t>日期：</w:t>
    </w:r>
    <w:r>
      <w:rPr>
        <w:rFonts w:hint="eastAsia" w:ascii="Times New Roman" w:hAnsi="Times New Roman" w:eastAsia="黑体" w:cs="Times New Roman"/>
        <w:b/>
        <w:bCs/>
        <w:sz w:val="18"/>
        <w:szCs w:val="18"/>
      </w:rPr>
      <w:t>2026-02-</w:t>
    </w:r>
    <w:r>
      <w:rPr>
        <w:rFonts w:hint="eastAsia" w:ascii="Times New Roman" w:hAnsi="Times New Roman" w:eastAsia="黑体" w:cs="Times New Roman"/>
        <w:b/>
        <w:bCs/>
        <w:sz w:val="18"/>
        <w:szCs w:val="18"/>
        <w:lang w:val="en-US" w:eastAsia="zh-CN"/>
      </w:rPr>
      <w:t>10</w:t>
    </w:r>
    <w:bookmarkStart w:id="12" w:name="_GoBack"/>
    <w:bookmarkEnd w:id="12"/>
  </w:p>
  <w:p w14:paraId="5281FD1F">
    <w:pPr>
      <w:spacing w:line="240" w:lineRule="exact"/>
      <w:rPr>
        <w:rFonts w:ascii="Times New Roman" w:hAnsi="Times New Roman" w:cs="Times New Roman"/>
        <w:color w:val="000000"/>
        <w:sz w:val="15"/>
        <w:szCs w:val="15"/>
      </w:rPr>
    </w:pPr>
    <w:r>
      <w:rPr>
        <w:rFonts w:ascii="Times New Roman" w:hAnsi="Times New Roman" w:eastAsia="黑体" w:cs="Times New Roman"/>
        <w:b/>
        <w:bCs/>
        <w:color w:val="000000"/>
        <w:sz w:val="15"/>
        <w:szCs w:val="15"/>
      </w:rPr>
      <w:t>基金项目：</w:t>
    </w:r>
    <w:r>
      <w:rPr>
        <w:rFonts w:ascii="Times New Roman" w:hAnsi="Times New Roman" w:cs="Times New Roman"/>
        <w:color w:val="000000"/>
        <w:sz w:val="15"/>
        <w:szCs w:val="15"/>
      </w:rPr>
      <w:t>重庆市水利科技项目(CQSLK-2023018)</w:t>
    </w:r>
    <w:r>
      <w:rPr>
        <w:rFonts w:hint="eastAsia" w:ascii="Times New Roman" w:hAnsi="Times New Roman" w:cs="Times New Roman"/>
        <w:color w:val="000000"/>
        <w:sz w:val="15"/>
        <w:szCs w:val="15"/>
      </w:rPr>
      <w:t>；国家自然科学基金项目（52479059）</w:t>
    </w:r>
    <w:r>
      <w:rPr>
        <w:rFonts w:ascii="Times New Roman" w:hAnsi="Times New Roman" w:cs="Times New Roman"/>
        <w:color w:val="000000"/>
        <w:sz w:val="15"/>
        <w:szCs w:val="15"/>
      </w:rPr>
      <w:t>；重庆市水利科技项目 (CQSLK-2023001)</w:t>
    </w:r>
  </w:p>
  <w:p w14:paraId="3517BED0">
    <w:pPr>
      <w:spacing w:line="240" w:lineRule="exact"/>
      <w:rPr>
        <w:rFonts w:ascii="Times New Roman" w:hAnsi="Times New Roman" w:cs="Times New Roman"/>
        <w:b/>
        <w:bCs/>
        <w:sz w:val="15"/>
        <w:szCs w:val="15"/>
      </w:rPr>
    </w:pPr>
    <w:r>
      <w:rPr>
        <w:rFonts w:ascii="Times New Roman" w:hAnsi="Times New Roman" w:eastAsia="黑体" w:cs="Times New Roman"/>
        <w:b/>
        <w:bCs/>
        <w:sz w:val="15"/>
        <w:szCs w:val="15"/>
      </w:rPr>
      <w:t>作者简介：</w:t>
    </w:r>
    <w:r>
      <w:rPr>
        <w:rFonts w:ascii="Times New Roman" w:hAnsi="Times New Roman" w:cs="Times New Roman"/>
        <w:sz w:val="15"/>
        <w:szCs w:val="15"/>
      </w:rPr>
      <w:t>赵浩楠(1987</w:t>
    </w:r>
    <w:r>
      <w:rPr>
        <w:rFonts w:hint="eastAsia" w:ascii="Times New Roman" w:hAnsi="Times New Roman" w:cs="Times New Roman"/>
        <w:sz w:val="15"/>
        <w:szCs w:val="15"/>
      </w:rPr>
      <w:t>—</w:t>
    </w:r>
    <w:r>
      <w:rPr>
        <w:rFonts w:ascii="Times New Roman" w:hAnsi="Times New Roman" w:cs="Times New Roman"/>
        <w:sz w:val="15"/>
        <w:szCs w:val="15"/>
      </w:rPr>
      <w:t>)，男，高级工程师</w:t>
    </w:r>
    <w:r>
      <w:rPr>
        <w:rFonts w:hint="eastAsia" w:ascii="Times New Roman" w:hAnsi="Times New Roman" w:cs="Times New Roman"/>
        <w:sz w:val="15"/>
        <w:szCs w:val="15"/>
      </w:rPr>
      <w:t>，硕士</w:t>
    </w:r>
    <w:r>
      <w:rPr>
        <w:rFonts w:ascii="Times New Roman" w:hAnsi="Times New Roman" w:cs="Times New Roman"/>
        <w:sz w:val="15"/>
        <w:szCs w:val="15"/>
      </w:rPr>
      <w:t>，主要从事水利水电工程设计研究。E-mail</w:t>
    </w:r>
    <w:r>
      <w:rPr>
        <w:rFonts w:hint="eastAsia" w:ascii="Times New Roman" w:hAnsi="Times New Roman" w:cs="Times New Roman"/>
        <w:sz w:val="15"/>
        <w:szCs w:val="15"/>
      </w:rPr>
      <w:t>:774999408</w:t>
    </w:r>
    <w:r>
      <w:rPr>
        <w:rFonts w:ascii="Times New Roman" w:hAnsi="Times New Roman" w:cs="Times New Roman"/>
        <w:sz w:val="15"/>
        <w:szCs w:val="15"/>
      </w:rPr>
      <w:t>@qq.com</w:t>
    </w:r>
  </w:p>
  <w:p w14:paraId="46945C5D">
    <w:pPr>
      <w:rPr>
        <w:rFonts w:ascii="Times New Roman" w:hAnsi="Times New Roman" w:eastAsia="黑体" w:cs="Times New Roman"/>
        <w:sz w:val="15"/>
        <w:szCs w:val="15"/>
      </w:rPr>
    </w:pPr>
    <w:r>
      <w:rPr>
        <w:rFonts w:ascii="Times New Roman" w:hAnsi="Times New Roman" w:eastAsia="黑体" w:cs="Times New Roman"/>
        <w:b/>
        <w:bCs/>
        <w:spacing w:val="4"/>
        <w:sz w:val="15"/>
        <w:szCs w:val="15"/>
      </w:rPr>
      <w:t>通讯作者：</w:t>
    </w:r>
    <w:r>
      <w:rPr>
        <w:rFonts w:hint="eastAsia" w:ascii="Times New Roman" w:hAnsi="Times New Roman" w:cs="Times New Roman"/>
        <w:sz w:val="15"/>
        <w:szCs w:val="15"/>
      </w:rPr>
      <w:t>鲍玲玲</w:t>
    </w:r>
    <w:r>
      <w:rPr>
        <w:rFonts w:ascii="Times New Roman" w:hAnsi="Times New Roman" w:cs="Times New Roman"/>
        <w:sz w:val="15"/>
        <w:szCs w:val="15"/>
      </w:rPr>
      <w:t>(198</w:t>
    </w:r>
    <w:r>
      <w:rPr>
        <w:rFonts w:hint="eastAsia" w:ascii="Times New Roman" w:hAnsi="Times New Roman" w:cs="Times New Roman"/>
        <w:sz w:val="15"/>
        <w:szCs w:val="15"/>
      </w:rPr>
      <w:t>1—</w:t>
    </w:r>
    <w:r>
      <w:rPr>
        <w:rFonts w:ascii="Times New Roman" w:hAnsi="Times New Roman" w:cs="Times New Roman"/>
        <w:sz w:val="15"/>
        <w:szCs w:val="15"/>
      </w:rPr>
      <w:t>)，</w:t>
    </w:r>
    <w:r>
      <w:rPr>
        <w:rFonts w:hint="eastAsia" w:ascii="Times New Roman" w:hAnsi="Times New Roman" w:cs="Times New Roman"/>
        <w:sz w:val="15"/>
        <w:szCs w:val="15"/>
      </w:rPr>
      <w:t>女</w:t>
    </w:r>
    <w:r>
      <w:rPr>
        <w:rFonts w:ascii="Times New Roman" w:hAnsi="Times New Roman" w:cs="Times New Roman"/>
        <w:sz w:val="15"/>
        <w:szCs w:val="15"/>
      </w:rPr>
      <w:t>，</w:t>
    </w:r>
    <w:r>
      <w:rPr>
        <w:rFonts w:hint="eastAsia" w:ascii="Times New Roman" w:hAnsi="Times New Roman" w:cs="Times New Roman"/>
        <w:sz w:val="15"/>
        <w:szCs w:val="15"/>
      </w:rPr>
      <w:t>正高级工程师</w:t>
    </w:r>
    <w:r>
      <w:rPr>
        <w:rFonts w:ascii="Times New Roman" w:hAnsi="Times New Roman" w:cs="Times New Roman"/>
        <w:sz w:val="15"/>
        <w:szCs w:val="15"/>
      </w:rPr>
      <w:t>，</w:t>
    </w:r>
    <w:r>
      <w:rPr>
        <w:rFonts w:hint="eastAsia" w:ascii="Times New Roman" w:hAnsi="Times New Roman" w:cs="Times New Roman"/>
        <w:sz w:val="15"/>
        <w:szCs w:val="15"/>
      </w:rPr>
      <w:t>硕士</w:t>
    </w:r>
    <w:r>
      <w:rPr>
        <w:rFonts w:ascii="Times New Roman" w:hAnsi="Times New Roman" w:cs="Times New Roman"/>
        <w:sz w:val="15"/>
        <w:szCs w:val="15"/>
      </w:rPr>
      <w:t>，主要从事水电站复杂流态研究。E-mail:</w:t>
    </w:r>
    <w:r>
      <w:rPr>
        <w:rFonts w:hint="eastAsia" w:ascii="Times New Roman" w:hAnsi="Times New Roman" w:cs="Times New Roman"/>
        <w:sz w:val="15"/>
        <w:szCs w:val="15"/>
      </w:rPr>
      <w:t>baolinglingCQ</w:t>
    </w:r>
    <w:r>
      <w:rPr>
        <w:rFonts w:ascii="Times New Roman" w:hAnsi="Times New Roman" w:cs="Times New Roman"/>
        <w:sz w:val="15"/>
        <w:szCs w:val="15"/>
      </w:rPr>
      <w:t>@</w:t>
    </w:r>
    <w:r>
      <w:rPr>
        <w:rFonts w:hint="eastAsia" w:ascii="Times New Roman" w:hAnsi="Times New Roman" w:cs="Times New Roman"/>
        <w:sz w:val="15"/>
        <w:szCs w:val="15"/>
      </w:rPr>
      <w:t>gmail</w:t>
    </w:r>
    <w:r>
      <w:rPr>
        <w:rFonts w:ascii="Times New Roman" w:hAnsi="Times New Roman" w:cs="Times New Roman"/>
        <w:sz w:val="15"/>
        <w:szCs w:val="15"/>
      </w:rPr>
      <w:t>.com</w:t>
    </w:r>
  </w:p>
  <w:p w14:paraId="38188E43">
    <w:pPr>
      <w:jc w:val="left"/>
      <w:rPr>
        <w:rFonts w:ascii="Times New Roman" w:hAnsi="Times New Roman" w:cs="Times New Roman"/>
        <w:sz w:val="15"/>
        <w:szCs w:val="15"/>
      </w:rPr>
    </w:pPr>
  </w:p>
  <w:p w14:paraId="31080075">
    <w:pPr>
      <w:pStyle w:val="11"/>
      <w:ind w:left="420" w:leftChars="200" w:right="420" w:rightChars="20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EB2558">
    <w:pPr>
      <w:pStyle w:val="11"/>
      <w:ind w:left="420" w:leftChars="200" w:right="420" w:rightChars="20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8ADF7D">
    <w:pPr>
      <w:pStyle w:val="12"/>
      <w:pBdr>
        <w:bottom w:val="none" w:color="auto" w:sz="0" w:space="0"/>
      </w:pBdr>
      <w:tabs>
        <w:tab w:val="right" w:pos="9638"/>
        <w:tab w:val="clear" w:pos="8306"/>
      </w:tabs>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ABFF6E">
    <w:pPr>
      <w:pStyle w:val="12"/>
      <w:pBdr>
        <w:bottom w:val="none" w:color="auto" w:sz="0" w:space="0"/>
      </w:pBd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7F4E8">
    <w:pPr>
      <w:pStyle w:val="1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C5092">
    <w:pPr>
      <w:pStyle w:val="12"/>
      <w:tabs>
        <w:tab w:val="right" w:pos="9638"/>
        <w:tab w:val="clear" w:pos="8306"/>
      </w:tabs>
      <w:jc w:val="both"/>
    </w:pPr>
    <w:r>
      <w:rPr>
        <w:rFonts w:hint="eastAsia"/>
      </w:rPr>
      <w:t>第X期                                     第一</w:t>
    </w:r>
    <w:r>
      <w:t>作者，等：文章名</w:t>
    </w:r>
    <w:r>
      <w:tab/>
    </w:r>
    <w:r>
      <w:tab/>
    </w: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5</w:t>
    </w:r>
    <w:r>
      <w:rPr>
        <w:rFonts w:ascii="Times New Roman" w:hAnsi="Times New Roman" w:cs="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A30A90"/>
    <w:multiLevelType w:val="multilevel"/>
    <w:tmpl w:val="30A30A90"/>
    <w:lvl w:ilvl="0" w:tentative="0">
      <w:start w:val="1"/>
      <w:numFmt w:val="decimal"/>
      <w:pStyle w:val="51"/>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1"/>
  <w:bordersDoNotSurroundFooter w:val="1"/>
  <w:documentProtection w:enforcement="0"/>
  <w:defaultTabStop w:val="420"/>
  <w:evenAndOddHeaders w:val="1"/>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Physics of Fluid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0eax00vheae0ce2ztjxsapea52e5we0xxdz&quot;&gt;我的EndNote库&lt;record-ids&gt;&lt;item&gt;337&lt;/item&gt;&lt;/record-ids&gt;&lt;/item&gt;&lt;/Libraries&gt;"/>
  </w:docVars>
  <w:rsids>
    <w:rsidRoot w:val="003842A9"/>
    <w:rsid w:val="00001BA0"/>
    <w:rsid w:val="00001CC6"/>
    <w:rsid w:val="00001D91"/>
    <w:rsid w:val="00002039"/>
    <w:rsid w:val="00003C90"/>
    <w:rsid w:val="00004100"/>
    <w:rsid w:val="00007CF3"/>
    <w:rsid w:val="000115D4"/>
    <w:rsid w:val="0001162E"/>
    <w:rsid w:val="00012164"/>
    <w:rsid w:val="000121A2"/>
    <w:rsid w:val="0001370E"/>
    <w:rsid w:val="00013BCD"/>
    <w:rsid w:val="00014AE6"/>
    <w:rsid w:val="00014BD9"/>
    <w:rsid w:val="00016884"/>
    <w:rsid w:val="000178E3"/>
    <w:rsid w:val="000204C5"/>
    <w:rsid w:val="00022C16"/>
    <w:rsid w:val="00025940"/>
    <w:rsid w:val="00027D0A"/>
    <w:rsid w:val="00034146"/>
    <w:rsid w:val="00034DAA"/>
    <w:rsid w:val="0003503E"/>
    <w:rsid w:val="0004189E"/>
    <w:rsid w:val="00042EC9"/>
    <w:rsid w:val="00043646"/>
    <w:rsid w:val="0004377C"/>
    <w:rsid w:val="0004469A"/>
    <w:rsid w:val="00046E2B"/>
    <w:rsid w:val="00047A54"/>
    <w:rsid w:val="00047AB7"/>
    <w:rsid w:val="00051530"/>
    <w:rsid w:val="00053CD8"/>
    <w:rsid w:val="0005453C"/>
    <w:rsid w:val="00054D52"/>
    <w:rsid w:val="00055F5F"/>
    <w:rsid w:val="00056BC9"/>
    <w:rsid w:val="00063A8B"/>
    <w:rsid w:val="000646DA"/>
    <w:rsid w:val="000670A3"/>
    <w:rsid w:val="00067689"/>
    <w:rsid w:val="000719E4"/>
    <w:rsid w:val="00071FE3"/>
    <w:rsid w:val="000725C6"/>
    <w:rsid w:val="00074B2C"/>
    <w:rsid w:val="000766A5"/>
    <w:rsid w:val="00076E7E"/>
    <w:rsid w:val="00080A21"/>
    <w:rsid w:val="00081204"/>
    <w:rsid w:val="00081439"/>
    <w:rsid w:val="00082CF4"/>
    <w:rsid w:val="000832D2"/>
    <w:rsid w:val="00083BF4"/>
    <w:rsid w:val="0008406D"/>
    <w:rsid w:val="00086656"/>
    <w:rsid w:val="00090A0C"/>
    <w:rsid w:val="00090F56"/>
    <w:rsid w:val="00095AEF"/>
    <w:rsid w:val="00095CA7"/>
    <w:rsid w:val="00096669"/>
    <w:rsid w:val="00096683"/>
    <w:rsid w:val="00096A3A"/>
    <w:rsid w:val="00096D7E"/>
    <w:rsid w:val="000979BF"/>
    <w:rsid w:val="000A10EB"/>
    <w:rsid w:val="000A12A0"/>
    <w:rsid w:val="000A266F"/>
    <w:rsid w:val="000A35FF"/>
    <w:rsid w:val="000A4A28"/>
    <w:rsid w:val="000A5502"/>
    <w:rsid w:val="000A6B25"/>
    <w:rsid w:val="000B06D0"/>
    <w:rsid w:val="000B1F50"/>
    <w:rsid w:val="000B472B"/>
    <w:rsid w:val="000B58D3"/>
    <w:rsid w:val="000C021A"/>
    <w:rsid w:val="000C2366"/>
    <w:rsid w:val="000C3E95"/>
    <w:rsid w:val="000C467D"/>
    <w:rsid w:val="000C476F"/>
    <w:rsid w:val="000C4A63"/>
    <w:rsid w:val="000D13ED"/>
    <w:rsid w:val="000D1681"/>
    <w:rsid w:val="000D5265"/>
    <w:rsid w:val="000D55A8"/>
    <w:rsid w:val="000D5F68"/>
    <w:rsid w:val="000D6B1C"/>
    <w:rsid w:val="000E04F0"/>
    <w:rsid w:val="000E1726"/>
    <w:rsid w:val="000E2E03"/>
    <w:rsid w:val="000E6B91"/>
    <w:rsid w:val="000E6DB5"/>
    <w:rsid w:val="000E6FDC"/>
    <w:rsid w:val="000E71B3"/>
    <w:rsid w:val="000E7B85"/>
    <w:rsid w:val="000F039B"/>
    <w:rsid w:val="000F152E"/>
    <w:rsid w:val="000F1BA0"/>
    <w:rsid w:val="000F2F6C"/>
    <w:rsid w:val="000F3853"/>
    <w:rsid w:val="000F4089"/>
    <w:rsid w:val="000F65B9"/>
    <w:rsid w:val="000F7458"/>
    <w:rsid w:val="000F7E91"/>
    <w:rsid w:val="001002B2"/>
    <w:rsid w:val="00100CD5"/>
    <w:rsid w:val="00100E7C"/>
    <w:rsid w:val="00101E30"/>
    <w:rsid w:val="00103C33"/>
    <w:rsid w:val="0010601E"/>
    <w:rsid w:val="0010710D"/>
    <w:rsid w:val="00107600"/>
    <w:rsid w:val="001077A0"/>
    <w:rsid w:val="001111BB"/>
    <w:rsid w:val="00111439"/>
    <w:rsid w:val="00113347"/>
    <w:rsid w:val="00113A49"/>
    <w:rsid w:val="0011434F"/>
    <w:rsid w:val="001154A2"/>
    <w:rsid w:val="0011587E"/>
    <w:rsid w:val="001158AF"/>
    <w:rsid w:val="00117E4C"/>
    <w:rsid w:val="00120AD3"/>
    <w:rsid w:val="0012163A"/>
    <w:rsid w:val="00121746"/>
    <w:rsid w:val="00121E3A"/>
    <w:rsid w:val="00123023"/>
    <w:rsid w:val="00124944"/>
    <w:rsid w:val="001255CA"/>
    <w:rsid w:val="001257C0"/>
    <w:rsid w:val="00126130"/>
    <w:rsid w:val="00126560"/>
    <w:rsid w:val="00127A42"/>
    <w:rsid w:val="00127FF2"/>
    <w:rsid w:val="0013367F"/>
    <w:rsid w:val="00133A9A"/>
    <w:rsid w:val="0013502A"/>
    <w:rsid w:val="001358B6"/>
    <w:rsid w:val="00136606"/>
    <w:rsid w:val="0013686C"/>
    <w:rsid w:val="00136A4C"/>
    <w:rsid w:val="00136D57"/>
    <w:rsid w:val="0013748E"/>
    <w:rsid w:val="00137605"/>
    <w:rsid w:val="00137A7A"/>
    <w:rsid w:val="00140BAD"/>
    <w:rsid w:val="00141128"/>
    <w:rsid w:val="00143198"/>
    <w:rsid w:val="001459BC"/>
    <w:rsid w:val="00145FE1"/>
    <w:rsid w:val="001463E4"/>
    <w:rsid w:val="001500C3"/>
    <w:rsid w:val="00150A9F"/>
    <w:rsid w:val="00150E3E"/>
    <w:rsid w:val="00152345"/>
    <w:rsid w:val="00152AE8"/>
    <w:rsid w:val="001530C3"/>
    <w:rsid w:val="001548AB"/>
    <w:rsid w:val="00155FF1"/>
    <w:rsid w:val="001560BA"/>
    <w:rsid w:val="001568D9"/>
    <w:rsid w:val="001571F2"/>
    <w:rsid w:val="001601F0"/>
    <w:rsid w:val="0016182F"/>
    <w:rsid w:val="00161A12"/>
    <w:rsid w:val="00162D1C"/>
    <w:rsid w:val="00167B66"/>
    <w:rsid w:val="00167CD3"/>
    <w:rsid w:val="00172D73"/>
    <w:rsid w:val="001747EA"/>
    <w:rsid w:val="0017591D"/>
    <w:rsid w:val="00175CEB"/>
    <w:rsid w:val="00177553"/>
    <w:rsid w:val="00180049"/>
    <w:rsid w:val="00184006"/>
    <w:rsid w:val="00184A7E"/>
    <w:rsid w:val="001851F8"/>
    <w:rsid w:val="00187F0F"/>
    <w:rsid w:val="00190E53"/>
    <w:rsid w:val="00194EA1"/>
    <w:rsid w:val="00195AAB"/>
    <w:rsid w:val="0019627A"/>
    <w:rsid w:val="001977C3"/>
    <w:rsid w:val="001A07B4"/>
    <w:rsid w:val="001A3057"/>
    <w:rsid w:val="001A4831"/>
    <w:rsid w:val="001A6FA8"/>
    <w:rsid w:val="001A7462"/>
    <w:rsid w:val="001B0372"/>
    <w:rsid w:val="001B071B"/>
    <w:rsid w:val="001B20E9"/>
    <w:rsid w:val="001B2261"/>
    <w:rsid w:val="001B3D23"/>
    <w:rsid w:val="001B4325"/>
    <w:rsid w:val="001B441E"/>
    <w:rsid w:val="001B4F23"/>
    <w:rsid w:val="001B6642"/>
    <w:rsid w:val="001B6E5E"/>
    <w:rsid w:val="001B7487"/>
    <w:rsid w:val="001B7BF6"/>
    <w:rsid w:val="001C1F39"/>
    <w:rsid w:val="001C2B6E"/>
    <w:rsid w:val="001C3746"/>
    <w:rsid w:val="001C3BDE"/>
    <w:rsid w:val="001C4A11"/>
    <w:rsid w:val="001C5005"/>
    <w:rsid w:val="001C54F7"/>
    <w:rsid w:val="001C7D72"/>
    <w:rsid w:val="001D047D"/>
    <w:rsid w:val="001D0C70"/>
    <w:rsid w:val="001D23C3"/>
    <w:rsid w:val="001D4A53"/>
    <w:rsid w:val="001D6A2A"/>
    <w:rsid w:val="001E15C8"/>
    <w:rsid w:val="001E1B94"/>
    <w:rsid w:val="001E1CCD"/>
    <w:rsid w:val="001E250E"/>
    <w:rsid w:val="001E3FF3"/>
    <w:rsid w:val="001E6CD6"/>
    <w:rsid w:val="001E7B42"/>
    <w:rsid w:val="001E7CF8"/>
    <w:rsid w:val="001F281B"/>
    <w:rsid w:val="001F2F72"/>
    <w:rsid w:val="001F3476"/>
    <w:rsid w:val="001F389B"/>
    <w:rsid w:val="001F3930"/>
    <w:rsid w:val="001F42AF"/>
    <w:rsid w:val="001F5288"/>
    <w:rsid w:val="001F56BD"/>
    <w:rsid w:val="001F580E"/>
    <w:rsid w:val="001F5C8D"/>
    <w:rsid w:val="001F7D25"/>
    <w:rsid w:val="00200809"/>
    <w:rsid w:val="00200B59"/>
    <w:rsid w:val="0020126C"/>
    <w:rsid w:val="00202DC0"/>
    <w:rsid w:val="00203447"/>
    <w:rsid w:val="0020687F"/>
    <w:rsid w:val="002076AC"/>
    <w:rsid w:val="002114A3"/>
    <w:rsid w:val="00212F77"/>
    <w:rsid w:val="002141C8"/>
    <w:rsid w:val="00217D49"/>
    <w:rsid w:val="0022203C"/>
    <w:rsid w:val="00224994"/>
    <w:rsid w:val="00224A9C"/>
    <w:rsid w:val="0022622E"/>
    <w:rsid w:val="002274C4"/>
    <w:rsid w:val="00227692"/>
    <w:rsid w:val="002303DD"/>
    <w:rsid w:val="00231734"/>
    <w:rsid w:val="00231A89"/>
    <w:rsid w:val="0023255A"/>
    <w:rsid w:val="0023387B"/>
    <w:rsid w:val="00234A52"/>
    <w:rsid w:val="00235B15"/>
    <w:rsid w:val="002371EC"/>
    <w:rsid w:val="002401C0"/>
    <w:rsid w:val="00240FBD"/>
    <w:rsid w:val="002418A8"/>
    <w:rsid w:val="002423FC"/>
    <w:rsid w:val="0024599D"/>
    <w:rsid w:val="00246134"/>
    <w:rsid w:val="00251083"/>
    <w:rsid w:val="002527A8"/>
    <w:rsid w:val="002540C4"/>
    <w:rsid w:val="002545F3"/>
    <w:rsid w:val="00256498"/>
    <w:rsid w:val="002567CD"/>
    <w:rsid w:val="00256F80"/>
    <w:rsid w:val="002576EE"/>
    <w:rsid w:val="00260CEF"/>
    <w:rsid w:val="00260DD3"/>
    <w:rsid w:val="0026133B"/>
    <w:rsid w:val="00261B12"/>
    <w:rsid w:val="00262793"/>
    <w:rsid w:val="00264B0C"/>
    <w:rsid w:val="00266B8F"/>
    <w:rsid w:val="002706A7"/>
    <w:rsid w:val="00270A0E"/>
    <w:rsid w:val="00271346"/>
    <w:rsid w:val="002722B7"/>
    <w:rsid w:val="002729B1"/>
    <w:rsid w:val="00272F51"/>
    <w:rsid w:val="00272FBA"/>
    <w:rsid w:val="002731BB"/>
    <w:rsid w:val="002738E2"/>
    <w:rsid w:val="00273B0A"/>
    <w:rsid w:val="002752DC"/>
    <w:rsid w:val="00275BD0"/>
    <w:rsid w:val="002800EC"/>
    <w:rsid w:val="002807C1"/>
    <w:rsid w:val="00283BF6"/>
    <w:rsid w:val="00284710"/>
    <w:rsid w:val="00287534"/>
    <w:rsid w:val="002909F9"/>
    <w:rsid w:val="002935EF"/>
    <w:rsid w:val="00294F37"/>
    <w:rsid w:val="002958F2"/>
    <w:rsid w:val="00296DF7"/>
    <w:rsid w:val="002972A7"/>
    <w:rsid w:val="002A0133"/>
    <w:rsid w:val="002A03DC"/>
    <w:rsid w:val="002A18CC"/>
    <w:rsid w:val="002A1EC0"/>
    <w:rsid w:val="002A2246"/>
    <w:rsid w:val="002A274F"/>
    <w:rsid w:val="002A354D"/>
    <w:rsid w:val="002A372F"/>
    <w:rsid w:val="002A5EF9"/>
    <w:rsid w:val="002A642C"/>
    <w:rsid w:val="002A68E7"/>
    <w:rsid w:val="002A6D8B"/>
    <w:rsid w:val="002B2C66"/>
    <w:rsid w:val="002B430F"/>
    <w:rsid w:val="002B4671"/>
    <w:rsid w:val="002B50E0"/>
    <w:rsid w:val="002B5101"/>
    <w:rsid w:val="002B5192"/>
    <w:rsid w:val="002B57C7"/>
    <w:rsid w:val="002B5AD2"/>
    <w:rsid w:val="002B6427"/>
    <w:rsid w:val="002C1907"/>
    <w:rsid w:val="002C592E"/>
    <w:rsid w:val="002C6B7D"/>
    <w:rsid w:val="002D0527"/>
    <w:rsid w:val="002D10A8"/>
    <w:rsid w:val="002D1699"/>
    <w:rsid w:val="002D4EA9"/>
    <w:rsid w:val="002D5710"/>
    <w:rsid w:val="002D59C7"/>
    <w:rsid w:val="002D6253"/>
    <w:rsid w:val="002D649B"/>
    <w:rsid w:val="002D7E0B"/>
    <w:rsid w:val="002E12C9"/>
    <w:rsid w:val="002E3B14"/>
    <w:rsid w:val="002E44C6"/>
    <w:rsid w:val="002E458F"/>
    <w:rsid w:val="002E51D0"/>
    <w:rsid w:val="002E7671"/>
    <w:rsid w:val="002F01E0"/>
    <w:rsid w:val="002F203F"/>
    <w:rsid w:val="002F2AC0"/>
    <w:rsid w:val="002F2C40"/>
    <w:rsid w:val="002F317D"/>
    <w:rsid w:val="002F63C1"/>
    <w:rsid w:val="002F7B28"/>
    <w:rsid w:val="00307947"/>
    <w:rsid w:val="00313CEF"/>
    <w:rsid w:val="00314FA5"/>
    <w:rsid w:val="0031513A"/>
    <w:rsid w:val="00315A86"/>
    <w:rsid w:val="003164A7"/>
    <w:rsid w:val="00317AB3"/>
    <w:rsid w:val="00320DD8"/>
    <w:rsid w:val="00321CB8"/>
    <w:rsid w:val="00322B98"/>
    <w:rsid w:val="00324100"/>
    <w:rsid w:val="00325C0B"/>
    <w:rsid w:val="003263AC"/>
    <w:rsid w:val="003267F9"/>
    <w:rsid w:val="00326F52"/>
    <w:rsid w:val="003271C1"/>
    <w:rsid w:val="00330047"/>
    <w:rsid w:val="00330E80"/>
    <w:rsid w:val="003314A5"/>
    <w:rsid w:val="0033214A"/>
    <w:rsid w:val="0033241F"/>
    <w:rsid w:val="00332DEB"/>
    <w:rsid w:val="00335490"/>
    <w:rsid w:val="003358FD"/>
    <w:rsid w:val="00335C3E"/>
    <w:rsid w:val="00335E10"/>
    <w:rsid w:val="003369F3"/>
    <w:rsid w:val="00337EF3"/>
    <w:rsid w:val="00340D95"/>
    <w:rsid w:val="00341CA9"/>
    <w:rsid w:val="00342A47"/>
    <w:rsid w:val="00342C49"/>
    <w:rsid w:val="00342E04"/>
    <w:rsid w:val="00343062"/>
    <w:rsid w:val="003430D0"/>
    <w:rsid w:val="00343749"/>
    <w:rsid w:val="00343862"/>
    <w:rsid w:val="003446D7"/>
    <w:rsid w:val="00345986"/>
    <w:rsid w:val="00345D6F"/>
    <w:rsid w:val="00346036"/>
    <w:rsid w:val="003460B9"/>
    <w:rsid w:val="003469FD"/>
    <w:rsid w:val="00350FEA"/>
    <w:rsid w:val="003511BB"/>
    <w:rsid w:val="00353D47"/>
    <w:rsid w:val="00353DB3"/>
    <w:rsid w:val="00357957"/>
    <w:rsid w:val="00357DB9"/>
    <w:rsid w:val="00364723"/>
    <w:rsid w:val="00365783"/>
    <w:rsid w:val="00365992"/>
    <w:rsid w:val="003662F1"/>
    <w:rsid w:val="00371CAC"/>
    <w:rsid w:val="00373E73"/>
    <w:rsid w:val="00375097"/>
    <w:rsid w:val="003779BD"/>
    <w:rsid w:val="00377EE1"/>
    <w:rsid w:val="00380655"/>
    <w:rsid w:val="00380973"/>
    <w:rsid w:val="00380E77"/>
    <w:rsid w:val="00380EA3"/>
    <w:rsid w:val="003829A8"/>
    <w:rsid w:val="003842A9"/>
    <w:rsid w:val="00390F63"/>
    <w:rsid w:val="0039250C"/>
    <w:rsid w:val="00392A0F"/>
    <w:rsid w:val="00395699"/>
    <w:rsid w:val="00397140"/>
    <w:rsid w:val="00397476"/>
    <w:rsid w:val="003A0507"/>
    <w:rsid w:val="003A288A"/>
    <w:rsid w:val="003A6839"/>
    <w:rsid w:val="003A6C72"/>
    <w:rsid w:val="003A7712"/>
    <w:rsid w:val="003B0843"/>
    <w:rsid w:val="003B0C7E"/>
    <w:rsid w:val="003B2DF5"/>
    <w:rsid w:val="003B2F8C"/>
    <w:rsid w:val="003B35DD"/>
    <w:rsid w:val="003B4911"/>
    <w:rsid w:val="003B533F"/>
    <w:rsid w:val="003B6268"/>
    <w:rsid w:val="003B62CC"/>
    <w:rsid w:val="003B6364"/>
    <w:rsid w:val="003B6A73"/>
    <w:rsid w:val="003C0374"/>
    <w:rsid w:val="003C03C4"/>
    <w:rsid w:val="003C0F74"/>
    <w:rsid w:val="003C4465"/>
    <w:rsid w:val="003C5C3F"/>
    <w:rsid w:val="003D02EE"/>
    <w:rsid w:val="003D062C"/>
    <w:rsid w:val="003D07A9"/>
    <w:rsid w:val="003D29BD"/>
    <w:rsid w:val="003D3AC6"/>
    <w:rsid w:val="003D4651"/>
    <w:rsid w:val="003E02FA"/>
    <w:rsid w:val="003E0892"/>
    <w:rsid w:val="003E2EEE"/>
    <w:rsid w:val="003E6160"/>
    <w:rsid w:val="003E688A"/>
    <w:rsid w:val="003F1466"/>
    <w:rsid w:val="003F38B6"/>
    <w:rsid w:val="003F3A7E"/>
    <w:rsid w:val="003F4C2E"/>
    <w:rsid w:val="003F64AB"/>
    <w:rsid w:val="003F73DB"/>
    <w:rsid w:val="003F7DC7"/>
    <w:rsid w:val="004004C3"/>
    <w:rsid w:val="004006CF"/>
    <w:rsid w:val="00400FDA"/>
    <w:rsid w:val="0040197F"/>
    <w:rsid w:val="0040278C"/>
    <w:rsid w:val="00407918"/>
    <w:rsid w:val="00411420"/>
    <w:rsid w:val="00411E4B"/>
    <w:rsid w:val="00414FC6"/>
    <w:rsid w:val="00416C92"/>
    <w:rsid w:val="00421E9B"/>
    <w:rsid w:val="00423903"/>
    <w:rsid w:val="00423A1A"/>
    <w:rsid w:val="004248E8"/>
    <w:rsid w:val="004259A5"/>
    <w:rsid w:val="00425DEE"/>
    <w:rsid w:val="004263C5"/>
    <w:rsid w:val="004265F7"/>
    <w:rsid w:val="00426ECE"/>
    <w:rsid w:val="00427C6E"/>
    <w:rsid w:val="0043375F"/>
    <w:rsid w:val="00434BE5"/>
    <w:rsid w:val="00434C04"/>
    <w:rsid w:val="00435734"/>
    <w:rsid w:val="00435F96"/>
    <w:rsid w:val="00436432"/>
    <w:rsid w:val="00436750"/>
    <w:rsid w:val="00437571"/>
    <w:rsid w:val="004419E5"/>
    <w:rsid w:val="00442E9A"/>
    <w:rsid w:val="00444F47"/>
    <w:rsid w:val="004458A6"/>
    <w:rsid w:val="00447739"/>
    <w:rsid w:val="004501B2"/>
    <w:rsid w:val="00450E22"/>
    <w:rsid w:val="00453D7E"/>
    <w:rsid w:val="00455AE0"/>
    <w:rsid w:val="0045742C"/>
    <w:rsid w:val="00462440"/>
    <w:rsid w:val="0046298C"/>
    <w:rsid w:val="004631D1"/>
    <w:rsid w:val="0046468F"/>
    <w:rsid w:val="004648D6"/>
    <w:rsid w:val="00464C9F"/>
    <w:rsid w:val="0047179D"/>
    <w:rsid w:val="004717A0"/>
    <w:rsid w:val="00473E85"/>
    <w:rsid w:val="00475E4D"/>
    <w:rsid w:val="00480808"/>
    <w:rsid w:val="00480A9F"/>
    <w:rsid w:val="0048191D"/>
    <w:rsid w:val="004820DE"/>
    <w:rsid w:val="00483685"/>
    <w:rsid w:val="00485E14"/>
    <w:rsid w:val="0048690F"/>
    <w:rsid w:val="004874A8"/>
    <w:rsid w:val="004879D3"/>
    <w:rsid w:val="00487ABD"/>
    <w:rsid w:val="00491B94"/>
    <w:rsid w:val="004931BC"/>
    <w:rsid w:val="0049334A"/>
    <w:rsid w:val="00493361"/>
    <w:rsid w:val="004946D5"/>
    <w:rsid w:val="00494ED3"/>
    <w:rsid w:val="004969D3"/>
    <w:rsid w:val="0049732A"/>
    <w:rsid w:val="004978B8"/>
    <w:rsid w:val="004A3121"/>
    <w:rsid w:val="004A3DBC"/>
    <w:rsid w:val="004A4118"/>
    <w:rsid w:val="004A4156"/>
    <w:rsid w:val="004A4A7D"/>
    <w:rsid w:val="004A666C"/>
    <w:rsid w:val="004A68FD"/>
    <w:rsid w:val="004A6C0E"/>
    <w:rsid w:val="004A7094"/>
    <w:rsid w:val="004B0509"/>
    <w:rsid w:val="004B0AC0"/>
    <w:rsid w:val="004B0F7F"/>
    <w:rsid w:val="004B1019"/>
    <w:rsid w:val="004B270A"/>
    <w:rsid w:val="004B2F95"/>
    <w:rsid w:val="004B3708"/>
    <w:rsid w:val="004B3B11"/>
    <w:rsid w:val="004B3EBE"/>
    <w:rsid w:val="004B503D"/>
    <w:rsid w:val="004B5F84"/>
    <w:rsid w:val="004B6DD0"/>
    <w:rsid w:val="004B70B2"/>
    <w:rsid w:val="004B7764"/>
    <w:rsid w:val="004B79B0"/>
    <w:rsid w:val="004B7A6D"/>
    <w:rsid w:val="004C06A3"/>
    <w:rsid w:val="004C2003"/>
    <w:rsid w:val="004C269E"/>
    <w:rsid w:val="004C2971"/>
    <w:rsid w:val="004C6567"/>
    <w:rsid w:val="004C7C0B"/>
    <w:rsid w:val="004D15FB"/>
    <w:rsid w:val="004D1A45"/>
    <w:rsid w:val="004D2AEA"/>
    <w:rsid w:val="004D2CEE"/>
    <w:rsid w:val="004D65CD"/>
    <w:rsid w:val="004D6CD0"/>
    <w:rsid w:val="004E041E"/>
    <w:rsid w:val="004E0A28"/>
    <w:rsid w:val="004E1C1F"/>
    <w:rsid w:val="004E4336"/>
    <w:rsid w:val="004E528B"/>
    <w:rsid w:val="004E5D2D"/>
    <w:rsid w:val="004E649A"/>
    <w:rsid w:val="004E7FE7"/>
    <w:rsid w:val="004F0711"/>
    <w:rsid w:val="004F3594"/>
    <w:rsid w:val="004F4DAF"/>
    <w:rsid w:val="004F537C"/>
    <w:rsid w:val="004F56E3"/>
    <w:rsid w:val="004F5C77"/>
    <w:rsid w:val="004F61B0"/>
    <w:rsid w:val="004F7B6B"/>
    <w:rsid w:val="005016B0"/>
    <w:rsid w:val="005028C5"/>
    <w:rsid w:val="005030E5"/>
    <w:rsid w:val="005108CE"/>
    <w:rsid w:val="00510DE5"/>
    <w:rsid w:val="00512461"/>
    <w:rsid w:val="00512B8D"/>
    <w:rsid w:val="00513006"/>
    <w:rsid w:val="00513444"/>
    <w:rsid w:val="00514A75"/>
    <w:rsid w:val="00514DA5"/>
    <w:rsid w:val="00514E4D"/>
    <w:rsid w:val="00515A47"/>
    <w:rsid w:val="00515C8E"/>
    <w:rsid w:val="00521ED4"/>
    <w:rsid w:val="00522AA5"/>
    <w:rsid w:val="0052453C"/>
    <w:rsid w:val="00524F14"/>
    <w:rsid w:val="00526684"/>
    <w:rsid w:val="0053032E"/>
    <w:rsid w:val="00531FAF"/>
    <w:rsid w:val="00532730"/>
    <w:rsid w:val="00532D46"/>
    <w:rsid w:val="00536072"/>
    <w:rsid w:val="0054070C"/>
    <w:rsid w:val="00543FC8"/>
    <w:rsid w:val="00544466"/>
    <w:rsid w:val="00545400"/>
    <w:rsid w:val="0054554F"/>
    <w:rsid w:val="00546E90"/>
    <w:rsid w:val="00547D78"/>
    <w:rsid w:val="00550D0D"/>
    <w:rsid w:val="005510C4"/>
    <w:rsid w:val="00552D9A"/>
    <w:rsid w:val="00553CDB"/>
    <w:rsid w:val="00554360"/>
    <w:rsid w:val="00554639"/>
    <w:rsid w:val="00561C71"/>
    <w:rsid w:val="00562D4C"/>
    <w:rsid w:val="00562F36"/>
    <w:rsid w:val="0056314A"/>
    <w:rsid w:val="0056341E"/>
    <w:rsid w:val="005640F6"/>
    <w:rsid w:val="005652B4"/>
    <w:rsid w:val="00566A65"/>
    <w:rsid w:val="00570139"/>
    <w:rsid w:val="0057025F"/>
    <w:rsid w:val="00573615"/>
    <w:rsid w:val="005766A0"/>
    <w:rsid w:val="005770F4"/>
    <w:rsid w:val="005775E8"/>
    <w:rsid w:val="00581DDE"/>
    <w:rsid w:val="00585216"/>
    <w:rsid w:val="005869CD"/>
    <w:rsid w:val="00591AAC"/>
    <w:rsid w:val="0059277B"/>
    <w:rsid w:val="00596548"/>
    <w:rsid w:val="00597218"/>
    <w:rsid w:val="0059721B"/>
    <w:rsid w:val="0059798C"/>
    <w:rsid w:val="005A28ED"/>
    <w:rsid w:val="005A44BD"/>
    <w:rsid w:val="005A4E77"/>
    <w:rsid w:val="005A55B8"/>
    <w:rsid w:val="005A71A7"/>
    <w:rsid w:val="005A72CC"/>
    <w:rsid w:val="005B0BBE"/>
    <w:rsid w:val="005B1200"/>
    <w:rsid w:val="005C13F9"/>
    <w:rsid w:val="005C32D7"/>
    <w:rsid w:val="005C36DD"/>
    <w:rsid w:val="005C3720"/>
    <w:rsid w:val="005C3D0A"/>
    <w:rsid w:val="005C48AD"/>
    <w:rsid w:val="005C7739"/>
    <w:rsid w:val="005D09A4"/>
    <w:rsid w:val="005D0E91"/>
    <w:rsid w:val="005D1C31"/>
    <w:rsid w:val="005D24BA"/>
    <w:rsid w:val="005D2DB0"/>
    <w:rsid w:val="005D5AB2"/>
    <w:rsid w:val="005D6A30"/>
    <w:rsid w:val="005D7C88"/>
    <w:rsid w:val="005E178D"/>
    <w:rsid w:val="005E364B"/>
    <w:rsid w:val="005E4316"/>
    <w:rsid w:val="005F04BC"/>
    <w:rsid w:val="005F08EB"/>
    <w:rsid w:val="005F24B4"/>
    <w:rsid w:val="00600759"/>
    <w:rsid w:val="00601BA4"/>
    <w:rsid w:val="00601D6B"/>
    <w:rsid w:val="00603986"/>
    <w:rsid w:val="0060449D"/>
    <w:rsid w:val="0060500C"/>
    <w:rsid w:val="00605F5F"/>
    <w:rsid w:val="00606361"/>
    <w:rsid w:val="00606BA2"/>
    <w:rsid w:val="00607798"/>
    <w:rsid w:val="0061078F"/>
    <w:rsid w:val="00610A0F"/>
    <w:rsid w:val="00616AAC"/>
    <w:rsid w:val="00617452"/>
    <w:rsid w:val="00617F88"/>
    <w:rsid w:val="0062016A"/>
    <w:rsid w:val="00620501"/>
    <w:rsid w:val="00621B7C"/>
    <w:rsid w:val="00625065"/>
    <w:rsid w:val="006250A5"/>
    <w:rsid w:val="00625BF0"/>
    <w:rsid w:val="0063010C"/>
    <w:rsid w:val="00631727"/>
    <w:rsid w:val="00632390"/>
    <w:rsid w:val="006329D1"/>
    <w:rsid w:val="006345D3"/>
    <w:rsid w:val="00634C2B"/>
    <w:rsid w:val="00634C30"/>
    <w:rsid w:val="00635431"/>
    <w:rsid w:val="006360F4"/>
    <w:rsid w:val="00640941"/>
    <w:rsid w:val="00640C36"/>
    <w:rsid w:val="00641DE1"/>
    <w:rsid w:val="0064241E"/>
    <w:rsid w:val="00642D41"/>
    <w:rsid w:val="00643307"/>
    <w:rsid w:val="006442DF"/>
    <w:rsid w:val="00644633"/>
    <w:rsid w:val="0064481C"/>
    <w:rsid w:val="0064509B"/>
    <w:rsid w:val="0064564C"/>
    <w:rsid w:val="00645819"/>
    <w:rsid w:val="00646652"/>
    <w:rsid w:val="006500F7"/>
    <w:rsid w:val="006526B0"/>
    <w:rsid w:val="00653A46"/>
    <w:rsid w:val="0065514D"/>
    <w:rsid w:val="00656727"/>
    <w:rsid w:val="00656CFE"/>
    <w:rsid w:val="00661575"/>
    <w:rsid w:val="00662F83"/>
    <w:rsid w:val="00665BF4"/>
    <w:rsid w:val="00665E76"/>
    <w:rsid w:val="0066657F"/>
    <w:rsid w:val="0066668C"/>
    <w:rsid w:val="00666920"/>
    <w:rsid w:val="00667814"/>
    <w:rsid w:val="0067178A"/>
    <w:rsid w:val="00673158"/>
    <w:rsid w:val="00674C35"/>
    <w:rsid w:val="00675CC3"/>
    <w:rsid w:val="006803A7"/>
    <w:rsid w:val="00681F9F"/>
    <w:rsid w:val="00684120"/>
    <w:rsid w:val="0068435D"/>
    <w:rsid w:val="00685D27"/>
    <w:rsid w:val="0069004B"/>
    <w:rsid w:val="0069004D"/>
    <w:rsid w:val="00691C61"/>
    <w:rsid w:val="00692B0B"/>
    <w:rsid w:val="00693AAF"/>
    <w:rsid w:val="006953F1"/>
    <w:rsid w:val="00695653"/>
    <w:rsid w:val="00697065"/>
    <w:rsid w:val="006A0671"/>
    <w:rsid w:val="006A20C4"/>
    <w:rsid w:val="006A2171"/>
    <w:rsid w:val="006A512E"/>
    <w:rsid w:val="006A6714"/>
    <w:rsid w:val="006A73AB"/>
    <w:rsid w:val="006B2333"/>
    <w:rsid w:val="006B50BD"/>
    <w:rsid w:val="006B51CA"/>
    <w:rsid w:val="006B76A7"/>
    <w:rsid w:val="006C2E0E"/>
    <w:rsid w:val="006C3E09"/>
    <w:rsid w:val="006C4147"/>
    <w:rsid w:val="006C44DC"/>
    <w:rsid w:val="006C4B26"/>
    <w:rsid w:val="006C5477"/>
    <w:rsid w:val="006C5514"/>
    <w:rsid w:val="006C5632"/>
    <w:rsid w:val="006C69B9"/>
    <w:rsid w:val="006C6B66"/>
    <w:rsid w:val="006D18F3"/>
    <w:rsid w:val="006D2DDE"/>
    <w:rsid w:val="006D3FD8"/>
    <w:rsid w:val="006D57ED"/>
    <w:rsid w:val="006D7E5B"/>
    <w:rsid w:val="006E0CBF"/>
    <w:rsid w:val="006E11ED"/>
    <w:rsid w:val="006E4B52"/>
    <w:rsid w:val="006E4B95"/>
    <w:rsid w:val="006E5807"/>
    <w:rsid w:val="006E6134"/>
    <w:rsid w:val="006E7131"/>
    <w:rsid w:val="006F067A"/>
    <w:rsid w:val="006F1153"/>
    <w:rsid w:val="006F192F"/>
    <w:rsid w:val="006F2D52"/>
    <w:rsid w:val="006F3096"/>
    <w:rsid w:val="006F3439"/>
    <w:rsid w:val="006F4AFB"/>
    <w:rsid w:val="006F51B5"/>
    <w:rsid w:val="006F5393"/>
    <w:rsid w:val="00700E8D"/>
    <w:rsid w:val="00702F53"/>
    <w:rsid w:val="00702F6D"/>
    <w:rsid w:val="00705696"/>
    <w:rsid w:val="0070735B"/>
    <w:rsid w:val="00707C55"/>
    <w:rsid w:val="00710541"/>
    <w:rsid w:val="00710D7D"/>
    <w:rsid w:val="00710E2F"/>
    <w:rsid w:val="00713BE8"/>
    <w:rsid w:val="00713EA0"/>
    <w:rsid w:val="0071441E"/>
    <w:rsid w:val="007148E3"/>
    <w:rsid w:val="00716DF4"/>
    <w:rsid w:val="00720528"/>
    <w:rsid w:val="007215E4"/>
    <w:rsid w:val="0072275D"/>
    <w:rsid w:val="0072291A"/>
    <w:rsid w:val="00723DD4"/>
    <w:rsid w:val="0072411C"/>
    <w:rsid w:val="00724B63"/>
    <w:rsid w:val="00724C28"/>
    <w:rsid w:val="007255F7"/>
    <w:rsid w:val="00725C13"/>
    <w:rsid w:val="007269A9"/>
    <w:rsid w:val="00726CD1"/>
    <w:rsid w:val="00731D35"/>
    <w:rsid w:val="007346F4"/>
    <w:rsid w:val="0073498C"/>
    <w:rsid w:val="00734D50"/>
    <w:rsid w:val="00735452"/>
    <w:rsid w:val="00736498"/>
    <w:rsid w:val="00736720"/>
    <w:rsid w:val="007374D0"/>
    <w:rsid w:val="00741759"/>
    <w:rsid w:val="00741F9C"/>
    <w:rsid w:val="00742CCD"/>
    <w:rsid w:val="007434CD"/>
    <w:rsid w:val="007447B6"/>
    <w:rsid w:val="0074740B"/>
    <w:rsid w:val="007510DA"/>
    <w:rsid w:val="007514F1"/>
    <w:rsid w:val="00753A3B"/>
    <w:rsid w:val="007542C6"/>
    <w:rsid w:val="00756A71"/>
    <w:rsid w:val="0076234A"/>
    <w:rsid w:val="00762F78"/>
    <w:rsid w:val="0076474F"/>
    <w:rsid w:val="00767121"/>
    <w:rsid w:val="007678ED"/>
    <w:rsid w:val="0077051E"/>
    <w:rsid w:val="0077151E"/>
    <w:rsid w:val="00771745"/>
    <w:rsid w:val="00772913"/>
    <w:rsid w:val="007730EC"/>
    <w:rsid w:val="00773DD0"/>
    <w:rsid w:val="007740DD"/>
    <w:rsid w:val="00776396"/>
    <w:rsid w:val="00776B60"/>
    <w:rsid w:val="007827A6"/>
    <w:rsid w:val="007839A4"/>
    <w:rsid w:val="00785E3A"/>
    <w:rsid w:val="007864FB"/>
    <w:rsid w:val="0078739B"/>
    <w:rsid w:val="00791AEA"/>
    <w:rsid w:val="00791C26"/>
    <w:rsid w:val="00793CAA"/>
    <w:rsid w:val="00793D44"/>
    <w:rsid w:val="00795A7E"/>
    <w:rsid w:val="0079763B"/>
    <w:rsid w:val="00797CC9"/>
    <w:rsid w:val="007A0E7F"/>
    <w:rsid w:val="007A1D3D"/>
    <w:rsid w:val="007A2409"/>
    <w:rsid w:val="007A247F"/>
    <w:rsid w:val="007A2873"/>
    <w:rsid w:val="007A33C1"/>
    <w:rsid w:val="007A7FEE"/>
    <w:rsid w:val="007B0131"/>
    <w:rsid w:val="007B083B"/>
    <w:rsid w:val="007B1BB3"/>
    <w:rsid w:val="007B2971"/>
    <w:rsid w:val="007B2A9C"/>
    <w:rsid w:val="007B3658"/>
    <w:rsid w:val="007B3C5F"/>
    <w:rsid w:val="007B50DC"/>
    <w:rsid w:val="007B5717"/>
    <w:rsid w:val="007B6449"/>
    <w:rsid w:val="007B6D22"/>
    <w:rsid w:val="007C14AF"/>
    <w:rsid w:val="007C2016"/>
    <w:rsid w:val="007C2911"/>
    <w:rsid w:val="007C402F"/>
    <w:rsid w:val="007C5588"/>
    <w:rsid w:val="007C58F9"/>
    <w:rsid w:val="007C5B35"/>
    <w:rsid w:val="007C67BA"/>
    <w:rsid w:val="007D0A5A"/>
    <w:rsid w:val="007D0B64"/>
    <w:rsid w:val="007D1003"/>
    <w:rsid w:val="007D14E4"/>
    <w:rsid w:val="007D40D2"/>
    <w:rsid w:val="007D5B7A"/>
    <w:rsid w:val="007D5E73"/>
    <w:rsid w:val="007D7421"/>
    <w:rsid w:val="007D7876"/>
    <w:rsid w:val="007D7A85"/>
    <w:rsid w:val="007E11FB"/>
    <w:rsid w:val="007E1A3A"/>
    <w:rsid w:val="007E4DCE"/>
    <w:rsid w:val="007E5466"/>
    <w:rsid w:val="007E6790"/>
    <w:rsid w:val="007E7661"/>
    <w:rsid w:val="007F05B5"/>
    <w:rsid w:val="007F1024"/>
    <w:rsid w:val="007F1977"/>
    <w:rsid w:val="007F1F3A"/>
    <w:rsid w:val="007F2CEC"/>
    <w:rsid w:val="007F3665"/>
    <w:rsid w:val="007F4244"/>
    <w:rsid w:val="007F66CD"/>
    <w:rsid w:val="007F7CC1"/>
    <w:rsid w:val="007F7F27"/>
    <w:rsid w:val="00800917"/>
    <w:rsid w:val="00802FD4"/>
    <w:rsid w:val="00803E83"/>
    <w:rsid w:val="00804A00"/>
    <w:rsid w:val="008051CE"/>
    <w:rsid w:val="00807C33"/>
    <w:rsid w:val="0081013B"/>
    <w:rsid w:val="008107A9"/>
    <w:rsid w:val="00810CAE"/>
    <w:rsid w:val="00811280"/>
    <w:rsid w:val="008115D6"/>
    <w:rsid w:val="0081534B"/>
    <w:rsid w:val="00815383"/>
    <w:rsid w:val="00815698"/>
    <w:rsid w:val="008165BC"/>
    <w:rsid w:val="008215C0"/>
    <w:rsid w:val="008215EC"/>
    <w:rsid w:val="0082204C"/>
    <w:rsid w:val="00822885"/>
    <w:rsid w:val="00824F52"/>
    <w:rsid w:val="00825128"/>
    <w:rsid w:val="0082584D"/>
    <w:rsid w:val="00830C9F"/>
    <w:rsid w:val="00832269"/>
    <w:rsid w:val="00832DA8"/>
    <w:rsid w:val="008332ED"/>
    <w:rsid w:val="0083408B"/>
    <w:rsid w:val="00834577"/>
    <w:rsid w:val="00836183"/>
    <w:rsid w:val="00836E1B"/>
    <w:rsid w:val="00840B49"/>
    <w:rsid w:val="00840F3F"/>
    <w:rsid w:val="008413AD"/>
    <w:rsid w:val="00841643"/>
    <w:rsid w:val="008416E0"/>
    <w:rsid w:val="00841F28"/>
    <w:rsid w:val="00843939"/>
    <w:rsid w:val="0084398B"/>
    <w:rsid w:val="008441CE"/>
    <w:rsid w:val="00845FC1"/>
    <w:rsid w:val="00846D59"/>
    <w:rsid w:val="00850315"/>
    <w:rsid w:val="00852C7B"/>
    <w:rsid w:val="008544B8"/>
    <w:rsid w:val="00854C96"/>
    <w:rsid w:val="00862DDB"/>
    <w:rsid w:val="00863689"/>
    <w:rsid w:val="008641AA"/>
    <w:rsid w:val="008650D6"/>
    <w:rsid w:val="00866336"/>
    <w:rsid w:val="00866798"/>
    <w:rsid w:val="00867AC9"/>
    <w:rsid w:val="00874542"/>
    <w:rsid w:val="00874FD1"/>
    <w:rsid w:val="00875B57"/>
    <w:rsid w:val="0087791F"/>
    <w:rsid w:val="00877AFF"/>
    <w:rsid w:val="00880220"/>
    <w:rsid w:val="0088091E"/>
    <w:rsid w:val="00884FDC"/>
    <w:rsid w:val="0088505C"/>
    <w:rsid w:val="00886665"/>
    <w:rsid w:val="00887080"/>
    <w:rsid w:val="00887CA3"/>
    <w:rsid w:val="00890B45"/>
    <w:rsid w:val="0089181B"/>
    <w:rsid w:val="0089183F"/>
    <w:rsid w:val="00892080"/>
    <w:rsid w:val="00892A61"/>
    <w:rsid w:val="00893318"/>
    <w:rsid w:val="00893D97"/>
    <w:rsid w:val="0089614E"/>
    <w:rsid w:val="00897F09"/>
    <w:rsid w:val="008A0C49"/>
    <w:rsid w:val="008A1139"/>
    <w:rsid w:val="008A1153"/>
    <w:rsid w:val="008A1EC1"/>
    <w:rsid w:val="008A33B9"/>
    <w:rsid w:val="008A34E3"/>
    <w:rsid w:val="008A36A8"/>
    <w:rsid w:val="008A5A79"/>
    <w:rsid w:val="008A6FEB"/>
    <w:rsid w:val="008A756F"/>
    <w:rsid w:val="008A7CC0"/>
    <w:rsid w:val="008B0BB3"/>
    <w:rsid w:val="008B225C"/>
    <w:rsid w:val="008B249E"/>
    <w:rsid w:val="008B270F"/>
    <w:rsid w:val="008B4691"/>
    <w:rsid w:val="008B4786"/>
    <w:rsid w:val="008B50D2"/>
    <w:rsid w:val="008B7575"/>
    <w:rsid w:val="008B79F3"/>
    <w:rsid w:val="008C1109"/>
    <w:rsid w:val="008C11B7"/>
    <w:rsid w:val="008C35DF"/>
    <w:rsid w:val="008C3A37"/>
    <w:rsid w:val="008C4161"/>
    <w:rsid w:val="008C448C"/>
    <w:rsid w:val="008C4B37"/>
    <w:rsid w:val="008C4D5B"/>
    <w:rsid w:val="008C5037"/>
    <w:rsid w:val="008C5916"/>
    <w:rsid w:val="008C7D15"/>
    <w:rsid w:val="008D0AE6"/>
    <w:rsid w:val="008D1FEC"/>
    <w:rsid w:val="008D410C"/>
    <w:rsid w:val="008D429F"/>
    <w:rsid w:val="008D47E5"/>
    <w:rsid w:val="008D480E"/>
    <w:rsid w:val="008D4C70"/>
    <w:rsid w:val="008D55B6"/>
    <w:rsid w:val="008D5CB7"/>
    <w:rsid w:val="008D645C"/>
    <w:rsid w:val="008D68F1"/>
    <w:rsid w:val="008D730E"/>
    <w:rsid w:val="008D7627"/>
    <w:rsid w:val="008E0183"/>
    <w:rsid w:val="008E0516"/>
    <w:rsid w:val="008E2DB9"/>
    <w:rsid w:val="008E3D19"/>
    <w:rsid w:val="008E5A35"/>
    <w:rsid w:val="008E5EB3"/>
    <w:rsid w:val="008E6BEE"/>
    <w:rsid w:val="008F0311"/>
    <w:rsid w:val="008F109F"/>
    <w:rsid w:val="008F231A"/>
    <w:rsid w:val="008F36AA"/>
    <w:rsid w:val="008F4193"/>
    <w:rsid w:val="008F431F"/>
    <w:rsid w:val="008F7083"/>
    <w:rsid w:val="00900724"/>
    <w:rsid w:val="009020D0"/>
    <w:rsid w:val="0090561E"/>
    <w:rsid w:val="00907F71"/>
    <w:rsid w:val="00910F16"/>
    <w:rsid w:val="0091103A"/>
    <w:rsid w:val="009134ED"/>
    <w:rsid w:val="00913606"/>
    <w:rsid w:val="00913B1C"/>
    <w:rsid w:val="00913B4B"/>
    <w:rsid w:val="00913F06"/>
    <w:rsid w:val="00914A3E"/>
    <w:rsid w:val="0091601E"/>
    <w:rsid w:val="00916633"/>
    <w:rsid w:val="0092707B"/>
    <w:rsid w:val="0092732C"/>
    <w:rsid w:val="00930BD0"/>
    <w:rsid w:val="00931CBF"/>
    <w:rsid w:val="00931E93"/>
    <w:rsid w:val="00934124"/>
    <w:rsid w:val="009365DF"/>
    <w:rsid w:val="00937A95"/>
    <w:rsid w:val="009443C9"/>
    <w:rsid w:val="0094617B"/>
    <w:rsid w:val="009527CF"/>
    <w:rsid w:val="00952A49"/>
    <w:rsid w:val="00953FD2"/>
    <w:rsid w:val="00954DDA"/>
    <w:rsid w:val="009605F9"/>
    <w:rsid w:val="00960A70"/>
    <w:rsid w:val="00961733"/>
    <w:rsid w:val="00963BFD"/>
    <w:rsid w:val="009647C5"/>
    <w:rsid w:val="00964EE4"/>
    <w:rsid w:val="00965A83"/>
    <w:rsid w:val="009660D9"/>
    <w:rsid w:val="00966BDA"/>
    <w:rsid w:val="009670CF"/>
    <w:rsid w:val="00970907"/>
    <w:rsid w:val="00970BD8"/>
    <w:rsid w:val="0097326C"/>
    <w:rsid w:val="009733C3"/>
    <w:rsid w:val="00974009"/>
    <w:rsid w:val="009741C2"/>
    <w:rsid w:val="009748ED"/>
    <w:rsid w:val="009752C5"/>
    <w:rsid w:val="00975BE2"/>
    <w:rsid w:val="00976495"/>
    <w:rsid w:val="00982A11"/>
    <w:rsid w:val="00982FFF"/>
    <w:rsid w:val="009835B1"/>
    <w:rsid w:val="009844A8"/>
    <w:rsid w:val="00985651"/>
    <w:rsid w:val="009858F5"/>
    <w:rsid w:val="00992438"/>
    <w:rsid w:val="00992942"/>
    <w:rsid w:val="00993340"/>
    <w:rsid w:val="00994B1C"/>
    <w:rsid w:val="00995814"/>
    <w:rsid w:val="00995886"/>
    <w:rsid w:val="00996F56"/>
    <w:rsid w:val="009A1A84"/>
    <w:rsid w:val="009A57B3"/>
    <w:rsid w:val="009A600E"/>
    <w:rsid w:val="009A6388"/>
    <w:rsid w:val="009A7590"/>
    <w:rsid w:val="009A799E"/>
    <w:rsid w:val="009B0192"/>
    <w:rsid w:val="009B2D2B"/>
    <w:rsid w:val="009B4AAF"/>
    <w:rsid w:val="009B5F1D"/>
    <w:rsid w:val="009B654B"/>
    <w:rsid w:val="009C03B2"/>
    <w:rsid w:val="009C076A"/>
    <w:rsid w:val="009C1253"/>
    <w:rsid w:val="009C1A60"/>
    <w:rsid w:val="009C1B2C"/>
    <w:rsid w:val="009C3F41"/>
    <w:rsid w:val="009C4470"/>
    <w:rsid w:val="009C4D39"/>
    <w:rsid w:val="009C5FCA"/>
    <w:rsid w:val="009C632A"/>
    <w:rsid w:val="009C799A"/>
    <w:rsid w:val="009D01E5"/>
    <w:rsid w:val="009D2D2A"/>
    <w:rsid w:val="009D300A"/>
    <w:rsid w:val="009D45EF"/>
    <w:rsid w:val="009D4746"/>
    <w:rsid w:val="009E13C7"/>
    <w:rsid w:val="009E1661"/>
    <w:rsid w:val="009E17D5"/>
    <w:rsid w:val="009E4229"/>
    <w:rsid w:val="009E5235"/>
    <w:rsid w:val="009F0AFD"/>
    <w:rsid w:val="009F2502"/>
    <w:rsid w:val="009F2FAA"/>
    <w:rsid w:val="009F6514"/>
    <w:rsid w:val="009F77CD"/>
    <w:rsid w:val="009F7853"/>
    <w:rsid w:val="00A00C6A"/>
    <w:rsid w:val="00A015D4"/>
    <w:rsid w:val="00A0172A"/>
    <w:rsid w:val="00A023E0"/>
    <w:rsid w:val="00A02779"/>
    <w:rsid w:val="00A032BB"/>
    <w:rsid w:val="00A03360"/>
    <w:rsid w:val="00A040B4"/>
    <w:rsid w:val="00A047F4"/>
    <w:rsid w:val="00A04DD6"/>
    <w:rsid w:val="00A06D3A"/>
    <w:rsid w:val="00A06EC9"/>
    <w:rsid w:val="00A1136D"/>
    <w:rsid w:val="00A12288"/>
    <w:rsid w:val="00A1391E"/>
    <w:rsid w:val="00A13F70"/>
    <w:rsid w:val="00A21A8B"/>
    <w:rsid w:val="00A21C74"/>
    <w:rsid w:val="00A2206C"/>
    <w:rsid w:val="00A23F6F"/>
    <w:rsid w:val="00A26BAC"/>
    <w:rsid w:val="00A27A5A"/>
    <w:rsid w:val="00A30228"/>
    <w:rsid w:val="00A30451"/>
    <w:rsid w:val="00A30824"/>
    <w:rsid w:val="00A31BD4"/>
    <w:rsid w:val="00A330E2"/>
    <w:rsid w:val="00A339E1"/>
    <w:rsid w:val="00A33A45"/>
    <w:rsid w:val="00A3499A"/>
    <w:rsid w:val="00A35D0F"/>
    <w:rsid w:val="00A413F6"/>
    <w:rsid w:val="00A42466"/>
    <w:rsid w:val="00A45B8B"/>
    <w:rsid w:val="00A46B32"/>
    <w:rsid w:val="00A470BC"/>
    <w:rsid w:val="00A472B8"/>
    <w:rsid w:val="00A520D7"/>
    <w:rsid w:val="00A528B5"/>
    <w:rsid w:val="00A53754"/>
    <w:rsid w:val="00A53FE0"/>
    <w:rsid w:val="00A547B8"/>
    <w:rsid w:val="00A548B0"/>
    <w:rsid w:val="00A54C38"/>
    <w:rsid w:val="00A55203"/>
    <w:rsid w:val="00A55A8E"/>
    <w:rsid w:val="00A5601B"/>
    <w:rsid w:val="00A564A7"/>
    <w:rsid w:val="00A60AE7"/>
    <w:rsid w:val="00A63827"/>
    <w:rsid w:val="00A6573C"/>
    <w:rsid w:val="00A678AF"/>
    <w:rsid w:val="00A71CB4"/>
    <w:rsid w:val="00A729AF"/>
    <w:rsid w:val="00A74F04"/>
    <w:rsid w:val="00A75017"/>
    <w:rsid w:val="00A76942"/>
    <w:rsid w:val="00A8426B"/>
    <w:rsid w:val="00A849D5"/>
    <w:rsid w:val="00A85D7D"/>
    <w:rsid w:val="00A8684E"/>
    <w:rsid w:val="00A86DB0"/>
    <w:rsid w:val="00A90549"/>
    <w:rsid w:val="00A90E29"/>
    <w:rsid w:val="00A90E49"/>
    <w:rsid w:val="00A936BD"/>
    <w:rsid w:val="00A9563A"/>
    <w:rsid w:val="00A95B93"/>
    <w:rsid w:val="00A9678D"/>
    <w:rsid w:val="00A9683D"/>
    <w:rsid w:val="00A96B64"/>
    <w:rsid w:val="00A973C1"/>
    <w:rsid w:val="00AA0F47"/>
    <w:rsid w:val="00AA0FDC"/>
    <w:rsid w:val="00AA2DFD"/>
    <w:rsid w:val="00AA4000"/>
    <w:rsid w:val="00AA479B"/>
    <w:rsid w:val="00AA5006"/>
    <w:rsid w:val="00AA5293"/>
    <w:rsid w:val="00AA5780"/>
    <w:rsid w:val="00AA619B"/>
    <w:rsid w:val="00AB0618"/>
    <w:rsid w:val="00AB06AF"/>
    <w:rsid w:val="00AB10D2"/>
    <w:rsid w:val="00AB38FB"/>
    <w:rsid w:val="00AB4747"/>
    <w:rsid w:val="00AB5F90"/>
    <w:rsid w:val="00AB72D3"/>
    <w:rsid w:val="00AB76BE"/>
    <w:rsid w:val="00AB7EC0"/>
    <w:rsid w:val="00AC0690"/>
    <w:rsid w:val="00AC1E7B"/>
    <w:rsid w:val="00AC4BAF"/>
    <w:rsid w:val="00AC5FC5"/>
    <w:rsid w:val="00AC6720"/>
    <w:rsid w:val="00AC6780"/>
    <w:rsid w:val="00AC6C5C"/>
    <w:rsid w:val="00AD1A2D"/>
    <w:rsid w:val="00AD1FFF"/>
    <w:rsid w:val="00AD4611"/>
    <w:rsid w:val="00AD4F5B"/>
    <w:rsid w:val="00AD5DCF"/>
    <w:rsid w:val="00AD6237"/>
    <w:rsid w:val="00AD66B4"/>
    <w:rsid w:val="00AD707D"/>
    <w:rsid w:val="00AD7404"/>
    <w:rsid w:val="00AE0651"/>
    <w:rsid w:val="00AE2DBB"/>
    <w:rsid w:val="00AE303A"/>
    <w:rsid w:val="00AE31FD"/>
    <w:rsid w:val="00AE3BE4"/>
    <w:rsid w:val="00AE3CE3"/>
    <w:rsid w:val="00AE4507"/>
    <w:rsid w:val="00AE7E62"/>
    <w:rsid w:val="00AF1C27"/>
    <w:rsid w:val="00AF26B3"/>
    <w:rsid w:val="00AF318B"/>
    <w:rsid w:val="00AF353F"/>
    <w:rsid w:val="00B0071B"/>
    <w:rsid w:val="00B01BFF"/>
    <w:rsid w:val="00B027F2"/>
    <w:rsid w:val="00B030A4"/>
    <w:rsid w:val="00B03DC7"/>
    <w:rsid w:val="00B03EFD"/>
    <w:rsid w:val="00B04BBB"/>
    <w:rsid w:val="00B05527"/>
    <w:rsid w:val="00B06ADF"/>
    <w:rsid w:val="00B11387"/>
    <w:rsid w:val="00B11D6D"/>
    <w:rsid w:val="00B13B15"/>
    <w:rsid w:val="00B1439D"/>
    <w:rsid w:val="00B144BB"/>
    <w:rsid w:val="00B154A1"/>
    <w:rsid w:val="00B16B1F"/>
    <w:rsid w:val="00B17518"/>
    <w:rsid w:val="00B207BB"/>
    <w:rsid w:val="00B2171A"/>
    <w:rsid w:val="00B2495C"/>
    <w:rsid w:val="00B24B10"/>
    <w:rsid w:val="00B25198"/>
    <w:rsid w:val="00B26AA3"/>
    <w:rsid w:val="00B274FF"/>
    <w:rsid w:val="00B27881"/>
    <w:rsid w:val="00B306F1"/>
    <w:rsid w:val="00B31316"/>
    <w:rsid w:val="00B320E2"/>
    <w:rsid w:val="00B32194"/>
    <w:rsid w:val="00B32C05"/>
    <w:rsid w:val="00B34E11"/>
    <w:rsid w:val="00B35149"/>
    <w:rsid w:val="00B3638A"/>
    <w:rsid w:val="00B363A8"/>
    <w:rsid w:val="00B363D3"/>
    <w:rsid w:val="00B36636"/>
    <w:rsid w:val="00B3762F"/>
    <w:rsid w:val="00B413AE"/>
    <w:rsid w:val="00B41557"/>
    <w:rsid w:val="00B4287F"/>
    <w:rsid w:val="00B4330C"/>
    <w:rsid w:val="00B4367A"/>
    <w:rsid w:val="00B44A2D"/>
    <w:rsid w:val="00B45770"/>
    <w:rsid w:val="00B477CA"/>
    <w:rsid w:val="00B47BE6"/>
    <w:rsid w:val="00B47CFE"/>
    <w:rsid w:val="00B502C0"/>
    <w:rsid w:val="00B5200A"/>
    <w:rsid w:val="00B52C4F"/>
    <w:rsid w:val="00B52F81"/>
    <w:rsid w:val="00B570A9"/>
    <w:rsid w:val="00B62078"/>
    <w:rsid w:val="00B621D6"/>
    <w:rsid w:val="00B63231"/>
    <w:rsid w:val="00B63D92"/>
    <w:rsid w:val="00B664CD"/>
    <w:rsid w:val="00B70C12"/>
    <w:rsid w:val="00B714B9"/>
    <w:rsid w:val="00B73A02"/>
    <w:rsid w:val="00B75441"/>
    <w:rsid w:val="00B759F6"/>
    <w:rsid w:val="00B76F17"/>
    <w:rsid w:val="00B7784C"/>
    <w:rsid w:val="00B77BA9"/>
    <w:rsid w:val="00B77D40"/>
    <w:rsid w:val="00B80757"/>
    <w:rsid w:val="00B82F65"/>
    <w:rsid w:val="00B83917"/>
    <w:rsid w:val="00B8643E"/>
    <w:rsid w:val="00B86650"/>
    <w:rsid w:val="00B86689"/>
    <w:rsid w:val="00B8692E"/>
    <w:rsid w:val="00B86C81"/>
    <w:rsid w:val="00B93D0D"/>
    <w:rsid w:val="00B94352"/>
    <w:rsid w:val="00B95E69"/>
    <w:rsid w:val="00B97C3F"/>
    <w:rsid w:val="00BA2ACA"/>
    <w:rsid w:val="00BA2AF0"/>
    <w:rsid w:val="00BA6D62"/>
    <w:rsid w:val="00BA7B36"/>
    <w:rsid w:val="00BB2198"/>
    <w:rsid w:val="00BB2410"/>
    <w:rsid w:val="00BB4132"/>
    <w:rsid w:val="00BB494E"/>
    <w:rsid w:val="00BB55FC"/>
    <w:rsid w:val="00BB669B"/>
    <w:rsid w:val="00BB75BF"/>
    <w:rsid w:val="00BC0D57"/>
    <w:rsid w:val="00BC1DCF"/>
    <w:rsid w:val="00BC21C6"/>
    <w:rsid w:val="00BC4B38"/>
    <w:rsid w:val="00BC5107"/>
    <w:rsid w:val="00BC684D"/>
    <w:rsid w:val="00BC693A"/>
    <w:rsid w:val="00BD0A92"/>
    <w:rsid w:val="00BD11B5"/>
    <w:rsid w:val="00BD4B25"/>
    <w:rsid w:val="00BD53B4"/>
    <w:rsid w:val="00BD6E01"/>
    <w:rsid w:val="00BD7685"/>
    <w:rsid w:val="00BE11AB"/>
    <w:rsid w:val="00BE13CF"/>
    <w:rsid w:val="00BE17D8"/>
    <w:rsid w:val="00BE1BBE"/>
    <w:rsid w:val="00BE1F6F"/>
    <w:rsid w:val="00BE2852"/>
    <w:rsid w:val="00BE292E"/>
    <w:rsid w:val="00BE3097"/>
    <w:rsid w:val="00BE3838"/>
    <w:rsid w:val="00BE3BF6"/>
    <w:rsid w:val="00BE473A"/>
    <w:rsid w:val="00BE4899"/>
    <w:rsid w:val="00BE57CD"/>
    <w:rsid w:val="00BE7EC1"/>
    <w:rsid w:val="00BF0B53"/>
    <w:rsid w:val="00BF159C"/>
    <w:rsid w:val="00BF1946"/>
    <w:rsid w:val="00BF1C3A"/>
    <w:rsid w:val="00BF1F81"/>
    <w:rsid w:val="00BF229E"/>
    <w:rsid w:val="00BF2987"/>
    <w:rsid w:val="00BF3D25"/>
    <w:rsid w:val="00C00151"/>
    <w:rsid w:val="00C02D65"/>
    <w:rsid w:val="00C045B5"/>
    <w:rsid w:val="00C0461B"/>
    <w:rsid w:val="00C04888"/>
    <w:rsid w:val="00C05E74"/>
    <w:rsid w:val="00C05EA4"/>
    <w:rsid w:val="00C063A1"/>
    <w:rsid w:val="00C06B1F"/>
    <w:rsid w:val="00C13920"/>
    <w:rsid w:val="00C14E06"/>
    <w:rsid w:val="00C150DF"/>
    <w:rsid w:val="00C1598E"/>
    <w:rsid w:val="00C15CAB"/>
    <w:rsid w:val="00C1609C"/>
    <w:rsid w:val="00C1716D"/>
    <w:rsid w:val="00C17797"/>
    <w:rsid w:val="00C2061B"/>
    <w:rsid w:val="00C20775"/>
    <w:rsid w:val="00C20E24"/>
    <w:rsid w:val="00C21A66"/>
    <w:rsid w:val="00C22173"/>
    <w:rsid w:val="00C22213"/>
    <w:rsid w:val="00C2252E"/>
    <w:rsid w:val="00C232CB"/>
    <w:rsid w:val="00C23990"/>
    <w:rsid w:val="00C252CE"/>
    <w:rsid w:val="00C2682A"/>
    <w:rsid w:val="00C278CE"/>
    <w:rsid w:val="00C30060"/>
    <w:rsid w:val="00C3130A"/>
    <w:rsid w:val="00C33DB7"/>
    <w:rsid w:val="00C352B5"/>
    <w:rsid w:val="00C36C59"/>
    <w:rsid w:val="00C36DC9"/>
    <w:rsid w:val="00C37157"/>
    <w:rsid w:val="00C379B7"/>
    <w:rsid w:val="00C379BB"/>
    <w:rsid w:val="00C42A77"/>
    <w:rsid w:val="00C42D69"/>
    <w:rsid w:val="00C43531"/>
    <w:rsid w:val="00C4370F"/>
    <w:rsid w:val="00C43E8E"/>
    <w:rsid w:val="00C4437F"/>
    <w:rsid w:val="00C44965"/>
    <w:rsid w:val="00C4640E"/>
    <w:rsid w:val="00C50475"/>
    <w:rsid w:val="00C524CE"/>
    <w:rsid w:val="00C55249"/>
    <w:rsid w:val="00C55B66"/>
    <w:rsid w:val="00C55DDE"/>
    <w:rsid w:val="00C569C4"/>
    <w:rsid w:val="00C570A5"/>
    <w:rsid w:val="00C57765"/>
    <w:rsid w:val="00C61753"/>
    <w:rsid w:val="00C61873"/>
    <w:rsid w:val="00C62D5C"/>
    <w:rsid w:val="00C63ECE"/>
    <w:rsid w:val="00C6400E"/>
    <w:rsid w:val="00C6477A"/>
    <w:rsid w:val="00C66714"/>
    <w:rsid w:val="00C711EB"/>
    <w:rsid w:val="00C730A6"/>
    <w:rsid w:val="00C73436"/>
    <w:rsid w:val="00C747D2"/>
    <w:rsid w:val="00C75E43"/>
    <w:rsid w:val="00C77FF7"/>
    <w:rsid w:val="00C81860"/>
    <w:rsid w:val="00C81A4B"/>
    <w:rsid w:val="00C82F4A"/>
    <w:rsid w:val="00C87198"/>
    <w:rsid w:val="00C90410"/>
    <w:rsid w:val="00C907AA"/>
    <w:rsid w:val="00C90E19"/>
    <w:rsid w:val="00C93023"/>
    <w:rsid w:val="00C94AAA"/>
    <w:rsid w:val="00C95781"/>
    <w:rsid w:val="00C95BE3"/>
    <w:rsid w:val="00C960D4"/>
    <w:rsid w:val="00C978EE"/>
    <w:rsid w:val="00CA1391"/>
    <w:rsid w:val="00CA18E3"/>
    <w:rsid w:val="00CA2187"/>
    <w:rsid w:val="00CA331F"/>
    <w:rsid w:val="00CA730F"/>
    <w:rsid w:val="00CB3A2E"/>
    <w:rsid w:val="00CB4378"/>
    <w:rsid w:val="00CB6214"/>
    <w:rsid w:val="00CB72E6"/>
    <w:rsid w:val="00CB7D61"/>
    <w:rsid w:val="00CC0597"/>
    <w:rsid w:val="00CC2103"/>
    <w:rsid w:val="00CC52C6"/>
    <w:rsid w:val="00CC5E1E"/>
    <w:rsid w:val="00CC5F7A"/>
    <w:rsid w:val="00CC6D5D"/>
    <w:rsid w:val="00CD1429"/>
    <w:rsid w:val="00CD1EFB"/>
    <w:rsid w:val="00CD2373"/>
    <w:rsid w:val="00CD2514"/>
    <w:rsid w:val="00CD3612"/>
    <w:rsid w:val="00CD3D29"/>
    <w:rsid w:val="00CD552E"/>
    <w:rsid w:val="00CD65FA"/>
    <w:rsid w:val="00CE013F"/>
    <w:rsid w:val="00CE0B13"/>
    <w:rsid w:val="00CE16A8"/>
    <w:rsid w:val="00CE4DF3"/>
    <w:rsid w:val="00CF1D17"/>
    <w:rsid w:val="00CF2190"/>
    <w:rsid w:val="00CF2F63"/>
    <w:rsid w:val="00D00228"/>
    <w:rsid w:val="00D019BA"/>
    <w:rsid w:val="00D01EB7"/>
    <w:rsid w:val="00D023BF"/>
    <w:rsid w:val="00D0372C"/>
    <w:rsid w:val="00D03F3E"/>
    <w:rsid w:val="00D05E10"/>
    <w:rsid w:val="00D06ABA"/>
    <w:rsid w:val="00D06FAC"/>
    <w:rsid w:val="00D11443"/>
    <w:rsid w:val="00D11897"/>
    <w:rsid w:val="00D126CA"/>
    <w:rsid w:val="00D14B38"/>
    <w:rsid w:val="00D15B64"/>
    <w:rsid w:val="00D15F59"/>
    <w:rsid w:val="00D20FC9"/>
    <w:rsid w:val="00D2126B"/>
    <w:rsid w:val="00D212FD"/>
    <w:rsid w:val="00D2570F"/>
    <w:rsid w:val="00D25E4A"/>
    <w:rsid w:val="00D273ED"/>
    <w:rsid w:val="00D276F3"/>
    <w:rsid w:val="00D305D4"/>
    <w:rsid w:val="00D311EE"/>
    <w:rsid w:val="00D37532"/>
    <w:rsid w:val="00D37D8E"/>
    <w:rsid w:val="00D402C1"/>
    <w:rsid w:val="00D40C63"/>
    <w:rsid w:val="00D434B6"/>
    <w:rsid w:val="00D456D6"/>
    <w:rsid w:val="00D462FF"/>
    <w:rsid w:val="00D46443"/>
    <w:rsid w:val="00D47AEA"/>
    <w:rsid w:val="00D47F7B"/>
    <w:rsid w:val="00D5155C"/>
    <w:rsid w:val="00D51F05"/>
    <w:rsid w:val="00D527DF"/>
    <w:rsid w:val="00D5432A"/>
    <w:rsid w:val="00D559A2"/>
    <w:rsid w:val="00D57CC7"/>
    <w:rsid w:val="00D60E30"/>
    <w:rsid w:val="00D61050"/>
    <w:rsid w:val="00D62F39"/>
    <w:rsid w:val="00D63CC6"/>
    <w:rsid w:val="00D64E8F"/>
    <w:rsid w:val="00D656DD"/>
    <w:rsid w:val="00D65704"/>
    <w:rsid w:val="00D664F6"/>
    <w:rsid w:val="00D67263"/>
    <w:rsid w:val="00D709DB"/>
    <w:rsid w:val="00D718F6"/>
    <w:rsid w:val="00D71CD7"/>
    <w:rsid w:val="00D7263D"/>
    <w:rsid w:val="00D74569"/>
    <w:rsid w:val="00D76B3E"/>
    <w:rsid w:val="00D7712C"/>
    <w:rsid w:val="00D81080"/>
    <w:rsid w:val="00D840B2"/>
    <w:rsid w:val="00D8439C"/>
    <w:rsid w:val="00D85C50"/>
    <w:rsid w:val="00D860D3"/>
    <w:rsid w:val="00D86812"/>
    <w:rsid w:val="00D86A43"/>
    <w:rsid w:val="00D87423"/>
    <w:rsid w:val="00D921F9"/>
    <w:rsid w:val="00D94759"/>
    <w:rsid w:val="00D94965"/>
    <w:rsid w:val="00D94A1E"/>
    <w:rsid w:val="00D95E27"/>
    <w:rsid w:val="00D96B61"/>
    <w:rsid w:val="00DA0993"/>
    <w:rsid w:val="00DA0E47"/>
    <w:rsid w:val="00DA4C67"/>
    <w:rsid w:val="00DA53F6"/>
    <w:rsid w:val="00DA6C2F"/>
    <w:rsid w:val="00DA72BF"/>
    <w:rsid w:val="00DA7522"/>
    <w:rsid w:val="00DA7884"/>
    <w:rsid w:val="00DB00C2"/>
    <w:rsid w:val="00DB0479"/>
    <w:rsid w:val="00DB049E"/>
    <w:rsid w:val="00DB1281"/>
    <w:rsid w:val="00DB1DF8"/>
    <w:rsid w:val="00DB24F5"/>
    <w:rsid w:val="00DB6CC1"/>
    <w:rsid w:val="00DC01D0"/>
    <w:rsid w:val="00DC7C8C"/>
    <w:rsid w:val="00DD076B"/>
    <w:rsid w:val="00DD24E6"/>
    <w:rsid w:val="00DD4A56"/>
    <w:rsid w:val="00DD58FA"/>
    <w:rsid w:val="00DD5C34"/>
    <w:rsid w:val="00DD6784"/>
    <w:rsid w:val="00DE131C"/>
    <w:rsid w:val="00DE19BE"/>
    <w:rsid w:val="00DE1A11"/>
    <w:rsid w:val="00DE1E08"/>
    <w:rsid w:val="00DE3F0B"/>
    <w:rsid w:val="00DE40A4"/>
    <w:rsid w:val="00DE5AA1"/>
    <w:rsid w:val="00DE6CA1"/>
    <w:rsid w:val="00DE7D0F"/>
    <w:rsid w:val="00DF0B72"/>
    <w:rsid w:val="00DF3435"/>
    <w:rsid w:val="00DF3967"/>
    <w:rsid w:val="00DF6DFA"/>
    <w:rsid w:val="00E00991"/>
    <w:rsid w:val="00E01188"/>
    <w:rsid w:val="00E028C2"/>
    <w:rsid w:val="00E0296A"/>
    <w:rsid w:val="00E0458B"/>
    <w:rsid w:val="00E04C17"/>
    <w:rsid w:val="00E06982"/>
    <w:rsid w:val="00E07539"/>
    <w:rsid w:val="00E11773"/>
    <w:rsid w:val="00E11F2F"/>
    <w:rsid w:val="00E129F8"/>
    <w:rsid w:val="00E12F1A"/>
    <w:rsid w:val="00E142E3"/>
    <w:rsid w:val="00E16182"/>
    <w:rsid w:val="00E1643B"/>
    <w:rsid w:val="00E16630"/>
    <w:rsid w:val="00E177AE"/>
    <w:rsid w:val="00E21919"/>
    <w:rsid w:val="00E222EF"/>
    <w:rsid w:val="00E23647"/>
    <w:rsid w:val="00E242AF"/>
    <w:rsid w:val="00E25504"/>
    <w:rsid w:val="00E25A13"/>
    <w:rsid w:val="00E27A6A"/>
    <w:rsid w:val="00E27A96"/>
    <w:rsid w:val="00E27B24"/>
    <w:rsid w:val="00E27D37"/>
    <w:rsid w:val="00E27D96"/>
    <w:rsid w:val="00E30B19"/>
    <w:rsid w:val="00E31BA2"/>
    <w:rsid w:val="00E32196"/>
    <w:rsid w:val="00E32408"/>
    <w:rsid w:val="00E331C4"/>
    <w:rsid w:val="00E34427"/>
    <w:rsid w:val="00E365B3"/>
    <w:rsid w:val="00E41844"/>
    <w:rsid w:val="00E4252A"/>
    <w:rsid w:val="00E44963"/>
    <w:rsid w:val="00E457BD"/>
    <w:rsid w:val="00E47D92"/>
    <w:rsid w:val="00E50167"/>
    <w:rsid w:val="00E502C1"/>
    <w:rsid w:val="00E50587"/>
    <w:rsid w:val="00E50FEF"/>
    <w:rsid w:val="00E5241E"/>
    <w:rsid w:val="00E5378B"/>
    <w:rsid w:val="00E54E5C"/>
    <w:rsid w:val="00E56DC9"/>
    <w:rsid w:val="00E570A0"/>
    <w:rsid w:val="00E5751A"/>
    <w:rsid w:val="00E578A1"/>
    <w:rsid w:val="00E6032B"/>
    <w:rsid w:val="00E62D01"/>
    <w:rsid w:val="00E646AD"/>
    <w:rsid w:val="00E6474C"/>
    <w:rsid w:val="00E66BEF"/>
    <w:rsid w:val="00E67106"/>
    <w:rsid w:val="00E67395"/>
    <w:rsid w:val="00E677B9"/>
    <w:rsid w:val="00E71969"/>
    <w:rsid w:val="00E71EC1"/>
    <w:rsid w:val="00E722CF"/>
    <w:rsid w:val="00E74265"/>
    <w:rsid w:val="00E74C11"/>
    <w:rsid w:val="00E74CB6"/>
    <w:rsid w:val="00E755FC"/>
    <w:rsid w:val="00E75ADC"/>
    <w:rsid w:val="00E761FA"/>
    <w:rsid w:val="00E7635B"/>
    <w:rsid w:val="00E7640F"/>
    <w:rsid w:val="00E801AA"/>
    <w:rsid w:val="00E805F2"/>
    <w:rsid w:val="00E833AA"/>
    <w:rsid w:val="00E83F6A"/>
    <w:rsid w:val="00E84F0E"/>
    <w:rsid w:val="00E86A3B"/>
    <w:rsid w:val="00E9068D"/>
    <w:rsid w:val="00E90E91"/>
    <w:rsid w:val="00E96ED4"/>
    <w:rsid w:val="00E97B4F"/>
    <w:rsid w:val="00EA01C7"/>
    <w:rsid w:val="00EA01F2"/>
    <w:rsid w:val="00EA03D8"/>
    <w:rsid w:val="00EA0927"/>
    <w:rsid w:val="00EA28A9"/>
    <w:rsid w:val="00EA312B"/>
    <w:rsid w:val="00EA3399"/>
    <w:rsid w:val="00EA4AC3"/>
    <w:rsid w:val="00EA4B38"/>
    <w:rsid w:val="00EB040F"/>
    <w:rsid w:val="00EB0D02"/>
    <w:rsid w:val="00EB5184"/>
    <w:rsid w:val="00EC10F2"/>
    <w:rsid w:val="00EC1A17"/>
    <w:rsid w:val="00EC3A23"/>
    <w:rsid w:val="00EC44A1"/>
    <w:rsid w:val="00EC4519"/>
    <w:rsid w:val="00EC51B1"/>
    <w:rsid w:val="00EC6DBD"/>
    <w:rsid w:val="00EC7166"/>
    <w:rsid w:val="00EC7691"/>
    <w:rsid w:val="00ED08F1"/>
    <w:rsid w:val="00ED0F64"/>
    <w:rsid w:val="00ED2E15"/>
    <w:rsid w:val="00ED319D"/>
    <w:rsid w:val="00ED43ED"/>
    <w:rsid w:val="00ED53F3"/>
    <w:rsid w:val="00ED6769"/>
    <w:rsid w:val="00ED67DC"/>
    <w:rsid w:val="00EE299B"/>
    <w:rsid w:val="00EE3B11"/>
    <w:rsid w:val="00EE6074"/>
    <w:rsid w:val="00EE7866"/>
    <w:rsid w:val="00EE7CBF"/>
    <w:rsid w:val="00EF04B1"/>
    <w:rsid w:val="00EF1046"/>
    <w:rsid w:val="00EF1DB6"/>
    <w:rsid w:val="00EF3229"/>
    <w:rsid w:val="00EF3D8F"/>
    <w:rsid w:val="00EF4778"/>
    <w:rsid w:val="00EF553B"/>
    <w:rsid w:val="00EF5564"/>
    <w:rsid w:val="00EF6364"/>
    <w:rsid w:val="00EF7F11"/>
    <w:rsid w:val="00EF7F68"/>
    <w:rsid w:val="00F00573"/>
    <w:rsid w:val="00F01B97"/>
    <w:rsid w:val="00F058E3"/>
    <w:rsid w:val="00F0694D"/>
    <w:rsid w:val="00F072A6"/>
    <w:rsid w:val="00F0794E"/>
    <w:rsid w:val="00F10685"/>
    <w:rsid w:val="00F117A4"/>
    <w:rsid w:val="00F1194F"/>
    <w:rsid w:val="00F121D4"/>
    <w:rsid w:val="00F129AE"/>
    <w:rsid w:val="00F13907"/>
    <w:rsid w:val="00F13F45"/>
    <w:rsid w:val="00F1575C"/>
    <w:rsid w:val="00F15FCF"/>
    <w:rsid w:val="00F166FD"/>
    <w:rsid w:val="00F16AD2"/>
    <w:rsid w:val="00F17B28"/>
    <w:rsid w:val="00F2161B"/>
    <w:rsid w:val="00F23007"/>
    <w:rsid w:val="00F24313"/>
    <w:rsid w:val="00F24853"/>
    <w:rsid w:val="00F256F9"/>
    <w:rsid w:val="00F3167B"/>
    <w:rsid w:val="00F31FDC"/>
    <w:rsid w:val="00F32726"/>
    <w:rsid w:val="00F33ACA"/>
    <w:rsid w:val="00F3434F"/>
    <w:rsid w:val="00F35F92"/>
    <w:rsid w:val="00F403FE"/>
    <w:rsid w:val="00F4082C"/>
    <w:rsid w:val="00F42A16"/>
    <w:rsid w:val="00F43BA4"/>
    <w:rsid w:val="00F44189"/>
    <w:rsid w:val="00F47337"/>
    <w:rsid w:val="00F50A45"/>
    <w:rsid w:val="00F5352F"/>
    <w:rsid w:val="00F53985"/>
    <w:rsid w:val="00F539A8"/>
    <w:rsid w:val="00F539AD"/>
    <w:rsid w:val="00F54D34"/>
    <w:rsid w:val="00F55FFB"/>
    <w:rsid w:val="00F560F6"/>
    <w:rsid w:val="00F565A2"/>
    <w:rsid w:val="00F56E32"/>
    <w:rsid w:val="00F60807"/>
    <w:rsid w:val="00F625A2"/>
    <w:rsid w:val="00F62F40"/>
    <w:rsid w:val="00F6784A"/>
    <w:rsid w:val="00F678EC"/>
    <w:rsid w:val="00F67F11"/>
    <w:rsid w:val="00F7467E"/>
    <w:rsid w:val="00F7468A"/>
    <w:rsid w:val="00F751E6"/>
    <w:rsid w:val="00F764FA"/>
    <w:rsid w:val="00F775C4"/>
    <w:rsid w:val="00F808C7"/>
    <w:rsid w:val="00F80A9E"/>
    <w:rsid w:val="00F82172"/>
    <w:rsid w:val="00F843D5"/>
    <w:rsid w:val="00F8486D"/>
    <w:rsid w:val="00F861EA"/>
    <w:rsid w:val="00F869AD"/>
    <w:rsid w:val="00F86AEA"/>
    <w:rsid w:val="00F86D6C"/>
    <w:rsid w:val="00F902F7"/>
    <w:rsid w:val="00F91397"/>
    <w:rsid w:val="00F91C83"/>
    <w:rsid w:val="00F9213A"/>
    <w:rsid w:val="00F9343A"/>
    <w:rsid w:val="00F953FD"/>
    <w:rsid w:val="00F9684E"/>
    <w:rsid w:val="00F96EDC"/>
    <w:rsid w:val="00F97E8A"/>
    <w:rsid w:val="00FA277C"/>
    <w:rsid w:val="00FA37EE"/>
    <w:rsid w:val="00FA50B8"/>
    <w:rsid w:val="00FA5E59"/>
    <w:rsid w:val="00FA69AE"/>
    <w:rsid w:val="00FB10C2"/>
    <w:rsid w:val="00FB1FA5"/>
    <w:rsid w:val="00FB4CE8"/>
    <w:rsid w:val="00FB6E92"/>
    <w:rsid w:val="00FB7B1D"/>
    <w:rsid w:val="00FB7BB3"/>
    <w:rsid w:val="00FC053D"/>
    <w:rsid w:val="00FC181C"/>
    <w:rsid w:val="00FC344C"/>
    <w:rsid w:val="00FC5764"/>
    <w:rsid w:val="00FC5AEF"/>
    <w:rsid w:val="00FC67CB"/>
    <w:rsid w:val="00FC6BD7"/>
    <w:rsid w:val="00FC6DA1"/>
    <w:rsid w:val="00FC6DA3"/>
    <w:rsid w:val="00FC714A"/>
    <w:rsid w:val="00FD0B76"/>
    <w:rsid w:val="00FD1336"/>
    <w:rsid w:val="00FD610F"/>
    <w:rsid w:val="00FD7DFE"/>
    <w:rsid w:val="00FE086F"/>
    <w:rsid w:val="00FE25C5"/>
    <w:rsid w:val="00FE2E16"/>
    <w:rsid w:val="00FE32D8"/>
    <w:rsid w:val="00FE3E7F"/>
    <w:rsid w:val="00FE476B"/>
    <w:rsid w:val="00FE7D51"/>
    <w:rsid w:val="00FF0845"/>
    <w:rsid w:val="00FF41C2"/>
    <w:rsid w:val="00FF4E5C"/>
    <w:rsid w:val="00FF4F42"/>
    <w:rsid w:val="00FF75AE"/>
    <w:rsid w:val="00FF7C4F"/>
    <w:rsid w:val="0A1E3E11"/>
    <w:rsid w:val="11816D37"/>
    <w:rsid w:val="132B7864"/>
    <w:rsid w:val="141169B5"/>
    <w:rsid w:val="150E5B23"/>
    <w:rsid w:val="1AE712F7"/>
    <w:rsid w:val="216C169A"/>
    <w:rsid w:val="240F46B6"/>
    <w:rsid w:val="2612408D"/>
    <w:rsid w:val="2681079B"/>
    <w:rsid w:val="26C43228"/>
    <w:rsid w:val="28391871"/>
    <w:rsid w:val="28A32C4B"/>
    <w:rsid w:val="291831DC"/>
    <w:rsid w:val="2C36372C"/>
    <w:rsid w:val="2CA769F7"/>
    <w:rsid w:val="2EC53A6C"/>
    <w:rsid w:val="2ED06CC8"/>
    <w:rsid w:val="2FF77D0C"/>
    <w:rsid w:val="35526081"/>
    <w:rsid w:val="36BE6F62"/>
    <w:rsid w:val="375C793B"/>
    <w:rsid w:val="37BC1EFE"/>
    <w:rsid w:val="422C53D3"/>
    <w:rsid w:val="455235D7"/>
    <w:rsid w:val="459E6813"/>
    <w:rsid w:val="499E3D3B"/>
    <w:rsid w:val="4BF2617C"/>
    <w:rsid w:val="541703D0"/>
    <w:rsid w:val="5427269D"/>
    <w:rsid w:val="5EEB277C"/>
    <w:rsid w:val="62C20CDE"/>
    <w:rsid w:val="6DC271C9"/>
    <w:rsid w:val="6E36060B"/>
    <w:rsid w:val="71663DE2"/>
    <w:rsid w:val="73F6144E"/>
    <w:rsid w:val="74FF4332"/>
    <w:rsid w:val="758723AB"/>
    <w:rsid w:val="767945B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uiPriority="0" w:name="footnote reference"/>
    <w:lsdException w:qFormat="1" w:uiPriority="99" w:semiHidden="0" w:name="annotation reference"/>
    <w:lsdException w:qFormat="1" w:uiPriority="99" w:semiHidden="0" w:name="line number"/>
    <w:lsdException w:qFormat="1"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qFormat="1" w:unhideWhenUsed="0" w:uiPriority="1"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qFormat="1"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5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2"/>
      <w:lang w:val="en-US" w:eastAsia="zh-CN" w:bidi="ar-SA"/>
    </w:rPr>
  </w:style>
  <w:style w:type="paragraph" w:styleId="2">
    <w:name w:val="heading 1"/>
    <w:basedOn w:val="1"/>
    <w:next w:val="1"/>
    <w:link w:val="31"/>
    <w:qFormat/>
    <w:uiPriority w:val="9"/>
    <w:pPr>
      <w:keepNext/>
      <w:keepLines/>
      <w:spacing w:before="340" w:after="330" w:line="578" w:lineRule="auto"/>
      <w:ind w:firstLine="420" w:firstLineChars="200"/>
      <w:jc w:val="center"/>
      <w:outlineLvl w:val="0"/>
    </w:pPr>
    <w:rPr>
      <w:rFonts w:eastAsia="黑体"/>
      <w:bCs/>
      <w:kern w:val="44"/>
      <w:sz w:val="44"/>
      <w:szCs w:val="44"/>
    </w:rPr>
  </w:style>
  <w:style w:type="paragraph" w:styleId="3">
    <w:name w:val="heading 2"/>
    <w:basedOn w:val="1"/>
    <w:next w:val="1"/>
    <w:link w:val="41"/>
    <w:qFormat/>
    <w:uiPriority w:val="9"/>
    <w:pPr>
      <w:keepNext/>
      <w:keepLines/>
      <w:spacing w:before="260" w:after="260" w:line="413" w:lineRule="auto"/>
      <w:jc w:val="left"/>
      <w:outlineLvl w:val="1"/>
    </w:pPr>
    <w:rPr>
      <w:rFonts w:ascii="Cambria" w:hAnsi="Cambria" w:eastAsia="黑体"/>
      <w:bCs/>
      <w:sz w:val="30"/>
      <w:szCs w:val="32"/>
    </w:rPr>
  </w:style>
  <w:style w:type="paragraph" w:styleId="4">
    <w:name w:val="heading 3"/>
    <w:basedOn w:val="1"/>
    <w:next w:val="1"/>
    <w:link w:val="30"/>
    <w:qFormat/>
    <w:uiPriority w:val="9"/>
    <w:pPr>
      <w:keepNext/>
      <w:keepLines/>
      <w:spacing w:before="260" w:after="260" w:line="416" w:lineRule="auto"/>
      <w:outlineLvl w:val="2"/>
    </w:pPr>
    <w:rPr>
      <w:b/>
      <w:bCs/>
      <w:sz w:val="32"/>
      <w:szCs w:val="32"/>
    </w:rPr>
  </w:style>
  <w:style w:type="paragraph" w:styleId="5">
    <w:name w:val="heading 4"/>
    <w:basedOn w:val="1"/>
    <w:next w:val="1"/>
    <w:link w:val="67"/>
    <w:unhideWhenUsed/>
    <w:qFormat/>
    <w:uiPriority w:val="9"/>
    <w:pPr>
      <w:keepNext/>
      <w:keepLines/>
      <w:spacing w:before="280" w:after="290" w:line="376" w:lineRule="auto"/>
      <w:outlineLvl w:val="3"/>
    </w:pPr>
    <w:rPr>
      <w:rFonts w:ascii="等线 Light" w:hAnsi="等线 Light" w:eastAsia="等线 Light" w:cs="Times New Roman"/>
      <w:b/>
      <w:bCs/>
      <w:sz w:val="28"/>
      <w:szCs w:val="28"/>
    </w:rPr>
  </w:style>
  <w:style w:type="paragraph" w:styleId="6">
    <w:name w:val="heading 5"/>
    <w:basedOn w:val="1"/>
    <w:next w:val="1"/>
    <w:link w:val="68"/>
    <w:unhideWhenUsed/>
    <w:qFormat/>
    <w:uiPriority w:val="9"/>
    <w:pPr>
      <w:keepNext/>
      <w:keepLines/>
      <w:spacing w:before="280" w:after="290" w:line="376" w:lineRule="auto"/>
      <w:outlineLvl w:val="4"/>
    </w:pPr>
    <w:rPr>
      <w:rFonts w:ascii="等线" w:hAnsi="等线" w:eastAsia="等线" w:cs="Times New Roman"/>
      <w:b/>
      <w:bCs/>
      <w:sz w:val="28"/>
      <w:szCs w:val="28"/>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7">
    <w:name w:val="caption"/>
    <w:basedOn w:val="1"/>
    <w:next w:val="1"/>
    <w:link w:val="69"/>
    <w:qFormat/>
    <w:uiPriority w:val="35"/>
    <w:pPr>
      <w:spacing w:beforeLines="50" w:line="360" w:lineRule="auto"/>
      <w:jc w:val="center"/>
    </w:pPr>
    <w:rPr>
      <w:rFonts w:ascii="Times New Roman" w:hAnsi="Times New Roman" w:cs="Arial"/>
      <w:b/>
      <w:sz w:val="24"/>
      <w:szCs w:val="20"/>
    </w:rPr>
  </w:style>
  <w:style w:type="paragraph" w:styleId="8">
    <w:name w:val="annotation text"/>
    <w:basedOn w:val="1"/>
    <w:link w:val="46"/>
    <w:unhideWhenUsed/>
    <w:qFormat/>
    <w:uiPriority w:val="99"/>
    <w:pPr>
      <w:jc w:val="left"/>
    </w:pPr>
  </w:style>
  <w:style w:type="paragraph" w:styleId="9">
    <w:name w:val="Body Text"/>
    <w:basedOn w:val="1"/>
    <w:link w:val="49"/>
    <w:qFormat/>
    <w:uiPriority w:val="1"/>
    <w:pPr>
      <w:autoSpaceDE w:val="0"/>
      <w:autoSpaceDN w:val="0"/>
      <w:adjustRightInd w:val="0"/>
      <w:ind w:left="72"/>
      <w:jc w:val="left"/>
    </w:pPr>
    <w:rPr>
      <w:rFonts w:ascii="Times New Roman" w:hAnsi="Times New Roman" w:cs="Times New Roman"/>
      <w:kern w:val="0"/>
      <w:szCs w:val="21"/>
    </w:rPr>
  </w:style>
  <w:style w:type="paragraph" w:styleId="10">
    <w:name w:val="Balloon Text"/>
    <w:basedOn w:val="1"/>
    <w:link w:val="56"/>
    <w:unhideWhenUsed/>
    <w:qFormat/>
    <w:uiPriority w:val="99"/>
    <w:rPr>
      <w:sz w:val="18"/>
      <w:szCs w:val="18"/>
    </w:rPr>
  </w:style>
  <w:style w:type="paragraph" w:styleId="11">
    <w:name w:val="footer"/>
    <w:basedOn w:val="1"/>
    <w:link w:val="52"/>
    <w:unhideWhenUsed/>
    <w:qFormat/>
    <w:uiPriority w:val="99"/>
    <w:pPr>
      <w:tabs>
        <w:tab w:val="center" w:pos="4153"/>
        <w:tab w:val="right" w:pos="8306"/>
      </w:tabs>
      <w:snapToGrid w:val="0"/>
      <w:jc w:val="left"/>
    </w:pPr>
    <w:rPr>
      <w:sz w:val="18"/>
      <w:szCs w:val="18"/>
    </w:rPr>
  </w:style>
  <w:style w:type="paragraph" w:styleId="12">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footnote text"/>
    <w:basedOn w:val="1"/>
    <w:link w:val="53"/>
    <w:unhideWhenUsed/>
    <w:qFormat/>
    <w:uiPriority w:val="99"/>
    <w:pPr>
      <w:snapToGrid w:val="0"/>
      <w:jc w:val="left"/>
    </w:pPr>
    <w:rPr>
      <w:sz w:val="18"/>
      <w:szCs w:val="20"/>
    </w:rPr>
  </w:style>
  <w:style w:type="paragraph" w:styleId="14">
    <w:name w:val="Normal (Web)"/>
    <w:basedOn w:val="1"/>
    <w:semiHidden/>
    <w:unhideWhenUsed/>
    <w:qFormat/>
    <w:uiPriority w:val="0"/>
    <w:rPr>
      <w:rFonts w:ascii="Times New Roman" w:hAnsi="Times New Roman" w:cs="Times New Roman"/>
      <w:sz w:val="24"/>
      <w:szCs w:val="24"/>
    </w:rPr>
  </w:style>
  <w:style w:type="paragraph" w:styleId="15">
    <w:name w:val="annotation subject"/>
    <w:basedOn w:val="8"/>
    <w:next w:val="8"/>
    <w:link w:val="42"/>
    <w:unhideWhenUsed/>
    <w:qFormat/>
    <w:uiPriority w:val="99"/>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page number"/>
    <w:basedOn w:val="18"/>
    <w:unhideWhenUsed/>
    <w:qFormat/>
    <w:uiPriority w:val="0"/>
  </w:style>
  <w:style w:type="character" w:styleId="20">
    <w:name w:val="line number"/>
    <w:basedOn w:val="18"/>
    <w:unhideWhenUsed/>
    <w:qFormat/>
    <w:uiPriority w:val="99"/>
  </w:style>
  <w:style w:type="character" w:styleId="21">
    <w:name w:val="Hyperlink"/>
    <w:unhideWhenUsed/>
    <w:qFormat/>
    <w:uiPriority w:val="99"/>
    <w:rPr>
      <w:color w:val="0000FF"/>
      <w:u w:val="single"/>
    </w:rPr>
  </w:style>
  <w:style w:type="character" w:styleId="22">
    <w:name w:val="annotation reference"/>
    <w:unhideWhenUsed/>
    <w:qFormat/>
    <w:uiPriority w:val="99"/>
    <w:rPr>
      <w:sz w:val="21"/>
      <w:szCs w:val="21"/>
    </w:rPr>
  </w:style>
  <w:style w:type="character" w:customStyle="1" w:styleId="23">
    <w:name w:val="EndNote Bibliography Char"/>
    <w:link w:val="24"/>
    <w:qFormat/>
    <w:uiPriority w:val="0"/>
    <w:rPr>
      <w:rFonts w:ascii="Calibri" w:hAnsi="Calibri" w:cs="Calibri"/>
      <w:kern w:val="2"/>
      <w:szCs w:val="22"/>
    </w:rPr>
  </w:style>
  <w:style w:type="paragraph" w:customStyle="1" w:styleId="24">
    <w:name w:val="EndNote Bibliography"/>
    <w:basedOn w:val="1"/>
    <w:link w:val="23"/>
    <w:qFormat/>
    <w:uiPriority w:val="0"/>
    <w:rPr>
      <w:rFonts w:cs="Calibri"/>
      <w:sz w:val="20"/>
    </w:rPr>
  </w:style>
  <w:style w:type="character" w:customStyle="1" w:styleId="25">
    <w:name w:val="样式3 Char"/>
    <w:link w:val="26"/>
    <w:qFormat/>
    <w:uiPriority w:val="0"/>
    <w:rPr>
      <w:rFonts w:ascii="Cambria" w:hAnsi="Cambria" w:eastAsia="宋体" w:cs="黑体"/>
      <w:b/>
      <w:bCs/>
      <w:sz w:val="30"/>
      <w:szCs w:val="32"/>
    </w:rPr>
  </w:style>
  <w:style w:type="paragraph" w:customStyle="1" w:styleId="26">
    <w:name w:val="样式3"/>
    <w:link w:val="25"/>
    <w:qFormat/>
    <w:uiPriority w:val="0"/>
    <w:rPr>
      <w:rFonts w:ascii="Cambria" w:hAnsi="Cambria" w:eastAsia="宋体" w:cs="黑体"/>
      <w:b/>
      <w:bCs/>
      <w:kern w:val="2"/>
      <w:sz w:val="30"/>
      <w:szCs w:val="32"/>
      <w:lang w:val="en-US" w:eastAsia="zh-CN" w:bidi="ar-SA"/>
    </w:rPr>
  </w:style>
  <w:style w:type="character" w:customStyle="1" w:styleId="27">
    <w:name w:val="01题目 Char"/>
    <w:link w:val="28"/>
    <w:qFormat/>
    <w:uiPriority w:val="0"/>
    <w:rPr>
      <w:rFonts w:ascii="方正黑体_GBK" w:hAnsi="Times New Roman" w:eastAsia="方正黑体_GBK"/>
      <w:bCs/>
      <w:kern w:val="44"/>
      <w:sz w:val="44"/>
      <w:szCs w:val="44"/>
    </w:rPr>
  </w:style>
  <w:style w:type="paragraph" w:customStyle="1" w:styleId="28">
    <w:name w:val="01题目"/>
    <w:next w:val="1"/>
    <w:link w:val="27"/>
    <w:qFormat/>
    <w:uiPriority w:val="0"/>
    <w:pPr>
      <w:jc w:val="center"/>
    </w:pPr>
    <w:rPr>
      <w:rFonts w:ascii="方正黑体_GBK" w:hAnsi="Times New Roman" w:eastAsia="方正黑体_GBK" w:cs="黑体"/>
      <w:bCs/>
      <w:kern w:val="44"/>
      <w:sz w:val="44"/>
      <w:szCs w:val="44"/>
      <w:lang w:val="en-US" w:eastAsia="zh-CN" w:bidi="ar-SA"/>
    </w:rPr>
  </w:style>
  <w:style w:type="character" w:customStyle="1" w:styleId="29">
    <w:name w:val="占位符文本1"/>
    <w:semiHidden/>
    <w:qFormat/>
    <w:uiPriority w:val="99"/>
    <w:rPr>
      <w:color w:val="808080"/>
    </w:rPr>
  </w:style>
  <w:style w:type="character" w:customStyle="1" w:styleId="30">
    <w:name w:val="标题 3 字符"/>
    <w:link w:val="4"/>
    <w:qFormat/>
    <w:uiPriority w:val="9"/>
    <w:rPr>
      <w:b/>
      <w:bCs/>
      <w:sz w:val="32"/>
      <w:szCs w:val="32"/>
    </w:rPr>
  </w:style>
  <w:style w:type="character" w:customStyle="1" w:styleId="31">
    <w:name w:val="标题 1 字符"/>
    <w:link w:val="2"/>
    <w:qFormat/>
    <w:uiPriority w:val="9"/>
    <w:rPr>
      <w:rFonts w:eastAsia="黑体"/>
      <w:bCs/>
      <w:kern w:val="44"/>
      <w:sz w:val="44"/>
      <w:szCs w:val="44"/>
    </w:rPr>
  </w:style>
  <w:style w:type="character" w:customStyle="1" w:styleId="32">
    <w:name w:val="15"/>
    <w:qFormat/>
    <w:uiPriority w:val="0"/>
    <w:rPr>
      <w:rFonts w:hint="eastAsia" w:ascii="黑体" w:hAnsi="黑体" w:eastAsia="黑体"/>
      <w:color w:val="0000FF"/>
      <w:u w:val="single"/>
    </w:rPr>
  </w:style>
  <w:style w:type="character" w:customStyle="1" w:styleId="33">
    <w:name w:val="00公式 Char"/>
    <w:basedOn w:val="18"/>
    <w:link w:val="34"/>
    <w:qFormat/>
    <w:uiPriority w:val="0"/>
  </w:style>
  <w:style w:type="paragraph" w:customStyle="1" w:styleId="34">
    <w:name w:val="00公式"/>
    <w:link w:val="33"/>
    <w:qFormat/>
    <w:uiPriority w:val="0"/>
    <w:pPr>
      <w:tabs>
        <w:tab w:val="center" w:pos="2268"/>
        <w:tab w:val="right" w:pos="4536"/>
      </w:tabs>
      <w:jc w:val="center"/>
    </w:pPr>
    <w:rPr>
      <w:rFonts w:ascii="Calibri" w:hAnsi="Calibri" w:eastAsia="宋体" w:cs="黑体"/>
      <w:kern w:val="2"/>
      <w:sz w:val="21"/>
      <w:szCs w:val="22"/>
      <w:lang w:val="en-US" w:eastAsia="zh-CN" w:bidi="ar-SA"/>
    </w:rPr>
  </w:style>
  <w:style w:type="character" w:customStyle="1" w:styleId="35">
    <w:name w:val="03单位 Char"/>
    <w:link w:val="36"/>
    <w:qFormat/>
    <w:uiPriority w:val="0"/>
    <w:rPr>
      <w:rFonts w:ascii="宋体" w:hAnsi="宋体"/>
      <w:szCs w:val="21"/>
    </w:rPr>
  </w:style>
  <w:style w:type="paragraph" w:customStyle="1" w:styleId="36">
    <w:name w:val="03单位"/>
    <w:next w:val="1"/>
    <w:link w:val="35"/>
    <w:qFormat/>
    <w:uiPriority w:val="0"/>
    <w:pPr>
      <w:ind w:left="170" w:hanging="170"/>
      <w:jc w:val="center"/>
    </w:pPr>
    <w:rPr>
      <w:rFonts w:ascii="宋体" w:hAnsi="宋体" w:eastAsia="宋体" w:cs="黑体"/>
      <w:kern w:val="2"/>
      <w:sz w:val="21"/>
      <w:szCs w:val="21"/>
      <w:lang w:val="en-US" w:eastAsia="zh-CN" w:bidi="ar-SA"/>
    </w:rPr>
  </w:style>
  <w:style w:type="character" w:customStyle="1" w:styleId="37">
    <w:name w:val="标题1 Char"/>
    <w:link w:val="38"/>
    <w:qFormat/>
    <w:uiPriority w:val="0"/>
    <w:rPr>
      <w:rFonts w:eastAsia="宋体"/>
      <w:b/>
      <w:bCs/>
      <w:kern w:val="44"/>
      <w:sz w:val="28"/>
      <w:szCs w:val="44"/>
    </w:rPr>
  </w:style>
  <w:style w:type="paragraph" w:customStyle="1" w:styleId="38">
    <w:name w:val="标题1"/>
    <w:next w:val="1"/>
    <w:link w:val="37"/>
    <w:qFormat/>
    <w:uiPriority w:val="0"/>
    <w:pPr>
      <w:ind w:firstLine="880"/>
    </w:pPr>
    <w:rPr>
      <w:rFonts w:ascii="Calibri" w:hAnsi="Calibri" w:eastAsia="宋体" w:cs="黑体"/>
      <w:b/>
      <w:bCs/>
      <w:kern w:val="44"/>
      <w:sz w:val="28"/>
      <w:szCs w:val="44"/>
      <w:lang w:val="en-US" w:eastAsia="zh-CN" w:bidi="ar-SA"/>
    </w:rPr>
  </w:style>
  <w:style w:type="character" w:customStyle="1" w:styleId="39">
    <w:name w:val="02作者 Char"/>
    <w:link w:val="40"/>
    <w:qFormat/>
    <w:uiPriority w:val="0"/>
    <w:rPr>
      <w:rFonts w:ascii="宋体" w:hAnsi="宋体"/>
      <w:sz w:val="28"/>
      <w:szCs w:val="28"/>
    </w:rPr>
  </w:style>
  <w:style w:type="paragraph" w:customStyle="1" w:styleId="40">
    <w:name w:val="02作者"/>
    <w:next w:val="1"/>
    <w:link w:val="39"/>
    <w:qFormat/>
    <w:uiPriority w:val="0"/>
    <w:pPr>
      <w:jc w:val="center"/>
    </w:pPr>
    <w:rPr>
      <w:rFonts w:ascii="宋体" w:hAnsi="宋体" w:eastAsia="宋体" w:cs="黑体"/>
      <w:kern w:val="2"/>
      <w:sz w:val="28"/>
      <w:szCs w:val="28"/>
      <w:lang w:val="en-US" w:eastAsia="zh-CN" w:bidi="ar-SA"/>
    </w:rPr>
  </w:style>
  <w:style w:type="character" w:customStyle="1" w:styleId="41">
    <w:name w:val="标题 2 字符"/>
    <w:link w:val="3"/>
    <w:qFormat/>
    <w:uiPriority w:val="9"/>
    <w:rPr>
      <w:rFonts w:ascii="Cambria" w:hAnsi="Cambria" w:eastAsia="黑体" w:cs="黑体"/>
      <w:bCs/>
      <w:sz w:val="30"/>
      <w:szCs w:val="32"/>
    </w:rPr>
  </w:style>
  <w:style w:type="character" w:customStyle="1" w:styleId="42">
    <w:name w:val="批注主题 字符"/>
    <w:link w:val="15"/>
    <w:semiHidden/>
    <w:qFormat/>
    <w:uiPriority w:val="99"/>
    <w:rPr>
      <w:b/>
      <w:bCs/>
    </w:rPr>
  </w:style>
  <w:style w:type="character" w:customStyle="1" w:styleId="43">
    <w:name w:val="05关键词 Char"/>
    <w:link w:val="44"/>
    <w:qFormat/>
    <w:uiPriority w:val="0"/>
    <w:rPr>
      <w:rFonts w:ascii="宋体" w:hAnsi="宋体"/>
      <w:sz w:val="18"/>
      <w:szCs w:val="18"/>
    </w:rPr>
  </w:style>
  <w:style w:type="paragraph" w:customStyle="1" w:styleId="44">
    <w:name w:val="05关键词"/>
    <w:next w:val="1"/>
    <w:link w:val="43"/>
    <w:qFormat/>
    <w:uiPriority w:val="0"/>
    <w:pPr>
      <w:spacing w:afterLines="100"/>
    </w:pPr>
    <w:rPr>
      <w:rFonts w:ascii="宋体" w:hAnsi="宋体" w:eastAsia="宋体" w:cs="黑体"/>
      <w:kern w:val="2"/>
      <w:sz w:val="18"/>
      <w:szCs w:val="18"/>
      <w:lang w:val="en-US" w:eastAsia="zh-CN" w:bidi="ar-SA"/>
    </w:rPr>
  </w:style>
  <w:style w:type="character" w:customStyle="1" w:styleId="45">
    <w:name w:val="页眉 字符"/>
    <w:link w:val="12"/>
    <w:qFormat/>
    <w:uiPriority w:val="99"/>
    <w:rPr>
      <w:sz w:val="18"/>
      <w:szCs w:val="18"/>
    </w:rPr>
  </w:style>
  <w:style w:type="character" w:customStyle="1" w:styleId="46">
    <w:name w:val="批注文字 字符"/>
    <w:basedOn w:val="18"/>
    <w:link w:val="8"/>
    <w:semiHidden/>
    <w:qFormat/>
    <w:uiPriority w:val="99"/>
  </w:style>
  <w:style w:type="character" w:customStyle="1" w:styleId="47">
    <w:name w:val="04摘要 Char"/>
    <w:link w:val="48"/>
    <w:qFormat/>
    <w:uiPriority w:val="0"/>
    <w:rPr>
      <w:rFonts w:ascii="宋体" w:hAnsi="宋体"/>
      <w:sz w:val="18"/>
      <w:szCs w:val="18"/>
    </w:rPr>
  </w:style>
  <w:style w:type="paragraph" w:customStyle="1" w:styleId="48">
    <w:name w:val="04摘要"/>
    <w:next w:val="1"/>
    <w:link w:val="47"/>
    <w:qFormat/>
    <w:uiPriority w:val="0"/>
    <w:pPr>
      <w:spacing w:beforeLines="100"/>
    </w:pPr>
    <w:rPr>
      <w:rFonts w:ascii="宋体" w:hAnsi="宋体" w:eastAsia="宋体" w:cs="黑体"/>
      <w:kern w:val="2"/>
      <w:sz w:val="18"/>
      <w:szCs w:val="18"/>
      <w:lang w:val="en-US" w:eastAsia="zh-CN" w:bidi="ar-SA"/>
    </w:rPr>
  </w:style>
  <w:style w:type="character" w:customStyle="1" w:styleId="49">
    <w:name w:val="正文文本 字符"/>
    <w:link w:val="9"/>
    <w:qFormat/>
    <w:uiPriority w:val="1"/>
    <w:rPr>
      <w:rFonts w:ascii="Times New Roman" w:hAnsi="Times New Roman" w:cs="Times New Roman"/>
      <w:kern w:val="0"/>
      <w:szCs w:val="21"/>
    </w:rPr>
  </w:style>
  <w:style w:type="character" w:customStyle="1" w:styleId="50">
    <w:name w:val="00参考文献 Char"/>
    <w:link w:val="51"/>
    <w:qFormat/>
    <w:uiPriority w:val="0"/>
    <w:rPr>
      <w:rFonts w:ascii="宋体" w:hAnsi="宋体" w:cs="Times New Roman"/>
      <w:sz w:val="18"/>
      <w:szCs w:val="18"/>
    </w:rPr>
  </w:style>
  <w:style w:type="paragraph" w:customStyle="1" w:styleId="51">
    <w:name w:val="00参考文献"/>
    <w:link w:val="50"/>
    <w:qFormat/>
    <w:uiPriority w:val="0"/>
    <w:pPr>
      <w:numPr>
        <w:ilvl w:val="0"/>
        <w:numId w:val="1"/>
      </w:numPr>
    </w:pPr>
    <w:rPr>
      <w:rFonts w:ascii="宋体" w:hAnsi="宋体" w:eastAsia="宋体" w:cs="Times New Roman"/>
      <w:kern w:val="2"/>
      <w:sz w:val="18"/>
      <w:szCs w:val="18"/>
      <w:lang w:val="en-US" w:eastAsia="zh-CN" w:bidi="ar-SA"/>
    </w:rPr>
  </w:style>
  <w:style w:type="character" w:customStyle="1" w:styleId="52">
    <w:name w:val="页脚 字符"/>
    <w:link w:val="11"/>
    <w:qFormat/>
    <w:uiPriority w:val="99"/>
    <w:rPr>
      <w:sz w:val="18"/>
      <w:szCs w:val="18"/>
    </w:rPr>
  </w:style>
  <w:style w:type="character" w:customStyle="1" w:styleId="53">
    <w:name w:val="脚注文本 字符"/>
    <w:link w:val="13"/>
    <w:qFormat/>
    <w:uiPriority w:val="99"/>
    <w:rPr>
      <w:rFonts w:ascii="Calibri" w:hAnsi="Calibri" w:cs="黑体"/>
      <w:kern w:val="2"/>
      <w:sz w:val="18"/>
    </w:rPr>
  </w:style>
  <w:style w:type="character" w:customStyle="1" w:styleId="54">
    <w:name w:val="样式2 Char"/>
    <w:link w:val="55"/>
    <w:qFormat/>
    <w:uiPriority w:val="0"/>
    <w:rPr>
      <w:rFonts w:ascii="宋体" w:hAnsi="宋体" w:eastAsia="宋体"/>
      <w:b/>
      <w:bCs/>
      <w:szCs w:val="21"/>
    </w:rPr>
  </w:style>
  <w:style w:type="paragraph" w:customStyle="1" w:styleId="55">
    <w:name w:val="样式2"/>
    <w:link w:val="54"/>
    <w:qFormat/>
    <w:uiPriority w:val="0"/>
    <w:rPr>
      <w:rFonts w:ascii="宋体" w:hAnsi="宋体" w:eastAsia="宋体" w:cs="黑体"/>
      <w:b/>
      <w:bCs/>
      <w:kern w:val="2"/>
      <w:sz w:val="21"/>
      <w:szCs w:val="21"/>
      <w:lang w:val="en-US" w:eastAsia="zh-CN" w:bidi="ar-SA"/>
    </w:rPr>
  </w:style>
  <w:style w:type="character" w:customStyle="1" w:styleId="56">
    <w:name w:val="批注框文本 字符"/>
    <w:link w:val="10"/>
    <w:semiHidden/>
    <w:qFormat/>
    <w:uiPriority w:val="99"/>
    <w:rPr>
      <w:rFonts w:ascii="Times New Roman" w:hAnsi="Times New Roman"/>
      <w:sz w:val="18"/>
      <w:szCs w:val="18"/>
    </w:rPr>
  </w:style>
  <w:style w:type="paragraph" w:customStyle="1" w:styleId="57">
    <w:name w:val="样式4"/>
    <w:basedOn w:val="38"/>
    <w:qFormat/>
    <w:uiPriority w:val="0"/>
    <w:pPr>
      <w:ind w:firstLine="0"/>
    </w:pPr>
    <w:rPr>
      <w:rFonts w:ascii="Times New Roman" w:hAnsi="Times New Roman" w:cs="Times New Roman"/>
    </w:rPr>
  </w:style>
  <w:style w:type="paragraph" w:customStyle="1" w:styleId="58">
    <w:name w:val="无间隔1"/>
    <w:qFormat/>
    <w:uiPriority w:val="1"/>
    <w:pPr>
      <w:widowControl w:val="0"/>
      <w:jc w:val="center"/>
    </w:pPr>
    <w:rPr>
      <w:rFonts w:ascii="Calibri" w:hAnsi="Calibri" w:eastAsia="楷体" w:cs="黑体"/>
      <w:kern w:val="2"/>
      <w:sz w:val="21"/>
      <w:szCs w:val="22"/>
      <w:lang w:val="en-US" w:eastAsia="zh-CN" w:bidi="ar-SA"/>
    </w:rPr>
  </w:style>
  <w:style w:type="paragraph" w:customStyle="1" w:styleId="59">
    <w:name w:val="TableCHeading"/>
    <w:basedOn w:val="1"/>
    <w:next w:val="1"/>
    <w:qFormat/>
    <w:uiPriority w:val="0"/>
    <w:pPr>
      <w:spacing w:beforeLines="100"/>
      <w:jc w:val="center"/>
    </w:pPr>
    <w:rPr>
      <w:rFonts w:ascii="Times New Roman" w:hAnsi="Times New Roman" w:eastAsia="黑体" w:cs="Times New Roman"/>
      <w:b/>
      <w:bCs/>
      <w:sz w:val="18"/>
      <w:szCs w:val="20"/>
    </w:rPr>
  </w:style>
  <w:style w:type="paragraph" w:customStyle="1" w:styleId="60">
    <w:name w:val="16英文表题"/>
    <w:qFormat/>
    <w:uiPriority w:val="0"/>
    <w:pPr>
      <w:adjustRightInd w:val="0"/>
      <w:snapToGrid w:val="0"/>
      <w:spacing w:afterLines="30"/>
      <w:jc w:val="center"/>
    </w:pPr>
    <w:rPr>
      <w:rFonts w:ascii="Times bold" w:hAnsi="Times bold" w:eastAsia="黑体" w:cs="黑体"/>
      <w:kern w:val="2"/>
      <w:sz w:val="18"/>
      <w:szCs w:val="22"/>
      <w:lang w:val="en-US" w:eastAsia="zh-CN" w:bidi="ar-SA"/>
    </w:rPr>
  </w:style>
  <w:style w:type="paragraph" w:customStyle="1" w:styleId="61">
    <w:name w:val="样式5"/>
    <w:basedOn w:val="57"/>
    <w:qFormat/>
    <w:uiPriority w:val="0"/>
    <w:pPr>
      <w:spacing w:beforeLines="50" w:afterLines="50"/>
    </w:pPr>
  </w:style>
  <w:style w:type="paragraph" w:customStyle="1" w:styleId="62">
    <w:name w:val="17表格内容"/>
    <w:basedOn w:val="1"/>
    <w:qFormat/>
    <w:uiPriority w:val="0"/>
    <w:pPr>
      <w:widowControl/>
      <w:adjustRightInd w:val="0"/>
      <w:snapToGrid w:val="0"/>
      <w:jc w:val="center"/>
    </w:pPr>
    <w:rPr>
      <w:rFonts w:ascii="Times New Roman" w:hAnsi="Times New Roman"/>
      <w:spacing w:val="4"/>
      <w:sz w:val="18"/>
      <w:szCs w:val="44"/>
    </w:rPr>
  </w:style>
  <w:style w:type="paragraph" w:customStyle="1" w:styleId="63">
    <w:name w:val="样式1"/>
    <w:basedOn w:val="12"/>
    <w:next w:val="1"/>
    <w:qFormat/>
    <w:uiPriority w:val="0"/>
    <w:rPr>
      <w:rFonts w:eastAsia="Times New Roman"/>
      <w:sz w:val="36"/>
    </w:rPr>
  </w:style>
  <w:style w:type="paragraph" w:customStyle="1" w:styleId="64">
    <w:name w:val="列出段落1"/>
    <w:basedOn w:val="1"/>
    <w:qFormat/>
    <w:uiPriority w:val="34"/>
    <w:pPr>
      <w:ind w:firstLine="420" w:firstLineChars="200"/>
    </w:pPr>
    <w:rPr>
      <w:rFonts w:ascii="宋体" w:hAnsi="宋体"/>
      <w:sz w:val="24"/>
    </w:rPr>
  </w:style>
  <w:style w:type="paragraph" w:customStyle="1" w:styleId="65">
    <w:name w:val="样式6"/>
    <w:basedOn w:val="61"/>
    <w:qFormat/>
    <w:uiPriority w:val="0"/>
    <w:pPr>
      <w:spacing w:beforeLines="0" w:afterLines="0"/>
    </w:pPr>
  </w:style>
  <w:style w:type="paragraph" w:customStyle="1" w:styleId="66">
    <w:name w:val="15中文表题"/>
    <w:qFormat/>
    <w:uiPriority w:val="0"/>
    <w:pPr>
      <w:adjustRightInd w:val="0"/>
      <w:snapToGrid w:val="0"/>
      <w:spacing w:beforeLines="30"/>
      <w:jc w:val="center"/>
    </w:pPr>
    <w:rPr>
      <w:rFonts w:ascii="Times bold" w:hAnsi="Times bold" w:eastAsia="黑体" w:cs="黑体"/>
      <w:spacing w:val="4"/>
      <w:kern w:val="2"/>
      <w:sz w:val="18"/>
      <w:szCs w:val="22"/>
      <w:lang w:val="en-US" w:eastAsia="zh-CN" w:bidi="ar-SA"/>
    </w:rPr>
  </w:style>
  <w:style w:type="character" w:customStyle="1" w:styleId="67">
    <w:name w:val="标题 4 字符"/>
    <w:link w:val="5"/>
    <w:qFormat/>
    <w:uiPriority w:val="9"/>
    <w:rPr>
      <w:rFonts w:ascii="等线 Light" w:hAnsi="等线 Light" w:eastAsia="等线 Light"/>
      <w:b/>
      <w:bCs/>
      <w:kern w:val="2"/>
      <w:sz w:val="28"/>
      <w:szCs w:val="28"/>
    </w:rPr>
  </w:style>
  <w:style w:type="character" w:customStyle="1" w:styleId="68">
    <w:name w:val="标题 5 字符"/>
    <w:link w:val="6"/>
    <w:qFormat/>
    <w:uiPriority w:val="9"/>
    <w:rPr>
      <w:rFonts w:ascii="等线" w:hAnsi="等线" w:eastAsia="等线"/>
      <w:b/>
      <w:bCs/>
      <w:kern w:val="2"/>
      <w:sz w:val="28"/>
      <w:szCs w:val="28"/>
    </w:rPr>
  </w:style>
  <w:style w:type="character" w:customStyle="1" w:styleId="69">
    <w:name w:val="题注 字符"/>
    <w:link w:val="7"/>
    <w:qFormat/>
    <w:uiPriority w:val="35"/>
    <w:rPr>
      <w:rFonts w:cs="Arial"/>
      <w:b/>
      <w:kern w:val="2"/>
      <w:sz w:val="24"/>
    </w:rPr>
  </w:style>
  <w:style w:type="paragraph" w:customStyle="1" w:styleId="70">
    <w:name w:val="表格文字"/>
    <w:basedOn w:val="1"/>
    <w:link w:val="71"/>
    <w:qFormat/>
    <w:uiPriority w:val="0"/>
    <w:pPr>
      <w:adjustRightInd w:val="0"/>
      <w:snapToGrid w:val="0"/>
      <w:jc w:val="center"/>
    </w:pPr>
    <w:rPr>
      <w:rFonts w:ascii="Times New Roman" w:hAnsi="Times New Roman" w:cs="Times New Roman"/>
      <w:sz w:val="18"/>
      <w:szCs w:val="21"/>
      <w:lang w:val="zh-CN"/>
    </w:rPr>
  </w:style>
  <w:style w:type="character" w:customStyle="1" w:styleId="71">
    <w:name w:val="表格文字 字符"/>
    <w:link w:val="70"/>
    <w:qFormat/>
    <w:uiPriority w:val="0"/>
    <w:rPr>
      <w:kern w:val="2"/>
      <w:sz w:val="18"/>
      <w:szCs w:val="21"/>
      <w:lang w:val="zh-CN" w:eastAsia="zh-CN"/>
    </w:rPr>
  </w:style>
  <w:style w:type="table" w:customStyle="1" w:styleId="72">
    <w:name w:val="无格式表格 21"/>
    <w:basedOn w:val="16"/>
    <w:qFormat/>
    <w:uiPriority w:val="42"/>
    <w:rPr>
      <w:rFonts w:ascii="等线" w:hAnsi="等线" w:eastAsia="等线"/>
      <w:kern w:val="2"/>
      <w:sz w:val="21"/>
      <w:szCs w:val="22"/>
    </w:rPr>
    <w:tblPr>
      <w:tblBorders>
        <w:top w:val="single" w:color="7F7F7F" w:sz="4" w:space="0"/>
        <w:bottom w:val="single" w:color="7F7F7F" w:sz="4" w:space="0"/>
      </w:tblBorders>
    </w:tblPr>
    <w:tblStylePr w:type="firstRow">
      <w:rPr>
        <w:b/>
        <w:bCs/>
      </w:rPr>
      <w:tcPr>
        <w:tcBorders>
          <w:bottom w:val="single" w:color="7F7F7F" w:sz="4" w:space="0"/>
        </w:tcBorders>
      </w:tcPr>
    </w:tblStylePr>
    <w:tblStylePr w:type="lastRow">
      <w:rPr>
        <w:b/>
        <w:bCs/>
      </w:rPr>
      <w:tcPr>
        <w:tcBorders>
          <w:top w:val="single" w:color="7F7F7F" w:sz="4" w:space="0"/>
        </w:tcBorders>
      </w:tcPr>
    </w:tblStylePr>
    <w:tblStylePr w:type="firstCol">
      <w:rPr>
        <w:b/>
        <w:bCs/>
      </w:rPr>
    </w:tblStylePr>
    <w:tblStylePr w:type="lastCol">
      <w:rPr>
        <w:b/>
        <w:bCs/>
      </w:rPr>
    </w:tblStylePr>
    <w:tblStylePr w:type="band1Vert">
      <w:tcPr>
        <w:tcBorders>
          <w:left w:val="single" w:color="7F7F7F" w:sz="4" w:space="0"/>
          <w:right w:val="single" w:color="7F7F7F" w:sz="4" w:space="0"/>
        </w:tcBorders>
      </w:tcPr>
    </w:tblStylePr>
    <w:tblStylePr w:type="band2Vert">
      <w:tcPr>
        <w:tcBorders>
          <w:left w:val="single" w:color="7F7F7F" w:sz="4" w:space="0"/>
          <w:right w:val="single" w:color="7F7F7F" w:sz="4" w:space="0"/>
        </w:tcBorders>
      </w:tcPr>
    </w:tblStylePr>
    <w:tblStylePr w:type="band1Horz">
      <w:tcPr>
        <w:tcBorders>
          <w:top w:val="single" w:color="7F7F7F" w:sz="4" w:space="0"/>
          <w:bottom w:val="single" w:color="7F7F7F" w:sz="4" w:space="0"/>
        </w:tcBorders>
      </w:tcPr>
    </w:tblStylePr>
  </w:style>
  <w:style w:type="table" w:customStyle="1" w:styleId="73">
    <w:name w:val="表格型"/>
    <w:basedOn w:val="16"/>
    <w:qFormat/>
    <w:uiPriority w:val="99"/>
    <w:pPr>
      <w:jc w:val="center"/>
    </w:pPr>
    <w:tblPr>
      <w:jc w:val="center"/>
    </w:tblPr>
    <w:trPr>
      <w:jc w:val="center"/>
    </w:trPr>
    <w:tcPr>
      <w:vAlign w:val="center"/>
    </w:tcPr>
  </w:style>
  <w:style w:type="paragraph" w:styleId="74">
    <w:name w:val="List Paragraph"/>
    <w:basedOn w:val="1"/>
    <w:qFormat/>
    <w:uiPriority w:val="99"/>
    <w:pPr>
      <w:ind w:firstLine="420" w:firstLineChars="200"/>
    </w:pPr>
  </w:style>
  <w:style w:type="character" w:styleId="75">
    <w:name w:val="Placeholder Text"/>
    <w:basedOn w:val="18"/>
    <w:unhideWhenUsed/>
    <w:qFormat/>
    <w:uiPriority w:val="99"/>
    <w:rPr>
      <w:color w:val="666666"/>
    </w:rPr>
  </w:style>
  <w:style w:type="character" w:customStyle="1" w:styleId="76">
    <w:name w:val="MTConvertedEquation"/>
    <w:basedOn w:val="18"/>
    <w:qFormat/>
    <w:uiPriority w:val="0"/>
    <w:rPr>
      <w:rFonts w:ascii="Times New Roman" w:hAnsi="Times New Roman" w:cs="Times New Roman"/>
      <w:color w:val="FF0000"/>
      <w:kern w:val="0"/>
      <w:szCs w:val="21"/>
    </w:rPr>
  </w:style>
  <w:style w:type="character" w:customStyle="1" w:styleId="77">
    <w:name w:val="未处理的提及1"/>
    <w:basedOn w:val="18"/>
    <w:semiHidden/>
    <w:unhideWhenUsed/>
    <w:qFormat/>
    <w:uiPriority w:val="99"/>
    <w:rPr>
      <w:color w:val="605E5C"/>
      <w:shd w:val="clear" w:color="auto" w:fill="E1DFDD"/>
    </w:rPr>
  </w:style>
  <w:style w:type="paragraph" w:customStyle="1" w:styleId="78">
    <w:name w:val="EndNote Bibliography Title"/>
    <w:basedOn w:val="1"/>
    <w:link w:val="79"/>
    <w:qFormat/>
    <w:uiPriority w:val="0"/>
    <w:pPr>
      <w:jc w:val="center"/>
    </w:pPr>
    <w:rPr>
      <w:rFonts w:cs="Calibri"/>
      <w:sz w:val="20"/>
    </w:rPr>
  </w:style>
  <w:style w:type="character" w:customStyle="1" w:styleId="79">
    <w:name w:val="EndNote Bibliography Title 字符"/>
    <w:basedOn w:val="18"/>
    <w:link w:val="78"/>
    <w:qFormat/>
    <w:uiPriority w:val="0"/>
    <w:rPr>
      <w:rFonts w:ascii="Calibri" w:hAnsi="Calibri" w:cs="Calibri"/>
      <w:kern w:val="2"/>
      <w:szCs w:val="22"/>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46.bin"/><Relationship Id="rId98" Type="http://schemas.openxmlformats.org/officeDocument/2006/relationships/image" Target="media/image42.wmf"/><Relationship Id="rId97" Type="http://schemas.openxmlformats.org/officeDocument/2006/relationships/oleObject" Target="embeddings/oleObject45.bin"/><Relationship Id="rId96" Type="http://schemas.openxmlformats.org/officeDocument/2006/relationships/image" Target="media/image41.wmf"/><Relationship Id="rId95" Type="http://schemas.openxmlformats.org/officeDocument/2006/relationships/oleObject" Target="embeddings/oleObject44.bin"/><Relationship Id="rId94" Type="http://schemas.openxmlformats.org/officeDocument/2006/relationships/image" Target="media/image40.wmf"/><Relationship Id="rId93" Type="http://schemas.openxmlformats.org/officeDocument/2006/relationships/oleObject" Target="embeddings/oleObject43.bin"/><Relationship Id="rId92" Type="http://schemas.openxmlformats.org/officeDocument/2006/relationships/image" Target="media/image39.wmf"/><Relationship Id="rId91" Type="http://schemas.openxmlformats.org/officeDocument/2006/relationships/oleObject" Target="embeddings/oleObject42.bin"/><Relationship Id="rId90" Type="http://schemas.openxmlformats.org/officeDocument/2006/relationships/image" Target="media/image38.wmf"/><Relationship Id="rId9" Type="http://schemas.openxmlformats.org/officeDocument/2006/relationships/header" Target="header4.xml"/><Relationship Id="rId89" Type="http://schemas.openxmlformats.org/officeDocument/2006/relationships/oleObject" Target="embeddings/oleObject41.bin"/><Relationship Id="rId88" Type="http://schemas.openxmlformats.org/officeDocument/2006/relationships/image" Target="media/image37.wmf"/><Relationship Id="rId87" Type="http://schemas.openxmlformats.org/officeDocument/2006/relationships/oleObject" Target="embeddings/oleObject40.bin"/><Relationship Id="rId86" Type="http://schemas.openxmlformats.org/officeDocument/2006/relationships/image" Target="media/image36.wmf"/><Relationship Id="rId85" Type="http://schemas.openxmlformats.org/officeDocument/2006/relationships/oleObject" Target="embeddings/oleObject39.bin"/><Relationship Id="rId84" Type="http://schemas.openxmlformats.org/officeDocument/2006/relationships/image" Target="media/image35.wmf"/><Relationship Id="rId83" Type="http://schemas.openxmlformats.org/officeDocument/2006/relationships/oleObject" Target="embeddings/oleObject38.bin"/><Relationship Id="rId82" Type="http://schemas.openxmlformats.org/officeDocument/2006/relationships/oleObject" Target="embeddings/oleObject37.bin"/><Relationship Id="rId81" Type="http://schemas.openxmlformats.org/officeDocument/2006/relationships/image" Target="media/image34.wmf"/><Relationship Id="rId80" Type="http://schemas.openxmlformats.org/officeDocument/2006/relationships/oleObject" Target="embeddings/oleObject36.bin"/><Relationship Id="rId8" Type="http://schemas.openxmlformats.org/officeDocument/2006/relationships/footer" Target="footer3.xml"/><Relationship Id="rId79" Type="http://schemas.openxmlformats.org/officeDocument/2006/relationships/image" Target="media/image33.wmf"/><Relationship Id="rId78" Type="http://schemas.openxmlformats.org/officeDocument/2006/relationships/oleObject" Target="embeddings/oleObject35.bin"/><Relationship Id="rId77" Type="http://schemas.openxmlformats.org/officeDocument/2006/relationships/image" Target="media/image32.wmf"/><Relationship Id="rId76" Type="http://schemas.openxmlformats.org/officeDocument/2006/relationships/oleObject" Target="embeddings/oleObject34.bin"/><Relationship Id="rId75" Type="http://schemas.openxmlformats.org/officeDocument/2006/relationships/image" Target="media/image31.wmf"/><Relationship Id="rId74" Type="http://schemas.openxmlformats.org/officeDocument/2006/relationships/oleObject" Target="embeddings/oleObject33.bin"/><Relationship Id="rId73" Type="http://schemas.openxmlformats.org/officeDocument/2006/relationships/image" Target="media/image30.wmf"/><Relationship Id="rId72" Type="http://schemas.openxmlformats.org/officeDocument/2006/relationships/oleObject" Target="embeddings/oleObject32.bin"/><Relationship Id="rId71" Type="http://schemas.openxmlformats.org/officeDocument/2006/relationships/image" Target="media/image29.wmf"/><Relationship Id="rId70" Type="http://schemas.openxmlformats.org/officeDocument/2006/relationships/oleObject" Target="embeddings/oleObject31.bin"/><Relationship Id="rId7" Type="http://schemas.openxmlformats.org/officeDocument/2006/relationships/footer" Target="footer2.xml"/><Relationship Id="rId69" Type="http://schemas.openxmlformats.org/officeDocument/2006/relationships/image" Target="media/image28.wmf"/><Relationship Id="rId68" Type="http://schemas.openxmlformats.org/officeDocument/2006/relationships/oleObject" Target="embeddings/oleObject30.bin"/><Relationship Id="rId67" Type="http://schemas.openxmlformats.org/officeDocument/2006/relationships/image" Target="media/image27.wmf"/><Relationship Id="rId66" Type="http://schemas.openxmlformats.org/officeDocument/2006/relationships/oleObject" Target="embeddings/oleObject29.bin"/><Relationship Id="rId65" Type="http://schemas.openxmlformats.org/officeDocument/2006/relationships/image" Target="media/image26.wmf"/><Relationship Id="rId64" Type="http://schemas.openxmlformats.org/officeDocument/2006/relationships/oleObject" Target="embeddings/oleObject28.bin"/><Relationship Id="rId63" Type="http://schemas.openxmlformats.org/officeDocument/2006/relationships/image" Target="media/image25.wmf"/><Relationship Id="rId62" Type="http://schemas.openxmlformats.org/officeDocument/2006/relationships/oleObject" Target="embeddings/oleObject27.bin"/><Relationship Id="rId61" Type="http://schemas.openxmlformats.org/officeDocument/2006/relationships/image" Target="media/image24.wmf"/><Relationship Id="rId60" Type="http://schemas.openxmlformats.org/officeDocument/2006/relationships/oleObject" Target="embeddings/oleObject26.bin"/><Relationship Id="rId6" Type="http://schemas.openxmlformats.org/officeDocument/2006/relationships/footer" Target="footer1.xml"/><Relationship Id="rId59" Type="http://schemas.openxmlformats.org/officeDocument/2006/relationships/image" Target="media/image23.wmf"/><Relationship Id="rId58" Type="http://schemas.openxmlformats.org/officeDocument/2006/relationships/oleObject" Target="embeddings/oleObject25.bin"/><Relationship Id="rId57" Type="http://schemas.openxmlformats.org/officeDocument/2006/relationships/image" Target="media/image22.wmf"/><Relationship Id="rId56" Type="http://schemas.openxmlformats.org/officeDocument/2006/relationships/oleObject" Target="embeddings/oleObject24.bin"/><Relationship Id="rId55" Type="http://schemas.openxmlformats.org/officeDocument/2006/relationships/oleObject" Target="embeddings/oleObject23.bin"/><Relationship Id="rId54" Type="http://schemas.openxmlformats.org/officeDocument/2006/relationships/oleObject" Target="embeddings/oleObject22.bin"/><Relationship Id="rId53" Type="http://schemas.openxmlformats.org/officeDocument/2006/relationships/image" Target="media/image21.wmf"/><Relationship Id="rId52" Type="http://schemas.openxmlformats.org/officeDocument/2006/relationships/oleObject" Target="embeddings/oleObject21.bin"/><Relationship Id="rId51" Type="http://schemas.openxmlformats.org/officeDocument/2006/relationships/image" Target="media/image20.wmf"/><Relationship Id="rId50" Type="http://schemas.openxmlformats.org/officeDocument/2006/relationships/oleObject" Target="embeddings/oleObject20.bin"/><Relationship Id="rId5" Type="http://schemas.openxmlformats.org/officeDocument/2006/relationships/header" Target="header3.xml"/><Relationship Id="rId49" Type="http://schemas.openxmlformats.org/officeDocument/2006/relationships/image" Target="media/image19.wmf"/><Relationship Id="rId48" Type="http://schemas.openxmlformats.org/officeDocument/2006/relationships/oleObject" Target="embeddings/oleObject19.bin"/><Relationship Id="rId47" Type="http://schemas.openxmlformats.org/officeDocument/2006/relationships/image" Target="media/image18.wmf"/><Relationship Id="rId46" Type="http://schemas.openxmlformats.org/officeDocument/2006/relationships/oleObject" Target="embeddings/oleObject18.bin"/><Relationship Id="rId45" Type="http://schemas.openxmlformats.org/officeDocument/2006/relationships/image" Target="media/image17.wmf"/><Relationship Id="rId44" Type="http://schemas.openxmlformats.org/officeDocument/2006/relationships/oleObject" Target="embeddings/oleObject17.bin"/><Relationship Id="rId43" Type="http://schemas.openxmlformats.org/officeDocument/2006/relationships/image" Target="media/image16.wmf"/><Relationship Id="rId42" Type="http://schemas.openxmlformats.org/officeDocument/2006/relationships/oleObject" Target="embeddings/oleObject16.bin"/><Relationship Id="rId41" Type="http://schemas.openxmlformats.org/officeDocument/2006/relationships/image" Target="media/image15.wmf"/><Relationship Id="rId40" Type="http://schemas.openxmlformats.org/officeDocument/2006/relationships/oleObject" Target="embeddings/oleObject15.bin"/><Relationship Id="rId4" Type="http://schemas.openxmlformats.org/officeDocument/2006/relationships/header" Target="header2.xml"/><Relationship Id="rId39" Type="http://schemas.openxmlformats.org/officeDocument/2006/relationships/image" Target="media/image14.wmf"/><Relationship Id="rId38" Type="http://schemas.openxmlformats.org/officeDocument/2006/relationships/oleObject" Target="embeddings/oleObject14.bin"/><Relationship Id="rId37" Type="http://schemas.openxmlformats.org/officeDocument/2006/relationships/image" Target="media/image13.wmf"/><Relationship Id="rId36" Type="http://schemas.openxmlformats.org/officeDocument/2006/relationships/oleObject" Target="embeddings/oleObject13.bin"/><Relationship Id="rId35" Type="http://schemas.openxmlformats.org/officeDocument/2006/relationships/image" Target="media/image12.wmf"/><Relationship Id="rId34" Type="http://schemas.openxmlformats.org/officeDocument/2006/relationships/oleObject" Target="embeddings/oleObject12.bin"/><Relationship Id="rId33" Type="http://schemas.openxmlformats.org/officeDocument/2006/relationships/image" Target="media/image11.wmf"/><Relationship Id="rId32" Type="http://schemas.openxmlformats.org/officeDocument/2006/relationships/oleObject" Target="embeddings/oleObject11.bin"/><Relationship Id="rId31" Type="http://schemas.openxmlformats.org/officeDocument/2006/relationships/image" Target="media/image10.wmf"/><Relationship Id="rId30" Type="http://schemas.openxmlformats.org/officeDocument/2006/relationships/oleObject" Target="embeddings/oleObject10.bin"/><Relationship Id="rId3" Type="http://schemas.openxmlformats.org/officeDocument/2006/relationships/header" Target="header1.xml"/><Relationship Id="rId29" Type="http://schemas.openxmlformats.org/officeDocument/2006/relationships/image" Target="media/image9.wmf"/><Relationship Id="rId28" Type="http://schemas.openxmlformats.org/officeDocument/2006/relationships/oleObject" Target="embeddings/oleObject9.bin"/><Relationship Id="rId27" Type="http://schemas.openxmlformats.org/officeDocument/2006/relationships/image" Target="media/image8.wmf"/><Relationship Id="rId26" Type="http://schemas.openxmlformats.org/officeDocument/2006/relationships/oleObject" Target="embeddings/oleObject8.bin"/><Relationship Id="rId25" Type="http://schemas.openxmlformats.org/officeDocument/2006/relationships/image" Target="media/image7.wmf"/><Relationship Id="rId24" Type="http://schemas.openxmlformats.org/officeDocument/2006/relationships/oleObject" Target="embeddings/oleObject7.bin"/><Relationship Id="rId23" Type="http://schemas.openxmlformats.org/officeDocument/2006/relationships/image" Target="media/image6.wmf"/><Relationship Id="rId22" Type="http://schemas.openxmlformats.org/officeDocument/2006/relationships/oleObject" Target="embeddings/oleObject6.bin"/><Relationship Id="rId21" Type="http://schemas.openxmlformats.org/officeDocument/2006/relationships/image" Target="media/image5.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4.wmf"/><Relationship Id="rId18" Type="http://schemas.openxmlformats.org/officeDocument/2006/relationships/oleObject" Target="embeddings/oleObject4.bin"/><Relationship Id="rId17" Type="http://schemas.openxmlformats.org/officeDocument/2006/relationships/image" Target="media/image3.wmf"/><Relationship Id="rId16" Type="http://schemas.openxmlformats.org/officeDocument/2006/relationships/oleObject" Target="embeddings/oleObject3.bin"/><Relationship Id="rId15" Type="http://schemas.openxmlformats.org/officeDocument/2006/relationships/image" Target="media/image2.wmf"/><Relationship Id="rId147" Type="http://schemas.openxmlformats.org/officeDocument/2006/relationships/fontTable" Target="fontTable.xml"/><Relationship Id="rId146" Type="http://schemas.openxmlformats.org/officeDocument/2006/relationships/customXml" Target="../customXml/item1.xml"/><Relationship Id="rId145" Type="http://schemas.openxmlformats.org/officeDocument/2006/relationships/numbering" Target="numbering.xml"/><Relationship Id="rId144" Type="http://schemas.openxmlformats.org/officeDocument/2006/relationships/image" Target="media/image71.emf"/><Relationship Id="rId143" Type="http://schemas.openxmlformats.org/officeDocument/2006/relationships/oleObject" Target="embeddings/oleObject62.bin"/><Relationship Id="rId142" Type="http://schemas.openxmlformats.org/officeDocument/2006/relationships/image" Target="media/image70.emf"/><Relationship Id="rId141" Type="http://schemas.openxmlformats.org/officeDocument/2006/relationships/oleObject" Target="embeddings/oleObject61.bin"/><Relationship Id="rId140" Type="http://schemas.openxmlformats.org/officeDocument/2006/relationships/image" Target="media/image69.jpeg"/><Relationship Id="rId14" Type="http://schemas.openxmlformats.org/officeDocument/2006/relationships/oleObject" Target="embeddings/oleObject2.bin"/><Relationship Id="rId139" Type="http://schemas.openxmlformats.org/officeDocument/2006/relationships/image" Target="media/image68.emf"/><Relationship Id="rId138" Type="http://schemas.openxmlformats.org/officeDocument/2006/relationships/oleObject" Target="embeddings/oleObject60.bin"/><Relationship Id="rId137" Type="http://schemas.openxmlformats.org/officeDocument/2006/relationships/image" Target="media/image67.png"/><Relationship Id="rId136" Type="http://schemas.openxmlformats.org/officeDocument/2006/relationships/image" Target="media/image66.jpeg"/><Relationship Id="rId135" Type="http://schemas.openxmlformats.org/officeDocument/2006/relationships/image" Target="media/image65.jpeg"/><Relationship Id="rId134" Type="http://schemas.openxmlformats.org/officeDocument/2006/relationships/image" Target="media/image64.jpeg"/><Relationship Id="rId133" Type="http://schemas.openxmlformats.org/officeDocument/2006/relationships/image" Target="media/image63.emf"/><Relationship Id="rId132" Type="http://schemas.openxmlformats.org/officeDocument/2006/relationships/oleObject" Target="embeddings/oleObject59.bin"/><Relationship Id="rId131" Type="http://schemas.openxmlformats.org/officeDocument/2006/relationships/image" Target="media/image62.emf"/><Relationship Id="rId130" Type="http://schemas.openxmlformats.org/officeDocument/2006/relationships/oleObject" Target="embeddings/oleObject58.bin"/><Relationship Id="rId13" Type="http://schemas.openxmlformats.org/officeDocument/2006/relationships/image" Target="media/image1.wmf"/><Relationship Id="rId129" Type="http://schemas.openxmlformats.org/officeDocument/2006/relationships/image" Target="media/image61.jpeg"/><Relationship Id="rId128" Type="http://schemas.openxmlformats.org/officeDocument/2006/relationships/image" Target="media/image60.jpeg"/><Relationship Id="rId127" Type="http://schemas.openxmlformats.org/officeDocument/2006/relationships/image" Target="media/image59.jpeg"/><Relationship Id="rId126" Type="http://schemas.openxmlformats.org/officeDocument/2006/relationships/image" Target="media/image58.jpeg"/><Relationship Id="rId125" Type="http://schemas.openxmlformats.org/officeDocument/2006/relationships/image" Target="media/image57.jpeg"/><Relationship Id="rId124" Type="http://schemas.openxmlformats.org/officeDocument/2006/relationships/image" Target="media/image56.jpeg"/><Relationship Id="rId123" Type="http://schemas.openxmlformats.org/officeDocument/2006/relationships/image" Target="media/image55.wmf"/><Relationship Id="rId122" Type="http://schemas.openxmlformats.org/officeDocument/2006/relationships/oleObject" Target="embeddings/oleObject57.bin"/><Relationship Id="rId121" Type="http://schemas.openxmlformats.org/officeDocument/2006/relationships/image" Target="media/image54.wmf"/><Relationship Id="rId120" Type="http://schemas.openxmlformats.org/officeDocument/2006/relationships/oleObject" Target="embeddings/oleObject56.bin"/><Relationship Id="rId12" Type="http://schemas.openxmlformats.org/officeDocument/2006/relationships/oleObject" Target="embeddings/oleObject1.bin"/><Relationship Id="rId119" Type="http://schemas.openxmlformats.org/officeDocument/2006/relationships/image" Target="media/image53.wmf"/><Relationship Id="rId118" Type="http://schemas.openxmlformats.org/officeDocument/2006/relationships/oleObject" Target="embeddings/oleObject55.bin"/><Relationship Id="rId117" Type="http://schemas.openxmlformats.org/officeDocument/2006/relationships/image" Target="media/image52.wmf"/><Relationship Id="rId116" Type="http://schemas.openxmlformats.org/officeDocument/2006/relationships/oleObject" Target="embeddings/oleObject54.bin"/><Relationship Id="rId115" Type="http://schemas.openxmlformats.org/officeDocument/2006/relationships/image" Target="media/image51.wmf"/><Relationship Id="rId114" Type="http://schemas.openxmlformats.org/officeDocument/2006/relationships/oleObject" Target="embeddings/oleObject53.bin"/><Relationship Id="rId113" Type="http://schemas.openxmlformats.org/officeDocument/2006/relationships/image" Target="media/image50.wmf"/><Relationship Id="rId112" Type="http://schemas.openxmlformats.org/officeDocument/2006/relationships/oleObject" Target="embeddings/oleObject52.bin"/><Relationship Id="rId111" Type="http://schemas.openxmlformats.org/officeDocument/2006/relationships/image" Target="media/image49.wmf"/><Relationship Id="rId110" Type="http://schemas.openxmlformats.org/officeDocument/2006/relationships/oleObject" Target="embeddings/oleObject51.bin"/><Relationship Id="rId11" Type="http://schemas.openxmlformats.org/officeDocument/2006/relationships/theme" Target="theme/theme1.xml"/><Relationship Id="rId109" Type="http://schemas.openxmlformats.org/officeDocument/2006/relationships/image" Target="media/image48.wmf"/><Relationship Id="rId108" Type="http://schemas.openxmlformats.org/officeDocument/2006/relationships/oleObject" Target="embeddings/oleObject50.bin"/><Relationship Id="rId107" Type="http://schemas.openxmlformats.org/officeDocument/2006/relationships/image" Target="media/image47.wmf"/><Relationship Id="rId106" Type="http://schemas.openxmlformats.org/officeDocument/2006/relationships/oleObject" Target="embeddings/oleObject49.bin"/><Relationship Id="rId105" Type="http://schemas.openxmlformats.org/officeDocument/2006/relationships/image" Target="media/image46.wmf"/><Relationship Id="rId104" Type="http://schemas.openxmlformats.org/officeDocument/2006/relationships/oleObject" Target="embeddings/oleObject48.bin"/><Relationship Id="rId103" Type="http://schemas.openxmlformats.org/officeDocument/2006/relationships/image" Target="media/image45.jpeg"/><Relationship Id="rId102" Type="http://schemas.openxmlformats.org/officeDocument/2006/relationships/image" Target="media/image44.wmf"/><Relationship Id="rId101" Type="http://schemas.openxmlformats.org/officeDocument/2006/relationships/oleObject" Target="embeddings/oleObject47.bin"/><Relationship Id="rId100" Type="http://schemas.openxmlformats.org/officeDocument/2006/relationships/image" Target="media/image43.wmf"/><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4773DE-1875-439A-AADB-007EB54016E6}">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15</Pages>
  <Words>3349</Words>
  <Characters>5490</Characters>
  <Lines>159</Lines>
  <Paragraphs>44</Paragraphs>
  <TotalTime>8</TotalTime>
  <ScaleCrop>false</ScaleCrop>
  <LinksUpToDate>false</LinksUpToDate>
  <CharactersWithSpaces>5896</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2025-07-31T11:33:00Z</dcterms:created>
  <dc:creator>ZXL</dc:creator>
  <cp:lastModifiedBy>王璐</cp:lastModifiedBy>
  <cp:lastPrinted>2025-07-29T07:19:00Z</cp:lastPrinted>
  <dcterms:modified xsi:type="dcterms:W3CDTF">2026-02-10T07:56:30Z</dcterms:modified>
  <cp:revision>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MTWinEqns">
    <vt:bool>true</vt:bool>
  </property>
  <property fmtid="{D5CDD505-2E9C-101B-9397-08002B2CF9AE}" pid="4" name="KSOTemplateDocerSaveRecord">
    <vt:lpwstr>eyJoZGlkIjoiNGJjZWI2NmMzYjBlM2UyZGMwZjUwNDQyMjU3NjRlOGUiLCJ1c2VySWQiOiIzNjMyNDI1ODUifQ==</vt:lpwstr>
  </property>
  <property fmtid="{D5CDD505-2E9C-101B-9397-08002B2CF9AE}" pid="5" name="ICV">
    <vt:lpwstr>04259F57552C4D12921B75A203EF5302_13</vt:lpwstr>
  </property>
</Properties>
</file>