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pageBreakBefore w:val="0"/>
        <w:kinsoku/>
        <w:wordWrap/>
        <w:overflowPunct/>
        <w:topLinePunct w:val="0"/>
        <w:autoSpaceDE/>
        <w:autoSpaceDN/>
        <w:bidi w:val="0"/>
        <w:adjustRightInd/>
        <w:spacing w:before="0" w:beforeAutospacing="0" w:after="0" w:afterAutospacing="0" w:line="240" w:lineRule="auto"/>
        <w:ind w:firstLine="0" w:firstLineChars="0"/>
        <w:textAlignment w:val="auto"/>
        <w:rPr>
          <w:rFonts w:ascii="Times New Roman" w:hAnsi="Times New Roman"/>
          <w:sz w:val="44"/>
          <w:szCs w:val="28"/>
        </w:rPr>
      </w:pPr>
      <w:bookmarkStart w:id="0" w:name="_Toc11174"/>
      <w:r>
        <w:rPr>
          <w:rFonts w:hint="eastAsia" w:ascii="Times New Roman" w:hAnsi="Times New Roman"/>
          <w:sz w:val="44"/>
          <w:szCs w:val="28"/>
        </w:rPr>
        <w:t>基于博弈论组合权重的城市洪涝风险</w:t>
      </w:r>
      <w:bookmarkEnd w:id="0"/>
      <w:r>
        <w:rPr>
          <w:rFonts w:hint="eastAsia" w:ascii="Times New Roman" w:hAnsi="Times New Roman"/>
          <w:sz w:val="44"/>
          <w:szCs w:val="28"/>
        </w:rPr>
        <w:t>评估</w:t>
      </w:r>
    </w:p>
    <w:p>
      <w:pPr>
        <w:pageBreakBefore w:val="0"/>
        <w:widowControl/>
        <w:numPr>
          <w:ilvl w:val="1"/>
          <w:numId w:val="0"/>
        </w:numPr>
        <w:kinsoku/>
        <w:wordWrap/>
        <w:overflowPunct/>
        <w:topLinePunct w:val="0"/>
        <w:autoSpaceDE/>
        <w:autoSpaceDN/>
        <w:bidi w:val="0"/>
        <w:adjustRightInd/>
        <w:spacing w:beforeAutospacing="0" w:afterAutospacing="0" w:line="240" w:lineRule="auto"/>
        <w:jc w:val="center"/>
        <w:textAlignment w:val="auto"/>
        <w:rPr>
          <w:rFonts w:eastAsia="楷体" w:cs="Times New Roman"/>
          <w:sz w:val="28"/>
          <w:szCs w:val="28"/>
        </w:rPr>
      </w:pPr>
      <w:r>
        <w:rPr>
          <w:rFonts w:hint="eastAsia" w:eastAsia="楷体" w:cs="Times New Roman"/>
          <w:sz w:val="28"/>
          <w:szCs w:val="28"/>
        </w:rPr>
        <w:t>卢 欣</w:t>
      </w:r>
      <w:r>
        <w:rPr>
          <w:rFonts w:hint="eastAsia" w:eastAsia="楷体" w:cs="Times New Roman"/>
          <w:sz w:val="28"/>
          <w:szCs w:val="28"/>
          <w:vertAlign w:val="superscript"/>
        </w:rPr>
        <w:t>1，2</w:t>
      </w:r>
      <w:r>
        <w:rPr>
          <w:rFonts w:hint="eastAsia" w:eastAsia="楷体" w:cs="Times New Roman"/>
          <w:sz w:val="28"/>
          <w:szCs w:val="28"/>
        </w:rPr>
        <w:t>，李峰森</w:t>
      </w:r>
      <w:r>
        <w:rPr>
          <w:rFonts w:hint="eastAsia" w:eastAsia="楷体" w:cs="Times New Roman"/>
          <w:sz w:val="28"/>
          <w:szCs w:val="28"/>
          <w:vertAlign w:val="superscript"/>
        </w:rPr>
        <w:t>1</w:t>
      </w:r>
      <w:r>
        <w:rPr>
          <w:rFonts w:hint="eastAsia" w:eastAsia="楷体" w:cs="Times New Roman"/>
          <w:sz w:val="28"/>
          <w:szCs w:val="28"/>
        </w:rPr>
        <w:t>，谢信东</w:t>
      </w:r>
      <w:r>
        <w:rPr>
          <w:rFonts w:hint="eastAsia" w:eastAsia="楷体" w:cs="Times New Roman"/>
          <w:sz w:val="28"/>
          <w:szCs w:val="28"/>
          <w:vertAlign w:val="superscript"/>
        </w:rPr>
        <w:t>1</w:t>
      </w:r>
      <w:r>
        <w:rPr>
          <w:rFonts w:hint="eastAsia" w:eastAsia="楷体" w:cs="Times New Roman"/>
          <w:sz w:val="28"/>
          <w:szCs w:val="28"/>
        </w:rPr>
        <w:t>，邹英江</w:t>
      </w:r>
      <w:r>
        <w:rPr>
          <w:rFonts w:hint="eastAsia" w:eastAsia="楷体" w:cs="Times New Roman"/>
          <w:sz w:val="28"/>
          <w:szCs w:val="28"/>
          <w:vertAlign w:val="superscript"/>
        </w:rPr>
        <w:t>2</w:t>
      </w:r>
      <w:r>
        <w:rPr>
          <w:rFonts w:hint="eastAsia" w:eastAsia="楷体" w:cs="Times New Roman"/>
          <w:sz w:val="28"/>
          <w:szCs w:val="28"/>
        </w:rPr>
        <w:t>，王志超</w:t>
      </w:r>
      <w:r>
        <w:rPr>
          <w:rFonts w:hint="eastAsia" w:eastAsia="楷体" w:cs="Times New Roman"/>
          <w:sz w:val="28"/>
          <w:szCs w:val="28"/>
          <w:vertAlign w:val="superscript"/>
        </w:rPr>
        <w:t>1</w:t>
      </w:r>
      <w:r>
        <w:rPr>
          <w:rFonts w:hint="eastAsia" w:eastAsia="楷体" w:cs="Times New Roman"/>
          <w:sz w:val="28"/>
          <w:szCs w:val="28"/>
        </w:rPr>
        <w:t>，薛柏璋</w:t>
      </w:r>
      <w:r>
        <w:rPr>
          <w:rFonts w:hint="eastAsia" w:eastAsia="楷体" w:cs="Times New Roman"/>
          <w:sz w:val="28"/>
          <w:szCs w:val="28"/>
          <w:vertAlign w:val="superscript"/>
        </w:rPr>
        <w:t>1，2</w:t>
      </w:r>
      <w:r>
        <w:rPr>
          <w:rFonts w:hint="eastAsia" w:eastAsia="楷体" w:cs="Times New Roman"/>
          <w:sz w:val="28"/>
          <w:szCs w:val="28"/>
        </w:rPr>
        <w:t>，黄旭华</w:t>
      </w:r>
      <w:r>
        <w:rPr>
          <w:rFonts w:hint="eastAsia" w:eastAsia="楷体" w:cs="Times New Roman"/>
          <w:sz w:val="28"/>
          <w:szCs w:val="28"/>
          <w:vertAlign w:val="superscript"/>
        </w:rPr>
        <w:t>1，2</w:t>
      </w:r>
      <w:r>
        <w:rPr>
          <w:rFonts w:hint="eastAsia" w:eastAsia="楷体" w:cs="Times New Roman"/>
          <w:sz w:val="28"/>
          <w:szCs w:val="28"/>
        </w:rPr>
        <w:t>，王 剑</w:t>
      </w:r>
      <w:r>
        <w:rPr>
          <w:rFonts w:hint="eastAsia" w:eastAsia="楷体" w:cs="Times New Roman"/>
          <w:sz w:val="28"/>
          <w:szCs w:val="28"/>
          <w:vertAlign w:val="superscript"/>
        </w:rPr>
        <w:t>1，2</w:t>
      </w:r>
      <w:r>
        <w:rPr>
          <w:rFonts w:hint="eastAsia" w:eastAsia="楷体" w:cs="Times New Roman"/>
          <w:sz w:val="28"/>
          <w:szCs w:val="28"/>
        </w:rPr>
        <w:t xml:space="preserve"> ，汪修乐</w:t>
      </w:r>
      <w:r>
        <w:rPr>
          <w:rFonts w:hint="eastAsia" w:eastAsia="楷体" w:cs="Times New Roman"/>
          <w:sz w:val="28"/>
          <w:szCs w:val="28"/>
          <w:vertAlign w:val="superscript"/>
        </w:rPr>
        <w:t>2</w:t>
      </w:r>
    </w:p>
    <w:p>
      <w:pPr>
        <w:pStyle w:val="2"/>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 xml:space="preserve">（1.江西省水利科学院，江西 南昌 </w:t>
      </w:r>
      <w:r>
        <w:rPr>
          <w:rFonts w:ascii="Times New Roman" w:hAnsi="Times New Roman" w:eastAsia="宋体" w:cs="Times New Roman"/>
          <w:sz w:val="21"/>
          <w:szCs w:val="21"/>
          <w:lang w:eastAsia="zh-CN"/>
        </w:rPr>
        <w:t xml:space="preserve"> </w:t>
      </w:r>
      <w:r>
        <w:rPr>
          <w:rFonts w:hint="eastAsia" w:ascii="Times New Roman" w:hAnsi="Times New Roman" w:eastAsia="宋体" w:cs="Times New Roman"/>
          <w:sz w:val="21"/>
          <w:szCs w:val="21"/>
          <w:lang w:eastAsia="zh-CN"/>
        </w:rPr>
        <w:t xml:space="preserve">330029；2.江西善水科技发展有限公司，江西 九江 </w:t>
      </w:r>
      <w:r>
        <w:rPr>
          <w:rFonts w:ascii="Times New Roman" w:hAnsi="Times New Roman" w:eastAsia="宋体" w:cs="Times New Roman"/>
          <w:sz w:val="21"/>
          <w:szCs w:val="21"/>
          <w:lang w:eastAsia="zh-CN"/>
        </w:rPr>
        <w:t xml:space="preserve"> </w:t>
      </w:r>
      <w:r>
        <w:rPr>
          <w:rFonts w:hint="eastAsia" w:ascii="Times New Roman" w:hAnsi="Times New Roman" w:eastAsia="宋体" w:cs="Times New Roman"/>
          <w:sz w:val="21"/>
          <w:szCs w:val="21"/>
          <w:lang w:eastAsia="zh-CN"/>
        </w:rPr>
        <w:t>332020)</w:t>
      </w:r>
    </w:p>
    <w:p>
      <w:pPr>
        <w:pageBreakBefore w:val="0"/>
        <w:kinsoku/>
        <w:wordWrap/>
        <w:overflowPunct/>
        <w:topLinePunct w:val="0"/>
        <w:autoSpaceDE/>
        <w:autoSpaceDN/>
        <w:bidi w:val="0"/>
        <w:adjustRightInd/>
        <w:spacing w:beforeAutospacing="0" w:afterAutospacing="0" w:line="240" w:lineRule="auto"/>
        <w:ind w:firstLine="0" w:firstLineChars="0"/>
        <w:textAlignment w:val="auto"/>
        <w:rPr>
          <w:rStyle w:val="17"/>
          <w:rFonts w:eastAsia="黑体" w:cs="Times New Roman"/>
          <w:bCs/>
          <w:sz w:val="21"/>
        </w:rPr>
      </w:pPr>
    </w:p>
    <w:p>
      <w:pPr>
        <w:pageBreakBefore w:val="0"/>
        <w:kinsoku/>
        <w:wordWrap/>
        <w:overflowPunct/>
        <w:topLinePunct w:val="0"/>
        <w:autoSpaceDE/>
        <w:autoSpaceDN/>
        <w:bidi w:val="0"/>
        <w:adjustRightInd/>
        <w:spacing w:beforeAutospacing="0" w:afterAutospacing="0" w:line="240" w:lineRule="auto"/>
        <w:ind w:firstLine="0" w:firstLineChars="0"/>
        <w:textAlignment w:val="auto"/>
        <w:rPr>
          <w:rFonts w:eastAsia="楷体" w:cs="Times New Roman"/>
          <w:color w:val="000000" w:themeColor="text1"/>
          <w:sz w:val="21"/>
          <w:szCs w:val="21"/>
          <w14:textFill>
            <w14:solidFill>
              <w14:schemeClr w14:val="tx1"/>
            </w14:solidFill>
          </w14:textFill>
        </w:rPr>
      </w:pPr>
      <w:r>
        <w:rPr>
          <w:rStyle w:val="17"/>
          <w:rFonts w:hint="eastAsia" w:eastAsia="黑体" w:cs="Times New Roman"/>
          <w:bCs/>
          <w:sz w:val="21"/>
        </w:rPr>
        <w:t>摘 要：</w:t>
      </w:r>
      <w:r>
        <w:rPr>
          <w:rFonts w:eastAsia="楷体" w:cs="Times New Roman"/>
          <w:color w:val="000000" w:themeColor="text1"/>
          <w:szCs w:val="21"/>
          <w14:textFill>
            <w14:solidFill>
              <w14:schemeClr w14:val="tx1"/>
            </w14:solidFill>
          </w14:textFill>
        </w:rPr>
        <w:t>【目的】</w:t>
      </w:r>
      <w:r>
        <w:rPr>
          <w:rFonts w:hint="eastAsia" w:eastAsia="楷体" w:cs="Times New Roman"/>
          <w:color w:val="000000" w:themeColor="text1"/>
          <w:sz w:val="21"/>
          <w:szCs w:val="21"/>
          <w14:textFill>
            <w14:solidFill>
              <w14:schemeClr w14:val="tx1"/>
            </w14:solidFill>
          </w14:textFill>
        </w:rPr>
        <w:t>洪涝风险评估在地区防灾减灾体系建设中发挥重要作用，但目前研究多集中于县域、市域等大尺度的地区，对小尺度城区少有涉及。为有效评估城市地区洪涝风险，提升风险评估的精细化水平，</w:t>
      </w:r>
      <w:r>
        <w:rPr>
          <w:rFonts w:eastAsia="楷体" w:cs="Times New Roman"/>
          <w:color w:val="000000" w:themeColor="text1"/>
          <w:szCs w:val="21"/>
          <w14:textFill>
            <w14:solidFill>
              <w14:schemeClr w14:val="tx1"/>
            </w14:solidFill>
          </w14:textFill>
        </w:rPr>
        <w:t>【方法】</w:t>
      </w:r>
      <w:r>
        <w:rPr>
          <w:rFonts w:hint="eastAsia" w:eastAsia="楷体" w:cs="Times New Roman"/>
          <w:color w:val="000000" w:themeColor="text1"/>
          <w:sz w:val="21"/>
          <w:szCs w:val="21"/>
          <w14:textFill>
            <w14:solidFill>
              <w14:schemeClr w14:val="tx1"/>
            </w14:solidFill>
          </w14:textFill>
        </w:rPr>
        <w:t>借助MIKEFLOOD水动力模型模拟技术并引入博弈论的组合赋权模型，建立一种适用于城市地区的洪涝风险评估方法。以德兴市城区为例，采集德兴市2022年6月18日12：00至6月23日12：00降雨流量过程、无人机航拍德兴市城区DEM高程图、实测河道断面等多源数据，构建德兴市城区MIKEFLOOD水动力模型进行洪水模拟，验证模型合理性后依据洪水模拟结果选取最大淹没水深、最大淹没历时、最大淹没面积和最大淹没流速作为危险性指标，结合研究区环境脆弱性、承灾体暴露性指标构建城区洪涝灾害风险评估体系。对于评估体系中的指标赋权问题，创新性地引入博弈论思想，有效融合主观经验与客观数据信息，克服单一赋权法的局限性，系统分析德兴市城区洪涝灾害风险指标，有效评估德兴市城区洪涝灾害风险。</w:t>
      </w:r>
      <w:r>
        <w:rPr>
          <w:rFonts w:eastAsia="楷体" w:cs="Times New Roman"/>
          <w:color w:val="000000" w:themeColor="text1"/>
          <w:szCs w:val="21"/>
          <w14:textFill>
            <w14:solidFill>
              <w14:schemeClr w14:val="tx1"/>
            </w14:solidFill>
          </w14:textFill>
        </w:rPr>
        <w:t>【结果】</w:t>
      </w:r>
      <w:r>
        <w:rPr>
          <w:rFonts w:hint="eastAsia" w:eastAsia="楷体" w:cs="Times New Roman"/>
          <w:color w:val="000000" w:themeColor="text1"/>
          <w:sz w:val="21"/>
          <w:szCs w:val="21"/>
          <w14:textFill>
            <w14:solidFill>
              <w14:schemeClr w14:val="tx1"/>
            </w14:solidFill>
          </w14:textFill>
        </w:rPr>
        <w:t>结果显示：德兴市城区共有22个社区，其中13社区存在高风险，其中新营一村（高风险区面积0.115 km²）、上洲社区（0.067 km²）、天门山社区（0.034 km²）、岁寒山社区（0.024 km²）、洎水社区（0.020 km²）、水绿桥社区（0.019 km²）、银山社区（0.013 km²）、南门社区（0.012 km²）、肯堂山社区（0.011 km²）、银泉社区（0.011 km²）、吴园社区（0.009 km²）、胜利亭社区（0.004 km²）和武安路社区（0.002 km²）。</w:t>
      </w:r>
      <w:r>
        <w:rPr>
          <w:rFonts w:eastAsia="楷体" w:cs="Times New Roman"/>
          <w:color w:val="000000" w:themeColor="text1"/>
          <w:szCs w:val="21"/>
          <w14:textFill>
            <w14:solidFill>
              <w14:schemeClr w14:val="tx1"/>
            </w14:solidFill>
          </w14:textFill>
        </w:rPr>
        <w:t>【结</w:t>
      </w:r>
      <w:r>
        <w:rPr>
          <w:rFonts w:hint="eastAsia" w:eastAsia="楷体" w:cs="Times New Roman"/>
          <w:color w:val="000000" w:themeColor="text1"/>
          <w:szCs w:val="21"/>
          <w14:textFill>
            <w14:solidFill>
              <w14:schemeClr w14:val="tx1"/>
            </w14:solidFill>
          </w14:textFill>
        </w:rPr>
        <w:t>论</w:t>
      </w:r>
      <w:r>
        <w:rPr>
          <w:rFonts w:eastAsia="楷体" w:cs="Times New Roman"/>
          <w:color w:val="000000" w:themeColor="text1"/>
          <w:szCs w:val="21"/>
          <w14:textFill>
            <w14:solidFill>
              <w14:schemeClr w14:val="tx1"/>
            </w14:solidFill>
          </w14:textFill>
        </w:rPr>
        <w:t>】</w:t>
      </w:r>
      <w:r>
        <w:rPr>
          <w:rFonts w:hint="eastAsia" w:eastAsia="楷体" w:cs="Times New Roman"/>
          <w:color w:val="000000" w:themeColor="text1"/>
          <w:sz w:val="21"/>
          <w:szCs w:val="21"/>
          <w14:textFill>
            <w14:solidFill>
              <w14:schemeClr w14:val="tx1"/>
            </w14:solidFill>
          </w14:textFill>
        </w:rPr>
        <w:t>结果表明：MIKEFLOOD模型在城区洪水模拟中表现出良好的准确性与可靠性，很好的揭示了城区的洪水空间分布特征。无人机航拍的高精度DEM高程图在城区洪涝风险评估中是至关重要的，不仅为MIKEFLOOD模型提供精准地形信息，也为环境脆弱性分析提供可靠依据，对于小尺度的城区务必采用无人机航拍高程。熵权法与层次分析法分别计算所得的权重存在较大差异，仅凭主观判断难以有效权衡，而基于博弈论的组合赋权方法以数学原理为基础，综合两类权重结果，从而得到更为科学合理的权重分配，对综合评价中的权重确定具有重要参考价值。德兴市城区的洪涝风险评估结果对未来开展洪涝灾害精准防治与风险分级防控提供了可靠的决策依据，同时也可为类似地区的防洪减灾工作提供理论方法参考。</w:t>
      </w:r>
    </w:p>
    <w:p>
      <w:pPr>
        <w:pStyle w:val="2"/>
        <w:pageBreakBefore w:val="0"/>
        <w:kinsoku/>
        <w:wordWrap/>
        <w:overflowPunct/>
        <w:topLinePunct w:val="0"/>
        <w:autoSpaceDE/>
        <w:autoSpaceDN/>
        <w:bidi w:val="0"/>
        <w:adjustRightInd/>
        <w:spacing w:beforeAutospacing="0" w:afterAutospacing="0" w:line="240" w:lineRule="auto"/>
        <w:ind w:firstLine="0" w:firstLineChars="0"/>
        <w:textAlignment w:val="auto"/>
        <w:rPr>
          <w:rFonts w:ascii="Times New Roman" w:hAnsi="Times New Roman" w:eastAsia="楷体" w:cs="Times New Roman"/>
          <w:sz w:val="21"/>
          <w:szCs w:val="21"/>
          <w:lang w:eastAsia="zh-CN"/>
        </w:rPr>
      </w:pPr>
      <w:r>
        <w:rPr>
          <w:rStyle w:val="17"/>
          <w:rFonts w:hint="eastAsia" w:ascii="Times New Roman" w:hAnsi="Times New Roman" w:eastAsia="黑体" w:cs="Times New Roman"/>
          <w:bCs/>
          <w:sz w:val="21"/>
          <w:szCs w:val="22"/>
          <w:lang w:eastAsia="zh-CN"/>
        </w:rPr>
        <w:t>关键词：</w:t>
      </w:r>
      <w:r>
        <w:rPr>
          <w:rFonts w:hint="eastAsia" w:ascii="Times New Roman" w:hAnsi="Times New Roman" w:eastAsia="楷体" w:cs="Times New Roman"/>
          <w:sz w:val="21"/>
          <w:szCs w:val="21"/>
          <w:lang w:eastAsia="zh-CN"/>
        </w:rPr>
        <w:t>水动力模型；洪涝灾害；博弈论组合赋权；城市洪涝风险评估；MIKEFLOOD；城市内涝；风险分级防控；降水</w:t>
      </w:r>
    </w:p>
    <w:p>
      <w:pPr>
        <w:pStyle w:val="2"/>
        <w:pageBreakBefore w:val="0"/>
        <w:kinsoku/>
        <w:wordWrap/>
        <w:overflowPunct/>
        <w:topLinePunct w:val="0"/>
        <w:autoSpaceDE/>
        <w:autoSpaceDN/>
        <w:bidi w:val="0"/>
        <w:adjustRightInd/>
        <w:spacing w:beforeAutospacing="0" w:afterAutospacing="0" w:line="240" w:lineRule="auto"/>
        <w:ind w:firstLine="0" w:firstLineChars="0"/>
        <w:textAlignment w:val="auto"/>
        <w:rPr>
          <w:rFonts w:ascii="Times New Roman" w:hAnsi="Times New Roman" w:cs="Times New Roman"/>
          <w:sz w:val="18"/>
          <w:szCs w:val="18"/>
          <w:lang w:eastAsia="zh-CN"/>
        </w:rPr>
      </w:pPr>
      <w:r>
        <w:rPr>
          <w:rFonts w:ascii="Times New Roman" w:hAnsi="Times New Roman" w:eastAsia="黑体" w:cs="Times New Roman"/>
          <w:b/>
          <w:bCs/>
          <w:sz w:val="18"/>
          <w:szCs w:val="18"/>
          <w:lang w:eastAsia="zh-CN"/>
        </w:rPr>
        <w:t>中图分类号</w:t>
      </w:r>
      <w:r>
        <w:rPr>
          <w:rFonts w:ascii="Times New Roman" w:hAnsi="Times New Roman" w:cs="Times New Roman"/>
          <w:sz w:val="18"/>
          <w:szCs w:val="18"/>
          <w:lang w:eastAsia="zh-CN"/>
        </w:rPr>
        <w:t>：TV</w:t>
      </w:r>
      <w:r>
        <w:rPr>
          <w:rFonts w:hint="eastAsia" w:ascii="Times New Roman" w:hAnsi="Times New Roman" w:eastAsia="宋体" w:cs="Times New Roman"/>
          <w:sz w:val="18"/>
          <w:szCs w:val="18"/>
          <w:lang w:eastAsia="zh-CN"/>
        </w:rPr>
        <w:t>873</w:t>
      </w:r>
      <w:r>
        <w:rPr>
          <w:rFonts w:ascii="Times New Roman" w:hAnsi="Times New Roman" w:cs="Times New Roman"/>
          <w:sz w:val="18"/>
          <w:szCs w:val="18"/>
          <w:lang w:eastAsia="zh-CN"/>
        </w:rPr>
        <w:t xml:space="preserve">            </w:t>
      </w:r>
      <w:r>
        <w:rPr>
          <w:rFonts w:ascii="Times New Roman" w:hAnsi="Times New Roman" w:eastAsia="黑体" w:cs="Times New Roman"/>
          <w:b/>
          <w:sz w:val="18"/>
          <w:szCs w:val="18"/>
          <w:lang w:eastAsia="zh-CN"/>
        </w:rPr>
        <w:t>文献标志码</w:t>
      </w:r>
      <w:r>
        <w:rPr>
          <w:rFonts w:ascii="Times New Roman" w:hAnsi="Times New Roman" w:cs="Times New Roman"/>
          <w:b/>
          <w:sz w:val="18"/>
          <w:szCs w:val="18"/>
          <w:lang w:eastAsia="zh-CN"/>
        </w:rPr>
        <w:t>：A</w:t>
      </w:r>
      <w:r>
        <w:rPr>
          <w:rFonts w:ascii="Times New Roman" w:hAnsi="Times New Roman" w:cs="Times New Roman"/>
          <w:sz w:val="18"/>
          <w:szCs w:val="18"/>
          <w:lang w:eastAsia="zh-CN"/>
        </w:rPr>
        <w:t xml:space="preserve">  </w:t>
      </w:r>
    </w:p>
    <w:p>
      <w:pPr>
        <w:pageBreakBefore w:val="0"/>
        <w:tabs>
          <w:tab w:val="left" w:pos="6666"/>
        </w:tabs>
        <w:kinsoku/>
        <w:wordWrap/>
        <w:overflowPunct/>
        <w:topLinePunct w:val="0"/>
        <w:autoSpaceDE/>
        <w:autoSpaceDN/>
        <w:bidi w:val="0"/>
        <w:adjustRightInd/>
        <w:spacing w:beforeAutospacing="0" w:afterAutospacing="0" w:line="240" w:lineRule="auto"/>
        <w:ind w:firstLine="482"/>
        <w:jc w:val="left"/>
        <w:textAlignment w:val="auto"/>
        <w:rPr>
          <w:rFonts w:hint="eastAsia" w:eastAsia="宋体"/>
          <w:b/>
          <w:color w:val="000000"/>
          <w:lang w:val="en" w:eastAsia="zh-CN"/>
        </w:rPr>
      </w:pPr>
      <w:r>
        <w:rPr>
          <w:rFonts w:hint="eastAsia"/>
          <w:b/>
          <w:color w:val="000000"/>
        </w:rPr>
        <w:t>开放科学（资源服务）标志码（</w:t>
      </w:r>
      <w:r>
        <w:rPr>
          <w:b/>
          <w:color w:val="000000"/>
        </w:rPr>
        <w:t>OSID</w:t>
      </w:r>
      <w:r>
        <w:rPr>
          <w:rFonts w:hint="eastAsia"/>
          <w:b/>
          <w:color w:val="000000"/>
        </w:rPr>
        <w:t>）：</w:t>
      </w:r>
      <w:r>
        <w:rPr>
          <w:rFonts w:hint="eastAsia" w:eastAsia="宋体"/>
          <w:b/>
          <w:color w:val="000000"/>
          <w:lang w:val="en" w:eastAsia="zh-CN"/>
        </w:rPr>
        <w:drawing>
          <wp:inline distT="0" distB="0" distL="114300" distR="114300">
            <wp:extent cx="1592580" cy="1592580"/>
            <wp:effectExtent l="0" t="0" r="7620" b="7620"/>
            <wp:docPr id="13" name="图片 13" descr="基于博弈论组合权重的城市洪涝风险评估"/>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3" descr="基于博弈论组合权重的城市洪涝风险评估"/>
                    <pic:cNvPicPr>
                      <a:picLocks noChangeAspect="true"/>
                    </pic:cNvPicPr>
                  </pic:nvPicPr>
                  <pic:blipFill>
                    <a:blip r:embed="rId12"/>
                    <a:stretch>
                      <a:fillRect/>
                    </a:stretch>
                  </pic:blipFill>
                  <pic:spPr>
                    <a:xfrm>
                      <a:off x="0" y="0"/>
                      <a:ext cx="1592580" cy="1592580"/>
                    </a:xfrm>
                    <a:prstGeom prst="rect">
                      <a:avLst/>
                    </a:prstGeom>
                  </pic:spPr>
                </pic:pic>
              </a:graphicData>
            </a:graphic>
          </wp:inline>
        </w:drawing>
      </w:r>
    </w:p>
    <w:p>
      <w:pPr>
        <w:pStyle w:val="2"/>
        <w:pageBreakBefore w:val="0"/>
        <w:kinsoku/>
        <w:wordWrap/>
        <w:overflowPunct/>
        <w:topLinePunct w:val="0"/>
        <w:autoSpaceDE/>
        <w:autoSpaceDN/>
        <w:bidi w:val="0"/>
        <w:adjustRightInd/>
        <w:spacing w:beforeAutospacing="0" w:afterAutospacing="0" w:line="240" w:lineRule="auto"/>
        <w:ind w:firstLine="0" w:firstLineChars="0"/>
        <w:textAlignment w:val="auto"/>
        <w:rPr>
          <w:rFonts w:ascii="Times New Roman" w:hAnsi="Times New Roman" w:cs="Times New Roman"/>
          <w:sz w:val="18"/>
          <w:szCs w:val="18"/>
          <w:lang w:eastAsia="zh-CN"/>
        </w:rPr>
      </w:pP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sz w:val="28"/>
          <w:szCs w:val="28"/>
        </w:rPr>
      </w:pPr>
      <w:r>
        <w:rPr>
          <w:rFonts w:cs="Times New Roman"/>
          <w:b/>
          <w:bCs/>
          <w:sz w:val="28"/>
          <w:szCs w:val="28"/>
        </w:rPr>
        <w:t>Urban flood risk assessment based on game theory-</w:t>
      </w:r>
      <w:r>
        <w:rPr>
          <w:rFonts w:hint="eastAsia" w:cs="Times New Roman"/>
          <w:b/>
          <w:bCs/>
          <w:sz w:val="28"/>
          <w:szCs w:val="28"/>
          <w:lang w:val="en-US" w:eastAsia="zh-CN"/>
        </w:rPr>
        <w:t xml:space="preserve">based </w:t>
      </w:r>
      <w:r>
        <w:rPr>
          <w:rFonts w:cs="Times New Roman"/>
          <w:b/>
          <w:bCs/>
          <w:sz w:val="28"/>
          <w:szCs w:val="28"/>
        </w:rPr>
        <w:t>combin</w:t>
      </w:r>
      <w:r>
        <w:rPr>
          <w:rFonts w:hint="eastAsia" w:cs="Times New Roman"/>
          <w:b/>
          <w:bCs/>
          <w:sz w:val="28"/>
          <w:szCs w:val="28"/>
          <w:lang w:val="en-US" w:eastAsia="zh-CN"/>
        </w:rPr>
        <w:t>ation</w:t>
      </w:r>
      <w:r>
        <w:rPr>
          <w:rFonts w:cs="Times New Roman"/>
          <w:b/>
          <w:bCs/>
          <w:sz w:val="28"/>
          <w:szCs w:val="28"/>
        </w:rPr>
        <w:t xml:space="preserve"> weighting method</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楷体" w:cs="Times New Roman"/>
          <w:sz w:val="21"/>
          <w:szCs w:val="21"/>
        </w:rPr>
      </w:pPr>
      <w:r>
        <w:rPr>
          <w:rFonts w:hint="eastAsia" w:eastAsia="楷体" w:cs="Times New Roman"/>
          <w:sz w:val="21"/>
          <w:szCs w:val="21"/>
        </w:rPr>
        <w:t>LU Xin</w:t>
      </w:r>
      <w:r>
        <w:rPr>
          <w:rFonts w:hint="eastAsia" w:eastAsia="楷体" w:cs="Times New Roman"/>
          <w:sz w:val="21"/>
          <w:szCs w:val="21"/>
          <w:vertAlign w:val="superscript"/>
        </w:rPr>
        <w:t>1，2</w:t>
      </w:r>
      <w:r>
        <w:rPr>
          <w:rFonts w:hint="eastAsia" w:eastAsia="楷体" w:cs="Times New Roman"/>
          <w:sz w:val="21"/>
          <w:szCs w:val="21"/>
        </w:rPr>
        <w:t>，LI Fengsen</w:t>
      </w:r>
      <w:r>
        <w:rPr>
          <w:rFonts w:hint="eastAsia" w:eastAsia="楷体" w:cs="Times New Roman"/>
          <w:sz w:val="21"/>
          <w:szCs w:val="21"/>
          <w:vertAlign w:val="superscript"/>
        </w:rPr>
        <w:t>1</w:t>
      </w:r>
      <w:r>
        <w:rPr>
          <w:rFonts w:hint="eastAsia" w:eastAsia="楷体" w:cs="Times New Roman"/>
          <w:sz w:val="21"/>
          <w:szCs w:val="21"/>
        </w:rPr>
        <w:t>，XIE Xindong</w:t>
      </w:r>
      <w:r>
        <w:rPr>
          <w:rFonts w:hint="eastAsia" w:eastAsia="楷体" w:cs="Times New Roman"/>
          <w:sz w:val="21"/>
          <w:szCs w:val="21"/>
          <w:vertAlign w:val="superscript"/>
        </w:rPr>
        <w:t>1</w:t>
      </w:r>
      <w:r>
        <w:rPr>
          <w:rFonts w:hint="eastAsia" w:eastAsia="楷体" w:cs="Times New Roman"/>
          <w:sz w:val="21"/>
          <w:szCs w:val="21"/>
        </w:rPr>
        <w:t>，ZOU Yingjiang</w:t>
      </w:r>
      <w:r>
        <w:rPr>
          <w:rFonts w:hint="eastAsia" w:eastAsia="楷体" w:cs="Times New Roman"/>
          <w:sz w:val="21"/>
          <w:szCs w:val="21"/>
          <w:vertAlign w:val="superscript"/>
        </w:rPr>
        <w:t>2</w:t>
      </w:r>
      <w:r>
        <w:rPr>
          <w:rFonts w:hint="eastAsia" w:eastAsia="楷体" w:cs="Times New Roman"/>
          <w:sz w:val="21"/>
          <w:szCs w:val="21"/>
        </w:rPr>
        <w:t>，WANG Zhichao</w:t>
      </w:r>
      <w:r>
        <w:rPr>
          <w:rFonts w:hint="eastAsia" w:eastAsia="楷体" w:cs="Times New Roman"/>
          <w:sz w:val="21"/>
          <w:szCs w:val="21"/>
          <w:vertAlign w:val="superscript"/>
        </w:rPr>
        <w:t>1</w:t>
      </w:r>
      <w:r>
        <w:rPr>
          <w:rFonts w:hint="eastAsia" w:eastAsia="楷体" w:cs="Times New Roman"/>
          <w:sz w:val="21"/>
          <w:szCs w:val="21"/>
        </w:rPr>
        <w:t>，XUE Baizhang</w:t>
      </w:r>
      <w:r>
        <w:rPr>
          <w:rFonts w:hint="eastAsia" w:eastAsia="楷体" w:cs="Times New Roman"/>
          <w:sz w:val="21"/>
          <w:szCs w:val="21"/>
          <w:vertAlign w:val="superscript"/>
        </w:rPr>
        <w:t>1，2</w:t>
      </w:r>
      <w:r>
        <w:rPr>
          <w:rFonts w:hint="eastAsia" w:eastAsia="楷体" w:cs="Times New Roman"/>
          <w:sz w:val="21"/>
          <w:szCs w:val="21"/>
        </w:rPr>
        <w:t>，HUANG Xuhua</w:t>
      </w:r>
      <w:r>
        <w:rPr>
          <w:rFonts w:hint="eastAsia" w:eastAsia="楷体" w:cs="Times New Roman"/>
          <w:sz w:val="21"/>
          <w:szCs w:val="21"/>
          <w:vertAlign w:val="superscript"/>
        </w:rPr>
        <w:t>1，2</w:t>
      </w:r>
      <w:r>
        <w:rPr>
          <w:rFonts w:hint="eastAsia" w:eastAsia="楷体" w:cs="Times New Roman"/>
          <w:sz w:val="21"/>
          <w:szCs w:val="21"/>
        </w:rPr>
        <w:t>，WANG Jian</w:t>
      </w:r>
      <w:r>
        <w:rPr>
          <w:rFonts w:hint="eastAsia" w:eastAsia="楷体" w:cs="Times New Roman"/>
          <w:sz w:val="21"/>
          <w:szCs w:val="21"/>
          <w:vertAlign w:val="superscript"/>
        </w:rPr>
        <w:t>1，2</w:t>
      </w:r>
      <w:r>
        <w:rPr>
          <w:rFonts w:hint="eastAsia" w:eastAsia="楷体" w:cs="Times New Roman"/>
          <w:sz w:val="21"/>
          <w:szCs w:val="21"/>
        </w:rPr>
        <w:t>，WANG Xiule</w:t>
      </w:r>
      <w:r>
        <w:rPr>
          <w:rFonts w:hint="eastAsia" w:eastAsia="楷体" w:cs="Times New Roman"/>
          <w:sz w:val="21"/>
          <w:szCs w:val="21"/>
          <w:vertAlign w:val="superscript"/>
        </w:rPr>
        <w:t>2</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hint="eastAsia" w:eastAsia="宋体"/>
          <w:lang w:val="en-US" w:eastAsia="zh-CN"/>
        </w:rPr>
      </w:pPr>
      <w:r>
        <w:rPr>
          <w:rFonts w:hint="eastAsia"/>
        </w:rPr>
        <w:t>（1</w:t>
      </w:r>
      <w:r>
        <w:rPr>
          <w:rFonts w:eastAsia="仿宋"/>
        </w:rPr>
        <w:t>.</w:t>
      </w:r>
      <w:r>
        <w:rPr>
          <w:rFonts w:hint="eastAsia" w:eastAsia="仿宋"/>
        </w:rPr>
        <w:t xml:space="preserve"> </w:t>
      </w:r>
      <w:r>
        <w:t>Jiangxi Academy of Water Science and Engineering</w:t>
      </w:r>
      <w:r>
        <w:rPr>
          <w:rFonts w:hint="eastAsia"/>
        </w:rPr>
        <w:t>，</w:t>
      </w:r>
      <w:r>
        <w:t>Nanchang  330029</w:t>
      </w:r>
      <w:r>
        <w:rPr>
          <w:rFonts w:hint="eastAsia"/>
        </w:rPr>
        <w:t>，J</w:t>
      </w:r>
      <w:r>
        <w:t>iangxi</w:t>
      </w:r>
      <w:r>
        <w:rPr>
          <w:rFonts w:hint="eastAsia"/>
        </w:rPr>
        <w:t>，</w:t>
      </w:r>
      <w:r>
        <w:t>China</w:t>
      </w:r>
      <w:r>
        <w:rPr>
          <w:rFonts w:hint="eastAsia"/>
        </w:rPr>
        <w:t>；2. Jiangxi Shanshui Science and Technology Development Co.，Ltd.，Jiujiang</w:t>
      </w:r>
      <w:r>
        <w:t xml:space="preserve"> </w:t>
      </w:r>
      <w:r>
        <w:rPr>
          <w:rFonts w:hint="eastAsia"/>
        </w:rPr>
        <w:t xml:space="preserve"> 332020，J</w:t>
      </w:r>
      <w:r>
        <w:t>iangxi</w:t>
      </w:r>
      <w:r>
        <w:rPr>
          <w:rFonts w:hint="eastAsia"/>
        </w:rPr>
        <w:t>，</w:t>
      </w:r>
      <w:r>
        <w:t>China</w:t>
      </w:r>
      <w:r>
        <w:rPr>
          <w:rFonts w:hint="eastAsia"/>
        </w:rPr>
        <w:t>)</w:t>
      </w:r>
    </w:p>
    <w:p>
      <w:pPr>
        <w:pStyle w:val="12"/>
        <w:pageBreakBefore w:val="0"/>
        <w:kinsoku/>
        <w:wordWrap/>
        <w:overflowPunct/>
        <w:topLinePunct w:val="0"/>
        <w:autoSpaceDE/>
        <w:autoSpaceDN/>
        <w:bidi w:val="0"/>
        <w:adjustRightInd/>
        <w:spacing w:before="0" w:beforeAutospacing="0" w:after="0" w:afterAutospacing="0" w:line="240" w:lineRule="auto"/>
        <w:jc w:val="both"/>
        <w:textAlignment w:val="auto"/>
        <w:rPr>
          <w:rStyle w:val="17"/>
          <w:rFonts w:eastAsia="宋体"/>
          <w:bCs/>
          <w:smallCaps w:val="0"/>
          <w:kern w:val="2"/>
          <w:sz w:val="21"/>
          <w:szCs w:val="22"/>
        </w:rPr>
      </w:pPr>
    </w:p>
    <w:p>
      <w:pPr>
        <w:pStyle w:val="12"/>
        <w:pageBreakBefore w:val="0"/>
        <w:kinsoku/>
        <w:wordWrap/>
        <w:overflowPunct/>
        <w:topLinePunct w:val="0"/>
        <w:autoSpaceDE/>
        <w:autoSpaceDN/>
        <w:bidi w:val="0"/>
        <w:adjustRightInd/>
        <w:spacing w:before="0" w:beforeAutospacing="0" w:after="0" w:afterAutospacing="0" w:line="240" w:lineRule="auto"/>
        <w:jc w:val="both"/>
        <w:textAlignment w:val="auto"/>
        <w:rPr>
          <w:rStyle w:val="17"/>
          <w:rFonts w:eastAsia="宋体"/>
          <w:b w:val="0"/>
          <w:smallCaps w:val="0"/>
          <w:kern w:val="2"/>
          <w:sz w:val="21"/>
          <w:szCs w:val="22"/>
        </w:rPr>
      </w:pPr>
      <w:r>
        <w:rPr>
          <w:rStyle w:val="17"/>
          <w:rFonts w:eastAsia="宋体"/>
          <w:bCs/>
          <w:smallCaps w:val="0"/>
          <w:kern w:val="2"/>
          <w:sz w:val="21"/>
          <w:szCs w:val="22"/>
        </w:rPr>
        <w:t>Abstract: [Objective]</w:t>
      </w:r>
      <w:r>
        <w:rPr>
          <w:rStyle w:val="17"/>
          <w:rFonts w:eastAsia="宋体"/>
          <w:b w:val="0"/>
          <w:smallCaps w:val="0"/>
          <w:kern w:val="2"/>
          <w:sz w:val="21"/>
          <w:szCs w:val="22"/>
        </w:rPr>
        <w:t xml:space="preserve"> Flood risk assessment is crucial for developing regional disaster prevention and mitigation systems. </w:t>
      </w:r>
      <w:r>
        <w:rPr>
          <w:rFonts w:eastAsia="宋体"/>
          <w:smallCaps w:val="0"/>
          <w:kern w:val="2"/>
          <w:sz w:val="21"/>
          <w:szCs w:val="22"/>
        </w:rPr>
        <w:t>However</w:t>
      </w:r>
      <w:r>
        <w:rPr>
          <w:rFonts w:hint="eastAsia" w:eastAsia="宋体"/>
          <w:smallCaps w:val="0"/>
          <w:kern w:val="2"/>
          <w:sz w:val="21"/>
          <w:szCs w:val="22"/>
        </w:rPr>
        <w:t xml:space="preserve">, </w:t>
      </w:r>
      <w:r>
        <w:rPr>
          <w:rStyle w:val="17"/>
          <w:rFonts w:hint="eastAsia" w:eastAsia="宋体"/>
          <w:b w:val="0"/>
          <w:smallCaps w:val="0"/>
          <w:kern w:val="2"/>
          <w:sz w:val="21"/>
          <w:szCs w:val="22"/>
        </w:rPr>
        <w:t>c</w:t>
      </w:r>
      <w:r>
        <w:rPr>
          <w:rStyle w:val="17"/>
          <w:rFonts w:eastAsia="宋体"/>
          <w:b w:val="0"/>
          <w:smallCaps w:val="0"/>
          <w:kern w:val="2"/>
          <w:sz w:val="21"/>
          <w:szCs w:val="22"/>
        </w:rPr>
        <w:t xml:space="preserve">urrent research focuses mainly on large-scale areas such as counties and cities, with limited attention to small-scale urban districts. </w:t>
      </w:r>
      <w:r>
        <w:rPr>
          <w:rFonts w:eastAsia="宋体"/>
          <w:smallCaps w:val="0"/>
          <w:kern w:val="2"/>
          <w:sz w:val="21"/>
          <w:szCs w:val="22"/>
        </w:rPr>
        <w:t>T</w:t>
      </w:r>
      <w:r>
        <w:rPr>
          <w:rFonts w:hint="eastAsia" w:eastAsia="宋体"/>
          <w:smallCaps w:val="0"/>
          <w:kern w:val="2"/>
          <w:sz w:val="21"/>
          <w:szCs w:val="22"/>
          <w:lang w:val="en-US" w:eastAsia="zh-CN"/>
        </w:rPr>
        <w:t>he aim is to</w:t>
      </w:r>
      <w:r>
        <w:rPr>
          <w:rFonts w:eastAsia="宋体"/>
          <w:smallCaps w:val="0"/>
          <w:kern w:val="2"/>
          <w:sz w:val="21"/>
          <w:szCs w:val="22"/>
        </w:rPr>
        <w:t xml:space="preserve"> effectively assess</w:t>
      </w:r>
      <w:r>
        <w:rPr>
          <w:rStyle w:val="17"/>
          <w:rFonts w:eastAsia="宋体"/>
          <w:b w:val="0"/>
          <w:smallCaps w:val="0"/>
          <w:kern w:val="2"/>
          <w:sz w:val="21"/>
          <w:szCs w:val="22"/>
        </w:rPr>
        <w:t xml:space="preserve"> urban flood risk </w:t>
      </w:r>
      <w:r>
        <w:rPr>
          <w:rFonts w:eastAsia="宋体"/>
          <w:smallCaps w:val="0"/>
          <w:kern w:val="2"/>
          <w:sz w:val="21"/>
          <w:szCs w:val="22"/>
        </w:rPr>
        <w:t>and enhance the refinement level of risk assessment</w:t>
      </w:r>
      <w:r>
        <w:rPr>
          <w:rStyle w:val="17"/>
          <w:rFonts w:hint="eastAsia" w:eastAsia="宋体"/>
          <w:b w:val="0"/>
          <w:smallCaps w:val="0"/>
          <w:kern w:val="2"/>
          <w:sz w:val="21"/>
          <w:szCs w:val="22"/>
          <w:lang w:val="en-US" w:eastAsia="zh-CN"/>
        </w:rPr>
        <w:t xml:space="preserve">. </w:t>
      </w:r>
      <w:r>
        <w:rPr>
          <w:rStyle w:val="17"/>
          <w:rFonts w:eastAsia="宋体"/>
          <w:bCs/>
          <w:smallCaps w:val="0"/>
          <w:kern w:val="2"/>
          <w:sz w:val="21"/>
          <w:szCs w:val="22"/>
        </w:rPr>
        <w:t xml:space="preserve">[Methods] </w:t>
      </w:r>
      <w:r>
        <w:rPr>
          <w:rStyle w:val="17"/>
          <w:rFonts w:hint="eastAsia" w:eastAsia="宋体"/>
          <w:b w:val="0"/>
          <w:smallCaps w:val="0"/>
          <w:kern w:val="2"/>
          <w:sz w:val="21"/>
          <w:szCs w:val="22"/>
          <w:lang w:val="en-US" w:eastAsia="zh-CN"/>
        </w:rPr>
        <w:t>A</w:t>
      </w:r>
      <w:r>
        <w:rPr>
          <w:rStyle w:val="17"/>
          <w:rFonts w:eastAsia="宋体"/>
          <w:b w:val="0"/>
          <w:smallCaps w:val="0"/>
          <w:kern w:val="2"/>
          <w:sz w:val="21"/>
          <w:szCs w:val="22"/>
        </w:rPr>
        <w:t xml:space="preserve"> flood risk assessment </w:t>
      </w:r>
      <w:r>
        <w:rPr>
          <w:rFonts w:eastAsia="宋体"/>
          <w:smallCaps w:val="0"/>
          <w:kern w:val="2"/>
          <w:sz w:val="21"/>
          <w:szCs w:val="22"/>
        </w:rPr>
        <w:t>method</w:t>
      </w:r>
      <w:r>
        <w:rPr>
          <w:rFonts w:hint="eastAsia" w:eastAsia="宋体"/>
          <w:smallCaps w:val="0"/>
          <w:kern w:val="2"/>
          <w:sz w:val="21"/>
          <w:szCs w:val="22"/>
        </w:rPr>
        <w:t xml:space="preserve"> </w:t>
      </w:r>
      <w:r>
        <w:rPr>
          <w:rStyle w:val="17"/>
          <w:rFonts w:eastAsia="宋体"/>
          <w:b w:val="0"/>
          <w:smallCaps w:val="0"/>
          <w:kern w:val="2"/>
          <w:sz w:val="21"/>
          <w:szCs w:val="22"/>
        </w:rPr>
        <w:t xml:space="preserve">suitable for urban areas was established by integrating the MIKEFLOOD hydrodynamic </w:t>
      </w:r>
      <w:r>
        <w:rPr>
          <w:rFonts w:eastAsia="宋体"/>
          <w:smallCaps w:val="0"/>
          <w:kern w:val="2"/>
          <w:sz w:val="21"/>
          <w:szCs w:val="22"/>
        </w:rPr>
        <w:t>modeling</w:t>
      </w:r>
      <w:r>
        <w:rPr>
          <w:rFonts w:hint="eastAsia" w:eastAsia="宋体"/>
          <w:smallCaps w:val="0"/>
          <w:kern w:val="2"/>
          <w:sz w:val="21"/>
          <w:szCs w:val="22"/>
        </w:rPr>
        <w:t xml:space="preserve"> </w:t>
      </w:r>
      <w:r>
        <w:rPr>
          <w:rFonts w:eastAsia="宋体"/>
          <w:smallCaps w:val="0"/>
          <w:kern w:val="2"/>
          <w:sz w:val="21"/>
          <w:szCs w:val="22"/>
        </w:rPr>
        <w:t>technique</w:t>
      </w:r>
      <w:r>
        <w:rPr>
          <w:rFonts w:hint="eastAsia" w:eastAsia="宋体"/>
          <w:smallCaps w:val="0"/>
          <w:kern w:val="2"/>
          <w:sz w:val="21"/>
          <w:szCs w:val="22"/>
        </w:rPr>
        <w:t xml:space="preserve"> </w:t>
      </w:r>
      <w:r>
        <w:rPr>
          <w:rStyle w:val="17"/>
          <w:rFonts w:eastAsia="宋体"/>
          <w:b w:val="0"/>
          <w:smallCaps w:val="0"/>
          <w:kern w:val="2"/>
          <w:sz w:val="21"/>
          <w:szCs w:val="22"/>
        </w:rPr>
        <w:t>with a game theory-</w:t>
      </w:r>
      <w:r>
        <w:rPr>
          <w:rStyle w:val="17"/>
          <w:rFonts w:hint="eastAsia" w:eastAsia="宋体"/>
          <w:b w:val="0"/>
          <w:smallCaps w:val="0"/>
          <w:kern w:val="2"/>
          <w:sz w:val="21"/>
          <w:szCs w:val="22"/>
          <w:lang w:val="en-US" w:eastAsia="zh-CN"/>
        </w:rPr>
        <w:t xml:space="preserve">based </w:t>
      </w:r>
      <w:r>
        <w:rPr>
          <w:rStyle w:val="17"/>
          <w:rFonts w:eastAsia="宋体"/>
          <w:b w:val="0"/>
          <w:smallCaps w:val="0"/>
          <w:kern w:val="2"/>
          <w:sz w:val="21"/>
          <w:szCs w:val="22"/>
        </w:rPr>
        <w:t>combin</w:t>
      </w:r>
      <w:r>
        <w:rPr>
          <w:rStyle w:val="17"/>
          <w:rFonts w:hint="eastAsia" w:eastAsia="宋体"/>
          <w:b w:val="0"/>
          <w:smallCaps w:val="0"/>
          <w:kern w:val="2"/>
          <w:sz w:val="21"/>
          <w:szCs w:val="22"/>
          <w:lang w:val="en-US" w:eastAsia="zh-CN"/>
        </w:rPr>
        <w:t>ation</w:t>
      </w:r>
      <w:r>
        <w:rPr>
          <w:rStyle w:val="17"/>
          <w:rFonts w:eastAsia="宋体"/>
          <w:b w:val="0"/>
          <w:smallCaps w:val="0"/>
          <w:kern w:val="2"/>
          <w:sz w:val="21"/>
          <w:szCs w:val="22"/>
        </w:rPr>
        <w:t xml:space="preserve"> weighting </w:t>
      </w:r>
      <w:r>
        <w:rPr>
          <w:rFonts w:eastAsia="宋体"/>
          <w:smallCaps w:val="0"/>
          <w:kern w:val="2"/>
          <w:sz w:val="21"/>
          <w:szCs w:val="22"/>
        </w:rPr>
        <w:t>model</w:t>
      </w:r>
      <w:r>
        <w:rPr>
          <w:rStyle w:val="17"/>
          <w:rFonts w:eastAsia="宋体"/>
          <w:b w:val="0"/>
          <w:smallCaps w:val="0"/>
          <w:kern w:val="2"/>
          <w:sz w:val="21"/>
          <w:szCs w:val="22"/>
        </w:rPr>
        <w:t xml:space="preserve">. </w:t>
      </w:r>
      <w:r>
        <w:rPr>
          <w:rFonts w:eastAsia="宋体"/>
          <w:smallCaps w:val="0"/>
          <w:kern w:val="2"/>
          <w:sz w:val="21"/>
          <w:szCs w:val="22"/>
        </w:rPr>
        <w:t>Taking</w:t>
      </w:r>
      <w:r>
        <w:rPr>
          <w:rFonts w:hint="eastAsia" w:eastAsia="宋体"/>
          <w:smallCaps w:val="0"/>
          <w:kern w:val="2"/>
          <w:sz w:val="21"/>
          <w:szCs w:val="22"/>
        </w:rPr>
        <w:t xml:space="preserve"> </w:t>
      </w:r>
      <w:r>
        <w:rPr>
          <w:rStyle w:val="17"/>
          <w:rFonts w:hint="eastAsia" w:eastAsia="宋体"/>
          <w:b w:val="0"/>
          <w:smallCaps w:val="0"/>
          <w:kern w:val="2"/>
          <w:sz w:val="21"/>
          <w:szCs w:val="22"/>
        </w:rPr>
        <w:t>t</w:t>
      </w:r>
      <w:r>
        <w:rPr>
          <w:rStyle w:val="17"/>
          <w:rFonts w:eastAsia="宋体"/>
          <w:b w:val="0"/>
          <w:smallCaps w:val="0"/>
          <w:kern w:val="2"/>
          <w:sz w:val="21"/>
          <w:szCs w:val="22"/>
        </w:rPr>
        <w:t>he urban area of Dexing City as a</w:t>
      </w:r>
      <w:r>
        <w:rPr>
          <w:rStyle w:val="17"/>
          <w:rFonts w:hint="eastAsia" w:eastAsia="宋体"/>
          <w:b w:val="0"/>
          <w:smallCaps w:val="0"/>
          <w:kern w:val="2"/>
          <w:sz w:val="21"/>
          <w:szCs w:val="22"/>
        </w:rPr>
        <w:t>n</w:t>
      </w:r>
      <w:r>
        <w:rPr>
          <w:rStyle w:val="17"/>
          <w:rFonts w:eastAsia="宋体"/>
          <w:b w:val="0"/>
          <w:smallCaps w:val="0"/>
          <w:kern w:val="2"/>
          <w:sz w:val="21"/>
          <w:szCs w:val="22"/>
        </w:rPr>
        <w:t xml:space="preserve"> </w:t>
      </w:r>
      <w:r>
        <w:rPr>
          <w:rFonts w:eastAsia="宋体"/>
          <w:smallCaps w:val="0"/>
          <w:kern w:val="2"/>
          <w:sz w:val="21"/>
          <w:szCs w:val="22"/>
        </w:rPr>
        <w:t>example</w:t>
      </w:r>
      <w:r>
        <w:rPr>
          <w:rFonts w:hint="eastAsia" w:eastAsia="宋体"/>
          <w:smallCaps w:val="0"/>
          <w:kern w:val="2"/>
          <w:sz w:val="21"/>
          <w:szCs w:val="22"/>
        </w:rPr>
        <w:t xml:space="preserve">, </w:t>
      </w:r>
      <w:r>
        <w:rPr>
          <w:rStyle w:val="17"/>
          <w:rFonts w:hint="eastAsia" w:eastAsia="宋体"/>
          <w:b w:val="0"/>
          <w:smallCaps w:val="0"/>
          <w:kern w:val="2"/>
          <w:sz w:val="21"/>
          <w:szCs w:val="22"/>
        </w:rPr>
        <w:t>m</w:t>
      </w:r>
      <w:r>
        <w:rPr>
          <w:rStyle w:val="17"/>
          <w:rFonts w:eastAsia="宋体"/>
          <w:b w:val="0"/>
          <w:smallCaps w:val="0"/>
          <w:kern w:val="2"/>
          <w:sz w:val="21"/>
          <w:szCs w:val="22"/>
        </w:rPr>
        <w:t>ulti-source data were collected, including</w:t>
      </w:r>
      <w:r>
        <w:rPr>
          <w:rStyle w:val="17"/>
          <w:rFonts w:hint="eastAsia" w:eastAsia="宋体"/>
          <w:b w:val="0"/>
          <w:smallCaps w:val="0"/>
          <w:kern w:val="2"/>
          <w:sz w:val="21"/>
          <w:szCs w:val="22"/>
        </w:rPr>
        <w:t xml:space="preserve"> </w:t>
      </w:r>
      <w:r>
        <w:rPr>
          <w:rStyle w:val="17"/>
          <w:rFonts w:eastAsia="宋体"/>
          <w:b w:val="0"/>
          <w:smallCaps w:val="0"/>
          <w:kern w:val="2"/>
          <w:sz w:val="21"/>
          <w:szCs w:val="22"/>
        </w:rPr>
        <w:t>rainfall</w:t>
      </w:r>
      <w:r>
        <w:rPr>
          <w:rStyle w:val="17"/>
          <w:rFonts w:hint="eastAsia" w:eastAsia="宋体"/>
          <w:b w:val="0"/>
          <w:smallCaps w:val="0"/>
          <w:kern w:val="2"/>
          <w:sz w:val="21"/>
          <w:szCs w:val="22"/>
        </w:rPr>
        <w:t xml:space="preserve"> and </w:t>
      </w:r>
      <w:r>
        <w:rPr>
          <w:rStyle w:val="17"/>
          <w:rFonts w:eastAsia="宋体"/>
          <w:b w:val="0"/>
          <w:smallCaps w:val="0"/>
          <w:kern w:val="2"/>
          <w:sz w:val="21"/>
          <w:szCs w:val="22"/>
        </w:rPr>
        <w:t>runoff process from 12:00 on June 18</w:t>
      </w:r>
      <w:r>
        <w:rPr>
          <w:rStyle w:val="17"/>
          <w:rFonts w:hint="eastAsia" w:eastAsia="宋体"/>
          <w:b w:val="0"/>
          <w:smallCaps w:val="0"/>
          <w:kern w:val="2"/>
          <w:sz w:val="21"/>
          <w:szCs w:val="22"/>
          <w:lang w:val="en-US" w:eastAsia="zh-CN"/>
        </w:rPr>
        <w:t xml:space="preserve"> </w:t>
      </w:r>
      <w:r>
        <w:rPr>
          <w:rStyle w:val="17"/>
          <w:rFonts w:eastAsia="宋体"/>
          <w:b w:val="0"/>
          <w:smallCaps w:val="0"/>
          <w:kern w:val="2"/>
          <w:sz w:val="21"/>
          <w:szCs w:val="22"/>
        </w:rPr>
        <w:t>to 12:00 on June 23</w:t>
      </w:r>
      <w:r>
        <w:rPr>
          <w:rStyle w:val="17"/>
          <w:rFonts w:hint="eastAsia" w:eastAsia="宋体"/>
          <w:b w:val="0"/>
          <w:smallCaps w:val="0"/>
          <w:kern w:val="2"/>
          <w:sz w:val="21"/>
          <w:szCs w:val="22"/>
        </w:rPr>
        <w:t>,</w:t>
      </w:r>
      <w:r>
        <w:rPr>
          <w:rStyle w:val="17"/>
          <w:rFonts w:eastAsia="宋体"/>
          <w:b w:val="0"/>
          <w:smallCaps w:val="0"/>
          <w:kern w:val="2"/>
          <w:sz w:val="21"/>
          <w:szCs w:val="22"/>
        </w:rPr>
        <w:t xml:space="preserve"> 2022, a high-resolution digital elevation model (DEM) </w:t>
      </w:r>
      <w:r>
        <w:rPr>
          <w:rFonts w:eastAsia="宋体"/>
          <w:smallCaps w:val="0"/>
          <w:kern w:val="2"/>
          <w:sz w:val="21"/>
          <w:szCs w:val="22"/>
        </w:rPr>
        <w:t>of the urban area obtained</w:t>
      </w:r>
      <w:r>
        <w:rPr>
          <w:rFonts w:hint="eastAsia" w:eastAsia="宋体"/>
          <w:smallCaps w:val="0"/>
          <w:kern w:val="2"/>
          <w:sz w:val="21"/>
          <w:szCs w:val="22"/>
        </w:rPr>
        <w:t xml:space="preserve"> </w:t>
      </w:r>
      <w:r>
        <w:rPr>
          <w:rStyle w:val="17"/>
          <w:rFonts w:hint="eastAsia" w:eastAsia="宋体"/>
          <w:b w:val="0"/>
          <w:smallCaps w:val="0"/>
          <w:kern w:val="2"/>
          <w:sz w:val="21"/>
          <w:szCs w:val="22"/>
        </w:rPr>
        <w:t>from</w:t>
      </w:r>
      <w:r>
        <w:rPr>
          <w:rStyle w:val="17"/>
          <w:rFonts w:eastAsia="宋体"/>
          <w:b w:val="0"/>
          <w:smallCaps w:val="0"/>
          <w:kern w:val="2"/>
          <w:sz w:val="21"/>
          <w:szCs w:val="22"/>
        </w:rPr>
        <w:t xml:space="preserve"> UAV aerial photography, and measured river cross-section</w:t>
      </w:r>
      <w:r>
        <w:rPr>
          <w:rStyle w:val="17"/>
          <w:rFonts w:hint="eastAsia" w:eastAsia="宋体"/>
          <w:b w:val="0"/>
          <w:smallCaps w:val="0"/>
          <w:kern w:val="2"/>
          <w:sz w:val="21"/>
          <w:szCs w:val="22"/>
        </w:rPr>
        <w:t>s</w:t>
      </w:r>
      <w:r>
        <w:rPr>
          <w:rStyle w:val="17"/>
          <w:rFonts w:eastAsia="宋体"/>
          <w:b w:val="0"/>
          <w:smallCaps w:val="0"/>
          <w:kern w:val="2"/>
          <w:sz w:val="21"/>
          <w:szCs w:val="22"/>
        </w:rPr>
        <w:t xml:space="preserve">. </w:t>
      </w:r>
      <w:r>
        <w:rPr>
          <w:rStyle w:val="17"/>
          <w:rFonts w:hint="eastAsia" w:eastAsia="宋体"/>
          <w:b w:val="0"/>
          <w:smallCaps w:val="0"/>
          <w:kern w:val="2"/>
          <w:sz w:val="21"/>
          <w:szCs w:val="22"/>
        </w:rPr>
        <w:t>A</w:t>
      </w:r>
      <w:r>
        <w:rPr>
          <w:rStyle w:val="17"/>
          <w:rFonts w:eastAsia="宋体"/>
          <w:b w:val="0"/>
          <w:smallCaps w:val="0"/>
          <w:kern w:val="2"/>
          <w:sz w:val="21"/>
          <w:szCs w:val="22"/>
        </w:rPr>
        <w:t xml:space="preserve"> MIKEFLOOD </w:t>
      </w:r>
      <w:r>
        <w:rPr>
          <w:rFonts w:eastAsia="宋体"/>
          <w:smallCaps w:val="0"/>
          <w:kern w:val="2"/>
          <w:sz w:val="21"/>
          <w:szCs w:val="22"/>
        </w:rPr>
        <w:t>hydrodynamic</w:t>
      </w:r>
      <w:r>
        <w:rPr>
          <w:rFonts w:hint="eastAsia" w:eastAsia="宋体"/>
          <w:smallCaps w:val="0"/>
          <w:kern w:val="2"/>
          <w:sz w:val="21"/>
          <w:szCs w:val="22"/>
        </w:rPr>
        <w:t xml:space="preserve"> </w:t>
      </w:r>
      <w:r>
        <w:rPr>
          <w:rStyle w:val="17"/>
          <w:rFonts w:eastAsia="宋体"/>
          <w:b w:val="0"/>
          <w:smallCaps w:val="0"/>
          <w:kern w:val="2"/>
          <w:sz w:val="21"/>
          <w:szCs w:val="22"/>
        </w:rPr>
        <w:t xml:space="preserve">model </w:t>
      </w:r>
      <w:r>
        <w:rPr>
          <w:rFonts w:eastAsia="宋体"/>
          <w:smallCaps w:val="0"/>
          <w:kern w:val="2"/>
          <w:sz w:val="21"/>
          <w:szCs w:val="22"/>
        </w:rPr>
        <w:t>for the Dexing urban area</w:t>
      </w:r>
      <w:r>
        <w:rPr>
          <w:rFonts w:hint="eastAsia" w:eastAsia="宋体"/>
          <w:smallCaps w:val="0"/>
          <w:kern w:val="2"/>
          <w:sz w:val="21"/>
          <w:szCs w:val="22"/>
        </w:rPr>
        <w:t xml:space="preserve"> </w:t>
      </w:r>
      <w:r>
        <w:rPr>
          <w:rStyle w:val="17"/>
          <w:rFonts w:eastAsia="宋体"/>
          <w:b w:val="0"/>
          <w:smallCaps w:val="0"/>
          <w:kern w:val="2"/>
          <w:sz w:val="21"/>
          <w:szCs w:val="22"/>
        </w:rPr>
        <w:t xml:space="preserve">was </w:t>
      </w:r>
      <w:r>
        <w:rPr>
          <w:rStyle w:val="17"/>
          <w:rFonts w:hint="eastAsia" w:eastAsia="宋体"/>
          <w:b w:val="0"/>
          <w:smallCaps w:val="0"/>
          <w:kern w:val="2"/>
          <w:sz w:val="21"/>
          <w:szCs w:val="22"/>
        </w:rPr>
        <w:t xml:space="preserve">then </w:t>
      </w:r>
      <w:r>
        <w:rPr>
          <w:rStyle w:val="17"/>
          <w:rFonts w:eastAsia="宋体"/>
          <w:b w:val="0"/>
          <w:smallCaps w:val="0"/>
          <w:kern w:val="2"/>
          <w:sz w:val="21"/>
          <w:szCs w:val="22"/>
        </w:rPr>
        <w:t>constructed</w:t>
      </w:r>
      <w:r>
        <w:rPr>
          <w:rStyle w:val="17"/>
          <w:rFonts w:hint="eastAsia" w:eastAsia="宋体"/>
          <w:b w:val="0"/>
          <w:smallCaps w:val="0"/>
          <w:kern w:val="2"/>
          <w:sz w:val="21"/>
          <w:szCs w:val="22"/>
          <w:lang w:val="en-US" w:eastAsia="zh-CN"/>
        </w:rPr>
        <w:t xml:space="preserve"> </w:t>
      </w:r>
      <w:r>
        <w:rPr>
          <w:rStyle w:val="17"/>
          <w:rFonts w:hint="eastAsia" w:eastAsia="宋体"/>
          <w:b w:val="0"/>
          <w:smallCaps w:val="0"/>
          <w:kern w:val="2"/>
          <w:sz w:val="21"/>
          <w:szCs w:val="22"/>
        </w:rPr>
        <w:t>for flood simulation</w:t>
      </w:r>
      <w:r>
        <w:rPr>
          <w:rStyle w:val="17"/>
          <w:rFonts w:eastAsia="宋体"/>
          <w:b w:val="0"/>
          <w:smallCaps w:val="0"/>
          <w:kern w:val="2"/>
          <w:sz w:val="21"/>
          <w:szCs w:val="22"/>
        </w:rPr>
        <w:t xml:space="preserve">. After </w:t>
      </w:r>
      <w:r>
        <w:rPr>
          <w:rStyle w:val="17"/>
          <w:rFonts w:hint="eastAsia" w:eastAsia="宋体"/>
          <w:b w:val="0"/>
          <w:smallCaps w:val="0"/>
          <w:kern w:val="2"/>
          <w:sz w:val="21"/>
          <w:szCs w:val="22"/>
        </w:rPr>
        <w:t>validating the model</w:t>
      </w:r>
      <w:r>
        <w:rPr>
          <w:rStyle w:val="17"/>
          <w:rFonts w:eastAsia="宋体"/>
          <w:b w:val="0"/>
          <w:smallCaps w:val="0"/>
          <w:kern w:val="2"/>
          <w:sz w:val="21"/>
          <w:szCs w:val="22"/>
        </w:rPr>
        <w:t xml:space="preserve">, four hazard indicators were selected based on the </w:t>
      </w:r>
      <w:r>
        <w:rPr>
          <w:rFonts w:eastAsia="宋体"/>
          <w:smallCaps w:val="0"/>
          <w:kern w:val="2"/>
          <w:sz w:val="21"/>
          <w:szCs w:val="22"/>
        </w:rPr>
        <w:t>flood</w:t>
      </w:r>
      <w:r>
        <w:rPr>
          <w:rFonts w:hint="eastAsia" w:eastAsia="宋体"/>
          <w:smallCaps w:val="0"/>
          <w:kern w:val="2"/>
          <w:sz w:val="21"/>
          <w:szCs w:val="22"/>
        </w:rPr>
        <w:t xml:space="preserve"> </w:t>
      </w:r>
      <w:r>
        <w:rPr>
          <w:rStyle w:val="17"/>
          <w:rFonts w:eastAsia="宋体"/>
          <w:b w:val="0"/>
          <w:smallCaps w:val="0"/>
          <w:kern w:val="2"/>
          <w:sz w:val="21"/>
          <w:szCs w:val="22"/>
        </w:rPr>
        <w:t xml:space="preserve">simulation results: maximum inundation depth, maximum inundation duration, maximum inundation area, and maximum </w:t>
      </w:r>
      <w:r>
        <w:rPr>
          <w:rFonts w:eastAsia="宋体"/>
          <w:smallCaps w:val="0"/>
          <w:kern w:val="2"/>
          <w:sz w:val="21"/>
          <w:szCs w:val="22"/>
        </w:rPr>
        <w:t>inundation</w:t>
      </w:r>
      <w:r>
        <w:rPr>
          <w:rFonts w:hint="eastAsia" w:eastAsia="宋体"/>
          <w:smallCaps w:val="0"/>
          <w:kern w:val="2"/>
          <w:sz w:val="21"/>
          <w:szCs w:val="22"/>
        </w:rPr>
        <w:t xml:space="preserve"> </w:t>
      </w:r>
      <w:r>
        <w:rPr>
          <w:rStyle w:val="17"/>
          <w:rFonts w:eastAsia="宋体"/>
          <w:b w:val="0"/>
          <w:smallCaps w:val="0"/>
          <w:kern w:val="2"/>
          <w:sz w:val="21"/>
          <w:szCs w:val="22"/>
        </w:rPr>
        <w:t xml:space="preserve">flow velocity. These were combined with </w:t>
      </w:r>
      <w:r>
        <w:rPr>
          <w:rFonts w:eastAsia="宋体"/>
          <w:smallCaps w:val="0"/>
          <w:kern w:val="2"/>
          <w:sz w:val="21"/>
          <w:szCs w:val="22"/>
        </w:rPr>
        <w:t>indicators of</w:t>
      </w:r>
      <w:r>
        <w:rPr>
          <w:rFonts w:hint="eastAsia" w:eastAsia="宋体"/>
          <w:smallCaps w:val="0"/>
          <w:kern w:val="2"/>
          <w:sz w:val="21"/>
          <w:szCs w:val="22"/>
        </w:rPr>
        <w:t xml:space="preserve"> </w:t>
      </w:r>
      <w:r>
        <w:rPr>
          <w:rStyle w:val="17"/>
          <w:rFonts w:eastAsia="宋体"/>
          <w:b w:val="0"/>
          <w:smallCaps w:val="0"/>
          <w:kern w:val="2"/>
          <w:sz w:val="21"/>
          <w:szCs w:val="22"/>
        </w:rPr>
        <w:t>environmental vulnerability and</w:t>
      </w:r>
      <w:r>
        <w:rPr>
          <w:rFonts w:eastAsia="宋体"/>
          <w:smallCaps w:val="0"/>
          <w:kern w:val="2"/>
          <w:sz w:val="21"/>
          <w:szCs w:val="22"/>
        </w:rPr>
        <w:t xml:space="preserve"> disaster-bearing body</w:t>
      </w:r>
      <w:r>
        <w:rPr>
          <w:rStyle w:val="17"/>
          <w:rFonts w:eastAsia="宋体"/>
          <w:b w:val="0"/>
          <w:smallCaps w:val="0"/>
          <w:kern w:val="2"/>
          <w:sz w:val="21"/>
          <w:szCs w:val="22"/>
        </w:rPr>
        <w:t xml:space="preserve"> exposure</w:t>
      </w:r>
      <w:r>
        <w:rPr>
          <w:rFonts w:hint="eastAsia" w:eastAsia="宋体"/>
          <w:smallCaps w:val="0"/>
          <w:kern w:val="2"/>
          <w:sz w:val="21"/>
          <w:szCs w:val="22"/>
        </w:rPr>
        <w:t xml:space="preserve"> </w:t>
      </w:r>
      <w:r>
        <w:rPr>
          <w:rStyle w:val="17"/>
          <w:rFonts w:eastAsia="宋体"/>
          <w:b w:val="0"/>
          <w:smallCaps w:val="0"/>
          <w:kern w:val="2"/>
          <w:sz w:val="21"/>
          <w:szCs w:val="22"/>
        </w:rPr>
        <w:t>to establish a</w:t>
      </w:r>
      <w:r>
        <w:rPr>
          <w:rStyle w:val="17"/>
          <w:rFonts w:hint="eastAsia" w:eastAsia="宋体"/>
          <w:b w:val="0"/>
          <w:smallCaps w:val="0"/>
          <w:kern w:val="2"/>
          <w:sz w:val="21"/>
          <w:szCs w:val="22"/>
        </w:rPr>
        <w:t>n</w:t>
      </w:r>
      <w:r>
        <w:rPr>
          <w:rStyle w:val="17"/>
          <w:rFonts w:eastAsia="宋体"/>
          <w:b w:val="0"/>
          <w:smallCaps w:val="0"/>
          <w:kern w:val="2"/>
          <w:sz w:val="21"/>
          <w:szCs w:val="22"/>
        </w:rPr>
        <w:t xml:space="preserve"> </w:t>
      </w:r>
      <w:r>
        <w:rPr>
          <w:rStyle w:val="17"/>
          <w:rFonts w:hint="eastAsia" w:eastAsia="宋体"/>
          <w:b w:val="0"/>
          <w:smallCaps w:val="0"/>
          <w:kern w:val="2"/>
          <w:sz w:val="21"/>
          <w:szCs w:val="22"/>
        </w:rPr>
        <w:t>urban</w:t>
      </w:r>
      <w:r>
        <w:rPr>
          <w:rStyle w:val="17"/>
          <w:rFonts w:eastAsia="宋体"/>
          <w:b w:val="0"/>
          <w:smallCaps w:val="0"/>
          <w:kern w:val="2"/>
          <w:sz w:val="21"/>
          <w:szCs w:val="22"/>
        </w:rPr>
        <w:t xml:space="preserve"> flood disaster risk assessment system. </w:t>
      </w:r>
      <w:r>
        <w:rPr>
          <w:rFonts w:eastAsia="宋体"/>
          <w:smallCaps w:val="0"/>
          <w:kern w:val="2"/>
          <w:sz w:val="21"/>
          <w:szCs w:val="22"/>
        </w:rPr>
        <w:t>To address the indicator weighting problem within the assessment system,</w:t>
      </w:r>
      <w:r>
        <w:rPr>
          <w:rFonts w:hint="eastAsia" w:eastAsia="宋体"/>
          <w:smallCaps w:val="0"/>
          <w:kern w:val="2"/>
          <w:sz w:val="21"/>
          <w:szCs w:val="22"/>
          <w:lang w:val="en-US" w:eastAsia="zh-CN"/>
        </w:rPr>
        <w:t xml:space="preserve"> </w:t>
      </w:r>
      <w:r>
        <w:rPr>
          <w:rStyle w:val="17"/>
          <w:rFonts w:eastAsia="宋体"/>
          <w:b w:val="0"/>
          <w:smallCaps w:val="0"/>
          <w:kern w:val="2"/>
          <w:sz w:val="21"/>
          <w:szCs w:val="22"/>
        </w:rPr>
        <w:t>game theory was</w:t>
      </w:r>
      <w:r>
        <w:rPr>
          <w:rFonts w:ascii="Segoe UI" w:hAnsi="Segoe UI" w:eastAsia="宋体" w:cs="Segoe UI"/>
          <w:smallCaps w:val="0"/>
          <w:color w:val="0F1115"/>
          <w:kern w:val="2"/>
          <w:szCs w:val="22"/>
          <w:shd w:val="clear" w:color="auto" w:fill="FFFFFF"/>
        </w:rPr>
        <w:t xml:space="preserve"> </w:t>
      </w:r>
      <w:r>
        <w:rPr>
          <w:rFonts w:eastAsia="宋体"/>
          <w:smallCaps w:val="0"/>
          <w:kern w:val="2"/>
          <w:sz w:val="21"/>
          <w:szCs w:val="22"/>
        </w:rPr>
        <w:t>innovatively</w:t>
      </w:r>
      <w:r>
        <w:rPr>
          <w:rStyle w:val="17"/>
          <w:rFonts w:eastAsia="宋体"/>
          <w:b w:val="0"/>
          <w:smallCaps w:val="0"/>
          <w:kern w:val="2"/>
          <w:sz w:val="21"/>
          <w:szCs w:val="22"/>
        </w:rPr>
        <w:t xml:space="preserve"> introduced to </w:t>
      </w:r>
      <w:r>
        <w:rPr>
          <w:rFonts w:eastAsia="宋体"/>
          <w:smallCaps w:val="0"/>
          <w:kern w:val="2"/>
          <w:sz w:val="21"/>
          <w:szCs w:val="22"/>
        </w:rPr>
        <w:t>effectively</w:t>
      </w:r>
      <w:r>
        <w:rPr>
          <w:rFonts w:hint="eastAsia" w:eastAsia="宋体"/>
          <w:smallCaps w:val="0"/>
          <w:kern w:val="2"/>
          <w:sz w:val="21"/>
          <w:szCs w:val="22"/>
        </w:rPr>
        <w:t xml:space="preserve"> </w:t>
      </w:r>
      <w:r>
        <w:rPr>
          <w:rStyle w:val="17"/>
          <w:rFonts w:eastAsia="宋体"/>
          <w:b w:val="0"/>
          <w:smallCaps w:val="0"/>
          <w:kern w:val="2"/>
          <w:sz w:val="21"/>
          <w:szCs w:val="22"/>
        </w:rPr>
        <w:t xml:space="preserve">integrate subjective </w:t>
      </w:r>
      <w:r>
        <w:rPr>
          <w:rFonts w:eastAsia="宋体"/>
          <w:smallCaps w:val="0"/>
          <w:kern w:val="2"/>
          <w:sz w:val="21"/>
          <w:szCs w:val="22"/>
        </w:rPr>
        <w:t>experience with</w:t>
      </w:r>
      <w:r>
        <w:rPr>
          <w:rFonts w:hint="eastAsia" w:eastAsia="宋体"/>
          <w:smallCaps w:val="0"/>
          <w:kern w:val="2"/>
          <w:sz w:val="21"/>
          <w:szCs w:val="22"/>
        </w:rPr>
        <w:t xml:space="preserve"> </w:t>
      </w:r>
      <w:r>
        <w:rPr>
          <w:rStyle w:val="17"/>
          <w:rFonts w:eastAsia="宋体"/>
          <w:b w:val="0"/>
          <w:smallCaps w:val="0"/>
          <w:kern w:val="2"/>
          <w:sz w:val="21"/>
          <w:szCs w:val="22"/>
        </w:rPr>
        <w:t xml:space="preserve">objective </w:t>
      </w:r>
      <w:r>
        <w:rPr>
          <w:rFonts w:eastAsia="宋体"/>
          <w:smallCaps w:val="0"/>
          <w:kern w:val="2"/>
          <w:sz w:val="21"/>
          <w:szCs w:val="22"/>
        </w:rPr>
        <w:t>data information, thereby</w:t>
      </w:r>
      <w:r>
        <w:rPr>
          <w:rStyle w:val="17"/>
          <w:rFonts w:eastAsia="宋体"/>
          <w:b w:val="0"/>
          <w:smallCaps w:val="0"/>
          <w:kern w:val="2"/>
          <w:sz w:val="21"/>
          <w:szCs w:val="22"/>
        </w:rPr>
        <w:t xml:space="preserve"> overcoming the limitations of</w:t>
      </w:r>
      <w:r>
        <w:rPr>
          <w:rStyle w:val="17"/>
          <w:rFonts w:hint="eastAsia" w:eastAsia="宋体"/>
          <w:b w:val="0"/>
          <w:smallCaps w:val="0"/>
          <w:kern w:val="2"/>
          <w:sz w:val="21"/>
          <w:szCs w:val="22"/>
        </w:rPr>
        <w:t xml:space="preserve"> </w:t>
      </w:r>
      <w:r>
        <w:rPr>
          <w:rStyle w:val="17"/>
          <w:rFonts w:eastAsia="宋体"/>
          <w:b w:val="0"/>
          <w:smallCaps w:val="0"/>
          <w:kern w:val="2"/>
          <w:sz w:val="21"/>
          <w:szCs w:val="22"/>
        </w:rPr>
        <w:t>single</w:t>
      </w:r>
      <w:r>
        <w:rPr>
          <w:rStyle w:val="17"/>
          <w:rFonts w:hint="eastAsia" w:eastAsia="宋体"/>
          <w:b w:val="0"/>
          <w:smallCaps w:val="0"/>
          <w:kern w:val="2"/>
          <w:sz w:val="21"/>
          <w:szCs w:val="22"/>
        </w:rPr>
        <w:t xml:space="preserve"> </w:t>
      </w:r>
      <w:r>
        <w:rPr>
          <w:rFonts w:eastAsia="宋体"/>
          <w:smallCaps w:val="0"/>
          <w:kern w:val="2"/>
          <w:sz w:val="21"/>
          <w:szCs w:val="22"/>
        </w:rPr>
        <w:t>weighting</w:t>
      </w:r>
      <w:r>
        <w:rPr>
          <w:rFonts w:hint="eastAsia" w:eastAsia="宋体"/>
          <w:smallCaps w:val="0"/>
          <w:kern w:val="2"/>
          <w:sz w:val="21"/>
          <w:szCs w:val="22"/>
        </w:rPr>
        <w:t xml:space="preserve"> </w:t>
      </w:r>
      <w:r>
        <w:rPr>
          <w:rStyle w:val="17"/>
          <w:rFonts w:eastAsia="宋体"/>
          <w:b w:val="0"/>
          <w:smallCaps w:val="0"/>
          <w:kern w:val="2"/>
          <w:sz w:val="21"/>
          <w:szCs w:val="22"/>
        </w:rPr>
        <w:t>method</w:t>
      </w:r>
      <w:r>
        <w:rPr>
          <w:rStyle w:val="17"/>
          <w:rFonts w:hint="eastAsia" w:eastAsia="宋体"/>
          <w:b w:val="0"/>
          <w:smallCaps w:val="0"/>
          <w:kern w:val="2"/>
          <w:sz w:val="21"/>
          <w:szCs w:val="22"/>
          <w:lang w:val="en-US" w:eastAsia="zh-CN"/>
        </w:rPr>
        <w:t>s. This enabled</w:t>
      </w:r>
      <w:r>
        <w:rPr>
          <w:rStyle w:val="17"/>
          <w:rFonts w:hint="eastAsia" w:eastAsia="宋体"/>
          <w:b w:val="0"/>
          <w:smallCaps w:val="0"/>
          <w:kern w:val="2"/>
          <w:sz w:val="21"/>
          <w:szCs w:val="22"/>
        </w:rPr>
        <w:t xml:space="preserve"> </w:t>
      </w:r>
      <w:r>
        <w:rPr>
          <w:rFonts w:eastAsia="宋体"/>
          <w:smallCaps w:val="0"/>
          <w:kern w:val="2"/>
          <w:sz w:val="21"/>
          <w:szCs w:val="22"/>
        </w:rPr>
        <w:t>systematic analy</w:t>
      </w:r>
      <w:r>
        <w:rPr>
          <w:rFonts w:hint="eastAsia" w:eastAsia="宋体"/>
          <w:smallCaps w:val="0"/>
          <w:kern w:val="2"/>
          <w:sz w:val="21"/>
          <w:szCs w:val="22"/>
          <w:lang w:val="en-US" w:eastAsia="zh-CN"/>
        </w:rPr>
        <w:t>sis of</w:t>
      </w:r>
      <w:r>
        <w:rPr>
          <w:rFonts w:eastAsia="宋体"/>
          <w:smallCaps w:val="0"/>
          <w:kern w:val="2"/>
          <w:sz w:val="21"/>
          <w:szCs w:val="22"/>
        </w:rPr>
        <w:t xml:space="preserve"> the flood disaster risk indicators and</w:t>
      </w:r>
      <w:r>
        <w:rPr>
          <w:rFonts w:hint="eastAsia" w:eastAsia="宋体"/>
          <w:smallCaps w:val="0"/>
          <w:kern w:val="2"/>
          <w:sz w:val="21"/>
          <w:szCs w:val="22"/>
          <w:lang w:val="en-US" w:eastAsia="zh-CN"/>
        </w:rPr>
        <w:t xml:space="preserve"> </w:t>
      </w:r>
      <w:r>
        <w:rPr>
          <w:rFonts w:hint="eastAsia" w:eastAsia="宋体"/>
          <w:smallCaps w:val="0"/>
          <w:kern w:val="2"/>
          <w:sz w:val="21"/>
          <w:szCs w:val="22"/>
        </w:rPr>
        <w:t>effective assessment of</w:t>
      </w:r>
      <w:r>
        <w:rPr>
          <w:rFonts w:eastAsia="宋体"/>
          <w:smallCaps w:val="0"/>
          <w:kern w:val="2"/>
          <w:sz w:val="21"/>
          <w:szCs w:val="22"/>
        </w:rPr>
        <w:t xml:space="preserve"> flood disaster risk</w:t>
      </w:r>
      <w:r>
        <w:rPr>
          <w:rFonts w:hint="eastAsia" w:eastAsia="宋体"/>
          <w:smallCaps w:val="0"/>
          <w:kern w:val="2"/>
          <w:sz w:val="21"/>
          <w:szCs w:val="22"/>
          <w:lang w:val="en-US" w:eastAsia="zh-CN"/>
        </w:rPr>
        <w:t xml:space="preserve"> in the Dexing urban area</w:t>
      </w:r>
      <w:r>
        <w:rPr>
          <w:rStyle w:val="17"/>
          <w:rFonts w:eastAsia="宋体"/>
          <w:b w:val="0"/>
          <w:smallCaps w:val="0"/>
          <w:kern w:val="2"/>
          <w:sz w:val="21"/>
          <w:szCs w:val="22"/>
        </w:rPr>
        <w:t xml:space="preserve">. </w:t>
      </w:r>
      <w:r>
        <w:rPr>
          <w:rStyle w:val="17"/>
          <w:rFonts w:eastAsia="宋体"/>
          <w:bCs/>
          <w:smallCaps w:val="0"/>
          <w:kern w:val="2"/>
          <w:sz w:val="21"/>
          <w:szCs w:val="22"/>
        </w:rPr>
        <w:t xml:space="preserve">[Results] </w:t>
      </w:r>
      <w:r>
        <w:rPr>
          <w:rFonts w:eastAsia="宋体"/>
          <w:smallCaps w:val="0"/>
          <w:kern w:val="2"/>
          <w:sz w:val="21"/>
          <w:szCs w:val="22"/>
        </w:rPr>
        <w:t>The results show</w:t>
      </w:r>
      <w:r>
        <w:rPr>
          <w:rFonts w:hint="eastAsia" w:eastAsia="宋体"/>
          <w:smallCaps w:val="0"/>
          <w:kern w:val="2"/>
          <w:sz w:val="21"/>
          <w:szCs w:val="22"/>
        </w:rPr>
        <w:t>ed</w:t>
      </w:r>
      <w:r>
        <w:rPr>
          <w:rFonts w:eastAsia="宋体"/>
          <w:smallCaps w:val="0"/>
          <w:kern w:val="2"/>
          <w:sz w:val="21"/>
          <w:szCs w:val="22"/>
        </w:rPr>
        <w:t xml:space="preserve"> that there </w:t>
      </w:r>
      <w:r>
        <w:rPr>
          <w:rFonts w:hint="eastAsia" w:eastAsia="宋体"/>
          <w:smallCaps w:val="0"/>
          <w:kern w:val="2"/>
          <w:sz w:val="21"/>
          <w:szCs w:val="22"/>
        </w:rPr>
        <w:t xml:space="preserve">were </w:t>
      </w:r>
      <w:r>
        <w:rPr>
          <w:rStyle w:val="17"/>
          <w:rFonts w:eastAsia="宋体"/>
          <w:b w:val="0"/>
          <w:smallCaps w:val="0"/>
          <w:kern w:val="2"/>
          <w:sz w:val="21"/>
          <w:szCs w:val="22"/>
        </w:rPr>
        <w:t xml:space="preserve">22 communities in </w:t>
      </w:r>
      <w:r>
        <w:rPr>
          <w:rStyle w:val="17"/>
          <w:rFonts w:hint="eastAsia" w:eastAsia="宋体"/>
          <w:b w:val="0"/>
          <w:smallCaps w:val="0"/>
          <w:kern w:val="2"/>
          <w:sz w:val="21"/>
          <w:szCs w:val="22"/>
        </w:rPr>
        <w:t xml:space="preserve">the </w:t>
      </w:r>
      <w:r>
        <w:rPr>
          <w:rStyle w:val="17"/>
          <w:rFonts w:eastAsia="宋体"/>
          <w:b w:val="0"/>
          <w:smallCaps w:val="0"/>
          <w:kern w:val="2"/>
          <w:sz w:val="21"/>
          <w:szCs w:val="22"/>
        </w:rPr>
        <w:t xml:space="preserve">Dexing </w:t>
      </w:r>
      <w:r>
        <w:rPr>
          <w:rFonts w:eastAsia="宋体"/>
          <w:smallCaps w:val="0"/>
          <w:kern w:val="2"/>
          <w:sz w:val="21"/>
          <w:szCs w:val="22"/>
        </w:rPr>
        <w:t>urban area</w:t>
      </w:r>
      <w:r>
        <w:rPr>
          <w:rStyle w:val="17"/>
          <w:rFonts w:eastAsia="宋体"/>
          <w:b w:val="0"/>
          <w:smallCaps w:val="0"/>
          <w:kern w:val="2"/>
          <w:sz w:val="21"/>
          <w:szCs w:val="22"/>
        </w:rPr>
        <w:t xml:space="preserve">, </w:t>
      </w:r>
      <w:r>
        <w:rPr>
          <w:rFonts w:eastAsia="宋体"/>
          <w:smallCaps w:val="0"/>
          <w:kern w:val="2"/>
          <w:sz w:val="21"/>
          <w:szCs w:val="22"/>
        </w:rPr>
        <w:t>among which</w:t>
      </w:r>
      <w:r>
        <w:rPr>
          <w:rFonts w:hint="eastAsia" w:eastAsia="宋体"/>
          <w:smallCaps w:val="0"/>
          <w:kern w:val="2"/>
          <w:sz w:val="21"/>
          <w:szCs w:val="22"/>
        </w:rPr>
        <w:t xml:space="preserve"> </w:t>
      </w:r>
      <w:r>
        <w:rPr>
          <w:rStyle w:val="17"/>
          <w:rFonts w:eastAsia="宋体"/>
          <w:b w:val="0"/>
          <w:smallCaps w:val="0"/>
          <w:kern w:val="2"/>
          <w:sz w:val="21"/>
          <w:szCs w:val="22"/>
        </w:rPr>
        <w:t xml:space="preserve">13 </w:t>
      </w:r>
      <w:r>
        <w:rPr>
          <w:rStyle w:val="17"/>
          <w:rFonts w:hint="eastAsia" w:eastAsia="宋体"/>
          <w:b w:val="0"/>
          <w:smallCaps w:val="0"/>
          <w:kern w:val="2"/>
          <w:sz w:val="21"/>
          <w:szCs w:val="22"/>
        </w:rPr>
        <w:t>were classified as</w:t>
      </w:r>
      <w:r>
        <w:rPr>
          <w:rStyle w:val="17"/>
          <w:rFonts w:eastAsia="宋体"/>
          <w:b w:val="0"/>
          <w:smallCaps w:val="0"/>
          <w:kern w:val="2"/>
          <w:sz w:val="21"/>
          <w:szCs w:val="22"/>
        </w:rPr>
        <w:t xml:space="preserve"> high</w:t>
      </w:r>
      <w:r>
        <w:rPr>
          <w:rStyle w:val="17"/>
          <w:rFonts w:hint="eastAsia" w:eastAsia="宋体"/>
          <w:b w:val="0"/>
          <w:smallCaps w:val="0"/>
          <w:kern w:val="2"/>
          <w:sz w:val="21"/>
          <w:szCs w:val="22"/>
          <w:lang w:val="en-US" w:eastAsia="zh-CN"/>
        </w:rPr>
        <w:t>-</w:t>
      </w:r>
      <w:r>
        <w:rPr>
          <w:rStyle w:val="17"/>
          <w:rFonts w:eastAsia="宋体"/>
          <w:b w:val="0"/>
          <w:smallCaps w:val="0"/>
          <w:kern w:val="2"/>
          <w:sz w:val="21"/>
          <w:szCs w:val="22"/>
        </w:rPr>
        <w:t>risk</w:t>
      </w:r>
      <w:r>
        <w:rPr>
          <w:rStyle w:val="17"/>
          <w:rFonts w:hint="eastAsia" w:eastAsia="宋体"/>
          <w:b w:val="0"/>
          <w:smallCaps w:val="0"/>
          <w:kern w:val="2"/>
          <w:sz w:val="21"/>
          <w:szCs w:val="22"/>
        </w:rPr>
        <w:t xml:space="preserve">, </w:t>
      </w:r>
      <w:r>
        <w:rPr>
          <w:rStyle w:val="17"/>
          <w:rFonts w:eastAsia="宋体"/>
          <w:b w:val="0"/>
          <w:smallCaps w:val="0"/>
          <w:kern w:val="2"/>
          <w:sz w:val="21"/>
          <w:szCs w:val="22"/>
        </w:rPr>
        <w:t>includ</w:t>
      </w:r>
      <w:r>
        <w:rPr>
          <w:rStyle w:val="17"/>
          <w:rFonts w:hint="eastAsia" w:eastAsia="宋体"/>
          <w:b w:val="0"/>
          <w:smallCaps w:val="0"/>
          <w:kern w:val="2"/>
          <w:sz w:val="21"/>
          <w:szCs w:val="22"/>
        </w:rPr>
        <w:t>ing</w:t>
      </w:r>
      <w:r>
        <w:rPr>
          <w:rStyle w:val="17"/>
          <w:rFonts w:eastAsia="宋体"/>
          <w:b w:val="0"/>
          <w:smallCaps w:val="0"/>
          <w:kern w:val="2"/>
          <w:sz w:val="21"/>
          <w:szCs w:val="22"/>
        </w:rPr>
        <w:t xml:space="preserve"> Xinying</w:t>
      </w:r>
      <w:r>
        <w:rPr>
          <w:rStyle w:val="17"/>
          <w:rFonts w:hint="eastAsia" w:eastAsia="宋体"/>
          <w:b w:val="0"/>
          <w:smallCaps w:val="0"/>
          <w:kern w:val="2"/>
          <w:sz w:val="21"/>
          <w:szCs w:val="22"/>
        </w:rPr>
        <w:t>y</w:t>
      </w:r>
      <w:r>
        <w:rPr>
          <w:rStyle w:val="17"/>
          <w:rFonts w:hint="eastAsia" w:eastAsia="宋体"/>
          <w:b w:val="0"/>
          <w:smallCaps w:val="0"/>
          <w:kern w:val="2"/>
          <w:sz w:val="21"/>
          <w:szCs w:val="22"/>
          <w:lang w:val="en-US" w:eastAsia="zh-CN"/>
        </w:rPr>
        <w:t>i</w:t>
      </w:r>
      <w:r>
        <w:rPr>
          <w:rStyle w:val="17"/>
          <w:rFonts w:hint="eastAsia" w:eastAsia="宋体"/>
          <w:b w:val="0"/>
          <w:smallCaps w:val="0"/>
          <w:kern w:val="2"/>
          <w:sz w:val="21"/>
          <w:szCs w:val="22"/>
        </w:rPr>
        <w:t xml:space="preserve"> Village</w:t>
      </w:r>
      <w:r>
        <w:rPr>
          <w:rStyle w:val="17"/>
          <w:rFonts w:eastAsia="宋体"/>
          <w:b w:val="0"/>
          <w:smallCaps w:val="0"/>
          <w:kern w:val="2"/>
          <w:sz w:val="21"/>
          <w:szCs w:val="22"/>
        </w:rPr>
        <w:t xml:space="preserve"> (</w:t>
      </w:r>
      <w:r>
        <w:rPr>
          <w:rFonts w:eastAsia="宋体"/>
          <w:smallCaps w:val="0"/>
          <w:kern w:val="2"/>
          <w:sz w:val="21"/>
          <w:szCs w:val="22"/>
        </w:rPr>
        <w:t>high-risk area of 0</w:t>
      </w:r>
      <w:r>
        <w:rPr>
          <w:rStyle w:val="17"/>
          <w:rFonts w:eastAsia="宋体"/>
          <w:b w:val="0"/>
          <w:smallCaps w:val="0"/>
          <w:kern w:val="2"/>
          <w:sz w:val="21"/>
          <w:szCs w:val="22"/>
        </w:rPr>
        <w:t>.115 km²), Shangzhou Community (</w:t>
      </w:r>
      <w:r>
        <w:rPr>
          <w:rStyle w:val="17"/>
          <w:rFonts w:hint="eastAsia" w:eastAsia="宋体"/>
          <w:b w:val="0"/>
          <w:smallCaps w:val="0"/>
          <w:kern w:val="2"/>
          <w:sz w:val="21"/>
          <w:szCs w:val="22"/>
        </w:rPr>
        <w:t>0</w:t>
      </w:r>
      <w:r>
        <w:rPr>
          <w:rStyle w:val="17"/>
          <w:rFonts w:eastAsia="宋体"/>
          <w:b w:val="0"/>
          <w:smallCaps w:val="0"/>
          <w:kern w:val="2"/>
          <w:sz w:val="21"/>
          <w:szCs w:val="22"/>
        </w:rPr>
        <w:t>.067 km²), Tianmenshan Community (</w:t>
      </w:r>
      <w:r>
        <w:rPr>
          <w:rStyle w:val="17"/>
          <w:rFonts w:hint="eastAsia" w:eastAsia="宋体"/>
          <w:b w:val="0"/>
          <w:smallCaps w:val="0"/>
          <w:kern w:val="2"/>
          <w:sz w:val="21"/>
          <w:szCs w:val="22"/>
        </w:rPr>
        <w:t>0</w:t>
      </w:r>
      <w:r>
        <w:rPr>
          <w:rStyle w:val="17"/>
          <w:rFonts w:eastAsia="宋体"/>
          <w:b w:val="0"/>
          <w:smallCaps w:val="0"/>
          <w:kern w:val="2"/>
          <w:sz w:val="21"/>
          <w:szCs w:val="22"/>
        </w:rPr>
        <w:t>.034 km²), Suihanshan Community (</w:t>
      </w:r>
      <w:r>
        <w:rPr>
          <w:rStyle w:val="17"/>
          <w:rFonts w:hint="eastAsia" w:eastAsia="宋体"/>
          <w:b w:val="0"/>
          <w:smallCaps w:val="0"/>
          <w:kern w:val="2"/>
          <w:sz w:val="21"/>
          <w:szCs w:val="22"/>
        </w:rPr>
        <w:t>0</w:t>
      </w:r>
      <w:r>
        <w:rPr>
          <w:rStyle w:val="17"/>
          <w:rFonts w:eastAsia="宋体"/>
          <w:b w:val="0"/>
          <w:smallCaps w:val="0"/>
          <w:kern w:val="2"/>
          <w:sz w:val="21"/>
          <w:szCs w:val="22"/>
        </w:rPr>
        <w:t>.024 km²), Jishui Community (</w:t>
      </w:r>
      <w:r>
        <w:rPr>
          <w:rStyle w:val="17"/>
          <w:rFonts w:hint="eastAsia" w:eastAsia="宋体"/>
          <w:b w:val="0"/>
          <w:smallCaps w:val="0"/>
          <w:kern w:val="2"/>
          <w:sz w:val="21"/>
          <w:szCs w:val="22"/>
        </w:rPr>
        <w:t>0</w:t>
      </w:r>
      <w:r>
        <w:rPr>
          <w:rStyle w:val="17"/>
          <w:rFonts w:eastAsia="宋体"/>
          <w:b w:val="0"/>
          <w:smallCaps w:val="0"/>
          <w:kern w:val="2"/>
          <w:sz w:val="21"/>
          <w:szCs w:val="22"/>
        </w:rPr>
        <w:t>.020 km²), Shuil</w:t>
      </w:r>
      <w:r>
        <w:rPr>
          <w:rStyle w:val="17"/>
          <w:rFonts w:hint="eastAsia" w:eastAsia="宋体"/>
          <w:b w:val="0"/>
          <w:smallCaps w:val="0"/>
          <w:kern w:val="2"/>
          <w:sz w:val="21"/>
          <w:szCs w:val="22"/>
          <w:lang w:val="en-US" w:eastAsia="zh-CN"/>
        </w:rPr>
        <w:t>v</w:t>
      </w:r>
      <w:r>
        <w:rPr>
          <w:rStyle w:val="17"/>
          <w:rFonts w:eastAsia="宋体"/>
          <w:b w:val="0"/>
          <w:smallCaps w:val="0"/>
          <w:kern w:val="2"/>
          <w:sz w:val="21"/>
          <w:szCs w:val="22"/>
        </w:rPr>
        <w:t>qiao Community (</w:t>
      </w:r>
      <w:r>
        <w:rPr>
          <w:rStyle w:val="17"/>
          <w:rFonts w:hint="eastAsia" w:eastAsia="宋体"/>
          <w:b w:val="0"/>
          <w:smallCaps w:val="0"/>
          <w:kern w:val="2"/>
          <w:sz w:val="21"/>
          <w:szCs w:val="22"/>
        </w:rPr>
        <w:t>0</w:t>
      </w:r>
      <w:r>
        <w:rPr>
          <w:rStyle w:val="17"/>
          <w:rFonts w:eastAsia="宋体"/>
          <w:b w:val="0"/>
          <w:smallCaps w:val="0"/>
          <w:kern w:val="2"/>
          <w:sz w:val="21"/>
          <w:szCs w:val="22"/>
        </w:rPr>
        <w:t>.019 km²), Yinshan Community (</w:t>
      </w:r>
      <w:r>
        <w:rPr>
          <w:rStyle w:val="17"/>
          <w:rFonts w:hint="eastAsia" w:eastAsia="宋体"/>
          <w:b w:val="0"/>
          <w:smallCaps w:val="0"/>
          <w:kern w:val="2"/>
          <w:sz w:val="21"/>
          <w:szCs w:val="22"/>
        </w:rPr>
        <w:t>0</w:t>
      </w:r>
      <w:r>
        <w:rPr>
          <w:rStyle w:val="17"/>
          <w:rFonts w:eastAsia="宋体"/>
          <w:b w:val="0"/>
          <w:smallCaps w:val="0"/>
          <w:kern w:val="2"/>
          <w:sz w:val="21"/>
          <w:szCs w:val="22"/>
        </w:rPr>
        <w:t>.013 km²), Nanmen Community (</w:t>
      </w:r>
      <w:r>
        <w:rPr>
          <w:rStyle w:val="17"/>
          <w:rFonts w:hint="eastAsia" w:eastAsia="宋体"/>
          <w:b w:val="0"/>
          <w:smallCaps w:val="0"/>
          <w:kern w:val="2"/>
          <w:sz w:val="21"/>
          <w:szCs w:val="22"/>
        </w:rPr>
        <w:t>0</w:t>
      </w:r>
      <w:r>
        <w:rPr>
          <w:rStyle w:val="17"/>
          <w:rFonts w:eastAsia="宋体"/>
          <w:b w:val="0"/>
          <w:smallCaps w:val="0"/>
          <w:kern w:val="2"/>
          <w:sz w:val="21"/>
          <w:szCs w:val="22"/>
        </w:rPr>
        <w:t>.012 km²), Kentangshan Community (</w:t>
      </w:r>
      <w:r>
        <w:rPr>
          <w:rStyle w:val="17"/>
          <w:rFonts w:hint="eastAsia" w:eastAsia="宋体"/>
          <w:b w:val="0"/>
          <w:smallCaps w:val="0"/>
          <w:kern w:val="2"/>
          <w:sz w:val="21"/>
          <w:szCs w:val="22"/>
        </w:rPr>
        <w:t>0</w:t>
      </w:r>
      <w:r>
        <w:rPr>
          <w:rStyle w:val="17"/>
          <w:rFonts w:eastAsia="宋体"/>
          <w:b w:val="0"/>
          <w:smallCaps w:val="0"/>
          <w:kern w:val="2"/>
          <w:sz w:val="21"/>
          <w:szCs w:val="22"/>
        </w:rPr>
        <w:t>.011 km²), Yinquan Community (</w:t>
      </w:r>
      <w:r>
        <w:rPr>
          <w:rStyle w:val="17"/>
          <w:rFonts w:hint="eastAsia" w:eastAsia="宋体"/>
          <w:b w:val="0"/>
          <w:smallCaps w:val="0"/>
          <w:kern w:val="2"/>
          <w:sz w:val="21"/>
          <w:szCs w:val="22"/>
        </w:rPr>
        <w:t>0</w:t>
      </w:r>
      <w:r>
        <w:rPr>
          <w:rStyle w:val="17"/>
          <w:rFonts w:eastAsia="宋体"/>
          <w:b w:val="0"/>
          <w:smallCaps w:val="0"/>
          <w:kern w:val="2"/>
          <w:sz w:val="21"/>
          <w:szCs w:val="22"/>
        </w:rPr>
        <w:t>.011 km²), Wuyuan Community (</w:t>
      </w:r>
      <w:r>
        <w:rPr>
          <w:rStyle w:val="17"/>
          <w:rFonts w:hint="eastAsia" w:eastAsia="宋体"/>
          <w:b w:val="0"/>
          <w:smallCaps w:val="0"/>
          <w:kern w:val="2"/>
          <w:sz w:val="21"/>
          <w:szCs w:val="22"/>
        </w:rPr>
        <w:t>0</w:t>
      </w:r>
      <w:r>
        <w:rPr>
          <w:rStyle w:val="17"/>
          <w:rFonts w:eastAsia="宋体"/>
          <w:b w:val="0"/>
          <w:smallCaps w:val="0"/>
          <w:kern w:val="2"/>
          <w:sz w:val="21"/>
          <w:szCs w:val="22"/>
        </w:rPr>
        <w:t>.009 km²), Shengli</w:t>
      </w:r>
      <w:r>
        <w:rPr>
          <w:rStyle w:val="17"/>
          <w:rFonts w:hint="eastAsia" w:eastAsia="宋体"/>
          <w:b w:val="0"/>
          <w:smallCaps w:val="0"/>
          <w:kern w:val="2"/>
          <w:sz w:val="21"/>
          <w:szCs w:val="22"/>
        </w:rPr>
        <w:t>t</w:t>
      </w:r>
      <w:r>
        <w:rPr>
          <w:rStyle w:val="17"/>
          <w:rFonts w:eastAsia="宋体"/>
          <w:b w:val="0"/>
          <w:smallCaps w:val="0"/>
          <w:kern w:val="2"/>
          <w:sz w:val="21"/>
          <w:szCs w:val="22"/>
        </w:rPr>
        <w:t>ing Community (</w:t>
      </w:r>
      <w:r>
        <w:rPr>
          <w:rStyle w:val="17"/>
          <w:rFonts w:hint="eastAsia" w:eastAsia="宋体"/>
          <w:b w:val="0"/>
          <w:smallCaps w:val="0"/>
          <w:kern w:val="2"/>
          <w:sz w:val="21"/>
          <w:szCs w:val="22"/>
        </w:rPr>
        <w:t>0</w:t>
      </w:r>
      <w:r>
        <w:rPr>
          <w:rStyle w:val="17"/>
          <w:rFonts w:eastAsia="宋体"/>
          <w:b w:val="0"/>
          <w:smallCaps w:val="0"/>
          <w:kern w:val="2"/>
          <w:sz w:val="21"/>
          <w:szCs w:val="22"/>
        </w:rPr>
        <w:t>.004 km²), and Wuan</w:t>
      </w:r>
      <w:r>
        <w:rPr>
          <w:rStyle w:val="17"/>
          <w:rFonts w:hint="eastAsia" w:eastAsia="宋体"/>
          <w:b w:val="0"/>
          <w:smallCaps w:val="0"/>
          <w:kern w:val="2"/>
          <w:sz w:val="21"/>
          <w:szCs w:val="22"/>
        </w:rPr>
        <w:t xml:space="preserve">lu </w:t>
      </w:r>
      <w:r>
        <w:rPr>
          <w:rStyle w:val="17"/>
          <w:rFonts w:eastAsia="宋体"/>
          <w:b w:val="0"/>
          <w:smallCaps w:val="0"/>
          <w:kern w:val="2"/>
          <w:sz w:val="21"/>
          <w:szCs w:val="22"/>
        </w:rPr>
        <w:t>Community (</w:t>
      </w:r>
      <w:r>
        <w:rPr>
          <w:rStyle w:val="17"/>
          <w:rFonts w:hint="eastAsia" w:eastAsia="宋体"/>
          <w:b w:val="0"/>
          <w:smallCaps w:val="0"/>
          <w:kern w:val="2"/>
          <w:sz w:val="21"/>
          <w:szCs w:val="22"/>
        </w:rPr>
        <w:t>0</w:t>
      </w:r>
      <w:r>
        <w:rPr>
          <w:rStyle w:val="17"/>
          <w:rFonts w:eastAsia="宋体"/>
          <w:b w:val="0"/>
          <w:smallCaps w:val="0"/>
          <w:kern w:val="2"/>
          <w:sz w:val="21"/>
          <w:szCs w:val="22"/>
        </w:rPr>
        <w:t xml:space="preserve">.002 km²). </w:t>
      </w:r>
      <w:r>
        <w:rPr>
          <w:rStyle w:val="17"/>
          <w:rFonts w:eastAsia="宋体"/>
          <w:bCs/>
          <w:smallCaps w:val="0"/>
          <w:kern w:val="2"/>
          <w:sz w:val="21"/>
          <w:szCs w:val="22"/>
        </w:rPr>
        <w:t xml:space="preserve">[Conclusion] </w:t>
      </w:r>
      <w:r>
        <w:rPr>
          <w:rFonts w:eastAsia="宋体"/>
          <w:smallCaps w:val="0"/>
          <w:kern w:val="2"/>
          <w:sz w:val="21"/>
          <w:szCs w:val="22"/>
        </w:rPr>
        <w:t>The results indicate that t</w:t>
      </w:r>
      <w:r>
        <w:rPr>
          <w:rStyle w:val="17"/>
          <w:rFonts w:eastAsia="宋体"/>
          <w:b w:val="0"/>
          <w:smallCaps w:val="0"/>
          <w:kern w:val="2"/>
          <w:sz w:val="21"/>
          <w:szCs w:val="22"/>
        </w:rPr>
        <w:t xml:space="preserve">he MIKEFLOOD model </w:t>
      </w:r>
      <w:r>
        <w:rPr>
          <w:rStyle w:val="17"/>
          <w:rFonts w:hint="eastAsia" w:eastAsia="宋体"/>
          <w:b w:val="0"/>
          <w:smallCaps w:val="0"/>
          <w:kern w:val="2"/>
          <w:sz w:val="21"/>
          <w:szCs w:val="22"/>
        </w:rPr>
        <w:t>demonstrates</w:t>
      </w:r>
      <w:r>
        <w:rPr>
          <w:rFonts w:hint="eastAsia" w:eastAsia="宋体"/>
          <w:smallCaps w:val="0"/>
          <w:kern w:val="2"/>
          <w:sz w:val="21"/>
          <w:szCs w:val="22"/>
        </w:rPr>
        <w:t xml:space="preserve"> </w:t>
      </w:r>
      <w:r>
        <w:rPr>
          <w:rStyle w:val="17"/>
          <w:rFonts w:hint="eastAsia" w:eastAsia="宋体"/>
          <w:b w:val="0"/>
          <w:smallCaps w:val="0"/>
          <w:kern w:val="2"/>
          <w:sz w:val="21"/>
          <w:szCs w:val="22"/>
        </w:rPr>
        <w:t>good</w:t>
      </w:r>
      <w:r>
        <w:rPr>
          <w:rStyle w:val="17"/>
          <w:rFonts w:eastAsia="宋体"/>
          <w:b w:val="0"/>
          <w:smallCaps w:val="0"/>
          <w:kern w:val="2"/>
          <w:sz w:val="21"/>
          <w:szCs w:val="22"/>
        </w:rPr>
        <w:t xml:space="preserve"> accuracy and reliability in</w:t>
      </w:r>
      <w:r>
        <w:rPr>
          <w:rStyle w:val="17"/>
          <w:rFonts w:hint="eastAsia" w:eastAsia="宋体"/>
          <w:b w:val="0"/>
          <w:smallCaps w:val="0"/>
          <w:kern w:val="2"/>
          <w:sz w:val="21"/>
          <w:szCs w:val="22"/>
          <w:lang w:val="en-US" w:eastAsia="zh-CN"/>
        </w:rPr>
        <w:t xml:space="preserve"> </w:t>
      </w:r>
      <w:r>
        <w:rPr>
          <w:rStyle w:val="17"/>
          <w:rFonts w:eastAsia="宋体"/>
          <w:b w:val="0"/>
          <w:smallCaps w:val="0"/>
          <w:kern w:val="2"/>
          <w:sz w:val="21"/>
          <w:szCs w:val="22"/>
        </w:rPr>
        <w:t>urban flood</w:t>
      </w:r>
      <w:r>
        <w:rPr>
          <w:rStyle w:val="17"/>
          <w:rFonts w:hint="eastAsia" w:eastAsia="宋体"/>
          <w:b w:val="0"/>
          <w:smallCaps w:val="0"/>
          <w:kern w:val="2"/>
          <w:sz w:val="21"/>
          <w:szCs w:val="22"/>
          <w:lang w:val="en-US" w:eastAsia="zh-CN"/>
        </w:rPr>
        <w:t xml:space="preserve"> simulation,</w:t>
      </w:r>
      <w:r>
        <w:rPr>
          <w:rStyle w:val="17"/>
          <w:rFonts w:eastAsia="宋体"/>
          <w:b w:val="0"/>
          <w:smallCaps w:val="0"/>
          <w:kern w:val="2"/>
          <w:sz w:val="21"/>
          <w:szCs w:val="22"/>
        </w:rPr>
        <w:t xml:space="preserve"> effectively reveal</w:t>
      </w:r>
      <w:r>
        <w:rPr>
          <w:rStyle w:val="17"/>
          <w:rFonts w:hint="eastAsia" w:eastAsia="宋体"/>
          <w:b w:val="0"/>
          <w:smallCaps w:val="0"/>
          <w:kern w:val="2"/>
          <w:sz w:val="21"/>
          <w:szCs w:val="22"/>
          <w:lang w:val="en-US" w:eastAsia="zh-CN"/>
        </w:rPr>
        <w:t>ing</w:t>
      </w:r>
      <w:r>
        <w:rPr>
          <w:rStyle w:val="17"/>
          <w:rFonts w:hint="eastAsia" w:eastAsia="宋体"/>
          <w:b w:val="0"/>
          <w:smallCaps w:val="0"/>
          <w:kern w:val="2"/>
          <w:sz w:val="21"/>
          <w:szCs w:val="22"/>
        </w:rPr>
        <w:t xml:space="preserve"> the</w:t>
      </w:r>
      <w:r>
        <w:rPr>
          <w:rStyle w:val="17"/>
          <w:rFonts w:eastAsia="宋体"/>
          <w:b w:val="0"/>
          <w:smallCaps w:val="0"/>
          <w:kern w:val="2"/>
          <w:sz w:val="21"/>
          <w:szCs w:val="22"/>
        </w:rPr>
        <w:t xml:space="preserve"> spatial distribution characteristics</w:t>
      </w:r>
      <w:r>
        <w:rPr>
          <w:rStyle w:val="17"/>
          <w:rFonts w:hint="eastAsia" w:eastAsia="宋体"/>
          <w:b w:val="0"/>
          <w:smallCaps w:val="0"/>
          <w:kern w:val="2"/>
          <w:sz w:val="21"/>
          <w:szCs w:val="22"/>
        </w:rPr>
        <w:t xml:space="preserve"> </w:t>
      </w:r>
      <w:r>
        <w:rPr>
          <w:rFonts w:eastAsia="宋体"/>
          <w:smallCaps w:val="0"/>
          <w:kern w:val="2"/>
          <w:sz w:val="21"/>
          <w:szCs w:val="22"/>
        </w:rPr>
        <w:t>of flood in urban areas</w:t>
      </w:r>
      <w:r>
        <w:rPr>
          <w:rStyle w:val="17"/>
          <w:rFonts w:eastAsia="宋体"/>
          <w:b w:val="0"/>
          <w:smallCaps w:val="0"/>
          <w:kern w:val="2"/>
          <w:sz w:val="21"/>
          <w:szCs w:val="22"/>
        </w:rPr>
        <w:t xml:space="preserve">. The high-precision DEM obtained via UAV aerial photography </w:t>
      </w:r>
      <w:r>
        <w:rPr>
          <w:rFonts w:eastAsia="宋体"/>
          <w:smallCaps w:val="0"/>
          <w:kern w:val="2"/>
          <w:sz w:val="21"/>
          <w:szCs w:val="22"/>
        </w:rPr>
        <w:t xml:space="preserve">is crucial </w:t>
      </w:r>
      <w:r>
        <w:rPr>
          <w:rFonts w:hint="eastAsia" w:eastAsia="宋体"/>
          <w:smallCaps w:val="0"/>
          <w:kern w:val="2"/>
          <w:sz w:val="21"/>
          <w:szCs w:val="22"/>
          <w:lang w:val="en-US" w:eastAsia="zh-CN"/>
        </w:rPr>
        <w:t>for</w:t>
      </w:r>
      <w:r>
        <w:rPr>
          <w:rFonts w:eastAsia="宋体"/>
          <w:smallCaps w:val="0"/>
          <w:kern w:val="2"/>
          <w:sz w:val="21"/>
          <w:szCs w:val="22"/>
        </w:rPr>
        <w:t xml:space="preserve"> urban flood risk assessment, as it not only</w:t>
      </w:r>
      <w:r>
        <w:rPr>
          <w:rFonts w:hint="eastAsia" w:eastAsia="宋体"/>
          <w:smallCaps w:val="0"/>
          <w:kern w:val="2"/>
          <w:sz w:val="21"/>
          <w:szCs w:val="22"/>
        </w:rPr>
        <w:t xml:space="preserve"> </w:t>
      </w:r>
      <w:r>
        <w:rPr>
          <w:rStyle w:val="17"/>
          <w:rFonts w:eastAsia="宋体"/>
          <w:b w:val="0"/>
          <w:smallCaps w:val="0"/>
          <w:kern w:val="2"/>
          <w:sz w:val="21"/>
          <w:szCs w:val="22"/>
        </w:rPr>
        <w:t>provide</w:t>
      </w:r>
      <w:r>
        <w:rPr>
          <w:rStyle w:val="17"/>
          <w:rFonts w:hint="eastAsia" w:eastAsia="宋体"/>
          <w:b w:val="0"/>
          <w:smallCaps w:val="0"/>
          <w:kern w:val="2"/>
          <w:sz w:val="21"/>
          <w:szCs w:val="22"/>
        </w:rPr>
        <w:t>s</w:t>
      </w:r>
      <w:r>
        <w:rPr>
          <w:rStyle w:val="17"/>
          <w:rFonts w:eastAsia="宋体"/>
          <w:b w:val="0"/>
          <w:smallCaps w:val="0"/>
          <w:kern w:val="2"/>
          <w:sz w:val="21"/>
          <w:szCs w:val="22"/>
        </w:rPr>
        <w:t xml:space="preserve"> </w:t>
      </w:r>
      <w:r>
        <w:rPr>
          <w:rFonts w:eastAsia="宋体"/>
          <w:smallCaps w:val="0"/>
          <w:kern w:val="2"/>
          <w:sz w:val="21"/>
          <w:szCs w:val="22"/>
        </w:rPr>
        <w:t>accurate</w:t>
      </w:r>
      <w:r>
        <w:rPr>
          <w:rFonts w:hint="eastAsia" w:eastAsia="宋体"/>
          <w:smallCaps w:val="0"/>
          <w:kern w:val="2"/>
          <w:sz w:val="21"/>
          <w:szCs w:val="22"/>
        </w:rPr>
        <w:t xml:space="preserve"> </w:t>
      </w:r>
      <w:r>
        <w:rPr>
          <w:rStyle w:val="17"/>
          <w:rFonts w:eastAsia="宋体"/>
          <w:b w:val="0"/>
          <w:smallCaps w:val="0"/>
          <w:kern w:val="2"/>
          <w:sz w:val="21"/>
          <w:szCs w:val="22"/>
        </w:rPr>
        <w:t xml:space="preserve">topographic information for the </w:t>
      </w:r>
      <w:r>
        <w:rPr>
          <w:rFonts w:eastAsia="宋体"/>
          <w:smallCaps w:val="0"/>
          <w:kern w:val="2"/>
          <w:sz w:val="21"/>
          <w:szCs w:val="22"/>
        </w:rPr>
        <w:t>MIKEFLOOD</w:t>
      </w:r>
      <w:r>
        <w:rPr>
          <w:rFonts w:hint="eastAsia" w:eastAsia="宋体"/>
          <w:smallCaps w:val="0"/>
          <w:kern w:val="2"/>
          <w:sz w:val="21"/>
          <w:szCs w:val="22"/>
        </w:rPr>
        <w:t xml:space="preserve"> </w:t>
      </w:r>
      <w:r>
        <w:rPr>
          <w:rStyle w:val="17"/>
          <w:rFonts w:eastAsia="宋体"/>
          <w:b w:val="0"/>
          <w:smallCaps w:val="0"/>
          <w:kern w:val="2"/>
          <w:sz w:val="21"/>
          <w:szCs w:val="22"/>
        </w:rPr>
        <w:t xml:space="preserve">model </w:t>
      </w:r>
      <w:r>
        <w:rPr>
          <w:rFonts w:eastAsia="宋体"/>
          <w:smallCaps w:val="0"/>
          <w:kern w:val="2"/>
          <w:sz w:val="21"/>
          <w:szCs w:val="22"/>
        </w:rPr>
        <w:t xml:space="preserve">but also </w:t>
      </w:r>
      <w:r>
        <w:rPr>
          <w:rFonts w:hint="eastAsia" w:eastAsia="宋体"/>
          <w:smallCaps w:val="0"/>
          <w:kern w:val="2"/>
          <w:sz w:val="21"/>
          <w:szCs w:val="22"/>
          <w:lang w:val="en-US" w:eastAsia="zh-CN"/>
        </w:rPr>
        <w:t>offers</w:t>
      </w:r>
      <w:r>
        <w:rPr>
          <w:rFonts w:eastAsia="宋体"/>
          <w:smallCaps w:val="0"/>
          <w:kern w:val="2"/>
          <w:sz w:val="21"/>
          <w:szCs w:val="22"/>
        </w:rPr>
        <w:t xml:space="preserve"> a reliable basis for</w:t>
      </w:r>
      <w:r>
        <w:rPr>
          <w:rStyle w:val="17"/>
          <w:rFonts w:eastAsia="宋体"/>
          <w:b w:val="0"/>
          <w:smallCaps w:val="0"/>
          <w:kern w:val="2"/>
          <w:sz w:val="21"/>
          <w:szCs w:val="22"/>
        </w:rPr>
        <w:t xml:space="preserve"> environmental vulnerability analysis.</w:t>
      </w:r>
      <w:r>
        <w:rPr>
          <w:rStyle w:val="17"/>
          <w:rFonts w:hint="eastAsia" w:eastAsia="宋体"/>
          <w:b w:val="0"/>
          <w:smallCaps w:val="0"/>
          <w:kern w:val="2"/>
          <w:sz w:val="21"/>
          <w:szCs w:val="22"/>
          <w:lang w:val="en-US" w:eastAsia="zh-CN"/>
        </w:rPr>
        <w:t xml:space="preserve"> </w:t>
      </w:r>
      <w:r>
        <w:rPr>
          <w:rFonts w:eastAsia="宋体"/>
          <w:smallCaps w:val="0"/>
          <w:kern w:val="2"/>
          <w:sz w:val="21"/>
          <w:szCs w:val="22"/>
        </w:rPr>
        <w:t>For small-scale urban areas,</w:t>
      </w:r>
      <w:r>
        <w:rPr>
          <w:rFonts w:hint="eastAsia" w:eastAsia="宋体"/>
          <w:smallCaps w:val="0"/>
          <w:kern w:val="2"/>
          <w:sz w:val="21"/>
          <w:szCs w:val="22"/>
          <w:lang w:val="en-US" w:eastAsia="zh-CN"/>
        </w:rPr>
        <w:t xml:space="preserve"> </w:t>
      </w:r>
      <w:r>
        <w:rPr>
          <w:rFonts w:eastAsia="宋体"/>
          <w:smallCaps w:val="0"/>
          <w:kern w:val="2"/>
          <w:sz w:val="21"/>
          <w:szCs w:val="22"/>
        </w:rPr>
        <w:t xml:space="preserve">UAV aerial surveying </w:t>
      </w:r>
      <w:r>
        <w:rPr>
          <w:rFonts w:hint="eastAsia" w:eastAsia="宋体"/>
          <w:smallCaps w:val="0"/>
          <w:kern w:val="2"/>
          <w:sz w:val="21"/>
          <w:szCs w:val="22"/>
          <w:lang w:val="en-US" w:eastAsia="zh-CN"/>
        </w:rPr>
        <w:t>should be used to obtain</w:t>
      </w:r>
      <w:r>
        <w:rPr>
          <w:rFonts w:eastAsia="宋体"/>
          <w:smallCaps w:val="0"/>
          <w:kern w:val="2"/>
          <w:sz w:val="21"/>
          <w:szCs w:val="22"/>
        </w:rPr>
        <w:t xml:space="preserve"> elevation data.</w:t>
      </w:r>
      <w:r>
        <w:rPr>
          <w:rStyle w:val="17"/>
          <w:rFonts w:hint="eastAsia" w:eastAsia="宋体"/>
          <w:b w:val="0"/>
          <w:smallCaps w:val="0"/>
          <w:kern w:val="2"/>
          <w:sz w:val="21"/>
          <w:szCs w:val="22"/>
        </w:rPr>
        <w:t xml:space="preserve"> </w:t>
      </w:r>
      <w:r>
        <w:rPr>
          <w:rStyle w:val="17"/>
          <w:rFonts w:eastAsia="宋体"/>
          <w:b w:val="0"/>
          <w:smallCaps w:val="0"/>
          <w:kern w:val="2"/>
          <w:sz w:val="21"/>
          <w:szCs w:val="22"/>
        </w:rPr>
        <w:t xml:space="preserve">Significant </w:t>
      </w:r>
      <w:r>
        <w:rPr>
          <w:rStyle w:val="17"/>
          <w:rFonts w:hint="eastAsia" w:eastAsia="宋体"/>
          <w:b w:val="0"/>
          <w:smallCaps w:val="0"/>
          <w:kern w:val="2"/>
          <w:sz w:val="21"/>
          <w:szCs w:val="22"/>
          <w:lang w:val="en-US" w:eastAsia="zh-CN"/>
        </w:rPr>
        <w:t>differences</w:t>
      </w:r>
      <w:r>
        <w:rPr>
          <w:rStyle w:val="17"/>
          <w:rFonts w:eastAsia="宋体"/>
          <w:b w:val="0"/>
          <w:smallCaps w:val="0"/>
          <w:kern w:val="2"/>
          <w:sz w:val="21"/>
          <w:szCs w:val="22"/>
        </w:rPr>
        <w:t xml:space="preserve"> </w:t>
      </w:r>
      <w:r>
        <w:rPr>
          <w:rFonts w:hint="eastAsia" w:eastAsia="宋体"/>
          <w:smallCaps w:val="0"/>
          <w:kern w:val="2"/>
          <w:sz w:val="21"/>
          <w:szCs w:val="22"/>
          <w:lang w:val="en-US" w:eastAsia="zh-CN"/>
        </w:rPr>
        <w:t>are observed</w:t>
      </w:r>
      <w:r>
        <w:rPr>
          <w:rStyle w:val="17"/>
          <w:rFonts w:eastAsia="宋体"/>
          <w:b w:val="0"/>
          <w:smallCaps w:val="0"/>
          <w:kern w:val="2"/>
          <w:sz w:val="21"/>
          <w:szCs w:val="22"/>
        </w:rPr>
        <w:t xml:space="preserve"> between </w:t>
      </w:r>
      <w:r>
        <w:rPr>
          <w:rStyle w:val="17"/>
          <w:rFonts w:hint="eastAsia" w:eastAsia="宋体"/>
          <w:b w:val="0"/>
          <w:smallCaps w:val="0"/>
          <w:kern w:val="2"/>
          <w:sz w:val="21"/>
          <w:szCs w:val="22"/>
        </w:rPr>
        <w:t xml:space="preserve">the </w:t>
      </w:r>
      <w:r>
        <w:rPr>
          <w:rStyle w:val="17"/>
          <w:rFonts w:eastAsia="宋体"/>
          <w:b w:val="0"/>
          <w:smallCaps w:val="0"/>
          <w:kern w:val="2"/>
          <w:sz w:val="21"/>
          <w:szCs w:val="22"/>
        </w:rPr>
        <w:t xml:space="preserve">weights </w:t>
      </w:r>
      <w:r>
        <w:rPr>
          <w:rFonts w:eastAsia="宋体"/>
          <w:smallCaps w:val="0"/>
          <w:kern w:val="2"/>
          <w:sz w:val="21"/>
          <w:szCs w:val="22"/>
        </w:rPr>
        <w:t>calculated by</w:t>
      </w:r>
      <w:r>
        <w:rPr>
          <w:rStyle w:val="17"/>
          <w:rFonts w:eastAsia="宋体"/>
          <w:b w:val="0"/>
          <w:smallCaps w:val="0"/>
          <w:kern w:val="2"/>
          <w:sz w:val="21"/>
          <w:szCs w:val="22"/>
        </w:rPr>
        <w:t xml:space="preserve"> the entropy weight method and </w:t>
      </w:r>
      <w:r>
        <w:rPr>
          <w:rStyle w:val="17"/>
          <w:rFonts w:hint="eastAsia" w:eastAsia="宋体"/>
          <w:b w:val="0"/>
          <w:smallCaps w:val="0"/>
          <w:kern w:val="2"/>
          <w:sz w:val="21"/>
          <w:szCs w:val="22"/>
        </w:rPr>
        <w:t xml:space="preserve">the </w:t>
      </w:r>
      <w:r>
        <w:rPr>
          <w:rStyle w:val="17"/>
          <w:rFonts w:eastAsia="宋体"/>
          <w:b w:val="0"/>
          <w:smallCaps w:val="0"/>
          <w:kern w:val="2"/>
          <w:sz w:val="21"/>
          <w:szCs w:val="22"/>
        </w:rPr>
        <w:t xml:space="preserve">analytic hierarchy process, </w:t>
      </w:r>
      <w:r>
        <w:rPr>
          <w:rFonts w:eastAsia="宋体"/>
          <w:smallCaps w:val="0"/>
          <w:kern w:val="2"/>
          <w:sz w:val="21"/>
          <w:szCs w:val="22"/>
        </w:rPr>
        <w:t>making it difficult</w:t>
      </w:r>
      <w:r>
        <w:rPr>
          <w:rFonts w:hint="eastAsia" w:eastAsia="宋体"/>
          <w:smallCaps w:val="0"/>
          <w:kern w:val="2"/>
          <w:sz w:val="21"/>
          <w:szCs w:val="22"/>
        </w:rPr>
        <w:t xml:space="preserve"> to</w:t>
      </w:r>
      <w:r>
        <w:rPr>
          <w:rStyle w:val="17"/>
          <w:rFonts w:eastAsia="宋体"/>
          <w:b w:val="0"/>
          <w:smallCaps w:val="0"/>
          <w:kern w:val="2"/>
          <w:sz w:val="21"/>
          <w:szCs w:val="22"/>
        </w:rPr>
        <w:t xml:space="preserve"> achiev</w:t>
      </w:r>
      <w:r>
        <w:rPr>
          <w:rStyle w:val="17"/>
          <w:rFonts w:hint="eastAsia" w:eastAsia="宋体"/>
          <w:b w:val="0"/>
          <w:smallCaps w:val="0"/>
          <w:kern w:val="2"/>
          <w:sz w:val="21"/>
          <w:szCs w:val="22"/>
        </w:rPr>
        <w:t xml:space="preserve">e </w:t>
      </w:r>
      <w:r>
        <w:rPr>
          <w:rFonts w:eastAsia="宋体"/>
          <w:smallCaps w:val="0"/>
          <w:kern w:val="2"/>
          <w:sz w:val="21"/>
          <w:szCs w:val="22"/>
        </w:rPr>
        <w:t>effective</w:t>
      </w:r>
      <w:r>
        <w:rPr>
          <w:rStyle w:val="17"/>
          <w:rFonts w:eastAsia="宋体"/>
          <w:b w:val="0"/>
          <w:smallCaps w:val="0"/>
          <w:kern w:val="2"/>
          <w:sz w:val="21"/>
          <w:szCs w:val="22"/>
        </w:rPr>
        <w:t xml:space="preserve"> balance through subjective judgment alone. </w:t>
      </w:r>
      <w:r>
        <w:rPr>
          <w:rFonts w:eastAsia="宋体"/>
          <w:smallCaps w:val="0"/>
          <w:kern w:val="2"/>
          <w:sz w:val="21"/>
          <w:szCs w:val="22"/>
        </w:rPr>
        <w:t>In contrast, t</w:t>
      </w:r>
      <w:r>
        <w:rPr>
          <w:rStyle w:val="17"/>
          <w:rFonts w:eastAsia="宋体"/>
          <w:b w:val="0"/>
          <w:smallCaps w:val="0"/>
          <w:kern w:val="2"/>
          <w:sz w:val="21"/>
          <w:szCs w:val="22"/>
        </w:rPr>
        <w:t>he game theory-</w:t>
      </w:r>
      <w:r>
        <w:rPr>
          <w:rStyle w:val="17"/>
          <w:rFonts w:hint="eastAsia" w:eastAsia="宋体"/>
          <w:b w:val="0"/>
          <w:smallCaps w:val="0"/>
          <w:kern w:val="2"/>
          <w:sz w:val="21"/>
          <w:szCs w:val="22"/>
          <w:lang w:val="en-US" w:eastAsia="zh-CN"/>
        </w:rPr>
        <w:t xml:space="preserve">based </w:t>
      </w:r>
      <w:r>
        <w:rPr>
          <w:rStyle w:val="17"/>
          <w:rFonts w:eastAsia="宋体"/>
          <w:b w:val="0"/>
          <w:smallCaps w:val="0"/>
          <w:kern w:val="2"/>
          <w:sz w:val="21"/>
          <w:szCs w:val="22"/>
        </w:rPr>
        <w:t>combin</w:t>
      </w:r>
      <w:r>
        <w:rPr>
          <w:rStyle w:val="17"/>
          <w:rFonts w:hint="eastAsia" w:eastAsia="宋体"/>
          <w:b w:val="0"/>
          <w:smallCaps w:val="0"/>
          <w:kern w:val="2"/>
          <w:sz w:val="21"/>
          <w:szCs w:val="22"/>
          <w:lang w:val="en-US" w:eastAsia="zh-CN"/>
        </w:rPr>
        <w:t>ation</w:t>
      </w:r>
      <w:r>
        <w:rPr>
          <w:rStyle w:val="17"/>
          <w:rFonts w:eastAsia="宋体"/>
          <w:b w:val="0"/>
          <w:smallCaps w:val="0"/>
          <w:kern w:val="2"/>
          <w:sz w:val="21"/>
          <w:szCs w:val="22"/>
        </w:rPr>
        <w:t xml:space="preserve"> weighting method</w:t>
      </w:r>
      <w:r>
        <w:rPr>
          <w:rStyle w:val="17"/>
          <w:rFonts w:hint="eastAsia" w:eastAsia="宋体"/>
          <w:b w:val="0"/>
          <w:smallCaps w:val="0"/>
          <w:kern w:val="2"/>
          <w:sz w:val="21"/>
          <w:szCs w:val="22"/>
        </w:rPr>
        <w:t>,</w:t>
      </w:r>
      <w:r>
        <w:rPr>
          <w:rStyle w:val="17"/>
          <w:rFonts w:eastAsia="宋体"/>
          <w:b w:val="0"/>
          <w:smallCaps w:val="0"/>
          <w:kern w:val="2"/>
          <w:sz w:val="21"/>
          <w:szCs w:val="22"/>
        </w:rPr>
        <w:t xml:space="preserve"> </w:t>
      </w:r>
      <w:r>
        <w:rPr>
          <w:rFonts w:eastAsia="宋体"/>
          <w:smallCaps w:val="0"/>
          <w:kern w:val="2"/>
          <w:sz w:val="21"/>
          <w:szCs w:val="22"/>
        </w:rPr>
        <w:t xml:space="preserve">based on mathematical principles, </w:t>
      </w:r>
      <w:r>
        <w:rPr>
          <w:rFonts w:hint="eastAsia" w:eastAsia="宋体"/>
          <w:smallCaps w:val="0"/>
          <w:kern w:val="2"/>
          <w:sz w:val="21"/>
          <w:szCs w:val="22"/>
          <w:lang w:val="en-US" w:eastAsia="zh-CN"/>
        </w:rPr>
        <w:t>integrates</w:t>
      </w:r>
      <w:r>
        <w:rPr>
          <w:rFonts w:eastAsia="宋体"/>
          <w:smallCaps w:val="0"/>
          <w:kern w:val="2"/>
          <w:sz w:val="21"/>
          <w:szCs w:val="22"/>
        </w:rPr>
        <w:t xml:space="preserve"> the results of these two weighting </w:t>
      </w:r>
      <w:r>
        <w:rPr>
          <w:rFonts w:hint="eastAsia" w:eastAsia="宋体"/>
          <w:smallCaps w:val="0"/>
          <w:kern w:val="2"/>
          <w:sz w:val="21"/>
          <w:szCs w:val="22"/>
          <w:lang w:val="en-US" w:eastAsia="zh-CN"/>
        </w:rPr>
        <w:t>methods to</w:t>
      </w:r>
      <w:r>
        <w:rPr>
          <w:rFonts w:eastAsia="宋体"/>
          <w:smallCaps w:val="0"/>
          <w:kern w:val="2"/>
          <w:sz w:val="21"/>
          <w:szCs w:val="22"/>
        </w:rPr>
        <w:t xml:space="preserve"> achiev</w:t>
      </w:r>
      <w:r>
        <w:rPr>
          <w:rFonts w:hint="eastAsia" w:eastAsia="宋体"/>
          <w:smallCaps w:val="0"/>
          <w:kern w:val="2"/>
          <w:sz w:val="21"/>
          <w:szCs w:val="22"/>
          <w:lang w:val="en-US" w:eastAsia="zh-CN"/>
        </w:rPr>
        <w:t xml:space="preserve">e </w:t>
      </w:r>
      <w:r>
        <w:rPr>
          <w:rStyle w:val="17"/>
          <w:rFonts w:eastAsia="宋体"/>
          <w:b w:val="0"/>
          <w:smallCaps w:val="0"/>
          <w:kern w:val="2"/>
          <w:sz w:val="21"/>
          <w:szCs w:val="22"/>
        </w:rPr>
        <w:t xml:space="preserve">a more scientific and rational </w:t>
      </w:r>
      <w:r>
        <w:rPr>
          <w:rFonts w:eastAsia="宋体"/>
          <w:smallCaps w:val="0"/>
          <w:kern w:val="2"/>
          <w:sz w:val="21"/>
          <w:szCs w:val="22"/>
        </w:rPr>
        <w:t>weight</w:t>
      </w:r>
      <w:r>
        <w:rPr>
          <w:rFonts w:hint="eastAsia" w:eastAsia="宋体"/>
          <w:smallCaps w:val="0"/>
          <w:kern w:val="2"/>
          <w:sz w:val="21"/>
          <w:szCs w:val="22"/>
        </w:rPr>
        <w:t xml:space="preserve"> </w:t>
      </w:r>
      <w:r>
        <w:rPr>
          <w:rStyle w:val="17"/>
          <w:rFonts w:eastAsia="宋体"/>
          <w:b w:val="0"/>
          <w:smallCaps w:val="0"/>
          <w:kern w:val="2"/>
          <w:sz w:val="21"/>
          <w:szCs w:val="22"/>
        </w:rPr>
        <w:t>allocation</w:t>
      </w:r>
      <w:r>
        <w:rPr>
          <w:rStyle w:val="17"/>
          <w:rFonts w:hint="eastAsia" w:eastAsia="宋体"/>
          <w:b w:val="0"/>
          <w:smallCaps w:val="0"/>
          <w:kern w:val="2"/>
          <w:sz w:val="21"/>
          <w:szCs w:val="22"/>
        </w:rPr>
        <w:t>, providing important</w:t>
      </w:r>
      <w:r>
        <w:rPr>
          <w:rFonts w:eastAsia="宋体"/>
          <w:smallCaps w:val="0"/>
          <w:kern w:val="2"/>
          <w:sz w:val="21"/>
          <w:szCs w:val="22"/>
        </w:rPr>
        <w:t xml:space="preserve"> reference value for weight determination in comprehensive </w:t>
      </w:r>
      <w:r>
        <w:rPr>
          <w:rFonts w:hint="eastAsia" w:eastAsia="宋体"/>
          <w:smallCaps w:val="0"/>
          <w:kern w:val="2"/>
          <w:sz w:val="21"/>
          <w:szCs w:val="22"/>
          <w:lang w:val="en-US" w:eastAsia="zh-CN"/>
        </w:rPr>
        <w:t>assessment</w:t>
      </w:r>
      <w:r>
        <w:rPr>
          <w:rFonts w:eastAsia="宋体"/>
          <w:smallCaps w:val="0"/>
          <w:kern w:val="2"/>
          <w:sz w:val="21"/>
          <w:szCs w:val="22"/>
        </w:rPr>
        <w:t>.</w:t>
      </w:r>
      <w:r>
        <w:rPr>
          <w:rStyle w:val="17"/>
          <w:rFonts w:eastAsia="宋体"/>
          <w:b w:val="0"/>
          <w:smallCaps w:val="0"/>
          <w:kern w:val="2"/>
          <w:sz w:val="21"/>
          <w:szCs w:val="22"/>
        </w:rPr>
        <w:t xml:space="preserve"> The </w:t>
      </w:r>
      <w:r>
        <w:rPr>
          <w:rFonts w:eastAsia="宋体"/>
          <w:smallCaps w:val="0"/>
          <w:kern w:val="2"/>
          <w:sz w:val="21"/>
          <w:szCs w:val="22"/>
        </w:rPr>
        <w:t>flood</w:t>
      </w:r>
      <w:r>
        <w:rPr>
          <w:rFonts w:hint="eastAsia" w:eastAsia="宋体"/>
          <w:smallCaps w:val="0"/>
          <w:kern w:val="2"/>
          <w:sz w:val="21"/>
          <w:szCs w:val="22"/>
        </w:rPr>
        <w:t xml:space="preserve"> </w:t>
      </w:r>
      <w:r>
        <w:rPr>
          <w:rStyle w:val="17"/>
          <w:rFonts w:eastAsia="宋体"/>
          <w:b w:val="0"/>
          <w:smallCaps w:val="0"/>
          <w:kern w:val="2"/>
          <w:sz w:val="21"/>
          <w:szCs w:val="22"/>
        </w:rPr>
        <w:t xml:space="preserve">risk assessment </w:t>
      </w:r>
      <w:r>
        <w:rPr>
          <w:rFonts w:eastAsia="宋体"/>
          <w:smallCaps w:val="0"/>
          <w:kern w:val="2"/>
          <w:sz w:val="21"/>
          <w:szCs w:val="22"/>
        </w:rPr>
        <w:t>results</w:t>
      </w:r>
      <w:r>
        <w:rPr>
          <w:rFonts w:hint="eastAsia" w:eastAsia="宋体"/>
          <w:smallCaps w:val="0"/>
          <w:kern w:val="2"/>
          <w:sz w:val="21"/>
          <w:szCs w:val="22"/>
        </w:rPr>
        <w:t xml:space="preserve"> </w:t>
      </w:r>
      <w:r>
        <w:rPr>
          <w:rFonts w:eastAsia="宋体"/>
          <w:smallCaps w:val="0"/>
          <w:kern w:val="2"/>
          <w:sz w:val="21"/>
          <w:szCs w:val="22"/>
        </w:rPr>
        <w:t>for the Dexing urban area</w:t>
      </w:r>
      <w:r>
        <w:rPr>
          <w:rFonts w:hint="eastAsia" w:eastAsia="宋体"/>
          <w:smallCaps w:val="0"/>
          <w:kern w:val="2"/>
          <w:sz w:val="21"/>
          <w:szCs w:val="22"/>
        </w:rPr>
        <w:t xml:space="preserve"> </w:t>
      </w:r>
      <w:r>
        <w:rPr>
          <w:rFonts w:eastAsia="宋体"/>
          <w:smallCaps w:val="0"/>
          <w:kern w:val="2"/>
          <w:sz w:val="21"/>
          <w:szCs w:val="22"/>
        </w:rPr>
        <w:t>provide</w:t>
      </w:r>
      <w:r>
        <w:rPr>
          <w:rFonts w:hint="eastAsia" w:eastAsia="宋体"/>
          <w:smallCaps w:val="0"/>
          <w:kern w:val="2"/>
          <w:sz w:val="21"/>
          <w:szCs w:val="22"/>
        </w:rPr>
        <w:t xml:space="preserve"> </w:t>
      </w:r>
      <w:r>
        <w:rPr>
          <w:rStyle w:val="17"/>
          <w:rFonts w:eastAsia="宋体"/>
          <w:b w:val="0"/>
          <w:smallCaps w:val="0"/>
          <w:kern w:val="2"/>
          <w:sz w:val="21"/>
          <w:szCs w:val="22"/>
        </w:rPr>
        <w:t>a reliable decision-making basis for</w:t>
      </w:r>
      <w:r>
        <w:rPr>
          <w:rStyle w:val="17"/>
          <w:rFonts w:hint="eastAsia" w:eastAsia="宋体"/>
          <w:b w:val="0"/>
          <w:smallCaps w:val="0"/>
          <w:kern w:val="2"/>
          <w:sz w:val="21"/>
          <w:szCs w:val="22"/>
          <w:lang w:val="en-US" w:eastAsia="zh-CN"/>
        </w:rPr>
        <w:t xml:space="preserve"> the</w:t>
      </w:r>
      <w:r>
        <w:rPr>
          <w:rFonts w:hint="eastAsia" w:eastAsia="宋体"/>
          <w:smallCaps w:val="0"/>
          <w:kern w:val="2"/>
          <w:sz w:val="21"/>
          <w:szCs w:val="22"/>
        </w:rPr>
        <w:t xml:space="preserve"> </w:t>
      </w:r>
      <w:r>
        <w:rPr>
          <w:rStyle w:val="17"/>
          <w:rFonts w:eastAsia="宋体"/>
          <w:b w:val="0"/>
          <w:smallCaps w:val="0"/>
          <w:kern w:val="2"/>
          <w:sz w:val="21"/>
          <w:szCs w:val="22"/>
        </w:rPr>
        <w:t>precise</w:t>
      </w:r>
      <w:r>
        <w:rPr>
          <w:rFonts w:hint="eastAsia" w:eastAsia="宋体"/>
          <w:smallCaps w:val="0"/>
          <w:kern w:val="2"/>
          <w:sz w:val="21"/>
          <w:szCs w:val="22"/>
        </w:rPr>
        <w:t xml:space="preserve"> </w:t>
      </w:r>
      <w:r>
        <w:rPr>
          <w:rStyle w:val="17"/>
          <w:rFonts w:eastAsia="宋体"/>
          <w:b w:val="0"/>
          <w:smallCaps w:val="0"/>
          <w:kern w:val="2"/>
          <w:sz w:val="21"/>
          <w:szCs w:val="22"/>
        </w:rPr>
        <w:t xml:space="preserve">prevention </w:t>
      </w:r>
      <w:r>
        <w:rPr>
          <w:rStyle w:val="17"/>
          <w:rFonts w:hint="eastAsia" w:eastAsia="宋体"/>
          <w:b w:val="0"/>
          <w:smallCaps w:val="0"/>
          <w:kern w:val="2"/>
          <w:sz w:val="21"/>
          <w:szCs w:val="22"/>
          <w:lang w:val="en-US" w:eastAsia="zh-CN"/>
        </w:rPr>
        <w:t xml:space="preserve">of </w:t>
      </w:r>
      <w:r>
        <w:rPr>
          <w:rStyle w:val="17"/>
          <w:rFonts w:eastAsia="宋体"/>
          <w:b w:val="0"/>
          <w:smallCaps w:val="0"/>
          <w:kern w:val="2"/>
          <w:sz w:val="21"/>
          <w:szCs w:val="22"/>
        </w:rPr>
        <w:t xml:space="preserve">flood </w:t>
      </w:r>
      <w:r>
        <w:rPr>
          <w:rFonts w:eastAsia="宋体"/>
          <w:smallCaps w:val="0"/>
          <w:kern w:val="2"/>
          <w:sz w:val="21"/>
          <w:szCs w:val="22"/>
        </w:rPr>
        <w:t>disaster</w:t>
      </w:r>
      <w:r>
        <w:rPr>
          <w:rFonts w:hint="eastAsia" w:eastAsia="宋体"/>
          <w:smallCaps w:val="0"/>
          <w:kern w:val="2"/>
          <w:sz w:val="21"/>
          <w:szCs w:val="22"/>
          <w:lang w:val="en-US" w:eastAsia="zh-CN"/>
        </w:rPr>
        <w:t>s</w:t>
      </w:r>
      <w:r>
        <w:rPr>
          <w:rStyle w:val="17"/>
          <w:rFonts w:eastAsia="宋体"/>
          <w:b w:val="0"/>
          <w:smallCaps w:val="0"/>
          <w:kern w:val="2"/>
          <w:sz w:val="21"/>
          <w:szCs w:val="22"/>
        </w:rPr>
        <w:t xml:space="preserve"> and </w:t>
      </w:r>
      <w:r>
        <w:rPr>
          <w:rStyle w:val="17"/>
          <w:rFonts w:hint="eastAsia" w:eastAsia="宋体"/>
          <w:b w:val="0"/>
          <w:smallCaps w:val="0"/>
          <w:kern w:val="2"/>
          <w:sz w:val="21"/>
          <w:szCs w:val="22"/>
          <w:lang w:val="en-US" w:eastAsia="zh-CN"/>
        </w:rPr>
        <w:t xml:space="preserve">for </w:t>
      </w:r>
      <w:r>
        <w:rPr>
          <w:rStyle w:val="17"/>
          <w:rFonts w:eastAsia="宋体"/>
          <w:b w:val="0"/>
          <w:smallCaps w:val="0"/>
          <w:kern w:val="2"/>
          <w:sz w:val="21"/>
          <w:szCs w:val="22"/>
        </w:rPr>
        <w:t xml:space="preserve">risk </w:t>
      </w:r>
      <w:r>
        <w:rPr>
          <w:rFonts w:eastAsia="宋体"/>
          <w:smallCaps w:val="0"/>
          <w:kern w:val="2"/>
          <w:sz w:val="21"/>
          <w:szCs w:val="22"/>
        </w:rPr>
        <w:t>classification and control</w:t>
      </w:r>
      <w:r>
        <w:rPr>
          <w:rFonts w:hint="eastAsia" w:eastAsia="宋体"/>
          <w:smallCaps w:val="0"/>
          <w:kern w:val="2"/>
          <w:sz w:val="21"/>
          <w:szCs w:val="22"/>
          <w:lang w:val="en-US" w:eastAsia="zh-CN"/>
        </w:rPr>
        <w:t xml:space="preserve"> in the future. Additionally, they</w:t>
      </w:r>
      <w:r>
        <w:rPr>
          <w:rFonts w:eastAsia="宋体"/>
          <w:smallCaps w:val="0"/>
          <w:kern w:val="2"/>
          <w:sz w:val="21"/>
          <w:szCs w:val="22"/>
        </w:rPr>
        <w:t xml:space="preserve"> can serve as a</w:t>
      </w:r>
      <w:r>
        <w:rPr>
          <w:rFonts w:hint="eastAsia" w:eastAsia="宋体"/>
          <w:smallCaps w:val="0"/>
          <w:kern w:val="2"/>
          <w:sz w:val="21"/>
          <w:szCs w:val="22"/>
        </w:rPr>
        <w:t xml:space="preserve"> </w:t>
      </w:r>
      <w:r>
        <w:rPr>
          <w:rStyle w:val="17"/>
          <w:rFonts w:eastAsia="宋体"/>
          <w:b w:val="0"/>
          <w:smallCaps w:val="0"/>
          <w:kern w:val="2"/>
          <w:sz w:val="21"/>
          <w:szCs w:val="22"/>
        </w:rPr>
        <w:t xml:space="preserve">theoretical and methodological reference for </w:t>
      </w:r>
      <w:r>
        <w:rPr>
          <w:rFonts w:eastAsia="宋体"/>
          <w:smallCaps w:val="0"/>
          <w:kern w:val="2"/>
          <w:sz w:val="21"/>
          <w:szCs w:val="22"/>
        </w:rPr>
        <w:t>flood prevention and mitigation</w:t>
      </w:r>
      <w:r>
        <w:rPr>
          <w:rFonts w:hint="eastAsia" w:eastAsia="宋体"/>
          <w:smallCaps w:val="0"/>
          <w:kern w:val="2"/>
          <w:sz w:val="21"/>
          <w:szCs w:val="22"/>
        </w:rPr>
        <w:t xml:space="preserve"> </w:t>
      </w:r>
      <w:r>
        <w:rPr>
          <w:rFonts w:hint="eastAsia" w:eastAsia="宋体"/>
          <w:smallCaps w:val="0"/>
          <w:kern w:val="2"/>
          <w:sz w:val="21"/>
          <w:szCs w:val="22"/>
          <w:lang w:val="en-US" w:eastAsia="zh-CN"/>
        </w:rPr>
        <w:t xml:space="preserve">efforts </w:t>
      </w:r>
      <w:r>
        <w:rPr>
          <w:rFonts w:hint="eastAsia" w:eastAsia="宋体"/>
          <w:smallCaps w:val="0"/>
          <w:kern w:val="2"/>
          <w:sz w:val="21"/>
          <w:szCs w:val="22"/>
        </w:rPr>
        <w:t xml:space="preserve">in </w:t>
      </w:r>
      <w:r>
        <w:rPr>
          <w:rStyle w:val="17"/>
          <w:rFonts w:eastAsia="宋体"/>
          <w:b w:val="0"/>
          <w:smallCaps w:val="0"/>
          <w:kern w:val="2"/>
          <w:sz w:val="21"/>
          <w:szCs w:val="22"/>
        </w:rPr>
        <w:t>similar regions.</w:t>
      </w:r>
    </w:p>
    <w:p>
      <w:pPr>
        <w:pStyle w:val="12"/>
        <w:pageBreakBefore w:val="0"/>
        <w:kinsoku/>
        <w:wordWrap/>
        <w:overflowPunct/>
        <w:topLinePunct w:val="0"/>
        <w:autoSpaceDE/>
        <w:autoSpaceDN/>
        <w:bidi w:val="0"/>
        <w:adjustRightInd/>
        <w:spacing w:before="0" w:beforeAutospacing="0" w:after="0" w:afterAutospacing="0" w:line="240" w:lineRule="auto"/>
        <w:jc w:val="both"/>
        <w:textAlignment w:val="auto"/>
        <w:rPr>
          <w:rStyle w:val="17"/>
          <w:rFonts w:eastAsia="楷体"/>
          <w:b w:val="0"/>
          <w:bCs/>
          <w:smallCaps w:val="0"/>
          <w:kern w:val="2"/>
          <w:sz w:val="21"/>
          <w:szCs w:val="21"/>
        </w:rPr>
      </w:pPr>
      <w:r>
        <w:rPr>
          <w:rStyle w:val="17"/>
          <w:rFonts w:eastAsia="宋体"/>
          <w:bCs/>
          <w:smallCaps w:val="0"/>
          <w:kern w:val="2"/>
          <w:sz w:val="21"/>
          <w:szCs w:val="22"/>
        </w:rPr>
        <w:t>Keywords：</w:t>
      </w:r>
      <w:r>
        <w:rPr>
          <w:rStyle w:val="17"/>
          <w:rFonts w:eastAsia="楷体"/>
          <w:b w:val="0"/>
          <w:bCs/>
          <w:smallCaps w:val="0"/>
          <w:kern w:val="2"/>
          <w:sz w:val="21"/>
          <w:szCs w:val="21"/>
        </w:rPr>
        <w:t>hydrodynamic model</w:t>
      </w:r>
      <w:r>
        <w:rPr>
          <w:rStyle w:val="17"/>
          <w:rFonts w:hint="eastAsia" w:eastAsia="楷体"/>
          <w:b w:val="0"/>
          <w:bCs/>
          <w:smallCaps w:val="0"/>
          <w:kern w:val="2"/>
          <w:sz w:val="21"/>
          <w:szCs w:val="21"/>
        </w:rPr>
        <w:t>；</w:t>
      </w:r>
      <w:r>
        <w:rPr>
          <w:rStyle w:val="17"/>
          <w:rFonts w:eastAsia="楷体"/>
          <w:b w:val="0"/>
          <w:bCs/>
          <w:smallCaps w:val="0"/>
          <w:kern w:val="2"/>
          <w:sz w:val="21"/>
          <w:szCs w:val="21"/>
        </w:rPr>
        <w:t>flood disaster</w:t>
      </w:r>
      <w:r>
        <w:rPr>
          <w:rStyle w:val="17"/>
          <w:rFonts w:hint="eastAsia" w:eastAsia="楷体"/>
          <w:b w:val="0"/>
          <w:bCs/>
          <w:smallCaps w:val="0"/>
          <w:kern w:val="2"/>
          <w:sz w:val="21"/>
          <w:szCs w:val="21"/>
        </w:rPr>
        <w:t>；</w:t>
      </w:r>
      <w:r>
        <w:rPr>
          <w:rFonts w:eastAsia="楷体"/>
          <w:bCs/>
          <w:smallCaps w:val="0"/>
          <w:kern w:val="2"/>
          <w:sz w:val="21"/>
          <w:szCs w:val="21"/>
        </w:rPr>
        <w:t>game theory-</w:t>
      </w:r>
      <w:r>
        <w:rPr>
          <w:rFonts w:hint="eastAsia" w:eastAsia="楷体"/>
          <w:bCs/>
          <w:smallCaps w:val="0"/>
          <w:kern w:val="2"/>
          <w:sz w:val="21"/>
          <w:szCs w:val="21"/>
          <w:lang w:val="en-US" w:eastAsia="zh-CN"/>
        </w:rPr>
        <w:t xml:space="preserve">based </w:t>
      </w:r>
      <w:r>
        <w:rPr>
          <w:rFonts w:eastAsia="楷体"/>
          <w:bCs/>
          <w:smallCaps w:val="0"/>
          <w:kern w:val="2"/>
          <w:sz w:val="21"/>
          <w:szCs w:val="21"/>
        </w:rPr>
        <w:t>combin</w:t>
      </w:r>
      <w:r>
        <w:rPr>
          <w:rFonts w:hint="eastAsia" w:eastAsia="楷体"/>
          <w:bCs/>
          <w:smallCaps w:val="0"/>
          <w:kern w:val="2"/>
          <w:sz w:val="21"/>
          <w:szCs w:val="21"/>
          <w:lang w:val="en-US" w:eastAsia="zh-CN"/>
        </w:rPr>
        <w:t>ation</w:t>
      </w:r>
      <w:r>
        <w:rPr>
          <w:rFonts w:hint="eastAsia" w:eastAsia="楷体"/>
          <w:bCs/>
          <w:smallCaps w:val="0"/>
          <w:kern w:val="2"/>
          <w:sz w:val="21"/>
          <w:szCs w:val="21"/>
        </w:rPr>
        <w:t xml:space="preserve"> </w:t>
      </w:r>
      <w:r>
        <w:rPr>
          <w:rStyle w:val="17"/>
          <w:rFonts w:eastAsia="楷体"/>
          <w:b w:val="0"/>
          <w:bCs/>
          <w:smallCaps w:val="0"/>
          <w:kern w:val="2"/>
          <w:sz w:val="21"/>
          <w:szCs w:val="21"/>
        </w:rPr>
        <w:t>weighting</w:t>
      </w:r>
      <w:r>
        <w:rPr>
          <w:rStyle w:val="17"/>
          <w:rFonts w:hint="eastAsia" w:eastAsia="楷体"/>
          <w:b w:val="0"/>
          <w:bCs/>
          <w:smallCaps w:val="0"/>
          <w:kern w:val="2"/>
          <w:sz w:val="21"/>
          <w:szCs w:val="21"/>
        </w:rPr>
        <w:t>；</w:t>
      </w:r>
      <w:r>
        <w:rPr>
          <w:rStyle w:val="17"/>
          <w:rFonts w:eastAsia="楷体"/>
          <w:b w:val="0"/>
          <w:bCs/>
          <w:smallCaps w:val="0"/>
          <w:kern w:val="2"/>
          <w:sz w:val="21"/>
          <w:szCs w:val="21"/>
        </w:rPr>
        <w:t>urban flood risk assessment</w:t>
      </w:r>
      <w:r>
        <w:rPr>
          <w:rStyle w:val="17"/>
          <w:rFonts w:hint="eastAsia" w:eastAsia="楷体"/>
          <w:b w:val="0"/>
          <w:bCs/>
          <w:smallCaps w:val="0"/>
          <w:kern w:val="2"/>
          <w:sz w:val="21"/>
          <w:szCs w:val="21"/>
        </w:rPr>
        <w:t xml:space="preserve">；MIKEFLOOD；urban </w:t>
      </w:r>
      <w:r>
        <w:rPr>
          <w:rStyle w:val="17"/>
          <w:rFonts w:hint="eastAsia" w:eastAsia="楷体"/>
          <w:b w:val="0"/>
          <w:bCs/>
          <w:smallCaps w:val="0"/>
          <w:kern w:val="2"/>
          <w:sz w:val="21"/>
          <w:szCs w:val="21"/>
          <w:lang w:val="en-US" w:eastAsia="zh-CN"/>
        </w:rPr>
        <w:t>flooding</w:t>
      </w:r>
      <w:r>
        <w:rPr>
          <w:rStyle w:val="17"/>
          <w:rFonts w:hint="eastAsia" w:eastAsia="楷体"/>
          <w:b w:val="0"/>
          <w:bCs/>
          <w:smallCaps w:val="0"/>
          <w:kern w:val="2"/>
          <w:sz w:val="21"/>
          <w:szCs w:val="21"/>
        </w:rPr>
        <w:t xml:space="preserve">；risk classification and </w:t>
      </w:r>
      <w:r>
        <w:rPr>
          <w:rFonts w:hint="eastAsia" w:eastAsia="楷体"/>
          <w:bCs/>
          <w:smallCaps w:val="0"/>
          <w:kern w:val="2"/>
          <w:sz w:val="21"/>
          <w:szCs w:val="21"/>
          <w:lang w:val="en-US" w:eastAsia="zh-CN"/>
        </w:rPr>
        <w:t>prevention</w:t>
      </w:r>
      <w:r>
        <w:rPr>
          <w:rStyle w:val="17"/>
          <w:rFonts w:hint="eastAsia" w:eastAsia="楷体"/>
          <w:b w:val="0"/>
          <w:bCs/>
          <w:smallCaps w:val="0"/>
          <w:kern w:val="2"/>
          <w:sz w:val="21"/>
          <w:szCs w:val="21"/>
        </w:rPr>
        <w:t>；precipitation</w:t>
      </w:r>
    </w:p>
    <w:p>
      <w:pPr>
        <w:pStyle w:val="11"/>
        <w:pageBreakBefore w:val="0"/>
        <w:kinsoku/>
        <w:wordWrap/>
        <w:overflowPunct/>
        <w:topLinePunct w:val="0"/>
        <w:autoSpaceDE/>
        <w:autoSpaceDN/>
        <w:bidi w:val="0"/>
        <w:adjustRightInd/>
        <w:snapToGrid/>
        <w:spacing w:beforeAutospacing="0" w:afterAutospacing="0" w:line="240" w:lineRule="auto"/>
        <w:ind w:firstLine="0" w:firstLineChars="0"/>
        <w:jc w:val="both"/>
        <w:textAlignment w:val="auto"/>
        <w:rPr>
          <w:rFonts w:eastAsia="黑体" w:cs="Times New Roman"/>
          <w:b/>
          <w:bCs/>
          <w:kern w:val="0"/>
          <w:szCs w:val="18"/>
          <w:u w:val="single"/>
        </w:rPr>
      </w:pPr>
      <w:r>
        <w:rPr>
          <w:rFonts w:eastAsia="黑体" w:cs="Times New Roman"/>
          <w:b/>
          <w:bCs/>
          <w:szCs w:val="18"/>
          <w:u w:val="single"/>
        </w:rPr>
        <w:t xml:space="preserve">                                      </w:t>
      </w:r>
    </w:p>
    <w:p>
      <w:pPr>
        <w:pStyle w:val="11"/>
        <w:pageBreakBefore w:val="0"/>
        <w:kinsoku/>
        <w:wordWrap/>
        <w:overflowPunct/>
        <w:topLinePunct w:val="0"/>
        <w:autoSpaceDE/>
        <w:autoSpaceDN/>
        <w:bidi w:val="0"/>
        <w:adjustRightInd/>
        <w:snapToGrid/>
        <w:spacing w:beforeAutospacing="0" w:afterAutospacing="0" w:line="240" w:lineRule="auto"/>
        <w:ind w:firstLine="0" w:firstLineChars="0"/>
        <w:jc w:val="both"/>
        <w:textAlignment w:val="auto"/>
        <w:rPr>
          <w:rFonts w:cs="Times New Roman"/>
          <w:b/>
          <w:color w:val="FF0000"/>
          <w:szCs w:val="18"/>
        </w:rPr>
      </w:pPr>
      <w:r>
        <w:rPr>
          <w:rFonts w:eastAsia="黑体" w:cs="Times New Roman"/>
          <w:b/>
          <w:bCs/>
          <w:szCs w:val="18"/>
        </w:rPr>
        <w:t>收稿日期：</w:t>
      </w:r>
      <w:r>
        <w:rPr>
          <w:rFonts w:cs="Times New Roman"/>
          <w:szCs w:val="18"/>
        </w:rPr>
        <w:t>2025-08-19；</w:t>
      </w:r>
      <w:r>
        <w:rPr>
          <w:rFonts w:eastAsia="黑体" w:cs="Times New Roman"/>
          <w:b/>
          <w:bCs/>
          <w:szCs w:val="18"/>
        </w:rPr>
        <w:t>修回日期：</w:t>
      </w:r>
      <w:r>
        <w:rPr>
          <w:rFonts w:cs="Times New Roman"/>
          <w:szCs w:val="18"/>
        </w:rPr>
        <w:t>2025-</w:t>
      </w:r>
      <w:r>
        <w:rPr>
          <w:rFonts w:cs="Times New Roman"/>
          <w:szCs w:val="18"/>
          <w:lang w:val="en"/>
        </w:rPr>
        <w:t>12-26</w:t>
      </w:r>
      <w:r>
        <w:rPr>
          <w:rFonts w:cs="Times New Roman"/>
          <w:szCs w:val="18"/>
        </w:rPr>
        <w:t>；</w:t>
      </w:r>
      <w:r>
        <w:rPr>
          <w:rFonts w:eastAsia="黑体" w:cs="Times New Roman"/>
          <w:b/>
          <w:bCs/>
          <w:szCs w:val="18"/>
        </w:rPr>
        <w:t>录用日期：</w:t>
      </w:r>
      <w:r>
        <w:rPr>
          <w:rFonts w:cs="Times New Roman"/>
          <w:szCs w:val="18"/>
        </w:rPr>
        <w:t>2025-1</w:t>
      </w:r>
      <w:r>
        <w:rPr>
          <w:rFonts w:cs="Times New Roman"/>
          <w:szCs w:val="18"/>
          <w:lang w:val="en"/>
        </w:rPr>
        <w:t>2-26</w:t>
      </w:r>
      <w:r>
        <w:rPr>
          <w:rFonts w:cs="Times New Roman"/>
          <w:szCs w:val="18"/>
        </w:rPr>
        <w:t>；</w:t>
      </w:r>
      <w:r>
        <w:rPr>
          <w:rFonts w:eastAsia="黑体" w:cs="Times New Roman"/>
          <w:b/>
          <w:bCs/>
          <w:szCs w:val="18"/>
        </w:rPr>
        <w:t>网络出版日期：</w:t>
      </w:r>
      <w:r>
        <w:rPr>
          <w:rFonts w:cs="Times New Roman"/>
          <w:szCs w:val="18"/>
        </w:rPr>
        <w:t>202</w:t>
      </w:r>
      <w:r>
        <w:rPr>
          <w:rFonts w:hint="eastAsia" w:cs="Times New Roman"/>
          <w:szCs w:val="18"/>
        </w:rPr>
        <w:t>6</w:t>
      </w:r>
    </w:p>
    <w:p>
      <w:pPr>
        <w:pStyle w:val="11"/>
        <w:pageBreakBefore w:val="0"/>
        <w:kinsoku/>
        <w:wordWrap/>
        <w:overflowPunct/>
        <w:topLinePunct w:val="0"/>
        <w:autoSpaceDE/>
        <w:autoSpaceDN/>
        <w:bidi w:val="0"/>
        <w:adjustRightInd/>
        <w:spacing w:beforeAutospacing="0" w:afterAutospacing="0" w:line="240" w:lineRule="auto"/>
        <w:ind w:firstLine="0" w:firstLineChars="0"/>
        <w:jc w:val="both"/>
        <w:textAlignment w:val="auto"/>
        <w:rPr>
          <w:rFonts w:cs="Times New Roman"/>
          <w:szCs w:val="18"/>
        </w:rPr>
      </w:pPr>
      <w:r>
        <w:rPr>
          <w:rFonts w:eastAsia="黑体" w:cs="Times New Roman"/>
          <w:b/>
          <w:bCs/>
          <w:spacing w:val="-2"/>
          <w:szCs w:val="18"/>
        </w:rPr>
        <w:t>基金项目：</w:t>
      </w:r>
      <w:r>
        <w:rPr>
          <w:rFonts w:hint="eastAsia" w:cs="Times New Roman"/>
          <w:szCs w:val="18"/>
        </w:rPr>
        <w:t>江西省科技厅重点研发计划“江西省典型区域洪涝灾害预报预警系统关键技术研发”（20243BBH81006）； 国家重点研发计划项目“山谷型尾矿库受特小流域洪水威胁的风险预测技术”（2023YFC3012202）</w:t>
      </w:r>
    </w:p>
    <w:p>
      <w:pPr>
        <w:pStyle w:val="11"/>
        <w:pageBreakBefore w:val="0"/>
        <w:kinsoku/>
        <w:wordWrap/>
        <w:overflowPunct/>
        <w:topLinePunct w:val="0"/>
        <w:autoSpaceDE/>
        <w:autoSpaceDN/>
        <w:bidi w:val="0"/>
        <w:adjustRightInd/>
        <w:spacing w:beforeAutospacing="0" w:afterAutospacing="0" w:line="240" w:lineRule="auto"/>
        <w:ind w:firstLine="0" w:firstLineChars="0"/>
        <w:jc w:val="both"/>
        <w:textAlignment w:val="auto"/>
        <w:rPr>
          <w:rFonts w:cs="Times New Roman"/>
          <w:spacing w:val="4"/>
          <w:szCs w:val="18"/>
        </w:rPr>
      </w:pPr>
      <w:r>
        <w:rPr>
          <w:rFonts w:eastAsia="黑体" w:cs="Times New Roman"/>
          <w:b/>
          <w:bCs/>
          <w:spacing w:val="-2"/>
          <w:szCs w:val="18"/>
        </w:rPr>
        <w:t>作者简介：</w:t>
      </w:r>
      <w:r>
        <w:rPr>
          <w:rFonts w:hint="eastAsia" w:cs="Times New Roman"/>
          <w:szCs w:val="18"/>
        </w:rPr>
        <w:t>卢欣（1989—），男，高级工程师，硕士，主要从事洪涝风险评估。E-mail：519343676@qq.com</w:t>
      </w:r>
    </w:p>
    <w:p>
      <w:pPr>
        <w:pageBreakBefore w:val="0"/>
        <w:kinsoku/>
        <w:wordWrap/>
        <w:overflowPunct/>
        <w:topLinePunct w:val="0"/>
        <w:autoSpaceDE/>
        <w:autoSpaceDN/>
        <w:bidi w:val="0"/>
        <w:adjustRightInd/>
        <w:spacing w:beforeAutospacing="0" w:afterAutospacing="0" w:line="240" w:lineRule="auto"/>
        <w:ind w:firstLine="0" w:firstLineChars="0"/>
        <w:textAlignment w:val="auto"/>
        <w:rPr>
          <w:rFonts w:cs="Times New Roman"/>
          <w:spacing w:val="4"/>
          <w:sz w:val="18"/>
          <w:szCs w:val="18"/>
        </w:rPr>
      </w:pPr>
      <w:r>
        <w:rPr>
          <w:rFonts w:eastAsia="黑体" w:cs="Times New Roman"/>
          <w:b/>
          <w:bCs/>
          <w:spacing w:val="-2"/>
          <w:sz w:val="18"/>
          <w:szCs w:val="18"/>
        </w:rPr>
        <w:t>通信作者：</w:t>
      </w:r>
      <w:r>
        <w:rPr>
          <w:rFonts w:hint="eastAsia" w:cs="Times New Roman"/>
          <w:spacing w:val="4"/>
          <w:sz w:val="18"/>
          <w:szCs w:val="18"/>
        </w:rPr>
        <w:t>李峰森（1983—），男，工程师，学士，主要从事洪涝风险评估。E-mail：13970902366@139.com</w:t>
      </w:r>
    </w:p>
    <w:p>
      <w:pPr>
        <w:pageBreakBefore w:val="0"/>
        <w:kinsoku/>
        <w:wordWrap/>
        <w:overflowPunct/>
        <w:topLinePunct w:val="0"/>
        <w:autoSpaceDE/>
        <w:autoSpaceDN/>
        <w:bidi w:val="0"/>
        <w:adjustRightInd/>
        <w:spacing w:beforeAutospacing="0" w:afterAutospacing="0" w:line="240" w:lineRule="auto"/>
        <w:ind w:firstLine="940" w:firstLineChars="500"/>
        <w:textAlignment w:val="auto"/>
        <w:rPr>
          <w:rFonts w:cs="Times New Roman"/>
          <w:spacing w:val="4"/>
          <w:sz w:val="18"/>
          <w:szCs w:val="18"/>
        </w:rPr>
      </w:pPr>
      <w:r>
        <w:rPr>
          <w:rFonts w:hint="eastAsia" w:cs="Times New Roman"/>
          <w:spacing w:val="4"/>
          <w:sz w:val="18"/>
          <w:szCs w:val="18"/>
        </w:rPr>
        <w:t>邹英江（1998—），男，助理工程师，硕士，主要从事洪涝风险评估。E-mail：</w:t>
      </w:r>
      <w:r>
        <w:fldChar w:fldCharType="begin"/>
      </w:r>
      <w:r>
        <w:instrText xml:space="preserve"> HYPERLINK "mailto:1781351014@qq.com" </w:instrText>
      </w:r>
      <w:r>
        <w:fldChar w:fldCharType="separate"/>
      </w:r>
      <w:r>
        <w:rPr>
          <w:rStyle w:val="19"/>
          <w:rFonts w:hint="eastAsia" w:cs="Times New Roman"/>
          <w:color w:val="000000" w:themeColor="text1"/>
          <w:spacing w:val="4"/>
          <w:sz w:val="18"/>
          <w:szCs w:val="18"/>
          <w14:textFill>
            <w14:solidFill>
              <w14:schemeClr w14:val="tx1"/>
            </w14:solidFill>
          </w14:textFill>
        </w:rPr>
        <w:t>1781351014@qq.com</w:t>
      </w:r>
      <w:r>
        <w:rPr>
          <w:rStyle w:val="19"/>
          <w:rFonts w:hint="eastAsia" w:cs="Times New Roman"/>
          <w:color w:val="000000" w:themeColor="text1"/>
          <w:spacing w:val="4"/>
          <w:sz w:val="18"/>
          <w:szCs w:val="18"/>
          <w14:textFill>
            <w14:solidFill>
              <w14:schemeClr w14:val="tx1"/>
            </w14:solidFill>
          </w14:textFill>
        </w:rPr>
        <w:fldChar w:fldCharType="end"/>
      </w:r>
    </w:p>
    <w:p>
      <w:pPr>
        <w:pStyle w:val="12"/>
        <w:pageBreakBefore w:val="0"/>
        <w:kinsoku/>
        <w:wordWrap/>
        <w:overflowPunct/>
        <w:topLinePunct w:val="0"/>
        <w:autoSpaceDE/>
        <w:autoSpaceDN/>
        <w:bidi w:val="0"/>
        <w:adjustRightInd/>
        <w:spacing w:before="0" w:beforeAutospacing="0" w:after="0" w:afterAutospacing="0" w:line="240" w:lineRule="auto"/>
        <w:jc w:val="both"/>
        <w:textAlignment w:val="auto"/>
        <w:rPr>
          <w:rStyle w:val="17"/>
          <w:rFonts w:eastAsia="楷体"/>
          <w:b w:val="0"/>
          <w:bCs/>
          <w:smallCaps w:val="0"/>
          <w:kern w:val="2"/>
          <w:sz w:val="21"/>
          <w:szCs w:val="21"/>
        </w:rPr>
      </w:pPr>
    </w:p>
    <w:p>
      <w:pPr>
        <w:pStyle w:val="12"/>
        <w:pageBreakBefore w:val="0"/>
        <w:kinsoku/>
        <w:wordWrap/>
        <w:overflowPunct/>
        <w:topLinePunct w:val="0"/>
        <w:autoSpaceDE/>
        <w:autoSpaceDN/>
        <w:bidi w:val="0"/>
        <w:adjustRightInd/>
        <w:spacing w:before="0" w:beforeAutospacing="0" w:after="0" w:afterAutospacing="0" w:line="240" w:lineRule="auto"/>
        <w:jc w:val="both"/>
        <w:textAlignment w:val="auto"/>
        <w:rPr>
          <w:rFonts w:eastAsia="宋体"/>
          <w:bCs/>
          <w:smallCaps w:val="0"/>
          <w:kern w:val="2"/>
          <w:sz w:val="21"/>
          <w:szCs w:val="21"/>
        </w:rPr>
      </w:pPr>
    </w:p>
    <w:p>
      <w:pPr>
        <w:pStyle w:val="3"/>
        <w:keepNext/>
        <w:keepLines/>
        <w:pageBreakBefore w:val="0"/>
        <w:numPr>
          <w:ilvl w:val="0"/>
          <w:numId w:val="0"/>
        </w:numPr>
        <w:kinsoku/>
        <w:wordWrap/>
        <w:overflowPunct/>
        <w:topLinePunct w:val="0"/>
        <w:autoSpaceDE/>
        <w:autoSpaceDN/>
        <w:bidi w:val="0"/>
        <w:adjustRightInd/>
        <w:spacing w:before="0" w:beforeAutospacing="0" w:after="0" w:afterAutospacing="0" w:line="240" w:lineRule="auto"/>
        <w:jc w:val="both"/>
        <w:textAlignment w:val="auto"/>
        <w:rPr>
          <w:rFonts w:eastAsia="宋体" w:cs="Times New Roman"/>
          <w:b w:val="0"/>
          <w:bCs w:val="0"/>
          <w:kern w:val="2"/>
          <w:sz w:val="28"/>
          <w:szCs w:val="28"/>
        </w:rPr>
      </w:pPr>
      <w:r>
        <w:rPr>
          <w:rFonts w:hint="eastAsia" w:eastAsia="宋体" w:cs="Times New Roman"/>
          <w:b w:val="0"/>
          <w:bCs w:val="0"/>
          <w:kern w:val="2"/>
          <w:sz w:val="28"/>
          <w:szCs w:val="28"/>
        </w:rPr>
        <w:t>0 引</w:t>
      </w:r>
      <w:r>
        <w:rPr>
          <w:rFonts w:eastAsia="宋体" w:cs="Times New Roman"/>
          <w:b w:val="0"/>
          <w:bCs w:val="0"/>
          <w:kern w:val="2"/>
          <w:sz w:val="28"/>
          <w:szCs w:val="28"/>
          <w:lang w:val="en"/>
        </w:rPr>
        <w:t xml:space="preserve">  </w:t>
      </w:r>
      <w:r>
        <w:rPr>
          <w:rFonts w:hint="eastAsia" w:eastAsia="宋体" w:cs="Times New Roman"/>
          <w:b w:val="0"/>
          <w:bCs w:val="0"/>
          <w:kern w:val="2"/>
          <w:sz w:val="28"/>
          <w:szCs w:val="28"/>
        </w:rPr>
        <w:t>言</w:t>
      </w:r>
    </w:p>
    <w:p>
      <w:pPr>
        <w:pageBreakBefore w:val="0"/>
        <w:tabs>
          <w:tab w:val="left" w:pos="3120"/>
        </w:tabs>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近年来，全球气候变暖导致大气水汽含量持续增加，极端降雨事件频发</w:t>
      </w:r>
      <w:r>
        <w:rPr>
          <w:rFonts w:hint="eastAsia" w:cs="Times New Roman"/>
          <w:sz w:val="21"/>
          <w:vertAlign w:val="superscript"/>
        </w:rPr>
        <w:fldChar w:fldCharType="begin"/>
      </w:r>
      <w:r>
        <w:rPr>
          <w:rFonts w:hint="eastAsia" w:cs="Times New Roman"/>
          <w:sz w:val="21"/>
          <w:vertAlign w:val="superscript"/>
        </w:rPr>
        <w:instrText xml:space="preserve"> REF _Ref26477 \r \h </w:instrText>
      </w:r>
      <w:r>
        <w:rPr>
          <w:rFonts w:hint="eastAsia" w:cs="Times New Roman"/>
          <w:sz w:val="21"/>
          <w:vertAlign w:val="superscript"/>
        </w:rPr>
        <w:fldChar w:fldCharType="separate"/>
      </w:r>
      <w:r>
        <w:rPr>
          <w:rFonts w:cs="Times New Roman"/>
          <w:sz w:val="21"/>
          <w:vertAlign w:val="superscript"/>
        </w:rPr>
        <w:t>[1]</w:t>
      </w:r>
      <w:r>
        <w:rPr>
          <w:rFonts w:hint="eastAsia" w:cs="Times New Roman"/>
          <w:sz w:val="21"/>
          <w:vertAlign w:val="superscript"/>
        </w:rPr>
        <w:fldChar w:fldCharType="end"/>
      </w:r>
      <w:r>
        <w:rPr>
          <w:rFonts w:hint="eastAsia" w:cs="Times New Roman"/>
          <w:sz w:val="21"/>
        </w:rPr>
        <w:t>。与此同时，全球城市化进程加速，发展中国家表现更为突出。中国城市化率在1980年至2025年间已从19%跃升至67%。然而，城市化在推动经济发展的同时，密集的人类活动加剧了城市热岛效应，易诱发局地强对流天气，提升强降雨发生概率，进而显著加剧城市洪涝灾害风险</w:t>
      </w:r>
      <w:r>
        <w:rPr>
          <w:rFonts w:hint="eastAsia" w:cs="Times New Roman"/>
          <w:sz w:val="21"/>
          <w:vertAlign w:val="superscript"/>
        </w:rPr>
        <w:fldChar w:fldCharType="begin"/>
      </w:r>
      <w:r>
        <w:rPr>
          <w:rFonts w:hint="eastAsia" w:cs="Times New Roman"/>
          <w:sz w:val="21"/>
          <w:vertAlign w:val="superscript"/>
        </w:rPr>
        <w:instrText xml:space="preserve"> REF _Ref26581 \r \h </w:instrText>
      </w:r>
      <w:r>
        <w:rPr>
          <w:rFonts w:hint="eastAsia" w:cs="Times New Roman"/>
          <w:sz w:val="21"/>
          <w:vertAlign w:val="superscript"/>
        </w:rPr>
        <w:fldChar w:fldCharType="separate"/>
      </w:r>
      <w:r>
        <w:rPr>
          <w:rFonts w:cs="Times New Roman"/>
          <w:sz w:val="21"/>
          <w:vertAlign w:val="superscript"/>
        </w:rPr>
        <w:t>[2]</w:t>
      </w:r>
      <w:r>
        <w:rPr>
          <w:rFonts w:hint="eastAsia" w:cs="Times New Roman"/>
          <w:sz w:val="21"/>
          <w:vertAlign w:val="superscript"/>
        </w:rPr>
        <w:fldChar w:fldCharType="end"/>
      </w:r>
      <w:r>
        <w:rPr>
          <w:rFonts w:hint="eastAsia" w:cs="Times New Roman"/>
          <w:sz w:val="21"/>
        </w:rPr>
        <w:t>。目前城市地区已经成为洪涝灾害的首要承灾体，是洪涝灾害风险汇聚与凸显的关键区域。在此背景下，有效减轻洪涝灾害影响已成为城市防灾减灾工作的核心任务</w:t>
      </w:r>
      <w:r>
        <w:rPr>
          <w:rFonts w:hint="eastAsia" w:cs="Times New Roman"/>
          <w:sz w:val="21"/>
          <w:vertAlign w:val="superscript"/>
        </w:rPr>
        <w:fldChar w:fldCharType="begin"/>
      </w:r>
      <w:r>
        <w:rPr>
          <w:rFonts w:hint="eastAsia" w:cs="Times New Roman"/>
          <w:sz w:val="21"/>
          <w:vertAlign w:val="superscript"/>
        </w:rPr>
        <w:instrText xml:space="preserve"> REF _Ref24412 \r \h </w:instrText>
      </w:r>
      <w:r>
        <w:rPr>
          <w:rFonts w:hint="eastAsia" w:cs="Times New Roman"/>
          <w:sz w:val="21"/>
          <w:vertAlign w:val="superscript"/>
        </w:rPr>
        <w:fldChar w:fldCharType="separate"/>
      </w:r>
      <w:r>
        <w:rPr>
          <w:rFonts w:cs="Times New Roman"/>
          <w:sz w:val="21"/>
          <w:vertAlign w:val="superscript"/>
        </w:rPr>
        <w:t>[3]</w:t>
      </w:r>
      <w:r>
        <w:rPr>
          <w:rFonts w:hint="eastAsia" w:cs="Times New Roman"/>
          <w:sz w:val="21"/>
          <w:vertAlign w:val="superscript"/>
        </w:rPr>
        <w:fldChar w:fldCharType="end"/>
      </w:r>
      <w:r>
        <w:rPr>
          <w:rFonts w:hint="eastAsia" w:cs="Times New Roman"/>
          <w:sz w:val="21"/>
        </w:rPr>
        <w:t>。洪涝风险评估作为一种关键的非工程性防灾减灾手段，因其成本效益高、灵活性强，相较于传统工程措施具有显著优势</w:t>
      </w:r>
      <w:r>
        <w:rPr>
          <w:rFonts w:hint="eastAsia" w:cs="Times New Roman"/>
          <w:sz w:val="21"/>
          <w:vertAlign w:val="superscript"/>
        </w:rPr>
        <w:fldChar w:fldCharType="begin"/>
      </w:r>
      <w:r>
        <w:rPr>
          <w:rFonts w:hint="eastAsia" w:cs="Times New Roman"/>
          <w:sz w:val="21"/>
          <w:vertAlign w:val="superscript"/>
        </w:rPr>
        <w:instrText xml:space="preserve"> REF _Ref29690 \r \h </w:instrText>
      </w:r>
      <w:r>
        <w:rPr>
          <w:rFonts w:hint="eastAsia" w:cs="Times New Roman"/>
          <w:sz w:val="21"/>
          <w:vertAlign w:val="superscript"/>
        </w:rPr>
        <w:fldChar w:fldCharType="separate"/>
      </w:r>
      <w:r>
        <w:rPr>
          <w:rFonts w:cs="Times New Roman"/>
          <w:sz w:val="21"/>
          <w:vertAlign w:val="superscript"/>
        </w:rPr>
        <w:t>[4]</w:t>
      </w:r>
      <w:r>
        <w:rPr>
          <w:rFonts w:hint="eastAsia" w:cs="Times New Roman"/>
          <w:sz w:val="21"/>
          <w:vertAlign w:val="superscript"/>
        </w:rPr>
        <w:fldChar w:fldCharType="end"/>
      </w:r>
      <w:r>
        <w:rPr>
          <w:rFonts w:hint="eastAsia" w:cs="Times New Roman"/>
          <w:sz w:val="21"/>
        </w:rPr>
        <w:t>。有效的洪涝风险评估是实现从“被动救灾”向“主动防灾”转变的基石，在极端降雨事件频发的背景下，开展精准的城市洪涝风险评估对于保障人民生命财产安全、促进社会可持续健康发展具有至关重要的意义</w:t>
      </w:r>
      <w:r>
        <w:rPr>
          <w:rFonts w:hint="eastAsia" w:cs="Times New Roman"/>
          <w:sz w:val="21"/>
          <w:vertAlign w:val="superscript"/>
        </w:rPr>
        <w:fldChar w:fldCharType="begin"/>
      </w:r>
      <w:r>
        <w:rPr>
          <w:rFonts w:hint="eastAsia" w:cs="Times New Roman"/>
          <w:sz w:val="21"/>
          <w:vertAlign w:val="superscript"/>
        </w:rPr>
        <w:instrText xml:space="preserve"> REF _Ref22361 \r \h </w:instrText>
      </w:r>
      <w:r>
        <w:rPr>
          <w:rFonts w:hint="eastAsia" w:cs="Times New Roman"/>
          <w:sz w:val="21"/>
          <w:vertAlign w:val="superscript"/>
        </w:rPr>
        <w:fldChar w:fldCharType="separate"/>
      </w:r>
      <w:r>
        <w:rPr>
          <w:rFonts w:cs="Times New Roman"/>
          <w:sz w:val="21"/>
          <w:vertAlign w:val="superscript"/>
        </w:rPr>
        <w:t>[5]</w:t>
      </w:r>
      <w:r>
        <w:rPr>
          <w:rFonts w:hint="eastAsia" w:cs="Times New Roman"/>
          <w:sz w:val="21"/>
          <w:vertAlign w:val="superscript"/>
        </w:rPr>
        <w:fldChar w:fldCharType="end"/>
      </w:r>
      <w:r>
        <w:rPr>
          <w:rFonts w:hint="eastAsia" w:cs="Times New Roman"/>
          <w:sz w:val="21"/>
        </w:rPr>
        <w:t>。</w:t>
      </w:r>
    </w:p>
    <w:p>
      <w:pPr>
        <w:pStyle w:val="2"/>
        <w:pageBreakBefore w:val="0"/>
        <w:kinsoku/>
        <w:wordWrap/>
        <w:overflowPunct/>
        <w:topLinePunct w:val="0"/>
        <w:autoSpaceDE/>
        <w:autoSpaceDN/>
        <w:bidi w:val="0"/>
        <w:adjustRightInd/>
        <w:spacing w:beforeAutospacing="0" w:afterAutospacing="0" w:line="240" w:lineRule="auto"/>
        <w:ind w:firstLine="420"/>
        <w:textAlignment w:val="auto"/>
        <w:rPr>
          <w:rFonts w:ascii="Times New Roman" w:hAnsi="Times New Roman" w:eastAsia="宋体" w:cs="Times New Roman"/>
          <w:sz w:val="21"/>
          <w:szCs w:val="22"/>
          <w:lang w:eastAsia="zh-CN"/>
        </w:rPr>
      </w:pPr>
      <w:r>
        <w:rPr>
          <w:rFonts w:hint="eastAsia" w:ascii="Times New Roman" w:hAnsi="Times New Roman" w:eastAsia="宋体" w:cs="Times New Roman"/>
          <w:sz w:val="21"/>
          <w:szCs w:val="22"/>
          <w:lang w:eastAsia="zh-CN"/>
        </w:rPr>
        <w:t>洪涝灾害风险评估的理论与实践历经长期发展，其方法论体系不断演进，日趋成熟</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_Ref26150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[6]</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在其发展过程中，逐渐形成了若干具有代表性的方法。从整体发展脉络来看，大致经历了三个主要阶段：早期以经验分析为主导的宏观评估阶段，代表方法为历史灾情评估法、指标体系法。随后进入机理模拟研究阶段，代表方法为遥感与地理信息系统综合应用法、情景模拟评价法。以及近年来兴起的以智能算法为标志的数据驱动阶段，代表方法为机器学习法。这三个阶段并非严格割裂，而是既有延续性又存在交叉与融合，共同推动着洪涝风险评估理论与方法的发展</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_Ref26225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[7]</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历史灾情评估法主要依据历史洪水事件的观测资料与灾情记录，通过统计分析方法推求灾害频率与损失关系，其优势在于数据直观、计算简便，但对历史数据的完整性和准确性依赖较强，并且在评估结果的精确性方面也有不足</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_Ref26754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[8]</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指标体系法是洪涝风险评估中常用的一种系统性综合评估方法。当前研究多基于“概率-后果”（Probability-Consequence）、H-V（危险性-脆弱性）及H-E-V（危险性-暴露性-脆弱性）等框架展开。相较前两类框架，“H-E-V”框架在评估内容上更为系统全面、要素界定清晰，因而受到许多学者与机构到广泛认可与应用</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_Ref18768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[9</w:t>
      </w:r>
      <w:r>
        <w:rPr>
          <w:rFonts w:hint="eastAsia" w:ascii="Times New Roman" w:hAnsi="Times New Roman" w:eastAsia="宋体" w:cs="Times New Roman"/>
          <w:sz w:val="21"/>
          <w:szCs w:val="22"/>
          <w:vertAlign w:val="superscript"/>
          <w:lang w:eastAsia="zh-CN"/>
        </w:rPr>
        <w:fldChar w:fldCharType="end"/>
      </w:r>
      <w:r>
        <w:rPr>
          <w:rFonts w:ascii="Times New Roman" w:hAnsi="Times New Roman" w:eastAsia="宋体" w:cs="Times New Roman"/>
          <w:sz w:val="21"/>
          <w:szCs w:val="22"/>
          <w:vertAlign w:val="superscript"/>
          <w:lang w:val="en" w:eastAsia="zh-CN"/>
        </w:rPr>
        <w:t>-</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_Ref27332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10]</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。在指标体系法中，除框架选择以及指标选取外，指标权重的确定也是影响评估结果可靠性的关键因素。黄国如等</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_Ref30874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[11]</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在对深圳市暴雨洪涝风险评估中使用模糊综合评价法对指标因子进行赋权，张菡等</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_Ref725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[12]</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运用层次分析法对四川省暴雨洪涝灾害风险指标进行权重计算。目前，常见的赋权方法可划分为主观赋权法与客观赋权法两大类：主观赋权法（如层次分析法、模糊综合评价）依赖于专家经验，虽能体现领域知识，但难免引入人为偏差；客观赋权法（如熵权法、主成分分析）完全基于数据分布特征，虽具数学严谨性，却可能忽略实际物理机制与专家认知。二者均存在明显局限，因此如何科学确定指标权重，仍是当前洪涝风险评估中的难点与热点问题。近年来，为克服单一赋权方式的不足，越来越多的研究倾向于融合主客观赋权方法，以寻求更为平衡和科学的权重分配方案。遥感与地理信息系统综合应用法通过卫星、无人机等遥感平台快速获取地表信息，并借助GIS进行空间分析与可视化表达，显著提升了洪涝过程监测与评估的时空精细化水平</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_Ref27535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[13]</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。CAI等</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_Ref27594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[14]</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综合运用地理信息系统与改进层次分析法，在研究区域实现了灾害风险可视化，并识别出高风险等级的具体分布范围。李想</w:t>
      </w:r>
      <w:r>
        <w:rPr>
          <w:rFonts w:ascii="Times New Roman" w:hAnsi="Times New Roman" w:eastAsia="宋体" w:cs="Times New Roman"/>
          <w:sz w:val="21"/>
          <w:szCs w:val="22"/>
          <w:vertAlign w:val="superscript"/>
          <w:lang w:eastAsia="zh-CN"/>
        </w:rPr>
        <w:fldChar w:fldCharType="begin"/>
      </w:r>
      <w:r>
        <w:rPr>
          <w:rFonts w:ascii="Times New Roman" w:hAnsi="Times New Roman" w:eastAsia="宋体" w:cs="Times New Roman"/>
          <w:sz w:val="21"/>
          <w:szCs w:val="22"/>
          <w:vertAlign w:val="superscript"/>
          <w:lang w:eastAsia="zh-CN"/>
        </w:rPr>
        <w:instrText xml:space="preserve"> REF _Ref16667 \r \h </w:instrText>
      </w:r>
      <w:r>
        <w:rPr>
          <w:rFonts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[15]</w:t>
      </w:r>
      <w:r>
        <w:rPr>
          <w:rFonts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以遥感影像为主要数据来源，整合网格化的地理背景与社会经济数据的空间分布信息，并借助地理信息系统空间分析技术，实现了多源数据的空间化处理与综合分析。在遥感数据应用方面，光学影像常因云层覆盖而导致数据质量下降甚至缺失；微波遥感虽可穿透云层，但仍面临影像空间覆盖不完整的问题。情景模拟评价法是基于水文水动力学模型（如SWMM、InfoWorks ICM、MIKE系列等），通过设定不同洪涝数据模拟洪水演进过程，定量评估淹没水深、流速与历时等风险指标，具有较强的物理机制性与预测能力</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_Ref4820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[16</w:t>
      </w:r>
      <w:r>
        <w:rPr>
          <w:rFonts w:hint="eastAsia" w:ascii="Times New Roman" w:hAnsi="Times New Roman" w:eastAsia="宋体" w:cs="Times New Roman"/>
          <w:sz w:val="21"/>
          <w:szCs w:val="22"/>
          <w:vertAlign w:val="superscript"/>
          <w:lang w:eastAsia="zh-CN"/>
        </w:rPr>
        <w:fldChar w:fldCharType="end"/>
      </w:r>
      <w:r>
        <w:rPr>
          <w:rFonts w:ascii="Times New Roman" w:hAnsi="Times New Roman" w:eastAsia="宋体" w:cs="Times New Roman"/>
          <w:sz w:val="21"/>
          <w:szCs w:val="22"/>
          <w:vertAlign w:val="superscript"/>
          <w:lang w:val="en" w:eastAsia="zh-CN"/>
        </w:rPr>
        <w:t>-</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_Ref27750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17]</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。LI等</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_Ref21853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[18]</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构建基于InfoWorks ICM的一维—二维耦合城市洪涝模型，模拟研究区在设计暴雨重现期为100a一遇情景下洪水淹没深度与淹没历时分布，最终绘制研究区洪涝灾害风险区划图。</w:t>
      </w:r>
      <w:r>
        <w:rPr>
          <w:rFonts w:ascii="Times New Roman" w:hAnsi="Times New Roman" w:eastAsia="宋体" w:cs="Times New Roman"/>
          <w:sz w:val="21"/>
          <w:szCs w:val="22"/>
          <w:lang w:eastAsia="zh-CN"/>
        </w:rPr>
        <w:t>ROLAND</w:t>
      </w:r>
      <w:r>
        <w:rPr>
          <w:rFonts w:hint="eastAsia" w:ascii="Times New Roman" w:hAnsi="Times New Roman" w:eastAsia="宋体" w:cs="Times New Roman"/>
          <w:sz w:val="21"/>
          <w:szCs w:val="22"/>
          <w:lang w:eastAsia="zh-CN"/>
        </w:rPr>
        <w:t>等</w:t>
      </w:r>
      <w:r>
        <w:rPr>
          <w:rFonts w:hint="eastAsia" w:ascii="Times New Roman" w:hAnsi="Times New Roman" w:eastAsia="宋体" w:cs="Times New Roman"/>
          <w:sz w:val="21"/>
          <w:szCs w:val="22"/>
          <w:vertAlign w:val="superscript"/>
          <w:lang w:eastAsia="zh-CN"/>
        </w:rPr>
        <w:t xml:space="preserve"> </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_Ref23231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[19]</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通过MIKEFLOOD一二维耦合模型和多智能体城市发展模型（DAnCE4Water），对多种洪涝适应策略进行了系统性测试与可行性评估。该方法能够有效揭示灾害的空间分布特征、影响范围及灾害强度。但其精确性受输入数据（如地形、下垫面参数等）影响，传统获取高程数据的手段（如卫星遥感或中低分辨率数字高程模型）往往难以满足城市洪涝模拟对地形细节的要求。近年来，以机器学习为代表的数据驱动方法迅速发展，该方法能够从海量数据中自动挖掘洪涝灾害与致灾因子之间的复杂非线性关系，实现风险的快速识别与预测</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_Ref18603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[20</w:t>
      </w:r>
      <w:r>
        <w:rPr>
          <w:rFonts w:hint="eastAsia" w:ascii="Times New Roman" w:hAnsi="Times New Roman" w:eastAsia="宋体" w:cs="Times New Roman"/>
          <w:sz w:val="21"/>
          <w:szCs w:val="22"/>
          <w:vertAlign w:val="superscript"/>
          <w:lang w:eastAsia="zh-CN"/>
        </w:rPr>
        <w:fldChar w:fldCharType="end"/>
      </w:r>
      <w:r>
        <w:rPr>
          <w:rFonts w:ascii="Times New Roman" w:hAnsi="Times New Roman" w:eastAsia="宋体" w:cs="Times New Roman"/>
          <w:sz w:val="21"/>
          <w:szCs w:val="22"/>
          <w:vertAlign w:val="superscript"/>
          <w:lang w:val="en" w:eastAsia="zh-CN"/>
        </w:rPr>
        <w:t>-</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_Ref18620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21]</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w:t>
      </w:r>
      <w:r>
        <w:rPr>
          <w:rFonts w:ascii="Times New Roman" w:hAnsi="Times New Roman" w:eastAsia="宋体" w:cs="Times New Roman"/>
          <w:sz w:val="21"/>
          <w:szCs w:val="22"/>
          <w:lang w:eastAsia="zh-CN"/>
        </w:rPr>
        <w:t>WANG</w:t>
      </w:r>
      <w:r>
        <w:rPr>
          <w:rFonts w:hint="eastAsia" w:ascii="Times New Roman" w:hAnsi="Times New Roman" w:eastAsia="宋体" w:cs="Times New Roman"/>
          <w:sz w:val="21"/>
          <w:szCs w:val="22"/>
          <w:lang w:eastAsia="zh-CN"/>
        </w:rPr>
        <w:t>等</w:t>
      </w:r>
      <w:r>
        <w:rPr>
          <w:rFonts w:ascii="Times New Roman" w:hAnsi="Times New Roman" w:eastAsia="宋体" w:cs="Times New Roman"/>
          <w:sz w:val="21"/>
          <w:szCs w:val="22"/>
          <w:vertAlign w:val="superscript"/>
          <w:lang w:eastAsia="zh-CN"/>
        </w:rPr>
        <w:fldChar w:fldCharType="begin"/>
      </w:r>
      <w:r>
        <w:rPr>
          <w:rFonts w:ascii="Times New Roman" w:hAnsi="Times New Roman" w:eastAsia="宋体" w:cs="Times New Roman"/>
          <w:sz w:val="21"/>
          <w:szCs w:val="22"/>
          <w:vertAlign w:val="superscript"/>
          <w:lang w:eastAsia="zh-CN"/>
        </w:rPr>
        <w:instrText xml:space="preserve"> REF _Ref30030 \r \h </w:instrText>
      </w:r>
      <w:r>
        <w:rPr>
          <w:rFonts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[22]</w:t>
      </w:r>
      <w:r>
        <w:rPr>
          <w:rFonts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基于11项灾害影响因子，采用随机森林算法对东江流域开展了洪涝风险评估。余亮</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_Ref28133 \r \h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[23]</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使用6种机器学习算法建立的暴雨灾害风险评估模型,选取平均相对误差最低的XGBoost算法，实现重庆市暴雨灾害风险评估与区划。</w:t>
      </w:r>
      <w:r>
        <w:rPr>
          <w:rFonts w:ascii="Times New Roman" w:hAnsi="Times New Roman" w:eastAsia="宋体" w:cs="Times New Roman"/>
          <w:sz w:val="21"/>
          <w:szCs w:val="22"/>
          <w:lang w:eastAsia="zh-CN"/>
        </w:rPr>
        <w:t>然而，该类方法存在显著局限：一方面，机器学习模型普遍可解释性较差，难以清晰阐释其内在决策机制；另一方面，模型性能严重依赖于训练样本的数量与质量，在数据稀缺区域</w:t>
      </w:r>
      <w:r>
        <w:rPr>
          <w:rFonts w:hint="eastAsia" w:ascii="Times New Roman" w:hAnsi="Times New Roman" w:eastAsia="宋体" w:cs="Times New Roman"/>
          <w:sz w:val="21"/>
          <w:szCs w:val="22"/>
          <w:lang w:eastAsia="zh-CN"/>
        </w:rPr>
        <w:t>难以应用</w:t>
      </w:r>
      <w:r>
        <w:rPr>
          <w:rFonts w:hint="eastAsia" w:ascii="Times New Roman" w:hAnsi="Times New Roman" w:eastAsia="宋体" w:cs="Times New Roman"/>
          <w:sz w:val="21"/>
          <w:szCs w:val="22"/>
          <w:vertAlign w:val="superscript"/>
          <w:lang w:eastAsia="zh-CN"/>
        </w:rPr>
        <w:fldChar w:fldCharType="begin"/>
      </w:r>
      <w:r>
        <w:rPr>
          <w:rFonts w:hint="eastAsia" w:ascii="Times New Roman" w:hAnsi="Times New Roman" w:eastAsia="宋体" w:cs="Times New Roman"/>
          <w:sz w:val="21"/>
          <w:szCs w:val="22"/>
          <w:vertAlign w:val="superscript"/>
          <w:lang w:eastAsia="zh-CN"/>
        </w:rPr>
        <w:instrText xml:space="preserve"> REF _Ref29931 \r \h </w:instrText>
      </w:r>
      <w:r>
        <w:rPr>
          <w:rFonts w:ascii="Times New Roman" w:hAnsi="Times New Roman" w:eastAsia="宋体" w:cs="Times New Roman"/>
          <w:sz w:val="21"/>
          <w:szCs w:val="22"/>
          <w:vertAlign w:val="superscript"/>
          <w:lang w:eastAsia="zh-CN"/>
        </w:rPr>
        <w:instrText xml:space="preserve"> \* MERGEFORMAT </w:instrText>
      </w:r>
      <w:r>
        <w:rPr>
          <w:rFonts w:hint="eastAsia" w:ascii="Times New Roman" w:hAnsi="Times New Roman" w:eastAsia="宋体" w:cs="Times New Roman"/>
          <w:sz w:val="21"/>
          <w:szCs w:val="22"/>
          <w:vertAlign w:val="superscript"/>
          <w:lang w:eastAsia="zh-CN"/>
        </w:rPr>
        <w:fldChar w:fldCharType="separate"/>
      </w:r>
      <w:r>
        <w:rPr>
          <w:rFonts w:ascii="Times New Roman" w:hAnsi="Times New Roman" w:eastAsia="宋体" w:cs="Times New Roman"/>
          <w:sz w:val="21"/>
          <w:szCs w:val="22"/>
          <w:vertAlign w:val="superscript"/>
          <w:lang w:eastAsia="zh-CN"/>
        </w:rPr>
        <w:t>[24]</w:t>
      </w:r>
      <w:r>
        <w:rPr>
          <w:rFonts w:hint="eastAsia" w:ascii="Times New Roman" w:hAnsi="Times New Roman" w:eastAsia="宋体" w:cs="Times New Roman"/>
          <w:sz w:val="21"/>
          <w:szCs w:val="22"/>
          <w:vertAlign w:val="superscript"/>
          <w:lang w:eastAsia="zh-CN"/>
        </w:rPr>
        <w:fldChar w:fldCharType="end"/>
      </w:r>
      <w:r>
        <w:rPr>
          <w:rFonts w:hint="eastAsia" w:ascii="Times New Roman" w:hAnsi="Times New Roman" w:eastAsia="宋体" w:cs="Times New Roman"/>
          <w:sz w:val="21"/>
          <w:szCs w:val="22"/>
          <w:lang w:eastAsia="zh-CN"/>
        </w:rPr>
        <w:t>。</w:t>
      </w:r>
      <w:r>
        <w:rPr>
          <w:rFonts w:ascii="Times New Roman" w:hAnsi="Times New Roman" w:eastAsia="宋体" w:cs="Times New Roman"/>
          <w:sz w:val="21"/>
          <w:szCs w:val="22"/>
          <w:lang w:eastAsia="zh-CN"/>
        </w:rPr>
        <w:t>总体而言，各类评估方法各有优劣，而单一方法往往难以全面</w:t>
      </w:r>
      <w:r>
        <w:rPr>
          <w:rFonts w:hint="eastAsia" w:ascii="Times New Roman" w:hAnsi="Times New Roman" w:eastAsia="宋体" w:cs="Times New Roman"/>
          <w:sz w:val="21"/>
          <w:szCs w:val="22"/>
          <w:lang w:eastAsia="zh-CN"/>
        </w:rPr>
        <w:t>评估</w:t>
      </w:r>
      <w:r>
        <w:rPr>
          <w:rFonts w:ascii="Times New Roman" w:hAnsi="Times New Roman" w:eastAsia="宋体" w:cs="Times New Roman"/>
          <w:sz w:val="21"/>
          <w:szCs w:val="22"/>
          <w:lang w:eastAsia="zh-CN"/>
        </w:rPr>
        <w:t>城市洪涝风险</w:t>
      </w:r>
      <w:r>
        <w:rPr>
          <w:rFonts w:hint="eastAsia" w:ascii="Times New Roman" w:hAnsi="Times New Roman" w:eastAsia="宋体" w:cs="Times New Roman"/>
          <w:sz w:val="21"/>
          <w:szCs w:val="22"/>
          <w:lang w:eastAsia="zh-CN"/>
        </w:rPr>
        <w:t>。</w:t>
      </w:r>
      <w:r>
        <w:rPr>
          <w:rFonts w:ascii="Times New Roman" w:hAnsi="Times New Roman" w:eastAsia="宋体" w:cs="Times New Roman"/>
          <w:sz w:val="21"/>
          <w:szCs w:val="22"/>
          <w:lang w:eastAsia="zh-CN"/>
        </w:rPr>
        <w:t>因此，整合不同方法的优势</w:t>
      </w:r>
      <w:r>
        <w:rPr>
          <w:rFonts w:hint="eastAsia" w:ascii="Times New Roman" w:hAnsi="Times New Roman" w:eastAsia="宋体" w:cs="Times New Roman"/>
          <w:sz w:val="21"/>
          <w:szCs w:val="22"/>
          <w:lang w:eastAsia="zh-CN"/>
        </w:rPr>
        <w:t>进行协同评估</w:t>
      </w:r>
      <w:r>
        <w:rPr>
          <w:rFonts w:ascii="Times New Roman" w:hAnsi="Times New Roman" w:eastAsia="宋体" w:cs="Times New Roman"/>
          <w:sz w:val="21"/>
          <w:szCs w:val="22"/>
          <w:lang w:eastAsia="zh-CN"/>
        </w:rPr>
        <w:t>，已成为当前研究的必然趋势，也为本研究方法的选择提供了重要依据。</w:t>
      </w:r>
    </w:p>
    <w:p>
      <w:pPr>
        <w:pageBreakBefore w:val="0"/>
        <w:widowControl/>
        <w:kinsoku/>
        <w:wordWrap/>
        <w:overflowPunct/>
        <w:topLinePunct w:val="0"/>
        <w:autoSpaceDE/>
        <w:autoSpaceDN/>
        <w:bidi w:val="0"/>
        <w:adjustRightInd/>
        <w:spacing w:beforeAutospacing="0" w:afterAutospacing="0" w:line="240" w:lineRule="auto"/>
        <w:ind w:firstLine="420"/>
        <w:jc w:val="left"/>
        <w:textAlignment w:val="auto"/>
        <w:rPr>
          <w:rFonts w:cs="Times New Roman"/>
          <w:sz w:val="21"/>
        </w:rPr>
      </w:pPr>
      <w:r>
        <w:rPr>
          <w:rFonts w:hint="eastAsia" w:cs="Times New Roman"/>
          <w:sz w:val="21"/>
        </w:rPr>
        <w:t>基于上述研究背景，本文结合情景模拟法与指标体系法，以德兴市城区为研究对象，开展洪涝风险评估研究。依托无人机航摄获取的高精度DEM数据，构建MIKEFLOOD—二维耦合水动力模型，模拟百年一遇洪水情景下的城市洪水淹没过程，以此作为危险性评估的基础。在此基础上，依据“危险性-暴露性-脆弱性”（H-E-V）框架构建洪涝灾害风险评估模型，将水动力模型输出的淹没水深、流速等结果作为危险性（H）的输入指标，并结合实地情况完善暴露性（E）与脆弱性（V）的指标体系。在权重确定方面，本文创新性地引入博弈论组合赋权法，融合层次分析法确定的主观权重与熵权法提取的客观权重，有效克服了单一赋权方式的局限性，使权重分配更为科学合理，最终形成一套兼具高精度模拟与综合评估能力的城市洪涝风险评估方法，该方法可为城市防洪规划、灾害应急管理和风险防控策略的制定提供科学依据与精准的空间决策支持。</w:t>
      </w:r>
    </w:p>
    <w:p>
      <w:pPr>
        <w:pStyle w:val="3"/>
        <w:keepNext/>
        <w:keepLines/>
        <w:pageBreakBefore w:val="0"/>
        <w:numPr>
          <w:ilvl w:val="0"/>
          <w:numId w:val="0"/>
        </w:numPr>
        <w:kinsoku/>
        <w:wordWrap/>
        <w:overflowPunct/>
        <w:topLinePunct w:val="0"/>
        <w:autoSpaceDE/>
        <w:autoSpaceDN/>
        <w:bidi w:val="0"/>
        <w:adjustRightInd/>
        <w:spacing w:before="0" w:beforeAutospacing="0" w:after="0" w:afterAutospacing="0" w:line="240" w:lineRule="auto"/>
        <w:jc w:val="both"/>
        <w:textAlignment w:val="auto"/>
        <w:rPr>
          <w:rFonts w:eastAsia="宋体" w:cs="Times New Roman"/>
          <w:b w:val="0"/>
          <w:bCs w:val="0"/>
          <w:kern w:val="2"/>
          <w:sz w:val="28"/>
          <w:szCs w:val="28"/>
        </w:rPr>
      </w:pPr>
      <w:r>
        <w:rPr>
          <w:rFonts w:hint="eastAsia" w:eastAsia="宋体" w:cs="Times New Roman"/>
          <w:b w:val="0"/>
          <w:bCs w:val="0"/>
          <w:kern w:val="2"/>
          <w:sz w:val="28"/>
          <w:szCs w:val="28"/>
        </w:rPr>
        <w:t>1 研究区概况</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德兴市位于江西省东北部，上饶市北部，赣、浙、皖三省交界处，乐安河中上游。地处北纬28</w:t>
      </w:r>
      <w:r>
        <w:rPr>
          <w:rFonts w:cs="Times New Roman"/>
          <w:sz w:val="21"/>
        </w:rPr>
        <w:t>°</w:t>
      </w:r>
      <w:r>
        <w:rPr>
          <w:rFonts w:hint="eastAsia" w:cs="Times New Roman"/>
          <w:sz w:val="21"/>
        </w:rPr>
        <w:t>38'25"至</w:t>
      </w:r>
      <w:r>
        <w:rPr>
          <w:rFonts w:cs="Times New Roman"/>
          <w:sz w:val="21"/>
        </w:rPr>
        <w:t>29°17'43"</w:t>
      </w:r>
      <w:r>
        <w:rPr>
          <w:rFonts w:hint="eastAsia" w:cs="Times New Roman"/>
          <w:sz w:val="21"/>
        </w:rPr>
        <w:t>，东经</w:t>
      </w:r>
      <w:r>
        <w:rPr>
          <w:rFonts w:cs="Times New Roman"/>
          <w:sz w:val="21"/>
        </w:rPr>
        <w:t>117°22'49</w:t>
      </w:r>
      <w:r>
        <w:rPr>
          <w:rFonts w:hint="eastAsia" w:cs="Times New Roman"/>
          <w:sz w:val="21"/>
        </w:rPr>
        <w:t>"至</w:t>
      </w:r>
      <w:r>
        <w:rPr>
          <w:rFonts w:cs="Times New Roman"/>
          <w:sz w:val="21"/>
        </w:rPr>
        <w:t>118°06'15</w:t>
      </w:r>
      <w:r>
        <w:rPr>
          <w:rFonts w:hint="eastAsia" w:cs="Times New Roman"/>
          <w:sz w:val="21"/>
        </w:rPr>
        <w:t>"之间，东邻浙江省开化县，南接玉山、上饶、横峰，西靠乐平市，北连婺源县，全市国土面积2095km</w:t>
      </w:r>
      <w:r>
        <w:rPr>
          <w:rFonts w:hint="eastAsia" w:cs="Times New Roman"/>
          <w:sz w:val="21"/>
          <w:vertAlign w:val="superscript"/>
        </w:rPr>
        <w:t>2</w:t>
      </w:r>
      <w:r>
        <w:rPr>
          <w:rFonts w:hint="eastAsia" w:cs="Times New Roman"/>
          <w:sz w:val="21"/>
        </w:rPr>
        <w:t>，总人口33.5万人。德兴市是江西省重要的矿产资源基地和工业城市，地貌类型以山地为主，拥有丰富的铜、金等矿产资源，对全省有色金属工业和经济发展具有重要支撑作用，同时作为赣东北地区的交通节点和生态屏障，德兴在区域协同发展和生态保护方面发挥关键作用。</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研究区域为德兴市城区，地处德兴市西北部，坐落于典型的山地环境之中，其城市发展与空间格局深受山区地形制约。城区核心区位于怀玉山脉环抱的狭窄河谷地带，该城区具有沿河而建的典型特征，此种滨水布局模式在我国县级城市中具有广泛的代表性。流经城区段河道全长13.3 km，主要支流包括罗家墩水、八十源水及新村水，如图1所示。</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根据水文资料记载，德兴市历史上洪涝灾害频发。近年来，特别是2020年与2022年均在城区范围内发生了较为严重的洪涝灾情。其中，2022年6月18日至23日发生的洪水过程尤为严重。该次洪水期间，德兴市遭遇连续3日强降雨，最大24h降雨量高达314mm，导致洎水河水位急剧上涨，引发严重洪涝灾害。城区沿河社区受灾显著，低洼地带积水深度约达1.5m，紧急转移人口近1000人，并造成了严重的经济损失。因此，以德兴市城区为典型示例，开展城区洪涝风险评估具有重要的现实与理论意义。</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pPr>
      <w:r>
        <w:rPr>
          <w:rFonts w:hint="eastAsia"/>
        </w:rPr>
        <w:drawing>
          <wp:inline distT="0" distB="0" distL="114300" distR="114300">
            <wp:extent cx="5260340" cy="3722370"/>
            <wp:effectExtent l="0" t="0" r="10160" b="11430"/>
            <wp:docPr id="6" name="图片 6" descr="行政区划"/>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行政区划"/>
                    <pic:cNvPicPr>
                      <a:picLocks noChangeAspect="true"/>
                    </pic:cNvPicPr>
                  </pic:nvPicPr>
                  <pic:blipFill>
                    <a:blip r:embed="rId13"/>
                    <a:stretch>
                      <a:fillRect/>
                    </a:stretch>
                  </pic:blipFill>
                  <pic:spPr>
                    <a:xfrm>
                      <a:off x="0" y="0"/>
                      <a:ext cx="5260340" cy="3722370"/>
                    </a:xfrm>
                    <a:prstGeom prst="rect">
                      <a:avLst/>
                    </a:prstGeom>
                  </pic:spPr>
                </pic:pic>
              </a:graphicData>
            </a:graphic>
          </wp:inline>
        </w:drawing>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hint="eastAsia" w:eastAsia="黑体" w:cs="Times New Roman"/>
          <w:sz w:val="18"/>
          <w:szCs w:val="18"/>
        </w:rPr>
        <w:t>图1  研究区概况</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bCs/>
          <w:sz w:val="18"/>
          <w:szCs w:val="18"/>
        </w:rPr>
      </w:pPr>
      <w:r>
        <w:rPr>
          <w:rFonts w:eastAsia="黑体" w:cs="Times New Roman"/>
          <w:bCs/>
          <w:sz w:val="18"/>
          <w:szCs w:val="18"/>
        </w:rPr>
        <w:t>Fig.1</w:t>
      </w:r>
      <w:r>
        <w:rPr>
          <w:rFonts w:hint="eastAsia" w:eastAsia="黑体" w:cs="Times New Roman"/>
          <w:bCs/>
          <w:sz w:val="18"/>
          <w:szCs w:val="18"/>
        </w:rPr>
        <w:t xml:space="preserve">  </w:t>
      </w:r>
      <w:r>
        <w:rPr>
          <w:rFonts w:hint="eastAsia" w:eastAsia="黑体" w:cs="Times New Roman"/>
          <w:bCs/>
          <w:sz w:val="18"/>
          <w:szCs w:val="18"/>
          <w:lang w:val="en-US" w:eastAsia="zh-CN"/>
        </w:rPr>
        <w:t>Overview</w:t>
      </w:r>
      <w:r>
        <w:rPr>
          <w:rFonts w:eastAsia="黑体" w:cs="Times New Roman"/>
          <w:bCs/>
          <w:sz w:val="18"/>
          <w:szCs w:val="18"/>
        </w:rPr>
        <w:t xml:space="preserve"> of </w:t>
      </w:r>
      <w:r>
        <w:rPr>
          <w:rFonts w:hint="eastAsia" w:eastAsia="黑体" w:cs="Times New Roman"/>
          <w:bCs/>
          <w:sz w:val="18"/>
          <w:szCs w:val="18"/>
        </w:rPr>
        <w:t>s</w:t>
      </w:r>
      <w:r>
        <w:rPr>
          <w:rFonts w:eastAsia="黑体" w:cs="Times New Roman"/>
          <w:bCs/>
          <w:sz w:val="18"/>
          <w:szCs w:val="18"/>
        </w:rPr>
        <w:t xml:space="preserve">tudy </w:t>
      </w:r>
      <w:r>
        <w:rPr>
          <w:rFonts w:hint="eastAsia" w:eastAsia="黑体" w:cs="Times New Roman"/>
          <w:bCs/>
          <w:sz w:val="18"/>
          <w:szCs w:val="18"/>
        </w:rPr>
        <w:t>a</w:t>
      </w:r>
      <w:r>
        <w:rPr>
          <w:rFonts w:eastAsia="黑体" w:cs="Times New Roman"/>
          <w:bCs/>
          <w:sz w:val="18"/>
          <w:szCs w:val="18"/>
        </w:rPr>
        <w:t>rea</w:t>
      </w:r>
    </w:p>
    <w:p>
      <w:pPr>
        <w:pStyle w:val="3"/>
        <w:keepNext/>
        <w:keepLines/>
        <w:pageBreakBefore w:val="0"/>
        <w:numPr>
          <w:ilvl w:val="0"/>
          <w:numId w:val="0"/>
        </w:numPr>
        <w:kinsoku/>
        <w:wordWrap/>
        <w:overflowPunct/>
        <w:topLinePunct w:val="0"/>
        <w:autoSpaceDE/>
        <w:autoSpaceDN/>
        <w:bidi w:val="0"/>
        <w:adjustRightInd/>
        <w:spacing w:before="0" w:beforeAutospacing="0" w:after="0" w:afterAutospacing="0" w:line="240" w:lineRule="auto"/>
        <w:jc w:val="both"/>
        <w:textAlignment w:val="auto"/>
        <w:rPr>
          <w:rFonts w:eastAsia="宋体" w:cs="Times New Roman"/>
          <w:b w:val="0"/>
          <w:bCs w:val="0"/>
          <w:kern w:val="2"/>
          <w:sz w:val="28"/>
          <w:szCs w:val="28"/>
        </w:rPr>
      </w:pPr>
      <w:r>
        <w:rPr>
          <w:rFonts w:hint="eastAsia" w:eastAsia="宋体" w:cs="Times New Roman"/>
          <w:b w:val="0"/>
          <w:bCs w:val="0"/>
          <w:kern w:val="2"/>
          <w:sz w:val="28"/>
          <w:szCs w:val="28"/>
        </w:rPr>
        <w:t>2 数据来源以及研究方法</w:t>
      </w:r>
    </w:p>
    <w:p>
      <w:pPr>
        <w:pStyle w:val="4"/>
        <w:pageBreakBefore w:val="0"/>
        <w:widowControl w:val="0"/>
        <w:numPr>
          <w:ilvl w:val="2"/>
          <w:numId w:val="0"/>
        </w:numPr>
        <w:kinsoku/>
        <w:wordWrap/>
        <w:overflowPunct/>
        <w:topLinePunct w:val="0"/>
        <w:autoSpaceDE/>
        <w:autoSpaceDN/>
        <w:bidi w:val="0"/>
        <w:adjustRightInd/>
        <w:spacing w:before="0" w:beforeAutospacing="0" w:after="0" w:afterAutospacing="0" w:line="240" w:lineRule="auto"/>
        <w:textAlignment w:val="auto"/>
        <w:rPr>
          <w:b w:val="0"/>
          <w:bCs w:val="0"/>
          <w:sz w:val="21"/>
          <w:szCs w:val="22"/>
        </w:rPr>
      </w:pPr>
      <w:r>
        <w:rPr>
          <w:rFonts w:hint="eastAsia"/>
          <w:b w:val="0"/>
          <w:bCs w:val="0"/>
          <w:sz w:val="21"/>
          <w:szCs w:val="22"/>
        </w:rPr>
        <w:t>2.1 指标体系及数据来源</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洪涝风险评价指标由致灾因子危险性、环境脆弱性以及承灾体暴露性构成，依据指标因子构成原则，结合德兴市城区MIKEFLOOD模型模拟成果以及无人机实地航拍的高精度DEM数据，选取最大淹没水深、最大淹没历时、最大淹没面积、最大淹没流速为致灾因子危险性指标，高程、地形坡度、建筑密度为环境脆弱性指标，人口、房屋数量、重要基础设施为承灾体暴露性指标</w:t>
      </w:r>
      <w:r>
        <w:rPr>
          <w:rFonts w:hint="eastAsia" w:cs="Times New Roman"/>
          <w:sz w:val="21"/>
          <w:vertAlign w:val="superscript"/>
        </w:rPr>
        <w:fldChar w:fldCharType="begin"/>
      </w:r>
      <w:r>
        <w:rPr>
          <w:rFonts w:hint="eastAsia" w:cs="Times New Roman"/>
          <w:sz w:val="21"/>
          <w:vertAlign w:val="superscript"/>
        </w:rPr>
        <w:instrText xml:space="preserve"> REF _Ref31296 \r \h </w:instrText>
      </w:r>
      <w:r>
        <w:rPr>
          <w:rFonts w:hint="eastAsia" w:cs="Times New Roman"/>
          <w:sz w:val="21"/>
          <w:vertAlign w:val="superscript"/>
        </w:rPr>
        <w:fldChar w:fldCharType="separate"/>
      </w:r>
      <w:r>
        <w:rPr>
          <w:rFonts w:cs="Times New Roman"/>
          <w:sz w:val="21"/>
          <w:vertAlign w:val="superscript"/>
        </w:rPr>
        <w:t>[25]</w:t>
      </w:r>
      <w:r>
        <w:rPr>
          <w:rFonts w:hint="eastAsia" w:cs="Times New Roman"/>
          <w:sz w:val="21"/>
          <w:vertAlign w:val="superscript"/>
        </w:rPr>
        <w:fldChar w:fldCharType="end"/>
      </w:r>
      <w:r>
        <w:rPr>
          <w:rFonts w:hint="eastAsia" w:cs="Times New Roman"/>
          <w:sz w:val="21"/>
        </w:rPr>
        <w:t>。德兴城区洪涝灾害风险评估指标体系以及数据来源如表1所列。</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hint="eastAsia" w:eastAsia="黑体" w:cs="Times New Roman"/>
          <w:sz w:val="18"/>
          <w:szCs w:val="18"/>
        </w:rPr>
        <w:t>表1  德兴城区洪涝灾害风险评估指标体系以及数据来源</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eastAsia="黑体" w:cs="Times New Roman"/>
          <w:sz w:val="18"/>
          <w:szCs w:val="18"/>
        </w:rPr>
        <w:t xml:space="preserve">Table 1  Flood </w:t>
      </w:r>
      <w:r>
        <w:rPr>
          <w:rFonts w:hint="eastAsia" w:eastAsia="黑体" w:cs="Times New Roman"/>
          <w:sz w:val="18"/>
          <w:szCs w:val="18"/>
        </w:rPr>
        <w:t>r</w:t>
      </w:r>
      <w:r>
        <w:rPr>
          <w:rFonts w:eastAsia="黑体" w:cs="Times New Roman"/>
          <w:sz w:val="18"/>
          <w:szCs w:val="18"/>
        </w:rPr>
        <w:t>isk assessment</w:t>
      </w:r>
      <w:r>
        <w:rPr>
          <w:rFonts w:hint="eastAsia" w:eastAsia="黑体" w:cs="Times New Roman"/>
          <w:sz w:val="18"/>
          <w:szCs w:val="18"/>
        </w:rPr>
        <w:t xml:space="preserve"> i</w:t>
      </w:r>
      <w:r>
        <w:rPr>
          <w:rFonts w:eastAsia="黑体" w:cs="Times New Roman"/>
          <w:sz w:val="18"/>
          <w:szCs w:val="18"/>
        </w:rPr>
        <w:t xml:space="preserve">ndicator </w:t>
      </w:r>
      <w:r>
        <w:rPr>
          <w:rFonts w:hint="eastAsia" w:eastAsia="黑体" w:cs="Times New Roman"/>
          <w:sz w:val="18"/>
          <w:szCs w:val="18"/>
        </w:rPr>
        <w:t>s</w:t>
      </w:r>
      <w:r>
        <w:rPr>
          <w:rFonts w:eastAsia="黑体" w:cs="Times New Roman"/>
          <w:sz w:val="18"/>
          <w:szCs w:val="18"/>
        </w:rPr>
        <w:t xml:space="preserve">ystem and </w:t>
      </w:r>
      <w:r>
        <w:rPr>
          <w:rFonts w:hint="eastAsia" w:eastAsia="黑体" w:cs="Times New Roman"/>
          <w:sz w:val="18"/>
          <w:szCs w:val="18"/>
        </w:rPr>
        <w:t>d</w:t>
      </w:r>
      <w:r>
        <w:rPr>
          <w:rFonts w:eastAsia="黑体" w:cs="Times New Roman"/>
          <w:sz w:val="18"/>
          <w:szCs w:val="18"/>
        </w:rPr>
        <w:t xml:space="preserve">ata </w:t>
      </w:r>
      <w:r>
        <w:rPr>
          <w:rFonts w:hint="eastAsia" w:eastAsia="黑体" w:cs="Times New Roman"/>
          <w:sz w:val="18"/>
          <w:szCs w:val="18"/>
        </w:rPr>
        <w:t>s</w:t>
      </w:r>
      <w:r>
        <w:rPr>
          <w:rFonts w:eastAsia="黑体" w:cs="Times New Roman"/>
          <w:sz w:val="18"/>
          <w:szCs w:val="18"/>
        </w:rPr>
        <w:t>ources for Dexing urban are</w:t>
      </w:r>
      <w:r>
        <w:rPr>
          <w:rFonts w:hint="eastAsia" w:eastAsia="黑体" w:cs="Times New Roman"/>
          <w:sz w:val="18"/>
          <w:szCs w:val="18"/>
        </w:rPr>
        <w:t>a</w:t>
      </w:r>
    </w:p>
    <w:tbl>
      <w:tblPr>
        <w:tblStyle w:val="14"/>
        <w:tblW w:w="8529" w:type="dxa"/>
        <w:tblInd w:w="96" w:type="dxa"/>
        <w:tblLayout w:type="fixed"/>
        <w:tblCellMar>
          <w:top w:w="0" w:type="dxa"/>
          <w:left w:w="108" w:type="dxa"/>
          <w:bottom w:w="0" w:type="dxa"/>
          <w:right w:w="108" w:type="dxa"/>
        </w:tblCellMar>
      </w:tblPr>
      <w:tblGrid>
        <w:gridCol w:w="1739"/>
        <w:gridCol w:w="2238"/>
        <w:gridCol w:w="4552"/>
      </w:tblGrid>
      <w:tr>
        <w:tblPrEx>
          <w:tblCellMar>
            <w:top w:w="0" w:type="dxa"/>
            <w:left w:w="108" w:type="dxa"/>
            <w:bottom w:w="0" w:type="dxa"/>
            <w:right w:w="108" w:type="dxa"/>
          </w:tblCellMar>
        </w:tblPrEx>
        <w:trPr>
          <w:trHeight w:val="278" w:hRule="atLeast"/>
          <w:tblHeader/>
        </w:trPr>
        <w:tc>
          <w:tcPr>
            <w:tcW w:w="1739"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指标类型</w:t>
            </w:r>
          </w:p>
        </w:tc>
        <w:tc>
          <w:tcPr>
            <w:tcW w:w="2238"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指标名称</w:t>
            </w:r>
          </w:p>
        </w:tc>
        <w:tc>
          <w:tcPr>
            <w:tcW w:w="4552"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指标来源</w:t>
            </w:r>
          </w:p>
        </w:tc>
      </w:tr>
      <w:tr>
        <w:tblPrEx>
          <w:tblCellMar>
            <w:top w:w="0" w:type="dxa"/>
            <w:left w:w="108" w:type="dxa"/>
            <w:bottom w:w="0" w:type="dxa"/>
            <w:right w:w="108" w:type="dxa"/>
          </w:tblCellMar>
        </w:tblPrEx>
        <w:trPr>
          <w:trHeight w:val="278" w:hRule="atLeast"/>
          <w:tblHeader/>
        </w:trPr>
        <w:tc>
          <w:tcPr>
            <w:tcW w:w="1739" w:type="dxa"/>
            <w:vMerge w:val="restart"/>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致灾因子危险性</w:t>
            </w:r>
          </w:p>
        </w:tc>
        <w:tc>
          <w:tcPr>
            <w:tcW w:w="2238"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最大淹没水深</w:t>
            </w:r>
          </w:p>
        </w:tc>
        <w:tc>
          <w:tcPr>
            <w:tcW w:w="4552"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MIKEFLOOD模型模拟100a一遇洪水</w:t>
            </w:r>
          </w:p>
        </w:tc>
      </w:tr>
      <w:tr>
        <w:tblPrEx>
          <w:tblCellMar>
            <w:top w:w="0" w:type="dxa"/>
            <w:left w:w="108" w:type="dxa"/>
            <w:bottom w:w="0" w:type="dxa"/>
            <w:right w:w="108" w:type="dxa"/>
          </w:tblCellMar>
        </w:tblPrEx>
        <w:trPr>
          <w:trHeight w:val="278" w:hRule="atLeast"/>
          <w:tblHeader/>
        </w:trPr>
        <w:tc>
          <w:tcPr>
            <w:tcW w:w="1739"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223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最大淹没流速</w:t>
            </w:r>
          </w:p>
        </w:tc>
        <w:tc>
          <w:tcPr>
            <w:tcW w:w="4552"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MIKEFLOOD模型模拟100a一遇洪水</w:t>
            </w:r>
          </w:p>
        </w:tc>
      </w:tr>
      <w:tr>
        <w:tblPrEx>
          <w:tblCellMar>
            <w:top w:w="0" w:type="dxa"/>
            <w:left w:w="108" w:type="dxa"/>
            <w:bottom w:w="0" w:type="dxa"/>
            <w:right w:w="108" w:type="dxa"/>
          </w:tblCellMar>
        </w:tblPrEx>
        <w:trPr>
          <w:trHeight w:val="278" w:hRule="atLeast"/>
          <w:tblHeader/>
        </w:trPr>
        <w:tc>
          <w:tcPr>
            <w:tcW w:w="1739"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223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最大淹没历时</w:t>
            </w:r>
          </w:p>
        </w:tc>
        <w:tc>
          <w:tcPr>
            <w:tcW w:w="4552"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MIKEFLOOD模型模拟100a一遇洪水</w:t>
            </w:r>
          </w:p>
        </w:tc>
      </w:tr>
      <w:tr>
        <w:tblPrEx>
          <w:tblCellMar>
            <w:top w:w="0" w:type="dxa"/>
            <w:left w:w="108" w:type="dxa"/>
            <w:bottom w:w="0" w:type="dxa"/>
            <w:right w:w="108" w:type="dxa"/>
          </w:tblCellMar>
        </w:tblPrEx>
        <w:trPr>
          <w:trHeight w:val="278" w:hRule="atLeast"/>
          <w:tblHeader/>
        </w:trPr>
        <w:tc>
          <w:tcPr>
            <w:tcW w:w="1739"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223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最大淹没面积</w:t>
            </w:r>
          </w:p>
        </w:tc>
        <w:tc>
          <w:tcPr>
            <w:tcW w:w="4552"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MIKEFLOOD模型模拟100a一遇洪水</w:t>
            </w:r>
          </w:p>
        </w:tc>
      </w:tr>
      <w:tr>
        <w:tblPrEx>
          <w:tblCellMar>
            <w:top w:w="0" w:type="dxa"/>
            <w:left w:w="108" w:type="dxa"/>
            <w:bottom w:w="0" w:type="dxa"/>
            <w:right w:w="108" w:type="dxa"/>
          </w:tblCellMar>
        </w:tblPrEx>
        <w:trPr>
          <w:trHeight w:val="278" w:hRule="atLeast"/>
          <w:tblHeader/>
        </w:trPr>
        <w:tc>
          <w:tcPr>
            <w:tcW w:w="1739" w:type="dxa"/>
            <w:vMerge w:val="restart"/>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环境脆弱性</w:t>
            </w:r>
          </w:p>
        </w:tc>
        <w:tc>
          <w:tcPr>
            <w:tcW w:w="223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高程</w:t>
            </w:r>
          </w:p>
        </w:tc>
        <w:tc>
          <w:tcPr>
            <w:tcW w:w="4552"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DEM高程数据衍生</w:t>
            </w:r>
          </w:p>
        </w:tc>
      </w:tr>
      <w:tr>
        <w:tblPrEx>
          <w:tblCellMar>
            <w:top w:w="0" w:type="dxa"/>
            <w:left w:w="108" w:type="dxa"/>
            <w:bottom w:w="0" w:type="dxa"/>
            <w:right w:w="108" w:type="dxa"/>
          </w:tblCellMar>
        </w:tblPrEx>
        <w:trPr>
          <w:trHeight w:val="278" w:hRule="atLeast"/>
          <w:tblHeader/>
        </w:trPr>
        <w:tc>
          <w:tcPr>
            <w:tcW w:w="1739"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223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地形坡度</w:t>
            </w:r>
          </w:p>
        </w:tc>
        <w:tc>
          <w:tcPr>
            <w:tcW w:w="4552"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DEM高程数据衍生</w:t>
            </w:r>
          </w:p>
        </w:tc>
      </w:tr>
      <w:tr>
        <w:tblPrEx>
          <w:tblCellMar>
            <w:top w:w="0" w:type="dxa"/>
            <w:left w:w="108" w:type="dxa"/>
            <w:bottom w:w="0" w:type="dxa"/>
            <w:right w:w="108" w:type="dxa"/>
          </w:tblCellMar>
        </w:tblPrEx>
        <w:trPr>
          <w:trHeight w:val="320" w:hRule="atLeast"/>
          <w:tblHeader/>
        </w:trPr>
        <w:tc>
          <w:tcPr>
            <w:tcW w:w="1739"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223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建筑密度</w:t>
            </w:r>
          </w:p>
        </w:tc>
        <w:tc>
          <w:tcPr>
            <w:tcW w:w="4552"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91卫图获取天地图</w:t>
            </w:r>
          </w:p>
        </w:tc>
      </w:tr>
      <w:tr>
        <w:tblPrEx>
          <w:tblCellMar>
            <w:top w:w="0" w:type="dxa"/>
            <w:left w:w="108" w:type="dxa"/>
            <w:bottom w:w="0" w:type="dxa"/>
            <w:right w:w="108" w:type="dxa"/>
          </w:tblCellMar>
        </w:tblPrEx>
        <w:trPr>
          <w:trHeight w:val="278" w:hRule="atLeast"/>
          <w:tblHeader/>
        </w:trPr>
        <w:tc>
          <w:tcPr>
            <w:tcW w:w="1739" w:type="dxa"/>
            <w:vMerge w:val="restart"/>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承灾体暴露性</w:t>
            </w:r>
          </w:p>
        </w:tc>
        <w:tc>
          <w:tcPr>
            <w:tcW w:w="223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人口</w:t>
            </w:r>
          </w:p>
        </w:tc>
        <w:tc>
          <w:tcPr>
            <w:tcW w:w="4552"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德兴市山洪灾害调查评价数据</w:t>
            </w:r>
          </w:p>
        </w:tc>
      </w:tr>
      <w:tr>
        <w:tblPrEx>
          <w:tblCellMar>
            <w:top w:w="0" w:type="dxa"/>
            <w:left w:w="108" w:type="dxa"/>
            <w:bottom w:w="0" w:type="dxa"/>
            <w:right w:w="108" w:type="dxa"/>
          </w:tblCellMar>
        </w:tblPrEx>
        <w:trPr>
          <w:trHeight w:val="278" w:hRule="atLeast"/>
          <w:tblHeader/>
        </w:trPr>
        <w:tc>
          <w:tcPr>
            <w:tcW w:w="1739"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223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房屋数量</w:t>
            </w:r>
          </w:p>
        </w:tc>
        <w:tc>
          <w:tcPr>
            <w:tcW w:w="4552"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德兴市山洪灾害调查评价数据</w:t>
            </w:r>
          </w:p>
        </w:tc>
      </w:tr>
      <w:tr>
        <w:tblPrEx>
          <w:tblCellMar>
            <w:top w:w="0" w:type="dxa"/>
            <w:left w:w="108" w:type="dxa"/>
            <w:bottom w:w="0" w:type="dxa"/>
            <w:right w:w="108" w:type="dxa"/>
          </w:tblCellMar>
        </w:tblPrEx>
        <w:trPr>
          <w:trHeight w:val="90" w:hRule="atLeast"/>
          <w:tblHeader/>
        </w:trPr>
        <w:tc>
          <w:tcPr>
            <w:tcW w:w="1739" w:type="dxa"/>
            <w:vMerge w:val="continue"/>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2238"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重要基础设施</w:t>
            </w:r>
          </w:p>
        </w:tc>
        <w:tc>
          <w:tcPr>
            <w:tcW w:w="4552"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德兴市山洪灾害调查评价数据</w:t>
            </w:r>
          </w:p>
        </w:tc>
      </w:tr>
    </w:tbl>
    <w:p>
      <w:pPr>
        <w:pStyle w:val="4"/>
        <w:pageBreakBefore w:val="0"/>
        <w:numPr>
          <w:ilvl w:val="2"/>
          <w:numId w:val="0"/>
        </w:numPr>
        <w:kinsoku/>
        <w:wordWrap/>
        <w:overflowPunct/>
        <w:topLinePunct w:val="0"/>
        <w:autoSpaceDE/>
        <w:autoSpaceDN/>
        <w:bidi w:val="0"/>
        <w:adjustRightInd/>
        <w:spacing w:before="0" w:beforeAutospacing="0" w:after="0" w:afterAutospacing="0" w:line="240" w:lineRule="auto"/>
        <w:textAlignment w:val="auto"/>
        <w:rPr>
          <w:b w:val="0"/>
          <w:bCs w:val="0"/>
          <w:sz w:val="21"/>
          <w:szCs w:val="22"/>
        </w:rPr>
      </w:pPr>
      <w:r>
        <w:rPr>
          <w:rFonts w:hint="eastAsia"/>
          <w:b w:val="0"/>
          <w:bCs w:val="0"/>
          <w:sz w:val="21"/>
          <w:szCs w:val="22"/>
        </w:rPr>
        <w:t>2.2 研究方法</w:t>
      </w:r>
    </w:p>
    <w:p>
      <w:pPr>
        <w:pageBreakBefore w:val="0"/>
        <w:kinsoku/>
        <w:wordWrap/>
        <w:overflowPunct/>
        <w:topLinePunct w:val="0"/>
        <w:autoSpaceDE/>
        <w:autoSpaceDN/>
        <w:bidi w:val="0"/>
        <w:adjustRightInd/>
        <w:spacing w:beforeAutospacing="0" w:afterAutospacing="0" w:line="240" w:lineRule="auto"/>
        <w:ind w:firstLine="0" w:firstLineChars="0"/>
        <w:textAlignment w:val="auto"/>
        <w:outlineLvl w:val="2"/>
        <w:rPr>
          <w:rFonts w:eastAsia="楷体" w:cs="Times New Roman"/>
          <w:sz w:val="21"/>
        </w:rPr>
      </w:pPr>
      <w:r>
        <w:rPr>
          <w:rFonts w:hint="eastAsia" w:eastAsia="楷体" w:cs="Times New Roman"/>
          <w:sz w:val="21"/>
        </w:rPr>
        <w:t>2.2.1MIKEFLOOD模型</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MIKEFLOOD是一款成熟的商业水动力学模拟软件。其核心原理是将MIKE11（一维模型）与MIKE21（二维模型）进行动态耦合，通过联合求解圣维南方程组和浅水方程，来精确模拟水流的复杂运动。该模型适用于河网、河道、洪泛区、城市及沿海地区等水陆交互作用强烈的复杂场景，是综合性洪水模拟的强大工具。</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MIKE11一维水动力模型，控制方程为圣维南方程组成的一维浅水方程组。该方程组包括连续性方程和动量方程，公式如下</w:t>
      </w:r>
    </w:p>
    <w:tbl>
      <w:tblPr>
        <w:tblStyle w:val="15"/>
        <w:tblW w:w="498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77"/>
        <w:gridCol w:w="5124"/>
        <w:gridCol w:w="1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w:p>
        </w:tc>
        <w:tc>
          <w:tcPr>
            <w:tcW w:w="5124"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m:oMathPara>
              <m:oMathParaPr>
                <m:jc m:val="center"/>
              </m:oMathParaPr>
              <m:oMath>
                <m:f>
                  <m:fPr>
                    <m:ctrlPr>
                      <w:rPr>
                        <w:rFonts w:ascii="Cambria Math" w:hAnsi="Cambria Math" w:cs="Times New Roman"/>
                        <w:i/>
                        <w:sz w:val="21"/>
                        <w:szCs w:val="21"/>
                      </w:rPr>
                    </m:ctrlPr>
                  </m:fPr>
                  <m:num>
                    <m:r>
                      <m:rPr>
                        <m:nor/>
                        <m:sty m:val="p"/>
                      </m:rPr>
                      <w:rPr>
                        <w:rFonts w:cs="Times New Roman"/>
                        <w:b w:val="0"/>
                        <w:i w:val="0"/>
                        <w:sz w:val="21"/>
                        <w:szCs w:val="21"/>
                      </w:rPr>
                      <m:t>∂</m:t>
                    </m:r>
                    <m:r>
                      <m:rPr>
                        <m:nor/>
                      </m:rPr>
                      <w:rPr>
                        <w:rFonts w:cs="Times New Roman"/>
                        <w:i/>
                        <w:sz w:val="21"/>
                        <w:szCs w:val="21"/>
                      </w:rPr>
                      <m:t>Q</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x</m:t>
                    </m:r>
                    <m:ctrlPr>
                      <w:rPr>
                        <w:rFonts w:ascii="Cambria Math" w:hAnsi="Cambria Math" w:cs="Times New Roman"/>
                        <w:i/>
                        <w:sz w:val="21"/>
                        <w:szCs w:val="21"/>
                      </w:rPr>
                    </m:ctrlPr>
                  </m:den>
                </m:f>
                <m:r>
                  <m:rPr>
                    <m:nor/>
                    <m:sty m:val="p"/>
                  </m:rPr>
                  <w:rPr>
                    <w:rFonts w:cs="Times New Roman"/>
                    <w:b w:val="0"/>
                    <w:i w:val="0"/>
                    <w:sz w:val="21"/>
                    <w:szCs w:val="21"/>
                  </w:rPr>
                  <m:t>+</m:t>
                </m:r>
                <m:f>
                  <m:fPr>
                    <m:ctrlPr>
                      <w:rPr>
                        <w:rFonts w:ascii="Cambria Math" w:hAnsi="Cambria Math" w:cs="Times New Roman"/>
                        <w:i/>
                        <w:sz w:val="21"/>
                        <w:szCs w:val="21"/>
                      </w:rPr>
                    </m:ctrlPr>
                  </m:fPr>
                  <m:num>
                    <m:r>
                      <m:rPr>
                        <m:nor/>
                        <m:sty m:val="p"/>
                      </m:rPr>
                      <w:rPr>
                        <w:rFonts w:cs="Times New Roman"/>
                        <w:b w:val="0"/>
                        <w:i w:val="0"/>
                        <w:sz w:val="21"/>
                        <w:szCs w:val="21"/>
                      </w:rPr>
                      <m:t>∂</m:t>
                    </m:r>
                    <m:r>
                      <m:rPr>
                        <m:nor/>
                      </m:rPr>
                      <w:rPr>
                        <w:rFonts w:cs="Times New Roman"/>
                        <w:i/>
                        <w:sz w:val="21"/>
                        <w:szCs w:val="21"/>
                      </w:rPr>
                      <m:t>A</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t</m:t>
                    </m:r>
                    <m:ctrlPr>
                      <w:rPr>
                        <w:rFonts w:ascii="Cambria Math" w:hAnsi="Cambria Math" w:cs="Times New Roman"/>
                        <w:i/>
                        <w:sz w:val="21"/>
                        <w:szCs w:val="21"/>
                      </w:rPr>
                    </m:ctrlPr>
                  </m:den>
                </m:f>
                <m:r>
                  <m:rPr>
                    <m:nor/>
                    <m:sty m:val="p"/>
                  </m:rPr>
                  <w:rPr>
                    <w:rFonts w:cs="Times New Roman"/>
                    <w:b w:val="0"/>
                    <w:i w:val="0"/>
                    <w:sz w:val="21"/>
                    <w:szCs w:val="21"/>
                  </w:rPr>
                  <m:t>=0</m:t>
                </m:r>
              </m:oMath>
            </m:oMathPara>
          </w:p>
        </w:tc>
        <w:tc>
          <w:tcPr>
            <w:tcW w:w="1577"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w:p>
        </w:tc>
        <w:tc>
          <w:tcPr>
            <w:tcW w:w="5124"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m:oMathPara>
              <m:oMathParaPr>
                <m:jc m:val="center"/>
              </m:oMathParaPr>
              <m:oMath>
                <m:f>
                  <m:fPr>
                    <m:ctrlPr>
                      <w:rPr>
                        <w:rFonts w:ascii="Cambria Math" w:hAnsi="Cambria Math" w:cs="Times New Roman"/>
                        <w:i/>
                        <w:sz w:val="21"/>
                        <w:szCs w:val="21"/>
                      </w:rPr>
                    </m:ctrlPr>
                  </m:fPr>
                  <m:num>
                    <m:r>
                      <m:rPr>
                        <m:nor/>
                        <m:sty m:val="p"/>
                      </m:rPr>
                      <w:rPr>
                        <w:rFonts w:cs="Times New Roman"/>
                        <w:b w:val="0"/>
                        <w:i w:val="0"/>
                        <w:sz w:val="21"/>
                        <w:szCs w:val="21"/>
                      </w:rPr>
                      <m:t>∂</m:t>
                    </m:r>
                    <m:r>
                      <m:rPr>
                        <m:nor/>
                      </m:rPr>
                      <w:rPr>
                        <w:rFonts w:cs="Times New Roman"/>
                        <w:i/>
                        <w:sz w:val="21"/>
                        <w:szCs w:val="21"/>
                      </w:rPr>
                      <m:t>Q</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t</m:t>
                    </m:r>
                    <m:ctrlPr>
                      <w:rPr>
                        <w:rFonts w:ascii="Cambria Math" w:hAnsi="Cambria Math" w:cs="Times New Roman"/>
                        <w:i/>
                        <w:sz w:val="21"/>
                        <w:szCs w:val="21"/>
                      </w:rPr>
                    </m:ctrlPr>
                  </m:den>
                </m:f>
                <m:r>
                  <m:rPr>
                    <m:nor/>
                    <m:sty m:val="p"/>
                  </m:rPr>
                  <w:rPr>
                    <w:rFonts w:cs="Times New Roman"/>
                    <w:b w:val="0"/>
                    <w:i w:val="0"/>
                    <w:sz w:val="21"/>
                    <w:szCs w:val="21"/>
                  </w:rPr>
                  <m:t>+</m:t>
                </m:r>
                <m:f>
                  <m:fPr>
                    <m:ctrlPr>
                      <w:rPr>
                        <w:rFonts w:ascii="Cambria Math" w:hAnsi="Cambria Math" w:cs="Times New Roman"/>
                        <w:i/>
                        <w:sz w:val="21"/>
                        <w:szCs w:val="21"/>
                      </w:rPr>
                    </m:ctrlPr>
                  </m:fPr>
                  <m:num>
                    <m:r>
                      <m:rPr>
                        <m:nor/>
                        <m:sty m:val="p"/>
                      </m:rPr>
                      <w:rPr>
                        <w:rFonts w:cs="Times New Roman"/>
                        <w:b w:val="0"/>
                        <w:i w:val="0"/>
                        <w:sz w:val="21"/>
                        <w:szCs w:val="21"/>
                      </w:rPr>
                      <m:t>∂</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t</m:t>
                    </m:r>
                    <m:ctrlPr>
                      <w:rPr>
                        <w:rFonts w:ascii="Cambria Math" w:hAnsi="Cambria Math" w:cs="Times New Roman"/>
                        <w:i/>
                        <w:sz w:val="21"/>
                        <w:szCs w:val="21"/>
                      </w:rPr>
                    </m:ctrlPr>
                  </m:den>
                </m:f>
                <m:d>
                  <m:dPr>
                    <m:ctrlPr>
                      <w:rPr>
                        <w:rFonts w:ascii="Cambria Math" w:hAnsi="Cambria Math" w:cs="Times New Roman"/>
                        <w:i/>
                        <w:sz w:val="21"/>
                        <w:szCs w:val="21"/>
                      </w:rPr>
                    </m:ctrlPr>
                  </m:dPr>
                  <m:e>
                    <m:f>
                      <m:fPr>
                        <m:ctrlPr>
                          <w:rPr>
                            <w:rFonts w:ascii="Cambria Math" w:hAnsi="Cambria Math" w:cs="Times New Roman"/>
                            <w:i/>
                            <w:sz w:val="21"/>
                            <w:szCs w:val="21"/>
                          </w:rPr>
                        </m:ctrlPr>
                      </m:fPr>
                      <m:num>
                        <m:sSup>
                          <m:sSupPr>
                            <m:ctrlPr>
                              <w:rPr>
                                <w:rFonts w:ascii="Cambria Math" w:hAnsi="Cambria Math" w:cs="Times New Roman"/>
                                <w:i/>
                                <w:sz w:val="21"/>
                                <w:szCs w:val="21"/>
                              </w:rPr>
                            </m:ctrlPr>
                          </m:sSupPr>
                          <m:e>
                            <m:r>
                              <m:rPr>
                                <m:nor/>
                              </m:rPr>
                              <w:rPr>
                                <w:rFonts w:cs="Times New Roman"/>
                                <w:i/>
                                <w:sz w:val="21"/>
                                <w:szCs w:val="21"/>
                              </w:rPr>
                              <m:t>Q</m:t>
                            </m:r>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ctrlPr>
                          <w:rPr>
                            <w:rFonts w:ascii="Cambria Math" w:hAnsi="Cambria Math" w:cs="Times New Roman"/>
                            <w:i/>
                            <w:sz w:val="21"/>
                            <w:szCs w:val="21"/>
                          </w:rPr>
                        </m:ctrlPr>
                      </m:num>
                      <m:den>
                        <m:r>
                          <m:rPr>
                            <m:nor/>
                          </m:rPr>
                          <w:rPr>
                            <w:rFonts w:cs="Times New Roman"/>
                            <w:i/>
                            <w:sz w:val="21"/>
                            <w:szCs w:val="21"/>
                          </w:rPr>
                          <m:t>A</m:t>
                        </m:r>
                        <m:ctrlPr>
                          <w:rPr>
                            <w:rFonts w:ascii="Cambria Math" w:hAnsi="Cambria Math" w:cs="Times New Roman"/>
                            <w:i/>
                            <w:sz w:val="21"/>
                            <w:szCs w:val="21"/>
                          </w:rPr>
                        </m:ctrlPr>
                      </m:den>
                    </m:f>
                    <m:ctrlPr>
                      <w:rPr>
                        <w:rFonts w:ascii="Cambria Math" w:hAnsi="Cambria Math" w:cs="Times New Roman"/>
                        <w:i/>
                        <w:sz w:val="21"/>
                        <w:szCs w:val="21"/>
                      </w:rPr>
                    </m:ctrlPr>
                  </m:e>
                </m:d>
                <m:r>
                  <m:rPr>
                    <m:nor/>
                    <m:sty m:val="p"/>
                  </m:rPr>
                  <w:rPr>
                    <w:rFonts w:cs="Times New Roman"/>
                    <w:b w:val="0"/>
                    <w:i w:val="0"/>
                    <w:sz w:val="21"/>
                    <w:szCs w:val="21"/>
                  </w:rPr>
                  <m:t>+</m:t>
                </m:r>
                <m:r>
                  <m:rPr>
                    <m:nor/>
                  </m:rPr>
                  <w:rPr>
                    <w:rFonts w:cs="Times New Roman"/>
                    <w:i/>
                    <w:sz w:val="21"/>
                    <w:szCs w:val="21"/>
                  </w:rPr>
                  <m:t>gA</m:t>
                </m:r>
                <m:f>
                  <m:fPr>
                    <m:ctrlPr>
                      <w:rPr>
                        <w:rFonts w:ascii="Cambria Math" w:hAnsi="Cambria Math" w:cs="Times New Roman"/>
                        <w:i/>
                        <w:sz w:val="21"/>
                        <w:szCs w:val="21"/>
                      </w:rPr>
                    </m:ctrlPr>
                  </m:fPr>
                  <m:num>
                    <m:r>
                      <m:rPr>
                        <m:nor/>
                        <m:sty m:val="p"/>
                      </m:rPr>
                      <w:rPr>
                        <w:rFonts w:cs="Times New Roman"/>
                        <w:b w:val="0"/>
                        <w:i w:val="0"/>
                        <w:sz w:val="21"/>
                        <w:szCs w:val="21"/>
                      </w:rPr>
                      <m:t>∂h</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x</m:t>
                    </m:r>
                    <m:ctrlPr>
                      <w:rPr>
                        <w:rFonts w:ascii="Cambria Math" w:hAnsi="Cambria Math" w:cs="Times New Roman"/>
                        <w:i/>
                        <w:sz w:val="21"/>
                        <w:szCs w:val="21"/>
                      </w:rPr>
                    </m:ctrlPr>
                  </m:den>
                </m:f>
                <m:r>
                  <m:rPr>
                    <m:nor/>
                    <m:sty m:val="p"/>
                  </m:rPr>
                  <w:rPr>
                    <w:rFonts w:cs="Times New Roman"/>
                    <w:b w:val="0"/>
                    <w:i w:val="0"/>
                    <w:sz w:val="21"/>
                    <w:szCs w:val="21"/>
                  </w:rPr>
                  <m:t>+</m:t>
                </m:r>
                <m:r>
                  <m:rPr>
                    <m:nor/>
                  </m:rPr>
                  <w:rPr>
                    <w:rFonts w:cs="Times New Roman"/>
                    <w:i/>
                    <w:sz w:val="21"/>
                    <w:szCs w:val="21"/>
                  </w:rPr>
                  <m:t>gAQ</m:t>
                </m:r>
                <m:d>
                  <m:dPr>
                    <m:begChr m:val="|"/>
                    <m:endChr m:val="|"/>
                    <m:ctrlPr>
                      <w:rPr>
                        <w:rFonts w:ascii="Cambria Math" w:hAnsi="Cambria Math" w:cs="Times New Roman"/>
                        <w:i/>
                        <w:sz w:val="21"/>
                        <w:szCs w:val="21"/>
                      </w:rPr>
                    </m:ctrlPr>
                  </m:dPr>
                  <m:e>
                    <m:r>
                      <m:rPr>
                        <m:nor/>
                      </m:rPr>
                      <w:rPr>
                        <w:rFonts w:cs="Times New Roman"/>
                        <w:i/>
                        <w:sz w:val="21"/>
                        <w:szCs w:val="21"/>
                      </w:rPr>
                      <m:t>Q</m:t>
                    </m:r>
                    <m:ctrlPr>
                      <w:rPr>
                        <w:rFonts w:ascii="Cambria Math" w:hAnsi="Cambria Math" w:cs="Times New Roman"/>
                        <w:i/>
                        <w:sz w:val="21"/>
                        <w:szCs w:val="21"/>
                      </w:rPr>
                    </m:ctrlPr>
                  </m:e>
                </m:d>
                <m:f>
                  <m:fPr>
                    <m:ctrlPr>
                      <w:rPr>
                        <w:rFonts w:ascii="Cambria Math" w:hAnsi="Cambria Math" w:cs="Times New Roman"/>
                        <w:i/>
                        <w:sz w:val="21"/>
                        <w:szCs w:val="21"/>
                      </w:rPr>
                    </m:ctrlPr>
                  </m:fPr>
                  <m:num>
                    <m:sSup>
                      <m:sSupPr>
                        <m:ctrlPr>
                          <w:rPr>
                            <w:rFonts w:ascii="Cambria Math" w:hAnsi="Cambria Math" w:cs="Times New Roman"/>
                            <w:i/>
                            <w:sz w:val="21"/>
                            <w:szCs w:val="21"/>
                          </w:rPr>
                        </m:ctrlPr>
                      </m:sSupPr>
                      <m:e>
                        <m:r>
                          <m:rPr>
                            <m:nor/>
                          </m:rPr>
                          <w:rPr>
                            <w:rFonts w:cs="Times New Roman"/>
                            <w:i/>
                            <w:sz w:val="21"/>
                            <w:szCs w:val="21"/>
                          </w:rPr>
                          <m:t>n</m:t>
                        </m:r>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ctrlPr>
                      <w:rPr>
                        <w:rFonts w:ascii="Cambria Math" w:hAnsi="Cambria Math" w:cs="Times New Roman"/>
                        <w:i/>
                        <w:sz w:val="21"/>
                        <w:szCs w:val="21"/>
                      </w:rPr>
                    </m:ctrlPr>
                  </m:num>
                  <m:den>
                    <m:sSup>
                      <m:sSupPr>
                        <m:ctrlPr>
                          <w:rPr>
                            <w:rFonts w:ascii="Cambria Math" w:hAnsi="Cambria Math" w:cs="Times New Roman"/>
                            <w:i/>
                            <w:sz w:val="21"/>
                            <w:szCs w:val="21"/>
                          </w:rPr>
                        </m:ctrlPr>
                      </m:sSupPr>
                      <m:e>
                        <m:r>
                          <m:rPr>
                            <m:nor/>
                          </m:rPr>
                          <w:rPr>
                            <w:rFonts w:cs="Times New Roman"/>
                            <w:i/>
                            <w:sz w:val="21"/>
                            <w:szCs w:val="21"/>
                          </w:rPr>
                          <m:t>R</m:t>
                        </m:r>
                        <m:ctrlPr>
                          <w:rPr>
                            <w:rFonts w:ascii="Cambria Math" w:hAnsi="Cambria Math" w:cs="Times New Roman"/>
                            <w:i/>
                            <w:sz w:val="21"/>
                            <w:szCs w:val="21"/>
                          </w:rPr>
                        </m:ctrlPr>
                      </m:e>
                      <m:sup>
                        <m:r>
                          <m:rPr>
                            <m:nor/>
                            <m:sty m:val="p"/>
                          </m:rPr>
                          <w:rPr>
                            <w:rFonts w:cs="Times New Roman"/>
                            <w:b w:val="0"/>
                            <w:i w:val="0"/>
                            <w:sz w:val="21"/>
                            <w:szCs w:val="21"/>
                          </w:rPr>
                          <m:t>4/3</m:t>
                        </m:r>
                        <m:ctrlPr>
                          <w:rPr>
                            <w:rFonts w:ascii="Cambria Math" w:hAnsi="Cambria Math" w:cs="Times New Roman"/>
                            <w:i/>
                            <w:sz w:val="21"/>
                            <w:szCs w:val="21"/>
                          </w:rPr>
                        </m:ctrlPr>
                      </m:sup>
                    </m:sSup>
                    <m:ctrlPr>
                      <w:rPr>
                        <w:rFonts w:ascii="Cambria Math" w:hAnsi="Cambria Math" w:cs="Times New Roman"/>
                        <w:i/>
                        <w:sz w:val="21"/>
                        <w:szCs w:val="21"/>
                      </w:rPr>
                    </m:ctrlPr>
                  </m:den>
                </m:f>
                <m:r>
                  <m:rPr>
                    <m:nor/>
                    <m:sty m:val="p"/>
                  </m:rPr>
                  <w:rPr>
                    <w:rFonts w:cs="Times New Roman"/>
                    <w:b w:val="0"/>
                    <w:i w:val="0"/>
                    <w:sz w:val="21"/>
                    <w:szCs w:val="21"/>
                  </w:rPr>
                  <m:t>=0</m:t>
                </m:r>
              </m:oMath>
            </m:oMathPara>
          </w:p>
        </w:tc>
        <w:tc>
          <w:tcPr>
            <w:tcW w:w="1577"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rFonts w:cs="Times New Roman"/>
          <w:sz w:val="21"/>
        </w:rPr>
      </w:pPr>
      <w:r>
        <w:rPr>
          <w:rFonts w:hint="eastAsia" w:cs="Times New Roman"/>
          <w:sz w:val="21"/>
        </w:rPr>
        <w:t>式中，</w:t>
      </w:r>
      <w:r>
        <w:rPr>
          <w:rFonts w:hint="eastAsia" w:cs="Times New Roman"/>
          <w:i/>
          <w:iCs/>
          <w:sz w:val="21"/>
        </w:rPr>
        <w:t>Q</w:t>
      </w:r>
      <w:r>
        <w:rPr>
          <w:rFonts w:hint="eastAsia" w:cs="Times New Roman"/>
          <w:sz w:val="21"/>
        </w:rPr>
        <w:t>为流量（m³/s）；</w:t>
      </w:r>
      <w:r>
        <w:rPr>
          <w:rFonts w:hint="eastAsia" w:cs="Times New Roman"/>
          <w:i/>
          <w:iCs/>
          <w:sz w:val="21"/>
        </w:rPr>
        <w:t>A</w:t>
      </w:r>
      <w:r>
        <w:rPr>
          <w:rFonts w:hint="eastAsia" w:cs="Times New Roman"/>
          <w:sz w:val="21"/>
        </w:rPr>
        <w:t>为截面面积（m</w:t>
      </w:r>
      <w:r>
        <w:rPr>
          <w:rFonts w:hint="eastAsia" w:cs="Times New Roman"/>
          <w:sz w:val="21"/>
          <w:vertAlign w:val="superscript"/>
        </w:rPr>
        <w:t>2</w:t>
      </w:r>
      <w:r>
        <w:rPr>
          <w:rFonts w:hint="eastAsia" w:cs="Times New Roman"/>
          <w:sz w:val="21"/>
        </w:rPr>
        <w:t>）；</w:t>
      </w:r>
      <w:r>
        <w:rPr>
          <w:rFonts w:hint="eastAsia" w:cs="Times New Roman"/>
          <w:i/>
          <w:iCs/>
          <w:sz w:val="21"/>
        </w:rPr>
        <w:t>x</w:t>
      </w:r>
      <w:r>
        <w:rPr>
          <w:rFonts w:hint="eastAsia" w:cs="Times New Roman"/>
          <w:sz w:val="21"/>
        </w:rPr>
        <w:t>为河道纵向距离（m）；</w:t>
      </w:r>
      <w:r>
        <w:rPr>
          <w:rFonts w:hint="eastAsia" w:cs="Times New Roman"/>
          <w:i/>
          <w:iCs/>
          <w:sz w:val="21"/>
        </w:rPr>
        <w:t>t</w:t>
      </w:r>
      <w:r>
        <w:rPr>
          <w:rFonts w:hint="eastAsia" w:cs="Times New Roman"/>
          <w:sz w:val="21"/>
        </w:rPr>
        <w:t>为时间（s）；</w:t>
      </w:r>
      <w:r>
        <w:rPr>
          <w:rFonts w:hint="eastAsia" w:cs="Times New Roman"/>
          <w:i/>
          <w:iCs/>
          <w:sz w:val="21"/>
        </w:rPr>
        <w:t>h</w:t>
      </w:r>
      <w:r>
        <w:rPr>
          <w:rFonts w:hint="eastAsia" w:cs="Times New Roman"/>
          <w:sz w:val="21"/>
        </w:rPr>
        <w:t>为水位（m）；</w:t>
      </w:r>
      <w:r>
        <w:rPr>
          <w:rFonts w:hint="eastAsia" w:cs="Times New Roman"/>
          <w:i/>
          <w:iCs/>
          <w:sz w:val="21"/>
        </w:rPr>
        <w:t>g</w:t>
      </w:r>
      <w:r>
        <w:rPr>
          <w:rFonts w:hint="eastAsia" w:cs="Times New Roman"/>
          <w:sz w:val="21"/>
        </w:rPr>
        <w:t>为重力加速度，取值为9.81m/s</w:t>
      </w:r>
      <w:r>
        <w:rPr>
          <w:rFonts w:hint="eastAsia" w:cs="Times New Roman"/>
          <w:sz w:val="21"/>
          <w:vertAlign w:val="superscript"/>
        </w:rPr>
        <w:t>2</w:t>
      </w:r>
      <w:r>
        <w:rPr>
          <w:rFonts w:hint="eastAsia" w:cs="Times New Roman"/>
          <w:sz w:val="21"/>
        </w:rPr>
        <w:t>；</w:t>
      </w:r>
      <w:r>
        <w:rPr>
          <w:rFonts w:hint="eastAsia" w:cs="Times New Roman"/>
          <w:i/>
          <w:iCs/>
          <w:sz w:val="21"/>
        </w:rPr>
        <w:t>n</w:t>
      </w:r>
      <w:r>
        <w:rPr>
          <w:rFonts w:hint="eastAsia" w:cs="Times New Roman"/>
          <w:sz w:val="21"/>
        </w:rPr>
        <w:t>为曼宁糙率；</w:t>
      </w:r>
      <w:r>
        <w:rPr>
          <w:rFonts w:hint="eastAsia" w:cs="Times New Roman"/>
          <w:i/>
          <w:iCs/>
          <w:sz w:val="21"/>
        </w:rPr>
        <w:t>R</w:t>
      </w:r>
      <w:r>
        <w:rPr>
          <w:rFonts w:hint="eastAsia" w:cs="Times New Roman"/>
          <w:sz w:val="21"/>
        </w:rPr>
        <w:t>为水力半径（m）。</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cs="Times New Roman"/>
          <w:sz w:val="21"/>
        </w:rPr>
        <w:t>MIKE21的控制方程基于连续性方程和动量方程</w:t>
      </w:r>
      <w:r>
        <w:rPr>
          <w:rFonts w:hint="eastAsia" w:cs="Times New Roman"/>
          <w:sz w:val="21"/>
        </w:rPr>
        <w:t>组成的</w:t>
      </w:r>
      <w:r>
        <w:rPr>
          <w:rFonts w:cs="Times New Roman"/>
          <w:sz w:val="21"/>
        </w:rPr>
        <w:t>二维浅水方程</w:t>
      </w:r>
      <w:r>
        <w:rPr>
          <w:rFonts w:hint="eastAsia" w:cs="Times New Roman"/>
          <w:sz w:val="21"/>
        </w:rPr>
        <w:t>，公式如下</w:t>
      </w:r>
    </w:p>
    <w:tbl>
      <w:tblPr>
        <w:tblStyle w:val="15"/>
        <w:tblW w:w="498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77"/>
        <w:gridCol w:w="5124"/>
        <w:gridCol w:w="1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80"/>
              <w:jc w:val="left"/>
              <w:textAlignment w:val="auto"/>
            </w:pPr>
          </w:p>
        </w:tc>
        <w:tc>
          <w:tcPr>
            <w:tcW w:w="5124" w:type="dxa"/>
            <w:vAlign w:val="center"/>
          </w:tcPr>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941"/>
              <w:gridCol w:w="3243"/>
              <w:gridCol w:w="9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83"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w:p>
              </w:tc>
              <w:tc>
                <w:tcPr>
                  <w:tcW w:w="5141"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m:oMathPara>
                    <m:oMathParaPr>
                      <m:jc m:val="center"/>
                    </m:oMathParaPr>
                    <m:oMath>
                      <m:f>
                        <m:fPr>
                          <m:ctrlPr>
                            <w:rPr>
                              <w:rFonts w:ascii="Cambria Math" w:hAnsi="Cambria Math" w:cs="Times New Roman"/>
                              <w:i/>
                              <w:sz w:val="21"/>
                              <w:szCs w:val="21"/>
                            </w:rPr>
                          </m:ctrlPr>
                        </m:fPr>
                        <m:num>
                          <m:r>
                            <m:rPr>
                              <m:nor/>
                              <m:sty m:val="p"/>
                            </m:rPr>
                            <w:rPr>
                              <w:rFonts w:cs="Times New Roman"/>
                              <w:b w:val="0"/>
                              <w:i w:val="0"/>
                              <w:sz w:val="21"/>
                              <w:szCs w:val="21"/>
                            </w:rPr>
                            <m:t>∂h</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t</m:t>
                          </m:r>
                          <m:ctrlPr>
                            <w:rPr>
                              <w:rFonts w:ascii="Cambria Math" w:hAnsi="Cambria Math" w:cs="Times New Roman"/>
                              <w:i/>
                              <w:sz w:val="21"/>
                              <w:szCs w:val="21"/>
                            </w:rPr>
                          </m:ctrlPr>
                        </m:den>
                      </m:f>
                      <m:r>
                        <m:rPr>
                          <m:nor/>
                          <m:sty m:val="p"/>
                        </m:rPr>
                        <w:rPr>
                          <w:rFonts w:cs="Times New Roman"/>
                          <w:b w:val="0"/>
                          <w:i w:val="0"/>
                          <w:sz w:val="21"/>
                          <w:szCs w:val="21"/>
                        </w:rPr>
                        <m:t>+</m:t>
                      </m:r>
                      <m:f>
                        <m:fPr>
                          <m:ctrlPr>
                            <w:rPr>
                              <w:rFonts w:ascii="Cambria Math" w:hAnsi="Cambria Math" w:cs="Times New Roman"/>
                              <w:i/>
                              <w:sz w:val="21"/>
                              <w:szCs w:val="21"/>
                            </w:rPr>
                          </m:ctrlPr>
                        </m:fPr>
                        <m:num>
                          <m:r>
                            <m:rPr>
                              <m:nor/>
                              <m:sty m:val="p"/>
                            </m:rPr>
                            <w:rPr>
                              <w:rFonts w:cs="Times New Roman"/>
                              <w:b w:val="0"/>
                              <w:i w:val="0"/>
                              <w:sz w:val="21"/>
                              <w:szCs w:val="21"/>
                            </w:rPr>
                            <m:t>∂</m:t>
                          </m:r>
                          <m:d>
                            <m:dPr>
                              <m:ctrlPr>
                                <w:rPr>
                                  <w:rFonts w:ascii="Cambria Math" w:hAnsi="Cambria Math" w:cs="Times New Roman"/>
                                  <w:i/>
                                  <w:sz w:val="21"/>
                                  <w:szCs w:val="21"/>
                                </w:rPr>
                              </m:ctrlPr>
                            </m:dPr>
                            <m:e>
                              <m:r>
                                <m:rPr>
                                  <m:nor/>
                                  <m:sty m:val="p"/>
                                </m:rPr>
                                <w:rPr>
                                  <w:rFonts w:cs="Times New Roman"/>
                                  <w:b w:val="0"/>
                                  <w:i w:val="0"/>
                                  <w:sz w:val="21"/>
                                  <w:szCs w:val="21"/>
                                </w:rPr>
                                <m:t>h</m:t>
                              </m:r>
                              <m:r>
                                <m:rPr>
                                  <m:nor/>
                                </m:rPr>
                                <w:rPr>
                                  <w:rFonts w:cs="Times New Roman"/>
                                  <w:i/>
                                  <w:sz w:val="21"/>
                                  <w:szCs w:val="21"/>
                                </w:rPr>
                                <m:t>u</m:t>
                              </m:r>
                              <m:ctrlPr>
                                <w:rPr>
                                  <w:rFonts w:ascii="Cambria Math" w:hAnsi="Cambria Math" w:cs="Times New Roman"/>
                                  <w:i/>
                                  <w:sz w:val="21"/>
                                  <w:szCs w:val="21"/>
                                </w:rPr>
                              </m:ctrlPr>
                            </m:e>
                          </m:d>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x</m:t>
                          </m:r>
                          <m:ctrlPr>
                            <w:rPr>
                              <w:rFonts w:ascii="Cambria Math" w:hAnsi="Cambria Math" w:cs="Times New Roman"/>
                              <w:i/>
                              <w:sz w:val="21"/>
                              <w:szCs w:val="21"/>
                            </w:rPr>
                          </m:ctrlPr>
                        </m:den>
                      </m:f>
                      <m:r>
                        <m:rPr>
                          <m:nor/>
                          <m:sty m:val="p"/>
                        </m:rPr>
                        <w:rPr>
                          <w:rFonts w:cs="Times New Roman"/>
                          <w:b w:val="0"/>
                          <w:i w:val="0"/>
                          <w:sz w:val="21"/>
                          <w:szCs w:val="21"/>
                        </w:rPr>
                        <m:t>+</m:t>
                      </m:r>
                      <m:f>
                        <m:fPr>
                          <m:ctrlPr>
                            <w:rPr>
                              <w:rFonts w:ascii="Cambria Math" w:hAnsi="Cambria Math" w:cs="Times New Roman"/>
                              <w:i/>
                              <w:sz w:val="21"/>
                              <w:szCs w:val="21"/>
                            </w:rPr>
                          </m:ctrlPr>
                        </m:fPr>
                        <m:num>
                          <m:r>
                            <m:rPr>
                              <m:nor/>
                              <m:sty m:val="p"/>
                            </m:rPr>
                            <w:rPr>
                              <w:rFonts w:cs="Times New Roman"/>
                              <w:b w:val="0"/>
                              <w:i w:val="0"/>
                              <w:sz w:val="21"/>
                              <w:szCs w:val="21"/>
                            </w:rPr>
                            <m:t>∂</m:t>
                          </m:r>
                          <m:d>
                            <m:dPr>
                              <m:ctrlPr>
                                <w:rPr>
                                  <w:rFonts w:ascii="Cambria Math" w:hAnsi="Cambria Math" w:cs="Times New Roman"/>
                                  <w:i/>
                                  <w:sz w:val="21"/>
                                  <w:szCs w:val="21"/>
                                </w:rPr>
                              </m:ctrlPr>
                            </m:dPr>
                            <m:e>
                              <m:r>
                                <m:rPr>
                                  <m:nor/>
                                  <m:sty m:val="p"/>
                                </m:rPr>
                                <w:rPr>
                                  <w:rFonts w:cs="Times New Roman"/>
                                  <w:b w:val="0"/>
                                  <w:i w:val="0"/>
                                  <w:sz w:val="21"/>
                                  <w:szCs w:val="21"/>
                                </w:rPr>
                                <m:t>h</m:t>
                              </m:r>
                              <m:r>
                                <m:rPr>
                                  <m:nor/>
                                </m:rPr>
                                <w:rPr>
                                  <w:rFonts w:cs="Times New Roman"/>
                                  <w:i/>
                                  <w:sz w:val="21"/>
                                  <w:szCs w:val="21"/>
                                </w:rPr>
                                <m:t>v</m:t>
                              </m:r>
                              <m:ctrlPr>
                                <w:rPr>
                                  <w:rFonts w:ascii="Cambria Math" w:hAnsi="Cambria Math" w:cs="Times New Roman"/>
                                  <w:i/>
                                  <w:sz w:val="21"/>
                                  <w:szCs w:val="21"/>
                                </w:rPr>
                              </m:ctrlPr>
                            </m:e>
                          </m:d>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y</m:t>
                          </m:r>
                          <m:ctrlPr>
                            <w:rPr>
                              <w:rFonts w:ascii="Cambria Math" w:hAnsi="Cambria Math" w:cs="Times New Roman"/>
                              <w:i/>
                              <w:sz w:val="21"/>
                              <w:szCs w:val="21"/>
                            </w:rPr>
                          </m:ctrlPr>
                        </m:den>
                      </m:f>
                      <m:r>
                        <m:rPr>
                          <m:nor/>
                          <m:sty m:val="p"/>
                        </m:rPr>
                        <w:rPr>
                          <w:rFonts w:cs="Times New Roman"/>
                          <w:b w:val="0"/>
                          <w:i w:val="0"/>
                          <w:sz w:val="21"/>
                          <w:szCs w:val="21"/>
                        </w:rPr>
                        <m:t>=</m:t>
                      </m:r>
                      <m:r>
                        <m:rPr>
                          <m:nor/>
                        </m:rPr>
                        <w:rPr>
                          <w:rFonts w:cs="Times New Roman"/>
                          <w:i/>
                          <w:sz w:val="21"/>
                          <w:szCs w:val="21"/>
                        </w:rPr>
                        <m:t>q</m:t>
                      </m:r>
                    </m:oMath>
                  </m:oMathPara>
                </w:p>
              </w:tc>
              <w:tc>
                <w:tcPr>
                  <w:tcW w:w="1582"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w:p>
              </w:tc>
            </w:tr>
          </w:tbl>
          <w:p>
            <w:pPr>
              <w:pStyle w:val="8"/>
              <w:pageBreakBefore w:val="0"/>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w:p>
        </w:tc>
        <w:tc>
          <w:tcPr>
            <w:tcW w:w="1577"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80"/>
              <w:textAlignment w:val="auto"/>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80"/>
              <w:jc w:val="left"/>
              <w:textAlignment w:val="auto"/>
            </w:pPr>
          </w:p>
        </w:tc>
        <w:tc>
          <w:tcPr>
            <w:tcW w:w="5124"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m:oMathPara>
              <m:oMathParaPr>
                <m:jc m:val="center"/>
              </m:oMathParaPr>
              <m:oMath>
                <m:f>
                  <m:fPr>
                    <m:ctrlPr>
                      <w:rPr>
                        <w:rFonts w:ascii="Cambria Math" w:hAnsi="Cambria Math" w:cs="Times New Roman"/>
                        <w:i/>
                        <w:sz w:val="21"/>
                        <w:szCs w:val="21"/>
                      </w:rPr>
                    </m:ctrlPr>
                  </m:fPr>
                  <m:num>
                    <m:r>
                      <m:rPr>
                        <m:nor/>
                        <m:sty m:val="p"/>
                      </m:rPr>
                      <w:rPr>
                        <w:rFonts w:cs="Times New Roman"/>
                        <w:b w:val="0"/>
                        <w:i w:val="0"/>
                        <w:sz w:val="21"/>
                        <w:szCs w:val="21"/>
                      </w:rPr>
                      <m:t>∂</m:t>
                    </m:r>
                    <m:r>
                      <m:rPr>
                        <m:nor/>
                      </m:rPr>
                      <w:rPr>
                        <w:rFonts w:cs="Times New Roman"/>
                        <w:i/>
                        <w:sz w:val="21"/>
                        <w:szCs w:val="21"/>
                      </w:rPr>
                      <m:t>u</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t</m:t>
                    </m:r>
                    <m:ctrlPr>
                      <w:rPr>
                        <w:rFonts w:ascii="Cambria Math" w:hAnsi="Cambria Math" w:cs="Times New Roman"/>
                        <w:i/>
                        <w:sz w:val="21"/>
                        <w:szCs w:val="21"/>
                      </w:rPr>
                    </m:ctrlPr>
                  </m:den>
                </m:f>
                <m:r>
                  <m:rPr>
                    <m:nor/>
                    <m:sty m:val="p"/>
                  </m:rPr>
                  <w:rPr>
                    <w:rFonts w:cs="Times New Roman"/>
                    <w:b w:val="0"/>
                    <w:i w:val="0"/>
                    <w:sz w:val="21"/>
                    <w:szCs w:val="21"/>
                  </w:rPr>
                  <m:t>+</m:t>
                </m:r>
                <m:r>
                  <m:rPr>
                    <m:nor/>
                  </m:rPr>
                  <w:rPr>
                    <w:rFonts w:cs="Times New Roman"/>
                    <w:i/>
                    <w:sz w:val="21"/>
                    <w:szCs w:val="21"/>
                  </w:rPr>
                  <m:t>u</m:t>
                </m:r>
                <m:f>
                  <m:fPr>
                    <m:ctrlPr>
                      <w:rPr>
                        <w:rFonts w:ascii="Cambria Math" w:hAnsi="Cambria Math" w:cs="Times New Roman"/>
                        <w:i/>
                        <w:sz w:val="21"/>
                        <w:szCs w:val="21"/>
                      </w:rPr>
                    </m:ctrlPr>
                  </m:fPr>
                  <m:num>
                    <m:r>
                      <m:rPr>
                        <m:nor/>
                        <m:sty m:val="p"/>
                      </m:rPr>
                      <w:rPr>
                        <w:rFonts w:cs="Times New Roman"/>
                        <w:b w:val="0"/>
                        <w:i w:val="0"/>
                        <w:sz w:val="21"/>
                        <w:szCs w:val="21"/>
                      </w:rPr>
                      <m:t>∂</m:t>
                    </m:r>
                    <m:r>
                      <m:rPr>
                        <m:nor/>
                      </m:rPr>
                      <w:rPr>
                        <w:rFonts w:cs="Times New Roman"/>
                        <w:i/>
                        <w:sz w:val="21"/>
                        <w:szCs w:val="21"/>
                      </w:rPr>
                      <m:t>u</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x</m:t>
                    </m:r>
                    <m:ctrlPr>
                      <w:rPr>
                        <w:rFonts w:ascii="Cambria Math" w:hAnsi="Cambria Math" w:cs="Times New Roman"/>
                        <w:i/>
                        <w:sz w:val="21"/>
                        <w:szCs w:val="21"/>
                      </w:rPr>
                    </m:ctrlPr>
                  </m:den>
                </m:f>
                <m:r>
                  <m:rPr>
                    <m:nor/>
                    <m:sty m:val="p"/>
                  </m:rPr>
                  <w:rPr>
                    <w:rFonts w:cs="Times New Roman"/>
                    <w:b w:val="0"/>
                    <w:i w:val="0"/>
                    <w:sz w:val="21"/>
                    <w:szCs w:val="21"/>
                  </w:rPr>
                  <m:t>+</m:t>
                </m:r>
                <m:r>
                  <m:rPr>
                    <m:nor/>
                  </m:rPr>
                  <w:rPr>
                    <w:rFonts w:cs="Times New Roman"/>
                    <w:i/>
                    <w:sz w:val="21"/>
                    <w:szCs w:val="21"/>
                  </w:rPr>
                  <m:t>v</m:t>
                </m:r>
                <m:f>
                  <m:fPr>
                    <m:ctrlPr>
                      <w:rPr>
                        <w:rFonts w:ascii="Cambria Math" w:hAnsi="Cambria Math" w:cs="Times New Roman"/>
                        <w:i/>
                        <w:sz w:val="21"/>
                        <w:szCs w:val="21"/>
                      </w:rPr>
                    </m:ctrlPr>
                  </m:fPr>
                  <m:num>
                    <m:r>
                      <m:rPr>
                        <m:nor/>
                        <m:sty m:val="p"/>
                      </m:rPr>
                      <w:rPr>
                        <w:rFonts w:cs="Times New Roman"/>
                        <w:b w:val="0"/>
                        <w:i w:val="0"/>
                        <w:sz w:val="21"/>
                        <w:szCs w:val="21"/>
                      </w:rPr>
                      <m:t>∂</m:t>
                    </m:r>
                    <m:r>
                      <m:rPr>
                        <m:nor/>
                      </m:rPr>
                      <w:rPr>
                        <w:rFonts w:cs="Times New Roman"/>
                        <w:i/>
                        <w:sz w:val="21"/>
                        <w:szCs w:val="21"/>
                      </w:rPr>
                      <m:t>u</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y</m:t>
                    </m:r>
                    <m:ctrlPr>
                      <w:rPr>
                        <w:rFonts w:ascii="Cambria Math" w:hAnsi="Cambria Math" w:cs="Times New Roman"/>
                        <w:i/>
                        <w:sz w:val="21"/>
                        <w:szCs w:val="21"/>
                      </w:rPr>
                    </m:ctrlPr>
                  </m:den>
                </m:f>
                <m:r>
                  <m:rPr>
                    <m:nor/>
                    <m:sty m:val="p"/>
                  </m:rPr>
                  <w:rPr>
                    <w:rFonts w:cs="Times New Roman"/>
                    <w:b w:val="0"/>
                    <w:i w:val="0"/>
                    <w:sz w:val="21"/>
                    <w:szCs w:val="21"/>
                  </w:rPr>
                  <m:t>=-</m:t>
                </m:r>
                <m:r>
                  <m:rPr>
                    <m:nor/>
                  </m:rPr>
                  <w:rPr>
                    <w:rFonts w:cs="Times New Roman"/>
                    <w:i/>
                    <w:sz w:val="21"/>
                    <w:szCs w:val="21"/>
                  </w:rPr>
                  <m:t>g</m:t>
                </m:r>
                <m:f>
                  <m:fPr>
                    <m:ctrlPr>
                      <w:rPr>
                        <w:rFonts w:ascii="Cambria Math" w:hAnsi="Cambria Math" w:cs="Times New Roman"/>
                        <w:i/>
                        <w:sz w:val="21"/>
                        <w:szCs w:val="21"/>
                      </w:rPr>
                    </m:ctrlPr>
                  </m:fPr>
                  <m:num>
                    <m:r>
                      <m:rPr>
                        <m:nor/>
                        <m:sty m:val="p"/>
                      </m:rPr>
                      <w:rPr>
                        <w:rFonts w:cs="Times New Roman"/>
                        <w:b w:val="0"/>
                        <w:i w:val="0"/>
                        <w:sz w:val="21"/>
                        <w:szCs w:val="21"/>
                      </w:rPr>
                      <m:t>∂</m:t>
                    </m:r>
                    <m:r>
                      <m:rPr>
                        <m:nor/>
                      </m:rPr>
                      <w:rPr>
                        <w:rFonts w:cs="Times New Roman"/>
                        <w:i/>
                        <w:sz w:val="21"/>
                        <w:szCs w:val="21"/>
                      </w:rPr>
                      <m:t>H</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x</m:t>
                    </m:r>
                    <m:ctrlPr>
                      <w:rPr>
                        <w:rFonts w:ascii="Cambria Math" w:hAnsi="Cambria Math" w:cs="Times New Roman"/>
                        <w:i/>
                        <w:sz w:val="21"/>
                        <w:szCs w:val="21"/>
                      </w:rPr>
                    </m:ctrlPr>
                  </m:den>
                </m:f>
                <m:r>
                  <m:rPr>
                    <m:nor/>
                    <m:sty m:val="p"/>
                  </m:rPr>
                  <w:rPr>
                    <w:rFonts w:cs="Times New Roman"/>
                    <w:b w:val="0"/>
                    <w:i w:val="0"/>
                    <w:sz w:val="21"/>
                    <w:szCs w:val="21"/>
                  </w:rPr>
                  <m:t>+</m:t>
                </m:r>
                <m:sSub>
                  <m:sSubPr>
                    <m:ctrlPr>
                      <w:rPr>
                        <w:rFonts w:ascii="Cambria Math" w:hAnsi="Cambria Math" w:cs="Times New Roman"/>
                        <w:i/>
                        <w:sz w:val="21"/>
                        <w:szCs w:val="21"/>
                      </w:rPr>
                    </m:ctrlPr>
                  </m:sSubPr>
                  <m:e>
                    <m:r>
                      <m:rPr>
                        <m:nor/>
                      </m:rPr>
                      <w:rPr>
                        <w:rFonts w:cs="Times New Roman"/>
                        <w:i/>
                        <w:sz w:val="21"/>
                        <w:szCs w:val="21"/>
                      </w:rPr>
                      <m:t>v</m:t>
                    </m:r>
                    <m:ctrlPr>
                      <w:rPr>
                        <w:rFonts w:ascii="Cambria Math" w:hAnsi="Cambria Math" w:cs="Times New Roman"/>
                        <w:i/>
                        <w:sz w:val="21"/>
                        <w:szCs w:val="21"/>
                      </w:rPr>
                    </m:ctrlPr>
                  </m:e>
                  <m:sub>
                    <m:r>
                      <m:rPr>
                        <m:nor/>
                        <m:sty m:val="p"/>
                      </m:rPr>
                      <w:rPr>
                        <w:rFonts w:cs="Times New Roman"/>
                        <w:b w:val="0"/>
                        <w:i w:val="0"/>
                        <w:sz w:val="21"/>
                        <w:szCs w:val="21"/>
                      </w:rPr>
                      <m:t>h</m:t>
                    </m:r>
                    <m:ctrlPr>
                      <w:rPr>
                        <w:rFonts w:ascii="Cambria Math" w:hAnsi="Cambria Math" w:cs="Times New Roman"/>
                        <w:i/>
                        <w:sz w:val="21"/>
                        <w:szCs w:val="21"/>
                      </w:rPr>
                    </m:ctrlPr>
                  </m:sub>
                </m:sSub>
                <m:d>
                  <m:dPr>
                    <m:ctrlPr>
                      <w:rPr>
                        <w:rFonts w:ascii="Cambria Math" w:hAnsi="Cambria Math" w:cs="Times New Roman"/>
                        <w:i/>
                        <w:sz w:val="21"/>
                        <w:szCs w:val="21"/>
                      </w:rPr>
                    </m:ctrlPr>
                  </m:dPr>
                  <m:e>
                    <m:f>
                      <m:fPr>
                        <m:ctrlPr>
                          <w:rPr>
                            <w:rFonts w:ascii="Cambria Math" w:hAnsi="Cambria Math" w:cs="Times New Roman"/>
                            <w:i/>
                            <w:sz w:val="21"/>
                            <w:szCs w:val="21"/>
                          </w:rPr>
                        </m:ctrlPr>
                      </m:fPr>
                      <m:num>
                        <m:sSup>
                          <m:sSupPr>
                            <m:ctrlPr>
                              <w:rPr>
                                <w:rFonts w:ascii="Cambria Math" w:hAnsi="Cambria Math" w:cs="Times New Roman"/>
                                <w:i/>
                                <w:sz w:val="21"/>
                                <w:szCs w:val="21"/>
                              </w:rPr>
                            </m:ctrlPr>
                          </m:sSupPr>
                          <m:e>
                            <m:r>
                              <m:rPr>
                                <m:nor/>
                                <m:sty m:val="p"/>
                              </m:rPr>
                              <w:rPr>
                                <w:rFonts w:cs="Times New Roman"/>
                                <w:b w:val="0"/>
                                <w:i w:val="0"/>
                                <w:sz w:val="21"/>
                                <w:szCs w:val="21"/>
                              </w:rPr>
                              <m:t>∂</m:t>
                            </m:r>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r>
                          <m:rPr>
                            <m:nor/>
                          </m:rPr>
                          <w:rPr>
                            <w:rFonts w:cs="Times New Roman"/>
                            <w:i/>
                            <w:sz w:val="21"/>
                            <w:szCs w:val="21"/>
                          </w:rPr>
                          <m:t>u</m:t>
                        </m:r>
                        <m:ctrlPr>
                          <w:rPr>
                            <w:rFonts w:ascii="Cambria Math" w:hAnsi="Cambria Math" w:cs="Times New Roman"/>
                            <w:i/>
                            <w:sz w:val="21"/>
                            <w:szCs w:val="21"/>
                          </w:rPr>
                        </m:ctrlPr>
                      </m:num>
                      <m:den>
                        <m:sSup>
                          <m:sSupPr>
                            <m:ctrlPr>
                              <w:rPr>
                                <w:rFonts w:ascii="Cambria Math" w:hAnsi="Cambria Math" w:cs="Times New Roman"/>
                                <w:i/>
                                <w:sz w:val="21"/>
                                <w:szCs w:val="21"/>
                              </w:rPr>
                            </m:ctrlPr>
                          </m:sSupPr>
                          <m:e>
                            <m:r>
                              <m:rPr>
                                <m:nor/>
                                <m:sty m:val="p"/>
                              </m:rPr>
                              <w:rPr>
                                <w:rFonts w:cs="Times New Roman"/>
                                <w:b w:val="0"/>
                                <w:i w:val="0"/>
                                <w:sz w:val="21"/>
                                <w:szCs w:val="21"/>
                              </w:rPr>
                              <m:t>∂</m:t>
                            </m:r>
                            <m:r>
                              <m:rPr>
                                <m:nor/>
                              </m:rPr>
                              <w:rPr>
                                <w:rFonts w:cs="Times New Roman"/>
                                <w:i/>
                                <w:sz w:val="21"/>
                                <w:szCs w:val="21"/>
                              </w:rPr>
                              <m:t>x</m:t>
                            </m:r>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ctrlPr>
                          <w:rPr>
                            <w:rFonts w:ascii="Cambria Math" w:hAnsi="Cambria Math" w:cs="Times New Roman"/>
                            <w:i/>
                            <w:sz w:val="21"/>
                            <w:szCs w:val="21"/>
                          </w:rPr>
                        </m:ctrlPr>
                      </m:den>
                    </m:f>
                    <m:r>
                      <m:rPr>
                        <m:nor/>
                        <m:sty m:val="p"/>
                      </m:rPr>
                      <w:rPr>
                        <w:rFonts w:cs="Times New Roman"/>
                        <w:b w:val="0"/>
                        <w:i w:val="0"/>
                        <w:sz w:val="21"/>
                        <w:szCs w:val="21"/>
                      </w:rPr>
                      <m:t>+</m:t>
                    </m:r>
                    <m:f>
                      <m:fPr>
                        <m:ctrlPr>
                          <w:rPr>
                            <w:rFonts w:ascii="Cambria Math" w:hAnsi="Cambria Math" w:cs="Times New Roman"/>
                            <w:i/>
                            <w:sz w:val="21"/>
                            <w:szCs w:val="21"/>
                          </w:rPr>
                        </m:ctrlPr>
                      </m:fPr>
                      <m:num>
                        <m:sSup>
                          <m:sSupPr>
                            <m:ctrlPr>
                              <w:rPr>
                                <w:rFonts w:ascii="Cambria Math" w:hAnsi="Cambria Math" w:cs="Times New Roman"/>
                                <w:i/>
                                <w:sz w:val="21"/>
                                <w:szCs w:val="21"/>
                              </w:rPr>
                            </m:ctrlPr>
                          </m:sSupPr>
                          <m:e>
                            <m:r>
                              <m:rPr>
                                <m:nor/>
                                <m:sty m:val="p"/>
                              </m:rPr>
                              <w:rPr>
                                <w:rFonts w:cs="Times New Roman"/>
                                <w:b w:val="0"/>
                                <w:i w:val="0"/>
                                <w:sz w:val="21"/>
                                <w:szCs w:val="21"/>
                              </w:rPr>
                              <m:t>∂</m:t>
                            </m:r>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r>
                          <m:rPr>
                            <m:nor/>
                          </m:rPr>
                          <w:rPr>
                            <w:rFonts w:cs="Times New Roman"/>
                            <w:i/>
                            <w:sz w:val="21"/>
                            <w:szCs w:val="21"/>
                          </w:rPr>
                          <m:t>u</m:t>
                        </m:r>
                        <m:ctrlPr>
                          <w:rPr>
                            <w:rFonts w:ascii="Cambria Math" w:hAnsi="Cambria Math" w:cs="Times New Roman"/>
                            <w:i/>
                            <w:sz w:val="21"/>
                            <w:szCs w:val="21"/>
                          </w:rPr>
                        </m:ctrlPr>
                      </m:num>
                      <m:den>
                        <m:sSup>
                          <m:sSupPr>
                            <m:ctrlPr>
                              <w:rPr>
                                <w:rFonts w:ascii="Cambria Math" w:hAnsi="Cambria Math" w:cs="Times New Roman"/>
                                <w:i/>
                                <w:sz w:val="21"/>
                                <w:szCs w:val="21"/>
                              </w:rPr>
                            </m:ctrlPr>
                          </m:sSupPr>
                          <m:e>
                            <m:r>
                              <m:rPr>
                                <m:nor/>
                                <m:sty m:val="p"/>
                              </m:rPr>
                              <w:rPr>
                                <w:rFonts w:cs="Times New Roman"/>
                                <w:b w:val="0"/>
                                <w:i w:val="0"/>
                                <w:sz w:val="21"/>
                                <w:szCs w:val="21"/>
                              </w:rPr>
                              <m:t>∂</m:t>
                            </m:r>
                            <m:r>
                              <m:rPr>
                                <m:nor/>
                              </m:rPr>
                              <w:rPr>
                                <w:rFonts w:cs="Times New Roman"/>
                                <w:i/>
                                <w:sz w:val="21"/>
                                <w:szCs w:val="21"/>
                              </w:rPr>
                              <m:t>y</m:t>
                            </m:r>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ctrlPr>
                          <w:rPr>
                            <w:rFonts w:ascii="Cambria Math" w:hAnsi="Cambria Math" w:cs="Times New Roman"/>
                            <w:i/>
                            <w:sz w:val="21"/>
                            <w:szCs w:val="21"/>
                          </w:rPr>
                        </m:ctrlPr>
                      </m:den>
                    </m:f>
                    <m:ctrlPr>
                      <w:rPr>
                        <w:rFonts w:ascii="Cambria Math" w:hAnsi="Cambria Math" w:cs="Times New Roman"/>
                        <w:i/>
                        <w:sz w:val="21"/>
                        <w:szCs w:val="21"/>
                      </w:rPr>
                    </m:ctrlPr>
                  </m:e>
                </m:d>
                <m:r>
                  <m:rPr>
                    <m:nor/>
                    <m:sty m:val="p"/>
                  </m:rPr>
                  <w:rPr>
                    <w:rFonts w:cs="Times New Roman"/>
                    <w:b w:val="0"/>
                    <w:i w:val="0"/>
                    <w:sz w:val="21"/>
                    <w:szCs w:val="21"/>
                  </w:rPr>
                  <m:t>-</m:t>
                </m:r>
                <m:f>
                  <m:fPr>
                    <m:ctrlPr>
                      <w:rPr>
                        <w:rFonts w:ascii="Cambria Math" w:hAnsi="Cambria Math" w:cs="Times New Roman"/>
                        <w:i/>
                        <w:sz w:val="21"/>
                        <w:szCs w:val="21"/>
                      </w:rPr>
                    </m:ctrlPr>
                  </m:fPr>
                  <m:num>
                    <m:sSubSup>
                      <m:sSubSupPr>
                        <m:ctrlPr>
                          <w:rPr>
                            <w:rFonts w:ascii="Cambria Math" w:hAnsi="Cambria Math" w:cs="Times New Roman"/>
                            <w:i/>
                            <w:sz w:val="21"/>
                            <w:szCs w:val="21"/>
                          </w:rPr>
                        </m:ctrlPr>
                      </m:sSubSupPr>
                      <m:e>
                        <m:r>
                          <m:rPr>
                            <m:nor/>
                          </m:rPr>
                          <w:rPr>
                            <w:rFonts w:cs="Times New Roman"/>
                            <w:i/>
                            <w:sz w:val="21"/>
                            <w:szCs w:val="21"/>
                          </w:rPr>
                          <m:t>τ</m:t>
                        </m:r>
                        <m:ctrlPr>
                          <w:rPr>
                            <w:rFonts w:ascii="Cambria Math" w:hAnsi="Cambria Math" w:cs="Times New Roman"/>
                            <w:i/>
                            <w:sz w:val="21"/>
                            <w:szCs w:val="21"/>
                          </w:rPr>
                        </m:ctrlPr>
                      </m:e>
                      <m:sub>
                        <m:r>
                          <m:rPr>
                            <m:nor/>
                          </m:rPr>
                          <w:rPr>
                            <w:rFonts w:cs="Times New Roman"/>
                            <w:i/>
                            <w:sz w:val="21"/>
                            <w:szCs w:val="21"/>
                          </w:rPr>
                          <m:t>b</m:t>
                        </m:r>
                        <m:ctrlPr>
                          <w:rPr>
                            <w:rFonts w:ascii="Cambria Math" w:hAnsi="Cambria Math" w:cs="Times New Roman"/>
                            <w:i/>
                            <w:sz w:val="21"/>
                            <w:szCs w:val="21"/>
                          </w:rPr>
                        </m:ctrlPr>
                      </m:sub>
                      <m:sup>
                        <m:r>
                          <m:rPr>
                            <m:nor/>
                          </m:rPr>
                          <w:rPr>
                            <w:rFonts w:cs="Times New Roman"/>
                            <w:i/>
                            <w:sz w:val="21"/>
                            <w:szCs w:val="21"/>
                          </w:rPr>
                          <m:t>x</m:t>
                        </m:r>
                        <m:ctrlPr>
                          <w:rPr>
                            <w:rFonts w:ascii="Cambria Math" w:hAnsi="Cambria Math" w:cs="Times New Roman"/>
                            <w:i/>
                            <w:sz w:val="21"/>
                            <w:szCs w:val="21"/>
                          </w:rPr>
                        </m:ctrlPr>
                      </m:sup>
                    </m:sSubSup>
                    <m:ctrlPr>
                      <w:rPr>
                        <w:rFonts w:ascii="Cambria Math" w:hAnsi="Cambria Math" w:cs="Times New Roman"/>
                        <w:i/>
                        <w:sz w:val="21"/>
                        <w:szCs w:val="21"/>
                      </w:rPr>
                    </m:ctrlPr>
                  </m:num>
                  <m:den>
                    <m:r>
                      <m:rPr>
                        <m:nor/>
                      </m:rPr>
                      <w:rPr>
                        <w:rFonts w:cs="Times New Roman"/>
                        <w:i/>
                        <w:sz w:val="21"/>
                        <w:szCs w:val="21"/>
                      </w:rPr>
                      <m:t>ρ</m:t>
                    </m:r>
                    <m:ctrlPr>
                      <w:rPr>
                        <w:rFonts w:ascii="Cambria Math" w:hAnsi="Cambria Math" w:cs="Times New Roman"/>
                        <w:i/>
                        <w:sz w:val="21"/>
                        <w:szCs w:val="21"/>
                      </w:rPr>
                    </m:ctrlPr>
                  </m:den>
                </m:f>
              </m:oMath>
            </m:oMathPara>
          </w:p>
        </w:tc>
        <w:tc>
          <w:tcPr>
            <w:tcW w:w="1577"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80"/>
              <w:textAlignment w:val="auto"/>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80"/>
              <w:jc w:val="left"/>
              <w:textAlignment w:val="auto"/>
            </w:pPr>
          </w:p>
        </w:tc>
        <w:tc>
          <w:tcPr>
            <w:tcW w:w="5124"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rFonts w:ascii="Cambria Math" w:hAnsi="Cambria Math"/>
                <w:i/>
                <w:sz w:val="21"/>
                <w:szCs w:val="21"/>
              </w:rPr>
            </w:pPr>
            <m:oMathPara>
              <m:oMathParaPr>
                <m:jc m:val="center"/>
              </m:oMathParaPr>
              <m:oMath>
                <m:f>
                  <m:fPr>
                    <m:ctrlPr>
                      <w:rPr>
                        <w:rFonts w:ascii="Cambria Math" w:hAnsi="Cambria Math" w:cs="Times New Roman"/>
                        <w:i/>
                        <w:sz w:val="21"/>
                        <w:szCs w:val="21"/>
                      </w:rPr>
                    </m:ctrlPr>
                  </m:fPr>
                  <m:num>
                    <m:r>
                      <m:rPr>
                        <m:nor/>
                        <m:sty m:val="p"/>
                      </m:rPr>
                      <w:rPr>
                        <w:rFonts w:cs="Times New Roman"/>
                        <w:b w:val="0"/>
                        <w:i w:val="0"/>
                        <w:sz w:val="21"/>
                        <w:szCs w:val="21"/>
                      </w:rPr>
                      <m:t>∂</m:t>
                    </m:r>
                    <m:r>
                      <m:rPr>
                        <m:nor/>
                      </m:rPr>
                      <w:rPr>
                        <w:rFonts w:cs="Times New Roman"/>
                        <w:i/>
                        <w:sz w:val="21"/>
                        <w:szCs w:val="21"/>
                      </w:rPr>
                      <m:t>v</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t</m:t>
                    </m:r>
                    <m:ctrlPr>
                      <w:rPr>
                        <w:rFonts w:ascii="Cambria Math" w:hAnsi="Cambria Math" w:cs="Times New Roman"/>
                        <w:i/>
                        <w:sz w:val="21"/>
                        <w:szCs w:val="21"/>
                      </w:rPr>
                    </m:ctrlPr>
                  </m:den>
                </m:f>
                <m:r>
                  <m:rPr>
                    <m:nor/>
                    <m:sty m:val="p"/>
                  </m:rPr>
                  <w:rPr>
                    <w:rFonts w:cs="Times New Roman"/>
                    <w:b w:val="0"/>
                    <w:i w:val="0"/>
                    <w:sz w:val="21"/>
                    <w:szCs w:val="21"/>
                  </w:rPr>
                  <m:t>+</m:t>
                </m:r>
                <m:r>
                  <m:rPr>
                    <m:nor/>
                  </m:rPr>
                  <w:rPr>
                    <w:rFonts w:cs="Times New Roman"/>
                    <w:i/>
                    <w:sz w:val="21"/>
                    <w:szCs w:val="21"/>
                  </w:rPr>
                  <m:t>u</m:t>
                </m:r>
                <m:f>
                  <m:fPr>
                    <m:ctrlPr>
                      <w:rPr>
                        <w:rFonts w:ascii="Cambria Math" w:hAnsi="Cambria Math" w:cs="Times New Roman"/>
                        <w:i/>
                        <w:sz w:val="21"/>
                        <w:szCs w:val="21"/>
                      </w:rPr>
                    </m:ctrlPr>
                  </m:fPr>
                  <m:num>
                    <m:r>
                      <m:rPr>
                        <m:nor/>
                        <m:sty m:val="p"/>
                      </m:rPr>
                      <w:rPr>
                        <w:rFonts w:cs="Times New Roman"/>
                        <w:b w:val="0"/>
                        <w:i w:val="0"/>
                        <w:sz w:val="21"/>
                        <w:szCs w:val="21"/>
                      </w:rPr>
                      <m:t>∂</m:t>
                    </m:r>
                    <m:r>
                      <m:rPr>
                        <m:nor/>
                      </m:rPr>
                      <w:rPr>
                        <w:rFonts w:cs="Times New Roman"/>
                        <w:i/>
                        <w:sz w:val="21"/>
                        <w:szCs w:val="21"/>
                      </w:rPr>
                      <m:t>v</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x</m:t>
                    </m:r>
                    <m:ctrlPr>
                      <w:rPr>
                        <w:rFonts w:ascii="Cambria Math" w:hAnsi="Cambria Math" w:cs="Times New Roman"/>
                        <w:i/>
                        <w:sz w:val="21"/>
                        <w:szCs w:val="21"/>
                      </w:rPr>
                    </m:ctrlPr>
                  </m:den>
                </m:f>
                <m:r>
                  <m:rPr>
                    <m:nor/>
                    <m:sty m:val="p"/>
                  </m:rPr>
                  <w:rPr>
                    <w:rFonts w:cs="Times New Roman"/>
                    <w:b w:val="0"/>
                    <w:i w:val="0"/>
                    <w:sz w:val="21"/>
                    <w:szCs w:val="21"/>
                  </w:rPr>
                  <m:t>+</m:t>
                </m:r>
                <m:r>
                  <m:rPr>
                    <m:nor/>
                  </m:rPr>
                  <w:rPr>
                    <w:rFonts w:cs="Times New Roman"/>
                    <w:i/>
                    <w:sz w:val="21"/>
                    <w:szCs w:val="21"/>
                  </w:rPr>
                  <m:t>v</m:t>
                </m:r>
                <m:f>
                  <m:fPr>
                    <m:ctrlPr>
                      <w:rPr>
                        <w:rFonts w:ascii="Cambria Math" w:hAnsi="Cambria Math" w:cs="Times New Roman"/>
                        <w:i/>
                        <w:sz w:val="21"/>
                        <w:szCs w:val="21"/>
                      </w:rPr>
                    </m:ctrlPr>
                  </m:fPr>
                  <m:num>
                    <m:r>
                      <m:rPr>
                        <m:nor/>
                        <m:sty m:val="p"/>
                      </m:rPr>
                      <w:rPr>
                        <w:rFonts w:cs="Times New Roman"/>
                        <w:b w:val="0"/>
                        <w:i w:val="0"/>
                        <w:sz w:val="21"/>
                        <w:szCs w:val="21"/>
                      </w:rPr>
                      <m:t>∂</m:t>
                    </m:r>
                    <m:r>
                      <m:rPr>
                        <m:nor/>
                      </m:rPr>
                      <w:rPr>
                        <w:rFonts w:cs="Times New Roman"/>
                        <w:i/>
                        <w:sz w:val="21"/>
                        <w:szCs w:val="21"/>
                      </w:rPr>
                      <m:t>v</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y</m:t>
                    </m:r>
                    <m:ctrlPr>
                      <w:rPr>
                        <w:rFonts w:ascii="Cambria Math" w:hAnsi="Cambria Math" w:cs="Times New Roman"/>
                        <w:i/>
                        <w:sz w:val="21"/>
                        <w:szCs w:val="21"/>
                      </w:rPr>
                    </m:ctrlPr>
                  </m:den>
                </m:f>
                <m:r>
                  <m:rPr>
                    <m:nor/>
                    <m:sty m:val="p"/>
                  </m:rPr>
                  <w:rPr>
                    <w:rFonts w:cs="Times New Roman"/>
                    <w:b w:val="0"/>
                    <w:i w:val="0"/>
                    <w:sz w:val="21"/>
                    <w:szCs w:val="21"/>
                  </w:rPr>
                  <m:t>=-</m:t>
                </m:r>
                <m:r>
                  <m:rPr>
                    <m:nor/>
                  </m:rPr>
                  <w:rPr>
                    <w:rFonts w:cs="Times New Roman"/>
                    <w:i/>
                    <w:sz w:val="21"/>
                    <w:szCs w:val="21"/>
                  </w:rPr>
                  <m:t>g</m:t>
                </m:r>
                <m:f>
                  <m:fPr>
                    <m:ctrlPr>
                      <w:rPr>
                        <w:rFonts w:ascii="Cambria Math" w:hAnsi="Cambria Math" w:cs="Times New Roman"/>
                        <w:i/>
                        <w:sz w:val="21"/>
                        <w:szCs w:val="21"/>
                      </w:rPr>
                    </m:ctrlPr>
                  </m:fPr>
                  <m:num>
                    <m:r>
                      <m:rPr>
                        <m:nor/>
                        <m:sty m:val="p"/>
                      </m:rPr>
                      <w:rPr>
                        <w:rFonts w:cs="Times New Roman"/>
                        <w:b w:val="0"/>
                        <w:i w:val="0"/>
                        <w:sz w:val="21"/>
                        <w:szCs w:val="21"/>
                      </w:rPr>
                      <m:t>∂</m:t>
                    </m:r>
                    <m:r>
                      <m:rPr>
                        <m:nor/>
                      </m:rPr>
                      <w:rPr>
                        <w:rFonts w:cs="Times New Roman"/>
                        <w:i/>
                        <w:sz w:val="21"/>
                        <w:szCs w:val="21"/>
                      </w:rPr>
                      <m:t>H</m:t>
                    </m:r>
                    <m:ctrlPr>
                      <w:rPr>
                        <w:rFonts w:ascii="Cambria Math" w:hAnsi="Cambria Math" w:cs="Times New Roman"/>
                        <w:i/>
                        <w:sz w:val="21"/>
                        <w:szCs w:val="21"/>
                      </w:rPr>
                    </m:ctrlPr>
                  </m:num>
                  <m:den>
                    <m:r>
                      <m:rPr>
                        <m:nor/>
                        <m:sty m:val="p"/>
                      </m:rPr>
                      <w:rPr>
                        <w:rFonts w:cs="Times New Roman"/>
                        <w:b w:val="0"/>
                        <w:i w:val="0"/>
                        <w:sz w:val="21"/>
                        <w:szCs w:val="21"/>
                      </w:rPr>
                      <m:t>∂</m:t>
                    </m:r>
                    <m:r>
                      <m:rPr>
                        <m:nor/>
                      </m:rPr>
                      <w:rPr>
                        <w:rFonts w:cs="Times New Roman"/>
                        <w:i/>
                        <w:sz w:val="21"/>
                        <w:szCs w:val="21"/>
                      </w:rPr>
                      <m:t>y</m:t>
                    </m:r>
                    <m:ctrlPr>
                      <w:rPr>
                        <w:rFonts w:ascii="Cambria Math" w:hAnsi="Cambria Math" w:cs="Times New Roman"/>
                        <w:i/>
                        <w:sz w:val="21"/>
                        <w:szCs w:val="21"/>
                      </w:rPr>
                    </m:ctrlPr>
                  </m:den>
                </m:f>
                <m:r>
                  <m:rPr>
                    <m:nor/>
                    <m:sty m:val="p"/>
                  </m:rPr>
                  <w:rPr>
                    <w:rFonts w:cs="Times New Roman"/>
                    <w:b w:val="0"/>
                    <w:i w:val="0"/>
                    <w:sz w:val="21"/>
                    <w:szCs w:val="21"/>
                  </w:rPr>
                  <m:t>+</m:t>
                </m:r>
                <m:sSub>
                  <m:sSubPr>
                    <m:ctrlPr>
                      <w:rPr>
                        <w:rFonts w:ascii="Cambria Math" w:hAnsi="Cambria Math" w:cs="Times New Roman"/>
                        <w:i/>
                        <w:sz w:val="21"/>
                        <w:szCs w:val="21"/>
                      </w:rPr>
                    </m:ctrlPr>
                  </m:sSubPr>
                  <m:e>
                    <m:r>
                      <m:rPr>
                        <m:nor/>
                      </m:rPr>
                      <w:rPr>
                        <w:rFonts w:cs="Times New Roman"/>
                        <w:i/>
                        <w:sz w:val="21"/>
                        <w:szCs w:val="21"/>
                      </w:rPr>
                      <m:t>v</m:t>
                    </m:r>
                    <m:ctrlPr>
                      <w:rPr>
                        <w:rFonts w:ascii="Cambria Math" w:hAnsi="Cambria Math" w:cs="Times New Roman"/>
                        <w:i/>
                        <w:sz w:val="21"/>
                        <w:szCs w:val="21"/>
                      </w:rPr>
                    </m:ctrlPr>
                  </m:e>
                  <m:sub>
                    <m:r>
                      <m:rPr>
                        <m:nor/>
                        <m:sty m:val="p"/>
                      </m:rPr>
                      <w:rPr>
                        <w:rFonts w:cs="Times New Roman"/>
                        <w:b w:val="0"/>
                        <w:i w:val="0"/>
                        <w:sz w:val="21"/>
                        <w:szCs w:val="21"/>
                      </w:rPr>
                      <m:t>h</m:t>
                    </m:r>
                    <m:ctrlPr>
                      <w:rPr>
                        <w:rFonts w:ascii="Cambria Math" w:hAnsi="Cambria Math" w:cs="Times New Roman"/>
                        <w:i/>
                        <w:sz w:val="21"/>
                        <w:szCs w:val="21"/>
                      </w:rPr>
                    </m:ctrlPr>
                  </m:sub>
                </m:sSub>
                <m:d>
                  <m:dPr>
                    <m:ctrlPr>
                      <w:rPr>
                        <w:rFonts w:ascii="Cambria Math" w:hAnsi="Cambria Math" w:cs="Times New Roman"/>
                        <w:i/>
                        <w:sz w:val="21"/>
                        <w:szCs w:val="21"/>
                      </w:rPr>
                    </m:ctrlPr>
                  </m:dPr>
                  <m:e>
                    <m:f>
                      <m:fPr>
                        <m:ctrlPr>
                          <w:rPr>
                            <w:rFonts w:ascii="Cambria Math" w:hAnsi="Cambria Math" w:cs="Times New Roman"/>
                            <w:i/>
                            <w:sz w:val="21"/>
                            <w:szCs w:val="21"/>
                          </w:rPr>
                        </m:ctrlPr>
                      </m:fPr>
                      <m:num>
                        <m:sSup>
                          <m:sSupPr>
                            <m:ctrlPr>
                              <w:rPr>
                                <w:rFonts w:ascii="Cambria Math" w:hAnsi="Cambria Math" w:cs="Times New Roman"/>
                                <w:i/>
                                <w:sz w:val="21"/>
                                <w:szCs w:val="21"/>
                              </w:rPr>
                            </m:ctrlPr>
                          </m:sSupPr>
                          <m:e>
                            <m:r>
                              <m:rPr>
                                <m:nor/>
                                <m:sty m:val="p"/>
                              </m:rPr>
                              <w:rPr>
                                <w:rFonts w:cs="Times New Roman"/>
                                <w:b w:val="0"/>
                                <w:i w:val="0"/>
                                <w:sz w:val="21"/>
                                <w:szCs w:val="21"/>
                              </w:rPr>
                              <m:t>∂</m:t>
                            </m:r>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r>
                          <m:rPr>
                            <m:nor/>
                          </m:rPr>
                          <w:rPr>
                            <w:rFonts w:cs="Times New Roman"/>
                            <w:i/>
                            <w:sz w:val="21"/>
                            <w:szCs w:val="21"/>
                          </w:rPr>
                          <m:t>v</m:t>
                        </m:r>
                        <m:ctrlPr>
                          <w:rPr>
                            <w:rFonts w:ascii="Cambria Math" w:hAnsi="Cambria Math" w:cs="Times New Roman"/>
                            <w:i/>
                            <w:sz w:val="21"/>
                            <w:szCs w:val="21"/>
                          </w:rPr>
                        </m:ctrlPr>
                      </m:num>
                      <m:den>
                        <m:sSup>
                          <m:sSupPr>
                            <m:ctrlPr>
                              <w:rPr>
                                <w:rFonts w:ascii="Cambria Math" w:hAnsi="Cambria Math" w:cs="Times New Roman"/>
                                <w:i/>
                                <w:sz w:val="21"/>
                                <w:szCs w:val="21"/>
                              </w:rPr>
                            </m:ctrlPr>
                          </m:sSupPr>
                          <m:e>
                            <m:r>
                              <m:rPr>
                                <m:nor/>
                                <m:sty m:val="p"/>
                              </m:rPr>
                              <w:rPr>
                                <w:rFonts w:cs="Times New Roman"/>
                                <w:b w:val="0"/>
                                <w:i w:val="0"/>
                                <w:sz w:val="21"/>
                                <w:szCs w:val="21"/>
                              </w:rPr>
                              <m:t>∂</m:t>
                            </m:r>
                            <m:r>
                              <m:rPr>
                                <m:nor/>
                              </m:rPr>
                              <w:rPr>
                                <w:rFonts w:cs="Times New Roman"/>
                                <w:i/>
                                <w:sz w:val="21"/>
                                <w:szCs w:val="21"/>
                              </w:rPr>
                              <m:t>x</m:t>
                            </m:r>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ctrlPr>
                          <w:rPr>
                            <w:rFonts w:ascii="Cambria Math" w:hAnsi="Cambria Math" w:cs="Times New Roman"/>
                            <w:i/>
                            <w:sz w:val="21"/>
                            <w:szCs w:val="21"/>
                          </w:rPr>
                        </m:ctrlPr>
                      </m:den>
                    </m:f>
                    <m:r>
                      <m:rPr>
                        <m:nor/>
                        <m:sty m:val="p"/>
                      </m:rPr>
                      <w:rPr>
                        <w:rFonts w:cs="Times New Roman"/>
                        <w:b w:val="0"/>
                        <w:i w:val="0"/>
                        <w:sz w:val="21"/>
                        <w:szCs w:val="21"/>
                      </w:rPr>
                      <m:t>+</m:t>
                    </m:r>
                    <m:f>
                      <m:fPr>
                        <m:ctrlPr>
                          <w:rPr>
                            <w:rFonts w:ascii="Cambria Math" w:hAnsi="Cambria Math" w:cs="Times New Roman"/>
                            <w:i/>
                            <w:sz w:val="21"/>
                            <w:szCs w:val="21"/>
                          </w:rPr>
                        </m:ctrlPr>
                      </m:fPr>
                      <m:num>
                        <m:sSup>
                          <m:sSupPr>
                            <m:ctrlPr>
                              <w:rPr>
                                <w:rFonts w:ascii="Cambria Math" w:hAnsi="Cambria Math" w:cs="Times New Roman"/>
                                <w:i/>
                                <w:sz w:val="21"/>
                                <w:szCs w:val="21"/>
                              </w:rPr>
                            </m:ctrlPr>
                          </m:sSupPr>
                          <m:e>
                            <m:r>
                              <m:rPr>
                                <m:nor/>
                                <m:sty m:val="p"/>
                              </m:rPr>
                              <w:rPr>
                                <w:rFonts w:cs="Times New Roman"/>
                                <w:b w:val="0"/>
                                <w:i w:val="0"/>
                                <w:sz w:val="21"/>
                                <w:szCs w:val="21"/>
                              </w:rPr>
                              <m:t>∂</m:t>
                            </m:r>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r>
                          <m:rPr>
                            <m:nor/>
                          </m:rPr>
                          <w:rPr>
                            <w:rFonts w:cs="Times New Roman"/>
                            <w:i/>
                            <w:sz w:val="21"/>
                            <w:szCs w:val="21"/>
                          </w:rPr>
                          <m:t>v</m:t>
                        </m:r>
                        <m:ctrlPr>
                          <w:rPr>
                            <w:rFonts w:ascii="Cambria Math" w:hAnsi="Cambria Math" w:cs="Times New Roman"/>
                            <w:i/>
                            <w:sz w:val="21"/>
                            <w:szCs w:val="21"/>
                          </w:rPr>
                        </m:ctrlPr>
                      </m:num>
                      <m:den>
                        <m:sSup>
                          <m:sSupPr>
                            <m:ctrlPr>
                              <w:rPr>
                                <w:rFonts w:ascii="Cambria Math" w:hAnsi="Cambria Math" w:cs="Times New Roman"/>
                                <w:i/>
                                <w:sz w:val="21"/>
                                <w:szCs w:val="21"/>
                              </w:rPr>
                            </m:ctrlPr>
                          </m:sSupPr>
                          <m:e>
                            <m:r>
                              <m:rPr>
                                <m:nor/>
                                <m:sty m:val="p"/>
                              </m:rPr>
                              <w:rPr>
                                <w:rFonts w:cs="Times New Roman"/>
                                <w:b w:val="0"/>
                                <w:i w:val="0"/>
                                <w:sz w:val="21"/>
                                <w:szCs w:val="21"/>
                              </w:rPr>
                              <m:t>∂</m:t>
                            </m:r>
                            <m:r>
                              <m:rPr>
                                <m:nor/>
                              </m:rPr>
                              <w:rPr>
                                <w:rFonts w:cs="Times New Roman"/>
                                <w:i/>
                                <w:sz w:val="21"/>
                                <w:szCs w:val="21"/>
                              </w:rPr>
                              <m:t>y</m:t>
                            </m:r>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ctrlPr>
                          <w:rPr>
                            <w:rFonts w:ascii="Cambria Math" w:hAnsi="Cambria Math" w:cs="Times New Roman"/>
                            <w:i/>
                            <w:sz w:val="21"/>
                            <w:szCs w:val="21"/>
                          </w:rPr>
                        </m:ctrlPr>
                      </m:den>
                    </m:f>
                    <m:ctrlPr>
                      <w:rPr>
                        <w:rFonts w:ascii="Cambria Math" w:hAnsi="Cambria Math" w:cs="Times New Roman"/>
                        <w:i/>
                        <w:sz w:val="21"/>
                        <w:szCs w:val="21"/>
                      </w:rPr>
                    </m:ctrlPr>
                  </m:e>
                </m:d>
                <m:r>
                  <m:rPr>
                    <m:nor/>
                    <m:sty m:val="p"/>
                  </m:rPr>
                  <w:rPr>
                    <w:rFonts w:cs="Times New Roman"/>
                    <w:b w:val="0"/>
                    <w:i w:val="0"/>
                    <w:sz w:val="21"/>
                    <w:szCs w:val="21"/>
                  </w:rPr>
                  <m:t>-</m:t>
                </m:r>
                <m:f>
                  <m:fPr>
                    <m:ctrlPr>
                      <w:rPr>
                        <w:rFonts w:ascii="Cambria Math" w:hAnsi="Cambria Math" w:cs="Times New Roman"/>
                        <w:i/>
                        <w:sz w:val="21"/>
                        <w:szCs w:val="21"/>
                      </w:rPr>
                    </m:ctrlPr>
                  </m:fPr>
                  <m:num>
                    <m:sSubSup>
                      <m:sSubSupPr>
                        <m:ctrlPr>
                          <w:rPr>
                            <w:rFonts w:ascii="Cambria Math" w:hAnsi="Cambria Math" w:cs="Times New Roman"/>
                            <w:i/>
                            <w:sz w:val="21"/>
                            <w:szCs w:val="21"/>
                          </w:rPr>
                        </m:ctrlPr>
                      </m:sSubSupPr>
                      <m:e>
                        <m:r>
                          <m:rPr>
                            <m:nor/>
                          </m:rPr>
                          <w:rPr>
                            <w:rFonts w:cs="Times New Roman"/>
                            <w:i/>
                            <w:sz w:val="21"/>
                            <w:szCs w:val="21"/>
                          </w:rPr>
                          <m:t>τ</m:t>
                        </m:r>
                        <m:ctrlPr>
                          <w:rPr>
                            <w:rFonts w:ascii="Cambria Math" w:hAnsi="Cambria Math" w:cs="Times New Roman"/>
                            <w:i/>
                            <w:sz w:val="21"/>
                            <w:szCs w:val="21"/>
                          </w:rPr>
                        </m:ctrlPr>
                      </m:e>
                      <m:sub>
                        <m:r>
                          <m:rPr>
                            <m:nor/>
                          </m:rPr>
                          <w:rPr>
                            <w:rFonts w:cs="Times New Roman"/>
                            <w:i/>
                            <w:sz w:val="21"/>
                            <w:szCs w:val="21"/>
                          </w:rPr>
                          <m:t>b</m:t>
                        </m:r>
                        <m:ctrlPr>
                          <w:rPr>
                            <w:rFonts w:ascii="Cambria Math" w:hAnsi="Cambria Math" w:cs="Times New Roman"/>
                            <w:i/>
                            <w:sz w:val="21"/>
                            <w:szCs w:val="21"/>
                          </w:rPr>
                        </m:ctrlPr>
                      </m:sub>
                      <m:sup>
                        <m:r>
                          <m:rPr>
                            <m:nor/>
                          </m:rPr>
                          <w:rPr>
                            <w:rFonts w:cs="Times New Roman"/>
                            <w:i/>
                            <w:sz w:val="21"/>
                            <w:szCs w:val="21"/>
                          </w:rPr>
                          <m:t>y</m:t>
                        </m:r>
                        <m:ctrlPr>
                          <w:rPr>
                            <w:rFonts w:ascii="Cambria Math" w:hAnsi="Cambria Math" w:cs="Times New Roman"/>
                            <w:i/>
                            <w:sz w:val="21"/>
                            <w:szCs w:val="21"/>
                          </w:rPr>
                        </m:ctrlPr>
                      </m:sup>
                    </m:sSubSup>
                    <m:ctrlPr>
                      <w:rPr>
                        <w:rFonts w:ascii="Cambria Math" w:hAnsi="Cambria Math" w:cs="Times New Roman"/>
                        <w:i/>
                        <w:sz w:val="21"/>
                        <w:szCs w:val="21"/>
                      </w:rPr>
                    </m:ctrlPr>
                  </m:num>
                  <m:den>
                    <m:r>
                      <m:rPr>
                        <m:nor/>
                      </m:rPr>
                      <w:rPr>
                        <w:rFonts w:cs="Times New Roman"/>
                        <w:i/>
                        <w:sz w:val="21"/>
                        <w:szCs w:val="21"/>
                      </w:rPr>
                      <m:t>ρ</m:t>
                    </m:r>
                    <m:ctrlPr>
                      <w:rPr>
                        <w:rFonts w:ascii="Cambria Math" w:hAnsi="Cambria Math" w:cs="Times New Roman"/>
                        <w:i/>
                        <w:sz w:val="21"/>
                        <w:szCs w:val="21"/>
                      </w:rPr>
                    </m:ctrlPr>
                  </m:den>
                </m:f>
              </m:oMath>
            </m:oMathPara>
          </w:p>
        </w:tc>
        <w:tc>
          <w:tcPr>
            <w:tcW w:w="1577"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80"/>
              <w:textAlignment w:val="auto"/>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rFonts w:cs="Times New Roman"/>
          <w:sz w:val="21"/>
        </w:rPr>
      </w:pPr>
      <w:r>
        <w:rPr>
          <w:rFonts w:hint="eastAsia" w:cs="Times New Roman"/>
          <w:sz w:val="21"/>
        </w:rPr>
        <w:t>式中，</w:t>
      </w:r>
      <w:r>
        <w:rPr>
          <w:rFonts w:cs="Times New Roman"/>
          <w:i/>
          <w:iCs/>
          <w:sz w:val="21"/>
        </w:rPr>
        <w:t>h</w:t>
      </w:r>
      <w:r>
        <w:rPr>
          <w:rFonts w:hint="eastAsia" w:cs="Times New Roman"/>
          <w:sz w:val="21"/>
        </w:rPr>
        <w:t>为</w:t>
      </w:r>
      <w:r>
        <w:rPr>
          <w:rFonts w:cs="Times New Roman"/>
          <w:sz w:val="21"/>
        </w:rPr>
        <w:t>水深（m）</w:t>
      </w:r>
      <w:r>
        <w:rPr>
          <w:rFonts w:hint="eastAsia" w:cs="Times New Roman"/>
          <w:sz w:val="21"/>
        </w:rPr>
        <w:t>；</w:t>
      </w:r>
      <w:r>
        <w:rPr>
          <w:rFonts w:hint="eastAsia" w:cs="Times New Roman"/>
          <w:i/>
          <w:iCs/>
          <w:sz w:val="21"/>
        </w:rPr>
        <w:t>u</w:t>
      </w:r>
      <w:r>
        <w:rPr>
          <w:rFonts w:hint="eastAsia" w:cs="Times New Roman"/>
          <w:sz w:val="21"/>
        </w:rPr>
        <w:t>，</w:t>
      </w:r>
      <w:r>
        <w:rPr>
          <w:rFonts w:cs="Times New Roman"/>
          <w:i/>
          <w:iCs/>
          <w:sz w:val="21"/>
        </w:rPr>
        <w:t>v</w:t>
      </w:r>
      <w:r>
        <w:rPr>
          <w:rFonts w:hint="eastAsia" w:cs="Times New Roman"/>
          <w:sz w:val="21"/>
        </w:rPr>
        <w:t>为</w:t>
      </w:r>
      <w:r>
        <w:rPr>
          <w:rFonts w:cs="Times New Roman"/>
          <w:sz w:val="21"/>
        </w:rPr>
        <w:t>在x和y方向的流速分量（m/s）</w:t>
      </w:r>
      <w:r>
        <w:rPr>
          <w:rFonts w:hint="eastAsia" w:cs="Times New Roman"/>
          <w:sz w:val="21"/>
        </w:rPr>
        <w:t>；</w:t>
      </w:r>
      <w:r>
        <w:rPr>
          <w:rFonts w:cs="Times New Roman"/>
          <w:i/>
          <w:iCs/>
          <w:sz w:val="21"/>
        </w:rPr>
        <w:t>q</w:t>
      </w:r>
      <w:r>
        <w:rPr>
          <w:rFonts w:hint="eastAsia" w:cs="Times New Roman"/>
          <w:sz w:val="21"/>
        </w:rPr>
        <w:t>为</w:t>
      </w:r>
      <w:r>
        <w:rPr>
          <w:rFonts w:cs="Times New Roman"/>
          <w:sz w:val="21"/>
        </w:rPr>
        <w:t>单位面积上的外部源汇项（m/s）</w:t>
      </w:r>
      <w:r>
        <w:rPr>
          <w:rFonts w:hint="eastAsia" w:cs="Times New Roman"/>
          <w:sz w:val="21"/>
        </w:rPr>
        <w:t>；</w:t>
      </w:r>
      <w:r>
        <w:rPr>
          <w:rFonts w:cs="Times New Roman"/>
          <w:i/>
          <w:iCs/>
          <w:sz w:val="21"/>
        </w:rPr>
        <w:t>t</w:t>
      </w:r>
      <w:r>
        <w:rPr>
          <w:rFonts w:hint="eastAsia" w:cs="Times New Roman"/>
          <w:sz w:val="21"/>
        </w:rPr>
        <w:t>为</w:t>
      </w:r>
      <w:r>
        <w:rPr>
          <w:rFonts w:cs="Times New Roman"/>
          <w:sz w:val="21"/>
        </w:rPr>
        <w:t>时间（s）</w:t>
      </w:r>
      <w:r>
        <w:rPr>
          <w:rFonts w:hint="eastAsia" w:cs="Times New Roman"/>
          <w:sz w:val="21"/>
        </w:rPr>
        <w:t>；</w:t>
      </w:r>
      <w:r>
        <w:rPr>
          <w:rFonts w:cs="Times New Roman"/>
          <w:i/>
          <w:iCs/>
          <w:sz w:val="21"/>
        </w:rPr>
        <w:t>H=h+z</w:t>
      </w:r>
      <w:r>
        <w:rPr>
          <w:rFonts w:hint="eastAsia" w:cs="Times New Roman"/>
          <w:sz w:val="21"/>
        </w:rPr>
        <w:t>为</w:t>
      </w:r>
      <w:r>
        <w:rPr>
          <w:rFonts w:cs="Times New Roman"/>
          <w:sz w:val="21"/>
        </w:rPr>
        <w:t>总水深（m）</w:t>
      </w:r>
      <w:r>
        <w:rPr>
          <w:rFonts w:hint="eastAsia" w:cs="Times New Roman"/>
          <w:sz w:val="21"/>
        </w:rPr>
        <w:t>；</w:t>
      </w:r>
      <w:r>
        <w:rPr>
          <w:rFonts w:hint="eastAsia" w:cs="Times New Roman"/>
          <w:i/>
          <w:iCs/>
          <w:sz w:val="21"/>
        </w:rPr>
        <w:t>g</w:t>
      </w:r>
      <w:r>
        <w:rPr>
          <w:rFonts w:hint="eastAsia" w:cs="Times New Roman"/>
          <w:sz w:val="21"/>
        </w:rPr>
        <w:t>为</w:t>
      </w:r>
      <w:r>
        <w:rPr>
          <w:rFonts w:cs="Times New Roman"/>
          <w:sz w:val="21"/>
        </w:rPr>
        <w:t>重力加速度</w:t>
      </w:r>
      <w:r>
        <w:rPr>
          <w:rFonts w:hint="eastAsia" w:cs="Times New Roman"/>
          <w:sz w:val="21"/>
        </w:rPr>
        <w:t>，取值为9.81m/s</w:t>
      </w:r>
      <w:r>
        <w:rPr>
          <w:rFonts w:hint="eastAsia" w:cs="Times New Roman"/>
          <w:sz w:val="21"/>
          <w:vertAlign w:val="superscript"/>
        </w:rPr>
        <w:t>2</w:t>
      </w:r>
      <w:r>
        <w:rPr>
          <w:rFonts w:hint="eastAsia" w:cs="Times New Roman"/>
          <w:sz w:val="21"/>
        </w:rPr>
        <w:t>；</w:t>
      </w:r>
      <w:r>
        <w:rPr>
          <w:rFonts w:cs="Times New Roman"/>
          <w:i/>
          <w:iCs/>
          <w:sz w:val="21"/>
        </w:rPr>
        <w:t>ν</w:t>
      </w:r>
      <w:r>
        <w:rPr>
          <w:rFonts w:cs="Times New Roman"/>
          <w:i/>
          <w:iCs/>
          <w:sz w:val="21"/>
          <w:vertAlign w:val="subscript"/>
        </w:rPr>
        <w:t>h</w:t>
      </w:r>
      <w:r>
        <w:rPr>
          <w:rFonts w:hint="eastAsia" w:cs="Times New Roman"/>
          <w:sz w:val="21"/>
        </w:rPr>
        <w:t>为</w:t>
      </w:r>
      <w:r>
        <w:rPr>
          <w:rFonts w:cs="Times New Roman"/>
          <w:sz w:val="21"/>
        </w:rPr>
        <w:t>水平涡动</w:t>
      </w:r>
      <w:r>
        <w:rPr>
          <w:rFonts w:cs="Times New Roman"/>
          <w:sz w:val="21"/>
          <w:lang w:val="en"/>
        </w:rPr>
        <w:t>黏</w:t>
      </w:r>
      <w:r>
        <w:rPr>
          <w:rFonts w:cs="Times New Roman"/>
          <w:sz w:val="21"/>
        </w:rPr>
        <w:t>性系数，用于描述湍流扩散作用（m</w:t>
      </w:r>
      <w:r>
        <w:rPr>
          <w:rFonts w:cs="Times New Roman"/>
          <w:sz w:val="21"/>
          <w:vertAlign w:val="superscript"/>
        </w:rPr>
        <w:t>2</w:t>
      </w:r>
      <w:r>
        <w:rPr>
          <w:rFonts w:hint="eastAsia" w:cs="Times New Roman"/>
          <w:sz w:val="21"/>
        </w:rPr>
        <w:t>/</w:t>
      </w:r>
      <w:r>
        <w:rPr>
          <w:rFonts w:cs="Times New Roman"/>
          <w:sz w:val="21"/>
        </w:rPr>
        <w:t>s）</w:t>
      </w:r>
      <w:r>
        <w:rPr>
          <w:rFonts w:hint="eastAsia" w:cs="Times New Roman"/>
          <w:sz w:val="21"/>
        </w:rPr>
        <w:t>；</w:t>
      </w:r>
      <m:oMath>
        <m:sSubSup>
          <m:sSubSupPr>
            <m:ctrlPr>
              <w:rPr>
                <w:rFonts w:ascii="Cambria Math" w:hAnsi="Cambria Math" w:cs="Times New Roman"/>
                <w:i/>
                <w:iCs/>
                <w:sz w:val="21"/>
              </w:rPr>
            </m:ctrlPr>
          </m:sSubSupPr>
          <m:e>
            <m:r>
              <m:rPr/>
              <w:rPr>
                <w:rFonts w:ascii="Cambria Math" w:hAnsi="Cambria Math" w:cs="Times New Roman"/>
                <w:sz w:val="21"/>
              </w:rPr>
              <m:t>τ</m:t>
            </m:r>
            <m:ctrlPr>
              <w:rPr>
                <w:rFonts w:ascii="Cambria Math" w:hAnsi="Cambria Math" w:cs="Times New Roman"/>
                <w:i/>
                <w:iCs/>
                <w:sz w:val="21"/>
              </w:rPr>
            </m:ctrlPr>
          </m:e>
          <m:sub>
            <m:r>
              <m:rPr/>
              <w:rPr>
                <w:rFonts w:ascii="Cambria Math" w:hAnsi="Cambria Math" w:cs="Times New Roman"/>
                <w:sz w:val="21"/>
              </w:rPr>
              <m:t>b</m:t>
            </m:r>
            <m:ctrlPr>
              <w:rPr>
                <w:rFonts w:ascii="Cambria Math" w:hAnsi="Cambria Math" w:cs="Times New Roman"/>
                <w:i/>
                <w:iCs/>
                <w:sz w:val="21"/>
              </w:rPr>
            </m:ctrlPr>
          </m:sub>
          <m:sup>
            <m:r>
              <m:rPr/>
              <w:rPr>
                <w:rFonts w:ascii="Cambria Math" w:hAnsi="Cambria Math" w:cs="Times New Roman"/>
                <w:sz w:val="21"/>
              </w:rPr>
              <m:t>x</m:t>
            </m:r>
            <m:ctrlPr>
              <w:rPr>
                <w:rFonts w:ascii="Cambria Math" w:hAnsi="Cambria Math" w:cs="Times New Roman"/>
                <w:i/>
                <w:iCs/>
                <w:sz w:val="21"/>
              </w:rPr>
            </m:ctrlPr>
          </m:sup>
        </m:sSubSup>
      </m:oMath>
      <w:r>
        <w:rPr>
          <w:rFonts w:hint="eastAsia" w:cs="Times New Roman"/>
          <w:sz w:val="21"/>
        </w:rPr>
        <w:t>，</w:t>
      </w:r>
      <m:oMath>
        <m:sSubSup>
          <m:sSubSupPr>
            <m:ctrlPr>
              <w:rPr>
                <w:rFonts w:ascii="Cambria Math" w:hAnsi="Cambria Math" w:cs="Times New Roman"/>
                <w:i/>
                <w:iCs/>
                <w:sz w:val="21"/>
              </w:rPr>
            </m:ctrlPr>
          </m:sSubSupPr>
          <m:e>
            <m:r>
              <m:rPr/>
              <w:rPr>
                <w:rFonts w:ascii="Cambria Math" w:hAnsi="Cambria Math" w:cs="Times New Roman"/>
                <w:sz w:val="21"/>
              </w:rPr>
              <m:t>τ</m:t>
            </m:r>
            <m:ctrlPr>
              <w:rPr>
                <w:rFonts w:ascii="Cambria Math" w:hAnsi="Cambria Math" w:cs="Times New Roman"/>
                <w:i/>
                <w:iCs/>
                <w:sz w:val="21"/>
              </w:rPr>
            </m:ctrlPr>
          </m:e>
          <m:sub>
            <m:r>
              <m:rPr/>
              <w:rPr>
                <w:rFonts w:ascii="Cambria Math" w:hAnsi="Cambria Math" w:cs="Times New Roman"/>
                <w:sz w:val="21"/>
              </w:rPr>
              <m:t>b</m:t>
            </m:r>
            <m:ctrlPr>
              <w:rPr>
                <w:rFonts w:ascii="Cambria Math" w:hAnsi="Cambria Math" w:cs="Times New Roman"/>
                <w:i/>
                <w:iCs/>
                <w:sz w:val="21"/>
              </w:rPr>
            </m:ctrlPr>
          </m:sub>
          <m:sup>
            <m:r>
              <m:rPr/>
              <w:rPr>
                <w:rFonts w:ascii="Cambria Math" w:hAnsi="Cambria Math" w:cs="Times New Roman"/>
                <w:sz w:val="21"/>
              </w:rPr>
              <m:t>y</m:t>
            </m:r>
            <m:ctrlPr>
              <w:rPr>
                <w:rFonts w:ascii="Cambria Math" w:hAnsi="Cambria Math" w:cs="Times New Roman"/>
                <w:i/>
                <w:iCs/>
                <w:sz w:val="21"/>
              </w:rPr>
            </m:ctrlPr>
          </m:sup>
        </m:sSubSup>
      </m:oMath>
      <w:r>
        <w:rPr>
          <w:rFonts w:hint="eastAsia" w:cs="Times New Roman"/>
          <w:sz w:val="21"/>
        </w:rPr>
        <w:t>为</w:t>
      </w:r>
      <w:r>
        <w:rPr>
          <w:rFonts w:cs="Times New Roman"/>
          <w:sz w:val="21"/>
        </w:rPr>
        <w:t>底部摩擦力在</w:t>
      </w:r>
      <w:r>
        <w:rPr>
          <w:rFonts w:cs="Times New Roman"/>
          <w:i/>
          <w:iCs/>
          <w:sz w:val="21"/>
        </w:rPr>
        <w:t>x</w:t>
      </w:r>
      <w:r>
        <w:rPr>
          <w:rFonts w:cs="Times New Roman"/>
          <w:sz w:val="21"/>
        </w:rPr>
        <w:t>和</w:t>
      </w:r>
      <w:r>
        <w:rPr>
          <w:rFonts w:cs="Times New Roman"/>
          <w:i/>
          <w:iCs/>
          <w:sz w:val="21"/>
        </w:rPr>
        <w:t>y</w:t>
      </w:r>
      <w:r>
        <w:rPr>
          <w:rFonts w:cs="Times New Roman"/>
          <w:sz w:val="21"/>
        </w:rPr>
        <w:t>方向的分量（N/m</w:t>
      </w:r>
      <w:r>
        <w:rPr>
          <w:rFonts w:cs="Times New Roman"/>
          <w:sz w:val="21"/>
          <w:vertAlign w:val="superscript"/>
        </w:rPr>
        <w:t>2</w:t>
      </w:r>
      <w:r>
        <w:rPr>
          <w:rFonts w:cs="Times New Roman"/>
          <w:sz w:val="21"/>
        </w:rPr>
        <w:t>）</w:t>
      </w:r>
      <w:r>
        <w:rPr>
          <w:rFonts w:hint="eastAsia" w:cs="Times New Roman"/>
          <w:sz w:val="21"/>
        </w:rPr>
        <w:t>；</w:t>
      </w:r>
      <w:r>
        <w:rPr>
          <w:rFonts w:cs="Times New Roman"/>
          <w:i/>
          <w:iCs/>
          <w:sz w:val="21"/>
        </w:rPr>
        <w:t>ρ</w:t>
      </w:r>
      <w:r>
        <w:rPr>
          <w:rFonts w:hint="eastAsia" w:cs="Times New Roman"/>
          <w:sz w:val="21"/>
        </w:rPr>
        <w:t>为</w:t>
      </w:r>
      <w:r>
        <w:rPr>
          <w:rFonts w:cs="Times New Roman"/>
          <w:sz w:val="21"/>
        </w:rPr>
        <w:t>水体密度（kg/m</w:t>
      </w:r>
      <w:r>
        <w:rPr>
          <w:rFonts w:cs="Times New Roman"/>
          <w:sz w:val="21"/>
          <w:vertAlign w:val="superscript"/>
        </w:rPr>
        <w:t>3</w:t>
      </w:r>
      <w:r>
        <w:rPr>
          <w:rFonts w:cs="Times New Roman"/>
          <w:sz w:val="21"/>
        </w:rPr>
        <w:t>）</w:t>
      </w:r>
      <w:r>
        <w:rPr>
          <w:rFonts w:hint="eastAsia" w:cs="Times New Roman"/>
          <w:sz w:val="21"/>
        </w:rPr>
        <w:t>。</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德兴市城区MIKEFLOOD模型采用二维地表漫流模型（MIKE21）与一维河网模型（MIKE11）耦合构建。其中，MIKE21模型主要涉及地形与糙率两类输入文件。利用无人机航拍获取的研究区地形数据提取高程点，生成模型所需的地形文件。根据不同地表类型设定相应的糙率参数，该参数以曼宁系数表示，并依据《水力计算手册》进行取值。具体糙率取值如下：耕地为18.18，林地为14.29，草地为20.00，水域为40.00，房屋建筑用地为11.11。</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在MIKE11模型构建中，需要制作河网文件、断面文件、边界文件以及参数文件。在GIS平台上绘制河网中心线，形成河网文件。通过实地断面测量获取河道形态数据，测量工作采用RTK技术，沿河道以约600米间距布设断面，形成断面文件。</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边界文件使用银山水文站2022年6月18日12：00至6月23日12：00实测洪水流量过程作为MIKE11的边界输入条件，银山水文站、河道断面位置及社区分布情况如图2所示。</w:t>
      </w:r>
    </w:p>
    <w:p>
      <w:pPr>
        <w:pStyle w:val="2"/>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ascii="Times New Roman" w:hAnsi="Times New Roman" w:cs="Times New Roman" w:eastAsiaTheme="minorEastAsia"/>
          <w:szCs w:val="21"/>
          <w:lang w:eastAsia="zh-CN"/>
        </w:rPr>
      </w:pPr>
      <w:r>
        <w:rPr>
          <w:rFonts w:ascii="Times New Roman" w:hAnsi="Times New Roman" w:cs="Times New Roman" w:eastAsiaTheme="minorEastAsia"/>
          <w:szCs w:val="21"/>
          <w:lang w:eastAsia="zh-CN"/>
        </w:rPr>
        <w:drawing>
          <wp:inline distT="0" distB="0" distL="114300" distR="114300">
            <wp:extent cx="5273675" cy="3728720"/>
            <wp:effectExtent l="0" t="0" r="9525" b="5080"/>
            <wp:docPr id="3" name="图片 3" descr="银山水文站位置"/>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银山水文站位置"/>
                    <pic:cNvPicPr>
                      <a:picLocks noChangeAspect="true"/>
                    </pic:cNvPicPr>
                  </pic:nvPicPr>
                  <pic:blipFill>
                    <a:blip r:embed="rId14"/>
                    <a:stretch>
                      <a:fillRect/>
                    </a:stretch>
                  </pic:blipFill>
                  <pic:spPr>
                    <a:xfrm>
                      <a:off x="0" y="0"/>
                      <a:ext cx="5273675" cy="3728720"/>
                    </a:xfrm>
                    <a:prstGeom prst="rect">
                      <a:avLst/>
                    </a:prstGeom>
                  </pic:spPr>
                </pic:pic>
              </a:graphicData>
            </a:graphic>
          </wp:inline>
        </w:drawing>
      </w:r>
    </w:p>
    <w:p>
      <w:pPr>
        <w:pStyle w:val="2"/>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hint="eastAsia" w:eastAsia="黑体" w:cs="Times New Roman"/>
          <w:sz w:val="18"/>
          <w:szCs w:val="18"/>
          <w:lang w:eastAsia="zh-CN"/>
        </w:rPr>
      </w:pPr>
      <w:r>
        <w:rPr>
          <w:rFonts w:hint="eastAsia" w:ascii="Times New Roman" w:hAnsi="Times New Roman" w:eastAsia="黑体" w:cs="Times New Roman"/>
          <w:sz w:val="18"/>
          <w:szCs w:val="18"/>
          <w:lang w:eastAsia="zh-CN"/>
        </w:rPr>
        <w:t>图2  银山水文站、河道</w:t>
      </w:r>
      <w:r>
        <w:rPr>
          <w:rFonts w:hint="eastAsia" w:eastAsia="黑体" w:cs="Times New Roman"/>
          <w:sz w:val="18"/>
          <w:szCs w:val="18"/>
          <w:lang w:eastAsia="zh-CN"/>
        </w:rPr>
        <w:t>断面位置与社区分布</w:t>
      </w:r>
    </w:p>
    <w:p>
      <w:pPr>
        <w:pStyle w:val="2"/>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ascii="Times New Roman" w:hAnsi="Times New Roman" w:eastAsia="黑体" w:cs="Times New Roman"/>
          <w:bCs/>
          <w:sz w:val="18"/>
          <w:szCs w:val="18"/>
          <w:lang w:eastAsia="zh-CN"/>
        </w:rPr>
      </w:pPr>
      <w:r>
        <w:rPr>
          <w:rFonts w:ascii="Times New Roman" w:hAnsi="Times New Roman" w:eastAsia="黑体" w:cs="Times New Roman"/>
          <w:bCs/>
          <w:sz w:val="18"/>
          <w:szCs w:val="18"/>
          <w:lang w:eastAsia="zh-CN"/>
        </w:rPr>
        <w:t>Fig.</w:t>
      </w:r>
      <w:r>
        <w:rPr>
          <w:rFonts w:hint="eastAsia" w:ascii="Times New Roman" w:hAnsi="Times New Roman" w:eastAsia="黑体" w:cs="Times New Roman"/>
          <w:bCs/>
          <w:sz w:val="18"/>
          <w:szCs w:val="18"/>
          <w:lang w:eastAsia="zh-CN"/>
        </w:rPr>
        <w:t xml:space="preserve">2  </w:t>
      </w:r>
      <w:r>
        <w:rPr>
          <w:rFonts w:ascii="Times New Roman" w:hAnsi="Times New Roman" w:eastAsia="黑体" w:cs="Times New Roman"/>
          <w:bCs/>
          <w:sz w:val="18"/>
          <w:szCs w:val="18"/>
          <w:lang w:eastAsia="zh-CN"/>
        </w:rPr>
        <w:t>Location</w:t>
      </w:r>
      <w:r>
        <w:rPr>
          <w:rFonts w:hint="eastAsia" w:ascii="Times New Roman" w:hAnsi="Times New Roman" w:eastAsia="黑体" w:cs="Times New Roman"/>
          <w:bCs/>
          <w:sz w:val="18"/>
          <w:szCs w:val="18"/>
          <w:lang w:eastAsia="zh-CN"/>
        </w:rPr>
        <w:t>s</w:t>
      </w:r>
      <w:r>
        <w:rPr>
          <w:rFonts w:ascii="Times New Roman" w:hAnsi="Times New Roman" w:eastAsia="黑体" w:cs="Times New Roman"/>
          <w:bCs/>
          <w:sz w:val="18"/>
          <w:szCs w:val="18"/>
          <w:lang w:eastAsia="zh-CN"/>
        </w:rPr>
        <w:t xml:space="preserve"> of </w:t>
      </w:r>
      <w:r>
        <w:rPr>
          <w:rFonts w:hint="eastAsia" w:ascii="Times New Roman" w:hAnsi="Times New Roman" w:eastAsia="黑体" w:cs="Times New Roman"/>
          <w:bCs/>
          <w:sz w:val="18"/>
          <w:szCs w:val="18"/>
          <w:lang w:eastAsia="zh-CN"/>
        </w:rPr>
        <w:t>Y</w:t>
      </w:r>
      <w:r>
        <w:rPr>
          <w:rFonts w:ascii="Times New Roman" w:hAnsi="Times New Roman" w:eastAsia="黑体" w:cs="Times New Roman"/>
          <w:bCs/>
          <w:sz w:val="18"/>
          <w:szCs w:val="18"/>
          <w:lang w:eastAsia="zh-CN"/>
        </w:rPr>
        <w:t xml:space="preserve">inshan </w:t>
      </w:r>
      <w:r>
        <w:rPr>
          <w:rFonts w:hint="eastAsia" w:ascii="Times New Roman" w:hAnsi="Times New Roman" w:eastAsia="黑体" w:cs="Times New Roman"/>
          <w:bCs/>
          <w:sz w:val="18"/>
          <w:szCs w:val="18"/>
          <w:lang w:eastAsia="zh-CN"/>
        </w:rPr>
        <w:t>h</w:t>
      </w:r>
      <w:r>
        <w:rPr>
          <w:rFonts w:ascii="Times New Roman" w:hAnsi="Times New Roman" w:eastAsia="黑体" w:cs="Times New Roman"/>
          <w:bCs/>
          <w:sz w:val="18"/>
          <w:szCs w:val="18"/>
          <w:lang w:eastAsia="zh-CN"/>
        </w:rPr>
        <w:t xml:space="preserve">ydrological </w:t>
      </w:r>
      <w:r>
        <w:rPr>
          <w:rFonts w:hint="eastAsia" w:ascii="Times New Roman" w:hAnsi="Times New Roman" w:eastAsia="黑体" w:cs="Times New Roman"/>
          <w:bCs/>
          <w:sz w:val="18"/>
          <w:szCs w:val="18"/>
          <w:lang w:eastAsia="zh-CN"/>
        </w:rPr>
        <w:t>s</w:t>
      </w:r>
      <w:r>
        <w:rPr>
          <w:rFonts w:ascii="Times New Roman" w:hAnsi="Times New Roman" w:eastAsia="黑体" w:cs="Times New Roman"/>
          <w:bCs/>
          <w:sz w:val="18"/>
          <w:szCs w:val="18"/>
          <w:lang w:eastAsia="zh-CN"/>
        </w:rPr>
        <w:t xml:space="preserve">tation, </w:t>
      </w:r>
      <w:r>
        <w:rPr>
          <w:rFonts w:hint="eastAsia" w:ascii="Times New Roman" w:hAnsi="Times New Roman" w:eastAsia="黑体" w:cs="Times New Roman"/>
          <w:bCs/>
          <w:sz w:val="18"/>
          <w:szCs w:val="18"/>
          <w:lang w:eastAsia="zh-CN"/>
        </w:rPr>
        <w:t>r</w:t>
      </w:r>
      <w:r>
        <w:rPr>
          <w:rFonts w:ascii="Times New Roman" w:hAnsi="Times New Roman" w:eastAsia="黑体" w:cs="Times New Roman"/>
          <w:bCs/>
          <w:sz w:val="18"/>
          <w:szCs w:val="18"/>
          <w:lang w:eastAsia="zh-CN"/>
        </w:rPr>
        <w:t xml:space="preserve">iver </w:t>
      </w:r>
      <w:r>
        <w:rPr>
          <w:rFonts w:hint="eastAsia" w:ascii="Times New Roman" w:hAnsi="Times New Roman" w:eastAsia="黑体" w:cs="Times New Roman"/>
          <w:bCs/>
          <w:sz w:val="18"/>
          <w:szCs w:val="18"/>
          <w:lang w:eastAsia="zh-CN"/>
        </w:rPr>
        <w:t>c</w:t>
      </w:r>
      <w:r>
        <w:rPr>
          <w:rFonts w:ascii="Times New Roman" w:hAnsi="Times New Roman" w:eastAsia="黑体" w:cs="Times New Roman"/>
          <w:bCs/>
          <w:sz w:val="18"/>
          <w:szCs w:val="18"/>
          <w:lang w:eastAsia="zh-CN"/>
        </w:rPr>
        <w:t>ross-</w:t>
      </w:r>
      <w:r>
        <w:rPr>
          <w:rFonts w:hint="eastAsia" w:ascii="Times New Roman" w:hAnsi="Times New Roman" w:eastAsia="黑体" w:cs="Times New Roman"/>
          <w:bCs/>
          <w:sz w:val="18"/>
          <w:szCs w:val="18"/>
          <w:lang w:eastAsia="zh-CN"/>
        </w:rPr>
        <w:t>s</w:t>
      </w:r>
      <w:r>
        <w:rPr>
          <w:rFonts w:ascii="Times New Roman" w:hAnsi="Times New Roman" w:eastAsia="黑体" w:cs="Times New Roman"/>
          <w:bCs/>
          <w:sz w:val="18"/>
          <w:szCs w:val="18"/>
          <w:lang w:eastAsia="zh-CN"/>
        </w:rPr>
        <w:t>ection</w:t>
      </w:r>
      <w:r>
        <w:rPr>
          <w:rFonts w:hint="eastAsia" w:ascii="Times New Roman" w:hAnsi="Times New Roman" w:eastAsia="黑体" w:cs="Times New Roman"/>
          <w:bCs/>
          <w:sz w:val="18"/>
          <w:szCs w:val="18"/>
          <w:lang w:eastAsia="zh-CN"/>
        </w:rPr>
        <w:t>s</w:t>
      </w:r>
      <w:r>
        <w:rPr>
          <w:rFonts w:ascii="Times New Roman" w:hAnsi="Times New Roman" w:eastAsia="黑体" w:cs="Times New Roman"/>
          <w:bCs/>
          <w:sz w:val="18"/>
          <w:szCs w:val="18"/>
          <w:lang w:eastAsia="zh-CN"/>
        </w:rPr>
        <w:t xml:space="preserve">, and </w:t>
      </w:r>
      <w:r>
        <w:rPr>
          <w:rFonts w:hint="eastAsia" w:ascii="Times New Roman" w:hAnsi="Times New Roman" w:eastAsia="黑体" w:cs="Times New Roman"/>
          <w:bCs/>
          <w:sz w:val="18"/>
          <w:szCs w:val="18"/>
          <w:lang w:eastAsia="zh-CN"/>
        </w:rPr>
        <w:t>c</w:t>
      </w:r>
      <w:r>
        <w:rPr>
          <w:rFonts w:ascii="Times New Roman" w:hAnsi="Times New Roman" w:eastAsia="黑体" w:cs="Times New Roman"/>
          <w:bCs/>
          <w:sz w:val="18"/>
          <w:szCs w:val="18"/>
          <w:lang w:eastAsia="zh-CN"/>
        </w:rPr>
        <w:t>ommunities</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该场次洪水是德兴市近年来遭遇的极具代表性的极端洪水事件，其降雨时间跨度长，前期降雨使流域内土壤含水量迅速增加并达到饱和，再受到6月20日超过12h的高强度降水驱动，引发河道流量陡涨，造成洪灾，降雨流量过程</w:t>
      </w:r>
      <w:r>
        <w:rPr>
          <w:rFonts w:cs="Times New Roman"/>
          <w:sz w:val="21"/>
          <w:lang w:val="en"/>
        </w:rPr>
        <w:t>如</w:t>
      </w:r>
      <w:r>
        <w:rPr>
          <w:rFonts w:hint="eastAsia" w:cs="Times New Roman"/>
          <w:sz w:val="21"/>
        </w:rPr>
        <w:t>图3</w:t>
      </w:r>
      <w:r>
        <w:rPr>
          <w:rFonts w:cs="Times New Roman"/>
          <w:sz w:val="21"/>
          <w:lang w:val="en"/>
        </w:rPr>
        <w:t>所示</w:t>
      </w:r>
      <w:r>
        <w:rPr>
          <w:rFonts w:hint="eastAsia" w:cs="Times New Roman"/>
          <w:sz w:val="21"/>
        </w:rPr>
        <w:t>。银山水文站“20220620”场次历史洪水实测洪峰流量为1610m</w:t>
      </w:r>
      <w:r>
        <w:rPr>
          <w:rFonts w:hint="eastAsia" w:cs="Times New Roman"/>
          <w:sz w:val="21"/>
          <w:vertAlign w:val="superscript"/>
        </w:rPr>
        <w:t>3</w:t>
      </w:r>
      <w:r>
        <w:rPr>
          <w:rFonts w:hint="eastAsia" w:cs="Times New Roman"/>
          <w:sz w:val="21"/>
        </w:rPr>
        <w:t>/s，通过收集1981年至2023年的洪峰流量数据经P-Ⅲ型曲线适线计算，银山水文站20a一遇设计洪峰流量约为1568m</w:t>
      </w:r>
      <w:r>
        <w:rPr>
          <w:rFonts w:hint="eastAsia" w:cs="Times New Roman"/>
          <w:sz w:val="21"/>
          <w:vertAlign w:val="superscript"/>
        </w:rPr>
        <w:t>3</w:t>
      </w:r>
      <w:r>
        <w:rPr>
          <w:rFonts w:hint="eastAsia" w:cs="Times New Roman"/>
          <w:sz w:val="21"/>
        </w:rPr>
        <w:t>/s，50a一遇设计洪峰流量约为2029m</w:t>
      </w:r>
      <w:r>
        <w:rPr>
          <w:rFonts w:hint="eastAsia" w:cs="Times New Roman"/>
          <w:sz w:val="21"/>
          <w:vertAlign w:val="superscript"/>
        </w:rPr>
        <w:t>3</w:t>
      </w:r>
      <w:r>
        <w:rPr>
          <w:rFonts w:hint="eastAsia" w:cs="Times New Roman"/>
          <w:sz w:val="21"/>
        </w:rPr>
        <w:t>/s，可得银山水文站“20220620”场次洪水洪峰重现期约为23a一遇。</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sz w:val="21"/>
        </w:rPr>
      </w:pPr>
      <w:r>
        <w:rPr>
          <w:rFonts w:hint="eastAsia" w:cs="Times New Roman"/>
          <w:sz w:val="21"/>
        </w:rPr>
        <w:drawing>
          <wp:inline distT="0" distB="0" distL="114300" distR="114300">
            <wp:extent cx="3556635" cy="2721610"/>
            <wp:effectExtent l="0" t="0" r="12065" b="8890"/>
            <wp:docPr id="2" name="图片 2" descr="Graph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Graph1"/>
                    <pic:cNvPicPr>
                      <a:picLocks noChangeAspect="true"/>
                    </pic:cNvPicPr>
                  </pic:nvPicPr>
                  <pic:blipFill>
                    <a:blip r:embed="rId15"/>
                    <a:stretch>
                      <a:fillRect/>
                    </a:stretch>
                  </pic:blipFill>
                  <pic:spPr>
                    <a:xfrm>
                      <a:off x="0" y="0"/>
                      <a:ext cx="3556635" cy="2721610"/>
                    </a:xfrm>
                    <a:prstGeom prst="rect">
                      <a:avLst/>
                    </a:prstGeom>
                  </pic:spPr>
                </pic:pic>
              </a:graphicData>
            </a:graphic>
          </wp:inline>
        </w:drawing>
      </w:r>
    </w:p>
    <w:p>
      <w:pPr>
        <w:pageBreakBefore w:val="0"/>
        <w:kinsoku/>
        <w:wordWrap/>
        <w:overflowPunct/>
        <w:topLinePunct w:val="0"/>
        <w:autoSpaceDE/>
        <w:autoSpaceDN/>
        <w:bidi w:val="0"/>
        <w:adjustRightInd/>
        <w:spacing w:beforeAutospacing="0" w:afterAutospacing="0" w:line="240" w:lineRule="auto"/>
        <w:ind w:firstLine="482" w:firstLineChars="0"/>
        <w:jc w:val="center"/>
        <w:textAlignment w:val="auto"/>
        <w:rPr>
          <w:rFonts w:eastAsia="黑体" w:cs="Times New Roman"/>
          <w:sz w:val="18"/>
          <w:szCs w:val="18"/>
        </w:rPr>
      </w:pPr>
      <w:r>
        <w:rPr>
          <w:rFonts w:hint="eastAsia" w:eastAsia="黑体" w:cs="Times New Roman"/>
          <w:sz w:val="18"/>
          <w:szCs w:val="18"/>
        </w:rPr>
        <w:t>图3  银山水文站“20220620”场次降雨流量过程</w:t>
      </w:r>
    </w:p>
    <w:p>
      <w:pPr>
        <w:pageBreakBefore w:val="0"/>
        <w:kinsoku/>
        <w:wordWrap/>
        <w:overflowPunct/>
        <w:topLinePunct w:val="0"/>
        <w:autoSpaceDE/>
        <w:autoSpaceDN/>
        <w:bidi w:val="0"/>
        <w:adjustRightInd/>
        <w:spacing w:beforeAutospacing="0" w:afterAutospacing="0" w:line="240" w:lineRule="auto"/>
        <w:ind w:firstLine="482" w:firstLineChars="0"/>
        <w:jc w:val="center"/>
        <w:textAlignment w:val="auto"/>
        <w:rPr>
          <w:rFonts w:eastAsia="黑体" w:cs="Times New Roman"/>
          <w:bCs/>
          <w:sz w:val="18"/>
          <w:szCs w:val="18"/>
        </w:rPr>
      </w:pPr>
      <w:r>
        <w:rPr>
          <w:rFonts w:eastAsia="黑体" w:cs="Times New Roman"/>
          <w:bCs/>
          <w:sz w:val="18"/>
          <w:szCs w:val="18"/>
        </w:rPr>
        <w:t>Fig.</w:t>
      </w:r>
      <w:r>
        <w:rPr>
          <w:rFonts w:hint="eastAsia" w:eastAsia="黑体" w:cs="Times New Roman"/>
          <w:bCs/>
          <w:sz w:val="18"/>
          <w:szCs w:val="18"/>
        </w:rPr>
        <w:t>3</w:t>
      </w:r>
      <w:r>
        <w:rPr>
          <w:rFonts w:eastAsia="黑体" w:cs="Times New Roman"/>
          <w:bCs/>
          <w:sz w:val="18"/>
          <w:szCs w:val="18"/>
        </w:rPr>
        <w:t xml:space="preserve"> </w:t>
      </w:r>
      <w:r>
        <w:rPr>
          <w:rFonts w:hint="eastAsia" w:eastAsia="黑体" w:cs="Times New Roman"/>
          <w:bCs/>
          <w:sz w:val="18"/>
          <w:szCs w:val="18"/>
        </w:rPr>
        <w:t xml:space="preserve"> </w:t>
      </w:r>
      <w:r>
        <w:rPr>
          <w:rFonts w:eastAsia="黑体" w:cs="Times New Roman"/>
          <w:bCs/>
          <w:sz w:val="18"/>
          <w:szCs w:val="18"/>
        </w:rPr>
        <w:t xml:space="preserve">Flood </w:t>
      </w:r>
      <w:r>
        <w:rPr>
          <w:rFonts w:hint="eastAsia" w:eastAsia="黑体" w:cs="Times New Roman"/>
          <w:bCs/>
          <w:sz w:val="18"/>
          <w:szCs w:val="18"/>
        </w:rPr>
        <w:t>h</w:t>
      </w:r>
      <w:r>
        <w:rPr>
          <w:rFonts w:eastAsia="黑体" w:cs="Times New Roman"/>
          <w:bCs/>
          <w:sz w:val="18"/>
          <w:szCs w:val="18"/>
        </w:rPr>
        <w:t xml:space="preserve">ydrograph </w:t>
      </w:r>
      <w:r>
        <w:rPr>
          <w:rFonts w:hint="eastAsia" w:eastAsia="黑体" w:cs="Times New Roman"/>
          <w:bCs/>
          <w:sz w:val="18"/>
          <w:szCs w:val="18"/>
          <w:lang w:val="en-US" w:eastAsia="zh-CN"/>
        </w:rPr>
        <w:t>of</w:t>
      </w:r>
      <w:r>
        <w:rPr>
          <w:rFonts w:eastAsia="黑体" w:cs="Times New Roman"/>
          <w:bCs/>
          <w:sz w:val="18"/>
          <w:szCs w:val="18"/>
        </w:rPr>
        <w:t xml:space="preserve"> </w:t>
      </w:r>
      <w:r>
        <w:rPr>
          <w:rFonts w:hint="default" w:eastAsia="黑体" w:cs="Times New Roman"/>
          <w:bCs/>
          <w:sz w:val="18"/>
          <w:szCs w:val="18"/>
          <w:lang w:val="en-US" w:eastAsia="zh-CN"/>
        </w:rPr>
        <w:t>“</w:t>
      </w:r>
      <w:r>
        <w:rPr>
          <w:rFonts w:eastAsia="黑体" w:cs="Times New Roman"/>
          <w:bCs/>
          <w:sz w:val="18"/>
          <w:szCs w:val="18"/>
        </w:rPr>
        <w:t>20220620</w:t>
      </w:r>
      <w:r>
        <w:rPr>
          <w:rFonts w:hint="default" w:eastAsia="黑体" w:cs="Times New Roman"/>
          <w:bCs/>
          <w:sz w:val="18"/>
          <w:szCs w:val="18"/>
          <w:lang w:val="en-US" w:eastAsia="zh-CN"/>
        </w:rPr>
        <w:t>”</w:t>
      </w:r>
      <w:r>
        <w:rPr>
          <w:rFonts w:eastAsia="黑体" w:cs="Times New Roman"/>
          <w:bCs/>
          <w:sz w:val="18"/>
          <w:szCs w:val="18"/>
        </w:rPr>
        <w:t xml:space="preserve"> </w:t>
      </w:r>
      <w:r>
        <w:rPr>
          <w:rFonts w:hint="eastAsia" w:eastAsia="黑体" w:cs="Times New Roman"/>
          <w:bCs/>
          <w:sz w:val="18"/>
          <w:szCs w:val="18"/>
        </w:rPr>
        <w:t>r</w:t>
      </w:r>
      <w:r>
        <w:rPr>
          <w:rFonts w:eastAsia="黑体" w:cs="Times New Roman"/>
          <w:bCs/>
          <w:sz w:val="18"/>
          <w:szCs w:val="18"/>
        </w:rPr>
        <w:t xml:space="preserve">ainstorm </w:t>
      </w:r>
      <w:r>
        <w:rPr>
          <w:rFonts w:hint="eastAsia" w:eastAsia="黑体" w:cs="Times New Roman"/>
          <w:bCs/>
          <w:sz w:val="18"/>
          <w:szCs w:val="18"/>
        </w:rPr>
        <w:t>e</w:t>
      </w:r>
      <w:r>
        <w:rPr>
          <w:rFonts w:eastAsia="黑体" w:cs="Times New Roman"/>
          <w:bCs/>
          <w:sz w:val="18"/>
          <w:szCs w:val="18"/>
        </w:rPr>
        <w:t xml:space="preserve">vent at </w:t>
      </w:r>
      <w:r>
        <w:rPr>
          <w:rFonts w:hint="eastAsia" w:eastAsia="黑体" w:cs="Times New Roman"/>
          <w:bCs/>
          <w:sz w:val="18"/>
          <w:szCs w:val="18"/>
        </w:rPr>
        <w:t>Y</w:t>
      </w:r>
      <w:r>
        <w:rPr>
          <w:rFonts w:eastAsia="黑体" w:cs="Times New Roman"/>
          <w:bCs/>
          <w:sz w:val="18"/>
          <w:szCs w:val="18"/>
        </w:rPr>
        <w:t xml:space="preserve">inshan </w:t>
      </w:r>
      <w:r>
        <w:rPr>
          <w:rFonts w:hint="eastAsia" w:eastAsia="黑体" w:cs="Times New Roman"/>
          <w:bCs/>
          <w:sz w:val="18"/>
          <w:szCs w:val="18"/>
        </w:rPr>
        <w:t>h</w:t>
      </w:r>
      <w:r>
        <w:rPr>
          <w:rFonts w:eastAsia="黑体" w:cs="Times New Roman"/>
          <w:bCs/>
          <w:sz w:val="18"/>
          <w:szCs w:val="18"/>
        </w:rPr>
        <w:t xml:space="preserve">ydrological </w:t>
      </w:r>
      <w:r>
        <w:rPr>
          <w:rFonts w:hint="eastAsia" w:eastAsia="黑体" w:cs="Times New Roman"/>
          <w:bCs/>
          <w:sz w:val="18"/>
          <w:szCs w:val="18"/>
        </w:rPr>
        <w:t>s</w:t>
      </w:r>
      <w:r>
        <w:rPr>
          <w:rFonts w:eastAsia="黑体" w:cs="Times New Roman"/>
          <w:bCs/>
          <w:sz w:val="18"/>
          <w:szCs w:val="18"/>
        </w:rPr>
        <w:t>tation</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根据银山水文站基本资料，其控制汇水面积为469km²。利用91卫图助手下载的DEM数据，通过GIS水文分析模块，提取并计算了模型计算起点断面的汇水面积。采用水文比拟法，推求模型入流边界处的设计洪峰流量。公式如下</w:t>
      </w:r>
    </w:p>
    <w:tbl>
      <w:tblPr>
        <w:tblStyle w:val="15"/>
        <w:tblW w:w="498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779"/>
        <w:gridCol w:w="3275"/>
        <w:gridCol w:w="22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79" w:type="dxa"/>
            <w:shd w:val="clear" w:color="auto" w:fill="auto"/>
            <w:vAlign w:val="center"/>
          </w:tcPr>
          <w:p>
            <w:pPr>
              <w:pageBreakBefore w:val="0"/>
              <w:widowControl/>
              <w:kinsoku/>
              <w:wordWrap/>
              <w:overflowPunct/>
              <w:topLinePunct w:val="0"/>
              <w:autoSpaceDE/>
              <w:autoSpaceDN/>
              <w:bidi w:val="0"/>
              <w:adjustRightInd/>
              <w:spacing w:beforeAutospacing="0" w:afterAutospacing="0" w:line="240" w:lineRule="auto"/>
              <w:ind w:firstLine="420"/>
              <w:jc w:val="center"/>
              <w:textAlignment w:val="auto"/>
              <w:rPr>
                <w:sz w:val="21"/>
                <w:szCs w:val="21"/>
              </w:rPr>
            </w:pPr>
          </w:p>
        </w:tc>
        <w:tc>
          <w:tcPr>
            <w:tcW w:w="3275" w:type="dxa"/>
            <w:shd w:val="clear" w:color="auto" w:fill="auto"/>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sSub>
                  <m:sSubPr>
                    <m:ctrlPr>
                      <w:rPr>
                        <w:rFonts w:ascii="Cambria Math" w:hAnsi="Cambria Math"/>
                        <w:i/>
                        <w:sz w:val="21"/>
                        <w:szCs w:val="21"/>
                      </w:rPr>
                    </m:ctrlPr>
                  </m:sSubPr>
                  <m:e>
                    <m:r>
                      <m:rPr>
                        <m:nor/>
                      </m:rPr>
                      <w:rPr>
                        <w:rFonts w:cs="Times New Roman"/>
                        <w:i/>
                        <w:sz w:val="21"/>
                        <w:szCs w:val="21"/>
                      </w:rPr>
                      <m:t>Q</m:t>
                    </m:r>
                    <m:ctrlPr>
                      <w:rPr>
                        <w:rFonts w:ascii="Cambria Math" w:hAnsi="Cambria Math"/>
                        <w:i/>
                        <w:sz w:val="21"/>
                        <w:szCs w:val="21"/>
                      </w:rPr>
                    </m:ctrlPr>
                  </m:e>
                  <m:sub>
                    <m:r>
                      <m:rPr/>
                      <w:rPr>
                        <w:rFonts w:hint="eastAsia" w:ascii="Cambria Math" w:hAnsi="Cambria Math"/>
                        <w:sz w:val="21"/>
                        <w:szCs w:val="21"/>
                      </w:rPr>
                      <m:t>起点</m:t>
                    </m:r>
                    <m:ctrlPr>
                      <w:rPr>
                        <w:rFonts w:ascii="Cambria Math" w:hAnsi="Cambria Math"/>
                        <w:i/>
                        <w:sz w:val="21"/>
                        <w:szCs w:val="21"/>
                      </w:rPr>
                    </m:ctrlPr>
                  </m:sub>
                </m:sSub>
                <m:r>
                  <m:rPr/>
                  <w:rPr>
                    <w:rFonts w:ascii="Cambria Math" w:hAnsi="Cambria Math"/>
                    <w:sz w:val="21"/>
                    <w:szCs w:val="21"/>
                  </w:rPr>
                  <m:t>=</m:t>
                </m:r>
                <m:sSub>
                  <m:sSubPr>
                    <m:ctrlPr>
                      <w:rPr>
                        <w:rFonts w:ascii="Cambria Math" w:hAnsi="Cambria Math"/>
                        <w:i/>
                        <w:sz w:val="21"/>
                        <w:szCs w:val="21"/>
                      </w:rPr>
                    </m:ctrlPr>
                  </m:sSubPr>
                  <m:e>
                    <m:r>
                      <m:rPr>
                        <m:nor/>
                      </m:rPr>
                      <w:rPr>
                        <w:rFonts w:cs="Times New Roman"/>
                        <w:i/>
                        <w:sz w:val="21"/>
                        <w:szCs w:val="21"/>
                      </w:rPr>
                      <m:t>Q</m:t>
                    </m:r>
                    <m:ctrlPr>
                      <w:rPr>
                        <w:rFonts w:ascii="Cambria Math" w:hAnsi="Cambria Math"/>
                        <w:i/>
                        <w:sz w:val="21"/>
                        <w:szCs w:val="21"/>
                      </w:rPr>
                    </m:ctrlPr>
                  </m:e>
                  <m:sub>
                    <m:r>
                      <m:rPr/>
                      <w:rPr>
                        <w:rFonts w:hint="eastAsia" w:ascii="Cambria Math" w:hAnsi="Cambria Math"/>
                        <w:sz w:val="21"/>
                        <w:szCs w:val="21"/>
                      </w:rPr>
                      <m:t>水文站</m:t>
                    </m:r>
                    <m:ctrlPr>
                      <w:rPr>
                        <w:rFonts w:ascii="Cambria Math" w:hAnsi="Cambria Math"/>
                        <w:i/>
                        <w:sz w:val="21"/>
                        <w:szCs w:val="21"/>
                      </w:rPr>
                    </m:ctrlPr>
                  </m:sub>
                </m:sSub>
                <m:sSup>
                  <m:sSupPr>
                    <m:ctrlPr>
                      <w:rPr>
                        <w:rFonts w:ascii="Cambria Math" w:hAnsi="Cambria Math"/>
                        <w:i/>
                        <w:sz w:val="21"/>
                        <w:szCs w:val="21"/>
                      </w:rPr>
                    </m:ctrlPr>
                  </m:sSupPr>
                  <m:e>
                    <m:d>
                      <m:dPr>
                        <m:ctrlPr>
                          <w:rPr>
                            <w:rFonts w:ascii="Cambria Math" w:hAnsi="Cambria Math"/>
                            <w:i/>
                            <w:sz w:val="21"/>
                            <w:szCs w:val="21"/>
                          </w:rPr>
                        </m:ctrlPr>
                      </m:dPr>
                      <m:e>
                        <m:f>
                          <m:fPr>
                            <m:ctrlPr>
                              <w:rPr>
                                <w:rFonts w:ascii="Cambria Math" w:hAnsi="Cambria Math"/>
                                <w:i/>
                                <w:sz w:val="21"/>
                                <w:szCs w:val="21"/>
                              </w:rPr>
                            </m:ctrlPr>
                          </m:fPr>
                          <m:num>
                            <m:sSub>
                              <m:sSubPr>
                                <m:ctrlPr>
                                  <w:rPr>
                                    <w:rFonts w:ascii="Cambria Math" w:hAnsi="Cambria Math"/>
                                    <w:i/>
                                    <w:sz w:val="21"/>
                                    <w:szCs w:val="21"/>
                                  </w:rPr>
                                </m:ctrlPr>
                              </m:sSubPr>
                              <m:e>
                                <m:r>
                                  <m:rPr>
                                    <m:nor/>
                                  </m:rPr>
                                  <w:rPr>
                                    <w:rFonts w:cs="Times New Roman"/>
                                    <w:i/>
                                    <w:sz w:val="21"/>
                                    <w:szCs w:val="21"/>
                                  </w:rPr>
                                  <m:t>F</m:t>
                                </m:r>
                                <m:ctrlPr>
                                  <w:rPr>
                                    <w:rFonts w:ascii="Cambria Math" w:hAnsi="Cambria Math"/>
                                    <w:i/>
                                    <w:sz w:val="21"/>
                                    <w:szCs w:val="21"/>
                                  </w:rPr>
                                </m:ctrlPr>
                              </m:e>
                              <m:sub>
                                <m:r>
                                  <m:rPr/>
                                  <w:rPr>
                                    <w:rFonts w:hint="eastAsia" w:ascii="Cambria Math" w:hAnsi="Cambria Math"/>
                                    <w:sz w:val="21"/>
                                    <w:szCs w:val="21"/>
                                  </w:rPr>
                                  <m:t>起点</m:t>
                                </m:r>
                                <m:ctrlPr>
                                  <w:rPr>
                                    <w:rFonts w:ascii="Cambria Math" w:hAnsi="Cambria Math"/>
                                    <w:i/>
                                    <w:sz w:val="21"/>
                                    <w:szCs w:val="21"/>
                                  </w:rPr>
                                </m:ctrlPr>
                              </m:sub>
                            </m:sSub>
                            <m:ctrlPr>
                              <w:rPr>
                                <w:rFonts w:ascii="Cambria Math" w:hAnsi="Cambria Math"/>
                                <w:i/>
                                <w:sz w:val="21"/>
                                <w:szCs w:val="21"/>
                              </w:rPr>
                            </m:ctrlPr>
                          </m:num>
                          <m:den>
                            <m:sSub>
                              <m:sSubPr>
                                <m:ctrlPr>
                                  <w:rPr>
                                    <w:rFonts w:ascii="Cambria Math" w:hAnsi="Cambria Math"/>
                                    <w:i/>
                                    <w:sz w:val="21"/>
                                    <w:szCs w:val="21"/>
                                  </w:rPr>
                                </m:ctrlPr>
                              </m:sSubPr>
                              <m:e>
                                <m:r>
                                  <m:rPr>
                                    <m:nor/>
                                  </m:rPr>
                                  <w:rPr>
                                    <w:rFonts w:cs="Times New Roman"/>
                                    <w:i/>
                                    <w:sz w:val="21"/>
                                    <w:szCs w:val="21"/>
                                  </w:rPr>
                                  <m:t>F</m:t>
                                </m:r>
                                <m:ctrlPr>
                                  <w:rPr>
                                    <w:rFonts w:ascii="Cambria Math" w:hAnsi="Cambria Math"/>
                                    <w:i/>
                                    <w:sz w:val="21"/>
                                    <w:szCs w:val="21"/>
                                  </w:rPr>
                                </m:ctrlPr>
                              </m:e>
                              <m:sub>
                                <m:r>
                                  <m:rPr/>
                                  <w:rPr>
                                    <w:rFonts w:hint="eastAsia" w:ascii="Cambria Math" w:hAnsi="Cambria Math"/>
                                    <w:sz w:val="21"/>
                                    <w:szCs w:val="21"/>
                                  </w:rPr>
                                  <m:t>水文站</m:t>
                                </m:r>
                                <m:ctrlPr>
                                  <w:rPr>
                                    <w:rFonts w:ascii="Cambria Math" w:hAnsi="Cambria Math"/>
                                    <w:i/>
                                    <w:sz w:val="21"/>
                                    <w:szCs w:val="21"/>
                                  </w:rPr>
                                </m:ctrlPr>
                              </m:sub>
                            </m:sSub>
                            <m:ctrlPr>
                              <w:rPr>
                                <w:rFonts w:ascii="Cambria Math" w:hAnsi="Cambria Math"/>
                                <w:i/>
                                <w:sz w:val="21"/>
                                <w:szCs w:val="21"/>
                              </w:rPr>
                            </m:ctrlPr>
                          </m:den>
                        </m:f>
                        <m:ctrlPr>
                          <w:rPr>
                            <w:rFonts w:ascii="Cambria Math" w:hAnsi="Cambria Math"/>
                            <w:i/>
                            <w:sz w:val="21"/>
                            <w:szCs w:val="21"/>
                          </w:rPr>
                        </m:ctrlPr>
                      </m:e>
                    </m:d>
                    <m:ctrlPr>
                      <w:rPr>
                        <w:rFonts w:ascii="Cambria Math" w:hAnsi="Cambria Math"/>
                        <w:i/>
                        <w:sz w:val="21"/>
                        <w:szCs w:val="21"/>
                      </w:rPr>
                    </m:ctrlPr>
                  </m:e>
                  <m:sup>
                    <m:f>
                      <m:fPr>
                        <m:ctrlPr>
                          <w:rPr>
                            <w:rFonts w:ascii="Cambria Math" w:hAnsi="Cambria Math" w:cs="Times New Roman"/>
                            <w:i/>
                            <w:sz w:val="21"/>
                            <w:szCs w:val="21"/>
                          </w:rPr>
                        </m:ctrlPr>
                      </m:fPr>
                      <m:num>
                        <m:r>
                          <m:rPr>
                            <m:nor/>
                            <m:sty m:val="p"/>
                          </m:rPr>
                          <w:rPr>
                            <w:rFonts w:cs="Times New Roman"/>
                            <w:b w:val="0"/>
                            <w:i w:val="0"/>
                            <w:sz w:val="21"/>
                            <w:szCs w:val="21"/>
                          </w:rPr>
                          <m:t>2</m:t>
                        </m:r>
                        <m:ctrlPr>
                          <w:rPr>
                            <w:rFonts w:ascii="Cambria Math" w:hAnsi="Cambria Math" w:cs="Times New Roman"/>
                            <w:i/>
                            <w:sz w:val="21"/>
                            <w:szCs w:val="21"/>
                          </w:rPr>
                        </m:ctrlPr>
                      </m:num>
                      <m:den>
                        <m:r>
                          <m:rPr>
                            <m:nor/>
                            <m:sty m:val="p"/>
                          </m:rPr>
                          <w:rPr>
                            <w:rFonts w:cs="Times New Roman"/>
                            <w:b w:val="0"/>
                            <w:i w:val="0"/>
                            <w:sz w:val="21"/>
                            <w:szCs w:val="21"/>
                          </w:rPr>
                          <m:t>3</m:t>
                        </m:r>
                        <m:ctrlPr>
                          <w:rPr>
                            <w:rFonts w:ascii="Cambria Math" w:hAnsi="Cambria Math" w:cs="Times New Roman"/>
                            <w:i/>
                            <w:sz w:val="21"/>
                            <w:szCs w:val="21"/>
                          </w:rPr>
                        </m:ctrlPr>
                      </m:den>
                    </m:f>
                    <m:ctrlPr>
                      <w:rPr>
                        <w:rFonts w:ascii="Cambria Math" w:hAnsi="Cambria Math"/>
                        <w:i/>
                        <w:sz w:val="21"/>
                        <w:szCs w:val="21"/>
                      </w:rPr>
                    </m:ctrlPr>
                  </m:sup>
                </m:sSup>
              </m:oMath>
            </m:oMathPara>
          </w:p>
        </w:tc>
        <w:tc>
          <w:tcPr>
            <w:tcW w:w="2224" w:type="dxa"/>
            <w:shd w:val="clear" w:color="auto" w:fill="auto"/>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rFonts w:cs="Times New Roman"/>
          <w:sz w:val="21"/>
        </w:rPr>
      </w:pPr>
      <w:r>
        <w:rPr>
          <w:rFonts w:hint="eastAsia" w:cs="Times New Roman"/>
          <w:sz w:val="21"/>
        </w:rPr>
        <w:t>式中，</w:t>
      </w:r>
      <w:r>
        <w:rPr>
          <w:rFonts w:hint="eastAsia" w:cs="Times New Roman"/>
          <w:i/>
          <w:iCs/>
          <w:sz w:val="21"/>
        </w:rPr>
        <w:t>Q</w:t>
      </w:r>
      <w:r>
        <w:rPr>
          <w:rFonts w:hint="eastAsia" w:cs="Times New Roman"/>
          <w:sz w:val="21"/>
        </w:rPr>
        <w:t>为流量；</w:t>
      </w:r>
      <w:r>
        <w:rPr>
          <w:rFonts w:hint="eastAsia" w:cs="Times New Roman"/>
          <w:i/>
          <w:iCs/>
          <w:sz w:val="21"/>
        </w:rPr>
        <w:t>F</w:t>
      </w:r>
      <w:r>
        <w:rPr>
          <w:rFonts w:hint="eastAsia" w:cs="Times New Roman"/>
          <w:sz w:val="21"/>
        </w:rPr>
        <w:t>为集雨面积。</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借助洪峰流量比拟结果同倍比放大或缩小流量过程，作为水力模型的输入条件。出流边界设于主流终点断面，基于实地测量数据对该断面进行概化，依据曼宁公式计算其水位-流量关系曲线，作为出流边界条件。</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模型参数文件主要设置糙率，根据MIKEFLOOD糙率设置规则，设置断面糙率即可，自新营三村起至天门山社区止的河道断面依次编号为1—17，其余参数均采用默认值。多次调试糙率参数后，模型模拟结果与洪痕数据吻合良好，糙率设置情况如表2所列。</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hint="eastAsia" w:eastAsia="黑体" w:cs="Times New Roman"/>
          <w:sz w:val="18"/>
          <w:szCs w:val="18"/>
        </w:rPr>
        <w:t>表2  水动力模型糙率参数取值</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eastAsia="黑体" w:cs="Times New Roman"/>
          <w:sz w:val="18"/>
          <w:szCs w:val="18"/>
        </w:rPr>
        <w:t xml:space="preserve">Table </w:t>
      </w:r>
      <w:r>
        <w:rPr>
          <w:rFonts w:hint="eastAsia" w:eastAsia="黑体" w:cs="Times New Roman"/>
          <w:sz w:val="18"/>
          <w:szCs w:val="18"/>
        </w:rPr>
        <w:t>2</w:t>
      </w:r>
      <w:r>
        <w:rPr>
          <w:rFonts w:eastAsia="黑体" w:cs="Times New Roman"/>
          <w:sz w:val="18"/>
          <w:szCs w:val="18"/>
        </w:rPr>
        <w:t xml:space="preserve">  </w:t>
      </w:r>
      <w:r>
        <w:rPr>
          <w:rFonts w:hint="eastAsia" w:eastAsia="黑体" w:cs="Times New Roman"/>
          <w:sz w:val="18"/>
          <w:szCs w:val="18"/>
          <w:lang w:val="en-US" w:eastAsia="zh-CN"/>
        </w:rPr>
        <w:t>V</w:t>
      </w:r>
      <w:r>
        <w:rPr>
          <w:rFonts w:eastAsia="黑体" w:cs="Times New Roman"/>
          <w:sz w:val="18"/>
          <w:szCs w:val="18"/>
        </w:rPr>
        <w:t xml:space="preserve">alues </w:t>
      </w:r>
      <w:r>
        <w:rPr>
          <w:rFonts w:hint="eastAsia" w:eastAsia="黑体" w:cs="Times New Roman"/>
          <w:sz w:val="18"/>
          <w:szCs w:val="18"/>
          <w:lang w:val="en-US" w:eastAsia="zh-CN"/>
        </w:rPr>
        <w:t>of r</w:t>
      </w:r>
      <w:r>
        <w:rPr>
          <w:rFonts w:eastAsia="黑体" w:cs="Times New Roman"/>
          <w:sz w:val="18"/>
          <w:szCs w:val="18"/>
        </w:rPr>
        <w:t xml:space="preserve">oughness </w:t>
      </w:r>
      <w:r>
        <w:rPr>
          <w:rFonts w:hint="eastAsia" w:eastAsia="黑体" w:cs="Times New Roman"/>
          <w:sz w:val="18"/>
          <w:szCs w:val="18"/>
        </w:rPr>
        <w:t>c</w:t>
      </w:r>
      <w:r>
        <w:rPr>
          <w:rFonts w:eastAsia="黑体" w:cs="Times New Roman"/>
          <w:sz w:val="18"/>
          <w:szCs w:val="18"/>
        </w:rPr>
        <w:t>oefficient</w:t>
      </w:r>
      <w:r>
        <w:rPr>
          <w:rFonts w:hint="eastAsia" w:eastAsia="黑体" w:cs="Times New Roman"/>
          <w:sz w:val="18"/>
          <w:szCs w:val="18"/>
          <w:lang w:val="en-US" w:eastAsia="zh-CN"/>
        </w:rPr>
        <w:t>s</w:t>
      </w:r>
      <w:r>
        <w:rPr>
          <w:rFonts w:hint="eastAsia" w:eastAsia="黑体" w:cs="Times New Roman"/>
          <w:sz w:val="18"/>
          <w:szCs w:val="18"/>
        </w:rPr>
        <w:t xml:space="preserve"> </w:t>
      </w:r>
      <w:r>
        <w:rPr>
          <w:rFonts w:eastAsia="黑体" w:cs="Times New Roman"/>
          <w:sz w:val="18"/>
          <w:szCs w:val="18"/>
        </w:rPr>
        <w:t xml:space="preserve">for </w:t>
      </w:r>
      <w:r>
        <w:rPr>
          <w:rFonts w:hint="eastAsia" w:eastAsia="黑体" w:cs="Times New Roman"/>
          <w:sz w:val="18"/>
          <w:szCs w:val="18"/>
        </w:rPr>
        <w:t>h</w:t>
      </w:r>
      <w:r>
        <w:rPr>
          <w:rFonts w:eastAsia="黑体" w:cs="Times New Roman"/>
          <w:sz w:val="18"/>
          <w:szCs w:val="18"/>
        </w:rPr>
        <w:t xml:space="preserve">ydrodynamic </w:t>
      </w:r>
      <w:r>
        <w:rPr>
          <w:rFonts w:hint="eastAsia" w:eastAsia="黑体" w:cs="Times New Roman"/>
          <w:sz w:val="18"/>
          <w:szCs w:val="18"/>
        </w:rPr>
        <w:t>m</w:t>
      </w:r>
      <w:r>
        <w:rPr>
          <w:rFonts w:eastAsia="黑体" w:cs="Times New Roman"/>
          <w:sz w:val="18"/>
          <w:szCs w:val="18"/>
        </w:rPr>
        <w:t>odel</w:t>
      </w:r>
    </w:p>
    <w:tbl>
      <w:tblPr>
        <w:tblStyle w:val="15"/>
        <w:tblW w:w="8517"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0"/>
        <w:gridCol w:w="790"/>
        <w:gridCol w:w="824"/>
        <w:gridCol w:w="824"/>
        <w:gridCol w:w="841"/>
        <w:gridCol w:w="841"/>
        <w:gridCol w:w="841"/>
        <w:gridCol w:w="841"/>
        <w:gridCol w:w="824"/>
        <w:gridCol w:w="83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blHeader/>
          <w:jc w:val="center"/>
        </w:trPr>
        <w:tc>
          <w:tcPr>
            <w:tcW w:w="1060"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断面编号</w:t>
            </w:r>
          </w:p>
        </w:tc>
        <w:tc>
          <w:tcPr>
            <w:tcW w:w="790"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断面1</w:t>
            </w:r>
          </w:p>
        </w:tc>
        <w:tc>
          <w:tcPr>
            <w:tcW w:w="824"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断面2</w:t>
            </w:r>
          </w:p>
        </w:tc>
        <w:tc>
          <w:tcPr>
            <w:tcW w:w="824"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断面3</w:t>
            </w:r>
          </w:p>
        </w:tc>
        <w:tc>
          <w:tcPr>
            <w:tcW w:w="841"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断面4</w:t>
            </w:r>
          </w:p>
        </w:tc>
        <w:tc>
          <w:tcPr>
            <w:tcW w:w="841"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断面5</w:t>
            </w:r>
          </w:p>
        </w:tc>
        <w:tc>
          <w:tcPr>
            <w:tcW w:w="841"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断面6</w:t>
            </w:r>
          </w:p>
        </w:tc>
        <w:tc>
          <w:tcPr>
            <w:tcW w:w="841"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断面7</w:t>
            </w:r>
          </w:p>
        </w:tc>
        <w:tc>
          <w:tcPr>
            <w:tcW w:w="824"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断面8</w:t>
            </w:r>
          </w:p>
        </w:tc>
        <w:tc>
          <w:tcPr>
            <w:tcW w:w="831"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0"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糙率</w:t>
            </w:r>
            <w:r>
              <w:rPr>
                <w:rFonts w:hint="eastAsia" w:cs="Times New Roman"/>
                <w:i/>
                <w:iCs/>
                <w:color w:val="000000"/>
                <w:kern w:val="0"/>
                <w:sz w:val="15"/>
                <w:szCs w:val="15"/>
              </w:rPr>
              <w:t>n</w:t>
            </w:r>
          </w:p>
        </w:tc>
        <w:tc>
          <w:tcPr>
            <w:tcW w:w="790"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0.068</w:t>
            </w:r>
          </w:p>
        </w:tc>
        <w:tc>
          <w:tcPr>
            <w:tcW w:w="824"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0.068</w:t>
            </w:r>
          </w:p>
        </w:tc>
        <w:tc>
          <w:tcPr>
            <w:tcW w:w="824"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0.068</w:t>
            </w:r>
          </w:p>
        </w:tc>
        <w:tc>
          <w:tcPr>
            <w:tcW w:w="841"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0.0472</w:t>
            </w:r>
          </w:p>
        </w:tc>
        <w:tc>
          <w:tcPr>
            <w:tcW w:w="841"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0.0472</w:t>
            </w:r>
          </w:p>
        </w:tc>
        <w:tc>
          <w:tcPr>
            <w:tcW w:w="841"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0.0472</w:t>
            </w:r>
          </w:p>
        </w:tc>
        <w:tc>
          <w:tcPr>
            <w:tcW w:w="841"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0.0472</w:t>
            </w:r>
          </w:p>
        </w:tc>
        <w:tc>
          <w:tcPr>
            <w:tcW w:w="824"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0.038</w:t>
            </w:r>
          </w:p>
        </w:tc>
        <w:tc>
          <w:tcPr>
            <w:tcW w:w="831"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0.038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0"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断面编号</w:t>
            </w:r>
          </w:p>
        </w:tc>
        <w:tc>
          <w:tcPr>
            <w:tcW w:w="790"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断面10</w:t>
            </w:r>
          </w:p>
        </w:tc>
        <w:tc>
          <w:tcPr>
            <w:tcW w:w="824"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断面11</w:t>
            </w:r>
          </w:p>
        </w:tc>
        <w:tc>
          <w:tcPr>
            <w:tcW w:w="824"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断面12</w:t>
            </w:r>
          </w:p>
        </w:tc>
        <w:tc>
          <w:tcPr>
            <w:tcW w:w="841"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断面13</w:t>
            </w:r>
          </w:p>
        </w:tc>
        <w:tc>
          <w:tcPr>
            <w:tcW w:w="841"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断面14</w:t>
            </w:r>
          </w:p>
        </w:tc>
        <w:tc>
          <w:tcPr>
            <w:tcW w:w="841"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断面15</w:t>
            </w:r>
          </w:p>
        </w:tc>
        <w:tc>
          <w:tcPr>
            <w:tcW w:w="841"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断面16</w:t>
            </w:r>
          </w:p>
        </w:tc>
        <w:tc>
          <w:tcPr>
            <w:tcW w:w="824"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断面17</w:t>
            </w:r>
          </w:p>
        </w:tc>
        <w:tc>
          <w:tcPr>
            <w:tcW w:w="831"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jc w:val="center"/>
        </w:trPr>
        <w:tc>
          <w:tcPr>
            <w:tcW w:w="1060"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糙率</w:t>
            </w:r>
            <w:r>
              <w:rPr>
                <w:rFonts w:hint="eastAsia" w:cs="Times New Roman"/>
                <w:i/>
                <w:iCs/>
                <w:color w:val="000000"/>
                <w:kern w:val="0"/>
                <w:sz w:val="15"/>
                <w:szCs w:val="15"/>
              </w:rPr>
              <w:t>n</w:t>
            </w:r>
          </w:p>
        </w:tc>
        <w:tc>
          <w:tcPr>
            <w:tcW w:w="790"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0.038</w:t>
            </w:r>
          </w:p>
        </w:tc>
        <w:tc>
          <w:tcPr>
            <w:tcW w:w="824"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0.0472</w:t>
            </w:r>
          </w:p>
        </w:tc>
        <w:tc>
          <w:tcPr>
            <w:tcW w:w="824"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0.0472</w:t>
            </w:r>
          </w:p>
        </w:tc>
        <w:tc>
          <w:tcPr>
            <w:tcW w:w="841"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0.0472</w:t>
            </w:r>
          </w:p>
        </w:tc>
        <w:tc>
          <w:tcPr>
            <w:tcW w:w="841"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0.0472</w:t>
            </w:r>
          </w:p>
        </w:tc>
        <w:tc>
          <w:tcPr>
            <w:tcW w:w="841"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0.0472</w:t>
            </w:r>
          </w:p>
        </w:tc>
        <w:tc>
          <w:tcPr>
            <w:tcW w:w="841"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0.0472</w:t>
            </w:r>
          </w:p>
        </w:tc>
        <w:tc>
          <w:tcPr>
            <w:tcW w:w="824"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r>
              <w:rPr>
                <w:rFonts w:hint="eastAsia" w:cs="Times New Roman"/>
                <w:color w:val="000000"/>
                <w:kern w:val="0"/>
                <w:sz w:val="15"/>
                <w:szCs w:val="15"/>
              </w:rPr>
              <w:t>0.0472</w:t>
            </w:r>
          </w:p>
        </w:tc>
        <w:tc>
          <w:tcPr>
            <w:tcW w:w="831"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color w:val="000000"/>
                <w:kern w:val="0"/>
                <w:sz w:val="15"/>
                <w:szCs w:val="15"/>
              </w:rPr>
            </w:pPr>
          </w:p>
        </w:tc>
      </w:tr>
    </w:tbl>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以实地调查的“20220620”场次洪水的历史洪痕高度为基准（洪痕位置见图4），将其与模型计算结果进行对比（见表3），可认为模型符合使用要求。</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hint="eastAsia" w:eastAsia="黑体" w:cs="Times New Roman"/>
          <w:sz w:val="18"/>
          <w:szCs w:val="18"/>
        </w:rPr>
        <w:t>表3  洪痕高程实测值与模拟值对比</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eastAsia="黑体" w:cs="Times New Roman"/>
          <w:sz w:val="18"/>
          <w:szCs w:val="18"/>
        </w:rPr>
        <w:t xml:space="preserve">Table </w:t>
      </w:r>
      <w:r>
        <w:rPr>
          <w:rFonts w:hint="eastAsia" w:eastAsia="黑体" w:cs="Times New Roman"/>
          <w:sz w:val="18"/>
          <w:szCs w:val="18"/>
        </w:rPr>
        <w:t>3</w:t>
      </w:r>
      <w:r>
        <w:rPr>
          <w:rFonts w:eastAsia="黑体" w:cs="Times New Roman"/>
          <w:sz w:val="18"/>
          <w:szCs w:val="18"/>
        </w:rPr>
        <w:t xml:space="preserve">  Comparison</w:t>
      </w:r>
      <w:r>
        <w:rPr>
          <w:rFonts w:hint="eastAsia" w:eastAsia="黑体" w:cs="Times New Roman"/>
          <w:sz w:val="18"/>
          <w:szCs w:val="18"/>
          <w:lang w:val="en-US" w:eastAsia="zh-CN"/>
        </w:rPr>
        <w:t xml:space="preserve"> between</w:t>
      </w:r>
      <w:r>
        <w:rPr>
          <w:rFonts w:eastAsia="黑体" w:cs="Times New Roman"/>
          <w:sz w:val="18"/>
          <w:szCs w:val="18"/>
        </w:rPr>
        <w:t xml:space="preserve"> </w:t>
      </w:r>
      <w:r>
        <w:rPr>
          <w:rFonts w:hint="eastAsia" w:eastAsia="黑体" w:cs="Times New Roman"/>
          <w:sz w:val="18"/>
          <w:szCs w:val="18"/>
        </w:rPr>
        <w:t>s</w:t>
      </w:r>
      <w:r>
        <w:rPr>
          <w:rFonts w:eastAsia="黑体" w:cs="Times New Roman"/>
          <w:sz w:val="18"/>
          <w:szCs w:val="18"/>
        </w:rPr>
        <w:t xml:space="preserve">imulated </w:t>
      </w:r>
      <w:r>
        <w:rPr>
          <w:rFonts w:hint="eastAsia" w:eastAsia="黑体" w:cs="Times New Roman"/>
          <w:sz w:val="18"/>
          <w:szCs w:val="18"/>
          <w:lang w:val="en-US" w:eastAsia="zh-CN"/>
        </w:rPr>
        <w:t>and</w:t>
      </w:r>
      <w:r>
        <w:rPr>
          <w:rFonts w:eastAsia="黑体" w:cs="Times New Roman"/>
          <w:sz w:val="18"/>
          <w:szCs w:val="18"/>
        </w:rPr>
        <w:t xml:space="preserve"> </w:t>
      </w:r>
      <w:r>
        <w:rPr>
          <w:rFonts w:hint="eastAsia" w:eastAsia="黑体" w:cs="Times New Roman"/>
          <w:sz w:val="18"/>
          <w:szCs w:val="18"/>
        </w:rPr>
        <w:t>m</w:t>
      </w:r>
      <w:r>
        <w:rPr>
          <w:rFonts w:eastAsia="黑体" w:cs="Times New Roman"/>
          <w:sz w:val="18"/>
          <w:szCs w:val="18"/>
        </w:rPr>
        <w:t xml:space="preserve">easured </w:t>
      </w:r>
      <w:r>
        <w:rPr>
          <w:rFonts w:hint="eastAsia" w:eastAsia="黑体" w:cs="Times New Roman"/>
          <w:sz w:val="18"/>
          <w:szCs w:val="18"/>
        </w:rPr>
        <w:t>f</w:t>
      </w:r>
      <w:r>
        <w:rPr>
          <w:rFonts w:eastAsia="黑体" w:cs="Times New Roman"/>
          <w:sz w:val="18"/>
          <w:szCs w:val="18"/>
        </w:rPr>
        <w:t xml:space="preserve">lood </w:t>
      </w:r>
      <w:r>
        <w:rPr>
          <w:rFonts w:hint="eastAsia" w:eastAsia="黑体" w:cs="Times New Roman"/>
          <w:sz w:val="18"/>
          <w:szCs w:val="18"/>
        </w:rPr>
        <w:t>m</w:t>
      </w:r>
      <w:r>
        <w:rPr>
          <w:rFonts w:eastAsia="黑体" w:cs="Times New Roman"/>
          <w:sz w:val="18"/>
          <w:szCs w:val="18"/>
        </w:rPr>
        <w:t xml:space="preserve">ark </w:t>
      </w:r>
      <w:r>
        <w:rPr>
          <w:rFonts w:hint="eastAsia" w:eastAsia="黑体" w:cs="Times New Roman"/>
          <w:sz w:val="18"/>
          <w:szCs w:val="18"/>
        </w:rPr>
        <w:t>e</w:t>
      </w:r>
      <w:r>
        <w:rPr>
          <w:rFonts w:eastAsia="黑体" w:cs="Times New Roman"/>
          <w:sz w:val="18"/>
          <w:szCs w:val="18"/>
        </w:rPr>
        <w:t>levations</w:t>
      </w:r>
    </w:p>
    <w:tbl>
      <w:tblPr>
        <w:tblStyle w:val="15"/>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14"/>
        <w:gridCol w:w="1845"/>
        <w:gridCol w:w="2259"/>
        <w:gridCol w:w="1687"/>
        <w:gridCol w:w="168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blHeader/>
          <w:jc w:val="center"/>
        </w:trPr>
        <w:tc>
          <w:tcPr>
            <w:tcW w:w="1014"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序号</w:t>
            </w:r>
          </w:p>
        </w:tc>
        <w:tc>
          <w:tcPr>
            <w:tcW w:w="1845"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位置</w:t>
            </w:r>
          </w:p>
        </w:tc>
        <w:tc>
          <w:tcPr>
            <w:tcW w:w="2259"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洪痕点经纬度/（°）</w:t>
            </w:r>
          </w:p>
        </w:tc>
        <w:tc>
          <w:tcPr>
            <w:tcW w:w="1687"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洪痕高程/m</w:t>
            </w:r>
          </w:p>
        </w:tc>
        <w:tc>
          <w:tcPr>
            <w:tcW w:w="1689" w:type="dxa"/>
            <w:tcBorders>
              <w:top w:val="single" w:color="000000" w:sz="12" w:space="0"/>
              <w:bottom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模拟水位/m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14"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w:t>
            </w:r>
          </w:p>
        </w:tc>
        <w:tc>
          <w:tcPr>
            <w:tcW w:w="1845"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新营社区</w:t>
            </w:r>
          </w:p>
        </w:tc>
        <w:tc>
          <w:tcPr>
            <w:tcW w:w="2259"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117.588903/28.938336</w:t>
            </w:r>
          </w:p>
        </w:tc>
        <w:tc>
          <w:tcPr>
            <w:tcW w:w="1687"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54.43</w:t>
            </w:r>
          </w:p>
        </w:tc>
        <w:tc>
          <w:tcPr>
            <w:tcW w:w="1689" w:type="dxa"/>
            <w:tcBorders>
              <w:top w:val="single" w:color="000000" w:sz="4"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54.16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14"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2</w:t>
            </w:r>
          </w:p>
        </w:tc>
        <w:tc>
          <w:tcPr>
            <w:tcW w:w="1845"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聚远大桥</w:t>
            </w:r>
          </w:p>
        </w:tc>
        <w:tc>
          <w:tcPr>
            <w:tcW w:w="2259"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117.572098/28.951675</w:t>
            </w:r>
          </w:p>
        </w:tc>
        <w:tc>
          <w:tcPr>
            <w:tcW w:w="1687"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47.14</w:t>
            </w:r>
          </w:p>
        </w:tc>
        <w:tc>
          <w:tcPr>
            <w:tcW w:w="1689"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47.28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jc w:val="center"/>
        </w:trPr>
        <w:tc>
          <w:tcPr>
            <w:tcW w:w="1014"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3</w:t>
            </w:r>
          </w:p>
        </w:tc>
        <w:tc>
          <w:tcPr>
            <w:tcW w:w="1845"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彩虹桥</w:t>
            </w:r>
          </w:p>
        </w:tc>
        <w:tc>
          <w:tcPr>
            <w:tcW w:w="2259"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117.609805/28.928392</w:t>
            </w:r>
          </w:p>
        </w:tc>
        <w:tc>
          <w:tcPr>
            <w:tcW w:w="1687"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46.01</w:t>
            </w:r>
          </w:p>
        </w:tc>
        <w:tc>
          <w:tcPr>
            <w:tcW w:w="1689" w:type="dxa"/>
            <w:tcBorders>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45.88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14"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4</w:t>
            </w:r>
          </w:p>
        </w:tc>
        <w:tc>
          <w:tcPr>
            <w:tcW w:w="1845"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洎水桥右</w:t>
            </w:r>
          </w:p>
        </w:tc>
        <w:tc>
          <w:tcPr>
            <w:tcW w:w="2259"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117.632078/28.914772</w:t>
            </w:r>
          </w:p>
        </w:tc>
        <w:tc>
          <w:tcPr>
            <w:tcW w:w="1687"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45.63</w:t>
            </w:r>
          </w:p>
        </w:tc>
        <w:tc>
          <w:tcPr>
            <w:tcW w:w="1689" w:type="dxa"/>
            <w:tcBorders>
              <w:bottom w:val="single" w:color="000000" w:sz="12" w:space="0"/>
              <w:tl2br w:val="nil"/>
              <w:tr2bl w:val="nil"/>
            </w:tcBorders>
            <w:shd w:val="clear" w:color="auto" w:fill="FFFFFF"/>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45.58</w:t>
            </w:r>
          </w:p>
        </w:tc>
      </w:tr>
    </w:tbl>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pPr>
    </w:p>
    <w:p>
      <w:pPr>
        <w:pStyle w:val="2"/>
        <w:pageBreakBefore w:val="0"/>
        <w:kinsoku/>
        <w:wordWrap/>
        <w:overflowPunct/>
        <w:topLinePunct w:val="0"/>
        <w:autoSpaceDE/>
        <w:autoSpaceDN/>
        <w:bidi w:val="0"/>
        <w:adjustRightInd/>
        <w:spacing w:beforeAutospacing="0" w:afterAutospacing="0" w:line="240" w:lineRule="auto"/>
        <w:ind w:firstLine="0" w:firstLineChars="0"/>
        <w:textAlignment w:val="auto"/>
        <w:rPr>
          <w:rFonts w:hint="eastAsia"/>
          <w:lang w:eastAsia="zh-CN"/>
        </w:rPr>
      </w:pPr>
      <w:r>
        <w:rPr>
          <w:rFonts w:hint="eastAsia"/>
          <w:lang w:eastAsia="zh-CN"/>
        </w:rPr>
        <w:drawing>
          <wp:inline distT="0" distB="0" distL="114300" distR="114300">
            <wp:extent cx="5267960" cy="3733800"/>
            <wp:effectExtent l="0" t="0" r="8890" b="0"/>
            <wp:docPr id="12" name="图片 12" descr="b3836720af0ea22dad412feed541a42d"/>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descr="b3836720af0ea22dad412feed541a42d"/>
                    <pic:cNvPicPr>
                      <a:picLocks noChangeAspect="true"/>
                    </pic:cNvPicPr>
                  </pic:nvPicPr>
                  <pic:blipFill>
                    <a:blip r:embed="rId16"/>
                    <a:stretch>
                      <a:fillRect/>
                    </a:stretch>
                  </pic:blipFill>
                  <pic:spPr>
                    <a:xfrm>
                      <a:off x="0" y="0"/>
                      <a:ext cx="5267960" cy="3733800"/>
                    </a:xfrm>
                    <a:prstGeom prst="rect">
                      <a:avLst/>
                    </a:prstGeom>
                  </pic:spPr>
                </pic:pic>
              </a:graphicData>
            </a:graphic>
          </wp:inline>
        </w:drawing>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hint="eastAsia" w:eastAsia="黑体" w:cs="Times New Roman"/>
          <w:sz w:val="18"/>
          <w:szCs w:val="18"/>
        </w:rPr>
        <w:t>图4  洪痕调查成</w:t>
      </w:r>
      <w:r>
        <w:rPr>
          <w:rFonts w:hint="eastAsia" w:eastAsia="黑体" w:cs="Times New Roman"/>
          <w:sz w:val="15"/>
          <w:szCs w:val="15"/>
        </w:rPr>
        <w:t>果</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pPr>
      <w:r>
        <w:rPr>
          <w:rFonts w:eastAsia="黑体" w:cs="Times New Roman"/>
          <w:bCs/>
          <w:sz w:val="18"/>
          <w:szCs w:val="18"/>
        </w:rPr>
        <w:t>Fig.</w:t>
      </w:r>
      <w:r>
        <w:rPr>
          <w:rFonts w:hint="eastAsia" w:eastAsia="黑体" w:cs="Times New Roman"/>
          <w:bCs/>
          <w:sz w:val="18"/>
          <w:szCs w:val="18"/>
        </w:rPr>
        <w:t xml:space="preserve">4  </w:t>
      </w:r>
      <w:r>
        <w:rPr>
          <w:rFonts w:hint="eastAsia" w:eastAsia="黑体" w:cs="Times New Roman"/>
          <w:bCs/>
          <w:sz w:val="18"/>
          <w:szCs w:val="18"/>
          <w:lang w:val="en-US" w:eastAsia="zh-CN"/>
        </w:rPr>
        <w:t>Survey results</w:t>
      </w:r>
      <w:r>
        <w:rPr>
          <w:rFonts w:eastAsia="黑体" w:cs="Times New Roman"/>
          <w:bCs/>
          <w:sz w:val="18"/>
          <w:szCs w:val="18"/>
        </w:rPr>
        <w:t xml:space="preserve"> of </w:t>
      </w:r>
      <w:r>
        <w:rPr>
          <w:rFonts w:hint="eastAsia" w:eastAsia="黑体"/>
          <w:bCs/>
          <w:sz w:val="18"/>
          <w:szCs w:val="18"/>
        </w:rPr>
        <w:t>flood mark</w:t>
      </w:r>
      <w:r>
        <w:rPr>
          <w:rFonts w:hint="eastAsia" w:eastAsia="黑体"/>
          <w:bCs/>
          <w:sz w:val="18"/>
          <w:szCs w:val="18"/>
          <w:lang w:val="en-US" w:eastAsia="zh-CN"/>
        </w:rPr>
        <w:t>s</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考虑最不利工况，使用P-</w:t>
      </w:r>
      <w:r>
        <w:rPr>
          <w:rFonts w:cs="Times New Roman"/>
          <w:sz w:val="21"/>
        </w:rPr>
        <w:t>Ⅲ</w:t>
      </w:r>
      <w:r>
        <w:rPr>
          <w:rFonts w:hint="eastAsia" w:cs="Times New Roman"/>
          <w:sz w:val="21"/>
        </w:rPr>
        <w:t>型曲线适线计算得出100a一遇洪峰流量2382m³/s，同倍比放大“20220620”场次洪水的流量过程，计算出百年一遇流量过程输入模型进行模拟。德兴市城区航拍数据与百年一遇洪水淹没情景如图5所示。</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172"/>
        <w:gridCol w:w="4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172" w:type="dxa"/>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eastAsiaTheme="minorEastAsia"/>
                <w:szCs w:val="21"/>
              </w:rPr>
            </w:pPr>
            <w:r>
              <w:rPr>
                <w:rFonts w:hint="eastAsia" w:cs="Times New Roman" w:eastAsiaTheme="minorEastAsia"/>
                <w:szCs w:val="21"/>
              </w:rPr>
              <w:drawing>
                <wp:inline distT="0" distB="0" distL="114300" distR="114300">
                  <wp:extent cx="2637790" cy="1872615"/>
                  <wp:effectExtent l="0" t="0" r="3810" b="6985"/>
                  <wp:docPr id="7" name="图片 7" descr="a852520de094f52220e6a58e9efe8c8e"/>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descr="a852520de094f52220e6a58e9efe8c8e"/>
                          <pic:cNvPicPr>
                            <a:picLocks noChangeAspect="true"/>
                          </pic:cNvPicPr>
                        </pic:nvPicPr>
                        <pic:blipFill>
                          <a:blip r:embed="rId17"/>
                          <a:stretch>
                            <a:fillRect/>
                          </a:stretch>
                        </pic:blipFill>
                        <pic:spPr>
                          <a:xfrm>
                            <a:off x="0" y="0"/>
                            <a:ext cx="2637790" cy="1872615"/>
                          </a:xfrm>
                          <a:prstGeom prst="rect">
                            <a:avLst/>
                          </a:prstGeom>
                        </pic:spPr>
                      </pic:pic>
                    </a:graphicData>
                  </a:graphic>
                </wp:inline>
              </w:drawing>
            </w:r>
          </w:p>
        </w:tc>
        <w:tc>
          <w:tcPr>
            <w:tcW w:w="4134" w:type="dxa"/>
            <w:vAlign w:val="center"/>
          </w:tcPr>
          <w:p>
            <w:pPr>
              <w:pageBreakBefore w:val="0"/>
              <w:kinsoku/>
              <w:wordWrap/>
              <w:overflowPunct/>
              <w:topLinePunct w:val="0"/>
              <w:autoSpaceDE/>
              <w:autoSpaceDN/>
              <w:bidi w:val="0"/>
              <w:adjustRightInd/>
              <w:spacing w:beforeAutospacing="0" w:afterAutospacing="0" w:line="240" w:lineRule="auto"/>
              <w:ind w:firstLine="0" w:firstLineChars="0"/>
              <w:textAlignment w:val="auto"/>
              <w:rPr>
                <w:rFonts w:cs="Times New Roman" w:eastAsiaTheme="minorEastAsia"/>
                <w:szCs w:val="21"/>
              </w:rPr>
            </w:pPr>
            <w:r>
              <w:rPr>
                <w:rFonts w:hint="eastAsia" w:cs="Times New Roman" w:eastAsiaTheme="minorEastAsia"/>
                <w:szCs w:val="21"/>
              </w:rPr>
              <w:drawing>
                <wp:inline distT="0" distB="0" distL="114300" distR="114300">
                  <wp:extent cx="2588895" cy="1919605"/>
                  <wp:effectExtent l="0" t="0" r="1905" b="10795"/>
                  <wp:docPr id="1" name="图片 1" descr="1%淹没水深"/>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1%淹没水深"/>
                          <pic:cNvPicPr>
                            <a:picLocks noChangeAspect="true"/>
                          </pic:cNvPicPr>
                        </pic:nvPicPr>
                        <pic:blipFill>
                          <a:blip r:embed="rId18"/>
                          <a:srcRect l="1714" r="2008" b="3508"/>
                          <a:stretch>
                            <a:fillRect/>
                          </a:stretch>
                        </pic:blipFill>
                        <pic:spPr>
                          <a:xfrm>
                            <a:off x="0" y="0"/>
                            <a:ext cx="2588895" cy="191960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4" w:hRule="atLeast"/>
        </w:trPr>
        <w:tc>
          <w:tcPr>
            <w:tcW w:w="4172" w:type="dxa"/>
            <w:vAlign w:val="center"/>
          </w:tcPr>
          <w:p>
            <w:pPr>
              <w:pageBreakBefore w:val="0"/>
              <w:kinsoku/>
              <w:wordWrap/>
              <w:overflowPunct/>
              <w:topLinePunct w:val="0"/>
              <w:autoSpaceDE/>
              <w:autoSpaceDN/>
              <w:bidi w:val="0"/>
              <w:adjustRightInd/>
              <w:spacing w:beforeAutospacing="0" w:afterAutospacing="0" w:line="240" w:lineRule="auto"/>
              <w:ind w:firstLine="300"/>
              <w:jc w:val="center"/>
              <w:textAlignment w:val="auto"/>
              <w:rPr>
                <w:rFonts w:cs="Times New Roman" w:eastAsiaTheme="minorEastAsia"/>
                <w:sz w:val="15"/>
                <w:szCs w:val="15"/>
              </w:rPr>
            </w:pPr>
            <w:r>
              <w:rPr>
                <w:rFonts w:cs="Times New Roman" w:eastAsiaTheme="minorEastAsia"/>
                <w:sz w:val="15"/>
                <w:szCs w:val="15"/>
              </w:rPr>
              <w:t>（a）</w:t>
            </w:r>
            <w:r>
              <w:rPr>
                <w:rFonts w:hint="eastAsia" w:cs="Times New Roman" w:eastAsiaTheme="minorEastAsia"/>
                <w:sz w:val="15"/>
                <w:szCs w:val="15"/>
              </w:rPr>
              <w:t>航拍DEM数据</w:t>
            </w:r>
          </w:p>
        </w:tc>
        <w:tc>
          <w:tcPr>
            <w:tcW w:w="4134" w:type="dxa"/>
            <w:vAlign w:val="center"/>
          </w:tcPr>
          <w:p>
            <w:pPr>
              <w:pageBreakBefore w:val="0"/>
              <w:kinsoku/>
              <w:wordWrap/>
              <w:overflowPunct/>
              <w:topLinePunct w:val="0"/>
              <w:autoSpaceDE/>
              <w:autoSpaceDN/>
              <w:bidi w:val="0"/>
              <w:adjustRightInd/>
              <w:spacing w:beforeAutospacing="0" w:afterAutospacing="0" w:line="240" w:lineRule="auto"/>
              <w:ind w:firstLine="300"/>
              <w:jc w:val="center"/>
              <w:textAlignment w:val="auto"/>
              <w:rPr>
                <w:rFonts w:cs="Times New Roman" w:eastAsiaTheme="minorEastAsia"/>
                <w:sz w:val="15"/>
                <w:szCs w:val="15"/>
              </w:rPr>
            </w:pPr>
            <w:r>
              <w:rPr>
                <w:rFonts w:cs="Times New Roman" w:eastAsiaTheme="minorEastAsia"/>
                <w:sz w:val="15"/>
                <w:szCs w:val="15"/>
              </w:rPr>
              <w:t>（b）</w:t>
            </w:r>
            <w:r>
              <w:rPr>
                <w:rFonts w:hint="eastAsia" w:cs="Times New Roman" w:eastAsiaTheme="minorEastAsia"/>
                <w:sz w:val="15"/>
                <w:szCs w:val="15"/>
              </w:rPr>
              <w:t>100年一遇淹没水深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172" w:type="dxa"/>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eastAsiaTheme="minorEastAsia"/>
                <w:sz w:val="15"/>
                <w:szCs w:val="15"/>
              </w:rPr>
            </w:pPr>
            <w:r>
              <w:rPr>
                <w:rFonts w:hint="eastAsia" w:cs="Times New Roman" w:eastAsiaTheme="minorEastAsia"/>
                <w:sz w:val="15"/>
                <w:szCs w:val="15"/>
              </w:rPr>
              <w:drawing>
                <wp:inline distT="0" distB="0" distL="114300" distR="114300">
                  <wp:extent cx="2642870" cy="1874520"/>
                  <wp:effectExtent l="0" t="0" r="11430" b="5080"/>
                  <wp:docPr id="8" name="图片 8" descr="1%淹没流速"/>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descr="1%淹没流速"/>
                          <pic:cNvPicPr>
                            <a:picLocks noChangeAspect="true"/>
                          </pic:cNvPicPr>
                        </pic:nvPicPr>
                        <pic:blipFill>
                          <a:blip r:embed="rId19"/>
                          <a:srcRect l="2058" t="2640" r="2202" b="3182"/>
                          <a:stretch>
                            <a:fillRect/>
                          </a:stretch>
                        </pic:blipFill>
                        <pic:spPr>
                          <a:xfrm>
                            <a:off x="0" y="0"/>
                            <a:ext cx="2642870" cy="1874520"/>
                          </a:xfrm>
                          <a:prstGeom prst="rect">
                            <a:avLst/>
                          </a:prstGeom>
                        </pic:spPr>
                      </pic:pic>
                    </a:graphicData>
                  </a:graphic>
                </wp:inline>
              </w:drawing>
            </w:r>
          </w:p>
        </w:tc>
        <w:tc>
          <w:tcPr>
            <w:tcW w:w="4134" w:type="dxa"/>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eastAsiaTheme="minorEastAsia"/>
                <w:sz w:val="15"/>
                <w:szCs w:val="15"/>
              </w:rPr>
            </w:pPr>
            <w:r>
              <w:rPr>
                <w:rFonts w:hint="eastAsia" w:cs="Times New Roman" w:eastAsiaTheme="minorEastAsia"/>
                <w:sz w:val="15"/>
                <w:szCs w:val="15"/>
              </w:rPr>
              <w:drawing>
                <wp:inline distT="0" distB="0" distL="114300" distR="114300">
                  <wp:extent cx="2557780" cy="1877060"/>
                  <wp:effectExtent l="0" t="0" r="7620" b="2540"/>
                  <wp:docPr id="10" name="图片 10" descr="1%淹没历时"/>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1%淹没历时"/>
                          <pic:cNvPicPr>
                            <a:picLocks noChangeAspect="true"/>
                          </pic:cNvPicPr>
                        </pic:nvPicPr>
                        <pic:blipFill>
                          <a:blip r:embed="rId20"/>
                          <a:srcRect l="1938" t="2217" r="2036" b="3258"/>
                          <a:stretch>
                            <a:fillRect/>
                          </a:stretch>
                        </pic:blipFill>
                        <pic:spPr>
                          <a:xfrm>
                            <a:off x="0" y="0"/>
                            <a:ext cx="2557780" cy="187706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172" w:type="dxa"/>
            <w:vAlign w:val="center"/>
          </w:tcPr>
          <w:p>
            <w:pPr>
              <w:pageBreakBefore w:val="0"/>
              <w:kinsoku/>
              <w:wordWrap/>
              <w:overflowPunct/>
              <w:topLinePunct w:val="0"/>
              <w:autoSpaceDE/>
              <w:autoSpaceDN/>
              <w:bidi w:val="0"/>
              <w:adjustRightInd/>
              <w:spacing w:beforeAutospacing="0" w:afterAutospacing="0" w:line="240" w:lineRule="auto"/>
              <w:ind w:firstLine="300"/>
              <w:jc w:val="center"/>
              <w:textAlignment w:val="auto"/>
              <w:rPr>
                <w:rFonts w:cs="Times New Roman" w:eastAsiaTheme="minorEastAsia"/>
                <w:sz w:val="15"/>
                <w:szCs w:val="15"/>
              </w:rPr>
            </w:pPr>
            <w:r>
              <w:rPr>
                <w:rFonts w:cs="Times New Roman" w:eastAsiaTheme="minorEastAsia"/>
                <w:sz w:val="15"/>
                <w:szCs w:val="15"/>
              </w:rPr>
              <w:t>（</w:t>
            </w:r>
            <w:r>
              <w:rPr>
                <w:rFonts w:hint="eastAsia" w:cs="Times New Roman" w:eastAsiaTheme="minorEastAsia"/>
                <w:sz w:val="15"/>
                <w:szCs w:val="15"/>
              </w:rPr>
              <w:t>c</w:t>
            </w:r>
            <w:r>
              <w:rPr>
                <w:rFonts w:cs="Times New Roman" w:eastAsiaTheme="minorEastAsia"/>
                <w:sz w:val="15"/>
                <w:szCs w:val="15"/>
              </w:rPr>
              <w:t>）</w:t>
            </w:r>
            <w:r>
              <w:rPr>
                <w:rFonts w:hint="eastAsia" w:cs="Times New Roman" w:eastAsiaTheme="minorEastAsia"/>
                <w:sz w:val="15"/>
                <w:szCs w:val="15"/>
              </w:rPr>
              <w:t>100年一遇淹没流速</w:t>
            </w:r>
          </w:p>
        </w:tc>
        <w:tc>
          <w:tcPr>
            <w:tcW w:w="4134" w:type="dxa"/>
            <w:vAlign w:val="center"/>
          </w:tcPr>
          <w:p>
            <w:pPr>
              <w:pageBreakBefore w:val="0"/>
              <w:kinsoku/>
              <w:wordWrap/>
              <w:overflowPunct/>
              <w:topLinePunct w:val="0"/>
              <w:autoSpaceDE/>
              <w:autoSpaceDN/>
              <w:bidi w:val="0"/>
              <w:adjustRightInd/>
              <w:spacing w:beforeAutospacing="0" w:afterAutospacing="0" w:line="240" w:lineRule="auto"/>
              <w:ind w:firstLine="300"/>
              <w:jc w:val="center"/>
              <w:textAlignment w:val="auto"/>
              <w:rPr>
                <w:rFonts w:cs="Times New Roman" w:eastAsiaTheme="minorEastAsia"/>
                <w:sz w:val="15"/>
                <w:szCs w:val="15"/>
              </w:rPr>
            </w:pPr>
            <w:r>
              <w:rPr>
                <w:rFonts w:cs="Times New Roman" w:eastAsiaTheme="minorEastAsia"/>
                <w:sz w:val="15"/>
                <w:szCs w:val="15"/>
              </w:rPr>
              <w:t>（</w:t>
            </w:r>
            <w:r>
              <w:rPr>
                <w:rFonts w:hint="eastAsia" w:cs="Times New Roman" w:eastAsiaTheme="minorEastAsia"/>
                <w:sz w:val="15"/>
                <w:szCs w:val="15"/>
              </w:rPr>
              <w:t>d</w:t>
            </w:r>
            <w:r>
              <w:rPr>
                <w:rFonts w:cs="Times New Roman" w:eastAsiaTheme="minorEastAsia"/>
                <w:sz w:val="15"/>
                <w:szCs w:val="15"/>
              </w:rPr>
              <w:t>）</w:t>
            </w:r>
            <w:r>
              <w:rPr>
                <w:rFonts w:hint="eastAsia" w:cs="Times New Roman" w:eastAsiaTheme="minorEastAsia"/>
                <w:sz w:val="15"/>
                <w:szCs w:val="15"/>
              </w:rPr>
              <w:t>100年一遇淹没历时</w:t>
            </w:r>
          </w:p>
        </w:tc>
      </w:tr>
    </w:tbl>
    <w:p>
      <w:pPr>
        <w:pageBreakBefore w:val="0"/>
        <w:kinsoku/>
        <w:wordWrap/>
        <w:overflowPunct/>
        <w:topLinePunct w:val="0"/>
        <w:autoSpaceDE/>
        <w:autoSpaceDN/>
        <w:bidi w:val="0"/>
        <w:adjustRightInd/>
        <w:spacing w:beforeAutospacing="0" w:afterAutospacing="0" w:line="240" w:lineRule="auto"/>
        <w:ind w:firstLine="482" w:firstLineChars="0"/>
        <w:jc w:val="center"/>
        <w:textAlignment w:val="auto"/>
        <w:rPr>
          <w:rFonts w:eastAsia="黑体" w:cs="Times New Roman"/>
          <w:sz w:val="18"/>
          <w:szCs w:val="18"/>
        </w:rPr>
      </w:pPr>
      <w:r>
        <w:rPr>
          <w:rFonts w:hint="eastAsia" w:eastAsia="黑体" w:cs="Times New Roman"/>
          <w:sz w:val="18"/>
          <w:szCs w:val="18"/>
        </w:rPr>
        <w:t>图5  德兴市城区DEM数据与百年一遇洪水淹没情景</w:t>
      </w:r>
    </w:p>
    <w:p>
      <w:pPr>
        <w:pageBreakBefore w:val="0"/>
        <w:kinsoku/>
        <w:wordWrap/>
        <w:overflowPunct/>
        <w:topLinePunct w:val="0"/>
        <w:autoSpaceDE/>
        <w:autoSpaceDN/>
        <w:bidi w:val="0"/>
        <w:adjustRightInd/>
        <w:spacing w:beforeAutospacing="0" w:afterAutospacing="0" w:line="240" w:lineRule="auto"/>
        <w:ind w:firstLine="482" w:firstLineChars="0"/>
        <w:jc w:val="center"/>
        <w:textAlignment w:val="auto"/>
        <w:rPr>
          <w:rFonts w:eastAsia="黑体" w:cs="Times New Roman"/>
          <w:bCs/>
          <w:sz w:val="18"/>
          <w:szCs w:val="18"/>
        </w:rPr>
      </w:pPr>
      <w:r>
        <w:rPr>
          <w:rFonts w:eastAsia="黑体" w:cs="Times New Roman"/>
          <w:bCs/>
          <w:sz w:val="18"/>
          <w:szCs w:val="18"/>
        </w:rPr>
        <w:t>Fig.</w:t>
      </w:r>
      <w:r>
        <w:rPr>
          <w:rFonts w:hint="eastAsia" w:eastAsia="黑体" w:cs="Times New Roman"/>
          <w:bCs/>
          <w:sz w:val="18"/>
          <w:szCs w:val="18"/>
        </w:rPr>
        <w:t xml:space="preserve">5 </w:t>
      </w:r>
      <w:r>
        <w:rPr>
          <w:rFonts w:eastAsia="黑体" w:cs="Times New Roman"/>
          <w:bCs/>
          <w:sz w:val="18"/>
          <w:szCs w:val="18"/>
        </w:rPr>
        <w:t xml:space="preserve"> DEM </w:t>
      </w:r>
      <w:r>
        <w:rPr>
          <w:rFonts w:hint="eastAsia" w:eastAsia="黑体" w:cs="Times New Roman"/>
          <w:bCs/>
          <w:sz w:val="18"/>
          <w:szCs w:val="18"/>
        </w:rPr>
        <w:t>d</w:t>
      </w:r>
      <w:r>
        <w:rPr>
          <w:rFonts w:eastAsia="黑体" w:cs="Times New Roman"/>
          <w:bCs/>
          <w:sz w:val="18"/>
          <w:szCs w:val="18"/>
        </w:rPr>
        <w:t>ata and 100-</w:t>
      </w:r>
      <w:r>
        <w:rPr>
          <w:rFonts w:hint="eastAsia" w:eastAsia="黑体" w:cs="Times New Roman"/>
          <w:bCs/>
          <w:sz w:val="18"/>
          <w:szCs w:val="18"/>
        </w:rPr>
        <w:t>y</w:t>
      </w:r>
      <w:r>
        <w:rPr>
          <w:rFonts w:eastAsia="黑体" w:cs="Times New Roman"/>
          <w:bCs/>
          <w:sz w:val="18"/>
          <w:szCs w:val="18"/>
        </w:rPr>
        <w:t xml:space="preserve">ear </w:t>
      </w:r>
      <w:r>
        <w:rPr>
          <w:rFonts w:hint="eastAsia" w:eastAsia="黑体" w:cs="Times New Roman"/>
          <w:bCs/>
          <w:sz w:val="18"/>
          <w:szCs w:val="18"/>
        </w:rPr>
        <w:t>f</w:t>
      </w:r>
      <w:r>
        <w:rPr>
          <w:rFonts w:eastAsia="黑体" w:cs="Times New Roman"/>
          <w:bCs/>
          <w:sz w:val="18"/>
          <w:szCs w:val="18"/>
        </w:rPr>
        <w:t xml:space="preserve">lood </w:t>
      </w:r>
      <w:r>
        <w:rPr>
          <w:rFonts w:hint="eastAsia" w:eastAsia="黑体" w:cs="Times New Roman"/>
          <w:bCs/>
          <w:sz w:val="18"/>
          <w:szCs w:val="18"/>
        </w:rPr>
        <w:t>i</w:t>
      </w:r>
      <w:r>
        <w:rPr>
          <w:rFonts w:eastAsia="黑体" w:cs="Times New Roman"/>
          <w:bCs/>
          <w:sz w:val="18"/>
          <w:szCs w:val="18"/>
        </w:rPr>
        <w:t xml:space="preserve">nundation </w:t>
      </w:r>
      <w:r>
        <w:rPr>
          <w:rFonts w:hint="eastAsia" w:eastAsia="黑体" w:cs="Times New Roman"/>
          <w:bCs/>
          <w:sz w:val="18"/>
          <w:szCs w:val="18"/>
        </w:rPr>
        <w:t>s</w:t>
      </w:r>
      <w:r>
        <w:rPr>
          <w:rFonts w:eastAsia="黑体" w:cs="Times New Roman"/>
          <w:bCs/>
          <w:sz w:val="18"/>
          <w:szCs w:val="18"/>
        </w:rPr>
        <w:t>cenario for Dexing urban area</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百年一遇洪水淹没情景下，研究区淹没面积约为2.59km</w:t>
      </w:r>
      <w:r>
        <w:rPr>
          <w:rFonts w:hint="eastAsia" w:cs="Times New Roman"/>
          <w:sz w:val="21"/>
          <w:vertAlign w:val="superscript"/>
        </w:rPr>
        <w:t>2</w:t>
      </w:r>
      <w:r>
        <w:rPr>
          <w:rFonts w:hint="eastAsia" w:cs="Times New Roman"/>
          <w:sz w:val="21"/>
        </w:rPr>
        <w:t>，平均淹没水深为1.46m。洪水行进流速超2m/s区域主要分布在上游新营一村近水广场及下游岁寒山社区、武安路社区、银泉社区等沿河路段，中部淹没区域洪水行进流速相对较低，整体小于0.5m/s。淹没历时整体在1.5</w:t>
      </w:r>
      <w:r>
        <w:rPr>
          <w:rFonts w:hint="eastAsia" w:ascii="宋体" w:hAnsi="宋体" w:cs="Times New Roman"/>
          <w:sz w:val="21"/>
        </w:rPr>
        <w:t>～</w:t>
      </w:r>
      <w:r>
        <w:rPr>
          <w:rFonts w:hint="eastAsia" w:cs="Times New Roman"/>
          <w:sz w:val="21"/>
        </w:rPr>
        <w:t>2d之间，部分受灾较严重地区（新营一村和岁寒山社区、武安路社区、银泉社区等沿河路段）淹没历时在2</w:t>
      </w:r>
      <w:r>
        <w:rPr>
          <w:rFonts w:hint="eastAsia" w:ascii="宋体" w:hAnsi="宋体" w:cs="Times New Roman"/>
          <w:sz w:val="21"/>
        </w:rPr>
        <w:t>～</w:t>
      </w:r>
      <w:r>
        <w:rPr>
          <w:rFonts w:hint="eastAsia" w:cs="Times New Roman"/>
          <w:sz w:val="21"/>
        </w:rPr>
        <w:t>3d之间。</w:t>
      </w:r>
    </w:p>
    <w:p>
      <w:pPr>
        <w:pageBreakBefore w:val="0"/>
        <w:kinsoku/>
        <w:wordWrap/>
        <w:overflowPunct/>
        <w:topLinePunct w:val="0"/>
        <w:autoSpaceDE/>
        <w:autoSpaceDN/>
        <w:bidi w:val="0"/>
        <w:adjustRightInd/>
        <w:spacing w:beforeAutospacing="0" w:afterAutospacing="0" w:line="240" w:lineRule="auto"/>
        <w:ind w:firstLine="0" w:firstLineChars="0"/>
        <w:textAlignment w:val="auto"/>
        <w:outlineLvl w:val="2"/>
        <w:rPr>
          <w:rFonts w:eastAsia="楷体" w:cs="Times New Roman"/>
          <w:sz w:val="21"/>
        </w:rPr>
      </w:pPr>
      <w:r>
        <w:rPr>
          <w:rFonts w:hint="eastAsia" w:eastAsia="楷体" w:cs="Times New Roman"/>
          <w:sz w:val="21"/>
        </w:rPr>
        <w:t>2.2.2 AHP层次分析法权重确定</w:t>
      </w:r>
    </w:p>
    <w:p>
      <w:pPr>
        <w:pageBreakBefore w:val="0"/>
        <w:kinsoku/>
        <w:wordWrap/>
        <w:overflowPunct/>
        <w:topLinePunct w:val="0"/>
        <w:autoSpaceDE/>
        <w:autoSpaceDN/>
        <w:bidi w:val="0"/>
        <w:adjustRightInd/>
        <w:spacing w:beforeAutospacing="0" w:afterAutospacing="0" w:line="240" w:lineRule="auto"/>
        <w:ind w:firstLine="420"/>
        <w:textAlignment w:val="auto"/>
      </w:pPr>
      <w:r>
        <w:rPr>
          <w:rFonts w:cs="Times New Roman"/>
          <w:sz w:val="21"/>
        </w:rPr>
        <w:t>层次分析法（AHP）是美国运筹学家Thomas L. Saaty于20世纪70年代提出的系统化决策分析方法。</w:t>
      </w:r>
      <w:r>
        <w:rPr>
          <w:rFonts w:hint="eastAsia" w:cs="Times New Roman"/>
          <w:sz w:val="21"/>
        </w:rPr>
        <w:t>其</w:t>
      </w:r>
      <w:r>
        <w:rPr>
          <w:rFonts w:cs="Times New Roman"/>
          <w:sz w:val="21"/>
        </w:rPr>
        <w:t>通过分解问题为层次结构，并基于专家判断构建两两比较矩阵，确定各个因素的权重和优先次序</w:t>
      </w:r>
      <w:r>
        <w:rPr>
          <w:rFonts w:cs="Times New Roman"/>
          <w:sz w:val="21"/>
          <w:vertAlign w:val="superscript"/>
        </w:rPr>
        <w:fldChar w:fldCharType="begin"/>
      </w:r>
      <w:r>
        <w:rPr>
          <w:rFonts w:cs="Times New Roman"/>
          <w:sz w:val="21"/>
          <w:vertAlign w:val="superscript"/>
        </w:rPr>
        <w:instrText xml:space="preserve"> REF _Ref31754 \r \h </w:instrText>
      </w:r>
      <w:r>
        <w:rPr>
          <w:rFonts w:cs="Times New Roman"/>
          <w:sz w:val="21"/>
          <w:vertAlign w:val="superscript"/>
        </w:rPr>
        <w:fldChar w:fldCharType="separate"/>
      </w:r>
      <w:r>
        <w:rPr>
          <w:rFonts w:cs="Times New Roman"/>
          <w:sz w:val="21"/>
          <w:vertAlign w:val="superscript"/>
        </w:rPr>
        <w:t>[26]</w:t>
      </w:r>
      <w:r>
        <w:rPr>
          <w:rFonts w:cs="Times New Roman"/>
          <w:sz w:val="21"/>
          <w:vertAlign w:val="superscript"/>
        </w:rPr>
        <w:fldChar w:fldCharType="end"/>
      </w:r>
      <w:r>
        <w:rPr>
          <w:rFonts w:hint="eastAsia" w:cs="Times New Roman"/>
          <w:sz w:val="21"/>
        </w:rPr>
        <w:t>。层次分析法计算权重的主要步骤：（1）建立层次结构，</w:t>
      </w:r>
      <w:r>
        <w:rPr>
          <w:rFonts w:cs="Times New Roman"/>
          <w:sz w:val="21"/>
        </w:rPr>
        <w:t>确定评估目标（目标层）、影响目标的主要因素（准则层）以及具体的评估指标（</w:t>
      </w:r>
      <w:r>
        <w:rPr>
          <w:rFonts w:hint="eastAsia" w:cs="Times New Roman"/>
          <w:sz w:val="21"/>
        </w:rPr>
        <w:t>方案</w:t>
      </w:r>
      <w:r>
        <w:rPr>
          <w:rFonts w:cs="Times New Roman"/>
          <w:sz w:val="21"/>
        </w:rPr>
        <w:t>层）。</w:t>
      </w:r>
      <w:r>
        <w:rPr>
          <w:rFonts w:hint="eastAsia" w:cs="Times New Roman"/>
          <w:sz w:val="21"/>
        </w:rPr>
        <w:t>（2）构建两两比较矩阵，</w:t>
      </w:r>
      <w:r>
        <w:rPr>
          <w:rFonts w:cs="Times New Roman"/>
          <w:sz w:val="21"/>
        </w:rPr>
        <w:t>按照Saaty标度法，</w:t>
      </w:r>
      <w:r>
        <w:rPr>
          <w:rFonts w:hint="eastAsia" w:cs="Times New Roman"/>
          <w:sz w:val="21"/>
        </w:rPr>
        <w:t>在每一个层级内，</w:t>
      </w:r>
      <w:r>
        <w:rPr>
          <w:rFonts w:cs="Times New Roman"/>
          <w:sz w:val="21"/>
        </w:rPr>
        <w:t>基于专家判断对各指标的重要性进行两两比较，构建成矩阵。</w:t>
      </w:r>
      <w:r>
        <w:rPr>
          <w:rFonts w:hint="eastAsia" w:cs="Times New Roman"/>
          <w:sz w:val="21"/>
        </w:rPr>
        <w:t>（3）计算指标权重，将判断矩阵中每一个元素按列归一化，而后取每行的平均值即可得到每个指标的权重。（4）一致性检验</w:t>
      </w:r>
      <w:r>
        <w:rPr>
          <w:rFonts w:cs="Times New Roman"/>
          <w:sz w:val="21"/>
        </w:rPr>
        <w:t>确保决策分析结果可靠</w:t>
      </w:r>
      <w:r>
        <w:rPr>
          <w:rFonts w:hint="eastAsia" w:cs="Times New Roman"/>
          <w:sz w:val="21"/>
        </w:rPr>
        <w:t>。</w:t>
      </w:r>
    </w:p>
    <w:p>
      <w:pPr>
        <w:pageBreakBefore w:val="0"/>
        <w:kinsoku/>
        <w:wordWrap/>
        <w:overflowPunct/>
        <w:topLinePunct w:val="0"/>
        <w:autoSpaceDE/>
        <w:autoSpaceDN/>
        <w:bidi w:val="0"/>
        <w:adjustRightInd/>
        <w:spacing w:beforeAutospacing="0" w:afterAutospacing="0" w:line="240" w:lineRule="auto"/>
        <w:ind w:firstLine="0" w:firstLineChars="0"/>
        <w:textAlignment w:val="auto"/>
        <w:outlineLvl w:val="2"/>
        <w:rPr>
          <w:rFonts w:eastAsia="楷体" w:cs="Times New Roman"/>
          <w:sz w:val="21"/>
        </w:rPr>
      </w:pPr>
      <w:r>
        <w:rPr>
          <w:rFonts w:hint="eastAsia" w:eastAsia="楷体" w:cs="Times New Roman"/>
          <w:sz w:val="21"/>
        </w:rPr>
        <w:t>2.2.3熵权法权重确定</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熵权法是基于信息熵理论的一种客观赋权方法。其核心原理是：指标的权重由其数据分布的离散程度决定。分布越离散，信息量越大，对评价结果影响越显著，权重越高；反之，分布集中则信息量小，权重越低。信息熵量化了系统信息的不确定性（无序程度）。在熵权法中，信息熵用于度量各指标的信息贡献度，并据此计算权重</w:t>
      </w:r>
      <w:r>
        <w:rPr>
          <w:rFonts w:cs="Times New Roman"/>
          <w:sz w:val="21"/>
          <w:vertAlign w:val="superscript"/>
        </w:rPr>
        <w:fldChar w:fldCharType="begin"/>
      </w:r>
      <w:r>
        <w:rPr>
          <w:rFonts w:cs="Times New Roman"/>
          <w:sz w:val="21"/>
          <w:vertAlign w:val="superscript"/>
        </w:rPr>
        <w:instrText xml:space="preserve"> REF _Ref658 \r \h </w:instrText>
      </w:r>
      <w:r>
        <w:rPr>
          <w:rFonts w:cs="Times New Roman"/>
          <w:sz w:val="21"/>
          <w:vertAlign w:val="superscript"/>
        </w:rPr>
        <w:fldChar w:fldCharType="separate"/>
      </w:r>
      <w:r>
        <w:rPr>
          <w:rFonts w:cs="Times New Roman"/>
          <w:sz w:val="21"/>
          <w:vertAlign w:val="superscript"/>
        </w:rPr>
        <w:t>[27]</w:t>
      </w:r>
      <w:r>
        <w:rPr>
          <w:rFonts w:cs="Times New Roman"/>
          <w:sz w:val="21"/>
          <w:vertAlign w:val="superscript"/>
        </w:rPr>
        <w:fldChar w:fldCharType="end"/>
      </w:r>
      <w:r>
        <w:rPr>
          <w:rFonts w:hint="eastAsia" w:cs="Times New Roman"/>
          <w:sz w:val="21"/>
        </w:rPr>
        <w:t>。</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（1）建立一个以评估对象数量m为行数，评估指标数量n为列数的初始数据指标矩阵，其中，xij为第i个样本在第j个指标上的数值。</w:t>
      </w:r>
    </w:p>
    <w:p>
      <w:pPr>
        <w:pageBreakBefore w:val="0"/>
        <w:kinsoku/>
        <w:wordWrap/>
        <w:overflowPunct/>
        <w:topLinePunct w:val="0"/>
        <w:autoSpaceDE/>
        <w:autoSpaceDN/>
        <w:bidi w:val="0"/>
        <w:adjustRightInd/>
        <w:spacing w:beforeAutospacing="0" w:afterAutospacing="0" w:line="240" w:lineRule="auto"/>
        <w:ind w:firstLine="420"/>
        <w:textAlignment w:val="auto"/>
        <w:rPr>
          <w:rFonts w:cs="Times New Roman"/>
          <w:sz w:val="21"/>
        </w:rPr>
      </w:pPr>
      <w:r>
        <w:rPr>
          <w:rFonts w:hint="eastAsia" w:cs="Times New Roman"/>
          <w:sz w:val="21"/>
        </w:rPr>
        <w:t>（2）将选择的指标分为正向和负向两类，并进行数据标准化，标准化后矩阵为</w:t>
      </w:r>
      <w:r>
        <w:rPr>
          <w:rFonts w:hint="eastAsia" w:cs="Times New Roman"/>
          <w:b/>
          <w:bCs/>
          <w:i/>
          <w:iCs/>
          <w:sz w:val="21"/>
        </w:rPr>
        <w:t>Z=[z</w:t>
      </w:r>
      <w:r>
        <w:rPr>
          <w:rFonts w:hint="eastAsia" w:cs="Times New Roman"/>
          <w:b/>
          <w:bCs/>
          <w:i/>
          <w:iCs/>
          <w:sz w:val="21"/>
          <w:vertAlign w:val="subscript"/>
        </w:rPr>
        <w:t>ij</w:t>
      </w:r>
      <w:r>
        <w:rPr>
          <w:rFonts w:hint="eastAsia" w:cs="Times New Roman"/>
          <w:b/>
          <w:bCs/>
          <w:i/>
          <w:iCs/>
          <w:sz w:val="21"/>
        </w:rPr>
        <w:t>]</w:t>
      </w:r>
      <w:r>
        <w:rPr>
          <w:rFonts w:hint="eastAsia" w:cs="Times New Roman"/>
          <w:sz w:val="21"/>
        </w:rPr>
        <w:t>。</w:t>
      </w:r>
    </w:p>
    <w:tbl>
      <w:tblPr>
        <w:tblStyle w:val="15"/>
        <w:tblW w:w="498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779"/>
        <w:gridCol w:w="3275"/>
        <w:gridCol w:w="22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79" w:type="dxa"/>
            <w:shd w:val="clear" w:color="auto" w:fill="auto"/>
            <w:vAlign w:val="center"/>
          </w:tcPr>
          <w:p>
            <w:pPr>
              <w:pageBreakBefore w:val="0"/>
              <w:widowControl/>
              <w:kinsoku/>
              <w:wordWrap/>
              <w:overflowPunct/>
              <w:topLinePunct w:val="0"/>
              <w:autoSpaceDE/>
              <w:autoSpaceDN/>
              <w:bidi w:val="0"/>
              <w:adjustRightInd/>
              <w:spacing w:beforeAutospacing="0" w:afterAutospacing="0" w:line="240" w:lineRule="auto"/>
              <w:ind w:firstLine="420"/>
              <w:textAlignment w:val="auto"/>
              <w:rPr>
                <w:rFonts w:hAnsi="Cambria Math"/>
                <w:sz w:val="21"/>
                <w:szCs w:val="21"/>
              </w:rPr>
            </w:pPr>
            <w:r>
              <w:rPr>
                <w:rFonts w:hint="eastAsia" w:hAnsi="Cambria Math"/>
                <w:sz w:val="21"/>
                <w:szCs w:val="21"/>
              </w:rPr>
              <w:t>正向标准化</w:t>
            </w:r>
          </w:p>
          <w:p>
            <w:pPr>
              <w:pStyle w:val="2"/>
              <w:pageBreakBefore w:val="0"/>
              <w:kinsoku/>
              <w:wordWrap/>
              <w:overflowPunct/>
              <w:topLinePunct w:val="0"/>
              <w:autoSpaceDE/>
              <w:autoSpaceDN/>
              <w:bidi w:val="0"/>
              <w:adjustRightInd/>
              <w:spacing w:beforeAutospacing="0" w:afterAutospacing="0" w:line="240" w:lineRule="auto"/>
              <w:ind w:firstLine="340"/>
              <w:textAlignment w:val="auto"/>
              <w:rPr>
                <w:rFonts w:hint="eastAsia" w:eastAsiaTheme="minorEastAsia"/>
                <w:lang w:eastAsia="zh-CN"/>
              </w:rPr>
            </w:pPr>
          </w:p>
        </w:tc>
        <w:tc>
          <w:tcPr>
            <w:tcW w:w="3275" w:type="dxa"/>
            <w:shd w:val="clear" w:color="auto" w:fill="auto"/>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sSup>
                  <m:sSupPr>
                    <m:ctrlPr>
                      <w:rPr>
                        <w:rFonts w:ascii="Cambria Math" w:hAnsi="Cambria Math" w:cs="Times New Roman"/>
                        <w:i/>
                        <w:sz w:val="21"/>
                        <w:szCs w:val="21"/>
                      </w:rPr>
                    </m:ctrlPr>
                  </m:sSupPr>
                  <m:e>
                    <m:r>
                      <m:rPr>
                        <m:nor/>
                      </m:rPr>
                      <w:rPr>
                        <w:rFonts w:cs="Times New Roman"/>
                        <w:i/>
                        <w:sz w:val="21"/>
                        <w:szCs w:val="21"/>
                      </w:rPr>
                      <m:t>X</m:t>
                    </m:r>
                    <m:ctrlPr>
                      <w:rPr>
                        <w:rFonts w:ascii="Cambria Math" w:hAnsi="Cambria Math" w:cs="Times New Roman"/>
                        <w:i/>
                        <w:sz w:val="21"/>
                        <w:szCs w:val="21"/>
                      </w:rPr>
                    </m:ctrlPr>
                  </m:e>
                  <m:sup>
                    <m:r>
                      <m:rPr>
                        <m:nor/>
                        <m:sty m:val="p"/>
                      </m:rPr>
                      <w:rPr>
                        <w:rFonts w:cs="Times New Roman"/>
                        <w:b w:val="0"/>
                        <w:i w:val="0"/>
                        <w:sz w:val="21"/>
                        <w:szCs w:val="21"/>
                      </w:rPr>
                      <m:t>*</m:t>
                    </m:r>
                    <m:ctrlPr>
                      <w:rPr>
                        <w:rFonts w:ascii="Cambria Math" w:hAnsi="Cambria Math" w:cs="Times New Roman"/>
                        <w:i/>
                        <w:sz w:val="21"/>
                        <w:szCs w:val="21"/>
                      </w:rPr>
                    </m:ctrlPr>
                  </m:sup>
                </m:sSup>
                <m:r>
                  <m:rPr>
                    <m:nor/>
                    <m:sty m:val="p"/>
                  </m:rPr>
                  <w:rPr>
                    <w:rFonts w:cs="Times New Roman"/>
                    <w:b w:val="0"/>
                    <w:i w:val="0"/>
                    <w:sz w:val="21"/>
                    <w:szCs w:val="21"/>
                  </w:rPr>
                  <m:t>=</m:t>
                </m:r>
                <m:f>
                  <m:fPr>
                    <m:ctrlPr>
                      <w:rPr>
                        <w:rFonts w:ascii="Cambria Math" w:hAnsi="Cambria Math" w:cs="Times New Roman"/>
                        <w:i/>
                        <w:sz w:val="21"/>
                        <w:szCs w:val="21"/>
                      </w:rPr>
                    </m:ctrlPr>
                  </m:fPr>
                  <m:num>
                    <m:r>
                      <m:rPr>
                        <m:nor/>
                      </m:rPr>
                      <w:rPr>
                        <w:rFonts w:cs="Times New Roman"/>
                        <w:i/>
                        <w:sz w:val="21"/>
                        <w:szCs w:val="21"/>
                      </w:rPr>
                      <m:t>x</m:t>
                    </m:r>
                    <m:r>
                      <m:rPr>
                        <m:nor/>
                        <m:sty m:val="p"/>
                      </m:rPr>
                      <w:rPr>
                        <w:rFonts w:cs="Times New Roman"/>
                        <w:b w:val="0"/>
                        <w:i w:val="0"/>
                        <w:sz w:val="21"/>
                        <w:szCs w:val="21"/>
                      </w:rPr>
                      <m:t>-</m:t>
                    </m:r>
                    <m:r>
                      <m:rPr>
                        <m:nor/>
                      </m:rPr>
                      <w:rPr>
                        <w:rFonts w:cs="Times New Roman"/>
                        <w:i/>
                        <w:sz w:val="21"/>
                        <w:szCs w:val="21"/>
                      </w:rPr>
                      <m:t>min</m:t>
                    </m:r>
                    <m:d>
                      <m:dPr>
                        <m:ctrlPr>
                          <w:rPr>
                            <w:rFonts w:ascii="Cambria Math" w:hAnsi="Cambria Math" w:cs="Times New Roman"/>
                            <w:i/>
                            <w:sz w:val="21"/>
                            <w:szCs w:val="21"/>
                          </w:rPr>
                        </m:ctrlPr>
                      </m:dPr>
                      <m:e>
                        <m:r>
                          <m:rPr>
                            <m:nor/>
                          </m:rPr>
                          <w:rPr>
                            <w:rFonts w:cs="Times New Roman"/>
                            <w:i/>
                            <w:sz w:val="21"/>
                            <w:szCs w:val="21"/>
                          </w:rPr>
                          <m:t>x</m:t>
                        </m:r>
                        <m:ctrlPr>
                          <w:rPr>
                            <w:rFonts w:ascii="Cambria Math" w:hAnsi="Cambria Math" w:cs="Times New Roman"/>
                            <w:i/>
                            <w:sz w:val="21"/>
                            <w:szCs w:val="21"/>
                          </w:rPr>
                        </m:ctrlPr>
                      </m:e>
                    </m:d>
                    <m:ctrlPr>
                      <w:rPr>
                        <w:rFonts w:ascii="Cambria Math" w:hAnsi="Cambria Math" w:cs="Times New Roman"/>
                        <w:i/>
                        <w:sz w:val="21"/>
                        <w:szCs w:val="21"/>
                      </w:rPr>
                    </m:ctrlPr>
                  </m:num>
                  <m:den>
                    <m:r>
                      <m:rPr>
                        <m:nor/>
                      </m:rPr>
                      <w:rPr>
                        <w:rFonts w:cs="Times New Roman"/>
                        <w:i/>
                        <w:sz w:val="21"/>
                        <w:szCs w:val="21"/>
                      </w:rPr>
                      <m:t>max</m:t>
                    </m:r>
                    <m:d>
                      <m:dPr>
                        <m:ctrlPr>
                          <w:rPr>
                            <w:rFonts w:ascii="Cambria Math" w:hAnsi="Cambria Math" w:cs="Times New Roman"/>
                            <w:i/>
                            <w:sz w:val="21"/>
                            <w:szCs w:val="21"/>
                          </w:rPr>
                        </m:ctrlPr>
                      </m:dPr>
                      <m:e>
                        <m:r>
                          <m:rPr>
                            <m:nor/>
                          </m:rPr>
                          <w:rPr>
                            <w:rFonts w:cs="Times New Roman"/>
                            <w:i/>
                            <w:sz w:val="21"/>
                            <w:szCs w:val="21"/>
                          </w:rPr>
                          <m:t>x</m:t>
                        </m:r>
                        <m:ctrlPr>
                          <w:rPr>
                            <w:rFonts w:ascii="Cambria Math" w:hAnsi="Cambria Math" w:cs="Times New Roman"/>
                            <w:i/>
                            <w:sz w:val="21"/>
                            <w:szCs w:val="21"/>
                          </w:rPr>
                        </m:ctrlPr>
                      </m:e>
                    </m:d>
                    <m:r>
                      <m:rPr>
                        <m:nor/>
                        <m:sty m:val="p"/>
                      </m:rPr>
                      <w:rPr>
                        <w:rFonts w:cs="Times New Roman"/>
                        <w:b w:val="0"/>
                        <w:i w:val="0"/>
                        <w:sz w:val="21"/>
                        <w:szCs w:val="21"/>
                      </w:rPr>
                      <m:t>-</m:t>
                    </m:r>
                    <m:r>
                      <m:rPr>
                        <m:nor/>
                      </m:rPr>
                      <w:rPr>
                        <w:rFonts w:cs="Times New Roman"/>
                        <w:i/>
                        <w:sz w:val="21"/>
                        <w:szCs w:val="21"/>
                      </w:rPr>
                      <m:t>min</m:t>
                    </m:r>
                    <m:r>
                      <m:rPr>
                        <m:nor/>
                        <m:sty m:val="p"/>
                      </m:rPr>
                      <w:rPr>
                        <w:rFonts w:cs="Times New Roman"/>
                        <w:b w:val="0"/>
                        <w:i w:val="0"/>
                        <w:sz w:val="21"/>
                        <w:szCs w:val="21"/>
                      </w:rPr>
                      <m:t>(</m:t>
                    </m:r>
                    <m:r>
                      <m:rPr>
                        <m:nor/>
                      </m:rPr>
                      <w:rPr>
                        <w:rFonts w:cs="Times New Roman"/>
                        <w:i/>
                        <w:sz w:val="21"/>
                        <w:szCs w:val="21"/>
                      </w:rPr>
                      <m:t>x</m:t>
                    </m:r>
                    <m:r>
                      <m:rPr>
                        <m:nor/>
                        <m:sty m:val="p"/>
                      </m:rPr>
                      <w:rPr>
                        <w:rFonts w:cs="Times New Roman"/>
                        <w:b w:val="0"/>
                        <w:i w:val="0"/>
                        <w:sz w:val="21"/>
                        <w:szCs w:val="21"/>
                      </w:rPr>
                      <m:t>)</m:t>
                    </m:r>
                    <m:ctrlPr>
                      <w:rPr>
                        <w:rFonts w:ascii="Cambria Math" w:hAnsi="Cambria Math" w:cs="Times New Roman"/>
                        <w:i/>
                        <w:sz w:val="21"/>
                        <w:szCs w:val="21"/>
                      </w:rPr>
                    </m:ctrlPr>
                  </m:den>
                </m:f>
              </m:oMath>
            </m:oMathPara>
          </w:p>
        </w:tc>
        <w:tc>
          <w:tcPr>
            <w:tcW w:w="2224" w:type="dxa"/>
            <w:shd w:val="clear" w:color="auto" w:fill="auto"/>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0" w:type="auto"/>
            <w:shd w:val="clear" w:color="auto" w:fill="auto"/>
            <w:vAlign w:val="center"/>
          </w:tcPr>
          <w:p>
            <w:pPr>
              <w:pageBreakBefore w:val="0"/>
              <w:widowControl/>
              <w:kinsoku/>
              <w:wordWrap/>
              <w:overflowPunct/>
              <w:topLinePunct w:val="0"/>
              <w:autoSpaceDE/>
              <w:autoSpaceDN/>
              <w:bidi w:val="0"/>
              <w:adjustRightInd/>
              <w:spacing w:beforeAutospacing="0" w:afterAutospacing="0" w:line="240" w:lineRule="auto"/>
              <w:ind w:firstLine="420"/>
              <w:textAlignment w:val="auto"/>
              <w:rPr>
                <w:rFonts w:hAnsi="Cambria Math"/>
                <w:sz w:val="21"/>
                <w:szCs w:val="21"/>
              </w:rPr>
            </w:pPr>
            <w:r>
              <w:rPr>
                <w:rFonts w:hint="eastAsia" w:hAnsi="Cambria Math"/>
                <w:sz w:val="21"/>
                <w:szCs w:val="21"/>
              </w:rPr>
              <w:t>负向标准化</w:t>
            </w:r>
          </w:p>
          <w:p>
            <w:pPr>
              <w:pStyle w:val="2"/>
              <w:pageBreakBefore w:val="0"/>
              <w:kinsoku/>
              <w:wordWrap/>
              <w:overflowPunct/>
              <w:topLinePunct w:val="0"/>
              <w:autoSpaceDE/>
              <w:autoSpaceDN/>
              <w:bidi w:val="0"/>
              <w:adjustRightInd/>
              <w:spacing w:beforeAutospacing="0" w:afterAutospacing="0" w:line="240" w:lineRule="auto"/>
              <w:ind w:firstLine="340"/>
              <w:textAlignment w:val="auto"/>
              <w:rPr>
                <w:rFonts w:hint="eastAsia" w:eastAsiaTheme="minorEastAsia"/>
                <w:lang w:eastAsia="zh-CN"/>
              </w:rPr>
            </w:pPr>
          </w:p>
        </w:tc>
        <w:tc>
          <w:tcPr>
            <w:tcW w:w="0" w:type="auto"/>
            <w:shd w:val="clear" w:color="auto" w:fill="auto"/>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sSup>
                  <m:sSupPr>
                    <m:ctrlPr>
                      <w:rPr>
                        <w:rFonts w:ascii="Cambria Math" w:hAnsi="Cambria Math" w:cs="Times New Roman"/>
                        <w:i/>
                        <w:sz w:val="21"/>
                        <w:szCs w:val="21"/>
                      </w:rPr>
                    </m:ctrlPr>
                  </m:sSupPr>
                  <m:e>
                    <m:r>
                      <m:rPr>
                        <m:nor/>
                      </m:rPr>
                      <w:rPr>
                        <w:rFonts w:cs="Times New Roman"/>
                        <w:i/>
                        <w:sz w:val="21"/>
                        <w:szCs w:val="21"/>
                      </w:rPr>
                      <m:t>X</m:t>
                    </m:r>
                    <m:ctrlPr>
                      <w:rPr>
                        <w:rFonts w:ascii="Cambria Math" w:hAnsi="Cambria Math" w:cs="Times New Roman"/>
                        <w:i/>
                        <w:sz w:val="21"/>
                        <w:szCs w:val="21"/>
                      </w:rPr>
                    </m:ctrlPr>
                  </m:e>
                  <m:sup>
                    <m:r>
                      <m:rPr>
                        <m:nor/>
                        <m:sty m:val="p"/>
                      </m:rPr>
                      <w:rPr>
                        <w:rFonts w:cs="Times New Roman"/>
                        <w:b w:val="0"/>
                        <w:i w:val="0"/>
                        <w:sz w:val="21"/>
                        <w:szCs w:val="21"/>
                      </w:rPr>
                      <m:t>*</m:t>
                    </m:r>
                    <m:ctrlPr>
                      <w:rPr>
                        <w:rFonts w:ascii="Cambria Math" w:hAnsi="Cambria Math" w:cs="Times New Roman"/>
                        <w:i/>
                        <w:sz w:val="21"/>
                        <w:szCs w:val="21"/>
                      </w:rPr>
                    </m:ctrlPr>
                  </m:sup>
                </m:sSup>
                <m:r>
                  <m:rPr>
                    <m:nor/>
                    <m:sty m:val="p"/>
                  </m:rPr>
                  <w:rPr>
                    <w:rFonts w:cs="Times New Roman"/>
                    <w:b w:val="0"/>
                    <w:i w:val="0"/>
                    <w:sz w:val="21"/>
                    <w:szCs w:val="21"/>
                  </w:rPr>
                  <m:t>=</m:t>
                </m:r>
                <m:f>
                  <m:fPr>
                    <m:ctrlPr>
                      <w:rPr>
                        <w:rFonts w:ascii="Cambria Math" w:hAnsi="Cambria Math" w:cs="Times New Roman"/>
                        <w:i/>
                        <w:sz w:val="21"/>
                        <w:szCs w:val="21"/>
                      </w:rPr>
                    </m:ctrlPr>
                  </m:fPr>
                  <m:num>
                    <m:r>
                      <m:rPr>
                        <m:nor/>
                      </m:rPr>
                      <w:rPr>
                        <w:rFonts w:cs="Times New Roman"/>
                        <w:i/>
                        <w:sz w:val="21"/>
                        <w:szCs w:val="21"/>
                      </w:rPr>
                      <m:t>max</m:t>
                    </m:r>
                    <m:d>
                      <m:dPr>
                        <m:ctrlPr>
                          <w:rPr>
                            <w:rFonts w:ascii="Cambria Math" w:hAnsi="Cambria Math" w:cs="Times New Roman"/>
                            <w:i/>
                            <w:sz w:val="21"/>
                            <w:szCs w:val="21"/>
                          </w:rPr>
                        </m:ctrlPr>
                      </m:dPr>
                      <m:e>
                        <m:r>
                          <m:rPr>
                            <m:nor/>
                          </m:rPr>
                          <w:rPr>
                            <w:rFonts w:cs="Times New Roman"/>
                            <w:i/>
                            <w:sz w:val="21"/>
                            <w:szCs w:val="21"/>
                          </w:rPr>
                          <m:t>x</m:t>
                        </m:r>
                        <m:ctrlPr>
                          <w:rPr>
                            <w:rFonts w:ascii="Cambria Math" w:hAnsi="Cambria Math" w:cs="Times New Roman"/>
                            <w:i/>
                            <w:sz w:val="21"/>
                            <w:szCs w:val="21"/>
                          </w:rPr>
                        </m:ctrlPr>
                      </m:e>
                    </m:d>
                    <m:r>
                      <m:rPr>
                        <m:nor/>
                        <m:sty m:val="p"/>
                      </m:rPr>
                      <w:rPr>
                        <w:rFonts w:cs="Times New Roman"/>
                        <w:b w:val="0"/>
                        <w:i w:val="0"/>
                        <w:sz w:val="21"/>
                        <w:szCs w:val="21"/>
                      </w:rPr>
                      <m:t>-</m:t>
                    </m:r>
                    <m:r>
                      <m:rPr>
                        <m:nor/>
                      </m:rPr>
                      <w:rPr>
                        <w:rFonts w:cs="Times New Roman"/>
                        <w:i/>
                        <w:sz w:val="21"/>
                        <w:szCs w:val="21"/>
                      </w:rPr>
                      <m:t>x</m:t>
                    </m:r>
                    <m:ctrlPr>
                      <w:rPr>
                        <w:rFonts w:ascii="Cambria Math" w:hAnsi="Cambria Math" w:cs="Times New Roman"/>
                        <w:i/>
                        <w:sz w:val="21"/>
                        <w:szCs w:val="21"/>
                      </w:rPr>
                    </m:ctrlPr>
                  </m:num>
                  <m:den>
                    <m:r>
                      <m:rPr>
                        <m:nor/>
                      </m:rPr>
                      <w:rPr>
                        <w:rFonts w:cs="Times New Roman"/>
                        <w:i/>
                        <w:sz w:val="21"/>
                        <w:szCs w:val="21"/>
                      </w:rPr>
                      <m:t>max</m:t>
                    </m:r>
                    <m:d>
                      <m:dPr>
                        <m:ctrlPr>
                          <w:rPr>
                            <w:rFonts w:ascii="Cambria Math" w:hAnsi="Cambria Math" w:cs="Times New Roman"/>
                            <w:i/>
                            <w:sz w:val="21"/>
                            <w:szCs w:val="21"/>
                          </w:rPr>
                        </m:ctrlPr>
                      </m:dPr>
                      <m:e>
                        <m:r>
                          <m:rPr>
                            <m:nor/>
                          </m:rPr>
                          <w:rPr>
                            <w:rFonts w:cs="Times New Roman"/>
                            <w:i/>
                            <w:sz w:val="21"/>
                            <w:szCs w:val="21"/>
                          </w:rPr>
                          <m:t>x</m:t>
                        </m:r>
                        <m:ctrlPr>
                          <w:rPr>
                            <w:rFonts w:ascii="Cambria Math" w:hAnsi="Cambria Math" w:cs="Times New Roman"/>
                            <w:i/>
                            <w:sz w:val="21"/>
                            <w:szCs w:val="21"/>
                          </w:rPr>
                        </m:ctrlPr>
                      </m:e>
                    </m:d>
                    <m:r>
                      <m:rPr>
                        <m:nor/>
                        <m:sty m:val="p"/>
                      </m:rPr>
                      <w:rPr>
                        <w:rFonts w:cs="Times New Roman"/>
                        <w:b w:val="0"/>
                        <w:i w:val="0"/>
                        <w:sz w:val="21"/>
                        <w:szCs w:val="21"/>
                      </w:rPr>
                      <m:t>-</m:t>
                    </m:r>
                    <m:r>
                      <m:rPr>
                        <m:nor/>
                      </m:rPr>
                      <w:rPr>
                        <w:rFonts w:cs="Times New Roman"/>
                        <w:i/>
                        <w:sz w:val="21"/>
                        <w:szCs w:val="21"/>
                      </w:rPr>
                      <m:t>min</m:t>
                    </m:r>
                    <m:r>
                      <m:rPr>
                        <m:nor/>
                        <m:sty m:val="p"/>
                      </m:rPr>
                      <w:rPr>
                        <w:rFonts w:cs="Times New Roman"/>
                        <w:b w:val="0"/>
                        <w:i w:val="0"/>
                        <w:sz w:val="21"/>
                        <w:szCs w:val="21"/>
                      </w:rPr>
                      <m:t>(</m:t>
                    </m:r>
                    <m:r>
                      <m:rPr>
                        <m:nor/>
                      </m:rPr>
                      <w:rPr>
                        <w:rFonts w:cs="Times New Roman"/>
                        <w:i/>
                        <w:sz w:val="21"/>
                        <w:szCs w:val="21"/>
                      </w:rPr>
                      <m:t>x</m:t>
                    </m:r>
                    <m:r>
                      <m:rPr>
                        <m:nor/>
                        <m:sty m:val="p"/>
                      </m:rPr>
                      <w:rPr>
                        <w:rFonts w:cs="Times New Roman"/>
                        <w:b w:val="0"/>
                        <w:i w:val="0"/>
                        <w:sz w:val="21"/>
                        <w:szCs w:val="21"/>
                      </w:rPr>
                      <m:t>)</m:t>
                    </m:r>
                    <m:ctrlPr>
                      <w:rPr>
                        <w:rFonts w:ascii="Cambria Math" w:hAnsi="Cambria Math" w:cs="Times New Roman"/>
                        <w:i/>
                        <w:sz w:val="21"/>
                        <w:szCs w:val="21"/>
                      </w:rPr>
                    </m:ctrlPr>
                  </m:den>
                </m:f>
              </m:oMath>
            </m:oMathPara>
          </w:p>
        </w:tc>
        <w:tc>
          <w:tcPr>
            <w:tcW w:w="2224" w:type="dxa"/>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sz w:val="21"/>
          <w:szCs w:val="21"/>
          <w:lang w:bidi="en-US"/>
        </w:rPr>
      </w:pPr>
      <w:r>
        <w:rPr>
          <w:sz w:val="21"/>
          <w:szCs w:val="21"/>
          <w:lang w:val="en" w:bidi="en-US"/>
        </w:rPr>
        <w:t>式中，</w:t>
      </w:r>
      <w:r>
        <w:rPr>
          <w:rFonts w:hint="eastAsia"/>
          <w:i/>
          <w:iCs/>
          <w:sz w:val="21"/>
          <w:szCs w:val="21"/>
          <w:lang w:bidi="en-US"/>
        </w:rPr>
        <w:t>X</w:t>
      </w:r>
      <w:r>
        <w:rPr>
          <w:rFonts w:hint="eastAsia"/>
          <w:i/>
          <w:iCs/>
          <w:sz w:val="21"/>
          <w:szCs w:val="21"/>
          <w:vertAlign w:val="superscript"/>
          <w:lang w:bidi="en-US"/>
        </w:rPr>
        <w:t>*</w:t>
      </w:r>
      <w:r>
        <w:rPr>
          <w:rFonts w:hint="eastAsia"/>
          <w:sz w:val="21"/>
          <w:szCs w:val="21"/>
          <w:lang w:bidi="en-US"/>
        </w:rPr>
        <w:t>为标准化后数据；</w:t>
      </w:r>
      <w:r>
        <w:rPr>
          <w:rFonts w:hint="eastAsia"/>
          <w:i/>
          <w:iCs/>
          <w:sz w:val="21"/>
          <w:szCs w:val="21"/>
          <w:lang w:bidi="en-US"/>
        </w:rPr>
        <w:t>x</w:t>
      </w:r>
      <w:r>
        <w:rPr>
          <w:rFonts w:hint="eastAsia"/>
          <w:sz w:val="21"/>
          <w:szCs w:val="21"/>
          <w:lang w:bidi="en-US"/>
        </w:rPr>
        <w:t>为原始数据；max（</w:t>
      </w:r>
      <w:r>
        <w:rPr>
          <w:rFonts w:hint="eastAsia"/>
          <w:i/>
          <w:iCs/>
          <w:sz w:val="21"/>
          <w:szCs w:val="21"/>
          <w:lang w:bidi="en-US"/>
        </w:rPr>
        <w:t>x</w:t>
      </w:r>
      <w:r>
        <w:rPr>
          <w:rFonts w:hint="eastAsia"/>
          <w:sz w:val="21"/>
          <w:szCs w:val="21"/>
          <w:lang w:bidi="en-US"/>
        </w:rPr>
        <w:t>）为</w:t>
      </w:r>
      <w:r>
        <w:rPr>
          <w:rFonts w:hint="eastAsia"/>
          <w:i/>
          <w:iCs/>
          <w:sz w:val="21"/>
          <w:szCs w:val="21"/>
          <w:lang w:bidi="en-US"/>
        </w:rPr>
        <w:t>x</w:t>
      </w:r>
      <w:r>
        <w:rPr>
          <w:rFonts w:hint="eastAsia"/>
          <w:sz w:val="21"/>
          <w:szCs w:val="21"/>
          <w:lang w:bidi="en-US"/>
        </w:rPr>
        <w:t>的最大值；min（</w:t>
      </w:r>
      <w:r>
        <w:rPr>
          <w:rFonts w:hint="eastAsia"/>
          <w:i/>
          <w:iCs/>
          <w:sz w:val="21"/>
          <w:szCs w:val="21"/>
          <w:lang w:bidi="en-US"/>
        </w:rPr>
        <w:t>x</w:t>
      </w:r>
      <w:r>
        <w:rPr>
          <w:rFonts w:hint="eastAsia"/>
          <w:sz w:val="21"/>
          <w:szCs w:val="21"/>
          <w:lang w:bidi="en-US"/>
        </w:rPr>
        <w:t>）为</w:t>
      </w:r>
      <w:r>
        <w:rPr>
          <w:rFonts w:hint="eastAsia"/>
          <w:i/>
          <w:iCs/>
          <w:sz w:val="21"/>
          <w:szCs w:val="21"/>
          <w:lang w:bidi="en-US"/>
        </w:rPr>
        <w:t>x</w:t>
      </w:r>
      <w:r>
        <w:rPr>
          <w:rFonts w:hint="eastAsia"/>
          <w:sz w:val="21"/>
          <w:szCs w:val="21"/>
          <w:lang w:bidi="en-US"/>
        </w:rPr>
        <w:t>的最小值。</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cs="Times New Roman"/>
          <w:sz w:val="21"/>
        </w:rPr>
        <w:t>（3）</w:t>
      </w:r>
      <w:r>
        <w:rPr>
          <w:rFonts w:hint="eastAsia"/>
          <w:sz w:val="21"/>
          <w:szCs w:val="21"/>
        </w:rPr>
        <w:t>计算指标值比重：计算每个评价对象在</w:t>
      </w:r>
      <w:r>
        <w:rPr>
          <w:rFonts w:hint="eastAsia"/>
          <w:i/>
          <w:iCs/>
          <w:sz w:val="21"/>
          <w:szCs w:val="21"/>
        </w:rPr>
        <w:t>j</w:t>
      </w:r>
      <w:r>
        <w:rPr>
          <w:rFonts w:hint="eastAsia"/>
          <w:sz w:val="21"/>
          <w:szCs w:val="21"/>
        </w:rPr>
        <w:t>个指标下的比重</w:t>
      </w:r>
      <w:r>
        <w:rPr>
          <w:rFonts w:hint="eastAsia"/>
          <w:i/>
          <w:iCs/>
          <w:sz w:val="21"/>
          <w:szCs w:val="21"/>
        </w:rPr>
        <w:t>P</w:t>
      </w:r>
      <w:r>
        <w:rPr>
          <w:rFonts w:hint="eastAsia"/>
          <w:i/>
          <w:iCs/>
          <w:sz w:val="21"/>
          <w:szCs w:val="21"/>
          <w:vertAlign w:val="subscript"/>
        </w:rPr>
        <w:t>ij</w:t>
      </w:r>
      <w:r>
        <w:rPr>
          <w:rFonts w:hint="eastAsia"/>
          <w:sz w:val="21"/>
          <w:szCs w:val="21"/>
        </w:rPr>
        <w:t>。公式为</w:t>
      </w:r>
    </w:p>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82"/>
        <w:gridCol w:w="5142"/>
        <w:gridCol w:w="1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20"/>
              <w:jc w:val="left"/>
              <w:textAlignment w:val="auto"/>
              <w:rPr>
                <w:sz w:val="21"/>
                <w:szCs w:val="21"/>
              </w:rPr>
            </w:pPr>
          </w:p>
        </w:tc>
        <w:tc>
          <w:tcPr>
            <w:tcW w:w="5125"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sSub>
                  <m:sSubPr>
                    <m:ctrlPr>
                      <w:rPr>
                        <w:rFonts w:ascii="Cambria Math" w:hAnsi="Cambria Math" w:cs="Times New Roman"/>
                        <w:i/>
                        <w:sz w:val="21"/>
                        <w:szCs w:val="21"/>
                      </w:rPr>
                    </m:ctrlPr>
                  </m:sSubPr>
                  <m:e>
                    <m:r>
                      <m:rPr>
                        <m:nor/>
                      </m:rPr>
                      <w:rPr>
                        <w:rFonts w:cs="Times New Roman"/>
                        <w:i/>
                        <w:sz w:val="21"/>
                        <w:szCs w:val="21"/>
                      </w:rPr>
                      <m:t>P</m:t>
                    </m:r>
                    <m:ctrlPr>
                      <w:rPr>
                        <w:rFonts w:ascii="Cambria Math" w:hAnsi="Cambria Math" w:cs="Times New Roman"/>
                        <w:i/>
                        <w:sz w:val="21"/>
                        <w:szCs w:val="21"/>
                      </w:rPr>
                    </m:ctrlPr>
                  </m:e>
                  <m:sub>
                    <m:r>
                      <m:rPr>
                        <m:nor/>
                      </m:rPr>
                      <w:rPr>
                        <w:rFonts w:cs="Times New Roman"/>
                        <w:i/>
                        <w:sz w:val="21"/>
                        <w:szCs w:val="21"/>
                      </w:rPr>
                      <m:t>ij</m:t>
                    </m:r>
                    <m:ctrlPr>
                      <w:rPr>
                        <w:rFonts w:ascii="Cambria Math" w:hAnsi="Cambria Math" w:cs="Times New Roman"/>
                        <w:i/>
                        <w:sz w:val="21"/>
                        <w:szCs w:val="21"/>
                      </w:rPr>
                    </m:ctrlPr>
                  </m:sub>
                </m:sSub>
                <m:r>
                  <m:rPr>
                    <m:nor/>
                    <m:sty m:val="p"/>
                  </m:rPr>
                  <w:rPr>
                    <w:rFonts w:cs="Times New Roman"/>
                    <w:b w:val="0"/>
                    <w:i w:val="0"/>
                    <w:sz w:val="21"/>
                    <w:szCs w:val="21"/>
                  </w:rPr>
                  <m:t>=</m:t>
                </m:r>
                <m:f>
                  <m:fPr>
                    <m:ctrlPr>
                      <w:rPr>
                        <w:rFonts w:ascii="Cambria Math" w:hAnsi="Cambria Math" w:cs="Times New Roman"/>
                        <w:i/>
                        <w:sz w:val="21"/>
                        <w:szCs w:val="21"/>
                      </w:rPr>
                    </m:ctrlPr>
                  </m:fPr>
                  <m:num>
                    <m:sSub>
                      <m:sSubPr>
                        <m:ctrlPr>
                          <w:rPr>
                            <w:rFonts w:ascii="Cambria Math" w:hAnsi="Cambria Math" w:cs="Times New Roman"/>
                            <w:i/>
                            <w:sz w:val="21"/>
                            <w:szCs w:val="21"/>
                          </w:rPr>
                        </m:ctrlPr>
                      </m:sSubPr>
                      <m:e>
                        <m:r>
                          <m:rPr>
                            <m:nor/>
                          </m:rPr>
                          <w:rPr>
                            <w:rFonts w:cs="Times New Roman"/>
                            <w:i/>
                            <w:sz w:val="21"/>
                            <w:szCs w:val="21"/>
                          </w:rPr>
                          <m:t>z</m:t>
                        </m:r>
                        <m:ctrlPr>
                          <w:rPr>
                            <w:rFonts w:ascii="Cambria Math" w:hAnsi="Cambria Math" w:cs="Times New Roman"/>
                            <w:i/>
                            <w:sz w:val="21"/>
                            <w:szCs w:val="21"/>
                          </w:rPr>
                        </m:ctrlPr>
                      </m:e>
                      <m:sub>
                        <m:r>
                          <m:rPr>
                            <m:nor/>
                          </m:rPr>
                          <w:rPr>
                            <w:rFonts w:cs="Times New Roman"/>
                            <w:i/>
                            <w:sz w:val="21"/>
                            <w:szCs w:val="21"/>
                          </w:rPr>
                          <m:t>ij</m:t>
                        </m:r>
                        <m:ctrlPr>
                          <w:rPr>
                            <w:rFonts w:ascii="Cambria Math" w:hAnsi="Cambria Math" w:cs="Times New Roman"/>
                            <w:i/>
                            <w:sz w:val="21"/>
                            <w:szCs w:val="21"/>
                          </w:rPr>
                        </m:ctrlPr>
                      </m:sub>
                    </m:sSub>
                    <m:ctrlPr>
                      <w:rPr>
                        <w:rFonts w:ascii="Cambria Math" w:hAnsi="Cambria Math" w:cs="Times New Roman"/>
                        <w:i/>
                        <w:sz w:val="21"/>
                        <w:szCs w:val="21"/>
                      </w:rPr>
                    </m:ctrlPr>
                  </m:num>
                  <m:den>
                    <m:nary>
                      <m:naryPr>
                        <m:chr m:val="∑"/>
                        <m:limLoc m:val="subSup"/>
                        <m:ctrlPr>
                          <w:rPr>
                            <w:rFonts w:ascii="Cambria Math" w:hAnsi="Cambria Math" w:cs="Times New Roman"/>
                            <w:i/>
                            <w:sz w:val="21"/>
                            <w:szCs w:val="21"/>
                          </w:rPr>
                        </m:ctrlPr>
                      </m:naryPr>
                      <m:sub>
                        <m:r>
                          <m:rPr>
                            <m:nor/>
                          </m:rPr>
                          <w:rPr>
                            <w:rFonts w:cs="Times New Roman"/>
                            <w:i/>
                            <w:sz w:val="21"/>
                            <w:szCs w:val="21"/>
                          </w:rPr>
                          <m:t>i</m:t>
                        </m:r>
                        <m:r>
                          <m:rPr>
                            <m:nor/>
                            <m:sty m:val="p"/>
                          </m:rPr>
                          <w:rPr>
                            <w:rFonts w:cs="Times New Roman"/>
                            <w:b w:val="0"/>
                            <w:i w:val="0"/>
                            <w:sz w:val="21"/>
                            <w:szCs w:val="21"/>
                          </w:rPr>
                          <m:t>=1</m:t>
                        </m:r>
                        <m:ctrlPr>
                          <w:rPr>
                            <w:rFonts w:ascii="Cambria Math" w:hAnsi="Cambria Math" w:cs="Times New Roman"/>
                            <w:i/>
                            <w:sz w:val="21"/>
                            <w:szCs w:val="21"/>
                          </w:rPr>
                        </m:ctrlPr>
                      </m:sub>
                      <m:sup>
                        <m:r>
                          <m:rPr>
                            <m:nor/>
                          </m:rPr>
                          <w:rPr>
                            <w:rFonts w:cs="Times New Roman"/>
                            <w:i/>
                            <w:sz w:val="21"/>
                            <w:szCs w:val="21"/>
                          </w:rPr>
                          <m:t>m</m:t>
                        </m:r>
                        <m:ctrlPr>
                          <w:rPr>
                            <w:rFonts w:ascii="Cambria Math" w:hAnsi="Cambria Math" w:cs="Times New Roman"/>
                            <w:i/>
                            <w:sz w:val="21"/>
                            <w:szCs w:val="21"/>
                          </w:rPr>
                        </m:ctrlPr>
                      </m:sup>
                      <m:e>
                        <m:sSub>
                          <m:sSubPr>
                            <m:ctrlPr>
                              <w:rPr>
                                <w:rFonts w:ascii="Cambria Math" w:hAnsi="Cambria Math" w:cs="Times New Roman"/>
                                <w:i/>
                                <w:sz w:val="21"/>
                                <w:szCs w:val="21"/>
                              </w:rPr>
                            </m:ctrlPr>
                          </m:sSubPr>
                          <m:e>
                            <m:r>
                              <m:rPr>
                                <m:nor/>
                              </m:rPr>
                              <w:rPr>
                                <w:rFonts w:cs="Times New Roman"/>
                                <w:i/>
                                <w:sz w:val="21"/>
                                <w:szCs w:val="21"/>
                              </w:rPr>
                              <m:t>z</m:t>
                            </m:r>
                            <m:ctrlPr>
                              <w:rPr>
                                <w:rFonts w:ascii="Cambria Math" w:hAnsi="Cambria Math" w:cs="Times New Roman"/>
                                <w:i/>
                                <w:sz w:val="21"/>
                                <w:szCs w:val="21"/>
                              </w:rPr>
                            </m:ctrlPr>
                          </m:e>
                          <m:sub>
                            <m:r>
                              <m:rPr>
                                <m:nor/>
                              </m:rPr>
                              <w:rPr>
                                <w:rFonts w:cs="Times New Roman"/>
                                <w:i/>
                                <w:sz w:val="21"/>
                                <w:szCs w:val="21"/>
                              </w:rPr>
                              <m:t>ij</m:t>
                            </m:r>
                            <m:ctrlPr>
                              <w:rPr>
                                <w:rFonts w:ascii="Cambria Math" w:hAnsi="Cambria Math" w:cs="Times New Roman"/>
                                <w:i/>
                                <w:sz w:val="21"/>
                                <w:szCs w:val="21"/>
                              </w:rPr>
                            </m:ctrlPr>
                          </m:sub>
                        </m:sSub>
                        <m:ctrlPr>
                          <w:rPr>
                            <w:rFonts w:ascii="Cambria Math" w:hAnsi="Cambria Math" w:cs="Times New Roman"/>
                            <w:i/>
                            <w:sz w:val="21"/>
                            <w:szCs w:val="21"/>
                          </w:rPr>
                        </m:ctrlPr>
                      </m:e>
                    </m:nary>
                    <m:ctrlPr>
                      <w:rPr>
                        <w:rFonts w:ascii="Cambria Math" w:hAnsi="Cambria Math" w:cs="Times New Roman"/>
                        <w:i/>
                        <w:sz w:val="21"/>
                        <w:szCs w:val="21"/>
                      </w:rPr>
                    </m:ctrlPr>
                  </m:den>
                </m:f>
              </m:oMath>
            </m:oMathPara>
          </w:p>
        </w:tc>
        <w:tc>
          <w:tcPr>
            <w:tcW w:w="1576"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cs="Times New Roman"/>
          <w:sz w:val="21"/>
        </w:rPr>
        <w:t>（4）</w:t>
      </w:r>
      <w:r>
        <w:rPr>
          <w:rFonts w:hint="eastAsia"/>
          <w:sz w:val="21"/>
          <w:szCs w:val="21"/>
        </w:rPr>
        <w:t>计算信息熵：根据信息熵公式，计算第</w:t>
      </w:r>
      <w:r>
        <w:rPr>
          <w:rFonts w:hint="eastAsia"/>
          <w:i/>
          <w:iCs/>
          <w:sz w:val="21"/>
          <w:szCs w:val="21"/>
        </w:rPr>
        <w:t>j</w:t>
      </w:r>
      <w:r>
        <w:rPr>
          <w:rFonts w:hint="eastAsia"/>
          <w:sz w:val="21"/>
          <w:szCs w:val="21"/>
        </w:rPr>
        <w:t>个指标的信息熵</w:t>
      </w:r>
      <w:r>
        <w:rPr>
          <w:rFonts w:hint="eastAsia"/>
          <w:i/>
          <w:iCs/>
          <w:sz w:val="21"/>
          <w:szCs w:val="21"/>
        </w:rPr>
        <w:t>H</w:t>
      </w:r>
      <w:r>
        <w:rPr>
          <w:rFonts w:hint="eastAsia"/>
          <w:i/>
          <w:iCs/>
          <w:sz w:val="21"/>
          <w:szCs w:val="21"/>
          <w:vertAlign w:val="subscript"/>
        </w:rPr>
        <w:t>j</w:t>
      </w:r>
      <w:r>
        <w:rPr>
          <w:rFonts w:hint="eastAsia"/>
          <w:sz w:val="21"/>
          <w:szCs w:val="21"/>
        </w:rPr>
        <w:t>。公式为</w:t>
      </w:r>
    </w:p>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82"/>
        <w:gridCol w:w="5142"/>
        <w:gridCol w:w="1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20"/>
              <w:jc w:val="left"/>
              <w:textAlignment w:val="auto"/>
              <w:rPr>
                <w:sz w:val="21"/>
                <w:szCs w:val="21"/>
              </w:rPr>
            </w:pPr>
          </w:p>
        </w:tc>
        <w:tc>
          <w:tcPr>
            <w:tcW w:w="5125"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sSub>
                  <m:sSubPr>
                    <m:ctrlPr>
                      <w:rPr>
                        <w:rFonts w:ascii="Cambria Math" w:hAnsi="Cambria Math" w:cs="Times New Roman"/>
                        <w:i/>
                        <w:sz w:val="21"/>
                        <w:szCs w:val="21"/>
                      </w:rPr>
                    </m:ctrlPr>
                  </m:sSubPr>
                  <m:e>
                    <m:r>
                      <m:rPr>
                        <m:nor/>
                      </m:rPr>
                      <w:rPr>
                        <w:rFonts w:cs="Times New Roman"/>
                        <w:i/>
                        <w:sz w:val="21"/>
                        <w:szCs w:val="21"/>
                      </w:rPr>
                      <m:t>H</m:t>
                    </m:r>
                    <m:ctrlPr>
                      <w:rPr>
                        <w:rFonts w:ascii="Cambria Math" w:hAnsi="Cambria Math" w:cs="Times New Roman"/>
                        <w:i/>
                        <w:sz w:val="21"/>
                        <w:szCs w:val="21"/>
                      </w:rPr>
                    </m:ctrlPr>
                  </m:e>
                  <m:sub>
                    <m:r>
                      <m:rPr>
                        <m:nor/>
                      </m:rPr>
                      <w:rPr>
                        <w:rFonts w:cs="Times New Roman"/>
                        <w:i/>
                        <w:sz w:val="21"/>
                        <w:szCs w:val="21"/>
                      </w:rPr>
                      <m:t>j</m:t>
                    </m:r>
                    <m:ctrlPr>
                      <w:rPr>
                        <w:rFonts w:ascii="Cambria Math" w:hAnsi="Cambria Math" w:cs="Times New Roman"/>
                        <w:i/>
                        <w:sz w:val="21"/>
                        <w:szCs w:val="21"/>
                      </w:rPr>
                    </m:ctrlPr>
                  </m:sub>
                </m:sSub>
                <m:r>
                  <m:rPr>
                    <m:nor/>
                    <m:sty m:val="p"/>
                  </m:rPr>
                  <w:rPr>
                    <w:rFonts w:cs="Times New Roman"/>
                    <w:b w:val="0"/>
                    <w:i w:val="0"/>
                    <w:sz w:val="21"/>
                    <w:szCs w:val="21"/>
                  </w:rPr>
                  <m:t>=-</m:t>
                </m:r>
                <m:r>
                  <m:rPr>
                    <m:nor/>
                  </m:rPr>
                  <w:rPr>
                    <w:rFonts w:cs="Times New Roman"/>
                    <w:i/>
                    <w:sz w:val="21"/>
                    <w:szCs w:val="21"/>
                  </w:rPr>
                  <m:t>K</m:t>
                </m:r>
                <m:nary>
                  <m:naryPr>
                    <m:chr m:val="∑"/>
                    <m:limLoc m:val="undOvr"/>
                    <m:ctrlPr>
                      <w:rPr>
                        <w:rFonts w:ascii="Cambria Math" w:hAnsi="Cambria Math" w:cs="Times New Roman"/>
                        <w:i/>
                        <w:sz w:val="21"/>
                        <w:szCs w:val="21"/>
                      </w:rPr>
                    </m:ctrlPr>
                  </m:naryPr>
                  <m:sub>
                    <m:r>
                      <m:rPr>
                        <m:nor/>
                      </m:rPr>
                      <w:rPr>
                        <w:rFonts w:cs="Times New Roman"/>
                        <w:i/>
                        <w:sz w:val="21"/>
                        <w:szCs w:val="21"/>
                      </w:rPr>
                      <m:t>i</m:t>
                    </m:r>
                    <m:r>
                      <m:rPr>
                        <m:nor/>
                        <m:sty m:val="p"/>
                      </m:rPr>
                      <w:rPr>
                        <w:rFonts w:cs="Times New Roman"/>
                        <w:b w:val="0"/>
                        <w:i w:val="0"/>
                        <w:sz w:val="21"/>
                        <w:szCs w:val="21"/>
                      </w:rPr>
                      <m:t>=1</m:t>
                    </m:r>
                    <m:ctrlPr>
                      <w:rPr>
                        <w:rFonts w:ascii="Cambria Math" w:hAnsi="Cambria Math" w:cs="Times New Roman"/>
                        <w:i/>
                        <w:sz w:val="21"/>
                        <w:szCs w:val="21"/>
                      </w:rPr>
                    </m:ctrlPr>
                  </m:sub>
                  <m:sup>
                    <m:r>
                      <m:rPr>
                        <m:nor/>
                      </m:rPr>
                      <w:rPr>
                        <w:rFonts w:cs="Times New Roman"/>
                        <w:i/>
                        <w:sz w:val="21"/>
                        <w:szCs w:val="21"/>
                      </w:rPr>
                      <m:t>m</m:t>
                    </m:r>
                    <m:ctrlPr>
                      <w:rPr>
                        <w:rFonts w:ascii="Cambria Math" w:hAnsi="Cambria Math" w:cs="Times New Roman"/>
                        <w:i/>
                        <w:sz w:val="21"/>
                        <w:szCs w:val="21"/>
                      </w:rPr>
                    </m:ctrlPr>
                  </m:sup>
                  <m:e>
                    <m:sSub>
                      <m:sSubPr>
                        <m:ctrlPr>
                          <w:rPr>
                            <w:rFonts w:ascii="Cambria Math" w:hAnsi="Cambria Math" w:cs="Times New Roman"/>
                            <w:i/>
                            <w:sz w:val="21"/>
                            <w:szCs w:val="21"/>
                          </w:rPr>
                        </m:ctrlPr>
                      </m:sSubPr>
                      <m:e>
                        <m:r>
                          <m:rPr>
                            <m:nor/>
                          </m:rPr>
                          <w:rPr>
                            <w:rFonts w:cs="Times New Roman"/>
                            <w:i/>
                            <w:sz w:val="21"/>
                            <w:szCs w:val="21"/>
                          </w:rPr>
                          <m:t>P</m:t>
                        </m:r>
                        <m:ctrlPr>
                          <w:rPr>
                            <w:rFonts w:ascii="Cambria Math" w:hAnsi="Cambria Math" w:cs="Times New Roman"/>
                            <w:i/>
                            <w:sz w:val="21"/>
                            <w:szCs w:val="21"/>
                          </w:rPr>
                        </m:ctrlPr>
                      </m:e>
                      <m:sub>
                        <m:r>
                          <m:rPr>
                            <m:nor/>
                          </m:rPr>
                          <w:rPr>
                            <w:rFonts w:cs="Times New Roman"/>
                            <w:i/>
                            <w:sz w:val="21"/>
                            <w:szCs w:val="21"/>
                          </w:rPr>
                          <m:t>ij</m:t>
                        </m:r>
                        <m:ctrlPr>
                          <w:rPr>
                            <w:rFonts w:ascii="Cambria Math" w:hAnsi="Cambria Math" w:cs="Times New Roman"/>
                            <w:i/>
                            <w:sz w:val="21"/>
                            <w:szCs w:val="21"/>
                          </w:rPr>
                        </m:ctrlPr>
                      </m:sub>
                    </m:sSub>
                    <m:r>
                      <m:rPr>
                        <m:nor/>
                      </m:rPr>
                      <w:rPr>
                        <w:rFonts w:cs="Times New Roman"/>
                        <w:i/>
                        <w:sz w:val="21"/>
                        <w:szCs w:val="21"/>
                      </w:rPr>
                      <m:t>ln</m:t>
                    </m:r>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m:rPr/>
                              <w:rPr>
                                <w:rFonts w:ascii="Cambria Math" w:hAnsi="Cambria Math" w:cs="Times New Roman"/>
                                <w:sz w:val="21"/>
                                <w:szCs w:val="21"/>
                              </w:rPr>
                              <m:t>P</m:t>
                            </m:r>
                            <m:ctrlPr>
                              <w:rPr>
                                <w:rFonts w:ascii="Cambria Math" w:hAnsi="Cambria Math" w:cs="Times New Roman"/>
                                <w:i/>
                                <w:sz w:val="21"/>
                                <w:szCs w:val="21"/>
                              </w:rPr>
                            </m:ctrlPr>
                          </m:e>
                          <m:sub>
                            <m:r>
                              <m:rPr>
                                <m:nor/>
                              </m:rPr>
                              <w:rPr>
                                <w:rFonts w:cs="Times New Roman"/>
                                <w:i/>
                                <w:sz w:val="21"/>
                                <w:szCs w:val="21"/>
                              </w:rPr>
                              <m:t>ij</m:t>
                            </m:r>
                            <m:ctrlPr>
                              <w:rPr>
                                <w:rFonts w:ascii="Cambria Math" w:hAnsi="Cambria Math" w:cs="Times New Roman"/>
                                <w:i/>
                                <w:sz w:val="21"/>
                                <w:szCs w:val="21"/>
                              </w:rPr>
                            </m:ctrlPr>
                          </m:sub>
                        </m:sSub>
                        <m:ctrlPr>
                          <w:rPr>
                            <w:rFonts w:ascii="Cambria Math" w:hAnsi="Cambria Math" w:cs="Times New Roman"/>
                            <w:i/>
                            <w:sz w:val="21"/>
                            <w:szCs w:val="21"/>
                          </w:rPr>
                        </m:ctrlPr>
                      </m:e>
                    </m:d>
                    <m:ctrlPr>
                      <w:rPr>
                        <w:rFonts w:ascii="Cambria Math" w:hAnsi="Cambria Math" w:cs="Times New Roman"/>
                        <w:i/>
                        <w:sz w:val="21"/>
                        <w:szCs w:val="21"/>
                      </w:rPr>
                    </m:ctrlPr>
                  </m:e>
                </m:nary>
              </m:oMath>
            </m:oMathPara>
          </w:p>
        </w:tc>
        <w:tc>
          <w:tcPr>
            <w:tcW w:w="1576"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sz w:val="21"/>
          <w:szCs w:val="21"/>
        </w:rPr>
      </w:pPr>
      <w:r>
        <w:rPr>
          <w:rFonts w:hint="eastAsia"/>
          <w:sz w:val="21"/>
          <w:szCs w:val="21"/>
        </w:rPr>
        <w:t>式中，</w:t>
      </w:r>
      <w:r>
        <w:rPr>
          <w:rFonts w:hint="eastAsia"/>
          <w:i/>
          <w:iCs/>
          <w:sz w:val="21"/>
          <w:szCs w:val="21"/>
        </w:rPr>
        <w:t>K=1/</w:t>
      </w:r>
      <w:r>
        <w:rPr>
          <w:rFonts w:hint="eastAsia"/>
          <w:sz w:val="21"/>
          <w:szCs w:val="21"/>
        </w:rPr>
        <w:t>ln</w:t>
      </w:r>
      <w:r>
        <w:rPr>
          <w:rFonts w:hint="eastAsia"/>
          <w:i/>
          <w:iCs/>
          <w:sz w:val="21"/>
          <w:szCs w:val="21"/>
        </w:rPr>
        <w:t>m</w:t>
      </w:r>
      <w:r>
        <w:rPr>
          <w:rFonts w:hint="eastAsia"/>
          <w:sz w:val="21"/>
          <w:szCs w:val="21"/>
        </w:rPr>
        <w:t>，用于将熵值归一化到[0，1]；当</w:t>
      </w:r>
      <w:r>
        <w:rPr>
          <w:rFonts w:hint="eastAsia"/>
          <w:i/>
          <w:iCs/>
          <w:sz w:val="21"/>
          <w:szCs w:val="21"/>
        </w:rPr>
        <w:t>P</w:t>
      </w:r>
      <w:r>
        <w:rPr>
          <w:rFonts w:hint="eastAsia"/>
          <w:i/>
          <w:iCs/>
          <w:sz w:val="21"/>
          <w:szCs w:val="21"/>
          <w:vertAlign w:val="subscript"/>
        </w:rPr>
        <w:t>ij</w:t>
      </w:r>
      <w:r>
        <w:rPr>
          <w:rFonts w:hint="eastAsia"/>
          <w:sz w:val="21"/>
          <w:szCs w:val="21"/>
        </w:rPr>
        <w:t>=0时，定义</w:t>
      </w:r>
      <w:r>
        <w:rPr>
          <w:rFonts w:hint="eastAsia"/>
          <w:i/>
          <w:iCs/>
          <w:sz w:val="21"/>
          <w:szCs w:val="21"/>
        </w:rPr>
        <w:t>P</w:t>
      </w:r>
      <w:r>
        <w:rPr>
          <w:rFonts w:hint="eastAsia"/>
          <w:i/>
          <w:iCs/>
          <w:sz w:val="21"/>
          <w:szCs w:val="21"/>
          <w:vertAlign w:val="subscript"/>
        </w:rPr>
        <w:t>i</w:t>
      </w:r>
      <w:r>
        <w:rPr>
          <w:rFonts w:hint="eastAsia"/>
          <w:sz w:val="21"/>
          <w:szCs w:val="21"/>
          <w:vertAlign w:val="subscript"/>
        </w:rPr>
        <w:t>j</w:t>
      </w:r>
      <w:r>
        <w:rPr>
          <w:rFonts w:hint="eastAsia"/>
          <w:sz w:val="21"/>
          <w:szCs w:val="21"/>
        </w:rPr>
        <w:t>ln（</w:t>
      </w:r>
      <w:r>
        <w:rPr>
          <w:rFonts w:hint="eastAsia"/>
          <w:i/>
          <w:iCs/>
          <w:sz w:val="21"/>
          <w:szCs w:val="21"/>
        </w:rPr>
        <w:t>P</w:t>
      </w:r>
      <w:r>
        <w:rPr>
          <w:rFonts w:hint="eastAsia"/>
          <w:i/>
          <w:iCs/>
          <w:sz w:val="21"/>
          <w:szCs w:val="21"/>
          <w:vertAlign w:val="subscript"/>
        </w:rPr>
        <w:t>ij</w:t>
      </w:r>
      <w:r>
        <w:rPr>
          <w:rFonts w:hint="eastAsia"/>
          <w:sz w:val="21"/>
          <w:szCs w:val="21"/>
        </w:rPr>
        <w:t>）=0。</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cs="Times New Roman"/>
          <w:sz w:val="21"/>
        </w:rPr>
        <w:t>（5）</w:t>
      </w:r>
      <w:r>
        <w:rPr>
          <w:rFonts w:hint="eastAsia"/>
          <w:sz w:val="21"/>
          <w:szCs w:val="21"/>
        </w:rPr>
        <w:t>计算权重：根据信息熵计算每个指标的权重。公式为</w:t>
      </w:r>
    </w:p>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82"/>
        <w:gridCol w:w="5142"/>
        <w:gridCol w:w="1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20"/>
              <w:jc w:val="left"/>
              <w:textAlignment w:val="auto"/>
              <w:rPr>
                <w:sz w:val="21"/>
                <w:szCs w:val="21"/>
              </w:rPr>
            </w:pPr>
          </w:p>
        </w:tc>
        <w:tc>
          <w:tcPr>
            <w:tcW w:w="5125"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j</m:t>
                    </m:r>
                    <m:ctrlPr>
                      <w:rPr>
                        <w:rFonts w:ascii="Cambria Math" w:hAnsi="Cambria Math" w:cs="Times New Roman"/>
                        <w:i/>
                        <w:sz w:val="21"/>
                        <w:szCs w:val="21"/>
                      </w:rPr>
                    </m:ctrlPr>
                  </m:sub>
                </m:sSub>
                <m:r>
                  <m:rPr>
                    <m:nor/>
                  </m:rPr>
                  <w:rPr>
                    <w:rFonts w:cs="Times New Roman"/>
                    <w:i/>
                    <w:sz w:val="21"/>
                    <w:szCs w:val="21"/>
                  </w:rPr>
                  <m:t>=</m:t>
                </m:r>
                <m:f>
                  <m:fPr>
                    <m:ctrlPr>
                      <w:rPr>
                        <w:rFonts w:ascii="Cambria Math" w:hAnsi="Cambria Math" w:cs="Times New Roman"/>
                        <w:i/>
                        <w:sz w:val="21"/>
                        <w:szCs w:val="21"/>
                      </w:rPr>
                    </m:ctrlPr>
                  </m:fPr>
                  <m:num>
                    <m:r>
                      <m:rPr>
                        <m:nor/>
                      </m:rPr>
                      <w:rPr>
                        <w:rFonts w:cs="Times New Roman"/>
                        <w:i/>
                        <w:sz w:val="21"/>
                        <w:szCs w:val="21"/>
                      </w:rPr>
                      <m:t>1-</m:t>
                    </m:r>
                    <m:sSub>
                      <m:sSubPr>
                        <m:ctrlPr>
                          <w:rPr>
                            <w:rFonts w:ascii="Cambria Math" w:hAnsi="Cambria Math" w:cs="Times New Roman"/>
                            <w:i/>
                            <w:sz w:val="21"/>
                            <w:szCs w:val="21"/>
                          </w:rPr>
                        </m:ctrlPr>
                      </m:sSubPr>
                      <m:e>
                        <m:r>
                          <m:rPr>
                            <m:nor/>
                          </m:rPr>
                          <w:rPr>
                            <w:rFonts w:cs="Times New Roman"/>
                            <w:i/>
                            <w:sz w:val="21"/>
                            <w:szCs w:val="21"/>
                          </w:rPr>
                          <m:t>H</m:t>
                        </m:r>
                        <m:ctrlPr>
                          <w:rPr>
                            <w:rFonts w:ascii="Cambria Math" w:hAnsi="Cambria Math" w:cs="Times New Roman"/>
                            <w:i/>
                            <w:sz w:val="21"/>
                            <w:szCs w:val="21"/>
                          </w:rPr>
                        </m:ctrlPr>
                      </m:e>
                      <m:sub>
                        <m:r>
                          <m:rPr>
                            <m:nor/>
                          </m:rPr>
                          <w:rPr>
                            <w:rFonts w:cs="Times New Roman"/>
                            <w:i/>
                            <w:sz w:val="21"/>
                            <w:szCs w:val="21"/>
                          </w:rPr>
                          <m:t>j</m:t>
                        </m:r>
                        <m:ctrlPr>
                          <w:rPr>
                            <w:rFonts w:ascii="Cambria Math" w:hAnsi="Cambria Math" w:cs="Times New Roman"/>
                            <w:i/>
                            <w:sz w:val="21"/>
                            <w:szCs w:val="21"/>
                          </w:rPr>
                        </m:ctrlPr>
                      </m:sub>
                    </m:sSub>
                    <m:ctrlPr>
                      <w:rPr>
                        <w:rFonts w:ascii="Cambria Math" w:hAnsi="Cambria Math" w:cs="Times New Roman"/>
                        <w:i/>
                        <w:sz w:val="21"/>
                        <w:szCs w:val="21"/>
                      </w:rPr>
                    </m:ctrlPr>
                  </m:num>
                  <m:den>
                    <m:nary>
                      <m:naryPr>
                        <m:chr m:val="∑"/>
                        <m:limLoc m:val="subSup"/>
                        <m:ctrlPr>
                          <w:rPr>
                            <w:rFonts w:ascii="Cambria Math" w:hAnsi="Cambria Math" w:cs="Times New Roman"/>
                            <w:i/>
                            <w:sz w:val="21"/>
                            <w:szCs w:val="21"/>
                          </w:rPr>
                        </m:ctrlPr>
                      </m:naryPr>
                      <m:sub>
                        <m:r>
                          <m:rPr>
                            <m:nor/>
                          </m:rPr>
                          <w:rPr>
                            <w:rFonts w:cs="Times New Roman"/>
                            <w:i/>
                            <w:sz w:val="21"/>
                            <w:szCs w:val="21"/>
                          </w:rPr>
                          <m:t>j=1</m:t>
                        </m:r>
                        <m:ctrlPr>
                          <w:rPr>
                            <w:rFonts w:ascii="Cambria Math" w:hAnsi="Cambria Math" w:cs="Times New Roman"/>
                            <w:i/>
                            <w:sz w:val="21"/>
                            <w:szCs w:val="21"/>
                          </w:rPr>
                        </m:ctrlPr>
                      </m:sub>
                      <m:sup>
                        <m:r>
                          <m:rPr>
                            <m:nor/>
                          </m:rPr>
                          <w:rPr>
                            <w:rFonts w:cs="Times New Roman"/>
                            <w:i/>
                            <w:sz w:val="21"/>
                            <w:szCs w:val="21"/>
                          </w:rPr>
                          <m:t>n</m:t>
                        </m:r>
                        <m:ctrlPr>
                          <w:rPr>
                            <w:rFonts w:ascii="Cambria Math" w:hAnsi="Cambria Math" w:cs="Times New Roman"/>
                            <w:i/>
                            <w:sz w:val="21"/>
                            <w:szCs w:val="21"/>
                          </w:rPr>
                        </m:ctrlPr>
                      </m:sup>
                      <m:e>
                        <m:d>
                          <m:dPr>
                            <m:ctrlPr>
                              <w:rPr>
                                <w:rFonts w:ascii="Cambria Math" w:hAnsi="Cambria Math" w:cs="Times New Roman"/>
                                <w:i/>
                                <w:sz w:val="21"/>
                                <w:szCs w:val="21"/>
                              </w:rPr>
                            </m:ctrlPr>
                          </m:dPr>
                          <m:e>
                            <m:r>
                              <m:rPr>
                                <m:nor/>
                              </m:rPr>
                              <w:rPr>
                                <w:rFonts w:cs="Times New Roman"/>
                                <w:i/>
                                <w:sz w:val="21"/>
                                <w:szCs w:val="21"/>
                              </w:rPr>
                              <m:t>1-</m:t>
                            </m:r>
                            <m:sSub>
                              <m:sSubPr>
                                <m:ctrlPr>
                                  <w:rPr>
                                    <w:rFonts w:ascii="Cambria Math" w:hAnsi="Cambria Math" w:cs="Times New Roman"/>
                                    <w:i/>
                                    <w:sz w:val="21"/>
                                    <w:szCs w:val="21"/>
                                  </w:rPr>
                                </m:ctrlPr>
                              </m:sSubPr>
                              <m:e>
                                <m:r>
                                  <m:rPr>
                                    <m:nor/>
                                  </m:rPr>
                                  <w:rPr>
                                    <w:rFonts w:cs="Times New Roman"/>
                                    <w:i/>
                                    <w:sz w:val="21"/>
                                    <w:szCs w:val="21"/>
                                  </w:rPr>
                                  <m:t>H</m:t>
                                </m:r>
                                <m:ctrlPr>
                                  <w:rPr>
                                    <w:rFonts w:ascii="Cambria Math" w:hAnsi="Cambria Math" w:cs="Times New Roman"/>
                                    <w:i/>
                                    <w:sz w:val="21"/>
                                    <w:szCs w:val="21"/>
                                  </w:rPr>
                                </m:ctrlPr>
                              </m:e>
                              <m:sub>
                                <m:r>
                                  <m:rPr>
                                    <m:nor/>
                                  </m:rPr>
                                  <w:rPr>
                                    <w:rFonts w:cs="Times New Roman"/>
                                    <w:i/>
                                    <w:sz w:val="21"/>
                                    <w:szCs w:val="21"/>
                                  </w:rPr>
                                  <m:t>j</m:t>
                                </m:r>
                                <m:ctrlPr>
                                  <w:rPr>
                                    <w:rFonts w:ascii="Cambria Math" w:hAnsi="Cambria Math" w:cs="Times New Roman"/>
                                    <w:i/>
                                    <w:sz w:val="21"/>
                                    <w:szCs w:val="21"/>
                                  </w:rPr>
                                </m:ctrlPr>
                              </m:sub>
                            </m:sSub>
                            <m:ctrlPr>
                              <w:rPr>
                                <w:rFonts w:ascii="Cambria Math" w:hAnsi="Cambria Math" w:cs="Times New Roman"/>
                                <w:i/>
                                <w:sz w:val="21"/>
                                <w:szCs w:val="21"/>
                              </w:rPr>
                            </m:ctrlPr>
                          </m:e>
                        </m:d>
                        <m:ctrlPr>
                          <w:rPr>
                            <w:rFonts w:ascii="Cambria Math" w:hAnsi="Cambria Math" w:cs="Times New Roman"/>
                            <w:i/>
                            <w:sz w:val="21"/>
                            <w:szCs w:val="21"/>
                          </w:rPr>
                        </m:ctrlPr>
                      </m:e>
                    </m:nary>
                    <m:ctrlPr>
                      <w:rPr>
                        <w:rFonts w:ascii="Cambria Math" w:hAnsi="Cambria Math" w:cs="Times New Roman"/>
                        <w:i/>
                        <w:sz w:val="21"/>
                        <w:szCs w:val="21"/>
                      </w:rPr>
                    </m:ctrlPr>
                  </m:den>
                </m:f>
              </m:oMath>
            </m:oMathPara>
          </w:p>
        </w:tc>
        <w:tc>
          <w:tcPr>
            <w:tcW w:w="1576"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sz w:val="21"/>
          <w:szCs w:val="21"/>
        </w:rPr>
      </w:pPr>
      <w:r>
        <w:rPr>
          <w:rFonts w:hint="eastAsia"/>
          <w:sz w:val="21"/>
          <w:szCs w:val="21"/>
        </w:rPr>
        <w:t>式中，1-</w:t>
      </w:r>
      <w:r>
        <w:rPr>
          <w:rFonts w:hint="eastAsia"/>
          <w:i/>
          <w:iCs/>
          <w:sz w:val="21"/>
          <w:szCs w:val="21"/>
        </w:rPr>
        <w:t>H</w:t>
      </w:r>
      <w:r>
        <w:rPr>
          <w:rFonts w:hint="eastAsia"/>
          <w:i/>
          <w:iCs/>
          <w:sz w:val="21"/>
          <w:szCs w:val="21"/>
          <w:vertAlign w:val="subscript"/>
        </w:rPr>
        <w:t>j</w:t>
      </w:r>
      <w:r>
        <w:rPr>
          <w:rFonts w:hint="eastAsia"/>
          <w:sz w:val="21"/>
          <w:szCs w:val="21"/>
        </w:rPr>
        <w:t>表示指标的有效信息量，离散程度越大，权重越高。</w:t>
      </w:r>
    </w:p>
    <w:p>
      <w:pPr>
        <w:pageBreakBefore w:val="0"/>
        <w:kinsoku/>
        <w:wordWrap/>
        <w:overflowPunct/>
        <w:topLinePunct w:val="0"/>
        <w:autoSpaceDE/>
        <w:autoSpaceDN/>
        <w:bidi w:val="0"/>
        <w:adjustRightInd/>
        <w:spacing w:beforeAutospacing="0" w:afterAutospacing="0" w:line="240" w:lineRule="auto"/>
        <w:ind w:firstLine="0" w:firstLineChars="0"/>
        <w:textAlignment w:val="auto"/>
        <w:outlineLvl w:val="2"/>
        <w:rPr>
          <w:rFonts w:eastAsia="楷体" w:cs="Times New Roman"/>
          <w:sz w:val="21"/>
        </w:rPr>
      </w:pPr>
      <w:r>
        <w:rPr>
          <w:rFonts w:hint="eastAsia" w:eastAsia="楷体" w:cs="Times New Roman"/>
          <w:sz w:val="21"/>
        </w:rPr>
        <w:t>2.2.4博弈论组合权重</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sz w:val="21"/>
          <w:szCs w:val="21"/>
        </w:rPr>
        <w:t>博弈论组合赋权是一种基于博弈论非合作博弈思想的多准则赋权方法，其核心目标是在主观权重和客观权重之间寻求一个最佳平衡点，从而确定更加合理的综合权重</w:t>
      </w:r>
      <w:r>
        <w:rPr>
          <w:rFonts w:hint="eastAsia"/>
          <w:sz w:val="21"/>
          <w:szCs w:val="21"/>
          <w:vertAlign w:val="superscript"/>
        </w:rPr>
        <w:fldChar w:fldCharType="begin"/>
      </w:r>
      <w:r>
        <w:rPr>
          <w:rFonts w:hint="eastAsia"/>
          <w:sz w:val="21"/>
          <w:szCs w:val="21"/>
          <w:vertAlign w:val="superscript"/>
        </w:rPr>
        <w:instrText xml:space="preserve"> REF _Ref1020 \r \h </w:instrText>
      </w:r>
      <w:r>
        <w:rPr>
          <w:rFonts w:hint="eastAsia"/>
          <w:sz w:val="21"/>
          <w:szCs w:val="21"/>
          <w:vertAlign w:val="superscript"/>
        </w:rPr>
        <w:fldChar w:fldCharType="separate"/>
      </w:r>
      <w:r>
        <w:rPr>
          <w:sz w:val="21"/>
          <w:szCs w:val="21"/>
          <w:vertAlign w:val="superscript"/>
        </w:rPr>
        <w:t>[28]</w:t>
      </w:r>
      <w:r>
        <w:rPr>
          <w:rFonts w:hint="eastAsia"/>
          <w:sz w:val="21"/>
          <w:szCs w:val="21"/>
          <w:vertAlign w:val="superscript"/>
        </w:rPr>
        <w:fldChar w:fldCharType="end"/>
      </w:r>
      <w:r>
        <w:rPr>
          <w:rFonts w:hint="eastAsia"/>
          <w:sz w:val="21"/>
          <w:szCs w:val="21"/>
        </w:rPr>
        <w:t>。博弈论组合赋权具体实现方法如下。</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sz w:val="21"/>
          <w:szCs w:val="21"/>
        </w:rPr>
        <w:t>（1）构建效用函数，效用函数用于衡量综合权重相对于主观权重和客观权重的偏离程度。通过构建效用函数并最小化其值，可以确保综合权重在主客观权重之间达到平衡，效用函数形式如下</w:t>
      </w:r>
    </w:p>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82"/>
        <w:gridCol w:w="5142"/>
        <w:gridCol w:w="1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20"/>
              <w:jc w:val="left"/>
              <w:textAlignment w:val="auto"/>
              <w:rPr>
                <w:sz w:val="21"/>
                <w:szCs w:val="21"/>
              </w:rPr>
            </w:pPr>
          </w:p>
        </w:tc>
        <w:tc>
          <w:tcPr>
            <w:tcW w:w="5125"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r>
                  <m:rPr>
                    <m:nor/>
                  </m:rPr>
                  <w:rPr>
                    <w:rFonts w:cs="Times New Roman"/>
                    <w:i/>
                    <w:sz w:val="21"/>
                    <w:szCs w:val="21"/>
                  </w:rPr>
                  <m:t>U</m:t>
                </m:r>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c</m:t>
                        </m:r>
                        <m:ctrlPr>
                          <w:rPr>
                            <w:rFonts w:ascii="Cambria Math" w:hAnsi="Cambria Math" w:cs="Times New Roman"/>
                            <w:i/>
                            <w:sz w:val="21"/>
                            <w:szCs w:val="21"/>
                          </w:rPr>
                        </m:ctrlPr>
                      </m:sub>
                    </m:sSub>
                    <m:ctrlPr>
                      <w:rPr>
                        <w:rFonts w:ascii="Cambria Math" w:hAnsi="Cambria Math" w:cs="Times New Roman"/>
                        <w:i/>
                        <w:sz w:val="21"/>
                        <w:szCs w:val="21"/>
                      </w:rPr>
                    </m:ctrlPr>
                  </m:e>
                </m:d>
                <m:r>
                  <m:rPr>
                    <m:nor/>
                    <m:sty m:val="p"/>
                  </m:rPr>
                  <w:rPr>
                    <w:rFonts w:cs="Times New Roman"/>
                    <w:b w:val="0"/>
                    <w:i w:val="0"/>
                    <w:sz w:val="21"/>
                    <w:szCs w:val="21"/>
                  </w:rPr>
                  <m:t>=</m:t>
                </m:r>
                <m:r>
                  <m:rPr>
                    <m:nor/>
                  </m:rPr>
                  <w:rPr>
                    <w:rFonts w:cs="Times New Roman"/>
                    <w:i/>
                    <w:sz w:val="21"/>
                    <w:szCs w:val="21"/>
                  </w:rPr>
                  <m:t>α</m:t>
                </m:r>
                <m:sSub>
                  <m:sSubPr>
                    <m:ctrlPr>
                      <w:rPr>
                        <w:rFonts w:ascii="Cambria Math" w:hAnsi="Cambria Math" w:cs="Times New Roman"/>
                        <w:i/>
                        <w:sz w:val="21"/>
                        <w:szCs w:val="21"/>
                      </w:rPr>
                    </m:ctrlPr>
                  </m:sSubPr>
                  <m:e>
                    <m:r>
                      <m:rPr>
                        <m:nor/>
                      </m:rPr>
                      <w:rPr>
                        <w:rFonts w:cs="Times New Roman"/>
                        <w:i/>
                        <w:sz w:val="21"/>
                        <w:szCs w:val="21"/>
                      </w:rPr>
                      <m:t>U</m:t>
                    </m:r>
                    <m:ctrlPr>
                      <w:rPr>
                        <w:rFonts w:ascii="Cambria Math" w:hAnsi="Cambria Math" w:cs="Times New Roman"/>
                        <w:i/>
                        <w:sz w:val="21"/>
                        <w:szCs w:val="21"/>
                      </w:rPr>
                    </m:ctrlPr>
                  </m:e>
                  <m:sub>
                    <m:r>
                      <m:rPr>
                        <m:nor/>
                      </m:rPr>
                      <w:rPr>
                        <w:rFonts w:cs="Times New Roman"/>
                        <w:i/>
                        <w:sz w:val="21"/>
                        <w:szCs w:val="21"/>
                      </w:rPr>
                      <m:t>s</m:t>
                    </m:r>
                    <m:ctrlPr>
                      <w:rPr>
                        <w:rFonts w:ascii="Cambria Math" w:hAnsi="Cambria Math" w:cs="Times New Roman"/>
                        <w:i/>
                        <w:sz w:val="21"/>
                        <w:szCs w:val="21"/>
                      </w:rPr>
                    </m:ctrlPr>
                  </m:sub>
                </m:sSub>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C</m:t>
                        </m:r>
                        <m:ctrlPr>
                          <w:rPr>
                            <w:rFonts w:ascii="Cambria Math" w:hAnsi="Cambria Math" w:cs="Times New Roman"/>
                            <w:i/>
                            <w:sz w:val="21"/>
                            <w:szCs w:val="21"/>
                          </w:rPr>
                        </m:ctrlPr>
                      </m:sub>
                    </m:sSub>
                    <m:ctrlPr>
                      <w:rPr>
                        <w:rFonts w:ascii="Cambria Math" w:hAnsi="Cambria Math" w:cs="Times New Roman"/>
                        <w:i/>
                        <w:sz w:val="21"/>
                        <w:szCs w:val="21"/>
                      </w:rPr>
                    </m:ctrlPr>
                  </m:e>
                </m:d>
                <m:r>
                  <m:rPr>
                    <m:nor/>
                    <m:sty m:val="p"/>
                  </m:rPr>
                  <w:rPr>
                    <w:rFonts w:cs="Times New Roman"/>
                    <w:b w:val="0"/>
                    <w:i w:val="0"/>
                    <w:sz w:val="21"/>
                    <w:szCs w:val="21"/>
                  </w:rPr>
                  <m:t>+</m:t>
                </m:r>
                <m:d>
                  <m:dPr>
                    <m:ctrlPr>
                      <w:rPr>
                        <w:rFonts w:ascii="Cambria Math" w:hAnsi="Cambria Math" w:cs="Times New Roman"/>
                        <w:i/>
                        <w:sz w:val="21"/>
                        <w:szCs w:val="21"/>
                      </w:rPr>
                    </m:ctrlPr>
                  </m:dPr>
                  <m:e>
                    <m:r>
                      <m:rPr>
                        <m:nor/>
                        <m:sty m:val="p"/>
                      </m:rPr>
                      <w:rPr>
                        <w:rFonts w:cs="Times New Roman"/>
                        <w:b w:val="0"/>
                        <w:i w:val="0"/>
                        <w:sz w:val="21"/>
                        <w:szCs w:val="21"/>
                      </w:rPr>
                      <m:t>1-</m:t>
                    </m:r>
                    <m:r>
                      <m:rPr>
                        <m:nor/>
                      </m:rPr>
                      <w:rPr>
                        <w:rFonts w:cs="Times New Roman"/>
                        <w:i/>
                        <w:sz w:val="21"/>
                        <w:szCs w:val="21"/>
                      </w:rPr>
                      <m:t>α</m:t>
                    </m:r>
                    <m:ctrlPr>
                      <w:rPr>
                        <w:rFonts w:ascii="Cambria Math" w:hAnsi="Cambria Math" w:cs="Times New Roman"/>
                        <w:i/>
                        <w:sz w:val="21"/>
                        <w:szCs w:val="21"/>
                      </w:rPr>
                    </m:ctrlPr>
                  </m:e>
                </m:d>
                <m:sSub>
                  <m:sSubPr>
                    <m:ctrlPr>
                      <w:rPr>
                        <w:rFonts w:ascii="Cambria Math" w:hAnsi="Cambria Math" w:cs="Times New Roman"/>
                        <w:i/>
                        <w:sz w:val="21"/>
                        <w:szCs w:val="21"/>
                      </w:rPr>
                    </m:ctrlPr>
                  </m:sSubPr>
                  <m:e>
                    <m:r>
                      <m:rPr>
                        <m:nor/>
                      </m:rPr>
                      <w:rPr>
                        <w:rFonts w:cs="Times New Roman"/>
                        <w:i/>
                        <w:sz w:val="21"/>
                        <w:szCs w:val="21"/>
                      </w:rPr>
                      <m:t>U</m:t>
                    </m:r>
                    <m:ctrlPr>
                      <w:rPr>
                        <w:rFonts w:ascii="Cambria Math" w:hAnsi="Cambria Math" w:cs="Times New Roman"/>
                        <w:i/>
                        <w:sz w:val="21"/>
                        <w:szCs w:val="21"/>
                      </w:rPr>
                    </m:ctrlPr>
                  </m:e>
                  <m:sub>
                    <m:r>
                      <m:rPr>
                        <m:nor/>
                      </m:rPr>
                      <w:rPr>
                        <w:rFonts w:cs="Times New Roman"/>
                        <w:i/>
                        <w:sz w:val="21"/>
                        <w:szCs w:val="21"/>
                      </w:rPr>
                      <m:t>O</m:t>
                    </m:r>
                    <m:ctrlPr>
                      <w:rPr>
                        <w:rFonts w:ascii="Cambria Math" w:hAnsi="Cambria Math" w:cs="Times New Roman"/>
                        <w:i/>
                        <w:sz w:val="21"/>
                        <w:szCs w:val="21"/>
                      </w:rPr>
                    </m:ctrlPr>
                  </m:sub>
                </m:sSub>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C</m:t>
                        </m:r>
                        <m:ctrlPr>
                          <w:rPr>
                            <w:rFonts w:ascii="Cambria Math" w:hAnsi="Cambria Math" w:cs="Times New Roman"/>
                            <w:i/>
                            <w:sz w:val="21"/>
                            <w:szCs w:val="21"/>
                          </w:rPr>
                        </m:ctrlPr>
                      </m:sub>
                    </m:sSub>
                    <m:ctrlPr>
                      <w:rPr>
                        <w:rFonts w:ascii="Cambria Math" w:hAnsi="Cambria Math" w:cs="Times New Roman"/>
                        <w:i/>
                        <w:sz w:val="21"/>
                        <w:szCs w:val="21"/>
                      </w:rPr>
                    </m:ctrlPr>
                  </m:e>
                </m:d>
              </m:oMath>
            </m:oMathPara>
          </w:p>
        </w:tc>
        <w:tc>
          <w:tcPr>
            <w:tcW w:w="1576"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bookmarkStart w:id="1" w:name="_Ref14317"/>
            <w:bookmarkEnd w:id="1"/>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sz w:val="21"/>
          <w:szCs w:val="21"/>
        </w:rPr>
      </w:pPr>
      <w:r>
        <w:rPr>
          <w:sz w:val="21"/>
          <w:szCs w:val="21"/>
          <w:lang w:val="en"/>
        </w:rPr>
        <w:t>式中，</w:t>
      </w:r>
      <w:r>
        <w:rPr>
          <w:rFonts w:hint="eastAsia"/>
          <w:i/>
          <w:iCs/>
          <w:sz w:val="21"/>
          <w:szCs w:val="21"/>
        </w:rPr>
        <w:t>U</w:t>
      </w:r>
      <w:r>
        <w:rPr>
          <w:rFonts w:hint="eastAsia"/>
          <w:i/>
          <w:iCs/>
          <w:sz w:val="21"/>
          <w:szCs w:val="21"/>
          <w:vertAlign w:val="subscript"/>
        </w:rPr>
        <w:t>s</w:t>
      </w:r>
      <w:r>
        <w:rPr>
          <w:rFonts w:hint="eastAsia"/>
          <w:i/>
          <w:iCs/>
          <w:sz w:val="21"/>
          <w:szCs w:val="21"/>
        </w:rPr>
        <w:t>（W</w:t>
      </w:r>
      <w:r>
        <w:rPr>
          <w:rFonts w:hint="eastAsia"/>
          <w:i/>
          <w:iCs/>
          <w:sz w:val="21"/>
          <w:szCs w:val="21"/>
          <w:vertAlign w:val="subscript"/>
        </w:rPr>
        <w:t>c</w:t>
      </w:r>
      <w:r>
        <w:rPr>
          <w:rFonts w:hint="eastAsia"/>
          <w:i/>
          <w:iCs/>
          <w:sz w:val="21"/>
          <w:szCs w:val="21"/>
        </w:rPr>
        <w:t>）</w:t>
      </w:r>
      <w:r>
        <w:rPr>
          <w:rFonts w:hint="eastAsia"/>
          <w:sz w:val="21"/>
          <w:szCs w:val="21"/>
        </w:rPr>
        <w:t>为综合权重与主观权重之间的偏离程度（主观效用）；</w:t>
      </w:r>
      <w:r>
        <w:rPr>
          <w:rFonts w:hint="eastAsia"/>
          <w:i/>
          <w:iCs/>
          <w:sz w:val="21"/>
          <w:szCs w:val="21"/>
        </w:rPr>
        <w:t>U</w:t>
      </w:r>
      <w:r>
        <w:rPr>
          <w:rFonts w:hint="eastAsia"/>
          <w:i/>
          <w:iCs/>
          <w:sz w:val="21"/>
          <w:szCs w:val="21"/>
          <w:vertAlign w:val="subscript"/>
        </w:rPr>
        <w:t>o</w:t>
      </w:r>
      <w:r>
        <w:rPr>
          <w:rFonts w:hint="eastAsia"/>
          <w:i/>
          <w:iCs/>
          <w:sz w:val="21"/>
          <w:szCs w:val="21"/>
        </w:rPr>
        <w:t>（W</w:t>
      </w:r>
      <w:r>
        <w:rPr>
          <w:rFonts w:hint="eastAsia"/>
          <w:i/>
          <w:iCs/>
          <w:sz w:val="21"/>
          <w:szCs w:val="21"/>
          <w:vertAlign w:val="subscript"/>
        </w:rPr>
        <w:t>c</w:t>
      </w:r>
      <w:r>
        <w:rPr>
          <w:rFonts w:hint="eastAsia"/>
          <w:i/>
          <w:iCs/>
          <w:sz w:val="21"/>
          <w:szCs w:val="21"/>
        </w:rPr>
        <w:t>）</w:t>
      </w:r>
      <w:r>
        <w:rPr>
          <w:rFonts w:hint="eastAsia"/>
          <w:sz w:val="21"/>
          <w:szCs w:val="21"/>
        </w:rPr>
        <w:t>为综合权重与客观权重之间的偏离程度（客观效用）；</w:t>
      </w:r>
      <w:r>
        <w:rPr>
          <w:i/>
          <w:iCs/>
          <w:sz w:val="21"/>
          <w:szCs w:val="21"/>
        </w:rPr>
        <w:t>α</w:t>
      </w:r>
      <w:r>
        <w:rPr>
          <w:rFonts w:hint="eastAsia"/>
          <w:sz w:val="21"/>
          <w:szCs w:val="21"/>
        </w:rPr>
        <w:t>为主观权重的偏好系数，表示主观赋权在博弈中的重要性，取值范围为 [</w:t>
      </w:r>
      <w:r>
        <w:rPr>
          <w:sz w:val="21"/>
          <w:szCs w:val="21"/>
        </w:rPr>
        <w:t>0</w:t>
      </w:r>
      <w:r>
        <w:rPr>
          <w:rFonts w:hint="eastAsia"/>
          <w:sz w:val="21"/>
          <w:szCs w:val="21"/>
        </w:rPr>
        <w:t>，</w:t>
      </w:r>
      <w:r>
        <w:rPr>
          <w:sz w:val="21"/>
          <w:szCs w:val="21"/>
        </w:rPr>
        <w:t>1</w:t>
      </w:r>
      <w:r>
        <w:rPr>
          <w:rFonts w:hint="eastAsia"/>
          <w:sz w:val="21"/>
          <w:szCs w:val="21"/>
        </w:rPr>
        <w:t>]。</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sz w:val="21"/>
          <w:szCs w:val="21"/>
        </w:rPr>
        <w:t>（2）偏离程度定义。主观偏离效用</w:t>
      </w:r>
      <w:r>
        <w:rPr>
          <w:rFonts w:hint="eastAsia"/>
          <w:i/>
          <w:iCs/>
          <w:sz w:val="21"/>
          <w:szCs w:val="21"/>
        </w:rPr>
        <w:t>U</w:t>
      </w:r>
      <w:r>
        <w:rPr>
          <w:rFonts w:hint="eastAsia"/>
          <w:i/>
          <w:iCs/>
          <w:sz w:val="21"/>
          <w:szCs w:val="21"/>
          <w:vertAlign w:val="subscript"/>
        </w:rPr>
        <w:t>s</w:t>
      </w:r>
      <w:r>
        <w:rPr>
          <w:rFonts w:hint="eastAsia"/>
          <w:i/>
          <w:iCs/>
          <w:sz w:val="21"/>
          <w:szCs w:val="21"/>
        </w:rPr>
        <w:t>（W</w:t>
      </w:r>
      <w:r>
        <w:rPr>
          <w:rFonts w:hint="eastAsia"/>
          <w:i/>
          <w:iCs/>
          <w:sz w:val="21"/>
          <w:szCs w:val="21"/>
          <w:vertAlign w:val="subscript"/>
        </w:rPr>
        <w:t>c</w:t>
      </w:r>
      <w:r>
        <w:rPr>
          <w:rFonts w:hint="eastAsia"/>
          <w:i/>
          <w:iCs/>
          <w:sz w:val="21"/>
          <w:szCs w:val="21"/>
        </w:rPr>
        <w:t>）</w:t>
      </w:r>
      <w:r>
        <w:rPr>
          <w:rFonts w:hint="eastAsia"/>
          <w:sz w:val="21"/>
          <w:szCs w:val="21"/>
        </w:rPr>
        <w:t>为</w:t>
      </w:r>
    </w:p>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82"/>
        <w:gridCol w:w="5142"/>
        <w:gridCol w:w="1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20"/>
              <w:jc w:val="left"/>
              <w:textAlignment w:val="auto"/>
              <w:rPr>
                <w:sz w:val="21"/>
                <w:szCs w:val="21"/>
              </w:rPr>
            </w:pPr>
          </w:p>
        </w:tc>
        <w:tc>
          <w:tcPr>
            <w:tcW w:w="5125"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sSub>
                  <m:sSubPr>
                    <m:ctrlPr>
                      <w:rPr>
                        <w:rFonts w:ascii="Cambria Math" w:hAnsi="Cambria Math" w:cs="Times New Roman"/>
                        <w:i/>
                        <w:sz w:val="21"/>
                        <w:szCs w:val="21"/>
                      </w:rPr>
                    </m:ctrlPr>
                  </m:sSubPr>
                  <m:e>
                    <m:r>
                      <m:rPr>
                        <m:nor/>
                      </m:rPr>
                      <w:rPr>
                        <w:rFonts w:cs="Times New Roman"/>
                        <w:i/>
                        <w:sz w:val="21"/>
                        <w:szCs w:val="21"/>
                      </w:rPr>
                      <m:t>U</m:t>
                    </m:r>
                    <m:ctrlPr>
                      <w:rPr>
                        <w:rFonts w:ascii="Cambria Math" w:hAnsi="Cambria Math" w:cs="Times New Roman"/>
                        <w:i/>
                        <w:sz w:val="21"/>
                        <w:szCs w:val="21"/>
                      </w:rPr>
                    </m:ctrlPr>
                  </m:e>
                  <m:sub>
                    <m:r>
                      <m:rPr>
                        <m:nor/>
                      </m:rPr>
                      <w:rPr>
                        <w:rFonts w:cs="Times New Roman"/>
                        <w:i/>
                        <w:sz w:val="21"/>
                        <w:szCs w:val="21"/>
                      </w:rPr>
                      <m:t>s</m:t>
                    </m:r>
                    <m:ctrlPr>
                      <w:rPr>
                        <w:rFonts w:ascii="Cambria Math" w:hAnsi="Cambria Math" w:cs="Times New Roman"/>
                        <w:i/>
                        <w:sz w:val="21"/>
                        <w:szCs w:val="21"/>
                      </w:rPr>
                    </m:ctrlPr>
                  </m:sub>
                </m:sSub>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c</m:t>
                        </m:r>
                        <m:ctrlPr>
                          <w:rPr>
                            <w:rFonts w:ascii="Cambria Math" w:hAnsi="Cambria Math" w:cs="Times New Roman"/>
                            <w:i/>
                            <w:sz w:val="21"/>
                            <w:szCs w:val="21"/>
                          </w:rPr>
                        </m:ctrlPr>
                      </m:sub>
                    </m:sSub>
                    <m:ctrlPr>
                      <w:rPr>
                        <w:rFonts w:ascii="Cambria Math" w:hAnsi="Cambria Math" w:cs="Times New Roman"/>
                        <w:i/>
                        <w:sz w:val="21"/>
                        <w:szCs w:val="21"/>
                      </w:rPr>
                    </m:ctrlPr>
                  </m:e>
                </m:d>
                <m:r>
                  <m:rPr>
                    <m:nor/>
                    <m:sty m:val="p"/>
                  </m:rPr>
                  <w:rPr>
                    <w:rFonts w:cs="Times New Roman"/>
                    <w:b w:val="0"/>
                    <w:i w:val="0"/>
                    <w:sz w:val="21"/>
                    <w:szCs w:val="21"/>
                  </w:rPr>
                  <m:t>=</m:t>
                </m:r>
                <m:nary>
                  <m:naryPr>
                    <m:chr m:val="∑"/>
                    <m:limLoc m:val="undOvr"/>
                    <m:ctrlPr>
                      <w:rPr>
                        <w:rFonts w:ascii="Cambria Math" w:hAnsi="Cambria Math" w:cs="Times New Roman"/>
                        <w:i/>
                        <w:sz w:val="21"/>
                        <w:szCs w:val="21"/>
                      </w:rPr>
                    </m:ctrlPr>
                  </m:naryPr>
                  <m:sub>
                    <m:r>
                      <m:rPr>
                        <m:nor/>
                      </m:rPr>
                      <w:rPr>
                        <w:rFonts w:cs="Times New Roman"/>
                        <w:i/>
                        <w:sz w:val="21"/>
                        <w:szCs w:val="21"/>
                      </w:rPr>
                      <m:t>j</m:t>
                    </m:r>
                    <m:r>
                      <m:rPr>
                        <m:nor/>
                        <m:sty m:val="p"/>
                      </m:rPr>
                      <w:rPr>
                        <w:rFonts w:cs="Times New Roman"/>
                        <w:b w:val="0"/>
                        <w:i w:val="0"/>
                        <w:sz w:val="21"/>
                        <w:szCs w:val="21"/>
                      </w:rPr>
                      <m:t>=1</m:t>
                    </m:r>
                    <m:ctrlPr>
                      <w:rPr>
                        <w:rFonts w:ascii="Cambria Math" w:hAnsi="Cambria Math" w:cs="Times New Roman"/>
                        <w:i/>
                        <w:sz w:val="21"/>
                        <w:szCs w:val="21"/>
                      </w:rPr>
                    </m:ctrlPr>
                  </m:sub>
                  <m:sup>
                    <m:r>
                      <m:rPr>
                        <m:nor/>
                      </m:rPr>
                      <w:rPr>
                        <w:rFonts w:cs="Times New Roman"/>
                        <w:i/>
                        <w:sz w:val="21"/>
                        <w:szCs w:val="21"/>
                      </w:rPr>
                      <m:t>n</m:t>
                    </m:r>
                    <m:ctrlPr>
                      <w:rPr>
                        <w:rFonts w:ascii="Cambria Math" w:hAnsi="Cambria Math" w:cs="Times New Roman"/>
                        <w:i/>
                        <w:sz w:val="21"/>
                        <w:szCs w:val="21"/>
                      </w:rPr>
                    </m:ctrlPr>
                  </m:sup>
                  <m:e>
                    <m:d>
                      <m:dPr>
                        <m:begChr m:val="|"/>
                        <m:endChr m:val="|"/>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cj</m:t>
                            </m:r>
                            <m:ctrlPr>
                              <w:rPr>
                                <w:rFonts w:ascii="Cambria Math" w:hAnsi="Cambria Math" w:cs="Times New Roman"/>
                                <w:i/>
                                <w:sz w:val="21"/>
                                <w:szCs w:val="21"/>
                              </w:rPr>
                            </m:ctrlPr>
                          </m:sub>
                        </m:sSub>
                        <m:r>
                          <m:rPr>
                            <m:nor/>
                            <m:sty m:val="p"/>
                          </m:rPr>
                          <w:rPr>
                            <w:rFonts w:cs="Times New Roman"/>
                            <w:b w:val="0"/>
                            <w:i w:val="0"/>
                            <w:sz w:val="21"/>
                            <w:szCs w:val="21"/>
                          </w:rPr>
                          <m:t>-</m:t>
                        </m:r>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sj</m:t>
                            </m:r>
                            <m:ctrlPr>
                              <w:rPr>
                                <w:rFonts w:ascii="Cambria Math" w:hAnsi="Cambria Math" w:cs="Times New Roman"/>
                                <w:i/>
                                <w:sz w:val="21"/>
                                <w:szCs w:val="21"/>
                              </w:rPr>
                            </m:ctrlPr>
                          </m:sub>
                        </m:sSub>
                        <m:ctrlPr>
                          <w:rPr>
                            <w:rFonts w:ascii="Cambria Math" w:hAnsi="Cambria Math" w:cs="Times New Roman"/>
                            <w:i/>
                            <w:sz w:val="21"/>
                            <w:szCs w:val="21"/>
                          </w:rPr>
                        </m:ctrlPr>
                      </m:e>
                    </m:d>
                    <m:ctrlPr>
                      <w:rPr>
                        <w:rFonts w:ascii="Cambria Math" w:hAnsi="Cambria Math" w:cs="Times New Roman"/>
                        <w:i/>
                        <w:sz w:val="21"/>
                        <w:szCs w:val="21"/>
                      </w:rPr>
                    </m:ctrlPr>
                  </m:e>
                </m:nary>
              </m:oMath>
            </m:oMathPara>
          </w:p>
        </w:tc>
        <w:tc>
          <w:tcPr>
            <w:tcW w:w="1576"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sz w:val="21"/>
          <w:szCs w:val="21"/>
        </w:rPr>
      </w:pPr>
      <w:r>
        <w:rPr>
          <w:sz w:val="21"/>
          <w:szCs w:val="21"/>
          <w:lang w:val="en"/>
        </w:rPr>
        <w:t>式中，</w:t>
      </w:r>
      <w:r>
        <w:rPr>
          <w:rFonts w:hint="eastAsia"/>
          <w:i/>
          <w:iCs/>
          <w:sz w:val="21"/>
          <w:szCs w:val="21"/>
        </w:rPr>
        <w:t>w</w:t>
      </w:r>
      <w:r>
        <w:rPr>
          <w:rFonts w:hint="eastAsia"/>
          <w:i/>
          <w:iCs/>
          <w:sz w:val="21"/>
          <w:szCs w:val="21"/>
          <w:vertAlign w:val="subscript"/>
        </w:rPr>
        <w:t>cj</w:t>
      </w:r>
      <w:r>
        <w:rPr>
          <w:rFonts w:hint="eastAsia"/>
          <w:sz w:val="21"/>
          <w:szCs w:val="21"/>
        </w:rPr>
        <w:t>为第</w:t>
      </w:r>
      <w:r>
        <w:rPr>
          <w:rFonts w:hint="eastAsia"/>
          <w:i/>
          <w:iCs/>
          <w:sz w:val="21"/>
          <w:szCs w:val="21"/>
        </w:rPr>
        <w:t>j</w:t>
      </w:r>
      <w:r>
        <w:rPr>
          <w:rFonts w:hint="eastAsia"/>
          <w:sz w:val="21"/>
          <w:szCs w:val="21"/>
        </w:rPr>
        <w:t>个指标的主观权重；</w:t>
      </w:r>
      <w:r>
        <w:rPr>
          <w:rFonts w:hint="eastAsia"/>
          <w:i/>
          <w:iCs/>
          <w:sz w:val="21"/>
          <w:szCs w:val="21"/>
        </w:rPr>
        <w:t>w</w:t>
      </w:r>
      <w:r>
        <w:rPr>
          <w:rFonts w:hint="eastAsia"/>
          <w:i/>
          <w:iCs/>
          <w:sz w:val="21"/>
          <w:szCs w:val="21"/>
          <w:vertAlign w:val="subscript"/>
        </w:rPr>
        <w:t>sj</w:t>
      </w:r>
      <w:r>
        <w:rPr>
          <w:rFonts w:hint="eastAsia"/>
          <w:sz w:val="21"/>
          <w:szCs w:val="21"/>
        </w:rPr>
        <w:t>为第</w:t>
      </w:r>
      <w:r>
        <w:rPr>
          <w:rFonts w:hint="eastAsia"/>
          <w:i/>
          <w:iCs/>
          <w:sz w:val="21"/>
          <w:szCs w:val="21"/>
        </w:rPr>
        <w:t>j</w:t>
      </w:r>
      <w:r>
        <w:rPr>
          <w:rFonts w:hint="eastAsia"/>
          <w:sz w:val="21"/>
          <w:szCs w:val="21"/>
        </w:rPr>
        <w:t>个指标的综合权重。该式表示综合权重与主观权重在各指标上的偏差之和。</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sz w:val="21"/>
          <w:szCs w:val="21"/>
        </w:rPr>
        <w:t>客观偏离效用</w:t>
      </w:r>
      <w:r>
        <w:rPr>
          <w:rFonts w:hint="eastAsia"/>
          <w:i/>
          <w:iCs/>
          <w:sz w:val="21"/>
          <w:szCs w:val="21"/>
        </w:rPr>
        <w:t>U</w:t>
      </w:r>
      <w:r>
        <w:rPr>
          <w:rFonts w:hint="eastAsia"/>
          <w:i/>
          <w:iCs/>
          <w:sz w:val="21"/>
          <w:szCs w:val="21"/>
          <w:vertAlign w:val="subscript"/>
        </w:rPr>
        <w:t>o</w:t>
      </w:r>
      <w:r>
        <w:rPr>
          <w:rFonts w:hint="eastAsia"/>
          <w:i/>
          <w:iCs/>
          <w:sz w:val="21"/>
          <w:szCs w:val="21"/>
        </w:rPr>
        <w:t>（W</w:t>
      </w:r>
      <w:r>
        <w:rPr>
          <w:rFonts w:hint="eastAsia"/>
          <w:i/>
          <w:iCs/>
          <w:sz w:val="21"/>
          <w:szCs w:val="21"/>
          <w:vertAlign w:val="subscript"/>
        </w:rPr>
        <w:t>c</w:t>
      </w:r>
      <w:r>
        <w:rPr>
          <w:rFonts w:hint="eastAsia"/>
          <w:i/>
          <w:iCs/>
          <w:sz w:val="21"/>
          <w:szCs w:val="21"/>
        </w:rPr>
        <w:t>）</w:t>
      </w:r>
      <w:r>
        <w:rPr>
          <w:rFonts w:hint="eastAsia"/>
          <w:sz w:val="21"/>
          <w:szCs w:val="21"/>
        </w:rPr>
        <w:t>为</w:t>
      </w:r>
    </w:p>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82"/>
        <w:gridCol w:w="5142"/>
        <w:gridCol w:w="1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20"/>
              <w:jc w:val="left"/>
              <w:textAlignment w:val="auto"/>
              <w:rPr>
                <w:sz w:val="21"/>
                <w:szCs w:val="21"/>
              </w:rPr>
            </w:pPr>
          </w:p>
        </w:tc>
        <w:tc>
          <w:tcPr>
            <w:tcW w:w="5125"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sSub>
                  <m:sSubPr>
                    <m:ctrlPr>
                      <w:rPr>
                        <w:rFonts w:ascii="Cambria Math" w:hAnsi="Cambria Math" w:cs="Times New Roman"/>
                        <w:i/>
                        <w:sz w:val="21"/>
                        <w:szCs w:val="21"/>
                      </w:rPr>
                    </m:ctrlPr>
                  </m:sSubPr>
                  <m:e>
                    <m:r>
                      <m:rPr>
                        <m:nor/>
                      </m:rPr>
                      <w:rPr>
                        <w:rFonts w:cs="Times New Roman"/>
                        <w:i/>
                        <w:sz w:val="21"/>
                        <w:szCs w:val="21"/>
                      </w:rPr>
                      <m:t>U</m:t>
                    </m:r>
                    <m:ctrlPr>
                      <w:rPr>
                        <w:rFonts w:ascii="Cambria Math" w:hAnsi="Cambria Math" w:cs="Times New Roman"/>
                        <w:i/>
                        <w:sz w:val="21"/>
                        <w:szCs w:val="21"/>
                      </w:rPr>
                    </m:ctrlPr>
                  </m:e>
                  <m:sub>
                    <m:r>
                      <m:rPr>
                        <m:nor/>
                      </m:rPr>
                      <w:rPr>
                        <w:rFonts w:cs="Times New Roman"/>
                        <w:i/>
                        <w:sz w:val="21"/>
                        <w:szCs w:val="21"/>
                      </w:rPr>
                      <m:t>o</m:t>
                    </m:r>
                    <m:ctrlPr>
                      <w:rPr>
                        <w:rFonts w:ascii="Cambria Math" w:hAnsi="Cambria Math" w:cs="Times New Roman"/>
                        <w:i/>
                        <w:sz w:val="21"/>
                        <w:szCs w:val="21"/>
                      </w:rPr>
                    </m:ctrlPr>
                  </m:sub>
                </m:sSub>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c</m:t>
                        </m:r>
                        <m:ctrlPr>
                          <w:rPr>
                            <w:rFonts w:ascii="Cambria Math" w:hAnsi="Cambria Math" w:cs="Times New Roman"/>
                            <w:i/>
                            <w:sz w:val="21"/>
                            <w:szCs w:val="21"/>
                          </w:rPr>
                        </m:ctrlPr>
                      </m:sub>
                    </m:sSub>
                    <m:ctrlPr>
                      <w:rPr>
                        <w:rFonts w:ascii="Cambria Math" w:hAnsi="Cambria Math" w:cs="Times New Roman"/>
                        <w:i/>
                        <w:sz w:val="21"/>
                        <w:szCs w:val="21"/>
                      </w:rPr>
                    </m:ctrlPr>
                  </m:e>
                </m:d>
                <m:r>
                  <m:rPr>
                    <m:nor/>
                    <m:sty m:val="p"/>
                  </m:rPr>
                  <w:rPr>
                    <w:rFonts w:cs="Times New Roman"/>
                    <w:b w:val="0"/>
                    <w:i w:val="0"/>
                    <w:sz w:val="21"/>
                    <w:szCs w:val="21"/>
                  </w:rPr>
                  <m:t>=</m:t>
                </m:r>
                <m:nary>
                  <m:naryPr>
                    <m:chr m:val="∑"/>
                    <m:limLoc m:val="undOvr"/>
                    <m:ctrlPr>
                      <w:rPr>
                        <w:rFonts w:ascii="Cambria Math" w:hAnsi="Cambria Math" w:cs="Times New Roman"/>
                        <w:i/>
                        <w:sz w:val="21"/>
                        <w:szCs w:val="21"/>
                      </w:rPr>
                    </m:ctrlPr>
                  </m:naryPr>
                  <m:sub>
                    <m:r>
                      <m:rPr>
                        <m:nor/>
                      </m:rPr>
                      <w:rPr>
                        <w:rFonts w:cs="Times New Roman"/>
                        <w:i/>
                        <w:sz w:val="21"/>
                        <w:szCs w:val="21"/>
                      </w:rPr>
                      <m:t>j</m:t>
                    </m:r>
                    <m:r>
                      <m:rPr>
                        <m:nor/>
                        <m:sty m:val="p"/>
                      </m:rPr>
                      <w:rPr>
                        <w:rFonts w:cs="Times New Roman"/>
                        <w:b w:val="0"/>
                        <w:i w:val="0"/>
                        <w:sz w:val="21"/>
                        <w:szCs w:val="21"/>
                      </w:rPr>
                      <m:t>=1</m:t>
                    </m:r>
                    <m:ctrlPr>
                      <w:rPr>
                        <w:rFonts w:ascii="Cambria Math" w:hAnsi="Cambria Math" w:cs="Times New Roman"/>
                        <w:i/>
                        <w:sz w:val="21"/>
                        <w:szCs w:val="21"/>
                      </w:rPr>
                    </m:ctrlPr>
                  </m:sub>
                  <m:sup>
                    <m:r>
                      <m:rPr>
                        <m:nor/>
                      </m:rPr>
                      <w:rPr>
                        <w:rFonts w:cs="Times New Roman"/>
                        <w:i/>
                        <w:sz w:val="21"/>
                        <w:szCs w:val="21"/>
                      </w:rPr>
                      <m:t>n</m:t>
                    </m:r>
                    <m:ctrlPr>
                      <w:rPr>
                        <w:rFonts w:ascii="Cambria Math" w:hAnsi="Cambria Math" w:cs="Times New Roman"/>
                        <w:i/>
                        <w:sz w:val="21"/>
                        <w:szCs w:val="21"/>
                      </w:rPr>
                    </m:ctrlPr>
                  </m:sup>
                  <m:e>
                    <m:d>
                      <m:dPr>
                        <m:begChr m:val="|"/>
                        <m:endChr m:val="|"/>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cj</m:t>
                            </m:r>
                            <m:ctrlPr>
                              <w:rPr>
                                <w:rFonts w:ascii="Cambria Math" w:hAnsi="Cambria Math" w:cs="Times New Roman"/>
                                <w:i/>
                                <w:sz w:val="21"/>
                                <w:szCs w:val="21"/>
                              </w:rPr>
                            </m:ctrlPr>
                          </m:sub>
                        </m:sSub>
                        <m:r>
                          <m:rPr>
                            <m:nor/>
                            <m:sty m:val="p"/>
                          </m:rPr>
                          <w:rPr>
                            <w:rFonts w:cs="Times New Roman"/>
                            <w:b w:val="0"/>
                            <w:i w:val="0"/>
                            <w:sz w:val="21"/>
                            <w:szCs w:val="21"/>
                          </w:rPr>
                          <m:t>-</m:t>
                        </m:r>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oj</m:t>
                            </m:r>
                            <m:ctrlPr>
                              <w:rPr>
                                <w:rFonts w:ascii="Cambria Math" w:hAnsi="Cambria Math" w:cs="Times New Roman"/>
                                <w:i/>
                                <w:sz w:val="21"/>
                                <w:szCs w:val="21"/>
                              </w:rPr>
                            </m:ctrlPr>
                          </m:sub>
                        </m:sSub>
                        <m:ctrlPr>
                          <w:rPr>
                            <w:rFonts w:ascii="Cambria Math" w:hAnsi="Cambria Math" w:cs="Times New Roman"/>
                            <w:i/>
                            <w:sz w:val="21"/>
                            <w:szCs w:val="21"/>
                          </w:rPr>
                        </m:ctrlPr>
                      </m:e>
                    </m:d>
                    <m:ctrlPr>
                      <w:rPr>
                        <w:rFonts w:ascii="Cambria Math" w:hAnsi="Cambria Math" w:cs="Times New Roman"/>
                        <w:i/>
                        <w:sz w:val="21"/>
                        <w:szCs w:val="21"/>
                      </w:rPr>
                    </m:ctrlPr>
                  </m:e>
                </m:nary>
              </m:oMath>
            </m:oMathPara>
          </w:p>
        </w:tc>
        <w:tc>
          <w:tcPr>
            <w:tcW w:w="1576"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sz w:val="21"/>
          <w:szCs w:val="21"/>
        </w:rPr>
      </w:pPr>
      <w:r>
        <w:rPr>
          <w:sz w:val="21"/>
          <w:szCs w:val="21"/>
          <w:lang w:val="en"/>
        </w:rPr>
        <w:t>式中，</w:t>
      </w:r>
      <w:r>
        <w:rPr>
          <w:rFonts w:hint="eastAsia"/>
          <w:i/>
          <w:iCs/>
          <w:sz w:val="21"/>
          <w:szCs w:val="21"/>
        </w:rPr>
        <w:t>w</w:t>
      </w:r>
      <w:r>
        <w:rPr>
          <w:rFonts w:hint="eastAsia"/>
          <w:i/>
          <w:iCs/>
          <w:sz w:val="21"/>
          <w:szCs w:val="21"/>
          <w:vertAlign w:val="subscript"/>
        </w:rPr>
        <w:t>cj</w:t>
      </w:r>
      <w:r>
        <w:rPr>
          <w:rFonts w:hint="eastAsia"/>
          <w:sz w:val="21"/>
          <w:szCs w:val="21"/>
        </w:rPr>
        <w:t>为第</w:t>
      </w:r>
      <w:r>
        <w:rPr>
          <w:rFonts w:hint="eastAsia"/>
          <w:i/>
          <w:iCs/>
          <w:sz w:val="21"/>
          <w:szCs w:val="21"/>
        </w:rPr>
        <w:t>j</w:t>
      </w:r>
      <w:r>
        <w:rPr>
          <w:rFonts w:hint="eastAsia"/>
          <w:sz w:val="21"/>
          <w:szCs w:val="21"/>
        </w:rPr>
        <w:t>个指标的客观权重；</w:t>
      </w:r>
      <w:r>
        <w:rPr>
          <w:rFonts w:hint="eastAsia"/>
          <w:i/>
          <w:iCs/>
          <w:sz w:val="21"/>
          <w:szCs w:val="21"/>
        </w:rPr>
        <w:t>w</w:t>
      </w:r>
      <w:r>
        <w:rPr>
          <w:rFonts w:hint="eastAsia"/>
          <w:i/>
          <w:iCs/>
          <w:sz w:val="21"/>
          <w:szCs w:val="21"/>
          <w:vertAlign w:val="subscript"/>
        </w:rPr>
        <w:t>oj</w:t>
      </w:r>
      <w:r>
        <w:rPr>
          <w:rFonts w:hint="eastAsia"/>
          <w:sz w:val="21"/>
          <w:szCs w:val="21"/>
        </w:rPr>
        <w:t>为第</w:t>
      </w:r>
      <w:r>
        <w:rPr>
          <w:rFonts w:hint="eastAsia"/>
          <w:i/>
          <w:iCs/>
          <w:sz w:val="21"/>
          <w:szCs w:val="21"/>
        </w:rPr>
        <w:t>j</w:t>
      </w:r>
      <w:r>
        <w:rPr>
          <w:rFonts w:hint="eastAsia"/>
          <w:sz w:val="21"/>
          <w:szCs w:val="21"/>
        </w:rPr>
        <w:t>个指标的综合权重。该式表示综合权重与客观权重在各指标上的偏差之和。</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sz w:val="21"/>
          <w:szCs w:val="21"/>
        </w:rPr>
        <w:t>（3）优化求解，通过最小化效用函数</w:t>
      </w:r>
      <w:r>
        <w:rPr>
          <w:rFonts w:hint="eastAsia"/>
          <w:i/>
          <w:iCs/>
          <w:sz w:val="21"/>
          <w:szCs w:val="21"/>
        </w:rPr>
        <w:t>U（W</w:t>
      </w:r>
      <w:r>
        <w:rPr>
          <w:rFonts w:hint="eastAsia"/>
          <w:i/>
          <w:iCs/>
          <w:sz w:val="21"/>
          <w:szCs w:val="21"/>
          <w:vertAlign w:val="subscript"/>
        </w:rPr>
        <w:t>c</w:t>
      </w:r>
      <w:r>
        <w:rPr>
          <w:rFonts w:hint="eastAsia"/>
          <w:i/>
          <w:iCs/>
          <w:sz w:val="21"/>
          <w:szCs w:val="21"/>
        </w:rPr>
        <w:t>）</w:t>
      </w:r>
      <w:r>
        <w:rPr>
          <w:rFonts w:hint="eastAsia"/>
          <w:sz w:val="21"/>
          <w:szCs w:val="21"/>
        </w:rPr>
        <w:t>在主客观权重中寻找最优平衡点。公式为</w:t>
      </w:r>
    </w:p>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699"/>
        <w:gridCol w:w="6025"/>
        <w:gridCol w:w="1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97" w:type="dxa"/>
            <w:vAlign w:val="center"/>
          </w:tcPr>
          <w:p>
            <w:pPr>
              <w:pageBreakBefore w:val="0"/>
              <w:widowControl/>
              <w:kinsoku/>
              <w:wordWrap/>
              <w:overflowPunct/>
              <w:topLinePunct w:val="0"/>
              <w:autoSpaceDE/>
              <w:autoSpaceDN/>
              <w:bidi w:val="0"/>
              <w:adjustRightInd/>
              <w:spacing w:beforeAutospacing="0" w:afterAutospacing="0" w:line="240" w:lineRule="auto"/>
              <w:ind w:firstLine="420"/>
              <w:jc w:val="left"/>
              <w:textAlignment w:val="auto"/>
              <w:rPr>
                <w:sz w:val="21"/>
                <w:szCs w:val="21"/>
              </w:rPr>
            </w:pPr>
          </w:p>
        </w:tc>
        <w:tc>
          <w:tcPr>
            <w:tcW w:w="6005"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r>
                  <m:rPr>
                    <m:nor/>
                  </m:rPr>
                  <w:rPr>
                    <w:rFonts w:cs="Times New Roman"/>
                    <w:i/>
                    <w:sz w:val="21"/>
                    <w:szCs w:val="21"/>
                  </w:rPr>
                  <m:t>minU</m:t>
                </m:r>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c</m:t>
                        </m:r>
                        <m:ctrlPr>
                          <w:rPr>
                            <w:rFonts w:ascii="Cambria Math" w:hAnsi="Cambria Math" w:cs="Times New Roman"/>
                            <w:i/>
                            <w:sz w:val="21"/>
                            <w:szCs w:val="21"/>
                          </w:rPr>
                        </m:ctrlPr>
                      </m:sub>
                    </m:sSub>
                    <m:ctrlPr>
                      <w:rPr>
                        <w:rFonts w:ascii="Cambria Math" w:hAnsi="Cambria Math" w:cs="Times New Roman"/>
                        <w:i/>
                        <w:sz w:val="21"/>
                        <w:szCs w:val="21"/>
                      </w:rPr>
                    </m:ctrlPr>
                  </m:e>
                </m:d>
                <m:r>
                  <m:rPr>
                    <m:nor/>
                    <m:sty m:val="p"/>
                  </m:rPr>
                  <w:rPr>
                    <w:rFonts w:cs="Times New Roman"/>
                    <w:b w:val="0"/>
                    <w:i w:val="0"/>
                    <w:sz w:val="21"/>
                    <w:szCs w:val="21"/>
                  </w:rPr>
                  <m:t>=</m:t>
                </m:r>
                <m:r>
                  <m:rPr>
                    <m:nor/>
                  </m:rPr>
                  <w:rPr>
                    <w:rFonts w:cs="Times New Roman"/>
                    <w:i/>
                    <w:sz w:val="21"/>
                    <w:szCs w:val="21"/>
                  </w:rPr>
                  <m:t>α</m:t>
                </m:r>
                <m:nary>
                  <m:naryPr>
                    <m:chr m:val="∑"/>
                    <m:limLoc m:val="undOvr"/>
                    <m:ctrlPr>
                      <w:rPr>
                        <w:rFonts w:ascii="Cambria Math" w:hAnsi="Cambria Math" w:cs="Times New Roman"/>
                        <w:i/>
                        <w:sz w:val="21"/>
                        <w:szCs w:val="21"/>
                      </w:rPr>
                    </m:ctrlPr>
                  </m:naryPr>
                  <m:sub>
                    <m:r>
                      <m:rPr>
                        <m:nor/>
                      </m:rPr>
                      <w:rPr>
                        <w:rFonts w:cs="Times New Roman"/>
                        <w:i/>
                        <w:sz w:val="21"/>
                        <w:szCs w:val="21"/>
                      </w:rPr>
                      <m:t>j</m:t>
                    </m:r>
                    <m:r>
                      <m:rPr>
                        <m:nor/>
                        <m:sty m:val="p"/>
                      </m:rPr>
                      <w:rPr>
                        <w:rFonts w:cs="Times New Roman"/>
                        <w:b w:val="0"/>
                        <w:i w:val="0"/>
                        <w:sz w:val="21"/>
                        <w:szCs w:val="21"/>
                      </w:rPr>
                      <m:t>=1</m:t>
                    </m:r>
                    <m:ctrlPr>
                      <w:rPr>
                        <w:rFonts w:ascii="Cambria Math" w:hAnsi="Cambria Math" w:cs="Times New Roman"/>
                        <w:i/>
                        <w:sz w:val="21"/>
                        <w:szCs w:val="21"/>
                      </w:rPr>
                    </m:ctrlPr>
                  </m:sub>
                  <m:sup>
                    <m:r>
                      <m:rPr>
                        <m:nor/>
                      </m:rPr>
                      <w:rPr>
                        <w:rFonts w:cs="Times New Roman"/>
                        <w:i/>
                        <w:sz w:val="21"/>
                        <w:szCs w:val="21"/>
                      </w:rPr>
                      <m:t>n</m:t>
                    </m:r>
                    <m:ctrlPr>
                      <w:rPr>
                        <w:rFonts w:ascii="Cambria Math" w:hAnsi="Cambria Math" w:cs="Times New Roman"/>
                        <w:i/>
                        <w:sz w:val="21"/>
                        <w:szCs w:val="21"/>
                      </w:rPr>
                    </m:ctrlPr>
                  </m:sup>
                  <m:e>
                    <m:d>
                      <m:dPr>
                        <m:begChr m:val="|"/>
                        <m:endChr m:val="|"/>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cj</m:t>
                            </m:r>
                            <m:ctrlPr>
                              <w:rPr>
                                <w:rFonts w:ascii="Cambria Math" w:hAnsi="Cambria Math" w:cs="Times New Roman"/>
                                <w:i/>
                                <w:sz w:val="21"/>
                                <w:szCs w:val="21"/>
                              </w:rPr>
                            </m:ctrlPr>
                          </m:sub>
                        </m:sSub>
                        <m:r>
                          <m:rPr>
                            <m:nor/>
                            <m:sty m:val="p"/>
                          </m:rPr>
                          <w:rPr>
                            <w:rFonts w:cs="Times New Roman"/>
                            <w:b w:val="0"/>
                            <w:i w:val="0"/>
                            <w:sz w:val="21"/>
                            <w:szCs w:val="21"/>
                          </w:rPr>
                          <m:t>-</m:t>
                        </m:r>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sj</m:t>
                            </m:r>
                            <m:ctrlPr>
                              <w:rPr>
                                <w:rFonts w:ascii="Cambria Math" w:hAnsi="Cambria Math" w:cs="Times New Roman"/>
                                <w:i/>
                                <w:sz w:val="21"/>
                                <w:szCs w:val="21"/>
                              </w:rPr>
                            </m:ctrlPr>
                          </m:sub>
                        </m:sSub>
                        <m:ctrlPr>
                          <w:rPr>
                            <w:rFonts w:ascii="Cambria Math" w:hAnsi="Cambria Math" w:cs="Times New Roman"/>
                            <w:i/>
                            <w:sz w:val="21"/>
                            <w:szCs w:val="21"/>
                          </w:rPr>
                        </m:ctrlPr>
                      </m:e>
                    </m:d>
                    <m:r>
                      <m:rPr>
                        <m:nor/>
                        <m:sty m:val="p"/>
                      </m:rPr>
                      <w:rPr>
                        <w:rFonts w:cs="Times New Roman"/>
                        <w:b w:val="0"/>
                        <w:i w:val="0"/>
                        <w:sz w:val="21"/>
                        <w:szCs w:val="21"/>
                      </w:rPr>
                      <m:t>+</m:t>
                    </m:r>
                    <m:d>
                      <m:dPr>
                        <m:ctrlPr>
                          <w:rPr>
                            <w:rFonts w:ascii="Cambria Math" w:hAnsi="Cambria Math" w:cs="Times New Roman"/>
                            <w:i/>
                            <w:sz w:val="21"/>
                            <w:szCs w:val="21"/>
                          </w:rPr>
                        </m:ctrlPr>
                      </m:dPr>
                      <m:e>
                        <m:r>
                          <m:rPr>
                            <m:nor/>
                            <m:sty m:val="p"/>
                          </m:rPr>
                          <w:rPr>
                            <w:rFonts w:cs="Times New Roman"/>
                            <w:b w:val="0"/>
                            <w:i w:val="0"/>
                            <w:sz w:val="21"/>
                            <w:szCs w:val="21"/>
                          </w:rPr>
                          <m:t>1-</m:t>
                        </m:r>
                        <m:r>
                          <m:rPr>
                            <m:nor/>
                          </m:rPr>
                          <w:rPr>
                            <w:rFonts w:cs="Times New Roman"/>
                            <w:i/>
                            <w:sz w:val="21"/>
                            <w:szCs w:val="21"/>
                          </w:rPr>
                          <m:t>α</m:t>
                        </m:r>
                        <m:ctrlPr>
                          <w:rPr>
                            <w:rFonts w:ascii="Cambria Math" w:hAnsi="Cambria Math" w:cs="Times New Roman"/>
                            <w:i/>
                            <w:sz w:val="21"/>
                            <w:szCs w:val="21"/>
                          </w:rPr>
                        </m:ctrlPr>
                      </m:e>
                    </m:d>
                    <m:ctrlPr>
                      <w:rPr>
                        <w:rFonts w:ascii="Cambria Math" w:hAnsi="Cambria Math" w:cs="Times New Roman"/>
                        <w:i/>
                        <w:sz w:val="21"/>
                        <w:szCs w:val="21"/>
                      </w:rPr>
                    </m:ctrlPr>
                  </m:e>
                </m:nary>
                <m:nary>
                  <m:naryPr>
                    <m:chr m:val="∑"/>
                    <m:limLoc m:val="undOvr"/>
                    <m:ctrlPr>
                      <w:rPr>
                        <w:rFonts w:ascii="Cambria Math" w:hAnsi="Cambria Math" w:cs="Times New Roman"/>
                        <w:i/>
                        <w:sz w:val="21"/>
                        <w:szCs w:val="21"/>
                      </w:rPr>
                    </m:ctrlPr>
                  </m:naryPr>
                  <m:sub>
                    <m:r>
                      <m:rPr>
                        <m:nor/>
                      </m:rPr>
                      <w:rPr>
                        <w:rFonts w:cs="Times New Roman"/>
                        <w:i/>
                        <w:sz w:val="21"/>
                        <w:szCs w:val="21"/>
                      </w:rPr>
                      <m:t>j</m:t>
                    </m:r>
                    <m:r>
                      <m:rPr>
                        <m:nor/>
                        <m:sty m:val="p"/>
                      </m:rPr>
                      <w:rPr>
                        <w:rFonts w:cs="Times New Roman"/>
                        <w:b w:val="0"/>
                        <w:i w:val="0"/>
                        <w:sz w:val="21"/>
                        <w:szCs w:val="21"/>
                      </w:rPr>
                      <m:t>=1</m:t>
                    </m:r>
                    <m:ctrlPr>
                      <w:rPr>
                        <w:rFonts w:ascii="Cambria Math" w:hAnsi="Cambria Math" w:cs="Times New Roman"/>
                        <w:i/>
                        <w:sz w:val="21"/>
                        <w:szCs w:val="21"/>
                      </w:rPr>
                    </m:ctrlPr>
                  </m:sub>
                  <m:sup>
                    <m:r>
                      <m:rPr>
                        <m:nor/>
                      </m:rPr>
                      <w:rPr>
                        <w:rFonts w:cs="Times New Roman"/>
                        <w:i/>
                        <w:sz w:val="21"/>
                        <w:szCs w:val="21"/>
                      </w:rPr>
                      <m:t>n</m:t>
                    </m:r>
                    <m:ctrlPr>
                      <w:rPr>
                        <w:rFonts w:ascii="Cambria Math" w:hAnsi="Cambria Math" w:cs="Times New Roman"/>
                        <w:i/>
                        <w:sz w:val="21"/>
                        <w:szCs w:val="21"/>
                      </w:rPr>
                    </m:ctrlPr>
                  </m:sup>
                  <m:e>
                    <m:d>
                      <m:dPr>
                        <m:begChr m:val="|"/>
                        <m:endChr m:val="|"/>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cj</m:t>
                            </m:r>
                            <m:ctrlPr>
                              <w:rPr>
                                <w:rFonts w:ascii="Cambria Math" w:hAnsi="Cambria Math" w:cs="Times New Roman"/>
                                <w:i/>
                                <w:sz w:val="21"/>
                                <w:szCs w:val="21"/>
                              </w:rPr>
                            </m:ctrlPr>
                          </m:sub>
                        </m:sSub>
                        <m:r>
                          <m:rPr>
                            <m:nor/>
                            <m:sty m:val="p"/>
                          </m:rPr>
                          <w:rPr>
                            <w:rFonts w:cs="Times New Roman"/>
                            <w:b w:val="0"/>
                            <w:i w:val="0"/>
                            <w:sz w:val="21"/>
                            <w:szCs w:val="21"/>
                          </w:rPr>
                          <m:t>-</m:t>
                        </m:r>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oj</m:t>
                            </m:r>
                            <m:ctrlPr>
                              <w:rPr>
                                <w:rFonts w:ascii="Cambria Math" w:hAnsi="Cambria Math" w:cs="Times New Roman"/>
                                <w:i/>
                                <w:sz w:val="21"/>
                                <w:szCs w:val="21"/>
                              </w:rPr>
                            </m:ctrlPr>
                          </m:sub>
                        </m:sSub>
                        <m:ctrlPr>
                          <w:rPr>
                            <w:rFonts w:ascii="Cambria Math" w:hAnsi="Cambria Math" w:cs="Times New Roman"/>
                            <w:i/>
                            <w:sz w:val="21"/>
                            <w:szCs w:val="21"/>
                          </w:rPr>
                        </m:ctrlPr>
                      </m:e>
                    </m:d>
                    <m:ctrlPr>
                      <w:rPr>
                        <w:rFonts w:ascii="Cambria Math" w:hAnsi="Cambria Math" w:cs="Times New Roman"/>
                        <w:i/>
                        <w:sz w:val="21"/>
                        <w:szCs w:val="21"/>
                      </w:rPr>
                    </m:ctrlPr>
                  </m:e>
                </m:nary>
              </m:oMath>
            </m:oMathPara>
          </w:p>
        </w:tc>
        <w:tc>
          <w:tcPr>
            <w:tcW w:w="1576"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sz w:val="21"/>
          <w:szCs w:val="21"/>
        </w:rPr>
        <w:t>约束条件有两项，权重和为一，且权重非负。</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sz w:val="21"/>
          <w:szCs w:val="21"/>
        </w:rPr>
        <w:t>权重计算结果如表4所列。</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hint="eastAsia" w:eastAsia="黑体" w:cs="Times New Roman"/>
          <w:sz w:val="18"/>
          <w:szCs w:val="18"/>
        </w:rPr>
        <w:t>表4  德兴市城区洪涝风险指标权重</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eastAsia="黑体" w:cs="Times New Roman"/>
          <w:sz w:val="18"/>
          <w:szCs w:val="18"/>
        </w:rPr>
        <w:t xml:space="preserve">Table </w:t>
      </w:r>
      <w:r>
        <w:rPr>
          <w:rFonts w:hint="eastAsia" w:eastAsia="黑体" w:cs="Times New Roman"/>
          <w:sz w:val="18"/>
          <w:szCs w:val="18"/>
        </w:rPr>
        <w:t>4</w:t>
      </w:r>
      <w:r>
        <w:rPr>
          <w:rFonts w:eastAsia="黑体" w:cs="Times New Roman"/>
          <w:sz w:val="18"/>
          <w:szCs w:val="18"/>
        </w:rPr>
        <w:t xml:space="preserve">  Weight</w:t>
      </w:r>
      <w:r>
        <w:rPr>
          <w:rFonts w:hint="eastAsia" w:eastAsia="黑体" w:cs="Times New Roman"/>
          <w:sz w:val="18"/>
          <w:szCs w:val="18"/>
          <w:lang w:val="en-US" w:eastAsia="zh-CN"/>
        </w:rPr>
        <w:t>s</w:t>
      </w:r>
      <w:r>
        <w:rPr>
          <w:rFonts w:eastAsia="黑体" w:cs="Times New Roman"/>
          <w:sz w:val="18"/>
          <w:szCs w:val="18"/>
        </w:rPr>
        <w:t xml:space="preserve"> of </w:t>
      </w:r>
      <w:r>
        <w:rPr>
          <w:rFonts w:hint="eastAsia" w:eastAsia="黑体" w:cs="Times New Roman"/>
          <w:sz w:val="18"/>
          <w:szCs w:val="18"/>
        </w:rPr>
        <w:t>f</w:t>
      </w:r>
      <w:r>
        <w:rPr>
          <w:rFonts w:eastAsia="黑体" w:cs="Times New Roman"/>
          <w:sz w:val="18"/>
          <w:szCs w:val="18"/>
        </w:rPr>
        <w:t xml:space="preserve">lood </w:t>
      </w:r>
      <w:r>
        <w:rPr>
          <w:rFonts w:hint="eastAsia" w:eastAsia="黑体" w:cs="Times New Roman"/>
          <w:sz w:val="18"/>
          <w:szCs w:val="18"/>
        </w:rPr>
        <w:t>r</w:t>
      </w:r>
      <w:r>
        <w:rPr>
          <w:rFonts w:eastAsia="黑体" w:cs="Times New Roman"/>
          <w:sz w:val="18"/>
          <w:szCs w:val="18"/>
        </w:rPr>
        <w:t xml:space="preserve">isk </w:t>
      </w:r>
      <w:r>
        <w:rPr>
          <w:rFonts w:hint="eastAsia" w:eastAsia="黑体" w:cs="Times New Roman"/>
          <w:sz w:val="18"/>
          <w:szCs w:val="18"/>
        </w:rPr>
        <w:t>i</w:t>
      </w:r>
      <w:r>
        <w:rPr>
          <w:rFonts w:eastAsia="黑体" w:cs="Times New Roman"/>
          <w:sz w:val="18"/>
          <w:szCs w:val="18"/>
        </w:rPr>
        <w:t xml:space="preserve">ndicators for Dexing </w:t>
      </w:r>
      <w:r>
        <w:rPr>
          <w:rFonts w:hint="eastAsia" w:eastAsia="黑体" w:cs="Times New Roman"/>
          <w:sz w:val="18"/>
          <w:szCs w:val="18"/>
        </w:rPr>
        <w:t>u</w:t>
      </w:r>
      <w:r>
        <w:rPr>
          <w:rFonts w:eastAsia="黑体" w:cs="Times New Roman"/>
          <w:sz w:val="18"/>
          <w:szCs w:val="18"/>
        </w:rPr>
        <w:t xml:space="preserve">rban </w:t>
      </w:r>
      <w:r>
        <w:rPr>
          <w:rFonts w:hint="eastAsia" w:eastAsia="黑体" w:cs="Times New Roman"/>
          <w:sz w:val="18"/>
          <w:szCs w:val="18"/>
        </w:rPr>
        <w:t>a</w:t>
      </w:r>
      <w:r>
        <w:rPr>
          <w:rFonts w:eastAsia="黑体" w:cs="Times New Roman"/>
          <w:sz w:val="18"/>
          <w:szCs w:val="18"/>
        </w:rPr>
        <w:t>rea</w:t>
      </w:r>
    </w:p>
    <w:tbl>
      <w:tblPr>
        <w:tblStyle w:val="14"/>
        <w:tblW w:w="8428" w:type="dxa"/>
        <w:tblInd w:w="0" w:type="dxa"/>
        <w:tblLayout w:type="fixed"/>
        <w:tblCellMar>
          <w:top w:w="0" w:type="dxa"/>
          <w:left w:w="108" w:type="dxa"/>
          <w:bottom w:w="0" w:type="dxa"/>
          <w:right w:w="108" w:type="dxa"/>
        </w:tblCellMar>
      </w:tblPr>
      <w:tblGrid>
        <w:gridCol w:w="1728"/>
        <w:gridCol w:w="1533"/>
        <w:gridCol w:w="1296"/>
        <w:gridCol w:w="1181"/>
        <w:gridCol w:w="1447"/>
        <w:gridCol w:w="1243"/>
      </w:tblGrid>
      <w:tr>
        <w:tblPrEx>
          <w:tblCellMar>
            <w:top w:w="0" w:type="dxa"/>
            <w:left w:w="108" w:type="dxa"/>
            <w:bottom w:w="0" w:type="dxa"/>
            <w:right w:w="108" w:type="dxa"/>
          </w:tblCellMar>
        </w:tblPrEx>
        <w:trPr>
          <w:trHeight w:val="278" w:hRule="atLeast"/>
          <w:tblHeader/>
        </w:trPr>
        <w:tc>
          <w:tcPr>
            <w:tcW w:w="1728"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指标类型</w:t>
            </w:r>
          </w:p>
        </w:tc>
        <w:tc>
          <w:tcPr>
            <w:tcW w:w="1533"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指标名称</w:t>
            </w:r>
          </w:p>
        </w:tc>
        <w:tc>
          <w:tcPr>
            <w:tcW w:w="1296"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指标性质</w:t>
            </w:r>
          </w:p>
        </w:tc>
        <w:tc>
          <w:tcPr>
            <w:tcW w:w="1181"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AHP权重</w:t>
            </w:r>
          </w:p>
        </w:tc>
        <w:tc>
          <w:tcPr>
            <w:tcW w:w="1447"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熵权法权重</w:t>
            </w:r>
          </w:p>
        </w:tc>
        <w:tc>
          <w:tcPr>
            <w:tcW w:w="1243"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综合权重</w:t>
            </w:r>
          </w:p>
        </w:tc>
      </w:tr>
      <w:tr>
        <w:tblPrEx>
          <w:tblCellMar>
            <w:top w:w="0" w:type="dxa"/>
            <w:left w:w="108" w:type="dxa"/>
            <w:bottom w:w="0" w:type="dxa"/>
            <w:right w:w="108" w:type="dxa"/>
          </w:tblCellMar>
        </w:tblPrEx>
        <w:trPr>
          <w:trHeight w:val="278" w:hRule="atLeast"/>
          <w:tblHeader/>
        </w:trPr>
        <w:tc>
          <w:tcPr>
            <w:tcW w:w="1728" w:type="dxa"/>
            <w:vMerge w:val="restart"/>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致灾因子危险性</w:t>
            </w:r>
          </w:p>
        </w:tc>
        <w:tc>
          <w:tcPr>
            <w:tcW w:w="1533"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最大淹没水深</w:t>
            </w:r>
          </w:p>
        </w:tc>
        <w:tc>
          <w:tcPr>
            <w:tcW w:w="1296"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正向</w:t>
            </w:r>
          </w:p>
        </w:tc>
        <w:tc>
          <w:tcPr>
            <w:tcW w:w="1181"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 xml:space="preserve">19.12 </w:t>
            </w:r>
          </w:p>
        </w:tc>
        <w:tc>
          <w:tcPr>
            <w:tcW w:w="1447"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8.77</w:t>
            </w:r>
          </w:p>
        </w:tc>
        <w:tc>
          <w:tcPr>
            <w:tcW w:w="1243"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13.75</w:t>
            </w:r>
          </w:p>
        </w:tc>
      </w:tr>
      <w:tr>
        <w:tblPrEx>
          <w:tblCellMar>
            <w:top w:w="0" w:type="dxa"/>
            <w:left w:w="108" w:type="dxa"/>
            <w:bottom w:w="0" w:type="dxa"/>
            <w:right w:w="108" w:type="dxa"/>
          </w:tblCellMar>
        </w:tblPrEx>
        <w:trPr>
          <w:trHeight w:val="278" w:hRule="atLeast"/>
          <w:tblHeader/>
        </w:trPr>
        <w:tc>
          <w:tcPr>
            <w:tcW w:w="1728"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153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最大淹没流速</w:t>
            </w:r>
          </w:p>
        </w:tc>
        <w:tc>
          <w:tcPr>
            <w:tcW w:w="129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正向</w:t>
            </w:r>
          </w:p>
        </w:tc>
        <w:tc>
          <w:tcPr>
            <w:tcW w:w="1181"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 xml:space="preserve">13.52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13.61</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13.57</w:t>
            </w:r>
          </w:p>
        </w:tc>
      </w:tr>
      <w:tr>
        <w:tblPrEx>
          <w:tblCellMar>
            <w:top w:w="0" w:type="dxa"/>
            <w:left w:w="108" w:type="dxa"/>
            <w:bottom w:w="0" w:type="dxa"/>
            <w:right w:w="108" w:type="dxa"/>
          </w:tblCellMar>
        </w:tblPrEx>
        <w:trPr>
          <w:trHeight w:val="278" w:hRule="atLeast"/>
          <w:tblHeader/>
        </w:trPr>
        <w:tc>
          <w:tcPr>
            <w:tcW w:w="1728"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153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最大淹没历时</w:t>
            </w:r>
          </w:p>
        </w:tc>
        <w:tc>
          <w:tcPr>
            <w:tcW w:w="129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正向</w:t>
            </w:r>
          </w:p>
        </w:tc>
        <w:tc>
          <w:tcPr>
            <w:tcW w:w="1181"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 xml:space="preserve">7.80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4.95</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6.33</w:t>
            </w:r>
          </w:p>
        </w:tc>
      </w:tr>
      <w:tr>
        <w:tblPrEx>
          <w:tblCellMar>
            <w:top w:w="0" w:type="dxa"/>
            <w:left w:w="108" w:type="dxa"/>
            <w:bottom w:w="0" w:type="dxa"/>
            <w:right w:w="108" w:type="dxa"/>
          </w:tblCellMar>
        </w:tblPrEx>
        <w:trPr>
          <w:trHeight w:val="278" w:hRule="atLeast"/>
          <w:tblHeader/>
        </w:trPr>
        <w:tc>
          <w:tcPr>
            <w:tcW w:w="1728"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153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最大淹没面积</w:t>
            </w:r>
          </w:p>
        </w:tc>
        <w:tc>
          <w:tcPr>
            <w:tcW w:w="129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正向</w:t>
            </w:r>
          </w:p>
        </w:tc>
        <w:tc>
          <w:tcPr>
            <w:tcW w:w="1181"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 xml:space="preserve">13.52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17.42</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15.54</w:t>
            </w:r>
          </w:p>
        </w:tc>
      </w:tr>
      <w:tr>
        <w:tblPrEx>
          <w:tblCellMar>
            <w:top w:w="0" w:type="dxa"/>
            <w:left w:w="108" w:type="dxa"/>
            <w:bottom w:w="0" w:type="dxa"/>
            <w:right w:w="108" w:type="dxa"/>
          </w:tblCellMar>
        </w:tblPrEx>
        <w:trPr>
          <w:trHeight w:val="278" w:hRule="atLeast"/>
          <w:tblHeader/>
        </w:trPr>
        <w:tc>
          <w:tcPr>
            <w:tcW w:w="1728" w:type="dxa"/>
            <w:vMerge w:val="restart"/>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环境脆弱性</w:t>
            </w:r>
          </w:p>
        </w:tc>
        <w:tc>
          <w:tcPr>
            <w:tcW w:w="153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高程</w:t>
            </w:r>
          </w:p>
        </w:tc>
        <w:tc>
          <w:tcPr>
            <w:tcW w:w="129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负向</w:t>
            </w:r>
          </w:p>
        </w:tc>
        <w:tc>
          <w:tcPr>
            <w:tcW w:w="1181"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 xml:space="preserve">14.22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3.3</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8.56</w:t>
            </w:r>
          </w:p>
        </w:tc>
      </w:tr>
      <w:tr>
        <w:tblPrEx>
          <w:tblCellMar>
            <w:top w:w="0" w:type="dxa"/>
            <w:left w:w="108" w:type="dxa"/>
            <w:bottom w:w="0" w:type="dxa"/>
            <w:right w:w="108" w:type="dxa"/>
          </w:tblCellMar>
        </w:tblPrEx>
        <w:trPr>
          <w:trHeight w:val="278" w:hRule="atLeast"/>
          <w:tblHeader/>
        </w:trPr>
        <w:tc>
          <w:tcPr>
            <w:tcW w:w="1728"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153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地形坡度</w:t>
            </w:r>
          </w:p>
        </w:tc>
        <w:tc>
          <w:tcPr>
            <w:tcW w:w="129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负向</w:t>
            </w:r>
          </w:p>
        </w:tc>
        <w:tc>
          <w:tcPr>
            <w:tcW w:w="1181"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 xml:space="preserve">5.80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6.82</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6.33</w:t>
            </w:r>
          </w:p>
        </w:tc>
      </w:tr>
      <w:tr>
        <w:tblPrEx>
          <w:tblCellMar>
            <w:top w:w="0" w:type="dxa"/>
            <w:left w:w="108" w:type="dxa"/>
            <w:bottom w:w="0" w:type="dxa"/>
            <w:right w:w="108" w:type="dxa"/>
          </w:tblCellMar>
        </w:tblPrEx>
        <w:trPr>
          <w:trHeight w:val="320" w:hRule="atLeast"/>
          <w:tblHeader/>
        </w:trPr>
        <w:tc>
          <w:tcPr>
            <w:tcW w:w="1728"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153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建筑密度</w:t>
            </w:r>
          </w:p>
        </w:tc>
        <w:tc>
          <w:tcPr>
            <w:tcW w:w="129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正向</w:t>
            </w:r>
          </w:p>
        </w:tc>
        <w:tc>
          <w:tcPr>
            <w:tcW w:w="1181"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 xml:space="preserve">10.05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6.64</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8.28</w:t>
            </w:r>
          </w:p>
        </w:tc>
      </w:tr>
      <w:tr>
        <w:tblPrEx>
          <w:tblCellMar>
            <w:top w:w="0" w:type="dxa"/>
            <w:left w:w="108" w:type="dxa"/>
            <w:bottom w:w="0" w:type="dxa"/>
            <w:right w:w="108" w:type="dxa"/>
          </w:tblCellMar>
        </w:tblPrEx>
        <w:trPr>
          <w:trHeight w:val="278" w:hRule="atLeast"/>
          <w:tblHeader/>
        </w:trPr>
        <w:tc>
          <w:tcPr>
            <w:tcW w:w="1728" w:type="dxa"/>
            <w:vMerge w:val="restart"/>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承灾体暴露性</w:t>
            </w:r>
          </w:p>
        </w:tc>
        <w:tc>
          <w:tcPr>
            <w:tcW w:w="153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人口</w:t>
            </w:r>
          </w:p>
        </w:tc>
        <w:tc>
          <w:tcPr>
            <w:tcW w:w="129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正向</w:t>
            </w:r>
          </w:p>
        </w:tc>
        <w:tc>
          <w:tcPr>
            <w:tcW w:w="1181"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 xml:space="preserve">8.04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6.54</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7.26</w:t>
            </w:r>
          </w:p>
        </w:tc>
      </w:tr>
      <w:tr>
        <w:tblPrEx>
          <w:tblCellMar>
            <w:top w:w="0" w:type="dxa"/>
            <w:left w:w="108" w:type="dxa"/>
            <w:bottom w:w="0" w:type="dxa"/>
            <w:right w:w="108" w:type="dxa"/>
          </w:tblCellMar>
        </w:tblPrEx>
        <w:trPr>
          <w:trHeight w:val="278" w:hRule="atLeast"/>
          <w:tblHeader/>
        </w:trPr>
        <w:tc>
          <w:tcPr>
            <w:tcW w:w="1728" w:type="dxa"/>
            <w:vMerge w:val="continue"/>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153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房屋数量</w:t>
            </w:r>
          </w:p>
        </w:tc>
        <w:tc>
          <w:tcPr>
            <w:tcW w:w="129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正向</w:t>
            </w:r>
          </w:p>
        </w:tc>
        <w:tc>
          <w:tcPr>
            <w:tcW w:w="1181"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 xml:space="preserve">4.19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14.08</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9.32</w:t>
            </w:r>
          </w:p>
        </w:tc>
      </w:tr>
      <w:tr>
        <w:tblPrEx>
          <w:tblCellMar>
            <w:top w:w="0" w:type="dxa"/>
            <w:left w:w="108" w:type="dxa"/>
            <w:bottom w:w="0" w:type="dxa"/>
            <w:right w:w="108" w:type="dxa"/>
          </w:tblCellMar>
        </w:tblPrEx>
        <w:trPr>
          <w:trHeight w:val="278" w:hRule="atLeast"/>
          <w:tblHeader/>
        </w:trPr>
        <w:tc>
          <w:tcPr>
            <w:tcW w:w="1728" w:type="dxa"/>
            <w:vMerge w:val="continue"/>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p>
        </w:tc>
        <w:tc>
          <w:tcPr>
            <w:tcW w:w="1533"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重要基础设施</w:t>
            </w:r>
          </w:p>
        </w:tc>
        <w:tc>
          <w:tcPr>
            <w:tcW w:w="1296"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正向</w:t>
            </w:r>
          </w:p>
        </w:tc>
        <w:tc>
          <w:tcPr>
            <w:tcW w:w="1181"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 xml:space="preserve">3.74 </w:t>
            </w:r>
          </w:p>
        </w:tc>
        <w:tc>
          <w:tcPr>
            <w:tcW w:w="1447"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17.87</w:t>
            </w:r>
          </w:p>
        </w:tc>
        <w:tc>
          <w:tcPr>
            <w:tcW w:w="1243"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11.06</w:t>
            </w: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outlineLvl w:val="2"/>
        <w:rPr>
          <w:rFonts w:eastAsia="楷体" w:cs="Times New Roman"/>
          <w:sz w:val="21"/>
        </w:rPr>
      </w:pPr>
      <w:r>
        <w:rPr>
          <w:rFonts w:hint="eastAsia" w:eastAsia="楷体" w:cs="Times New Roman"/>
          <w:sz w:val="21"/>
        </w:rPr>
        <w:t>2.2.5综合指数法</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sz w:val="21"/>
          <w:szCs w:val="21"/>
        </w:rPr>
        <w:t>首先将选取的各项指标在GIS中转换为空间栅格数据。由于各指标在取值范围和量纲上存在差异，为消除此类差异性，需对各项指标进行归一化处理。归一化计算公式如下</w:t>
      </w:r>
    </w:p>
    <w:tbl>
      <w:tblPr>
        <w:tblStyle w:val="15"/>
        <w:tblW w:w="498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779"/>
        <w:gridCol w:w="3275"/>
        <w:gridCol w:w="22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79" w:type="dxa"/>
            <w:shd w:val="clear" w:color="auto" w:fill="auto"/>
            <w:vAlign w:val="center"/>
          </w:tcPr>
          <w:p>
            <w:pPr>
              <w:pageBreakBefore w:val="0"/>
              <w:widowControl/>
              <w:kinsoku/>
              <w:wordWrap/>
              <w:overflowPunct/>
              <w:topLinePunct w:val="0"/>
              <w:autoSpaceDE/>
              <w:autoSpaceDN/>
              <w:bidi w:val="0"/>
              <w:adjustRightInd/>
              <w:spacing w:beforeAutospacing="0" w:afterAutospacing="0" w:line="240" w:lineRule="auto"/>
              <w:ind w:firstLine="420"/>
              <w:jc w:val="center"/>
              <w:textAlignment w:val="auto"/>
              <w:rPr>
                <w:sz w:val="21"/>
                <w:szCs w:val="21"/>
              </w:rPr>
            </w:pPr>
          </w:p>
        </w:tc>
        <w:tc>
          <w:tcPr>
            <w:tcW w:w="3275" w:type="dxa"/>
            <w:shd w:val="clear" w:color="auto" w:fill="auto"/>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sSub>
                  <m:sSubPr>
                    <m:ctrlPr>
                      <w:rPr>
                        <w:rFonts w:ascii="Cambria Math" w:hAnsi="Cambria Math" w:cs="Times New Roman"/>
                        <w:i/>
                        <w:sz w:val="21"/>
                        <w:szCs w:val="21"/>
                      </w:rPr>
                    </m:ctrlPr>
                  </m:sSubPr>
                  <m:e>
                    <m:r>
                      <m:rPr>
                        <m:nor/>
                      </m:rPr>
                      <w:rPr>
                        <w:rFonts w:cs="Times New Roman"/>
                        <w:i/>
                        <w:sz w:val="21"/>
                        <w:szCs w:val="21"/>
                      </w:rPr>
                      <m:t>X</m:t>
                    </m:r>
                    <m:ctrlPr>
                      <w:rPr>
                        <w:rFonts w:ascii="Cambria Math" w:hAnsi="Cambria Math" w:cs="Times New Roman"/>
                        <w:i/>
                        <w:sz w:val="21"/>
                        <w:szCs w:val="21"/>
                      </w:rPr>
                    </m:ctrlPr>
                  </m:e>
                  <m:sub>
                    <m:r>
                      <m:rPr>
                        <m:nor/>
                      </m:rPr>
                      <w:rPr>
                        <w:rFonts w:cs="Times New Roman"/>
                        <w:i/>
                        <w:sz w:val="21"/>
                        <w:szCs w:val="21"/>
                      </w:rPr>
                      <m:t>i</m:t>
                    </m:r>
                    <m:ctrlPr>
                      <w:rPr>
                        <w:rFonts w:ascii="Cambria Math" w:hAnsi="Cambria Math" w:cs="Times New Roman"/>
                        <w:i/>
                        <w:sz w:val="21"/>
                        <w:szCs w:val="21"/>
                      </w:rPr>
                    </m:ctrlPr>
                  </m:sub>
                </m:sSub>
                <m:r>
                  <m:rPr>
                    <m:nor/>
                    <m:sty m:val="p"/>
                  </m:rPr>
                  <w:rPr>
                    <w:rFonts w:cs="Times New Roman"/>
                    <w:b w:val="0"/>
                    <w:i w:val="0"/>
                    <w:sz w:val="21"/>
                    <w:szCs w:val="21"/>
                  </w:rPr>
                  <m:t>=</m:t>
                </m:r>
                <m:f>
                  <m:fPr>
                    <m:ctrlPr>
                      <w:rPr>
                        <w:rFonts w:ascii="Cambria Math" w:hAnsi="Cambria Math" w:cs="Times New Roman"/>
                        <w:i/>
                        <w:sz w:val="21"/>
                        <w:szCs w:val="21"/>
                      </w:rPr>
                    </m:ctrlPr>
                  </m:fPr>
                  <m:num>
                    <m:sSub>
                      <m:sSubPr>
                        <m:ctrlPr>
                          <w:rPr>
                            <w:rFonts w:ascii="Cambria Math" w:hAnsi="Cambria Math" w:cs="Times New Roman"/>
                            <w:i/>
                            <w:iCs/>
                            <w:sz w:val="21"/>
                            <w:szCs w:val="21"/>
                          </w:rPr>
                        </m:ctrlPr>
                      </m:sSubPr>
                      <m:e>
                        <m:r>
                          <m:rPr/>
                          <w:rPr>
                            <w:rFonts w:ascii="Cambria Math" w:hAnsi="Cambria Math" w:cs="Times New Roman"/>
                            <w:sz w:val="21"/>
                            <w:szCs w:val="21"/>
                          </w:rPr>
                          <m:t>x</m:t>
                        </m:r>
                        <m:ctrlPr>
                          <w:rPr>
                            <w:rFonts w:ascii="Cambria Math" w:hAnsi="Cambria Math" w:cs="Times New Roman"/>
                            <w:i/>
                            <w:iCs/>
                            <w:sz w:val="21"/>
                            <w:szCs w:val="21"/>
                          </w:rPr>
                        </m:ctrlPr>
                      </m:e>
                      <m:sub>
                        <m:r>
                          <m:rPr/>
                          <w:rPr>
                            <w:rFonts w:ascii="Cambria Math" w:hAnsi="Cambria Math" w:cs="Times New Roman"/>
                            <w:sz w:val="21"/>
                            <w:szCs w:val="21"/>
                          </w:rPr>
                          <m:t>i</m:t>
                        </m:r>
                        <m:ctrlPr>
                          <w:rPr>
                            <w:rFonts w:ascii="Cambria Math" w:hAnsi="Cambria Math" w:cs="Times New Roman"/>
                            <w:i/>
                            <w:iCs/>
                            <w:sz w:val="21"/>
                            <w:szCs w:val="21"/>
                          </w:rPr>
                        </m:ctrlPr>
                      </m:sub>
                    </m:sSub>
                    <m:r>
                      <m:rPr>
                        <m:nor/>
                        <m:sty m:val="p"/>
                      </m:rPr>
                      <w:rPr>
                        <w:rFonts w:cs="Times New Roman"/>
                        <w:b w:val="0"/>
                        <w:i w:val="0"/>
                        <w:sz w:val="21"/>
                        <w:szCs w:val="21"/>
                      </w:rPr>
                      <m:t>-</m:t>
                    </m:r>
                    <m:r>
                      <m:rPr>
                        <m:nor/>
                      </m:rPr>
                      <w:rPr>
                        <w:rFonts w:cs="Times New Roman"/>
                        <w:i/>
                        <w:sz w:val="21"/>
                        <w:szCs w:val="21"/>
                      </w:rPr>
                      <m:t>min</m:t>
                    </m:r>
                    <m:d>
                      <m:dPr>
                        <m:ctrlPr>
                          <w:rPr>
                            <w:rFonts w:ascii="Cambria Math" w:hAnsi="Cambria Math" w:cs="Times New Roman"/>
                            <w:i/>
                            <w:sz w:val="21"/>
                            <w:szCs w:val="21"/>
                          </w:rPr>
                        </m:ctrlPr>
                      </m:dPr>
                      <m:e>
                        <m:r>
                          <m:rPr>
                            <m:nor/>
                          </m:rPr>
                          <w:rPr>
                            <w:rFonts w:cs="Times New Roman"/>
                            <w:i/>
                            <w:sz w:val="21"/>
                            <w:szCs w:val="21"/>
                          </w:rPr>
                          <m:t>x</m:t>
                        </m:r>
                        <m:ctrlPr>
                          <w:rPr>
                            <w:rFonts w:ascii="Cambria Math" w:hAnsi="Cambria Math" w:cs="Times New Roman"/>
                            <w:i/>
                            <w:sz w:val="21"/>
                            <w:szCs w:val="21"/>
                          </w:rPr>
                        </m:ctrlPr>
                      </m:e>
                    </m:d>
                    <m:ctrlPr>
                      <w:rPr>
                        <w:rFonts w:ascii="Cambria Math" w:hAnsi="Cambria Math" w:cs="Times New Roman"/>
                        <w:i/>
                        <w:sz w:val="21"/>
                        <w:szCs w:val="21"/>
                      </w:rPr>
                    </m:ctrlPr>
                  </m:num>
                  <m:den>
                    <m:r>
                      <m:rPr>
                        <m:nor/>
                      </m:rPr>
                      <w:rPr>
                        <w:rFonts w:cs="Times New Roman"/>
                        <w:i/>
                        <w:sz w:val="21"/>
                        <w:szCs w:val="21"/>
                      </w:rPr>
                      <m:t>max</m:t>
                    </m:r>
                    <m:d>
                      <m:dPr>
                        <m:ctrlPr>
                          <w:rPr>
                            <w:rFonts w:ascii="Cambria Math" w:hAnsi="Cambria Math" w:cs="Times New Roman"/>
                            <w:i/>
                            <w:sz w:val="21"/>
                            <w:szCs w:val="21"/>
                          </w:rPr>
                        </m:ctrlPr>
                      </m:dPr>
                      <m:e>
                        <m:r>
                          <m:rPr>
                            <m:nor/>
                          </m:rPr>
                          <w:rPr>
                            <w:rFonts w:cs="Times New Roman"/>
                            <w:i/>
                            <w:sz w:val="21"/>
                            <w:szCs w:val="21"/>
                          </w:rPr>
                          <m:t>x</m:t>
                        </m:r>
                        <m:ctrlPr>
                          <w:rPr>
                            <w:rFonts w:ascii="Cambria Math" w:hAnsi="Cambria Math" w:cs="Times New Roman"/>
                            <w:i/>
                            <w:sz w:val="21"/>
                            <w:szCs w:val="21"/>
                          </w:rPr>
                        </m:ctrlPr>
                      </m:e>
                    </m:d>
                    <m:r>
                      <m:rPr>
                        <m:nor/>
                        <m:sty m:val="p"/>
                      </m:rPr>
                      <w:rPr>
                        <w:rFonts w:cs="Times New Roman"/>
                        <w:b w:val="0"/>
                        <w:i w:val="0"/>
                        <w:sz w:val="21"/>
                        <w:szCs w:val="21"/>
                      </w:rPr>
                      <m:t>-</m:t>
                    </m:r>
                    <m:r>
                      <m:rPr>
                        <m:nor/>
                      </m:rPr>
                      <w:rPr>
                        <w:rFonts w:cs="Times New Roman"/>
                        <w:i/>
                        <w:sz w:val="21"/>
                        <w:szCs w:val="21"/>
                      </w:rPr>
                      <m:t>min</m:t>
                    </m:r>
                    <m:r>
                      <m:rPr>
                        <m:nor/>
                        <m:sty m:val="p"/>
                      </m:rPr>
                      <w:rPr>
                        <w:rFonts w:cs="Times New Roman"/>
                        <w:b w:val="0"/>
                        <w:i w:val="0"/>
                        <w:sz w:val="21"/>
                        <w:szCs w:val="21"/>
                      </w:rPr>
                      <m:t>(</m:t>
                    </m:r>
                    <m:r>
                      <m:rPr>
                        <m:nor/>
                      </m:rPr>
                      <w:rPr>
                        <w:rFonts w:cs="Times New Roman"/>
                        <w:i/>
                        <w:sz w:val="21"/>
                        <w:szCs w:val="21"/>
                      </w:rPr>
                      <m:t>x</m:t>
                    </m:r>
                    <m:r>
                      <m:rPr>
                        <m:nor/>
                        <m:sty m:val="p"/>
                      </m:rPr>
                      <w:rPr>
                        <w:rFonts w:cs="Times New Roman"/>
                        <w:b w:val="0"/>
                        <w:i w:val="0"/>
                        <w:sz w:val="21"/>
                        <w:szCs w:val="21"/>
                      </w:rPr>
                      <m:t>)</m:t>
                    </m:r>
                    <m:ctrlPr>
                      <w:rPr>
                        <w:rFonts w:ascii="Cambria Math" w:hAnsi="Cambria Math" w:cs="Times New Roman"/>
                        <w:i/>
                        <w:sz w:val="21"/>
                        <w:szCs w:val="21"/>
                      </w:rPr>
                    </m:ctrlPr>
                  </m:den>
                </m:f>
              </m:oMath>
            </m:oMathPara>
          </w:p>
        </w:tc>
        <w:tc>
          <w:tcPr>
            <w:tcW w:w="2224" w:type="dxa"/>
            <w:shd w:val="clear" w:color="auto" w:fill="auto"/>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sz w:val="21"/>
          <w:szCs w:val="21"/>
        </w:rPr>
      </w:pPr>
      <w:r>
        <w:rPr>
          <w:sz w:val="21"/>
          <w:szCs w:val="21"/>
          <w:lang w:val="en"/>
        </w:rPr>
        <w:t>式中，</w:t>
      </w:r>
      <w:r>
        <w:rPr>
          <w:rFonts w:hint="eastAsia"/>
          <w:i/>
          <w:iCs/>
          <w:sz w:val="21"/>
          <w:szCs w:val="21"/>
        </w:rPr>
        <w:t>x</w:t>
      </w:r>
      <w:r>
        <w:rPr>
          <w:rFonts w:hint="eastAsia"/>
          <w:i/>
          <w:iCs/>
          <w:sz w:val="21"/>
          <w:szCs w:val="21"/>
          <w:vertAlign w:val="subscript"/>
        </w:rPr>
        <w:t>i</w:t>
      </w:r>
      <w:r>
        <w:rPr>
          <w:rFonts w:hint="eastAsia"/>
          <w:sz w:val="21"/>
          <w:szCs w:val="21"/>
        </w:rPr>
        <w:t>为各指标的原始数值；min（</w:t>
      </w:r>
      <w:r>
        <w:rPr>
          <w:rFonts w:hint="eastAsia"/>
          <w:i/>
          <w:iCs/>
          <w:sz w:val="21"/>
          <w:szCs w:val="21"/>
        </w:rPr>
        <w:t>x</w:t>
      </w:r>
      <w:r>
        <w:rPr>
          <w:rFonts w:hint="eastAsia"/>
          <w:sz w:val="21"/>
          <w:szCs w:val="21"/>
        </w:rPr>
        <w:t>）和max（</w:t>
      </w:r>
      <w:r>
        <w:rPr>
          <w:rFonts w:hint="eastAsia"/>
          <w:i/>
          <w:iCs/>
          <w:sz w:val="21"/>
          <w:szCs w:val="21"/>
        </w:rPr>
        <w:t>x</w:t>
      </w:r>
      <w:r>
        <w:rPr>
          <w:rFonts w:hint="eastAsia"/>
          <w:sz w:val="21"/>
          <w:szCs w:val="21"/>
        </w:rPr>
        <w:t>）分别为该指标在所有数据中的最小值和最大值；</w:t>
      </w:r>
      <w:r>
        <w:rPr>
          <w:rFonts w:hint="eastAsia"/>
          <w:i/>
          <w:iCs/>
          <w:sz w:val="21"/>
          <w:szCs w:val="21"/>
        </w:rPr>
        <w:t>X</w:t>
      </w:r>
      <w:r>
        <w:rPr>
          <w:rFonts w:hint="eastAsia"/>
          <w:i/>
          <w:iCs/>
          <w:sz w:val="21"/>
          <w:szCs w:val="21"/>
          <w:vertAlign w:val="subscript"/>
        </w:rPr>
        <w:t>i</w:t>
      </w:r>
      <w:r>
        <w:rPr>
          <w:rFonts w:hint="eastAsia"/>
          <w:sz w:val="21"/>
          <w:szCs w:val="21"/>
        </w:rPr>
        <w:t>则为经过归一化处理后的结果值。</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sz w:val="21"/>
          <w:szCs w:val="21"/>
        </w:rPr>
        <w:t>随后，采用综合指数法，将上述经空间化与归一化处理的各指标栅格数据，在GIS平台中进行栅格叠加计算。各指标权重基于综合权重法确定，具体计算公式如下</w:t>
      </w:r>
    </w:p>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82"/>
        <w:gridCol w:w="5142"/>
        <w:gridCol w:w="1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20"/>
              <w:jc w:val="left"/>
              <w:textAlignment w:val="auto"/>
              <w:rPr>
                <w:sz w:val="21"/>
                <w:szCs w:val="21"/>
              </w:rPr>
            </w:pPr>
          </w:p>
        </w:tc>
        <w:tc>
          <w:tcPr>
            <w:tcW w:w="5125"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r>
                  <m:rPr>
                    <m:nor/>
                  </m:rPr>
                  <w:rPr>
                    <w:rFonts w:cs="Times New Roman"/>
                    <w:i/>
                    <w:sz w:val="21"/>
                    <w:szCs w:val="21"/>
                  </w:rPr>
                  <m:t>G=</m:t>
                </m:r>
                <m:nary>
                  <m:naryPr>
                    <m:chr m:val="∑"/>
                    <m:limLoc m:val="undOvr"/>
                    <m:ctrlPr>
                      <w:rPr>
                        <w:rFonts w:ascii="Cambria Math" w:hAnsi="Cambria Math" w:cs="Times New Roman"/>
                        <w:i/>
                        <w:sz w:val="21"/>
                        <w:szCs w:val="21"/>
                      </w:rPr>
                    </m:ctrlPr>
                  </m:naryPr>
                  <m:sub>
                    <m:r>
                      <m:rPr>
                        <m:nor/>
                      </m:rPr>
                      <w:rPr>
                        <w:rFonts w:cs="Times New Roman"/>
                        <w:i/>
                        <w:sz w:val="21"/>
                        <w:szCs w:val="21"/>
                      </w:rPr>
                      <m:t>i=1</m:t>
                    </m:r>
                    <m:ctrlPr>
                      <w:rPr>
                        <w:rFonts w:ascii="Cambria Math" w:hAnsi="Cambria Math" w:cs="Times New Roman"/>
                        <w:i/>
                        <w:sz w:val="21"/>
                        <w:szCs w:val="21"/>
                      </w:rPr>
                    </m:ctrlPr>
                  </m:sub>
                  <m:sup>
                    <m:r>
                      <m:rPr>
                        <m:nor/>
                      </m:rPr>
                      <w:rPr>
                        <w:rFonts w:cs="Times New Roman"/>
                        <w:i/>
                        <w:sz w:val="21"/>
                        <w:szCs w:val="21"/>
                      </w:rPr>
                      <m:t>m</m:t>
                    </m:r>
                    <m:ctrlPr>
                      <w:rPr>
                        <w:rFonts w:ascii="Cambria Math" w:hAnsi="Cambria Math" w:cs="Times New Roman"/>
                        <w:i/>
                        <w:sz w:val="21"/>
                        <w:szCs w:val="21"/>
                      </w:rPr>
                    </m:ctrlPr>
                  </m:sup>
                  <m:e>
                    <m:sSub>
                      <m:sSubPr>
                        <m:ctrlPr>
                          <w:rPr>
                            <w:rFonts w:ascii="Cambria Math" w:hAnsi="Cambria Math" w:cs="Times New Roman"/>
                            <w:i/>
                            <w:sz w:val="21"/>
                            <w:szCs w:val="21"/>
                          </w:rPr>
                        </m:ctrlPr>
                      </m:sSubPr>
                      <m:e>
                        <m:r>
                          <m:rPr>
                            <m:nor/>
                          </m:rPr>
                          <w:rPr>
                            <w:rFonts w:cs="Times New Roman"/>
                            <w:i/>
                            <w:sz w:val="21"/>
                            <w:szCs w:val="21"/>
                          </w:rPr>
                          <m:t>w</m:t>
                        </m:r>
                        <m:ctrlPr>
                          <w:rPr>
                            <w:rFonts w:ascii="Cambria Math" w:hAnsi="Cambria Math" w:cs="Times New Roman"/>
                            <w:i/>
                            <w:sz w:val="21"/>
                            <w:szCs w:val="21"/>
                          </w:rPr>
                        </m:ctrlPr>
                      </m:e>
                      <m:sub>
                        <m:r>
                          <m:rPr>
                            <m:nor/>
                          </m:rPr>
                          <w:rPr>
                            <w:rFonts w:cs="Times New Roman"/>
                            <w:i/>
                            <w:sz w:val="21"/>
                            <w:szCs w:val="21"/>
                          </w:rPr>
                          <m:t>i</m:t>
                        </m:r>
                        <m:ctrlPr>
                          <w:rPr>
                            <w:rFonts w:ascii="Cambria Math" w:hAnsi="Cambria Math" w:cs="Times New Roman"/>
                            <w:i/>
                            <w:sz w:val="21"/>
                            <w:szCs w:val="21"/>
                          </w:rPr>
                        </m:ctrlPr>
                      </m:sub>
                    </m:sSub>
                    <m:sSub>
                      <m:sSubPr>
                        <m:ctrlPr>
                          <w:rPr>
                            <w:rFonts w:ascii="Cambria Math" w:hAnsi="Cambria Math" w:cs="Times New Roman"/>
                            <w:i/>
                            <w:sz w:val="21"/>
                            <w:szCs w:val="21"/>
                          </w:rPr>
                        </m:ctrlPr>
                      </m:sSubPr>
                      <m:e>
                        <m:r>
                          <m:rPr>
                            <m:nor/>
                          </m:rPr>
                          <w:rPr>
                            <w:rFonts w:cs="Times New Roman"/>
                            <w:i/>
                            <w:sz w:val="21"/>
                            <w:szCs w:val="21"/>
                          </w:rPr>
                          <m:t>G</m:t>
                        </m:r>
                        <m:ctrlPr>
                          <w:rPr>
                            <w:rFonts w:ascii="Cambria Math" w:hAnsi="Cambria Math" w:cs="Times New Roman"/>
                            <w:i/>
                            <w:sz w:val="21"/>
                            <w:szCs w:val="21"/>
                          </w:rPr>
                        </m:ctrlPr>
                      </m:e>
                      <m:sub>
                        <m:r>
                          <m:rPr>
                            <m:nor/>
                          </m:rPr>
                          <w:rPr>
                            <w:rFonts w:cs="Times New Roman"/>
                            <w:i/>
                            <w:sz w:val="21"/>
                            <w:szCs w:val="21"/>
                          </w:rPr>
                          <m:t>i</m:t>
                        </m:r>
                        <m:ctrlPr>
                          <w:rPr>
                            <w:rFonts w:ascii="Cambria Math" w:hAnsi="Cambria Math" w:cs="Times New Roman"/>
                            <w:i/>
                            <w:sz w:val="21"/>
                            <w:szCs w:val="21"/>
                          </w:rPr>
                        </m:ctrlPr>
                      </m:sub>
                    </m:sSub>
                    <m:ctrlPr>
                      <w:rPr>
                        <w:rFonts w:ascii="Cambria Math" w:hAnsi="Cambria Math" w:cs="Times New Roman"/>
                        <w:i/>
                        <w:sz w:val="21"/>
                        <w:szCs w:val="21"/>
                      </w:rPr>
                    </m:ctrlPr>
                  </m:e>
                </m:nary>
              </m:oMath>
            </m:oMathPara>
          </w:p>
        </w:tc>
        <w:tc>
          <w:tcPr>
            <w:tcW w:w="1576"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sz w:val="21"/>
          <w:szCs w:val="21"/>
        </w:rPr>
      </w:pPr>
      <w:r>
        <w:rPr>
          <w:sz w:val="21"/>
          <w:szCs w:val="21"/>
          <w:lang w:val="en"/>
        </w:rPr>
        <w:t>式中，</w:t>
      </w:r>
      <w:r>
        <w:rPr>
          <w:rFonts w:hint="eastAsia"/>
          <w:i/>
          <w:iCs/>
          <w:sz w:val="21"/>
          <w:szCs w:val="21"/>
        </w:rPr>
        <w:t>G</w:t>
      </w:r>
      <w:r>
        <w:rPr>
          <w:rFonts w:hint="eastAsia"/>
          <w:sz w:val="21"/>
          <w:szCs w:val="21"/>
        </w:rPr>
        <w:t>为每个指标的指数和；</w:t>
      </w:r>
      <w:r>
        <w:rPr>
          <w:rFonts w:hint="eastAsia"/>
          <w:i/>
          <w:iCs/>
          <w:sz w:val="21"/>
          <w:szCs w:val="21"/>
        </w:rPr>
        <w:t>w</w:t>
      </w:r>
      <w:r>
        <w:rPr>
          <w:rFonts w:hint="eastAsia"/>
          <w:i/>
          <w:iCs/>
          <w:sz w:val="21"/>
          <w:szCs w:val="21"/>
          <w:vertAlign w:val="subscript"/>
        </w:rPr>
        <w:t>i</w:t>
      </w:r>
      <w:r>
        <w:rPr>
          <w:rFonts w:hint="eastAsia"/>
          <w:sz w:val="21"/>
          <w:szCs w:val="21"/>
        </w:rPr>
        <w:t>为第</w:t>
      </w:r>
      <w:r>
        <w:rPr>
          <w:rFonts w:hint="eastAsia"/>
          <w:i/>
          <w:iCs/>
          <w:sz w:val="21"/>
          <w:szCs w:val="21"/>
        </w:rPr>
        <w:t>i</w:t>
      </w:r>
      <w:r>
        <w:rPr>
          <w:rFonts w:hint="eastAsia"/>
          <w:sz w:val="21"/>
          <w:szCs w:val="21"/>
        </w:rPr>
        <w:t>个指标权重；</w:t>
      </w:r>
      <w:r>
        <w:rPr>
          <w:rFonts w:hint="eastAsia"/>
          <w:i/>
          <w:iCs/>
          <w:sz w:val="21"/>
          <w:szCs w:val="21"/>
        </w:rPr>
        <w:t>G</w:t>
      </w:r>
      <w:r>
        <w:rPr>
          <w:rFonts w:hint="eastAsia"/>
          <w:i/>
          <w:iCs/>
          <w:sz w:val="21"/>
          <w:szCs w:val="21"/>
          <w:vertAlign w:val="subscript"/>
        </w:rPr>
        <w:t>i</w:t>
      </w:r>
      <w:r>
        <w:rPr>
          <w:rFonts w:hint="eastAsia"/>
          <w:sz w:val="21"/>
          <w:szCs w:val="21"/>
        </w:rPr>
        <w:t>为</w:t>
      </w:r>
      <w:r>
        <w:rPr>
          <w:rFonts w:hint="eastAsia"/>
          <w:i/>
          <w:iCs/>
          <w:sz w:val="21"/>
          <w:szCs w:val="21"/>
        </w:rPr>
        <w:t>i</w:t>
      </w:r>
      <w:r>
        <w:rPr>
          <w:rFonts w:hint="eastAsia"/>
          <w:sz w:val="21"/>
          <w:szCs w:val="21"/>
        </w:rPr>
        <w:t>个指标归一化后的值；</w:t>
      </w:r>
      <w:r>
        <w:rPr>
          <w:rFonts w:hint="eastAsia"/>
          <w:i/>
          <w:iCs/>
          <w:sz w:val="21"/>
          <w:szCs w:val="21"/>
        </w:rPr>
        <w:t>m</w:t>
      </w:r>
      <w:r>
        <w:rPr>
          <w:rFonts w:hint="eastAsia"/>
          <w:sz w:val="21"/>
          <w:szCs w:val="21"/>
        </w:rPr>
        <w:t>为指标个数。</w:t>
      </w:r>
    </w:p>
    <w:p>
      <w:pPr>
        <w:pStyle w:val="4"/>
        <w:pageBreakBefore w:val="0"/>
        <w:numPr>
          <w:ilvl w:val="1"/>
          <w:numId w:val="0"/>
        </w:numPr>
        <w:kinsoku/>
        <w:wordWrap/>
        <w:overflowPunct/>
        <w:topLinePunct w:val="0"/>
        <w:autoSpaceDE/>
        <w:autoSpaceDN/>
        <w:bidi w:val="0"/>
        <w:adjustRightInd/>
        <w:spacing w:before="0" w:beforeAutospacing="0" w:after="0" w:afterAutospacing="0" w:line="240" w:lineRule="auto"/>
        <w:textAlignment w:val="auto"/>
        <w:rPr>
          <w:rFonts w:eastAsia="宋体"/>
          <w:b w:val="0"/>
          <w:bCs w:val="0"/>
          <w:smallCaps w:val="0"/>
          <w:szCs w:val="28"/>
        </w:rPr>
      </w:pPr>
      <w:r>
        <w:rPr>
          <w:rFonts w:hint="eastAsia" w:eastAsia="宋体"/>
          <w:b w:val="0"/>
          <w:bCs w:val="0"/>
          <w:smallCaps w:val="0"/>
          <w:szCs w:val="28"/>
        </w:rPr>
        <w:t>3洪涝风险评估</w:t>
      </w:r>
    </w:p>
    <w:p>
      <w:pPr>
        <w:pageBreakBefore w:val="0"/>
        <w:kinsoku/>
        <w:wordWrap/>
        <w:overflowPunct/>
        <w:topLinePunct w:val="0"/>
        <w:autoSpaceDE/>
        <w:autoSpaceDN/>
        <w:bidi w:val="0"/>
        <w:adjustRightInd/>
        <w:spacing w:beforeAutospacing="0" w:afterAutospacing="0" w:line="240" w:lineRule="auto"/>
        <w:ind w:firstLine="420" w:firstLineChars="0"/>
        <w:textAlignment w:val="auto"/>
        <w:rPr>
          <w:sz w:val="21"/>
          <w:szCs w:val="21"/>
        </w:rPr>
      </w:pPr>
      <w:r>
        <w:rPr>
          <w:rFonts w:hint="eastAsia"/>
          <w:sz w:val="21"/>
          <w:szCs w:val="21"/>
        </w:rPr>
        <w:t>对各类型指标，采用自然断点法将研究区洪涝风险度分为五个等级：低风险、较低风险、中等风险、较高风险、高风险。自然断点法的基本思想是通过最小化组内方差和最大化组间方差，自动确定数据分布中的合适分界点。这种方法通过数据值的自然聚集特征来划分类别，使得每一类中的数据尽可能相似，而不同类别之间的数据差异尽可能大</w:t>
      </w:r>
      <w:r>
        <w:rPr>
          <w:rFonts w:hint="eastAsia"/>
          <w:sz w:val="21"/>
          <w:szCs w:val="21"/>
          <w:vertAlign w:val="superscript"/>
        </w:rPr>
        <w:fldChar w:fldCharType="begin"/>
      </w:r>
      <w:r>
        <w:rPr>
          <w:rFonts w:hint="eastAsia"/>
          <w:sz w:val="21"/>
          <w:szCs w:val="21"/>
          <w:vertAlign w:val="superscript"/>
        </w:rPr>
        <w:instrText xml:space="preserve"> REF _Ref6572 \r \h </w:instrText>
      </w:r>
      <w:r>
        <w:rPr>
          <w:rFonts w:hint="eastAsia"/>
          <w:sz w:val="21"/>
          <w:szCs w:val="21"/>
          <w:vertAlign w:val="superscript"/>
        </w:rPr>
        <w:fldChar w:fldCharType="separate"/>
      </w:r>
      <w:r>
        <w:rPr>
          <w:sz w:val="21"/>
          <w:szCs w:val="21"/>
          <w:vertAlign w:val="superscript"/>
        </w:rPr>
        <w:t>[29]</w:t>
      </w:r>
      <w:r>
        <w:rPr>
          <w:rFonts w:hint="eastAsia"/>
          <w:sz w:val="21"/>
          <w:szCs w:val="21"/>
          <w:vertAlign w:val="superscript"/>
        </w:rPr>
        <w:fldChar w:fldCharType="end"/>
      </w:r>
      <w:r>
        <w:rPr>
          <w:rFonts w:hint="eastAsia"/>
          <w:sz w:val="21"/>
          <w:szCs w:val="21"/>
        </w:rPr>
        <w:t>。</w:t>
      </w:r>
    </w:p>
    <w:p>
      <w:pPr>
        <w:pStyle w:val="5"/>
        <w:pageBreakBefore w:val="0"/>
        <w:numPr>
          <w:ilvl w:val="2"/>
          <w:numId w:val="0"/>
        </w:numPr>
        <w:kinsoku/>
        <w:wordWrap/>
        <w:overflowPunct/>
        <w:topLinePunct w:val="0"/>
        <w:autoSpaceDE/>
        <w:autoSpaceDN/>
        <w:bidi w:val="0"/>
        <w:adjustRightInd/>
        <w:spacing w:before="0" w:beforeAutospacing="0" w:after="0" w:afterAutospacing="0" w:line="240" w:lineRule="auto"/>
        <w:textAlignment w:val="auto"/>
        <w:rPr>
          <w:rFonts w:cs="Times New Roman"/>
          <w:b w:val="0"/>
          <w:bCs w:val="0"/>
          <w:sz w:val="21"/>
          <w:szCs w:val="22"/>
        </w:rPr>
      </w:pPr>
      <w:r>
        <w:rPr>
          <w:rFonts w:hint="eastAsia" w:cs="Times New Roman"/>
          <w:b w:val="0"/>
          <w:bCs w:val="0"/>
          <w:sz w:val="21"/>
          <w:szCs w:val="22"/>
        </w:rPr>
        <w:t>3.1致灾因子危险性分析</w:t>
      </w:r>
    </w:p>
    <w:p>
      <w:pPr>
        <w:pageBreakBefore w:val="0"/>
        <w:kinsoku/>
        <w:wordWrap/>
        <w:overflowPunct/>
        <w:topLinePunct w:val="0"/>
        <w:autoSpaceDE/>
        <w:autoSpaceDN/>
        <w:bidi w:val="0"/>
        <w:adjustRightInd/>
        <w:spacing w:beforeAutospacing="0" w:afterAutospacing="0" w:line="240" w:lineRule="auto"/>
        <w:ind w:firstLine="420"/>
        <w:textAlignment w:val="auto"/>
      </w:pPr>
      <w:r>
        <w:rPr>
          <w:rFonts w:hint="eastAsia"/>
          <w:sz w:val="21"/>
          <w:szCs w:val="21"/>
        </w:rPr>
        <w:t>致灾因子危险性是指洪涝灾害中，直接导致灾害发生的自然因素（如洪水强度、范围、频率等）所具有的危险程度。它描述了洪水作为一种灾害的“本质威胁”，在相关研究中，致灾因子危险性通常采用洪涝频率和降雨量等数据指标</w:t>
      </w:r>
      <w:r>
        <w:rPr>
          <w:rFonts w:hint="eastAsia"/>
          <w:sz w:val="21"/>
          <w:szCs w:val="21"/>
          <w:vertAlign w:val="superscript"/>
        </w:rPr>
        <w:fldChar w:fldCharType="begin"/>
      </w:r>
      <w:r>
        <w:rPr>
          <w:rFonts w:hint="eastAsia"/>
          <w:sz w:val="21"/>
          <w:szCs w:val="21"/>
          <w:vertAlign w:val="superscript"/>
        </w:rPr>
        <w:instrText xml:space="preserve"> REF _Ref8560 \r \h </w:instrText>
      </w:r>
      <w:r>
        <w:rPr>
          <w:rFonts w:hint="eastAsia"/>
          <w:sz w:val="21"/>
          <w:szCs w:val="21"/>
          <w:vertAlign w:val="superscript"/>
        </w:rPr>
        <w:fldChar w:fldCharType="separate"/>
      </w:r>
      <w:r>
        <w:rPr>
          <w:sz w:val="21"/>
          <w:szCs w:val="21"/>
          <w:vertAlign w:val="superscript"/>
        </w:rPr>
        <w:t>[30]</w:t>
      </w:r>
      <w:r>
        <w:rPr>
          <w:rFonts w:hint="eastAsia"/>
          <w:sz w:val="21"/>
          <w:szCs w:val="21"/>
          <w:vertAlign w:val="superscript"/>
        </w:rPr>
        <w:fldChar w:fldCharType="end"/>
      </w:r>
      <w:r>
        <w:rPr>
          <w:rFonts w:hint="eastAsia"/>
          <w:sz w:val="21"/>
          <w:szCs w:val="21"/>
        </w:rPr>
        <w:t>。这些指标在大区域的研究中较为适宜。然而，在本文聚焦范围较小的德兴市城区研，这些指标的差异性不足以反映局部区域的特定情况，并不完全适用。因此，本文选择MIKEFLOOD模型模拟得出的最大淹没水深、最大淹没历时、最大淹没面积以及最大淹没流速这四个量化指标。这些指标相对于降雨等指标具有更大的空间差异性，能够有效反映较小区域内的危险差异性。由图6可见，德兴市城区的致灾因子高危险区与较高危险区皆靠近河岸，主要分布在岁寒山社区、武安路社区、银泉社区、肯堂山社区、上洲社区、新营一村与新营三村，基本都在河道弯曲处，而较顺直的河道风险都较小，可以推测河流弯折处的洪水风险高，可能由于地势较低、</w:t>
      </w:r>
      <w:r>
        <w:rPr>
          <w:sz w:val="21"/>
          <w:szCs w:val="21"/>
        </w:rPr>
        <w:t>水流离心力导致的水位差、泥沙沉积导致的河床抬高、河道形态不稳定导致的行洪受阻</w:t>
      </w:r>
      <w:r>
        <w:rPr>
          <w:rFonts w:hint="eastAsia"/>
          <w:sz w:val="21"/>
          <w:szCs w:val="21"/>
        </w:rPr>
        <w:t>四</w:t>
      </w:r>
      <w:r>
        <w:rPr>
          <w:sz w:val="21"/>
          <w:szCs w:val="21"/>
        </w:rPr>
        <w:t>者共同作用的结果。</w:t>
      </w:r>
    </w:p>
    <w:p>
      <w:pPr>
        <w:pStyle w:val="2"/>
        <w:pageBreakBefore w:val="0"/>
        <w:kinsoku/>
        <w:wordWrap/>
        <w:overflowPunct/>
        <w:topLinePunct w:val="0"/>
        <w:autoSpaceDE/>
        <w:autoSpaceDN/>
        <w:bidi w:val="0"/>
        <w:adjustRightInd/>
        <w:spacing w:beforeAutospacing="0" w:afterAutospacing="0" w:line="240" w:lineRule="auto"/>
        <w:ind w:firstLine="0" w:firstLineChars="0"/>
        <w:textAlignment w:val="auto"/>
        <w:rPr>
          <w:rFonts w:hint="eastAsia"/>
          <w:lang w:eastAsia="zh-CN"/>
        </w:rPr>
      </w:pPr>
      <w:r>
        <w:rPr>
          <w:rFonts w:hint="eastAsia"/>
          <w:lang w:eastAsia="zh-CN"/>
        </w:rPr>
        <w:drawing>
          <wp:inline distT="0" distB="0" distL="114300" distR="114300">
            <wp:extent cx="5272405" cy="3729990"/>
            <wp:effectExtent l="0" t="0" r="4445" b="3810"/>
            <wp:docPr id="4" name="图片 4" descr="2081e7217567b7ce2c08c08e19d76b6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2081e7217567b7ce2c08c08e19d76b65"/>
                    <pic:cNvPicPr>
                      <a:picLocks noChangeAspect="true"/>
                    </pic:cNvPicPr>
                  </pic:nvPicPr>
                  <pic:blipFill>
                    <a:blip r:embed="rId21"/>
                    <a:stretch>
                      <a:fillRect/>
                    </a:stretch>
                  </pic:blipFill>
                  <pic:spPr>
                    <a:xfrm>
                      <a:off x="0" y="0"/>
                      <a:ext cx="5272405" cy="3729990"/>
                    </a:xfrm>
                    <a:prstGeom prst="rect">
                      <a:avLst/>
                    </a:prstGeom>
                  </pic:spPr>
                </pic:pic>
              </a:graphicData>
            </a:graphic>
          </wp:inline>
        </w:drawing>
      </w:r>
    </w:p>
    <w:p>
      <w:pPr>
        <w:pageBreakBefore w:val="0"/>
        <w:kinsoku/>
        <w:wordWrap/>
        <w:overflowPunct/>
        <w:topLinePunct w:val="0"/>
        <w:autoSpaceDE/>
        <w:autoSpaceDN/>
        <w:bidi w:val="0"/>
        <w:adjustRightInd/>
        <w:spacing w:beforeAutospacing="0" w:afterAutospacing="0" w:line="240" w:lineRule="auto"/>
        <w:ind w:firstLine="482" w:firstLineChars="0"/>
        <w:jc w:val="center"/>
        <w:textAlignment w:val="auto"/>
        <w:rPr>
          <w:rFonts w:eastAsia="黑体" w:cs="Times New Roman"/>
          <w:sz w:val="18"/>
          <w:szCs w:val="18"/>
        </w:rPr>
      </w:pPr>
      <w:r>
        <w:rPr>
          <w:rFonts w:hint="eastAsia" w:eastAsia="黑体" w:cs="Times New Roman"/>
          <w:sz w:val="18"/>
          <w:szCs w:val="18"/>
        </w:rPr>
        <w:t>图6  德兴市城区洪涝风险危险性指数分布</w:t>
      </w:r>
    </w:p>
    <w:p>
      <w:pPr>
        <w:pageBreakBefore w:val="0"/>
        <w:kinsoku/>
        <w:wordWrap/>
        <w:overflowPunct/>
        <w:topLinePunct w:val="0"/>
        <w:autoSpaceDE/>
        <w:autoSpaceDN/>
        <w:bidi w:val="0"/>
        <w:adjustRightInd/>
        <w:spacing w:beforeAutospacing="0" w:afterAutospacing="0" w:line="240" w:lineRule="auto"/>
        <w:ind w:firstLine="360"/>
        <w:jc w:val="center"/>
        <w:textAlignment w:val="auto"/>
        <w:rPr>
          <w:rFonts w:eastAsia="黑体" w:cs="Times New Roman"/>
          <w:bCs/>
          <w:sz w:val="18"/>
          <w:szCs w:val="18"/>
        </w:rPr>
      </w:pPr>
      <w:r>
        <w:rPr>
          <w:rFonts w:eastAsia="黑体" w:cs="Times New Roman"/>
          <w:bCs/>
          <w:sz w:val="18"/>
          <w:szCs w:val="18"/>
        </w:rPr>
        <w:t>Fig.</w:t>
      </w:r>
      <w:r>
        <w:rPr>
          <w:rFonts w:hint="eastAsia" w:eastAsia="黑体" w:cs="Times New Roman"/>
          <w:bCs/>
          <w:sz w:val="18"/>
          <w:szCs w:val="18"/>
        </w:rPr>
        <w:t>6</w:t>
      </w:r>
      <w:r>
        <w:rPr>
          <w:rFonts w:eastAsia="黑体" w:cs="Times New Roman"/>
          <w:bCs/>
          <w:sz w:val="18"/>
          <w:szCs w:val="18"/>
        </w:rPr>
        <w:t xml:space="preserve">  Spatial </w:t>
      </w:r>
      <w:r>
        <w:rPr>
          <w:rFonts w:hint="eastAsia" w:eastAsia="黑体" w:cs="Times New Roman"/>
          <w:bCs/>
          <w:sz w:val="18"/>
          <w:szCs w:val="18"/>
        </w:rPr>
        <w:t>d</w:t>
      </w:r>
      <w:r>
        <w:rPr>
          <w:rFonts w:eastAsia="黑体" w:cs="Times New Roman"/>
          <w:bCs/>
          <w:sz w:val="18"/>
          <w:szCs w:val="18"/>
        </w:rPr>
        <w:t xml:space="preserve">istribution of </w:t>
      </w:r>
      <w:r>
        <w:rPr>
          <w:rFonts w:hint="eastAsia" w:eastAsia="黑体" w:cs="Times New Roman"/>
          <w:bCs/>
          <w:sz w:val="18"/>
          <w:szCs w:val="18"/>
        </w:rPr>
        <w:t>f</w:t>
      </w:r>
      <w:r>
        <w:rPr>
          <w:rFonts w:eastAsia="黑体" w:cs="Times New Roman"/>
          <w:bCs/>
          <w:sz w:val="18"/>
          <w:szCs w:val="18"/>
        </w:rPr>
        <w:t xml:space="preserve">lood </w:t>
      </w:r>
      <w:r>
        <w:rPr>
          <w:rFonts w:hint="eastAsia" w:eastAsia="黑体" w:cs="Times New Roman"/>
          <w:bCs/>
          <w:sz w:val="18"/>
          <w:szCs w:val="18"/>
        </w:rPr>
        <w:t>h</w:t>
      </w:r>
      <w:r>
        <w:rPr>
          <w:rFonts w:eastAsia="黑体" w:cs="Times New Roman"/>
          <w:bCs/>
          <w:sz w:val="18"/>
          <w:szCs w:val="18"/>
        </w:rPr>
        <w:t xml:space="preserve">azard </w:t>
      </w:r>
      <w:r>
        <w:rPr>
          <w:rFonts w:hint="eastAsia" w:eastAsia="黑体" w:cs="Times New Roman"/>
          <w:bCs/>
          <w:sz w:val="18"/>
          <w:szCs w:val="18"/>
        </w:rPr>
        <w:t>i</w:t>
      </w:r>
      <w:r>
        <w:rPr>
          <w:rFonts w:eastAsia="黑体" w:cs="Times New Roman"/>
          <w:bCs/>
          <w:sz w:val="18"/>
          <w:szCs w:val="18"/>
        </w:rPr>
        <w:t>ndex in Dexing urban area</w:t>
      </w:r>
    </w:p>
    <w:p>
      <w:pPr>
        <w:pStyle w:val="5"/>
        <w:pageBreakBefore w:val="0"/>
        <w:numPr>
          <w:ilvl w:val="2"/>
          <w:numId w:val="0"/>
        </w:numPr>
        <w:kinsoku/>
        <w:wordWrap/>
        <w:overflowPunct/>
        <w:topLinePunct w:val="0"/>
        <w:autoSpaceDE/>
        <w:autoSpaceDN/>
        <w:bidi w:val="0"/>
        <w:adjustRightInd/>
        <w:spacing w:before="0" w:beforeAutospacing="0" w:after="0" w:afterAutospacing="0" w:line="240" w:lineRule="auto"/>
        <w:textAlignment w:val="auto"/>
        <w:rPr>
          <w:rFonts w:cs="Times New Roman"/>
          <w:b w:val="0"/>
          <w:bCs w:val="0"/>
          <w:sz w:val="21"/>
          <w:szCs w:val="22"/>
        </w:rPr>
      </w:pPr>
      <w:r>
        <w:rPr>
          <w:rFonts w:hint="eastAsia" w:cs="Times New Roman"/>
          <w:b w:val="0"/>
          <w:bCs w:val="0"/>
          <w:sz w:val="21"/>
          <w:szCs w:val="22"/>
        </w:rPr>
        <w:t>3.2环境脆弱性分析</w:t>
      </w:r>
    </w:p>
    <w:p>
      <w:pPr>
        <w:pageBreakBefore w:val="0"/>
        <w:kinsoku/>
        <w:wordWrap/>
        <w:overflowPunct/>
        <w:topLinePunct w:val="0"/>
        <w:autoSpaceDE/>
        <w:autoSpaceDN/>
        <w:bidi w:val="0"/>
        <w:adjustRightInd/>
        <w:spacing w:beforeAutospacing="0" w:afterAutospacing="0" w:line="240" w:lineRule="auto"/>
        <w:ind w:firstLine="420"/>
        <w:textAlignment w:val="auto"/>
      </w:pPr>
      <w:r>
        <w:rPr>
          <w:rFonts w:hint="eastAsia"/>
          <w:sz w:val="21"/>
          <w:szCs w:val="21"/>
          <w:lang w:bidi="en-US"/>
        </w:rPr>
        <w:t>环境脆弱性是指在洪涝灾害发生过程中，环境条件对洪涝形成和危害扩大的影响程度</w:t>
      </w:r>
      <w:r>
        <w:rPr>
          <w:rFonts w:hint="eastAsia"/>
          <w:sz w:val="21"/>
          <w:szCs w:val="21"/>
          <w:vertAlign w:val="superscript"/>
          <w:lang w:bidi="en-US"/>
        </w:rPr>
        <w:fldChar w:fldCharType="begin"/>
      </w:r>
      <w:r>
        <w:rPr>
          <w:rFonts w:hint="eastAsia"/>
          <w:sz w:val="21"/>
          <w:szCs w:val="21"/>
          <w:vertAlign w:val="superscript"/>
          <w:lang w:bidi="en-US"/>
        </w:rPr>
        <w:instrText xml:space="preserve"> REF _Ref8782 \r \h </w:instrText>
      </w:r>
      <w:r>
        <w:rPr>
          <w:rFonts w:hint="eastAsia"/>
          <w:sz w:val="21"/>
          <w:szCs w:val="21"/>
          <w:vertAlign w:val="superscript"/>
          <w:lang w:bidi="en-US"/>
        </w:rPr>
        <w:fldChar w:fldCharType="separate"/>
      </w:r>
      <w:r>
        <w:rPr>
          <w:sz w:val="21"/>
          <w:szCs w:val="21"/>
          <w:vertAlign w:val="superscript"/>
          <w:lang w:bidi="en-US"/>
        </w:rPr>
        <w:t>[31]</w:t>
      </w:r>
      <w:r>
        <w:rPr>
          <w:rFonts w:hint="eastAsia"/>
          <w:sz w:val="21"/>
          <w:szCs w:val="21"/>
          <w:vertAlign w:val="superscript"/>
          <w:lang w:bidi="en-US"/>
        </w:rPr>
        <w:fldChar w:fldCharType="end"/>
      </w:r>
      <w:r>
        <w:rPr>
          <w:rFonts w:hint="eastAsia"/>
          <w:sz w:val="21"/>
          <w:szCs w:val="21"/>
          <w:lang w:bidi="en-US"/>
        </w:rPr>
        <w:t>。</w:t>
      </w:r>
      <w:r>
        <w:rPr>
          <w:rFonts w:hint="eastAsia"/>
          <w:sz w:val="21"/>
          <w:szCs w:val="21"/>
        </w:rPr>
        <w:t>本文选取高程、地形坡度与建筑密度三个指标对环境脆弱性进行评价。其中，高程数据来源于基于无人机倾斜摄影测量技术生成的高精度DEM文件，地形坡度数据则通过GIS平台中的Spatial Analyst模块，利用表面分析工具对DEM数据进行转换而得，建筑密度指标的计算首先从91卫图助手下载研究区范围内的天地图影像，提取建筑物轮廓矢量信息，随后将研究区划分为50m×50m的规则网格，并以网格为单位统计建筑密度。</w:t>
      </w:r>
      <w:r>
        <w:rPr>
          <w:rFonts w:ascii="宋体" w:hAnsi="宋体" w:cs="宋体"/>
          <w:sz w:val="21"/>
          <w:szCs w:val="21"/>
        </w:rPr>
        <w:t>由图</w:t>
      </w:r>
      <w:r>
        <w:rPr>
          <w:rFonts w:hint="eastAsia" w:ascii="宋体" w:hAnsi="宋体" w:cs="宋体"/>
          <w:sz w:val="21"/>
          <w:szCs w:val="21"/>
        </w:rPr>
        <w:t>7</w:t>
      </w:r>
      <w:r>
        <w:rPr>
          <w:rFonts w:ascii="宋体" w:hAnsi="宋体" w:cs="宋体"/>
          <w:sz w:val="21"/>
          <w:szCs w:val="21"/>
        </w:rPr>
        <w:t>可见，敏感性高值区主要分布于上游的新营一村，以及下游的银泉社区和武安路社区周边区域，中游亦存在部分高敏感区域。德兴市城区整体坡度变化较为平缓，敏感性高值区多集中于房屋密集区域。</w:t>
      </w:r>
      <w:r>
        <w:rPr>
          <w:rFonts w:hint="eastAsia"/>
          <w:sz w:val="21"/>
          <w:szCs w:val="21"/>
        </w:rPr>
        <w:t>建筑物对水流的阻水效应会导致水面雍高，甚至出现水流漩涡，</w:t>
      </w:r>
      <w:r>
        <w:rPr>
          <w:rFonts w:hint="eastAsia" w:ascii="宋体" w:hAnsi="宋体" w:cs="宋体"/>
          <w:sz w:val="21"/>
          <w:szCs w:val="21"/>
        </w:rPr>
        <w:t>城区上游与下游皆为老城区，房屋建造密集，且楼间距小，中游社区为新建城区，多为高层商业住宅小区，建筑密度较小。</w:t>
      </w:r>
    </w:p>
    <w:p>
      <w:pPr>
        <w:pStyle w:val="2"/>
        <w:pageBreakBefore w:val="0"/>
        <w:kinsoku/>
        <w:wordWrap/>
        <w:overflowPunct/>
        <w:topLinePunct w:val="0"/>
        <w:autoSpaceDE/>
        <w:autoSpaceDN/>
        <w:bidi w:val="0"/>
        <w:adjustRightInd/>
        <w:spacing w:beforeAutospacing="0" w:afterAutospacing="0" w:line="240" w:lineRule="auto"/>
        <w:ind w:firstLine="0" w:firstLineChars="0"/>
        <w:textAlignment w:val="auto"/>
        <w:rPr>
          <w:rFonts w:hint="eastAsia"/>
          <w:lang w:eastAsia="zh-CN"/>
        </w:rPr>
      </w:pPr>
      <w:r>
        <w:rPr>
          <w:rFonts w:hint="eastAsia"/>
          <w:lang w:eastAsia="zh-CN"/>
        </w:rPr>
        <w:drawing>
          <wp:inline distT="0" distB="0" distL="114300" distR="114300">
            <wp:extent cx="5272405" cy="3729990"/>
            <wp:effectExtent l="0" t="0" r="4445" b="3810"/>
            <wp:docPr id="5" name="图片 5" descr="a9d970c1f3d86df686ec78515390234a"/>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a9d970c1f3d86df686ec78515390234a"/>
                    <pic:cNvPicPr>
                      <a:picLocks noChangeAspect="true"/>
                    </pic:cNvPicPr>
                  </pic:nvPicPr>
                  <pic:blipFill>
                    <a:blip r:embed="rId22"/>
                    <a:stretch>
                      <a:fillRect/>
                    </a:stretch>
                  </pic:blipFill>
                  <pic:spPr>
                    <a:xfrm>
                      <a:off x="0" y="0"/>
                      <a:ext cx="5272405" cy="3729990"/>
                    </a:xfrm>
                    <a:prstGeom prst="rect">
                      <a:avLst/>
                    </a:prstGeom>
                  </pic:spPr>
                </pic:pic>
              </a:graphicData>
            </a:graphic>
          </wp:inline>
        </w:drawing>
      </w:r>
    </w:p>
    <w:p>
      <w:pPr>
        <w:pageBreakBefore w:val="0"/>
        <w:kinsoku/>
        <w:wordWrap/>
        <w:overflowPunct/>
        <w:topLinePunct w:val="0"/>
        <w:autoSpaceDE/>
        <w:autoSpaceDN/>
        <w:bidi w:val="0"/>
        <w:adjustRightInd/>
        <w:spacing w:beforeAutospacing="0" w:afterAutospacing="0" w:line="240" w:lineRule="auto"/>
        <w:ind w:firstLine="482" w:firstLineChars="0"/>
        <w:jc w:val="center"/>
        <w:textAlignment w:val="auto"/>
        <w:rPr>
          <w:rFonts w:eastAsia="黑体" w:cs="Times New Roman"/>
          <w:sz w:val="18"/>
          <w:szCs w:val="18"/>
        </w:rPr>
      </w:pPr>
      <w:r>
        <w:rPr>
          <w:rFonts w:hint="eastAsia" w:eastAsia="黑体" w:cs="Times New Roman"/>
          <w:sz w:val="18"/>
          <w:szCs w:val="18"/>
        </w:rPr>
        <w:t>图7  德兴市城区洪涝风险敏感性指数分布</w:t>
      </w:r>
    </w:p>
    <w:p>
      <w:pPr>
        <w:pageBreakBefore w:val="0"/>
        <w:kinsoku/>
        <w:wordWrap/>
        <w:overflowPunct/>
        <w:topLinePunct w:val="0"/>
        <w:autoSpaceDE/>
        <w:autoSpaceDN/>
        <w:bidi w:val="0"/>
        <w:adjustRightInd/>
        <w:spacing w:beforeAutospacing="0" w:afterAutospacing="0" w:line="240" w:lineRule="auto"/>
        <w:ind w:firstLine="360"/>
        <w:jc w:val="center"/>
        <w:textAlignment w:val="auto"/>
        <w:rPr>
          <w:rFonts w:eastAsia="黑体" w:cs="Times New Roman"/>
          <w:bCs/>
          <w:sz w:val="18"/>
          <w:szCs w:val="18"/>
        </w:rPr>
      </w:pPr>
      <w:r>
        <w:rPr>
          <w:rFonts w:eastAsia="黑体" w:cs="Times New Roman"/>
          <w:bCs/>
          <w:sz w:val="18"/>
          <w:szCs w:val="18"/>
        </w:rPr>
        <w:t>Fig</w:t>
      </w:r>
      <w:r>
        <w:rPr>
          <w:rFonts w:hint="eastAsia" w:eastAsia="黑体" w:cs="Times New Roman"/>
          <w:bCs/>
          <w:sz w:val="18"/>
          <w:szCs w:val="18"/>
        </w:rPr>
        <w:t>.7</w:t>
      </w:r>
      <w:r>
        <w:rPr>
          <w:rFonts w:eastAsia="黑体" w:cs="Times New Roman"/>
          <w:bCs/>
          <w:sz w:val="18"/>
          <w:szCs w:val="18"/>
        </w:rPr>
        <w:t xml:space="preserve">  Spatial </w:t>
      </w:r>
      <w:r>
        <w:rPr>
          <w:rFonts w:hint="eastAsia" w:eastAsia="黑体" w:cs="Times New Roman"/>
          <w:bCs/>
          <w:sz w:val="18"/>
          <w:szCs w:val="18"/>
        </w:rPr>
        <w:t>d</w:t>
      </w:r>
      <w:r>
        <w:rPr>
          <w:rFonts w:eastAsia="黑体" w:cs="Times New Roman"/>
          <w:bCs/>
          <w:sz w:val="18"/>
          <w:szCs w:val="18"/>
        </w:rPr>
        <w:t xml:space="preserve">istribution of </w:t>
      </w:r>
      <w:r>
        <w:rPr>
          <w:rFonts w:hint="eastAsia" w:eastAsia="黑体" w:cs="Times New Roman"/>
          <w:bCs/>
          <w:sz w:val="18"/>
          <w:szCs w:val="18"/>
        </w:rPr>
        <w:t>f</w:t>
      </w:r>
      <w:r>
        <w:rPr>
          <w:rFonts w:eastAsia="黑体" w:cs="Times New Roman"/>
          <w:bCs/>
          <w:sz w:val="18"/>
          <w:szCs w:val="18"/>
        </w:rPr>
        <w:t xml:space="preserve">lood </w:t>
      </w:r>
      <w:r>
        <w:rPr>
          <w:rFonts w:hint="eastAsia" w:eastAsia="黑体" w:cs="Times New Roman"/>
          <w:bCs/>
          <w:sz w:val="18"/>
          <w:szCs w:val="18"/>
        </w:rPr>
        <w:t>s</w:t>
      </w:r>
      <w:r>
        <w:rPr>
          <w:rFonts w:eastAsia="黑体" w:cs="Times New Roman"/>
          <w:bCs/>
          <w:sz w:val="18"/>
          <w:szCs w:val="18"/>
        </w:rPr>
        <w:t xml:space="preserve">usceptibility </w:t>
      </w:r>
      <w:r>
        <w:rPr>
          <w:rFonts w:hint="eastAsia" w:eastAsia="黑体" w:cs="Times New Roman"/>
          <w:bCs/>
          <w:sz w:val="18"/>
          <w:szCs w:val="18"/>
        </w:rPr>
        <w:t>i</w:t>
      </w:r>
      <w:r>
        <w:rPr>
          <w:rFonts w:eastAsia="黑体" w:cs="Times New Roman"/>
          <w:bCs/>
          <w:sz w:val="18"/>
          <w:szCs w:val="18"/>
        </w:rPr>
        <w:t>ndex in Dexing urban area</w:t>
      </w:r>
    </w:p>
    <w:p>
      <w:pPr>
        <w:pStyle w:val="5"/>
        <w:pageBreakBefore w:val="0"/>
        <w:numPr>
          <w:ilvl w:val="2"/>
          <w:numId w:val="0"/>
        </w:numPr>
        <w:kinsoku/>
        <w:wordWrap/>
        <w:overflowPunct/>
        <w:topLinePunct w:val="0"/>
        <w:autoSpaceDE/>
        <w:autoSpaceDN/>
        <w:bidi w:val="0"/>
        <w:adjustRightInd/>
        <w:spacing w:before="0" w:beforeAutospacing="0" w:after="0" w:afterAutospacing="0" w:line="240" w:lineRule="auto"/>
        <w:textAlignment w:val="auto"/>
        <w:rPr>
          <w:rFonts w:cs="Times New Roman"/>
          <w:b w:val="0"/>
          <w:bCs w:val="0"/>
          <w:sz w:val="21"/>
          <w:szCs w:val="22"/>
        </w:rPr>
      </w:pPr>
      <w:r>
        <w:rPr>
          <w:rFonts w:hint="eastAsia" w:cs="Times New Roman"/>
          <w:b w:val="0"/>
          <w:bCs w:val="0"/>
          <w:sz w:val="21"/>
          <w:szCs w:val="22"/>
        </w:rPr>
        <w:t>3.3承灾体暴露性分析</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lang w:bidi="en-US"/>
        </w:rPr>
        <w:t>承灾体暴露性是指位于潜在洪涝灾害影响区域内的承灾体（如人口、经济资产、建筑物、基础设施等）直接暴露于洪涝灾害危险中的程度</w:t>
      </w:r>
      <w:r>
        <w:rPr>
          <w:rFonts w:hint="eastAsia"/>
          <w:sz w:val="21"/>
          <w:szCs w:val="21"/>
          <w:vertAlign w:val="superscript"/>
          <w:lang w:bidi="en-US"/>
        </w:rPr>
        <w:fldChar w:fldCharType="begin"/>
      </w:r>
      <w:r>
        <w:rPr>
          <w:rFonts w:hint="eastAsia"/>
          <w:sz w:val="21"/>
          <w:szCs w:val="21"/>
          <w:vertAlign w:val="superscript"/>
          <w:lang w:bidi="en-US"/>
        </w:rPr>
        <w:instrText xml:space="preserve"> REF _Ref9448 \r \h </w:instrText>
      </w:r>
      <w:r>
        <w:rPr>
          <w:rFonts w:hint="eastAsia"/>
          <w:sz w:val="21"/>
          <w:szCs w:val="21"/>
          <w:vertAlign w:val="superscript"/>
          <w:lang w:bidi="en-US"/>
        </w:rPr>
        <w:fldChar w:fldCharType="separate"/>
      </w:r>
      <w:r>
        <w:rPr>
          <w:sz w:val="21"/>
          <w:szCs w:val="21"/>
          <w:vertAlign w:val="superscript"/>
          <w:lang w:bidi="en-US"/>
        </w:rPr>
        <w:t>[32]</w:t>
      </w:r>
      <w:r>
        <w:rPr>
          <w:rFonts w:hint="eastAsia"/>
          <w:sz w:val="21"/>
          <w:szCs w:val="21"/>
          <w:vertAlign w:val="superscript"/>
          <w:lang w:bidi="en-US"/>
        </w:rPr>
        <w:fldChar w:fldCharType="end"/>
      </w:r>
      <w:r>
        <w:rPr>
          <w:rFonts w:hint="eastAsia"/>
          <w:sz w:val="21"/>
          <w:szCs w:val="21"/>
          <w:lang w:bidi="en-US"/>
        </w:rPr>
        <w:t>。本文选取人口、房屋数量与重要基础设施作为承灾体暴露性指标，</w:t>
      </w:r>
      <w:r>
        <w:rPr>
          <w:rFonts w:hint="eastAsia"/>
          <w:sz w:val="21"/>
          <w:szCs w:val="21"/>
        </w:rPr>
        <w:t>其中人口数据来源于外业实地调查及当地水利局提供的社区人口资料，房屋数量通过外业调查获取，并利用RTK测量其具体地理坐标，最终按网格单元进行统计，重要基础设施数据（主要包括学校、医院及重要企事业单位等）同样来源于外业实地调查。</w:t>
      </w:r>
      <w:r>
        <w:rPr>
          <w:rFonts w:hint="eastAsia"/>
          <w:sz w:val="21"/>
          <w:szCs w:val="21"/>
          <w:lang w:bidi="en-US"/>
        </w:rPr>
        <w:t>由图8可见，暴露性高值区域主要为城区内各重要基础设施所在位置，如医院、学校、企事业单位等，城区内人口房屋等分布相对较为均匀，但如新营一村以及武安路社区等人口房屋较为密集的区域，暴露性数值也较高。</w:t>
      </w:r>
    </w:p>
    <w:p>
      <w:pPr>
        <w:pStyle w:val="2"/>
        <w:pageBreakBefore w:val="0"/>
        <w:kinsoku/>
        <w:wordWrap/>
        <w:overflowPunct/>
        <w:topLinePunct w:val="0"/>
        <w:autoSpaceDE/>
        <w:autoSpaceDN/>
        <w:bidi w:val="0"/>
        <w:adjustRightInd/>
        <w:spacing w:beforeAutospacing="0" w:afterAutospacing="0" w:line="240" w:lineRule="auto"/>
        <w:ind w:firstLine="0" w:firstLineChars="0"/>
        <w:textAlignment w:val="auto"/>
        <w:rPr>
          <w:rFonts w:hint="eastAsia"/>
          <w:lang w:eastAsia="zh-CN"/>
        </w:rPr>
      </w:pPr>
      <w:r>
        <w:rPr>
          <w:rFonts w:hint="eastAsia"/>
          <w:lang w:eastAsia="zh-CN"/>
        </w:rPr>
        <w:drawing>
          <wp:inline distT="0" distB="0" distL="114300" distR="114300">
            <wp:extent cx="5272405" cy="3729990"/>
            <wp:effectExtent l="0" t="0" r="4445" b="3810"/>
            <wp:docPr id="9" name="图片 9" descr="9423743c551fb0b931c4c2d605246da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descr="9423743c551fb0b931c4c2d605246da6"/>
                    <pic:cNvPicPr>
                      <a:picLocks noChangeAspect="true"/>
                    </pic:cNvPicPr>
                  </pic:nvPicPr>
                  <pic:blipFill>
                    <a:blip r:embed="rId23"/>
                    <a:stretch>
                      <a:fillRect/>
                    </a:stretch>
                  </pic:blipFill>
                  <pic:spPr>
                    <a:xfrm>
                      <a:off x="0" y="0"/>
                      <a:ext cx="5272405" cy="3729990"/>
                    </a:xfrm>
                    <a:prstGeom prst="rect">
                      <a:avLst/>
                    </a:prstGeom>
                  </pic:spPr>
                </pic:pic>
              </a:graphicData>
            </a:graphic>
          </wp:inline>
        </w:drawing>
      </w:r>
    </w:p>
    <w:p>
      <w:pPr>
        <w:pageBreakBefore w:val="0"/>
        <w:kinsoku/>
        <w:wordWrap/>
        <w:overflowPunct/>
        <w:topLinePunct w:val="0"/>
        <w:autoSpaceDE/>
        <w:autoSpaceDN/>
        <w:bidi w:val="0"/>
        <w:adjustRightInd/>
        <w:spacing w:beforeAutospacing="0" w:afterAutospacing="0" w:line="240" w:lineRule="auto"/>
        <w:ind w:firstLine="482" w:firstLineChars="0"/>
        <w:jc w:val="center"/>
        <w:textAlignment w:val="auto"/>
        <w:rPr>
          <w:rFonts w:eastAsia="黑体" w:cs="Times New Roman"/>
          <w:sz w:val="18"/>
          <w:szCs w:val="18"/>
        </w:rPr>
      </w:pPr>
      <w:r>
        <w:rPr>
          <w:rFonts w:hint="eastAsia" w:eastAsia="黑体" w:cs="Times New Roman"/>
          <w:sz w:val="18"/>
          <w:szCs w:val="18"/>
        </w:rPr>
        <w:t>图8  德兴市城区洪涝风险暴露性指数分布</w:t>
      </w:r>
    </w:p>
    <w:p>
      <w:pPr>
        <w:pageBreakBefore w:val="0"/>
        <w:kinsoku/>
        <w:wordWrap/>
        <w:overflowPunct/>
        <w:topLinePunct w:val="0"/>
        <w:autoSpaceDE/>
        <w:autoSpaceDN/>
        <w:bidi w:val="0"/>
        <w:adjustRightInd/>
        <w:spacing w:beforeAutospacing="0" w:afterAutospacing="0" w:line="240" w:lineRule="auto"/>
        <w:ind w:firstLine="360"/>
        <w:jc w:val="center"/>
        <w:textAlignment w:val="auto"/>
        <w:rPr>
          <w:rFonts w:eastAsia="黑体" w:cs="Times New Roman"/>
          <w:bCs/>
          <w:sz w:val="18"/>
          <w:szCs w:val="18"/>
        </w:rPr>
      </w:pPr>
      <w:r>
        <w:rPr>
          <w:rFonts w:eastAsia="黑体" w:cs="Times New Roman"/>
          <w:bCs/>
          <w:sz w:val="18"/>
          <w:szCs w:val="18"/>
        </w:rPr>
        <w:t>Fig.</w:t>
      </w:r>
      <w:r>
        <w:rPr>
          <w:rFonts w:hint="eastAsia" w:eastAsia="黑体" w:cs="Times New Roman"/>
          <w:bCs/>
          <w:sz w:val="18"/>
          <w:szCs w:val="18"/>
        </w:rPr>
        <w:t>8</w:t>
      </w:r>
      <w:r>
        <w:rPr>
          <w:rFonts w:eastAsia="黑体" w:cs="Times New Roman"/>
          <w:bCs/>
          <w:sz w:val="18"/>
          <w:szCs w:val="18"/>
        </w:rPr>
        <w:t xml:space="preserve">  Spatial </w:t>
      </w:r>
      <w:r>
        <w:rPr>
          <w:rFonts w:hint="eastAsia" w:eastAsia="黑体" w:cs="Times New Roman"/>
          <w:bCs/>
          <w:sz w:val="18"/>
          <w:szCs w:val="18"/>
        </w:rPr>
        <w:t>d</w:t>
      </w:r>
      <w:r>
        <w:rPr>
          <w:rFonts w:eastAsia="黑体" w:cs="Times New Roman"/>
          <w:bCs/>
          <w:sz w:val="18"/>
          <w:szCs w:val="18"/>
        </w:rPr>
        <w:t xml:space="preserve">istribution of </w:t>
      </w:r>
      <w:r>
        <w:rPr>
          <w:rFonts w:hint="eastAsia" w:eastAsia="黑体" w:cs="Times New Roman"/>
          <w:bCs/>
          <w:sz w:val="18"/>
          <w:szCs w:val="18"/>
        </w:rPr>
        <w:t>f</w:t>
      </w:r>
      <w:r>
        <w:rPr>
          <w:rFonts w:eastAsia="黑体" w:cs="Times New Roman"/>
          <w:bCs/>
          <w:sz w:val="18"/>
          <w:szCs w:val="18"/>
        </w:rPr>
        <w:t xml:space="preserve">lood </w:t>
      </w:r>
      <w:r>
        <w:rPr>
          <w:rFonts w:hint="eastAsia" w:eastAsia="黑体" w:cs="Times New Roman"/>
          <w:bCs/>
          <w:sz w:val="18"/>
          <w:szCs w:val="18"/>
        </w:rPr>
        <w:t>e</w:t>
      </w:r>
      <w:r>
        <w:rPr>
          <w:rFonts w:eastAsia="黑体" w:cs="Times New Roman"/>
          <w:bCs/>
          <w:sz w:val="18"/>
          <w:szCs w:val="18"/>
        </w:rPr>
        <w:t xml:space="preserve">xposure </w:t>
      </w:r>
      <w:r>
        <w:rPr>
          <w:rFonts w:hint="eastAsia" w:eastAsia="黑体" w:cs="Times New Roman"/>
          <w:bCs/>
          <w:sz w:val="18"/>
          <w:szCs w:val="18"/>
        </w:rPr>
        <w:t>i</w:t>
      </w:r>
      <w:r>
        <w:rPr>
          <w:rFonts w:eastAsia="黑体" w:cs="Times New Roman"/>
          <w:bCs/>
          <w:sz w:val="18"/>
          <w:szCs w:val="18"/>
        </w:rPr>
        <w:t>ndex in Dexing urban area</w:t>
      </w:r>
    </w:p>
    <w:p>
      <w:pPr>
        <w:pStyle w:val="5"/>
        <w:pageBreakBefore w:val="0"/>
        <w:numPr>
          <w:ilvl w:val="2"/>
          <w:numId w:val="0"/>
        </w:numPr>
        <w:kinsoku/>
        <w:wordWrap/>
        <w:overflowPunct/>
        <w:topLinePunct w:val="0"/>
        <w:autoSpaceDE/>
        <w:autoSpaceDN/>
        <w:bidi w:val="0"/>
        <w:adjustRightInd/>
        <w:spacing w:before="0" w:beforeAutospacing="0" w:after="0" w:afterAutospacing="0" w:line="240" w:lineRule="auto"/>
        <w:textAlignment w:val="auto"/>
        <w:rPr>
          <w:rFonts w:cs="Times New Roman"/>
          <w:b w:val="0"/>
          <w:bCs w:val="0"/>
          <w:sz w:val="21"/>
          <w:szCs w:val="22"/>
        </w:rPr>
      </w:pPr>
      <w:r>
        <w:rPr>
          <w:rFonts w:hint="eastAsia" w:cs="Times New Roman"/>
          <w:b w:val="0"/>
          <w:bCs w:val="0"/>
          <w:sz w:val="21"/>
          <w:szCs w:val="22"/>
        </w:rPr>
        <w:t>3.4洪涝风险综合风险分析</w:t>
      </w:r>
    </w:p>
    <w:p>
      <w:pPr>
        <w:pageBreakBefore w:val="0"/>
        <w:kinsoku/>
        <w:wordWrap/>
        <w:overflowPunct/>
        <w:topLinePunct w:val="0"/>
        <w:autoSpaceDE/>
        <w:autoSpaceDN/>
        <w:bidi w:val="0"/>
        <w:adjustRightInd/>
        <w:spacing w:beforeAutospacing="0" w:afterAutospacing="0" w:line="240" w:lineRule="auto"/>
        <w:ind w:firstLine="420"/>
        <w:textAlignment w:val="auto"/>
        <w:rPr>
          <w:lang w:bidi="en-US"/>
        </w:rPr>
      </w:pPr>
      <w:r>
        <w:rPr>
          <w:rFonts w:hint="eastAsia"/>
          <w:sz w:val="21"/>
          <w:szCs w:val="21"/>
          <w:lang w:bidi="en-US"/>
        </w:rPr>
        <w:t>基于GIS平台，对德兴市城区的致灾因子危险性、环境脆弱性及承灾体暴露性进行综合分析，生成了该区域的洪涝风险综合指数分布图。分析结果表明，高风险区域分布于新营一村社区、上洲社区、天门山社区、岁寒山社区、洎水社区、水绿桥社区、银山社区、南门社区、肯堂山社区、银泉社区、吴园社区、胜利亭社区和武安路社区。空间分布特征显示，这些高风险区域主要位于上述社区的沿河地段，且以河道曲流凸岸处最为显著。该区域较高的洪涝综合风险主要源于其致灾因子危险性与环境脆弱性均处于较高水平并产生协同作用，具体如图9所示。</w:t>
      </w:r>
    </w:p>
    <w:p>
      <w:pPr>
        <w:pageBreakBefore w:val="0"/>
        <w:kinsoku/>
        <w:wordWrap/>
        <w:overflowPunct/>
        <w:topLinePunct w:val="0"/>
        <w:autoSpaceDE/>
        <w:autoSpaceDN/>
        <w:bidi w:val="0"/>
        <w:adjustRightInd/>
        <w:spacing w:beforeAutospacing="0" w:afterAutospacing="0" w:line="240" w:lineRule="auto"/>
        <w:ind w:firstLine="0" w:firstLineChars="0"/>
        <w:textAlignment w:val="auto"/>
      </w:pPr>
    </w:p>
    <w:p>
      <w:pPr>
        <w:pStyle w:val="2"/>
        <w:pageBreakBefore w:val="0"/>
        <w:kinsoku/>
        <w:wordWrap/>
        <w:overflowPunct/>
        <w:topLinePunct w:val="0"/>
        <w:autoSpaceDE/>
        <w:autoSpaceDN/>
        <w:bidi w:val="0"/>
        <w:adjustRightInd/>
        <w:spacing w:beforeAutospacing="0" w:afterAutospacing="0" w:line="240" w:lineRule="auto"/>
        <w:ind w:firstLine="0" w:firstLineChars="0"/>
        <w:textAlignment w:val="auto"/>
        <w:rPr>
          <w:rFonts w:hint="eastAsia"/>
          <w:lang w:eastAsia="zh-CN"/>
        </w:rPr>
      </w:pPr>
      <w:r>
        <w:rPr>
          <w:rFonts w:hint="eastAsia"/>
          <w:lang w:eastAsia="zh-CN"/>
        </w:rPr>
        <w:drawing>
          <wp:inline distT="0" distB="0" distL="114300" distR="114300">
            <wp:extent cx="5272405" cy="3729990"/>
            <wp:effectExtent l="0" t="0" r="4445" b="3810"/>
            <wp:docPr id="11" name="图片 11" descr="3df13b2d36936b7bb39deaa111ce404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descr="3df13b2d36936b7bb39deaa111ce4048"/>
                    <pic:cNvPicPr>
                      <a:picLocks noChangeAspect="true"/>
                    </pic:cNvPicPr>
                  </pic:nvPicPr>
                  <pic:blipFill>
                    <a:blip r:embed="rId24"/>
                    <a:stretch>
                      <a:fillRect/>
                    </a:stretch>
                  </pic:blipFill>
                  <pic:spPr>
                    <a:xfrm>
                      <a:off x="0" y="0"/>
                      <a:ext cx="5272405" cy="3729990"/>
                    </a:xfrm>
                    <a:prstGeom prst="rect">
                      <a:avLst/>
                    </a:prstGeom>
                  </pic:spPr>
                </pic:pic>
              </a:graphicData>
            </a:graphic>
          </wp:inline>
        </w:drawing>
      </w:r>
    </w:p>
    <w:p>
      <w:pPr>
        <w:pageBreakBefore w:val="0"/>
        <w:kinsoku/>
        <w:wordWrap/>
        <w:overflowPunct/>
        <w:topLinePunct w:val="0"/>
        <w:autoSpaceDE/>
        <w:autoSpaceDN/>
        <w:bidi w:val="0"/>
        <w:adjustRightInd/>
        <w:spacing w:beforeAutospacing="0" w:afterAutospacing="0" w:line="240" w:lineRule="auto"/>
        <w:ind w:firstLine="482" w:firstLineChars="0"/>
        <w:jc w:val="center"/>
        <w:textAlignment w:val="auto"/>
        <w:rPr>
          <w:rFonts w:eastAsia="黑体" w:cs="Times New Roman"/>
          <w:sz w:val="18"/>
          <w:szCs w:val="18"/>
        </w:rPr>
      </w:pPr>
      <w:r>
        <w:rPr>
          <w:rFonts w:hint="eastAsia" w:eastAsia="黑体" w:cs="Times New Roman"/>
          <w:sz w:val="18"/>
          <w:szCs w:val="18"/>
        </w:rPr>
        <w:t>图9  德兴市城区洪涝风险综合指数分布</w:t>
      </w:r>
    </w:p>
    <w:p>
      <w:pPr>
        <w:pageBreakBefore w:val="0"/>
        <w:kinsoku/>
        <w:wordWrap/>
        <w:overflowPunct/>
        <w:topLinePunct w:val="0"/>
        <w:autoSpaceDE/>
        <w:autoSpaceDN/>
        <w:bidi w:val="0"/>
        <w:adjustRightInd/>
        <w:spacing w:beforeAutospacing="0" w:afterAutospacing="0" w:line="240" w:lineRule="auto"/>
        <w:ind w:firstLine="360"/>
        <w:jc w:val="center"/>
        <w:textAlignment w:val="auto"/>
        <w:rPr>
          <w:rFonts w:eastAsia="黑体" w:cs="Times New Roman"/>
          <w:bCs/>
          <w:sz w:val="18"/>
          <w:szCs w:val="18"/>
        </w:rPr>
      </w:pPr>
      <w:r>
        <w:rPr>
          <w:rFonts w:eastAsia="黑体" w:cs="Times New Roman"/>
          <w:bCs/>
          <w:sz w:val="18"/>
          <w:szCs w:val="18"/>
        </w:rPr>
        <w:t>Fig</w:t>
      </w:r>
      <w:r>
        <w:rPr>
          <w:rFonts w:hint="eastAsia" w:eastAsia="黑体" w:cs="Times New Roman"/>
          <w:bCs/>
          <w:sz w:val="18"/>
          <w:szCs w:val="18"/>
        </w:rPr>
        <w:t>.9</w:t>
      </w:r>
      <w:r>
        <w:rPr>
          <w:rFonts w:eastAsia="黑体" w:cs="Times New Roman"/>
          <w:bCs/>
          <w:sz w:val="18"/>
          <w:szCs w:val="18"/>
        </w:rPr>
        <w:t xml:space="preserve">  Spatial </w:t>
      </w:r>
      <w:r>
        <w:rPr>
          <w:rFonts w:hint="eastAsia" w:eastAsia="黑体" w:cs="Times New Roman"/>
          <w:bCs/>
          <w:sz w:val="18"/>
          <w:szCs w:val="18"/>
        </w:rPr>
        <w:t>d</w:t>
      </w:r>
      <w:r>
        <w:rPr>
          <w:rFonts w:eastAsia="黑体" w:cs="Times New Roman"/>
          <w:bCs/>
          <w:sz w:val="18"/>
          <w:szCs w:val="18"/>
        </w:rPr>
        <w:t xml:space="preserve">istribution of </w:t>
      </w:r>
      <w:r>
        <w:rPr>
          <w:rFonts w:hint="eastAsia" w:eastAsia="黑体" w:cs="Times New Roman"/>
          <w:bCs/>
          <w:sz w:val="18"/>
          <w:szCs w:val="18"/>
        </w:rPr>
        <w:t>i</w:t>
      </w:r>
      <w:r>
        <w:rPr>
          <w:rFonts w:eastAsia="黑体" w:cs="Times New Roman"/>
          <w:bCs/>
          <w:sz w:val="18"/>
          <w:szCs w:val="18"/>
        </w:rPr>
        <w:t xml:space="preserve">ntegrated </w:t>
      </w:r>
      <w:r>
        <w:rPr>
          <w:rFonts w:hint="eastAsia" w:eastAsia="黑体" w:cs="Times New Roman"/>
          <w:bCs/>
          <w:sz w:val="18"/>
          <w:szCs w:val="18"/>
        </w:rPr>
        <w:t>f</w:t>
      </w:r>
      <w:r>
        <w:rPr>
          <w:rFonts w:eastAsia="黑体" w:cs="Times New Roman"/>
          <w:bCs/>
          <w:sz w:val="18"/>
          <w:szCs w:val="18"/>
        </w:rPr>
        <w:t xml:space="preserve">lood </w:t>
      </w:r>
      <w:r>
        <w:rPr>
          <w:rFonts w:hint="eastAsia" w:eastAsia="黑体" w:cs="Times New Roman"/>
          <w:bCs/>
          <w:sz w:val="18"/>
          <w:szCs w:val="18"/>
        </w:rPr>
        <w:t>r</w:t>
      </w:r>
      <w:r>
        <w:rPr>
          <w:rFonts w:eastAsia="黑体" w:cs="Times New Roman"/>
          <w:bCs/>
          <w:sz w:val="18"/>
          <w:szCs w:val="18"/>
        </w:rPr>
        <w:t xml:space="preserve">isk </w:t>
      </w:r>
      <w:r>
        <w:rPr>
          <w:rFonts w:hint="eastAsia" w:eastAsia="黑体" w:cs="Times New Roman"/>
          <w:bCs/>
          <w:sz w:val="18"/>
          <w:szCs w:val="18"/>
        </w:rPr>
        <w:t>i</w:t>
      </w:r>
      <w:r>
        <w:rPr>
          <w:rFonts w:eastAsia="黑体" w:cs="Times New Roman"/>
          <w:bCs/>
          <w:sz w:val="18"/>
          <w:szCs w:val="18"/>
        </w:rPr>
        <w:t>ndex in Dexing urban area</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lang w:bidi="en-US"/>
        </w:rPr>
        <w:t>为量化各社区风险状况，本文统计了各社区内不同风险等级区域的面积，结果如表5所列。</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hint="eastAsia" w:eastAsia="黑体" w:cs="Times New Roman"/>
          <w:sz w:val="18"/>
          <w:szCs w:val="18"/>
        </w:rPr>
        <w:t>表5  德兴市城区各社区风险等级面积统计表</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eastAsia="黑体" w:cs="Times New Roman"/>
          <w:sz w:val="18"/>
          <w:szCs w:val="18"/>
        </w:rPr>
        <w:t xml:space="preserve">Table </w:t>
      </w:r>
      <w:r>
        <w:rPr>
          <w:rFonts w:hint="eastAsia" w:eastAsia="黑体" w:cs="Times New Roman"/>
          <w:sz w:val="18"/>
          <w:szCs w:val="18"/>
        </w:rPr>
        <w:t>5</w:t>
      </w:r>
      <w:r>
        <w:rPr>
          <w:rFonts w:eastAsia="黑体" w:cs="Times New Roman"/>
          <w:sz w:val="18"/>
          <w:szCs w:val="18"/>
        </w:rPr>
        <w:t xml:space="preserve">  </w:t>
      </w:r>
      <w:r>
        <w:rPr>
          <w:rFonts w:hint="eastAsia" w:eastAsia="黑体"/>
          <w:sz w:val="18"/>
          <w:szCs w:val="18"/>
        </w:rPr>
        <w:t xml:space="preserve">Statistics of </w:t>
      </w:r>
      <w:r>
        <w:rPr>
          <w:rFonts w:hint="eastAsia" w:eastAsia="黑体"/>
          <w:sz w:val="18"/>
          <w:szCs w:val="18"/>
          <w:lang w:val="en-US" w:eastAsia="zh-CN"/>
        </w:rPr>
        <w:t>a</w:t>
      </w:r>
      <w:r>
        <w:rPr>
          <w:rFonts w:hint="eastAsia" w:eastAsia="黑体"/>
          <w:sz w:val="18"/>
          <w:szCs w:val="18"/>
        </w:rPr>
        <w:t>rea</w:t>
      </w:r>
      <w:r>
        <w:rPr>
          <w:rFonts w:eastAsia="黑体" w:cs="Times New Roman"/>
          <w:sz w:val="18"/>
          <w:szCs w:val="18"/>
        </w:rPr>
        <w:t xml:space="preserve"> by </w:t>
      </w:r>
      <w:r>
        <w:rPr>
          <w:rFonts w:hint="eastAsia" w:eastAsia="黑体" w:cs="Times New Roman"/>
          <w:sz w:val="18"/>
          <w:szCs w:val="18"/>
        </w:rPr>
        <w:t>f</w:t>
      </w:r>
      <w:r>
        <w:rPr>
          <w:rFonts w:eastAsia="黑体" w:cs="Times New Roman"/>
          <w:sz w:val="18"/>
          <w:szCs w:val="18"/>
        </w:rPr>
        <w:t xml:space="preserve">lood </w:t>
      </w:r>
      <w:r>
        <w:rPr>
          <w:rFonts w:hint="eastAsia" w:eastAsia="黑体" w:cs="Times New Roman"/>
          <w:sz w:val="18"/>
          <w:szCs w:val="18"/>
        </w:rPr>
        <w:t>r</w:t>
      </w:r>
      <w:r>
        <w:rPr>
          <w:rFonts w:eastAsia="黑体" w:cs="Times New Roman"/>
          <w:sz w:val="18"/>
          <w:szCs w:val="18"/>
        </w:rPr>
        <w:t xml:space="preserve">isk </w:t>
      </w:r>
      <w:r>
        <w:rPr>
          <w:rFonts w:hint="eastAsia" w:eastAsia="黑体" w:cs="Times New Roman"/>
          <w:sz w:val="18"/>
          <w:szCs w:val="18"/>
        </w:rPr>
        <w:t>l</w:t>
      </w:r>
      <w:r>
        <w:rPr>
          <w:rFonts w:eastAsia="黑体" w:cs="Times New Roman"/>
          <w:sz w:val="18"/>
          <w:szCs w:val="18"/>
        </w:rPr>
        <w:t xml:space="preserve">evel for </w:t>
      </w:r>
      <w:r>
        <w:rPr>
          <w:rFonts w:hint="eastAsia" w:eastAsia="黑体" w:cs="Times New Roman"/>
          <w:sz w:val="18"/>
          <w:szCs w:val="18"/>
        </w:rPr>
        <w:t>c</w:t>
      </w:r>
      <w:r>
        <w:rPr>
          <w:rFonts w:eastAsia="黑体" w:cs="Times New Roman"/>
          <w:sz w:val="18"/>
          <w:szCs w:val="18"/>
        </w:rPr>
        <w:t xml:space="preserve">ommunities in Dexing </w:t>
      </w:r>
      <w:r>
        <w:rPr>
          <w:rFonts w:hint="eastAsia" w:eastAsia="黑体" w:cs="Times New Roman"/>
          <w:sz w:val="18"/>
          <w:szCs w:val="18"/>
        </w:rPr>
        <w:t>u</w:t>
      </w:r>
      <w:r>
        <w:rPr>
          <w:rFonts w:eastAsia="黑体" w:cs="Times New Roman"/>
          <w:sz w:val="18"/>
          <w:szCs w:val="18"/>
        </w:rPr>
        <w:t xml:space="preserve">rban </w:t>
      </w:r>
      <w:r>
        <w:rPr>
          <w:rFonts w:hint="eastAsia" w:eastAsia="黑体" w:cs="Times New Roman"/>
          <w:sz w:val="18"/>
          <w:szCs w:val="18"/>
        </w:rPr>
        <w:t>a</w:t>
      </w:r>
      <w:r>
        <w:rPr>
          <w:rFonts w:eastAsia="黑体" w:cs="Times New Roman"/>
          <w:sz w:val="18"/>
          <w:szCs w:val="18"/>
        </w:rPr>
        <w:t>rea</w:t>
      </w:r>
    </w:p>
    <w:tbl>
      <w:tblPr>
        <w:tblStyle w:val="14"/>
        <w:tblW w:w="8428" w:type="dxa"/>
        <w:tblInd w:w="0" w:type="dxa"/>
        <w:tblLayout w:type="fixed"/>
        <w:tblCellMar>
          <w:top w:w="0" w:type="dxa"/>
          <w:left w:w="108" w:type="dxa"/>
          <w:bottom w:w="0" w:type="dxa"/>
          <w:right w:w="108" w:type="dxa"/>
        </w:tblCellMar>
      </w:tblPr>
      <w:tblGrid>
        <w:gridCol w:w="1728"/>
        <w:gridCol w:w="1386"/>
        <w:gridCol w:w="1347"/>
        <w:gridCol w:w="1277"/>
        <w:gridCol w:w="1447"/>
        <w:gridCol w:w="1243"/>
      </w:tblGrid>
      <w:tr>
        <w:tblPrEx>
          <w:tblCellMar>
            <w:top w:w="0" w:type="dxa"/>
            <w:left w:w="108" w:type="dxa"/>
            <w:bottom w:w="0" w:type="dxa"/>
            <w:right w:w="108" w:type="dxa"/>
          </w:tblCellMar>
        </w:tblPrEx>
        <w:trPr>
          <w:trHeight w:val="278" w:hRule="atLeast"/>
          <w:tblHeader/>
        </w:trPr>
        <w:tc>
          <w:tcPr>
            <w:tcW w:w="1728"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名称</w:t>
            </w:r>
          </w:p>
        </w:tc>
        <w:tc>
          <w:tcPr>
            <w:tcW w:w="1386"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高风险面积/</w:t>
            </w:r>
            <w:r>
              <w:rPr>
                <w:rFonts w:cs="Times New Roman"/>
                <w:kern w:val="0"/>
                <w:sz w:val="15"/>
                <w:szCs w:val="15"/>
              </w:rPr>
              <w:t>km</w:t>
            </w:r>
            <w:r>
              <w:rPr>
                <w:rFonts w:cs="Times New Roman"/>
                <w:kern w:val="0"/>
                <w:sz w:val="15"/>
                <w:szCs w:val="15"/>
                <w:vertAlign w:val="superscript"/>
              </w:rPr>
              <w:t>2</w:t>
            </w:r>
          </w:p>
        </w:tc>
        <w:tc>
          <w:tcPr>
            <w:tcW w:w="1347"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较高风险面积/</w:t>
            </w:r>
            <w:r>
              <w:rPr>
                <w:rFonts w:cs="Times New Roman"/>
                <w:kern w:val="0"/>
                <w:sz w:val="15"/>
                <w:szCs w:val="15"/>
              </w:rPr>
              <w:t>km</w:t>
            </w:r>
            <w:r>
              <w:rPr>
                <w:rFonts w:cs="Times New Roman"/>
                <w:kern w:val="0"/>
                <w:sz w:val="15"/>
                <w:szCs w:val="15"/>
                <w:vertAlign w:val="superscript"/>
              </w:rPr>
              <w:t>2</w:t>
            </w:r>
          </w:p>
        </w:tc>
        <w:tc>
          <w:tcPr>
            <w:tcW w:w="1277"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中等风险面积/</w:t>
            </w:r>
            <w:r>
              <w:rPr>
                <w:rFonts w:cs="Times New Roman"/>
                <w:kern w:val="0"/>
                <w:sz w:val="15"/>
                <w:szCs w:val="15"/>
              </w:rPr>
              <w:t>km</w:t>
            </w:r>
            <w:r>
              <w:rPr>
                <w:rFonts w:cs="Times New Roman"/>
                <w:kern w:val="0"/>
                <w:sz w:val="15"/>
                <w:szCs w:val="15"/>
                <w:vertAlign w:val="superscript"/>
              </w:rPr>
              <w:t>2</w:t>
            </w:r>
          </w:p>
        </w:tc>
        <w:tc>
          <w:tcPr>
            <w:tcW w:w="1447"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较低风险面积/</w:t>
            </w:r>
            <w:r>
              <w:rPr>
                <w:rFonts w:cs="Times New Roman"/>
                <w:kern w:val="0"/>
                <w:sz w:val="15"/>
                <w:szCs w:val="15"/>
              </w:rPr>
              <w:t>km</w:t>
            </w:r>
            <w:r>
              <w:rPr>
                <w:rFonts w:cs="Times New Roman"/>
                <w:kern w:val="0"/>
                <w:sz w:val="15"/>
                <w:szCs w:val="15"/>
                <w:vertAlign w:val="superscript"/>
              </w:rPr>
              <w:t>2</w:t>
            </w:r>
          </w:p>
        </w:tc>
        <w:tc>
          <w:tcPr>
            <w:tcW w:w="1243"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低风险面积/</w:t>
            </w:r>
            <w:r>
              <w:rPr>
                <w:rFonts w:cs="Times New Roman"/>
                <w:kern w:val="0"/>
                <w:sz w:val="15"/>
                <w:szCs w:val="15"/>
              </w:rPr>
              <w:t>km</w:t>
            </w:r>
            <w:r>
              <w:rPr>
                <w:rFonts w:cs="Times New Roman"/>
                <w:kern w:val="0"/>
                <w:sz w:val="15"/>
                <w:szCs w:val="15"/>
                <w:vertAlign w:val="superscript"/>
              </w:rPr>
              <w:t>2</w:t>
            </w:r>
          </w:p>
        </w:tc>
      </w:tr>
      <w:tr>
        <w:tblPrEx>
          <w:tblCellMar>
            <w:top w:w="0" w:type="dxa"/>
            <w:left w:w="108" w:type="dxa"/>
            <w:bottom w:w="0" w:type="dxa"/>
            <w:right w:w="108" w:type="dxa"/>
          </w:tblCellMar>
        </w:tblPrEx>
        <w:trPr>
          <w:trHeight w:val="278" w:hRule="atLeast"/>
          <w:tblHeader/>
        </w:trPr>
        <w:tc>
          <w:tcPr>
            <w:tcW w:w="1728"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新营一村</w:t>
            </w:r>
          </w:p>
        </w:tc>
        <w:tc>
          <w:tcPr>
            <w:tcW w:w="1386"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0.115 </w:t>
            </w:r>
          </w:p>
        </w:tc>
        <w:tc>
          <w:tcPr>
            <w:tcW w:w="1347"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0.128 </w:t>
            </w:r>
          </w:p>
        </w:tc>
        <w:tc>
          <w:tcPr>
            <w:tcW w:w="1277"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0.426 </w:t>
            </w:r>
          </w:p>
        </w:tc>
        <w:tc>
          <w:tcPr>
            <w:tcW w:w="1447"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0.093 </w:t>
            </w:r>
          </w:p>
        </w:tc>
        <w:tc>
          <w:tcPr>
            <w:tcW w:w="1243"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0.194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上洲社区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0.067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0.107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0.285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0.187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0.078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天门山社区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0.034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0.051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0.049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0.328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0.445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岁寒山社区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0.024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0.162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0.038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0.187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0.162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洎水社区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0.020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0.084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0.155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0.281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0.008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水绿桥社区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0.019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0.064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0.074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0.180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0.068 </w:t>
            </w:r>
          </w:p>
        </w:tc>
      </w:tr>
      <w:tr>
        <w:tblPrEx>
          <w:tblCellMar>
            <w:top w:w="0" w:type="dxa"/>
            <w:left w:w="108" w:type="dxa"/>
            <w:bottom w:w="0" w:type="dxa"/>
            <w:right w:w="108" w:type="dxa"/>
          </w:tblCellMar>
        </w:tblPrEx>
        <w:trPr>
          <w:trHeight w:val="320"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银山社区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0.013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0.060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0.076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0.170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0.023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南门社区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0.012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0.034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0.015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0.158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0.100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肯堂山社区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0.011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0.110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0.025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0.096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0.007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银泉社区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0.011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0.050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0.146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0.041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吴园社区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0.009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0.060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0.557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0.117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胜利亭社区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0.004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0.012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0.086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0.317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0.100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武安路社区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0.002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0.077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0.024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0.139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0.077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凤仪门社区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0.010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0.036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0.253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0.660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彩虹桥社区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0.009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0.013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0.219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0.388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幸福社区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0.187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0.031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新营二村</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0.027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0.196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0.358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0.383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红山社区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0.009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0.317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0.116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女儿田社区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0.036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0.067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0.524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0.183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银鹿社区</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0.009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0.022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0.528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0.914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新营三村</w:t>
            </w:r>
          </w:p>
        </w:tc>
        <w:tc>
          <w:tcPr>
            <w:tcW w:w="1386"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3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0.006 </w:t>
            </w:r>
          </w:p>
        </w:tc>
        <w:tc>
          <w:tcPr>
            <w:tcW w:w="127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0.052 </w:t>
            </w:r>
          </w:p>
        </w:tc>
        <w:tc>
          <w:tcPr>
            <w:tcW w:w="144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0.275 </w:t>
            </w:r>
          </w:p>
        </w:tc>
        <w:tc>
          <w:tcPr>
            <w:tcW w:w="1243"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0.416 </w:t>
            </w:r>
          </w:p>
        </w:tc>
      </w:tr>
      <w:tr>
        <w:tblPrEx>
          <w:tblCellMar>
            <w:top w:w="0" w:type="dxa"/>
            <w:left w:w="108" w:type="dxa"/>
            <w:bottom w:w="0" w:type="dxa"/>
            <w:right w:w="108" w:type="dxa"/>
          </w:tblCellMar>
        </w:tblPrEx>
        <w:trPr>
          <w:trHeight w:val="278" w:hRule="atLeast"/>
          <w:tblHeader/>
        </w:trPr>
        <w:tc>
          <w:tcPr>
            <w:tcW w:w="1728"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胡家村</w:t>
            </w:r>
          </w:p>
        </w:tc>
        <w:tc>
          <w:tcPr>
            <w:tcW w:w="1386"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347"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77"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447"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0.056 </w:t>
            </w:r>
          </w:p>
        </w:tc>
        <w:tc>
          <w:tcPr>
            <w:tcW w:w="1243"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0.005 </w:t>
            </w:r>
          </w:p>
        </w:tc>
      </w:tr>
    </w:tbl>
    <w:p>
      <w:pPr>
        <w:pStyle w:val="4"/>
        <w:pageBreakBefore w:val="0"/>
        <w:numPr>
          <w:ilvl w:val="1"/>
          <w:numId w:val="0"/>
        </w:numPr>
        <w:kinsoku/>
        <w:wordWrap/>
        <w:overflowPunct/>
        <w:topLinePunct w:val="0"/>
        <w:autoSpaceDE/>
        <w:autoSpaceDN/>
        <w:bidi w:val="0"/>
        <w:adjustRightInd/>
        <w:spacing w:before="0" w:beforeAutospacing="0" w:after="0" w:afterAutospacing="0" w:line="240" w:lineRule="auto"/>
        <w:textAlignment w:val="auto"/>
        <w:rPr>
          <w:rFonts w:eastAsia="宋体"/>
          <w:b w:val="0"/>
          <w:bCs w:val="0"/>
          <w:smallCaps w:val="0"/>
          <w:szCs w:val="28"/>
        </w:rPr>
      </w:pPr>
      <w:r>
        <w:rPr>
          <w:rFonts w:hint="eastAsia" w:eastAsia="宋体"/>
          <w:b w:val="0"/>
          <w:bCs w:val="0"/>
          <w:smallCaps w:val="0"/>
          <w:szCs w:val="28"/>
        </w:rPr>
        <w:t>4结果讨论</w:t>
      </w:r>
    </w:p>
    <w:p>
      <w:pPr>
        <w:pStyle w:val="5"/>
        <w:pageBreakBefore w:val="0"/>
        <w:numPr>
          <w:ilvl w:val="2"/>
          <w:numId w:val="0"/>
        </w:numPr>
        <w:kinsoku/>
        <w:wordWrap/>
        <w:overflowPunct/>
        <w:topLinePunct w:val="0"/>
        <w:autoSpaceDE/>
        <w:autoSpaceDN/>
        <w:bidi w:val="0"/>
        <w:adjustRightInd/>
        <w:spacing w:before="0" w:beforeAutospacing="0" w:after="0" w:afterAutospacing="0" w:line="240" w:lineRule="auto"/>
        <w:textAlignment w:val="auto"/>
        <w:rPr>
          <w:rFonts w:cs="Times New Roman"/>
          <w:b w:val="0"/>
          <w:bCs w:val="0"/>
          <w:sz w:val="21"/>
          <w:szCs w:val="22"/>
        </w:rPr>
      </w:pPr>
      <w:r>
        <w:rPr>
          <w:rFonts w:hint="eastAsia" w:cs="Times New Roman"/>
          <w:b w:val="0"/>
          <w:bCs w:val="0"/>
          <w:sz w:val="21"/>
          <w:szCs w:val="22"/>
        </w:rPr>
        <w:t>4.1评估结果验证</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lang w:bidi="en-US"/>
        </w:rPr>
        <w:t>为验证基于博弈论组合赋权法得出的德兴市洪涝风险评估结果的准确性与可靠性，本文同步采用层次分析法（主观赋权）和熵权法（客观赋权）对同一区域进行了洪涝风险评估，所得空间分布结果如图10所示。对比发现，两种方法所获得的风险空间分布总体格局较为一致，但在局部区域存在一定差异，尤其在高风险区的识别范围与空间分布方面表现较为明显。这种差异本质源于二者在赋权原理上的根本不同：层次分析法的权重依据专家经验判断，而熵权法的权重完全由数据本身的变异程度驱动，侧重客观统计规律。这种因方法论本质不同所导致的评估差异，是两类评估路径系统性分歧的体现。但两种方法均具有坚实的科学基础，那么如何对其进行有效整合成为提升风险评估可靠性的关键。</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33"/>
        <w:gridCol w:w="42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319" w:type="dxa"/>
            <w:vAlign w:val="center"/>
          </w:tcPr>
          <w:p>
            <w:pPr>
              <w:pageBreakBefore w:val="0"/>
              <w:kinsoku/>
              <w:wordWrap/>
              <w:overflowPunct/>
              <w:topLinePunct w:val="0"/>
              <w:autoSpaceDE/>
              <w:autoSpaceDN/>
              <w:bidi w:val="0"/>
              <w:adjustRightInd/>
              <w:spacing w:beforeAutospacing="0" w:afterAutospacing="0" w:line="240" w:lineRule="auto"/>
              <w:ind w:firstLine="0" w:firstLineChars="0"/>
              <w:textAlignment w:val="auto"/>
              <w:rPr>
                <w:rFonts w:cs="Times New Roman" w:eastAsiaTheme="minorEastAsia"/>
                <w:szCs w:val="21"/>
              </w:rPr>
            </w:pPr>
            <w:r>
              <w:rPr>
                <w:rFonts w:hint="eastAsia" w:cs="Times New Roman" w:eastAsiaTheme="minorEastAsia"/>
                <w:szCs w:val="21"/>
              </w:rPr>
              <w:drawing>
                <wp:inline distT="0" distB="0" distL="114300" distR="114300">
                  <wp:extent cx="2689225" cy="1901190"/>
                  <wp:effectExtent l="0" t="0" r="3175" b="3810"/>
                  <wp:docPr id="22" name="图片 22" descr="熵权法综合风险"/>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22" descr="熵权法综合风险"/>
                          <pic:cNvPicPr>
                            <a:picLocks noChangeAspect="true"/>
                          </pic:cNvPicPr>
                        </pic:nvPicPr>
                        <pic:blipFill>
                          <a:blip r:embed="rId25"/>
                          <a:stretch>
                            <a:fillRect/>
                          </a:stretch>
                        </pic:blipFill>
                        <pic:spPr>
                          <a:xfrm>
                            <a:off x="0" y="0"/>
                            <a:ext cx="2689225" cy="1901190"/>
                          </a:xfrm>
                          <a:prstGeom prst="rect">
                            <a:avLst/>
                          </a:prstGeom>
                        </pic:spPr>
                      </pic:pic>
                    </a:graphicData>
                  </a:graphic>
                </wp:inline>
              </w:drawing>
            </w:r>
          </w:p>
        </w:tc>
        <w:tc>
          <w:tcPr>
            <w:tcW w:w="4203" w:type="dxa"/>
            <w:vAlign w:val="center"/>
          </w:tcPr>
          <w:p>
            <w:pPr>
              <w:pageBreakBefore w:val="0"/>
              <w:kinsoku/>
              <w:wordWrap/>
              <w:overflowPunct/>
              <w:topLinePunct w:val="0"/>
              <w:autoSpaceDE/>
              <w:autoSpaceDN/>
              <w:bidi w:val="0"/>
              <w:adjustRightInd/>
              <w:spacing w:beforeAutospacing="0" w:afterAutospacing="0" w:line="240" w:lineRule="auto"/>
              <w:ind w:firstLine="0" w:firstLineChars="0"/>
              <w:textAlignment w:val="auto"/>
              <w:rPr>
                <w:rFonts w:cs="Times New Roman" w:eastAsiaTheme="minorEastAsia"/>
                <w:szCs w:val="21"/>
              </w:rPr>
            </w:pPr>
            <w:r>
              <w:rPr>
                <w:rFonts w:hint="eastAsia" w:cs="Times New Roman" w:eastAsiaTheme="minorEastAsia"/>
                <w:szCs w:val="21"/>
              </w:rPr>
              <w:drawing>
                <wp:inline distT="0" distB="0" distL="114300" distR="114300">
                  <wp:extent cx="2718435" cy="1922145"/>
                  <wp:effectExtent l="0" t="0" r="12065" b="8255"/>
                  <wp:docPr id="23" name="图片 23" descr="层次分析风险"/>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3" name="图片 23" descr="层次分析风险"/>
                          <pic:cNvPicPr>
                            <a:picLocks noChangeAspect="true"/>
                          </pic:cNvPicPr>
                        </pic:nvPicPr>
                        <pic:blipFill>
                          <a:blip r:embed="rId26"/>
                          <a:stretch>
                            <a:fillRect/>
                          </a:stretch>
                        </pic:blipFill>
                        <pic:spPr>
                          <a:xfrm>
                            <a:off x="0" y="0"/>
                            <a:ext cx="2718435" cy="192214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319" w:type="dxa"/>
            <w:vAlign w:val="center"/>
          </w:tcPr>
          <w:p>
            <w:pPr>
              <w:pageBreakBefore w:val="0"/>
              <w:kinsoku/>
              <w:wordWrap/>
              <w:overflowPunct/>
              <w:topLinePunct w:val="0"/>
              <w:autoSpaceDE/>
              <w:autoSpaceDN/>
              <w:bidi w:val="0"/>
              <w:adjustRightInd/>
              <w:spacing w:beforeAutospacing="0" w:afterAutospacing="0" w:line="240" w:lineRule="auto"/>
              <w:ind w:firstLine="300"/>
              <w:jc w:val="center"/>
              <w:textAlignment w:val="auto"/>
              <w:rPr>
                <w:rFonts w:cs="Times New Roman" w:eastAsiaTheme="minorEastAsia"/>
                <w:sz w:val="15"/>
                <w:szCs w:val="15"/>
              </w:rPr>
            </w:pPr>
            <w:r>
              <w:rPr>
                <w:rFonts w:cs="Times New Roman" w:eastAsiaTheme="minorEastAsia"/>
                <w:sz w:val="15"/>
                <w:szCs w:val="15"/>
              </w:rPr>
              <w:t>（a）</w:t>
            </w:r>
            <w:r>
              <w:rPr>
                <w:rFonts w:hint="eastAsia" w:cs="Times New Roman" w:eastAsiaTheme="minorEastAsia"/>
                <w:sz w:val="15"/>
                <w:szCs w:val="15"/>
              </w:rPr>
              <w:t>熵权法综合风险</w:t>
            </w:r>
          </w:p>
        </w:tc>
        <w:tc>
          <w:tcPr>
            <w:tcW w:w="4203" w:type="dxa"/>
            <w:vAlign w:val="center"/>
          </w:tcPr>
          <w:p>
            <w:pPr>
              <w:pageBreakBefore w:val="0"/>
              <w:kinsoku/>
              <w:wordWrap/>
              <w:overflowPunct/>
              <w:topLinePunct w:val="0"/>
              <w:autoSpaceDE/>
              <w:autoSpaceDN/>
              <w:bidi w:val="0"/>
              <w:adjustRightInd/>
              <w:spacing w:beforeAutospacing="0" w:afterAutospacing="0" w:line="240" w:lineRule="auto"/>
              <w:ind w:firstLine="300"/>
              <w:jc w:val="center"/>
              <w:textAlignment w:val="auto"/>
              <w:rPr>
                <w:rFonts w:cs="Times New Roman" w:eastAsiaTheme="minorEastAsia"/>
                <w:sz w:val="15"/>
                <w:szCs w:val="15"/>
              </w:rPr>
            </w:pPr>
            <w:r>
              <w:rPr>
                <w:rFonts w:cs="Times New Roman" w:eastAsiaTheme="minorEastAsia"/>
                <w:sz w:val="15"/>
                <w:szCs w:val="15"/>
              </w:rPr>
              <w:t>（b）</w:t>
            </w:r>
            <w:r>
              <w:rPr>
                <w:rFonts w:hint="eastAsia" w:cs="Times New Roman" w:eastAsiaTheme="minorEastAsia"/>
                <w:sz w:val="15"/>
                <w:szCs w:val="15"/>
              </w:rPr>
              <w:t>层次分析法综合风险</w:t>
            </w:r>
          </w:p>
        </w:tc>
      </w:tr>
    </w:tbl>
    <w:p>
      <w:pPr>
        <w:pageBreakBefore w:val="0"/>
        <w:kinsoku/>
        <w:wordWrap/>
        <w:overflowPunct/>
        <w:topLinePunct w:val="0"/>
        <w:autoSpaceDE/>
        <w:autoSpaceDN/>
        <w:bidi w:val="0"/>
        <w:adjustRightInd/>
        <w:spacing w:beforeAutospacing="0" w:afterAutospacing="0" w:line="240" w:lineRule="auto"/>
        <w:ind w:firstLine="482" w:firstLineChars="0"/>
        <w:jc w:val="center"/>
        <w:textAlignment w:val="auto"/>
        <w:rPr>
          <w:rFonts w:eastAsia="黑体" w:cs="Times New Roman"/>
          <w:sz w:val="18"/>
          <w:szCs w:val="18"/>
        </w:rPr>
      </w:pPr>
      <w:r>
        <w:rPr>
          <w:rFonts w:hint="eastAsia" w:eastAsia="黑体" w:cs="Times New Roman"/>
          <w:sz w:val="18"/>
          <w:szCs w:val="18"/>
        </w:rPr>
        <w:t>图10  层次分析法与熵权法洪涝风险综合指数分布图</w:t>
      </w:r>
    </w:p>
    <w:p>
      <w:pPr>
        <w:pageBreakBefore w:val="0"/>
        <w:kinsoku/>
        <w:wordWrap/>
        <w:overflowPunct/>
        <w:topLinePunct w:val="0"/>
        <w:autoSpaceDE/>
        <w:autoSpaceDN/>
        <w:bidi w:val="0"/>
        <w:adjustRightInd/>
        <w:spacing w:beforeAutospacing="0" w:afterAutospacing="0" w:line="240" w:lineRule="auto"/>
        <w:ind w:firstLine="360"/>
        <w:jc w:val="center"/>
        <w:textAlignment w:val="auto"/>
        <w:rPr>
          <w:rFonts w:eastAsia="黑体" w:cs="Times New Roman"/>
          <w:bCs/>
          <w:sz w:val="18"/>
          <w:szCs w:val="18"/>
        </w:rPr>
      </w:pPr>
      <w:r>
        <w:rPr>
          <w:rFonts w:eastAsia="黑体" w:cs="Times New Roman"/>
          <w:bCs/>
          <w:sz w:val="18"/>
          <w:szCs w:val="18"/>
        </w:rPr>
        <w:t>Fig</w:t>
      </w:r>
      <w:r>
        <w:rPr>
          <w:rFonts w:hint="eastAsia" w:eastAsia="黑体" w:cs="Times New Roman"/>
          <w:bCs/>
          <w:sz w:val="18"/>
          <w:szCs w:val="18"/>
        </w:rPr>
        <w:t>.10</w:t>
      </w:r>
      <w:r>
        <w:rPr>
          <w:rFonts w:eastAsia="黑体" w:cs="Times New Roman"/>
          <w:bCs/>
          <w:sz w:val="18"/>
          <w:szCs w:val="18"/>
        </w:rPr>
        <w:t xml:space="preserve">  Distribution of </w:t>
      </w:r>
      <w:r>
        <w:rPr>
          <w:rFonts w:hint="eastAsia" w:eastAsia="黑体" w:cs="Times New Roman"/>
          <w:bCs/>
          <w:sz w:val="18"/>
          <w:szCs w:val="18"/>
        </w:rPr>
        <w:t>i</w:t>
      </w:r>
      <w:r>
        <w:rPr>
          <w:rFonts w:eastAsia="黑体" w:cs="Times New Roman"/>
          <w:bCs/>
          <w:sz w:val="18"/>
          <w:szCs w:val="18"/>
        </w:rPr>
        <w:t xml:space="preserve">ntegrated </w:t>
      </w:r>
      <w:r>
        <w:rPr>
          <w:rFonts w:hint="eastAsia" w:eastAsia="黑体" w:cs="Times New Roman"/>
          <w:bCs/>
          <w:sz w:val="18"/>
          <w:szCs w:val="18"/>
        </w:rPr>
        <w:t>f</w:t>
      </w:r>
      <w:r>
        <w:rPr>
          <w:rFonts w:eastAsia="黑体" w:cs="Times New Roman"/>
          <w:bCs/>
          <w:sz w:val="18"/>
          <w:szCs w:val="18"/>
        </w:rPr>
        <w:t xml:space="preserve">lood </w:t>
      </w:r>
      <w:r>
        <w:rPr>
          <w:rFonts w:hint="eastAsia" w:eastAsia="黑体" w:cs="Times New Roman"/>
          <w:bCs/>
          <w:sz w:val="18"/>
          <w:szCs w:val="18"/>
        </w:rPr>
        <w:t>r</w:t>
      </w:r>
      <w:r>
        <w:rPr>
          <w:rFonts w:eastAsia="黑体" w:cs="Times New Roman"/>
          <w:bCs/>
          <w:sz w:val="18"/>
          <w:szCs w:val="18"/>
        </w:rPr>
        <w:t xml:space="preserve">isk </w:t>
      </w:r>
      <w:r>
        <w:rPr>
          <w:rFonts w:hint="eastAsia" w:eastAsia="黑体" w:cs="Times New Roman"/>
          <w:bCs/>
          <w:sz w:val="18"/>
          <w:szCs w:val="18"/>
        </w:rPr>
        <w:t>i</w:t>
      </w:r>
      <w:r>
        <w:rPr>
          <w:rFonts w:eastAsia="黑体" w:cs="Times New Roman"/>
          <w:bCs/>
          <w:sz w:val="18"/>
          <w:szCs w:val="18"/>
        </w:rPr>
        <w:t xml:space="preserve">ndex </w:t>
      </w:r>
      <w:r>
        <w:rPr>
          <w:rFonts w:hint="eastAsia" w:eastAsia="黑体" w:cs="Times New Roman"/>
          <w:bCs/>
          <w:sz w:val="18"/>
          <w:szCs w:val="18"/>
        </w:rPr>
        <w:t>b</w:t>
      </w:r>
      <w:r>
        <w:rPr>
          <w:rFonts w:eastAsia="黑体" w:cs="Times New Roman"/>
          <w:bCs/>
          <w:sz w:val="18"/>
          <w:szCs w:val="18"/>
        </w:rPr>
        <w:t xml:space="preserve">ased on </w:t>
      </w:r>
      <w:r>
        <w:rPr>
          <w:rFonts w:hint="eastAsia" w:eastAsia="黑体" w:cs="Times New Roman"/>
          <w:bCs/>
          <w:sz w:val="18"/>
          <w:szCs w:val="18"/>
        </w:rPr>
        <w:t>a</w:t>
      </w:r>
      <w:r>
        <w:rPr>
          <w:rFonts w:eastAsia="黑体" w:cs="Times New Roman"/>
          <w:bCs/>
          <w:sz w:val="18"/>
          <w:szCs w:val="18"/>
        </w:rPr>
        <w:t xml:space="preserve">nalytic </w:t>
      </w:r>
      <w:r>
        <w:rPr>
          <w:rFonts w:hint="eastAsia" w:eastAsia="黑体" w:cs="Times New Roman"/>
          <w:bCs/>
          <w:sz w:val="18"/>
          <w:szCs w:val="18"/>
        </w:rPr>
        <w:t>h</w:t>
      </w:r>
      <w:r>
        <w:rPr>
          <w:rFonts w:eastAsia="黑体" w:cs="Times New Roman"/>
          <w:bCs/>
          <w:sz w:val="18"/>
          <w:szCs w:val="18"/>
        </w:rPr>
        <w:t xml:space="preserve">ierarchy </w:t>
      </w:r>
      <w:r>
        <w:rPr>
          <w:rFonts w:hint="eastAsia" w:eastAsia="黑体" w:cs="Times New Roman"/>
          <w:bCs/>
          <w:sz w:val="18"/>
          <w:szCs w:val="18"/>
        </w:rPr>
        <w:t>p</w:t>
      </w:r>
      <w:r>
        <w:rPr>
          <w:rFonts w:eastAsia="黑体" w:cs="Times New Roman"/>
          <w:bCs/>
          <w:sz w:val="18"/>
          <w:szCs w:val="18"/>
        </w:rPr>
        <w:t xml:space="preserve">rocess and </w:t>
      </w:r>
      <w:r>
        <w:rPr>
          <w:rFonts w:hint="eastAsia" w:eastAsia="黑体" w:cs="Times New Roman"/>
          <w:bCs/>
          <w:sz w:val="18"/>
          <w:szCs w:val="18"/>
        </w:rPr>
        <w:t>e</w:t>
      </w:r>
      <w:r>
        <w:rPr>
          <w:rFonts w:eastAsia="黑体" w:cs="Times New Roman"/>
          <w:bCs/>
          <w:sz w:val="18"/>
          <w:szCs w:val="18"/>
        </w:rPr>
        <w:t xml:space="preserve">ntropy </w:t>
      </w:r>
      <w:r>
        <w:rPr>
          <w:rFonts w:hint="eastAsia" w:eastAsia="黑体" w:cs="Times New Roman"/>
          <w:bCs/>
          <w:sz w:val="18"/>
          <w:szCs w:val="18"/>
        </w:rPr>
        <w:t>w</w:t>
      </w:r>
      <w:r>
        <w:rPr>
          <w:rFonts w:eastAsia="黑体" w:cs="Times New Roman"/>
          <w:bCs/>
          <w:sz w:val="18"/>
          <w:szCs w:val="18"/>
        </w:rPr>
        <w:t xml:space="preserve">eight </w:t>
      </w:r>
      <w:r>
        <w:rPr>
          <w:rFonts w:hint="eastAsia" w:eastAsia="黑体" w:cs="Times New Roman"/>
          <w:bCs/>
          <w:sz w:val="18"/>
          <w:szCs w:val="18"/>
        </w:rPr>
        <w:t>m</w:t>
      </w:r>
      <w:r>
        <w:rPr>
          <w:rFonts w:eastAsia="黑体" w:cs="Times New Roman"/>
          <w:bCs/>
          <w:sz w:val="18"/>
          <w:szCs w:val="18"/>
        </w:rPr>
        <w:t>ethod</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lang w:bidi="en-US"/>
        </w:rPr>
        <w:t>为进检验博弈论组合赋权法所获评估结果的合理性，采用斯皮尔曼等级相关系数（Spearman's rank correlation coefficient）与</w:t>
      </w:r>
      <w:r>
        <w:rPr>
          <w:rFonts w:hint="eastAsia"/>
          <w:i/>
          <w:iCs/>
          <w:sz w:val="21"/>
          <w:szCs w:val="21"/>
          <w:lang w:bidi="en-US"/>
        </w:rPr>
        <w:t>Kappa</w:t>
      </w:r>
      <w:r>
        <w:rPr>
          <w:rFonts w:hint="eastAsia"/>
          <w:sz w:val="21"/>
          <w:szCs w:val="21"/>
          <w:lang w:bidi="en-US"/>
        </w:rPr>
        <w:t>系数（Kappa coefficient）进行检验。前者通过衡量两变量排名顺序之间的单调相关性来评估其一致性，对数据分布无特定要求，且对异常值不敏感，适用于评价风险排序的相似性</w:t>
      </w:r>
      <w:r>
        <w:rPr>
          <w:rFonts w:hint="eastAsia"/>
          <w:sz w:val="21"/>
          <w:szCs w:val="21"/>
          <w:vertAlign w:val="superscript"/>
          <w:lang w:bidi="en-US"/>
        </w:rPr>
        <w:fldChar w:fldCharType="begin"/>
      </w:r>
      <w:r>
        <w:rPr>
          <w:rFonts w:hint="eastAsia"/>
          <w:sz w:val="21"/>
          <w:szCs w:val="21"/>
          <w:vertAlign w:val="superscript"/>
          <w:lang w:bidi="en-US"/>
        </w:rPr>
        <w:instrText xml:space="preserve"> REF _Ref7586 \r \h </w:instrText>
      </w:r>
      <w:r>
        <w:rPr>
          <w:rFonts w:hint="eastAsia"/>
          <w:sz w:val="21"/>
          <w:szCs w:val="21"/>
          <w:vertAlign w:val="superscript"/>
          <w:lang w:bidi="en-US"/>
        </w:rPr>
        <w:fldChar w:fldCharType="separate"/>
      </w:r>
      <w:r>
        <w:rPr>
          <w:sz w:val="21"/>
          <w:szCs w:val="21"/>
          <w:vertAlign w:val="superscript"/>
          <w:lang w:bidi="en-US"/>
        </w:rPr>
        <w:t>[33]</w:t>
      </w:r>
      <w:r>
        <w:rPr>
          <w:rFonts w:hint="eastAsia"/>
          <w:sz w:val="21"/>
          <w:szCs w:val="21"/>
          <w:vertAlign w:val="superscript"/>
          <w:lang w:bidi="en-US"/>
        </w:rPr>
        <w:fldChar w:fldCharType="end"/>
      </w:r>
      <w:r>
        <w:rPr>
          <w:rFonts w:hint="eastAsia"/>
          <w:sz w:val="21"/>
          <w:szCs w:val="21"/>
          <w:lang w:bidi="en-US"/>
        </w:rPr>
        <w:t>。后者则通过比较观测一致性与期望一致性来评估分类结果的一致性，能够有效排除随机因素的影响，适用于评价风险等级划分的准确性</w:t>
      </w:r>
      <w:r>
        <w:rPr>
          <w:rFonts w:hint="eastAsia"/>
          <w:sz w:val="21"/>
          <w:szCs w:val="21"/>
          <w:vertAlign w:val="superscript"/>
          <w:lang w:bidi="en-US"/>
        </w:rPr>
        <w:fldChar w:fldCharType="begin"/>
      </w:r>
      <w:r>
        <w:rPr>
          <w:rFonts w:hint="eastAsia"/>
          <w:sz w:val="21"/>
          <w:szCs w:val="21"/>
          <w:vertAlign w:val="superscript"/>
          <w:lang w:bidi="en-US"/>
        </w:rPr>
        <w:instrText xml:space="preserve"> REF _Ref29837 \r \h </w:instrText>
      </w:r>
      <w:r>
        <w:rPr>
          <w:rFonts w:hint="eastAsia"/>
          <w:sz w:val="21"/>
          <w:szCs w:val="21"/>
          <w:vertAlign w:val="superscript"/>
          <w:lang w:bidi="en-US"/>
        </w:rPr>
        <w:fldChar w:fldCharType="separate"/>
      </w:r>
      <w:r>
        <w:rPr>
          <w:sz w:val="21"/>
          <w:szCs w:val="21"/>
          <w:vertAlign w:val="superscript"/>
          <w:lang w:bidi="en-US"/>
        </w:rPr>
        <w:t>[34]</w:t>
      </w:r>
      <w:r>
        <w:rPr>
          <w:rFonts w:hint="eastAsia"/>
          <w:sz w:val="21"/>
          <w:szCs w:val="21"/>
          <w:vertAlign w:val="superscript"/>
          <w:lang w:bidi="en-US"/>
        </w:rPr>
        <w:fldChar w:fldCharType="end"/>
      </w:r>
      <w:r>
        <w:rPr>
          <w:rFonts w:hint="eastAsia"/>
          <w:sz w:val="21"/>
          <w:szCs w:val="21"/>
          <w:lang w:bidi="en-US"/>
        </w:rPr>
        <w:t>。两种方法分别从排序相关性和分类一致性两个维度共同验证评估结果的可靠性。</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lang w:bidi="en-US"/>
        </w:rPr>
        <w:t>斯皮尔曼等级相关系数验证，首先基于层次分析法、熵权法及博弈论组合赋权法分别得到德兴市各社区的洪涝风险分布情况，并按各社区高风险区面积来对社区进行排名（高风险面积最大的社区名为1），面积相同的社区取其排名的平均数。三种方法的各社区风险面积以及排名，如表6所列。</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hint="eastAsia" w:eastAsia="黑体" w:cs="Times New Roman"/>
          <w:sz w:val="18"/>
          <w:szCs w:val="18"/>
        </w:rPr>
        <w:t>表6  不同赋权方法的高风险区面积及排名比较</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eastAsia="黑体" w:cs="Times New Roman"/>
          <w:sz w:val="18"/>
          <w:szCs w:val="18"/>
        </w:rPr>
        <w:t xml:space="preserve">Table </w:t>
      </w:r>
      <w:r>
        <w:rPr>
          <w:rFonts w:hint="eastAsia" w:eastAsia="黑体" w:cs="Times New Roman"/>
          <w:sz w:val="18"/>
          <w:szCs w:val="18"/>
        </w:rPr>
        <w:t>6</w:t>
      </w:r>
      <w:r>
        <w:rPr>
          <w:rFonts w:eastAsia="黑体" w:cs="Times New Roman"/>
          <w:sz w:val="18"/>
          <w:szCs w:val="18"/>
        </w:rPr>
        <w:t xml:space="preserve">  Comparison of area and ranking of high-risk zones under different weighting methods</w:t>
      </w:r>
    </w:p>
    <w:tbl>
      <w:tblPr>
        <w:tblStyle w:val="14"/>
        <w:tblpPr w:leftFromText="180" w:rightFromText="180" w:vertAnchor="text" w:horzAnchor="page" w:tblpX="1824" w:tblpY="285"/>
        <w:tblOverlap w:val="never"/>
        <w:tblW w:w="8504" w:type="dxa"/>
        <w:tblInd w:w="0" w:type="dxa"/>
        <w:tblLayout w:type="fixed"/>
        <w:tblCellMar>
          <w:top w:w="0" w:type="dxa"/>
          <w:left w:w="108" w:type="dxa"/>
          <w:bottom w:w="0" w:type="dxa"/>
          <w:right w:w="108" w:type="dxa"/>
        </w:tblCellMar>
      </w:tblPr>
      <w:tblGrid>
        <w:gridCol w:w="1139"/>
        <w:gridCol w:w="1227"/>
        <w:gridCol w:w="1227"/>
        <w:gridCol w:w="1227"/>
        <w:gridCol w:w="1227"/>
        <w:gridCol w:w="1227"/>
        <w:gridCol w:w="1230"/>
      </w:tblGrid>
      <w:tr>
        <w:tblPrEx>
          <w:tblCellMar>
            <w:top w:w="0" w:type="dxa"/>
            <w:left w:w="108" w:type="dxa"/>
            <w:bottom w:w="0" w:type="dxa"/>
            <w:right w:w="108" w:type="dxa"/>
          </w:tblCellMar>
        </w:tblPrEx>
        <w:trPr>
          <w:trHeight w:val="610" w:hRule="atLeast"/>
          <w:tblHeader/>
        </w:trPr>
        <w:tc>
          <w:tcPr>
            <w:tcW w:w="1139"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名称</w:t>
            </w:r>
          </w:p>
        </w:tc>
        <w:tc>
          <w:tcPr>
            <w:tcW w:w="1227"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层次分析法</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风险值</w:t>
            </w:r>
          </w:p>
        </w:tc>
        <w:tc>
          <w:tcPr>
            <w:tcW w:w="1227"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层次分析法</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排名</w:t>
            </w:r>
          </w:p>
        </w:tc>
        <w:tc>
          <w:tcPr>
            <w:tcW w:w="1227"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熵权法风险值</w:t>
            </w:r>
          </w:p>
        </w:tc>
        <w:tc>
          <w:tcPr>
            <w:tcW w:w="1227"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熵权法排名</w:t>
            </w:r>
          </w:p>
        </w:tc>
        <w:tc>
          <w:tcPr>
            <w:tcW w:w="1227"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博弈论组合</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赋权风险值</w:t>
            </w:r>
          </w:p>
        </w:tc>
        <w:tc>
          <w:tcPr>
            <w:tcW w:w="1230"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博弈论组合</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赋权排名</w:t>
            </w:r>
          </w:p>
        </w:tc>
      </w:tr>
      <w:tr>
        <w:tblPrEx>
          <w:tblCellMar>
            <w:top w:w="0" w:type="dxa"/>
            <w:left w:w="108" w:type="dxa"/>
            <w:bottom w:w="0" w:type="dxa"/>
            <w:right w:w="108" w:type="dxa"/>
          </w:tblCellMar>
        </w:tblPrEx>
        <w:trPr>
          <w:trHeight w:val="278" w:hRule="atLeast"/>
          <w:tblHeader/>
        </w:trPr>
        <w:tc>
          <w:tcPr>
            <w:tcW w:w="1139" w:type="dxa"/>
            <w:tcBorders>
              <w:top w:val="single" w:color="000000" w:sz="4" w:space="0"/>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银山社区</w:t>
            </w:r>
          </w:p>
        </w:tc>
        <w:tc>
          <w:tcPr>
            <w:tcW w:w="1227"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0.042 </w:t>
            </w:r>
          </w:p>
        </w:tc>
        <w:tc>
          <w:tcPr>
            <w:tcW w:w="1227"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8</w:t>
            </w:r>
          </w:p>
        </w:tc>
        <w:tc>
          <w:tcPr>
            <w:tcW w:w="1227"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0.013 </w:t>
            </w:r>
          </w:p>
        </w:tc>
        <w:tc>
          <w:tcPr>
            <w:tcW w:w="1227"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6</w:t>
            </w:r>
          </w:p>
        </w:tc>
        <w:tc>
          <w:tcPr>
            <w:tcW w:w="1227"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0.013 </w:t>
            </w:r>
          </w:p>
        </w:tc>
        <w:tc>
          <w:tcPr>
            <w:tcW w:w="1230"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7</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银泉社区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0.051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7</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0.007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9</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0.011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9.5</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银鹿社区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18.5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幸福社区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18.5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新营一村</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0.187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0.120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0.115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新营三村</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0.002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13.5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r>
      <w:tr>
        <w:tblPrEx>
          <w:tblCellMar>
            <w:top w:w="0" w:type="dxa"/>
            <w:left w:w="108" w:type="dxa"/>
            <w:bottom w:w="0" w:type="dxa"/>
            <w:right w:w="108" w:type="dxa"/>
          </w:tblCellMar>
        </w:tblPrEx>
        <w:trPr>
          <w:trHeight w:val="320"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新营二村</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18.5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武安路社区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0.071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4</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0.002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11.5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0.002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13</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吴园社区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0.009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11.5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0.009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8</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0.009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11</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天门山社区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0.068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0.033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3</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0.034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3</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岁寒山社区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0.154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2</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0.002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11.5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0.024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4</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水绿桥社区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0.041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9</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0.019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0.019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6</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胜利亭社区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0.009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11.5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0.004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12</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上洲社区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0.103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3</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0.067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2</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0.067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2</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女儿田社区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18.5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南门社区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0.040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10</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0.006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10</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0.012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8</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肯堂山社区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0.061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6</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0.011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7</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0.011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9.5</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洎水社区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18.5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0.020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4</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0.020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5</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胡家村</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18.5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红山社区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18.5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凤仪门社区</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18.5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17.5</w:t>
            </w:r>
          </w:p>
        </w:tc>
        <w:tc>
          <w:tcPr>
            <w:tcW w:w="122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30"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single" w:color="000000" w:sz="12" w:space="0"/>
              <w:right w:val="nil"/>
            </w:tcBorders>
            <w:shd w:val="clear" w:color="auto" w:fill="FFFFFF"/>
            <w:noWrap/>
            <w:vAlign w:val="bottom"/>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彩虹桥社区</w:t>
            </w:r>
          </w:p>
        </w:tc>
        <w:tc>
          <w:tcPr>
            <w:tcW w:w="1227"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0.002 </w:t>
            </w:r>
          </w:p>
        </w:tc>
        <w:tc>
          <w:tcPr>
            <w:tcW w:w="1227"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13.5</w:t>
            </w:r>
          </w:p>
        </w:tc>
        <w:tc>
          <w:tcPr>
            <w:tcW w:w="1227"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27"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17.5</w:t>
            </w:r>
          </w:p>
        </w:tc>
        <w:tc>
          <w:tcPr>
            <w:tcW w:w="1227"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cs="Times New Roman"/>
                <w:kern w:val="0"/>
                <w:sz w:val="15"/>
                <w:szCs w:val="15"/>
              </w:rPr>
              <w:t xml:space="preserve">0.000 </w:t>
            </w:r>
          </w:p>
        </w:tc>
        <w:tc>
          <w:tcPr>
            <w:tcW w:w="1230"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r>
    </w:tbl>
    <w:p>
      <w:pPr>
        <w:pStyle w:val="12"/>
        <w:pageBreakBefore w:val="0"/>
        <w:kinsoku/>
        <w:wordWrap/>
        <w:overflowPunct/>
        <w:topLinePunct w:val="0"/>
        <w:autoSpaceDE/>
        <w:autoSpaceDN/>
        <w:bidi w:val="0"/>
        <w:adjustRightInd/>
        <w:spacing w:before="0" w:beforeAutospacing="0" w:after="0" w:afterAutospacing="0" w:line="240" w:lineRule="auto"/>
        <w:textAlignment w:val="auto"/>
        <w:rPr>
          <w:sz w:val="21"/>
          <w:szCs w:val="21"/>
          <w:lang w:bidi="en-US"/>
        </w:rPr>
      </w:pPr>
      <w:r>
        <w:rPr>
          <w:rFonts w:hint="eastAsia"/>
          <w:sz w:val="21"/>
          <w:szCs w:val="21"/>
          <w:lang w:bidi="en-US"/>
        </w:rPr>
        <w:t>随后，计算三种方法两两之间的斯皮尔曼相关系数，斯皮尔曼系数的计算本质上是两个变量等级序列之间的皮尔逊相关系数，其通用计算公式为</w:t>
      </w:r>
    </w:p>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82"/>
        <w:gridCol w:w="5142"/>
        <w:gridCol w:w="1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20"/>
              <w:jc w:val="left"/>
              <w:textAlignment w:val="auto"/>
              <w:rPr>
                <w:sz w:val="21"/>
                <w:szCs w:val="21"/>
              </w:rPr>
            </w:pPr>
          </w:p>
        </w:tc>
        <w:tc>
          <w:tcPr>
            <w:tcW w:w="5125"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r>
                  <m:rPr>
                    <m:nor/>
                  </m:rPr>
                  <w:rPr>
                    <w:rFonts w:cs="Times New Roman"/>
                    <w:i/>
                    <w:sz w:val="21"/>
                    <w:szCs w:val="21"/>
                  </w:rPr>
                  <m:t>ρ</m:t>
                </m:r>
                <m:r>
                  <m:rPr>
                    <m:nor/>
                    <m:sty m:val="p"/>
                  </m:rPr>
                  <w:rPr>
                    <w:rFonts w:cs="Times New Roman"/>
                    <w:b w:val="0"/>
                    <w:i w:val="0"/>
                    <w:sz w:val="21"/>
                    <w:szCs w:val="21"/>
                  </w:rPr>
                  <m:t>=</m:t>
                </m:r>
                <m:f>
                  <m:fPr>
                    <m:ctrlPr>
                      <w:rPr>
                        <w:rFonts w:ascii="Cambria Math" w:hAnsi="Cambria Math" w:cs="Times New Roman"/>
                        <w:i/>
                        <w:sz w:val="21"/>
                        <w:szCs w:val="21"/>
                      </w:rPr>
                    </m:ctrlPr>
                  </m:fPr>
                  <m:num>
                    <m:nary>
                      <m:naryPr>
                        <m:chr m:val="∑"/>
                        <m:limLoc m:val="subSup"/>
                        <m:ctrlPr>
                          <w:rPr>
                            <w:rFonts w:ascii="Cambria Math" w:hAnsi="Cambria Math" w:cs="Times New Roman"/>
                            <w:i/>
                            <w:sz w:val="21"/>
                            <w:szCs w:val="21"/>
                          </w:rPr>
                        </m:ctrlPr>
                      </m:naryPr>
                      <m:sub>
                        <m:r>
                          <m:rPr>
                            <m:nor/>
                          </m:rPr>
                          <w:rPr>
                            <w:rFonts w:cs="Times New Roman"/>
                            <w:i/>
                            <w:sz w:val="21"/>
                            <w:szCs w:val="21"/>
                          </w:rPr>
                          <m:t>i</m:t>
                        </m:r>
                        <m:r>
                          <m:rPr>
                            <m:nor/>
                            <m:sty m:val="p"/>
                          </m:rPr>
                          <w:rPr>
                            <w:rFonts w:cs="Times New Roman"/>
                            <w:b w:val="0"/>
                            <w:i w:val="0"/>
                            <w:sz w:val="21"/>
                            <w:szCs w:val="21"/>
                          </w:rPr>
                          <m:t>=1</m:t>
                        </m:r>
                        <m:ctrlPr>
                          <w:rPr>
                            <w:rFonts w:ascii="Cambria Math" w:hAnsi="Cambria Math" w:cs="Times New Roman"/>
                            <w:i/>
                            <w:sz w:val="21"/>
                            <w:szCs w:val="21"/>
                          </w:rPr>
                        </m:ctrlPr>
                      </m:sub>
                      <m:sup>
                        <m:r>
                          <m:rPr>
                            <m:nor/>
                          </m:rPr>
                          <w:rPr>
                            <w:rFonts w:cs="Times New Roman"/>
                            <w:i/>
                            <w:sz w:val="21"/>
                            <w:szCs w:val="21"/>
                          </w:rPr>
                          <m:t>n</m:t>
                        </m:r>
                        <m:ctrlPr>
                          <w:rPr>
                            <w:rFonts w:ascii="Cambria Math" w:hAnsi="Cambria Math" w:cs="Times New Roman"/>
                            <w:i/>
                            <w:sz w:val="21"/>
                            <w:szCs w:val="21"/>
                          </w:rPr>
                        </m:ctrlPr>
                      </m:sup>
                      <m:e>
                        <m:d>
                          <m:dPr>
                            <m:begChr m:val="["/>
                            <m:endChr m:val="]"/>
                            <m:ctrlPr>
                              <w:rPr>
                                <w:rFonts w:ascii="Cambria Math" w:hAnsi="Cambria Math" w:cs="Times New Roman"/>
                                <w:i/>
                                <w:sz w:val="21"/>
                                <w:szCs w:val="21"/>
                              </w:rPr>
                            </m:ctrlPr>
                          </m:dPr>
                          <m:e>
                            <m:r>
                              <m:rPr>
                                <m:nor/>
                              </m:rPr>
                              <w:rPr>
                                <w:rFonts w:cs="Times New Roman"/>
                                <w:i/>
                                <w:sz w:val="21"/>
                                <w:szCs w:val="21"/>
                              </w:rPr>
                              <m:t>R</m:t>
                            </m:r>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X</m:t>
                                    </m:r>
                                    <m:ctrlPr>
                                      <w:rPr>
                                        <w:rFonts w:ascii="Cambria Math" w:hAnsi="Cambria Math" w:cs="Times New Roman"/>
                                        <w:i/>
                                        <w:sz w:val="21"/>
                                        <w:szCs w:val="21"/>
                                      </w:rPr>
                                    </m:ctrlPr>
                                  </m:e>
                                  <m:sub>
                                    <m:r>
                                      <m:rPr>
                                        <m:nor/>
                                      </m:rPr>
                                      <w:rPr>
                                        <w:rFonts w:cs="Times New Roman"/>
                                        <w:i/>
                                        <w:sz w:val="21"/>
                                        <w:szCs w:val="21"/>
                                      </w:rPr>
                                      <m:t>i</m:t>
                                    </m:r>
                                    <m:ctrlPr>
                                      <w:rPr>
                                        <w:rFonts w:ascii="Cambria Math" w:hAnsi="Cambria Math" w:cs="Times New Roman"/>
                                        <w:i/>
                                        <w:sz w:val="21"/>
                                        <w:szCs w:val="21"/>
                                      </w:rPr>
                                    </m:ctrlPr>
                                  </m:sub>
                                </m:sSub>
                                <m:ctrlPr>
                                  <w:rPr>
                                    <w:rFonts w:ascii="Cambria Math" w:hAnsi="Cambria Math" w:cs="Times New Roman"/>
                                    <w:i/>
                                    <w:sz w:val="21"/>
                                    <w:szCs w:val="21"/>
                                  </w:rPr>
                                </m:ctrlPr>
                              </m:e>
                            </m:d>
                            <m:r>
                              <m:rPr>
                                <m:nor/>
                                <m:sty m:val="p"/>
                              </m:rPr>
                              <w:rPr>
                                <w:rFonts w:cs="Times New Roman"/>
                                <w:b w:val="0"/>
                                <w:i w:val="0"/>
                                <w:sz w:val="21"/>
                                <w:szCs w:val="21"/>
                              </w:rPr>
                              <m:t>-</m:t>
                            </m:r>
                            <m:sSub>
                              <m:sSubPr>
                                <m:ctrlPr>
                                  <w:rPr>
                                    <w:rFonts w:ascii="Cambria Math" w:hAnsi="Cambria Math" w:cs="Times New Roman"/>
                                    <w:i/>
                                    <w:sz w:val="21"/>
                                    <w:szCs w:val="21"/>
                                  </w:rPr>
                                </m:ctrlPr>
                              </m:sSubPr>
                              <m:e>
                                <m:acc>
                                  <m:accPr>
                                    <m:chr m:val="̅"/>
                                    <m:ctrlPr>
                                      <w:rPr>
                                        <w:rFonts w:ascii="Cambria Math" w:hAnsi="Cambria Math" w:cs="Times New Roman"/>
                                        <w:i/>
                                        <w:sz w:val="21"/>
                                        <w:szCs w:val="21"/>
                                      </w:rPr>
                                    </m:ctrlPr>
                                  </m:accPr>
                                  <m:e>
                                    <m:r>
                                      <m:rPr>
                                        <m:nor/>
                                      </m:rPr>
                                      <w:rPr>
                                        <w:rFonts w:cs="Times New Roman"/>
                                        <w:i/>
                                        <w:sz w:val="21"/>
                                        <w:szCs w:val="21"/>
                                      </w:rPr>
                                      <m:t>R</m:t>
                                    </m:r>
                                    <m:ctrlPr>
                                      <w:rPr>
                                        <w:rFonts w:ascii="Cambria Math" w:hAnsi="Cambria Math" w:cs="Times New Roman"/>
                                        <w:i/>
                                        <w:sz w:val="21"/>
                                        <w:szCs w:val="21"/>
                                      </w:rPr>
                                    </m:ctrlPr>
                                  </m:e>
                                </m:acc>
                                <m:ctrlPr>
                                  <w:rPr>
                                    <w:rFonts w:ascii="Cambria Math" w:hAnsi="Cambria Math" w:cs="Times New Roman"/>
                                    <w:i/>
                                    <w:sz w:val="21"/>
                                    <w:szCs w:val="21"/>
                                  </w:rPr>
                                </m:ctrlPr>
                              </m:e>
                              <m:sub>
                                <m:r>
                                  <m:rPr>
                                    <m:nor/>
                                  </m:rPr>
                                  <w:rPr>
                                    <w:rFonts w:cs="Times New Roman"/>
                                    <w:i/>
                                    <w:sz w:val="21"/>
                                    <w:szCs w:val="21"/>
                                  </w:rPr>
                                  <m:t>X</m:t>
                                </m:r>
                                <m:ctrlPr>
                                  <w:rPr>
                                    <w:rFonts w:ascii="Cambria Math" w:hAnsi="Cambria Math" w:cs="Times New Roman"/>
                                    <w:i/>
                                    <w:sz w:val="21"/>
                                    <w:szCs w:val="21"/>
                                  </w:rPr>
                                </m:ctrlPr>
                              </m:sub>
                            </m:sSub>
                            <m:ctrlPr>
                              <w:rPr>
                                <w:rFonts w:ascii="Cambria Math" w:hAnsi="Cambria Math" w:cs="Times New Roman"/>
                                <w:i/>
                                <w:sz w:val="21"/>
                                <w:szCs w:val="21"/>
                              </w:rPr>
                            </m:ctrlPr>
                          </m:e>
                        </m:d>
                        <m:d>
                          <m:dPr>
                            <m:begChr m:val="["/>
                            <m:endChr m:val="]"/>
                            <m:ctrlPr>
                              <w:rPr>
                                <w:rFonts w:ascii="Cambria Math" w:hAnsi="Cambria Math" w:cs="Times New Roman"/>
                                <w:i/>
                                <w:sz w:val="21"/>
                                <w:szCs w:val="21"/>
                              </w:rPr>
                            </m:ctrlPr>
                          </m:dPr>
                          <m:e>
                            <m:r>
                              <m:rPr>
                                <m:nor/>
                              </m:rPr>
                              <w:rPr>
                                <w:rFonts w:cs="Times New Roman"/>
                                <w:i/>
                                <w:sz w:val="21"/>
                                <w:szCs w:val="21"/>
                              </w:rPr>
                              <m:t>R</m:t>
                            </m:r>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Y</m:t>
                                    </m:r>
                                    <m:ctrlPr>
                                      <w:rPr>
                                        <w:rFonts w:ascii="Cambria Math" w:hAnsi="Cambria Math" w:cs="Times New Roman"/>
                                        <w:i/>
                                        <w:sz w:val="21"/>
                                        <w:szCs w:val="21"/>
                                      </w:rPr>
                                    </m:ctrlPr>
                                  </m:e>
                                  <m:sub>
                                    <m:r>
                                      <m:rPr>
                                        <m:nor/>
                                      </m:rPr>
                                      <w:rPr>
                                        <w:rFonts w:cs="Times New Roman"/>
                                        <w:i/>
                                        <w:sz w:val="21"/>
                                        <w:szCs w:val="21"/>
                                      </w:rPr>
                                      <m:t>i</m:t>
                                    </m:r>
                                    <m:ctrlPr>
                                      <w:rPr>
                                        <w:rFonts w:ascii="Cambria Math" w:hAnsi="Cambria Math" w:cs="Times New Roman"/>
                                        <w:i/>
                                        <w:sz w:val="21"/>
                                        <w:szCs w:val="21"/>
                                      </w:rPr>
                                    </m:ctrlPr>
                                  </m:sub>
                                </m:sSub>
                                <m:ctrlPr>
                                  <w:rPr>
                                    <w:rFonts w:ascii="Cambria Math" w:hAnsi="Cambria Math" w:cs="Times New Roman"/>
                                    <w:i/>
                                    <w:sz w:val="21"/>
                                    <w:szCs w:val="21"/>
                                  </w:rPr>
                                </m:ctrlPr>
                              </m:e>
                            </m:d>
                            <m:r>
                              <m:rPr>
                                <m:nor/>
                                <m:sty m:val="p"/>
                              </m:rPr>
                              <w:rPr>
                                <w:rFonts w:cs="Times New Roman"/>
                                <w:b w:val="0"/>
                                <w:i w:val="0"/>
                                <w:sz w:val="21"/>
                                <w:szCs w:val="21"/>
                              </w:rPr>
                              <m:t>-</m:t>
                            </m:r>
                            <m:sSub>
                              <m:sSubPr>
                                <m:ctrlPr>
                                  <w:rPr>
                                    <w:rFonts w:ascii="Cambria Math" w:hAnsi="Cambria Math" w:cs="Times New Roman"/>
                                    <w:i/>
                                    <w:sz w:val="21"/>
                                    <w:szCs w:val="21"/>
                                  </w:rPr>
                                </m:ctrlPr>
                              </m:sSubPr>
                              <m:e>
                                <m:acc>
                                  <m:accPr>
                                    <m:chr m:val="̅"/>
                                    <m:ctrlPr>
                                      <w:rPr>
                                        <w:rFonts w:ascii="Cambria Math" w:hAnsi="Cambria Math" w:cs="Times New Roman"/>
                                        <w:i/>
                                        <w:sz w:val="21"/>
                                        <w:szCs w:val="21"/>
                                      </w:rPr>
                                    </m:ctrlPr>
                                  </m:accPr>
                                  <m:e>
                                    <m:r>
                                      <m:rPr>
                                        <m:nor/>
                                      </m:rPr>
                                      <w:rPr>
                                        <w:rFonts w:cs="Times New Roman"/>
                                        <w:i/>
                                        <w:sz w:val="21"/>
                                        <w:szCs w:val="21"/>
                                      </w:rPr>
                                      <m:t>R</m:t>
                                    </m:r>
                                    <m:ctrlPr>
                                      <w:rPr>
                                        <w:rFonts w:ascii="Cambria Math" w:hAnsi="Cambria Math" w:cs="Times New Roman"/>
                                        <w:i/>
                                        <w:sz w:val="21"/>
                                        <w:szCs w:val="21"/>
                                      </w:rPr>
                                    </m:ctrlPr>
                                  </m:e>
                                </m:acc>
                                <m:ctrlPr>
                                  <w:rPr>
                                    <w:rFonts w:ascii="Cambria Math" w:hAnsi="Cambria Math" w:cs="Times New Roman"/>
                                    <w:i/>
                                    <w:sz w:val="21"/>
                                    <w:szCs w:val="21"/>
                                  </w:rPr>
                                </m:ctrlPr>
                              </m:e>
                              <m:sub>
                                <m:r>
                                  <m:rPr>
                                    <m:nor/>
                                  </m:rPr>
                                  <w:rPr>
                                    <w:rFonts w:cs="Times New Roman"/>
                                    <w:i/>
                                    <w:sz w:val="21"/>
                                    <w:szCs w:val="21"/>
                                  </w:rPr>
                                  <m:t>Y</m:t>
                                </m:r>
                                <m:ctrlPr>
                                  <w:rPr>
                                    <w:rFonts w:ascii="Cambria Math" w:hAnsi="Cambria Math" w:cs="Times New Roman"/>
                                    <w:i/>
                                    <w:sz w:val="21"/>
                                    <w:szCs w:val="21"/>
                                  </w:rPr>
                                </m:ctrlPr>
                              </m:sub>
                            </m:sSub>
                            <m:ctrlPr>
                              <w:rPr>
                                <w:rFonts w:ascii="Cambria Math" w:hAnsi="Cambria Math" w:cs="Times New Roman"/>
                                <w:i/>
                                <w:sz w:val="21"/>
                                <w:szCs w:val="21"/>
                              </w:rPr>
                            </m:ctrlPr>
                          </m:e>
                        </m:d>
                        <m:ctrlPr>
                          <w:rPr>
                            <w:rFonts w:ascii="Cambria Math" w:hAnsi="Cambria Math" w:cs="Times New Roman"/>
                            <w:i/>
                            <w:sz w:val="21"/>
                            <w:szCs w:val="21"/>
                          </w:rPr>
                        </m:ctrlPr>
                      </m:e>
                    </m:nary>
                    <m:ctrlPr>
                      <w:rPr>
                        <w:rFonts w:ascii="Cambria Math" w:hAnsi="Cambria Math" w:cs="Times New Roman"/>
                        <w:i/>
                        <w:sz w:val="21"/>
                        <w:szCs w:val="21"/>
                      </w:rPr>
                    </m:ctrlPr>
                  </m:num>
                  <m:den>
                    <m:rad>
                      <m:radPr>
                        <m:degHide m:val="true"/>
                        <m:ctrlPr>
                          <w:rPr>
                            <w:rFonts w:ascii="Cambria Math" w:hAnsi="Cambria Math" w:cs="Times New Roman"/>
                            <w:i/>
                            <w:sz w:val="21"/>
                            <w:szCs w:val="21"/>
                          </w:rPr>
                        </m:ctrlPr>
                      </m:radPr>
                      <m:deg>
                        <m:ctrlPr>
                          <w:rPr>
                            <w:rFonts w:ascii="Cambria Math" w:hAnsi="Cambria Math" w:cs="Times New Roman"/>
                            <w:i/>
                            <w:sz w:val="21"/>
                            <w:szCs w:val="21"/>
                          </w:rPr>
                        </m:ctrlPr>
                      </m:deg>
                      <m:e>
                        <m:nary>
                          <m:naryPr>
                            <m:chr m:val="∑"/>
                            <m:limLoc m:val="subSup"/>
                            <m:ctrlPr>
                              <w:rPr>
                                <w:rFonts w:ascii="Cambria Math" w:hAnsi="Cambria Math" w:cs="Times New Roman"/>
                                <w:i/>
                                <w:sz w:val="21"/>
                                <w:szCs w:val="21"/>
                              </w:rPr>
                            </m:ctrlPr>
                          </m:naryPr>
                          <m:sub>
                            <m:r>
                              <m:rPr>
                                <m:nor/>
                              </m:rPr>
                              <w:rPr>
                                <w:rFonts w:cs="Times New Roman"/>
                                <w:i/>
                                <w:sz w:val="21"/>
                                <w:szCs w:val="21"/>
                              </w:rPr>
                              <m:t>i</m:t>
                            </m:r>
                            <m:r>
                              <m:rPr>
                                <m:nor/>
                                <m:sty m:val="p"/>
                              </m:rPr>
                              <w:rPr>
                                <w:rFonts w:cs="Times New Roman"/>
                                <w:b w:val="0"/>
                                <w:i w:val="0"/>
                                <w:sz w:val="21"/>
                                <w:szCs w:val="21"/>
                              </w:rPr>
                              <m:t>=1</m:t>
                            </m:r>
                            <m:ctrlPr>
                              <w:rPr>
                                <w:rFonts w:ascii="Cambria Math" w:hAnsi="Cambria Math" w:cs="Times New Roman"/>
                                <w:i/>
                                <w:sz w:val="21"/>
                                <w:szCs w:val="21"/>
                              </w:rPr>
                            </m:ctrlPr>
                          </m:sub>
                          <m:sup>
                            <m:r>
                              <m:rPr>
                                <m:nor/>
                              </m:rPr>
                              <w:rPr>
                                <w:rFonts w:cs="Times New Roman"/>
                                <w:i/>
                                <w:sz w:val="21"/>
                                <w:szCs w:val="21"/>
                              </w:rPr>
                              <m:t>n</m:t>
                            </m:r>
                            <m:ctrlPr>
                              <w:rPr>
                                <w:rFonts w:ascii="Cambria Math" w:hAnsi="Cambria Math" w:cs="Times New Roman"/>
                                <w:i/>
                                <w:sz w:val="21"/>
                                <w:szCs w:val="21"/>
                              </w:rPr>
                            </m:ctrlPr>
                          </m:sup>
                          <m:e>
                            <m:sSup>
                              <m:sSupPr>
                                <m:ctrlPr>
                                  <w:rPr>
                                    <w:rFonts w:ascii="Cambria Math" w:hAnsi="Cambria Math" w:cs="Times New Roman"/>
                                    <w:i/>
                                    <w:sz w:val="21"/>
                                    <w:szCs w:val="21"/>
                                  </w:rPr>
                                </m:ctrlPr>
                              </m:sSupPr>
                              <m:e>
                                <m:d>
                                  <m:dPr>
                                    <m:begChr m:val="["/>
                                    <m:endChr m:val="]"/>
                                    <m:ctrlPr>
                                      <w:rPr>
                                        <w:rFonts w:ascii="Cambria Math" w:hAnsi="Cambria Math" w:cs="Times New Roman"/>
                                        <w:i/>
                                        <w:sz w:val="21"/>
                                        <w:szCs w:val="21"/>
                                      </w:rPr>
                                    </m:ctrlPr>
                                  </m:dPr>
                                  <m:e>
                                    <m:r>
                                      <m:rPr>
                                        <m:nor/>
                                      </m:rPr>
                                      <w:rPr>
                                        <w:rFonts w:cs="Times New Roman"/>
                                        <w:i/>
                                        <w:sz w:val="21"/>
                                        <w:szCs w:val="21"/>
                                      </w:rPr>
                                      <m:t>R</m:t>
                                    </m:r>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X</m:t>
                                            </m:r>
                                            <m:ctrlPr>
                                              <w:rPr>
                                                <w:rFonts w:ascii="Cambria Math" w:hAnsi="Cambria Math" w:cs="Times New Roman"/>
                                                <w:i/>
                                                <w:sz w:val="21"/>
                                                <w:szCs w:val="21"/>
                                              </w:rPr>
                                            </m:ctrlPr>
                                          </m:e>
                                          <m:sub>
                                            <m:r>
                                              <m:rPr>
                                                <m:nor/>
                                              </m:rPr>
                                              <w:rPr>
                                                <w:rFonts w:cs="Times New Roman"/>
                                                <w:i/>
                                                <w:sz w:val="21"/>
                                                <w:szCs w:val="21"/>
                                              </w:rPr>
                                              <m:t>i</m:t>
                                            </m:r>
                                            <m:ctrlPr>
                                              <w:rPr>
                                                <w:rFonts w:ascii="Cambria Math" w:hAnsi="Cambria Math" w:cs="Times New Roman"/>
                                                <w:i/>
                                                <w:sz w:val="21"/>
                                                <w:szCs w:val="21"/>
                                              </w:rPr>
                                            </m:ctrlPr>
                                          </m:sub>
                                        </m:sSub>
                                        <m:ctrlPr>
                                          <w:rPr>
                                            <w:rFonts w:ascii="Cambria Math" w:hAnsi="Cambria Math" w:cs="Times New Roman"/>
                                            <w:i/>
                                            <w:sz w:val="21"/>
                                            <w:szCs w:val="21"/>
                                          </w:rPr>
                                        </m:ctrlPr>
                                      </m:e>
                                    </m:d>
                                    <m:r>
                                      <m:rPr>
                                        <m:nor/>
                                        <m:sty m:val="p"/>
                                      </m:rPr>
                                      <w:rPr>
                                        <w:rFonts w:cs="Times New Roman"/>
                                        <w:b w:val="0"/>
                                        <w:i w:val="0"/>
                                        <w:sz w:val="21"/>
                                        <w:szCs w:val="21"/>
                                      </w:rPr>
                                      <m:t>-</m:t>
                                    </m:r>
                                    <m:sSub>
                                      <m:sSubPr>
                                        <m:ctrlPr>
                                          <w:rPr>
                                            <w:rFonts w:ascii="Cambria Math" w:hAnsi="Cambria Math" w:cs="Times New Roman"/>
                                            <w:i/>
                                            <w:sz w:val="21"/>
                                            <w:szCs w:val="21"/>
                                          </w:rPr>
                                        </m:ctrlPr>
                                      </m:sSubPr>
                                      <m:e>
                                        <m:acc>
                                          <m:accPr>
                                            <m:chr m:val="̅"/>
                                            <m:ctrlPr>
                                              <w:rPr>
                                                <w:rFonts w:ascii="Cambria Math" w:hAnsi="Cambria Math" w:cs="Times New Roman"/>
                                                <w:i/>
                                                <w:sz w:val="21"/>
                                                <w:szCs w:val="21"/>
                                              </w:rPr>
                                            </m:ctrlPr>
                                          </m:accPr>
                                          <m:e>
                                            <m:r>
                                              <m:rPr>
                                                <m:nor/>
                                              </m:rPr>
                                              <w:rPr>
                                                <w:rFonts w:cs="Times New Roman"/>
                                                <w:i/>
                                                <w:sz w:val="21"/>
                                                <w:szCs w:val="21"/>
                                              </w:rPr>
                                              <m:t>R</m:t>
                                            </m:r>
                                            <m:ctrlPr>
                                              <w:rPr>
                                                <w:rFonts w:ascii="Cambria Math" w:hAnsi="Cambria Math" w:cs="Times New Roman"/>
                                                <w:i/>
                                                <w:sz w:val="21"/>
                                                <w:szCs w:val="21"/>
                                              </w:rPr>
                                            </m:ctrlPr>
                                          </m:e>
                                        </m:acc>
                                        <m:ctrlPr>
                                          <w:rPr>
                                            <w:rFonts w:ascii="Cambria Math" w:hAnsi="Cambria Math" w:cs="Times New Roman"/>
                                            <w:i/>
                                            <w:sz w:val="21"/>
                                            <w:szCs w:val="21"/>
                                          </w:rPr>
                                        </m:ctrlPr>
                                      </m:e>
                                      <m:sub>
                                        <m:r>
                                          <m:rPr>
                                            <m:nor/>
                                          </m:rPr>
                                          <w:rPr>
                                            <w:rFonts w:cs="Times New Roman"/>
                                            <w:i/>
                                            <w:sz w:val="21"/>
                                            <w:szCs w:val="21"/>
                                          </w:rPr>
                                          <m:t>X</m:t>
                                        </m:r>
                                        <m:ctrlPr>
                                          <w:rPr>
                                            <w:rFonts w:ascii="Cambria Math" w:hAnsi="Cambria Math" w:cs="Times New Roman"/>
                                            <w:i/>
                                            <w:sz w:val="21"/>
                                            <w:szCs w:val="21"/>
                                          </w:rPr>
                                        </m:ctrlPr>
                                      </m:sub>
                                    </m:sSub>
                                    <m:ctrlPr>
                                      <w:rPr>
                                        <w:rFonts w:ascii="Cambria Math" w:hAnsi="Cambria Math" w:cs="Times New Roman"/>
                                        <w:i/>
                                        <w:sz w:val="21"/>
                                        <w:szCs w:val="21"/>
                                      </w:rPr>
                                    </m:ctrlPr>
                                  </m:e>
                                </m:d>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ctrlPr>
                              <w:rPr>
                                <w:rFonts w:ascii="Cambria Math" w:hAnsi="Cambria Math" w:cs="Times New Roman"/>
                                <w:i/>
                                <w:sz w:val="21"/>
                                <w:szCs w:val="21"/>
                              </w:rPr>
                            </m:ctrlPr>
                          </m:e>
                        </m:nary>
                        <m:nary>
                          <m:naryPr>
                            <m:chr m:val="∑"/>
                            <m:limLoc m:val="subSup"/>
                            <m:ctrlPr>
                              <w:rPr>
                                <w:rFonts w:ascii="Cambria Math" w:hAnsi="Cambria Math" w:cs="Times New Roman"/>
                                <w:i/>
                                <w:sz w:val="21"/>
                                <w:szCs w:val="21"/>
                              </w:rPr>
                            </m:ctrlPr>
                          </m:naryPr>
                          <m:sub>
                            <m:r>
                              <m:rPr>
                                <m:nor/>
                              </m:rPr>
                              <w:rPr>
                                <w:rFonts w:cs="Times New Roman"/>
                                <w:i/>
                                <w:sz w:val="21"/>
                                <w:szCs w:val="21"/>
                              </w:rPr>
                              <m:t>i</m:t>
                            </m:r>
                            <m:r>
                              <m:rPr>
                                <m:nor/>
                                <m:sty m:val="p"/>
                              </m:rPr>
                              <w:rPr>
                                <w:rFonts w:cs="Times New Roman"/>
                                <w:b w:val="0"/>
                                <w:i w:val="0"/>
                                <w:sz w:val="21"/>
                                <w:szCs w:val="21"/>
                              </w:rPr>
                              <m:t>=1</m:t>
                            </m:r>
                            <m:ctrlPr>
                              <w:rPr>
                                <w:rFonts w:ascii="Cambria Math" w:hAnsi="Cambria Math" w:cs="Times New Roman"/>
                                <w:i/>
                                <w:sz w:val="21"/>
                                <w:szCs w:val="21"/>
                              </w:rPr>
                            </m:ctrlPr>
                          </m:sub>
                          <m:sup>
                            <m:r>
                              <m:rPr>
                                <m:nor/>
                              </m:rPr>
                              <w:rPr>
                                <w:rFonts w:cs="Times New Roman"/>
                                <w:i/>
                                <w:sz w:val="21"/>
                                <w:szCs w:val="21"/>
                              </w:rPr>
                              <m:t>n</m:t>
                            </m:r>
                            <m:ctrlPr>
                              <w:rPr>
                                <w:rFonts w:ascii="Cambria Math" w:hAnsi="Cambria Math" w:cs="Times New Roman"/>
                                <w:i/>
                                <w:sz w:val="21"/>
                                <w:szCs w:val="21"/>
                              </w:rPr>
                            </m:ctrlPr>
                          </m:sup>
                          <m:e>
                            <m:sSup>
                              <m:sSupPr>
                                <m:ctrlPr>
                                  <w:rPr>
                                    <w:rFonts w:ascii="Cambria Math" w:hAnsi="Cambria Math" w:cs="Times New Roman"/>
                                    <w:i/>
                                    <w:sz w:val="21"/>
                                    <w:szCs w:val="21"/>
                                  </w:rPr>
                                </m:ctrlPr>
                              </m:sSupPr>
                              <m:e>
                                <m:d>
                                  <m:dPr>
                                    <m:begChr m:val="["/>
                                    <m:endChr m:val="]"/>
                                    <m:ctrlPr>
                                      <w:rPr>
                                        <w:rFonts w:ascii="Cambria Math" w:hAnsi="Cambria Math" w:cs="Times New Roman"/>
                                        <w:i/>
                                        <w:sz w:val="21"/>
                                        <w:szCs w:val="21"/>
                                      </w:rPr>
                                    </m:ctrlPr>
                                  </m:dPr>
                                  <m:e>
                                    <m:r>
                                      <m:rPr>
                                        <m:nor/>
                                      </m:rPr>
                                      <w:rPr>
                                        <w:rFonts w:cs="Times New Roman"/>
                                        <w:i/>
                                        <w:sz w:val="21"/>
                                        <w:szCs w:val="21"/>
                                      </w:rPr>
                                      <m:t>R</m:t>
                                    </m:r>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m:rPr>
                                                <m:nor/>
                                              </m:rPr>
                                              <w:rPr>
                                                <w:rFonts w:cs="Times New Roman"/>
                                                <w:i/>
                                                <w:sz w:val="21"/>
                                                <w:szCs w:val="21"/>
                                              </w:rPr>
                                              <m:t>Y</m:t>
                                            </m:r>
                                            <m:ctrlPr>
                                              <w:rPr>
                                                <w:rFonts w:ascii="Cambria Math" w:hAnsi="Cambria Math" w:cs="Times New Roman"/>
                                                <w:i/>
                                                <w:sz w:val="21"/>
                                                <w:szCs w:val="21"/>
                                              </w:rPr>
                                            </m:ctrlPr>
                                          </m:e>
                                          <m:sub>
                                            <m:r>
                                              <m:rPr>
                                                <m:nor/>
                                              </m:rPr>
                                              <w:rPr>
                                                <w:rFonts w:cs="Times New Roman"/>
                                                <w:i/>
                                                <w:sz w:val="21"/>
                                                <w:szCs w:val="21"/>
                                              </w:rPr>
                                              <m:t>i</m:t>
                                            </m:r>
                                            <m:ctrlPr>
                                              <w:rPr>
                                                <w:rFonts w:ascii="Cambria Math" w:hAnsi="Cambria Math" w:cs="Times New Roman"/>
                                                <w:i/>
                                                <w:sz w:val="21"/>
                                                <w:szCs w:val="21"/>
                                              </w:rPr>
                                            </m:ctrlPr>
                                          </m:sub>
                                        </m:sSub>
                                        <m:ctrlPr>
                                          <w:rPr>
                                            <w:rFonts w:ascii="Cambria Math" w:hAnsi="Cambria Math" w:cs="Times New Roman"/>
                                            <w:i/>
                                            <w:sz w:val="21"/>
                                            <w:szCs w:val="21"/>
                                          </w:rPr>
                                        </m:ctrlPr>
                                      </m:e>
                                    </m:d>
                                    <m:r>
                                      <m:rPr>
                                        <m:nor/>
                                        <m:sty m:val="p"/>
                                      </m:rPr>
                                      <w:rPr>
                                        <w:rFonts w:cs="Times New Roman"/>
                                        <w:b w:val="0"/>
                                        <w:i w:val="0"/>
                                        <w:sz w:val="21"/>
                                        <w:szCs w:val="21"/>
                                      </w:rPr>
                                      <m:t>-</m:t>
                                    </m:r>
                                    <m:sSub>
                                      <m:sSubPr>
                                        <m:ctrlPr>
                                          <w:rPr>
                                            <w:rFonts w:ascii="Cambria Math" w:hAnsi="Cambria Math" w:cs="Times New Roman"/>
                                            <w:i/>
                                            <w:sz w:val="21"/>
                                            <w:szCs w:val="21"/>
                                          </w:rPr>
                                        </m:ctrlPr>
                                      </m:sSubPr>
                                      <m:e>
                                        <m:acc>
                                          <m:accPr>
                                            <m:chr m:val="̅"/>
                                            <m:ctrlPr>
                                              <w:rPr>
                                                <w:rFonts w:ascii="Cambria Math" w:hAnsi="Cambria Math" w:cs="Times New Roman"/>
                                                <w:i/>
                                                <w:sz w:val="21"/>
                                                <w:szCs w:val="21"/>
                                              </w:rPr>
                                            </m:ctrlPr>
                                          </m:accPr>
                                          <m:e>
                                            <m:r>
                                              <m:rPr>
                                                <m:nor/>
                                              </m:rPr>
                                              <w:rPr>
                                                <w:rFonts w:cs="Times New Roman"/>
                                                <w:i/>
                                                <w:sz w:val="21"/>
                                                <w:szCs w:val="21"/>
                                              </w:rPr>
                                              <m:t>R</m:t>
                                            </m:r>
                                            <m:ctrlPr>
                                              <w:rPr>
                                                <w:rFonts w:ascii="Cambria Math" w:hAnsi="Cambria Math" w:cs="Times New Roman"/>
                                                <w:i/>
                                                <w:sz w:val="21"/>
                                                <w:szCs w:val="21"/>
                                              </w:rPr>
                                            </m:ctrlPr>
                                          </m:e>
                                        </m:acc>
                                        <m:ctrlPr>
                                          <w:rPr>
                                            <w:rFonts w:ascii="Cambria Math" w:hAnsi="Cambria Math" w:cs="Times New Roman"/>
                                            <w:i/>
                                            <w:sz w:val="21"/>
                                            <w:szCs w:val="21"/>
                                          </w:rPr>
                                        </m:ctrlPr>
                                      </m:e>
                                      <m:sub>
                                        <m:r>
                                          <m:rPr>
                                            <m:nor/>
                                          </m:rPr>
                                          <w:rPr>
                                            <w:rFonts w:cs="Times New Roman"/>
                                            <w:i/>
                                            <w:sz w:val="21"/>
                                            <w:szCs w:val="21"/>
                                          </w:rPr>
                                          <m:t>Y</m:t>
                                        </m:r>
                                        <m:ctrlPr>
                                          <w:rPr>
                                            <w:rFonts w:ascii="Cambria Math" w:hAnsi="Cambria Math" w:cs="Times New Roman"/>
                                            <w:i/>
                                            <w:sz w:val="21"/>
                                            <w:szCs w:val="21"/>
                                          </w:rPr>
                                        </m:ctrlPr>
                                      </m:sub>
                                    </m:sSub>
                                    <m:ctrlPr>
                                      <w:rPr>
                                        <w:rFonts w:ascii="Cambria Math" w:hAnsi="Cambria Math" w:cs="Times New Roman"/>
                                        <w:i/>
                                        <w:sz w:val="21"/>
                                        <w:szCs w:val="21"/>
                                      </w:rPr>
                                    </m:ctrlPr>
                                  </m:e>
                                </m:d>
                                <m:ctrlPr>
                                  <w:rPr>
                                    <w:rFonts w:ascii="Cambria Math" w:hAnsi="Cambria Math" w:cs="Times New Roman"/>
                                    <w:i/>
                                    <w:sz w:val="21"/>
                                    <w:szCs w:val="21"/>
                                  </w:rPr>
                                </m:ctrlPr>
                              </m:e>
                              <m:sup>
                                <m:r>
                                  <m:rPr>
                                    <m:nor/>
                                    <m:sty m:val="p"/>
                                  </m:rPr>
                                  <w:rPr>
                                    <w:rFonts w:cs="Times New Roman"/>
                                    <w:b w:val="0"/>
                                    <w:i w:val="0"/>
                                    <w:sz w:val="21"/>
                                    <w:szCs w:val="21"/>
                                  </w:rPr>
                                  <m:t>2</m:t>
                                </m:r>
                                <m:ctrlPr>
                                  <w:rPr>
                                    <w:rFonts w:ascii="Cambria Math" w:hAnsi="Cambria Math" w:cs="Times New Roman"/>
                                    <w:i/>
                                    <w:sz w:val="21"/>
                                    <w:szCs w:val="21"/>
                                  </w:rPr>
                                </m:ctrlPr>
                              </m:sup>
                            </m:sSup>
                            <m:ctrlPr>
                              <w:rPr>
                                <w:rFonts w:ascii="Cambria Math" w:hAnsi="Cambria Math" w:cs="Times New Roman"/>
                                <w:i/>
                                <w:sz w:val="21"/>
                                <w:szCs w:val="21"/>
                              </w:rPr>
                            </m:ctrlPr>
                          </m:e>
                        </m:nary>
                        <m:ctrlPr>
                          <w:rPr>
                            <w:rFonts w:ascii="Cambria Math" w:hAnsi="Cambria Math" w:cs="Times New Roman"/>
                            <w:i/>
                            <w:sz w:val="21"/>
                            <w:szCs w:val="21"/>
                          </w:rPr>
                        </m:ctrlPr>
                      </m:e>
                    </m:rad>
                    <m:ctrlPr>
                      <w:rPr>
                        <w:rFonts w:ascii="Cambria Math" w:hAnsi="Cambria Math" w:cs="Times New Roman"/>
                        <w:i/>
                        <w:sz w:val="21"/>
                        <w:szCs w:val="21"/>
                      </w:rPr>
                    </m:ctrlPr>
                  </m:den>
                </m:f>
              </m:oMath>
            </m:oMathPara>
          </w:p>
        </w:tc>
        <w:tc>
          <w:tcPr>
            <w:tcW w:w="1576"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sz w:val="21"/>
          <w:szCs w:val="21"/>
          <w:lang w:bidi="en-US"/>
        </w:rPr>
      </w:pPr>
      <w:r>
        <w:rPr>
          <w:sz w:val="21"/>
          <w:szCs w:val="21"/>
          <w:lang w:val="en" w:bidi="en-US"/>
        </w:rPr>
        <w:t>式中，</w:t>
      </w:r>
      <w:r>
        <w:rPr>
          <w:rFonts w:hint="eastAsia"/>
          <w:i/>
          <w:iCs/>
          <w:sz w:val="21"/>
          <w:szCs w:val="21"/>
          <w:lang w:bidi="en-US"/>
        </w:rPr>
        <w:t>n</w:t>
      </w:r>
      <w:r>
        <w:rPr>
          <w:rFonts w:hint="eastAsia"/>
          <w:sz w:val="21"/>
          <w:szCs w:val="21"/>
          <w:lang w:bidi="en-US"/>
        </w:rPr>
        <w:t>为样本容量；</w:t>
      </w:r>
      <w:r>
        <w:rPr>
          <w:rFonts w:hint="eastAsia"/>
          <w:i/>
          <w:iCs/>
          <w:sz w:val="21"/>
          <w:szCs w:val="21"/>
          <w:lang w:bidi="en-US"/>
        </w:rPr>
        <w:t>R(X</w:t>
      </w:r>
      <w:r>
        <w:rPr>
          <w:rFonts w:hint="eastAsia"/>
          <w:i/>
          <w:iCs/>
          <w:sz w:val="21"/>
          <w:szCs w:val="21"/>
          <w:vertAlign w:val="subscript"/>
          <w:lang w:bidi="en-US"/>
        </w:rPr>
        <w:t>i</w:t>
      </w:r>
      <w:r>
        <w:rPr>
          <w:rFonts w:hint="eastAsia"/>
          <w:i/>
          <w:iCs/>
          <w:sz w:val="21"/>
          <w:szCs w:val="21"/>
          <w:lang w:bidi="en-US"/>
        </w:rPr>
        <w:t>)</w:t>
      </w:r>
      <w:r>
        <w:rPr>
          <w:rFonts w:hint="eastAsia"/>
          <w:sz w:val="21"/>
          <w:szCs w:val="21"/>
          <w:lang w:bidi="en-US"/>
        </w:rPr>
        <w:t>，</w:t>
      </w:r>
      <w:r>
        <w:rPr>
          <w:rFonts w:hint="eastAsia"/>
          <w:i/>
          <w:iCs/>
          <w:sz w:val="21"/>
          <w:szCs w:val="21"/>
          <w:lang w:bidi="en-US"/>
        </w:rPr>
        <w:t>R(Y</w:t>
      </w:r>
      <w:r>
        <w:rPr>
          <w:rFonts w:hint="eastAsia"/>
          <w:i/>
          <w:iCs/>
          <w:sz w:val="21"/>
          <w:szCs w:val="21"/>
          <w:vertAlign w:val="subscript"/>
          <w:lang w:bidi="en-US"/>
        </w:rPr>
        <w:t>i</w:t>
      </w:r>
      <w:r>
        <w:rPr>
          <w:rFonts w:hint="eastAsia"/>
          <w:i/>
          <w:iCs/>
          <w:sz w:val="21"/>
          <w:szCs w:val="21"/>
          <w:lang w:bidi="en-US"/>
        </w:rPr>
        <w:t>)</w:t>
      </w:r>
      <w:r>
        <w:rPr>
          <w:rFonts w:hint="eastAsia"/>
          <w:sz w:val="21"/>
          <w:szCs w:val="21"/>
          <w:lang w:bidi="en-US"/>
        </w:rPr>
        <w:t>为第i个社区在两种不同赋权方法下的风险排名；</w:t>
      </w:r>
      <w:r>
        <w:rPr>
          <w:rFonts w:hint="eastAsia"/>
          <w:i/>
          <w:iCs/>
          <w:sz w:val="21"/>
          <w:szCs w:val="21"/>
          <w:lang w:bidi="en-US"/>
        </w:rPr>
        <w:t>R</w:t>
      </w:r>
      <w:r>
        <w:rPr>
          <w:rFonts w:hint="eastAsia"/>
          <w:i/>
          <w:iCs/>
          <w:sz w:val="21"/>
          <w:szCs w:val="21"/>
          <w:vertAlign w:val="subscript"/>
          <w:lang w:bidi="en-US"/>
        </w:rPr>
        <w:t>X</w:t>
      </w:r>
      <w:r>
        <w:rPr>
          <w:rFonts w:hint="eastAsia"/>
          <w:sz w:val="21"/>
          <w:szCs w:val="21"/>
          <w:lang w:bidi="en-US"/>
        </w:rPr>
        <w:t>、</w:t>
      </w:r>
      <w:r>
        <w:rPr>
          <w:rFonts w:hint="eastAsia"/>
          <w:i/>
          <w:iCs/>
          <w:sz w:val="21"/>
          <w:szCs w:val="21"/>
          <w:lang w:bidi="en-US"/>
        </w:rPr>
        <w:t>R</w:t>
      </w:r>
      <w:r>
        <w:rPr>
          <w:rFonts w:hint="eastAsia"/>
          <w:i/>
          <w:iCs/>
          <w:sz w:val="21"/>
          <w:szCs w:val="21"/>
          <w:vertAlign w:val="subscript"/>
          <w:lang w:bidi="en-US"/>
        </w:rPr>
        <w:t>Y</w:t>
      </w:r>
      <w:r>
        <w:rPr>
          <w:rFonts w:hint="eastAsia"/>
          <w:sz w:val="21"/>
          <w:szCs w:val="21"/>
          <w:lang w:bidi="en-US"/>
        </w:rPr>
        <w:t>为两种排名序列的平均值。</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lang w:bidi="en-US"/>
        </w:rPr>
        <w:t>斯皮尔曼等级相关性分析结果表明，不同赋权方法所得风险排序结果间均存在显著正相关关系。熵权法与层次法的排序相关性系数</w:t>
      </w:r>
      <w:r>
        <w:rPr>
          <w:i/>
          <w:iCs/>
          <w:sz w:val="21"/>
          <w:szCs w:val="21"/>
          <w:lang w:bidi="en-US"/>
        </w:rPr>
        <w:t>ρ</w:t>
      </w:r>
      <w:r>
        <w:rPr>
          <w:rFonts w:hint="eastAsia"/>
          <w:sz w:val="21"/>
          <w:szCs w:val="21"/>
          <w:lang w:bidi="en-US"/>
        </w:rPr>
        <w:t>为0.8494，统计显著性&lt;0.001。熵权法与博弈论法的排序相关性系数</w:t>
      </w:r>
      <w:r>
        <w:rPr>
          <w:i/>
          <w:iCs/>
          <w:sz w:val="21"/>
          <w:szCs w:val="21"/>
          <w:lang w:bidi="en-US"/>
        </w:rPr>
        <w:t>ρ</w:t>
      </w:r>
      <w:r>
        <w:rPr>
          <w:rFonts w:hint="eastAsia"/>
          <w:sz w:val="21"/>
          <w:szCs w:val="21"/>
          <w:lang w:bidi="en-US"/>
        </w:rPr>
        <w:t>为0.9932，统计显著性&lt;0.001。层次分析法与博弈论法的排序相关性系数</w:t>
      </w:r>
      <w:r>
        <w:rPr>
          <w:i/>
          <w:iCs/>
          <w:sz w:val="21"/>
          <w:szCs w:val="21"/>
          <w:lang w:bidi="en-US"/>
        </w:rPr>
        <w:t>ρ</w:t>
      </w:r>
      <w:r>
        <w:rPr>
          <w:rFonts w:hint="eastAsia"/>
          <w:sz w:val="21"/>
          <w:szCs w:val="21"/>
          <w:lang w:bidi="en-US"/>
        </w:rPr>
        <w:t>为0.8494，统计显著性&lt;0.001。该解在极大程度上</w:t>
      </w:r>
      <w:r>
        <w:rPr>
          <w:sz w:val="21"/>
          <w:szCs w:val="21"/>
          <w:lang w:bidi="en-US"/>
        </w:rPr>
        <w:t>遵循了数据客观规律（与熵权法高度一致），同时亦融合了专家主观判断（与层次分析法保持高度相关）</w:t>
      </w:r>
      <w:r>
        <w:rPr>
          <w:rFonts w:hint="eastAsia"/>
          <w:sz w:val="21"/>
          <w:szCs w:val="21"/>
          <w:lang w:bidi="en-US"/>
        </w:rPr>
        <w:t>。由此可见，本文基于“致灾因子危险性-承灾体暴露性-环境脆弱性”灾害系统理论所构建的指标体系科学合理，使得专家经验判断与数据客观规律在本文情境下呈现内在统一性。综上，斯皮尔曼相关系数从统计角度验证了本文洪涝风险评估结果的可靠性。</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lang w:bidi="en-US"/>
        </w:rPr>
        <w:t>为客观比较不同赋权方法所得风险等级分类结果的一致性，引入</w:t>
      </w:r>
      <w:r>
        <w:rPr>
          <w:rFonts w:hint="eastAsia"/>
          <w:i/>
          <w:iCs/>
          <w:sz w:val="21"/>
          <w:szCs w:val="21"/>
          <w:lang w:bidi="en-US"/>
        </w:rPr>
        <w:t>Kappa</w:t>
      </w:r>
      <w:r>
        <w:rPr>
          <w:rFonts w:hint="eastAsia"/>
          <w:sz w:val="21"/>
          <w:szCs w:val="21"/>
          <w:lang w:bidi="en-US"/>
        </w:rPr>
        <w:t>系数作为定量评价指标。其计算原理与适用逻辑如下：</w:t>
      </w:r>
      <w:r>
        <w:rPr>
          <w:rFonts w:hint="eastAsia"/>
          <w:i/>
          <w:iCs/>
          <w:sz w:val="21"/>
          <w:szCs w:val="21"/>
          <w:lang w:bidi="en-US"/>
        </w:rPr>
        <w:t>Kappa</w:t>
      </w:r>
      <w:r>
        <w:rPr>
          <w:rFonts w:hint="eastAsia"/>
          <w:sz w:val="21"/>
          <w:szCs w:val="21"/>
          <w:lang w:bidi="en-US"/>
        </w:rPr>
        <w:t>系数是一种用于衡量两类分类结果一致性的统计量，其核心在于比较观测一致性与期望一致性，并通过剔除随机一致性的影响，得到净一致性水平。计算公式如下</w:t>
      </w:r>
    </w:p>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82"/>
        <w:gridCol w:w="5142"/>
        <w:gridCol w:w="1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577" w:type="dxa"/>
            <w:vAlign w:val="center"/>
          </w:tcPr>
          <w:p>
            <w:pPr>
              <w:pageBreakBefore w:val="0"/>
              <w:widowControl/>
              <w:kinsoku/>
              <w:wordWrap/>
              <w:overflowPunct/>
              <w:topLinePunct w:val="0"/>
              <w:autoSpaceDE/>
              <w:autoSpaceDN/>
              <w:bidi w:val="0"/>
              <w:adjustRightInd/>
              <w:spacing w:beforeAutospacing="0" w:afterAutospacing="0" w:line="240" w:lineRule="auto"/>
              <w:ind w:firstLine="420"/>
              <w:jc w:val="left"/>
              <w:textAlignment w:val="auto"/>
              <w:rPr>
                <w:sz w:val="21"/>
                <w:szCs w:val="21"/>
              </w:rPr>
            </w:pPr>
          </w:p>
        </w:tc>
        <w:tc>
          <w:tcPr>
            <w:tcW w:w="5125" w:type="dxa"/>
            <w:vAlign w:val="center"/>
          </w:tcPr>
          <w:p>
            <w:pPr>
              <w:pStyle w:val="8"/>
              <w:pageBreakBefore w:val="0"/>
              <w:kinsoku/>
              <w:wordWrap/>
              <w:overflowPunct/>
              <w:topLinePunct w:val="0"/>
              <w:autoSpaceDE/>
              <w:autoSpaceDN/>
              <w:bidi w:val="0"/>
              <w:adjustRightInd/>
              <w:spacing w:beforeAutospacing="0" w:afterAutospacing="0" w:line="240" w:lineRule="auto"/>
              <w:ind w:firstLine="420"/>
              <w:textAlignment w:val="auto"/>
              <w:rPr>
                <w:sz w:val="21"/>
                <w:szCs w:val="21"/>
              </w:rPr>
            </w:pPr>
            <m:oMathPara>
              <m:oMath>
                <m:r>
                  <m:rPr>
                    <m:nor/>
                  </m:rPr>
                  <w:rPr>
                    <w:rFonts w:cs="Times New Roman"/>
                    <w:i/>
                    <w:sz w:val="21"/>
                    <w:szCs w:val="21"/>
                  </w:rPr>
                  <m:t>K</m:t>
                </m:r>
                <m:r>
                  <m:rPr>
                    <m:nor/>
                    <m:sty m:val="p"/>
                  </m:rPr>
                  <w:rPr>
                    <w:rFonts w:cs="Times New Roman"/>
                    <w:b w:val="0"/>
                    <w:i w:val="0"/>
                    <w:sz w:val="21"/>
                    <w:szCs w:val="21"/>
                  </w:rPr>
                  <m:t>=</m:t>
                </m:r>
                <m:f>
                  <m:fPr>
                    <m:ctrlPr>
                      <w:rPr>
                        <w:rFonts w:ascii="Cambria Math" w:hAnsi="Cambria Math" w:cs="Times New Roman"/>
                        <w:i/>
                        <w:sz w:val="21"/>
                        <w:szCs w:val="21"/>
                      </w:rPr>
                    </m:ctrlPr>
                  </m:fPr>
                  <m:num>
                    <m:sSub>
                      <m:sSubPr>
                        <m:ctrlPr>
                          <w:rPr>
                            <w:rFonts w:ascii="Cambria Math" w:hAnsi="Cambria Math" w:cs="Times New Roman"/>
                            <w:i/>
                            <w:sz w:val="21"/>
                            <w:szCs w:val="21"/>
                          </w:rPr>
                        </m:ctrlPr>
                      </m:sSubPr>
                      <m:e>
                        <m:r>
                          <m:rPr>
                            <m:nor/>
                          </m:rPr>
                          <w:rPr>
                            <w:rFonts w:cs="Times New Roman"/>
                            <w:i/>
                            <w:sz w:val="21"/>
                            <w:szCs w:val="21"/>
                          </w:rPr>
                          <m:t>P</m:t>
                        </m:r>
                        <m:ctrlPr>
                          <w:rPr>
                            <w:rFonts w:ascii="Cambria Math" w:hAnsi="Cambria Math" w:cs="Times New Roman"/>
                            <w:i/>
                            <w:sz w:val="21"/>
                            <w:szCs w:val="21"/>
                          </w:rPr>
                        </m:ctrlPr>
                      </m:e>
                      <m:sub>
                        <m:r>
                          <m:rPr>
                            <m:nor/>
                          </m:rPr>
                          <w:rPr>
                            <w:rFonts w:cs="Times New Roman"/>
                            <w:i/>
                            <w:sz w:val="21"/>
                            <w:szCs w:val="21"/>
                          </w:rPr>
                          <m:t>o</m:t>
                        </m:r>
                        <m:ctrlPr>
                          <w:rPr>
                            <w:rFonts w:ascii="Cambria Math" w:hAnsi="Cambria Math" w:cs="Times New Roman"/>
                            <w:i/>
                            <w:sz w:val="21"/>
                            <w:szCs w:val="21"/>
                          </w:rPr>
                        </m:ctrlPr>
                      </m:sub>
                    </m:sSub>
                    <m:r>
                      <m:rPr>
                        <m:nor/>
                        <m:sty m:val="p"/>
                      </m:rPr>
                      <w:rPr>
                        <w:rFonts w:cs="Times New Roman"/>
                        <w:b w:val="0"/>
                        <w:i w:val="0"/>
                        <w:sz w:val="21"/>
                        <w:szCs w:val="21"/>
                      </w:rPr>
                      <m:t>-</m:t>
                    </m:r>
                    <m:sSub>
                      <m:sSubPr>
                        <m:ctrlPr>
                          <w:rPr>
                            <w:rFonts w:ascii="Cambria Math" w:hAnsi="Cambria Math" w:cs="Times New Roman"/>
                            <w:i/>
                            <w:sz w:val="21"/>
                            <w:szCs w:val="21"/>
                          </w:rPr>
                        </m:ctrlPr>
                      </m:sSubPr>
                      <m:e>
                        <m:r>
                          <m:rPr>
                            <m:nor/>
                          </m:rPr>
                          <w:rPr>
                            <w:rFonts w:cs="Times New Roman"/>
                            <w:i/>
                            <w:sz w:val="21"/>
                            <w:szCs w:val="21"/>
                          </w:rPr>
                          <m:t>P</m:t>
                        </m:r>
                        <m:ctrlPr>
                          <w:rPr>
                            <w:rFonts w:ascii="Cambria Math" w:hAnsi="Cambria Math" w:cs="Times New Roman"/>
                            <w:i/>
                            <w:sz w:val="21"/>
                            <w:szCs w:val="21"/>
                          </w:rPr>
                        </m:ctrlPr>
                      </m:e>
                      <m:sub>
                        <m:r>
                          <m:rPr>
                            <m:nor/>
                          </m:rPr>
                          <w:rPr>
                            <w:rFonts w:cs="Times New Roman"/>
                            <w:i/>
                            <w:sz w:val="21"/>
                            <w:szCs w:val="21"/>
                          </w:rPr>
                          <m:t>e</m:t>
                        </m:r>
                        <m:ctrlPr>
                          <w:rPr>
                            <w:rFonts w:ascii="Cambria Math" w:hAnsi="Cambria Math" w:cs="Times New Roman"/>
                            <w:i/>
                            <w:sz w:val="21"/>
                            <w:szCs w:val="21"/>
                          </w:rPr>
                        </m:ctrlPr>
                      </m:sub>
                    </m:sSub>
                    <m:ctrlPr>
                      <w:rPr>
                        <w:rFonts w:ascii="Cambria Math" w:hAnsi="Cambria Math" w:cs="Times New Roman"/>
                        <w:i/>
                        <w:sz w:val="21"/>
                        <w:szCs w:val="21"/>
                      </w:rPr>
                    </m:ctrlPr>
                  </m:num>
                  <m:den>
                    <m:r>
                      <m:rPr>
                        <m:nor/>
                        <m:sty m:val="p"/>
                      </m:rPr>
                      <w:rPr>
                        <w:rFonts w:cs="Times New Roman"/>
                        <w:b w:val="0"/>
                        <w:i w:val="0"/>
                        <w:sz w:val="21"/>
                        <w:szCs w:val="21"/>
                      </w:rPr>
                      <m:t>1-</m:t>
                    </m:r>
                    <m:sSub>
                      <m:sSubPr>
                        <m:ctrlPr>
                          <w:rPr>
                            <w:rFonts w:ascii="Cambria Math" w:hAnsi="Cambria Math" w:cs="Times New Roman"/>
                            <w:i/>
                            <w:sz w:val="21"/>
                            <w:szCs w:val="21"/>
                          </w:rPr>
                        </m:ctrlPr>
                      </m:sSubPr>
                      <m:e>
                        <m:r>
                          <m:rPr>
                            <m:nor/>
                          </m:rPr>
                          <w:rPr>
                            <w:rFonts w:cs="Times New Roman"/>
                            <w:i/>
                            <w:sz w:val="21"/>
                            <w:szCs w:val="21"/>
                          </w:rPr>
                          <m:t>P</m:t>
                        </m:r>
                        <m:ctrlPr>
                          <w:rPr>
                            <w:rFonts w:ascii="Cambria Math" w:hAnsi="Cambria Math" w:cs="Times New Roman"/>
                            <w:i/>
                            <w:sz w:val="21"/>
                            <w:szCs w:val="21"/>
                          </w:rPr>
                        </m:ctrlPr>
                      </m:e>
                      <m:sub>
                        <m:r>
                          <m:rPr>
                            <m:nor/>
                          </m:rPr>
                          <w:rPr>
                            <w:rFonts w:cs="Times New Roman"/>
                            <w:i/>
                            <w:sz w:val="21"/>
                            <w:szCs w:val="21"/>
                          </w:rPr>
                          <m:t>e</m:t>
                        </m:r>
                        <m:ctrlPr>
                          <w:rPr>
                            <w:rFonts w:ascii="Cambria Math" w:hAnsi="Cambria Math" w:cs="Times New Roman"/>
                            <w:i/>
                            <w:sz w:val="21"/>
                            <w:szCs w:val="21"/>
                          </w:rPr>
                        </m:ctrlPr>
                      </m:sub>
                    </m:sSub>
                    <m:ctrlPr>
                      <w:rPr>
                        <w:rFonts w:ascii="Cambria Math" w:hAnsi="Cambria Math" w:cs="Times New Roman"/>
                        <w:i/>
                        <w:sz w:val="21"/>
                        <w:szCs w:val="21"/>
                      </w:rPr>
                    </m:ctrlPr>
                  </m:den>
                </m:f>
              </m:oMath>
            </m:oMathPara>
          </w:p>
        </w:tc>
        <w:tc>
          <w:tcPr>
            <w:tcW w:w="1576" w:type="dxa"/>
            <w:vAlign w:val="center"/>
          </w:tcPr>
          <w:p>
            <w:pPr>
              <w:pStyle w:val="7"/>
              <w:pageBreakBefore w:val="0"/>
              <w:numPr>
                <w:ilvl w:val="0"/>
                <w:numId w:val="3"/>
              </w:numPr>
              <w:kinsoku/>
              <w:wordWrap/>
              <w:overflowPunct/>
              <w:topLinePunct w:val="0"/>
              <w:autoSpaceDE/>
              <w:autoSpaceDN/>
              <w:bidi w:val="0"/>
              <w:adjustRightInd/>
              <w:spacing w:beforeAutospacing="0" w:afterAutospacing="0" w:line="240" w:lineRule="auto"/>
              <w:ind w:firstLine="420"/>
              <w:textAlignment w:val="auto"/>
              <w:rPr>
                <w:sz w:val="21"/>
                <w:szCs w:val="21"/>
              </w:rPr>
            </w:pPr>
          </w:p>
        </w:tc>
      </w:tr>
    </w:tbl>
    <w:p>
      <w:pPr>
        <w:pageBreakBefore w:val="0"/>
        <w:kinsoku/>
        <w:wordWrap/>
        <w:overflowPunct/>
        <w:topLinePunct w:val="0"/>
        <w:autoSpaceDE/>
        <w:autoSpaceDN/>
        <w:bidi w:val="0"/>
        <w:adjustRightInd/>
        <w:spacing w:beforeAutospacing="0" w:afterAutospacing="0" w:line="240" w:lineRule="auto"/>
        <w:ind w:firstLine="0" w:firstLineChars="0"/>
        <w:textAlignment w:val="auto"/>
        <w:rPr>
          <w:sz w:val="21"/>
          <w:szCs w:val="21"/>
          <w:lang w:bidi="en-US"/>
        </w:rPr>
      </w:pPr>
      <w:r>
        <w:rPr>
          <w:rFonts w:hint="eastAsia"/>
          <w:sz w:val="21"/>
          <w:szCs w:val="21"/>
          <w:lang w:bidi="en-US"/>
        </w:rPr>
        <w:t>式中，</w:t>
      </w:r>
      <w:r>
        <w:rPr>
          <w:rFonts w:hint="eastAsia"/>
          <w:i/>
          <w:iCs/>
          <w:sz w:val="21"/>
          <w:szCs w:val="21"/>
          <w:lang w:bidi="en-US"/>
        </w:rPr>
        <w:t>Po</w:t>
      </w:r>
      <w:r>
        <w:rPr>
          <w:rFonts w:hint="eastAsia"/>
          <w:sz w:val="21"/>
          <w:szCs w:val="21"/>
          <w:lang w:bidi="en-US"/>
        </w:rPr>
        <w:t>为观测一致性，即两组分类结果中类别相同的样本数占总样本数的比例</w:t>
      </w:r>
      <w:r>
        <w:rPr>
          <w:sz w:val="21"/>
          <w:szCs w:val="21"/>
          <w:lang w:val="en" w:bidi="en-US"/>
        </w:rPr>
        <w:t>；</w:t>
      </w:r>
      <w:r>
        <w:rPr>
          <w:rFonts w:hint="eastAsia"/>
          <w:i/>
          <w:iCs/>
          <w:sz w:val="21"/>
          <w:szCs w:val="21"/>
          <w:lang w:bidi="en-US"/>
        </w:rPr>
        <w:t>Pe</w:t>
      </w:r>
      <w:r>
        <w:rPr>
          <w:rFonts w:hint="eastAsia"/>
          <w:sz w:val="21"/>
          <w:szCs w:val="21"/>
          <w:lang w:bidi="en-US"/>
        </w:rPr>
        <w:t>为期望一致性，指在随机情况下预期达成一致的概率，由各类别的边缘分布计算而得。</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i/>
          <w:iCs/>
          <w:sz w:val="21"/>
          <w:szCs w:val="21"/>
          <w:lang w:bidi="en-US"/>
        </w:rPr>
        <w:t>Kappa</w:t>
      </w:r>
      <w:r>
        <w:rPr>
          <w:rFonts w:hint="eastAsia"/>
          <w:sz w:val="21"/>
          <w:szCs w:val="21"/>
          <w:lang w:bidi="en-US"/>
        </w:rPr>
        <w:t>系数的取值区间为[-1,1]，</w:t>
      </w:r>
      <w:r>
        <w:rPr>
          <w:rFonts w:hint="eastAsia"/>
          <w:i/>
          <w:iCs/>
          <w:sz w:val="21"/>
          <w:szCs w:val="21"/>
          <w:lang w:bidi="en-US"/>
        </w:rPr>
        <w:t>K</w:t>
      </w:r>
      <w:r>
        <w:rPr>
          <w:rFonts w:hint="eastAsia"/>
          <w:sz w:val="21"/>
          <w:szCs w:val="21"/>
          <w:lang w:bidi="en-US"/>
        </w:rPr>
        <w:t>≤0表示一致性极差，0</w:t>
      </w:r>
      <w:r>
        <w:rPr>
          <w:rFonts w:hint="eastAsia" w:asciiTheme="minorEastAsia" w:hAnsiTheme="minorEastAsia" w:eastAsiaTheme="minorEastAsia" w:cstheme="minorEastAsia"/>
          <w:sz w:val="21"/>
          <w:szCs w:val="21"/>
          <w:lang w:bidi="en-US"/>
        </w:rPr>
        <w:t>~</w:t>
      </w:r>
      <w:r>
        <w:rPr>
          <w:rFonts w:hint="eastAsia"/>
          <w:sz w:val="21"/>
          <w:szCs w:val="21"/>
          <w:lang w:bidi="en-US"/>
        </w:rPr>
        <w:t>0.2表示轻微一致，0.20</w:t>
      </w:r>
      <w:r>
        <w:rPr>
          <w:rFonts w:hint="eastAsia" w:asciiTheme="minorEastAsia" w:hAnsiTheme="minorEastAsia" w:eastAsiaTheme="minorEastAsia" w:cstheme="minorEastAsia"/>
          <w:sz w:val="21"/>
          <w:szCs w:val="21"/>
          <w:lang w:bidi="en-US"/>
        </w:rPr>
        <w:t>~</w:t>
      </w:r>
      <w:r>
        <w:rPr>
          <w:rFonts w:hint="eastAsia"/>
          <w:sz w:val="21"/>
          <w:szCs w:val="21"/>
          <w:lang w:bidi="en-US"/>
        </w:rPr>
        <w:t>0.40表示一般一致，0.40</w:t>
      </w:r>
      <w:r>
        <w:rPr>
          <w:rFonts w:hint="eastAsia" w:asciiTheme="minorEastAsia" w:hAnsiTheme="minorEastAsia" w:eastAsiaTheme="minorEastAsia" w:cstheme="minorEastAsia"/>
          <w:sz w:val="21"/>
          <w:szCs w:val="21"/>
          <w:lang w:bidi="en-US"/>
        </w:rPr>
        <w:t>~</w:t>
      </w:r>
      <w:r>
        <w:rPr>
          <w:rFonts w:hint="eastAsia"/>
          <w:sz w:val="21"/>
          <w:szCs w:val="21"/>
          <w:lang w:bidi="en-US"/>
        </w:rPr>
        <w:t>0.60表示中等一致，0.60</w:t>
      </w:r>
      <w:r>
        <w:rPr>
          <w:rFonts w:hint="eastAsia" w:asciiTheme="minorEastAsia" w:hAnsiTheme="minorEastAsia" w:eastAsiaTheme="minorEastAsia" w:cstheme="minorEastAsia"/>
          <w:sz w:val="21"/>
          <w:szCs w:val="21"/>
          <w:lang w:bidi="en-US"/>
        </w:rPr>
        <w:t>~</w:t>
      </w:r>
      <w:r>
        <w:rPr>
          <w:rFonts w:hint="eastAsia"/>
          <w:sz w:val="21"/>
          <w:szCs w:val="21"/>
          <w:lang w:bidi="en-US"/>
        </w:rPr>
        <w:t>0.80表示高度一致，0.80</w:t>
      </w:r>
      <w:r>
        <w:rPr>
          <w:rFonts w:hint="eastAsia" w:asciiTheme="minorEastAsia" w:hAnsiTheme="minorEastAsia" w:eastAsiaTheme="minorEastAsia" w:cstheme="minorEastAsia"/>
          <w:sz w:val="21"/>
          <w:szCs w:val="21"/>
          <w:lang w:bidi="en-US"/>
        </w:rPr>
        <w:t>~</w:t>
      </w:r>
      <w:r>
        <w:rPr>
          <w:rFonts w:hint="eastAsia"/>
          <w:sz w:val="21"/>
          <w:szCs w:val="21"/>
          <w:lang w:bidi="en-US"/>
        </w:rPr>
        <w:t>1.0表示几乎完全一致。</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lang w:bidi="en-US"/>
        </w:rPr>
        <w:t>首先在在GIS平台中，使用“创建随机点”工具在研究区范围内生成1000个随机采样点。参数设置为：约束范围与研究区边界一致，最小允许距离设置为80</w:t>
      </w:r>
      <w:r>
        <w:rPr>
          <w:sz w:val="21"/>
          <w:szCs w:val="21"/>
          <w:lang w:val="en" w:bidi="en-US"/>
        </w:rPr>
        <w:t>m</w:t>
      </w:r>
      <w:r>
        <w:rPr>
          <w:rFonts w:hint="eastAsia"/>
          <w:sz w:val="21"/>
          <w:szCs w:val="21"/>
          <w:lang w:bidi="en-US"/>
        </w:rPr>
        <w:t>，以确保采样点的空间分布相对均匀，避免局部聚集。再利用“多值提取至点”工具，将博弈论组合赋权法、层次分析法与熵权法所得的三个洪涝风险等级栅格图（均已统一至相同坐标系与像元大小）的属性值分别提取至采样点属性表。每个采样点由此获得三个风险等级属性字段。随后在生成的属性表中，将连续的风险等级（1</w:t>
      </w:r>
      <w:r>
        <w:rPr>
          <w:sz w:val="21"/>
          <w:szCs w:val="21"/>
          <w:lang w:val="en" w:bidi="en-US"/>
        </w:rPr>
        <w:t>—</w:t>
      </w:r>
      <w:r>
        <w:rPr>
          <w:rFonts w:hint="eastAsia"/>
          <w:sz w:val="21"/>
          <w:szCs w:val="21"/>
          <w:lang w:bidi="en-US"/>
        </w:rPr>
        <w:t>5）转换为高风险区二分类数据。具体规则为：将风险等级5（高危险区）编码为1，等级1</w:t>
      </w:r>
      <w:r>
        <w:rPr>
          <w:sz w:val="21"/>
          <w:szCs w:val="21"/>
          <w:lang w:val="en" w:bidi="en-US"/>
        </w:rPr>
        <w:t>—</w:t>
      </w:r>
      <w:r>
        <w:rPr>
          <w:rFonts w:hint="eastAsia"/>
          <w:sz w:val="21"/>
          <w:szCs w:val="21"/>
          <w:lang w:bidi="en-US"/>
        </w:rPr>
        <w:t>4（非高风险区）编码为0，从而为每种方法生成一个二值变量。将处理后的采样点属性表导出，构建混淆矩阵，如表7所</w:t>
      </w:r>
      <w:r>
        <w:rPr>
          <w:sz w:val="21"/>
          <w:szCs w:val="21"/>
          <w:lang w:val="en" w:bidi="en-US"/>
        </w:rPr>
        <w:t>列</w:t>
      </w:r>
      <w:r>
        <w:rPr>
          <w:rFonts w:hint="eastAsia"/>
          <w:sz w:val="21"/>
          <w:szCs w:val="21"/>
          <w:lang w:bidi="en-US"/>
        </w:rPr>
        <w:t>。</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hint="eastAsia" w:eastAsia="黑体" w:cs="Times New Roman"/>
          <w:sz w:val="18"/>
          <w:szCs w:val="18"/>
        </w:rPr>
        <w:t>表7  高风险区识别混淆矩阵比较</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eastAsia="黑体" w:cs="Times New Roman"/>
          <w:sz w:val="18"/>
          <w:szCs w:val="18"/>
        </w:rPr>
        <w:t xml:space="preserve">Table </w:t>
      </w:r>
      <w:r>
        <w:rPr>
          <w:rFonts w:hint="eastAsia" w:eastAsia="黑体" w:cs="Times New Roman"/>
          <w:sz w:val="18"/>
          <w:szCs w:val="18"/>
        </w:rPr>
        <w:t>7</w:t>
      </w:r>
      <w:r>
        <w:rPr>
          <w:rFonts w:eastAsia="黑体" w:cs="Times New Roman"/>
          <w:sz w:val="18"/>
          <w:szCs w:val="18"/>
        </w:rPr>
        <w:t xml:space="preserve">  Comparison of </w:t>
      </w:r>
      <w:r>
        <w:rPr>
          <w:rFonts w:hint="eastAsia" w:eastAsia="黑体" w:cs="Times New Roman"/>
          <w:sz w:val="18"/>
          <w:szCs w:val="18"/>
        </w:rPr>
        <w:t>c</w:t>
      </w:r>
      <w:r>
        <w:rPr>
          <w:rFonts w:eastAsia="黑体" w:cs="Times New Roman"/>
          <w:sz w:val="18"/>
          <w:szCs w:val="18"/>
        </w:rPr>
        <w:t xml:space="preserve">onfusion </w:t>
      </w:r>
      <w:r>
        <w:rPr>
          <w:rFonts w:hint="eastAsia" w:eastAsia="黑体" w:cs="Times New Roman"/>
          <w:sz w:val="18"/>
          <w:szCs w:val="18"/>
        </w:rPr>
        <w:t>m</w:t>
      </w:r>
      <w:r>
        <w:rPr>
          <w:rFonts w:eastAsia="黑体" w:cs="Times New Roman"/>
          <w:sz w:val="18"/>
          <w:szCs w:val="18"/>
        </w:rPr>
        <w:t xml:space="preserve">atrices for </w:t>
      </w:r>
      <w:r>
        <w:rPr>
          <w:rFonts w:hint="eastAsia" w:eastAsia="黑体" w:cs="Times New Roman"/>
          <w:sz w:val="18"/>
          <w:szCs w:val="18"/>
        </w:rPr>
        <w:t>h</w:t>
      </w:r>
      <w:r>
        <w:rPr>
          <w:rFonts w:eastAsia="黑体" w:cs="Times New Roman"/>
          <w:sz w:val="18"/>
          <w:szCs w:val="18"/>
        </w:rPr>
        <w:t>igh-</w:t>
      </w:r>
      <w:r>
        <w:rPr>
          <w:rFonts w:hint="eastAsia" w:eastAsia="黑体" w:cs="Times New Roman"/>
          <w:sz w:val="18"/>
          <w:szCs w:val="18"/>
        </w:rPr>
        <w:t>r</w:t>
      </w:r>
      <w:r>
        <w:rPr>
          <w:rFonts w:eastAsia="黑体" w:cs="Times New Roman"/>
          <w:sz w:val="18"/>
          <w:szCs w:val="18"/>
        </w:rPr>
        <w:t xml:space="preserve">isk </w:t>
      </w:r>
      <w:r>
        <w:rPr>
          <w:rFonts w:hint="eastAsia" w:eastAsia="黑体" w:cs="Times New Roman"/>
          <w:sz w:val="18"/>
          <w:szCs w:val="18"/>
        </w:rPr>
        <w:t>z</w:t>
      </w:r>
      <w:r>
        <w:rPr>
          <w:rFonts w:eastAsia="黑体" w:cs="Times New Roman"/>
          <w:sz w:val="18"/>
          <w:szCs w:val="18"/>
        </w:rPr>
        <w:t xml:space="preserve">one </w:t>
      </w:r>
      <w:r>
        <w:rPr>
          <w:rFonts w:hint="eastAsia" w:eastAsia="黑体" w:cs="Times New Roman"/>
          <w:sz w:val="18"/>
          <w:szCs w:val="18"/>
        </w:rPr>
        <w:t>i</w:t>
      </w:r>
      <w:r>
        <w:rPr>
          <w:rFonts w:eastAsia="黑体" w:cs="Times New Roman"/>
          <w:sz w:val="18"/>
          <w:szCs w:val="18"/>
        </w:rPr>
        <w:t>dentification</w:t>
      </w:r>
    </w:p>
    <w:tbl>
      <w:tblPr>
        <w:tblStyle w:val="14"/>
        <w:tblW w:w="8504" w:type="dxa"/>
        <w:tblInd w:w="0" w:type="dxa"/>
        <w:tblLayout w:type="fixed"/>
        <w:tblCellMar>
          <w:top w:w="0" w:type="dxa"/>
          <w:left w:w="108" w:type="dxa"/>
          <w:bottom w:w="0" w:type="dxa"/>
          <w:right w:w="108" w:type="dxa"/>
        </w:tblCellMar>
      </w:tblPr>
      <w:tblGrid>
        <w:gridCol w:w="1139"/>
        <w:gridCol w:w="1045"/>
        <w:gridCol w:w="1267"/>
        <w:gridCol w:w="1229"/>
        <w:gridCol w:w="1209"/>
        <w:gridCol w:w="1324"/>
        <w:gridCol w:w="1291"/>
      </w:tblGrid>
      <w:tr>
        <w:tblPrEx>
          <w:tblCellMar>
            <w:top w:w="0" w:type="dxa"/>
            <w:left w:w="108" w:type="dxa"/>
            <w:bottom w:w="0" w:type="dxa"/>
            <w:right w:w="108" w:type="dxa"/>
          </w:tblCellMar>
        </w:tblPrEx>
        <w:trPr>
          <w:trHeight w:val="610" w:hRule="atLeast"/>
          <w:tblHeader/>
        </w:trPr>
        <w:tc>
          <w:tcPr>
            <w:tcW w:w="1139" w:type="dxa"/>
            <w:tcBorders>
              <w:top w:val="single" w:color="000000" w:sz="12" w:space="0"/>
              <w:left w:val="nil"/>
              <w:bottom w:val="single" w:color="000000" w:sz="4" w:space="0"/>
              <w:right w:val="nil"/>
              <w:tl2br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对比组合</w:t>
            </w:r>
          </w:p>
        </w:tc>
        <w:tc>
          <w:tcPr>
            <w:tcW w:w="1045"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真阳性</w:t>
            </w:r>
            <w:r>
              <w:rPr>
                <w:rFonts w:hint="eastAsia" w:cs="Times New Roman"/>
                <w:b/>
                <w:bCs/>
                <w:i/>
                <w:iCs/>
                <w:kern w:val="0"/>
                <w:sz w:val="15"/>
                <w:szCs w:val="15"/>
              </w:rPr>
              <w:t>TP</w:t>
            </w:r>
          </w:p>
        </w:tc>
        <w:tc>
          <w:tcPr>
            <w:tcW w:w="1267"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假阳性</w:t>
            </w:r>
            <w:r>
              <w:rPr>
                <w:rFonts w:hint="eastAsia" w:cs="Times New Roman"/>
                <w:b/>
                <w:bCs/>
                <w:i/>
                <w:iCs/>
                <w:kern w:val="0"/>
                <w:sz w:val="15"/>
                <w:szCs w:val="15"/>
              </w:rPr>
              <w:t>FP</w:t>
            </w:r>
          </w:p>
        </w:tc>
        <w:tc>
          <w:tcPr>
            <w:tcW w:w="1229"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假阴性</w:t>
            </w:r>
            <w:r>
              <w:rPr>
                <w:rFonts w:hint="eastAsia" w:cs="Times New Roman"/>
                <w:b/>
                <w:bCs/>
                <w:i/>
                <w:iCs/>
                <w:kern w:val="0"/>
                <w:sz w:val="15"/>
                <w:szCs w:val="15"/>
              </w:rPr>
              <w:t>FN</w:t>
            </w:r>
          </w:p>
        </w:tc>
        <w:tc>
          <w:tcPr>
            <w:tcW w:w="1209"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真阴性</w:t>
            </w:r>
            <w:r>
              <w:rPr>
                <w:rFonts w:hint="eastAsia" w:cs="Times New Roman"/>
                <w:b/>
                <w:bCs/>
                <w:i/>
                <w:iCs/>
                <w:kern w:val="0"/>
                <w:sz w:val="15"/>
                <w:szCs w:val="15"/>
              </w:rPr>
              <w:t>TN</w:t>
            </w:r>
          </w:p>
        </w:tc>
        <w:tc>
          <w:tcPr>
            <w:tcW w:w="1324"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方法A判定总数</w:t>
            </w:r>
          </w:p>
        </w:tc>
        <w:tc>
          <w:tcPr>
            <w:tcW w:w="1291"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b/>
                <w:bCs/>
                <w:kern w:val="0"/>
                <w:sz w:val="15"/>
                <w:szCs w:val="15"/>
              </w:rPr>
            </w:pPr>
            <w:r>
              <w:rPr>
                <w:rFonts w:hint="eastAsia" w:cs="Times New Roman"/>
                <w:b/>
                <w:bCs/>
                <w:kern w:val="0"/>
                <w:sz w:val="15"/>
                <w:szCs w:val="15"/>
              </w:rPr>
              <w:t>方法B判定总数</w:t>
            </w:r>
          </w:p>
        </w:tc>
      </w:tr>
      <w:tr>
        <w:tblPrEx>
          <w:tblCellMar>
            <w:top w:w="0" w:type="dxa"/>
            <w:left w:w="108" w:type="dxa"/>
            <w:bottom w:w="0" w:type="dxa"/>
            <w:right w:w="108" w:type="dxa"/>
          </w:tblCellMar>
        </w:tblPrEx>
        <w:trPr>
          <w:trHeight w:val="278" w:hRule="atLeast"/>
          <w:tblHeader/>
        </w:trPr>
        <w:tc>
          <w:tcPr>
            <w:tcW w:w="1139"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博弈论法 vs 层次分析法</w:t>
            </w:r>
          </w:p>
        </w:tc>
        <w:tc>
          <w:tcPr>
            <w:tcW w:w="1045"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52</w:t>
            </w:r>
          </w:p>
        </w:tc>
        <w:tc>
          <w:tcPr>
            <w:tcW w:w="1267"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w:t>
            </w:r>
          </w:p>
        </w:tc>
        <w:tc>
          <w:tcPr>
            <w:tcW w:w="1229"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11</w:t>
            </w:r>
          </w:p>
        </w:tc>
        <w:tc>
          <w:tcPr>
            <w:tcW w:w="1209"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937</w:t>
            </w:r>
          </w:p>
        </w:tc>
        <w:tc>
          <w:tcPr>
            <w:tcW w:w="1324"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52</w:t>
            </w:r>
          </w:p>
        </w:tc>
        <w:tc>
          <w:tcPr>
            <w:tcW w:w="1291"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63</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博弈论法 vs 熵权法</w:t>
            </w:r>
          </w:p>
        </w:tc>
        <w:tc>
          <w:tcPr>
            <w:tcW w:w="1045"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c>
          <w:tcPr>
            <w:tcW w:w="1267"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34</w:t>
            </w:r>
          </w:p>
        </w:tc>
        <w:tc>
          <w:tcPr>
            <w:tcW w:w="1229"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w:t>
            </w:r>
          </w:p>
        </w:tc>
        <w:tc>
          <w:tcPr>
            <w:tcW w:w="1209"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948</w:t>
            </w:r>
          </w:p>
        </w:tc>
        <w:tc>
          <w:tcPr>
            <w:tcW w:w="1324"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52</w:t>
            </w:r>
          </w:p>
        </w:tc>
        <w:tc>
          <w:tcPr>
            <w:tcW w:w="1291"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层次分析法 vs 熵权法</w:t>
            </w:r>
          </w:p>
        </w:tc>
        <w:tc>
          <w:tcPr>
            <w:tcW w:w="1045"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c>
          <w:tcPr>
            <w:tcW w:w="1267"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45</w:t>
            </w:r>
          </w:p>
        </w:tc>
        <w:tc>
          <w:tcPr>
            <w:tcW w:w="1229"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w:t>
            </w:r>
          </w:p>
        </w:tc>
        <w:tc>
          <w:tcPr>
            <w:tcW w:w="1209"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937</w:t>
            </w:r>
          </w:p>
        </w:tc>
        <w:tc>
          <w:tcPr>
            <w:tcW w:w="1324"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63</w:t>
            </w:r>
          </w:p>
        </w:tc>
        <w:tc>
          <w:tcPr>
            <w:tcW w:w="1291"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18</w:t>
            </w:r>
          </w:p>
        </w:tc>
      </w:tr>
    </w:tbl>
    <w:p>
      <w:pPr>
        <w:pStyle w:val="2"/>
        <w:pageBreakBefore w:val="0"/>
        <w:kinsoku/>
        <w:wordWrap/>
        <w:overflowPunct/>
        <w:topLinePunct w:val="0"/>
        <w:autoSpaceDE/>
        <w:autoSpaceDN/>
        <w:bidi w:val="0"/>
        <w:adjustRightInd/>
        <w:spacing w:beforeAutospacing="0" w:afterAutospacing="0" w:line="240" w:lineRule="auto"/>
        <w:ind w:firstLine="420"/>
        <w:textAlignment w:val="auto"/>
        <w:rPr>
          <w:rFonts w:ascii="Times New Roman" w:hAnsi="Times New Roman" w:eastAsia="宋体" w:cstheme="minorBidi"/>
          <w:sz w:val="21"/>
          <w:szCs w:val="21"/>
          <w:lang w:eastAsia="zh-CN" w:bidi="en-US"/>
        </w:rPr>
      </w:pPr>
      <w:r>
        <w:rPr>
          <w:rFonts w:hint="eastAsia" w:ascii="Times New Roman" w:hAnsi="Times New Roman" w:eastAsia="宋体" w:cstheme="minorBidi"/>
          <w:sz w:val="21"/>
          <w:szCs w:val="21"/>
          <w:lang w:eastAsia="zh-CN" w:bidi="en-US"/>
        </w:rPr>
        <w:t>表中，真阳性(</w:t>
      </w:r>
      <w:r>
        <w:rPr>
          <w:rFonts w:hint="eastAsia" w:ascii="Times New Roman" w:hAnsi="Times New Roman" w:eastAsia="宋体" w:cstheme="minorBidi"/>
          <w:i/>
          <w:iCs/>
          <w:sz w:val="21"/>
          <w:szCs w:val="21"/>
          <w:lang w:eastAsia="zh-CN" w:bidi="en-US"/>
        </w:rPr>
        <w:t>TP</w:t>
      </w:r>
      <w:r>
        <w:rPr>
          <w:rFonts w:hint="eastAsia" w:ascii="Times New Roman" w:hAnsi="Times New Roman" w:eastAsia="宋体" w:cstheme="minorBidi"/>
          <w:sz w:val="21"/>
          <w:szCs w:val="21"/>
          <w:lang w:eastAsia="zh-CN" w:bidi="en-US"/>
        </w:rPr>
        <w:t>) 指两种方法均判定为高风险区的样本数；假阳性(</w:t>
      </w:r>
      <w:r>
        <w:rPr>
          <w:rFonts w:hint="eastAsia" w:ascii="Times New Roman" w:hAnsi="Times New Roman" w:eastAsia="宋体" w:cstheme="minorBidi"/>
          <w:i/>
          <w:iCs/>
          <w:sz w:val="21"/>
          <w:szCs w:val="21"/>
          <w:lang w:eastAsia="zh-CN" w:bidi="en-US"/>
        </w:rPr>
        <w:t>FP</w:t>
      </w:r>
      <w:r>
        <w:rPr>
          <w:rFonts w:hint="eastAsia" w:ascii="Times New Roman" w:hAnsi="Times New Roman" w:eastAsia="宋体" w:cstheme="minorBidi"/>
          <w:sz w:val="21"/>
          <w:szCs w:val="21"/>
          <w:lang w:eastAsia="zh-CN" w:bidi="en-US"/>
        </w:rPr>
        <w:t>) 指方法A判定为高风险区而方法B判定为非高风险区的样本数；假阴性(</w:t>
      </w:r>
      <w:r>
        <w:rPr>
          <w:rFonts w:hint="eastAsia" w:ascii="Times New Roman" w:hAnsi="Times New Roman" w:eastAsia="宋体" w:cstheme="minorBidi"/>
          <w:i/>
          <w:iCs/>
          <w:sz w:val="21"/>
          <w:szCs w:val="21"/>
          <w:lang w:eastAsia="zh-CN" w:bidi="en-US"/>
        </w:rPr>
        <w:t>FN)</w:t>
      </w:r>
      <w:r>
        <w:rPr>
          <w:rFonts w:hint="eastAsia" w:ascii="Times New Roman" w:hAnsi="Times New Roman" w:eastAsia="宋体" w:cstheme="minorBidi"/>
          <w:sz w:val="21"/>
          <w:szCs w:val="21"/>
          <w:lang w:eastAsia="zh-CN" w:bidi="en-US"/>
        </w:rPr>
        <w:t xml:space="preserve"> 指方法A判定为非高风险区而方法B判定为高风险区的样本数；真阴性(</w:t>
      </w:r>
      <w:r>
        <w:rPr>
          <w:rFonts w:hint="eastAsia" w:ascii="Times New Roman" w:hAnsi="Times New Roman" w:eastAsia="宋体" w:cstheme="minorBidi"/>
          <w:i/>
          <w:iCs/>
          <w:sz w:val="21"/>
          <w:szCs w:val="21"/>
          <w:lang w:eastAsia="zh-CN" w:bidi="en-US"/>
        </w:rPr>
        <w:t>TN</w:t>
      </w:r>
      <w:r>
        <w:rPr>
          <w:rFonts w:hint="eastAsia" w:ascii="Times New Roman" w:hAnsi="Times New Roman" w:eastAsia="宋体" w:cstheme="minorBidi"/>
          <w:sz w:val="21"/>
          <w:szCs w:val="21"/>
          <w:lang w:eastAsia="zh-CN" w:bidi="en-US"/>
        </w:rPr>
        <w:t>) 指两种方法均判定为非高风险区的样本数。</w:t>
      </w:r>
    </w:p>
    <w:p>
      <w:pPr>
        <w:pStyle w:val="2"/>
        <w:pageBreakBefore w:val="0"/>
        <w:kinsoku/>
        <w:wordWrap/>
        <w:overflowPunct/>
        <w:topLinePunct w:val="0"/>
        <w:autoSpaceDE/>
        <w:autoSpaceDN/>
        <w:bidi w:val="0"/>
        <w:adjustRightInd/>
        <w:spacing w:beforeAutospacing="0" w:afterAutospacing="0" w:line="240" w:lineRule="auto"/>
        <w:ind w:firstLine="420"/>
        <w:textAlignment w:val="auto"/>
        <w:rPr>
          <w:rFonts w:ascii="Times New Roman" w:hAnsi="Times New Roman" w:eastAsia="宋体" w:cstheme="minorBidi"/>
          <w:sz w:val="21"/>
          <w:szCs w:val="21"/>
          <w:lang w:eastAsia="zh-CN" w:bidi="en-US"/>
        </w:rPr>
      </w:pPr>
      <w:r>
        <w:rPr>
          <w:rFonts w:hint="eastAsia" w:ascii="Times New Roman" w:hAnsi="Times New Roman" w:eastAsia="宋体" w:cstheme="minorBidi"/>
          <w:sz w:val="21"/>
          <w:szCs w:val="21"/>
          <w:lang w:eastAsia="zh-CN" w:bidi="en-US"/>
        </w:rPr>
        <w:t>基于混淆矩阵，计算各组比较的观测一致性（</w:t>
      </w:r>
      <w:r>
        <w:rPr>
          <w:rFonts w:hint="eastAsia" w:ascii="Times New Roman" w:hAnsi="Times New Roman" w:eastAsia="宋体" w:cstheme="minorBidi"/>
          <w:i/>
          <w:iCs/>
          <w:sz w:val="21"/>
          <w:szCs w:val="21"/>
          <w:lang w:eastAsia="zh-CN" w:bidi="en-US"/>
        </w:rPr>
        <w:t>Po</w:t>
      </w:r>
      <w:r>
        <w:rPr>
          <w:rFonts w:hint="eastAsia" w:ascii="Times New Roman" w:hAnsi="Times New Roman" w:eastAsia="宋体" w:cstheme="minorBidi"/>
          <w:sz w:val="21"/>
          <w:szCs w:val="21"/>
          <w:lang w:eastAsia="zh-CN" w:bidi="en-US"/>
        </w:rPr>
        <w:t>）与期望一致性（</w:t>
      </w:r>
      <w:r>
        <w:rPr>
          <w:rFonts w:hint="eastAsia" w:ascii="Times New Roman" w:hAnsi="Times New Roman" w:eastAsia="宋体" w:cstheme="minorBidi"/>
          <w:i/>
          <w:iCs/>
          <w:sz w:val="21"/>
          <w:szCs w:val="21"/>
          <w:lang w:eastAsia="zh-CN" w:bidi="en-US"/>
        </w:rPr>
        <w:t>Pe</w:t>
      </w:r>
      <w:r>
        <w:rPr>
          <w:rFonts w:hint="eastAsia" w:ascii="Times New Roman" w:hAnsi="Times New Roman" w:eastAsia="宋体" w:cstheme="minorBidi"/>
          <w:sz w:val="21"/>
          <w:szCs w:val="21"/>
          <w:lang w:eastAsia="zh-CN" w:bidi="en-US"/>
        </w:rPr>
        <w:t>），并代入公式计算kappa系数并进行显著性检验，结果如表8所</w:t>
      </w:r>
      <w:r>
        <w:rPr>
          <w:rFonts w:ascii="Times New Roman" w:hAnsi="Times New Roman" w:eastAsia="宋体" w:cstheme="minorBidi"/>
          <w:sz w:val="21"/>
          <w:szCs w:val="21"/>
          <w:lang w:val="en" w:eastAsia="zh-CN" w:bidi="en-US"/>
        </w:rPr>
        <w:t>列</w:t>
      </w:r>
      <w:r>
        <w:rPr>
          <w:rFonts w:hint="eastAsia" w:ascii="Times New Roman" w:hAnsi="Times New Roman" w:eastAsia="宋体" w:cstheme="minorBidi"/>
          <w:sz w:val="21"/>
          <w:szCs w:val="21"/>
          <w:lang w:eastAsia="zh-CN" w:bidi="en-US"/>
        </w:rPr>
        <w:t>。</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hint="eastAsia" w:eastAsia="黑体" w:cs="Times New Roman"/>
          <w:sz w:val="18"/>
          <w:szCs w:val="18"/>
        </w:rPr>
        <w:t>表8  高风险区识别一致性Kappa系数分析</w:t>
      </w:r>
    </w:p>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eastAsia="黑体" w:cs="Times New Roman"/>
          <w:sz w:val="18"/>
          <w:szCs w:val="18"/>
        </w:rPr>
      </w:pPr>
      <w:r>
        <w:rPr>
          <w:rFonts w:eastAsia="黑体" w:cs="Times New Roman"/>
          <w:sz w:val="18"/>
          <w:szCs w:val="18"/>
        </w:rPr>
        <w:t xml:space="preserve">Table </w:t>
      </w:r>
      <w:r>
        <w:rPr>
          <w:rFonts w:hint="eastAsia" w:eastAsia="黑体" w:cs="Times New Roman"/>
          <w:sz w:val="18"/>
          <w:szCs w:val="18"/>
        </w:rPr>
        <w:t>8</w:t>
      </w:r>
      <w:r>
        <w:rPr>
          <w:rFonts w:eastAsia="黑体" w:cs="Times New Roman"/>
          <w:sz w:val="18"/>
          <w:szCs w:val="18"/>
        </w:rPr>
        <w:t xml:space="preserve">  Analysis of Kappa </w:t>
      </w:r>
      <w:r>
        <w:rPr>
          <w:rFonts w:hint="eastAsia" w:eastAsia="黑体" w:cs="Times New Roman"/>
          <w:sz w:val="18"/>
          <w:szCs w:val="18"/>
        </w:rPr>
        <w:t>c</w:t>
      </w:r>
      <w:r>
        <w:rPr>
          <w:rFonts w:eastAsia="黑体" w:cs="Times New Roman"/>
          <w:sz w:val="18"/>
          <w:szCs w:val="18"/>
        </w:rPr>
        <w:t>oefficient for agreement in</w:t>
      </w:r>
      <w:r>
        <w:rPr>
          <w:rFonts w:hint="eastAsia" w:eastAsia="黑体" w:cs="Times New Roman"/>
          <w:sz w:val="18"/>
          <w:szCs w:val="18"/>
        </w:rPr>
        <w:t xml:space="preserve"> h</w:t>
      </w:r>
      <w:r>
        <w:rPr>
          <w:rFonts w:eastAsia="黑体" w:cs="Times New Roman"/>
          <w:sz w:val="18"/>
          <w:szCs w:val="18"/>
        </w:rPr>
        <w:t>igh-</w:t>
      </w:r>
      <w:r>
        <w:rPr>
          <w:rFonts w:hint="eastAsia" w:eastAsia="黑体" w:cs="Times New Roman"/>
          <w:sz w:val="18"/>
          <w:szCs w:val="18"/>
        </w:rPr>
        <w:t>r</w:t>
      </w:r>
      <w:r>
        <w:rPr>
          <w:rFonts w:eastAsia="黑体" w:cs="Times New Roman"/>
          <w:sz w:val="18"/>
          <w:szCs w:val="18"/>
        </w:rPr>
        <w:t xml:space="preserve">isk </w:t>
      </w:r>
      <w:r>
        <w:rPr>
          <w:rFonts w:hint="eastAsia" w:eastAsia="黑体" w:cs="Times New Roman"/>
          <w:sz w:val="18"/>
          <w:szCs w:val="18"/>
        </w:rPr>
        <w:t>z</w:t>
      </w:r>
      <w:r>
        <w:rPr>
          <w:rFonts w:eastAsia="黑体" w:cs="Times New Roman"/>
          <w:sz w:val="18"/>
          <w:szCs w:val="18"/>
        </w:rPr>
        <w:t xml:space="preserve">one </w:t>
      </w:r>
      <w:r>
        <w:rPr>
          <w:rFonts w:hint="eastAsia" w:eastAsia="黑体" w:cs="Times New Roman"/>
          <w:sz w:val="18"/>
          <w:szCs w:val="18"/>
        </w:rPr>
        <w:t>i</w:t>
      </w:r>
      <w:r>
        <w:rPr>
          <w:rFonts w:eastAsia="黑体" w:cs="Times New Roman"/>
          <w:sz w:val="18"/>
          <w:szCs w:val="18"/>
        </w:rPr>
        <w:t xml:space="preserve">dentification </w:t>
      </w:r>
    </w:p>
    <w:tbl>
      <w:tblPr>
        <w:tblStyle w:val="14"/>
        <w:tblW w:w="8499" w:type="dxa"/>
        <w:tblInd w:w="0" w:type="dxa"/>
        <w:tblLayout w:type="fixed"/>
        <w:tblCellMar>
          <w:top w:w="0" w:type="dxa"/>
          <w:left w:w="108" w:type="dxa"/>
          <w:bottom w:w="0" w:type="dxa"/>
          <w:right w:w="108" w:type="dxa"/>
        </w:tblCellMar>
      </w:tblPr>
      <w:tblGrid>
        <w:gridCol w:w="1139"/>
        <w:gridCol w:w="1588"/>
        <w:gridCol w:w="1305"/>
        <w:gridCol w:w="1419"/>
        <w:gridCol w:w="1419"/>
        <w:gridCol w:w="1629"/>
      </w:tblGrid>
      <w:tr>
        <w:tblPrEx>
          <w:tblCellMar>
            <w:top w:w="0" w:type="dxa"/>
            <w:left w:w="108" w:type="dxa"/>
            <w:bottom w:w="0" w:type="dxa"/>
            <w:right w:w="108" w:type="dxa"/>
          </w:tblCellMar>
        </w:tblPrEx>
        <w:trPr>
          <w:trHeight w:val="610" w:hRule="atLeast"/>
          <w:tblHeader/>
        </w:trPr>
        <w:tc>
          <w:tcPr>
            <w:tcW w:w="1139" w:type="dxa"/>
            <w:tcBorders>
              <w:top w:val="single" w:color="000000" w:sz="12" w:space="0"/>
              <w:left w:val="nil"/>
              <w:bottom w:val="single" w:color="000000" w:sz="4" w:space="0"/>
              <w:right w:val="nil"/>
              <w:tl2br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方法对比</w:t>
            </w:r>
          </w:p>
        </w:tc>
        <w:tc>
          <w:tcPr>
            <w:tcW w:w="1588"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i/>
                <w:iCs/>
                <w:kern w:val="0"/>
                <w:sz w:val="15"/>
                <w:szCs w:val="15"/>
              </w:rPr>
              <w:t>Kappa</w:t>
            </w:r>
            <w:r>
              <w:rPr>
                <w:rFonts w:hint="eastAsia" w:cs="Times New Roman"/>
                <w:kern w:val="0"/>
                <w:sz w:val="15"/>
                <w:szCs w:val="15"/>
              </w:rPr>
              <w:t>系数</w:t>
            </w:r>
          </w:p>
        </w:tc>
        <w:tc>
          <w:tcPr>
            <w:tcW w:w="1305"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观察一致性</w:t>
            </w:r>
            <w:r>
              <w:rPr>
                <w:rFonts w:hint="eastAsia" w:cs="Times New Roman"/>
                <w:i/>
                <w:iCs/>
                <w:kern w:val="0"/>
                <w:sz w:val="15"/>
                <w:szCs w:val="15"/>
              </w:rPr>
              <w:t>Po</w:t>
            </w:r>
          </w:p>
        </w:tc>
        <w:tc>
          <w:tcPr>
            <w:tcW w:w="1419"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期望一致性</w:t>
            </w:r>
            <w:r>
              <w:rPr>
                <w:rFonts w:hint="eastAsia" w:cs="Times New Roman"/>
                <w:i/>
                <w:iCs/>
                <w:kern w:val="0"/>
                <w:sz w:val="15"/>
                <w:szCs w:val="15"/>
              </w:rPr>
              <w:t>Pe</w:t>
            </w:r>
          </w:p>
        </w:tc>
        <w:tc>
          <w:tcPr>
            <w:tcW w:w="1419"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一致性评价</w:t>
            </w:r>
          </w:p>
        </w:tc>
        <w:tc>
          <w:tcPr>
            <w:tcW w:w="1629" w:type="dxa"/>
            <w:tcBorders>
              <w:top w:val="single" w:color="000000" w:sz="12" w:space="0"/>
              <w:left w:val="nil"/>
              <w:bottom w:val="single" w:color="000000" w:sz="4"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统计显著性</w:t>
            </w:r>
          </w:p>
        </w:tc>
      </w:tr>
      <w:tr>
        <w:tblPrEx>
          <w:tblCellMar>
            <w:top w:w="0" w:type="dxa"/>
            <w:left w:w="108" w:type="dxa"/>
            <w:bottom w:w="0" w:type="dxa"/>
            <w:right w:w="108" w:type="dxa"/>
          </w:tblCellMar>
        </w:tblPrEx>
        <w:trPr>
          <w:trHeight w:val="278" w:hRule="atLeast"/>
          <w:tblHeader/>
        </w:trPr>
        <w:tc>
          <w:tcPr>
            <w:tcW w:w="1139"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博弈论法 vs 层次分析法</w:t>
            </w:r>
          </w:p>
        </w:tc>
        <w:tc>
          <w:tcPr>
            <w:tcW w:w="1588"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0.893</w:t>
            </w:r>
          </w:p>
        </w:tc>
        <w:tc>
          <w:tcPr>
            <w:tcW w:w="1305"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0.987</w:t>
            </w:r>
          </w:p>
        </w:tc>
        <w:tc>
          <w:tcPr>
            <w:tcW w:w="1419"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0.876</w:t>
            </w:r>
          </w:p>
        </w:tc>
        <w:tc>
          <w:tcPr>
            <w:tcW w:w="1419"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几乎完全一致</w:t>
            </w:r>
          </w:p>
        </w:tc>
        <w:tc>
          <w:tcPr>
            <w:tcW w:w="1629" w:type="dxa"/>
            <w:tcBorders>
              <w:top w:val="single" w:color="000000" w:sz="4" w:space="0"/>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i/>
                <w:iCs/>
                <w:kern w:val="0"/>
                <w:sz w:val="15"/>
                <w:szCs w:val="15"/>
              </w:rPr>
              <w:t>P</w:t>
            </w:r>
            <w:r>
              <w:rPr>
                <w:rFonts w:hint="eastAsia" w:cs="Times New Roman"/>
                <w:kern w:val="0"/>
                <w:sz w:val="15"/>
                <w:szCs w:val="15"/>
              </w:rPr>
              <w:t xml:space="preserve"> &lt; 0.001</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博弈论法 vs 熵权法</w:t>
            </w:r>
          </w:p>
        </w:tc>
        <w:tc>
          <w:tcPr>
            <w:tcW w:w="1588"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0.501</w:t>
            </w:r>
          </w:p>
        </w:tc>
        <w:tc>
          <w:tcPr>
            <w:tcW w:w="1305"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0.966</w:t>
            </w:r>
          </w:p>
        </w:tc>
        <w:tc>
          <w:tcPr>
            <w:tcW w:w="1419"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0.932</w:t>
            </w:r>
          </w:p>
        </w:tc>
        <w:tc>
          <w:tcPr>
            <w:tcW w:w="1419"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中等一致</w:t>
            </w:r>
          </w:p>
        </w:tc>
        <w:tc>
          <w:tcPr>
            <w:tcW w:w="1629" w:type="dxa"/>
            <w:tcBorders>
              <w:top w:val="nil"/>
              <w:left w:val="nil"/>
              <w:bottom w:val="nil"/>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i/>
                <w:iCs/>
                <w:kern w:val="0"/>
                <w:sz w:val="15"/>
                <w:szCs w:val="15"/>
              </w:rPr>
              <w:t xml:space="preserve">P </w:t>
            </w:r>
            <w:r>
              <w:rPr>
                <w:rFonts w:hint="eastAsia" w:cs="Times New Roman"/>
                <w:kern w:val="0"/>
                <w:sz w:val="15"/>
                <w:szCs w:val="15"/>
              </w:rPr>
              <w:t>&lt; 0.001</w:t>
            </w:r>
          </w:p>
        </w:tc>
      </w:tr>
      <w:tr>
        <w:tblPrEx>
          <w:tblCellMar>
            <w:top w:w="0" w:type="dxa"/>
            <w:left w:w="108" w:type="dxa"/>
            <w:bottom w:w="0" w:type="dxa"/>
            <w:right w:w="108" w:type="dxa"/>
          </w:tblCellMar>
        </w:tblPrEx>
        <w:trPr>
          <w:trHeight w:val="278" w:hRule="atLeast"/>
          <w:tblHeader/>
        </w:trPr>
        <w:tc>
          <w:tcPr>
            <w:tcW w:w="1139"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层次分析法 vs 熵权法</w:t>
            </w:r>
          </w:p>
        </w:tc>
        <w:tc>
          <w:tcPr>
            <w:tcW w:w="1588"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0.428</w:t>
            </w:r>
          </w:p>
        </w:tc>
        <w:tc>
          <w:tcPr>
            <w:tcW w:w="1305"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0.955</w:t>
            </w:r>
          </w:p>
        </w:tc>
        <w:tc>
          <w:tcPr>
            <w:tcW w:w="1419"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0.921</w:t>
            </w:r>
          </w:p>
        </w:tc>
        <w:tc>
          <w:tcPr>
            <w:tcW w:w="1419"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kern w:val="0"/>
                <w:sz w:val="15"/>
                <w:szCs w:val="15"/>
              </w:rPr>
              <w:t>中等一致</w:t>
            </w:r>
          </w:p>
        </w:tc>
        <w:tc>
          <w:tcPr>
            <w:tcW w:w="1629" w:type="dxa"/>
            <w:tcBorders>
              <w:top w:val="nil"/>
              <w:left w:val="nil"/>
              <w:bottom w:val="single" w:color="000000" w:sz="12" w:space="0"/>
              <w:right w:val="nil"/>
            </w:tcBorders>
            <w:shd w:val="clear" w:color="auto" w:fill="FFFFFF"/>
            <w:noWrap/>
            <w:vAlign w:val="center"/>
          </w:tcPr>
          <w:p>
            <w:pPr>
              <w:pageBreakBefore w:val="0"/>
              <w:kinsoku/>
              <w:wordWrap/>
              <w:overflowPunct/>
              <w:topLinePunct w:val="0"/>
              <w:autoSpaceDE/>
              <w:autoSpaceDN/>
              <w:bidi w:val="0"/>
              <w:adjustRightInd/>
              <w:spacing w:beforeAutospacing="0" w:afterAutospacing="0" w:line="240" w:lineRule="auto"/>
              <w:ind w:firstLine="0" w:firstLineChars="0"/>
              <w:jc w:val="center"/>
              <w:textAlignment w:val="auto"/>
              <w:rPr>
                <w:rFonts w:cs="Times New Roman"/>
                <w:kern w:val="0"/>
                <w:sz w:val="15"/>
                <w:szCs w:val="15"/>
              </w:rPr>
            </w:pPr>
            <w:r>
              <w:rPr>
                <w:rFonts w:hint="eastAsia" w:cs="Times New Roman"/>
                <w:i/>
                <w:iCs/>
                <w:kern w:val="0"/>
                <w:sz w:val="15"/>
                <w:szCs w:val="15"/>
              </w:rPr>
              <w:t>P</w:t>
            </w:r>
            <w:r>
              <w:rPr>
                <w:rFonts w:hint="eastAsia" w:cs="Times New Roman"/>
                <w:kern w:val="0"/>
                <w:sz w:val="15"/>
                <w:szCs w:val="15"/>
              </w:rPr>
              <w:t xml:space="preserve"> &lt; 0.001</w:t>
            </w:r>
          </w:p>
        </w:tc>
      </w:tr>
    </w:tbl>
    <w:p>
      <w:pPr>
        <w:pStyle w:val="2"/>
        <w:pageBreakBefore w:val="0"/>
        <w:kinsoku/>
        <w:wordWrap/>
        <w:overflowPunct/>
        <w:topLinePunct w:val="0"/>
        <w:autoSpaceDE/>
        <w:autoSpaceDN/>
        <w:bidi w:val="0"/>
        <w:adjustRightInd/>
        <w:spacing w:beforeAutospacing="0" w:afterAutospacing="0" w:line="240" w:lineRule="auto"/>
        <w:ind w:firstLine="420"/>
        <w:textAlignment w:val="auto"/>
        <w:rPr>
          <w:rFonts w:ascii="Times New Roman" w:hAnsi="Times New Roman" w:eastAsia="宋体" w:cstheme="minorBidi"/>
          <w:sz w:val="21"/>
          <w:szCs w:val="21"/>
          <w:lang w:eastAsia="zh-CN" w:bidi="en-US"/>
        </w:rPr>
      </w:pPr>
      <w:r>
        <w:rPr>
          <w:rFonts w:hint="eastAsia" w:ascii="Times New Roman" w:hAnsi="Times New Roman" w:eastAsia="宋体" w:cstheme="minorBidi"/>
          <w:i/>
          <w:iCs/>
          <w:sz w:val="21"/>
          <w:szCs w:val="21"/>
          <w:lang w:eastAsia="zh-CN" w:bidi="en-US"/>
        </w:rPr>
        <w:t>Kappa</w:t>
      </w:r>
      <w:r>
        <w:rPr>
          <w:rFonts w:hint="eastAsia" w:ascii="Times New Roman" w:hAnsi="Times New Roman" w:eastAsia="宋体" w:cstheme="minorBidi"/>
          <w:sz w:val="21"/>
          <w:szCs w:val="21"/>
          <w:lang w:eastAsia="zh-CN" w:bidi="en-US"/>
        </w:rPr>
        <w:t>系数结果分析表明，博弈论组合赋权法与层次分析法在高风险区识别上达到近乎完全一致（</w:t>
      </w:r>
      <w:r>
        <w:rPr>
          <w:rFonts w:hint="eastAsia" w:ascii="Times New Roman" w:hAnsi="Times New Roman" w:eastAsia="宋体" w:cstheme="minorBidi"/>
          <w:i/>
          <w:iCs/>
          <w:sz w:val="21"/>
          <w:szCs w:val="21"/>
          <w:lang w:eastAsia="zh-CN" w:bidi="en-US"/>
        </w:rPr>
        <w:t>K</w:t>
      </w:r>
      <w:r>
        <w:rPr>
          <w:rFonts w:hint="eastAsia" w:ascii="Times New Roman" w:hAnsi="Times New Roman" w:eastAsia="宋体" w:cstheme="minorBidi"/>
          <w:sz w:val="21"/>
          <w:szCs w:val="21"/>
          <w:lang w:eastAsia="zh-CN" w:bidi="en-US"/>
        </w:rPr>
        <w:t xml:space="preserve"> = 0.893）。这一结果显著高于其与熵权法的一致性（</w:t>
      </w:r>
      <w:r>
        <w:rPr>
          <w:rFonts w:hint="eastAsia" w:ascii="Times New Roman" w:hAnsi="Times New Roman" w:eastAsia="宋体" w:cstheme="minorBidi"/>
          <w:i/>
          <w:iCs/>
          <w:sz w:val="21"/>
          <w:szCs w:val="21"/>
          <w:lang w:eastAsia="zh-CN" w:bidi="en-US"/>
        </w:rPr>
        <w:t xml:space="preserve">K </w:t>
      </w:r>
      <w:r>
        <w:rPr>
          <w:rFonts w:hint="eastAsia" w:ascii="Times New Roman" w:hAnsi="Times New Roman" w:eastAsia="宋体" w:cstheme="minorBidi"/>
          <w:sz w:val="21"/>
          <w:szCs w:val="21"/>
          <w:lang w:eastAsia="zh-CN" w:bidi="en-US"/>
        </w:rPr>
        <w:t>= 0.501），这表明博弈论法在关乎防灾决策成效的关键高风险区判定上，它更倾向于采纳专家基于“损失规避”原则的判断，同时其结果仍保有客观数据的支撑。</w:t>
      </w:r>
    </w:p>
    <w:p>
      <w:pPr>
        <w:pStyle w:val="2"/>
        <w:pageBreakBefore w:val="0"/>
        <w:kinsoku/>
        <w:wordWrap/>
        <w:overflowPunct/>
        <w:topLinePunct w:val="0"/>
        <w:autoSpaceDE/>
        <w:autoSpaceDN/>
        <w:bidi w:val="0"/>
        <w:adjustRightInd/>
        <w:spacing w:beforeAutospacing="0" w:afterAutospacing="0" w:line="240" w:lineRule="auto"/>
        <w:ind w:firstLine="420"/>
        <w:textAlignment w:val="auto"/>
        <w:rPr>
          <w:rFonts w:ascii="Times New Roman" w:hAnsi="Times New Roman" w:eastAsia="宋体" w:cstheme="minorBidi"/>
          <w:sz w:val="21"/>
          <w:szCs w:val="21"/>
          <w:lang w:eastAsia="zh-CN" w:bidi="en-US"/>
        </w:rPr>
      </w:pPr>
      <w:r>
        <w:rPr>
          <w:rFonts w:hint="eastAsia" w:ascii="Times New Roman" w:hAnsi="Times New Roman" w:eastAsia="宋体" w:cstheme="minorBidi"/>
          <w:sz w:val="21"/>
          <w:szCs w:val="21"/>
          <w:lang w:eastAsia="zh-CN" w:bidi="en-US"/>
        </w:rPr>
        <w:t>本文综合采用斯皮尔曼等级相关分析与</w:t>
      </w:r>
      <w:r>
        <w:rPr>
          <w:rFonts w:hint="eastAsia" w:ascii="Times New Roman" w:hAnsi="Times New Roman" w:eastAsia="宋体" w:cstheme="minorBidi"/>
          <w:i/>
          <w:iCs/>
          <w:sz w:val="21"/>
          <w:szCs w:val="21"/>
          <w:lang w:eastAsia="zh-CN" w:bidi="en-US"/>
        </w:rPr>
        <w:t>Kappa</w:t>
      </w:r>
      <w:r>
        <w:rPr>
          <w:rFonts w:hint="eastAsia" w:ascii="Times New Roman" w:hAnsi="Times New Roman" w:eastAsia="宋体" w:cstheme="minorBidi"/>
          <w:sz w:val="21"/>
          <w:szCs w:val="21"/>
          <w:lang w:eastAsia="zh-CN" w:bidi="en-US"/>
        </w:rPr>
        <w:t>系数，从整体风险评估格局与关键高风险区识别两个维度，系统验证了博弈论组合赋权法的优越性。在整体风险排序上，斯皮尔曼分析表明，博弈论法与熵权法（</w:t>
      </w:r>
      <w:r>
        <w:rPr>
          <w:rFonts w:ascii="Times New Roman" w:hAnsi="Times New Roman" w:eastAsia="宋体" w:cs="Times New Roman"/>
          <w:i/>
          <w:iCs/>
          <w:sz w:val="21"/>
          <w:szCs w:val="21"/>
          <w:lang w:eastAsia="zh-CN" w:bidi="en-US"/>
        </w:rPr>
        <w:t>ρ</w:t>
      </w:r>
      <w:r>
        <w:rPr>
          <w:rFonts w:hint="eastAsia" w:ascii="Times New Roman" w:hAnsi="Times New Roman" w:eastAsia="宋体" w:cstheme="minorBidi"/>
          <w:sz w:val="21"/>
          <w:szCs w:val="21"/>
          <w:lang w:eastAsia="zh-CN" w:bidi="en-US"/>
        </w:rPr>
        <w:t xml:space="preserve"> = 0.993）及层次分析法（</w:t>
      </w:r>
      <w:r>
        <w:rPr>
          <w:rFonts w:ascii="Times New Roman" w:hAnsi="Times New Roman" w:eastAsia="宋体" w:cs="Times New Roman"/>
          <w:i/>
          <w:iCs/>
          <w:sz w:val="21"/>
          <w:szCs w:val="21"/>
          <w:lang w:eastAsia="zh-CN" w:bidi="en-US"/>
        </w:rPr>
        <w:t>ρ</w:t>
      </w:r>
      <w:r>
        <w:rPr>
          <w:rFonts w:hint="eastAsia" w:ascii="Times New Roman" w:hAnsi="Times New Roman" w:eastAsia="宋体" w:cstheme="minorBidi"/>
          <w:sz w:val="21"/>
          <w:szCs w:val="21"/>
          <w:lang w:eastAsia="zh-CN" w:bidi="en-US"/>
        </w:rPr>
        <w:t xml:space="preserve"> = 0.849）均呈现高度一致，结果略偏向于熵权法，证明其评估结果同时扎根于客观数据规律与主观专家经验，实现了对两类信息的有效继承。在关键的高风险区识别上，</w:t>
      </w:r>
      <w:r>
        <w:rPr>
          <w:rFonts w:hint="eastAsia" w:ascii="Times New Roman" w:hAnsi="Times New Roman" w:eastAsia="宋体" w:cstheme="minorBidi"/>
          <w:i/>
          <w:iCs/>
          <w:sz w:val="21"/>
          <w:szCs w:val="21"/>
          <w:lang w:eastAsia="zh-CN" w:bidi="en-US"/>
        </w:rPr>
        <w:t>Kappa</w:t>
      </w:r>
      <w:r>
        <w:rPr>
          <w:rFonts w:hint="eastAsia" w:ascii="Times New Roman" w:hAnsi="Times New Roman" w:eastAsia="宋体" w:cstheme="minorBidi"/>
          <w:sz w:val="21"/>
          <w:szCs w:val="21"/>
          <w:lang w:eastAsia="zh-CN" w:bidi="en-US"/>
        </w:rPr>
        <w:t>系数分析进一步揭示了博弈论法的融合机制：它与层次分析法达到近乎完全一致（</w:t>
      </w:r>
      <w:r>
        <w:rPr>
          <w:rFonts w:hint="eastAsia" w:ascii="Times New Roman" w:hAnsi="Times New Roman" w:eastAsia="宋体" w:cstheme="minorBidi"/>
          <w:i/>
          <w:iCs/>
          <w:sz w:val="21"/>
          <w:szCs w:val="21"/>
          <w:lang w:eastAsia="zh-CN" w:bidi="en-US"/>
        </w:rPr>
        <w:t>K</w:t>
      </w:r>
      <w:r>
        <w:rPr>
          <w:rFonts w:hint="eastAsia" w:ascii="Times New Roman" w:hAnsi="Times New Roman" w:eastAsia="宋体" w:cstheme="minorBidi"/>
          <w:sz w:val="21"/>
          <w:szCs w:val="21"/>
          <w:lang w:eastAsia="zh-CN" w:bidi="en-US"/>
        </w:rPr>
        <w:t xml:space="preserve"> = 0.893），显著高于其与熵权法的一致性（</w:t>
      </w:r>
      <w:r>
        <w:rPr>
          <w:rFonts w:hint="eastAsia" w:ascii="Times New Roman" w:hAnsi="Times New Roman" w:eastAsia="宋体" w:cstheme="minorBidi"/>
          <w:i/>
          <w:iCs/>
          <w:sz w:val="21"/>
          <w:szCs w:val="21"/>
          <w:lang w:eastAsia="zh-CN" w:bidi="en-US"/>
        </w:rPr>
        <w:t>K</w:t>
      </w:r>
      <w:r>
        <w:rPr>
          <w:rFonts w:hint="eastAsia" w:ascii="Times New Roman" w:hAnsi="Times New Roman" w:eastAsia="宋体" w:cstheme="minorBidi"/>
          <w:sz w:val="21"/>
          <w:szCs w:val="21"/>
          <w:lang w:eastAsia="zh-CN" w:bidi="en-US"/>
        </w:rPr>
        <w:t xml:space="preserve"> = 0.501）。这清晰地表明，博弈论组合赋权法并非对主客观权重进行简单折中，而是通过数学优化模型有效地融合了专家经验与数据规律，形成了一个全新的均衡解。</w:t>
      </w:r>
    </w:p>
    <w:p>
      <w:pPr>
        <w:pStyle w:val="2"/>
        <w:pageBreakBefore w:val="0"/>
        <w:kinsoku/>
        <w:wordWrap/>
        <w:overflowPunct/>
        <w:topLinePunct w:val="0"/>
        <w:autoSpaceDE/>
        <w:autoSpaceDN/>
        <w:bidi w:val="0"/>
        <w:adjustRightInd/>
        <w:spacing w:beforeAutospacing="0" w:afterAutospacing="0" w:line="240" w:lineRule="auto"/>
        <w:ind w:firstLine="420"/>
        <w:textAlignment w:val="auto"/>
        <w:rPr>
          <w:rFonts w:ascii="Times New Roman" w:hAnsi="Times New Roman" w:eastAsia="宋体" w:cstheme="minorBidi"/>
          <w:sz w:val="21"/>
          <w:szCs w:val="21"/>
          <w:lang w:eastAsia="zh-CN" w:bidi="en-US"/>
        </w:rPr>
      </w:pPr>
      <w:r>
        <w:rPr>
          <w:rFonts w:hint="eastAsia" w:ascii="Times New Roman" w:hAnsi="Times New Roman" w:eastAsia="宋体" w:cstheme="minorBidi"/>
          <w:sz w:val="21"/>
          <w:szCs w:val="21"/>
          <w:lang w:eastAsia="zh-CN" w:bidi="en-US"/>
        </w:rPr>
        <w:t>综上所述，博弈论组合赋权法克服了单一赋权方法的局限，形成了一种既全面又具决策导向性的综合评估结果，其科学性为本研究的洪涝风险防控实践提供了可靠的方法论支撑。</w:t>
      </w:r>
    </w:p>
    <w:p>
      <w:pPr>
        <w:pStyle w:val="5"/>
        <w:pageBreakBefore w:val="0"/>
        <w:numPr>
          <w:ilvl w:val="2"/>
          <w:numId w:val="0"/>
        </w:numPr>
        <w:kinsoku/>
        <w:wordWrap/>
        <w:overflowPunct/>
        <w:topLinePunct w:val="0"/>
        <w:autoSpaceDE/>
        <w:autoSpaceDN/>
        <w:bidi w:val="0"/>
        <w:adjustRightInd/>
        <w:spacing w:before="0" w:beforeAutospacing="0" w:after="0" w:afterAutospacing="0" w:line="240" w:lineRule="auto"/>
        <w:textAlignment w:val="auto"/>
        <w:rPr>
          <w:rFonts w:cs="Times New Roman"/>
          <w:b w:val="0"/>
          <w:bCs w:val="0"/>
          <w:sz w:val="21"/>
          <w:szCs w:val="22"/>
        </w:rPr>
      </w:pPr>
      <w:r>
        <w:rPr>
          <w:rFonts w:hint="eastAsia" w:cs="Times New Roman"/>
          <w:b w:val="0"/>
          <w:bCs w:val="0"/>
          <w:sz w:val="21"/>
          <w:szCs w:val="22"/>
        </w:rPr>
        <w:t>4.2讨</w:t>
      </w:r>
      <w:r>
        <w:rPr>
          <w:rFonts w:cs="Times New Roman"/>
          <w:b w:val="0"/>
          <w:bCs w:val="0"/>
          <w:sz w:val="21"/>
          <w:szCs w:val="22"/>
          <w:lang w:val="en"/>
        </w:rPr>
        <w:t xml:space="preserve">  </w:t>
      </w:r>
      <w:r>
        <w:rPr>
          <w:rFonts w:hint="eastAsia" w:cs="Times New Roman"/>
          <w:b w:val="0"/>
          <w:bCs w:val="0"/>
          <w:sz w:val="21"/>
          <w:szCs w:val="22"/>
        </w:rPr>
        <w:t>论</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lang w:bidi="en-US"/>
        </w:rPr>
        <w:t>本文借助MIKEFLOOD水动力模型模拟技术并引入博弈论的组合赋权模型，建立一种适用于城市地区的洪涝风险评估方法。在危险性指标的选取方面，相较于王金虎等</w:t>
      </w:r>
      <w:r>
        <w:rPr>
          <w:rFonts w:hint="eastAsia"/>
          <w:sz w:val="21"/>
          <w:szCs w:val="21"/>
          <w:vertAlign w:val="superscript"/>
          <w:lang w:bidi="en-US"/>
        </w:rPr>
        <w:fldChar w:fldCharType="begin"/>
      </w:r>
      <w:r>
        <w:rPr>
          <w:rFonts w:hint="eastAsia"/>
          <w:sz w:val="21"/>
          <w:szCs w:val="21"/>
          <w:vertAlign w:val="superscript"/>
          <w:lang w:bidi="en-US"/>
        </w:rPr>
        <w:instrText xml:space="preserve"> REF _Ref23714 \r \h </w:instrText>
      </w:r>
      <w:r>
        <w:rPr>
          <w:rFonts w:hint="eastAsia"/>
          <w:sz w:val="21"/>
          <w:szCs w:val="21"/>
          <w:vertAlign w:val="superscript"/>
          <w:lang w:bidi="en-US"/>
        </w:rPr>
        <w:fldChar w:fldCharType="separate"/>
      </w:r>
      <w:r>
        <w:rPr>
          <w:sz w:val="21"/>
          <w:szCs w:val="21"/>
          <w:vertAlign w:val="superscript"/>
          <w:lang w:bidi="en-US"/>
        </w:rPr>
        <w:t>[35]</w:t>
      </w:r>
      <w:r>
        <w:rPr>
          <w:rFonts w:hint="eastAsia"/>
          <w:sz w:val="21"/>
          <w:szCs w:val="21"/>
          <w:vertAlign w:val="superscript"/>
          <w:lang w:bidi="en-US"/>
        </w:rPr>
        <w:fldChar w:fldCharType="end"/>
      </w:r>
      <w:r>
        <w:rPr>
          <w:rFonts w:hint="eastAsia"/>
          <w:sz w:val="21"/>
          <w:szCs w:val="21"/>
          <w:lang w:bidi="en-US"/>
        </w:rPr>
        <w:t>采降雨作为危险性指标，其在大范围区域评估中具有一定适用性，但在县城等小尺度城区范围内区分能力有限，而这类小城市在我国城市体系中占比很高，其风险评估需求不容忽视。为此，本文创新性地引入MIKEFLOOD一维二维耦合水动力模型，以无人机航拍的高精度DEM数据为基础，模拟城市地表淹没过程，实现了对淹没水深、流速等危险性要素的量化，从而有效表征城市内部洪涝危险性的空间差异。在赋权方法上，周延等</w:t>
      </w:r>
      <w:r>
        <w:rPr>
          <w:rFonts w:hint="eastAsia"/>
          <w:sz w:val="21"/>
          <w:szCs w:val="21"/>
          <w:vertAlign w:val="superscript"/>
          <w:lang w:bidi="en-US"/>
        </w:rPr>
        <w:fldChar w:fldCharType="begin"/>
      </w:r>
      <w:r>
        <w:rPr>
          <w:rFonts w:hint="eastAsia"/>
          <w:sz w:val="21"/>
          <w:szCs w:val="21"/>
          <w:vertAlign w:val="superscript"/>
          <w:lang w:bidi="en-US"/>
        </w:rPr>
        <w:instrText xml:space="preserve"> REF _Ref29465 \r \h </w:instrText>
      </w:r>
      <w:r>
        <w:rPr>
          <w:rFonts w:hint="eastAsia"/>
          <w:sz w:val="21"/>
          <w:szCs w:val="21"/>
          <w:vertAlign w:val="superscript"/>
          <w:lang w:bidi="en-US"/>
        </w:rPr>
        <w:fldChar w:fldCharType="separate"/>
      </w:r>
      <w:r>
        <w:rPr>
          <w:sz w:val="21"/>
          <w:szCs w:val="21"/>
          <w:vertAlign w:val="superscript"/>
          <w:lang w:bidi="en-US"/>
        </w:rPr>
        <w:t>[36]</w:t>
      </w:r>
      <w:r>
        <w:rPr>
          <w:rFonts w:hint="eastAsia"/>
          <w:sz w:val="21"/>
          <w:szCs w:val="21"/>
          <w:vertAlign w:val="superscript"/>
          <w:lang w:bidi="en-US"/>
        </w:rPr>
        <w:fldChar w:fldCharType="end"/>
      </w:r>
      <w:r>
        <w:rPr>
          <w:rFonts w:hint="eastAsia"/>
          <w:sz w:val="21"/>
          <w:szCs w:val="21"/>
          <w:lang w:bidi="en-US"/>
        </w:rPr>
        <w:t>所采用的较为常见AHP-熵权法线性组合赋权方式，其本质是对主客观权重的被动混合，其组合比例往往依赖主观设定，未能从根本上协调两种权重之间的内在差异。相比之下，本文引入的博弈论组合赋权法，通过建立以最小化主客观权重偏差为目标的优化模型，主动寻求纳什均衡状态下的最优权重解，使赋权结果在融合专家经验与数据规律方面表现出更强的协调性。余亮</w:t>
      </w:r>
      <w:r>
        <w:rPr>
          <w:rFonts w:hint="eastAsia"/>
          <w:sz w:val="21"/>
          <w:szCs w:val="21"/>
          <w:vertAlign w:val="superscript"/>
          <w:lang w:bidi="en-US"/>
        </w:rPr>
        <w:fldChar w:fldCharType="begin"/>
      </w:r>
      <w:r>
        <w:rPr>
          <w:rFonts w:hint="eastAsia"/>
          <w:sz w:val="21"/>
          <w:szCs w:val="21"/>
          <w:vertAlign w:val="superscript"/>
          <w:lang w:bidi="en-US"/>
        </w:rPr>
        <w:instrText xml:space="preserve"> REF _Ref28133 \r \h </w:instrText>
      </w:r>
      <w:r>
        <w:rPr>
          <w:rFonts w:hint="eastAsia"/>
          <w:sz w:val="21"/>
          <w:szCs w:val="21"/>
          <w:vertAlign w:val="superscript"/>
          <w:lang w:bidi="en-US"/>
        </w:rPr>
        <w:fldChar w:fldCharType="separate"/>
      </w:r>
      <w:r>
        <w:rPr>
          <w:sz w:val="21"/>
          <w:szCs w:val="21"/>
          <w:vertAlign w:val="superscript"/>
          <w:lang w:bidi="en-US"/>
        </w:rPr>
        <w:t>[23]</w:t>
      </w:r>
      <w:r>
        <w:rPr>
          <w:rFonts w:hint="eastAsia"/>
          <w:sz w:val="21"/>
          <w:szCs w:val="21"/>
          <w:vertAlign w:val="superscript"/>
          <w:lang w:bidi="en-US"/>
        </w:rPr>
        <w:fldChar w:fldCharType="end"/>
      </w:r>
      <w:r>
        <w:rPr>
          <w:rFonts w:hint="eastAsia"/>
          <w:sz w:val="21"/>
          <w:szCs w:val="21"/>
          <w:lang w:bidi="en-US"/>
        </w:rPr>
        <w:t>等使用机器学习算法对洪涝风险进行评估，该类方法能够通过数据驱动的方式自动挖掘洪涝灾害与各影响因子之间的复杂非线性关系，在处理高维、非线性数据方面表现出显著优势，但其“黑箱”特性，导致模型的可解释性较差，难以清晰揭示各评估指标对风险结果的具体贡献程度。而本文结合水动力模型与博弈论组合赋权方法，物理机制明确、权重来源透明，评估结果具有良好的可解释性，更利于辅助防灾决策。</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lang w:bidi="en-US"/>
        </w:rPr>
        <w:t>本文在致灾因子危险性评估方面仍存在一定局限性。目前的风险评估框架主要聚焦于河道洪水动力过程（如漫溢、溃堤）对城市的影响，而对城市内部内涝机制的考量尚不充分。此外，本文主要借助的水动力模拟方法虽能有效表征河流泛滥行为，但其适用性更多局限于易受外洪影响的沿河城市。尽管沿河城市在洪涝研究范畴内数量众多，但该方法难以直接推广至广大内陆城市或主要受本地暴雨径流制约的区域，限制了模型的普适性。针对以上不足，未来研究应重点突破以下方向：其一，须融合城市水文模型（如SWMM、InfoWorks ICM）与地表水动力模型，实现对管网排水能力、地表汇流及河网洪水耦合过程的综合模拟，统筹考虑城市复杂下垫面条件下的内涝风险；其二，应发展具有更高适应性和可扩展性的洪涝风险评估框架，使其既能适用于沿河城市的外洪泛滥模拟，也能有效应对内陆城市典型内涝问题，从而增强模型在不同地理与水文条件下的适用性和决策支持能力。</w:t>
      </w:r>
    </w:p>
    <w:p>
      <w:pPr>
        <w:pStyle w:val="4"/>
        <w:pageBreakBefore w:val="0"/>
        <w:numPr>
          <w:ilvl w:val="1"/>
          <w:numId w:val="0"/>
        </w:numPr>
        <w:kinsoku/>
        <w:wordWrap/>
        <w:overflowPunct/>
        <w:topLinePunct w:val="0"/>
        <w:autoSpaceDE/>
        <w:autoSpaceDN/>
        <w:bidi w:val="0"/>
        <w:adjustRightInd/>
        <w:spacing w:before="0" w:beforeAutospacing="0" w:after="0" w:afterAutospacing="0" w:line="240" w:lineRule="auto"/>
        <w:textAlignment w:val="auto"/>
        <w:rPr>
          <w:rFonts w:eastAsia="宋体"/>
          <w:b w:val="0"/>
          <w:bCs w:val="0"/>
          <w:smallCaps w:val="0"/>
          <w:szCs w:val="28"/>
        </w:rPr>
      </w:pPr>
      <w:r>
        <w:rPr>
          <w:rFonts w:hint="eastAsia" w:eastAsia="宋体"/>
          <w:b w:val="0"/>
          <w:bCs w:val="0"/>
          <w:smallCaps w:val="0"/>
          <w:szCs w:val="28"/>
        </w:rPr>
        <w:t>5结</w:t>
      </w:r>
      <w:r>
        <w:rPr>
          <w:rFonts w:eastAsia="宋体"/>
          <w:b w:val="0"/>
          <w:bCs w:val="0"/>
          <w:smallCaps w:val="0"/>
          <w:szCs w:val="28"/>
          <w:lang w:val="en"/>
        </w:rPr>
        <w:t xml:space="preserve">  </w:t>
      </w:r>
      <w:r>
        <w:rPr>
          <w:rFonts w:hint="eastAsia" w:eastAsia="宋体"/>
          <w:b w:val="0"/>
          <w:bCs w:val="0"/>
          <w:smallCaps w:val="0"/>
          <w:szCs w:val="28"/>
        </w:rPr>
        <w:t>论</w:t>
      </w:r>
    </w:p>
    <w:p>
      <w:pPr>
        <w:pageBreakBefore w:val="0"/>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lang w:bidi="en-US"/>
        </w:rPr>
        <w:t>本文基于灾害系统理论，系统性地从致灾因子危险性、承灾体暴露性和环境脆弱性三个维度出发，收集并整合了德兴市地形、水文等相关数据资料。在此基础上，选取了10个关键指标，构建了适用于德兴市城区及同类区域的洪涝灾害风险评估指标体系。提出了博弈论组合赋权法，对各风险评估指标进行权重赋值，并评估了德兴市城区洪涝灾害风险。</w:t>
      </w:r>
    </w:p>
    <w:p>
      <w:pPr>
        <w:pageBreakBefore w:val="0"/>
        <w:numPr>
          <w:ilvl w:val="0"/>
          <w:numId w:val="4"/>
        </w:numPr>
        <w:kinsoku/>
        <w:wordWrap/>
        <w:overflowPunct/>
        <w:topLinePunct w:val="0"/>
        <w:autoSpaceDE/>
        <w:autoSpaceDN/>
        <w:bidi w:val="0"/>
        <w:adjustRightInd/>
        <w:spacing w:beforeAutospacing="0" w:afterAutospacing="0" w:line="240" w:lineRule="auto"/>
        <w:ind w:firstLine="420"/>
        <w:textAlignment w:val="auto"/>
        <w:rPr>
          <w:sz w:val="21"/>
          <w:szCs w:val="21"/>
        </w:rPr>
      </w:pPr>
      <w:r>
        <w:rPr>
          <w:rFonts w:hint="eastAsia"/>
          <w:sz w:val="21"/>
          <w:szCs w:val="21"/>
        </w:rPr>
        <w:t>通过对比实地调查获取的洪痕数据与MIKEFLOOD水动力模型对同场次洪水的模拟结果，证实了该模型在重现历史洪水淹没情况方面具有较高的可靠性。在指标权重确定方面，引入了博弈论组合赋权法，该方法通过数学优化模型寻求主客观权重之间的最优均衡解。斯皮尔曼等级相关性分析结果表明，基于该方法所得权重计算的风险排序，与主观赋权法和客观赋权法结果均呈现高度一致性，这证明博弈论组合赋权法既有效融合了专家对指标重要性的经验判断，又充分尊重了指标数据的客观统计规律，提升了权重分配的科学性，从而保证了最终风险评估结果的可信度。</w:t>
      </w:r>
    </w:p>
    <w:p>
      <w:pPr>
        <w:pageBreakBefore w:val="0"/>
        <w:numPr>
          <w:ilvl w:val="0"/>
          <w:numId w:val="4"/>
        </w:numPr>
        <w:kinsoku/>
        <w:wordWrap/>
        <w:overflowPunct/>
        <w:topLinePunct w:val="0"/>
        <w:autoSpaceDE/>
        <w:autoSpaceDN/>
        <w:bidi w:val="0"/>
        <w:adjustRightInd/>
        <w:spacing w:beforeAutospacing="0" w:afterAutospacing="0" w:line="240" w:lineRule="auto"/>
        <w:ind w:firstLine="420"/>
        <w:textAlignment w:val="auto"/>
        <w:rPr>
          <w:sz w:val="21"/>
          <w:szCs w:val="21"/>
          <w:lang w:bidi="en-US"/>
        </w:rPr>
      </w:pPr>
      <w:r>
        <w:rPr>
          <w:rFonts w:hint="eastAsia"/>
          <w:sz w:val="21"/>
          <w:szCs w:val="21"/>
        </w:rPr>
        <w:t>风险评估结果显示，德兴市城区共识别出13个高风险社区。分析表明，在危险区评估分级中，危险性指标对评估结果的影响最为显著。无论在层次分析法、熵权法还是博弈论组合赋权方法中，该指标的权重均保持在50%左右，明显高于其他指标。高风险区大多集中于河道上游及下游弯折段，具体包括：新营一村（高风险区面积0.115 km²）、上洲社区（0.067 km²）、天门山社区（0.034 km²）、岁寒山社区（0.024 km²）、洎水社区（0.020 km²）、水绿桥社区（0.019 km²）、银山社区（0.013 km²）、南门社区（0.012 km²）、肯堂山社区（0.011 km²）、银泉社区（0.011 km²）、吴园社区（0.009 km²）、胜利亭社区（0.004 km²）和武安路社区（0.002 km²）。</w:t>
      </w:r>
      <w:r>
        <w:rPr>
          <w:rFonts w:hint="eastAsia"/>
          <w:sz w:val="21"/>
          <w:szCs w:val="21"/>
          <w:lang w:bidi="en-US"/>
        </w:rPr>
        <w:t>中游区域风险整体较低。该空间分布特征可能是由于</w:t>
      </w:r>
      <w:r>
        <w:rPr>
          <w:sz w:val="21"/>
          <w:szCs w:val="21"/>
          <w:lang w:bidi="en-US"/>
        </w:rPr>
        <w:t>水流离心力导致的水位差、泥沙沉积导致的河床抬高、河道形态不稳定导致的行洪受阻</w:t>
      </w:r>
      <w:r>
        <w:rPr>
          <w:rFonts w:hint="eastAsia"/>
          <w:sz w:val="21"/>
          <w:szCs w:val="21"/>
          <w:lang w:bidi="en-US"/>
        </w:rPr>
        <w:t>等因素使其危险性较高，而且根据现场调查，这两处地区是老城区，人口和房屋都较为密集，地势较低、导致敏感性与暴露</w:t>
      </w:r>
      <w:r>
        <w:rPr>
          <w:rFonts w:hint="eastAsia"/>
          <w:sz w:val="21"/>
          <w:szCs w:val="21"/>
        </w:rPr>
        <w:t>性也较高。建议对高风险河段采取工程性防洪措施，例如适当加高与加固现有堤防，以提升防洪标准，缓解沿线社区的洪涝威胁。</w:t>
      </w:r>
    </w:p>
    <w:p>
      <w:pPr>
        <w:pageBreakBefore w:val="0"/>
        <w:numPr>
          <w:ilvl w:val="0"/>
          <w:numId w:val="4"/>
        </w:numPr>
        <w:kinsoku/>
        <w:wordWrap/>
        <w:overflowPunct/>
        <w:topLinePunct w:val="0"/>
        <w:autoSpaceDE/>
        <w:autoSpaceDN/>
        <w:bidi w:val="0"/>
        <w:adjustRightInd/>
        <w:spacing w:beforeAutospacing="0" w:afterAutospacing="0" w:line="240" w:lineRule="auto"/>
        <w:ind w:firstLine="480"/>
        <w:textAlignment w:val="auto"/>
      </w:pPr>
      <w:r>
        <w:br w:type="page"/>
      </w:r>
    </w:p>
    <w:p>
      <w:pPr>
        <w:pStyle w:val="4"/>
        <w:pageBreakBefore w:val="0"/>
        <w:numPr>
          <w:ilvl w:val="1"/>
          <w:numId w:val="0"/>
        </w:numPr>
        <w:kinsoku/>
        <w:wordWrap/>
        <w:overflowPunct/>
        <w:topLinePunct w:val="0"/>
        <w:autoSpaceDE/>
        <w:autoSpaceDN/>
        <w:bidi w:val="0"/>
        <w:adjustRightInd/>
        <w:spacing w:before="0" w:beforeAutospacing="0" w:after="0" w:afterAutospacing="0" w:line="240" w:lineRule="auto"/>
        <w:textAlignment w:val="auto"/>
        <w:rPr>
          <w:rFonts w:eastAsia="宋体"/>
          <w:b w:val="0"/>
          <w:bCs w:val="0"/>
          <w:smallCaps w:val="0"/>
          <w:szCs w:val="28"/>
        </w:rPr>
      </w:pPr>
      <w:r>
        <w:rPr>
          <w:rFonts w:hint="eastAsia" w:eastAsia="宋体"/>
          <w:b w:val="0"/>
          <w:bCs w:val="0"/>
          <w:smallCaps w:val="0"/>
          <w:szCs w:val="28"/>
        </w:rPr>
        <w:t>参考文献</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2" w:name="_Ref26477"/>
      <w:bookmarkStart w:id="3" w:name="_Ref12109"/>
      <w:bookmarkStart w:id="4" w:name="_Ref20110"/>
      <w:r>
        <w:rPr>
          <w:rFonts w:hint="eastAsia"/>
          <w:sz w:val="15"/>
          <w:szCs w:val="15"/>
        </w:rPr>
        <w:t>PEARCE A, COPE S, DOLAN C, et al. Understanding bimodal seas, shingle beach response and flood risk at Hayling island, UK[J].Maritime Engineering, 2024, 177(3/4): 107-116.</w:t>
      </w:r>
      <w:bookmarkEnd w:id="2"/>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5" w:name="_Ref26581"/>
      <w:r>
        <w:rPr>
          <w:rFonts w:hint="eastAsia"/>
          <w:sz w:val="15"/>
          <w:szCs w:val="15"/>
        </w:rPr>
        <w:t>MUTHU K ,RAMAMOORTHY S . Urban flood risk assessment using fuzzy logic and real-time flood simulation model</w:t>
      </w:r>
      <w:r>
        <w:rPr>
          <w:sz w:val="15"/>
          <w:szCs w:val="15"/>
          <w:lang w:val="en"/>
        </w:rPr>
        <w:t>:</w:t>
      </w:r>
      <w:r>
        <w:rPr>
          <w:rFonts w:hint="eastAsia"/>
          <w:sz w:val="15"/>
          <w:szCs w:val="15"/>
        </w:rPr>
        <w:t xml:space="preserve"> </w:t>
      </w:r>
      <w:r>
        <w:rPr>
          <w:sz w:val="15"/>
          <w:szCs w:val="15"/>
          <w:lang w:val="en"/>
        </w:rPr>
        <w:t>A</w:t>
      </w:r>
      <w:r>
        <w:rPr>
          <w:rFonts w:hint="eastAsia"/>
          <w:sz w:val="15"/>
          <w:szCs w:val="15"/>
        </w:rPr>
        <w:t xml:space="preserve"> geomatics techniques [J]. Earth Science Informatics, 2024, 18 (1): 72-72.</w:t>
      </w:r>
      <w:bookmarkEnd w:id="5"/>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6" w:name="_Ref24412"/>
      <w:r>
        <w:rPr>
          <w:rFonts w:hint="eastAsia"/>
          <w:sz w:val="15"/>
          <w:szCs w:val="15"/>
        </w:rPr>
        <w:t>YAN H C, GUO K H, GUAN M F. Enhanced urban flood hazard assessment by stochastic event catalog[J]. Water Resources Research, 2025, 61(8)</w:t>
      </w:r>
      <w:bookmarkEnd w:id="6"/>
      <w:r>
        <w:rPr>
          <w:rFonts w:hint="eastAsia"/>
          <w:sz w:val="15"/>
          <w:szCs w:val="15"/>
        </w:rPr>
        <w:t>: e2025WR040459.</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rFonts w:cstheme="minorBidi"/>
          <w:sz w:val="15"/>
          <w:szCs w:val="15"/>
        </w:rPr>
      </w:pPr>
      <w:r>
        <w:rPr>
          <w:rFonts w:hint="eastAsia"/>
          <w:sz w:val="15"/>
          <w:szCs w:val="15"/>
        </w:rPr>
        <w:t>宋晓猛, 徐楠涛, 董子然.</w:t>
      </w:r>
      <w:r>
        <w:rPr>
          <w:sz w:val="15"/>
          <w:szCs w:val="15"/>
          <w:lang w:val="en"/>
        </w:rPr>
        <w:t xml:space="preserve"> </w:t>
      </w:r>
      <w:r>
        <w:rPr>
          <w:rFonts w:hint="eastAsia"/>
          <w:sz w:val="15"/>
          <w:szCs w:val="15"/>
        </w:rPr>
        <w:t>变化环境下城市洪涝风险评估与调控策略[J].</w:t>
      </w:r>
      <w:r>
        <w:rPr>
          <w:sz w:val="15"/>
          <w:szCs w:val="15"/>
          <w:lang w:val="en"/>
        </w:rPr>
        <w:t xml:space="preserve"> </w:t>
      </w:r>
      <w:r>
        <w:rPr>
          <w:rFonts w:hint="eastAsia"/>
          <w:sz w:val="15"/>
          <w:szCs w:val="15"/>
        </w:rPr>
        <w:t>水利发展研究, 2025, 25(</w:t>
      </w:r>
      <w:r>
        <w:rPr>
          <w:sz w:val="15"/>
          <w:szCs w:val="15"/>
          <w:lang w:val="en"/>
        </w:rPr>
        <w:t>1</w:t>
      </w:r>
      <w:r>
        <w:rPr>
          <w:rFonts w:hint="eastAsia"/>
          <w:sz w:val="15"/>
          <w:szCs w:val="15"/>
        </w:rPr>
        <w:t>) : 56-64.</w:t>
      </w:r>
      <w:r>
        <w:rPr>
          <w:rFonts w:hint="eastAsia"/>
          <w:sz w:val="15"/>
          <w:szCs w:val="15"/>
        </w:rPr>
        <w:br w:type="textWrapping"/>
      </w:r>
      <w:r>
        <w:rPr>
          <w:rFonts w:hint="eastAsia"/>
          <w:sz w:val="15"/>
          <w:szCs w:val="15"/>
        </w:rPr>
        <w:t>SONGXiaomeng, XUNantao, DONGZiran.</w:t>
      </w:r>
      <w:r>
        <w:rPr>
          <w:sz w:val="15"/>
          <w:szCs w:val="15"/>
          <w:lang w:val="en"/>
        </w:rPr>
        <w:t xml:space="preserve"> </w:t>
      </w:r>
      <w:r>
        <w:rPr>
          <w:rFonts w:hint="eastAsia"/>
          <w:sz w:val="15"/>
          <w:szCs w:val="15"/>
        </w:rPr>
        <w:t>Risk assessment</w:t>
      </w:r>
      <w:r>
        <w:rPr>
          <w:sz w:val="15"/>
          <w:szCs w:val="15"/>
          <w:lang w:val="en"/>
        </w:rPr>
        <w:t xml:space="preserve"> </w:t>
      </w:r>
      <w:r>
        <w:rPr>
          <w:rFonts w:hint="eastAsia"/>
          <w:sz w:val="15"/>
          <w:szCs w:val="15"/>
        </w:rPr>
        <w:t>and controI</w:t>
      </w:r>
      <w:r>
        <w:rPr>
          <w:sz w:val="15"/>
          <w:szCs w:val="15"/>
          <w:lang w:val="en"/>
        </w:rPr>
        <w:t xml:space="preserve"> </w:t>
      </w:r>
      <w:r>
        <w:rPr>
          <w:rFonts w:hint="eastAsia"/>
          <w:sz w:val="15"/>
          <w:szCs w:val="15"/>
        </w:rPr>
        <w:t>strategies</w:t>
      </w:r>
      <w:r>
        <w:rPr>
          <w:sz w:val="15"/>
          <w:szCs w:val="15"/>
          <w:lang w:val="en"/>
        </w:rPr>
        <w:t xml:space="preserve"> </w:t>
      </w:r>
      <w:r>
        <w:rPr>
          <w:rFonts w:hint="eastAsia"/>
          <w:sz w:val="15"/>
          <w:szCs w:val="15"/>
        </w:rPr>
        <w:t>of</w:t>
      </w:r>
      <w:r>
        <w:rPr>
          <w:sz w:val="15"/>
          <w:szCs w:val="15"/>
          <w:lang w:val="en"/>
        </w:rPr>
        <w:t xml:space="preserve"> </w:t>
      </w:r>
      <w:r>
        <w:rPr>
          <w:rFonts w:hint="eastAsia"/>
          <w:sz w:val="15"/>
          <w:szCs w:val="15"/>
        </w:rPr>
        <w:t>urban</w:t>
      </w:r>
      <w:r>
        <w:rPr>
          <w:sz w:val="15"/>
          <w:szCs w:val="15"/>
          <w:lang w:val="en"/>
        </w:rPr>
        <w:t xml:space="preserve"> </w:t>
      </w:r>
      <w:r>
        <w:rPr>
          <w:rFonts w:hint="eastAsia"/>
          <w:sz w:val="15"/>
          <w:szCs w:val="15"/>
        </w:rPr>
        <w:t>fIooding</w:t>
      </w:r>
      <w:r>
        <w:rPr>
          <w:sz w:val="15"/>
          <w:szCs w:val="15"/>
          <w:lang w:val="en"/>
        </w:rPr>
        <w:t xml:space="preserve"> </w:t>
      </w:r>
      <w:r>
        <w:rPr>
          <w:rFonts w:hint="eastAsia"/>
          <w:sz w:val="15"/>
          <w:szCs w:val="15"/>
        </w:rPr>
        <w:t>under</w:t>
      </w:r>
      <w:r>
        <w:rPr>
          <w:sz w:val="15"/>
          <w:szCs w:val="15"/>
          <w:lang w:val="en"/>
        </w:rPr>
        <w:t xml:space="preserve"> </w:t>
      </w:r>
      <w:r>
        <w:rPr>
          <w:rFonts w:hint="eastAsia"/>
          <w:sz w:val="15"/>
          <w:szCs w:val="15"/>
        </w:rPr>
        <w:t>changing</w:t>
      </w:r>
      <w:r>
        <w:rPr>
          <w:sz w:val="15"/>
          <w:szCs w:val="15"/>
          <w:lang w:val="en"/>
        </w:rPr>
        <w:t xml:space="preserve"> </w:t>
      </w:r>
      <w:r>
        <w:rPr>
          <w:rFonts w:hint="eastAsia"/>
          <w:sz w:val="15"/>
          <w:szCs w:val="15"/>
        </w:rPr>
        <w:t>environments[J].</w:t>
      </w:r>
      <w:r>
        <w:rPr>
          <w:sz w:val="15"/>
          <w:szCs w:val="15"/>
          <w:lang w:val="en"/>
        </w:rPr>
        <w:t xml:space="preserve"> </w:t>
      </w:r>
      <w:r>
        <w:rPr>
          <w:rFonts w:hint="eastAsia"/>
          <w:sz w:val="15"/>
          <w:szCs w:val="15"/>
        </w:rPr>
        <w:t>Water</w:t>
      </w:r>
      <w:r>
        <w:rPr>
          <w:sz w:val="15"/>
          <w:szCs w:val="15"/>
          <w:lang w:val="en"/>
        </w:rPr>
        <w:t xml:space="preserve"> </w:t>
      </w:r>
      <w:r>
        <w:rPr>
          <w:rFonts w:hint="eastAsia"/>
          <w:sz w:val="15"/>
          <w:szCs w:val="15"/>
        </w:rPr>
        <w:t>Resources</w:t>
      </w:r>
      <w:r>
        <w:rPr>
          <w:sz w:val="15"/>
          <w:szCs w:val="15"/>
          <w:lang w:val="en"/>
        </w:rPr>
        <w:t xml:space="preserve"> </w:t>
      </w:r>
      <w:r>
        <w:rPr>
          <w:rFonts w:hint="eastAsia"/>
          <w:sz w:val="15"/>
          <w:szCs w:val="15"/>
        </w:rPr>
        <w:t>DeveIo</w:t>
      </w:r>
      <w:r>
        <w:rPr>
          <w:sz w:val="15"/>
          <w:szCs w:val="15"/>
          <w:lang w:val="en"/>
        </w:rPr>
        <w:t>p</w:t>
      </w:r>
      <w:r>
        <w:rPr>
          <w:rFonts w:hint="eastAsia"/>
          <w:sz w:val="15"/>
          <w:szCs w:val="15"/>
        </w:rPr>
        <w:t>ment</w:t>
      </w:r>
      <w:r>
        <w:rPr>
          <w:sz w:val="15"/>
          <w:szCs w:val="15"/>
          <w:lang w:val="en"/>
        </w:rPr>
        <w:t xml:space="preserve"> </w:t>
      </w:r>
      <w:r>
        <w:rPr>
          <w:rFonts w:hint="eastAsia"/>
          <w:sz w:val="15"/>
          <w:szCs w:val="15"/>
        </w:rPr>
        <w:t>Research, 2025, 25(</w:t>
      </w:r>
      <w:r>
        <w:rPr>
          <w:sz w:val="15"/>
          <w:szCs w:val="15"/>
          <w:lang w:val="en"/>
        </w:rPr>
        <w:t>1</w:t>
      </w:r>
      <w:r>
        <w:rPr>
          <w:rFonts w:hint="eastAsia"/>
          <w:sz w:val="15"/>
          <w:szCs w:val="15"/>
        </w:rPr>
        <w:t>) : 56-64</w:t>
      </w:r>
      <w:r>
        <w:rPr>
          <w:rFonts w:hint="eastAsia" w:cstheme="minorBidi"/>
          <w:sz w:val="15"/>
          <w:szCs w:val="15"/>
        </w:rPr>
        <w:t>.</w:t>
      </w:r>
      <w:bookmarkStart w:id="7" w:name="_Ref22361"/>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r>
        <w:rPr>
          <w:rFonts w:hint="eastAsia"/>
          <w:sz w:val="15"/>
          <w:szCs w:val="15"/>
        </w:rPr>
        <w:t>李子祥, 杨帆, 范子武, 等. 基于多暴雨情景的城市洪涝模拟与风险评估</w:t>
      </w:r>
      <w:bookmarkEnd w:id="7"/>
      <w:r>
        <w:rPr>
          <w:rFonts w:hint="eastAsia"/>
          <w:sz w:val="15"/>
          <w:szCs w:val="15"/>
        </w:rPr>
        <w:t>[J].水利水电技术(中英文)</w:t>
      </w:r>
      <w:r>
        <w:rPr>
          <w:sz w:val="15"/>
          <w:szCs w:val="15"/>
          <w:lang w:val="en"/>
        </w:rPr>
        <w:t>, 2025, 56(10): 84-96</w:t>
      </w:r>
      <w:r>
        <w:rPr>
          <w:rFonts w:hint="eastAsia"/>
          <w:sz w:val="15"/>
          <w:szCs w:val="15"/>
        </w:rPr>
        <w:t>.</w:t>
      </w:r>
      <w:r>
        <w:rPr>
          <w:rFonts w:hint="eastAsia"/>
          <w:sz w:val="15"/>
          <w:szCs w:val="15"/>
        </w:rPr>
        <w:br w:type="textWrapping"/>
      </w:r>
      <w:r>
        <w:rPr>
          <w:rFonts w:hint="eastAsia"/>
          <w:sz w:val="15"/>
          <w:szCs w:val="15"/>
        </w:rPr>
        <w:t>LI Z X, YANG F, FAN Z W, et al. Urban flood modeling and risk assessment under multi-rainstorm scenarios[J]. Water Resources and Hydropower Engineering</w:t>
      </w:r>
      <w:r>
        <w:rPr>
          <w:sz w:val="15"/>
          <w:szCs w:val="15"/>
          <w:lang w:val="en"/>
        </w:rPr>
        <w:t>, 2025, 56(10): 84-96</w:t>
      </w:r>
      <w:r>
        <w:rPr>
          <w:rFonts w:hint="eastAsia"/>
          <w:sz w:val="15"/>
          <w:szCs w:val="15"/>
        </w:rPr>
        <w:t>.</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8" w:name="_Ref26150"/>
      <w:r>
        <w:rPr>
          <w:rFonts w:hint="eastAsia"/>
          <w:sz w:val="15"/>
          <w:szCs w:val="15"/>
        </w:rPr>
        <w:t>舒心怡, 徐宗学, 叶陈雷, 等.考虑空间异质性特征的城市洪涝动态风险分析[J].北京师范大学学报(自然科学版),2024,60(3):375-385.</w:t>
      </w:r>
      <w:bookmarkEnd w:id="8"/>
    </w:p>
    <w:p>
      <w:pPr>
        <w:pStyle w:val="23"/>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rFonts w:cstheme="minorBidi"/>
          <w:sz w:val="15"/>
          <w:szCs w:val="15"/>
        </w:rPr>
      </w:pPr>
      <w:r>
        <w:rPr>
          <w:rFonts w:hint="eastAsia" w:cstheme="minorBidi"/>
          <w:sz w:val="15"/>
          <w:szCs w:val="15"/>
        </w:rPr>
        <w:t>SHU X Y, XU Z X, YE C L, et al. Dynamic flood risk analysis in urban areas accounting for spatial heterogeneity[J]. Journal of Beijing Normal University (Natural Science), 2024, 60(3): 375-385.</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9" w:name="_Ref26225"/>
      <w:r>
        <w:rPr>
          <w:rFonts w:hint="eastAsia"/>
          <w:sz w:val="15"/>
          <w:szCs w:val="15"/>
        </w:rPr>
        <w:t>LI C L, SUN N, LU Y H, et al. Review on urban flood risk assessment[J]. Sustainability, 2022, 15(1): 765-789.</w:t>
      </w:r>
      <w:bookmarkEnd w:id="9"/>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10" w:name="_Ref26754"/>
      <w:r>
        <w:rPr>
          <w:sz w:val="15"/>
          <w:szCs w:val="15"/>
        </w:rPr>
        <w:t>CHE L</w:t>
      </w:r>
      <w:r>
        <w:rPr>
          <w:rFonts w:hint="eastAsia"/>
          <w:sz w:val="15"/>
          <w:szCs w:val="15"/>
        </w:rPr>
        <w:t xml:space="preserve"> S</w:t>
      </w:r>
      <w:r>
        <w:rPr>
          <w:sz w:val="15"/>
          <w:szCs w:val="15"/>
        </w:rPr>
        <w:t xml:space="preserve"> ,YIN S </w:t>
      </w:r>
      <w:r>
        <w:rPr>
          <w:rFonts w:hint="eastAsia"/>
          <w:sz w:val="15"/>
          <w:szCs w:val="15"/>
        </w:rPr>
        <w:t xml:space="preserve">Y </w:t>
      </w:r>
      <w:r>
        <w:rPr>
          <w:sz w:val="15"/>
          <w:szCs w:val="15"/>
        </w:rPr>
        <w:t xml:space="preserve">,GUO Y </w:t>
      </w:r>
      <w:r>
        <w:rPr>
          <w:rFonts w:hint="eastAsia"/>
          <w:sz w:val="15"/>
          <w:szCs w:val="15"/>
        </w:rPr>
        <w:t xml:space="preserve">S </w:t>
      </w:r>
      <w:r>
        <w:rPr>
          <w:sz w:val="15"/>
          <w:szCs w:val="15"/>
        </w:rPr>
        <w:t>. Flood risk assessment combining the historical disaster statistics method with the index system method [J]. Hydrological Sciences Journal, 2025, 70 (3): 510-521.</w:t>
      </w:r>
      <w:bookmarkEnd w:id="10"/>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11" w:name="_Ref18768"/>
      <w:r>
        <w:rPr>
          <w:rFonts w:hint="eastAsia"/>
          <w:sz w:val="15"/>
          <w:szCs w:val="15"/>
        </w:rPr>
        <w:t>张会, 李铖, 程炯, 等. 基于“H-E-V”框架的城市洪涝风险评估研究进展[J].地理科学进展,2019,38(2):175-190.</w:t>
      </w:r>
      <w:bookmarkEnd w:id="11"/>
    </w:p>
    <w:p>
      <w:pPr>
        <w:pStyle w:val="23"/>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rFonts w:cstheme="minorBidi"/>
          <w:sz w:val="15"/>
          <w:szCs w:val="15"/>
        </w:rPr>
      </w:pPr>
      <w:r>
        <w:rPr>
          <w:rFonts w:hint="eastAsia" w:cstheme="minorBidi"/>
          <w:sz w:val="15"/>
          <w:szCs w:val="15"/>
        </w:rPr>
        <w:t>ZHANG H, LI C, CHENG J, et al. Research progress on urban flood risk assessment based on the “H-E-V” framework[J]. Progress in Geography, 2019, 38(2): 175-190.</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12" w:name="_Ref27332"/>
      <w:r>
        <w:rPr>
          <w:sz w:val="15"/>
          <w:szCs w:val="15"/>
        </w:rPr>
        <w:t xml:space="preserve">XIE Z </w:t>
      </w:r>
      <w:r>
        <w:rPr>
          <w:rFonts w:hint="eastAsia"/>
          <w:sz w:val="15"/>
          <w:szCs w:val="15"/>
        </w:rPr>
        <w:t xml:space="preserve">X </w:t>
      </w:r>
      <w:r>
        <w:rPr>
          <w:sz w:val="15"/>
          <w:szCs w:val="15"/>
        </w:rPr>
        <w:t>,SHU B . Risk assessment and spatial zoning of rainstorm and flood hazards in mountainous cities using the random forest algorithm and the S</w:t>
      </w:r>
      <w:r>
        <w:rPr>
          <w:rFonts w:hint="eastAsia"/>
          <w:sz w:val="15"/>
          <w:szCs w:val="15"/>
        </w:rPr>
        <w:t>CS</w:t>
      </w:r>
      <w:r>
        <w:rPr>
          <w:sz w:val="15"/>
          <w:szCs w:val="15"/>
        </w:rPr>
        <w:t xml:space="preserve"> model [J]. Land, 2025, 14 (3): 453-453.</w:t>
      </w:r>
      <w:bookmarkEnd w:id="12"/>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13" w:name="_Ref30874"/>
      <w:r>
        <w:rPr>
          <w:rFonts w:hint="eastAsia"/>
          <w:sz w:val="15"/>
          <w:szCs w:val="15"/>
        </w:rPr>
        <w:t>黄国如, 李碧琦. 基于模糊综合评价的深圳市暴雨洪涝风险评估[J].水资源与水工程学报,2021,32(1):1-6.</w:t>
      </w:r>
      <w:bookmarkEnd w:id="13"/>
    </w:p>
    <w:p>
      <w:pPr>
        <w:pStyle w:val="23"/>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rFonts w:cstheme="minorBidi"/>
          <w:sz w:val="15"/>
          <w:szCs w:val="15"/>
        </w:rPr>
      </w:pPr>
      <w:r>
        <w:rPr>
          <w:rFonts w:hint="eastAsia" w:cstheme="minorBidi"/>
          <w:sz w:val="15"/>
          <w:szCs w:val="15"/>
        </w:rPr>
        <w:t>HUANG G R, LI B Q. Rainstorm flood risk assessment in Shenzhen based on fuzzy comprehensive evaluation[J]. Journal of Water Resources and Water Engineering, 2021, 32(1): 1-6.</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14" w:name="_Ref725"/>
      <w:r>
        <w:rPr>
          <w:rFonts w:hint="eastAsia"/>
          <w:sz w:val="15"/>
          <w:szCs w:val="15"/>
        </w:rPr>
        <w:t>张菡, 郭翔, 王锐婷, 等. 四川省暴雨洪涝灾害风险区划研究[J].中国农学通报,2013,29(26):165-171.</w:t>
      </w:r>
      <w:bookmarkEnd w:id="14"/>
    </w:p>
    <w:p>
      <w:pPr>
        <w:pStyle w:val="23"/>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rFonts w:cstheme="minorBidi"/>
          <w:sz w:val="15"/>
          <w:szCs w:val="15"/>
        </w:rPr>
      </w:pPr>
      <w:r>
        <w:rPr>
          <w:rFonts w:hint="eastAsia" w:cstheme="minorBidi"/>
          <w:sz w:val="15"/>
          <w:szCs w:val="15"/>
        </w:rPr>
        <w:t>ZHANG H, GUO X, WANG R T, et al. Research on rainstorm and flood disaster risk zoning in Sichuan Province[J]. Chinese Agricultural Science Bulletin, 2013, 29(26): 165-171.</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15" w:name="_Ref27535"/>
      <w:r>
        <w:rPr>
          <w:rFonts w:hint="eastAsia"/>
          <w:sz w:val="15"/>
          <w:szCs w:val="15"/>
        </w:rPr>
        <w:t>MADUSHANI J A T,</w:t>
      </w:r>
      <w:r>
        <w:rPr>
          <w:sz w:val="15"/>
          <w:szCs w:val="15"/>
          <w:lang w:val="en"/>
        </w:rPr>
        <w:t xml:space="preserve"> </w:t>
      </w:r>
      <w:r>
        <w:rPr>
          <w:rFonts w:hint="eastAsia"/>
          <w:sz w:val="15"/>
          <w:szCs w:val="15"/>
        </w:rPr>
        <w:t>WITHANAGE N C,</w:t>
      </w:r>
      <w:r>
        <w:rPr>
          <w:sz w:val="15"/>
          <w:szCs w:val="15"/>
          <w:lang w:val="en"/>
        </w:rPr>
        <w:t xml:space="preserve"> </w:t>
      </w:r>
      <w:r>
        <w:rPr>
          <w:rFonts w:hint="eastAsia"/>
          <w:sz w:val="15"/>
          <w:szCs w:val="15"/>
        </w:rPr>
        <w:t xml:space="preserve">MISHRA P K, et al. Thematic and bibliometric review of remote sensing and geographic information system-based flood disaster studies in </w:t>
      </w:r>
      <w:r>
        <w:rPr>
          <w:sz w:val="15"/>
          <w:szCs w:val="15"/>
          <w:lang w:val="en"/>
        </w:rPr>
        <w:t>S</w:t>
      </w:r>
      <w:r>
        <w:rPr>
          <w:rFonts w:hint="eastAsia"/>
          <w:sz w:val="15"/>
          <w:szCs w:val="15"/>
        </w:rPr>
        <w:t xml:space="preserve">outh </w:t>
      </w:r>
      <w:r>
        <w:rPr>
          <w:sz w:val="15"/>
          <w:szCs w:val="15"/>
          <w:lang w:val="en"/>
        </w:rPr>
        <w:t>A</w:t>
      </w:r>
      <w:r>
        <w:rPr>
          <w:rFonts w:hint="eastAsia"/>
          <w:sz w:val="15"/>
          <w:szCs w:val="15"/>
        </w:rPr>
        <w:t>sia during 2004</w:t>
      </w:r>
      <w:r>
        <w:rPr>
          <w:sz w:val="15"/>
          <w:szCs w:val="15"/>
          <w:lang w:val="en"/>
        </w:rPr>
        <w:t>-</w:t>
      </w:r>
      <w:r>
        <w:rPr>
          <w:rFonts w:hint="eastAsia"/>
          <w:sz w:val="15"/>
          <w:szCs w:val="15"/>
        </w:rPr>
        <w:t>2024[J]. Sustainability, 2024, 17 (1): 217.</w:t>
      </w:r>
      <w:bookmarkEnd w:id="15"/>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16" w:name="_Ref27594"/>
      <w:r>
        <w:rPr>
          <w:sz w:val="15"/>
          <w:szCs w:val="15"/>
        </w:rPr>
        <w:t xml:space="preserve">CAI Y </w:t>
      </w:r>
      <w:r>
        <w:rPr>
          <w:rFonts w:hint="eastAsia"/>
          <w:sz w:val="15"/>
          <w:szCs w:val="15"/>
        </w:rPr>
        <w:t xml:space="preserve">X </w:t>
      </w:r>
      <w:r>
        <w:rPr>
          <w:sz w:val="15"/>
          <w:szCs w:val="15"/>
        </w:rPr>
        <w:t>,CHEN C ,SHI Y , et al. GIS and hybrid multi-criteria decision analysis based urban flood risk assessment in Hanchuan City, Hubei Province, China[J]. Environmental Earth Sciences, 2024, 83 (22): 627.</w:t>
      </w:r>
      <w:bookmarkEnd w:id="16"/>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17" w:name="_Ref16667"/>
      <w:r>
        <w:rPr>
          <w:rFonts w:hint="eastAsia"/>
          <w:sz w:val="15"/>
          <w:szCs w:val="15"/>
        </w:rPr>
        <w:t>李想.基于遥感和 GIS 的盘锦市洪涝灾害风险评估研究[D].沈阳:沈阳农业大学,2023.</w:t>
      </w:r>
      <w:bookmarkEnd w:id="17"/>
    </w:p>
    <w:p>
      <w:pPr>
        <w:pStyle w:val="23"/>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rFonts w:cstheme="minorBidi"/>
          <w:sz w:val="15"/>
          <w:szCs w:val="15"/>
        </w:rPr>
      </w:pPr>
      <w:r>
        <w:rPr>
          <w:rFonts w:hint="eastAsia" w:cstheme="minorBidi"/>
          <w:sz w:val="15"/>
          <w:szCs w:val="15"/>
        </w:rPr>
        <w:t>LI X. Research on Flood Disaster Risk Assessment in Panjin City Based on Remote Sensing and GIS [D]. Shenyang: Shenyang Agricultural University, 2023.</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18" w:name="_Ref4820"/>
      <w:r>
        <w:rPr>
          <w:rFonts w:hint="eastAsia"/>
          <w:sz w:val="15"/>
          <w:szCs w:val="15"/>
        </w:rPr>
        <w:t>吴馨悦.集成机器学习模型下的短期暴雨型城市洪涝灾害风险评估分析[D].廊坊:防灾科技学院,2025.</w:t>
      </w:r>
      <w:bookmarkEnd w:id="18"/>
    </w:p>
    <w:p>
      <w:pPr>
        <w:pStyle w:val="23"/>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rFonts w:cstheme="minorBidi"/>
          <w:sz w:val="15"/>
          <w:szCs w:val="15"/>
        </w:rPr>
      </w:pPr>
      <w:r>
        <w:rPr>
          <w:rFonts w:hint="eastAsia" w:cstheme="minorBidi"/>
          <w:sz w:val="15"/>
          <w:szCs w:val="15"/>
        </w:rPr>
        <w:t>WU X Y. Risk Assessment Analysis of Short-Term Heavy Rainfall-Induced Urban Flooding under Integrated Machine Learning Models[D]. Langfang: Institute of Disaster Prevention, 2025.</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19" w:name="_Ref27750"/>
      <w:r>
        <w:rPr>
          <w:rFonts w:hint="eastAsia"/>
          <w:sz w:val="15"/>
          <w:szCs w:val="15"/>
        </w:rPr>
        <w:t>SCHUMANN G, GIUSTARINI L, TARPANELLI A, et al. Flood modeling and prediction using earth observation data [J]. Surveys in Geophysics, 202</w:t>
      </w:r>
      <w:r>
        <w:rPr>
          <w:sz w:val="15"/>
          <w:szCs w:val="15"/>
          <w:lang w:val="en"/>
        </w:rPr>
        <w:t>3</w:t>
      </w:r>
      <w:r>
        <w:rPr>
          <w:rFonts w:hint="eastAsia"/>
          <w:sz w:val="15"/>
          <w:szCs w:val="15"/>
        </w:rPr>
        <w:t>, 44 (5): 1553-1578.</w:t>
      </w:r>
      <w:bookmarkEnd w:id="19"/>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20" w:name="_Ref21853"/>
      <w:r>
        <w:rPr>
          <w:rFonts w:hint="eastAsia"/>
          <w:sz w:val="15"/>
          <w:szCs w:val="15"/>
        </w:rPr>
        <w:t>LI Jiangjun ,李佳玥 ,黄国如,等.基于InfoWorks ICM的深圳市民治片区洪涝风险评估[J].广东水利水电,2024(12):1-7.</w:t>
      </w:r>
      <w:bookmarkEnd w:id="20"/>
    </w:p>
    <w:p>
      <w:pPr>
        <w:pStyle w:val="23"/>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rFonts w:cstheme="minorBidi"/>
          <w:sz w:val="15"/>
          <w:szCs w:val="15"/>
        </w:rPr>
      </w:pPr>
      <w:r>
        <w:rPr>
          <w:rFonts w:hint="eastAsia" w:cstheme="minorBidi"/>
          <w:sz w:val="15"/>
          <w:szCs w:val="15"/>
        </w:rPr>
        <w:t>LI J J, LI J Y, HUANG G R, et al. Flood risk assessment of Minzhi sub-district in Shenzhen City based on InfoWorks ICM[J]. Guangdong Water Resources and Hydropower, 2024(12): 1-7.</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21" w:name="_Ref23231"/>
      <w:r>
        <w:rPr>
          <w:sz w:val="15"/>
          <w:szCs w:val="15"/>
        </w:rPr>
        <w:t>LÖWE R, URICH C,</w:t>
      </w:r>
      <w:r>
        <w:rPr>
          <w:rFonts w:hint="eastAsia"/>
          <w:sz w:val="15"/>
          <w:szCs w:val="15"/>
        </w:rPr>
        <w:t xml:space="preserve"> STO </w:t>
      </w:r>
      <w:r>
        <w:rPr>
          <w:sz w:val="15"/>
          <w:szCs w:val="15"/>
        </w:rPr>
        <w:t>DOMINGO N, et al. Assessment of urban pluvial flood risk and efficiency of adaptation options through simulations</w:t>
      </w:r>
      <w:r>
        <w:rPr>
          <w:sz w:val="15"/>
          <w:szCs w:val="15"/>
          <w:lang w:val="en"/>
        </w:rPr>
        <w:t xml:space="preserve">: </w:t>
      </w:r>
      <w:r>
        <w:rPr>
          <w:sz w:val="15"/>
          <w:szCs w:val="15"/>
        </w:rPr>
        <w:t>A new generation of urban planning tools[J]. Journal of Hydrology, 2017, 550: 355-367.</w:t>
      </w:r>
      <w:bookmarkEnd w:id="21"/>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22" w:name="_Ref18603"/>
      <w:r>
        <w:rPr>
          <w:sz w:val="15"/>
          <w:szCs w:val="15"/>
        </w:rPr>
        <w:t xml:space="preserve">ZHANG H </w:t>
      </w:r>
      <w:r>
        <w:rPr>
          <w:rFonts w:hint="eastAsia"/>
          <w:sz w:val="15"/>
          <w:szCs w:val="15"/>
        </w:rPr>
        <w:t xml:space="preserve">Q </w:t>
      </w:r>
      <w:r>
        <w:rPr>
          <w:sz w:val="15"/>
          <w:szCs w:val="15"/>
        </w:rPr>
        <w:t xml:space="preserve">,JIANG X </w:t>
      </w:r>
      <w:r>
        <w:rPr>
          <w:rFonts w:hint="eastAsia"/>
          <w:sz w:val="15"/>
          <w:szCs w:val="15"/>
        </w:rPr>
        <w:t xml:space="preserve">X </w:t>
      </w:r>
      <w:r>
        <w:rPr>
          <w:sz w:val="15"/>
          <w:szCs w:val="15"/>
        </w:rPr>
        <w:t>,PENG S , et al. Coupled risk assessment of flood before and during disaster based on machine learning [J]. Sustainability, 2025, 17 (10): 4564-4564.</w:t>
      </w:r>
      <w:bookmarkEnd w:id="22"/>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23" w:name="_Ref18620"/>
      <w:r>
        <w:rPr>
          <w:rFonts w:hint="eastAsia"/>
          <w:sz w:val="15"/>
          <w:szCs w:val="15"/>
        </w:rPr>
        <w:t>ROCCHI A, CHIOZZI A, NALE M</w:t>
      </w:r>
      <w:r>
        <w:rPr>
          <w:sz w:val="15"/>
          <w:szCs w:val="15"/>
        </w:rPr>
        <w:t>, et al. A machine learning framework for multi-hazard risk assessment at the regional scale in earthquake and flood-prone areas [J]. Applied Sciences, 2022, 12 (2): 583.</w:t>
      </w:r>
      <w:bookmarkEnd w:id="23"/>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24" w:name="_Ref30030"/>
      <w:r>
        <w:rPr>
          <w:sz w:val="15"/>
          <w:szCs w:val="15"/>
        </w:rPr>
        <w:t>WANG Z</w:t>
      </w:r>
      <w:r>
        <w:rPr>
          <w:rFonts w:hint="eastAsia"/>
          <w:sz w:val="15"/>
          <w:szCs w:val="15"/>
        </w:rPr>
        <w:t xml:space="preserve"> L</w:t>
      </w:r>
      <w:r>
        <w:rPr>
          <w:sz w:val="15"/>
          <w:szCs w:val="15"/>
        </w:rPr>
        <w:t>, LAI C</w:t>
      </w:r>
      <w:r>
        <w:rPr>
          <w:rFonts w:hint="eastAsia"/>
          <w:sz w:val="15"/>
          <w:szCs w:val="15"/>
        </w:rPr>
        <w:t xml:space="preserve"> G</w:t>
      </w:r>
      <w:r>
        <w:rPr>
          <w:sz w:val="15"/>
          <w:szCs w:val="15"/>
        </w:rPr>
        <w:t>, CHEN X</w:t>
      </w:r>
      <w:r>
        <w:rPr>
          <w:rFonts w:hint="eastAsia"/>
          <w:sz w:val="15"/>
          <w:szCs w:val="15"/>
        </w:rPr>
        <w:t xml:space="preserve"> H</w:t>
      </w:r>
      <w:r>
        <w:rPr>
          <w:sz w:val="15"/>
          <w:szCs w:val="15"/>
        </w:rPr>
        <w:t>, et al. Flood hazard risk assessment model based on random forest[J]. Journal of Hydrology, 2015, 527</w:t>
      </w:r>
      <w:r>
        <w:rPr>
          <w:rFonts w:hint="eastAsia"/>
          <w:sz w:val="15"/>
          <w:szCs w:val="15"/>
        </w:rPr>
        <w:t>:</w:t>
      </w:r>
      <w:r>
        <w:rPr>
          <w:sz w:val="15"/>
          <w:szCs w:val="15"/>
        </w:rPr>
        <w:t>1130-1141.</w:t>
      </w:r>
      <w:bookmarkEnd w:id="24"/>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25" w:name="_Ref28133"/>
      <w:r>
        <w:rPr>
          <w:sz w:val="15"/>
          <w:szCs w:val="15"/>
        </w:rPr>
        <w:t>余亮.基于机器学习算法的暴雨灾害风险评估与区划[D].</w:t>
      </w:r>
      <w:r>
        <w:rPr>
          <w:rFonts w:hint="eastAsia"/>
          <w:sz w:val="15"/>
          <w:szCs w:val="15"/>
        </w:rPr>
        <w:t>南京:</w:t>
      </w:r>
      <w:r>
        <w:rPr>
          <w:sz w:val="15"/>
          <w:szCs w:val="15"/>
        </w:rPr>
        <w:t>南京信息工程大学,2024.</w:t>
      </w:r>
      <w:bookmarkEnd w:id="25"/>
    </w:p>
    <w:p>
      <w:pPr>
        <w:pStyle w:val="23"/>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rFonts w:cstheme="minorBidi"/>
          <w:sz w:val="15"/>
          <w:szCs w:val="15"/>
        </w:rPr>
      </w:pPr>
      <w:r>
        <w:rPr>
          <w:rFonts w:hint="eastAsia" w:cstheme="minorBidi"/>
          <w:sz w:val="15"/>
          <w:szCs w:val="15"/>
        </w:rPr>
        <w:t>YU L. Risk Assessment and Zonation of Rainstorm Disasters Based on Machine Learning Algorithms[D]. Nanjing: Nanjing University of Information Science and Technology, 2024.</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26" w:name="_Ref29931"/>
      <w:r>
        <w:rPr>
          <w:rFonts w:hint="eastAsia"/>
          <w:sz w:val="15"/>
          <w:szCs w:val="15"/>
        </w:rPr>
        <w:t>黄国如, 罗海婉, 卢鑫祥, 等. 城市洪涝灾害风险分析与区划方法综述[J].水资源保护,2020,36(6):1-6.</w:t>
      </w:r>
      <w:bookmarkEnd w:id="3"/>
      <w:bookmarkEnd w:id="26"/>
    </w:p>
    <w:p>
      <w:pPr>
        <w:pStyle w:val="23"/>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rFonts w:cstheme="minorBidi"/>
          <w:sz w:val="15"/>
          <w:szCs w:val="15"/>
        </w:rPr>
      </w:pPr>
      <w:r>
        <w:rPr>
          <w:rFonts w:hint="eastAsia" w:cstheme="minorBidi"/>
          <w:sz w:val="15"/>
          <w:szCs w:val="15"/>
        </w:rPr>
        <w:t>HUANG G R, LUO H W, LU X X, et al. Study on risk analysis and zoning method of urban flood disaster[J]. Water Resources Protection, 2020, 36(6): 1-6.</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27" w:name="_Ref2020"/>
      <w:bookmarkStart w:id="28" w:name="_Ref31296"/>
      <w:r>
        <w:rPr>
          <w:rFonts w:hint="eastAsia"/>
          <w:sz w:val="15"/>
          <w:szCs w:val="15"/>
        </w:rPr>
        <w:t>谢</w:t>
      </w:r>
      <w:bookmarkEnd w:id="27"/>
      <w:r>
        <w:rPr>
          <w:sz w:val="15"/>
          <w:szCs w:val="15"/>
        </w:rPr>
        <w:t>信东</w:t>
      </w:r>
      <w:r>
        <w:rPr>
          <w:rFonts w:hint="eastAsia"/>
          <w:sz w:val="15"/>
          <w:szCs w:val="15"/>
        </w:rPr>
        <w:t xml:space="preserve">, </w:t>
      </w:r>
      <w:r>
        <w:rPr>
          <w:sz w:val="15"/>
          <w:szCs w:val="15"/>
        </w:rPr>
        <w:t>李德龙</w:t>
      </w:r>
      <w:r>
        <w:rPr>
          <w:rFonts w:hint="eastAsia"/>
          <w:sz w:val="15"/>
          <w:szCs w:val="15"/>
        </w:rPr>
        <w:t xml:space="preserve">, </w:t>
      </w:r>
      <w:r>
        <w:rPr>
          <w:sz w:val="15"/>
          <w:szCs w:val="15"/>
        </w:rPr>
        <w:t>李光锦</w:t>
      </w:r>
      <w:r>
        <w:rPr>
          <w:rFonts w:hint="eastAsia"/>
          <w:sz w:val="15"/>
          <w:szCs w:val="15"/>
        </w:rPr>
        <w:t xml:space="preserve">, </w:t>
      </w:r>
      <w:r>
        <w:rPr>
          <w:sz w:val="15"/>
          <w:szCs w:val="15"/>
        </w:rPr>
        <w:t>等</w:t>
      </w:r>
      <w:r>
        <w:rPr>
          <w:rFonts w:hint="eastAsia"/>
          <w:sz w:val="15"/>
          <w:szCs w:val="15"/>
        </w:rPr>
        <w:t xml:space="preserve">. </w:t>
      </w:r>
      <w:r>
        <w:rPr>
          <w:sz w:val="15"/>
          <w:szCs w:val="15"/>
        </w:rPr>
        <w:t>基于一二维耦合模型的洪水风险区划研究 [J]. 江西水利科技</w:t>
      </w:r>
      <w:r>
        <w:rPr>
          <w:rFonts w:hint="eastAsia"/>
          <w:sz w:val="15"/>
          <w:szCs w:val="15"/>
        </w:rPr>
        <w:t>,</w:t>
      </w:r>
      <w:r>
        <w:rPr>
          <w:sz w:val="15"/>
          <w:szCs w:val="15"/>
        </w:rPr>
        <w:t>2024, 50(2): 79-85.</w:t>
      </w:r>
      <w:bookmarkEnd w:id="28"/>
    </w:p>
    <w:p>
      <w:pPr>
        <w:pStyle w:val="23"/>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rFonts w:cstheme="minorBidi"/>
          <w:sz w:val="15"/>
          <w:szCs w:val="15"/>
        </w:rPr>
      </w:pPr>
      <w:r>
        <w:rPr>
          <w:rFonts w:hint="eastAsia" w:cstheme="minorBidi"/>
          <w:sz w:val="15"/>
          <w:szCs w:val="15"/>
        </w:rPr>
        <w:t>XIE X D, LI D L, LI G J, et al. Flood-risk zoning based on a coupled 1D</w:t>
      </w:r>
      <w:r>
        <w:rPr>
          <w:rFonts w:cstheme="minorBidi"/>
          <w:sz w:val="15"/>
          <w:szCs w:val="15"/>
          <w:lang w:val="en"/>
        </w:rPr>
        <w:t>-</w:t>
      </w:r>
      <w:r>
        <w:rPr>
          <w:rFonts w:hint="eastAsia" w:cstheme="minorBidi"/>
          <w:sz w:val="15"/>
          <w:szCs w:val="15"/>
        </w:rPr>
        <w:t>2D hydrodynamic model[J]. Jiangxi Hydraulic Science &amp; Technology, 2024, 50(2): 79-85.</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29" w:name="_Ref31754"/>
      <w:r>
        <w:rPr>
          <w:rFonts w:hint="eastAsia"/>
          <w:sz w:val="15"/>
          <w:szCs w:val="15"/>
        </w:rPr>
        <w:t>武杰, 安洪岩, 李翾, 等. 基于ArcGIS的廊坊地区洪涝灾害风险评估及洪水淹没分析[J].地质与资源,</w:t>
      </w:r>
      <w:r>
        <w:rPr>
          <w:sz w:val="15"/>
          <w:szCs w:val="15"/>
          <w:lang w:val="en"/>
        </w:rPr>
        <w:t xml:space="preserve"> </w:t>
      </w:r>
      <w:r>
        <w:rPr>
          <w:rFonts w:hint="eastAsia"/>
          <w:sz w:val="15"/>
          <w:szCs w:val="15"/>
        </w:rPr>
        <w:t>2025,</w:t>
      </w:r>
      <w:r>
        <w:rPr>
          <w:sz w:val="15"/>
          <w:szCs w:val="15"/>
          <w:lang w:val="en"/>
        </w:rPr>
        <w:t xml:space="preserve"> </w:t>
      </w:r>
      <w:r>
        <w:rPr>
          <w:rFonts w:hint="eastAsia"/>
          <w:sz w:val="15"/>
          <w:szCs w:val="15"/>
        </w:rPr>
        <w:t>34(1):</w:t>
      </w:r>
      <w:r>
        <w:rPr>
          <w:sz w:val="15"/>
          <w:szCs w:val="15"/>
          <w:lang w:val="en"/>
        </w:rPr>
        <w:t xml:space="preserve"> </w:t>
      </w:r>
      <w:r>
        <w:rPr>
          <w:rFonts w:hint="eastAsia"/>
          <w:sz w:val="15"/>
          <w:szCs w:val="15"/>
        </w:rPr>
        <w:t>103-111.</w:t>
      </w:r>
      <w:bookmarkEnd w:id="29"/>
    </w:p>
    <w:p>
      <w:pPr>
        <w:pStyle w:val="23"/>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rFonts w:cstheme="minorBidi"/>
          <w:sz w:val="15"/>
          <w:szCs w:val="15"/>
        </w:rPr>
      </w:pPr>
      <w:r>
        <w:rPr>
          <w:rFonts w:hint="eastAsia" w:cstheme="minorBidi"/>
          <w:sz w:val="15"/>
          <w:szCs w:val="15"/>
        </w:rPr>
        <w:t>WU J, AN H Y, LI X, et al.  Risk assessment and inundation analysis of flood in Langfang region based on ArcGIS[J]. Geology and Resources, 2025, 34(1): 103-111.</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30" w:name="_Ref6941"/>
      <w:bookmarkStart w:id="31" w:name="_Ref658"/>
      <w:r>
        <w:rPr>
          <w:rFonts w:hint="eastAsia"/>
          <w:sz w:val="15"/>
          <w:szCs w:val="15"/>
        </w:rPr>
        <w:t>李</w:t>
      </w:r>
      <w:bookmarkEnd w:id="30"/>
      <w:r>
        <w:rPr>
          <w:rFonts w:hint="eastAsia"/>
          <w:sz w:val="15"/>
          <w:szCs w:val="15"/>
        </w:rPr>
        <w:t>敏, 谢珊, 向碧为, 等. 基于熵权法的城市湖泊流域内涝风险评估 [J]. 中国农村水利水电,2025</w:t>
      </w:r>
      <w:bookmarkEnd w:id="31"/>
      <w:r>
        <w:rPr>
          <w:rFonts w:hint="eastAsia"/>
          <w:sz w:val="15"/>
          <w:szCs w:val="15"/>
        </w:rPr>
        <w:t>(9): 8-12.</w:t>
      </w:r>
      <w:r>
        <w:rPr>
          <w:rFonts w:hint="eastAsia"/>
          <w:sz w:val="15"/>
          <w:szCs w:val="15"/>
        </w:rPr>
        <w:br w:type="textWrapping"/>
      </w:r>
      <w:r>
        <w:rPr>
          <w:rFonts w:hint="eastAsia"/>
          <w:sz w:val="15"/>
          <w:szCs w:val="15"/>
        </w:rPr>
        <w:t>LI M, XIE S, XIANG B W, et al. Risk assessment of urban waterlogging based on entropy weight method[J]. China Rural Water and Hydropower, 2025(9): 8-12.</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32" w:name="_Ref8982"/>
      <w:bookmarkStart w:id="33" w:name="_Ref1020"/>
      <w:r>
        <w:rPr>
          <w:rFonts w:hint="eastAsia"/>
          <w:sz w:val="15"/>
          <w:szCs w:val="15"/>
        </w:rPr>
        <w:t>张</w:t>
      </w:r>
      <w:bookmarkEnd w:id="32"/>
      <w:r>
        <w:rPr>
          <w:sz w:val="15"/>
          <w:szCs w:val="15"/>
        </w:rPr>
        <w:t>奇林</w:t>
      </w:r>
      <w:r>
        <w:rPr>
          <w:rFonts w:hint="eastAsia"/>
          <w:sz w:val="15"/>
          <w:szCs w:val="15"/>
        </w:rPr>
        <w:t xml:space="preserve">, </w:t>
      </w:r>
      <w:r>
        <w:rPr>
          <w:sz w:val="15"/>
          <w:szCs w:val="15"/>
        </w:rPr>
        <w:t>刘高林</w:t>
      </w:r>
      <w:r>
        <w:rPr>
          <w:rFonts w:hint="eastAsia"/>
          <w:sz w:val="15"/>
          <w:szCs w:val="15"/>
        </w:rPr>
        <w:t xml:space="preserve">, </w:t>
      </w:r>
      <w:r>
        <w:rPr>
          <w:sz w:val="15"/>
          <w:szCs w:val="15"/>
        </w:rPr>
        <w:t>霍建宇</w:t>
      </w:r>
      <w:r>
        <w:rPr>
          <w:rFonts w:hint="eastAsia"/>
          <w:sz w:val="15"/>
          <w:szCs w:val="15"/>
        </w:rPr>
        <w:t xml:space="preserve">. </w:t>
      </w:r>
      <w:r>
        <w:rPr>
          <w:sz w:val="15"/>
          <w:szCs w:val="15"/>
        </w:rPr>
        <w:t>基于博弈论组合赋权模糊数学的地质环境复杂性研究 [J]. 科技创新与应用</w:t>
      </w:r>
      <w:r>
        <w:rPr>
          <w:rFonts w:hint="eastAsia"/>
          <w:sz w:val="15"/>
          <w:szCs w:val="15"/>
        </w:rPr>
        <w:t>,</w:t>
      </w:r>
      <w:r>
        <w:rPr>
          <w:sz w:val="15"/>
          <w:szCs w:val="15"/>
          <w:lang w:val="en"/>
        </w:rPr>
        <w:t xml:space="preserve"> </w:t>
      </w:r>
      <w:r>
        <w:rPr>
          <w:rFonts w:hint="eastAsia"/>
          <w:sz w:val="15"/>
          <w:szCs w:val="15"/>
        </w:rPr>
        <w:t>2025, 15(4)</w:t>
      </w:r>
      <w:r>
        <w:rPr>
          <w:sz w:val="15"/>
          <w:szCs w:val="15"/>
        </w:rPr>
        <w:t>: 15-20.</w:t>
      </w:r>
      <w:bookmarkEnd w:id="33"/>
    </w:p>
    <w:p>
      <w:pPr>
        <w:pStyle w:val="23"/>
        <w:pageBreakBefore w:val="0"/>
        <w:kinsoku/>
        <w:wordWrap/>
        <w:overflowPunct/>
        <w:topLinePunct w:val="0"/>
        <w:autoSpaceDE/>
        <w:autoSpaceDN/>
        <w:bidi w:val="0"/>
        <w:adjustRightInd/>
        <w:spacing w:beforeAutospacing="0" w:afterAutospacing="0" w:line="240" w:lineRule="auto"/>
        <w:ind w:left="450" w:hanging="450" w:hangingChars="300"/>
        <w:textAlignment w:val="auto"/>
        <w:rPr>
          <w:sz w:val="15"/>
          <w:szCs w:val="15"/>
        </w:rPr>
      </w:pPr>
      <w:r>
        <w:rPr>
          <w:rFonts w:hint="eastAsia"/>
          <w:sz w:val="15"/>
          <w:szCs w:val="15"/>
        </w:rPr>
        <w:t xml:space="preserve">      </w:t>
      </w:r>
      <w:r>
        <w:rPr>
          <w:rFonts w:hint="eastAsia" w:cstheme="minorBidi"/>
          <w:sz w:val="15"/>
          <w:szCs w:val="15"/>
        </w:rPr>
        <w:t>ZHANG Q L, LIU G L, HUO J Y. Research on the complexity of geological environment based on game theory combination weighting fuzzy mathematics[J]. Technology Innovation and Application, 2025</w:t>
      </w:r>
      <w:r>
        <w:rPr>
          <w:rFonts w:hint="eastAsia"/>
          <w:sz w:val="15"/>
          <w:szCs w:val="15"/>
        </w:rPr>
        <w:t>, 15(4)</w:t>
      </w:r>
      <w:r>
        <w:rPr>
          <w:rFonts w:hint="eastAsia" w:cstheme="minorBidi"/>
          <w:sz w:val="15"/>
          <w:szCs w:val="15"/>
        </w:rPr>
        <w:t>: 15-20.</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34" w:name="_Ref15982"/>
      <w:bookmarkStart w:id="35" w:name="_Ref6572"/>
      <w:r>
        <w:rPr>
          <w:rFonts w:hint="eastAsia"/>
          <w:sz w:val="15"/>
          <w:szCs w:val="15"/>
        </w:rPr>
        <w:t>吴</w:t>
      </w:r>
      <w:bookmarkEnd w:id="34"/>
      <w:r>
        <w:rPr>
          <w:sz w:val="15"/>
          <w:szCs w:val="15"/>
        </w:rPr>
        <w:t>舒祺</w:t>
      </w:r>
      <w:r>
        <w:rPr>
          <w:rFonts w:hint="eastAsia"/>
          <w:sz w:val="15"/>
          <w:szCs w:val="15"/>
        </w:rPr>
        <w:t xml:space="preserve">, </w:t>
      </w:r>
      <w:r>
        <w:rPr>
          <w:sz w:val="15"/>
          <w:szCs w:val="15"/>
        </w:rPr>
        <w:t>赵文吉</w:t>
      </w:r>
      <w:r>
        <w:rPr>
          <w:rFonts w:hint="eastAsia"/>
          <w:sz w:val="15"/>
          <w:szCs w:val="15"/>
        </w:rPr>
        <w:t xml:space="preserve">, </w:t>
      </w:r>
      <w:r>
        <w:rPr>
          <w:sz w:val="15"/>
          <w:szCs w:val="15"/>
        </w:rPr>
        <w:t>王志恒</w:t>
      </w:r>
      <w:r>
        <w:rPr>
          <w:rFonts w:hint="eastAsia"/>
          <w:sz w:val="15"/>
          <w:szCs w:val="15"/>
        </w:rPr>
        <w:t xml:space="preserve">, </w:t>
      </w:r>
      <w:r>
        <w:rPr>
          <w:sz w:val="15"/>
          <w:szCs w:val="15"/>
        </w:rPr>
        <w:t>等</w:t>
      </w:r>
      <w:r>
        <w:rPr>
          <w:rFonts w:hint="eastAsia"/>
          <w:sz w:val="15"/>
          <w:szCs w:val="15"/>
        </w:rPr>
        <w:t xml:space="preserve">. </w:t>
      </w:r>
      <w:r>
        <w:rPr>
          <w:sz w:val="15"/>
          <w:szCs w:val="15"/>
        </w:rPr>
        <w:t>基于 GIS 的洪涝灾害风险评估及区划</w:t>
      </w:r>
      <w:r>
        <w:rPr>
          <w:rFonts w:hint="eastAsia"/>
          <w:sz w:val="15"/>
          <w:szCs w:val="15"/>
        </w:rPr>
        <w:t>：</w:t>
      </w:r>
      <w:r>
        <w:rPr>
          <w:sz w:val="15"/>
          <w:szCs w:val="15"/>
        </w:rPr>
        <w:t>以浙江省为例 [J]. 中国农村水利水电</w:t>
      </w:r>
      <w:r>
        <w:rPr>
          <w:rFonts w:hint="eastAsia"/>
          <w:sz w:val="15"/>
          <w:szCs w:val="15"/>
        </w:rPr>
        <w:t>,</w:t>
      </w:r>
      <w:r>
        <w:rPr>
          <w:sz w:val="15"/>
          <w:szCs w:val="15"/>
        </w:rPr>
        <w:t>2020(6): 51-57.</w:t>
      </w:r>
      <w:bookmarkEnd w:id="35"/>
    </w:p>
    <w:p>
      <w:pPr>
        <w:pStyle w:val="23"/>
        <w:pageBreakBefore w:val="0"/>
        <w:kinsoku/>
        <w:wordWrap/>
        <w:overflowPunct/>
        <w:topLinePunct w:val="0"/>
        <w:autoSpaceDE/>
        <w:autoSpaceDN/>
        <w:bidi w:val="0"/>
        <w:adjustRightInd/>
        <w:spacing w:beforeAutospacing="0" w:afterAutospacing="0" w:line="240" w:lineRule="auto"/>
        <w:ind w:left="450" w:hanging="450" w:hangingChars="300"/>
        <w:textAlignment w:val="auto"/>
        <w:rPr>
          <w:sz w:val="15"/>
          <w:szCs w:val="15"/>
        </w:rPr>
      </w:pPr>
      <w:r>
        <w:rPr>
          <w:rFonts w:hint="eastAsia"/>
          <w:sz w:val="15"/>
          <w:szCs w:val="15"/>
        </w:rPr>
        <w:t xml:space="preserve">      </w:t>
      </w:r>
      <w:r>
        <w:rPr>
          <w:rFonts w:hint="eastAsia" w:cstheme="minorBidi"/>
          <w:sz w:val="15"/>
          <w:szCs w:val="15"/>
        </w:rPr>
        <w:t>WU S Q, ZHAO W J, WANG Z H, et al. Assessment and zoning of flood disasters risk based on GIS: A case study of Zhejiang Province[J]. China Rural Water and Hydropower, 2020(6): 51-57.</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36" w:name="_Ref8560"/>
      <w:r>
        <w:rPr>
          <w:rFonts w:hint="eastAsia"/>
          <w:sz w:val="15"/>
          <w:szCs w:val="15"/>
        </w:rPr>
        <w:t>曲丽英. 闽江流域洪涝风险区划快速评估研究[J].中国农村水利水电,2023(10):30-37.</w:t>
      </w:r>
      <w:bookmarkEnd w:id="36"/>
    </w:p>
    <w:p>
      <w:pPr>
        <w:pStyle w:val="23"/>
        <w:pageBreakBefore w:val="0"/>
        <w:kinsoku/>
        <w:wordWrap/>
        <w:overflowPunct/>
        <w:topLinePunct w:val="0"/>
        <w:autoSpaceDE/>
        <w:autoSpaceDN/>
        <w:bidi w:val="0"/>
        <w:adjustRightInd/>
        <w:spacing w:beforeAutospacing="0" w:afterAutospacing="0" w:line="240" w:lineRule="auto"/>
        <w:ind w:left="450" w:hanging="450" w:hangingChars="300"/>
        <w:textAlignment w:val="auto"/>
        <w:rPr>
          <w:sz w:val="15"/>
          <w:szCs w:val="15"/>
        </w:rPr>
      </w:pPr>
      <w:r>
        <w:rPr>
          <w:rFonts w:hint="eastAsia"/>
          <w:sz w:val="15"/>
          <w:szCs w:val="15"/>
        </w:rPr>
        <w:t xml:space="preserve">     </w:t>
      </w:r>
      <w:r>
        <w:rPr>
          <w:rFonts w:hint="eastAsia" w:cstheme="minorBidi"/>
          <w:sz w:val="15"/>
          <w:szCs w:val="15"/>
        </w:rPr>
        <w:t xml:space="preserve"> QU L Y. Research on the rapid assessment of flood risk zoning in the Minjiang Basin[J]. China Rural Water and Hydropower, 2023(10): 30-37.</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37" w:name="_Ref8782"/>
      <w:r>
        <w:rPr>
          <w:rFonts w:hint="eastAsia"/>
          <w:sz w:val="15"/>
          <w:szCs w:val="15"/>
        </w:rPr>
        <w:t>陈雪, 乔梁, 刘艳华, 等. 基于网格的暴雨洪涝灾害风险评价[J].水文,2023,43(1):84-89.</w:t>
      </w:r>
      <w:bookmarkEnd w:id="37"/>
    </w:p>
    <w:p>
      <w:pPr>
        <w:pStyle w:val="23"/>
        <w:pageBreakBefore w:val="0"/>
        <w:kinsoku/>
        <w:wordWrap/>
        <w:overflowPunct/>
        <w:topLinePunct w:val="0"/>
        <w:autoSpaceDE/>
        <w:autoSpaceDN/>
        <w:bidi w:val="0"/>
        <w:adjustRightInd/>
        <w:spacing w:beforeAutospacing="0" w:afterAutospacing="0" w:line="240" w:lineRule="auto"/>
        <w:ind w:left="450" w:hanging="450" w:hangingChars="300"/>
        <w:textAlignment w:val="auto"/>
        <w:rPr>
          <w:sz w:val="15"/>
          <w:szCs w:val="15"/>
        </w:rPr>
      </w:pPr>
      <w:r>
        <w:rPr>
          <w:rFonts w:hint="eastAsia"/>
          <w:sz w:val="15"/>
          <w:szCs w:val="15"/>
        </w:rPr>
        <w:t xml:space="preserve">      </w:t>
      </w:r>
      <w:r>
        <w:rPr>
          <w:rFonts w:hint="eastAsia" w:cstheme="minorBidi"/>
          <w:sz w:val="15"/>
          <w:szCs w:val="15"/>
        </w:rPr>
        <w:t>CHEN X, QIAO L, LIU Y H, et al. Risk assessment of rainstorm disaster</w:t>
      </w:r>
      <w:r>
        <w:rPr>
          <w:rFonts w:cstheme="minorBidi"/>
          <w:sz w:val="15"/>
          <w:szCs w:val="15"/>
          <w:lang w:val="en"/>
        </w:rPr>
        <w:t>s</w:t>
      </w:r>
      <w:r>
        <w:rPr>
          <w:rFonts w:hint="eastAsia" w:cstheme="minorBidi"/>
          <w:sz w:val="15"/>
          <w:szCs w:val="15"/>
        </w:rPr>
        <w:t xml:space="preserve"> based on grid[J]. Journal of China Hydrology, 2023, 43(1): 84-89.</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38" w:name="_Ref9448"/>
      <w:r>
        <w:rPr>
          <w:rFonts w:hint="eastAsia"/>
          <w:sz w:val="15"/>
          <w:szCs w:val="15"/>
        </w:rPr>
        <w:t>黄亦轩, 徐宗学, 陈浩, 等. 深圳河流域内陆侧洪涝风险分析[J].水资源保护,2023,39(1):101-108.</w:t>
      </w:r>
    </w:p>
    <w:p>
      <w:pPr>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sz w:val="15"/>
          <w:szCs w:val="15"/>
        </w:rPr>
      </w:pPr>
      <w:r>
        <w:rPr>
          <w:rFonts w:hint="eastAsia"/>
          <w:sz w:val="15"/>
          <w:szCs w:val="15"/>
        </w:rPr>
        <w:t>HUANG Y X , XU Z X , CHEN H, et al.  Analysis on flood/waterlogging risk at inland side of the Shenzhen River Basin[J]. Water Resources Protection, 2023, 39(1): 101-108.</w:t>
      </w:r>
    </w:p>
    <w:bookmarkEnd w:id="4"/>
    <w:bookmarkEnd w:id="38"/>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39" w:name="_Ref7586"/>
      <w:r>
        <w:rPr>
          <w:sz w:val="15"/>
          <w:szCs w:val="15"/>
        </w:rPr>
        <w:t>吴文,</w:t>
      </w:r>
      <w:r>
        <w:rPr>
          <w:rFonts w:hint="eastAsia"/>
          <w:sz w:val="15"/>
          <w:szCs w:val="15"/>
        </w:rPr>
        <w:t xml:space="preserve"> </w:t>
      </w:r>
      <w:r>
        <w:rPr>
          <w:sz w:val="15"/>
          <w:szCs w:val="15"/>
        </w:rPr>
        <w:t>李留书芯.</w:t>
      </w:r>
      <w:r>
        <w:rPr>
          <w:rFonts w:hint="eastAsia"/>
          <w:sz w:val="15"/>
          <w:szCs w:val="15"/>
        </w:rPr>
        <w:t xml:space="preserve"> </w:t>
      </w:r>
      <w:r>
        <w:rPr>
          <w:sz w:val="15"/>
          <w:szCs w:val="15"/>
        </w:rPr>
        <w:t>主客观结合的不同等级城市公园绿地可达性[J/OL].生态学杂志</w:t>
      </w:r>
      <w:bookmarkEnd w:id="39"/>
      <w:r>
        <w:rPr>
          <w:rFonts w:hint="eastAsia"/>
          <w:sz w:val="15"/>
          <w:szCs w:val="15"/>
        </w:rPr>
        <w:t>.(2025-7-10)</w:t>
      </w:r>
      <w:r>
        <w:rPr>
          <w:sz w:val="15"/>
          <w:szCs w:val="15"/>
        </w:rPr>
        <w:t>[2025-09-08].</w:t>
      </w:r>
      <w:r>
        <w:rPr>
          <w:rFonts w:hint="eastAsia"/>
          <w:sz w:val="15"/>
          <w:szCs w:val="15"/>
          <w:lang w:val="en-US" w:eastAsia="zh-CN"/>
        </w:rPr>
        <w:t xml:space="preserve"> </w:t>
      </w:r>
      <w:bookmarkStart w:id="43" w:name="_GoBack"/>
      <w:bookmarkEnd w:id="43"/>
      <w:r>
        <w:rPr>
          <w:sz w:val="15"/>
          <w:szCs w:val="15"/>
        </w:rPr>
        <w:t>https://link.cnki.net/urlid/21.1148.Q.20250709.1725.016.</w:t>
      </w:r>
    </w:p>
    <w:p>
      <w:pPr>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sz w:val="15"/>
          <w:szCs w:val="15"/>
        </w:rPr>
      </w:pPr>
      <w:r>
        <w:rPr>
          <w:rFonts w:hint="eastAsia"/>
          <w:sz w:val="15"/>
          <w:szCs w:val="15"/>
        </w:rPr>
        <w:t xml:space="preserve">WU W, LI L S X. Accessibility of urban park green spaces at different levels based on combined subjective and objective approaches[J/OL]. Chinese Journal of Ecology.(2025-7-10)[2025-09-08]. </w:t>
      </w:r>
      <w:r>
        <w:fldChar w:fldCharType="begin"/>
      </w:r>
      <w:r>
        <w:instrText xml:space="preserve"> HYPERLINK "https://link.cnki.net/urlid/21.1148.Q.20250709.1725.016" \t "https://www.kimi.com/chat/_blank" </w:instrText>
      </w:r>
      <w:r>
        <w:fldChar w:fldCharType="separate"/>
      </w:r>
      <w:r>
        <w:rPr>
          <w:rFonts w:hint="eastAsia"/>
          <w:sz w:val="15"/>
          <w:szCs w:val="15"/>
        </w:rPr>
        <w:t>https://link.cnki.net/urlid/21.1148.Q.20250709.1725.016</w:t>
      </w:r>
      <w:r>
        <w:rPr>
          <w:rFonts w:hint="eastAsia"/>
          <w:sz w:val="15"/>
          <w:szCs w:val="15"/>
        </w:rPr>
        <w:fldChar w:fldCharType="end"/>
      </w:r>
      <w:r>
        <w:rPr>
          <w:rFonts w:hint="eastAsia"/>
          <w:sz w:val="15"/>
          <w:szCs w:val="15"/>
        </w:rPr>
        <w:t>.</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40" w:name="_Ref29837"/>
      <w:r>
        <w:rPr>
          <w:sz w:val="15"/>
          <w:szCs w:val="15"/>
        </w:rPr>
        <w:t>TABARI M M ,EBADI H ,ZAKARIA A Z . PSO-random forest approach to enhance flood-prone area identification: using ground and remote sensing data (case study: Ottawa-Gatineau) [J]. Earth Science Informatics, 2025, 18 (2): 215.</w:t>
      </w:r>
      <w:bookmarkEnd w:id="40"/>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41" w:name="_Ref23714"/>
      <w:r>
        <w:rPr>
          <w:sz w:val="15"/>
          <w:szCs w:val="15"/>
        </w:rPr>
        <w:t>王金虎,</w:t>
      </w:r>
      <w:r>
        <w:rPr>
          <w:rFonts w:hint="eastAsia"/>
          <w:sz w:val="15"/>
          <w:szCs w:val="15"/>
        </w:rPr>
        <w:t xml:space="preserve"> </w:t>
      </w:r>
      <w:r>
        <w:rPr>
          <w:sz w:val="15"/>
          <w:szCs w:val="15"/>
        </w:rPr>
        <w:t>张东晖,</w:t>
      </w:r>
      <w:r>
        <w:rPr>
          <w:rFonts w:hint="eastAsia"/>
          <w:sz w:val="15"/>
          <w:szCs w:val="15"/>
        </w:rPr>
        <w:t xml:space="preserve"> </w:t>
      </w:r>
      <w:r>
        <w:rPr>
          <w:sz w:val="15"/>
          <w:szCs w:val="15"/>
        </w:rPr>
        <w:t>王钰尧.</w:t>
      </w:r>
      <w:r>
        <w:rPr>
          <w:rFonts w:hint="eastAsia"/>
          <w:sz w:val="15"/>
          <w:szCs w:val="15"/>
        </w:rPr>
        <w:t xml:space="preserve"> </w:t>
      </w:r>
      <w:r>
        <w:rPr>
          <w:sz w:val="15"/>
          <w:szCs w:val="15"/>
        </w:rPr>
        <w:t>城市洪涝风险的组合赋重方法研究与应用: 以淮安市为例[J].水利水电技术(中英文),</w:t>
      </w:r>
      <w:bookmarkEnd w:id="41"/>
      <w:r>
        <w:rPr>
          <w:rFonts w:hint="eastAsia"/>
          <w:sz w:val="15"/>
          <w:szCs w:val="15"/>
        </w:rPr>
        <w:t>2025, 56(8): 91-104.</w:t>
      </w:r>
    </w:p>
    <w:p>
      <w:pPr>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sz w:val="15"/>
          <w:szCs w:val="15"/>
        </w:rPr>
      </w:pPr>
      <w:r>
        <w:rPr>
          <w:rFonts w:hint="eastAsia"/>
          <w:sz w:val="15"/>
          <w:szCs w:val="15"/>
        </w:rPr>
        <w:t>WANG J H, ZHANG D H, WANG Y Y. Combined weighting method for urban flood risk assessment and its application: a case study of Huai’an City[J]. Water Resources and Hydropower Engineering, 2025, 56(8): 91-104.</w:t>
      </w:r>
    </w:p>
    <w:p>
      <w:pPr>
        <w:pStyle w:val="23"/>
        <w:pageBreakBefore w:val="0"/>
        <w:numPr>
          <w:ilvl w:val="0"/>
          <w:numId w:val="5"/>
        </w:numPr>
        <w:kinsoku/>
        <w:wordWrap/>
        <w:overflowPunct/>
        <w:topLinePunct w:val="0"/>
        <w:autoSpaceDE/>
        <w:autoSpaceDN/>
        <w:bidi w:val="0"/>
        <w:adjustRightInd/>
        <w:spacing w:beforeAutospacing="0" w:afterAutospacing="0" w:line="240" w:lineRule="auto"/>
        <w:ind w:left="300" w:hanging="300"/>
        <w:textAlignment w:val="auto"/>
        <w:rPr>
          <w:sz w:val="15"/>
          <w:szCs w:val="15"/>
        </w:rPr>
      </w:pPr>
      <w:bookmarkStart w:id="42" w:name="_Ref29465"/>
      <w:r>
        <w:rPr>
          <w:sz w:val="15"/>
          <w:szCs w:val="15"/>
        </w:rPr>
        <w:t>周延,</w:t>
      </w:r>
      <w:r>
        <w:rPr>
          <w:rFonts w:hint="eastAsia"/>
          <w:sz w:val="15"/>
          <w:szCs w:val="15"/>
        </w:rPr>
        <w:t xml:space="preserve"> </w:t>
      </w:r>
      <w:r>
        <w:rPr>
          <w:sz w:val="15"/>
          <w:szCs w:val="15"/>
        </w:rPr>
        <w:t>佘敦先,</w:t>
      </w:r>
      <w:r>
        <w:rPr>
          <w:rFonts w:hint="eastAsia"/>
          <w:sz w:val="15"/>
          <w:szCs w:val="15"/>
        </w:rPr>
        <w:t xml:space="preserve"> </w:t>
      </w:r>
      <w:r>
        <w:rPr>
          <w:sz w:val="15"/>
          <w:szCs w:val="15"/>
        </w:rPr>
        <w:t>夏军,</w:t>
      </w:r>
      <w:r>
        <w:rPr>
          <w:rFonts w:hint="eastAsia"/>
          <w:sz w:val="15"/>
          <w:szCs w:val="15"/>
        </w:rPr>
        <w:t xml:space="preserve"> </w:t>
      </w:r>
      <w:r>
        <w:rPr>
          <w:sz w:val="15"/>
          <w:szCs w:val="15"/>
        </w:rPr>
        <w:t>等.</w:t>
      </w:r>
      <w:r>
        <w:rPr>
          <w:rFonts w:hint="eastAsia"/>
          <w:sz w:val="15"/>
          <w:szCs w:val="15"/>
        </w:rPr>
        <w:t xml:space="preserve"> </w:t>
      </w:r>
      <w:r>
        <w:rPr>
          <w:sz w:val="15"/>
          <w:szCs w:val="15"/>
        </w:rPr>
        <w:t>基于水文水动力模型的LID措施对城市内涝风险的影响研究[J].武汉大学学报(工学版),2022,</w:t>
      </w:r>
      <w:r>
        <w:rPr>
          <w:rFonts w:hint="eastAsia"/>
          <w:sz w:val="15"/>
          <w:szCs w:val="15"/>
          <w:lang w:val="en-US" w:eastAsia="zh-CN"/>
        </w:rPr>
        <w:t xml:space="preserve"> </w:t>
      </w:r>
      <w:r>
        <w:rPr>
          <w:sz w:val="15"/>
          <w:szCs w:val="15"/>
        </w:rPr>
        <w:t>55(11):</w:t>
      </w:r>
      <w:r>
        <w:rPr>
          <w:rFonts w:hint="eastAsia"/>
          <w:sz w:val="15"/>
          <w:szCs w:val="15"/>
          <w:lang w:val="en-US" w:eastAsia="zh-CN"/>
        </w:rPr>
        <w:t xml:space="preserve"> </w:t>
      </w:r>
      <w:r>
        <w:rPr>
          <w:sz w:val="15"/>
          <w:szCs w:val="15"/>
        </w:rPr>
        <w:t>1090-1101.</w:t>
      </w:r>
      <w:bookmarkEnd w:id="42"/>
    </w:p>
    <w:p>
      <w:pPr>
        <w:pageBreakBefore w:val="0"/>
        <w:kinsoku/>
        <w:wordWrap/>
        <w:overflowPunct/>
        <w:topLinePunct w:val="0"/>
        <w:autoSpaceDE/>
        <w:autoSpaceDN/>
        <w:bidi w:val="0"/>
        <w:adjustRightInd/>
        <w:spacing w:beforeAutospacing="0" w:afterAutospacing="0" w:line="240" w:lineRule="auto"/>
        <w:ind w:left="446" w:leftChars="186" w:firstLine="0" w:firstLineChars="0"/>
        <w:textAlignment w:val="auto"/>
        <w:rPr>
          <w:sz w:val="15"/>
          <w:szCs w:val="15"/>
        </w:rPr>
      </w:pPr>
      <w:r>
        <w:rPr>
          <w:rFonts w:hint="eastAsia"/>
          <w:sz w:val="15"/>
          <w:szCs w:val="15"/>
        </w:rPr>
        <w:t>ZHOU Y, SHE D X, XIA J, et al. Study on the impact of LID practices on urban waterlogging risk based on hydrohydrodynamic coupling model[J]. Engineering Journal of Wuhan University, 2022, 55(11): 1090-1101.</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宋">
    <w:altName w:val="方正书宋_GBK"/>
    <w:panose1 w:val="00000000000000000000"/>
    <w:charset w:val="86"/>
    <w:family w:val="roman"/>
    <w:pitch w:val="default"/>
    <w:sig w:usb0="00000000" w:usb1="00000000" w:usb2="00000000" w:usb3="00000000" w:csb0="00000000" w:csb1="00000000"/>
  </w:font>
  <w:font w:name="Arial">
    <w:altName w:val="DejaVu Sans"/>
    <w:panose1 w:val="020B0604020202020204"/>
    <w:charset w:val="00"/>
    <w:family w:val="swiss"/>
    <w:pitch w:val="default"/>
    <w:sig w:usb0="00000000" w:usb1="00000000" w:usb2="00000009" w:usb3="00000000" w:csb0="400001FF" w:csb1="FFFF0000"/>
  </w:font>
  <w:font w:name="MS Gothic">
    <w:altName w:val="方正书宋_GBK"/>
    <w:panose1 w:val="020B0609070205080204"/>
    <w:charset w:val="80"/>
    <w:family w:val="modern"/>
    <w:pitch w:val="default"/>
    <w:sig w:usb0="00000000" w:usb1="00000000" w:usb2="08000012" w:usb3="00000000" w:csb0="4002009F" w:csb1="DFD70000"/>
  </w:font>
  <w:font w:name="Courier New">
    <w:altName w:val="DejaVu Sans"/>
    <w:panose1 w:val="02070309020205020404"/>
    <w:charset w:val="00"/>
    <w:family w:val="modern"/>
    <w:pitch w:val="default"/>
    <w:sig w:usb0="00000000" w:usb1="00000000" w:usb2="00000009" w:usb3="00000000" w:csb0="400001FF" w:csb1="FFFF0000"/>
  </w:font>
  <w:font w:name="Cambria">
    <w:altName w:val="FreeSerif"/>
    <w:panose1 w:val="02040503050406030204"/>
    <w:charset w:val="00"/>
    <w:family w:val="roman"/>
    <w:pitch w:val="default"/>
    <w:sig w:usb0="00000000" w:usb1="00000000" w:usb2="02000000" w:usb3="00000000" w:csb0="2000019F"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Segoe UI">
    <w:altName w:val="Noto Music"/>
    <w:panose1 w:val="020B0502040204020203"/>
    <w:charset w:val="00"/>
    <w:family w:val="swiss"/>
    <w:pitch w:val="default"/>
    <w:sig w:usb0="00000000" w:usb1="00000000" w:usb2="00000009" w:usb3="00000000" w:csb0="200001FF" w:csb1="00000000"/>
  </w:font>
  <w:font w:name="Cambria Math">
    <w:altName w:val="DejaVu Math TeX Gyre"/>
    <w:panose1 w:val="02040503050406030204"/>
    <w:charset w:val="00"/>
    <w:family w:val="roman"/>
    <w:pitch w:val="default"/>
    <w:sig w:usb0="00000000" w:usb1="00000000" w:usb2="02000000" w:usb3="00000000" w:csb0="2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Noto Music">
    <w:panose1 w:val="020B0502040504020204"/>
    <w:charset w:val="00"/>
    <w:family w:val="auto"/>
    <w:pitch w:val="default"/>
    <w:sig w:usb0="00000003" w:usb1="02006000" w:usb2="01000000" w:usb3="00000000" w:csb0="00000001"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FreeSerif">
    <w:panose1 w:val="02020603050405020304"/>
    <w:charset w:val="00"/>
    <w:family w:val="auto"/>
    <w:pitch w:val="default"/>
    <w:sig w:usb0="E59FAFFF" w:usb1="C200FDFF" w:usb2="43501B29" w:usb3="04000043" w:csb0="600101FF" w:csb1="FFFF0000"/>
  </w:font>
  <w:font w:name="Standard Symbols PS">
    <w:panose1 w:val="05050102010706020507"/>
    <w:charset w:val="00"/>
    <w:family w:val="auto"/>
    <w:pitch w:val="default"/>
    <w:sig w:usb0="00000003" w:usb1="00000000" w:usb2="00000000" w:usb3="00000000" w:csb0="0000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B42685"/>
    <w:multiLevelType w:val="singleLevel"/>
    <w:tmpl w:val="E4B42685"/>
    <w:lvl w:ilvl="0" w:tentative="0">
      <w:start w:val="1"/>
      <w:numFmt w:val="decimal"/>
      <w:suff w:val="nothing"/>
      <w:lvlText w:val="（%1）"/>
      <w:lvlJc w:val="left"/>
    </w:lvl>
  </w:abstractNum>
  <w:abstractNum w:abstractNumId="1">
    <w:nsid w:val="ED2EB9C7"/>
    <w:multiLevelType w:val="singleLevel"/>
    <w:tmpl w:val="ED2EB9C7"/>
    <w:lvl w:ilvl="0" w:tentative="0">
      <w:start w:val="1"/>
      <w:numFmt w:val="decimal"/>
      <w:suff w:val="nothing"/>
      <w:lvlText w:val="（%1）"/>
      <w:lvlJc w:val="left"/>
      <w:rPr>
        <w:rFonts w:hint="default" w:ascii="Times New Roman" w:hAnsi="Times New Roman" w:cs="Times New Roman"/>
        <w:i w:val="0"/>
        <w:iCs w:val="0"/>
      </w:rPr>
    </w:lvl>
  </w:abstractNum>
  <w:abstractNum w:abstractNumId="2">
    <w:nsid w:val="003FEC79"/>
    <w:multiLevelType w:val="multilevel"/>
    <w:tmpl w:val="003FEC79"/>
    <w:lvl w:ilvl="0" w:tentative="0">
      <w:start w:val="1"/>
      <w:numFmt w:val="decimal"/>
      <w:pStyle w:val="3"/>
      <w:suff w:val="nothing"/>
      <w:lvlText w:val="第%1章 "/>
      <w:lvlJc w:val="left"/>
      <w:pPr>
        <w:ind w:left="0" w:firstLine="0"/>
      </w:pPr>
      <w:rPr>
        <w:rFonts w:hint="default" w:ascii="Times New Roman" w:hAnsi="Times New Roman" w:eastAsia="黑体"/>
        <w:b/>
        <w:i w:val="0"/>
        <w:caps w:val="0"/>
        <w:strike w:val="0"/>
        <w:dstrike w:val="0"/>
        <w:vanish w:val="0"/>
        <w:sz w:val="32"/>
        <w:vertAlign w:val="baseline"/>
      </w:rPr>
    </w:lvl>
    <w:lvl w:ilvl="1" w:tentative="0">
      <w:start w:val="1"/>
      <w:numFmt w:val="decimal"/>
      <w:pStyle w:val="4"/>
      <w:suff w:val="nothing"/>
      <w:lvlText w:val="%1.%2 "/>
      <w:lvlJc w:val="left"/>
      <w:pPr>
        <w:ind w:left="0" w:firstLine="0"/>
      </w:pPr>
      <w:rPr>
        <w:rFonts w:hint="default" w:ascii="Times New Roman" w:hAnsi="Times New Roman" w:eastAsia="黑体"/>
        <w:b/>
        <w:i w:val="0"/>
        <w:caps w:val="0"/>
        <w:strike w:val="0"/>
        <w:dstrike w:val="0"/>
        <w:vanish w:val="0"/>
        <w:sz w:val="28"/>
        <w:vertAlign w:val="baseline"/>
      </w:rPr>
    </w:lvl>
    <w:lvl w:ilvl="2" w:tentative="0">
      <w:start w:val="1"/>
      <w:numFmt w:val="decimal"/>
      <w:pStyle w:val="5"/>
      <w:suff w:val="nothing"/>
      <w:lvlText w:val="%1.%2.%3 "/>
      <w:lvlJc w:val="left"/>
      <w:pPr>
        <w:ind w:left="0" w:firstLine="0"/>
      </w:pPr>
      <w:rPr>
        <w:rFonts w:hint="default" w:ascii="Times New Roman" w:hAnsi="Times New Roman" w:eastAsia="黑体"/>
        <w:b/>
        <w:i w:val="0"/>
        <w:caps w:val="0"/>
        <w:strike w:val="0"/>
        <w:dstrike w:val="0"/>
        <w:vanish w:val="0"/>
        <w:sz w:val="26"/>
        <w:vertAlign w:val="baseline"/>
      </w:rPr>
    </w:lvl>
    <w:lvl w:ilvl="3" w:tentative="0">
      <w:start w:val="1"/>
      <w:numFmt w:val="decimal"/>
      <w:lvlText w:val="%1.%2.%3.%4"/>
      <w:lvlJc w:val="left"/>
      <w:pPr>
        <w:ind w:left="1984" w:hanging="708"/>
      </w:pPr>
      <w:rPr>
        <w:rFonts w:hint="eastAsia"/>
      </w:rPr>
    </w:lvl>
    <w:lvl w:ilvl="4" w:tentative="0">
      <w:start w:val="1"/>
      <w:numFmt w:val="decimal"/>
      <w:lvlRestart w:val="1"/>
      <w:suff w:val="nothing"/>
      <w:lvlText w:val="表%1.%5 "/>
      <w:lvlJc w:val="left"/>
      <w:pPr>
        <w:tabs>
          <w:tab w:val="left" w:pos="0"/>
        </w:tabs>
        <w:ind w:left="0" w:firstLine="0"/>
      </w:pPr>
      <w:rPr>
        <w:rFonts w:hint="default" w:ascii="Times New Roman" w:hAnsi="Times New Roman" w:eastAsia="宋"/>
        <w:b w:val="0"/>
        <w:i w:val="0"/>
        <w:caps w:val="0"/>
        <w:strike w:val="0"/>
        <w:dstrike w:val="0"/>
        <w:vanish w:val="0"/>
        <w:sz w:val="21"/>
        <w:vertAlign w:val="baseline"/>
      </w:rPr>
    </w:lvl>
    <w:lvl w:ilvl="5" w:tentative="0">
      <w:start w:val="1"/>
      <w:numFmt w:val="decimal"/>
      <w:lvlRestart w:val="1"/>
      <w:suff w:val="nothing"/>
      <w:lvlText w:val="图%1.%6 "/>
      <w:lvlJc w:val="left"/>
      <w:pPr>
        <w:ind w:left="0" w:firstLine="0"/>
      </w:pPr>
      <w:rPr>
        <w:rFonts w:hint="default" w:ascii="Times New Roman" w:hAnsi="Times New Roman" w:eastAsia="宋体"/>
        <w:b w:val="0"/>
        <w:i w:val="0"/>
        <w:caps w:val="0"/>
        <w:strike w:val="0"/>
        <w:dstrike w:val="0"/>
        <w:vanish w:val="0"/>
        <w:sz w:val="21"/>
        <w:vertAlign w:val="baseline"/>
      </w:rPr>
    </w:lvl>
    <w:lvl w:ilvl="6" w:tentative="0">
      <w:start w:val="1"/>
      <w:numFmt w:val="decimal"/>
      <w:lvlRestart w:val="1"/>
      <w:pStyle w:val="7"/>
      <w:suff w:val="nothing"/>
      <w:lvlText w:val="(%1.%7)"/>
      <w:lvlJc w:val="right"/>
      <w:pPr>
        <w:ind w:left="480" w:firstLine="0"/>
      </w:pPr>
      <w:rPr>
        <w:rFonts w:hint="default" w:ascii="Times New Roman" w:hAnsi="Times New Roman"/>
        <w:b w:val="0"/>
        <w:i w:val="0"/>
        <w:caps w:val="0"/>
        <w:strike w:val="0"/>
        <w:dstrike w:val="0"/>
        <w:vanish w:val="0"/>
        <w:sz w:val="24"/>
        <w:vertAlign w:val="baseline"/>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4D89CFF0"/>
    <w:multiLevelType w:val="singleLevel"/>
    <w:tmpl w:val="4D89CFF0"/>
    <w:lvl w:ilvl="0" w:tentative="0">
      <w:start w:val="1"/>
      <w:numFmt w:val="decimal"/>
      <w:lvlText w:val="[%1]"/>
      <w:lvlJc w:val="left"/>
      <w:pPr>
        <w:tabs>
          <w:tab w:val="left" w:pos="397"/>
        </w:tabs>
        <w:ind w:left="454" w:hanging="454"/>
      </w:pPr>
      <w:rPr>
        <w:rFonts w:hint="default"/>
      </w:r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Y1NDU5ZjQwMjVhNGVkYzczYjhkMzJjNWU0NTExNjcifQ=="/>
  </w:docVars>
  <w:rsids>
    <w:rsidRoot w:val="0B5F4938"/>
    <w:rsid w:val="0013381C"/>
    <w:rsid w:val="002A12F2"/>
    <w:rsid w:val="003E7391"/>
    <w:rsid w:val="004D469C"/>
    <w:rsid w:val="004E0972"/>
    <w:rsid w:val="004E223B"/>
    <w:rsid w:val="005509EF"/>
    <w:rsid w:val="005B6562"/>
    <w:rsid w:val="006401AC"/>
    <w:rsid w:val="006671CB"/>
    <w:rsid w:val="006C6470"/>
    <w:rsid w:val="006D5946"/>
    <w:rsid w:val="00832145"/>
    <w:rsid w:val="0084189C"/>
    <w:rsid w:val="00865E7A"/>
    <w:rsid w:val="00A745AB"/>
    <w:rsid w:val="00AA584E"/>
    <w:rsid w:val="00B050D6"/>
    <w:rsid w:val="00B07081"/>
    <w:rsid w:val="00B60095"/>
    <w:rsid w:val="00B61891"/>
    <w:rsid w:val="00BA75FE"/>
    <w:rsid w:val="00C0452D"/>
    <w:rsid w:val="00DB3CDF"/>
    <w:rsid w:val="00E174E7"/>
    <w:rsid w:val="00E80594"/>
    <w:rsid w:val="00F204BC"/>
    <w:rsid w:val="027E00DE"/>
    <w:rsid w:val="04227975"/>
    <w:rsid w:val="053242B0"/>
    <w:rsid w:val="07517A24"/>
    <w:rsid w:val="08564CB9"/>
    <w:rsid w:val="08F613A6"/>
    <w:rsid w:val="099A65B4"/>
    <w:rsid w:val="0A3876F9"/>
    <w:rsid w:val="0AF60BF9"/>
    <w:rsid w:val="0B5F4938"/>
    <w:rsid w:val="0D8942C1"/>
    <w:rsid w:val="0E307F8B"/>
    <w:rsid w:val="0E941D4E"/>
    <w:rsid w:val="0F115330"/>
    <w:rsid w:val="0F3320FE"/>
    <w:rsid w:val="0F946D68"/>
    <w:rsid w:val="0FA768E2"/>
    <w:rsid w:val="0FD96A8B"/>
    <w:rsid w:val="0FF643BB"/>
    <w:rsid w:val="1041643D"/>
    <w:rsid w:val="10EA5F4D"/>
    <w:rsid w:val="11A23BEE"/>
    <w:rsid w:val="120E3460"/>
    <w:rsid w:val="12A82A2A"/>
    <w:rsid w:val="130265BC"/>
    <w:rsid w:val="14192F31"/>
    <w:rsid w:val="161D0FBA"/>
    <w:rsid w:val="167F2235"/>
    <w:rsid w:val="18C10B22"/>
    <w:rsid w:val="19014E61"/>
    <w:rsid w:val="1A6F0EEC"/>
    <w:rsid w:val="1B59213E"/>
    <w:rsid w:val="1C1E64AF"/>
    <w:rsid w:val="1CC377F7"/>
    <w:rsid w:val="1D293954"/>
    <w:rsid w:val="1F5E25EB"/>
    <w:rsid w:val="203565EC"/>
    <w:rsid w:val="20FA2444"/>
    <w:rsid w:val="21892DEB"/>
    <w:rsid w:val="21D02D93"/>
    <w:rsid w:val="22883128"/>
    <w:rsid w:val="22F557B4"/>
    <w:rsid w:val="23FB5093"/>
    <w:rsid w:val="24B1643E"/>
    <w:rsid w:val="254C0A9B"/>
    <w:rsid w:val="25D521C4"/>
    <w:rsid w:val="25F23928"/>
    <w:rsid w:val="2624131F"/>
    <w:rsid w:val="26496572"/>
    <w:rsid w:val="264B24E8"/>
    <w:rsid w:val="26EE5CFE"/>
    <w:rsid w:val="27B435B3"/>
    <w:rsid w:val="27DF0BA6"/>
    <w:rsid w:val="292B4FE6"/>
    <w:rsid w:val="29FD39F5"/>
    <w:rsid w:val="2A7975BE"/>
    <w:rsid w:val="2D96513C"/>
    <w:rsid w:val="2DCC4132"/>
    <w:rsid w:val="2E074852"/>
    <w:rsid w:val="2F9C03F4"/>
    <w:rsid w:val="2FA21794"/>
    <w:rsid w:val="2FD23583"/>
    <w:rsid w:val="2FF03B50"/>
    <w:rsid w:val="30704FCA"/>
    <w:rsid w:val="318B21AF"/>
    <w:rsid w:val="31D0590E"/>
    <w:rsid w:val="31FC7390"/>
    <w:rsid w:val="329F63D7"/>
    <w:rsid w:val="33F60AAD"/>
    <w:rsid w:val="34166677"/>
    <w:rsid w:val="3468501E"/>
    <w:rsid w:val="35B43C28"/>
    <w:rsid w:val="36406B33"/>
    <w:rsid w:val="37021381"/>
    <w:rsid w:val="37223FDF"/>
    <w:rsid w:val="374024B5"/>
    <w:rsid w:val="37DA4390"/>
    <w:rsid w:val="37F609E0"/>
    <w:rsid w:val="3924272F"/>
    <w:rsid w:val="3A334C60"/>
    <w:rsid w:val="3A886145"/>
    <w:rsid w:val="3AA42491"/>
    <w:rsid w:val="3C3A6084"/>
    <w:rsid w:val="3C472720"/>
    <w:rsid w:val="3C887B32"/>
    <w:rsid w:val="3CE73C4D"/>
    <w:rsid w:val="3DBE059D"/>
    <w:rsid w:val="3E431323"/>
    <w:rsid w:val="3F514AE3"/>
    <w:rsid w:val="3F5E3A68"/>
    <w:rsid w:val="3F814ADD"/>
    <w:rsid w:val="3FD834DB"/>
    <w:rsid w:val="40232933"/>
    <w:rsid w:val="40267F92"/>
    <w:rsid w:val="40281C08"/>
    <w:rsid w:val="425C6113"/>
    <w:rsid w:val="43290884"/>
    <w:rsid w:val="440C632B"/>
    <w:rsid w:val="44C00E3A"/>
    <w:rsid w:val="44F5417B"/>
    <w:rsid w:val="451B2AFD"/>
    <w:rsid w:val="451D6FBA"/>
    <w:rsid w:val="45695A38"/>
    <w:rsid w:val="4672252A"/>
    <w:rsid w:val="46941DB7"/>
    <w:rsid w:val="47443CE9"/>
    <w:rsid w:val="47A65BEB"/>
    <w:rsid w:val="47C77051"/>
    <w:rsid w:val="47DE117B"/>
    <w:rsid w:val="481935D8"/>
    <w:rsid w:val="48FF031F"/>
    <w:rsid w:val="4938134E"/>
    <w:rsid w:val="49D61FA3"/>
    <w:rsid w:val="4C5A73B1"/>
    <w:rsid w:val="4C6E3CC8"/>
    <w:rsid w:val="4CA74208"/>
    <w:rsid w:val="4CD86AB8"/>
    <w:rsid w:val="4D1A2002"/>
    <w:rsid w:val="4D422183"/>
    <w:rsid w:val="4D4759EB"/>
    <w:rsid w:val="4DD306D4"/>
    <w:rsid w:val="4E435284"/>
    <w:rsid w:val="4EF839FE"/>
    <w:rsid w:val="507C2A18"/>
    <w:rsid w:val="50E8549D"/>
    <w:rsid w:val="520958D1"/>
    <w:rsid w:val="529E7E5B"/>
    <w:rsid w:val="52D12368"/>
    <w:rsid w:val="5330458B"/>
    <w:rsid w:val="53E85F53"/>
    <w:rsid w:val="543E035A"/>
    <w:rsid w:val="55307F27"/>
    <w:rsid w:val="556C6914"/>
    <w:rsid w:val="57EA1B92"/>
    <w:rsid w:val="597B4D55"/>
    <w:rsid w:val="597C0DEA"/>
    <w:rsid w:val="5A4A2665"/>
    <w:rsid w:val="5A7700FC"/>
    <w:rsid w:val="5D0F1603"/>
    <w:rsid w:val="5D3D1807"/>
    <w:rsid w:val="5DF147A4"/>
    <w:rsid w:val="5F063C4E"/>
    <w:rsid w:val="5F431C02"/>
    <w:rsid w:val="5F6917F1"/>
    <w:rsid w:val="5FE50864"/>
    <w:rsid w:val="6027758F"/>
    <w:rsid w:val="608D5457"/>
    <w:rsid w:val="618C1277"/>
    <w:rsid w:val="62C56E4A"/>
    <w:rsid w:val="63313DAF"/>
    <w:rsid w:val="64681C80"/>
    <w:rsid w:val="649E5825"/>
    <w:rsid w:val="64A4332E"/>
    <w:rsid w:val="65811DDB"/>
    <w:rsid w:val="6590727C"/>
    <w:rsid w:val="66603F1B"/>
    <w:rsid w:val="6669789D"/>
    <w:rsid w:val="66CF3719"/>
    <w:rsid w:val="674B6D08"/>
    <w:rsid w:val="677F0709"/>
    <w:rsid w:val="68E56825"/>
    <w:rsid w:val="6C7E1320"/>
    <w:rsid w:val="6CDE54BA"/>
    <w:rsid w:val="6CF84D04"/>
    <w:rsid w:val="6E6C6730"/>
    <w:rsid w:val="6EAB66A1"/>
    <w:rsid w:val="6F39685D"/>
    <w:rsid w:val="70914ED5"/>
    <w:rsid w:val="71321C71"/>
    <w:rsid w:val="722F68CA"/>
    <w:rsid w:val="73072AC6"/>
    <w:rsid w:val="74234B74"/>
    <w:rsid w:val="7544018A"/>
    <w:rsid w:val="757A413B"/>
    <w:rsid w:val="76F54CE9"/>
    <w:rsid w:val="78735933"/>
    <w:rsid w:val="788D17D5"/>
    <w:rsid w:val="78CC6D3B"/>
    <w:rsid w:val="78DF5D5C"/>
    <w:rsid w:val="798F4124"/>
    <w:rsid w:val="7AC34C78"/>
    <w:rsid w:val="7B524E94"/>
    <w:rsid w:val="7C130458"/>
    <w:rsid w:val="7C51473F"/>
    <w:rsid w:val="7C6A0D2F"/>
    <w:rsid w:val="7EEFB3B7"/>
    <w:rsid w:val="7F0F69B3"/>
    <w:rsid w:val="7FCC09B4"/>
    <w:rsid w:val="ABDFD194"/>
    <w:rsid w:val="C93F61B6"/>
    <w:rsid w:val="F6FF729A"/>
    <w:rsid w:val="F7FE35F1"/>
    <w:rsid w:val="FBDD9D0B"/>
    <w:rsid w:val="FFFF53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9"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400" w:lineRule="exact"/>
      <w:ind w:firstLine="200" w:firstLineChars="200"/>
      <w:jc w:val="both"/>
    </w:pPr>
    <w:rPr>
      <w:rFonts w:ascii="Times New Roman" w:hAnsi="Times New Roman" w:eastAsia="宋体" w:cstheme="minorBidi"/>
      <w:kern w:val="2"/>
      <w:sz w:val="24"/>
      <w:szCs w:val="22"/>
      <w:lang w:val="en-US" w:eastAsia="zh-CN" w:bidi="ar-SA"/>
    </w:rPr>
  </w:style>
  <w:style w:type="paragraph" w:styleId="3">
    <w:name w:val="heading 1"/>
    <w:basedOn w:val="1"/>
    <w:next w:val="1"/>
    <w:qFormat/>
    <w:uiPriority w:val="9"/>
    <w:pPr>
      <w:numPr>
        <w:ilvl w:val="0"/>
        <w:numId w:val="1"/>
      </w:numPr>
      <w:spacing w:before="480" w:after="360"/>
      <w:jc w:val="center"/>
      <w:outlineLvl w:val="0"/>
    </w:pPr>
    <w:rPr>
      <w:rFonts w:eastAsia="黑体"/>
      <w:b/>
      <w:bCs/>
      <w:kern w:val="44"/>
      <w:sz w:val="32"/>
      <w:szCs w:val="44"/>
    </w:rPr>
  </w:style>
  <w:style w:type="paragraph" w:styleId="4">
    <w:name w:val="heading 2"/>
    <w:next w:val="5"/>
    <w:unhideWhenUsed/>
    <w:qFormat/>
    <w:uiPriority w:val="9"/>
    <w:pPr>
      <w:numPr>
        <w:ilvl w:val="1"/>
        <w:numId w:val="1"/>
      </w:numPr>
      <w:spacing w:before="480" w:after="120" w:line="278" w:lineRule="auto"/>
      <w:outlineLvl w:val="1"/>
    </w:pPr>
    <w:rPr>
      <w:rFonts w:ascii="Times New Roman" w:hAnsi="Times New Roman" w:eastAsia="黑体" w:cs="Times New Roman"/>
      <w:b/>
      <w:bCs/>
      <w:smallCaps/>
      <w:kern w:val="2"/>
      <w:sz w:val="28"/>
      <w:szCs w:val="32"/>
      <w:lang w:val="en-US" w:eastAsia="zh-CN" w:bidi="ar-SA"/>
    </w:rPr>
  </w:style>
  <w:style w:type="paragraph" w:styleId="5">
    <w:name w:val="heading 3"/>
    <w:basedOn w:val="1"/>
    <w:next w:val="1"/>
    <w:unhideWhenUsed/>
    <w:qFormat/>
    <w:uiPriority w:val="9"/>
    <w:pPr>
      <w:numPr>
        <w:ilvl w:val="2"/>
        <w:numId w:val="1"/>
      </w:numPr>
      <w:spacing w:before="240" w:after="120" w:line="240" w:lineRule="auto"/>
      <w:ind w:firstLineChars="0"/>
      <w:jc w:val="left"/>
      <w:outlineLvl w:val="2"/>
    </w:pPr>
    <w:rPr>
      <w:rFonts w:eastAsia="黑体"/>
      <w:b/>
      <w:bCs/>
      <w:sz w:val="26"/>
      <w:szCs w:val="26"/>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paragraph" w:styleId="7">
    <w:name w:val="heading 7"/>
    <w:basedOn w:val="8"/>
    <w:next w:val="1"/>
    <w:unhideWhenUsed/>
    <w:qFormat/>
    <w:uiPriority w:val="9"/>
    <w:pPr>
      <w:keepNext/>
      <w:keepLines/>
      <w:numPr>
        <w:ilvl w:val="6"/>
        <w:numId w:val="2"/>
      </w:numPr>
      <w:tabs>
        <w:tab w:val="center" w:pos="4150"/>
        <w:tab w:val="right" w:pos="10104"/>
      </w:tabs>
      <w:ind w:left="240" w:firstLine="480"/>
      <w:jc w:val="right"/>
      <w:outlineLvl w:val="6"/>
    </w:pPr>
    <w:rPr>
      <w:bCs w:val="0"/>
      <w:szCs w:val="24"/>
    </w:rPr>
  </w:style>
  <w:style w:type="character" w:default="1" w:styleId="16">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MS Gothic" w:hAnsi="MS Gothic" w:eastAsia="MS Gothic" w:cs="MS Gothic"/>
      <w:sz w:val="17"/>
      <w:szCs w:val="17"/>
      <w:lang w:eastAsia="en-US"/>
    </w:rPr>
  </w:style>
  <w:style w:type="paragraph" w:styleId="8">
    <w:name w:val="Subtitle"/>
    <w:basedOn w:val="1"/>
    <w:qFormat/>
    <w:uiPriority w:val="11"/>
    <w:pPr>
      <w:tabs>
        <w:tab w:val="center" w:pos="4150"/>
        <w:tab w:val="right" w:pos="10104"/>
      </w:tabs>
    </w:pPr>
    <w:rPr>
      <w:bCs/>
      <w:kern w:val="28"/>
      <w:szCs w:val="32"/>
    </w:rPr>
  </w:style>
  <w:style w:type="paragraph" w:styleId="9">
    <w:name w:val="footer"/>
    <w:basedOn w:val="1"/>
    <w:link w:val="27"/>
    <w:qFormat/>
    <w:uiPriority w:val="0"/>
    <w:pPr>
      <w:tabs>
        <w:tab w:val="center" w:pos="4153"/>
        <w:tab w:val="right" w:pos="8306"/>
      </w:tabs>
      <w:snapToGrid w:val="0"/>
      <w:spacing w:line="240" w:lineRule="atLeast"/>
      <w:jc w:val="left"/>
    </w:pPr>
    <w:rPr>
      <w:sz w:val="18"/>
      <w:szCs w:val="18"/>
    </w:rPr>
  </w:style>
  <w:style w:type="paragraph" w:styleId="10">
    <w:name w:val="header"/>
    <w:basedOn w:val="1"/>
    <w:link w:val="26"/>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1">
    <w:name w:val="footnote text"/>
    <w:basedOn w:val="1"/>
    <w:link w:val="25"/>
    <w:unhideWhenUsed/>
    <w:qFormat/>
    <w:uiPriority w:val="0"/>
    <w:pPr>
      <w:snapToGrid w:val="0"/>
      <w:jc w:val="left"/>
    </w:pPr>
    <w:rPr>
      <w:sz w:val="18"/>
      <w:szCs w:val="20"/>
    </w:rPr>
  </w:style>
  <w:style w:type="paragraph" w:styleId="12">
    <w:name w:val="Normal (Web)"/>
    <w:basedOn w:val="1"/>
    <w:semiHidden/>
    <w:unhideWhenUsed/>
    <w:qFormat/>
    <w:uiPriority w:val="99"/>
    <w:pPr>
      <w:widowControl/>
      <w:spacing w:before="100" w:beforeAutospacing="1" w:after="100" w:afterAutospacing="1" w:line="240" w:lineRule="auto"/>
      <w:ind w:firstLine="0" w:firstLineChars="0"/>
      <w:jc w:val="left"/>
    </w:pPr>
    <w:rPr>
      <w:rFonts w:cs="Times New Roman" w:eastAsiaTheme="minorEastAsia"/>
      <w:smallCaps/>
      <w:kern w:val="0"/>
      <w:szCs w:val="24"/>
    </w:rPr>
  </w:style>
  <w:style w:type="paragraph" w:styleId="13">
    <w:name w:val="Title"/>
    <w:basedOn w:val="1"/>
    <w:next w:val="1"/>
    <w:qFormat/>
    <w:uiPriority w:val="10"/>
    <w:pPr>
      <w:spacing w:before="240" w:after="60"/>
      <w:jc w:val="center"/>
      <w:outlineLvl w:val="0"/>
    </w:pPr>
    <w:rPr>
      <w:rFonts w:ascii="Cambria" w:hAnsi="Cambria" w:cs="Times New Roman"/>
      <w:b/>
      <w:bCs/>
      <w:sz w:val="48"/>
      <w:szCs w:val="32"/>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Emphasis"/>
    <w:basedOn w:val="16"/>
    <w:qFormat/>
    <w:uiPriority w:val="0"/>
    <w:rPr>
      <w:i/>
    </w:rPr>
  </w:style>
  <w:style w:type="character" w:styleId="19">
    <w:name w:val="Hyperlink"/>
    <w:basedOn w:val="16"/>
    <w:qFormat/>
    <w:uiPriority w:val="0"/>
    <w:rPr>
      <w:color w:val="0000FF"/>
      <w:u w:val="single"/>
    </w:rPr>
  </w:style>
  <w:style w:type="character" w:styleId="20">
    <w:name w:val="HTML Code"/>
    <w:basedOn w:val="16"/>
    <w:qFormat/>
    <w:uiPriority w:val="0"/>
    <w:rPr>
      <w:rFonts w:ascii="Courier New" w:hAnsi="Courier New"/>
      <w:sz w:val="20"/>
    </w:rPr>
  </w:style>
  <w:style w:type="character" w:styleId="21">
    <w:name w:val="footnote reference"/>
    <w:basedOn w:val="16"/>
    <w:qFormat/>
    <w:uiPriority w:val="0"/>
    <w:rPr>
      <w:vertAlign w:val="superscript"/>
    </w:rPr>
  </w:style>
  <w:style w:type="paragraph" w:customStyle="1" w:styleId="22">
    <w:name w:val="公式"/>
    <w:basedOn w:val="1"/>
    <w:next w:val="1"/>
    <w:qFormat/>
    <w:uiPriority w:val="0"/>
    <w:pPr>
      <w:tabs>
        <w:tab w:val="right" w:pos="7140"/>
      </w:tabs>
      <w:ind w:firstLine="0" w:firstLineChars="0"/>
      <w:jc w:val="center"/>
    </w:pPr>
    <w:rPr>
      <w:rFonts w:cs="Times New Roman"/>
    </w:rPr>
  </w:style>
  <w:style w:type="paragraph" w:customStyle="1" w:styleId="23">
    <w:name w:val="参考文献"/>
    <w:basedOn w:val="1"/>
    <w:qFormat/>
    <w:uiPriority w:val="0"/>
    <w:pPr>
      <w:spacing w:line="320" w:lineRule="exact"/>
      <w:ind w:left="200" w:hanging="200" w:hangingChars="200"/>
    </w:pPr>
    <w:rPr>
      <w:rFonts w:cs="Times New Roman"/>
      <w:sz w:val="21"/>
    </w:rPr>
  </w:style>
  <w:style w:type="paragraph" w:customStyle="1" w:styleId="24">
    <w:name w:val="样式1"/>
    <w:basedOn w:val="1"/>
    <w:qFormat/>
    <w:uiPriority w:val="0"/>
    <w:pPr>
      <w:spacing w:line="240" w:lineRule="auto"/>
    </w:pPr>
    <w:rPr>
      <w:rFonts w:hint="eastAsia"/>
    </w:rPr>
  </w:style>
  <w:style w:type="character" w:customStyle="1" w:styleId="25">
    <w:name w:val="脚注文本 字符"/>
    <w:basedOn w:val="16"/>
    <w:link w:val="11"/>
    <w:qFormat/>
    <w:uiPriority w:val="0"/>
    <w:rPr>
      <w:rFonts w:cstheme="minorBidi"/>
      <w:kern w:val="2"/>
      <w:sz w:val="18"/>
    </w:rPr>
  </w:style>
  <w:style w:type="character" w:customStyle="1" w:styleId="26">
    <w:name w:val="页眉 字符"/>
    <w:basedOn w:val="16"/>
    <w:link w:val="10"/>
    <w:qFormat/>
    <w:uiPriority w:val="0"/>
    <w:rPr>
      <w:rFonts w:cstheme="minorBidi"/>
      <w:kern w:val="2"/>
      <w:sz w:val="18"/>
      <w:szCs w:val="18"/>
    </w:rPr>
  </w:style>
  <w:style w:type="character" w:customStyle="1" w:styleId="27">
    <w:name w:val="页脚 字符"/>
    <w:basedOn w:val="16"/>
    <w:link w:val="9"/>
    <w:qFormat/>
    <w:uiPriority w:val="0"/>
    <w:rPr>
      <w:rFonts w:cstheme="minorBidi"/>
      <w:kern w:val="2"/>
      <w:sz w:val="18"/>
      <w:szCs w:val="18"/>
    </w:rPr>
  </w:style>
  <w:style w:type="paragraph" w:customStyle="1" w:styleId="28">
    <w:name w:val="Revision"/>
    <w:hidden/>
    <w:unhideWhenUsed/>
    <w:qFormat/>
    <w:uiPriority w:val="99"/>
    <w:pPr>
      <w:spacing w:after="0" w:line="240" w:lineRule="auto"/>
    </w:pPr>
    <w:rPr>
      <w:rFonts w:ascii="Times New Roman" w:hAnsi="Times New Roman" w:eastAsia="宋体" w:cstheme="minorBidi"/>
      <w:kern w:val="2"/>
      <w:sz w:val="24"/>
      <w:szCs w:val="22"/>
      <w:lang w:val="en-US" w:eastAsia="zh-CN" w:bidi="ar-SA"/>
    </w:rPr>
  </w:style>
  <w:style w:type="paragraph" w:styleId="29">
    <w:name w:val="List Paragraph"/>
    <w:basedOn w:val="1"/>
    <w:unhideWhenUsed/>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1748</Words>
  <Characters>5270</Characters>
  <Lines>248</Lines>
  <Paragraphs>69</Paragraphs>
  <TotalTime>18</TotalTime>
  <ScaleCrop>false</ScaleCrop>
  <LinksUpToDate>false</LinksUpToDate>
  <CharactersWithSpaces>5923</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2025-11-16T02:47:00Z</dcterms:created>
  <dc:creator>WPS_1710485546</dc:creator>
  <cp:lastModifiedBy>admin</cp:lastModifiedBy>
  <cp:lastPrinted>2025-11-16T02:51:00Z</cp:lastPrinted>
  <dcterms:modified xsi:type="dcterms:W3CDTF">2026-02-19T22:20:46Z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576AFF9883BD4FB1915D83B2B44C85D6_13</vt:lpwstr>
  </property>
  <property fmtid="{D5CDD505-2E9C-101B-9397-08002B2CF9AE}" pid="4" name="KSOTemplateDocerSaveRecord">
    <vt:lpwstr>eyJoZGlkIjoiN2YzNjBkOTgyNWQ1YTMxYzM3MzMwNWFiODNmOWIzYWMiLCJ1c2VySWQiOiIxNzU4MTEyNzg4In0=</vt:lpwstr>
  </property>
</Properties>
</file>