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DCB8F">
      <w:pPr>
        <w:ind w:firstLine="0" w:firstLineChars="0"/>
        <w:jc w:val="center"/>
        <w:rPr>
          <w:rFonts w:cs="Times New Roman"/>
          <w:b/>
          <w:bCs/>
          <w:sz w:val="48"/>
          <w:szCs w:val="32"/>
        </w:rPr>
      </w:pPr>
      <w:r>
        <w:rPr>
          <w:rFonts w:cs="Times New Roman"/>
          <w:b/>
          <w:bCs/>
          <w:sz w:val="48"/>
          <w:szCs w:val="32"/>
        </w:rPr>
        <w:fldChar w:fldCharType="begin"/>
      </w:r>
      <w:r>
        <w:rPr>
          <w:rFonts w:cs="Times New Roman"/>
          <w:b/>
          <w:bCs/>
          <w:sz w:val="48"/>
          <w:szCs w:val="32"/>
        </w:rPr>
        <w:instrText xml:space="preserve"> MACROBUTTON MTEditEquationSection2 </w:instrText>
      </w:r>
      <w:r>
        <w:rPr>
          <w:rStyle w:val="47"/>
          <w:color w:val="auto"/>
        </w:rPr>
        <w:instrText xml:space="preserve">Equation Chapter 1 Section 1</w:instrText>
      </w:r>
      <w:r>
        <w:rPr>
          <w:rFonts w:cs="Times New Roman"/>
          <w:b/>
          <w:bCs/>
          <w:sz w:val="48"/>
          <w:szCs w:val="32"/>
        </w:rPr>
        <w:fldChar w:fldCharType="begin"/>
      </w:r>
      <w:r>
        <w:rPr>
          <w:rFonts w:cs="Times New Roman"/>
          <w:b/>
          <w:bCs/>
          <w:sz w:val="48"/>
          <w:szCs w:val="32"/>
        </w:rPr>
        <w:instrText xml:space="preserve"> SEQ MTEqn \r \h \* MERGEFORMAT </w:instrText>
      </w:r>
      <w:r>
        <w:rPr>
          <w:rFonts w:cs="Times New Roman"/>
          <w:b/>
          <w:bCs/>
          <w:sz w:val="48"/>
          <w:szCs w:val="32"/>
        </w:rPr>
        <w:fldChar w:fldCharType="end"/>
      </w:r>
      <w:r>
        <w:rPr>
          <w:rFonts w:cs="Times New Roman"/>
          <w:b/>
          <w:bCs/>
          <w:sz w:val="48"/>
          <w:szCs w:val="32"/>
        </w:rPr>
        <w:fldChar w:fldCharType="begin"/>
      </w:r>
      <w:r>
        <w:rPr>
          <w:rFonts w:cs="Times New Roman"/>
          <w:b/>
          <w:bCs/>
          <w:sz w:val="48"/>
          <w:szCs w:val="32"/>
        </w:rPr>
        <w:instrText xml:space="preserve"> SEQ MTSec \r 1 \h \* MERGEFORMAT </w:instrText>
      </w:r>
      <w:r>
        <w:rPr>
          <w:rFonts w:cs="Times New Roman"/>
          <w:b/>
          <w:bCs/>
          <w:sz w:val="48"/>
          <w:szCs w:val="32"/>
        </w:rPr>
        <w:fldChar w:fldCharType="end"/>
      </w:r>
      <w:r>
        <w:rPr>
          <w:rFonts w:cs="Times New Roman"/>
          <w:b/>
          <w:bCs/>
          <w:sz w:val="48"/>
          <w:szCs w:val="32"/>
        </w:rPr>
        <w:fldChar w:fldCharType="begin"/>
      </w:r>
      <w:r>
        <w:rPr>
          <w:rFonts w:cs="Times New Roman"/>
          <w:b/>
          <w:bCs/>
          <w:sz w:val="48"/>
          <w:szCs w:val="32"/>
        </w:rPr>
        <w:instrText xml:space="preserve"> SEQ MTChap \r 1 \h \* MERGEFORMAT </w:instrText>
      </w:r>
      <w:r>
        <w:rPr>
          <w:rFonts w:cs="Times New Roman"/>
          <w:b/>
          <w:bCs/>
          <w:sz w:val="48"/>
          <w:szCs w:val="32"/>
        </w:rPr>
        <w:fldChar w:fldCharType="end"/>
      </w:r>
      <w:r>
        <w:rPr>
          <w:rFonts w:cs="Times New Roman"/>
          <w:b/>
          <w:bCs/>
          <w:sz w:val="48"/>
          <w:szCs w:val="32"/>
        </w:rPr>
        <w:fldChar w:fldCharType="end"/>
      </w:r>
      <w:r>
        <w:rPr>
          <w:rFonts w:hint="eastAsia" w:cs="Times New Roman"/>
          <w:b/>
          <w:bCs/>
          <w:sz w:val="48"/>
          <w:szCs w:val="32"/>
        </w:rPr>
        <w:t>GRACE-FO联合GLDAS反演的地下水储量变化综合适用性评价方法及应用</w:t>
      </w:r>
    </w:p>
    <w:p w14:paraId="35C6E8D1">
      <w:pPr>
        <w:ind w:firstLine="0" w:firstLineChars="0"/>
        <w:jc w:val="center"/>
        <w:rPr>
          <w:rFonts w:cs="Times New Roman"/>
          <w:szCs w:val="21"/>
        </w:rPr>
      </w:pPr>
      <w:r>
        <w:rPr>
          <w:rFonts w:hint="eastAsia" w:eastAsia="楷体" w:cs="Times New Roman"/>
          <w:sz w:val="28"/>
          <w:szCs w:val="28"/>
        </w:rPr>
        <w:t>华雯静</w:t>
      </w:r>
      <w:r>
        <w:rPr>
          <w:rFonts w:hint="eastAsia" w:eastAsia="楷体" w:cs="Times New Roman"/>
          <w:sz w:val="28"/>
          <w:szCs w:val="28"/>
          <w:vertAlign w:val="superscript"/>
        </w:rPr>
        <w:t>1,2,3,4</w:t>
      </w:r>
      <w:r>
        <w:rPr>
          <w:rFonts w:hint="eastAsia" w:eastAsia="楷体" w:cs="Times New Roman"/>
          <w:sz w:val="28"/>
          <w:szCs w:val="28"/>
        </w:rPr>
        <w:t>，曹 引</w:t>
      </w:r>
      <w:r>
        <w:rPr>
          <w:rFonts w:hint="eastAsia" w:eastAsia="楷体" w:cs="Times New Roman"/>
          <w:sz w:val="28"/>
          <w:szCs w:val="28"/>
          <w:vertAlign w:val="superscript"/>
        </w:rPr>
        <w:t>4,5</w:t>
      </w:r>
      <w:r>
        <w:rPr>
          <w:rFonts w:hint="eastAsia" w:eastAsia="楷体" w:cs="Times New Roman"/>
          <w:sz w:val="28"/>
          <w:szCs w:val="28"/>
        </w:rPr>
        <w:t>，赵红莉</w:t>
      </w:r>
      <w:r>
        <w:rPr>
          <w:rFonts w:hint="eastAsia" w:eastAsia="楷体" w:cs="Times New Roman"/>
          <w:sz w:val="28"/>
          <w:szCs w:val="28"/>
          <w:vertAlign w:val="superscript"/>
        </w:rPr>
        <w:t>4,5</w:t>
      </w:r>
      <w:r>
        <w:rPr>
          <w:rFonts w:hint="eastAsia" w:eastAsia="楷体" w:cs="Times New Roman"/>
          <w:sz w:val="28"/>
          <w:szCs w:val="28"/>
        </w:rPr>
        <w:t>，蒋云钟</w:t>
      </w:r>
      <w:r>
        <w:rPr>
          <w:rFonts w:hint="eastAsia" w:eastAsia="楷体" w:cs="Times New Roman"/>
          <w:sz w:val="28"/>
          <w:szCs w:val="28"/>
          <w:vertAlign w:val="superscript"/>
        </w:rPr>
        <w:t>4,5</w:t>
      </w:r>
      <w:r>
        <w:rPr>
          <w:rFonts w:hint="eastAsia" w:eastAsia="楷体" w:cs="Times New Roman"/>
          <w:sz w:val="28"/>
          <w:szCs w:val="28"/>
        </w:rPr>
        <w:t>，赵慧子</w:t>
      </w:r>
      <w:r>
        <w:rPr>
          <w:rFonts w:hint="eastAsia" w:eastAsia="楷体" w:cs="Times New Roman"/>
          <w:sz w:val="28"/>
          <w:szCs w:val="28"/>
          <w:vertAlign w:val="superscript"/>
        </w:rPr>
        <w:t>4</w:t>
      </w:r>
      <w:r>
        <w:rPr>
          <w:rFonts w:hint="eastAsia" w:eastAsia="楷体" w:cs="Times New Roman"/>
          <w:sz w:val="28"/>
          <w:szCs w:val="28"/>
        </w:rPr>
        <w:t>，张怀文</w:t>
      </w:r>
      <w:r>
        <w:rPr>
          <w:rFonts w:hint="eastAsia" w:eastAsia="楷体" w:cs="Times New Roman"/>
          <w:sz w:val="28"/>
          <w:szCs w:val="28"/>
          <w:vertAlign w:val="superscript"/>
        </w:rPr>
        <w:t>4</w:t>
      </w:r>
      <w:r>
        <w:rPr>
          <w:rFonts w:hint="eastAsia" w:eastAsia="楷体" w:cs="Times New Roman"/>
          <w:sz w:val="28"/>
          <w:szCs w:val="28"/>
        </w:rPr>
        <w:t>，干 雨</w:t>
      </w:r>
      <w:r>
        <w:rPr>
          <w:rFonts w:hint="eastAsia" w:eastAsia="楷体" w:cs="Times New Roman"/>
          <w:sz w:val="28"/>
          <w:szCs w:val="28"/>
          <w:vertAlign w:val="superscript"/>
        </w:rPr>
        <w:t>4</w:t>
      </w:r>
    </w:p>
    <w:p w14:paraId="2ADE78C9">
      <w:pPr>
        <w:ind w:firstLine="420"/>
        <w:jc w:val="center"/>
        <w:rPr>
          <w:rFonts w:eastAsia="仿宋" w:cs="Times New Roman"/>
          <w:szCs w:val="21"/>
        </w:rPr>
      </w:pPr>
      <w:r>
        <w:rPr>
          <w:rFonts w:cs="Times New Roman"/>
          <w:szCs w:val="21"/>
        </w:rPr>
        <w:t>（</w:t>
      </w:r>
      <w:r>
        <w:rPr>
          <w:rFonts w:hint="eastAsia" w:eastAsia="仿宋" w:cs="Times New Roman"/>
          <w:szCs w:val="21"/>
        </w:rPr>
        <w:t>1.兰州交通大学测绘与地理信息学院，甘肃 兰州  730070；2.甘肃省地理国情监测工程实验室，甘肃 兰州  730070；3.地理国情监测技术应用国家地方联合工程研究中心，甘肃 兰州  730070；4.中国水利水电科学研究院水资源研究所，北京  100038；5.水利部数字孪生流域重点实验室，北京  100038</w:t>
      </w:r>
      <w:r>
        <w:rPr>
          <w:rFonts w:cs="Times New Roman"/>
          <w:szCs w:val="21"/>
        </w:rPr>
        <w:t>）</w:t>
      </w:r>
    </w:p>
    <w:p w14:paraId="33CC8F36">
      <w:pPr>
        <w:ind w:firstLine="420"/>
        <w:jc w:val="center"/>
        <w:rPr>
          <w:rFonts w:cs="Times New Roman"/>
          <w:szCs w:val="21"/>
        </w:rPr>
      </w:pPr>
    </w:p>
    <w:p w14:paraId="499EDC70">
      <w:pPr>
        <w:ind w:firstLine="0" w:firstLineChars="0"/>
        <w:rPr>
          <w:rStyle w:val="17"/>
          <w:rFonts w:cs="Times New Roman"/>
        </w:rPr>
      </w:pPr>
      <w:r>
        <w:rPr>
          <w:rStyle w:val="17"/>
          <w:rFonts w:eastAsia="黑体" w:cs="Times New Roman"/>
        </w:rPr>
        <w:t>摘  要：</w:t>
      </w:r>
      <w:r>
        <w:rPr>
          <w:rFonts w:eastAsia="楷体" w:cs="Times New Roman"/>
          <w:szCs w:val="21"/>
        </w:rPr>
        <w:t>【目的】</w:t>
      </w:r>
      <w:r>
        <w:rPr>
          <w:rFonts w:hint="eastAsia" w:eastAsia="楷体" w:cs="Times New Roman"/>
          <w:szCs w:val="21"/>
        </w:rPr>
        <w:t>联合重力场恢复与气候实验卫星（GRACE-FO）和全球陆面数据同化系统(Global Land Data Assimilation System，GLDAS)不同陆地表面模型反演得到地下水储量变化(Groundwater Storage Anomalies，GWSA)的多种产品之间存在明显差异，准确评估不同GWSA产品的适用性对监测地下水储量动态变化具有重要意义。</w:t>
      </w:r>
      <w:r>
        <w:rPr>
          <w:rFonts w:eastAsia="楷体" w:cs="Times New Roman"/>
          <w:szCs w:val="21"/>
        </w:rPr>
        <w:t>【方法】</w:t>
      </w:r>
      <w:r>
        <w:rPr>
          <w:rFonts w:hint="eastAsia" w:eastAsia="楷体" w:cs="Times New Roman"/>
          <w:szCs w:val="21"/>
        </w:rPr>
        <w:t>本文提出一种集成互相关系数</w:t>
      </w:r>
      <w:r>
        <w:rPr>
          <w:rFonts w:hint="eastAsia" w:eastAsia="楷体" w:cs="Times New Roman"/>
          <w:i/>
          <w:iCs/>
          <w:szCs w:val="21"/>
        </w:rPr>
        <w:t>CC</w:t>
      </w:r>
      <w:r>
        <w:rPr>
          <w:rFonts w:hint="eastAsia" w:eastAsia="楷体" w:cs="Times New Roman"/>
          <w:szCs w:val="21"/>
        </w:rPr>
        <w:t>、相位差变异系数(Phase difference Coefficient of Variation，</w:t>
      </w:r>
      <w:r>
        <w:rPr>
          <w:rFonts w:hint="eastAsia" w:eastAsia="楷体" w:cs="Times New Roman"/>
          <w:i/>
          <w:iCs/>
          <w:szCs w:val="21"/>
        </w:rPr>
        <w:t>PCV</w:t>
      </w:r>
      <w:r>
        <w:rPr>
          <w:rFonts w:hint="eastAsia" w:eastAsia="楷体" w:cs="Times New Roman"/>
          <w:szCs w:val="21"/>
        </w:rPr>
        <w:t>)、幅度比变异系数(Amplitude ratio Coefficient of Variation，</w:t>
      </w:r>
      <w:r>
        <w:rPr>
          <w:rFonts w:hint="eastAsia" w:eastAsia="楷体" w:cs="Times New Roman"/>
          <w:i/>
          <w:iCs/>
          <w:szCs w:val="21"/>
        </w:rPr>
        <w:t>ACV</w:t>
      </w:r>
      <w:r>
        <w:rPr>
          <w:rFonts w:hint="eastAsia" w:eastAsia="楷体" w:cs="Times New Roman"/>
          <w:szCs w:val="21"/>
        </w:rPr>
        <w:t>)的综合适用性评价指数</w:t>
      </w:r>
      <w:r>
        <w:rPr>
          <w:rFonts w:hint="eastAsia" w:eastAsia="楷体" w:cs="Times New Roman"/>
          <w:i/>
          <w:iCs/>
          <w:szCs w:val="21"/>
        </w:rPr>
        <w:t>GSEI</w:t>
      </w:r>
      <w:r>
        <w:rPr>
          <w:rFonts w:hint="eastAsia" w:eastAsia="楷体" w:cs="Times New Roman"/>
          <w:szCs w:val="21"/>
        </w:rPr>
        <w:t>(GWSA synthetic Suitability Evaluation Index)，从趋势、相位、振幅三个维度对联合JPL Mascon产品和GLDAS-Noah、VIC和CLSM 三种陆地表面模型反演的GWSA产品在我国的适用性进行评价。</w:t>
      </w:r>
      <w:r>
        <w:rPr>
          <w:rFonts w:eastAsia="楷体" w:cs="Times New Roman"/>
          <w:szCs w:val="21"/>
        </w:rPr>
        <w:t>【结果】</w:t>
      </w:r>
      <w:r>
        <w:rPr>
          <w:rFonts w:hint="eastAsia" w:eastAsia="楷体" w:cs="Times New Roman"/>
          <w:i/>
          <w:iCs/>
          <w:szCs w:val="21"/>
        </w:rPr>
        <w:t>GSEI</w:t>
      </w:r>
      <w:r>
        <w:rPr>
          <w:rFonts w:hint="eastAsia" w:eastAsia="楷体" w:cs="Times New Roman"/>
          <w:szCs w:val="21"/>
        </w:rPr>
        <w:t>的评价结果表明，GWSA-JPLM+CLSM产品在我国适用性最佳；在一级流域和子流域，三种GWSA产品的适用性存在显著差异，这主要源于不同陆地表面模型对不同流域水文过程模拟能力存在差异。在我国北方以地下水为主要供水水源的地区，如海河流域、淮河流域GWSA-JPLM+CLSM产品最为适用，在松嫩流域GWSA-JPLM+VIC产品最为适用。</w:t>
      </w:r>
      <w:r>
        <w:rPr>
          <w:rFonts w:eastAsia="楷体" w:cs="Times New Roman"/>
          <w:szCs w:val="21"/>
        </w:rPr>
        <w:t>【结论】结果表明：</w:t>
      </w:r>
      <w:r>
        <w:rPr>
          <w:rFonts w:hint="eastAsia" w:eastAsia="楷体" w:cs="Times New Roman"/>
          <w:i/>
          <w:iCs/>
          <w:szCs w:val="21"/>
        </w:rPr>
        <w:t>GSEI</w:t>
      </w:r>
      <w:r>
        <w:rPr>
          <w:rFonts w:hint="eastAsia" w:eastAsia="楷体" w:cs="Times New Roman"/>
          <w:szCs w:val="21"/>
        </w:rPr>
        <w:t>可以从趋势、相位与振幅三个维度综合评价GWSA产品的适用性，相比于现有研究常用的相关系数更加全面；不同GWSA产品在我国不同流域的适用性存在差异，这主要源于不同陆地表面模型对不同流域水文过程模拟能力的差异；联合</w:t>
      </w:r>
      <w:r>
        <w:rPr>
          <w:rFonts w:hint="eastAsia" w:eastAsia="楷体" w:cs="Times New Roman"/>
          <w:i/>
          <w:iCs/>
          <w:szCs w:val="21"/>
        </w:rPr>
        <w:t>CC、PCV、ACV</w:t>
      </w:r>
      <w:r>
        <w:rPr>
          <w:rFonts w:hint="eastAsia" w:eastAsia="楷体" w:cs="Times New Roman"/>
          <w:szCs w:val="21"/>
        </w:rPr>
        <w:t>和</w:t>
      </w:r>
      <w:r>
        <w:rPr>
          <w:rFonts w:hint="eastAsia" w:eastAsia="楷体" w:cs="Times New Roman"/>
          <w:i/>
          <w:iCs/>
          <w:szCs w:val="21"/>
        </w:rPr>
        <w:t>GSEI</w:t>
      </w:r>
      <w:r>
        <w:rPr>
          <w:rFonts w:hint="eastAsia" w:eastAsia="楷体" w:cs="Times New Roman"/>
          <w:szCs w:val="21"/>
        </w:rPr>
        <w:t>能够系统性地评估GWSA产品的应用潜力，若</w:t>
      </w:r>
      <w:r>
        <w:rPr>
          <w:rFonts w:hint="eastAsia" w:eastAsia="楷体" w:cs="Times New Roman"/>
          <w:i/>
          <w:iCs/>
          <w:szCs w:val="21"/>
        </w:rPr>
        <w:t>GSEI</w:t>
      </w:r>
      <w:r>
        <w:rPr>
          <w:rFonts w:hint="eastAsia" w:eastAsia="楷体" w:cs="Times New Roman"/>
          <w:szCs w:val="21"/>
        </w:rPr>
        <w:t>大于0.5，</w:t>
      </w:r>
      <w:r>
        <w:rPr>
          <w:rFonts w:hint="eastAsia" w:eastAsia="楷体" w:cs="Times New Roman"/>
          <w:i/>
          <w:iCs/>
          <w:szCs w:val="21"/>
        </w:rPr>
        <w:t>CC</w:t>
      </w:r>
      <w:r>
        <w:rPr>
          <w:rFonts w:hint="eastAsia" w:eastAsia="楷体" w:cs="Times New Roman"/>
          <w:szCs w:val="21"/>
        </w:rPr>
        <w:t>大于0.8，GWSA产品可用于地下水储量年际变化研究；若</w:t>
      </w:r>
      <w:r>
        <w:rPr>
          <w:rFonts w:hint="eastAsia" w:eastAsia="楷体" w:cs="Times New Roman"/>
          <w:i/>
          <w:iCs/>
          <w:szCs w:val="21"/>
        </w:rPr>
        <w:t>GSEI</w:t>
      </w:r>
      <w:r>
        <w:rPr>
          <w:rFonts w:hint="eastAsia" w:eastAsia="楷体" w:cs="Times New Roman"/>
          <w:szCs w:val="21"/>
        </w:rPr>
        <w:t>大于0.8，则可用于地下水储量年际变化与年内变化的研究。</w:t>
      </w:r>
      <w:r>
        <w:rPr>
          <w:rFonts w:cs="Times New Roman"/>
          <w:szCs w:val="21"/>
        </w:rPr>
        <w:t xml:space="preserve"> </w:t>
      </w:r>
    </w:p>
    <w:p w14:paraId="6E7B9C03">
      <w:pPr>
        <w:ind w:firstLine="422"/>
        <w:rPr>
          <w:rStyle w:val="17"/>
          <w:rFonts w:eastAsia="楷体" w:cs="Times New Roman"/>
          <w:b w:val="0"/>
          <w:szCs w:val="21"/>
        </w:rPr>
      </w:pPr>
      <w:r>
        <w:rPr>
          <w:rStyle w:val="17"/>
          <w:rFonts w:eastAsia="黑体" w:cs="Times New Roman"/>
        </w:rPr>
        <w:t>关键词：</w:t>
      </w:r>
      <w:r>
        <w:rPr>
          <w:rFonts w:hint="eastAsia" w:eastAsia="楷体" w:cs="Times New Roman"/>
          <w:szCs w:val="21"/>
        </w:rPr>
        <w:t>GRACE-FO；全球陆面数据同化系统; 地下水储量变化；适用性；影响因素</w:t>
      </w:r>
    </w:p>
    <w:p w14:paraId="171D0B70">
      <w:pPr>
        <w:ind w:right="420" w:rightChars="200" w:firstLine="361"/>
        <w:rPr>
          <w:rFonts w:cs="Times New Roman"/>
          <w:sz w:val="18"/>
          <w:szCs w:val="18"/>
        </w:rPr>
      </w:pPr>
      <w:r>
        <w:rPr>
          <w:rFonts w:eastAsia="黑体" w:cs="Times New Roman"/>
          <w:b/>
          <w:bCs/>
          <w:sz w:val="18"/>
          <w:szCs w:val="18"/>
        </w:rPr>
        <w:t>中图分类号</w:t>
      </w:r>
      <w:r>
        <w:rPr>
          <w:rFonts w:cs="Times New Roman"/>
          <w:sz w:val="18"/>
          <w:szCs w:val="18"/>
        </w:rPr>
        <w:t xml:space="preserve">：TV213.4            </w:t>
      </w:r>
      <w:r>
        <w:rPr>
          <w:rFonts w:eastAsia="黑体" w:cs="Times New Roman"/>
          <w:b/>
          <w:sz w:val="18"/>
          <w:szCs w:val="18"/>
        </w:rPr>
        <w:t>文献标志码</w:t>
      </w:r>
      <w:r>
        <w:rPr>
          <w:rFonts w:cs="Times New Roman"/>
          <w:b/>
          <w:sz w:val="18"/>
          <w:szCs w:val="18"/>
        </w:rPr>
        <w:t>：A</w:t>
      </w:r>
      <w:r>
        <w:rPr>
          <w:rFonts w:cs="Times New Roman"/>
          <w:sz w:val="18"/>
          <w:szCs w:val="18"/>
        </w:rPr>
        <w:t xml:space="preserve">         </w:t>
      </w:r>
    </w:p>
    <w:p w14:paraId="504C9457">
      <w:pPr>
        <w:pStyle w:val="11"/>
        <w:snapToGrid/>
        <w:ind w:firstLine="0" w:firstLineChars="0"/>
        <w:rPr>
          <w:rFonts w:cs="Times New Roman"/>
          <w:sz w:val="21"/>
          <w:szCs w:val="21"/>
        </w:rPr>
      </w:pPr>
      <w:r>
        <w:rPr>
          <w:rStyle w:val="27"/>
          <w:rFonts w:cs="Times New Roman"/>
          <w:sz w:val="21"/>
          <w:szCs w:val="21"/>
        </w:rPr>
        <w:footnoteReference w:id="0"/>
      </w:r>
    </w:p>
    <w:p w14:paraId="24E3A07A">
      <w:pPr>
        <w:ind w:firstLine="562"/>
        <w:jc w:val="center"/>
        <w:rPr>
          <w:rFonts w:cs="Times New Roman"/>
          <w:b/>
          <w:bCs/>
          <w:sz w:val="28"/>
          <w:szCs w:val="28"/>
        </w:rPr>
      </w:pPr>
    </w:p>
    <w:p w14:paraId="4B903E1D">
      <w:pPr>
        <w:pStyle w:val="7"/>
        <w:ind w:firstLine="0" w:firstLineChars="0"/>
      </w:pPr>
    </w:p>
    <w:p w14:paraId="77ABB78C">
      <w:pPr>
        <w:ind w:firstLine="0" w:firstLineChars="0"/>
        <w:jc w:val="center"/>
        <w:rPr>
          <w:rFonts w:cs="Times New Roman"/>
          <w:b/>
          <w:bCs/>
          <w:sz w:val="28"/>
          <w:szCs w:val="28"/>
        </w:rPr>
      </w:pPr>
      <w:r>
        <w:rPr>
          <w:rFonts w:cs="Times New Roman"/>
          <w:b/>
          <w:bCs/>
          <w:sz w:val="28"/>
          <w:szCs w:val="28"/>
        </w:rPr>
        <w:t xml:space="preserve">Comprehensive </w:t>
      </w:r>
      <w:r>
        <w:rPr>
          <w:rFonts w:hint="eastAsia" w:cs="Times New Roman"/>
          <w:b/>
          <w:bCs/>
          <w:sz w:val="28"/>
          <w:szCs w:val="28"/>
        </w:rPr>
        <w:t xml:space="preserve">suitability </w:t>
      </w:r>
      <w:r>
        <w:rPr>
          <w:rFonts w:cs="Times New Roman"/>
          <w:b/>
          <w:bCs/>
          <w:sz w:val="28"/>
          <w:szCs w:val="28"/>
        </w:rPr>
        <w:t xml:space="preserve">evaluation method and application </w:t>
      </w:r>
      <w:r>
        <w:rPr>
          <w:rFonts w:hint="eastAsia" w:cs="Times New Roman"/>
          <w:b/>
          <w:bCs/>
          <w:sz w:val="28"/>
          <w:szCs w:val="28"/>
        </w:rPr>
        <w:t xml:space="preserve">of </w:t>
      </w:r>
      <w:r>
        <w:rPr>
          <w:rFonts w:cs="Times New Roman"/>
          <w:b/>
          <w:bCs/>
          <w:sz w:val="28"/>
          <w:szCs w:val="28"/>
        </w:rPr>
        <w:t xml:space="preserve">groundwater storage variation </w:t>
      </w:r>
      <w:r>
        <w:rPr>
          <w:rFonts w:hint="eastAsia" w:cs="Times New Roman"/>
          <w:b/>
          <w:bCs/>
          <w:sz w:val="28"/>
          <w:szCs w:val="28"/>
        </w:rPr>
        <w:t xml:space="preserve">derived from </w:t>
      </w:r>
      <w:r>
        <w:rPr>
          <w:rFonts w:cs="Times New Roman"/>
          <w:b/>
          <w:bCs/>
          <w:sz w:val="28"/>
          <w:szCs w:val="28"/>
        </w:rPr>
        <w:t>GRACE-FO combined with GLDAS</w:t>
      </w:r>
    </w:p>
    <w:p w14:paraId="11AD6DF9">
      <w:pPr>
        <w:ind w:firstLine="420"/>
        <w:jc w:val="center"/>
        <w:rPr>
          <w:rFonts w:eastAsia="楷体" w:cs="Times New Roman"/>
          <w:szCs w:val="21"/>
        </w:rPr>
      </w:pPr>
      <w:r>
        <w:rPr>
          <w:rFonts w:hint="eastAsia" w:eastAsia="楷体" w:cs="Times New Roman"/>
          <w:szCs w:val="21"/>
        </w:rPr>
        <w:t>HUA Wenjing</w:t>
      </w:r>
      <w:r>
        <w:rPr>
          <w:rFonts w:hint="eastAsia" w:eastAsia="楷体" w:cs="Times New Roman"/>
          <w:szCs w:val="21"/>
          <w:vertAlign w:val="superscript"/>
        </w:rPr>
        <w:t>1,2,3,4</w:t>
      </w:r>
      <w:r>
        <w:rPr>
          <w:rFonts w:hint="eastAsia" w:eastAsia="楷体" w:cs="Times New Roman"/>
          <w:szCs w:val="21"/>
        </w:rPr>
        <w:t>，CAO Yin</w:t>
      </w:r>
      <w:r>
        <w:rPr>
          <w:rFonts w:hint="eastAsia" w:eastAsia="楷体" w:cs="Times New Roman"/>
          <w:szCs w:val="21"/>
          <w:vertAlign w:val="superscript"/>
        </w:rPr>
        <w:t>4,5</w:t>
      </w:r>
      <w:r>
        <w:rPr>
          <w:rFonts w:hint="eastAsia" w:eastAsia="楷体" w:cs="Times New Roman"/>
          <w:szCs w:val="21"/>
        </w:rPr>
        <w:t>，ZHAO Hongli</w:t>
      </w:r>
      <w:r>
        <w:rPr>
          <w:rFonts w:hint="eastAsia" w:eastAsia="楷体" w:cs="Times New Roman"/>
          <w:szCs w:val="21"/>
          <w:vertAlign w:val="superscript"/>
        </w:rPr>
        <w:t>4,5</w:t>
      </w:r>
      <w:r>
        <w:rPr>
          <w:rFonts w:hint="eastAsia" w:eastAsia="楷体" w:cs="Times New Roman"/>
          <w:szCs w:val="21"/>
        </w:rPr>
        <w:t>，JIANG Yunzhong</w:t>
      </w:r>
      <w:r>
        <w:rPr>
          <w:rFonts w:hint="eastAsia" w:eastAsia="楷体" w:cs="Times New Roman"/>
          <w:szCs w:val="21"/>
          <w:vertAlign w:val="superscript"/>
        </w:rPr>
        <w:t>4,5</w:t>
      </w:r>
      <w:r>
        <w:rPr>
          <w:rFonts w:hint="eastAsia" w:eastAsia="楷体" w:cs="Times New Roman"/>
          <w:szCs w:val="21"/>
        </w:rPr>
        <w:t>，ZHAO Huizi</w:t>
      </w:r>
      <w:r>
        <w:rPr>
          <w:rFonts w:hint="eastAsia" w:eastAsia="楷体" w:cs="Times New Roman"/>
          <w:szCs w:val="21"/>
          <w:vertAlign w:val="superscript"/>
        </w:rPr>
        <w:t>4</w:t>
      </w:r>
      <w:r>
        <w:rPr>
          <w:rFonts w:hint="eastAsia" w:eastAsia="楷体" w:cs="Times New Roman"/>
          <w:szCs w:val="21"/>
        </w:rPr>
        <w:t>，ZHANG Huaiwen</w:t>
      </w:r>
      <w:r>
        <w:rPr>
          <w:rFonts w:hint="eastAsia" w:eastAsia="楷体" w:cs="Times New Roman"/>
          <w:szCs w:val="21"/>
          <w:vertAlign w:val="superscript"/>
        </w:rPr>
        <w:t>4</w:t>
      </w:r>
      <w:r>
        <w:rPr>
          <w:rFonts w:hint="eastAsia" w:eastAsia="楷体" w:cs="Times New Roman"/>
          <w:szCs w:val="21"/>
        </w:rPr>
        <w:t>，GAN Yu</w:t>
      </w:r>
      <w:r>
        <w:rPr>
          <w:rFonts w:hint="eastAsia" w:eastAsia="楷体" w:cs="Times New Roman"/>
          <w:szCs w:val="21"/>
          <w:vertAlign w:val="superscript"/>
        </w:rPr>
        <w:t>4</w:t>
      </w:r>
    </w:p>
    <w:p w14:paraId="4560A387">
      <w:pPr>
        <w:ind w:firstLine="360"/>
        <w:jc w:val="center"/>
        <w:rPr>
          <w:rFonts w:eastAsia="仿宋" w:cs="Times New Roman"/>
          <w:sz w:val="18"/>
          <w:szCs w:val="18"/>
        </w:rPr>
      </w:pPr>
      <w:r>
        <w:rPr>
          <w:rFonts w:cs="Times New Roman"/>
          <w:sz w:val="18"/>
          <w:szCs w:val="18"/>
        </w:rPr>
        <w:t>（</w:t>
      </w:r>
      <w:r>
        <w:rPr>
          <w:rFonts w:hint="eastAsia" w:eastAsia="仿宋" w:cs="Times New Roman"/>
          <w:sz w:val="18"/>
          <w:szCs w:val="18"/>
        </w:rPr>
        <w:t>1. Faculty of Geomatics</w:t>
      </w:r>
      <w:bookmarkStart w:id="0" w:name="OLE_LINK18"/>
      <w:r>
        <w:rPr>
          <w:rFonts w:hint="eastAsia" w:eastAsia="仿宋" w:cs="Times New Roman"/>
          <w:sz w:val="18"/>
          <w:szCs w:val="18"/>
        </w:rPr>
        <w:t>，</w:t>
      </w:r>
      <w:bookmarkEnd w:id="0"/>
      <w:r>
        <w:rPr>
          <w:rFonts w:hint="eastAsia" w:eastAsia="仿宋" w:cs="Times New Roman"/>
          <w:sz w:val="18"/>
          <w:szCs w:val="18"/>
        </w:rPr>
        <w:t>Lanzhou Jiaotong University，Lanzhou  730070，Gansu，China；2. Gansu Provincial Engineering Laboratory for National Geographic State Monitoring，Lanzhou  730070，Gansu，China；3. National-Local Joint Engineering Research Center of Technologies and Applications for National Geographic State Monitoring，Lanzhou  730070，Gansu，China；4. Department of Water Resources，China Institute of Water Resources and Hydropower Research，Beijing  100038，China；</w:t>
      </w:r>
      <w:r>
        <w:rPr>
          <w:rFonts w:eastAsia="仿宋" w:cs="Times New Roman"/>
          <w:sz w:val="18"/>
          <w:szCs w:val="18"/>
        </w:rPr>
        <w:t>5.</w:t>
      </w:r>
      <w:r>
        <w:rPr>
          <w:rFonts w:hint="eastAsia" w:eastAsia="仿宋" w:cs="Times New Roman"/>
          <w:sz w:val="18"/>
          <w:szCs w:val="18"/>
        </w:rPr>
        <w:t xml:space="preserve"> </w:t>
      </w:r>
      <w:r>
        <w:rPr>
          <w:rFonts w:eastAsia="仿宋" w:cs="Times New Roman"/>
          <w:sz w:val="18"/>
          <w:szCs w:val="18"/>
        </w:rPr>
        <w:t>Key Laboratory of River Basin Digital Twinning</w:t>
      </w:r>
      <w:r>
        <w:rPr>
          <w:rFonts w:hint="eastAsia" w:eastAsia="仿宋" w:cs="Times New Roman"/>
          <w:sz w:val="18"/>
          <w:szCs w:val="18"/>
        </w:rPr>
        <w:t>，</w:t>
      </w:r>
      <w:r>
        <w:rPr>
          <w:rFonts w:eastAsia="仿宋" w:cs="Times New Roman"/>
          <w:sz w:val="18"/>
          <w:szCs w:val="18"/>
        </w:rPr>
        <w:t>Ministry of Water Resources</w:t>
      </w:r>
      <w:r>
        <w:rPr>
          <w:rFonts w:hint="eastAsia" w:eastAsia="仿宋" w:cs="Times New Roman"/>
          <w:sz w:val="18"/>
          <w:szCs w:val="18"/>
        </w:rPr>
        <w:t>，</w:t>
      </w:r>
      <w:r>
        <w:rPr>
          <w:rFonts w:eastAsia="仿宋" w:cs="Times New Roman"/>
          <w:sz w:val="18"/>
          <w:szCs w:val="18"/>
        </w:rPr>
        <w:t>Beijing</w:t>
      </w:r>
      <w:r>
        <w:rPr>
          <w:rFonts w:hint="eastAsia" w:eastAsia="仿宋" w:cs="Times New Roman"/>
          <w:sz w:val="18"/>
          <w:szCs w:val="18"/>
        </w:rPr>
        <w:t xml:space="preserve">  </w:t>
      </w:r>
      <w:r>
        <w:rPr>
          <w:rFonts w:eastAsia="仿宋" w:cs="Times New Roman"/>
          <w:sz w:val="18"/>
          <w:szCs w:val="18"/>
        </w:rPr>
        <w:t>100038</w:t>
      </w:r>
      <w:r>
        <w:rPr>
          <w:rFonts w:hint="eastAsia" w:eastAsia="仿宋" w:cs="Times New Roman"/>
          <w:sz w:val="18"/>
          <w:szCs w:val="18"/>
        </w:rPr>
        <w:t>，China</w:t>
      </w:r>
      <w:r>
        <w:rPr>
          <w:rFonts w:cs="Times New Roman"/>
          <w:sz w:val="18"/>
          <w:szCs w:val="18"/>
        </w:rPr>
        <w:t>）</w:t>
      </w:r>
    </w:p>
    <w:p w14:paraId="276E431E">
      <w:pPr>
        <w:ind w:firstLine="420"/>
        <w:jc w:val="center"/>
        <w:rPr>
          <w:rFonts w:cs="Times New Roman"/>
          <w:szCs w:val="21"/>
        </w:rPr>
      </w:pPr>
    </w:p>
    <w:p w14:paraId="4C119DE7">
      <w:pPr>
        <w:ind w:firstLine="0" w:firstLineChars="0"/>
        <w:rPr>
          <w:rFonts w:cs="Times New Roman"/>
          <w:bCs/>
          <w:szCs w:val="21"/>
        </w:rPr>
      </w:pPr>
      <w:r>
        <w:rPr>
          <w:rStyle w:val="17"/>
          <w:rFonts w:cs="Times New Roman"/>
        </w:rPr>
        <w:t>Abstract：[Objective]</w:t>
      </w:r>
      <w:r>
        <w:t xml:space="preserve"> Significant discrepancies exist among various Groundwater Storage Anomalies (GWSA) products </w:t>
      </w:r>
      <w:r>
        <w:rPr>
          <w:rFonts w:hint="eastAsia"/>
        </w:rPr>
        <w:t>derived from different land surface models of the Gravity Recovery and Climate Experiment Follow-On (</w:t>
      </w:r>
      <w:r>
        <w:t>GRACE-FO</w:t>
      </w:r>
      <w:r>
        <w:rPr>
          <w:rFonts w:hint="eastAsia"/>
        </w:rPr>
        <w:t>)</w:t>
      </w:r>
      <w:r>
        <w:t xml:space="preserve"> </w:t>
      </w:r>
      <w:r>
        <w:rPr>
          <w:rFonts w:hint="eastAsia"/>
        </w:rPr>
        <w:t>and the Global Land Data Assimilation System (</w:t>
      </w:r>
      <w:r>
        <w:t>GLDAS</w:t>
      </w:r>
      <w:r>
        <w:rPr>
          <w:rFonts w:hint="eastAsia"/>
        </w:rPr>
        <w:t>)</w:t>
      </w:r>
      <w:r>
        <w:t xml:space="preserve">. Accurately assessing the </w:t>
      </w:r>
      <w:r>
        <w:rPr>
          <w:rFonts w:hint="eastAsia"/>
        </w:rPr>
        <w:t xml:space="preserve">suitability </w:t>
      </w:r>
      <w:r>
        <w:t xml:space="preserve">of different GWSA products is crucial for monitoring </w:t>
      </w:r>
      <w:r>
        <w:rPr>
          <w:rFonts w:hint="eastAsia"/>
        </w:rPr>
        <w:t xml:space="preserve">dynamic changes in </w:t>
      </w:r>
      <w:r>
        <w:t>groundwater storage.</w:t>
      </w:r>
      <w:r>
        <w:rPr>
          <w:rFonts w:hint="eastAsia"/>
        </w:rPr>
        <w:t xml:space="preserve"> </w:t>
      </w:r>
      <w:r>
        <w:rPr>
          <w:rStyle w:val="17"/>
          <w:rFonts w:cs="Times New Roman"/>
        </w:rPr>
        <w:t>[Methods]</w:t>
      </w:r>
      <w:r>
        <w:t xml:space="preserve"> </w:t>
      </w:r>
      <w:r>
        <w:rPr>
          <w:rFonts w:hint="eastAsia"/>
        </w:rPr>
        <w:t>A</w:t>
      </w:r>
      <w:r>
        <w:t xml:space="preserve"> synthetic </w:t>
      </w:r>
      <w:r>
        <w:rPr>
          <w:rFonts w:hint="eastAsia"/>
        </w:rPr>
        <w:t>suitability</w:t>
      </w:r>
      <w:r>
        <w:t xml:space="preserve"> evaluation inde</w:t>
      </w:r>
      <w:r>
        <w:rPr>
          <w:szCs w:val="21"/>
        </w:rPr>
        <w:t>x</w:t>
      </w:r>
      <w:r>
        <w:rPr>
          <w:rFonts w:hint="eastAsia" w:cs="Times New Roman"/>
          <w:szCs w:val="21"/>
          <w:shd w:val="clear" w:color="auto" w:fill="FFFFFF"/>
        </w:rPr>
        <w:t xml:space="preserve">, </w:t>
      </w:r>
      <w:r>
        <w:rPr>
          <w:rFonts w:hint="eastAsia"/>
          <w:szCs w:val="21"/>
        </w:rPr>
        <w:t>G</w:t>
      </w:r>
      <w:r>
        <w:rPr>
          <w:rFonts w:hint="eastAsia"/>
        </w:rPr>
        <w:t>WSA synthetic suitability evaluation index (</w:t>
      </w:r>
      <w:r>
        <w:rPr>
          <w:i/>
          <w:iCs/>
        </w:rPr>
        <w:t>GSEI</w:t>
      </w:r>
      <w:r>
        <w:t>)</w:t>
      </w:r>
      <w:r>
        <w:rPr>
          <w:rFonts w:hint="eastAsia"/>
        </w:rPr>
        <w:t xml:space="preserve">, </w:t>
      </w:r>
      <w:r>
        <w:t xml:space="preserve">integrating the </w:t>
      </w:r>
      <w:r>
        <w:rPr>
          <w:rFonts w:hint="eastAsia"/>
        </w:rPr>
        <w:t>c</w:t>
      </w:r>
      <w:r>
        <w:t xml:space="preserve">ross-correlation </w:t>
      </w:r>
      <w:r>
        <w:rPr>
          <w:rFonts w:hint="eastAsia"/>
        </w:rPr>
        <w:t>c</w:t>
      </w:r>
      <w:r>
        <w:t>oefficient (</w:t>
      </w:r>
      <w:r>
        <w:rPr>
          <w:i/>
          <w:iCs/>
        </w:rPr>
        <w:t>CC</w:t>
      </w:r>
      <w:r>
        <w:t xml:space="preserve">), </w:t>
      </w:r>
      <w:r>
        <w:rPr>
          <w:rFonts w:hint="eastAsia"/>
        </w:rPr>
        <w:t>p</w:t>
      </w:r>
      <w:r>
        <w:t xml:space="preserve">hase difference </w:t>
      </w:r>
      <w:r>
        <w:rPr>
          <w:rFonts w:hint="eastAsia"/>
        </w:rPr>
        <w:t>c</w:t>
      </w:r>
      <w:r>
        <w:t xml:space="preserve">oefficient of </w:t>
      </w:r>
      <w:r>
        <w:rPr>
          <w:rFonts w:hint="eastAsia"/>
        </w:rPr>
        <w:t>v</w:t>
      </w:r>
      <w:r>
        <w:t>ariation (</w:t>
      </w:r>
      <w:r>
        <w:rPr>
          <w:i/>
          <w:iCs/>
        </w:rPr>
        <w:t>PCV</w:t>
      </w:r>
      <w:r>
        <w:t>), and amplitude ratio coefficient of variation (</w:t>
      </w:r>
      <w:r>
        <w:rPr>
          <w:i/>
          <w:iCs/>
        </w:rPr>
        <w:t>ACV</w:t>
      </w:r>
      <w:r>
        <w:t>)</w:t>
      </w:r>
      <w:r>
        <w:rPr>
          <w:rFonts w:hint="eastAsia"/>
        </w:rPr>
        <w:t>, was proposed.</w:t>
      </w:r>
      <w:r>
        <w:t xml:space="preserve"> This index </w:t>
      </w:r>
      <w:r>
        <w:rPr>
          <w:rFonts w:hint="eastAsia"/>
        </w:rPr>
        <w:t xml:space="preserve">was then used to </w:t>
      </w:r>
      <w:r>
        <w:t xml:space="preserve">evaluate the </w:t>
      </w:r>
      <w:r>
        <w:rPr>
          <w:rFonts w:hint="eastAsia"/>
        </w:rPr>
        <w:t xml:space="preserve">suitability </w:t>
      </w:r>
      <w:r>
        <w:t xml:space="preserve">of GWSA products </w:t>
      </w:r>
      <w:r>
        <w:rPr>
          <w:rFonts w:hint="eastAsia"/>
        </w:rPr>
        <w:t>derived from the</w:t>
      </w:r>
      <w:r>
        <w:t xml:space="preserve"> </w:t>
      </w:r>
      <w:r>
        <w:rPr>
          <w:rFonts w:hint="eastAsia"/>
        </w:rPr>
        <w:t xml:space="preserve">combination of </w:t>
      </w:r>
      <w:r>
        <w:t xml:space="preserve">JPL Mascon product </w:t>
      </w:r>
      <w:r>
        <w:rPr>
          <w:rFonts w:hint="eastAsia"/>
        </w:rPr>
        <w:t xml:space="preserve">and </w:t>
      </w:r>
      <w:r>
        <w:t>Noah, VIC, and CLSM land surface models across China</w:t>
      </w:r>
      <w:r>
        <w:rPr>
          <w:rFonts w:hint="eastAsia"/>
        </w:rPr>
        <w:t xml:space="preserve"> from the three dimensions of trend, phase, and amplitude</w:t>
      </w:r>
      <w:r>
        <w:t xml:space="preserve">. </w:t>
      </w:r>
      <w:r>
        <w:rPr>
          <w:rStyle w:val="17"/>
          <w:rFonts w:cs="Times New Roman"/>
        </w:rPr>
        <w:t>[Results]</w:t>
      </w:r>
      <w:r>
        <w:t xml:space="preserve"> </w:t>
      </w:r>
      <w:r>
        <w:rPr>
          <w:i/>
          <w:iCs/>
        </w:rPr>
        <w:t>GSEI</w:t>
      </w:r>
      <w:r>
        <w:t xml:space="preserve"> evaluation </w:t>
      </w:r>
      <w:r>
        <w:rPr>
          <w:rFonts w:hint="eastAsia"/>
        </w:rPr>
        <w:t xml:space="preserve">results </w:t>
      </w:r>
      <w:r>
        <w:t>indicate</w:t>
      </w:r>
      <w:r>
        <w:rPr>
          <w:rFonts w:hint="eastAsia"/>
        </w:rPr>
        <w:t>d</w:t>
      </w:r>
      <w:r>
        <w:t xml:space="preserve"> that the GWSA-JPLM+CLSM product exhibit</w:t>
      </w:r>
      <w:r>
        <w:rPr>
          <w:rFonts w:hint="eastAsia"/>
        </w:rPr>
        <w:t>ed</w:t>
      </w:r>
      <w:r>
        <w:t xml:space="preserve"> optimal suitability </w:t>
      </w:r>
      <w:r>
        <w:rPr>
          <w:rFonts w:hint="eastAsia"/>
        </w:rPr>
        <w:t xml:space="preserve">in </w:t>
      </w:r>
      <w:r>
        <w:t xml:space="preserve">China. </w:t>
      </w:r>
      <w:r>
        <w:rPr>
          <w:rFonts w:hint="eastAsia"/>
        </w:rPr>
        <w:t>At the scales of first-order river basins and sub-basins, s</w:t>
      </w:r>
      <w:r>
        <w:t xml:space="preserve">ignificant differences in suitability </w:t>
      </w:r>
      <w:r>
        <w:rPr>
          <w:rFonts w:hint="eastAsia"/>
        </w:rPr>
        <w:t xml:space="preserve">were observed </w:t>
      </w:r>
      <w:r>
        <w:t>among the three GWSA products</w:t>
      </w:r>
      <w:r>
        <w:rPr>
          <w:rFonts w:hint="eastAsia"/>
        </w:rPr>
        <w:t>,</w:t>
      </w:r>
      <w:r>
        <w:t xml:space="preserve"> </w:t>
      </w:r>
      <w:r>
        <w:rPr>
          <w:rFonts w:hint="eastAsia"/>
        </w:rPr>
        <w:t xml:space="preserve">which were </w:t>
      </w:r>
      <w:r>
        <w:t xml:space="preserve">primarily </w:t>
      </w:r>
      <w:r>
        <w:rPr>
          <w:rFonts w:hint="eastAsia"/>
        </w:rPr>
        <w:t xml:space="preserve">attributed to the varying </w:t>
      </w:r>
      <w:r>
        <w:t>capabilities of different land surface models</w:t>
      </w:r>
      <w:r>
        <w:rPr>
          <w:rFonts w:hint="eastAsia"/>
        </w:rPr>
        <w:t xml:space="preserve"> in simulating hydrological processes across different river basins</w:t>
      </w:r>
      <w:r>
        <w:t xml:space="preserve">. In northern China where groundwater </w:t>
      </w:r>
      <w:r>
        <w:rPr>
          <w:rFonts w:hint="eastAsia"/>
        </w:rPr>
        <w:t xml:space="preserve">served as </w:t>
      </w:r>
      <w:r>
        <w:t xml:space="preserve">the primary water </w:t>
      </w:r>
      <w:r>
        <w:rPr>
          <w:rFonts w:hint="eastAsia"/>
        </w:rPr>
        <w:t>source</w:t>
      </w:r>
      <w:r>
        <w:t>,</w:t>
      </w:r>
      <w:r>
        <w:rPr>
          <w:rFonts w:hint="eastAsia"/>
        </w:rPr>
        <w:t xml:space="preserve"> </w:t>
      </w:r>
      <w:r>
        <w:t xml:space="preserve">the GWSA-JPLM+CLSM product </w:t>
      </w:r>
      <w:r>
        <w:rPr>
          <w:rFonts w:hint="eastAsia"/>
        </w:rPr>
        <w:t xml:space="preserve">was the </w:t>
      </w:r>
      <w:r>
        <w:t xml:space="preserve">most suitable </w:t>
      </w:r>
      <w:r>
        <w:rPr>
          <w:rFonts w:hint="eastAsia"/>
        </w:rPr>
        <w:t>for the Haihe River Basin and Huaihe River Basin, while the</w:t>
      </w:r>
      <w:r>
        <w:t xml:space="preserve"> GWSA-JPLM+VIC product </w:t>
      </w:r>
      <w:r>
        <w:rPr>
          <w:rFonts w:hint="eastAsia"/>
        </w:rPr>
        <w:t xml:space="preserve">was the most </w:t>
      </w:r>
      <w:r>
        <w:t xml:space="preserve">suitable </w:t>
      </w:r>
      <w:r>
        <w:rPr>
          <w:rFonts w:hint="eastAsia"/>
        </w:rPr>
        <w:t>for the Songnen Basin.</w:t>
      </w:r>
      <w:r>
        <w:t xml:space="preserve"> </w:t>
      </w:r>
      <w:r>
        <w:rPr>
          <w:rStyle w:val="17"/>
          <w:rFonts w:cs="Times New Roman"/>
        </w:rPr>
        <w:t>[Conclusion]</w:t>
      </w:r>
      <w:r>
        <w:rPr>
          <w:rFonts w:cs="Times New Roman"/>
          <w:bCs/>
          <w:szCs w:val="21"/>
        </w:rPr>
        <w:t xml:space="preserve"> </w:t>
      </w:r>
      <w:r>
        <w:rPr>
          <w:rFonts w:hint="eastAsia" w:cs="Times New Roman"/>
          <w:bCs/>
          <w:szCs w:val="21"/>
        </w:rPr>
        <w:t>The r</w:t>
      </w:r>
      <w:r>
        <w:rPr>
          <w:rFonts w:cs="Times New Roman"/>
          <w:bCs/>
          <w:szCs w:val="21"/>
        </w:rPr>
        <w:t xml:space="preserve">esults indicate that </w:t>
      </w:r>
      <w:r>
        <w:rPr>
          <w:rFonts w:cs="Times New Roman"/>
          <w:bCs/>
          <w:i/>
          <w:iCs/>
          <w:szCs w:val="21"/>
        </w:rPr>
        <w:t>GSEI</w:t>
      </w:r>
      <w:r>
        <w:rPr>
          <w:rFonts w:cs="Times New Roman"/>
          <w:bCs/>
          <w:szCs w:val="21"/>
        </w:rPr>
        <w:t xml:space="preserve"> </w:t>
      </w:r>
      <w:r>
        <w:rPr>
          <w:rFonts w:hint="eastAsia" w:cs="Times New Roman"/>
          <w:bCs/>
          <w:szCs w:val="21"/>
        </w:rPr>
        <w:t>can comprehensively evaluate the suitability of</w:t>
      </w:r>
      <w:r>
        <w:rPr>
          <w:rFonts w:cs="Times New Roman"/>
          <w:bCs/>
          <w:szCs w:val="21"/>
        </w:rPr>
        <w:t xml:space="preserve"> GWSA product</w:t>
      </w:r>
      <w:r>
        <w:rPr>
          <w:rFonts w:hint="eastAsia" w:cs="Times New Roman"/>
          <w:bCs/>
          <w:szCs w:val="21"/>
        </w:rPr>
        <w:t>s</w:t>
      </w:r>
      <w:r>
        <w:rPr>
          <w:rFonts w:cs="Times New Roman"/>
          <w:bCs/>
          <w:szCs w:val="21"/>
        </w:rPr>
        <w:t xml:space="preserve"> </w:t>
      </w:r>
      <w:r>
        <w:rPr>
          <w:rFonts w:hint="eastAsia" w:cs="Times New Roman"/>
          <w:bCs/>
          <w:szCs w:val="21"/>
        </w:rPr>
        <w:t>from the three dimensions of</w:t>
      </w:r>
      <w:r>
        <w:rPr>
          <w:rFonts w:cs="Times New Roman"/>
          <w:bCs/>
          <w:szCs w:val="21"/>
        </w:rPr>
        <w:t xml:space="preserve"> trend, phase, and amplitude, </w:t>
      </w:r>
      <w:r>
        <w:rPr>
          <w:rFonts w:hint="eastAsia" w:cs="Times New Roman"/>
          <w:bCs/>
          <w:szCs w:val="21"/>
        </w:rPr>
        <w:t>which is more comprehensive</w:t>
      </w:r>
      <w:r>
        <w:rPr>
          <w:rFonts w:cs="Times New Roman"/>
          <w:bCs/>
          <w:szCs w:val="21"/>
        </w:rPr>
        <w:t xml:space="preserve"> than the correlation coefficients commonly used in existing studies. The </w:t>
      </w:r>
      <w:r>
        <w:rPr>
          <w:rFonts w:hint="eastAsia" w:cs="Times New Roman"/>
          <w:bCs/>
          <w:szCs w:val="21"/>
        </w:rPr>
        <w:t xml:space="preserve">suitability </w:t>
      </w:r>
      <w:r>
        <w:rPr>
          <w:rFonts w:cs="Times New Roman"/>
          <w:bCs/>
          <w:szCs w:val="21"/>
        </w:rPr>
        <w:t xml:space="preserve">of different GWSA products varies across </w:t>
      </w:r>
      <w:r>
        <w:rPr>
          <w:rFonts w:hint="eastAsia" w:cs="Times New Roman"/>
          <w:bCs/>
          <w:szCs w:val="21"/>
        </w:rPr>
        <w:t xml:space="preserve">river </w:t>
      </w:r>
      <w:r>
        <w:rPr>
          <w:rFonts w:cs="Times New Roman"/>
          <w:bCs/>
          <w:szCs w:val="21"/>
        </w:rPr>
        <w:t>basin</w:t>
      </w:r>
      <w:r>
        <w:rPr>
          <w:rFonts w:hint="eastAsia" w:cs="Times New Roman"/>
          <w:bCs/>
          <w:szCs w:val="21"/>
        </w:rPr>
        <w:t>s in China</w:t>
      </w:r>
      <w:r>
        <w:rPr>
          <w:rFonts w:cs="Times New Roman"/>
          <w:bCs/>
          <w:szCs w:val="21"/>
        </w:rPr>
        <w:t xml:space="preserve">, </w:t>
      </w:r>
      <w:r>
        <w:rPr>
          <w:rFonts w:hint="eastAsia" w:cs="Times New Roman"/>
          <w:bCs/>
          <w:szCs w:val="21"/>
        </w:rPr>
        <w:t xml:space="preserve">which is </w:t>
      </w:r>
      <w:r>
        <w:rPr>
          <w:rFonts w:cs="Times New Roman"/>
          <w:bCs/>
          <w:szCs w:val="21"/>
        </w:rPr>
        <w:t>primarily</w:t>
      </w:r>
      <w:r>
        <w:rPr>
          <w:rFonts w:hint="eastAsia" w:cs="Times New Roman"/>
          <w:bCs/>
          <w:szCs w:val="21"/>
        </w:rPr>
        <w:t xml:space="preserve"> due to the varying capabilities of different land surface models in</w:t>
      </w:r>
      <w:r>
        <w:rPr>
          <w:rFonts w:cs="Times New Roman"/>
          <w:bCs/>
          <w:szCs w:val="21"/>
        </w:rPr>
        <w:t xml:space="preserve"> simulati</w:t>
      </w:r>
      <w:r>
        <w:rPr>
          <w:rFonts w:hint="eastAsia" w:cs="Times New Roman"/>
          <w:bCs/>
          <w:szCs w:val="21"/>
        </w:rPr>
        <w:t>ng</w:t>
      </w:r>
      <w:r>
        <w:rPr>
          <w:rFonts w:cs="Times New Roman"/>
          <w:bCs/>
          <w:szCs w:val="21"/>
        </w:rPr>
        <w:t xml:space="preserve"> </w:t>
      </w:r>
      <w:r>
        <w:rPr>
          <w:rFonts w:hint="eastAsia" w:cs="Times New Roman"/>
          <w:bCs/>
          <w:szCs w:val="21"/>
        </w:rPr>
        <w:t>hydrological processes in different river basins</w:t>
      </w:r>
      <w:r>
        <w:rPr>
          <w:rFonts w:cs="Times New Roman"/>
          <w:bCs/>
          <w:szCs w:val="21"/>
        </w:rPr>
        <w:t xml:space="preserve">. Combining </w:t>
      </w:r>
      <w:r>
        <w:rPr>
          <w:rFonts w:cs="Times New Roman"/>
          <w:bCs/>
          <w:i/>
          <w:iCs/>
          <w:szCs w:val="21"/>
        </w:rPr>
        <w:t>CC</w:t>
      </w:r>
      <w:r>
        <w:rPr>
          <w:rFonts w:cs="Times New Roman"/>
          <w:bCs/>
          <w:szCs w:val="21"/>
        </w:rPr>
        <w:t xml:space="preserve">, </w:t>
      </w:r>
      <w:r>
        <w:rPr>
          <w:rFonts w:cs="Times New Roman"/>
          <w:bCs/>
          <w:i/>
          <w:iCs/>
          <w:szCs w:val="21"/>
        </w:rPr>
        <w:t>PCV</w:t>
      </w:r>
      <w:r>
        <w:rPr>
          <w:rFonts w:cs="Times New Roman"/>
          <w:bCs/>
          <w:szCs w:val="21"/>
        </w:rPr>
        <w:t xml:space="preserve">, </w:t>
      </w:r>
      <w:r>
        <w:rPr>
          <w:rFonts w:cs="Times New Roman"/>
          <w:bCs/>
          <w:i/>
          <w:iCs/>
          <w:szCs w:val="21"/>
        </w:rPr>
        <w:t>ACV</w:t>
      </w:r>
      <w:r>
        <w:rPr>
          <w:rFonts w:cs="Times New Roman"/>
          <w:bCs/>
          <w:szCs w:val="21"/>
        </w:rPr>
        <w:t xml:space="preserve">, and </w:t>
      </w:r>
      <w:r>
        <w:rPr>
          <w:rFonts w:cs="Times New Roman"/>
          <w:bCs/>
          <w:i/>
          <w:iCs/>
          <w:szCs w:val="21"/>
        </w:rPr>
        <w:t>GSEI</w:t>
      </w:r>
      <w:r>
        <w:rPr>
          <w:rFonts w:cs="Times New Roman"/>
          <w:bCs/>
          <w:szCs w:val="21"/>
        </w:rPr>
        <w:t xml:space="preserve"> enables a systematic assessment of </w:t>
      </w:r>
      <w:r>
        <w:rPr>
          <w:rFonts w:hint="eastAsia" w:cs="Times New Roman"/>
          <w:bCs/>
          <w:szCs w:val="21"/>
        </w:rPr>
        <w:t xml:space="preserve">the application potential of </w:t>
      </w:r>
      <w:r>
        <w:rPr>
          <w:rFonts w:cs="Times New Roman"/>
          <w:bCs/>
          <w:szCs w:val="21"/>
        </w:rPr>
        <w:t>GWSA product</w:t>
      </w:r>
      <w:r>
        <w:rPr>
          <w:rFonts w:hint="eastAsia" w:cs="Times New Roman"/>
          <w:bCs/>
          <w:szCs w:val="21"/>
        </w:rPr>
        <w:t>s.</w:t>
      </w:r>
      <w:r>
        <w:rPr>
          <w:rFonts w:cs="Times New Roman"/>
          <w:bCs/>
          <w:szCs w:val="21"/>
        </w:rPr>
        <w:t xml:space="preserve"> </w:t>
      </w:r>
      <w:r>
        <w:rPr>
          <w:rFonts w:hint="eastAsia" w:cs="Times New Roman"/>
          <w:bCs/>
          <w:szCs w:val="21"/>
        </w:rPr>
        <w:t>I</w:t>
      </w:r>
      <w:r>
        <w:rPr>
          <w:rFonts w:cs="Times New Roman"/>
          <w:bCs/>
          <w:szCs w:val="21"/>
        </w:rPr>
        <w:t xml:space="preserve">f </w:t>
      </w:r>
      <w:r>
        <w:rPr>
          <w:rFonts w:cs="Times New Roman"/>
          <w:bCs/>
          <w:i/>
          <w:iCs/>
          <w:szCs w:val="21"/>
        </w:rPr>
        <w:t>GSEI</w:t>
      </w:r>
      <w:r>
        <w:rPr>
          <w:rFonts w:cs="Times New Roman"/>
          <w:bCs/>
          <w:szCs w:val="21"/>
        </w:rPr>
        <w:t xml:space="preserve"> exceeds 0.5 and </w:t>
      </w:r>
      <w:r>
        <w:rPr>
          <w:rFonts w:cs="Times New Roman"/>
          <w:bCs/>
          <w:i/>
          <w:iCs/>
          <w:szCs w:val="21"/>
        </w:rPr>
        <w:t>CC</w:t>
      </w:r>
      <w:r>
        <w:rPr>
          <w:rFonts w:cs="Times New Roman"/>
          <w:bCs/>
          <w:szCs w:val="21"/>
        </w:rPr>
        <w:t xml:space="preserve"> exceeds 0.8, GWSA products can be used for </w:t>
      </w:r>
      <w:r>
        <w:rPr>
          <w:rFonts w:hint="eastAsia" w:cs="Times New Roman"/>
          <w:bCs/>
          <w:szCs w:val="21"/>
        </w:rPr>
        <w:t xml:space="preserve">studying </w:t>
      </w:r>
      <w:r>
        <w:rPr>
          <w:rFonts w:cs="Times New Roman"/>
          <w:bCs/>
          <w:szCs w:val="21"/>
        </w:rPr>
        <w:t xml:space="preserve">interannual </w:t>
      </w:r>
      <w:r>
        <w:rPr>
          <w:rFonts w:hint="eastAsia" w:cs="Times New Roman"/>
          <w:bCs/>
          <w:szCs w:val="21"/>
        </w:rPr>
        <w:t xml:space="preserve">variations in </w:t>
      </w:r>
      <w:r>
        <w:rPr>
          <w:rFonts w:cs="Times New Roman"/>
          <w:bCs/>
          <w:szCs w:val="21"/>
        </w:rPr>
        <w:t>groundwater storage</w:t>
      </w:r>
      <w:r>
        <w:rPr>
          <w:rFonts w:hint="eastAsia" w:cs="Times New Roman"/>
          <w:bCs/>
          <w:szCs w:val="21"/>
        </w:rPr>
        <w:t>. I</w:t>
      </w:r>
      <w:r>
        <w:rPr>
          <w:rFonts w:cs="Times New Roman"/>
          <w:bCs/>
          <w:szCs w:val="21"/>
        </w:rPr>
        <w:t>f GSEI exceeds 0.8, they can be applied to</w:t>
      </w:r>
      <w:r>
        <w:rPr>
          <w:rFonts w:hint="eastAsia" w:cs="Times New Roman"/>
          <w:bCs/>
          <w:szCs w:val="21"/>
        </w:rPr>
        <w:t xml:space="preserve"> studies of</w:t>
      </w:r>
      <w:r>
        <w:rPr>
          <w:rFonts w:cs="Times New Roman"/>
          <w:bCs/>
          <w:szCs w:val="21"/>
        </w:rPr>
        <w:t xml:space="preserve"> both interannual and intra-annual groundwater storage</w:t>
      </w:r>
      <w:r>
        <w:rPr>
          <w:rFonts w:hint="eastAsia" w:cs="Times New Roman"/>
          <w:bCs/>
          <w:szCs w:val="21"/>
        </w:rPr>
        <w:t xml:space="preserve"> </w:t>
      </w:r>
      <w:r>
        <w:rPr>
          <w:rFonts w:cs="Times New Roman"/>
          <w:bCs/>
          <w:szCs w:val="21"/>
        </w:rPr>
        <w:t>variation</w:t>
      </w:r>
      <w:r>
        <w:rPr>
          <w:rFonts w:hint="eastAsia" w:cs="Times New Roman"/>
          <w:bCs/>
          <w:szCs w:val="21"/>
        </w:rPr>
        <w:t>s</w:t>
      </w:r>
      <w:r>
        <w:rPr>
          <w:rFonts w:cs="Times New Roman"/>
          <w:bCs/>
          <w:szCs w:val="21"/>
        </w:rPr>
        <w:t>.</w:t>
      </w:r>
    </w:p>
    <w:p w14:paraId="5AE3961C">
      <w:pPr>
        <w:ind w:firstLine="422"/>
        <w:rPr>
          <w:rFonts w:eastAsia="楷体" w:cs="Times New Roman"/>
          <w:bCs/>
          <w:szCs w:val="21"/>
        </w:rPr>
      </w:pPr>
      <w:r>
        <w:rPr>
          <w:rStyle w:val="17"/>
          <w:rFonts w:cs="Times New Roman"/>
        </w:rPr>
        <w:t>Keywords：</w:t>
      </w:r>
      <w:r>
        <w:rPr>
          <w:rStyle w:val="17"/>
          <w:rFonts w:eastAsia="楷体" w:cs="Times New Roman"/>
          <w:b w:val="0"/>
          <w:szCs w:val="21"/>
        </w:rPr>
        <w:t xml:space="preserve">GRACE-FO; </w:t>
      </w:r>
      <w:r>
        <w:rPr>
          <w:rStyle w:val="17"/>
          <w:rFonts w:hint="eastAsia" w:eastAsia="楷体" w:cs="Times New Roman"/>
          <w:b w:val="0"/>
          <w:szCs w:val="21"/>
        </w:rPr>
        <w:t>Global Land Data Assimilation System</w:t>
      </w:r>
      <w:r>
        <w:rPr>
          <w:rStyle w:val="17"/>
          <w:rFonts w:eastAsia="楷体" w:cs="Times New Roman"/>
          <w:b w:val="0"/>
          <w:szCs w:val="21"/>
        </w:rPr>
        <w:t xml:space="preserve">; groundwater storage </w:t>
      </w:r>
      <w:r>
        <w:rPr>
          <w:rStyle w:val="17"/>
          <w:rFonts w:hint="eastAsia" w:eastAsia="楷体" w:cs="Times New Roman"/>
          <w:b w:val="0"/>
          <w:szCs w:val="21"/>
        </w:rPr>
        <w:t>variation</w:t>
      </w:r>
      <w:r>
        <w:rPr>
          <w:rStyle w:val="17"/>
          <w:rFonts w:eastAsia="楷体" w:cs="Times New Roman"/>
          <w:b w:val="0"/>
          <w:szCs w:val="21"/>
        </w:rPr>
        <w:t xml:space="preserve">; </w:t>
      </w:r>
      <w:r>
        <w:rPr>
          <w:rFonts w:hint="eastAsia"/>
        </w:rPr>
        <w:t>suitability</w:t>
      </w:r>
      <w:r>
        <w:rPr>
          <w:rStyle w:val="17"/>
          <w:rFonts w:hint="eastAsia" w:eastAsia="楷体" w:cs="Times New Roman"/>
          <w:b w:val="0"/>
          <w:szCs w:val="21"/>
        </w:rPr>
        <w:t xml:space="preserve">; </w:t>
      </w:r>
      <w:r>
        <w:rPr>
          <w:rStyle w:val="17"/>
          <w:rFonts w:hint="eastAsia" w:eastAsia="楷体" w:cs="Times New Roman"/>
          <w:b w:val="0"/>
          <w:bCs w:val="0"/>
          <w:szCs w:val="21"/>
        </w:rPr>
        <w:t>influencing factors</w:t>
      </w:r>
    </w:p>
    <w:p w14:paraId="68029F4A">
      <w:pPr>
        <w:pStyle w:val="2"/>
        <w:rPr>
          <w:rFonts w:cs="Times New Roman"/>
        </w:rPr>
      </w:pPr>
    </w:p>
    <w:p w14:paraId="47A5C208">
      <w:pPr>
        <w:pStyle w:val="2"/>
        <w:rPr>
          <w:rFonts w:cs="Times New Roman"/>
        </w:rPr>
      </w:pPr>
      <w:r>
        <w:rPr>
          <w:rFonts w:cs="Times New Roman"/>
        </w:rPr>
        <w:t>0 引  言</w:t>
      </w:r>
    </w:p>
    <w:p w14:paraId="3D11992E">
      <w:pPr>
        <w:ind w:firstLine="420"/>
      </w:pPr>
      <w:r>
        <w:rPr>
          <w:rFonts w:hint="eastAsia"/>
        </w:rPr>
        <w:t>地下水是世界上分布最广的淡水资源，相较于地表水体，地下水因其水质受污染程度较低、饮用安全稳定性较高等优点，已经成为</w:t>
      </w:r>
      <w:r>
        <w:t>世界许多地区，尤其是半干旱地区和人口稠密地区农业灌溉、工业生产和城市生活的重要淡水来源</w:t>
      </w:r>
      <w:r>
        <w:rPr>
          <w:rFonts w:cs="Times New Roman"/>
          <w:kern w:val="0"/>
          <w:vertAlign w:val="superscript"/>
        </w:rPr>
        <w:t>[1</w:t>
      </w:r>
      <w:r>
        <w:rPr>
          <w:rFonts w:hint="eastAsia" w:cs="Times New Roman"/>
          <w:kern w:val="0"/>
          <w:vertAlign w:val="superscript"/>
        </w:rPr>
        <w:t>-</w:t>
      </w:r>
      <w:r>
        <w:rPr>
          <w:rFonts w:cs="Times New Roman"/>
          <w:kern w:val="0"/>
          <w:vertAlign w:val="superscript"/>
        </w:rPr>
        <w:t>2]</w:t>
      </w:r>
      <w:r>
        <w:rPr>
          <w:rFonts w:hint="eastAsia"/>
        </w:rPr>
        <w:t>。</w:t>
      </w:r>
      <w:bookmarkStart w:id="1" w:name="_Hlk216187486"/>
      <w:r>
        <w:rPr>
          <w:rFonts w:hint="eastAsia"/>
        </w:rPr>
        <w:t>地下水是我国</w:t>
      </w:r>
      <w:r>
        <w:t>至关重要的淡水供给来源</w:t>
      </w:r>
      <w:r>
        <w:rPr>
          <w:rFonts w:hint="eastAsia"/>
        </w:rPr>
        <w:t>，近年来随着人口快速增</w:t>
      </w:r>
      <w:bookmarkEnd w:id="1"/>
      <w:bookmarkStart w:id="2" w:name="_Hlk216187378"/>
      <w:r>
        <w:rPr>
          <w:rFonts w:hint="eastAsia"/>
        </w:rPr>
        <w:t>长和社会经济迅速发展，用水需求与日俱增，地下水超采现象日益严重，许多地区已经出现地下水枯竭的现象</w:t>
      </w:r>
      <w:r>
        <w:rPr>
          <w:rFonts w:cs="Times New Roman"/>
          <w:kern w:val="0"/>
          <w:vertAlign w:val="superscript"/>
        </w:rPr>
        <w:t>[3</w:t>
      </w:r>
      <w:r>
        <w:rPr>
          <w:rFonts w:hint="eastAsia" w:cs="Times New Roman"/>
          <w:kern w:val="0"/>
          <w:vertAlign w:val="superscript"/>
        </w:rPr>
        <w:t>-</w:t>
      </w:r>
      <w:r>
        <w:rPr>
          <w:rFonts w:cs="Times New Roman"/>
          <w:kern w:val="0"/>
          <w:vertAlign w:val="superscript"/>
        </w:rPr>
        <w:t>4]</w:t>
      </w:r>
      <w:r>
        <w:t>。</w:t>
      </w:r>
      <w:r>
        <w:rPr>
          <w:rFonts w:hint="eastAsia"/>
        </w:rPr>
        <w:t>因此，有效地</w:t>
      </w:r>
      <w:bookmarkStart w:id="3" w:name="OLE_LINK32"/>
      <w:r>
        <w:rPr>
          <w:rFonts w:hint="eastAsia"/>
        </w:rPr>
        <w:t>监测地下水储量动态变化</w:t>
      </w:r>
      <w:bookmarkEnd w:id="3"/>
      <w:r>
        <w:rPr>
          <w:rFonts w:hint="eastAsia"/>
        </w:rPr>
        <w:t>情况，有利于优化地下水资源的开发与保护，对维护生态环境、保障社会经济可持续发展具有重要意义</w:t>
      </w:r>
      <w:r>
        <w:t>。</w:t>
      </w:r>
    </w:p>
    <w:p w14:paraId="672E3F3E">
      <w:pPr>
        <w:ind w:firstLine="420"/>
      </w:pPr>
      <w:bookmarkStart w:id="4" w:name="OLE_LINK22"/>
      <w:r>
        <w:t>地下水变化一般通过地下水观测井进行监测</w:t>
      </w:r>
      <w:r>
        <w:rPr>
          <w:rFonts w:hint="eastAsia"/>
        </w:rPr>
        <w:t>。由于地下水井布设维护耗时耗力、监测井密度、监测范围有限，往往难以充分反映流域尺度地下水时空变化情况</w:t>
      </w:r>
      <w:r>
        <w:rPr>
          <w:rFonts w:cs="Times New Roman"/>
          <w:kern w:val="0"/>
          <w:vertAlign w:val="superscript"/>
        </w:rPr>
        <w:t>[5</w:t>
      </w:r>
      <w:r>
        <w:rPr>
          <w:rFonts w:hint="eastAsia" w:cs="Times New Roman"/>
          <w:kern w:val="0"/>
          <w:vertAlign w:val="superscript"/>
        </w:rPr>
        <w:t>-</w:t>
      </w:r>
      <w:r>
        <w:rPr>
          <w:rFonts w:cs="Times New Roman"/>
          <w:kern w:val="0"/>
          <w:vertAlign w:val="superscript"/>
        </w:rPr>
        <w:t>6]</w:t>
      </w:r>
      <w:r>
        <w:rPr>
          <w:rFonts w:hint="eastAsia"/>
        </w:rPr>
        <w:t>。2002年和2018年，由美国航空航天局和德国航空航天中心共同发射的</w:t>
      </w:r>
      <w:bookmarkStart w:id="5" w:name="_Hlk193565612"/>
      <w:r>
        <w:rPr>
          <w:rFonts w:hint="eastAsia"/>
        </w:rPr>
        <w:t>重力场恢复与气候实验</w:t>
      </w:r>
      <w:bookmarkEnd w:id="5"/>
      <w:r>
        <w:rPr>
          <w:rFonts w:hint="eastAsia"/>
        </w:rPr>
        <w:t xml:space="preserve"> (Gravity Recovery and Climate Experiment，GRACE)及后续卫星GRACE Follow-On (GRACE-FO)为大尺度监测陆地水储量变化(Total Water Storage Anomalies，TWSA)提供了有效途径。GRACE与GRACE-FO均通过双卫星系统监测地球重力场变化，反演陆地水储量异常。GRACE-FO填补了GRACE终止后的数据空白，且在原有GRACE设计的基础上搭载激光干涉测距仪，提高了卫星之间距离测量的精度，可以更精确地捕捉到重力场的微小变化</w:t>
      </w:r>
      <w:bookmarkStart w:id="6" w:name="OLE_LINK34"/>
      <w:r>
        <w:rPr>
          <w:rFonts w:cs="Times New Roman"/>
          <w:kern w:val="0"/>
          <w:vertAlign w:val="superscript"/>
        </w:rPr>
        <w:t>[7–9]</w:t>
      </w:r>
      <w:bookmarkEnd w:id="6"/>
      <w:r>
        <w:rPr>
          <w:rFonts w:hint="eastAsia"/>
        </w:rPr>
        <w:t>。</w:t>
      </w:r>
      <w:bookmarkStart w:id="7" w:name="_Hlk207959290"/>
      <w:r>
        <w:rPr>
          <w:rFonts w:hint="eastAsia"/>
        </w:rPr>
        <w:t>从</w:t>
      </w:r>
      <w:bookmarkEnd w:id="4"/>
      <w:r>
        <w:rPr>
          <w:rFonts w:hint="eastAsia"/>
        </w:rPr>
        <w:t xml:space="preserve"> GRACE/GRACE-FO反演陆地水储量变化中扣除水文模型模拟得到的由雪水当量、湖库蓄水量、径流、冠层含水量等指标变化组成的地表水储量变化和土壤含水量变化，可以分离出地下水储量变化</w:t>
      </w:r>
      <w:bookmarkStart w:id="8" w:name="_Hlk193565112"/>
      <w:r>
        <w:rPr>
          <w:rFonts w:hint="eastAsia"/>
        </w:rPr>
        <w:t>(Groundwater Storage Anomalies，GWSA)</w:t>
      </w:r>
      <w:bookmarkEnd w:id="8"/>
      <w:r>
        <w:rPr>
          <w:rFonts w:hint="eastAsia"/>
        </w:rPr>
        <w:t>信息</w:t>
      </w:r>
      <w:r>
        <w:rPr>
          <w:rFonts w:cs="Times New Roman"/>
          <w:kern w:val="0"/>
          <w:vertAlign w:val="superscript"/>
        </w:rPr>
        <w:t>[10–12]</w:t>
      </w:r>
      <w:r>
        <w:rPr>
          <w:rFonts w:hint="eastAsia"/>
        </w:rPr>
        <w:t>。</w:t>
      </w:r>
      <w:bookmarkEnd w:id="7"/>
      <w:r>
        <w:rPr>
          <w:rFonts w:hint="eastAsia"/>
        </w:rPr>
        <w:t>近年来， GRACE/GRACE-FO在全球多个地区成功探测到地下水超采和持续地下水储量减少，如印度</w:t>
      </w:r>
      <w:r>
        <w:rPr>
          <w:rFonts w:cs="Times New Roman"/>
          <w:kern w:val="0"/>
          <w:vertAlign w:val="superscript"/>
        </w:rPr>
        <w:t>[12–14]</w:t>
      </w:r>
      <w:r>
        <w:rPr>
          <w:rFonts w:hint="eastAsia"/>
        </w:rPr>
        <w:t>、美国加利福尼亚州中央山谷</w:t>
      </w:r>
      <w:r>
        <w:rPr>
          <w:rFonts w:cs="Times New Roman"/>
          <w:kern w:val="0"/>
          <w:vertAlign w:val="superscript"/>
        </w:rPr>
        <w:t>[11,15–17]</w:t>
      </w:r>
      <w:r>
        <w:rPr>
          <w:rFonts w:hint="eastAsia"/>
        </w:rPr>
        <w:t>、</w:t>
      </w:r>
      <w:r>
        <w:t>中东地区</w:t>
      </w:r>
      <w:r>
        <w:rPr>
          <w:rFonts w:cs="Times New Roman"/>
          <w:kern w:val="0"/>
          <w:vertAlign w:val="superscript"/>
        </w:rPr>
        <w:t>[18</w:t>
      </w:r>
      <w:r>
        <w:rPr>
          <w:rFonts w:hint="eastAsia" w:cs="Times New Roman"/>
          <w:kern w:val="0"/>
          <w:vertAlign w:val="superscript"/>
        </w:rPr>
        <w:t>-</w:t>
      </w:r>
      <w:r>
        <w:rPr>
          <w:rFonts w:cs="Times New Roman"/>
          <w:kern w:val="0"/>
          <w:vertAlign w:val="superscript"/>
        </w:rPr>
        <w:t>19]</w:t>
      </w:r>
      <w:r>
        <w:rPr>
          <w:rFonts w:hint="eastAsia"/>
        </w:rPr>
        <w:t>、华北平原</w:t>
      </w:r>
      <w:r>
        <w:rPr>
          <w:rFonts w:cs="Times New Roman"/>
          <w:kern w:val="0"/>
          <w:vertAlign w:val="superscript"/>
        </w:rPr>
        <w:t>[20–23]</w:t>
      </w:r>
      <w:r>
        <w:rPr>
          <w:rFonts w:hint="eastAsia"/>
        </w:rPr>
        <w:t>、黄淮海流域</w:t>
      </w:r>
      <w:r>
        <w:rPr>
          <w:rFonts w:cs="Times New Roman"/>
          <w:kern w:val="0"/>
          <w:vertAlign w:val="superscript"/>
        </w:rPr>
        <w:t>[1,24]</w:t>
      </w:r>
      <w:r>
        <w:rPr>
          <w:rFonts w:hint="eastAsia"/>
        </w:rPr>
        <w:t>等。</w:t>
      </w:r>
      <w:bookmarkStart w:id="9" w:name="_Hlk207958027"/>
      <w:r>
        <w:rPr>
          <w:rFonts w:hint="eastAsia"/>
        </w:rPr>
        <w:t>由于美国国家航空和宇宙航行局喷气推进实验室</w:t>
      </w:r>
      <w:bookmarkStart w:id="10" w:name="OLE_LINK23"/>
      <w:r>
        <w:rPr>
          <w:rFonts w:hint="eastAsia"/>
        </w:rPr>
        <w:t>(Jet Propulsion Laboratory，JPL</w:t>
      </w:r>
      <w:bookmarkEnd w:id="10"/>
      <w:r>
        <w:rPr>
          <w:rFonts w:hint="eastAsia"/>
        </w:rPr>
        <w:t>)、美国得克萨斯大学空间研究中心(Center for Space Research，CSR)、美国国家航空航天局(NASA)戈达德宇宙飞行中心(Goddard Space Flight Center，GSFC)等不同机构在处理 GRACE/GRACE-FO 重力卫星原始观测数据时</w:t>
      </w:r>
      <w:r>
        <w:t>，</w:t>
      </w:r>
      <w:r>
        <w:rPr>
          <w:rFonts w:hint="eastAsia"/>
        </w:rPr>
        <w:t>所采用的处理策略和计算模型并不完全相同，发布有多种GRACE/GRACE-FO球谐(S</w:t>
      </w:r>
      <w:r>
        <w:t xml:space="preserve">pherical </w:t>
      </w:r>
      <w:r>
        <w:rPr>
          <w:rFonts w:hint="eastAsia"/>
        </w:rPr>
        <w:t>H</w:t>
      </w:r>
      <w:r>
        <w:t>armonic</w:t>
      </w:r>
      <w:r>
        <w:rPr>
          <w:rFonts w:hint="eastAsia"/>
        </w:rPr>
        <w:t>，SH)系数或 Mascon 产品获取的陆地水储量变化产品</w:t>
      </w:r>
      <w:r>
        <w:rPr>
          <w:rFonts w:cs="Times New Roman"/>
          <w:kern w:val="0"/>
          <w:vertAlign w:val="superscript"/>
        </w:rPr>
        <w:t>[25</w:t>
      </w:r>
      <w:r>
        <w:rPr>
          <w:rFonts w:hint="eastAsia" w:cs="Times New Roman"/>
          <w:kern w:val="0"/>
          <w:vertAlign w:val="superscript"/>
        </w:rPr>
        <w:t>-</w:t>
      </w:r>
      <w:r>
        <w:rPr>
          <w:rFonts w:cs="Times New Roman"/>
          <w:kern w:val="0"/>
          <w:vertAlign w:val="superscript"/>
        </w:rPr>
        <w:t>26]</w:t>
      </w:r>
      <w:r>
        <w:rPr>
          <w:rFonts w:hint="eastAsia"/>
        </w:rPr>
        <w:t>。此外，由于不同水文模型模拟区域地表水储量变化和土壤水分变化也存在差异</w:t>
      </w:r>
      <w:r>
        <w:rPr>
          <w:rFonts w:cs="Times New Roman"/>
          <w:kern w:val="0"/>
          <w:vertAlign w:val="superscript"/>
        </w:rPr>
        <w:t>[27</w:t>
      </w:r>
      <w:r>
        <w:rPr>
          <w:rFonts w:hint="eastAsia" w:cs="Times New Roman"/>
          <w:kern w:val="0"/>
          <w:vertAlign w:val="superscript"/>
        </w:rPr>
        <w:t>-</w:t>
      </w:r>
      <w:r>
        <w:rPr>
          <w:rFonts w:cs="Times New Roman"/>
          <w:kern w:val="0"/>
          <w:vertAlign w:val="superscript"/>
        </w:rPr>
        <w:t>28]</w:t>
      </w:r>
      <w:r>
        <w:rPr>
          <w:rFonts w:hint="eastAsia"/>
        </w:rPr>
        <w:t>。</w:t>
      </w:r>
      <w:bookmarkStart w:id="11" w:name="OLE_LINK49"/>
      <w:r>
        <w:rPr>
          <w:rFonts w:hint="eastAsia"/>
        </w:rPr>
        <w:t>使得联合GRACE/GRACE-FO产品和水文模型得到的地下水储量变化产品存在明显差异</w:t>
      </w:r>
      <w:bookmarkEnd w:id="11"/>
      <w:r>
        <w:rPr>
          <w:rFonts w:cs="Times New Roman"/>
          <w:kern w:val="0"/>
          <w:vertAlign w:val="superscript"/>
        </w:rPr>
        <w:t>[29]</w:t>
      </w:r>
      <w:r>
        <w:rPr>
          <w:rFonts w:hint="eastAsia"/>
        </w:rPr>
        <w:t>，其适用性也存在显著的区域差异。</w:t>
      </w:r>
      <w:bookmarkEnd w:id="9"/>
      <w:bookmarkStart w:id="12" w:name="_Hlk207958047"/>
      <w:r>
        <w:rPr>
          <w:rFonts w:hint="eastAsia"/>
        </w:rPr>
        <w:t>例如，</w:t>
      </w:r>
      <w:bookmarkStart w:id="13" w:name="_Hlk207983131"/>
      <w:r>
        <w:t>R</w:t>
      </w:r>
      <w:r>
        <w:rPr>
          <w:rFonts w:hint="eastAsia"/>
        </w:rPr>
        <w:t>ATEB</w:t>
      </w:r>
      <w:bookmarkEnd w:id="13"/>
      <w:r>
        <w:rPr>
          <w:rFonts w:hint="eastAsia"/>
        </w:rPr>
        <w:t>等</w:t>
      </w:r>
      <w:r>
        <w:rPr>
          <w:rFonts w:cs="Times New Roman"/>
          <w:kern w:val="0"/>
          <w:vertAlign w:val="superscript"/>
        </w:rPr>
        <w:t>[30]</w:t>
      </w:r>
      <w:r>
        <w:rPr>
          <w:rFonts w:hint="eastAsia"/>
        </w:rPr>
        <w:t>研究发现CSR 与 JPL Mascon TWSA均值结合北美陆面数据同化系统（NLDAS）估计的GWSA产品在美国14个主要含水层的适用性存在显著空间差异；</w:t>
      </w:r>
      <w:r>
        <w:t>S</w:t>
      </w:r>
      <w:r>
        <w:rPr>
          <w:rFonts w:hint="eastAsia"/>
        </w:rPr>
        <w:t>CANLON等</w:t>
      </w:r>
      <w:r>
        <w:rPr>
          <w:rFonts w:cs="Times New Roman"/>
          <w:kern w:val="0"/>
          <w:vertAlign w:val="superscript"/>
        </w:rPr>
        <w:t>[31]</w:t>
      </w:r>
      <w:r>
        <w:rPr>
          <w:rFonts w:hint="eastAsia"/>
        </w:rPr>
        <w:t>证明了CSR、JPL 和GFZ Mascon TWSA均值联合GLDAS-Noah和CLSM模型SWSA均值估计的GWSA在科罗拉多河流域具有适用性；</w:t>
      </w:r>
      <w:r>
        <w:t>Z</w:t>
      </w:r>
      <w:r>
        <w:rPr>
          <w:rFonts w:hint="eastAsia"/>
        </w:rPr>
        <w:t>HANG等</w:t>
      </w:r>
      <w:r>
        <w:rPr>
          <w:rFonts w:cs="Times New Roman"/>
          <w:kern w:val="0"/>
          <w:vertAlign w:val="superscript"/>
        </w:rPr>
        <w:t>[32]</w:t>
      </w:r>
      <w:r>
        <w:rPr>
          <w:rFonts w:hint="eastAsia"/>
        </w:rPr>
        <w:t>利用5种GRACE 产品与5种水文模型计算得到不同GWSA产品，通过与实测地下水位变化比较，发现</w:t>
      </w:r>
      <w:r>
        <w:t>JPL Mascon 产品结合 GLDAS Noah V2.1 得出的 GWS</w:t>
      </w:r>
      <w:r>
        <w:rPr>
          <w:rFonts w:hint="eastAsia"/>
        </w:rPr>
        <w:t>A在我国适用性最优，此外，</w:t>
      </w:r>
      <w:r>
        <w:t>S</w:t>
      </w:r>
      <w:r>
        <w:rPr>
          <w:rFonts w:hint="eastAsia"/>
        </w:rPr>
        <w:t>OKNETH等</w:t>
      </w:r>
      <w:r>
        <w:rPr>
          <w:rFonts w:cs="Times New Roman"/>
          <w:kern w:val="0"/>
          <w:vertAlign w:val="superscript"/>
        </w:rPr>
        <w:t>[33]</w:t>
      </w:r>
      <w:r>
        <w:rPr>
          <w:rFonts w:hint="eastAsia"/>
        </w:rPr>
        <w:t>证明了该GWSA产品在柬埔寨也适用；AKL等</w:t>
      </w:r>
      <w:r>
        <w:rPr>
          <w:rFonts w:cs="Times New Roman"/>
          <w:kern w:val="0"/>
          <w:vertAlign w:val="superscript"/>
        </w:rPr>
        <w:t>[29]</w:t>
      </w:r>
      <w:r>
        <w:rPr>
          <w:rFonts w:hint="eastAsia"/>
        </w:rPr>
        <w:t>发现5种GRACE 产品与5种水文模型计算得到的不同GWSA产品在红-萨斯喀彻温流域适用性最佳，在渥太华的适用性最差。</w:t>
      </w:r>
      <w:bookmarkEnd w:id="12"/>
      <w:r>
        <w:rPr>
          <w:rFonts w:hint="eastAsia"/>
        </w:rPr>
        <w:t>因此，评价不同地下水储量变化产品的适用性对开展地下水储量时空变化分析研究至关重要。</w:t>
      </w:r>
    </w:p>
    <w:p w14:paraId="743D1CF0">
      <w:pPr>
        <w:pStyle w:val="41"/>
        <w:rPr>
          <w:rFonts w:cs="Times New Roman"/>
        </w:rPr>
      </w:pPr>
      <w:r>
        <w:rPr>
          <w:rFonts w:hint="eastAsia"/>
        </w:rPr>
        <w:t>目前地下水储量变化产品适用性评价主要以地下水井观测水位数据为实测值，通过计算地下水储量变化和地下水井观测水位变化两个时间序列之间的相关系数，评价不同地下水储量变化反演产品的适用性</w:t>
      </w:r>
      <w:r>
        <w:rPr>
          <w:rFonts w:cs="Times New Roman"/>
          <w:kern w:val="0"/>
          <w:vertAlign w:val="superscript"/>
        </w:rPr>
        <w:t>[26,29–34]</w:t>
      </w:r>
      <w:bookmarkStart w:id="14" w:name="_Hlk181650641"/>
      <w:r>
        <w:rPr>
          <w:rFonts w:hint="eastAsia"/>
        </w:rPr>
        <w:t>。但相关系数主要是表征2个时间序列之间的趋势一致性</w:t>
      </w:r>
      <w:r>
        <w:rPr>
          <w:rFonts w:cs="Times New Roman"/>
          <w:kern w:val="0"/>
          <w:vertAlign w:val="superscript"/>
        </w:rPr>
        <w:t>[35]</w:t>
      </w:r>
      <w:r>
        <w:rPr>
          <w:rFonts w:hint="eastAsia"/>
        </w:rPr>
        <w:t>，</w:t>
      </w:r>
      <w:bookmarkEnd w:id="14"/>
      <w:r>
        <w:rPr>
          <w:rFonts w:hint="eastAsia"/>
        </w:rPr>
        <w:t>而地下水储量变化往往呈现出一定的年内周期性变化特征，仅利用相关系数评价地下水储量变化反演产品的适用性忽略了地下水储量变化反演产品表征地下水年内周期性变化（相位和幅度）特征的能力，适用性评价不够全面准确。GRACE/GRACE-FO产品包括球谐系数(SH)产品和Mascon产品。与SH解相比，GRACE Mascon更好地处理质量泄漏问题，有利于研究区域质量变化</w:t>
      </w:r>
      <w:r>
        <w:rPr>
          <w:rFonts w:cs="Times New Roman"/>
          <w:kern w:val="0"/>
          <w:vertAlign w:val="superscript"/>
        </w:rPr>
        <w:t>[1,25,36]</w:t>
      </w:r>
      <w:r>
        <w:rPr>
          <w:rFonts w:hint="eastAsia"/>
        </w:rPr>
        <w:t>。此外，JPL、CSR、GSFC三家机构发布的Mascon产品中，现有研究表明JPL Mascon在我国地下水储量变化监测中适用性最佳</w:t>
      </w:r>
      <w:r>
        <w:rPr>
          <w:rFonts w:cs="Times New Roman"/>
          <w:kern w:val="0"/>
          <w:vertAlign w:val="superscript"/>
        </w:rPr>
        <w:t>[32,37]</w:t>
      </w:r>
      <w:r>
        <w:rPr>
          <w:rFonts w:hint="eastAsia"/>
        </w:rPr>
        <w:t>。因此，本文基于JPL Mascon产品组合不同水文模型反演的地下水储量变化产品，分别从趋势、相位、幅度等三个维度衡量其与实测地下水位时间序列的一致性，并</w:t>
      </w:r>
      <w:r>
        <w:t>提出一</w:t>
      </w:r>
      <w:r>
        <w:rPr>
          <w:rFonts w:hint="eastAsia"/>
        </w:rPr>
        <w:t>种</w:t>
      </w:r>
      <w:r>
        <w:t>集成</w:t>
      </w:r>
      <w:r>
        <w:rPr>
          <w:rFonts w:hint="eastAsia"/>
        </w:rPr>
        <w:t>三</w:t>
      </w:r>
      <w:r>
        <w:t>种</w:t>
      </w:r>
      <w:r>
        <w:rPr>
          <w:rFonts w:hint="eastAsia"/>
        </w:rPr>
        <w:t>时间序列一致性</w:t>
      </w:r>
      <w:r>
        <w:t>指标的</w:t>
      </w:r>
      <w:r>
        <w:rPr>
          <w:rFonts w:hint="eastAsia"/>
        </w:rPr>
        <w:t>地下水储量变化适用性</w:t>
      </w:r>
      <w:r>
        <w:t>指数，以期客观、快速</w:t>
      </w:r>
      <w:r>
        <w:rPr>
          <w:rFonts w:hint="eastAsia"/>
        </w:rPr>
        <w:t>、全面</w:t>
      </w:r>
      <w:r>
        <w:t>地评测</w:t>
      </w:r>
      <w:r>
        <w:rPr>
          <w:rFonts w:hint="eastAsia"/>
        </w:rPr>
        <w:t>不同地下水储量变化产品的适用性</w:t>
      </w:r>
      <w:r>
        <w:t>。</w:t>
      </w:r>
      <w:bookmarkEnd w:id="2"/>
    </w:p>
    <w:p w14:paraId="678C2736">
      <w:pPr>
        <w:pStyle w:val="2"/>
        <w:rPr>
          <w:rFonts w:cs="Times New Roman"/>
        </w:rPr>
      </w:pPr>
      <w:r>
        <w:rPr>
          <w:rFonts w:cs="Times New Roman"/>
        </w:rPr>
        <w:t xml:space="preserve">1 </w:t>
      </w:r>
      <w:r>
        <w:rPr>
          <w:rFonts w:hint="eastAsia" w:cs="Times New Roman"/>
        </w:rPr>
        <w:t>研究区域与数据来源</w:t>
      </w:r>
    </w:p>
    <w:p w14:paraId="06C91E8F">
      <w:pPr>
        <w:pStyle w:val="3"/>
      </w:pPr>
      <w:r>
        <w:t xml:space="preserve">1.1 </w:t>
      </w:r>
      <w:r>
        <w:rPr>
          <w:rFonts w:hint="eastAsia"/>
        </w:rPr>
        <w:t>研究区概况</w:t>
      </w:r>
    </w:p>
    <w:p w14:paraId="6CA6028D">
      <w:pPr>
        <w:ind w:firstLine="420"/>
      </w:pPr>
      <w:r>
        <w:rPr>
          <w:rFonts w:hint="eastAsia"/>
        </w:rPr>
        <w:t>本文从全国尺度、一级流域及子流域尺度开展不同地下水储量变化产品在我国的适用性评价</w:t>
      </w:r>
      <w:r>
        <w:t>。为了更好地研究</w:t>
      </w:r>
      <w:r>
        <w:rPr>
          <w:rFonts w:hint="eastAsia"/>
        </w:rPr>
        <w:t>不同GWSA产品在我</w:t>
      </w:r>
      <w:r>
        <w:t>国不同</w:t>
      </w:r>
      <w:r>
        <w:rPr>
          <w:rFonts w:hint="eastAsia"/>
        </w:rPr>
        <w:t>流</w:t>
      </w:r>
      <w:r>
        <w:t>域</w:t>
      </w:r>
      <w:r>
        <w:rPr>
          <w:rFonts w:hint="eastAsia"/>
        </w:rPr>
        <w:t>的适用性</w:t>
      </w:r>
      <w:r>
        <w:t>，</w:t>
      </w:r>
      <w:r>
        <w:rPr>
          <w:rFonts w:hint="eastAsia"/>
        </w:rPr>
        <w:t>本文使用国家地球系统科学数据中心的1：250000尺度流域分类数据集</w:t>
      </w:r>
      <w:r>
        <w:t>(http://www.geodata.cn)</w:t>
      </w:r>
      <w:r>
        <w:rPr>
          <w:rFonts w:hint="eastAsia"/>
        </w:rPr>
        <w:t xml:space="preserve"> 将我国划分为10个流域（见图1），包括松嫩流域（a）、辽河流域（b）、海河流域（c）、黄河流域（d）、淮河流域（e）、长江流域（f）、东南诸河流域（g）、珠江流域（h）、西南诸河流域（i）与内陆河流域（j），分流域进行评价。为了更加精细地评估不同GWSA产品的适用性，本文根据地下水监测井分布情况，选取了19个</w:t>
      </w:r>
      <w:bookmarkStart w:id="15" w:name="OLE_LINK17"/>
      <w:r>
        <w:rPr>
          <w:rFonts w:hint="eastAsia"/>
        </w:rPr>
        <w:t>地下水监测井分布密集的子流域</w:t>
      </w:r>
      <w:bookmarkEnd w:id="15"/>
      <w:r>
        <w:rPr>
          <w:rFonts w:hint="eastAsia"/>
        </w:rPr>
        <w:t>进行GWSA产品适用性评估，针对地下水监测数据相对匮乏的西南诸河流域与内陆河流域，根据监测井分布范围和密集程度，选取了拉孜至派乡流域、天山北麓诸河流域、黑河流域和石羊河流域，其中拉孜至派乡流域和石羊河流域为3级流域，以减少二级流域范围过大导致的统计偏差。为确保每个评价像元内实测地下水位数据的空间代表性，每个评价像元至少有三个地下水监测井。由于地下水监测井主要集中在平原，所以本文研究区域不包含山区。子流域地理位置、面积、流域等级、气候类型等（见图1和表1）。</w:t>
      </w:r>
    </w:p>
    <w:p w14:paraId="37BCDAAD">
      <w:pPr>
        <w:ind w:firstLine="0" w:firstLineChars="0"/>
        <w:jc w:val="center"/>
      </w:pPr>
      <w:r>
        <w:drawing>
          <wp:inline distT="0" distB="0" distL="0" distR="0">
            <wp:extent cx="5273675" cy="3555365"/>
            <wp:effectExtent l="0" t="0" r="3175" b="6985"/>
            <wp:docPr id="756502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245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26762" t="27428" r="28128" b="24103"/>
                    <a:stretch>
                      <a:fillRect/>
                    </a:stretch>
                  </pic:blipFill>
                  <pic:spPr>
                    <a:xfrm>
                      <a:off x="0" y="0"/>
                      <a:ext cx="5274000" cy="3555859"/>
                    </a:xfrm>
                    <a:prstGeom prst="rect">
                      <a:avLst/>
                    </a:prstGeom>
                    <a:noFill/>
                    <a:ln>
                      <a:noFill/>
                    </a:ln>
                  </pic:spPr>
                </pic:pic>
              </a:graphicData>
            </a:graphic>
          </wp:inline>
        </w:drawing>
      </w:r>
    </w:p>
    <w:p w14:paraId="631DF7A3">
      <w:pPr>
        <w:ind w:firstLine="0" w:firstLineChars="0"/>
        <w:jc w:val="center"/>
        <w:rPr>
          <w:rFonts w:eastAsia="黑体" w:cs="Times New Roman"/>
          <w:sz w:val="18"/>
          <w:szCs w:val="18"/>
        </w:rPr>
      </w:pPr>
      <w:r>
        <w:rPr>
          <w:rFonts w:hint="eastAsia" w:eastAsia="黑体" w:cs="Times New Roman"/>
          <w:sz w:val="18"/>
          <w:szCs w:val="18"/>
        </w:rPr>
        <w:t>(该图基于自然资源部标准地图服务网站下载的审图号为GS(2016)1569号的标准地图制作，底图无修改)</w:t>
      </w:r>
    </w:p>
    <w:p w14:paraId="0FB20B6C">
      <w:pPr>
        <w:ind w:firstLine="0" w:firstLineChars="0"/>
        <w:jc w:val="center"/>
        <w:rPr>
          <w:rFonts w:eastAsia="黑体" w:cs="Times New Roman"/>
          <w:sz w:val="18"/>
          <w:szCs w:val="18"/>
        </w:rPr>
      </w:pPr>
      <w:r>
        <w:rPr>
          <w:rFonts w:hint="eastAsia" w:eastAsia="黑体" w:cs="Times New Roman"/>
          <w:sz w:val="18"/>
          <w:szCs w:val="18"/>
        </w:rPr>
        <w:t>图1 研究区域及地下水监测井分布</w:t>
      </w:r>
    </w:p>
    <w:p w14:paraId="3C6CF498">
      <w:pPr>
        <w:ind w:firstLine="0" w:firstLineChars="0"/>
        <w:jc w:val="center"/>
        <w:rPr>
          <w:rFonts w:eastAsia="黑体" w:cs="Times New Roman"/>
          <w:bCs/>
          <w:sz w:val="18"/>
          <w:szCs w:val="18"/>
        </w:rPr>
      </w:pPr>
      <w:bookmarkStart w:id="16" w:name="OLE_LINK8"/>
      <w:r>
        <w:rPr>
          <w:rFonts w:eastAsia="黑体" w:cs="Times New Roman"/>
          <w:bCs/>
          <w:sz w:val="18"/>
          <w:szCs w:val="18"/>
        </w:rPr>
        <w:t>Fig.1 Study area and distribution of groundwater monitoring wells</w:t>
      </w:r>
    </w:p>
    <w:bookmarkEnd w:id="16"/>
    <w:p w14:paraId="3AF03433">
      <w:pPr>
        <w:keepNext/>
        <w:keepLines/>
        <w:ind w:firstLine="0" w:firstLineChars="0"/>
        <w:jc w:val="center"/>
        <w:rPr>
          <w:rFonts w:eastAsia="黑体" w:cs="Times New Roman"/>
          <w:sz w:val="18"/>
          <w:szCs w:val="18"/>
        </w:rPr>
      </w:pPr>
      <w:r>
        <w:rPr>
          <w:rFonts w:eastAsia="黑体" w:cs="Times New Roman"/>
          <w:sz w:val="18"/>
          <w:szCs w:val="18"/>
        </w:rPr>
        <w:t xml:space="preserve">表1 </w:t>
      </w:r>
      <w:r>
        <w:rPr>
          <w:rFonts w:hint="eastAsia" w:eastAsia="黑体" w:cs="Times New Roman"/>
          <w:sz w:val="18"/>
          <w:szCs w:val="18"/>
        </w:rPr>
        <w:t>评价区概况</w:t>
      </w:r>
    </w:p>
    <w:p w14:paraId="2C0F5F39">
      <w:pPr>
        <w:keepNext/>
        <w:keepLines/>
        <w:ind w:firstLine="0" w:firstLineChars="0"/>
        <w:jc w:val="center"/>
        <w:rPr>
          <w:rFonts w:eastAsia="黑体" w:cs="Times New Roman"/>
          <w:sz w:val="18"/>
          <w:szCs w:val="18"/>
        </w:rPr>
      </w:pPr>
      <w:r>
        <w:rPr>
          <w:rFonts w:eastAsia="黑体" w:cs="Times New Roman"/>
          <w:sz w:val="18"/>
          <w:szCs w:val="18"/>
        </w:rPr>
        <w:t>Table 1</w:t>
      </w:r>
      <w:r>
        <w:rPr>
          <w:rFonts w:hint="eastAsia" w:eastAsia="黑体" w:cs="Times New Roman"/>
          <w:sz w:val="18"/>
          <w:szCs w:val="18"/>
        </w:rPr>
        <w:t xml:space="preserve"> Overview of e</w:t>
      </w:r>
      <w:r>
        <w:rPr>
          <w:rFonts w:eastAsia="黑体" w:cs="Times New Roman"/>
          <w:sz w:val="18"/>
          <w:szCs w:val="18"/>
        </w:rPr>
        <w:t xml:space="preserve">valuation </w:t>
      </w:r>
      <w:r>
        <w:rPr>
          <w:rFonts w:hint="eastAsia" w:eastAsia="黑体" w:cs="Times New Roman"/>
          <w:sz w:val="18"/>
          <w:szCs w:val="18"/>
        </w:rPr>
        <w:t>a</w:t>
      </w:r>
      <w:r>
        <w:rPr>
          <w:rFonts w:eastAsia="黑体" w:cs="Times New Roman"/>
          <w:sz w:val="18"/>
          <w:szCs w:val="18"/>
        </w:rPr>
        <w:t>rea</w:t>
      </w:r>
      <w:r>
        <w:rPr>
          <w:rFonts w:hint="eastAsia" w:eastAsia="黑体" w:cs="Times New Roman"/>
          <w:sz w:val="18"/>
          <w:szCs w:val="18"/>
        </w:rPr>
        <w:t>s</w:t>
      </w:r>
    </w:p>
    <w:tbl>
      <w:tblPr>
        <w:tblStyle w:val="14"/>
        <w:tblW w:w="5000" w:type="pct"/>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2"/>
        <w:gridCol w:w="1323"/>
        <w:gridCol w:w="1186"/>
        <w:gridCol w:w="1728"/>
        <w:gridCol w:w="968"/>
        <w:gridCol w:w="1323"/>
        <w:gridCol w:w="1382"/>
      </w:tblGrid>
      <w:tr w14:paraId="1DF5C08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single" w:color="auto" w:sz="12" w:space="0"/>
              <w:bottom w:val="single" w:color="auto" w:sz="12" w:space="0"/>
            </w:tcBorders>
          </w:tcPr>
          <w:p w14:paraId="64C4C74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编号</w:t>
            </w:r>
          </w:p>
        </w:tc>
        <w:tc>
          <w:tcPr>
            <w:tcW w:w="776" w:type="pct"/>
            <w:tcBorders>
              <w:top w:val="single" w:color="auto" w:sz="12" w:space="0"/>
              <w:bottom w:val="single" w:color="auto" w:sz="12" w:space="0"/>
            </w:tcBorders>
          </w:tcPr>
          <w:p w14:paraId="6C1CCF4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流域名称</w:t>
            </w:r>
          </w:p>
        </w:tc>
        <w:tc>
          <w:tcPr>
            <w:tcW w:w="696" w:type="pct"/>
            <w:tcBorders>
              <w:top w:val="single" w:color="auto" w:sz="12" w:space="0"/>
              <w:bottom w:val="single" w:color="auto" w:sz="12" w:space="0"/>
            </w:tcBorders>
          </w:tcPr>
          <w:p w14:paraId="28486EE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面积/10</w:t>
            </w:r>
            <w:r>
              <w:rPr>
                <w:rFonts w:hint="eastAsia" w:cs="Arial"/>
                <w:kern w:val="0"/>
                <w:sz w:val="15"/>
                <w:szCs w:val="20"/>
                <w:vertAlign w:val="superscript"/>
                <w:lang w:val="zh-CN"/>
              </w:rPr>
              <w:t>4</w:t>
            </w:r>
            <w:r>
              <w:rPr>
                <w:rFonts w:hint="eastAsia" w:cs="Arial"/>
                <w:kern w:val="0"/>
                <w:sz w:val="15"/>
                <w:szCs w:val="20"/>
                <w:lang w:val="zh-CN"/>
              </w:rPr>
              <w:t>km</w:t>
            </w:r>
            <w:r>
              <w:rPr>
                <w:rFonts w:hint="eastAsia" w:cs="Arial"/>
                <w:kern w:val="0"/>
                <w:sz w:val="15"/>
                <w:szCs w:val="20"/>
                <w:vertAlign w:val="superscript"/>
                <w:lang w:val="zh-CN"/>
              </w:rPr>
              <w:t>2</w:t>
            </w:r>
          </w:p>
        </w:tc>
        <w:tc>
          <w:tcPr>
            <w:tcW w:w="1014" w:type="pct"/>
            <w:tcBorders>
              <w:top w:val="single" w:color="auto" w:sz="12" w:space="0"/>
              <w:bottom w:val="single" w:color="auto" w:sz="12" w:space="0"/>
            </w:tcBorders>
          </w:tcPr>
          <w:p w14:paraId="7DD41A1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地下水监测井数量</w:t>
            </w:r>
          </w:p>
        </w:tc>
        <w:tc>
          <w:tcPr>
            <w:tcW w:w="568" w:type="pct"/>
            <w:tcBorders>
              <w:top w:val="single" w:color="auto" w:sz="12" w:space="0"/>
              <w:bottom w:val="single" w:color="auto" w:sz="12" w:space="0"/>
            </w:tcBorders>
          </w:tcPr>
          <w:p w14:paraId="4CF9D3B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流域等级</w:t>
            </w:r>
          </w:p>
        </w:tc>
        <w:tc>
          <w:tcPr>
            <w:tcW w:w="776" w:type="pct"/>
            <w:tcBorders>
              <w:top w:val="single" w:color="auto" w:sz="12" w:space="0"/>
              <w:bottom w:val="single" w:color="auto" w:sz="12" w:space="0"/>
            </w:tcBorders>
          </w:tcPr>
          <w:p w14:paraId="273B50D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所属一级流域</w:t>
            </w:r>
          </w:p>
        </w:tc>
        <w:tc>
          <w:tcPr>
            <w:tcW w:w="811" w:type="pct"/>
            <w:tcBorders>
              <w:top w:val="single" w:color="auto" w:sz="12" w:space="0"/>
              <w:bottom w:val="single" w:color="auto" w:sz="12" w:space="0"/>
            </w:tcBorders>
          </w:tcPr>
          <w:p w14:paraId="299A427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气候类型</w:t>
            </w:r>
          </w:p>
        </w:tc>
      </w:tr>
      <w:tr w14:paraId="590B2F7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single" w:color="auto" w:sz="12" w:space="0"/>
              <w:bottom w:val="nil"/>
            </w:tcBorders>
          </w:tcPr>
          <w:p w14:paraId="77E8C6D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a</w:t>
            </w:r>
          </w:p>
        </w:tc>
        <w:tc>
          <w:tcPr>
            <w:tcW w:w="776" w:type="pct"/>
            <w:tcBorders>
              <w:top w:val="single" w:color="auto" w:sz="12" w:space="0"/>
              <w:bottom w:val="nil"/>
            </w:tcBorders>
          </w:tcPr>
          <w:p w14:paraId="3820722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松嫩流域</w:t>
            </w:r>
          </w:p>
        </w:tc>
        <w:tc>
          <w:tcPr>
            <w:tcW w:w="696" w:type="pct"/>
            <w:tcBorders>
              <w:top w:val="single" w:color="auto" w:sz="12" w:space="0"/>
              <w:bottom w:val="nil"/>
            </w:tcBorders>
            <w:vAlign w:val="center"/>
          </w:tcPr>
          <w:p w14:paraId="4FC92D5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92.16</w:t>
            </w:r>
          </w:p>
        </w:tc>
        <w:tc>
          <w:tcPr>
            <w:tcW w:w="1014" w:type="pct"/>
            <w:tcBorders>
              <w:top w:val="single" w:color="auto" w:sz="12" w:space="0"/>
              <w:bottom w:val="nil"/>
            </w:tcBorders>
            <w:vAlign w:val="center"/>
          </w:tcPr>
          <w:p w14:paraId="73DD729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793</w:t>
            </w:r>
          </w:p>
        </w:tc>
        <w:tc>
          <w:tcPr>
            <w:tcW w:w="568" w:type="pct"/>
            <w:tcBorders>
              <w:top w:val="single" w:color="auto" w:sz="12" w:space="0"/>
              <w:bottom w:val="nil"/>
            </w:tcBorders>
          </w:tcPr>
          <w:p w14:paraId="1182F59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single" w:color="auto" w:sz="12" w:space="0"/>
              <w:bottom w:val="nil"/>
            </w:tcBorders>
          </w:tcPr>
          <w:p w14:paraId="68143B6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single" w:color="auto" w:sz="12" w:space="0"/>
              <w:bottom w:val="nil"/>
            </w:tcBorders>
          </w:tcPr>
          <w:p w14:paraId="6B37DC4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171B5A8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1D27E82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b</w:t>
            </w:r>
          </w:p>
        </w:tc>
        <w:tc>
          <w:tcPr>
            <w:tcW w:w="776" w:type="pct"/>
            <w:tcBorders>
              <w:top w:val="nil"/>
              <w:bottom w:val="nil"/>
            </w:tcBorders>
          </w:tcPr>
          <w:p w14:paraId="1F02F64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辽河流域</w:t>
            </w:r>
          </w:p>
        </w:tc>
        <w:tc>
          <w:tcPr>
            <w:tcW w:w="696" w:type="pct"/>
            <w:tcBorders>
              <w:top w:val="nil"/>
              <w:bottom w:val="nil"/>
            </w:tcBorders>
            <w:vAlign w:val="center"/>
          </w:tcPr>
          <w:p w14:paraId="4FAF5CF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31.45</w:t>
            </w:r>
          </w:p>
        </w:tc>
        <w:tc>
          <w:tcPr>
            <w:tcW w:w="1014" w:type="pct"/>
            <w:tcBorders>
              <w:top w:val="nil"/>
              <w:bottom w:val="nil"/>
            </w:tcBorders>
            <w:vAlign w:val="center"/>
          </w:tcPr>
          <w:p w14:paraId="158E084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476</w:t>
            </w:r>
          </w:p>
        </w:tc>
        <w:tc>
          <w:tcPr>
            <w:tcW w:w="568" w:type="pct"/>
            <w:tcBorders>
              <w:top w:val="nil"/>
              <w:bottom w:val="nil"/>
            </w:tcBorders>
          </w:tcPr>
          <w:p w14:paraId="04E1885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5B38D3B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2E1FDAD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09E0E0D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0F6BA5A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c</w:t>
            </w:r>
          </w:p>
        </w:tc>
        <w:tc>
          <w:tcPr>
            <w:tcW w:w="776" w:type="pct"/>
            <w:tcBorders>
              <w:top w:val="nil"/>
              <w:bottom w:val="nil"/>
            </w:tcBorders>
          </w:tcPr>
          <w:p w14:paraId="2FBF10F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海河流域</w:t>
            </w:r>
          </w:p>
        </w:tc>
        <w:tc>
          <w:tcPr>
            <w:tcW w:w="696" w:type="pct"/>
            <w:tcBorders>
              <w:top w:val="nil"/>
              <w:bottom w:val="nil"/>
            </w:tcBorders>
          </w:tcPr>
          <w:p w14:paraId="4FFAEC5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32.06</w:t>
            </w:r>
          </w:p>
        </w:tc>
        <w:tc>
          <w:tcPr>
            <w:tcW w:w="1014" w:type="pct"/>
            <w:tcBorders>
              <w:top w:val="nil"/>
              <w:bottom w:val="nil"/>
            </w:tcBorders>
          </w:tcPr>
          <w:p w14:paraId="684A5F5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1361</w:t>
            </w:r>
          </w:p>
        </w:tc>
        <w:tc>
          <w:tcPr>
            <w:tcW w:w="568" w:type="pct"/>
            <w:tcBorders>
              <w:top w:val="nil"/>
              <w:bottom w:val="nil"/>
            </w:tcBorders>
          </w:tcPr>
          <w:p w14:paraId="08383EE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70D1395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2592C01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0F7A261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131E7CD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d</w:t>
            </w:r>
          </w:p>
        </w:tc>
        <w:tc>
          <w:tcPr>
            <w:tcW w:w="776" w:type="pct"/>
            <w:tcBorders>
              <w:top w:val="nil"/>
              <w:bottom w:val="nil"/>
            </w:tcBorders>
          </w:tcPr>
          <w:p w14:paraId="13A6EFD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黄河流域</w:t>
            </w:r>
          </w:p>
        </w:tc>
        <w:tc>
          <w:tcPr>
            <w:tcW w:w="696" w:type="pct"/>
            <w:tcBorders>
              <w:top w:val="nil"/>
              <w:bottom w:val="nil"/>
            </w:tcBorders>
          </w:tcPr>
          <w:p w14:paraId="064BA80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79.58</w:t>
            </w:r>
          </w:p>
        </w:tc>
        <w:tc>
          <w:tcPr>
            <w:tcW w:w="1014" w:type="pct"/>
            <w:tcBorders>
              <w:top w:val="nil"/>
              <w:bottom w:val="nil"/>
            </w:tcBorders>
          </w:tcPr>
          <w:p w14:paraId="1F79F2B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1408</w:t>
            </w:r>
          </w:p>
        </w:tc>
        <w:tc>
          <w:tcPr>
            <w:tcW w:w="568" w:type="pct"/>
            <w:tcBorders>
              <w:top w:val="nil"/>
              <w:bottom w:val="nil"/>
            </w:tcBorders>
          </w:tcPr>
          <w:p w14:paraId="2461AFC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52A10F7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07DB9F4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399EA62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5C14C64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e</w:t>
            </w:r>
          </w:p>
        </w:tc>
        <w:tc>
          <w:tcPr>
            <w:tcW w:w="776" w:type="pct"/>
            <w:tcBorders>
              <w:top w:val="nil"/>
              <w:bottom w:val="nil"/>
            </w:tcBorders>
          </w:tcPr>
          <w:p w14:paraId="240878C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淮河流域</w:t>
            </w:r>
          </w:p>
        </w:tc>
        <w:tc>
          <w:tcPr>
            <w:tcW w:w="696" w:type="pct"/>
            <w:tcBorders>
              <w:top w:val="nil"/>
              <w:bottom w:val="nil"/>
            </w:tcBorders>
          </w:tcPr>
          <w:p w14:paraId="740E26F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32.89</w:t>
            </w:r>
          </w:p>
        </w:tc>
        <w:tc>
          <w:tcPr>
            <w:tcW w:w="1014" w:type="pct"/>
            <w:tcBorders>
              <w:top w:val="nil"/>
              <w:bottom w:val="nil"/>
            </w:tcBorders>
          </w:tcPr>
          <w:p w14:paraId="5DFA705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757</w:t>
            </w:r>
          </w:p>
        </w:tc>
        <w:tc>
          <w:tcPr>
            <w:tcW w:w="568" w:type="pct"/>
            <w:tcBorders>
              <w:top w:val="nil"/>
              <w:bottom w:val="nil"/>
            </w:tcBorders>
          </w:tcPr>
          <w:p w14:paraId="6BB43E2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7CC2214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3E82C3C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66FF639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16590AB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f</w:t>
            </w:r>
          </w:p>
        </w:tc>
        <w:tc>
          <w:tcPr>
            <w:tcW w:w="776" w:type="pct"/>
            <w:tcBorders>
              <w:top w:val="nil"/>
              <w:bottom w:val="nil"/>
            </w:tcBorders>
          </w:tcPr>
          <w:p w14:paraId="70FD2BE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696" w:type="pct"/>
            <w:tcBorders>
              <w:top w:val="nil"/>
              <w:bottom w:val="nil"/>
            </w:tcBorders>
          </w:tcPr>
          <w:p w14:paraId="3B8A2EC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178.22</w:t>
            </w:r>
          </w:p>
        </w:tc>
        <w:tc>
          <w:tcPr>
            <w:tcW w:w="1014" w:type="pct"/>
            <w:tcBorders>
              <w:top w:val="nil"/>
              <w:bottom w:val="nil"/>
            </w:tcBorders>
          </w:tcPr>
          <w:p w14:paraId="3F3298A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1286</w:t>
            </w:r>
          </w:p>
        </w:tc>
        <w:tc>
          <w:tcPr>
            <w:tcW w:w="568" w:type="pct"/>
            <w:tcBorders>
              <w:top w:val="nil"/>
              <w:bottom w:val="nil"/>
            </w:tcBorders>
          </w:tcPr>
          <w:p w14:paraId="13166C1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5E3DCE7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0426FE8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7902D76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6E9BD2C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t>
            </w:r>
          </w:p>
        </w:tc>
        <w:tc>
          <w:tcPr>
            <w:tcW w:w="776" w:type="pct"/>
            <w:tcBorders>
              <w:top w:val="nil"/>
              <w:bottom w:val="nil"/>
            </w:tcBorders>
          </w:tcPr>
          <w:p w14:paraId="6AF1BDA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东南诸河流域</w:t>
            </w:r>
          </w:p>
        </w:tc>
        <w:tc>
          <w:tcPr>
            <w:tcW w:w="696" w:type="pct"/>
            <w:tcBorders>
              <w:top w:val="nil"/>
              <w:bottom w:val="nil"/>
            </w:tcBorders>
          </w:tcPr>
          <w:p w14:paraId="5704E99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24.59</w:t>
            </w:r>
          </w:p>
        </w:tc>
        <w:tc>
          <w:tcPr>
            <w:tcW w:w="1014" w:type="pct"/>
            <w:tcBorders>
              <w:top w:val="nil"/>
              <w:bottom w:val="nil"/>
            </w:tcBorders>
          </w:tcPr>
          <w:p w14:paraId="7282E5F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330</w:t>
            </w:r>
          </w:p>
        </w:tc>
        <w:tc>
          <w:tcPr>
            <w:tcW w:w="568" w:type="pct"/>
            <w:tcBorders>
              <w:top w:val="nil"/>
              <w:bottom w:val="nil"/>
            </w:tcBorders>
          </w:tcPr>
          <w:p w14:paraId="22BCAB2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3AFE545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49F5E29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715FA35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D0D8F3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h</w:t>
            </w:r>
          </w:p>
        </w:tc>
        <w:tc>
          <w:tcPr>
            <w:tcW w:w="776" w:type="pct"/>
            <w:tcBorders>
              <w:top w:val="nil"/>
              <w:bottom w:val="nil"/>
            </w:tcBorders>
          </w:tcPr>
          <w:p w14:paraId="0C3CD95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珠江流域</w:t>
            </w:r>
          </w:p>
        </w:tc>
        <w:tc>
          <w:tcPr>
            <w:tcW w:w="696" w:type="pct"/>
            <w:tcBorders>
              <w:top w:val="nil"/>
              <w:bottom w:val="nil"/>
            </w:tcBorders>
          </w:tcPr>
          <w:p w14:paraId="156A079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56.67</w:t>
            </w:r>
          </w:p>
        </w:tc>
        <w:tc>
          <w:tcPr>
            <w:tcW w:w="1014" w:type="pct"/>
            <w:tcBorders>
              <w:top w:val="nil"/>
              <w:bottom w:val="nil"/>
            </w:tcBorders>
          </w:tcPr>
          <w:p w14:paraId="1FB2F04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589</w:t>
            </w:r>
          </w:p>
        </w:tc>
        <w:tc>
          <w:tcPr>
            <w:tcW w:w="568" w:type="pct"/>
            <w:tcBorders>
              <w:top w:val="nil"/>
              <w:bottom w:val="nil"/>
            </w:tcBorders>
          </w:tcPr>
          <w:p w14:paraId="2EB95A6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17CE874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692952F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79E3E0B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D0A3ED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i</w:t>
            </w:r>
          </w:p>
        </w:tc>
        <w:tc>
          <w:tcPr>
            <w:tcW w:w="776" w:type="pct"/>
            <w:tcBorders>
              <w:top w:val="nil"/>
              <w:bottom w:val="nil"/>
            </w:tcBorders>
          </w:tcPr>
          <w:p w14:paraId="0D1A5A5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西南诸河流域</w:t>
            </w:r>
          </w:p>
        </w:tc>
        <w:tc>
          <w:tcPr>
            <w:tcW w:w="696" w:type="pct"/>
            <w:tcBorders>
              <w:top w:val="nil"/>
              <w:bottom w:val="nil"/>
            </w:tcBorders>
          </w:tcPr>
          <w:p w14:paraId="4707613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77.81</w:t>
            </w:r>
          </w:p>
        </w:tc>
        <w:tc>
          <w:tcPr>
            <w:tcW w:w="1014" w:type="pct"/>
            <w:tcBorders>
              <w:top w:val="nil"/>
              <w:bottom w:val="nil"/>
            </w:tcBorders>
          </w:tcPr>
          <w:p w14:paraId="01285C2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147</w:t>
            </w:r>
          </w:p>
        </w:tc>
        <w:tc>
          <w:tcPr>
            <w:tcW w:w="568" w:type="pct"/>
            <w:tcBorders>
              <w:top w:val="nil"/>
              <w:bottom w:val="nil"/>
            </w:tcBorders>
          </w:tcPr>
          <w:p w14:paraId="04635B3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72AE54A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24F22E3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4BDD3EF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3630225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j</w:t>
            </w:r>
          </w:p>
        </w:tc>
        <w:tc>
          <w:tcPr>
            <w:tcW w:w="776" w:type="pct"/>
            <w:tcBorders>
              <w:top w:val="nil"/>
              <w:bottom w:val="nil"/>
            </w:tcBorders>
          </w:tcPr>
          <w:p w14:paraId="6FA36D5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内陆河流域</w:t>
            </w:r>
          </w:p>
        </w:tc>
        <w:tc>
          <w:tcPr>
            <w:tcW w:w="696" w:type="pct"/>
            <w:tcBorders>
              <w:top w:val="nil"/>
              <w:bottom w:val="nil"/>
            </w:tcBorders>
          </w:tcPr>
          <w:p w14:paraId="6BA7038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336.41</w:t>
            </w:r>
          </w:p>
        </w:tc>
        <w:tc>
          <w:tcPr>
            <w:tcW w:w="1014" w:type="pct"/>
            <w:tcBorders>
              <w:top w:val="nil"/>
              <w:bottom w:val="nil"/>
            </w:tcBorders>
          </w:tcPr>
          <w:p w14:paraId="013FAA1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552</w:t>
            </w:r>
          </w:p>
        </w:tc>
        <w:tc>
          <w:tcPr>
            <w:tcW w:w="568" w:type="pct"/>
            <w:tcBorders>
              <w:top w:val="nil"/>
              <w:bottom w:val="nil"/>
            </w:tcBorders>
          </w:tcPr>
          <w:p w14:paraId="026BF51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w:t>
            </w:r>
          </w:p>
        </w:tc>
        <w:tc>
          <w:tcPr>
            <w:tcW w:w="776" w:type="pct"/>
            <w:tcBorders>
              <w:top w:val="nil"/>
              <w:bottom w:val="nil"/>
            </w:tcBorders>
          </w:tcPr>
          <w:p w14:paraId="02A54B1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811" w:type="pct"/>
            <w:tcBorders>
              <w:top w:val="nil"/>
              <w:bottom w:val="nil"/>
            </w:tcBorders>
          </w:tcPr>
          <w:p w14:paraId="1A3DB1D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01421CA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01C4E4F2">
            <w:pPr>
              <w:keepLines/>
              <w:autoSpaceDE w:val="0"/>
              <w:autoSpaceDN w:val="0"/>
              <w:adjustRightInd w:val="0"/>
              <w:ind w:firstLine="0" w:firstLineChars="0"/>
              <w:jc w:val="center"/>
              <w:rPr>
                <w:rFonts w:cs="Arial"/>
                <w:kern w:val="0"/>
                <w:sz w:val="15"/>
                <w:szCs w:val="20"/>
                <w:lang w:val="zh-CN"/>
              </w:rPr>
            </w:pPr>
            <w:bookmarkStart w:id="17" w:name="_Hlk200730084"/>
            <w:r>
              <w:rPr>
                <w:rFonts w:hint="eastAsia" w:cs="Arial"/>
                <w:kern w:val="0"/>
                <w:sz w:val="15"/>
                <w:szCs w:val="20"/>
                <w:lang w:val="zh-CN"/>
              </w:rPr>
              <w:t>1</w:t>
            </w:r>
          </w:p>
        </w:tc>
        <w:tc>
          <w:tcPr>
            <w:tcW w:w="776" w:type="pct"/>
            <w:tcBorders>
              <w:top w:val="nil"/>
              <w:bottom w:val="nil"/>
            </w:tcBorders>
          </w:tcPr>
          <w:p w14:paraId="798FC44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海河北系</w:t>
            </w:r>
          </w:p>
        </w:tc>
        <w:tc>
          <w:tcPr>
            <w:tcW w:w="696" w:type="pct"/>
            <w:tcBorders>
              <w:top w:val="nil"/>
              <w:bottom w:val="nil"/>
            </w:tcBorders>
          </w:tcPr>
          <w:p w14:paraId="1B69794A">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8</w:t>
            </w:r>
            <w:r>
              <w:rPr>
                <w:rFonts w:hint="eastAsia" w:cs="Arial"/>
                <w:kern w:val="0"/>
                <w:sz w:val="15"/>
                <w:szCs w:val="20"/>
                <w:lang w:val="zh-CN"/>
              </w:rPr>
              <w:t>.</w:t>
            </w:r>
            <w:r>
              <w:rPr>
                <w:rFonts w:cs="Arial"/>
                <w:kern w:val="0"/>
                <w:sz w:val="15"/>
                <w:szCs w:val="20"/>
                <w:lang w:val="zh-CN"/>
              </w:rPr>
              <w:t>2</w:t>
            </w:r>
            <w:r>
              <w:rPr>
                <w:rFonts w:hint="eastAsia" w:cs="Arial"/>
                <w:kern w:val="0"/>
                <w:sz w:val="15"/>
                <w:szCs w:val="20"/>
                <w:lang w:val="zh-CN"/>
              </w:rPr>
              <w:t>9</w:t>
            </w:r>
          </w:p>
        </w:tc>
        <w:tc>
          <w:tcPr>
            <w:tcW w:w="1014" w:type="pct"/>
            <w:tcBorders>
              <w:top w:val="nil"/>
              <w:bottom w:val="nil"/>
            </w:tcBorders>
          </w:tcPr>
          <w:p w14:paraId="385EDDC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620</w:t>
            </w:r>
          </w:p>
        </w:tc>
        <w:tc>
          <w:tcPr>
            <w:tcW w:w="568" w:type="pct"/>
            <w:tcBorders>
              <w:top w:val="nil"/>
              <w:bottom w:val="nil"/>
            </w:tcBorders>
          </w:tcPr>
          <w:p w14:paraId="2A6F09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00CFA7B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海河流域</w:t>
            </w:r>
          </w:p>
        </w:tc>
        <w:tc>
          <w:tcPr>
            <w:tcW w:w="811" w:type="pct"/>
            <w:tcBorders>
              <w:top w:val="nil"/>
              <w:bottom w:val="nil"/>
            </w:tcBorders>
          </w:tcPr>
          <w:p w14:paraId="39620AB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半湿润-半干旱</w:t>
            </w:r>
          </w:p>
        </w:tc>
      </w:tr>
      <w:tr w14:paraId="15CED4A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6050D4A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17FB032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海河南系</w:t>
            </w:r>
          </w:p>
        </w:tc>
        <w:tc>
          <w:tcPr>
            <w:tcW w:w="696" w:type="pct"/>
            <w:tcBorders>
              <w:top w:val="nil"/>
              <w:bottom w:val="nil"/>
            </w:tcBorders>
          </w:tcPr>
          <w:p w14:paraId="13B4D77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18.10</w:t>
            </w:r>
          </w:p>
        </w:tc>
        <w:tc>
          <w:tcPr>
            <w:tcW w:w="1014" w:type="pct"/>
            <w:tcBorders>
              <w:top w:val="nil"/>
              <w:bottom w:val="nil"/>
            </w:tcBorders>
          </w:tcPr>
          <w:p w14:paraId="1BBAEA7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858</w:t>
            </w:r>
          </w:p>
        </w:tc>
        <w:tc>
          <w:tcPr>
            <w:tcW w:w="568" w:type="pct"/>
            <w:tcBorders>
              <w:top w:val="nil"/>
              <w:bottom w:val="nil"/>
            </w:tcBorders>
          </w:tcPr>
          <w:p w14:paraId="6CC0AE5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36ED2FC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海河流域</w:t>
            </w:r>
          </w:p>
        </w:tc>
        <w:tc>
          <w:tcPr>
            <w:tcW w:w="811" w:type="pct"/>
            <w:tcBorders>
              <w:top w:val="nil"/>
              <w:bottom w:val="nil"/>
            </w:tcBorders>
          </w:tcPr>
          <w:p w14:paraId="444E959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w:t>
            </w:r>
          </w:p>
        </w:tc>
      </w:tr>
      <w:tr w14:paraId="525B58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3AC1912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w:t>
            </w:r>
          </w:p>
        </w:tc>
        <w:tc>
          <w:tcPr>
            <w:tcW w:w="776" w:type="pct"/>
            <w:tcBorders>
              <w:top w:val="nil"/>
              <w:bottom w:val="nil"/>
            </w:tcBorders>
          </w:tcPr>
          <w:p w14:paraId="2EE9F6E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松花江</w:t>
            </w:r>
          </w:p>
        </w:tc>
        <w:tc>
          <w:tcPr>
            <w:tcW w:w="696" w:type="pct"/>
            <w:tcBorders>
              <w:top w:val="nil"/>
              <w:bottom w:val="nil"/>
            </w:tcBorders>
          </w:tcPr>
          <w:p w14:paraId="60B2F50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26.04</w:t>
            </w:r>
          </w:p>
        </w:tc>
        <w:tc>
          <w:tcPr>
            <w:tcW w:w="1014" w:type="pct"/>
            <w:tcBorders>
              <w:top w:val="nil"/>
              <w:bottom w:val="nil"/>
            </w:tcBorders>
          </w:tcPr>
          <w:p w14:paraId="4C6F155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442</w:t>
            </w:r>
          </w:p>
        </w:tc>
        <w:tc>
          <w:tcPr>
            <w:tcW w:w="568" w:type="pct"/>
            <w:tcBorders>
              <w:top w:val="nil"/>
              <w:bottom w:val="nil"/>
            </w:tcBorders>
          </w:tcPr>
          <w:p w14:paraId="5C917CF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547521C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松嫩流域</w:t>
            </w:r>
          </w:p>
        </w:tc>
        <w:tc>
          <w:tcPr>
            <w:tcW w:w="811" w:type="pct"/>
            <w:tcBorders>
              <w:top w:val="nil"/>
              <w:bottom w:val="nil"/>
            </w:tcBorders>
          </w:tcPr>
          <w:p w14:paraId="2C9E5CD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r>
      <w:tr w14:paraId="2861765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156E586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w:t>
            </w:r>
          </w:p>
        </w:tc>
        <w:tc>
          <w:tcPr>
            <w:tcW w:w="776" w:type="pct"/>
            <w:tcBorders>
              <w:top w:val="nil"/>
              <w:bottom w:val="nil"/>
            </w:tcBorders>
          </w:tcPr>
          <w:p w14:paraId="45415F8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嫩江</w:t>
            </w:r>
          </w:p>
        </w:tc>
        <w:tc>
          <w:tcPr>
            <w:tcW w:w="696" w:type="pct"/>
            <w:tcBorders>
              <w:top w:val="nil"/>
              <w:bottom w:val="nil"/>
            </w:tcBorders>
          </w:tcPr>
          <w:p w14:paraId="77F9784E">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29</w:t>
            </w:r>
            <w:r>
              <w:rPr>
                <w:rFonts w:hint="eastAsia" w:cs="Arial"/>
                <w:kern w:val="0"/>
                <w:sz w:val="15"/>
                <w:szCs w:val="20"/>
                <w:lang w:val="zh-CN"/>
              </w:rPr>
              <w:t>.</w:t>
            </w:r>
            <w:r>
              <w:rPr>
                <w:rFonts w:cs="Arial"/>
                <w:kern w:val="0"/>
                <w:sz w:val="15"/>
                <w:szCs w:val="20"/>
                <w:lang w:val="zh-CN"/>
              </w:rPr>
              <w:t>4</w:t>
            </w:r>
            <w:r>
              <w:rPr>
                <w:rFonts w:hint="eastAsia" w:cs="Arial"/>
                <w:kern w:val="0"/>
                <w:sz w:val="15"/>
                <w:szCs w:val="20"/>
                <w:lang w:val="zh-CN"/>
              </w:rPr>
              <w:t>3</w:t>
            </w:r>
          </w:p>
        </w:tc>
        <w:tc>
          <w:tcPr>
            <w:tcW w:w="1014" w:type="pct"/>
            <w:tcBorders>
              <w:top w:val="nil"/>
              <w:bottom w:val="nil"/>
            </w:tcBorders>
          </w:tcPr>
          <w:p w14:paraId="38893B2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340</w:t>
            </w:r>
          </w:p>
        </w:tc>
        <w:tc>
          <w:tcPr>
            <w:tcW w:w="568" w:type="pct"/>
            <w:tcBorders>
              <w:top w:val="nil"/>
              <w:bottom w:val="nil"/>
            </w:tcBorders>
          </w:tcPr>
          <w:p w14:paraId="03AE1EF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49E658C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松嫩流域</w:t>
            </w:r>
          </w:p>
        </w:tc>
        <w:tc>
          <w:tcPr>
            <w:tcW w:w="811" w:type="pct"/>
            <w:tcBorders>
              <w:top w:val="nil"/>
              <w:bottom w:val="nil"/>
            </w:tcBorders>
          </w:tcPr>
          <w:p w14:paraId="24E9620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r>
      <w:tr w14:paraId="7FD065B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3E04AC8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5</w:t>
            </w:r>
          </w:p>
        </w:tc>
        <w:tc>
          <w:tcPr>
            <w:tcW w:w="776" w:type="pct"/>
            <w:tcBorders>
              <w:top w:val="nil"/>
              <w:bottom w:val="nil"/>
            </w:tcBorders>
          </w:tcPr>
          <w:p w14:paraId="545AE21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西辽河</w:t>
            </w:r>
          </w:p>
        </w:tc>
        <w:tc>
          <w:tcPr>
            <w:tcW w:w="696" w:type="pct"/>
            <w:tcBorders>
              <w:top w:val="nil"/>
              <w:bottom w:val="nil"/>
            </w:tcBorders>
          </w:tcPr>
          <w:p w14:paraId="3D9FCD7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13.56</w:t>
            </w:r>
          </w:p>
        </w:tc>
        <w:tc>
          <w:tcPr>
            <w:tcW w:w="1014" w:type="pct"/>
            <w:tcBorders>
              <w:top w:val="nil"/>
              <w:bottom w:val="nil"/>
            </w:tcBorders>
          </w:tcPr>
          <w:p w14:paraId="369B256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102</w:t>
            </w:r>
          </w:p>
        </w:tc>
        <w:tc>
          <w:tcPr>
            <w:tcW w:w="568" w:type="pct"/>
            <w:tcBorders>
              <w:top w:val="nil"/>
              <w:bottom w:val="nil"/>
            </w:tcBorders>
          </w:tcPr>
          <w:p w14:paraId="78F6B6F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2BD5CD5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辽河流域</w:t>
            </w:r>
          </w:p>
        </w:tc>
        <w:tc>
          <w:tcPr>
            <w:tcW w:w="811" w:type="pct"/>
            <w:tcBorders>
              <w:top w:val="nil"/>
              <w:bottom w:val="nil"/>
            </w:tcBorders>
          </w:tcPr>
          <w:p w14:paraId="443351A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半湿润-半干旱</w:t>
            </w:r>
          </w:p>
        </w:tc>
      </w:tr>
      <w:tr w14:paraId="48F4FE4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8DABC1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6</w:t>
            </w:r>
          </w:p>
        </w:tc>
        <w:tc>
          <w:tcPr>
            <w:tcW w:w="776" w:type="pct"/>
            <w:tcBorders>
              <w:top w:val="nil"/>
              <w:bottom w:val="nil"/>
            </w:tcBorders>
          </w:tcPr>
          <w:p w14:paraId="7A6FFCB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东辽河</w:t>
            </w:r>
          </w:p>
        </w:tc>
        <w:tc>
          <w:tcPr>
            <w:tcW w:w="696" w:type="pct"/>
            <w:tcBorders>
              <w:top w:val="nil"/>
              <w:bottom w:val="nil"/>
            </w:tcBorders>
          </w:tcPr>
          <w:p w14:paraId="353E609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17.89</w:t>
            </w:r>
          </w:p>
        </w:tc>
        <w:tc>
          <w:tcPr>
            <w:tcW w:w="1014" w:type="pct"/>
            <w:tcBorders>
              <w:top w:val="nil"/>
              <w:bottom w:val="nil"/>
            </w:tcBorders>
          </w:tcPr>
          <w:p w14:paraId="350BE9D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405</w:t>
            </w:r>
          </w:p>
        </w:tc>
        <w:tc>
          <w:tcPr>
            <w:tcW w:w="568" w:type="pct"/>
            <w:tcBorders>
              <w:top w:val="nil"/>
              <w:bottom w:val="nil"/>
            </w:tcBorders>
          </w:tcPr>
          <w:p w14:paraId="2517331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06103D4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辽河流域</w:t>
            </w:r>
          </w:p>
        </w:tc>
        <w:tc>
          <w:tcPr>
            <w:tcW w:w="811" w:type="pct"/>
            <w:tcBorders>
              <w:top w:val="nil"/>
              <w:bottom w:val="nil"/>
            </w:tcBorders>
          </w:tcPr>
          <w:p w14:paraId="380C3FB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r>
      <w:tr w14:paraId="0CFD3D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9CD0AB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w:t>
            </w:r>
          </w:p>
        </w:tc>
        <w:tc>
          <w:tcPr>
            <w:tcW w:w="776" w:type="pct"/>
            <w:tcBorders>
              <w:top w:val="nil"/>
              <w:bottom w:val="nil"/>
            </w:tcBorders>
          </w:tcPr>
          <w:p w14:paraId="4A201B0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淮河中上游</w:t>
            </w:r>
          </w:p>
        </w:tc>
        <w:tc>
          <w:tcPr>
            <w:tcW w:w="696" w:type="pct"/>
            <w:tcBorders>
              <w:top w:val="nil"/>
              <w:bottom w:val="nil"/>
            </w:tcBorders>
          </w:tcPr>
          <w:p w14:paraId="4CB945E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16.02</w:t>
            </w:r>
          </w:p>
        </w:tc>
        <w:tc>
          <w:tcPr>
            <w:tcW w:w="1014" w:type="pct"/>
            <w:tcBorders>
              <w:top w:val="nil"/>
              <w:bottom w:val="nil"/>
            </w:tcBorders>
          </w:tcPr>
          <w:p w14:paraId="7ABB02B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462</w:t>
            </w:r>
          </w:p>
        </w:tc>
        <w:tc>
          <w:tcPr>
            <w:tcW w:w="568" w:type="pct"/>
            <w:tcBorders>
              <w:top w:val="nil"/>
              <w:bottom w:val="nil"/>
            </w:tcBorders>
          </w:tcPr>
          <w:p w14:paraId="7363D38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57B628D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淮河流域</w:t>
            </w:r>
          </w:p>
        </w:tc>
        <w:tc>
          <w:tcPr>
            <w:tcW w:w="811" w:type="pct"/>
            <w:tcBorders>
              <w:top w:val="nil"/>
              <w:bottom w:val="nil"/>
            </w:tcBorders>
          </w:tcPr>
          <w:p w14:paraId="024ADC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r>
      <w:tr w14:paraId="6ACB054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6A35331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8</w:t>
            </w:r>
          </w:p>
        </w:tc>
        <w:tc>
          <w:tcPr>
            <w:tcW w:w="776" w:type="pct"/>
            <w:tcBorders>
              <w:top w:val="nil"/>
              <w:bottom w:val="nil"/>
            </w:tcBorders>
          </w:tcPr>
          <w:p w14:paraId="15F56D6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淮河下游</w:t>
            </w:r>
          </w:p>
        </w:tc>
        <w:tc>
          <w:tcPr>
            <w:tcW w:w="696" w:type="pct"/>
            <w:tcBorders>
              <w:top w:val="nil"/>
              <w:bottom w:val="nil"/>
            </w:tcBorders>
          </w:tcPr>
          <w:p w14:paraId="03740A7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13.75</w:t>
            </w:r>
          </w:p>
        </w:tc>
        <w:tc>
          <w:tcPr>
            <w:tcW w:w="1014" w:type="pct"/>
            <w:tcBorders>
              <w:top w:val="nil"/>
              <w:bottom w:val="nil"/>
            </w:tcBorders>
          </w:tcPr>
          <w:p w14:paraId="15C1B06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358</w:t>
            </w:r>
          </w:p>
        </w:tc>
        <w:tc>
          <w:tcPr>
            <w:tcW w:w="568" w:type="pct"/>
            <w:tcBorders>
              <w:top w:val="nil"/>
              <w:bottom w:val="nil"/>
            </w:tcBorders>
          </w:tcPr>
          <w:p w14:paraId="429A067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29F7A86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淮河流域</w:t>
            </w:r>
          </w:p>
        </w:tc>
        <w:tc>
          <w:tcPr>
            <w:tcW w:w="811" w:type="pct"/>
            <w:tcBorders>
              <w:top w:val="nil"/>
              <w:bottom w:val="nil"/>
            </w:tcBorders>
          </w:tcPr>
          <w:p w14:paraId="1D052E3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r>
      <w:tr w14:paraId="13F3285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0995E34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9</w:t>
            </w:r>
          </w:p>
        </w:tc>
        <w:tc>
          <w:tcPr>
            <w:tcW w:w="776" w:type="pct"/>
            <w:tcBorders>
              <w:top w:val="nil"/>
              <w:bottom w:val="nil"/>
            </w:tcBorders>
          </w:tcPr>
          <w:p w14:paraId="563C47F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鄱阳湖水系</w:t>
            </w:r>
          </w:p>
        </w:tc>
        <w:tc>
          <w:tcPr>
            <w:tcW w:w="696" w:type="pct"/>
            <w:tcBorders>
              <w:top w:val="nil"/>
              <w:bottom w:val="nil"/>
            </w:tcBorders>
          </w:tcPr>
          <w:p w14:paraId="61A2E67D">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16</w:t>
            </w:r>
            <w:r>
              <w:rPr>
                <w:rFonts w:hint="eastAsia" w:cs="Arial"/>
                <w:kern w:val="0"/>
                <w:sz w:val="15"/>
                <w:szCs w:val="20"/>
                <w:lang w:val="zh-CN"/>
              </w:rPr>
              <w:t>.</w:t>
            </w:r>
            <w:r>
              <w:rPr>
                <w:rFonts w:cs="Arial"/>
                <w:kern w:val="0"/>
                <w:sz w:val="15"/>
                <w:szCs w:val="20"/>
                <w:lang w:val="zh-CN"/>
              </w:rPr>
              <w:t>20</w:t>
            </w:r>
          </w:p>
        </w:tc>
        <w:tc>
          <w:tcPr>
            <w:tcW w:w="1014" w:type="pct"/>
            <w:tcBorders>
              <w:top w:val="nil"/>
              <w:bottom w:val="nil"/>
            </w:tcBorders>
          </w:tcPr>
          <w:p w14:paraId="417135F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148</w:t>
            </w:r>
          </w:p>
        </w:tc>
        <w:tc>
          <w:tcPr>
            <w:tcW w:w="568" w:type="pct"/>
            <w:tcBorders>
              <w:top w:val="nil"/>
              <w:bottom w:val="nil"/>
            </w:tcBorders>
          </w:tcPr>
          <w:p w14:paraId="2F30BF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7C32E2C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811" w:type="pct"/>
            <w:tcBorders>
              <w:top w:val="nil"/>
              <w:bottom w:val="nil"/>
            </w:tcBorders>
          </w:tcPr>
          <w:p w14:paraId="47333E8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r>
      <w:tr w14:paraId="5863E1C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25FAD9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10</w:t>
            </w:r>
          </w:p>
        </w:tc>
        <w:tc>
          <w:tcPr>
            <w:tcW w:w="776" w:type="pct"/>
            <w:tcBorders>
              <w:top w:val="nil"/>
              <w:bottom w:val="nil"/>
            </w:tcBorders>
          </w:tcPr>
          <w:p w14:paraId="5B93F3E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洞庭湖水系</w:t>
            </w:r>
          </w:p>
        </w:tc>
        <w:tc>
          <w:tcPr>
            <w:tcW w:w="696" w:type="pct"/>
            <w:tcBorders>
              <w:top w:val="nil"/>
              <w:bottom w:val="nil"/>
            </w:tcBorders>
          </w:tcPr>
          <w:p w14:paraId="560050E9">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26</w:t>
            </w:r>
            <w:r>
              <w:rPr>
                <w:rFonts w:hint="eastAsia" w:cs="Arial"/>
                <w:kern w:val="0"/>
                <w:sz w:val="15"/>
                <w:szCs w:val="20"/>
                <w:lang w:val="zh-CN"/>
              </w:rPr>
              <w:t>.</w:t>
            </w:r>
            <w:r>
              <w:rPr>
                <w:rFonts w:cs="Arial"/>
                <w:kern w:val="0"/>
                <w:sz w:val="15"/>
                <w:szCs w:val="20"/>
                <w:lang w:val="zh-CN"/>
              </w:rPr>
              <w:t>20</w:t>
            </w:r>
          </w:p>
        </w:tc>
        <w:tc>
          <w:tcPr>
            <w:tcW w:w="1014" w:type="pct"/>
            <w:tcBorders>
              <w:top w:val="nil"/>
              <w:bottom w:val="nil"/>
            </w:tcBorders>
          </w:tcPr>
          <w:p w14:paraId="652CE7B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276</w:t>
            </w:r>
          </w:p>
        </w:tc>
        <w:tc>
          <w:tcPr>
            <w:tcW w:w="568" w:type="pct"/>
            <w:tcBorders>
              <w:top w:val="nil"/>
              <w:bottom w:val="nil"/>
            </w:tcBorders>
          </w:tcPr>
          <w:p w14:paraId="06C3297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081B3C2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811" w:type="pct"/>
            <w:tcBorders>
              <w:top w:val="nil"/>
              <w:bottom w:val="nil"/>
            </w:tcBorders>
          </w:tcPr>
          <w:p w14:paraId="17DEC62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r>
      <w:tr w14:paraId="29ABF4F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0AD8E6C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11</w:t>
            </w:r>
          </w:p>
        </w:tc>
        <w:tc>
          <w:tcPr>
            <w:tcW w:w="776" w:type="pct"/>
            <w:tcBorders>
              <w:top w:val="nil"/>
              <w:bottom w:val="nil"/>
            </w:tcBorders>
          </w:tcPr>
          <w:p w14:paraId="3E19700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汉江</w:t>
            </w:r>
          </w:p>
        </w:tc>
        <w:tc>
          <w:tcPr>
            <w:tcW w:w="696" w:type="pct"/>
            <w:tcBorders>
              <w:top w:val="nil"/>
              <w:bottom w:val="nil"/>
            </w:tcBorders>
          </w:tcPr>
          <w:p w14:paraId="70EC78D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15.54</w:t>
            </w:r>
          </w:p>
        </w:tc>
        <w:tc>
          <w:tcPr>
            <w:tcW w:w="1014" w:type="pct"/>
            <w:tcBorders>
              <w:top w:val="nil"/>
              <w:bottom w:val="nil"/>
            </w:tcBorders>
          </w:tcPr>
          <w:p w14:paraId="3AE3B87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251</w:t>
            </w:r>
          </w:p>
        </w:tc>
        <w:tc>
          <w:tcPr>
            <w:tcW w:w="568" w:type="pct"/>
            <w:tcBorders>
              <w:top w:val="nil"/>
              <w:bottom w:val="nil"/>
            </w:tcBorders>
          </w:tcPr>
          <w:p w14:paraId="4D27FB6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11E4804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811" w:type="pct"/>
            <w:tcBorders>
              <w:top w:val="nil"/>
              <w:bottom w:val="nil"/>
            </w:tcBorders>
          </w:tcPr>
          <w:p w14:paraId="0619DFD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r>
      <w:tr w14:paraId="092577A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44E2AA9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12</w:t>
            </w:r>
          </w:p>
        </w:tc>
        <w:tc>
          <w:tcPr>
            <w:tcW w:w="776" w:type="pct"/>
            <w:tcBorders>
              <w:top w:val="nil"/>
              <w:bottom w:val="nil"/>
            </w:tcBorders>
          </w:tcPr>
          <w:p w14:paraId="46B70F1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拉孜至派乡</w:t>
            </w:r>
          </w:p>
        </w:tc>
        <w:tc>
          <w:tcPr>
            <w:tcW w:w="696" w:type="pct"/>
            <w:tcBorders>
              <w:top w:val="nil"/>
              <w:bottom w:val="nil"/>
            </w:tcBorders>
          </w:tcPr>
          <w:p w14:paraId="77C9B91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14.15</w:t>
            </w:r>
          </w:p>
        </w:tc>
        <w:tc>
          <w:tcPr>
            <w:tcW w:w="1014" w:type="pct"/>
            <w:tcBorders>
              <w:top w:val="nil"/>
              <w:bottom w:val="nil"/>
            </w:tcBorders>
          </w:tcPr>
          <w:p w14:paraId="10CEB73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94</w:t>
            </w:r>
          </w:p>
        </w:tc>
        <w:tc>
          <w:tcPr>
            <w:tcW w:w="568" w:type="pct"/>
            <w:tcBorders>
              <w:top w:val="nil"/>
              <w:bottom w:val="nil"/>
            </w:tcBorders>
          </w:tcPr>
          <w:p w14:paraId="6557AF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w:t>
            </w:r>
          </w:p>
        </w:tc>
        <w:tc>
          <w:tcPr>
            <w:tcW w:w="776" w:type="pct"/>
            <w:tcBorders>
              <w:top w:val="nil"/>
              <w:bottom w:val="nil"/>
            </w:tcBorders>
          </w:tcPr>
          <w:p w14:paraId="6FF8224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西南诸河流域</w:t>
            </w:r>
          </w:p>
        </w:tc>
        <w:tc>
          <w:tcPr>
            <w:tcW w:w="811" w:type="pct"/>
            <w:tcBorders>
              <w:top w:val="nil"/>
              <w:bottom w:val="nil"/>
            </w:tcBorders>
          </w:tcPr>
          <w:p w14:paraId="1D48B3C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半干旱</w:t>
            </w:r>
          </w:p>
        </w:tc>
      </w:tr>
      <w:tr w14:paraId="219544A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D6B97B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13</w:t>
            </w:r>
          </w:p>
        </w:tc>
        <w:tc>
          <w:tcPr>
            <w:tcW w:w="776" w:type="pct"/>
            <w:tcBorders>
              <w:top w:val="nil"/>
              <w:bottom w:val="nil"/>
            </w:tcBorders>
          </w:tcPr>
          <w:p w14:paraId="23A7DF6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黑河</w:t>
            </w:r>
          </w:p>
        </w:tc>
        <w:tc>
          <w:tcPr>
            <w:tcW w:w="696" w:type="pct"/>
            <w:tcBorders>
              <w:top w:val="nil"/>
              <w:bottom w:val="nil"/>
            </w:tcBorders>
          </w:tcPr>
          <w:p w14:paraId="7A318A5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15.18</w:t>
            </w:r>
          </w:p>
        </w:tc>
        <w:tc>
          <w:tcPr>
            <w:tcW w:w="1014" w:type="pct"/>
            <w:tcBorders>
              <w:top w:val="nil"/>
              <w:bottom w:val="nil"/>
            </w:tcBorders>
          </w:tcPr>
          <w:p w14:paraId="5995205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89</w:t>
            </w:r>
          </w:p>
        </w:tc>
        <w:tc>
          <w:tcPr>
            <w:tcW w:w="568" w:type="pct"/>
            <w:tcBorders>
              <w:top w:val="nil"/>
              <w:bottom w:val="nil"/>
            </w:tcBorders>
          </w:tcPr>
          <w:p w14:paraId="4906A9C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1FAD3BE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内陆河流域</w:t>
            </w:r>
          </w:p>
        </w:tc>
        <w:tc>
          <w:tcPr>
            <w:tcW w:w="811" w:type="pct"/>
            <w:tcBorders>
              <w:top w:val="nil"/>
              <w:bottom w:val="nil"/>
            </w:tcBorders>
          </w:tcPr>
          <w:p w14:paraId="53DEB36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w:t>
            </w:r>
          </w:p>
        </w:tc>
      </w:tr>
      <w:tr w14:paraId="2C729AD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67739B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14</w:t>
            </w:r>
          </w:p>
        </w:tc>
        <w:tc>
          <w:tcPr>
            <w:tcW w:w="776" w:type="pct"/>
            <w:tcBorders>
              <w:top w:val="nil"/>
              <w:bottom w:val="nil"/>
            </w:tcBorders>
          </w:tcPr>
          <w:p w14:paraId="56ED2DA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石羊河</w:t>
            </w:r>
          </w:p>
        </w:tc>
        <w:tc>
          <w:tcPr>
            <w:tcW w:w="696" w:type="pct"/>
            <w:tcBorders>
              <w:top w:val="nil"/>
              <w:bottom w:val="nil"/>
            </w:tcBorders>
          </w:tcPr>
          <w:p w14:paraId="63FCCD9C">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4</w:t>
            </w:r>
            <w:r>
              <w:rPr>
                <w:rFonts w:hint="eastAsia" w:cs="Arial"/>
                <w:kern w:val="0"/>
                <w:sz w:val="15"/>
                <w:szCs w:val="20"/>
                <w:lang w:val="zh-CN"/>
              </w:rPr>
              <w:t>.</w:t>
            </w:r>
            <w:r>
              <w:rPr>
                <w:rFonts w:cs="Arial"/>
                <w:kern w:val="0"/>
                <w:sz w:val="15"/>
                <w:szCs w:val="20"/>
                <w:lang w:val="zh-CN"/>
              </w:rPr>
              <w:t>04</w:t>
            </w:r>
          </w:p>
        </w:tc>
        <w:tc>
          <w:tcPr>
            <w:tcW w:w="1014" w:type="pct"/>
            <w:tcBorders>
              <w:top w:val="nil"/>
              <w:bottom w:val="nil"/>
            </w:tcBorders>
          </w:tcPr>
          <w:p w14:paraId="7468BC2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84</w:t>
            </w:r>
          </w:p>
        </w:tc>
        <w:tc>
          <w:tcPr>
            <w:tcW w:w="568" w:type="pct"/>
            <w:tcBorders>
              <w:top w:val="nil"/>
              <w:bottom w:val="nil"/>
            </w:tcBorders>
          </w:tcPr>
          <w:p w14:paraId="71060B6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w:t>
            </w:r>
          </w:p>
        </w:tc>
        <w:tc>
          <w:tcPr>
            <w:tcW w:w="776" w:type="pct"/>
            <w:tcBorders>
              <w:top w:val="nil"/>
              <w:bottom w:val="nil"/>
            </w:tcBorders>
          </w:tcPr>
          <w:p w14:paraId="0FEFC73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内陆河流域</w:t>
            </w:r>
          </w:p>
        </w:tc>
        <w:tc>
          <w:tcPr>
            <w:tcW w:w="811" w:type="pct"/>
            <w:tcBorders>
              <w:top w:val="nil"/>
              <w:bottom w:val="nil"/>
            </w:tcBorders>
          </w:tcPr>
          <w:p w14:paraId="7CBAFC6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w:t>
            </w:r>
          </w:p>
        </w:tc>
      </w:tr>
      <w:tr w14:paraId="72B515B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43AB219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15</w:t>
            </w:r>
          </w:p>
        </w:tc>
        <w:tc>
          <w:tcPr>
            <w:tcW w:w="776" w:type="pct"/>
            <w:tcBorders>
              <w:top w:val="nil"/>
              <w:bottom w:val="nil"/>
            </w:tcBorders>
          </w:tcPr>
          <w:p w14:paraId="1735796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宜昌至湖口</w:t>
            </w:r>
          </w:p>
        </w:tc>
        <w:tc>
          <w:tcPr>
            <w:tcW w:w="696" w:type="pct"/>
            <w:tcBorders>
              <w:top w:val="nil"/>
              <w:bottom w:val="nil"/>
            </w:tcBorders>
          </w:tcPr>
          <w:p w14:paraId="797E1C95">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9</w:t>
            </w:r>
            <w:r>
              <w:rPr>
                <w:rFonts w:hint="eastAsia" w:cs="Arial"/>
                <w:kern w:val="0"/>
                <w:sz w:val="15"/>
                <w:szCs w:val="20"/>
                <w:lang w:val="zh-CN"/>
              </w:rPr>
              <w:t>.</w:t>
            </w:r>
            <w:r>
              <w:rPr>
                <w:rFonts w:cs="Arial"/>
                <w:kern w:val="0"/>
                <w:sz w:val="15"/>
                <w:szCs w:val="20"/>
                <w:lang w:val="zh-CN"/>
              </w:rPr>
              <w:t>5</w:t>
            </w:r>
            <w:r>
              <w:rPr>
                <w:rFonts w:hint="eastAsia" w:cs="Arial"/>
                <w:kern w:val="0"/>
                <w:sz w:val="15"/>
                <w:szCs w:val="20"/>
                <w:lang w:val="zh-CN"/>
              </w:rPr>
              <w:t>4</w:t>
            </w:r>
          </w:p>
        </w:tc>
        <w:tc>
          <w:tcPr>
            <w:tcW w:w="1014" w:type="pct"/>
            <w:tcBorders>
              <w:top w:val="nil"/>
              <w:bottom w:val="nil"/>
            </w:tcBorders>
          </w:tcPr>
          <w:p w14:paraId="761B6F9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171</w:t>
            </w:r>
          </w:p>
        </w:tc>
        <w:tc>
          <w:tcPr>
            <w:tcW w:w="568" w:type="pct"/>
            <w:tcBorders>
              <w:top w:val="nil"/>
              <w:bottom w:val="nil"/>
            </w:tcBorders>
          </w:tcPr>
          <w:p w14:paraId="15960B6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383FD31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811" w:type="pct"/>
            <w:tcBorders>
              <w:top w:val="nil"/>
              <w:bottom w:val="nil"/>
            </w:tcBorders>
          </w:tcPr>
          <w:p w14:paraId="039127E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r>
      <w:tr w14:paraId="0B16AE2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280E37C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16</w:t>
            </w:r>
          </w:p>
        </w:tc>
        <w:tc>
          <w:tcPr>
            <w:tcW w:w="776" w:type="pct"/>
            <w:tcBorders>
              <w:top w:val="nil"/>
              <w:bottom w:val="nil"/>
            </w:tcBorders>
          </w:tcPr>
          <w:p w14:paraId="447E157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兰州至河口镇</w:t>
            </w:r>
          </w:p>
        </w:tc>
        <w:tc>
          <w:tcPr>
            <w:tcW w:w="696" w:type="pct"/>
            <w:tcBorders>
              <w:top w:val="nil"/>
              <w:bottom w:val="nil"/>
            </w:tcBorders>
          </w:tcPr>
          <w:p w14:paraId="340A906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16.30</w:t>
            </w:r>
          </w:p>
        </w:tc>
        <w:tc>
          <w:tcPr>
            <w:tcW w:w="1014" w:type="pct"/>
            <w:tcBorders>
              <w:top w:val="nil"/>
              <w:bottom w:val="nil"/>
            </w:tcBorders>
          </w:tcPr>
          <w:p w14:paraId="1453C51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455</w:t>
            </w:r>
          </w:p>
        </w:tc>
        <w:tc>
          <w:tcPr>
            <w:tcW w:w="568" w:type="pct"/>
            <w:tcBorders>
              <w:top w:val="nil"/>
              <w:bottom w:val="nil"/>
            </w:tcBorders>
          </w:tcPr>
          <w:p w14:paraId="6CBE051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50D5FA2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黄河流域</w:t>
            </w:r>
          </w:p>
        </w:tc>
        <w:tc>
          <w:tcPr>
            <w:tcW w:w="811" w:type="pct"/>
            <w:tcBorders>
              <w:top w:val="nil"/>
              <w:bottom w:val="nil"/>
            </w:tcBorders>
          </w:tcPr>
          <w:p w14:paraId="3BE9957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干旱-半干旱</w:t>
            </w:r>
          </w:p>
        </w:tc>
      </w:tr>
      <w:tr w14:paraId="27A814F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0024A89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17</w:t>
            </w:r>
          </w:p>
        </w:tc>
        <w:tc>
          <w:tcPr>
            <w:tcW w:w="776" w:type="pct"/>
            <w:tcBorders>
              <w:top w:val="nil"/>
              <w:bottom w:val="nil"/>
            </w:tcBorders>
          </w:tcPr>
          <w:p w14:paraId="1963DA0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岷沱江</w:t>
            </w:r>
          </w:p>
        </w:tc>
        <w:tc>
          <w:tcPr>
            <w:tcW w:w="696" w:type="pct"/>
            <w:tcBorders>
              <w:top w:val="nil"/>
              <w:bottom w:val="nil"/>
            </w:tcBorders>
          </w:tcPr>
          <w:p w14:paraId="26B03B74">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16</w:t>
            </w:r>
            <w:r>
              <w:rPr>
                <w:rFonts w:hint="eastAsia" w:cs="Arial"/>
                <w:kern w:val="0"/>
                <w:sz w:val="15"/>
                <w:szCs w:val="20"/>
                <w:lang w:val="zh-CN"/>
              </w:rPr>
              <w:t>.</w:t>
            </w:r>
            <w:r>
              <w:rPr>
                <w:rFonts w:cs="Arial"/>
                <w:kern w:val="0"/>
                <w:sz w:val="15"/>
                <w:szCs w:val="20"/>
                <w:lang w:val="zh-CN"/>
              </w:rPr>
              <w:t>2</w:t>
            </w:r>
            <w:r>
              <w:rPr>
                <w:rFonts w:hint="eastAsia" w:cs="Arial"/>
                <w:kern w:val="0"/>
                <w:sz w:val="15"/>
                <w:szCs w:val="20"/>
                <w:lang w:val="zh-CN"/>
              </w:rPr>
              <w:t>9</w:t>
            </w:r>
          </w:p>
        </w:tc>
        <w:tc>
          <w:tcPr>
            <w:tcW w:w="1014" w:type="pct"/>
            <w:tcBorders>
              <w:top w:val="nil"/>
              <w:bottom w:val="nil"/>
            </w:tcBorders>
          </w:tcPr>
          <w:p w14:paraId="51E58B1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107</w:t>
            </w:r>
          </w:p>
        </w:tc>
        <w:tc>
          <w:tcPr>
            <w:tcW w:w="568" w:type="pct"/>
            <w:tcBorders>
              <w:top w:val="nil"/>
              <w:bottom w:val="nil"/>
            </w:tcBorders>
          </w:tcPr>
          <w:p w14:paraId="6E16CFD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7C316CE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811" w:type="pct"/>
            <w:tcBorders>
              <w:top w:val="nil"/>
              <w:bottom w:val="nil"/>
            </w:tcBorders>
          </w:tcPr>
          <w:p w14:paraId="0F2C0AD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r>
      <w:tr w14:paraId="71186A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nil"/>
            </w:tcBorders>
          </w:tcPr>
          <w:p w14:paraId="76386F0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18</w:t>
            </w:r>
          </w:p>
        </w:tc>
        <w:tc>
          <w:tcPr>
            <w:tcW w:w="776" w:type="pct"/>
            <w:tcBorders>
              <w:top w:val="nil"/>
              <w:bottom w:val="nil"/>
            </w:tcBorders>
          </w:tcPr>
          <w:p w14:paraId="6E07C3E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天山北麓诸河</w:t>
            </w:r>
          </w:p>
        </w:tc>
        <w:tc>
          <w:tcPr>
            <w:tcW w:w="696" w:type="pct"/>
            <w:tcBorders>
              <w:top w:val="nil"/>
              <w:bottom w:val="nil"/>
            </w:tcBorders>
          </w:tcPr>
          <w:p w14:paraId="3AF30122">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14</w:t>
            </w:r>
            <w:r>
              <w:rPr>
                <w:rFonts w:hint="eastAsia" w:cs="Arial"/>
                <w:kern w:val="0"/>
                <w:sz w:val="15"/>
                <w:szCs w:val="20"/>
                <w:lang w:val="zh-CN"/>
              </w:rPr>
              <w:t>.</w:t>
            </w:r>
            <w:r>
              <w:rPr>
                <w:rFonts w:cs="Arial"/>
                <w:kern w:val="0"/>
                <w:sz w:val="15"/>
                <w:szCs w:val="20"/>
                <w:lang w:val="zh-CN"/>
              </w:rPr>
              <w:t>88</w:t>
            </w:r>
          </w:p>
        </w:tc>
        <w:tc>
          <w:tcPr>
            <w:tcW w:w="1014" w:type="pct"/>
            <w:tcBorders>
              <w:top w:val="nil"/>
              <w:bottom w:val="nil"/>
            </w:tcBorders>
          </w:tcPr>
          <w:p w14:paraId="177F403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124</w:t>
            </w:r>
          </w:p>
        </w:tc>
        <w:tc>
          <w:tcPr>
            <w:tcW w:w="568" w:type="pct"/>
            <w:tcBorders>
              <w:top w:val="nil"/>
              <w:bottom w:val="nil"/>
            </w:tcBorders>
          </w:tcPr>
          <w:p w14:paraId="07CEF65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nil"/>
            </w:tcBorders>
          </w:tcPr>
          <w:p w14:paraId="29CD2D3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内陆河流域</w:t>
            </w:r>
          </w:p>
        </w:tc>
        <w:tc>
          <w:tcPr>
            <w:tcW w:w="811" w:type="pct"/>
            <w:tcBorders>
              <w:top w:val="nil"/>
              <w:bottom w:val="nil"/>
            </w:tcBorders>
          </w:tcPr>
          <w:p w14:paraId="3F4C670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w:t>
            </w:r>
          </w:p>
        </w:tc>
      </w:tr>
      <w:tr w14:paraId="38755BA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359" w:type="pct"/>
            <w:tcBorders>
              <w:top w:val="nil"/>
              <w:bottom w:val="single" w:color="auto" w:sz="12" w:space="0"/>
            </w:tcBorders>
          </w:tcPr>
          <w:p w14:paraId="50C9FC1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19</w:t>
            </w:r>
          </w:p>
        </w:tc>
        <w:tc>
          <w:tcPr>
            <w:tcW w:w="776" w:type="pct"/>
            <w:tcBorders>
              <w:top w:val="nil"/>
              <w:bottom w:val="single" w:color="auto" w:sz="12" w:space="0"/>
            </w:tcBorders>
          </w:tcPr>
          <w:p w14:paraId="6FD8754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龙门至三峡口</w:t>
            </w:r>
          </w:p>
        </w:tc>
        <w:tc>
          <w:tcPr>
            <w:tcW w:w="696" w:type="pct"/>
            <w:tcBorders>
              <w:top w:val="nil"/>
              <w:bottom w:val="single" w:color="auto" w:sz="12" w:space="0"/>
            </w:tcBorders>
          </w:tcPr>
          <w:p w14:paraId="5E18728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19.16</w:t>
            </w:r>
          </w:p>
        </w:tc>
        <w:tc>
          <w:tcPr>
            <w:tcW w:w="1014" w:type="pct"/>
            <w:tcBorders>
              <w:top w:val="nil"/>
              <w:bottom w:val="single" w:color="auto" w:sz="12" w:space="0"/>
            </w:tcBorders>
          </w:tcPr>
          <w:p w14:paraId="6AEF369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508</w:t>
            </w:r>
          </w:p>
        </w:tc>
        <w:tc>
          <w:tcPr>
            <w:tcW w:w="568" w:type="pct"/>
            <w:tcBorders>
              <w:top w:val="nil"/>
              <w:bottom w:val="single" w:color="auto" w:sz="12" w:space="0"/>
            </w:tcBorders>
          </w:tcPr>
          <w:p w14:paraId="760EB8A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2</w:t>
            </w:r>
          </w:p>
        </w:tc>
        <w:tc>
          <w:tcPr>
            <w:tcW w:w="776" w:type="pct"/>
            <w:tcBorders>
              <w:top w:val="nil"/>
              <w:bottom w:val="single" w:color="auto" w:sz="12" w:space="0"/>
            </w:tcBorders>
          </w:tcPr>
          <w:p w14:paraId="2DCF426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黄河流域</w:t>
            </w:r>
          </w:p>
        </w:tc>
        <w:tc>
          <w:tcPr>
            <w:tcW w:w="811" w:type="pct"/>
            <w:tcBorders>
              <w:top w:val="nil"/>
              <w:bottom w:val="single" w:color="auto" w:sz="12" w:space="0"/>
            </w:tcBorders>
          </w:tcPr>
          <w:p w14:paraId="0332370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半湿润-半干旱</w:t>
            </w:r>
          </w:p>
        </w:tc>
      </w:tr>
      <w:bookmarkEnd w:id="17"/>
    </w:tbl>
    <w:p w14:paraId="09494520">
      <w:pPr>
        <w:pStyle w:val="3"/>
      </w:pPr>
      <w:r>
        <w:t>1.</w:t>
      </w:r>
      <w:r>
        <w:rPr>
          <w:rFonts w:hint="eastAsia"/>
        </w:rPr>
        <w:t xml:space="preserve">2 </w:t>
      </w:r>
      <w:r>
        <w:rPr>
          <w:rFonts w:hint="eastAsia"/>
          <w:lang w:val="zh-CN"/>
        </w:rPr>
        <w:t>数据来源</w:t>
      </w:r>
    </w:p>
    <w:p w14:paraId="5AED9CFD">
      <w:pPr>
        <w:pStyle w:val="4"/>
        <w:rPr>
          <w:rFonts w:ascii="黑体" w:hAnsi="宋体" w:eastAsia="黑体"/>
          <w:b/>
        </w:rPr>
      </w:pPr>
      <w:bookmarkStart w:id="18" w:name="OLE_LINK7"/>
      <w:bookmarkStart w:id="19" w:name="_Hlk218875314"/>
      <w:r>
        <w:t>1.2</w:t>
      </w:r>
      <w:bookmarkEnd w:id="18"/>
      <w:r>
        <w:t>.1 GRACE-FO</w:t>
      </w:r>
      <w:r>
        <w:rPr>
          <w:lang w:val="zh-CN"/>
        </w:rPr>
        <w:t>数据</w:t>
      </w:r>
      <w:bookmarkStart w:id="20" w:name="_Hlk202278782"/>
    </w:p>
    <w:bookmarkEnd w:id="19"/>
    <w:p w14:paraId="68AC70DF">
      <w:pPr>
        <w:ind w:firstLine="420"/>
        <w:rPr>
          <w:rFonts w:hint="eastAsia" w:ascii="宋体" w:hAnsi="宋体"/>
          <w:kern w:val="0"/>
          <w:szCs w:val="20"/>
        </w:rPr>
      </w:pPr>
      <w:r>
        <w:rPr>
          <w:rFonts w:hint="eastAsia"/>
        </w:rPr>
        <w:t>本文采用美国喷气动力实验室(Jet Propulsion Laboratory, JPL)发布的</w:t>
      </w:r>
      <w:r>
        <w:t>GRACE-FO</w:t>
      </w:r>
      <w:r>
        <w:rPr>
          <w:rFonts w:hint="eastAsia"/>
        </w:rPr>
        <w:t xml:space="preserve"> </w:t>
      </w:r>
      <w:bookmarkStart w:id="21" w:name="OLE_LINK1"/>
      <w:r>
        <w:rPr>
          <w:rFonts w:hint="eastAsia"/>
        </w:rPr>
        <w:t>RL06.1_v03 Mascon产品</w:t>
      </w:r>
      <w:bookmarkEnd w:id="21"/>
      <w:r>
        <w:rPr>
          <w:rFonts w:hint="eastAsia"/>
        </w:rPr>
        <w:t>，该数据通过先验的质量约束来替代传统的经验滤波后处理，已替换 C20 项、一阶项，扣除冰川均衡调整（GIA）的影响</w:t>
      </w:r>
      <w:r>
        <w:rPr>
          <w:rFonts w:cs="Times New Roman"/>
          <w:kern w:val="0"/>
          <w:vertAlign w:val="superscript"/>
        </w:rPr>
        <w:t>[25]</w:t>
      </w:r>
      <w:r>
        <w:rPr>
          <w:rFonts w:hint="eastAsia"/>
        </w:rPr>
        <w:t>，以 2004 年 1 月至2009 年 12 月均值为基准做距平处理</w:t>
      </w:r>
      <w:r>
        <w:rPr>
          <w:rFonts w:cs="Times New Roman"/>
          <w:kern w:val="0"/>
          <w:vertAlign w:val="superscript"/>
        </w:rPr>
        <w:t>[20]</w:t>
      </w:r>
      <w:r>
        <w:rPr>
          <w:rFonts w:hint="eastAsia"/>
        </w:rPr>
        <w:t>，空间分辨率为</w:t>
      </w:r>
      <w:r>
        <w:t>0.5°×0.5°</w:t>
      </w:r>
      <w:bookmarkStart w:id="22" w:name="_Hlk200719643"/>
      <w:bookmarkStart w:id="23" w:name="_Hlk200718703"/>
      <w:r>
        <w:rPr>
          <w:rFonts w:hint="eastAsia"/>
        </w:rPr>
        <w:t>，适用性评价时段为2018年10月到2024年9月。</w:t>
      </w:r>
      <w:bookmarkEnd w:id="20"/>
      <w:bookmarkEnd w:id="22"/>
      <w:bookmarkEnd w:id="23"/>
    </w:p>
    <w:p w14:paraId="3A73087C">
      <w:pPr>
        <w:pStyle w:val="4"/>
        <w:rPr>
          <w:rFonts w:ascii="黑体" w:hAnsi="宋体" w:eastAsia="黑体"/>
          <w:b/>
        </w:rPr>
      </w:pPr>
      <w:bookmarkStart w:id="24" w:name="_Hlk218876141"/>
      <w:r>
        <w:t>1.2.2 GLDAS</w:t>
      </w:r>
      <w:r>
        <w:rPr>
          <w:lang w:val="zh-CN"/>
        </w:rPr>
        <w:t>模型</w:t>
      </w:r>
      <w:bookmarkStart w:id="25" w:name="_Hlk193564981"/>
    </w:p>
    <w:bookmarkEnd w:id="24"/>
    <w:p w14:paraId="6A193EFB">
      <w:pPr>
        <w:ind w:firstLine="420"/>
      </w:pPr>
      <w:r>
        <w:rPr>
          <w:rFonts w:hint="eastAsia"/>
        </w:rPr>
        <w:t>全球陆面数据同化系统(Global Land Data Assimilation System，GLDAS)</w:t>
      </w:r>
      <w:bookmarkEnd w:id="25"/>
      <w:r>
        <w:rPr>
          <w:rFonts w:hint="eastAsia"/>
        </w:rPr>
        <w:t>是由美国国家航空航天局戈达德航天中心(GSFC)与美国海洋和大气局国家环境预报中心(NCEP)共同建立的全球水文模型</w:t>
      </w:r>
      <w:r>
        <w:t>。本文采用 GLDAS 模型中</w:t>
      </w:r>
      <w:bookmarkStart w:id="26" w:name="OLE_LINK5"/>
      <w:r>
        <w:rPr>
          <w:rFonts w:hint="eastAsia"/>
        </w:rPr>
        <w:t>Noah(</w:t>
      </w:r>
      <w:r>
        <w:t>National</w:t>
      </w:r>
      <w:r>
        <w:rPr>
          <w:rFonts w:hint="eastAsia"/>
        </w:rPr>
        <w:t xml:space="preserve"> </w:t>
      </w:r>
      <w:r>
        <w:t>Centers for Environmental Prediction/Oregon State University/Air Force/Hydrologic Research Lab</w:t>
      </w:r>
      <w:r>
        <w:rPr>
          <w:rFonts w:hint="eastAsia"/>
        </w:rPr>
        <w:t>)、VIC(</w:t>
      </w:r>
      <w:r>
        <w:t>Variable Infiltration Capacity</w:t>
      </w:r>
      <w:r>
        <w:rPr>
          <w:rFonts w:hint="eastAsia"/>
        </w:rPr>
        <w:t>)和CLSM(</w:t>
      </w:r>
      <w:r>
        <w:t>Catchment Land Surface Model</w:t>
      </w:r>
      <w:r>
        <w:rPr>
          <w:rFonts w:hint="eastAsia"/>
        </w:rPr>
        <w:t>)</w:t>
      </w:r>
      <w:bookmarkEnd w:id="26"/>
      <w:r>
        <w:t xml:space="preserve"> </w:t>
      </w:r>
      <w:r>
        <w:rPr>
          <w:rFonts w:hint="eastAsia"/>
        </w:rPr>
        <w:t>三种</w:t>
      </w:r>
      <w:r>
        <w:t>陆地表面模型提供的逐月土壤水储量、雪水当量、冠层水储量</w:t>
      </w:r>
      <w:r>
        <w:rPr>
          <w:rFonts w:hint="eastAsia"/>
        </w:rPr>
        <w:t>、地表径流</w:t>
      </w:r>
      <w:r>
        <w:t>数据。</w:t>
      </w:r>
      <w:r>
        <w:rPr>
          <w:rFonts w:hint="eastAsia"/>
        </w:rPr>
        <w:t>RODELL等</w:t>
      </w:r>
      <w:r>
        <w:rPr>
          <w:rFonts w:cs="Times New Roman"/>
          <w:kern w:val="0"/>
          <w:vertAlign w:val="superscript"/>
        </w:rPr>
        <w:t>[38]</w:t>
      </w:r>
      <w:r>
        <w:rPr>
          <w:rFonts w:hint="eastAsia"/>
        </w:rPr>
        <w:t>详细介绍了这三个模型，Noah模型基于Campbell方程简化了重力排水和根系吸水过程，采用有限差分法和Crank-Nicolson时间积分，模拟土壤、植被和积雪的能量、水文循环及冻融过程；VIC模型通过可变渗透曲线、土壤持水能力子网格变化和非线性基流参数化表示径流过程，支持非耦合运行，适用于水平衡、能量平衡和冻土等特殊水文模拟；CLSM模型将地形集水区作为地表单元，结合地下水位与地形统计关联表征地下水，土壤水分动态划分为饱和区、非饱和区和根区-地表超额水量三个亚网格状态，利用流域平均缺水量作为主控变量，并结合超额水量描述水分状态。</w:t>
      </w:r>
      <w:bookmarkStart w:id="27" w:name="_Hlk218876164"/>
      <w:r>
        <w:t>数据时间序列为</w:t>
      </w:r>
      <w:r>
        <w:rPr>
          <w:rFonts w:hint="eastAsia"/>
        </w:rPr>
        <w:t>2018</w:t>
      </w:r>
      <w:r>
        <w:t>年</w:t>
      </w:r>
      <w:r>
        <w:rPr>
          <w:rFonts w:hint="eastAsia"/>
        </w:rPr>
        <w:t>10</w:t>
      </w:r>
      <w:r>
        <w:t>月</w:t>
      </w:r>
      <w:r>
        <w:rPr>
          <w:rFonts w:hint="eastAsia"/>
        </w:rPr>
        <w:t>至</w:t>
      </w:r>
      <w:r>
        <w:t>202</w:t>
      </w:r>
      <w:r>
        <w:rPr>
          <w:rFonts w:hint="eastAsia"/>
        </w:rPr>
        <w:t>4</w:t>
      </w:r>
      <w:r>
        <w:t>年</w:t>
      </w:r>
      <w:r>
        <w:rPr>
          <w:rFonts w:hint="eastAsia"/>
        </w:rPr>
        <w:t>9</w:t>
      </w:r>
      <w:r>
        <w:t>月</w:t>
      </w:r>
      <w:r>
        <w:rPr>
          <w:rFonts w:hint="eastAsia"/>
        </w:rPr>
        <w:t>，Noah模型</w:t>
      </w:r>
      <w:r>
        <w:t>空间分辨率</w:t>
      </w:r>
      <w:r>
        <w:rPr>
          <w:rFonts w:hint="eastAsia"/>
        </w:rPr>
        <w:t>为0.25</w:t>
      </w:r>
      <w:r>
        <w:t>°×0.</w:t>
      </w:r>
      <w:r>
        <w:rPr>
          <w:rFonts w:hint="eastAsia"/>
        </w:rPr>
        <w:t>2</w:t>
      </w:r>
      <w:r>
        <w:t>5°</w:t>
      </w:r>
      <w:r>
        <w:rPr>
          <w:rFonts w:hint="eastAsia"/>
        </w:rPr>
        <w:t>,</w:t>
      </w:r>
      <w:r>
        <w:t xml:space="preserve"> 为与GRACE</w:t>
      </w:r>
      <w:r>
        <w:rPr>
          <w:rFonts w:hint="eastAsia"/>
        </w:rPr>
        <w:t>-FO</w:t>
      </w:r>
      <w:r>
        <w:t xml:space="preserve"> 数据保持一致，</w:t>
      </w:r>
      <w:r>
        <w:rPr>
          <w:rFonts w:hint="eastAsia"/>
        </w:rPr>
        <w:t>取周围四个像元均值将</w:t>
      </w:r>
      <w:r>
        <w:t>空间分辨率</w:t>
      </w:r>
      <w:r>
        <w:rPr>
          <w:rFonts w:hint="eastAsia"/>
        </w:rPr>
        <w:t>重采样至</w:t>
      </w:r>
      <w:r>
        <w:t>0.5°×0.5°</w:t>
      </w:r>
      <w:r>
        <w:rPr>
          <w:rFonts w:hint="eastAsia"/>
        </w:rPr>
        <w:t>。CLSM与VIC模型</w:t>
      </w:r>
      <w:r>
        <w:t>空间分辨率</w:t>
      </w:r>
      <w:r>
        <w:rPr>
          <w:rFonts w:hint="eastAsia"/>
        </w:rPr>
        <w:t>为1</w:t>
      </w:r>
      <w:r>
        <w:t>°×</w:t>
      </w:r>
      <w:r>
        <w:rPr>
          <w:rFonts w:hint="eastAsia"/>
        </w:rPr>
        <w:t>1</w:t>
      </w:r>
      <w:r>
        <w:t>°</w:t>
      </w:r>
      <w:r>
        <w:rPr>
          <w:rFonts w:hint="eastAsia"/>
        </w:rPr>
        <w:t>，</w:t>
      </w:r>
      <w:r>
        <w:t>为与GRACE</w:t>
      </w:r>
      <w:r>
        <w:rPr>
          <w:rFonts w:hint="eastAsia"/>
        </w:rPr>
        <w:t>-FO</w:t>
      </w:r>
      <w:r>
        <w:t xml:space="preserve"> 数据保持一致，</w:t>
      </w:r>
      <w:r>
        <w:rPr>
          <w:rFonts w:hint="eastAsia"/>
        </w:rPr>
        <w:t>通过最邻近法将</w:t>
      </w:r>
      <w:r>
        <w:t>空间分辨率</w:t>
      </w:r>
      <w:r>
        <w:rPr>
          <w:rFonts w:hint="eastAsia"/>
        </w:rPr>
        <w:t>重采样至</w:t>
      </w:r>
      <w:r>
        <w:t>0.5°×0.5°</w:t>
      </w:r>
      <w:r>
        <w:rPr>
          <w:rFonts w:hint="eastAsia"/>
        </w:rPr>
        <w:t>，由于模型值的单位为</w:t>
      </w:r>
      <w:r>
        <w:rPr>
          <w:rFonts w:ascii="Cambria Math" w:hAnsi="Cambria Math" w:cs="Cambria Math"/>
        </w:rPr>
        <w:t>𝑘𝑔</w:t>
      </w:r>
      <w:r>
        <w:t>/</w:t>
      </w:r>
      <w:r>
        <w:rPr>
          <w:rFonts w:ascii="Cambria Math" w:hAnsi="Cambria Math" w:cs="Cambria Math"/>
        </w:rPr>
        <w:t>𝑚</w:t>
      </w:r>
      <w:r>
        <w:rPr>
          <w:vertAlign w:val="superscript"/>
        </w:rPr>
        <w:t>2</w:t>
      </w:r>
      <w:r>
        <w:rPr>
          <w:rFonts w:hint="eastAsia"/>
        </w:rPr>
        <w:t>，本文将其转化为等效水高的形式</w:t>
      </w:r>
      <w:r>
        <w:rPr>
          <w:rFonts w:cs="Times New Roman"/>
          <w:kern w:val="0"/>
          <w:vertAlign w:val="superscript"/>
        </w:rPr>
        <w:t>[39]</w:t>
      </w:r>
      <w:r>
        <w:rPr>
          <w:rFonts w:hint="eastAsia"/>
        </w:rPr>
        <w:t>，</w:t>
      </w:r>
      <w:r>
        <w:t>以 2004 年 1 月</w:t>
      </w:r>
      <w:r>
        <w:rPr>
          <w:rFonts w:hint="eastAsia"/>
        </w:rPr>
        <w:t>至</w:t>
      </w:r>
      <w:r>
        <w:t>2009 年 12 月的</w:t>
      </w:r>
      <w:r>
        <w:rPr>
          <w:rFonts w:hint="eastAsia"/>
        </w:rPr>
        <w:t>数据</w:t>
      </w:r>
      <w:r>
        <w:t>为基准。</w:t>
      </w:r>
      <w:bookmarkEnd w:id="27"/>
    </w:p>
    <w:p w14:paraId="65921D64">
      <w:pPr>
        <w:pStyle w:val="4"/>
        <w:rPr>
          <w:rFonts w:ascii="黑体" w:hAnsi="宋体" w:eastAsia="黑体"/>
          <w:b/>
          <w:lang w:val="zh-CN"/>
        </w:rPr>
      </w:pPr>
      <w:r>
        <w:t>1.2</w:t>
      </w:r>
      <w:r>
        <w:rPr>
          <w:lang w:val="zh-CN"/>
        </w:rPr>
        <w:t>.3 实测地下水数据</w:t>
      </w:r>
      <w:bookmarkStart w:id="28" w:name="_Hlk201161611"/>
    </w:p>
    <w:p w14:paraId="317E68FC">
      <w:pPr>
        <w:ind w:firstLine="420"/>
      </w:pPr>
      <w:bookmarkStart w:id="29" w:name="OLE_LINK13"/>
      <w:r>
        <w:rPr>
          <w:rFonts w:hint="eastAsia"/>
        </w:rPr>
        <w:t>地下水实测数据来源于国家地下水监测工程</w:t>
      </w:r>
      <w:bookmarkEnd w:id="29"/>
      <w:r>
        <w:rPr>
          <w:rFonts w:hint="eastAsia"/>
        </w:rPr>
        <w:t>自然资源部建设站点，由国家地下水信息系统获取，观测频次为每月 1 次，共有10171个监测水井，选取实测数据时间范围为2018年10月到2024年9月。对</w:t>
      </w:r>
      <w:r>
        <w:t>数据进行质量检查，</w:t>
      </w:r>
      <w:r>
        <w:rPr>
          <w:rFonts w:hint="eastAsia"/>
        </w:rPr>
        <w:t>首先，采用四分位距法识别并剔除地下水监测井原始水位数据异常值，具体步骤如下。</w:t>
      </w:r>
    </w:p>
    <w:p w14:paraId="598E555A">
      <w:pPr>
        <w:ind w:firstLine="420"/>
      </w:pPr>
      <w:r>
        <w:rPr>
          <w:rFonts w:hint="eastAsia"/>
        </w:rPr>
        <w:t xml:space="preserve">首先，对每一口地下水监测井的月尺度水位时间序列分别进行统计分析，计算其第一四分位数 </w:t>
      </w:r>
      <w:r>
        <w:rPr>
          <w:i/>
          <w:iCs/>
        </w:rPr>
        <w:t>Q</w:t>
      </w:r>
      <w:r>
        <w:rPr>
          <w:rFonts w:hint="eastAsia"/>
          <w:vertAlign w:val="subscript"/>
        </w:rPr>
        <w:t>1</w:t>
      </w:r>
      <w:r>
        <w:rPr>
          <w:rFonts w:hint="eastAsia"/>
        </w:rPr>
        <w:t xml:space="preserve">（25%分位数）和第三四分位数 </w:t>
      </w:r>
      <w:r>
        <w:rPr>
          <w:i/>
          <w:iCs/>
        </w:rPr>
        <w:t>Q</w:t>
      </w:r>
      <w:r>
        <w:rPr>
          <w:rFonts w:hint="eastAsia"/>
          <w:vertAlign w:val="subscript"/>
        </w:rPr>
        <w:t>3</w:t>
      </w:r>
      <w:r>
        <w:rPr>
          <w:rFonts w:hint="eastAsia"/>
        </w:rPr>
        <w:t>（75%分位数），并由此得到四分位距</w:t>
      </w:r>
      <w:r>
        <w:rPr>
          <w:i/>
          <w:iCs/>
        </w:rPr>
        <w:t>IQR</w:t>
      </w:r>
      <w:r>
        <w:rPr>
          <w:rFonts w:hint="eastAsia"/>
        </w:rPr>
        <w:t>（Interquartile Range）为</w:t>
      </w:r>
    </w:p>
    <w:p w14:paraId="446D3450">
      <w:pPr>
        <w:pStyle w:val="48"/>
      </w:pPr>
      <w:r>
        <w:tab/>
      </w:r>
      <w:r>
        <w:rPr>
          <w:position w:val="-12"/>
        </w:rPr>
        <w:object>
          <v:shape id="_x0000_i1025" o:spt="75" type="#_x0000_t75" style="height:17.9pt;width:69.1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t xml:space="preserve"> </w:t>
      </w:r>
      <w:r>
        <w:tab/>
      </w:r>
      <w:r>
        <w:fldChar w:fldCharType="begin"/>
      </w:r>
      <w:r>
        <w:instrText xml:space="preserve"> MACROBUTTON AMMPlaceRM \* MERGEFORMAT </w:instrText>
      </w:r>
      <w:r>
        <w:fldChar w:fldCharType="begin"/>
      </w:r>
      <w:r>
        <w:instrText xml:space="preserve"> SEQ AMEqn \h \* MERGEFORMAT </w:instrText>
      </w:r>
      <w:r>
        <w:fldChar w:fldCharType="end"/>
      </w:r>
      <w:r>
        <w:rPr>
          <w:rFonts w:hint="eastAsia"/>
        </w:rPr>
        <w:instrText xml:space="preserve">（</w:instrText>
      </w:r>
      <w:r>
        <w:instrText xml:space="preserve">1</w:instrText>
      </w:r>
      <w:r>
        <w:rPr>
          <w:rFonts w:hint="eastAsia"/>
        </w:rPr>
        <w:instrText xml:space="preserve">）</w:instrText>
      </w:r>
      <w:r>
        <w:fldChar w:fldCharType="end"/>
      </w:r>
    </w:p>
    <w:p w14:paraId="2C7CBA01">
      <w:pPr>
        <w:ind w:firstLine="0" w:firstLineChars="0"/>
      </w:pPr>
      <w:r>
        <w:rPr>
          <w:rFonts w:hint="eastAsia"/>
        </w:rPr>
        <w:t>式中，以[</w:t>
      </w:r>
      <w:r>
        <w:rPr>
          <w:i/>
          <w:iCs/>
        </w:rPr>
        <w:t>Q</w:t>
      </w:r>
      <w:r>
        <w:rPr>
          <w:rFonts w:hint="eastAsia"/>
          <w:vertAlign w:val="subscript"/>
        </w:rPr>
        <w:t>1</w:t>
      </w:r>
      <w:r>
        <w:rPr>
          <w:rFonts w:hint="eastAsia"/>
        </w:rPr>
        <w:t>-1.5</w:t>
      </w:r>
      <w:r>
        <w:t>×</w:t>
      </w:r>
      <w:r>
        <w:rPr>
          <w:i/>
          <w:iCs/>
        </w:rPr>
        <w:t>IQR</w:t>
      </w:r>
      <w:r>
        <w:rPr>
          <w:rFonts w:hint="eastAsia"/>
          <w:i/>
          <w:iCs/>
        </w:rPr>
        <w:t>，</w:t>
      </w:r>
      <w:r>
        <w:rPr>
          <w:i/>
          <w:iCs/>
        </w:rPr>
        <w:t>Q</w:t>
      </w:r>
      <w:r>
        <w:rPr>
          <w:rFonts w:hint="eastAsia"/>
          <w:vertAlign w:val="subscript"/>
        </w:rPr>
        <w:t>3</w:t>
      </w:r>
      <w:r>
        <w:rPr>
          <w:rFonts w:hint="eastAsia"/>
        </w:rPr>
        <w:t>+1.5</w:t>
      </w:r>
      <w:r>
        <w:t>×</w:t>
      </w:r>
      <w:r>
        <w:rPr>
          <w:i/>
          <w:iCs/>
        </w:rPr>
        <w:t>IQR</w:t>
      </w:r>
      <w:r>
        <w:rPr>
          <w:rFonts w:hint="eastAsia"/>
        </w:rPr>
        <w:t>] 作为正常取值范围。</w:t>
      </w:r>
    </w:p>
    <w:p w14:paraId="47F88324">
      <w:pPr>
        <w:ind w:firstLine="420"/>
      </w:pPr>
      <w:r>
        <w:rPr>
          <w:rFonts w:hint="eastAsia"/>
        </w:rPr>
        <w:t>当某一时刻的地下水位观测值小于</w:t>
      </w:r>
      <w:r>
        <w:rPr>
          <w:i/>
          <w:iCs/>
        </w:rPr>
        <w:t>Q</w:t>
      </w:r>
      <w:r>
        <w:rPr>
          <w:rFonts w:hint="eastAsia"/>
          <w:vertAlign w:val="subscript"/>
        </w:rPr>
        <w:t>1</w:t>
      </w:r>
      <w:r>
        <w:rPr>
          <w:rFonts w:hint="eastAsia"/>
        </w:rPr>
        <w:t>-1.5</w:t>
      </w:r>
      <w:r>
        <w:t>×</w:t>
      </w:r>
      <w:r>
        <w:rPr>
          <w:i/>
          <w:iCs/>
        </w:rPr>
        <w:t>IQR</w:t>
      </w:r>
      <w:r>
        <w:rPr>
          <w:rFonts w:hint="eastAsia"/>
        </w:rPr>
        <w:t xml:space="preserve"> 或大于</w:t>
      </w:r>
      <w:r>
        <w:rPr>
          <w:i/>
          <w:iCs/>
        </w:rPr>
        <w:t>Q</w:t>
      </w:r>
      <w:r>
        <w:rPr>
          <w:rFonts w:hint="eastAsia"/>
          <w:vertAlign w:val="subscript"/>
        </w:rPr>
        <w:t>3</w:t>
      </w:r>
      <w:r>
        <w:rPr>
          <w:rFonts w:hint="eastAsia"/>
        </w:rPr>
        <w:t>+1.5</w:t>
      </w:r>
      <w:r>
        <w:t>×</w:t>
      </w:r>
      <w:r>
        <w:rPr>
          <w:i/>
          <w:iCs/>
        </w:rPr>
        <w:t>IQR</w:t>
      </w:r>
      <w:r>
        <w:rPr>
          <w:rFonts w:hint="eastAsia"/>
        </w:rPr>
        <w:t>时，判定该观测值为异常值并予以剔除。</w:t>
      </w:r>
    </w:p>
    <w:p w14:paraId="23CBE08F">
      <w:pPr>
        <w:ind w:firstLine="420"/>
      </w:pPr>
      <w:r>
        <w:rPr>
          <w:rFonts w:hint="eastAsia"/>
        </w:rPr>
        <w:t>然后，对时间序列缺失部分进行线性插值，以保证数据的连续性；最后，鉴于连续缺失数据过多会影响线性插值的精度，所以剔除时间序列中连续缺失超过4个月的站点。共筛选出7766个监测站点，其中4179口为潜水井，3587口为承压水井，分布相对均匀，如图 1所示。</w:t>
      </w:r>
      <w:bookmarkEnd w:id="28"/>
      <w:r>
        <w:rPr>
          <w:rFonts w:hint="eastAsia"/>
        </w:rPr>
        <w:t>为与地下水储量变化比较，应根据</w:t>
      </w:r>
      <w:r>
        <w:t>潜水</w:t>
      </w:r>
      <w:r>
        <w:rPr>
          <w:rFonts w:hint="eastAsia"/>
        </w:rPr>
        <w:t>井</w:t>
      </w:r>
      <w:r>
        <w:t>与承压水井</w:t>
      </w:r>
      <w:r>
        <w:rPr>
          <w:rFonts w:hint="eastAsia"/>
        </w:rPr>
        <w:t>类型，结合</w:t>
      </w:r>
      <w:r>
        <w:t>给水度、弹性释水系数和非弹性压密释水系数等关键水文地质参数</w:t>
      </w:r>
      <w:r>
        <w:rPr>
          <w:rFonts w:hint="eastAsia"/>
        </w:rPr>
        <w:t>，将实测地下水位变化转换为实测地下水储量变化</w:t>
      </w:r>
      <w:r>
        <w:rPr>
          <w:rFonts w:cs="Times New Roman"/>
          <w:kern w:val="0"/>
          <w:vertAlign w:val="superscript"/>
        </w:rPr>
        <w:t>[13,20]</w:t>
      </w:r>
      <w:r>
        <w:rPr>
          <w:rFonts w:hint="eastAsia"/>
        </w:rPr>
        <w:t>。然而，</w:t>
      </w:r>
      <w:r>
        <w:t>上述关键水文地质参数</w:t>
      </w:r>
      <w:r>
        <w:rPr>
          <w:rFonts w:hint="eastAsia"/>
        </w:rPr>
        <w:t>往往</w:t>
      </w:r>
      <w:r>
        <w:t>难以获取</w:t>
      </w:r>
      <w:r>
        <w:rPr>
          <w:rFonts w:hint="eastAsia"/>
        </w:rPr>
        <w:t>，同时考虑到</w:t>
      </w:r>
      <w:r>
        <w:t>GRACE-FO 反演的地下水储量变化反映的是综合地下水储量变化，难以区分不同含水层类型</w:t>
      </w:r>
      <w:r>
        <w:rPr>
          <w:rFonts w:hint="eastAsia"/>
        </w:rPr>
        <w:t>，现有研究多采用实测水位均值进行比较</w:t>
      </w:r>
      <w:r>
        <w:rPr>
          <w:rFonts w:cs="Times New Roman"/>
          <w:kern w:val="0"/>
          <w:vertAlign w:val="superscript"/>
        </w:rPr>
        <w:t>[6,32,40]</w:t>
      </w:r>
      <w:r>
        <w:rPr>
          <w:rFonts w:hint="eastAsia"/>
        </w:rPr>
        <w:t>。因此，</w:t>
      </w:r>
      <w:r>
        <w:t>对于每个评价像元，</w:t>
      </w:r>
      <w:r>
        <w:rPr>
          <w:rFonts w:hint="eastAsia"/>
        </w:rPr>
        <w:t>利用像元</w:t>
      </w:r>
      <w:r>
        <w:t>内</w:t>
      </w:r>
      <w:r>
        <w:rPr>
          <w:rFonts w:hint="eastAsia"/>
        </w:rPr>
        <w:t>筛选后的</w:t>
      </w:r>
      <w:r>
        <w:t>所有监测井地下水位变化</w:t>
      </w:r>
      <w:r>
        <w:rPr>
          <w:rFonts w:hint="eastAsia"/>
        </w:rPr>
        <w:t>均值，</w:t>
      </w:r>
      <w:r>
        <w:t>代表该像元地下水位变化</w:t>
      </w:r>
      <w:r>
        <w:rPr>
          <w:rFonts w:hint="eastAsia"/>
        </w:rPr>
        <w:t>。考虑到部分地区地下水监测井稀疏，在适用性评价过程中，为提高每个评价像元内实测地下水位数据的空间代表性，筛选了至少有三个地下水监测井的像元进行评价。</w:t>
      </w:r>
    </w:p>
    <w:p w14:paraId="5F7297AD">
      <w:pPr>
        <w:pStyle w:val="2"/>
      </w:pPr>
      <w:r>
        <w:t xml:space="preserve">2 </w:t>
      </w:r>
      <w:r>
        <w:rPr>
          <w:rFonts w:hint="eastAsia"/>
        </w:rPr>
        <w:t>研究方法</w:t>
      </w:r>
    </w:p>
    <w:p w14:paraId="4A31BDDC">
      <w:pPr>
        <w:pStyle w:val="3"/>
        <w:rPr>
          <w:b/>
          <w:lang w:val="zh-CN"/>
        </w:rPr>
      </w:pPr>
      <w:bookmarkStart w:id="30" w:name="_Hlk219385847"/>
      <w:r>
        <w:rPr>
          <w:rFonts w:hint="eastAsia"/>
          <w:lang w:val="zh-CN"/>
        </w:rPr>
        <w:t>2.1 地下水储量变化计算</w:t>
      </w:r>
      <w:bookmarkEnd w:id="30"/>
    </w:p>
    <w:p w14:paraId="714D7DFB">
      <w:pPr>
        <w:autoSpaceDE w:val="0"/>
        <w:autoSpaceDN w:val="0"/>
        <w:adjustRightInd w:val="0"/>
        <w:ind w:firstLine="420"/>
        <w:jc w:val="left"/>
      </w:pPr>
      <w:r>
        <w:rPr>
          <w:rFonts w:hint="eastAsia"/>
        </w:rPr>
        <w:t>GRACE-FO产品</w:t>
      </w:r>
      <w:r>
        <w:t>用于监测陆地水储量变化</w:t>
      </w:r>
      <w:r>
        <w:rPr>
          <w:rFonts w:hint="eastAsia"/>
        </w:rPr>
        <w:t>（</w:t>
      </w:r>
      <w:r>
        <w:rPr>
          <w:rFonts w:hint="eastAsia"/>
          <w:i/>
          <w:iCs/>
        </w:rPr>
        <w:t>TWSA</w:t>
      </w:r>
      <w:r>
        <w:rPr>
          <w:rFonts w:hint="eastAsia"/>
        </w:rPr>
        <w:t>）</w:t>
      </w:r>
      <w:r>
        <w:t>，所述</w:t>
      </w:r>
      <w:r>
        <w:rPr>
          <w:rFonts w:hint="eastAsia"/>
        </w:rPr>
        <w:t>陆地水储量变化主要受地表水储量变化（S</w:t>
      </w:r>
      <w:r>
        <w:t xml:space="preserve">urface </w:t>
      </w:r>
      <w:r>
        <w:rPr>
          <w:rFonts w:hint="eastAsia"/>
        </w:rPr>
        <w:t>W</w:t>
      </w:r>
      <w:r>
        <w:t xml:space="preserve">ater </w:t>
      </w:r>
      <w:r>
        <w:rPr>
          <w:rFonts w:hint="eastAsia"/>
        </w:rPr>
        <w:t>S</w:t>
      </w:r>
      <w:r>
        <w:t>torage</w:t>
      </w:r>
      <w:r>
        <w:rPr>
          <w:rFonts w:hint="eastAsia"/>
        </w:rPr>
        <w:t xml:space="preserve"> </w:t>
      </w:r>
      <w:r>
        <w:rPr>
          <w:rFonts w:hint="eastAsia" w:eastAsia="楷体" w:cs="Times New Roman"/>
          <w:szCs w:val="21"/>
        </w:rPr>
        <w:t>Anomalies</w:t>
      </w:r>
      <w:r>
        <w:rPr>
          <w:rFonts w:hint="eastAsia"/>
        </w:rPr>
        <w:t>，</w:t>
      </w:r>
      <w:r>
        <w:rPr>
          <w:rFonts w:hint="eastAsia"/>
          <w:i/>
          <w:iCs/>
        </w:rPr>
        <w:t>SWSA</w:t>
      </w:r>
      <w:r>
        <w:rPr>
          <w:rFonts w:hint="eastAsia"/>
        </w:rPr>
        <w:t>）和地下水储量变化（</w:t>
      </w:r>
      <w:r>
        <w:rPr>
          <w:rFonts w:hint="eastAsia"/>
          <w:i/>
          <w:iCs/>
        </w:rPr>
        <w:t>GWSA</w:t>
      </w:r>
      <w:r>
        <w:rPr>
          <w:rFonts w:hint="eastAsia"/>
        </w:rPr>
        <w:t>）影响，其中地表水储量可看作由土壤水变化（</w:t>
      </w:r>
      <w:r>
        <w:rPr>
          <w:rFonts w:hint="eastAsia"/>
          <w:i/>
          <w:iCs/>
        </w:rPr>
        <w:t>SMSA</w:t>
      </w:r>
      <w:r>
        <w:rPr>
          <w:rFonts w:hint="eastAsia"/>
        </w:rPr>
        <w:t>）、雪水当量变化（</w:t>
      </w:r>
      <w:r>
        <w:rPr>
          <w:rFonts w:hint="eastAsia"/>
          <w:i/>
          <w:iCs/>
        </w:rPr>
        <w:t>SWEA</w:t>
      </w:r>
      <w:r>
        <w:rPr>
          <w:rFonts w:hint="eastAsia"/>
        </w:rPr>
        <w:t>）、植被冠层水变化(</w:t>
      </w:r>
      <w:r>
        <w:rPr>
          <w:rFonts w:hint="eastAsia"/>
          <w:i/>
          <w:iCs/>
        </w:rPr>
        <w:t>CWSA</w:t>
      </w:r>
      <w:r>
        <w:rPr>
          <w:rFonts w:hint="eastAsia"/>
        </w:rPr>
        <w:t>)、地表径流变化(</w:t>
      </w:r>
      <w:r>
        <w:rPr>
          <w:rFonts w:hint="eastAsia"/>
          <w:i/>
          <w:iCs/>
        </w:rPr>
        <w:t>SRSA</w:t>
      </w:r>
      <w:r>
        <w:rPr>
          <w:rFonts w:hint="eastAsia"/>
        </w:rPr>
        <w:t>)组成。因此，地下水储量变化的具体计算公式为</w:t>
      </w:r>
    </w:p>
    <w:p w14:paraId="44E6F6F3">
      <w:pPr>
        <w:pStyle w:val="43"/>
        <w:ind w:firstLine="420"/>
      </w:pPr>
      <w:bookmarkStart w:id="31" w:name="OLE_LINK14"/>
      <w:r>
        <w:tab/>
      </w:r>
      <w:r>
        <w:rPr>
          <w:position w:val="-10"/>
        </w:rPr>
        <w:object>
          <v:shape id="_x0000_i1026" o:spt="75" type="#_x0000_t75" style="height:15pt;width:205.2pt;" o:ole="t" filled="f" o:preferrelative="t" stroked="f" coordsize="21600,21600">
            <v:path/>
            <v:fill on="f" focussize="0,0"/>
            <v:stroke on="f" joinstyle="miter"/>
            <v:imagedata r:id="rId16" o:title=""/>
            <o:lock v:ext="edit" aspectratio="t"/>
            <w10:wrap type="none"/>
            <w10:anchorlock/>
          </v:shape>
          <o:OLEObject Type="Embed" ProgID="Equation.AxMath" ShapeID="_x0000_i1026" DrawAspect="Content" ObjectID="_1468075726" r:id="rId15">
            <o:LockedField>false</o:LockedField>
          </o:OLEObject>
        </w:object>
      </w:r>
      <w:r>
        <w:tab/>
      </w:r>
      <w:r>
        <w:fldChar w:fldCharType="begin"/>
      </w:r>
      <w:r>
        <w:instrText xml:space="preserve"> MACROBUTTON AMMPlaceRM \* MERGEFORMAT </w:instrText>
      </w:r>
      <w:r>
        <w:fldChar w:fldCharType="begin"/>
      </w:r>
      <w:r>
        <w:instrText xml:space="preserve"> SEQ AMEqn \h \* MERGEFORMAT </w:instrText>
      </w:r>
      <w:r>
        <w:fldChar w:fldCharType="end"/>
      </w:r>
      <w:r>
        <w:rPr>
          <w:rFonts w:hint="eastAsia"/>
        </w:rPr>
        <w:instrText xml:space="preserve">（</w:instrText>
      </w:r>
      <w:r>
        <w:instrText xml:space="preserve">2</w:instrText>
      </w:r>
      <w:r>
        <w:rPr>
          <w:rFonts w:hint="eastAsia"/>
        </w:rPr>
        <w:instrText xml:space="preserve">）</w:instrText>
      </w:r>
      <w:r>
        <w:fldChar w:fldCharType="end"/>
      </w:r>
    </w:p>
    <w:bookmarkEnd w:id="31"/>
    <w:p w14:paraId="6B9CB05A">
      <w:pPr>
        <w:pStyle w:val="43"/>
        <w:ind w:firstLine="420"/>
      </w:pPr>
      <w:r>
        <w:tab/>
      </w:r>
      <w:r>
        <w:rPr>
          <w:position w:val="-10"/>
        </w:rPr>
        <w:object>
          <v:shape id="_x0000_i1027" o:spt="75" type="#_x0000_t75" style="height:15pt;width:121.1pt;" o:ole="t" filled="f" o:preferrelative="t" stroked="f" coordsize="21600,21600">
            <v:path/>
            <v:fill on="f" focussize="0,0"/>
            <v:stroke on="f" joinstyle="miter"/>
            <v:imagedata r:id="rId18" o:title=""/>
            <o:lock v:ext="edit" aspectratio="t"/>
            <w10:wrap type="none"/>
            <w10:anchorlock/>
          </v:shape>
          <o:OLEObject Type="Embed" ProgID="Equation.AxMath" ShapeID="_x0000_i1027" DrawAspect="Content" ObjectID="_1468075727" r:id="rId17">
            <o:LockedField>false</o:LockedField>
          </o:OLEObject>
        </w:object>
      </w:r>
      <w:r>
        <w:tab/>
      </w:r>
      <w:r>
        <w:fldChar w:fldCharType="begin"/>
      </w:r>
      <w:r>
        <w:instrText xml:space="preserve"> MACROBUTTON AMMPlaceRM \* MERGEFORMAT </w:instrText>
      </w:r>
      <w:r>
        <w:fldChar w:fldCharType="begin"/>
      </w:r>
      <w:r>
        <w:instrText xml:space="preserve"> SEQ AMEqn \h \* MERGEFORMAT </w:instrText>
      </w:r>
      <w:r>
        <w:fldChar w:fldCharType="end"/>
      </w:r>
      <w:r>
        <w:rPr>
          <w:rFonts w:hint="eastAsia"/>
        </w:rPr>
        <w:instrText xml:space="preserve">（</w:instrText>
      </w:r>
      <w:r>
        <w:instrText xml:space="preserve">3</w:instrText>
      </w:r>
      <w:r>
        <w:rPr>
          <w:rFonts w:hint="eastAsia"/>
        </w:rPr>
        <w:instrText xml:space="preserve">）</w:instrText>
      </w:r>
      <w:r>
        <w:fldChar w:fldCharType="end"/>
      </w:r>
    </w:p>
    <w:p w14:paraId="752651FF">
      <w:pPr>
        <w:ind w:firstLine="420"/>
      </w:pPr>
      <w:r>
        <w:rPr>
          <w:rFonts w:hint="eastAsia"/>
          <w:i/>
          <w:iCs/>
        </w:rPr>
        <w:t>TWSA</w:t>
      </w:r>
      <w:r>
        <w:rPr>
          <w:rFonts w:hint="eastAsia"/>
        </w:rPr>
        <w:t>由GRACE-FO产品反演得到，</w:t>
      </w:r>
      <w:r>
        <w:rPr>
          <w:rFonts w:hint="eastAsia"/>
          <w:i/>
          <w:iCs/>
        </w:rPr>
        <w:t>SWSA</w:t>
      </w:r>
      <w:r>
        <w:rPr>
          <w:rFonts w:hint="eastAsia"/>
        </w:rPr>
        <w:t>从 GLDAS陆地表面模型中获取。各水储量变化的单位为等效水高（cm）。</w:t>
      </w:r>
    </w:p>
    <w:p w14:paraId="5A2493A7">
      <w:pPr>
        <w:pStyle w:val="3"/>
        <w:rPr>
          <w:b/>
          <w:lang w:val="zh-CN"/>
        </w:rPr>
      </w:pPr>
      <w:r>
        <w:rPr>
          <w:rFonts w:hint="eastAsia"/>
          <w:lang w:val="zh-CN"/>
        </w:rPr>
        <w:t>2.2 指标构建</w:t>
      </w:r>
    </w:p>
    <w:p w14:paraId="48415CC9">
      <w:pPr>
        <w:ind w:firstLine="420"/>
      </w:pPr>
      <w:r>
        <w:rPr>
          <w:rFonts w:hint="eastAsia"/>
        </w:rPr>
        <w:t>利用互相关系数、相位差变异系数与幅度比变异系数三种指标，从趋势、相位和振幅三个角度衡量GWSA与实测地下水位变化的一致性，并计算综合适用性指标，以评估不同GWSA产品的适用性。</w:t>
      </w:r>
    </w:p>
    <w:p w14:paraId="0E91732C">
      <w:pPr>
        <w:pStyle w:val="4"/>
        <w:rPr>
          <w:rFonts w:ascii="黑体" w:hAnsi="宋体" w:eastAsia="黑体"/>
          <w:b/>
          <w:lang w:val="zh-CN"/>
        </w:rPr>
      </w:pPr>
      <w:r>
        <w:rPr>
          <w:lang w:val="zh-CN"/>
        </w:rPr>
        <w:t>2.2.1 互相关系数</w:t>
      </w:r>
    </w:p>
    <w:p w14:paraId="7CFC24E4">
      <w:pPr>
        <w:ind w:firstLine="420"/>
      </w:pPr>
      <w:r>
        <w:t>互相关系数</w:t>
      </w:r>
      <w:r>
        <w:rPr>
          <w:rFonts w:cs="Times New Roman"/>
          <w:kern w:val="0"/>
          <w:sz w:val="24"/>
          <w:vertAlign w:val="superscript"/>
        </w:rPr>
        <w:t>[41</w:t>
      </w:r>
      <w:r>
        <w:rPr>
          <w:rFonts w:hint="eastAsia" w:cs="Times New Roman"/>
          <w:kern w:val="0"/>
          <w:sz w:val="24"/>
          <w:vertAlign w:val="superscript"/>
        </w:rPr>
        <w:t>-</w:t>
      </w:r>
      <w:r>
        <w:rPr>
          <w:rFonts w:cs="Times New Roman"/>
          <w:kern w:val="0"/>
          <w:sz w:val="24"/>
          <w:vertAlign w:val="superscript"/>
        </w:rPr>
        <w:t>42]</w:t>
      </w:r>
      <w:r>
        <w:t>用以度量两个信号之间的相</w:t>
      </w:r>
      <w:r>
        <w:rPr>
          <w:rFonts w:hint="eastAsia"/>
        </w:rPr>
        <w:t>关</w:t>
      </w:r>
      <w:r>
        <w:t>性</w:t>
      </w:r>
      <w:r>
        <w:rPr>
          <w:rFonts w:hint="eastAsia"/>
        </w:rPr>
        <w:t>，计算公式</w:t>
      </w:r>
      <w:bookmarkStart w:id="32" w:name="OLE_LINK16"/>
      <w:r>
        <w:rPr>
          <w:rFonts w:hint="eastAsia"/>
        </w:rPr>
        <w:t>为</w:t>
      </w:r>
      <w:bookmarkEnd w:id="32"/>
    </w:p>
    <w:p w14:paraId="70202AB9">
      <w:pPr>
        <w:pStyle w:val="43"/>
        <w:ind w:firstLine="420"/>
      </w:pPr>
      <w:r>
        <w:rPr>
          <w:rFonts w:hint="eastAsia"/>
        </w:rPr>
        <w:tab/>
      </w:r>
      <w:r>
        <w:rPr>
          <w:rFonts w:hint="eastAsia"/>
          <w:position w:val="-64"/>
        </w:rPr>
        <w:object>
          <v:shape id="_x0000_i1028" o:spt="75" type="#_x0000_t75" style="height:67.4pt;width:226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r>
        <w:rPr>
          <w:rFonts w:hint="eastAsia"/>
        </w:rPr>
        <w:tab/>
      </w:r>
      <w:r>
        <w:rPr>
          <w:rFonts w:hint="eastAsia"/>
        </w:rPr>
        <w:t>（4）</w:t>
      </w:r>
    </w:p>
    <w:p w14:paraId="1D13EAA1">
      <w:pPr>
        <w:pStyle w:val="43"/>
      </w:pPr>
      <w:r>
        <w:t>式中</w:t>
      </w:r>
      <w:r>
        <w:rPr>
          <w:rFonts w:hint="eastAsia"/>
        </w:rPr>
        <w:t>，</w:t>
      </w:r>
      <w:r>
        <w:rPr>
          <w:position w:val="-12"/>
        </w:rPr>
        <w:object>
          <v:shape id="_x0000_i1029" o:spt="75" type="#_x0000_t75" style="height:17.9pt;width:15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r>
        <w:t>、</w:t>
      </w:r>
      <w:r>
        <w:rPr>
          <w:position w:val="-14"/>
        </w:rPr>
        <w:object>
          <v:shape id="_x0000_i1030" o:spt="75" type="#_x0000_t75" style="height:19.15pt;width:16.65pt;" o:ole="t" filled="f" o:preferrelative="t" stroked="f" coordsize="21600,21600">
            <v:path/>
            <v:fill on="f" focussize="0,0"/>
            <v:stroke on="f" joinstyle="miter"/>
            <v:imagedata r:id="rId24" o:title=""/>
            <o:lock v:ext="edit" aspectratio="t"/>
            <w10:wrap type="none"/>
            <w10:anchorlock/>
          </v:shape>
          <o:OLEObject Type="Embed" ProgID="Equation.DSMT4" ShapeID="_x0000_i1030" DrawAspect="Content" ObjectID="_1468075730" r:id="rId23">
            <o:LockedField>false</o:LockedField>
          </o:OLEObject>
        </w:object>
      </w:r>
      <w:r>
        <w:t xml:space="preserve"> 分别为</w:t>
      </w:r>
      <w:r>
        <w:rPr>
          <w:rFonts w:hint="eastAsia"/>
        </w:rPr>
        <w:t>GWSA时间序列</w:t>
      </w:r>
      <w:r>
        <w:rPr>
          <w:position w:val="-14"/>
        </w:rPr>
        <w:object>
          <v:shape id="_x0000_i1031" o:spt="75" type="#_x0000_t75" style="height:20.4pt;width:23.3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5">
            <o:LockedField>false</o:LockedField>
          </o:OLEObject>
        </w:object>
      </w:r>
      <w:r>
        <w:t>和</w:t>
      </w:r>
      <w:r>
        <w:rPr>
          <w:rFonts w:hint="eastAsia"/>
        </w:rPr>
        <w:t>像元内实测地下水位变化均值时间序列</w:t>
      </w:r>
      <w:r>
        <w:rPr>
          <w:position w:val="-14"/>
        </w:rPr>
        <w:object>
          <v:shape id="_x0000_i1032" o:spt="75" type="#_x0000_t75" style="height:20.4pt;width:24.55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32" r:id="rId27">
            <o:LockedField>false</o:LockedField>
          </o:OLEObject>
        </w:object>
      </w:r>
      <w:r>
        <w:t>的均方差</w:t>
      </w:r>
      <w:r>
        <w:rPr>
          <w:rFonts w:hint="eastAsia"/>
        </w:rPr>
        <w:t>；</w:t>
      </w:r>
      <w:r>
        <w:rPr>
          <w:position w:val="-6"/>
        </w:rPr>
        <w:object>
          <v:shape id="_x0000_i1033" o:spt="75" type="#_x0000_t75" style="height:12.5pt;width:10.4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29">
            <o:LockedField>false</o:LockedField>
          </o:OLEObject>
        </w:object>
      </w:r>
      <w:r>
        <w:t>、</w:t>
      </w:r>
      <w:r>
        <w:rPr>
          <w:position w:val="-10"/>
        </w:rPr>
        <w:object>
          <v:shape id="_x0000_i1034" o:spt="75" type="#_x0000_t75" style="height:15pt;width:10.4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34" r:id="rId31">
            <o:LockedField>false</o:LockedField>
          </o:OLEObject>
        </w:object>
      </w:r>
      <w:r>
        <w:t>分别为</w:t>
      </w:r>
      <w:r>
        <w:rPr>
          <w:position w:val="-14"/>
        </w:rPr>
        <w:object>
          <v:shape id="_x0000_i1035" o:spt="75" type="#_x0000_t75" style="height:20.4pt;width:23.3pt;" o:ole="t" filled="f" o:preferrelative="t" stroked="f" coordsize="21600,21600">
            <v:path/>
            <v:fill on="f" focussize="0,0"/>
            <v:stroke on="f" joinstyle="miter"/>
            <v:imagedata r:id="rId26" o:title=""/>
            <o:lock v:ext="edit" aspectratio="t"/>
            <w10:wrap type="none"/>
            <w10:anchorlock/>
          </v:shape>
          <o:OLEObject Type="Embed" ProgID="Equation.DSMT4" ShapeID="_x0000_i1035" DrawAspect="Content" ObjectID="_1468075735" r:id="rId33">
            <o:LockedField>false</o:LockedField>
          </o:OLEObject>
        </w:object>
      </w:r>
      <w:r>
        <w:t>和</w:t>
      </w:r>
      <w:r>
        <w:rPr>
          <w:position w:val="-14"/>
        </w:rPr>
        <w:object>
          <v:shape id="_x0000_i1036" o:spt="75" type="#_x0000_t75" style="height:20.4pt;width:24.55pt;" o:ole="t" filled="f" o:preferrelative="t" stroked="f" coordsize="21600,21600">
            <v:path/>
            <v:fill on="f" focussize="0,0"/>
            <v:stroke on="f" joinstyle="miter"/>
            <v:imagedata r:id="rId35" o:title=""/>
            <o:lock v:ext="edit" aspectratio="t"/>
            <w10:wrap type="none"/>
            <w10:anchorlock/>
          </v:shape>
          <o:OLEObject Type="Embed" ProgID="Equation.DSMT4" ShapeID="_x0000_i1036" DrawAspect="Content" ObjectID="_1468075736" r:id="rId34">
            <o:LockedField>false</o:LockedField>
          </o:OLEObject>
        </w:object>
      </w:r>
      <w:r>
        <w:t>的均值</w:t>
      </w:r>
      <w:r>
        <w:rPr>
          <w:rFonts w:hint="eastAsia"/>
        </w:rPr>
        <w:t>；</w:t>
      </w:r>
      <w:r>
        <w:rPr>
          <w:position w:val="-6"/>
        </w:rPr>
        <w:object>
          <v:shape id="_x0000_i1037" o:spt="75" type="#_x0000_t75" style="height:14.15pt;width:10pt;" o:ole="t" filled="f" o:preferrelative="t" stroked="f" coordsize="21600,21600">
            <v:path/>
            <v:fill on="f" focussize="0,0"/>
            <v:stroke on="f" joinstyle="miter"/>
            <v:imagedata r:id="rId37" o:title=""/>
            <o:lock v:ext="edit" aspectratio="t"/>
            <w10:wrap type="none"/>
            <w10:anchorlock/>
          </v:shape>
          <o:OLEObject Type="Embed" ProgID="Equation.DSMT4" ShapeID="_x0000_i1037" DrawAspect="Content" ObjectID="_1468075737" r:id="rId36">
            <o:LockedField>false</o:LockedField>
          </o:OLEObject>
        </w:object>
      </w:r>
      <w:r>
        <w:t xml:space="preserve"> </w:t>
      </w:r>
      <w:r>
        <w:rPr>
          <w:rFonts w:hint="eastAsia"/>
        </w:rPr>
        <w:t>是滞后量，表示两个时间序列的偏移程度；</w:t>
      </w:r>
      <w:r>
        <w:rPr>
          <w:position w:val="-14"/>
        </w:rPr>
        <w:object>
          <v:shape id="_x0000_i1038" o:spt="75" type="#_x0000_t75" style="height:19.15pt;width:33.3pt;" o:ole="t" filled="f" o:preferrelative="t" stroked="f" coordsize="21600,21600">
            <v:path/>
            <v:fill on="f" focussize="0,0"/>
            <v:stroke on="f" joinstyle="miter"/>
            <v:imagedata r:id="rId39" o:title=""/>
            <o:lock v:ext="edit" aspectratio="t"/>
            <w10:wrap type="none"/>
            <w10:anchorlock/>
          </v:shape>
          <o:OLEObject Type="Embed" ProgID="Equation.DSMT4" ShapeID="_x0000_i1038" DrawAspect="Content" ObjectID="_1468075738" r:id="rId38">
            <o:LockedField>false</o:LockedField>
          </o:OLEObject>
        </w:object>
      </w:r>
      <w:r>
        <w:t xml:space="preserve"> 和</w:t>
      </w:r>
      <w:r>
        <w:rPr>
          <w:position w:val="-14"/>
        </w:rPr>
        <w:object>
          <v:shape id="_x0000_i1039" o:spt="75" type="#_x0000_t75" style="height:19.15pt;width:29.55pt;" o:ole="t" filled="f" o:preferrelative="t" stroked="f" coordsize="21600,21600">
            <v:path/>
            <v:fill on="f" focussize="0,0"/>
            <v:stroke on="f" joinstyle="miter"/>
            <v:imagedata r:id="rId41" o:title=""/>
            <o:lock v:ext="edit" aspectratio="t"/>
            <w10:wrap type="none"/>
            <w10:anchorlock/>
          </v:shape>
          <o:OLEObject Type="Embed" ProgID="Equation.DSMT4" ShapeID="_x0000_i1039" DrawAspect="Content" ObjectID="_1468075739" r:id="rId40">
            <o:LockedField>false</o:LockedField>
          </o:OLEObject>
        </w:object>
      </w:r>
      <w:r>
        <w:t xml:space="preserve"> 分别为时间序列</w:t>
      </w:r>
      <w:r>
        <w:rPr>
          <w:position w:val="-14"/>
        </w:rPr>
        <w:object>
          <v:shape id="_x0000_i1040" o:spt="75" type="#_x0000_t75" style="height:20.4pt;width:23.3pt;" o:ole="t" filled="f" o:preferrelative="t" stroked="f" coordsize="21600,21600">
            <v:path/>
            <v:fill on="f" focussize="0,0"/>
            <v:stroke on="f" joinstyle="miter"/>
            <v:imagedata r:id="rId26" o:title=""/>
            <o:lock v:ext="edit" aspectratio="t"/>
            <w10:wrap type="none"/>
            <w10:anchorlock/>
          </v:shape>
          <o:OLEObject Type="Embed" ProgID="Equation.DSMT4" ShapeID="_x0000_i1040" DrawAspect="Content" ObjectID="_1468075740" r:id="rId42">
            <o:LockedField>false</o:LockedField>
          </o:OLEObject>
        </w:object>
      </w:r>
      <w:r>
        <w:t>和</w:t>
      </w:r>
      <w:r>
        <w:rPr>
          <w:position w:val="-14"/>
        </w:rPr>
        <w:object>
          <v:shape id="_x0000_i1041" o:spt="75" type="#_x0000_t75" style="height:20.4pt;width:24.55pt;" o:ole="t" filled="f" o:preferrelative="t" stroked="f" coordsize="21600,21600">
            <v:path/>
            <v:fill on="f" focussize="0,0"/>
            <v:stroke on="f" joinstyle="miter"/>
            <v:imagedata r:id="rId35" o:title=""/>
            <o:lock v:ext="edit" aspectratio="t"/>
            <w10:wrap type="none"/>
            <w10:anchorlock/>
          </v:shape>
          <o:OLEObject Type="Embed" ProgID="Equation.DSMT4" ShapeID="_x0000_i1041" DrawAspect="Content" ObjectID="_1468075741" r:id="rId43">
            <o:LockedField>false</o:LockedField>
          </o:OLEObject>
        </w:object>
      </w:r>
      <w:r>
        <w:t>在时滞</w:t>
      </w:r>
      <w:r>
        <w:rPr>
          <w:position w:val="-6"/>
        </w:rPr>
        <w:object>
          <v:shape id="_x0000_i1042" o:spt="75" type="#_x0000_t75" style="height:14.15pt;width:10pt;" o:ole="t" filled="f" o:preferrelative="t" stroked="f" coordsize="21600,21600">
            <v:path/>
            <v:fill on="f" focussize="0,0"/>
            <v:stroke on="f" joinstyle="miter"/>
            <v:imagedata r:id="rId37" o:title=""/>
            <o:lock v:ext="edit" aspectratio="t"/>
            <w10:wrap type="none"/>
            <w10:anchorlock/>
          </v:shape>
          <o:OLEObject Type="Embed" ProgID="Equation.DSMT4" ShapeID="_x0000_i1042" DrawAspect="Content" ObjectID="_1468075742" r:id="rId44">
            <o:LockedField>false</o:LockedField>
          </o:OLEObject>
        </w:object>
      </w:r>
      <w:r>
        <w:t>下的互协方差和互相关系数</w:t>
      </w:r>
      <w:r>
        <w:rPr>
          <w:rFonts w:hint="eastAsia"/>
        </w:rPr>
        <w:t>；</w:t>
      </w:r>
      <w:r>
        <w:rPr>
          <w:position w:val="-6"/>
        </w:rPr>
        <w:object>
          <v:shape id="_x0000_i1043" o:spt="75" type="#_x0000_t75" style="height:10.4pt;width:10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t xml:space="preserve"> 是时间序列的长度。</w:t>
      </w:r>
    </w:p>
    <w:p w14:paraId="201CD9DD">
      <w:pPr>
        <w:ind w:firstLine="420"/>
      </w:pPr>
      <w:r>
        <w:rPr>
          <w:rFonts w:hint="eastAsia"/>
        </w:rPr>
        <w:t>为便于不同指标之间相互比较，根据互相关系数值域特性对其进行归一化，以此消除量纲差异，公式为</w:t>
      </w:r>
    </w:p>
    <w:p w14:paraId="0DDEAFAE">
      <w:pPr>
        <w:pStyle w:val="43"/>
        <w:ind w:firstLine="420"/>
      </w:pPr>
      <w:r>
        <w:rPr>
          <w:rFonts w:hint="eastAsia"/>
        </w:rPr>
        <w:tab/>
      </w:r>
      <w:r>
        <w:rPr>
          <w:rFonts w:hint="eastAsia"/>
          <w:position w:val="-24"/>
        </w:rPr>
        <w:object>
          <v:shape id="_x0000_i1044" o:spt="75" type="#_x0000_t75" style="height:33.3pt;width:80.75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rPr>
          <w:rFonts w:hint="eastAsia"/>
        </w:rPr>
        <w:t xml:space="preserve"> </w:t>
      </w:r>
      <w:r>
        <w:rPr>
          <w:rFonts w:hint="eastAsia"/>
        </w:rPr>
        <w:tab/>
      </w:r>
      <w:r>
        <w:rPr>
          <w:rFonts w:hint="eastAsia"/>
        </w:rPr>
        <w:t>（5）</w:t>
      </w:r>
    </w:p>
    <w:p w14:paraId="3306691F">
      <w:pPr>
        <w:pStyle w:val="43"/>
      </w:pPr>
      <w:r>
        <w:rPr>
          <w:rFonts w:hint="eastAsia"/>
        </w:rPr>
        <w:t>式中，</w:t>
      </w:r>
      <w:r>
        <w:rPr>
          <w:rFonts w:hint="eastAsia"/>
          <w:i/>
          <w:iCs/>
        </w:rPr>
        <w:t>CC</w:t>
      </w:r>
      <w:r>
        <w:rPr>
          <w:rFonts w:hint="eastAsia"/>
        </w:rPr>
        <w:t>为归一化最大互相关系数；互相关系数值域为-1到1，</w:t>
      </w:r>
      <w:r>
        <w:rPr>
          <w:position w:val="-6"/>
        </w:rPr>
        <w:object>
          <v:shape id="_x0000_i1045" o:spt="75" type="#_x0000_t75" style="height:10.8pt;width:10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r>
        <w:rPr>
          <w:rFonts w:hint="eastAsia"/>
        </w:rPr>
        <w:t>为互相关系数值域上限；</w:t>
      </w:r>
      <w:r>
        <w:rPr>
          <w:rFonts w:hint="eastAsia"/>
          <w:i/>
          <w:iCs/>
        </w:rPr>
        <w:t>b</w:t>
      </w:r>
      <w:r>
        <w:rPr>
          <w:rFonts w:hint="eastAsia"/>
        </w:rPr>
        <w:t>为互相关系数值域下限；</w:t>
      </w:r>
      <w:r>
        <w:rPr>
          <w:position w:val="-14"/>
        </w:rPr>
        <w:object>
          <v:shape id="_x0000_i1046" o:spt="75" type="#_x0000_t75" style="height:19.15pt;width:33.3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r>
        <w:t xml:space="preserve"> </w:t>
      </w:r>
      <w:r>
        <w:rPr>
          <w:rFonts w:hint="eastAsia"/>
        </w:rPr>
        <w:t>为最优互相关系数，表示在最佳时滞</w:t>
      </w:r>
      <w:r>
        <w:rPr>
          <w:position w:val="-12"/>
        </w:rPr>
        <w:object>
          <v:shape id="_x0000_i1047" o:spt="75" type="#_x0000_t75" style="height:17.9pt;width:12.5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t xml:space="preserve"> </w:t>
      </w:r>
      <w:r>
        <w:rPr>
          <w:rFonts w:hint="eastAsia"/>
        </w:rPr>
        <w:t>下两个时间序列的互相关系数最大。最佳时滞可用于确定两个时间序列之间的时间滞后，并以此对齐时间序列，对对齐后的时间序列计算相位差变异系数和幅度比变异系数。</w:t>
      </w:r>
    </w:p>
    <w:p w14:paraId="17FBABF9">
      <w:pPr>
        <w:pStyle w:val="4"/>
        <w:rPr>
          <w:rFonts w:hint="default"/>
        </w:rPr>
      </w:pPr>
      <w:r>
        <w:rPr>
          <w:lang w:val="zh-CN"/>
        </w:rPr>
        <w:t>2.2.2 相位差变异系数</w:t>
      </w:r>
      <w:r>
        <w:t xml:space="preserve">  </w:t>
      </w:r>
    </w:p>
    <w:p w14:paraId="2D011D8A">
      <w:pPr>
        <w:ind w:firstLine="420"/>
      </w:pPr>
      <w:r>
        <w:t>Hilbert 变换</w:t>
      </w:r>
      <w:r>
        <w:rPr>
          <w:rFonts w:cs="Times New Roman"/>
          <w:kern w:val="0"/>
          <w:vertAlign w:val="superscript"/>
        </w:rPr>
        <w:t>[43</w:t>
      </w:r>
      <w:r>
        <w:rPr>
          <w:rFonts w:hint="eastAsia" w:cs="Times New Roman"/>
          <w:kern w:val="0"/>
          <w:vertAlign w:val="superscript"/>
        </w:rPr>
        <w:t>-</w:t>
      </w:r>
      <w:r>
        <w:rPr>
          <w:rFonts w:cs="Times New Roman"/>
          <w:kern w:val="0"/>
          <w:vertAlign w:val="superscript"/>
        </w:rPr>
        <w:t>44]</w:t>
      </w:r>
      <w:r>
        <w:t>是信号分析领域中的常用方法，</w:t>
      </w:r>
      <w:r>
        <w:rPr>
          <w:rFonts w:hint="eastAsia"/>
        </w:rPr>
        <w:t>鉴于月尺度 GWSA 与地下水位变化序列通常包含长期趋势与多尺度波动，直接对原序列计算 Hilbert 瞬时相位可能导致相位跳变。为保证瞬时相位的物理可解释性与稳定性，在计算相位指标前，首先利用STL（Seasonal-Trend decomposition using Loess）时间序列分解提取GWSA 与地下水位变化序列的年周期项。然后，对去趋势后的时间序列进行希尔伯特变换后，可基于原始时间序列和变换后的时间序列，提取</w:t>
      </w:r>
      <w:r>
        <w:t>信号的瞬时振幅、瞬时相位以及瞬时频率等</w:t>
      </w:r>
      <w:r>
        <w:rPr>
          <w:rFonts w:hint="eastAsia"/>
        </w:rPr>
        <w:t>信息</w:t>
      </w:r>
      <w:r>
        <w:t>。</w:t>
      </w:r>
      <w:r>
        <w:rPr>
          <w:rFonts w:hint="eastAsia"/>
        </w:rPr>
        <w:t>针对时间序列周期项</w:t>
      </w:r>
      <w:r>
        <w:rPr>
          <w:position w:val="-10"/>
        </w:rPr>
        <w:object>
          <v:shape id="_x0000_i1048" o:spt="75" type="#_x0000_t75" style="height:16.65pt;width:25.4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rPr>
          <w:rFonts w:hint="eastAsia"/>
        </w:rPr>
        <w:t>开展</w:t>
      </w:r>
      <w:r>
        <w:t>Hilbert变换</w:t>
      </w:r>
      <w:r>
        <w:rPr>
          <w:rFonts w:hint="eastAsia"/>
        </w:rPr>
        <w:t>，具体为</w:t>
      </w:r>
    </w:p>
    <w:p w14:paraId="1ED705CF">
      <w:pPr>
        <w:pStyle w:val="43"/>
        <w:ind w:firstLine="420"/>
      </w:pPr>
      <w:r>
        <w:rPr>
          <w:rFonts w:hint="eastAsia"/>
        </w:rPr>
        <w:tab/>
      </w:r>
      <w:r>
        <w:rPr>
          <w:rFonts w:hint="eastAsia"/>
          <w:position w:val="-24"/>
        </w:rPr>
        <w:object>
          <v:shape id="_x0000_i1049" o:spt="75" type="#_x0000_t75" style="height:31.2pt;width:121.1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hint="eastAsia"/>
        </w:rPr>
        <w:t xml:space="preserve"> </w:t>
      </w:r>
      <w:r>
        <w:rPr>
          <w:rFonts w:hint="eastAsia"/>
        </w:rPr>
        <w:tab/>
      </w:r>
      <w:r>
        <w:rPr>
          <w:rFonts w:hint="eastAsia"/>
        </w:rPr>
        <w:t>（6）</w:t>
      </w:r>
    </w:p>
    <w:p w14:paraId="3A06A566">
      <w:pPr>
        <w:pStyle w:val="43"/>
        <w:ind w:firstLine="420"/>
      </w:pPr>
      <w:r>
        <w:tab/>
      </w:r>
      <w:r>
        <w:rPr>
          <w:rFonts w:hint="eastAsia"/>
          <w:position w:val="-10"/>
        </w:rPr>
        <w:object>
          <v:shape id="_x0000_i1050" o:spt="75" type="#_x0000_t75" style="height:19.15pt;width:92.4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tab/>
      </w:r>
      <w:r>
        <w:rPr>
          <w:rFonts w:hint="eastAsia"/>
        </w:rPr>
        <w:t>（7）</w:t>
      </w:r>
    </w:p>
    <w:p w14:paraId="2C0413AC">
      <w:pPr>
        <w:pStyle w:val="43"/>
      </w:pPr>
      <w:r>
        <w:t>式中</w:t>
      </w:r>
      <w:r>
        <w:rPr>
          <w:rFonts w:hint="eastAsia"/>
        </w:rPr>
        <w:t>，</w:t>
      </w:r>
      <w:r>
        <w:rPr>
          <w:rFonts w:hint="eastAsia"/>
          <w:i/>
          <w:iCs/>
        </w:rPr>
        <w:t>PV</w:t>
      </w:r>
      <w:r>
        <w:t>表示柯西主值</w:t>
      </w:r>
      <w:r>
        <w:rPr>
          <w:rFonts w:hint="eastAsia"/>
        </w:rPr>
        <w:t>；</w:t>
      </w:r>
      <w:r>
        <w:rPr>
          <w:position w:val="-10"/>
        </w:rPr>
        <w:object>
          <v:shape id="_x0000_i1051" o:spt="75" type="#_x0000_t75" style="height:16.65pt;width:22.4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t xml:space="preserve"> </w:t>
      </w:r>
      <w:r>
        <w:rPr>
          <w:rFonts w:hint="eastAsia"/>
        </w:rPr>
        <w:t>为</w:t>
      </w:r>
      <w:r>
        <w:t>与</w:t>
      </w:r>
      <w:r>
        <w:rPr>
          <w:rFonts w:hint="eastAsia"/>
        </w:rPr>
        <w:t>时间序列周期项</w:t>
      </w:r>
      <w:r>
        <w:t>相对应的解析</w:t>
      </w:r>
      <w:r>
        <w:rPr>
          <w:rFonts w:hint="eastAsia"/>
        </w:rPr>
        <w:t>时间序列；</w:t>
      </w:r>
      <w:r>
        <w:rPr>
          <w:position w:val="-6"/>
        </w:rPr>
        <w:object>
          <v:shape id="_x0000_i1052" o:spt="75" type="#_x0000_t75" style="height:17.9pt;width:39.1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t xml:space="preserve"> </w:t>
      </w:r>
      <w:r>
        <w:rPr>
          <w:rFonts w:hint="eastAsia"/>
        </w:rPr>
        <w:t>，</w:t>
      </w:r>
      <w:r>
        <w:rPr>
          <w:position w:val="-6"/>
        </w:rPr>
        <w:object>
          <v:shape id="_x0000_i1053" o:spt="75" type="#_x0000_t75" style="height:12.5pt;width:7.1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t xml:space="preserve"> </w:t>
      </w:r>
      <w:r>
        <w:rPr>
          <w:rFonts w:hint="eastAsia"/>
        </w:rPr>
        <w:t>为虚部；</w:t>
      </w:r>
      <w:r>
        <w:rPr>
          <w:position w:val="-10"/>
        </w:rPr>
        <w:object>
          <v:shape id="_x0000_i1054" o:spt="75" type="#_x0000_t75" style="height:19.15pt;width:25.4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t xml:space="preserve"> 表示</w:t>
      </w:r>
      <w:r>
        <w:rPr>
          <w:rFonts w:hint="eastAsia"/>
        </w:rPr>
        <w:t>时间序列周期项</w:t>
      </w:r>
      <w:r>
        <w:rPr>
          <w:position w:val="-10"/>
        </w:rPr>
        <w:object>
          <v:shape id="_x0000_i1055" o:spt="75" type="#_x0000_t75" style="height:16.65pt;width:25.4pt;" o:ole="t" filled="f" o:preferrelative="t" stroked="f" coordsize="21600,21600">
            <v:path/>
            <v:fill on="f" focussize="0,0"/>
            <v:stroke on="f" joinstyle="miter"/>
            <v:imagedata r:id="rId56" o:title=""/>
            <o:lock v:ext="edit" aspectratio="t"/>
            <w10:wrap type="none"/>
            <w10:anchorlock/>
          </v:shape>
          <o:OLEObject Type="Embed" ProgID="Equation.DSMT4" ShapeID="_x0000_i1055" DrawAspect="Content" ObjectID="_1468075755" r:id="rId69">
            <o:LockedField>false</o:LockedField>
          </o:OLEObject>
        </w:object>
      </w:r>
      <w:r>
        <w:t>的希尔伯特变换。</w:t>
      </w:r>
    </w:p>
    <w:p w14:paraId="33736A41">
      <w:pPr>
        <w:pStyle w:val="43"/>
        <w:ind w:firstLine="420" w:firstLineChars="200"/>
      </w:pPr>
      <w:r>
        <w:t>通过式（</w:t>
      </w:r>
      <w:r>
        <w:rPr>
          <w:rFonts w:hint="eastAsia"/>
        </w:rPr>
        <w:t>7</w:t>
      </w:r>
      <w:r>
        <w:t>）可以确定时间</w:t>
      </w:r>
      <w:r>
        <w:rPr>
          <w:rFonts w:hint="eastAsia"/>
        </w:rPr>
        <w:t>序列周期项</w:t>
      </w:r>
      <w:r>
        <w:rPr>
          <w:position w:val="-10"/>
        </w:rPr>
        <w:object>
          <v:shape id="_x0000_i1056" o:spt="75" type="#_x0000_t75" style="height:16.65pt;width:25.4pt;" o:ole="t" filled="f" o:preferrelative="t" stroked="f" coordsize="21600,21600">
            <v:path/>
            <v:fill on="f" focussize="0,0"/>
            <v:stroke on="f" joinstyle="miter"/>
            <v:imagedata r:id="rId56" o:title=""/>
            <o:lock v:ext="edit" aspectratio="t"/>
            <w10:wrap type="none"/>
            <w10:anchorlock/>
          </v:shape>
          <o:OLEObject Type="Embed" ProgID="Equation.DSMT4" ShapeID="_x0000_i1056" DrawAspect="Content" ObjectID="_1468075756" r:id="rId70">
            <o:LockedField>false</o:LockedField>
          </o:OLEObject>
        </w:object>
      </w:r>
      <w:r>
        <w:t>的瞬时相位</w:t>
      </w:r>
      <w:r>
        <w:rPr>
          <w:position w:val="-10"/>
        </w:rPr>
        <w:object>
          <v:shape id="_x0000_i1057" o:spt="75" type="#_x0000_t75" style="height:16.65pt;width:22.45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t>，其中瞬时相位的计算公式</w:t>
      </w:r>
      <w:r>
        <w:rPr>
          <w:rFonts w:hint="eastAsia"/>
        </w:rPr>
        <w:t>为</w:t>
      </w:r>
    </w:p>
    <w:p w14:paraId="6DBFFF00">
      <w:pPr>
        <w:pStyle w:val="43"/>
        <w:ind w:firstLine="420"/>
      </w:pPr>
      <w:r>
        <w:rPr>
          <w:rFonts w:hint="eastAsia"/>
        </w:rPr>
        <w:tab/>
      </w:r>
      <w:r>
        <w:rPr>
          <w:rFonts w:hint="eastAsia"/>
          <w:position w:val="-28"/>
        </w:rPr>
        <w:object>
          <v:shape id="_x0000_i1058" o:spt="75" type="#_x0000_t75" style="height:36.2pt;width:89.5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hint="eastAsia"/>
        </w:rPr>
        <w:t xml:space="preserve"> </w:t>
      </w:r>
      <w:r>
        <w:rPr>
          <w:rFonts w:hint="eastAsia"/>
        </w:rPr>
        <w:tab/>
      </w:r>
      <w:r>
        <w:rPr>
          <w:rFonts w:hint="eastAsia"/>
        </w:rPr>
        <w:t>（8）</w:t>
      </w:r>
    </w:p>
    <w:p w14:paraId="79A69676">
      <w:pPr>
        <w:pStyle w:val="43"/>
        <w:ind w:firstLine="420" w:firstLineChars="200"/>
      </w:pPr>
      <w:r>
        <w:rPr>
          <w:rFonts w:hint="eastAsia"/>
        </w:rPr>
        <w:t>通过上述公式分别</w:t>
      </w:r>
      <w:r>
        <w:t>得到</w:t>
      </w:r>
      <w:r>
        <w:rPr>
          <w:rFonts w:hint="eastAsia"/>
        </w:rPr>
        <w:t>GWSA</w:t>
      </w:r>
      <w:r>
        <w:t>时间</w:t>
      </w:r>
      <w:r>
        <w:rPr>
          <w:rFonts w:hint="eastAsia"/>
        </w:rPr>
        <w:t>序列</w:t>
      </w:r>
      <w:r>
        <w:rPr>
          <w:position w:val="-12"/>
        </w:rPr>
        <w:object>
          <v:shape id="_x0000_i1059" o:spt="75" type="#_x0000_t75" style="height:17.9pt;width:32.05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eastAsia"/>
        </w:rPr>
        <w:t>和实测地下水位变化时间序列</w:t>
      </w:r>
      <w:r>
        <w:rPr>
          <w:position w:val="-12"/>
        </w:rPr>
        <w:object>
          <v:shape id="_x0000_i1060" o:spt="75" type="#_x0000_t75" style="height:17.9pt;width:29.55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t>的瞬时相位</w:t>
      </w:r>
      <w:r>
        <w:rPr>
          <w:position w:val="-12"/>
        </w:rPr>
        <w:object>
          <v:shape id="_x0000_i1061" o:spt="75" type="#_x0000_t75" style="height:17.9pt;width:28.3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eastAsia"/>
        </w:rPr>
        <w:t>和</w:t>
      </w:r>
      <w:r>
        <w:rPr>
          <w:position w:val="-12"/>
        </w:rPr>
        <w:object>
          <v:shape id="_x0000_i1062" o:spt="75" type="#_x0000_t75" style="height:17.9pt;width:25.4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t>之后，</w:t>
      </w:r>
      <w:r>
        <w:rPr>
          <w:rFonts w:hint="eastAsia"/>
        </w:rPr>
        <w:t>可计算两个时间序列的相位差</w:t>
      </w:r>
      <w:r>
        <w:rPr>
          <w:position w:val="-10"/>
        </w:rPr>
        <w:object>
          <v:shape id="_x0000_i1063" o:spt="75" type="#_x0000_t75" style="height:16.65pt;width:31.2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hint="eastAsia"/>
        </w:rPr>
        <w:t>，为了更准确地反映相位差特征，同时便于处理和计算，将相位差投影到复指数平面，得到相位差复指数（</w:t>
      </w:r>
      <w:r>
        <w:rPr>
          <w:rFonts w:hint="eastAsia"/>
          <w:i/>
          <w:iCs/>
        </w:rPr>
        <w:t>PCE</w:t>
      </w:r>
      <w:r>
        <w:rPr>
          <w:rFonts w:hint="eastAsia"/>
        </w:rPr>
        <w:t>），从而计算两个时间信号的相位差变异系数</w:t>
      </w:r>
      <w:r>
        <w:rPr>
          <w:rFonts w:hint="eastAsia"/>
          <w:i/>
          <w:iCs/>
        </w:rPr>
        <w:t>PCV</w:t>
      </w:r>
      <w:r>
        <w:rPr>
          <w:rFonts w:hint="eastAsia"/>
        </w:rPr>
        <w:t>，计算公式为</w:t>
      </w:r>
    </w:p>
    <w:p w14:paraId="06E729A0">
      <w:pPr>
        <w:pStyle w:val="43"/>
        <w:ind w:firstLine="420"/>
      </w:pPr>
      <w:r>
        <w:rPr>
          <w:rFonts w:hint="eastAsia"/>
        </w:rPr>
        <w:tab/>
      </w:r>
      <w:r>
        <w:rPr>
          <w:rFonts w:hint="eastAsia"/>
          <w:position w:val="-6"/>
        </w:rPr>
        <w:object>
          <v:shape id="_x0000_i1064" o:spt="75" type="#_x0000_t75" style="height:16.65pt;width:63.7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hint="eastAsia"/>
        </w:rPr>
        <w:t xml:space="preserve"> </w:t>
      </w:r>
      <w:r>
        <w:rPr>
          <w:rFonts w:hint="eastAsia"/>
        </w:rPr>
        <w:tab/>
      </w:r>
      <w:r>
        <w:rPr>
          <w:rFonts w:hint="eastAsia"/>
        </w:rPr>
        <w:t>（9）</w:t>
      </w:r>
    </w:p>
    <w:p w14:paraId="6D34A33B">
      <w:pPr>
        <w:pStyle w:val="43"/>
        <w:ind w:firstLine="420"/>
      </w:pPr>
      <w:r>
        <w:rPr>
          <w:rFonts w:hint="eastAsia"/>
        </w:rPr>
        <w:tab/>
      </w:r>
      <w:r>
        <w:rPr>
          <w:rFonts w:hint="eastAsia"/>
          <w:position w:val="-30"/>
        </w:rPr>
        <w:object>
          <v:shape id="_x0000_i1065" o:spt="75" type="#_x0000_t75" style="height:33.3pt;width:100.3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hint="eastAsia"/>
        </w:rPr>
        <w:t xml:space="preserve"> </w:t>
      </w:r>
      <w:r>
        <w:rPr>
          <w:rFonts w:hint="eastAsia"/>
        </w:rPr>
        <w:tab/>
      </w:r>
      <w:r>
        <w:rPr>
          <w:rFonts w:hint="eastAsia"/>
        </w:rPr>
        <w:t>（10）</w:t>
      </w:r>
    </w:p>
    <w:p w14:paraId="176712E9">
      <w:pPr>
        <w:pStyle w:val="43"/>
      </w:pPr>
      <w:r>
        <w:rPr>
          <w:rFonts w:hint="eastAsia"/>
        </w:rPr>
        <w:t>式中，</w:t>
      </w:r>
      <w:r>
        <w:rPr>
          <w:position w:val="-12"/>
        </w:rPr>
        <w:object>
          <v:shape id="_x0000_i1066" o:spt="75" type="#_x0000_t75" style="height:17.9pt;width:24.5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t xml:space="preserve"> </w:t>
      </w:r>
      <w:r>
        <w:rPr>
          <w:rFonts w:hint="eastAsia"/>
        </w:rPr>
        <w:t>为</w:t>
      </w:r>
      <w:r>
        <w:rPr>
          <w:rFonts w:hint="eastAsia"/>
          <w:i/>
          <w:iCs/>
        </w:rPr>
        <w:t>PCE</w:t>
      </w:r>
      <w:r>
        <w:rPr>
          <w:rFonts w:hint="eastAsia"/>
        </w:rPr>
        <w:t>的标准差；</w:t>
      </w:r>
      <w:r>
        <w:rPr>
          <w:position w:val="-12"/>
        </w:rPr>
        <w:object>
          <v:shape id="_x0000_i1067" o:spt="75" type="#_x0000_t75" style="height:17.9pt;width:24.55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rPr>
          <w:rFonts w:hint="eastAsia"/>
        </w:rPr>
        <w:t>为</w:t>
      </w:r>
      <w:r>
        <w:rPr>
          <w:rFonts w:hint="eastAsia"/>
          <w:i/>
          <w:iCs/>
        </w:rPr>
        <w:t>PCE</w:t>
      </w:r>
      <w:r>
        <w:rPr>
          <w:rFonts w:hint="eastAsia"/>
        </w:rPr>
        <w:t>的平均值。</w:t>
      </w:r>
    </w:p>
    <w:p w14:paraId="684D2D83">
      <w:pPr>
        <w:ind w:firstLine="420"/>
      </w:pPr>
      <w:r>
        <w:rPr>
          <w:rFonts w:hint="eastAsia"/>
        </w:rPr>
        <w:t>根据相位差变异系数值域特性，对其进行反向归一化，旨在降低异常值对整体数据分布的影响，确保能够有效反映原始变异系数之间的真实差异，同时消除不同指标之间的量纲差异，便于不同指标之间相互比较。反向归一化公式为</w:t>
      </w:r>
    </w:p>
    <w:p w14:paraId="73D7F59F">
      <w:pPr>
        <w:pStyle w:val="43"/>
        <w:ind w:firstLine="420"/>
      </w:pPr>
      <w:r>
        <w:rPr>
          <w:rFonts w:hint="eastAsia"/>
        </w:rPr>
        <w:tab/>
      </w:r>
      <w:r>
        <w:rPr>
          <w:rFonts w:hint="eastAsia"/>
          <w:position w:val="-24"/>
        </w:rPr>
        <w:object>
          <v:shape id="_x0000_i1068" o:spt="75" type="#_x0000_t75" style="height:31.2pt;width:96.55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hint="eastAsia"/>
        </w:rPr>
        <w:t xml:space="preserve"> </w:t>
      </w:r>
      <w:r>
        <w:rPr>
          <w:rFonts w:hint="eastAsia"/>
        </w:rPr>
        <w:tab/>
      </w:r>
      <w:r>
        <w:rPr>
          <w:rFonts w:hint="eastAsia"/>
        </w:rPr>
        <w:t>（11）</w:t>
      </w:r>
    </w:p>
    <w:p w14:paraId="3EF6B858">
      <w:pPr>
        <w:pStyle w:val="4"/>
        <w:rPr>
          <w:rFonts w:hint="default"/>
        </w:rPr>
      </w:pPr>
      <w:r>
        <w:rPr>
          <w:lang w:val="zh-CN"/>
        </w:rPr>
        <w:t>2.2.3 幅度比变异系数</w:t>
      </w:r>
      <w:r>
        <w:t xml:space="preserve">  </w:t>
      </w:r>
    </w:p>
    <w:p w14:paraId="1A0ACAE2">
      <w:pPr>
        <w:pStyle w:val="43"/>
        <w:ind w:firstLine="420"/>
      </w:pPr>
      <w:r>
        <w:rPr>
          <w:rFonts w:hint="eastAsia"/>
        </w:rPr>
        <w:t>通过式（6）和式（7）对时间序列周期项</w:t>
      </w:r>
      <w:r>
        <w:rPr>
          <w:position w:val="-10"/>
        </w:rPr>
        <w:object>
          <v:shape id="_x0000_i1069" o:spt="75" type="#_x0000_t75" style="height:16.65pt;width:25.4pt;" o:ole="t" filled="f" o:preferrelative="t" stroked="f" coordsize="21600,21600">
            <v:path/>
            <v:fill on="f" focussize="0,0"/>
            <v:stroke on="f" joinstyle="miter"/>
            <v:imagedata r:id="rId56" o:title=""/>
            <o:lock v:ext="edit" aspectratio="t"/>
            <w10:wrap type="none"/>
            <w10:anchorlock/>
          </v:shape>
          <o:OLEObject Type="Embed" ProgID="Equation.DSMT4" ShapeID="_x0000_i1069" DrawAspect="Content" ObjectID="_1468075769" r:id="rId95">
            <o:LockedField>false</o:LockedField>
          </o:OLEObject>
        </w:object>
      </w:r>
      <w:r>
        <w:rPr>
          <w:rFonts w:hint="eastAsia"/>
        </w:rPr>
        <w:t>开展</w:t>
      </w:r>
      <w:r>
        <w:t>Hilbert变换</w:t>
      </w:r>
      <w:r>
        <w:rPr>
          <w:rFonts w:hint="eastAsia"/>
        </w:rPr>
        <w:t>，可以计算</w:t>
      </w:r>
      <w:r>
        <w:rPr>
          <w:position w:val="-10"/>
        </w:rPr>
        <w:object>
          <v:shape id="_x0000_i1070" o:spt="75" type="#_x0000_t75" style="height:16.65pt;width:25.4pt;" o:ole="t" filled="f" o:preferrelative="t" stroked="f" coordsize="21600,21600">
            <v:path/>
            <v:fill on="f" focussize="0,0"/>
            <v:stroke on="f" joinstyle="miter"/>
            <v:imagedata r:id="rId56" o:title=""/>
            <o:lock v:ext="edit" aspectratio="t"/>
            <w10:wrap type="none"/>
            <w10:anchorlock/>
          </v:shape>
          <o:OLEObject Type="Embed" ProgID="Equation.DSMT4" ShapeID="_x0000_i1070" DrawAspect="Content" ObjectID="_1468075770" r:id="rId96">
            <o:LockedField>false</o:LockedField>
          </o:OLEObject>
        </w:object>
      </w:r>
      <w:r>
        <w:rPr>
          <w:rFonts w:hint="eastAsia"/>
        </w:rPr>
        <w:t>的幅度</w:t>
      </w:r>
      <w:r>
        <w:rPr>
          <w:position w:val="-10"/>
        </w:rPr>
        <w:object>
          <v:shape id="_x0000_i1071" o:spt="75" type="#_x0000_t75" style="height:16.65pt;width:23.3pt;" o:ole="t" filled="f" o:preferrelative="t" stroked="f" coordsize="21600,21600">
            <v:path/>
            <v:fill on="f" focussize="0,0"/>
            <v:stroke on="f" joinstyle="miter"/>
            <v:imagedata r:id="rId98" o:title=""/>
            <o:lock v:ext="edit" aspectratio="t"/>
            <w10:wrap type="none"/>
            <w10:anchorlock/>
          </v:shape>
          <o:OLEObject Type="Embed" ProgID="Equation.DSMT4" ShapeID="_x0000_i1071" DrawAspect="Content" ObjectID="_1468075771" r:id="rId97">
            <o:LockedField>false</o:LockedField>
          </o:OLEObject>
        </w:object>
      </w:r>
      <w:r>
        <w:rPr>
          <w:rFonts w:hint="eastAsia"/>
        </w:rPr>
        <w:t>，计算公式为</w:t>
      </w:r>
    </w:p>
    <w:p w14:paraId="2B15FB72">
      <w:pPr>
        <w:pStyle w:val="43"/>
        <w:ind w:firstLine="420"/>
      </w:pPr>
      <w:r>
        <w:rPr>
          <w:rFonts w:hint="eastAsia"/>
        </w:rPr>
        <w:tab/>
      </w:r>
      <w:r>
        <w:rPr>
          <w:rFonts w:hint="eastAsia"/>
          <w:position w:val="-12"/>
        </w:rPr>
        <w:object>
          <v:shape id="_x0000_i1072" o:spt="75" type="#_x0000_t75" style="height:22.45pt;width:110.3pt;" o:ole="t" filled="f" o:preferrelative="t" stroked="f" coordsize="21600,21600">
            <v:path/>
            <v:fill on="f" focussize="0,0"/>
            <v:stroke on="f" joinstyle="miter"/>
            <v:imagedata r:id="rId100" o:title=""/>
            <o:lock v:ext="edit" aspectratio="t"/>
            <w10:wrap type="none"/>
            <w10:anchorlock/>
          </v:shape>
          <o:OLEObject Type="Embed" ProgID="Equation.DSMT4" ShapeID="_x0000_i1072" DrawAspect="Content" ObjectID="_1468075772" r:id="rId99">
            <o:LockedField>false</o:LockedField>
          </o:OLEObject>
        </w:object>
      </w:r>
      <w:r>
        <w:rPr>
          <w:rFonts w:hint="eastAsia"/>
        </w:rPr>
        <w:t xml:space="preserve"> </w:t>
      </w:r>
      <w:r>
        <w:rPr>
          <w:rFonts w:hint="eastAsia"/>
        </w:rPr>
        <w:tab/>
      </w:r>
      <w:r>
        <w:rPr>
          <w:rFonts w:hint="eastAsia"/>
        </w:rPr>
        <w:t>（12）</w:t>
      </w:r>
    </w:p>
    <w:p w14:paraId="055C18DD">
      <w:pPr>
        <w:pStyle w:val="43"/>
        <w:ind w:firstLine="420" w:firstLineChars="200"/>
      </w:pPr>
      <w:r>
        <w:rPr>
          <w:rFonts w:hint="eastAsia"/>
        </w:rPr>
        <w:t>通过上述公式</w:t>
      </w:r>
      <w:r>
        <w:t>得到</w:t>
      </w:r>
      <w:r>
        <w:rPr>
          <w:rFonts w:hint="eastAsia"/>
        </w:rPr>
        <w:t>GWSA</w:t>
      </w:r>
      <w:r>
        <w:t>时间</w:t>
      </w:r>
      <w:r>
        <w:rPr>
          <w:rFonts w:hint="eastAsia"/>
        </w:rPr>
        <w:t>序列周期项</w:t>
      </w:r>
      <w:r>
        <w:rPr>
          <w:position w:val="-12"/>
        </w:rPr>
        <w:object>
          <v:shape id="_x0000_i1073" o:spt="75" type="#_x0000_t75" style="height:17.9pt;width:32.05pt;" o:ole="t" filled="f" o:preferrelative="t" stroked="f" coordsize="21600,21600">
            <v:path/>
            <v:fill on="f" focussize="0,0"/>
            <v:stroke on="f" joinstyle="miter"/>
            <v:imagedata r:id="rId76" o:title=""/>
            <o:lock v:ext="edit" aspectratio="t"/>
            <w10:wrap type="none"/>
            <w10:anchorlock/>
          </v:shape>
          <o:OLEObject Type="Embed" ProgID="Equation.DSMT4" ShapeID="_x0000_i1073" DrawAspect="Content" ObjectID="_1468075773" r:id="rId101">
            <o:LockedField>false</o:LockedField>
          </o:OLEObject>
        </w:object>
      </w:r>
      <w:r>
        <w:rPr>
          <w:rFonts w:hint="eastAsia"/>
        </w:rPr>
        <w:t>和实测地下水位变化时间序列周期项</w:t>
      </w:r>
      <w:r>
        <w:rPr>
          <w:position w:val="-12"/>
        </w:rPr>
        <w:object>
          <v:shape id="_x0000_i1074" o:spt="75" type="#_x0000_t75" style="height:17.9pt;width:29.55pt;" o:ole="t" filled="f" o:preferrelative="t" stroked="f" coordsize="21600,21600">
            <v:path/>
            <v:fill on="f" focussize="0,0"/>
            <v:stroke on="f" joinstyle="miter"/>
            <v:imagedata r:id="rId103" o:title=""/>
            <o:lock v:ext="edit" aspectratio="t"/>
            <w10:wrap type="none"/>
            <w10:anchorlock/>
          </v:shape>
          <o:OLEObject Type="Embed" ProgID="Equation.DSMT4" ShapeID="_x0000_i1074" DrawAspect="Content" ObjectID="_1468075774" r:id="rId102">
            <o:LockedField>false</o:LockedField>
          </o:OLEObject>
        </w:object>
      </w:r>
      <w:r>
        <w:t>的瞬时</w:t>
      </w:r>
      <w:r>
        <w:rPr>
          <w:rFonts w:hint="eastAsia"/>
        </w:rPr>
        <w:t>幅度</w:t>
      </w:r>
      <w:r>
        <w:rPr>
          <w:position w:val="-12"/>
        </w:rPr>
        <w:object>
          <v:shape id="_x0000_i1075" o:spt="75" type="#_x0000_t75" style="height:17.9pt;width:29.55pt;" o:ole="t" filled="f" o:preferrelative="t" stroked="f" coordsize="21600,21600">
            <v:path/>
            <v:fill on="f" focussize="0,0"/>
            <v:stroke on="f" joinstyle="miter"/>
            <v:imagedata r:id="rId105" o:title=""/>
            <o:lock v:ext="edit" aspectratio="t"/>
            <w10:wrap type="none"/>
            <w10:anchorlock/>
          </v:shape>
          <o:OLEObject Type="Embed" ProgID="Equation.DSMT4" ShapeID="_x0000_i1075" DrawAspect="Content" ObjectID="_1468075775" r:id="rId104">
            <o:LockedField>false</o:LockedField>
          </o:OLEObject>
        </w:object>
      </w:r>
      <w:r>
        <w:rPr>
          <w:rFonts w:hint="eastAsia"/>
        </w:rPr>
        <w:t>和</w:t>
      </w:r>
      <w:r>
        <w:rPr>
          <w:position w:val="-12"/>
        </w:rPr>
        <w:object>
          <v:shape id="_x0000_i1076" o:spt="75" type="#_x0000_t75" style="height:17.9pt;width:28.3pt;" o:ole="t" filled="f" o:preferrelative="t" stroked="f" coordsize="21600,21600">
            <v:path/>
            <v:fill on="f" focussize="0,0"/>
            <v:stroke on="f" joinstyle="miter"/>
            <v:imagedata r:id="rId107" o:title=""/>
            <o:lock v:ext="edit" aspectratio="t"/>
            <w10:wrap type="none"/>
            <w10:anchorlock/>
          </v:shape>
          <o:OLEObject Type="Embed" ProgID="Equation.DSMT4" ShapeID="_x0000_i1076" DrawAspect="Content" ObjectID="_1468075776" r:id="rId106">
            <o:LockedField>false</o:LockedField>
          </o:OLEObject>
        </w:object>
      </w:r>
      <w:r>
        <w:t>之后，</w:t>
      </w:r>
      <w:r>
        <w:rPr>
          <w:rFonts w:hint="eastAsia"/>
        </w:rPr>
        <w:t>可计算两个周期项的幅度比（</w:t>
      </w:r>
      <w:r>
        <w:rPr>
          <w:rFonts w:hint="eastAsia"/>
          <w:i/>
          <w:iCs/>
        </w:rPr>
        <w:t>AR</w:t>
      </w:r>
      <w:r>
        <w:rPr>
          <w:rFonts w:hint="eastAsia"/>
        </w:rPr>
        <w:t>），从而计算两个时间信号的幅度比变异系数</w:t>
      </w:r>
      <w:r>
        <w:rPr>
          <w:rFonts w:hint="eastAsia"/>
          <w:i/>
          <w:iCs/>
        </w:rPr>
        <w:t>ACV</w:t>
      </w:r>
      <w:r>
        <w:rPr>
          <w:rFonts w:hint="eastAsia"/>
        </w:rPr>
        <w:t>，计算公式为</w:t>
      </w:r>
    </w:p>
    <w:p w14:paraId="39327E99">
      <w:pPr>
        <w:pStyle w:val="43"/>
        <w:ind w:firstLine="420"/>
      </w:pPr>
      <w:r>
        <w:tab/>
      </w:r>
      <w:r>
        <w:rPr>
          <w:position w:val="-30"/>
        </w:rPr>
        <w:object>
          <v:shape id="_x0000_i1077" o:spt="75" type="#_x0000_t75" style="height:33.3pt;width:59.5pt;" o:ole="t" filled="f" o:preferrelative="t" stroked="f" coordsize="21600,21600">
            <v:path/>
            <v:fill on="f" focussize="0,0"/>
            <v:stroke on="f" joinstyle="miter"/>
            <v:imagedata r:id="rId109" o:title=""/>
            <o:lock v:ext="edit" aspectratio="t"/>
            <w10:wrap type="none"/>
            <w10:anchorlock/>
          </v:shape>
          <o:OLEObject Type="Embed" ProgID="Equation.DSMT4" ShapeID="_x0000_i1077" DrawAspect="Content" ObjectID="_1468075777" r:id="rId108">
            <o:LockedField>false</o:LockedField>
          </o:OLEObject>
        </w:object>
      </w:r>
      <w:r>
        <w:t xml:space="preserve"> </w:t>
      </w:r>
      <w:r>
        <w:tab/>
      </w:r>
      <w:r>
        <w:rPr>
          <w:rFonts w:hint="eastAsia"/>
        </w:rPr>
        <w:t>（13）</w:t>
      </w:r>
    </w:p>
    <w:p w14:paraId="612F82C8">
      <w:pPr>
        <w:pStyle w:val="43"/>
        <w:ind w:firstLine="420"/>
      </w:pPr>
      <w:r>
        <w:tab/>
      </w:r>
      <w:r>
        <w:rPr>
          <w:position w:val="-30"/>
        </w:rPr>
        <w:object>
          <v:shape id="_x0000_i1078" o:spt="75" type="#_x0000_t75" style="height:33.3pt;width:96.55pt;" o:ole="t" filled="f" o:preferrelative="t" stroked="f" coordsize="21600,21600">
            <v:path/>
            <v:fill on="f" focussize="0,0"/>
            <v:stroke on="f" joinstyle="miter"/>
            <v:imagedata r:id="rId111" o:title=""/>
            <o:lock v:ext="edit" aspectratio="t"/>
            <w10:wrap type="none"/>
            <w10:anchorlock/>
          </v:shape>
          <o:OLEObject Type="Embed" ProgID="Equation.DSMT4" ShapeID="_x0000_i1078" DrawAspect="Content" ObjectID="_1468075778" r:id="rId110">
            <o:LockedField>false</o:LockedField>
          </o:OLEObject>
        </w:object>
      </w:r>
      <w:r>
        <w:t xml:space="preserve"> </w:t>
      </w:r>
      <w:r>
        <w:tab/>
      </w:r>
      <w:r>
        <w:rPr>
          <w:rFonts w:hint="eastAsia"/>
        </w:rPr>
        <w:t>（14）</w:t>
      </w:r>
    </w:p>
    <w:p w14:paraId="76B90C44">
      <w:pPr>
        <w:pStyle w:val="43"/>
      </w:pPr>
      <w:r>
        <w:rPr>
          <w:rFonts w:hint="eastAsia"/>
        </w:rPr>
        <w:t>式中，</w:t>
      </w:r>
      <w:r>
        <w:rPr>
          <w:position w:val="-12"/>
        </w:rPr>
        <w:object>
          <v:shape id="_x0000_i1079" o:spt="75" type="#_x0000_t75" style="height:17.9pt;width:21.65pt;" o:ole="t" filled="f" o:preferrelative="t" stroked="f" coordsize="21600,21600">
            <v:path/>
            <v:fill on="f" focussize="0,0"/>
            <v:stroke on="f" joinstyle="miter"/>
            <v:imagedata r:id="rId113" o:title=""/>
            <o:lock v:ext="edit" aspectratio="t"/>
            <w10:wrap type="none"/>
            <w10:anchorlock/>
          </v:shape>
          <o:OLEObject Type="Embed" ProgID="Equation.DSMT4" ShapeID="_x0000_i1079" DrawAspect="Content" ObjectID="_1468075779" r:id="rId112">
            <o:LockedField>false</o:LockedField>
          </o:OLEObject>
        </w:object>
      </w:r>
      <w:r>
        <w:t xml:space="preserve"> </w:t>
      </w:r>
      <w:r>
        <w:rPr>
          <w:rFonts w:hint="eastAsia"/>
        </w:rPr>
        <w:t>为</w:t>
      </w:r>
      <w:r>
        <w:rPr>
          <w:rFonts w:hint="eastAsia"/>
          <w:i/>
          <w:iCs/>
        </w:rPr>
        <w:t>AR</w:t>
      </w:r>
      <w:r>
        <w:rPr>
          <w:rFonts w:hint="eastAsia"/>
        </w:rPr>
        <w:t>的标准差；</w:t>
      </w:r>
      <w:r>
        <w:rPr>
          <w:position w:val="-12"/>
        </w:rPr>
        <w:object>
          <v:shape id="_x0000_i1080" o:spt="75" type="#_x0000_t75" style="height:17.9pt;width:21.65pt;" o:ole="t" filled="f" o:preferrelative="t" stroked="f" coordsize="21600,21600">
            <v:path/>
            <v:fill on="f" focussize="0,0"/>
            <v:stroke on="f" joinstyle="miter"/>
            <v:imagedata r:id="rId115" o:title=""/>
            <o:lock v:ext="edit" aspectratio="t"/>
            <w10:wrap type="none"/>
            <w10:anchorlock/>
          </v:shape>
          <o:OLEObject Type="Embed" ProgID="Equation.DSMT4" ShapeID="_x0000_i1080" DrawAspect="Content" ObjectID="_1468075780" r:id="rId114">
            <o:LockedField>false</o:LockedField>
          </o:OLEObject>
        </w:object>
      </w:r>
      <w:r>
        <w:t xml:space="preserve"> </w:t>
      </w:r>
      <w:r>
        <w:rPr>
          <w:rFonts w:hint="eastAsia"/>
        </w:rPr>
        <w:t>为</w:t>
      </w:r>
      <w:r>
        <w:rPr>
          <w:rFonts w:hint="eastAsia"/>
          <w:i/>
          <w:iCs/>
        </w:rPr>
        <w:t>AR</w:t>
      </w:r>
      <w:r>
        <w:rPr>
          <w:rFonts w:hint="eastAsia"/>
        </w:rPr>
        <w:t>的平均值。对</w:t>
      </w:r>
      <w:r>
        <w:rPr>
          <w:rFonts w:hint="eastAsia"/>
          <w:i/>
          <w:iCs/>
        </w:rPr>
        <w:t>ACV</w:t>
      </w:r>
      <w:r>
        <w:rPr>
          <w:rFonts w:hint="eastAsia"/>
        </w:rPr>
        <w:t>进行反向归一化，公式为</w:t>
      </w:r>
    </w:p>
    <w:p w14:paraId="34189633">
      <w:pPr>
        <w:pStyle w:val="43"/>
        <w:ind w:firstLine="420"/>
      </w:pPr>
      <w:r>
        <w:tab/>
      </w:r>
      <w:r>
        <w:rPr>
          <w:position w:val="-24"/>
        </w:rPr>
        <w:object>
          <v:shape id="_x0000_i1081" o:spt="75" type="#_x0000_t75" style="height:31.2pt;width:96.55pt;" o:ole="t" filled="f" o:preferrelative="t" stroked="f" coordsize="21600,21600">
            <v:path/>
            <v:fill on="f" focussize="0,0"/>
            <v:stroke on="f" joinstyle="miter"/>
            <v:imagedata r:id="rId117" o:title=""/>
            <o:lock v:ext="edit" aspectratio="t"/>
            <w10:wrap type="none"/>
            <w10:anchorlock/>
          </v:shape>
          <o:OLEObject Type="Embed" ProgID="Equation.DSMT4" ShapeID="_x0000_i1081" DrawAspect="Content" ObjectID="_1468075781" r:id="rId116">
            <o:LockedField>false</o:LockedField>
          </o:OLEObject>
        </w:object>
      </w:r>
      <w:r>
        <w:t xml:space="preserve"> </w:t>
      </w:r>
      <w:r>
        <w:tab/>
      </w:r>
      <w:r>
        <w:rPr>
          <w:rFonts w:hint="eastAsia"/>
        </w:rPr>
        <w:t>（15）</w:t>
      </w:r>
    </w:p>
    <w:p w14:paraId="2E46E1FE">
      <w:pPr>
        <w:pStyle w:val="4"/>
        <w:rPr>
          <w:rFonts w:hint="default"/>
        </w:rPr>
      </w:pPr>
      <w:r>
        <w:rPr>
          <w:lang w:val="zh-CN"/>
        </w:rPr>
        <w:t>2.2.4 综合适用性指标构建</w:t>
      </w:r>
      <w:r>
        <w:t xml:space="preserve">  </w:t>
      </w:r>
    </w:p>
    <w:p w14:paraId="7058A157">
      <w:pPr>
        <w:pStyle w:val="43"/>
        <w:ind w:firstLine="420" w:firstLineChars="200"/>
      </w:pPr>
      <w:r>
        <w:rPr>
          <w:rFonts w:hint="eastAsia"/>
        </w:rPr>
        <w:t>互相关系数、相位差变异系数及幅度比变异系数分别从趋势、相位、幅度衡量GWSA与实测地下水位变化的一致性，各指标之间相关系数较低，各指标反映的信息维度相对独立。本文采用等权综合三个指标结果，计算综合适用性评价指标，计算公式为</w:t>
      </w:r>
    </w:p>
    <w:p w14:paraId="13327F2B">
      <w:pPr>
        <w:pStyle w:val="43"/>
        <w:ind w:firstLine="420"/>
      </w:pPr>
      <w:r>
        <w:tab/>
      </w:r>
      <w:r>
        <w:rPr>
          <w:position w:val="-24"/>
        </w:rPr>
        <w:object>
          <v:shape id="_x0000_i1082" o:spt="75" type="#_x0000_t75" style="height:31.2pt;width:182.3pt;" o:ole="t" filled="f" o:preferrelative="t" stroked="f" coordsize="21600,21600">
            <v:path/>
            <v:fill on="f" focussize="0,0"/>
            <v:stroke on="f" joinstyle="miter"/>
            <v:imagedata r:id="rId119" o:title=""/>
            <o:lock v:ext="edit" aspectratio="t"/>
            <w10:wrap type="none"/>
            <w10:anchorlock/>
          </v:shape>
          <o:OLEObject Type="Embed" ProgID="Equation.DSMT4" ShapeID="_x0000_i1082" DrawAspect="Content" ObjectID="_1468075782" r:id="rId118">
            <o:LockedField>false</o:LockedField>
          </o:OLEObject>
        </w:object>
      </w:r>
      <w:r>
        <w:t xml:space="preserve"> </w:t>
      </w:r>
      <w:r>
        <w:tab/>
      </w:r>
      <w:r>
        <w:rPr>
          <w:rFonts w:hint="eastAsia"/>
        </w:rPr>
        <w:t>（16）</w:t>
      </w:r>
    </w:p>
    <w:p w14:paraId="13455224">
      <w:pPr>
        <w:pStyle w:val="43"/>
        <w:ind w:firstLine="420" w:firstLineChars="200"/>
      </w:pPr>
      <w:r>
        <w:rPr>
          <w:rFonts w:hint="eastAsia"/>
        </w:rPr>
        <w:t>对3种GWSA产品的适用性评价结果进行归一化处理，计算公式为</w:t>
      </w:r>
    </w:p>
    <w:p w14:paraId="656CE76C">
      <w:pPr>
        <w:pStyle w:val="43"/>
        <w:ind w:firstLine="420"/>
      </w:pPr>
      <w:r>
        <w:tab/>
      </w:r>
      <w:r>
        <w:rPr>
          <w:position w:val="-30"/>
        </w:rPr>
        <w:object>
          <v:shape id="_x0000_i1083" o:spt="75" type="#_x0000_t75" style="height:33.3pt;width:149.4pt;" o:ole="t" filled="f" o:preferrelative="t" stroked="f" coordsize="21600,21600">
            <v:path/>
            <v:fill on="f" focussize="0,0"/>
            <v:stroke on="f" joinstyle="miter"/>
            <v:imagedata r:id="rId121" o:title=""/>
            <o:lock v:ext="edit" aspectratio="t"/>
            <w10:wrap type="none"/>
            <w10:anchorlock/>
          </v:shape>
          <o:OLEObject Type="Embed" ProgID="Equation.DSMT4" ShapeID="_x0000_i1083" DrawAspect="Content" ObjectID="_1468075783" r:id="rId120">
            <o:LockedField>false</o:LockedField>
          </o:OLEObject>
        </w:object>
      </w:r>
      <w:r>
        <w:t xml:space="preserve"> </w:t>
      </w:r>
      <w:r>
        <w:tab/>
      </w:r>
      <w:r>
        <w:rPr>
          <w:rFonts w:hint="eastAsia"/>
        </w:rPr>
        <w:t>（17）</w:t>
      </w:r>
    </w:p>
    <w:p w14:paraId="1DF70ADB">
      <w:pPr>
        <w:pStyle w:val="43"/>
      </w:pPr>
      <w:r>
        <w:rPr>
          <w:rFonts w:hint="eastAsia"/>
        </w:rPr>
        <w:t>式中</w:t>
      </w:r>
      <w:bookmarkStart w:id="33" w:name="OLE_LINK11"/>
      <w:r>
        <w:rPr>
          <w:rFonts w:hint="eastAsia"/>
        </w:rPr>
        <w:t>，</w:t>
      </w:r>
      <w:r>
        <w:rPr>
          <w:position w:val="-12"/>
        </w:rPr>
        <w:object>
          <v:shape id="_x0000_i1084" o:spt="75" type="#_x0000_t75" style="height:17.9pt;width:45.35pt;" o:ole="t" filled="f" o:preferrelative="t" stroked="f" coordsize="21600,21600">
            <v:path/>
            <v:fill on="f" focussize="0,0"/>
            <v:stroke on="f" joinstyle="miter"/>
            <v:imagedata r:id="rId123" o:title=""/>
            <o:lock v:ext="edit" aspectratio="t"/>
            <w10:wrap type="none"/>
            <w10:anchorlock/>
          </v:shape>
          <o:OLEObject Type="Embed" ProgID="Equation.DSMT4" ShapeID="_x0000_i1084" DrawAspect="Content" ObjectID="_1468075784" r:id="rId122">
            <o:LockedField>false</o:LockedField>
          </o:OLEObject>
        </w:object>
      </w:r>
      <w:bookmarkEnd w:id="33"/>
      <w:r>
        <w:t xml:space="preserve"> </w:t>
      </w:r>
      <w:r>
        <w:rPr>
          <w:rFonts w:hint="eastAsia"/>
        </w:rPr>
        <w:t>为归一化后的适用性指标值；</w:t>
      </w:r>
      <w:r>
        <w:t xml:space="preserve"> </w:t>
      </w:r>
      <w:r>
        <w:rPr>
          <w:position w:val="-6"/>
        </w:rPr>
        <w:object>
          <v:shape id="_x0000_i1085" o:spt="75" type="#_x0000_t75" style="height:14.15pt;width:31.2pt;" o:ole="t" filled="f" o:preferrelative="t" stroked="f" coordsize="21600,21600">
            <v:path/>
            <v:fill on="f" focussize="0,0"/>
            <v:stroke on="f" joinstyle="miter"/>
            <v:imagedata r:id="rId125" o:title=""/>
            <o:lock v:ext="edit" aspectratio="t"/>
            <w10:wrap type="none"/>
            <w10:anchorlock/>
          </v:shape>
          <o:OLEObject Type="Embed" ProgID="Equation.DSMT4" ShapeID="_x0000_i1085" DrawAspect="Content" ObjectID="_1468075785" r:id="rId124">
            <o:LockedField>false</o:LockedField>
          </o:OLEObject>
        </w:object>
      </w:r>
      <w:r>
        <w:rPr>
          <w:rFonts w:hint="eastAsia"/>
        </w:rPr>
        <w:t>、</w:t>
      </w:r>
      <w:r>
        <w:rPr>
          <w:position w:val="-12"/>
        </w:rPr>
        <w:object>
          <v:shape id="_x0000_i1086" o:spt="75" type="#_x0000_t75" style="height:17.9pt;width:42.45pt;" o:ole="t" filled="f" o:preferrelative="t" stroked="f" coordsize="21600,21600">
            <v:path/>
            <v:fill on="f" focussize="0,0"/>
            <v:stroke on="f" joinstyle="miter"/>
            <v:imagedata r:id="rId127" o:title=""/>
            <o:lock v:ext="edit" aspectratio="t"/>
            <w10:wrap type="none"/>
            <w10:anchorlock/>
          </v:shape>
          <o:OLEObject Type="Embed" ProgID="Equation.DSMT4" ShapeID="_x0000_i1086" DrawAspect="Content" ObjectID="_1468075786" r:id="rId126">
            <o:LockedField>false</o:LockedField>
          </o:OLEObject>
        </w:object>
      </w:r>
      <w:r>
        <w:rPr>
          <w:rFonts w:hint="eastAsia"/>
        </w:rPr>
        <w:t>和</w:t>
      </w:r>
      <w:r>
        <w:rPr>
          <w:position w:val="-12"/>
        </w:rPr>
        <w:object>
          <v:shape id="_x0000_i1087" o:spt="75" type="#_x0000_t75" style="height:17.9pt;width:41.2pt;" o:ole="t" filled="f" o:preferrelative="t" stroked="f" coordsize="21600,21600">
            <v:path/>
            <v:fill on="f" focussize="0,0"/>
            <v:stroke on="f" joinstyle="miter"/>
            <v:imagedata r:id="rId129" o:title=""/>
            <o:lock v:ext="edit" aspectratio="t"/>
            <w10:wrap type="none"/>
            <w10:anchorlock/>
          </v:shape>
          <o:OLEObject Type="Embed" ProgID="Equation.DSMT4" ShapeID="_x0000_i1087" DrawAspect="Content" ObjectID="_1468075787" r:id="rId128">
            <o:LockedField>false</o:LockedField>
          </o:OLEObject>
        </w:object>
      </w:r>
      <w:r>
        <w:rPr>
          <w:rFonts w:hint="eastAsia"/>
        </w:rPr>
        <w:t>分别表示适用性指数的原始值、所有像元中的最大值和最小值。</w:t>
      </w:r>
    </w:p>
    <w:p w14:paraId="29682743">
      <w:pPr>
        <w:pStyle w:val="2"/>
      </w:pPr>
      <w:r>
        <w:t xml:space="preserve">3 </w:t>
      </w:r>
      <w:r>
        <w:rPr>
          <w:rFonts w:hint="eastAsia"/>
        </w:rPr>
        <w:t>结果与分析</w:t>
      </w:r>
    </w:p>
    <w:p w14:paraId="1BB6F58E">
      <w:pPr>
        <w:pStyle w:val="3"/>
      </w:pPr>
      <w:r>
        <w:rPr>
          <w:rFonts w:hint="eastAsia"/>
        </w:rPr>
        <w:t>3.1 GWSA产品在我国的适用性</w:t>
      </w:r>
    </w:p>
    <w:p w14:paraId="65BD8795">
      <w:pPr>
        <w:ind w:firstLine="420"/>
        <w:rPr>
          <w:rFonts w:hint="eastAsia"/>
        </w:rPr>
      </w:pPr>
      <w:r>
        <w:rPr>
          <w:rFonts w:hint="eastAsia"/>
        </w:rPr>
        <w:t>图2为三种GWSA监测产品各指标结果的空间分布情况，表2为三种GWSA产品各指标统计值。根据</w:t>
      </w:r>
      <w:r>
        <w:rPr>
          <w:rFonts w:hint="eastAsia"/>
          <w:i/>
          <w:iCs/>
        </w:rPr>
        <w:t>CC</w:t>
      </w:r>
      <w:r>
        <w:rPr>
          <w:rFonts w:hint="eastAsia"/>
        </w:rPr>
        <w:t>统计结果所示，GWSA-JPLM+CLSM与实测地下水位变化的CC的中位数最大，其次是GWSA-JPLM+VIC，GWSA-JPLM+Noah最小；</w:t>
      </w:r>
      <w:r>
        <w:rPr>
          <w:rFonts w:hint="eastAsia"/>
          <w:i/>
          <w:iCs/>
        </w:rPr>
        <w:t>PCV</w:t>
      </w:r>
      <w:r>
        <w:rPr>
          <w:rFonts w:hint="eastAsia"/>
        </w:rPr>
        <w:t>统计结果表明，GWSA-JPLM+CLSM与实测地下水位变化的PCV的中位数最大，其次是GWSA-JPLM+VIC，GWSA-JPLM+Noah最小；</w:t>
      </w:r>
      <w:r>
        <w:rPr>
          <w:rFonts w:hint="eastAsia"/>
          <w:i/>
          <w:iCs/>
        </w:rPr>
        <w:t>ACV</w:t>
      </w:r>
      <w:r>
        <w:rPr>
          <w:rFonts w:hint="eastAsia"/>
        </w:rPr>
        <w:t>统计结果表明，GWSA-JPLM+CLSM与实测地下水位变化的</w:t>
      </w:r>
      <w:r>
        <w:rPr>
          <w:rFonts w:hint="eastAsia"/>
          <w:i/>
          <w:iCs/>
        </w:rPr>
        <w:t>ACV</w:t>
      </w:r>
      <w:r>
        <w:rPr>
          <w:rFonts w:hint="eastAsia"/>
        </w:rPr>
        <w:t>中位数最大，GWSA-JPLM+Noah与GWSA-JPLM+VIC的</w:t>
      </w:r>
      <w:r>
        <w:rPr>
          <w:rFonts w:hint="eastAsia"/>
          <w:i/>
          <w:iCs/>
        </w:rPr>
        <w:t>ACV</w:t>
      </w:r>
      <w:r>
        <w:rPr>
          <w:rFonts w:hint="eastAsia"/>
        </w:rPr>
        <w:t>指数分布大致相同。由图2和表2可以看出，三种GWSA产品中，GWSA-JPLM</w:t>
      </w:r>
      <w:bookmarkStart w:id="34" w:name="OLE_LINK21"/>
      <w:r>
        <w:rPr>
          <w:rFonts w:hint="eastAsia"/>
        </w:rPr>
        <w:t>+CLSM</w:t>
      </w:r>
      <w:bookmarkEnd w:id="34"/>
      <w:r>
        <w:rPr>
          <w:rFonts w:hint="eastAsia"/>
        </w:rPr>
        <w:t>的适用性指数</w:t>
      </w:r>
      <w:r>
        <w:rPr>
          <w:rFonts w:hint="eastAsia"/>
          <w:i/>
          <w:iCs/>
        </w:rPr>
        <w:t>GSEI</w:t>
      </w:r>
      <w:r>
        <w:rPr>
          <w:rFonts w:hint="eastAsia"/>
        </w:rPr>
        <w:t>中位数最大，且标准差较小，因此该产品在研究全国尺度的地下水储量变化时最为适用。</w:t>
      </w:r>
    </w:p>
    <w:tbl>
      <w:tblPr>
        <w:tblStyle w:val="14"/>
        <w:tblW w:w="5000" w:type="pct"/>
        <w:jc w:val="center"/>
        <w:tblLayout w:type="autofit"/>
        <w:tblCellMar>
          <w:top w:w="0" w:type="dxa"/>
          <w:left w:w="0" w:type="dxa"/>
          <w:bottom w:w="0" w:type="dxa"/>
          <w:right w:w="0" w:type="dxa"/>
        </w:tblCellMar>
      </w:tblPr>
      <w:tblGrid>
        <w:gridCol w:w="4153"/>
        <w:gridCol w:w="4153"/>
      </w:tblGrid>
      <w:tr w14:paraId="2E6DCAE0">
        <w:tblPrEx>
          <w:tblCellMar>
            <w:top w:w="0" w:type="dxa"/>
            <w:left w:w="0" w:type="dxa"/>
            <w:bottom w:w="0" w:type="dxa"/>
            <w:right w:w="0" w:type="dxa"/>
          </w:tblCellMar>
        </w:tblPrEx>
        <w:trPr>
          <w:trHeight w:val="2041" w:hRule="atLeast"/>
          <w:jc w:val="center"/>
        </w:trPr>
        <w:tc>
          <w:tcPr>
            <w:tcW w:w="2500" w:type="pct"/>
            <w:vAlign w:val="center"/>
          </w:tcPr>
          <w:p w14:paraId="55E91CF2">
            <w:pPr>
              <w:adjustRightInd w:val="0"/>
              <w:snapToGrid w:val="0"/>
              <w:spacing w:line="0" w:lineRule="atLeast"/>
              <w:ind w:firstLine="0" w:firstLineChars="0"/>
              <w:jc w:val="center"/>
              <w:rPr>
                <w:kern w:val="0"/>
                <w:sz w:val="15"/>
                <w:lang w:val="zh-CN"/>
              </w:rPr>
            </w:pPr>
            <w:r>
              <w:drawing>
                <wp:inline distT="0" distB="0" distL="0" distR="0">
                  <wp:extent cx="2627630" cy="1918970"/>
                  <wp:effectExtent l="0" t="0" r="1270" b="5080"/>
                  <wp:docPr id="1596541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168" name="图片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628000" cy="1919586"/>
                          </a:xfrm>
                          <a:prstGeom prst="rect">
                            <a:avLst/>
                          </a:prstGeom>
                          <a:noFill/>
                          <a:ln>
                            <a:noFill/>
                          </a:ln>
                        </pic:spPr>
                      </pic:pic>
                    </a:graphicData>
                  </a:graphic>
                </wp:inline>
              </w:drawing>
            </w:r>
          </w:p>
        </w:tc>
        <w:tc>
          <w:tcPr>
            <w:tcW w:w="2500" w:type="pct"/>
            <w:vAlign w:val="center"/>
          </w:tcPr>
          <w:p w14:paraId="6B084135">
            <w:pPr>
              <w:adjustRightInd w:val="0"/>
              <w:snapToGrid w:val="0"/>
              <w:spacing w:line="0" w:lineRule="atLeast"/>
              <w:ind w:firstLine="0" w:firstLineChars="0"/>
              <w:jc w:val="center"/>
              <w:rPr>
                <w:kern w:val="0"/>
                <w:sz w:val="15"/>
                <w:lang w:val="zh-CN"/>
              </w:rPr>
            </w:pPr>
            <w:r>
              <w:drawing>
                <wp:inline distT="0" distB="0" distL="0" distR="0">
                  <wp:extent cx="2627630" cy="1918970"/>
                  <wp:effectExtent l="0" t="0" r="1270" b="5080"/>
                  <wp:docPr id="19980502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50269" name="图片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628000" cy="1919586"/>
                          </a:xfrm>
                          <a:prstGeom prst="rect">
                            <a:avLst/>
                          </a:prstGeom>
                          <a:noFill/>
                          <a:ln>
                            <a:noFill/>
                          </a:ln>
                        </pic:spPr>
                      </pic:pic>
                    </a:graphicData>
                  </a:graphic>
                </wp:inline>
              </w:drawing>
            </w:r>
          </w:p>
        </w:tc>
      </w:tr>
      <w:tr w14:paraId="29967A7D">
        <w:trPr>
          <w:trHeight w:val="170" w:hRule="atLeast"/>
          <w:jc w:val="center"/>
        </w:trPr>
        <w:tc>
          <w:tcPr>
            <w:tcW w:w="2500" w:type="pct"/>
            <w:vAlign w:val="center"/>
          </w:tcPr>
          <w:p w14:paraId="450CBD41">
            <w:pPr>
              <w:ind w:firstLine="0" w:firstLineChars="0"/>
              <w:jc w:val="center"/>
              <w:rPr>
                <w:rFonts w:cs="Times New Roman"/>
                <w:sz w:val="15"/>
                <w:szCs w:val="15"/>
              </w:rPr>
            </w:pPr>
            <w:r>
              <w:rPr>
                <w:rFonts w:hint="eastAsia" w:cs="Times New Roman"/>
                <w:sz w:val="15"/>
                <w:szCs w:val="15"/>
              </w:rPr>
              <w:t xml:space="preserve">（a）GWSA-JPLM+Noah </w:t>
            </w:r>
            <w:r>
              <w:rPr>
                <w:rFonts w:hint="eastAsia" w:cs="Times New Roman"/>
                <w:i/>
                <w:iCs/>
                <w:sz w:val="15"/>
                <w:szCs w:val="15"/>
              </w:rPr>
              <w:t>CC</w:t>
            </w:r>
            <w:r>
              <w:rPr>
                <w:rFonts w:cs="Times New Roman"/>
                <w:sz w:val="15"/>
                <w:szCs w:val="15"/>
              </w:rPr>
              <w:t xml:space="preserve"> </w:t>
            </w:r>
          </w:p>
        </w:tc>
        <w:tc>
          <w:tcPr>
            <w:tcW w:w="2500" w:type="pct"/>
            <w:vAlign w:val="center"/>
          </w:tcPr>
          <w:p w14:paraId="14C54434">
            <w:pPr>
              <w:ind w:firstLine="0" w:firstLineChars="0"/>
              <w:jc w:val="center"/>
              <w:rPr>
                <w:rFonts w:cs="Times New Roman"/>
                <w:sz w:val="15"/>
                <w:szCs w:val="15"/>
              </w:rPr>
            </w:pPr>
            <w:r>
              <w:rPr>
                <w:rFonts w:hint="eastAsia" w:cs="Times New Roman"/>
                <w:sz w:val="15"/>
                <w:szCs w:val="15"/>
              </w:rPr>
              <w:t xml:space="preserve">（b）GWSA-JPLM+CLSM </w:t>
            </w:r>
            <w:r>
              <w:rPr>
                <w:rFonts w:hint="eastAsia" w:cs="Times New Roman"/>
                <w:i/>
                <w:iCs/>
                <w:sz w:val="15"/>
                <w:szCs w:val="15"/>
              </w:rPr>
              <w:t>CC</w:t>
            </w:r>
          </w:p>
        </w:tc>
      </w:tr>
      <w:tr w14:paraId="71126B7F">
        <w:tblPrEx>
          <w:tblCellMar>
            <w:top w:w="0" w:type="dxa"/>
            <w:left w:w="0" w:type="dxa"/>
            <w:bottom w:w="0" w:type="dxa"/>
            <w:right w:w="0" w:type="dxa"/>
          </w:tblCellMar>
        </w:tblPrEx>
        <w:trPr>
          <w:trHeight w:val="2041" w:hRule="atLeast"/>
          <w:jc w:val="center"/>
        </w:trPr>
        <w:tc>
          <w:tcPr>
            <w:tcW w:w="2500" w:type="pct"/>
            <w:vAlign w:val="center"/>
          </w:tcPr>
          <w:p w14:paraId="0CE5C815">
            <w:pPr>
              <w:spacing w:line="0" w:lineRule="atLeast"/>
              <w:ind w:firstLine="0" w:firstLineChars="0"/>
              <w:jc w:val="center"/>
              <w:rPr>
                <w:kern w:val="0"/>
                <w:sz w:val="15"/>
              </w:rPr>
            </w:pPr>
            <w:r>
              <w:drawing>
                <wp:inline distT="0" distB="0" distL="0" distR="0">
                  <wp:extent cx="2627630" cy="1918970"/>
                  <wp:effectExtent l="0" t="0" r="1270" b="5080"/>
                  <wp:docPr id="16877037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3735" name="图片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628000" cy="1919586"/>
                          </a:xfrm>
                          <a:prstGeom prst="rect">
                            <a:avLst/>
                          </a:prstGeom>
                          <a:noFill/>
                          <a:ln>
                            <a:noFill/>
                          </a:ln>
                        </pic:spPr>
                      </pic:pic>
                    </a:graphicData>
                  </a:graphic>
                </wp:inline>
              </w:drawing>
            </w:r>
          </w:p>
        </w:tc>
        <w:tc>
          <w:tcPr>
            <w:tcW w:w="2500" w:type="pct"/>
            <w:vAlign w:val="center"/>
          </w:tcPr>
          <w:p w14:paraId="663989B8">
            <w:pPr>
              <w:spacing w:line="0" w:lineRule="atLeast"/>
              <w:ind w:firstLine="0" w:firstLineChars="0"/>
              <w:jc w:val="center"/>
              <w:rPr>
                <w:kern w:val="0"/>
                <w:sz w:val="15"/>
                <w:lang w:val="zh-CN"/>
              </w:rPr>
            </w:pPr>
            <w:r>
              <w:rPr>
                <w:kern w:val="0"/>
                <w:sz w:val="15"/>
                <w:lang w:val="zh-CN"/>
              </w:rPr>
              <w:drawing>
                <wp:inline distT="0" distB="0" distL="0" distR="0">
                  <wp:extent cx="2627630" cy="1918335"/>
                  <wp:effectExtent l="0" t="0" r="1270" b="5715"/>
                  <wp:docPr id="10978744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4476" name="图片 6"/>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r>
      <w:tr w14:paraId="2FF64FB0">
        <w:trPr>
          <w:trHeight w:val="170" w:hRule="atLeast"/>
          <w:jc w:val="center"/>
        </w:trPr>
        <w:tc>
          <w:tcPr>
            <w:tcW w:w="2500" w:type="pct"/>
            <w:vAlign w:val="center"/>
          </w:tcPr>
          <w:p w14:paraId="6AB2E071">
            <w:pPr>
              <w:ind w:firstLine="0" w:firstLineChars="0"/>
              <w:jc w:val="center"/>
              <w:rPr>
                <w:kern w:val="0"/>
                <w:sz w:val="15"/>
              </w:rPr>
            </w:pPr>
            <w:r>
              <w:rPr>
                <w:rFonts w:hint="eastAsia" w:cs="Times New Roman"/>
                <w:sz w:val="15"/>
                <w:szCs w:val="15"/>
              </w:rPr>
              <w:t xml:space="preserve">（c）GWSA-JPLM+VIC </w:t>
            </w:r>
            <w:r>
              <w:rPr>
                <w:rFonts w:hint="eastAsia" w:cs="Times New Roman"/>
                <w:i/>
                <w:iCs/>
                <w:sz w:val="15"/>
                <w:szCs w:val="15"/>
              </w:rPr>
              <w:t>CC</w:t>
            </w:r>
          </w:p>
        </w:tc>
        <w:tc>
          <w:tcPr>
            <w:tcW w:w="2500" w:type="pct"/>
            <w:vAlign w:val="center"/>
          </w:tcPr>
          <w:p w14:paraId="6B59523F">
            <w:pPr>
              <w:ind w:firstLine="0" w:firstLineChars="0"/>
              <w:jc w:val="center"/>
              <w:rPr>
                <w:kern w:val="0"/>
                <w:sz w:val="15"/>
              </w:rPr>
            </w:pPr>
            <w:r>
              <w:rPr>
                <w:rFonts w:hint="eastAsia"/>
                <w:kern w:val="0"/>
                <w:sz w:val="15"/>
              </w:rPr>
              <w:t xml:space="preserve">（d）GWSA-JPLM+Noah </w:t>
            </w:r>
            <w:r>
              <w:rPr>
                <w:rFonts w:hint="eastAsia" w:cs="Times New Roman"/>
                <w:i/>
                <w:iCs/>
                <w:sz w:val="15"/>
                <w:szCs w:val="15"/>
              </w:rPr>
              <w:t>PCV</w:t>
            </w:r>
          </w:p>
        </w:tc>
      </w:tr>
      <w:tr w14:paraId="79354A82">
        <w:tblPrEx>
          <w:tblCellMar>
            <w:top w:w="0" w:type="dxa"/>
            <w:left w:w="0" w:type="dxa"/>
            <w:bottom w:w="0" w:type="dxa"/>
            <w:right w:w="0" w:type="dxa"/>
          </w:tblCellMar>
        </w:tblPrEx>
        <w:trPr>
          <w:trHeight w:val="170" w:hRule="atLeast"/>
          <w:jc w:val="center"/>
        </w:trPr>
        <w:tc>
          <w:tcPr>
            <w:tcW w:w="2500" w:type="pct"/>
            <w:vAlign w:val="center"/>
          </w:tcPr>
          <w:p w14:paraId="175BD7B9">
            <w:pPr>
              <w:spacing w:line="0" w:lineRule="atLeast"/>
              <w:ind w:firstLine="0" w:firstLineChars="0"/>
              <w:jc w:val="center"/>
              <w:rPr>
                <w:kern w:val="0"/>
                <w:sz w:val="15"/>
              </w:rPr>
            </w:pPr>
            <w:r>
              <w:rPr>
                <w:kern w:val="0"/>
                <w:sz w:val="15"/>
              </w:rPr>
              <w:drawing>
                <wp:inline distT="0" distB="0" distL="0" distR="0">
                  <wp:extent cx="2627630" cy="1918335"/>
                  <wp:effectExtent l="0" t="0" r="1270" b="5715"/>
                  <wp:docPr id="8950909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90995" name="图片 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c>
          <w:tcPr>
            <w:tcW w:w="2500" w:type="pct"/>
            <w:vAlign w:val="center"/>
          </w:tcPr>
          <w:p w14:paraId="396FA44E">
            <w:pPr>
              <w:spacing w:line="0" w:lineRule="atLeast"/>
              <w:ind w:firstLine="0" w:firstLineChars="0"/>
              <w:jc w:val="center"/>
              <w:rPr>
                <w:kern w:val="0"/>
                <w:sz w:val="15"/>
              </w:rPr>
            </w:pPr>
            <w:r>
              <w:rPr>
                <w:kern w:val="0"/>
                <w:sz w:val="15"/>
              </w:rPr>
              <w:drawing>
                <wp:inline distT="0" distB="0" distL="0" distR="0">
                  <wp:extent cx="2627630" cy="1918335"/>
                  <wp:effectExtent l="0" t="0" r="1270" b="5715"/>
                  <wp:docPr id="15422502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50285" name="图片 8"/>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r>
      <w:tr w14:paraId="5D640745">
        <w:tblPrEx>
          <w:tblCellMar>
            <w:top w:w="0" w:type="dxa"/>
            <w:left w:w="0" w:type="dxa"/>
            <w:bottom w:w="0" w:type="dxa"/>
            <w:right w:w="0" w:type="dxa"/>
          </w:tblCellMar>
        </w:tblPrEx>
        <w:trPr>
          <w:trHeight w:val="170" w:hRule="atLeast"/>
          <w:jc w:val="center"/>
        </w:trPr>
        <w:tc>
          <w:tcPr>
            <w:tcW w:w="2500" w:type="pct"/>
            <w:vAlign w:val="center"/>
          </w:tcPr>
          <w:p w14:paraId="0C78477A">
            <w:pPr>
              <w:ind w:firstLine="0" w:firstLineChars="0"/>
              <w:jc w:val="center"/>
              <w:rPr>
                <w:kern w:val="0"/>
                <w:sz w:val="15"/>
              </w:rPr>
            </w:pPr>
            <w:r>
              <w:rPr>
                <w:rFonts w:hint="eastAsia"/>
                <w:kern w:val="0"/>
                <w:sz w:val="15"/>
              </w:rPr>
              <w:t xml:space="preserve">（e）GWSA-JPLM+CLSM </w:t>
            </w:r>
            <w:r>
              <w:rPr>
                <w:rFonts w:hint="eastAsia" w:cs="Times New Roman"/>
                <w:i/>
                <w:iCs/>
                <w:sz w:val="15"/>
                <w:szCs w:val="15"/>
              </w:rPr>
              <w:t>PCV</w:t>
            </w:r>
          </w:p>
        </w:tc>
        <w:tc>
          <w:tcPr>
            <w:tcW w:w="2500" w:type="pct"/>
            <w:vAlign w:val="center"/>
          </w:tcPr>
          <w:p w14:paraId="7D5ADCAC">
            <w:pPr>
              <w:ind w:firstLine="0" w:firstLineChars="0"/>
              <w:jc w:val="center"/>
              <w:rPr>
                <w:kern w:val="0"/>
                <w:sz w:val="15"/>
              </w:rPr>
            </w:pPr>
            <w:r>
              <w:rPr>
                <w:rFonts w:hint="eastAsia"/>
                <w:kern w:val="0"/>
                <w:sz w:val="15"/>
              </w:rPr>
              <w:t xml:space="preserve">（f）GWSA-JPLM+VIC </w:t>
            </w:r>
            <w:r>
              <w:rPr>
                <w:rFonts w:hint="eastAsia" w:cs="Times New Roman"/>
                <w:i/>
                <w:iCs/>
                <w:sz w:val="15"/>
                <w:szCs w:val="15"/>
              </w:rPr>
              <w:t>PCV</w:t>
            </w:r>
          </w:p>
        </w:tc>
      </w:tr>
      <w:tr w14:paraId="741F0E01">
        <w:tblPrEx>
          <w:tblCellMar>
            <w:top w:w="0" w:type="dxa"/>
            <w:left w:w="0" w:type="dxa"/>
            <w:bottom w:w="0" w:type="dxa"/>
            <w:right w:w="0" w:type="dxa"/>
          </w:tblCellMar>
        </w:tblPrEx>
        <w:trPr>
          <w:trHeight w:val="170" w:hRule="atLeast"/>
          <w:jc w:val="center"/>
        </w:trPr>
        <w:tc>
          <w:tcPr>
            <w:tcW w:w="2500" w:type="pct"/>
            <w:vAlign w:val="center"/>
          </w:tcPr>
          <w:p w14:paraId="6177B888">
            <w:pPr>
              <w:spacing w:line="0" w:lineRule="atLeast"/>
              <w:ind w:firstLine="0" w:firstLineChars="0"/>
              <w:jc w:val="center"/>
            </w:pPr>
            <w:r>
              <w:drawing>
                <wp:inline distT="0" distB="0" distL="0" distR="0">
                  <wp:extent cx="2627630" cy="1918335"/>
                  <wp:effectExtent l="0" t="0" r="1270" b="5715"/>
                  <wp:docPr id="13684180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18034" name="图片 9"/>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c>
          <w:tcPr>
            <w:tcW w:w="2500" w:type="pct"/>
            <w:vAlign w:val="center"/>
          </w:tcPr>
          <w:p w14:paraId="48EF2AC6">
            <w:pPr>
              <w:spacing w:line="0" w:lineRule="atLeast"/>
              <w:ind w:firstLine="0" w:firstLineChars="0"/>
              <w:jc w:val="center"/>
            </w:pPr>
            <w:r>
              <w:drawing>
                <wp:inline distT="0" distB="0" distL="0" distR="0">
                  <wp:extent cx="2627630" cy="1918335"/>
                  <wp:effectExtent l="0" t="0" r="1270" b="5715"/>
                  <wp:docPr id="5860453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45354" name="图片 10"/>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r>
      <w:tr w14:paraId="128A9DD5">
        <w:tblPrEx>
          <w:tblCellMar>
            <w:top w:w="0" w:type="dxa"/>
            <w:left w:w="0" w:type="dxa"/>
            <w:bottom w:w="0" w:type="dxa"/>
            <w:right w:w="0" w:type="dxa"/>
          </w:tblCellMar>
        </w:tblPrEx>
        <w:trPr>
          <w:trHeight w:val="170" w:hRule="atLeast"/>
          <w:jc w:val="center"/>
        </w:trPr>
        <w:tc>
          <w:tcPr>
            <w:tcW w:w="2500" w:type="pct"/>
            <w:vAlign w:val="center"/>
          </w:tcPr>
          <w:p w14:paraId="6669337F">
            <w:pPr>
              <w:ind w:firstLine="0" w:firstLineChars="0"/>
              <w:jc w:val="center"/>
              <w:rPr>
                <w:kern w:val="0"/>
                <w:sz w:val="15"/>
              </w:rPr>
            </w:pPr>
            <w:r>
              <w:rPr>
                <w:rFonts w:hint="eastAsia"/>
                <w:kern w:val="0"/>
                <w:sz w:val="15"/>
              </w:rPr>
              <w:t xml:space="preserve">（g）GWSA-JPLM+Noah </w:t>
            </w:r>
            <w:r>
              <w:rPr>
                <w:rFonts w:hint="eastAsia" w:cs="Times New Roman"/>
                <w:i/>
                <w:iCs/>
                <w:sz w:val="15"/>
                <w:szCs w:val="15"/>
              </w:rPr>
              <w:t>ACV</w:t>
            </w:r>
          </w:p>
        </w:tc>
        <w:tc>
          <w:tcPr>
            <w:tcW w:w="2500" w:type="pct"/>
            <w:vAlign w:val="center"/>
          </w:tcPr>
          <w:p w14:paraId="6CE98825">
            <w:pPr>
              <w:ind w:firstLine="0" w:firstLineChars="0"/>
              <w:jc w:val="center"/>
              <w:rPr>
                <w:kern w:val="0"/>
                <w:sz w:val="15"/>
              </w:rPr>
            </w:pPr>
            <w:r>
              <w:rPr>
                <w:rFonts w:hint="eastAsia"/>
                <w:kern w:val="0"/>
                <w:sz w:val="15"/>
              </w:rPr>
              <w:t xml:space="preserve">（h）GWSA-JPLM+CLSM </w:t>
            </w:r>
            <w:r>
              <w:rPr>
                <w:rFonts w:hint="eastAsia" w:cs="Times New Roman"/>
                <w:i/>
                <w:iCs/>
                <w:sz w:val="15"/>
                <w:szCs w:val="15"/>
              </w:rPr>
              <w:t>ACV</w:t>
            </w:r>
          </w:p>
        </w:tc>
      </w:tr>
      <w:tr w14:paraId="77FBB7AC">
        <w:tblPrEx>
          <w:tblCellMar>
            <w:top w:w="0" w:type="dxa"/>
            <w:left w:w="0" w:type="dxa"/>
            <w:bottom w:w="0" w:type="dxa"/>
            <w:right w:w="0" w:type="dxa"/>
          </w:tblCellMar>
        </w:tblPrEx>
        <w:trPr>
          <w:trHeight w:val="170" w:hRule="atLeast"/>
          <w:jc w:val="center"/>
        </w:trPr>
        <w:tc>
          <w:tcPr>
            <w:tcW w:w="2500" w:type="pct"/>
            <w:vAlign w:val="center"/>
          </w:tcPr>
          <w:p w14:paraId="0DD7CF5A">
            <w:pPr>
              <w:ind w:firstLine="0" w:firstLineChars="0"/>
              <w:jc w:val="center"/>
              <w:rPr>
                <w:kern w:val="0"/>
                <w:sz w:val="15"/>
              </w:rPr>
            </w:pPr>
            <w:r>
              <w:rPr>
                <w:rFonts w:hint="eastAsia"/>
                <w:kern w:val="0"/>
                <w:sz w:val="15"/>
              </w:rPr>
              <w:drawing>
                <wp:inline distT="0" distB="0" distL="0" distR="0">
                  <wp:extent cx="2627630" cy="1918335"/>
                  <wp:effectExtent l="0" t="0" r="1270" b="5715"/>
                  <wp:docPr id="18686247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24744" name="图片 11"/>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c>
          <w:tcPr>
            <w:tcW w:w="2500" w:type="pct"/>
            <w:vAlign w:val="center"/>
          </w:tcPr>
          <w:p w14:paraId="2B3A55D6">
            <w:pPr>
              <w:ind w:firstLine="0" w:firstLineChars="0"/>
              <w:jc w:val="center"/>
              <w:rPr>
                <w:kern w:val="0"/>
                <w:sz w:val="15"/>
              </w:rPr>
            </w:pPr>
            <w:r>
              <w:rPr>
                <w:rFonts w:hint="eastAsia"/>
                <w:kern w:val="0"/>
                <w:sz w:val="15"/>
              </w:rPr>
              <w:drawing>
                <wp:inline distT="0" distB="0" distL="0" distR="0">
                  <wp:extent cx="2627630" cy="1918335"/>
                  <wp:effectExtent l="0" t="0" r="1270" b="5715"/>
                  <wp:docPr id="5015562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56267" name="图片 12"/>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r>
      <w:tr w14:paraId="3F82D4CB">
        <w:tblPrEx>
          <w:tblCellMar>
            <w:top w:w="0" w:type="dxa"/>
            <w:left w:w="0" w:type="dxa"/>
            <w:bottom w:w="0" w:type="dxa"/>
            <w:right w:w="0" w:type="dxa"/>
          </w:tblCellMar>
        </w:tblPrEx>
        <w:trPr>
          <w:trHeight w:val="170" w:hRule="atLeast"/>
          <w:jc w:val="center"/>
        </w:trPr>
        <w:tc>
          <w:tcPr>
            <w:tcW w:w="2500" w:type="pct"/>
            <w:vAlign w:val="center"/>
          </w:tcPr>
          <w:p w14:paraId="2B35283F">
            <w:pPr>
              <w:ind w:firstLine="0" w:firstLineChars="0"/>
              <w:jc w:val="center"/>
              <w:rPr>
                <w:kern w:val="0"/>
                <w:sz w:val="15"/>
              </w:rPr>
            </w:pPr>
            <w:r>
              <w:rPr>
                <w:rFonts w:hint="eastAsia"/>
                <w:kern w:val="0"/>
                <w:sz w:val="15"/>
              </w:rPr>
              <w:t xml:space="preserve">（i）GWSA-JPLM+VIC </w:t>
            </w:r>
            <w:r>
              <w:rPr>
                <w:rFonts w:hint="eastAsia" w:cs="Times New Roman"/>
                <w:i/>
                <w:iCs/>
                <w:sz w:val="15"/>
                <w:szCs w:val="15"/>
              </w:rPr>
              <w:t>ACV</w:t>
            </w:r>
          </w:p>
        </w:tc>
        <w:tc>
          <w:tcPr>
            <w:tcW w:w="2500" w:type="pct"/>
            <w:vAlign w:val="center"/>
          </w:tcPr>
          <w:p w14:paraId="3155B162">
            <w:pPr>
              <w:ind w:firstLine="0" w:firstLineChars="0"/>
              <w:jc w:val="center"/>
              <w:rPr>
                <w:kern w:val="0"/>
                <w:sz w:val="15"/>
              </w:rPr>
            </w:pPr>
            <w:r>
              <w:rPr>
                <w:rFonts w:hint="eastAsia"/>
                <w:kern w:val="0"/>
                <w:sz w:val="15"/>
              </w:rPr>
              <w:t xml:space="preserve">（j）GWSA-JPLM+Noah </w:t>
            </w:r>
            <w:r>
              <w:rPr>
                <w:rFonts w:hint="eastAsia" w:cs="Times New Roman"/>
                <w:i/>
                <w:iCs/>
                <w:sz w:val="15"/>
                <w:szCs w:val="15"/>
              </w:rPr>
              <w:t>GSEI</w:t>
            </w:r>
          </w:p>
        </w:tc>
      </w:tr>
      <w:tr w14:paraId="00EF00F7">
        <w:tblPrEx>
          <w:tblCellMar>
            <w:top w:w="0" w:type="dxa"/>
            <w:left w:w="0" w:type="dxa"/>
            <w:bottom w:w="0" w:type="dxa"/>
            <w:right w:w="0" w:type="dxa"/>
          </w:tblCellMar>
        </w:tblPrEx>
        <w:trPr>
          <w:trHeight w:val="170" w:hRule="atLeast"/>
          <w:jc w:val="center"/>
        </w:trPr>
        <w:tc>
          <w:tcPr>
            <w:tcW w:w="2500" w:type="pct"/>
            <w:vAlign w:val="center"/>
          </w:tcPr>
          <w:p w14:paraId="7E322340">
            <w:pPr>
              <w:ind w:firstLine="0" w:firstLineChars="0"/>
              <w:jc w:val="center"/>
              <w:rPr>
                <w:kern w:val="0"/>
                <w:sz w:val="15"/>
              </w:rPr>
            </w:pPr>
            <w:r>
              <w:rPr>
                <w:rFonts w:hint="eastAsia"/>
                <w:kern w:val="0"/>
                <w:sz w:val="15"/>
              </w:rPr>
              <w:drawing>
                <wp:inline distT="0" distB="0" distL="0" distR="0">
                  <wp:extent cx="2627630" cy="1918335"/>
                  <wp:effectExtent l="0" t="0" r="1270" b="5715"/>
                  <wp:docPr id="4310816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81651" name="图片 13"/>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c>
          <w:tcPr>
            <w:tcW w:w="2500" w:type="pct"/>
            <w:vAlign w:val="center"/>
          </w:tcPr>
          <w:p w14:paraId="647F410A">
            <w:pPr>
              <w:ind w:firstLine="0" w:firstLineChars="0"/>
              <w:jc w:val="center"/>
              <w:rPr>
                <w:kern w:val="0"/>
                <w:sz w:val="15"/>
              </w:rPr>
            </w:pPr>
            <w:r>
              <w:rPr>
                <w:rFonts w:hint="eastAsia"/>
                <w:kern w:val="0"/>
                <w:sz w:val="15"/>
              </w:rPr>
              <w:drawing>
                <wp:inline distT="0" distB="0" distL="0" distR="0">
                  <wp:extent cx="2627630" cy="1918335"/>
                  <wp:effectExtent l="0" t="0" r="1270" b="5715"/>
                  <wp:docPr id="21469907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90746" name="图片 14"/>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628000" cy="1918953"/>
                          </a:xfrm>
                          <a:prstGeom prst="rect">
                            <a:avLst/>
                          </a:prstGeom>
                        </pic:spPr>
                      </pic:pic>
                    </a:graphicData>
                  </a:graphic>
                </wp:inline>
              </w:drawing>
            </w:r>
          </w:p>
        </w:tc>
      </w:tr>
      <w:tr w14:paraId="100F84B1">
        <w:tblPrEx>
          <w:tblCellMar>
            <w:top w:w="0" w:type="dxa"/>
            <w:left w:w="0" w:type="dxa"/>
            <w:bottom w:w="0" w:type="dxa"/>
            <w:right w:w="0" w:type="dxa"/>
          </w:tblCellMar>
        </w:tblPrEx>
        <w:trPr>
          <w:trHeight w:val="170" w:hRule="atLeast"/>
          <w:jc w:val="center"/>
        </w:trPr>
        <w:tc>
          <w:tcPr>
            <w:tcW w:w="2500" w:type="pct"/>
            <w:vAlign w:val="center"/>
          </w:tcPr>
          <w:p w14:paraId="5EB8F159">
            <w:pPr>
              <w:ind w:firstLine="0" w:firstLineChars="0"/>
              <w:jc w:val="center"/>
              <w:rPr>
                <w:kern w:val="0"/>
                <w:sz w:val="15"/>
              </w:rPr>
            </w:pPr>
            <w:r>
              <w:rPr>
                <w:rFonts w:hint="eastAsia"/>
                <w:kern w:val="0"/>
                <w:sz w:val="15"/>
              </w:rPr>
              <w:t xml:space="preserve">（k）GWSA-JPLM+CLSM </w:t>
            </w:r>
            <w:r>
              <w:rPr>
                <w:rFonts w:hint="eastAsia" w:cs="Times New Roman"/>
                <w:i/>
                <w:iCs/>
                <w:sz w:val="15"/>
                <w:szCs w:val="15"/>
              </w:rPr>
              <w:t>GSEI</w:t>
            </w:r>
          </w:p>
        </w:tc>
        <w:tc>
          <w:tcPr>
            <w:tcW w:w="2500" w:type="pct"/>
            <w:vAlign w:val="center"/>
          </w:tcPr>
          <w:p w14:paraId="780FC543">
            <w:pPr>
              <w:ind w:firstLine="0" w:firstLineChars="0"/>
              <w:jc w:val="center"/>
              <w:rPr>
                <w:kern w:val="0"/>
                <w:sz w:val="15"/>
              </w:rPr>
            </w:pPr>
            <w:r>
              <w:rPr>
                <w:rFonts w:hint="eastAsia"/>
                <w:kern w:val="0"/>
                <w:sz w:val="15"/>
              </w:rPr>
              <w:t xml:space="preserve">（l）GWSA-JPLM+VIC </w:t>
            </w:r>
            <w:r>
              <w:rPr>
                <w:rFonts w:hint="eastAsia" w:cs="Times New Roman"/>
                <w:i/>
                <w:iCs/>
                <w:sz w:val="15"/>
                <w:szCs w:val="15"/>
              </w:rPr>
              <w:t>GSEI</w:t>
            </w:r>
          </w:p>
        </w:tc>
      </w:tr>
    </w:tbl>
    <w:p w14:paraId="6ECBF995">
      <w:pPr>
        <w:ind w:firstLine="0" w:firstLineChars="0"/>
        <w:rPr>
          <w:rFonts w:eastAsia="黑体" w:cs="Times New Roman"/>
          <w:sz w:val="18"/>
          <w:szCs w:val="18"/>
        </w:rPr>
      </w:pPr>
      <w:bookmarkStart w:id="35" w:name="_Ref192251098"/>
      <w:r>
        <w:rPr>
          <w:rFonts w:hint="eastAsia" w:eastAsia="黑体" w:cs="Times New Roman"/>
          <w:sz w:val="18"/>
          <w:szCs w:val="18"/>
        </w:rPr>
        <w:t>(该图基于自然资源部标准地图服务网站下载的审图号为GS(2016)1569号的标准地图制作，底图无修改)</w:t>
      </w:r>
    </w:p>
    <w:p w14:paraId="2232AEBC">
      <w:pPr>
        <w:ind w:firstLine="0" w:firstLineChars="0"/>
        <w:jc w:val="center"/>
        <w:rPr>
          <w:rFonts w:eastAsia="黑体" w:cs="Times New Roman"/>
          <w:sz w:val="18"/>
          <w:szCs w:val="18"/>
        </w:rPr>
      </w:pPr>
      <w:bookmarkStart w:id="36" w:name="_Ref194516394"/>
      <w:r>
        <w:rPr>
          <w:rFonts w:hint="eastAsia" w:eastAsia="黑体" w:cs="Times New Roman"/>
          <w:sz w:val="18"/>
          <w:szCs w:val="18"/>
        </w:rPr>
        <w:t>图</w:t>
      </w:r>
      <w:bookmarkEnd w:id="35"/>
      <w:bookmarkEnd w:id="36"/>
      <w:r>
        <w:rPr>
          <w:rFonts w:hint="eastAsia" w:eastAsia="黑体" w:cs="Times New Roman"/>
          <w:sz w:val="18"/>
          <w:szCs w:val="18"/>
        </w:rPr>
        <w:t>2 三种GWSA产品</w:t>
      </w:r>
      <w:r>
        <w:rPr>
          <w:rFonts w:hint="eastAsia" w:eastAsia="黑体" w:cs="Times New Roman"/>
          <w:i/>
          <w:iCs/>
          <w:sz w:val="18"/>
          <w:szCs w:val="18"/>
        </w:rPr>
        <w:t>CC、PCV、ACV、GSEI</w:t>
      </w:r>
      <w:r>
        <w:rPr>
          <w:rFonts w:hint="eastAsia" w:eastAsia="黑体" w:cs="Times New Roman"/>
          <w:sz w:val="18"/>
          <w:szCs w:val="18"/>
        </w:rPr>
        <w:t>指标空间分布图</w:t>
      </w:r>
    </w:p>
    <w:p w14:paraId="0D662177">
      <w:pPr>
        <w:ind w:firstLine="0" w:firstLineChars="0"/>
        <w:jc w:val="center"/>
        <w:rPr>
          <w:rFonts w:eastAsia="黑体" w:cs="Times New Roman"/>
          <w:bCs/>
          <w:sz w:val="18"/>
          <w:szCs w:val="18"/>
        </w:rPr>
      </w:pPr>
      <w:r>
        <w:rPr>
          <w:rFonts w:eastAsia="黑体" w:cs="Times New Roman"/>
          <w:bCs/>
          <w:sz w:val="18"/>
          <w:szCs w:val="18"/>
        </w:rPr>
        <w:t>Fig.</w:t>
      </w:r>
      <w:r>
        <w:rPr>
          <w:rFonts w:hint="eastAsia" w:eastAsia="黑体" w:cs="Times New Roman"/>
          <w:bCs/>
          <w:sz w:val="18"/>
          <w:szCs w:val="18"/>
        </w:rPr>
        <w:t xml:space="preserve">2 </w:t>
      </w:r>
      <w:r>
        <w:rPr>
          <w:rFonts w:eastAsia="黑体" w:cs="Times New Roman"/>
          <w:bCs/>
          <w:sz w:val="18"/>
          <w:szCs w:val="18"/>
        </w:rPr>
        <w:t xml:space="preserve">Spatial distribution </w:t>
      </w:r>
      <w:r>
        <w:rPr>
          <w:rFonts w:hint="eastAsia" w:eastAsia="黑体" w:cs="Times New Roman"/>
          <w:bCs/>
          <w:sz w:val="18"/>
          <w:szCs w:val="18"/>
        </w:rPr>
        <w:t xml:space="preserve">maps </w:t>
      </w:r>
      <w:r>
        <w:rPr>
          <w:rFonts w:eastAsia="黑体" w:cs="Times New Roman"/>
          <w:bCs/>
          <w:sz w:val="18"/>
          <w:szCs w:val="18"/>
        </w:rPr>
        <w:t xml:space="preserve">of </w:t>
      </w:r>
      <w:r>
        <w:rPr>
          <w:rFonts w:eastAsia="黑体" w:cs="Times New Roman"/>
          <w:bCs/>
          <w:i/>
          <w:iCs/>
          <w:sz w:val="18"/>
          <w:szCs w:val="18"/>
        </w:rPr>
        <w:t>CC, PCV, ACV</w:t>
      </w:r>
      <w:r>
        <w:rPr>
          <w:rFonts w:eastAsia="黑体" w:cs="Times New Roman"/>
          <w:bCs/>
          <w:sz w:val="18"/>
          <w:szCs w:val="18"/>
        </w:rPr>
        <w:t xml:space="preserve">, and </w:t>
      </w:r>
      <w:r>
        <w:rPr>
          <w:rFonts w:eastAsia="黑体" w:cs="Times New Roman"/>
          <w:bCs/>
          <w:i/>
          <w:iCs/>
          <w:sz w:val="18"/>
          <w:szCs w:val="18"/>
        </w:rPr>
        <w:t>GSEI</w:t>
      </w:r>
      <w:r>
        <w:rPr>
          <w:rFonts w:eastAsia="黑体" w:cs="Times New Roman"/>
          <w:bCs/>
          <w:sz w:val="18"/>
          <w:szCs w:val="18"/>
        </w:rPr>
        <w:t xml:space="preserve"> </w:t>
      </w:r>
      <w:r>
        <w:rPr>
          <w:rFonts w:hint="eastAsia" w:eastAsia="黑体" w:cs="Times New Roman"/>
          <w:bCs/>
          <w:sz w:val="18"/>
          <w:szCs w:val="18"/>
        </w:rPr>
        <w:t xml:space="preserve">indicators </w:t>
      </w:r>
      <w:r>
        <w:rPr>
          <w:rFonts w:eastAsia="黑体" w:cs="Times New Roman"/>
          <w:bCs/>
          <w:sz w:val="18"/>
          <w:szCs w:val="18"/>
        </w:rPr>
        <w:t>for three GWSA products</w:t>
      </w:r>
    </w:p>
    <w:p w14:paraId="221E8A6E">
      <w:pPr>
        <w:keepNext/>
        <w:keepLines/>
        <w:ind w:firstLine="0" w:firstLineChars="0"/>
        <w:jc w:val="center"/>
        <w:rPr>
          <w:rFonts w:eastAsia="黑体" w:cs="Times New Roman"/>
          <w:sz w:val="18"/>
          <w:szCs w:val="18"/>
        </w:rPr>
      </w:pPr>
      <w:bookmarkStart w:id="37" w:name="_Ref192251165"/>
      <w:r>
        <w:rPr>
          <w:rFonts w:hint="eastAsia" w:eastAsia="黑体" w:cs="Times New Roman"/>
          <w:sz w:val="18"/>
          <w:szCs w:val="18"/>
        </w:rPr>
        <w:t xml:space="preserve">表 </w:t>
      </w:r>
      <w:bookmarkEnd w:id="37"/>
      <w:r>
        <w:rPr>
          <w:rFonts w:hint="eastAsia" w:eastAsia="黑体" w:cs="Times New Roman"/>
          <w:sz w:val="18"/>
          <w:szCs w:val="18"/>
        </w:rPr>
        <w:t>2 三种GWSA产品3</w:t>
      </w:r>
      <w:r>
        <w:rPr>
          <w:rFonts w:eastAsia="黑体" w:cs="Times New Roman"/>
          <w:sz w:val="18"/>
          <w:szCs w:val="18"/>
        </w:rPr>
        <w:t>个指标</w:t>
      </w:r>
      <w:bookmarkStart w:id="38" w:name="OLE_LINK19"/>
      <w:r>
        <w:rPr>
          <w:rFonts w:eastAsia="黑体" w:cs="Times New Roman"/>
          <w:sz w:val="18"/>
          <w:szCs w:val="18"/>
        </w:rPr>
        <w:t>和</w:t>
      </w:r>
      <w:r>
        <w:rPr>
          <w:rFonts w:hint="eastAsia" w:eastAsia="黑体" w:cs="Times New Roman"/>
          <w:sz w:val="18"/>
          <w:szCs w:val="18"/>
        </w:rPr>
        <w:t>适用性</w:t>
      </w:r>
      <w:r>
        <w:rPr>
          <w:rFonts w:eastAsia="黑体" w:cs="Times New Roman"/>
          <w:sz w:val="18"/>
          <w:szCs w:val="18"/>
        </w:rPr>
        <w:t>指数</w:t>
      </w:r>
      <w:r>
        <w:rPr>
          <w:rFonts w:hint="eastAsia" w:eastAsia="黑体" w:cs="Times New Roman"/>
          <w:i/>
          <w:iCs/>
          <w:sz w:val="18"/>
          <w:szCs w:val="18"/>
        </w:rPr>
        <w:t>GS</w:t>
      </w:r>
      <w:r>
        <w:rPr>
          <w:rFonts w:eastAsia="黑体" w:cs="Times New Roman"/>
          <w:i/>
          <w:iCs/>
          <w:sz w:val="18"/>
          <w:szCs w:val="18"/>
        </w:rPr>
        <w:t>EI</w:t>
      </w:r>
      <w:bookmarkEnd w:id="38"/>
      <w:r>
        <w:rPr>
          <w:rFonts w:eastAsia="黑体" w:cs="Times New Roman"/>
          <w:sz w:val="18"/>
          <w:szCs w:val="18"/>
        </w:rPr>
        <w:t>的统计值</w:t>
      </w:r>
    </w:p>
    <w:p w14:paraId="08B15A48">
      <w:pPr>
        <w:keepNext/>
        <w:keepLines/>
        <w:ind w:firstLine="0" w:firstLineChars="0"/>
        <w:jc w:val="center"/>
        <w:rPr>
          <w:rFonts w:eastAsia="黑体" w:cs="Times New Roman"/>
          <w:sz w:val="18"/>
          <w:szCs w:val="18"/>
        </w:rPr>
      </w:pPr>
      <w:r>
        <w:rPr>
          <w:rFonts w:eastAsia="黑体" w:cs="Times New Roman"/>
          <w:sz w:val="18"/>
          <w:szCs w:val="18"/>
        </w:rPr>
        <w:t xml:space="preserve">Table </w:t>
      </w:r>
      <w:r>
        <w:rPr>
          <w:rFonts w:hint="eastAsia" w:eastAsia="黑体" w:cs="Times New Roman"/>
          <w:sz w:val="18"/>
          <w:szCs w:val="18"/>
        </w:rPr>
        <w:t xml:space="preserve">2 </w:t>
      </w:r>
      <w:r>
        <w:rPr>
          <w:rFonts w:eastAsia="黑体" w:cs="Times New Roman"/>
          <w:sz w:val="18"/>
          <w:szCs w:val="18"/>
        </w:rPr>
        <w:t xml:space="preserve">Statistical values </w:t>
      </w:r>
      <w:r>
        <w:rPr>
          <w:rFonts w:hint="eastAsia" w:eastAsia="黑体" w:cs="Times New Roman"/>
          <w:sz w:val="18"/>
          <w:szCs w:val="18"/>
        </w:rPr>
        <w:t xml:space="preserve">of </w:t>
      </w:r>
      <w:r>
        <w:rPr>
          <w:rFonts w:eastAsia="黑体" w:cs="Times New Roman"/>
          <w:sz w:val="18"/>
          <w:szCs w:val="18"/>
        </w:rPr>
        <w:t xml:space="preserve">three indicators and </w:t>
      </w:r>
      <w:r>
        <w:rPr>
          <w:rFonts w:hint="eastAsia" w:eastAsia="黑体"/>
          <w:sz w:val="18"/>
          <w:szCs w:val="18"/>
        </w:rPr>
        <w:t>suitability</w:t>
      </w:r>
      <w:r>
        <w:rPr>
          <w:rFonts w:eastAsia="黑体" w:cs="Times New Roman"/>
          <w:sz w:val="18"/>
          <w:szCs w:val="18"/>
        </w:rPr>
        <w:t xml:space="preserve"> index </w:t>
      </w:r>
      <w:r>
        <w:rPr>
          <w:rFonts w:eastAsia="黑体" w:cs="Times New Roman"/>
          <w:i/>
          <w:iCs/>
          <w:sz w:val="18"/>
          <w:szCs w:val="18"/>
        </w:rPr>
        <w:t>GSEI</w:t>
      </w:r>
      <w:r>
        <w:rPr>
          <w:rFonts w:eastAsia="黑体" w:cs="Times New Roman"/>
          <w:sz w:val="18"/>
          <w:szCs w:val="18"/>
        </w:rPr>
        <w:t xml:space="preserve"> </w:t>
      </w:r>
      <w:r>
        <w:rPr>
          <w:rFonts w:hint="eastAsia" w:eastAsia="黑体" w:cs="Times New Roman"/>
          <w:sz w:val="18"/>
          <w:szCs w:val="18"/>
        </w:rPr>
        <w:t>for</w:t>
      </w:r>
      <w:r>
        <w:rPr>
          <w:rFonts w:eastAsia="黑体" w:cs="Times New Roman"/>
          <w:sz w:val="18"/>
          <w:szCs w:val="18"/>
        </w:rPr>
        <w:t xml:space="preserve"> three GWSA products</w:t>
      </w:r>
    </w:p>
    <w:tbl>
      <w:tblPr>
        <w:tblStyle w:val="14"/>
        <w:tblW w:w="5000"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0"/>
        <w:gridCol w:w="634"/>
        <w:gridCol w:w="634"/>
        <w:gridCol w:w="634"/>
        <w:gridCol w:w="636"/>
        <w:gridCol w:w="634"/>
        <w:gridCol w:w="634"/>
        <w:gridCol w:w="634"/>
        <w:gridCol w:w="637"/>
        <w:gridCol w:w="634"/>
        <w:gridCol w:w="634"/>
        <w:gridCol w:w="634"/>
        <w:gridCol w:w="733"/>
      </w:tblGrid>
      <w:tr w14:paraId="4A9570B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 w:type="pct"/>
            <w:tcBorders>
              <w:top w:val="single" w:color="auto" w:sz="12" w:space="0"/>
              <w:bottom w:val="nil"/>
            </w:tcBorders>
          </w:tcPr>
          <w:p w14:paraId="16E1381A">
            <w:pPr>
              <w:keepNext/>
              <w:keepLines/>
              <w:autoSpaceDE w:val="0"/>
              <w:autoSpaceDN w:val="0"/>
              <w:adjustRightInd w:val="0"/>
              <w:ind w:firstLine="0" w:firstLineChars="0"/>
              <w:jc w:val="center"/>
              <w:rPr>
                <w:rFonts w:cs="Arial"/>
                <w:b/>
                <w:bCs/>
                <w:kern w:val="0"/>
                <w:sz w:val="15"/>
                <w:szCs w:val="20"/>
              </w:rPr>
            </w:pPr>
          </w:p>
        </w:tc>
        <w:tc>
          <w:tcPr>
            <w:tcW w:w="1489" w:type="pct"/>
            <w:gridSpan w:val="4"/>
            <w:tcBorders>
              <w:top w:val="single" w:color="auto" w:sz="12" w:space="0"/>
              <w:bottom w:val="single" w:color="auto" w:sz="4" w:space="0"/>
            </w:tcBorders>
          </w:tcPr>
          <w:p w14:paraId="5931FCE9">
            <w:pPr>
              <w:keepNext/>
              <w:keepLines/>
              <w:autoSpaceDE w:val="0"/>
              <w:autoSpaceDN w:val="0"/>
              <w:adjustRightInd w:val="0"/>
              <w:ind w:firstLine="0" w:firstLineChars="0"/>
              <w:jc w:val="center"/>
              <w:rPr>
                <w:rFonts w:cs="Arial"/>
                <w:b/>
                <w:bCs/>
                <w:kern w:val="0"/>
                <w:sz w:val="15"/>
                <w:szCs w:val="20"/>
                <w:lang w:val="zh-CN"/>
              </w:rPr>
            </w:pPr>
            <w:r>
              <w:rPr>
                <w:rFonts w:hint="eastAsia" w:cs="Arial"/>
                <w:kern w:val="0"/>
                <w:sz w:val="15"/>
                <w:szCs w:val="20"/>
                <w:lang w:val="zh-CN"/>
              </w:rPr>
              <w:t>GWSA-JPLM+Noah</w:t>
            </w:r>
          </w:p>
        </w:tc>
        <w:tc>
          <w:tcPr>
            <w:tcW w:w="1490" w:type="pct"/>
            <w:gridSpan w:val="4"/>
            <w:tcBorders>
              <w:top w:val="single" w:color="auto" w:sz="12" w:space="0"/>
              <w:bottom w:val="single" w:color="auto" w:sz="4" w:space="0"/>
            </w:tcBorders>
          </w:tcPr>
          <w:p w14:paraId="6DC04AB6">
            <w:pPr>
              <w:keepNext/>
              <w:keepLines/>
              <w:autoSpaceDE w:val="0"/>
              <w:autoSpaceDN w:val="0"/>
              <w:adjustRightInd w:val="0"/>
              <w:ind w:firstLine="0" w:firstLineChars="0"/>
              <w:jc w:val="center"/>
              <w:rPr>
                <w:rFonts w:cs="Arial"/>
                <w:b/>
                <w:bCs/>
                <w:kern w:val="0"/>
                <w:sz w:val="15"/>
                <w:szCs w:val="20"/>
                <w:lang w:val="zh-CN"/>
              </w:rPr>
            </w:pPr>
            <w:r>
              <w:rPr>
                <w:rFonts w:hint="eastAsia" w:cs="Arial"/>
                <w:kern w:val="0"/>
                <w:sz w:val="15"/>
                <w:szCs w:val="20"/>
                <w:lang w:val="zh-CN"/>
              </w:rPr>
              <w:t>GWSA-JPLM+CLSM</w:t>
            </w:r>
          </w:p>
        </w:tc>
        <w:tc>
          <w:tcPr>
            <w:tcW w:w="1546" w:type="pct"/>
            <w:gridSpan w:val="4"/>
            <w:tcBorders>
              <w:top w:val="single" w:color="auto" w:sz="12" w:space="0"/>
              <w:bottom w:val="single" w:color="auto" w:sz="4" w:space="0"/>
            </w:tcBorders>
          </w:tcPr>
          <w:p w14:paraId="04FF20AE">
            <w:pPr>
              <w:keepNext/>
              <w:keepLines/>
              <w:autoSpaceDE w:val="0"/>
              <w:autoSpaceDN w:val="0"/>
              <w:adjustRightInd w:val="0"/>
              <w:ind w:firstLine="0" w:firstLineChars="0"/>
              <w:jc w:val="center"/>
              <w:rPr>
                <w:rFonts w:cs="Arial"/>
                <w:b/>
                <w:bCs/>
                <w:kern w:val="0"/>
                <w:sz w:val="15"/>
                <w:szCs w:val="20"/>
                <w:lang w:val="zh-CN"/>
              </w:rPr>
            </w:pPr>
            <w:bookmarkStart w:id="39" w:name="OLE_LINK2"/>
            <w:r>
              <w:rPr>
                <w:rFonts w:hint="eastAsia" w:cs="Arial"/>
                <w:kern w:val="0"/>
                <w:sz w:val="15"/>
                <w:szCs w:val="20"/>
                <w:lang w:val="zh-CN"/>
              </w:rPr>
              <w:t>GWSA-JPLM+VIC</w:t>
            </w:r>
            <w:bookmarkEnd w:id="39"/>
          </w:p>
        </w:tc>
      </w:tr>
      <w:tr w14:paraId="0BA2B9F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 w:type="pct"/>
            <w:tcBorders>
              <w:top w:val="nil"/>
              <w:bottom w:val="single" w:color="auto" w:sz="12" w:space="0"/>
            </w:tcBorders>
          </w:tcPr>
          <w:p w14:paraId="62126E47">
            <w:pPr>
              <w:keepNext/>
              <w:keepLines/>
              <w:autoSpaceDE w:val="0"/>
              <w:autoSpaceDN w:val="0"/>
              <w:adjustRightInd w:val="0"/>
              <w:ind w:firstLine="0" w:firstLineChars="0"/>
              <w:jc w:val="center"/>
              <w:rPr>
                <w:rFonts w:cs="Arial"/>
                <w:b/>
                <w:bCs/>
                <w:kern w:val="0"/>
                <w:sz w:val="15"/>
                <w:szCs w:val="20"/>
                <w:lang w:val="zh-CN"/>
              </w:rPr>
            </w:pPr>
          </w:p>
        </w:tc>
        <w:tc>
          <w:tcPr>
            <w:tcW w:w="372" w:type="pct"/>
            <w:tcBorders>
              <w:top w:val="single" w:color="auto" w:sz="4" w:space="0"/>
              <w:bottom w:val="single" w:color="auto" w:sz="12" w:space="0"/>
            </w:tcBorders>
          </w:tcPr>
          <w:p w14:paraId="781D8A68">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372" w:type="pct"/>
            <w:tcBorders>
              <w:top w:val="single" w:color="auto" w:sz="4" w:space="0"/>
              <w:bottom w:val="single" w:color="auto" w:sz="12" w:space="0"/>
            </w:tcBorders>
          </w:tcPr>
          <w:p w14:paraId="2053B836">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372" w:type="pct"/>
            <w:tcBorders>
              <w:top w:val="single" w:color="auto" w:sz="4" w:space="0"/>
              <w:bottom w:val="single" w:color="auto" w:sz="12" w:space="0"/>
            </w:tcBorders>
          </w:tcPr>
          <w:p w14:paraId="46CEAFFB">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c>
          <w:tcPr>
            <w:tcW w:w="373" w:type="pct"/>
            <w:tcBorders>
              <w:top w:val="single" w:color="auto" w:sz="4" w:space="0"/>
              <w:bottom w:val="single" w:color="auto" w:sz="12" w:space="0"/>
            </w:tcBorders>
          </w:tcPr>
          <w:p w14:paraId="02420B27">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GSEI</w:t>
            </w:r>
          </w:p>
        </w:tc>
        <w:tc>
          <w:tcPr>
            <w:tcW w:w="372" w:type="pct"/>
            <w:tcBorders>
              <w:top w:val="single" w:color="auto" w:sz="4" w:space="0"/>
              <w:bottom w:val="single" w:color="auto" w:sz="12" w:space="0"/>
            </w:tcBorders>
          </w:tcPr>
          <w:p w14:paraId="3AB277EA">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372" w:type="pct"/>
            <w:tcBorders>
              <w:top w:val="single" w:color="auto" w:sz="4" w:space="0"/>
              <w:bottom w:val="single" w:color="auto" w:sz="12" w:space="0"/>
            </w:tcBorders>
          </w:tcPr>
          <w:p w14:paraId="6BAF0DF2">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372" w:type="pct"/>
            <w:tcBorders>
              <w:top w:val="single" w:color="auto" w:sz="4" w:space="0"/>
              <w:bottom w:val="single" w:color="auto" w:sz="12" w:space="0"/>
            </w:tcBorders>
          </w:tcPr>
          <w:p w14:paraId="35B6E7C3">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c>
          <w:tcPr>
            <w:tcW w:w="374" w:type="pct"/>
            <w:tcBorders>
              <w:top w:val="single" w:color="auto" w:sz="4" w:space="0"/>
              <w:bottom w:val="single" w:color="auto" w:sz="12" w:space="0"/>
            </w:tcBorders>
          </w:tcPr>
          <w:p w14:paraId="44E5FE94">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GSEI</w:t>
            </w:r>
          </w:p>
        </w:tc>
        <w:tc>
          <w:tcPr>
            <w:tcW w:w="372" w:type="pct"/>
            <w:tcBorders>
              <w:top w:val="single" w:color="auto" w:sz="4" w:space="0"/>
              <w:bottom w:val="single" w:color="auto" w:sz="12" w:space="0"/>
            </w:tcBorders>
          </w:tcPr>
          <w:p w14:paraId="46644C55">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372" w:type="pct"/>
            <w:tcBorders>
              <w:top w:val="single" w:color="auto" w:sz="4" w:space="0"/>
              <w:bottom w:val="single" w:color="auto" w:sz="12" w:space="0"/>
            </w:tcBorders>
          </w:tcPr>
          <w:p w14:paraId="10D1272F">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372" w:type="pct"/>
            <w:tcBorders>
              <w:top w:val="single" w:color="auto" w:sz="4" w:space="0"/>
              <w:bottom w:val="single" w:color="auto" w:sz="12" w:space="0"/>
            </w:tcBorders>
          </w:tcPr>
          <w:p w14:paraId="42D8E26F">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c>
          <w:tcPr>
            <w:tcW w:w="430" w:type="pct"/>
            <w:tcBorders>
              <w:top w:val="single" w:color="auto" w:sz="4" w:space="0"/>
              <w:bottom w:val="single" w:color="auto" w:sz="12" w:space="0"/>
            </w:tcBorders>
          </w:tcPr>
          <w:p w14:paraId="1573842F">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GSEI</w:t>
            </w:r>
          </w:p>
        </w:tc>
      </w:tr>
      <w:tr w14:paraId="295CEA4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 w:type="pct"/>
            <w:tcBorders>
              <w:top w:val="single" w:color="auto" w:sz="12" w:space="0"/>
              <w:bottom w:val="nil"/>
            </w:tcBorders>
          </w:tcPr>
          <w:p w14:paraId="7CC5301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最大值</w:t>
            </w:r>
          </w:p>
        </w:tc>
        <w:tc>
          <w:tcPr>
            <w:tcW w:w="372" w:type="pct"/>
            <w:tcBorders>
              <w:top w:val="single" w:color="auto" w:sz="12" w:space="0"/>
              <w:bottom w:val="nil"/>
            </w:tcBorders>
            <w:vAlign w:val="center"/>
          </w:tcPr>
          <w:p w14:paraId="33D2C9C2">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0.952 </w:t>
            </w:r>
          </w:p>
        </w:tc>
        <w:tc>
          <w:tcPr>
            <w:tcW w:w="372" w:type="pct"/>
            <w:tcBorders>
              <w:top w:val="single" w:color="auto" w:sz="12" w:space="0"/>
              <w:bottom w:val="nil"/>
            </w:tcBorders>
            <w:vAlign w:val="center"/>
          </w:tcPr>
          <w:p w14:paraId="3892E46E">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0.753 </w:t>
            </w:r>
          </w:p>
        </w:tc>
        <w:tc>
          <w:tcPr>
            <w:tcW w:w="372" w:type="pct"/>
            <w:tcBorders>
              <w:top w:val="single" w:color="auto" w:sz="12" w:space="0"/>
              <w:bottom w:val="nil"/>
            </w:tcBorders>
            <w:vAlign w:val="center"/>
          </w:tcPr>
          <w:p w14:paraId="76521857">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0.803 </w:t>
            </w:r>
          </w:p>
        </w:tc>
        <w:tc>
          <w:tcPr>
            <w:tcW w:w="373" w:type="pct"/>
            <w:tcBorders>
              <w:top w:val="single" w:color="auto" w:sz="12" w:space="0"/>
              <w:bottom w:val="nil"/>
            </w:tcBorders>
            <w:vAlign w:val="center"/>
          </w:tcPr>
          <w:p w14:paraId="467CAD47">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0.963 </w:t>
            </w:r>
          </w:p>
        </w:tc>
        <w:tc>
          <w:tcPr>
            <w:tcW w:w="372" w:type="pct"/>
            <w:tcBorders>
              <w:top w:val="single" w:color="auto" w:sz="12" w:space="0"/>
              <w:bottom w:val="nil"/>
            </w:tcBorders>
            <w:vAlign w:val="center"/>
          </w:tcPr>
          <w:p w14:paraId="38105762">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0.967 </w:t>
            </w:r>
          </w:p>
        </w:tc>
        <w:tc>
          <w:tcPr>
            <w:tcW w:w="372" w:type="pct"/>
            <w:tcBorders>
              <w:top w:val="single" w:color="auto" w:sz="12" w:space="0"/>
              <w:bottom w:val="nil"/>
            </w:tcBorders>
            <w:vAlign w:val="center"/>
          </w:tcPr>
          <w:p w14:paraId="65F5153A">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0.774 </w:t>
            </w:r>
          </w:p>
        </w:tc>
        <w:tc>
          <w:tcPr>
            <w:tcW w:w="372" w:type="pct"/>
            <w:tcBorders>
              <w:top w:val="single" w:color="auto" w:sz="12" w:space="0"/>
              <w:bottom w:val="nil"/>
            </w:tcBorders>
            <w:vAlign w:val="center"/>
          </w:tcPr>
          <w:p w14:paraId="063C4EF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0.839 </w:t>
            </w:r>
          </w:p>
        </w:tc>
        <w:tc>
          <w:tcPr>
            <w:tcW w:w="374" w:type="pct"/>
            <w:tcBorders>
              <w:top w:val="single" w:color="auto" w:sz="12" w:space="0"/>
              <w:bottom w:val="nil"/>
            </w:tcBorders>
            <w:vAlign w:val="center"/>
          </w:tcPr>
          <w:p w14:paraId="52AE9EC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0.977 </w:t>
            </w:r>
          </w:p>
        </w:tc>
        <w:tc>
          <w:tcPr>
            <w:tcW w:w="372" w:type="pct"/>
            <w:tcBorders>
              <w:top w:val="single" w:color="auto" w:sz="12" w:space="0"/>
              <w:bottom w:val="nil"/>
            </w:tcBorders>
            <w:vAlign w:val="center"/>
          </w:tcPr>
          <w:p w14:paraId="100EA0A6">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0.968 </w:t>
            </w:r>
          </w:p>
        </w:tc>
        <w:tc>
          <w:tcPr>
            <w:tcW w:w="372" w:type="pct"/>
            <w:tcBorders>
              <w:top w:val="single" w:color="auto" w:sz="12" w:space="0"/>
              <w:bottom w:val="nil"/>
            </w:tcBorders>
            <w:vAlign w:val="center"/>
          </w:tcPr>
          <w:p w14:paraId="1C35BE0C">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0.786 </w:t>
            </w:r>
          </w:p>
        </w:tc>
        <w:tc>
          <w:tcPr>
            <w:tcW w:w="372" w:type="pct"/>
            <w:tcBorders>
              <w:top w:val="single" w:color="auto" w:sz="12" w:space="0"/>
              <w:bottom w:val="nil"/>
            </w:tcBorders>
            <w:vAlign w:val="center"/>
          </w:tcPr>
          <w:p w14:paraId="54C89F9C">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0.858 </w:t>
            </w:r>
          </w:p>
        </w:tc>
        <w:tc>
          <w:tcPr>
            <w:tcW w:w="430" w:type="pct"/>
            <w:tcBorders>
              <w:top w:val="single" w:color="auto" w:sz="12" w:space="0"/>
              <w:bottom w:val="nil"/>
            </w:tcBorders>
            <w:vAlign w:val="center"/>
          </w:tcPr>
          <w:p w14:paraId="2FA007ED">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1.000 </w:t>
            </w:r>
          </w:p>
        </w:tc>
      </w:tr>
      <w:tr w14:paraId="1EBE23D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 w:type="pct"/>
            <w:tcBorders>
              <w:top w:val="nil"/>
              <w:bottom w:val="nil"/>
            </w:tcBorders>
          </w:tcPr>
          <w:p w14:paraId="6C94CE8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最小值</w:t>
            </w:r>
          </w:p>
        </w:tc>
        <w:tc>
          <w:tcPr>
            <w:tcW w:w="372" w:type="pct"/>
            <w:tcBorders>
              <w:top w:val="nil"/>
              <w:bottom w:val="nil"/>
            </w:tcBorders>
            <w:vAlign w:val="center"/>
          </w:tcPr>
          <w:p w14:paraId="23C41358">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0.305 </w:t>
            </w:r>
          </w:p>
        </w:tc>
        <w:tc>
          <w:tcPr>
            <w:tcW w:w="372" w:type="pct"/>
            <w:tcBorders>
              <w:top w:val="nil"/>
              <w:bottom w:val="nil"/>
            </w:tcBorders>
            <w:vAlign w:val="center"/>
          </w:tcPr>
          <w:p w14:paraId="3426EC03">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0.022 </w:t>
            </w:r>
          </w:p>
        </w:tc>
        <w:tc>
          <w:tcPr>
            <w:tcW w:w="372" w:type="pct"/>
            <w:tcBorders>
              <w:top w:val="nil"/>
              <w:bottom w:val="nil"/>
            </w:tcBorders>
            <w:vAlign w:val="center"/>
          </w:tcPr>
          <w:p w14:paraId="54390F26">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0.168 </w:t>
            </w:r>
          </w:p>
        </w:tc>
        <w:tc>
          <w:tcPr>
            <w:tcW w:w="373" w:type="pct"/>
            <w:tcBorders>
              <w:top w:val="nil"/>
              <w:bottom w:val="nil"/>
            </w:tcBorders>
            <w:vAlign w:val="center"/>
          </w:tcPr>
          <w:p w14:paraId="2C06F966">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0.044 </w:t>
            </w:r>
          </w:p>
        </w:tc>
        <w:tc>
          <w:tcPr>
            <w:tcW w:w="372" w:type="pct"/>
            <w:tcBorders>
              <w:top w:val="nil"/>
              <w:bottom w:val="nil"/>
            </w:tcBorders>
            <w:vAlign w:val="center"/>
          </w:tcPr>
          <w:p w14:paraId="229A9AA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0.304 </w:t>
            </w:r>
          </w:p>
        </w:tc>
        <w:tc>
          <w:tcPr>
            <w:tcW w:w="372" w:type="pct"/>
            <w:tcBorders>
              <w:top w:val="nil"/>
              <w:bottom w:val="nil"/>
            </w:tcBorders>
            <w:vAlign w:val="center"/>
          </w:tcPr>
          <w:p w14:paraId="202C5915">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0.024 </w:t>
            </w:r>
          </w:p>
        </w:tc>
        <w:tc>
          <w:tcPr>
            <w:tcW w:w="372" w:type="pct"/>
            <w:tcBorders>
              <w:top w:val="nil"/>
              <w:bottom w:val="nil"/>
            </w:tcBorders>
            <w:vAlign w:val="center"/>
          </w:tcPr>
          <w:p w14:paraId="60622EA1">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0.165 </w:t>
            </w:r>
          </w:p>
        </w:tc>
        <w:tc>
          <w:tcPr>
            <w:tcW w:w="374" w:type="pct"/>
            <w:tcBorders>
              <w:top w:val="nil"/>
              <w:bottom w:val="nil"/>
            </w:tcBorders>
            <w:vAlign w:val="center"/>
          </w:tcPr>
          <w:p w14:paraId="31A3B294">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0.000 </w:t>
            </w:r>
          </w:p>
        </w:tc>
        <w:tc>
          <w:tcPr>
            <w:tcW w:w="372" w:type="pct"/>
            <w:tcBorders>
              <w:top w:val="nil"/>
              <w:bottom w:val="nil"/>
            </w:tcBorders>
            <w:vAlign w:val="center"/>
          </w:tcPr>
          <w:p w14:paraId="7006944E">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0.303 </w:t>
            </w:r>
          </w:p>
        </w:tc>
        <w:tc>
          <w:tcPr>
            <w:tcW w:w="372" w:type="pct"/>
            <w:tcBorders>
              <w:top w:val="nil"/>
              <w:bottom w:val="nil"/>
            </w:tcBorders>
            <w:vAlign w:val="center"/>
          </w:tcPr>
          <w:p w14:paraId="47746B8C">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0.009 </w:t>
            </w:r>
          </w:p>
        </w:tc>
        <w:tc>
          <w:tcPr>
            <w:tcW w:w="372" w:type="pct"/>
            <w:tcBorders>
              <w:top w:val="nil"/>
              <w:bottom w:val="nil"/>
            </w:tcBorders>
            <w:vAlign w:val="center"/>
          </w:tcPr>
          <w:p w14:paraId="584EB366">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0.156 </w:t>
            </w:r>
          </w:p>
        </w:tc>
        <w:tc>
          <w:tcPr>
            <w:tcW w:w="430" w:type="pct"/>
            <w:tcBorders>
              <w:top w:val="nil"/>
              <w:bottom w:val="nil"/>
            </w:tcBorders>
            <w:vAlign w:val="center"/>
          </w:tcPr>
          <w:p w14:paraId="5E452C37">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0.052 </w:t>
            </w:r>
          </w:p>
        </w:tc>
      </w:tr>
      <w:tr w14:paraId="1D3A61D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 w:type="pct"/>
            <w:tcBorders>
              <w:top w:val="nil"/>
              <w:bottom w:val="nil"/>
            </w:tcBorders>
          </w:tcPr>
          <w:p w14:paraId="7F72554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中位数</w:t>
            </w:r>
          </w:p>
        </w:tc>
        <w:tc>
          <w:tcPr>
            <w:tcW w:w="372" w:type="pct"/>
            <w:tcBorders>
              <w:top w:val="nil"/>
              <w:bottom w:val="nil"/>
            </w:tcBorders>
            <w:vAlign w:val="center"/>
          </w:tcPr>
          <w:p w14:paraId="603EAB5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0.706 </w:t>
            </w:r>
          </w:p>
        </w:tc>
        <w:tc>
          <w:tcPr>
            <w:tcW w:w="372" w:type="pct"/>
            <w:tcBorders>
              <w:top w:val="nil"/>
              <w:bottom w:val="nil"/>
            </w:tcBorders>
            <w:vAlign w:val="center"/>
          </w:tcPr>
          <w:p w14:paraId="5F40BA2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0.336 </w:t>
            </w:r>
          </w:p>
        </w:tc>
        <w:tc>
          <w:tcPr>
            <w:tcW w:w="372" w:type="pct"/>
            <w:tcBorders>
              <w:top w:val="nil"/>
              <w:bottom w:val="nil"/>
            </w:tcBorders>
            <w:vAlign w:val="center"/>
          </w:tcPr>
          <w:p w14:paraId="5132E3FA">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0.540 </w:t>
            </w:r>
          </w:p>
        </w:tc>
        <w:tc>
          <w:tcPr>
            <w:tcW w:w="373" w:type="pct"/>
            <w:tcBorders>
              <w:top w:val="nil"/>
              <w:bottom w:val="nil"/>
            </w:tcBorders>
            <w:vAlign w:val="center"/>
          </w:tcPr>
          <w:p w14:paraId="2860DE4A">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0.510 </w:t>
            </w:r>
          </w:p>
        </w:tc>
        <w:tc>
          <w:tcPr>
            <w:tcW w:w="372" w:type="pct"/>
            <w:tcBorders>
              <w:top w:val="nil"/>
              <w:bottom w:val="nil"/>
            </w:tcBorders>
            <w:vAlign w:val="center"/>
          </w:tcPr>
          <w:p w14:paraId="273C8903">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0.769 </w:t>
            </w:r>
          </w:p>
        </w:tc>
        <w:tc>
          <w:tcPr>
            <w:tcW w:w="372" w:type="pct"/>
            <w:tcBorders>
              <w:top w:val="nil"/>
              <w:bottom w:val="nil"/>
            </w:tcBorders>
            <w:vAlign w:val="center"/>
          </w:tcPr>
          <w:p w14:paraId="5861008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0.386 </w:t>
            </w:r>
          </w:p>
        </w:tc>
        <w:tc>
          <w:tcPr>
            <w:tcW w:w="372" w:type="pct"/>
            <w:tcBorders>
              <w:top w:val="nil"/>
              <w:bottom w:val="nil"/>
            </w:tcBorders>
            <w:vAlign w:val="center"/>
          </w:tcPr>
          <w:p w14:paraId="1C5EC724">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0.575 </w:t>
            </w:r>
          </w:p>
        </w:tc>
        <w:tc>
          <w:tcPr>
            <w:tcW w:w="374" w:type="pct"/>
            <w:tcBorders>
              <w:top w:val="nil"/>
              <w:bottom w:val="nil"/>
            </w:tcBorders>
            <w:vAlign w:val="center"/>
          </w:tcPr>
          <w:p w14:paraId="7B0A601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0.515 </w:t>
            </w:r>
          </w:p>
        </w:tc>
        <w:tc>
          <w:tcPr>
            <w:tcW w:w="372" w:type="pct"/>
            <w:tcBorders>
              <w:top w:val="nil"/>
              <w:bottom w:val="nil"/>
            </w:tcBorders>
            <w:vAlign w:val="center"/>
          </w:tcPr>
          <w:p w14:paraId="5815D635">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0.763 </w:t>
            </w:r>
          </w:p>
        </w:tc>
        <w:tc>
          <w:tcPr>
            <w:tcW w:w="372" w:type="pct"/>
            <w:tcBorders>
              <w:top w:val="nil"/>
              <w:bottom w:val="nil"/>
            </w:tcBorders>
            <w:vAlign w:val="center"/>
          </w:tcPr>
          <w:p w14:paraId="58C78665">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0.370 </w:t>
            </w:r>
          </w:p>
        </w:tc>
        <w:tc>
          <w:tcPr>
            <w:tcW w:w="372" w:type="pct"/>
            <w:tcBorders>
              <w:top w:val="nil"/>
              <w:bottom w:val="nil"/>
            </w:tcBorders>
            <w:vAlign w:val="center"/>
          </w:tcPr>
          <w:p w14:paraId="797BB40B">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0.546 </w:t>
            </w:r>
          </w:p>
        </w:tc>
        <w:tc>
          <w:tcPr>
            <w:tcW w:w="430" w:type="pct"/>
            <w:tcBorders>
              <w:top w:val="nil"/>
              <w:bottom w:val="nil"/>
            </w:tcBorders>
            <w:vAlign w:val="center"/>
          </w:tcPr>
          <w:p w14:paraId="19B704A8">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0.506 </w:t>
            </w:r>
          </w:p>
        </w:tc>
      </w:tr>
      <w:tr w14:paraId="1416A1E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 w:type="pct"/>
            <w:tcBorders>
              <w:top w:val="nil"/>
              <w:bottom w:val="single" w:color="auto" w:sz="12" w:space="0"/>
            </w:tcBorders>
          </w:tcPr>
          <w:p w14:paraId="63C879E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标准差</w:t>
            </w:r>
          </w:p>
        </w:tc>
        <w:tc>
          <w:tcPr>
            <w:tcW w:w="372" w:type="pct"/>
            <w:tcBorders>
              <w:top w:val="nil"/>
              <w:bottom w:val="single" w:color="auto" w:sz="12" w:space="0"/>
            </w:tcBorders>
            <w:vAlign w:val="center"/>
          </w:tcPr>
          <w:p w14:paraId="1CF8817C">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0.120 </w:t>
            </w:r>
          </w:p>
        </w:tc>
        <w:tc>
          <w:tcPr>
            <w:tcW w:w="372" w:type="pct"/>
            <w:tcBorders>
              <w:top w:val="nil"/>
              <w:bottom w:val="single" w:color="auto" w:sz="12" w:space="0"/>
            </w:tcBorders>
            <w:vAlign w:val="center"/>
          </w:tcPr>
          <w:p w14:paraId="048C363C">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0.139 </w:t>
            </w:r>
          </w:p>
        </w:tc>
        <w:tc>
          <w:tcPr>
            <w:tcW w:w="372" w:type="pct"/>
            <w:tcBorders>
              <w:top w:val="nil"/>
              <w:bottom w:val="single" w:color="auto" w:sz="12" w:space="0"/>
            </w:tcBorders>
            <w:vAlign w:val="center"/>
          </w:tcPr>
          <w:p w14:paraId="12095A84">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0.102 </w:t>
            </w:r>
          </w:p>
        </w:tc>
        <w:tc>
          <w:tcPr>
            <w:tcW w:w="373" w:type="pct"/>
            <w:tcBorders>
              <w:top w:val="nil"/>
              <w:bottom w:val="single" w:color="auto" w:sz="12" w:space="0"/>
            </w:tcBorders>
            <w:vAlign w:val="center"/>
          </w:tcPr>
          <w:p w14:paraId="0BE22EB5">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0.149 </w:t>
            </w:r>
          </w:p>
        </w:tc>
        <w:tc>
          <w:tcPr>
            <w:tcW w:w="372" w:type="pct"/>
            <w:tcBorders>
              <w:top w:val="nil"/>
              <w:bottom w:val="single" w:color="auto" w:sz="12" w:space="0"/>
            </w:tcBorders>
            <w:vAlign w:val="center"/>
          </w:tcPr>
          <w:p w14:paraId="7F26846E">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0.127 </w:t>
            </w:r>
          </w:p>
        </w:tc>
        <w:tc>
          <w:tcPr>
            <w:tcW w:w="372" w:type="pct"/>
            <w:tcBorders>
              <w:top w:val="nil"/>
              <w:bottom w:val="single" w:color="auto" w:sz="12" w:space="0"/>
            </w:tcBorders>
            <w:vAlign w:val="center"/>
          </w:tcPr>
          <w:p w14:paraId="03B37663">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0.148 </w:t>
            </w:r>
          </w:p>
        </w:tc>
        <w:tc>
          <w:tcPr>
            <w:tcW w:w="372" w:type="pct"/>
            <w:tcBorders>
              <w:top w:val="nil"/>
              <w:bottom w:val="single" w:color="auto" w:sz="12" w:space="0"/>
            </w:tcBorders>
            <w:vAlign w:val="center"/>
          </w:tcPr>
          <w:p w14:paraId="16D16259">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0.106 </w:t>
            </w:r>
          </w:p>
        </w:tc>
        <w:tc>
          <w:tcPr>
            <w:tcW w:w="374" w:type="pct"/>
            <w:tcBorders>
              <w:top w:val="nil"/>
              <w:bottom w:val="single" w:color="auto" w:sz="12" w:space="0"/>
            </w:tcBorders>
            <w:vAlign w:val="center"/>
          </w:tcPr>
          <w:p w14:paraId="79B6B483">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0.159 </w:t>
            </w:r>
          </w:p>
        </w:tc>
        <w:tc>
          <w:tcPr>
            <w:tcW w:w="372" w:type="pct"/>
            <w:tcBorders>
              <w:top w:val="nil"/>
              <w:bottom w:val="single" w:color="auto" w:sz="12" w:space="0"/>
            </w:tcBorders>
            <w:vAlign w:val="center"/>
          </w:tcPr>
          <w:p w14:paraId="71381107">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0.120 </w:t>
            </w:r>
          </w:p>
        </w:tc>
        <w:tc>
          <w:tcPr>
            <w:tcW w:w="372" w:type="pct"/>
            <w:tcBorders>
              <w:top w:val="nil"/>
              <w:bottom w:val="single" w:color="auto" w:sz="12" w:space="0"/>
            </w:tcBorders>
            <w:vAlign w:val="center"/>
          </w:tcPr>
          <w:p w14:paraId="0EF23B19">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0.145 </w:t>
            </w:r>
          </w:p>
        </w:tc>
        <w:tc>
          <w:tcPr>
            <w:tcW w:w="372" w:type="pct"/>
            <w:tcBorders>
              <w:top w:val="nil"/>
              <w:bottom w:val="single" w:color="auto" w:sz="12" w:space="0"/>
            </w:tcBorders>
            <w:vAlign w:val="center"/>
          </w:tcPr>
          <w:p w14:paraId="7DD1E3CD">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0.104 </w:t>
            </w:r>
          </w:p>
        </w:tc>
        <w:tc>
          <w:tcPr>
            <w:tcW w:w="430" w:type="pct"/>
            <w:tcBorders>
              <w:top w:val="nil"/>
              <w:bottom w:val="single" w:color="auto" w:sz="12" w:space="0"/>
            </w:tcBorders>
            <w:vAlign w:val="center"/>
          </w:tcPr>
          <w:p w14:paraId="781D38BD">
            <w:pPr>
              <w:keepNext/>
              <w:keepLines/>
              <w:autoSpaceDE w:val="0"/>
              <w:autoSpaceDN w:val="0"/>
              <w:adjustRightInd w:val="0"/>
              <w:ind w:firstLine="0" w:firstLineChars="0"/>
              <w:jc w:val="center"/>
              <w:rPr>
                <w:rFonts w:cs="Arial"/>
                <w:kern w:val="0"/>
                <w:sz w:val="15"/>
                <w:szCs w:val="20"/>
                <w:lang w:val="zh-CN"/>
              </w:rPr>
            </w:pPr>
            <w:r>
              <w:rPr>
                <w:rFonts w:eastAsia="等线" w:cs="Times New Roman"/>
                <w:sz w:val="15"/>
                <w:szCs w:val="15"/>
              </w:rPr>
              <w:t xml:space="preserve">0.160 </w:t>
            </w:r>
          </w:p>
        </w:tc>
      </w:tr>
    </w:tbl>
    <w:p w14:paraId="434CC18D">
      <w:pPr>
        <w:ind w:firstLine="420"/>
      </w:pPr>
      <w:r>
        <w:rPr>
          <w:rFonts w:hint="eastAsia"/>
        </w:rPr>
        <w:t>为了更好地分析新建</w:t>
      </w:r>
      <w:r>
        <w:rPr>
          <w:rFonts w:hint="eastAsia"/>
          <w:i/>
          <w:iCs/>
        </w:rPr>
        <w:t>GSEI</w:t>
      </w:r>
      <w:bookmarkStart w:id="40" w:name="OLE_LINK4"/>
      <w:r>
        <w:rPr>
          <w:rFonts w:hint="eastAsia"/>
        </w:rPr>
        <w:t>适用性</w:t>
      </w:r>
      <w:bookmarkEnd w:id="40"/>
      <w:r>
        <w:rPr>
          <w:rFonts w:hint="eastAsia"/>
        </w:rPr>
        <w:t>指数的代表性，进一步将三种GWSA产品的适用性指数以0.1为间隔分成10级。通过考察各适用性等级间3个指标的变化趋势，来分析GSEI的合理性并设置阈值。</w:t>
      </w:r>
    </w:p>
    <w:p w14:paraId="72AA1A62">
      <w:pPr>
        <w:ind w:firstLine="420"/>
      </w:pPr>
      <w:r>
        <w:rPr>
          <w:rFonts w:hint="eastAsia"/>
        </w:rPr>
        <w:t>在研究的三种GWSA产品中，</w:t>
      </w:r>
      <w:r>
        <w:rPr>
          <w:rFonts w:hint="eastAsia"/>
          <w:i/>
          <w:iCs/>
        </w:rPr>
        <w:t>CC</w:t>
      </w:r>
      <w:r>
        <w:rPr>
          <w:rFonts w:hint="eastAsia"/>
        </w:rPr>
        <w:t>、</w:t>
      </w:r>
      <w:r>
        <w:rPr>
          <w:rFonts w:hint="eastAsia"/>
          <w:i/>
          <w:iCs/>
        </w:rPr>
        <w:t>PCV</w:t>
      </w:r>
      <w:r>
        <w:rPr>
          <w:rFonts w:hint="eastAsia"/>
        </w:rPr>
        <w:t>和</w:t>
      </w:r>
      <w:r>
        <w:rPr>
          <w:rFonts w:hint="eastAsia"/>
          <w:i/>
          <w:iCs/>
        </w:rPr>
        <w:t>ACV</w:t>
      </w:r>
      <w:r>
        <w:rPr>
          <w:rFonts w:hint="eastAsia"/>
        </w:rPr>
        <w:t>三个指标的中位数均随</w:t>
      </w:r>
      <w:r>
        <w:rPr>
          <w:rFonts w:hint="eastAsia"/>
          <w:i/>
          <w:iCs/>
        </w:rPr>
        <w:t>GSEI</w:t>
      </w:r>
      <w:r>
        <w:rPr>
          <w:rFonts w:hint="eastAsia"/>
        </w:rPr>
        <w:t>等级的升高而增大（见表</w:t>
      </w:r>
      <w:r>
        <w:t>3</w:t>
      </w:r>
      <w:r>
        <w:rPr>
          <w:rFonts w:hint="eastAsia"/>
        </w:rPr>
        <w:t>），表明所建适用性指数能够综合反映这三个指标的变化。当</w:t>
      </w:r>
      <w:r>
        <w:rPr>
          <w:rFonts w:hint="eastAsia"/>
          <w:i/>
          <w:iCs/>
        </w:rPr>
        <w:t>GSEI</w:t>
      </w:r>
      <w:r>
        <w:rPr>
          <w:rFonts w:hint="eastAsia"/>
        </w:rPr>
        <w:t>适用性指数大于0.5时，各项指标中位数都大于表 2中各指标中位数，这说明</w:t>
      </w:r>
      <w:r>
        <w:rPr>
          <w:rFonts w:hint="eastAsia"/>
          <w:i/>
          <w:iCs/>
        </w:rPr>
        <w:t>GSEI</w:t>
      </w:r>
      <w:r>
        <w:rPr>
          <w:rFonts w:hint="eastAsia"/>
        </w:rPr>
        <w:t>较高的产品在趋势、相位和幅度上与实测地下水位变化具有较高一致性。因此，当GWSA产品在研究区的</w:t>
      </w:r>
      <w:r>
        <w:rPr>
          <w:rFonts w:hint="eastAsia"/>
          <w:i/>
          <w:iCs/>
        </w:rPr>
        <w:t>GSEI</w:t>
      </w:r>
      <w:r>
        <w:rPr>
          <w:rFonts w:hint="eastAsia"/>
        </w:rPr>
        <w:t>大于0.5时，可认为该产品适用于该地区地下水储量变化研究。进一步地，以</w:t>
      </w:r>
      <w:r>
        <w:rPr>
          <w:rFonts w:hint="eastAsia"/>
          <w:i/>
          <w:iCs/>
        </w:rPr>
        <w:t>GSEI</w:t>
      </w:r>
      <w:r>
        <w:rPr>
          <w:rFonts w:hint="eastAsia"/>
        </w:rPr>
        <w:t>在（0.5~0.6）时各指标中位数为阈值，即当</w:t>
      </w:r>
      <w:r>
        <w:rPr>
          <w:rFonts w:hint="eastAsia"/>
          <w:i/>
          <w:iCs/>
        </w:rPr>
        <w:t>CC、PCV、ACV</w:t>
      </w:r>
      <w:r>
        <w:rPr>
          <w:rFonts w:hint="eastAsia"/>
        </w:rPr>
        <w:t>分别大于0.734、0.344、0.551时，认为GWSA产品分别在趋势、相位、幅度上与实测地下水位变化具有一致性。</w:t>
      </w:r>
    </w:p>
    <w:p w14:paraId="02C30B7B">
      <w:pPr>
        <w:keepNext/>
        <w:keepLines/>
        <w:ind w:firstLine="0" w:firstLineChars="0"/>
        <w:jc w:val="center"/>
        <w:rPr>
          <w:rFonts w:eastAsia="黑体" w:cs="Times New Roman"/>
          <w:sz w:val="18"/>
          <w:szCs w:val="18"/>
        </w:rPr>
      </w:pPr>
      <w:bookmarkStart w:id="41" w:name="_Ref193304548"/>
      <w:r>
        <w:rPr>
          <w:rFonts w:hint="eastAsia" w:eastAsia="黑体" w:cs="Times New Roman"/>
          <w:sz w:val="18"/>
          <w:szCs w:val="18"/>
        </w:rPr>
        <w:t xml:space="preserve">表 </w:t>
      </w:r>
      <w:bookmarkEnd w:id="41"/>
      <w:r>
        <w:rPr>
          <w:rFonts w:hint="eastAsia" w:eastAsia="黑体" w:cs="Times New Roman"/>
          <w:sz w:val="18"/>
          <w:szCs w:val="18"/>
        </w:rPr>
        <w:t xml:space="preserve">3 </w:t>
      </w:r>
      <w:r>
        <w:rPr>
          <w:rFonts w:eastAsia="黑体" w:cs="Times New Roman"/>
          <w:sz w:val="18"/>
          <w:szCs w:val="18"/>
        </w:rPr>
        <w:t>各</w:t>
      </w:r>
      <w:r>
        <w:rPr>
          <w:rFonts w:hint="eastAsia" w:eastAsia="黑体" w:cs="Times New Roman"/>
          <w:sz w:val="18"/>
          <w:szCs w:val="18"/>
        </w:rPr>
        <w:t>适用性</w:t>
      </w:r>
      <w:r>
        <w:rPr>
          <w:rFonts w:eastAsia="黑体" w:cs="Times New Roman"/>
          <w:sz w:val="18"/>
          <w:szCs w:val="18"/>
        </w:rPr>
        <w:t>级别及其对应的指标</w:t>
      </w:r>
      <w:r>
        <w:rPr>
          <w:rFonts w:hint="eastAsia" w:eastAsia="黑体" w:cs="Times New Roman"/>
          <w:sz w:val="18"/>
          <w:szCs w:val="18"/>
        </w:rPr>
        <w:t>中位数</w:t>
      </w:r>
    </w:p>
    <w:p w14:paraId="0F9C1420">
      <w:pPr>
        <w:keepNext/>
        <w:keepLines/>
        <w:ind w:firstLine="0" w:firstLineChars="0"/>
        <w:jc w:val="center"/>
        <w:rPr>
          <w:rFonts w:eastAsia="黑体" w:cs="Times New Roman"/>
          <w:sz w:val="18"/>
          <w:szCs w:val="18"/>
        </w:rPr>
      </w:pPr>
      <w:r>
        <w:rPr>
          <w:rFonts w:eastAsia="黑体" w:cs="Times New Roman"/>
          <w:sz w:val="18"/>
          <w:szCs w:val="18"/>
        </w:rPr>
        <w:t xml:space="preserve">Table </w:t>
      </w:r>
      <w:r>
        <w:rPr>
          <w:rFonts w:hint="eastAsia" w:eastAsia="黑体" w:cs="Times New Roman"/>
          <w:sz w:val="18"/>
          <w:szCs w:val="18"/>
        </w:rPr>
        <w:t xml:space="preserve">3 Different </w:t>
      </w:r>
      <w:r>
        <w:rPr>
          <w:rFonts w:hint="eastAsia" w:eastAsia="黑体"/>
          <w:sz w:val="18"/>
          <w:szCs w:val="18"/>
        </w:rPr>
        <w:t>suitability</w:t>
      </w:r>
      <w:r>
        <w:rPr>
          <w:rFonts w:eastAsia="黑体" w:cs="Times New Roman"/>
          <w:sz w:val="18"/>
          <w:szCs w:val="18"/>
        </w:rPr>
        <w:t xml:space="preserve"> </w:t>
      </w:r>
      <w:r>
        <w:rPr>
          <w:rFonts w:hint="eastAsia" w:eastAsia="黑体" w:cs="Times New Roman"/>
          <w:sz w:val="18"/>
          <w:szCs w:val="18"/>
        </w:rPr>
        <w:t xml:space="preserve">levels </w:t>
      </w:r>
      <w:r>
        <w:rPr>
          <w:rFonts w:eastAsia="黑体" w:cs="Times New Roman"/>
          <w:sz w:val="18"/>
          <w:szCs w:val="18"/>
        </w:rPr>
        <w:t xml:space="preserve">and corresponding median indicator </w:t>
      </w:r>
      <w:r>
        <w:rPr>
          <w:rFonts w:hint="eastAsia" w:eastAsia="黑体" w:cs="Times New Roman"/>
          <w:sz w:val="18"/>
          <w:szCs w:val="18"/>
        </w:rPr>
        <w:t>values</w:t>
      </w:r>
    </w:p>
    <w:tbl>
      <w:tblPr>
        <w:tblStyle w:val="14"/>
        <w:tblW w:w="5000" w:type="pct"/>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1"/>
        <w:gridCol w:w="829"/>
        <w:gridCol w:w="830"/>
        <w:gridCol w:w="830"/>
        <w:gridCol w:w="822"/>
        <w:gridCol w:w="822"/>
        <w:gridCol w:w="823"/>
        <w:gridCol w:w="740"/>
        <w:gridCol w:w="740"/>
        <w:gridCol w:w="735"/>
      </w:tblGrid>
      <w:tr w14:paraId="07B12C2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PrEx>
        <w:trPr>
          <w:trHeight w:val="283" w:hRule="atLeast"/>
          <w:tblHeader/>
          <w:jc w:val="center"/>
        </w:trPr>
        <w:tc>
          <w:tcPr>
            <w:tcW w:w="793" w:type="pct"/>
            <w:vMerge w:val="restart"/>
            <w:tcBorders>
              <w:top w:val="single" w:color="auto" w:sz="12" w:space="0"/>
              <w:bottom w:val="single" w:color="auto" w:sz="4" w:space="0"/>
            </w:tcBorders>
            <w:vAlign w:val="center"/>
          </w:tcPr>
          <w:p w14:paraId="71BCCA12">
            <w:pPr>
              <w:keepNext/>
              <w:keepLines/>
              <w:autoSpaceDE w:val="0"/>
              <w:autoSpaceDN w:val="0"/>
              <w:adjustRightInd w:val="0"/>
              <w:ind w:firstLine="0" w:firstLineChars="0"/>
              <w:jc w:val="center"/>
              <w:rPr>
                <w:rFonts w:cs="Arial"/>
                <w:kern w:val="0"/>
                <w:sz w:val="15"/>
                <w:szCs w:val="20"/>
                <w:lang w:val="zh-CN"/>
              </w:rPr>
            </w:pPr>
            <w:r>
              <w:rPr>
                <w:rFonts w:hint="eastAsia" w:cs="Arial"/>
                <w:i/>
                <w:iCs/>
                <w:kern w:val="0"/>
                <w:sz w:val="15"/>
                <w:szCs w:val="20"/>
                <w:lang w:val="zh-CN"/>
              </w:rPr>
              <w:t>GSEI</w:t>
            </w:r>
          </w:p>
        </w:tc>
        <w:tc>
          <w:tcPr>
            <w:tcW w:w="1461" w:type="pct"/>
            <w:gridSpan w:val="3"/>
            <w:tcBorders>
              <w:top w:val="single" w:color="auto" w:sz="12" w:space="0"/>
              <w:bottom w:val="single" w:color="auto" w:sz="4" w:space="0"/>
            </w:tcBorders>
            <w:vAlign w:val="center"/>
          </w:tcPr>
          <w:p w14:paraId="72A0F91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GWSA-JPLM+Noah</w:t>
            </w:r>
          </w:p>
        </w:tc>
        <w:tc>
          <w:tcPr>
            <w:tcW w:w="1447" w:type="pct"/>
            <w:gridSpan w:val="3"/>
            <w:tcBorders>
              <w:top w:val="single" w:color="auto" w:sz="12" w:space="0"/>
              <w:bottom w:val="single" w:color="auto" w:sz="4" w:space="0"/>
            </w:tcBorders>
            <w:vAlign w:val="center"/>
          </w:tcPr>
          <w:p w14:paraId="2480DE9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GWSA-JPLM+CLSM</w:t>
            </w:r>
          </w:p>
        </w:tc>
        <w:tc>
          <w:tcPr>
            <w:tcW w:w="1299" w:type="pct"/>
            <w:gridSpan w:val="3"/>
            <w:tcBorders>
              <w:top w:val="single" w:color="auto" w:sz="12" w:space="0"/>
              <w:bottom w:val="single" w:color="auto" w:sz="4" w:space="0"/>
            </w:tcBorders>
            <w:vAlign w:val="center"/>
          </w:tcPr>
          <w:p w14:paraId="7EE73A3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GWSA-JPLM+VIC</w:t>
            </w:r>
          </w:p>
        </w:tc>
      </w:tr>
      <w:tr w14:paraId="7CD29F8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vMerge w:val="continue"/>
            <w:tcBorders>
              <w:top w:val="single" w:color="auto" w:sz="4" w:space="0"/>
              <w:bottom w:val="single" w:color="auto" w:sz="12" w:space="0"/>
            </w:tcBorders>
            <w:vAlign w:val="center"/>
          </w:tcPr>
          <w:p w14:paraId="32F74B1A">
            <w:pPr>
              <w:keepNext/>
              <w:keepLines/>
              <w:autoSpaceDE w:val="0"/>
              <w:autoSpaceDN w:val="0"/>
              <w:adjustRightInd w:val="0"/>
              <w:ind w:firstLine="0" w:firstLineChars="0"/>
              <w:jc w:val="center"/>
              <w:rPr>
                <w:rFonts w:cs="Arial"/>
                <w:i/>
                <w:iCs/>
                <w:kern w:val="0"/>
                <w:sz w:val="15"/>
                <w:szCs w:val="20"/>
                <w:lang w:val="zh-CN"/>
              </w:rPr>
            </w:pPr>
          </w:p>
        </w:tc>
        <w:tc>
          <w:tcPr>
            <w:tcW w:w="487" w:type="pct"/>
            <w:tcBorders>
              <w:top w:val="single" w:color="auto" w:sz="4" w:space="0"/>
              <w:bottom w:val="single" w:color="auto" w:sz="12" w:space="0"/>
            </w:tcBorders>
            <w:vAlign w:val="center"/>
          </w:tcPr>
          <w:p w14:paraId="5408FF1C">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487" w:type="pct"/>
            <w:tcBorders>
              <w:top w:val="single" w:color="auto" w:sz="4" w:space="0"/>
              <w:bottom w:val="single" w:color="auto" w:sz="12" w:space="0"/>
            </w:tcBorders>
            <w:vAlign w:val="center"/>
          </w:tcPr>
          <w:p w14:paraId="782FA6C4">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487" w:type="pct"/>
            <w:tcBorders>
              <w:top w:val="single" w:color="auto" w:sz="4" w:space="0"/>
              <w:bottom w:val="single" w:color="auto" w:sz="12" w:space="0"/>
            </w:tcBorders>
            <w:vAlign w:val="center"/>
          </w:tcPr>
          <w:p w14:paraId="571DA5FD">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c>
          <w:tcPr>
            <w:tcW w:w="482" w:type="pct"/>
            <w:tcBorders>
              <w:top w:val="single" w:color="auto" w:sz="4" w:space="0"/>
              <w:bottom w:val="single" w:color="auto" w:sz="12" w:space="0"/>
            </w:tcBorders>
            <w:vAlign w:val="center"/>
          </w:tcPr>
          <w:p w14:paraId="2775AD42">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482" w:type="pct"/>
            <w:tcBorders>
              <w:top w:val="single" w:color="auto" w:sz="4" w:space="0"/>
              <w:bottom w:val="single" w:color="auto" w:sz="12" w:space="0"/>
            </w:tcBorders>
            <w:vAlign w:val="center"/>
          </w:tcPr>
          <w:p w14:paraId="6884885A">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483" w:type="pct"/>
            <w:tcBorders>
              <w:top w:val="single" w:color="auto" w:sz="4" w:space="0"/>
              <w:bottom w:val="single" w:color="auto" w:sz="12" w:space="0"/>
            </w:tcBorders>
            <w:vAlign w:val="center"/>
          </w:tcPr>
          <w:p w14:paraId="3F6FDA8F">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c>
          <w:tcPr>
            <w:tcW w:w="434" w:type="pct"/>
            <w:tcBorders>
              <w:top w:val="single" w:color="auto" w:sz="4" w:space="0"/>
              <w:bottom w:val="single" w:color="auto" w:sz="12" w:space="0"/>
            </w:tcBorders>
            <w:vAlign w:val="center"/>
          </w:tcPr>
          <w:p w14:paraId="41206F13">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434" w:type="pct"/>
            <w:tcBorders>
              <w:top w:val="single" w:color="auto" w:sz="4" w:space="0"/>
              <w:bottom w:val="single" w:color="auto" w:sz="12" w:space="0"/>
            </w:tcBorders>
            <w:vAlign w:val="center"/>
          </w:tcPr>
          <w:p w14:paraId="1451FE8D">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431" w:type="pct"/>
            <w:tcBorders>
              <w:top w:val="single" w:color="auto" w:sz="4" w:space="0"/>
              <w:bottom w:val="single" w:color="auto" w:sz="12" w:space="0"/>
            </w:tcBorders>
            <w:vAlign w:val="center"/>
          </w:tcPr>
          <w:p w14:paraId="289F281D">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r>
      <w:tr w14:paraId="01A6830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single" w:color="auto" w:sz="12" w:space="0"/>
              <w:bottom w:val="nil"/>
            </w:tcBorders>
            <w:vAlign w:val="center"/>
          </w:tcPr>
          <w:p w14:paraId="373FB4D9">
            <w:pPr>
              <w:keepNext/>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w:t>
            </w:r>
            <w:r>
              <w:rPr>
                <w:rFonts w:hint="eastAsia" w:cs="Arial"/>
                <w:kern w:val="0"/>
                <w:sz w:val="15"/>
                <w:szCs w:val="20"/>
                <w:lang w:val="zh-CN"/>
              </w:rPr>
              <w:t>0~0.1</w:t>
            </w:r>
            <w:r>
              <w:rPr>
                <w:rFonts w:cs="Arial"/>
                <w:kern w:val="0"/>
                <w:sz w:val="15"/>
                <w:szCs w:val="20"/>
                <w:lang w:val="zh-CN"/>
              </w:rPr>
              <w:t>）</w:t>
            </w:r>
          </w:p>
        </w:tc>
        <w:tc>
          <w:tcPr>
            <w:tcW w:w="487" w:type="pct"/>
            <w:tcBorders>
              <w:top w:val="single" w:color="auto" w:sz="12" w:space="0"/>
              <w:left w:val="nil"/>
              <w:bottom w:val="nil"/>
              <w:right w:val="nil"/>
            </w:tcBorders>
            <w:vAlign w:val="bottom"/>
          </w:tcPr>
          <w:p w14:paraId="2209AD6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0.429 </w:t>
            </w:r>
          </w:p>
        </w:tc>
        <w:tc>
          <w:tcPr>
            <w:tcW w:w="487" w:type="pct"/>
            <w:tcBorders>
              <w:top w:val="single" w:color="auto" w:sz="12" w:space="0"/>
              <w:left w:val="nil"/>
              <w:bottom w:val="nil"/>
              <w:right w:val="nil"/>
            </w:tcBorders>
            <w:vAlign w:val="bottom"/>
          </w:tcPr>
          <w:p w14:paraId="684DB6E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0.119 </w:t>
            </w:r>
          </w:p>
        </w:tc>
        <w:tc>
          <w:tcPr>
            <w:tcW w:w="487" w:type="pct"/>
            <w:tcBorders>
              <w:top w:val="single" w:color="auto" w:sz="12" w:space="0"/>
              <w:left w:val="nil"/>
              <w:bottom w:val="nil"/>
              <w:right w:val="nil"/>
            </w:tcBorders>
            <w:vAlign w:val="bottom"/>
          </w:tcPr>
          <w:p w14:paraId="086DE8F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0.342 </w:t>
            </w:r>
          </w:p>
        </w:tc>
        <w:tc>
          <w:tcPr>
            <w:tcW w:w="482" w:type="pct"/>
            <w:tcBorders>
              <w:top w:val="single" w:color="auto" w:sz="12" w:space="0"/>
              <w:left w:val="nil"/>
              <w:bottom w:val="nil"/>
              <w:right w:val="nil"/>
            </w:tcBorders>
            <w:vAlign w:val="bottom"/>
          </w:tcPr>
          <w:p w14:paraId="7B8F6F5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0.514 </w:t>
            </w:r>
          </w:p>
        </w:tc>
        <w:tc>
          <w:tcPr>
            <w:tcW w:w="482" w:type="pct"/>
            <w:tcBorders>
              <w:top w:val="single" w:color="auto" w:sz="12" w:space="0"/>
              <w:left w:val="nil"/>
              <w:bottom w:val="nil"/>
              <w:right w:val="nil"/>
            </w:tcBorders>
            <w:vAlign w:val="bottom"/>
          </w:tcPr>
          <w:p w14:paraId="48B0845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0.198 </w:t>
            </w:r>
          </w:p>
        </w:tc>
        <w:tc>
          <w:tcPr>
            <w:tcW w:w="483" w:type="pct"/>
            <w:tcBorders>
              <w:top w:val="single" w:color="auto" w:sz="12" w:space="0"/>
              <w:left w:val="nil"/>
              <w:bottom w:val="nil"/>
              <w:right w:val="nil"/>
            </w:tcBorders>
            <w:vAlign w:val="bottom"/>
          </w:tcPr>
          <w:p w14:paraId="36D144E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0.288 </w:t>
            </w:r>
          </w:p>
        </w:tc>
        <w:tc>
          <w:tcPr>
            <w:tcW w:w="434" w:type="pct"/>
            <w:tcBorders>
              <w:top w:val="single" w:color="auto" w:sz="12" w:space="0"/>
              <w:left w:val="nil"/>
              <w:bottom w:val="nil"/>
              <w:right w:val="nil"/>
            </w:tcBorders>
            <w:vAlign w:val="bottom"/>
          </w:tcPr>
          <w:p w14:paraId="154C7F0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0.553 </w:t>
            </w:r>
          </w:p>
        </w:tc>
        <w:tc>
          <w:tcPr>
            <w:tcW w:w="434" w:type="pct"/>
            <w:tcBorders>
              <w:top w:val="single" w:color="auto" w:sz="12" w:space="0"/>
              <w:left w:val="nil"/>
              <w:bottom w:val="nil"/>
              <w:right w:val="nil"/>
            </w:tcBorders>
            <w:vAlign w:val="bottom"/>
          </w:tcPr>
          <w:p w14:paraId="32B2CD3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0.121 </w:t>
            </w:r>
          </w:p>
        </w:tc>
        <w:tc>
          <w:tcPr>
            <w:tcW w:w="431" w:type="pct"/>
            <w:tcBorders>
              <w:top w:val="single" w:color="auto" w:sz="12" w:space="0"/>
              <w:left w:val="nil"/>
              <w:bottom w:val="nil"/>
              <w:right w:val="nil"/>
            </w:tcBorders>
            <w:vAlign w:val="bottom"/>
          </w:tcPr>
          <w:p w14:paraId="1078B43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0.370 </w:t>
            </w:r>
          </w:p>
        </w:tc>
      </w:tr>
      <w:tr w14:paraId="0AA4200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6BFCEC8B">
            <w:pPr>
              <w:keepNext/>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w:t>
            </w:r>
            <w:r>
              <w:rPr>
                <w:rFonts w:hint="eastAsia" w:cs="Arial"/>
                <w:kern w:val="0"/>
                <w:sz w:val="15"/>
                <w:szCs w:val="20"/>
                <w:lang w:val="zh-CN"/>
              </w:rPr>
              <w:t>0.1~0.2</w:t>
            </w:r>
            <w:r>
              <w:rPr>
                <w:rFonts w:cs="Arial"/>
                <w:kern w:val="0"/>
                <w:sz w:val="15"/>
                <w:szCs w:val="20"/>
                <w:lang w:val="zh-CN"/>
              </w:rPr>
              <w:t>）</w:t>
            </w:r>
          </w:p>
        </w:tc>
        <w:tc>
          <w:tcPr>
            <w:tcW w:w="487" w:type="pct"/>
            <w:tcBorders>
              <w:top w:val="nil"/>
              <w:left w:val="nil"/>
              <w:bottom w:val="nil"/>
              <w:right w:val="nil"/>
            </w:tcBorders>
            <w:vAlign w:val="bottom"/>
          </w:tcPr>
          <w:p w14:paraId="610B844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0.490 </w:t>
            </w:r>
          </w:p>
        </w:tc>
        <w:tc>
          <w:tcPr>
            <w:tcW w:w="487" w:type="pct"/>
            <w:tcBorders>
              <w:top w:val="nil"/>
              <w:left w:val="nil"/>
              <w:bottom w:val="nil"/>
              <w:right w:val="nil"/>
            </w:tcBorders>
            <w:vAlign w:val="bottom"/>
          </w:tcPr>
          <w:p w14:paraId="11DDD5C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0.193 </w:t>
            </w:r>
          </w:p>
        </w:tc>
        <w:tc>
          <w:tcPr>
            <w:tcW w:w="487" w:type="pct"/>
            <w:tcBorders>
              <w:top w:val="nil"/>
              <w:left w:val="nil"/>
              <w:bottom w:val="nil"/>
              <w:right w:val="nil"/>
            </w:tcBorders>
            <w:vAlign w:val="bottom"/>
          </w:tcPr>
          <w:p w14:paraId="065F328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0.355 </w:t>
            </w:r>
          </w:p>
        </w:tc>
        <w:tc>
          <w:tcPr>
            <w:tcW w:w="482" w:type="pct"/>
            <w:tcBorders>
              <w:top w:val="nil"/>
              <w:left w:val="nil"/>
              <w:bottom w:val="nil"/>
              <w:right w:val="nil"/>
            </w:tcBorders>
            <w:vAlign w:val="bottom"/>
          </w:tcPr>
          <w:p w14:paraId="0D22027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0.631 </w:t>
            </w:r>
          </w:p>
        </w:tc>
        <w:tc>
          <w:tcPr>
            <w:tcW w:w="482" w:type="pct"/>
            <w:tcBorders>
              <w:top w:val="nil"/>
              <w:left w:val="nil"/>
              <w:bottom w:val="nil"/>
              <w:right w:val="nil"/>
            </w:tcBorders>
            <w:vAlign w:val="bottom"/>
          </w:tcPr>
          <w:p w14:paraId="6CC65E0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0.218 </w:t>
            </w:r>
          </w:p>
        </w:tc>
        <w:tc>
          <w:tcPr>
            <w:tcW w:w="483" w:type="pct"/>
            <w:tcBorders>
              <w:top w:val="nil"/>
              <w:left w:val="nil"/>
              <w:bottom w:val="nil"/>
              <w:right w:val="nil"/>
            </w:tcBorders>
            <w:vAlign w:val="bottom"/>
          </w:tcPr>
          <w:p w14:paraId="1111627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0.360 </w:t>
            </w:r>
          </w:p>
        </w:tc>
        <w:tc>
          <w:tcPr>
            <w:tcW w:w="434" w:type="pct"/>
            <w:tcBorders>
              <w:top w:val="nil"/>
              <w:left w:val="nil"/>
              <w:bottom w:val="nil"/>
              <w:right w:val="nil"/>
            </w:tcBorders>
            <w:vAlign w:val="bottom"/>
          </w:tcPr>
          <w:p w14:paraId="62FA82A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0.610 </w:t>
            </w:r>
          </w:p>
        </w:tc>
        <w:tc>
          <w:tcPr>
            <w:tcW w:w="434" w:type="pct"/>
            <w:tcBorders>
              <w:top w:val="nil"/>
              <w:left w:val="nil"/>
              <w:bottom w:val="nil"/>
              <w:right w:val="nil"/>
            </w:tcBorders>
            <w:vAlign w:val="bottom"/>
          </w:tcPr>
          <w:p w14:paraId="3F735FA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0.187 </w:t>
            </w:r>
          </w:p>
        </w:tc>
        <w:tc>
          <w:tcPr>
            <w:tcW w:w="431" w:type="pct"/>
            <w:tcBorders>
              <w:top w:val="nil"/>
              <w:left w:val="nil"/>
              <w:bottom w:val="nil"/>
              <w:right w:val="nil"/>
            </w:tcBorders>
            <w:vAlign w:val="bottom"/>
          </w:tcPr>
          <w:p w14:paraId="4829E78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0.378 </w:t>
            </w:r>
          </w:p>
        </w:tc>
      </w:tr>
      <w:tr w14:paraId="0B9EFA2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556D7B4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（0.2~0.3）</w:t>
            </w:r>
          </w:p>
        </w:tc>
        <w:tc>
          <w:tcPr>
            <w:tcW w:w="487" w:type="pct"/>
            <w:tcBorders>
              <w:top w:val="nil"/>
              <w:left w:val="nil"/>
              <w:bottom w:val="nil"/>
              <w:right w:val="nil"/>
            </w:tcBorders>
            <w:vAlign w:val="bottom"/>
          </w:tcPr>
          <w:p w14:paraId="641FC26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0.578 </w:t>
            </w:r>
          </w:p>
        </w:tc>
        <w:tc>
          <w:tcPr>
            <w:tcW w:w="487" w:type="pct"/>
            <w:tcBorders>
              <w:top w:val="nil"/>
              <w:left w:val="nil"/>
              <w:bottom w:val="nil"/>
              <w:right w:val="nil"/>
            </w:tcBorders>
            <w:vAlign w:val="bottom"/>
          </w:tcPr>
          <w:p w14:paraId="3172320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0.190 </w:t>
            </w:r>
          </w:p>
        </w:tc>
        <w:tc>
          <w:tcPr>
            <w:tcW w:w="487" w:type="pct"/>
            <w:tcBorders>
              <w:top w:val="nil"/>
              <w:left w:val="nil"/>
              <w:bottom w:val="nil"/>
              <w:right w:val="nil"/>
            </w:tcBorders>
            <w:vAlign w:val="bottom"/>
          </w:tcPr>
          <w:p w14:paraId="04F50D8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0.420 </w:t>
            </w:r>
          </w:p>
        </w:tc>
        <w:tc>
          <w:tcPr>
            <w:tcW w:w="482" w:type="pct"/>
            <w:tcBorders>
              <w:top w:val="nil"/>
              <w:left w:val="nil"/>
              <w:bottom w:val="nil"/>
              <w:right w:val="nil"/>
            </w:tcBorders>
            <w:vAlign w:val="bottom"/>
          </w:tcPr>
          <w:p w14:paraId="4813F01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0.636 </w:t>
            </w:r>
          </w:p>
        </w:tc>
        <w:tc>
          <w:tcPr>
            <w:tcW w:w="482" w:type="pct"/>
            <w:tcBorders>
              <w:top w:val="nil"/>
              <w:left w:val="nil"/>
              <w:bottom w:val="nil"/>
              <w:right w:val="nil"/>
            </w:tcBorders>
            <w:vAlign w:val="bottom"/>
          </w:tcPr>
          <w:p w14:paraId="3FEEA79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0.234 </w:t>
            </w:r>
          </w:p>
        </w:tc>
        <w:tc>
          <w:tcPr>
            <w:tcW w:w="483" w:type="pct"/>
            <w:tcBorders>
              <w:top w:val="nil"/>
              <w:left w:val="nil"/>
              <w:bottom w:val="nil"/>
              <w:right w:val="nil"/>
            </w:tcBorders>
            <w:vAlign w:val="bottom"/>
          </w:tcPr>
          <w:p w14:paraId="419FB0F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0.445 </w:t>
            </w:r>
          </w:p>
        </w:tc>
        <w:tc>
          <w:tcPr>
            <w:tcW w:w="434" w:type="pct"/>
            <w:tcBorders>
              <w:top w:val="nil"/>
              <w:left w:val="nil"/>
              <w:bottom w:val="nil"/>
              <w:right w:val="nil"/>
            </w:tcBorders>
            <w:vAlign w:val="bottom"/>
          </w:tcPr>
          <w:p w14:paraId="265478D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0.622 </w:t>
            </w:r>
          </w:p>
        </w:tc>
        <w:tc>
          <w:tcPr>
            <w:tcW w:w="434" w:type="pct"/>
            <w:tcBorders>
              <w:top w:val="nil"/>
              <w:left w:val="nil"/>
              <w:bottom w:val="nil"/>
              <w:right w:val="nil"/>
            </w:tcBorders>
            <w:vAlign w:val="bottom"/>
          </w:tcPr>
          <w:p w14:paraId="11AC1DF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0.232 </w:t>
            </w:r>
          </w:p>
        </w:tc>
        <w:tc>
          <w:tcPr>
            <w:tcW w:w="431" w:type="pct"/>
            <w:tcBorders>
              <w:top w:val="nil"/>
              <w:left w:val="nil"/>
              <w:bottom w:val="nil"/>
              <w:right w:val="nil"/>
            </w:tcBorders>
            <w:vAlign w:val="bottom"/>
          </w:tcPr>
          <w:p w14:paraId="1306EC2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0.446 </w:t>
            </w:r>
          </w:p>
        </w:tc>
      </w:tr>
      <w:tr w14:paraId="44E724B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6CEE628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（0.3~0.4）</w:t>
            </w:r>
          </w:p>
        </w:tc>
        <w:tc>
          <w:tcPr>
            <w:tcW w:w="487" w:type="pct"/>
            <w:tcBorders>
              <w:top w:val="nil"/>
              <w:left w:val="nil"/>
              <w:bottom w:val="nil"/>
              <w:right w:val="nil"/>
            </w:tcBorders>
            <w:vAlign w:val="bottom"/>
          </w:tcPr>
          <w:p w14:paraId="1047E5F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0.629 </w:t>
            </w:r>
          </w:p>
        </w:tc>
        <w:tc>
          <w:tcPr>
            <w:tcW w:w="487" w:type="pct"/>
            <w:tcBorders>
              <w:top w:val="nil"/>
              <w:left w:val="nil"/>
              <w:bottom w:val="nil"/>
              <w:right w:val="nil"/>
            </w:tcBorders>
            <w:vAlign w:val="bottom"/>
          </w:tcPr>
          <w:p w14:paraId="314ECCE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0.242 </w:t>
            </w:r>
          </w:p>
        </w:tc>
        <w:tc>
          <w:tcPr>
            <w:tcW w:w="487" w:type="pct"/>
            <w:tcBorders>
              <w:top w:val="nil"/>
              <w:left w:val="nil"/>
              <w:bottom w:val="nil"/>
              <w:right w:val="nil"/>
            </w:tcBorders>
            <w:vAlign w:val="bottom"/>
          </w:tcPr>
          <w:p w14:paraId="3717003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0.460 </w:t>
            </w:r>
          </w:p>
        </w:tc>
        <w:tc>
          <w:tcPr>
            <w:tcW w:w="482" w:type="pct"/>
            <w:tcBorders>
              <w:top w:val="nil"/>
              <w:left w:val="nil"/>
              <w:bottom w:val="nil"/>
              <w:right w:val="nil"/>
            </w:tcBorders>
            <w:vAlign w:val="bottom"/>
          </w:tcPr>
          <w:p w14:paraId="087069C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0.662 </w:t>
            </w:r>
          </w:p>
        </w:tc>
        <w:tc>
          <w:tcPr>
            <w:tcW w:w="482" w:type="pct"/>
            <w:tcBorders>
              <w:top w:val="nil"/>
              <w:left w:val="nil"/>
              <w:bottom w:val="nil"/>
              <w:right w:val="nil"/>
            </w:tcBorders>
            <w:vAlign w:val="bottom"/>
          </w:tcPr>
          <w:p w14:paraId="5B97577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0.289 </w:t>
            </w:r>
          </w:p>
        </w:tc>
        <w:tc>
          <w:tcPr>
            <w:tcW w:w="483" w:type="pct"/>
            <w:tcBorders>
              <w:top w:val="nil"/>
              <w:left w:val="nil"/>
              <w:bottom w:val="nil"/>
              <w:right w:val="nil"/>
            </w:tcBorders>
            <w:vAlign w:val="bottom"/>
          </w:tcPr>
          <w:p w14:paraId="5803CF2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0.510 </w:t>
            </w:r>
          </w:p>
        </w:tc>
        <w:tc>
          <w:tcPr>
            <w:tcW w:w="434" w:type="pct"/>
            <w:tcBorders>
              <w:top w:val="nil"/>
              <w:left w:val="nil"/>
              <w:bottom w:val="nil"/>
              <w:right w:val="nil"/>
            </w:tcBorders>
            <w:vAlign w:val="bottom"/>
          </w:tcPr>
          <w:p w14:paraId="252E808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0.684 </w:t>
            </w:r>
          </w:p>
        </w:tc>
        <w:tc>
          <w:tcPr>
            <w:tcW w:w="434" w:type="pct"/>
            <w:tcBorders>
              <w:top w:val="nil"/>
              <w:left w:val="nil"/>
              <w:bottom w:val="nil"/>
              <w:right w:val="nil"/>
            </w:tcBorders>
            <w:vAlign w:val="bottom"/>
          </w:tcPr>
          <w:p w14:paraId="04059CD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0.259 </w:t>
            </w:r>
          </w:p>
        </w:tc>
        <w:tc>
          <w:tcPr>
            <w:tcW w:w="431" w:type="pct"/>
            <w:tcBorders>
              <w:top w:val="nil"/>
              <w:left w:val="nil"/>
              <w:bottom w:val="nil"/>
              <w:right w:val="nil"/>
            </w:tcBorders>
            <w:vAlign w:val="bottom"/>
          </w:tcPr>
          <w:p w14:paraId="665E261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0.481 </w:t>
            </w:r>
          </w:p>
        </w:tc>
      </w:tr>
      <w:tr w14:paraId="402DC83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7278E98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（0.4~0.5）</w:t>
            </w:r>
          </w:p>
        </w:tc>
        <w:tc>
          <w:tcPr>
            <w:tcW w:w="487" w:type="pct"/>
            <w:tcBorders>
              <w:top w:val="nil"/>
              <w:left w:val="nil"/>
              <w:bottom w:val="nil"/>
              <w:right w:val="nil"/>
            </w:tcBorders>
            <w:vAlign w:val="bottom"/>
          </w:tcPr>
          <w:p w14:paraId="23A2F65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0.693 </w:t>
            </w:r>
          </w:p>
        </w:tc>
        <w:tc>
          <w:tcPr>
            <w:tcW w:w="487" w:type="pct"/>
            <w:tcBorders>
              <w:top w:val="nil"/>
              <w:left w:val="nil"/>
              <w:bottom w:val="nil"/>
              <w:right w:val="nil"/>
            </w:tcBorders>
            <w:vAlign w:val="bottom"/>
          </w:tcPr>
          <w:p w14:paraId="3DD0766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0.286 </w:t>
            </w:r>
          </w:p>
        </w:tc>
        <w:tc>
          <w:tcPr>
            <w:tcW w:w="487" w:type="pct"/>
            <w:tcBorders>
              <w:top w:val="nil"/>
              <w:left w:val="nil"/>
              <w:bottom w:val="nil"/>
              <w:right w:val="nil"/>
            </w:tcBorders>
            <w:vAlign w:val="bottom"/>
          </w:tcPr>
          <w:p w14:paraId="015AA29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0.518 </w:t>
            </w:r>
          </w:p>
        </w:tc>
        <w:tc>
          <w:tcPr>
            <w:tcW w:w="482" w:type="pct"/>
            <w:tcBorders>
              <w:top w:val="nil"/>
              <w:left w:val="nil"/>
              <w:bottom w:val="nil"/>
              <w:right w:val="nil"/>
            </w:tcBorders>
            <w:vAlign w:val="bottom"/>
          </w:tcPr>
          <w:p w14:paraId="0D1B25B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0.744 </w:t>
            </w:r>
          </w:p>
        </w:tc>
        <w:tc>
          <w:tcPr>
            <w:tcW w:w="482" w:type="pct"/>
            <w:tcBorders>
              <w:top w:val="nil"/>
              <w:left w:val="nil"/>
              <w:bottom w:val="nil"/>
              <w:right w:val="nil"/>
            </w:tcBorders>
            <w:vAlign w:val="bottom"/>
          </w:tcPr>
          <w:p w14:paraId="65818D5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0.333 </w:t>
            </w:r>
          </w:p>
        </w:tc>
        <w:tc>
          <w:tcPr>
            <w:tcW w:w="483" w:type="pct"/>
            <w:tcBorders>
              <w:top w:val="nil"/>
              <w:left w:val="nil"/>
              <w:bottom w:val="nil"/>
              <w:right w:val="nil"/>
            </w:tcBorders>
            <w:vAlign w:val="bottom"/>
          </w:tcPr>
          <w:p w14:paraId="3617C44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0.538 </w:t>
            </w:r>
          </w:p>
        </w:tc>
        <w:tc>
          <w:tcPr>
            <w:tcW w:w="434" w:type="pct"/>
            <w:tcBorders>
              <w:top w:val="nil"/>
              <w:left w:val="nil"/>
              <w:bottom w:val="nil"/>
              <w:right w:val="nil"/>
            </w:tcBorders>
            <w:vAlign w:val="bottom"/>
          </w:tcPr>
          <w:p w14:paraId="48D23B4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0.725 </w:t>
            </w:r>
          </w:p>
        </w:tc>
        <w:tc>
          <w:tcPr>
            <w:tcW w:w="434" w:type="pct"/>
            <w:tcBorders>
              <w:top w:val="nil"/>
              <w:left w:val="nil"/>
              <w:bottom w:val="nil"/>
              <w:right w:val="nil"/>
            </w:tcBorders>
            <w:vAlign w:val="bottom"/>
          </w:tcPr>
          <w:p w14:paraId="4438D7F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0.326 </w:t>
            </w:r>
          </w:p>
        </w:tc>
        <w:tc>
          <w:tcPr>
            <w:tcW w:w="431" w:type="pct"/>
            <w:tcBorders>
              <w:top w:val="nil"/>
              <w:left w:val="nil"/>
              <w:bottom w:val="nil"/>
              <w:right w:val="nil"/>
            </w:tcBorders>
            <w:vAlign w:val="bottom"/>
          </w:tcPr>
          <w:p w14:paraId="53C1783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0.526 </w:t>
            </w:r>
          </w:p>
        </w:tc>
      </w:tr>
      <w:tr w14:paraId="03EE205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3767F2C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（0.5~0.6）</w:t>
            </w:r>
          </w:p>
        </w:tc>
        <w:tc>
          <w:tcPr>
            <w:tcW w:w="487" w:type="pct"/>
            <w:tcBorders>
              <w:top w:val="nil"/>
              <w:left w:val="nil"/>
              <w:bottom w:val="nil"/>
              <w:right w:val="nil"/>
            </w:tcBorders>
            <w:vAlign w:val="bottom"/>
          </w:tcPr>
          <w:p w14:paraId="29DA7B1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0.734 </w:t>
            </w:r>
          </w:p>
        </w:tc>
        <w:tc>
          <w:tcPr>
            <w:tcW w:w="487" w:type="pct"/>
            <w:tcBorders>
              <w:top w:val="nil"/>
              <w:left w:val="nil"/>
              <w:bottom w:val="nil"/>
              <w:right w:val="nil"/>
            </w:tcBorders>
            <w:vAlign w:val="bottom"/>
          </w:tcPr>
          <w:p w14:paraId="3DB1DCC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0.344 </w:t>
            </w:r>
          </w:p>
        </w:tc>
        <w:tc>
          <w:tcPr>
            <w:tcW w:w="487" w:type="pct"/>
            <w:tcBorders>
              <w:top w:val="nil"/>
              <w:left w:val="nil"/>
              <w:bottom w:val="nil"/>
              <w:right w:val="nil"/>
            </w:tcBorders>
            <w:vAlign w:val="bottom"/>
          </w:tcPr>
          <w:p w14:paraId="6B70996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0.560 </w:t>
            </w:r>
          </w:p>
        </w:tc>
        <w:tc>
          <w:tcPr>
            <w:tcW w:w="482" w:type="pct"/>
            <w:tcBorders>
              <w:top w:val="nil"/>
              <w:left w:val="nil"/>
              <w:bottom w:val="nil"/>
              <w:right w:val="nil"/>
            </w:tcBorders>
            <w:vAlign w:val="bottom"/>
          </w:tcPr>
          <w:p w14:paraId="59BB25E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0.787 </w:t>
            </w:r>
          </w:p>
        </w:tc>
        <w:tc>
          <w:tcPr>
            <w:tcW w:w="482" w:type="pct"/>
            <w:tcBorders>
              <w:top w:val="nil"/>
              <w:left w:val="nil"/>
              <w:bottom w:val="nil"/>
              <w:right w:val="nil"/>
            </w:tcBorders>
            <w:vAlign w:val="bottom"/>
          </w:tcPr>
          <w:p w14:paraId="7BAA861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0.396 </w:t>
            </w:r>
          </w:p>
        </w:tc>
        <w:tc>
          <w:tcPr>
            <w:tcW w:w="483" w:type="pct"/>
            <w:tcBorders>
              <w:top w:val="nil"/>
              <w:left w:val="nil"/>
              <w:bottom w:val="nil"/>
              <w:right w:val="nil"/>
            </w:tcBorders>
            <w:vAlign w:val="bottom"/>
          </w:tcPr>
          <w:p w14:paraId="57E79C9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0.601 </w:t>
            </w:r>
          </w:p>
        </w:tc>
        <w:tc>
          <w:tcPr>
            <w:tcW w:w="434" w:type="pct"/>
            <w:tcBorders>
              <w:top w:val="nil"/>
              <w:left w:val="nil"/>
              <w:bottom w:val="nil"/>
              <w:right w:val="nil"/>
            </w:tcBorders>
            <w:vAlign w:val="bottom"/>
          </w:tcPr>
          <w:p w14:paraId="6B6E29BC">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0.791 </w:t>
            </w:r>
          </w:p>
        </w:tc>
        <w:tc>
          <w:tcPr>
            <w:tcW w:w="434" w:type="pct"/>
            <w:tcBorders>
              <w:top w:val="nil"/>
              <w:left w:val="nil"/>
              <w:bottom w:val="nil"/>
              <w:right w:val="nil"/>
            </w:tcBorders>
            <w:vAlign w:val="bottom"/>
          </w:tcPr>
          <w:p w14:paraId="7C4400F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0.389 </w:t>
            </w:r>
          </w:p>
        </w:tc>
        <w:tc>
          <w:tcPr>
            <w:tcW w:w="431" w:type="pct"/>
            <w:tcBorders>
              <w:top w:val="nil"/>
              <w:left w:val="nil"/>
              <w:bottom w:val="nil"/>
              <w:right w:val="nil"/>
            </w:tcBorders>
            <w:vAlign w:val="bottom"/>
          </w:tcPr>
          <w:p w14:paraId="57E4E9E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0.551 </w:t>
            </w:r>
          </w:p>
        </w:tc>
      </w:tr>
      <w:tr w14:paraId="0FAA809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615C09F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（0.6~0.7）</w:t>
            </w:r>
          </w:p>
        </w:tc>
        <w:tc>
          <w:tcPr>
            <w:tcW w:w="487" w:type="pct"/>
            <w:tcBorders>
              <w:top w:val="nil"/>
              <w:left w:val="nil"/>
              <w:bottom w:val="nil"/>
              <w:right w:val="nil"/>
            </w:tcBorders>
            <w:vAlign w:val="bottom"/>
          </w:tcPr>
          <w:p w14:paraId="22F635F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0.771 </w:t>
            </w:r>
          </w:p>
        </w:tc>
        <w:tc>
          <w:tcPr>
            <w:tcW w:w="487" w:type="pct"/>
            <w:tcBorders>
              <w:top w:val="nil"/>
              <w:left w:val="nil"/>
              <w:bottom w:val="nil"/>
              <w:right w:val="nil"/>
            </w:tcBorders>
            <w:vAlign w:val="bottom"/>
          </w:tcPr>
          <w:p w14:paraId="5A80651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0.438 </w:t>
            </w:r>
          </w:p>
        </w:tc>
        <w:tc>
          <w:tcPr>
            <w:tcW w:w="487" w:type="pct"/>
            <w:tcBorders>
              <w:top w:val="nil"/>
              <w:left w:val="nil"/>
              <w:bottom w:val="nil"/>
              <w:right w:val="nil"/>
            </w:tcBorders>
            <w:vAlign w:val="bottom"/>
          </w:tcPr>
          <w:p w14:paraId="0AB438CC">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0.584 </w:t>
            </w:r>
          </w:p>
        </w:tc>
        <w:tc>
          <w:tcPr>
            <w:tcW w:w="482" w:type="pct"/>
            <w:tcBorders>
              <w:top w:val="nil"/>
              <w:left w:val="nil"/>
              <w:bottom w:val="nil"/>
              <w:right w:val="nil"/>
            </w:tcBorders>
            <w:vAlign w:val="bottom"/>
          </w:tcPr>
          <w:p w14:paraId="3EF3981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0.830 </w:t>
            </w:r>
          </w:p>
        </w:tc>
        <w:tc>
          <w:tcPr>
            <w:tcW w:w="482" w:type="pct"/>
            <w:tcBorders>
              <w:top w:val="nil"/>
              <w:left w:val="nil"/>
              <w:bottom w:val="nil"/>
              <w:right w:val="nil"/>
            </w:tcBorders>
            <w:vAlign w:val="bottom"/>
          </w:tcPr>
          <w:p w14:paraId="221F7E9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0.495 </w:t>
            </w:r>
          </w:p>
        </w:tc>
        <w:tc>
          <w:tcPr>
            <w:tcW w:w="483" w:type="pct"/>
            <w:tcBorders>
              <w:top w:val="nil"/>
              <w:left w:val="nil"/>
              <w:bottom w:val="nil"/>
              <w:right w:val="nil"/>
            </w:tcBorders>
            <w:vAlign w:val="bottom"/>
          </w:tcPr>
          <w:p w14:paraId="2D48D3A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0.620 </w:t>
            </w:r>
          </w:p>
        </w:tc>
        <w:tc>
          <w:tcPr>
            <w:tcW w:w="434" w:type="pct"/>
            <w:tcBorders>
              <w:top w:val="nil"/>
              <w:left w:val="nil"/>
              <w:bottom w:val="nil"/>
              <w:right w:val="nil"/>
            </w:tcBorders>
            <w:vAlign w:val="bottom"/>
          </w:tcPr>
          <w:p w14:paraId="5DEBA0B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0.827 </w:t>
            </w:r>
          </w:p>
        </w:tc>
        <w:tc>
          <w:tcPr>
            <w:tcW w:w="434" w:type="pct"/>
            <w:tcBorders>
              <w:top w:val="nil"/>
              <w:left w:val="nil"/>
              <w:bottom w:val="nil"/>
              <w:right w:val="nil"/>
            </w:tcBorders>
            <w:vAlign w:val="bottom"/>
          </w:tcPr>
          <w:p w14:paraId="3381E63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0.445 </w:t>
            </w:r>
          </w:p>
        </w:tc>
        <w:tc>
          <w:tcPr>
            <w:tcW w:w="431" w:type="pct"/>
            <w:tcBorders>
              <w:top w:val="nil"/>
              <w:left w:val="nil"/>
              <w:bottom w:val="nil"/>
              <w:right w:val="nil"/>
            </w:tcBorders>
            <w:vAlign w:val="bottom"/>
          </w:tcPr>
          <w:p w14:paraId="1969ECB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0.593 </w:t>
            </w:r>
          </w:p>
        </w:tc>
      </w:tr>
      <w:tr w14:paraId="225BD74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1B15155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（0.7~0.8）</w:t>
            </w:r>
          </w:p>
        </w:tc>
        <w:tc>
          <w:tcPr>
            <w:tcW w:w="487" w:type="pct"/>
            <w:tcBorders>
              <w:top w:val="nil"/>
              <w:left w:val="nil"/>
              <w:bottom w:val="nil"/>
              <w:right w:val="nil"/>
            </w:tcBorders>
            <w:vAlign w:val="bottom"/>
          </w:tcPr>
          <w:p w14:paraId="12DFE88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0.794 </w:t>
            </w:r>
          </w:p>
        </w:tc>
        <w:tc>
          <w:tcPr>
            <w:tcW w:w="487" w:type="pct"/>
            <w:tcBorders>
              <w:top w:val="nil"/>
              <w:left w:val="nil"/>
              <w:bottom w:val="nil"/>
              <w:right w:val="nil"/>
            </w:tcBorders>
            <w:vAlign w:val="bottom"/>
          </w:tcPr>
          <w:p w14:paraId="32E8083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0.483 </w:t>
            </w:r>
          </w:p>
        </w:tc>
        <w:tc>
          <w:tcPr>
            <w:tcW w:w="487" w:type="pct"/>
            <w:tcBorders>
              <w:top w:val="nil"/>
              <w:left w:val="nil"/>
              <w:bottom w:val="nil"/>
              <w:right w:val="nil"/>
            </w:tcBorders>
            <w:vAlign w:val="bottom"/>
          </w:tcPr>
          <w:p w14:paraId="0A8FEDE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0.632 </w:t>
            </w:r>
          </w:p>
        </w:tc>
        <w:tc>
          <w:tcPr>
            <w:tcW w:w="482" w:type="pct"/>
            <w:tcBorders>
              <w:top w:val="nil"/>
              <w:left w:val="nil"/>
              <w:bottom w:val="nil"/>
              <w:right w:val="nil"/>
            </w:tcBorders>
            <w:vAlign w:val="bottom"/>
          </w:tcPr>
          <w:p w14:paraId="4EA6EBD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0.877 </w:t>
            </w:r>
          </w:p>
        </w:tc>
        <w:tc>
          <w:tcPr>
            <w:tcW w:w="482" w:type="pct"/>
            <w:tcBorders>
              <w:top w:val="nil"/>
              <w:left w:val="nil"/>
              <w:bottom w:val="nil"/>
              <w:right w:val="nil"/>
            </w:tcBorders>
            <w:vAlign w:val="bottom"/>
          </w:tcPr>
          <w:p w14:paraId="74B396E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0.548 </w:t>
            </w:r>
          </w:p>
        </w:tc>
        <w:tc>
          <w:tcPr>
            <w:tcW w:w="483" w:type="pct"/>
            <w:tcBorders>
              <w:top w:val="nil"/>
              <w:left w:val="nil"/>
              <w:bottom w:val="nil"/>
              <w:right w:val="nil"/>
            </w:tcBorders>
            <w:vAlign w:val="bottom"/>
          </w:tcPr>
          <w:p w14:paraId="28B06A3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0.650 </w:t>
            </w:r>
          </w:p>
        </w:tc>
        <w:tc>
          <w:tcPr>
            <w:tcW w:w="434" w:type="pct"/>
            <w:tcBorders>
              <w:top w:val="nil"/>
              <w:left w:val="nil"/>
              <w:bottom w:val="nil"/>
              <w:right w:val="nil"/>
            </w:tcBorders>
            <w:vAlign w:val="bottom"/>
          </w:tcPr>
          <w:p w14:paraId="12E8960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0.844 </w:t>
            </w:r>
          </w:p>
        </w:tc>
        <w:tc>
          <w:tcPr>
            <w:tcW w:w="434" w:type="pct"/>
            <w:tcBorders>
              <w:top w:val="nil"/>
              <w:left w:val="nil"/>
              <w:bottom w:val="nil"/>
              <w:right w:val="nil"/>
            </w:tcBorders>
            <w:vAlign w:val="bottom"/>
          </w:tcPr>
          <w:p w14:paraId="7FD06BA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0.521 </w:t>
            </w:r>
          </w:p>
        </w:tc>
        <w:tc>
          <w:tcPr>
            <w:tcW w:w="431" w:type="pct"/>
            <w:tcBorders>
              <w:top w:val="nil"/>
              <w:left w:val="nil"/>
              <w:bottom w:val="nil"/>
              <w:right w:val="nil"/>
            </w:tcBorders>
            <w:vAlign w:val="bottom"/>
          </w:tcPr>
          <w:p w14:paraId="79BEA8B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0.645 </w:t>
            </w:r>
          </w:p>
        </w:tc>
      </w:tr>
      <w:tr w14:paraId="6EF3FC0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nil"/>
            </w:tcBorders>
            <w:vAlign w:val="center"/>
          </w:tcPr>
          <w:p w14:paraId="385F052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（0.8~0.9）</w:t>
            </w:r>
          </w:p>
        </w:tc>
        <w:tc>
          <w:tcPr>
            <w:tcW w:w="487" w:type="pct"/>
            <w:tcBorders>
              <w:top w:val="nil"/>
              <w:left w:val="nil"/>
              <w:bottom w:val="nil"/>
              <w:right w:val="nil"/>
            </w:tcBorders>
            <w:vAlign w:val="bottom"/>
          </w:tcPr>
          <w:p w14:paraId="3054954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0.814 </w:t>
            </w:r>
          </w:p>
        </w:tc>
        <w:tc>
          <w:tcPr>
            <w:tcW w:w="487" w:type="pct"/>
            <w:tcBorders>
              <w:top w:val="nil"/>
              <w:left w:val="nil"/>
              <w:bottom w:val="nil"/>
              <w:right w:val="nil"/>
            </w:tcBorders>
            <w:vAlign w:val="bottom"/>
          </w:tcPr>
          <w:p w14:paraId="37EEEFC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0.533 </w:t>
            </w:r>
          </w:p>
        </w:tc>
        <w:tc>
          <w:tcPr>
            <w:tcW w:w="487" w:type="pct"/>
            <w:tcBorders>
              <w:top w:val="nil"/>
              <w:left w:val="nil"/>
              <w:bottom w:val="nil"/>
              <w:right w:val="nil"/>
            </w:tcBorders>
            <w:vAlign w:val="bottom"/>
          </w:tcPr>
          <w:p w14:paraId="64706C5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0.700 </w:t>
            </w:r>
          </w:p>
        </w:tc>
        <w:tc>
          <w:tcPr>
            <w:tcW w:w="482" w:type="pct"/>
            <w:tcBorders>
              <w:top w:val="nil"/>
              <w:left w:val="nil"/>
              <w:bottom w:val="nil"/>
              <w:right w:val="nil"/>
            </w:tcBorders>
            <w:vAlign w:val="bottom"/>
          </w:tcPr>
          <w:p w14:paraId="47FA474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0.897 </w:t>
            </w:r>
          </w:p>
        </w:tc>
        <w:tc>
          <w:tcPr>
            <w:tcW w:w="482" w:type="pct"/>
            <w:tcBorders>
              <w:top w:val="nil"/>
              <w:left w:val="nil"/>
              <w:bottom w:val="nil"/>
              <w:right w:val="nil"/>
            </w:tcBorders>
            <w:vAlign w:val="bottom"/>
          </w:tcPr>
          <w:p w14:paraId="678CAB8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0.615 </w:t>
            </w:r>
          </w:p>
        </w:tc>
        <w:tc>
          <w:tcPr>
            <w:tcW w:w="483" w:type="pct"/>
            <w:tcBorders>
              <w:top w:val="nil"/>
              <w:left w:val="nil"/>
              <w:bottom w:val="nil"/>
              <w:right w:val="nil"/>
            </w:tcBorders>
            <w:vAlign w:val="bottom"/>
          </w:tcPr>
          <w:p w14:paraId="1A9C6FB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0.710 </w:t>
            </w:r>
          </w:p>
        </w:tc>
        <w:tc>
          <w:tcPr>
            <w:tcW w:w="434" w:type="pct"/>
            <w:tcBorders>
              <w:top w:val="nil"/>
              <w:left w:val="nil"/>
              <w:bottom w:val="nil"/>
              <w:right w:val="nil"/>
            </w:tcBorders>
            <w:vAlign w:val="bottom"/>
          </w:tcPr>
          <w:p w14:paraId="7E76C95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0.895 </w:t>
            </w:r>
          </w:p>
        </w:tc>
        <w:tc>
          <w:tcPr>
            <w:tcW w:w="434" w:type="pct"/>
            <w:tcBorders>
              <w:top w:val="nil"/>
              <w:left w:val="nil"/>
              <w:bottom w:val="nil"/>
              <w:right w:val="nil"/>
            </w:tcBorders>
            <w:vAlign w:val="bottom"/>
          </w:tcPr>
          <w:p w14:paraId="2E173D9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0.637 </w:t>
            </w:r>
          </w:p>
        </w:tc>
        <w:tc>
          <w:tcPr>
            <w:tcW w:w="431" w:type="pct"/>
            <w:tcBorders>
              <w:top w:val="nil"/>
              <w:left w:val="nil"/>
              <w:bottom w:val="nil"/>
              <w:right w:val="nil"/>
            </w:tcBorders>
            <w:vAlign w:val="bottom"/>
          </w:tcPr>
          <w:p w14:paraId="4CA19C3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0.675 </w:t>
            </w:r>
          </w:p>
        </w:tc>
      </w:tr>
      <w:tr w14:paraId="618B2E2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blHeader/>
          <w:jc w:val="center"/>
        </w:trPr>
        <w:tc>
          <w:tcPr>
            <w:tcW w:w="793" w:type="pct"/>
            <w:tcBorders>
              <w:top w:val="nil"/>
              <w:bottom w:val="single" w:color="auto" w:sz="12" w:space="0"/>
            </w:tcBorders>
            <w:vAlign w:val="center"/>
          </w:tcPr>
          <w:p w14:paraId="2119261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（0.9~1）</w:t>
            </w:r>
          </w:p>
        </w:tc>
        <w:tc>
          <w:tcPr>
            <w:tcW w:w="487" w:type="pct"/>
            <w:tcBorders>
              <w:top w:val="nil"/>
              <w:left w:val="nil"/>
              <w:bottom w:val="single" w:color="auto" w:sz="12" w:space="0"/>
              <w:right w:val="nil"/>
            </w:tcBorders>
            <w:vAlign w:val="bottom"/>
          </w:tcPr>
          <w:p w14:paraId="5CD5F53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0.862 </w:t>
            </w:r>
          </w:p>
        </w:tc>
        <w:tc>
          <w:tcPr>
            <w:tcW w:w="487" w:type="pct"/>
            <w:tcBorders>
              <w:top w:val="nil"/>
              <w:left w:val="nil"/>
              <w:bottom w:val="single" w:color="auto" w:sz="12" w:space="0"/>
              <w:right w:val="nil"/>
            </w:tcBorders>
            <w:vAlign w:val="bottom"/>
          </w:tcPr>
          <w:p w14:paraId="172D7B8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0.542 </w:t>
            </w:r>
          </w:p>
        </w:tc>
        <w:tc>
          <w:tcPr>
            <w:tcW w:w="487" w:type="pct"/>
            <w:tcBorders>
              <w:top w:val="nil"/>
              <w:left w:val="nil"/>
              <w:bottom w:val="single" w:color="auto" w:sz="12" w:space="0"/>
              <w:right w:val="nil"/>
            </w:tcBorders>
            <w:vAlign w:val="bottom"/>
          </w:tcPr>
          <w:p w14:paraId="46E7B7A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0.773 </w:t>
            </w:r>
          </w:p>
        </w:tc>
        <w:tc>
          <w:tcPr>
            <w:tcW w:w="482" w:type="pct"/>
            <w:tcBorders>
              <w:top w:val="nil"/>
              <w:left w:val="nil"/>
              <w:bottom w:val="single" w:color="auto" w:sz="12" w:space="0"/>
              <w:right w:val="nil"/>
            </w:tcBorders>
            <w:vAlign w:val="bottom"/>
          </w:tcPr>
          <w:p w14:paraId="427CD5C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0.904 </w:t>
            </w:r>
          </w:p>
        </w:tc>
        <w:tc>
          <w:tcPr>
            <w:tcW w:w="482" w:type="pct"/>
            <w:tcBorders>
              <w:top w:val="nil"/>
              <w:left w:val="nil"/>
              <w:bottom w:val="single" w:color="auto" w:sz="12" w:space="0"/>
              <w:right w:val="nil"/>
            </w:tcBorders>
            <w:vAlign w:val="bottom"/>
          </w:tcPr>
          <w:p w14:paraId="4A2162B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0.699 </w:t>
            </w:r>
          </w:p>
        </w:tc>
        <w:tc>
          <w:tcPr>
            <w:tcW w:w="483" w:type="pct"/>
            <w:tcBorders>
              <w:top w:val="nil"/>
              <w:left w:val="nil"/>
              <w:bottom w:val="single" w:color="auto" w:sz="12" w:space="0"/>
              <w:right w:val="nil"/>
            </w:tcBorders>
            <w:vAlign w:val="bottom"/>
          </w:tcPr>
          <w:p w14:paraId="7DD6091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0.819 </w:t>
            </w:r>
          </w:p>
        </w:tc>
        <w:tc>
          <w:tcPr>
            <w:tcW w:w="434" w:type="pct"/>
            <w:tcBorders>
              <w:top w:val="nil"/>
              <w:left w:val="nil"/>
              <w:bottom w:val="single" w:color="auto" w:sz="12" w:space="0"/>
              <w:right w:val="nil"/>
            </w:tcBorders>
            <w:vAlign w:val="bottom"/>
          </w:tcPr>
          <w:p w14:paraId="17285B3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0.896 </w:t>
            </w:r>
          </w:p>
        </w:tc>
        <w:tc>
          <w:tcPr>
            <w:tcW w:w="434" w:type="pct"/>
            <w:tcBorders>
              <w:top w:val="nil"/>
              <w:left w:val="nil"/>
              <w:bottom w:val="single" w:color="auto" w:sz="12" w:space="0"/>
              <w:right w:val="nil"/>
            </w:tcBorders>
            <w:vAlign w:val="bottom"/>
          </w:tcPr>
          <w:p w14:paraId="023FA04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0.733 </w:t>
            </w:r>
          </w:p>
        </w:tc>
        <w:tc>
          <w:tcPr>
            <w:tcW w:w="431" w:type="pct"/>
            <w:tcBorders>
              <w:top w:val="nil"/>
              <w:left w:val="nil"/>
              <w:bottom w:val="single" w:color="auto" w:sz="12" w:space="0"/>
              <w:right w:val="nil"/>
            </w:tcBorders>
            <w:vAlign w:val="bottom"/>
          </w:tcPr>
          <w:p w14:paraId="5DF3803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0.750 </w:t>
            </w:r>
          </w:p>
        </w:tc>
      </w:tr>
    </w:tbl>
    <w:p w14:paraId="3375788A">
      <w:pPr>
        <w:pStyle w:val="7"/>
        <w:ind w:firstLine="420"/>
      </w:pPr>
      <w:bookmarkStart w:id="42" w:name="_Hlk208251465"/>
      <w:r>
        <w:rPr>
          <w:rFonts w:hint="eastAsia"/>
        </w:rPr>
        <w:t>表</w:t>
      </w:r>
      <w:r>
        <w:t xml:space="preserve"> </w:t>
      </w:r>
      <w:r>
        <w:rPr>
          <w:rFonts w:hint="eastAsia"/>
        </w:rPr>
        <w:t>4为不同</w:t>
      </w:r>
      <w:r>
        <w:rPr>
          <w:i/>
          <w:iCs/>
        </w:rPr>
        <w:t>GSEI</w:t>
      </w:r>
      <w:r>
        <w:rPr>
          <w:rFonts w:hint="eastAsia"/>
        </w:rPr>
        <w:t>等级下最佳产品各指标最小值，当</w:t>
      </w:r>
      <w:r>
        <w:rPr>
          <w:i/>
          <w:iCs/>
        </w:rPr>
        <w:t>GSEI</w:t>
      </w:r>
      <w:r>
        <w:rPr>
          <w:rFonts w:hint="eastAsia"/>
        </w:rPr>
        <w:t>大于</w:t>
      </w:r>
      <w:r>
        <w:t>0.</w:t>
      </w:r>
      <w:r>
        <w:rPr>
          <w:rFonts w:hint="eastAsia"/>
        </w:rPr>
        <w:t>8时，最佳</w:t>
      </w:r>
      <w:r>
        <w:t>GWSA</w:t>
      </w:r>
      <w:r>
        <w:rPr>
          <w:rFonts w:hint="eastAsia"/>
        </w:rPr>
        <w:t>产品</w:t>
      </w:r>
      <w:r>
        <w:rPr>
          <w:i/>
          <w:iCs/>
        </w:rPr>
        <w:t>CC</w:t>
      </w:r>
      <w:r>
        <w:rPr>
          <w:rFonts w:hint="eastAsia"/>
          <w:i/>
          <w:iCs/>
        </w:rPr>
        <w:t>、</w:t>
      </w:r>
      <w:r>
        <w:rPr>
          <w:i/>
          <w:iCs/>
        </w:rPr>
        <w:t>PCV</w:t>
      </w:r>
      <w:r>
        <w:rPr>
          <w:rFonts w:hint="eastAsia"/>
          <w:i/>
          <w:iCs/>
        </w:rPr>
        <w:t>、</w:t>
      </w:r>
      <w:r>
        <w:rPr>
          <w:i/>
          <w:iCs/>
        </w:rPr>
        <w:t>ACV</w:t>
      </w:r>
      <w:r>
        <w:rPr>
          <w:rFonts w:hint="eastAsia"/>
        </w:rPr>
        <w:t>最小值都大于阈值，说明</w:t>
      </w:r>
      <w:r>
        <w:rPr>
          <w:i/>
          <w:iCs/>
        </w:rPr>
        <w:t>GSEI</w:t>
      </w:r>
      <w:r>
        <w:rPr>
          <w:rFonts w:hint="eastAsia"/>
        </w:rPr>
        <w:t>与单项指标之间存在强关联性，且此时</w:t>
      </w:r>
      <w:r>
        <w:rPr>
          <w:i/>
          <w:iCs/>
        </w:rPr>
        <w:t>GSEI</w:t>
      </w:r>
      <w:r>
        <w:rPr>
          <w:rFonts w:hint="eastAsia"/>
        </w:rPr>
        <w:t>作为综合指标，高度可靠地指示各细分质量参数的达标状态。当</w:t>
      </w:r>
      <w:r>
        <w:rPr>
          <w:i/>
          <w:iCs/>
        </w:rPr>
        <w:t>GSEI</w:t>
      </w:r>
      <w:r>
        <w:rPr>
          <w:rFonts w:hint="eastAsia"/>
        </w:rPr>
        <w:t>大于</w:t>
      </w:r>
      <w:r>
        <w:t>0.</w:t>
      </w:r>
      <w:r>
        <w:rPr>
          <w:rFonts w:hint="eastAsia"/>
        </w:rPr>
        <w:t>8时无需检查</w:t>
      </w:r>
      <w:r>
        <w:rPr>
          <w:i/>
          <w:iCs/>
        </w:rPr>
        <w:t>CC</w:t>
      </w:r>
      <w:r>
        <w:rPr>
          <w:rFonts w:hint="eastAsia"/>
          <w:i/>
          <w:iCs/>
        </w:rPr>
        <w:t>、</w:t>
      </w:r>
      <w:r>
        <w:rPr>
          <w:i/>
          <w:iCs/>
        </w:rPr>
        <w:t>PCV</w:t>
      </w:r>
      <w:r>
        <w:rPr>
          <w:rFonts w:hint="eastAsia"/>
        </w:rPr>
        <w:t>和</w:t>
      </w:r>
      <w:r>
        <w:rPr>
          <w:i/>
          <w:iCs/>
        </w:rPr>
        <w:t>ACV</w:t>
      </w:r>
      <w:r>
        <w:rPr>
          <w:rFonts w:hint="eastAsia"/>
        </w:rPr>
        <w:t>指数结果，可直接认定产品具有高度适用性，可用于地下水储量年际变化与年内变化的研究。</w:t>
      </w:r>
    </w:p>
    <w:p w14:paraId="3C9E03B9">
      <w:pPr>
        <w:keepNext/>
        <w:keepLines/>
        <w:ind w:firstLine="0" w:firstLineChars="0"/>
        <w:jc w:val="center"/>
        <w:rPr>
          <w:rFonts w:eastAsia="黑体" w:cs="Times New Roman"/>
          <w:sz w:val="18"/>
          <w:szCs w:val="18"/>
        </w:rPr>
      </w:pPr>
      <w:bookmarkStart w:id="43" w:name="_Ref192251349"/>
      <w:r>
        <w:rPr>
          <w:rFonts w:hint="eastAsia" w:eastAsia="黑体" w:cs="Times New Roman"/>
          <w:sz w:val="18"/>
          <w:szCs w:val="18"/>
        </w:rPr>
        <w:t>表</w:t>
      </w:r>
      <w:r>
        <w:rPr>
          <w:rFonts w:eastAsia="黑体" w:cs="Times New Roman"/>
          <w:sz w:val="18"/>
          <w:szCs w:val="18"/>
        </w:rPr>
        <w:t xml:space="preserve"> </w:t>
      </w:r>
      <w:bookmarkEnd w:id="43"/>
      <w:r>
        <w:rPr>
          <w:rFonts w:hint="eastAsia" w:eastAsia="黑体" w:cs="Times New Roman"/>
          <w:sz w:val="18"/>
          <w:szCs w:val="18"/>
        </w:rPr>
        <w:t>4</w:t>
      </w:r>
      <w:r>
        <w:rPr>
          <w:rFonts w:eastAsia="黑体" w:cs="Times New Roman"/>
          <w:sz w:val="18"/>
          <w:szCs w:val="18"/>
        </w:rPr>
        <w:t xml:space="preserve"> </w:t>
      </w:r>
      <w:r>
        <w:rPr>
          <w:rFonts w:hint="eastAsia" w:eastAsia="黑体" w:cs="Times New Roman"/>
          <w:sz w:val="18"/>
          <w:szCs w:val="18"/>
        </w:rPr>
        <w:t>各</w:t>
      </w:r>
      <w:r>
        <w:rPr>
          <w:rFonts w:eastAsia="黑体" w:cs="Times New Roman"/>
          <w:i/>
          <w:iCs/>
          <w:sz w:val="18"/>
          <w:szCs w:val="18"/>
        </w:rPr>
        <w:t>GSEI</w:t>
      </w:r>
      <w:r>
        <w:rPr>
          <w:rFonts w:hint="eastAsia" w:eastAsia="黑体" w:cs="Times New Roman"/>
          <w:sz w:val="18"/>
          <w:szCs w:val="18"/>
        </w:rPr>
        <w:t>等级对应的最佳</w:t>
      </w:r>
      <w:r>
        <w:rPr>
          <w:rFonts w:eastAsia="黑体" w:cs="Times New Roman"/>
          <w:sz w:val="18"/>
          <w:szCs w:val="18"/>
        </w:rPr>
        <w:t>GWSA</w:t>
      </w:r>
      <w:r>
        <w:rPr>
          <w:rFonts w:hint="eastAsia" w:eastAsia="黑体" w:cs="Times New Roman"/>
          <w:sz w:val="18"/>
          <w:szCs w:val="18"/>
        </w:rPr>
        <w:t>产品指标最小值</w:t>
      </w:r>
    </w:p>
    <w:p w14:paraId="1501B5E3">
      <w:pPr>
        <w:keepNext/>
        <w:keepLines/>
        <w:ind w:firstLine="0" w:firstLineChars="0"/>
        <w:jc w:val="center"/>
        <w:rPr>
          <w:rFonts w:eastAsia="黑体" w:cs="Times New Roman"/>
          <w:sz w:val="18"/>
          <w:szCs w:val="18"/>
        </w:rPr>
      </w:pPr>
      <w:r>
        <w:rPr>
          <w:rFonts w:eastAsia="黑体" w:cs="Times New Roman"/>
          <w:sz w:val="18"/>
          <w:szCs w:val="18"/>
        </w:rPr>
        <w:t>Table</w:t>
      </w:r>
      <w:r>
        <w:rPr>
          <w:rFonts w:hint="eastAsia" w:eastAsia="黑体" w:cs="Times New Roman"/>
          <w:sz w:val="18"/>
          <w:szCs w:val="18"/>
        </w:rPr>
        <w:t xml:space="preserve"> 4 </w:t>
      </w:r>
      <w:r>
        <w:rPr>
          <w:rFonts w:eastAsia="黑体" w:cs="Times New Roman"/>
          <w:sz w:val="18"/>
          <w:szCs w:val="18"/>
        </w:rPr>
        <w:t xml:space="preserve">Minimum </w:t>
      </w:r>
      <w:r>
        <w:rPr>
          <w:rFonts w:hint="eastAsia" w:eastAsia="黑体" w:cs="Times New Roman"/>
          <w:sz w:val="18"/>
          <w:szCs w:val="18"/>
        </w:rPr>
        <w:t xml:space="preserve">indicator </w:t>
      </w:r>
      <w:r>
        <w:rPr>
          <w:rFonts w:eastAsia="黑体" w:cs="Times New Roman"/>
          <w:sz w:val="18"/>
          <w:szCs w:val="18"/>
        </w:rPr>
        <w:t>values of optimal GWSA product</w:t>
      </w:r>
      <w:r>
        <w:rPr>
          <w:rFonts w:hint="eastAsia" w:eastAsia="黑体" w:cs="Times New Roman"/>
          <w:sz w:val="18"/>
          <w:szCs w:val="18"/>
        </w:rPr>
        <w:t>s</w:t>
      </w:r>
      <w:r>
        <w:rPr>
          <w:rFonts w:eastAsia="黑体" w:cs="Times New Roman"/>
          <w:sz w:val="18"/>
          <w:szCs w:val="18"/>
        </w:rPr>
        <w:t xml:space="preserve"> corresponding to </w:t>
      </w:r>
      <w:r>
        <w:rPr>
          <w:rFonts w:hint="eastAsia" w:eastAsia="黑体" w:cs="Times New Roman"/>
          <w:sz w:val="18"/>
          <w:szCs w:val="18"/>
        </w:rPr>
        <w:t>different</w:t>
      </w:r>
      <w:r>
        <w:rPr>
          <w:rFonts w:eastAsia="黑体" w:cs="Times New Roman"/>
          <w:sz w:val="18"/>
          <w:szCs w:val="18"/>
        </w:rPr>
        <w:t xml:space="preserve"> </w:t>
      </w:r>
      <w:r>
        <w:rPr>
          <w:rFonts w:eastAsia="黑体" w:cs="Times New Roman"/>
          <w:i/>
          <w:iCs/>
          <w:sz w:val="18"/>
          <w:szCs w:val="18"/>
        </w:rPr>
        <w:t>GSEI</w:t>
      </w:r>
      <w:r>
        <w:rPr>
          <w:rFonts w:eastAsia="黑体" w:cs="Times New Roman"/>
          <w:sz w:val="18"/>
          <w:szCs w:val="18"/>
        </w:rPr>
        <w:t xml:space="preserve"> level</w:t>
      </w:r>
      <w:r>
        <w:rPr>
          <w:rFonts w:hint="eastAsia" w:eastAsia="黑体" w:cs="Times New Roman"/>
          <w:sz w:val="18"/>
          <w:szCs w:val="18"/>
        </w:rPr>
        <w:t>s</w:t>
      </w:r>
    </w:p>
    <w:tbl>
      <w:tblPr>
        <w:tblStyle w:val="14"/>
        <w:tblW w:w="5000" w:type="pct"/>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0"/>
        <w:gridCol w:w="1814"/>
        <w:gridCol w:w="1814"/>
        <w:gridCol w:w="1814"/>
      </w:tblGrid>
      <w:tr w14:paraId="4652E7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single" w:color="auto" w:sz="12" w:space="0"/>
              <w:left w:val="nil"/>
              <w:bottom w:val="single" w:color="auto" w:sz="12" w:space="0"/>
              <w:right w:val="nil"/>
            </w:tcBorders>
            <w:vAlign w:val="center"/>
          </w:tcPr>
          <w:p w14:paraId="7DAB8B98">
            <w:pPr>
              <w:keepNext/>
              <w:keepLines/>
              <w:autoSpaceDE w:val="0"/>
              <w:autoSpaceDN w:val="0"/>
              <w:adjustRightInd w:val="0"/>
              <w:ind w:firstLine="0" w:firstLineChars="0"/>
              <w:jc w:val="center"/>
              <w:rPr>
                <w:rFonts w:cs="Arial"/>
                <w:i/>
                <w:iCs/>
                <w:kern w:val="0"/>
                <w:sz w:val="15"/>
                <w:szCs w:val="20"/>
                <w:lang w:val="zh-CN"/>
              </w:rPr>
            </w:pPr>
            <w:r>
              <w:rPr>
                <w:rFonts w:cs="Arial"/>
                <w:i/>
                <w:iCs/>
                <w:kern w:val="0"/>
                <w:sz w:val="15"/>
                <w:szCs w:val="20"/>
                <w:lang w:val="zh-CN"/>
              </w:rPr>
              <w:t>GSEI</w:t>
            </w:r>
          </w:p>
        </w:tc>
        <w:tc>
          <w:tcPr>
            <w:tcW w:w="1064" w:type="pct"/>
            <w:tcBorders>
              <w:top w:val="single" w:color="auto" w:sz="12" w:space="0"/>
              <w:left w:val="nil"/>
              <w:bottom w:val="single" w:color="auto" w:sz="12" w:space="0"/>
              <w:right w:val="nil"/>
            </w:tcBorders>
            <w:vAlign w:val="center"/>
          </w:tcPr>
          <w:p w14:paraId="39174705">
            <w:pPr>
              <w:keepNext/>
              <w:keepLines/>
              <w:autoSpaceDE w:val="0"/>
              <w:autoSpaceDN w:val="0"/>
              <w:adjustRightInd w:val="0"/>
              <w:ind w:firstLine="0" w:firstLineChars="0"/>
              <w:jc w:val="center"/>
              <w:rPr>
                <w:rFonts w:cs="Arial"/>
                <w:i/>
                <w:iCs/>
                <w:kern w:val="0"/>
                <w:sz w:val="15"/>
                <w:szCs w:val="20"/>
                <w:lang w:val="zh-CN"/>
              </w:rPr>
            </w:pPr>
            <w:r>
              <w:rPr>
                <w:rFonts w:cs="Arial"/>
                <w:i/>
                <w:iCs/>
                <w:kern w:val="0"/>
                <w:sz w:val="15"/>
                <w:szCs w:val="20"/>
                <w:lang w:val="zh-CN"/>
              </w:rPr>
              <w:t>CC</w:t>
            </w:r>
          </w:p>
        </w:tc>
        <w:tc>
          <w:tcPr>
            <w:tcW w:w="1064" w:type="pct"/>
            <w:tcBorders>
              <w:top w:val="single" w:color="auto" w:sz="12" w:space="0"/>
              <w:left w:val="nil"/>
              <w:bottom w:val="single" w:color="auto" w:sz="12" w:space="0"/>
              <w:right w:val="nil"/>
            </w:tcBorders>
            <w:vAlign w:val="center"/>
          </w:tcPr>
          <w:p w14:paraId="4D0C6DF2">
            <w:pPr>
              <w:keepNext/>
              <w:keepLines/>
              <w:autoSpaceDE w:val="0"/>
              <w:autoSpaceDN w:val="0"/>
              <w:adjustRightInd w:val="0"/>
              <w:ind w:firstLine="0" w:firstLineChars="0"/>
              <w:jc w:val="center"/>
              <w:rPr>
                <w:rFonts w:cs="Arial"/>
                <w:i/>
                <w:iCs/>
                <w:kern w:val="0"/>
                <w:sz w:val="15"/>
                <w:szCs w:val="20"/>
                <w:lang w:val="zh-CN"/>
              </w:rPr>
            </w:pPr>
            <w:r>
              <w:rPr>
                <w:rFonts w:cs="Arial"/>
                <w:i/>
                <w:iCs/>
                <w:kern w:val="0"/>
                <w:sz w:val="15"/>
                <w:szCs w:val="20"/>
                <w:lang w:val="zh-CN"/>
              </w:rPr>
              <w:t>PCV</w:t>
            </w:r>
          </w:p>
        </w:tc>
        <w:tc>
          <w:tcPr>
            <w:tcW w:w="1064" w:type="pct"/>
            <w:tcBorders>
              <w:top w:val="single" w:color="auto" w:sz="12" w:space="0"/>
              <w:left w:val="nil"/>
              <w:bottom w:val="single" w:color="auto" w:sz="12" w:space="0"/>
              <w:right w:val="nil"/>
            </w:tcBorders>
            <w:vAlign w:val="center"/>
          </w:tcPr>
          <w:p w14:paraId="70E2C2AA">
            <w:pPr>
              <w:keepNext/>
              <w:keepLines/>
              <w:autoSpaceDE w:val="0"/>
              <w:autoSpaceDN w:val="0"/>
              <w:adjustRightInd w:val="0"/>
              <w:ind w:firstLine="0" w:firstLineChars="0"/>
              <w:jc w:val="center"/>
              <w:rPr>
                <w:rFonts w:cs="Arial"/>
                <w:i/>
                <w:iCs/>
                <w:kern w:val="0"/>
                <w:sz w:val="15"/>
                <w:szCs w:val="20"/>
                <w:lang w:val="zh-CN"/>
              </w:rPr>
            </w:pPr>
            <w:r>
              <w:rPr>
                <w:rFonts w:cs="Arial"/>
                <w:i/>
                <w:iCs/>
                <w:kern w:val="0"/>
                <w:sz w:val="15"/>
                <w:szCs w:val="20"/>
                <w:lang w:val="zh-CN"/>
              </w:rPr>
              <w:t>ACV</w:t>
            </w:r>
          </w:p>
        </w:tc>
      </w:tr>
      <w:tr w14:paraId="1D3CE10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single" w:color="auto" w:sz="12" w:space="0"/>
              <w:left w:val="nil"/>
              <w:bottom w:val="nil"/>
              <w:right w:val="nil"/>
            </w:tcBorders>
            <w:vAlign w:val="center"/>
          </w:tcPr>
          <w:p w14:paraId="757D4C1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w:t>
            </w:r>
            <w:r>
              <w:rPr>
                <w:rFonts w:hint="eastAsia" w:cs="Arial"/>
                <w:kern w:val="0"/>
                <w:sz w:val="15"/>
                <w:szCs w:val="20"/>
                <w:lang w:val="zh-CN"/>
              </w:rPr>
              <w:t>~</w:t>
            </w:r>
            <w:r>
              <w:rPr>
                <w:rFonts w:cs="Arial"/>
                <w:kern w:val="0"/>
                <w:sz w:val="15"/>
                <w:szCs w:val="20"/>
                <w:lang w:val="zh-CN"/>
              </w:rPr>
              <w:t>0.1</w:t>
            </w:r>
            <w:r>
              <w:rPr>
                <w:rFonts w:hint="eastAsia" w:cs="Arial"/>
                <w:kern w:val="0"/>
                <w:sz w:val="15"/>
                <w:szCs w:val="20"/>
                <w:lang w:val="zh-CN"/>
              </w:rPr>
              <w:t>）</w:t>
            </w:r>
          </w:p>
        </w:tc>
        <w:tc>
          <w:tcPr>
            <w:tcW w:w="1064" w:type="pct"/>
            <w:tcBorders>
              <w:top w:val="single" w:color="auto" w:sz="12" w:space="0"/>
              <w:left w:val="nil"/>
              <w:bottom w:val="nil"/>
              <w:right w:val="nil"/>
            </w:tcBorders>
          </w:tcPr>
          <w:p w14:paraId="62DD457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1064" w:type="pct"/>
            <w:tcBorders>
              <w:top w:val="single" w:color="auto" w:sz="12" w:space="0"/>
              <w:left w:val="nil"/>
              <w:bottom w:val="nil"/>
              <w:right w:val="nil"/>
            </w:tcBorders>
          </w:tcPr>
          <w:p w14:paraId="5DBF56D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c>
          <w:tcPr>
            <w:tcW w:w="1064" w:type="pct"/>
            <w:tcBorders>
              <w:top w:val="single" w:color="auto" w:sz="12" w:space="0"/>
              <w:left w:val="nil"/>
              <w:bottom w:val="nil"/>
              <w:right w:val="nil"/>
            </w:tcBorders>
          </w:tcPr>
          <w:p w14:paraId="1072C00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p>
        </w:tc>
      </w:tr>
      <w:tr w14:paraId="420E8E2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439163E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0.1</w:t>
            </w:r>
            <w:r>
              <w:rPr>
                <w:rFonts w:hint="eastAsia" w:cs="Arial"/>
                <w:kern w:val="0"/>
                <w:sz w:val="15"/>
                <w:szCs w:val="20"/>
                <w:lang w:val="zh-CN"/>
              </w:rPr>
              <w:t>~</w:t>
            </w:r>
            <w:r>
              <w:rPr>
                <w:rFonts w:cs="Arial"/>
                <w:kern w:val="0"/>
                <w:sz w:val="15"/>
                <w:szCs w:val="20"/>
                <w:lang w:val="zh-CN"/>
              </w:rPr>
              <w:t>0.2</w:t>
            </w:r>
            <w:r>
              <w:rPr>
                <w:rFonts w:hint="eastAsia" w:cs="Arial"/>
                <w:kern w:val="0"/>
                <w:sz w:val="15"/>
                <w:szCs w:val="20"/>
                <w:lang w:val="zh-CN"/>
              </w:rPr>
              <w:t>）</w:t>
            </w:r>
          </w:p>
        </w:tc>
        <w:tc>
          <w:tcPr>
            <w:tcW w:w="1064" w:type="pct"/>
            <w:tcBorders>
              <w:top w:val="nil"/>
              <w:left w:val="nil"/>
              <w:bottom w:val="nil"/>
              <w:right w:val="nil"/>
            </w:tcBorders>
            <w:vAlign w:val="bottom"/>
          </w:tcPr>
          <w:p w14:paraId="3BB305D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0.523 </w:t>
            </w:r>
          </w:p>
        </w:tc>
        <w:tc>
          <w:tcPr>
            <w:tcW w:w="1064" w:type="pct"/>
            <w:tcBorders>
              <w:top w:val="nil"/>
              <w:left w:val="nil"/>
              <w:bottom w:val="nil"/>
              <w:right w:val="nil"/>
            </w:tcBorders>
            <w:vAlign w:val="bottom"/>
          </w:tcPr>
          <w:p w14:paraId="5DF2D56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0.212 </w:t>
            </w:r>
          </w:p>
        </w:tc>
        <w:tc>
          <w:tcPr>
            <w:tcW w:w="1064" w:type="pct"/>
            <w:tcBorders>
              <w:top w:val="nil"/>
              <w:left w:val="nil"/>
              <w:bottom w:val="nil"/>
              <w:right w:val="nil"/>
            </w:tcBorders>
            <w:vAlign w:val="bottom"/>
          </w:tcPr>
          <w:p w14:paraId="47F2A0C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0.329 </w:t>
            </w:r>
          </w:p>
        </w:tc>
      </w:tr>
      <w:tr w14:paraId="61B9C4D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4370D0F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0.2</w:t>
            </w:r>
            <w:r>
              <w:rPr>
                <w:rFonts w:hint="eastAsia" w:cs="Arial"/>
                <w:kern w:val="0"/>
                <w:sz w:val="15"/>
                <w:szCs w:val="20"/>
                <w:lang w:val="zh-CN"/>
              </w:rPr>
              <w:t>~</w:t>
            </w:r>
            <w:r>
              <w:rPr>
                <w:rFonts w:cs="Arial"/>
                <w:kern w:val="0"/>
                <w:sz w:val="15"/>
                <w:szCs w:val="20"/>
                <w:lang w:val="zh-CN"/>
              </w:rPr>
              <w:t>0.3</w:t>
            </w:r>
            <w:r>
              <w:rPr>
                <w:rFonts w:hint="eastAsia" w:cs="Arial"/>
                <w:kern w:val="0"/>
                <w:sz w:val="15"/>
                <w:szCs w:val="20"/>
                <w:lang w:val="zh-CN"/>
              </w:rPr>
              <w:t>）</w:t>
            </w:r>
          </w:p>
        </w:tc>
        <w:tc>
          <w:tcPr>
            <w:tcW w:w="1064" w:type="pct"/>
            <w:tcBorders>
              <w:top w:val="nil"/>
              <w:left w:val="nil"/>
              <w:bottom w:val="nil"/>
              <w:right w:val="nil"/>
            </w:tcBorders>
            <w:vAlign w:val="bottom"/>
          </w:tcPr>
          <w:p w14:paraId="5A0DD9F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0.358 </w:t>
            </w:r>
          </w:p>
        </w:tc>
        <w:tc>
          <w:tcPr>
            <w:tcW w:w="1064" w:type="pct"/>
            <w:tcBorders>
              <w:top w:val="nil"/>
              <w:left w:val="nil"/>
              <w:bottom w:val="nil"/>
              <w:right w:val="nil"/>
            </w:tcBorders>
            <w:vAlign w:val="bottom"/>
          </w:tcPr>
          <w:p w14:paraId="6070B09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0.243 </w:t>
            </w:r>
          </w:p>
        </w:tc>
        <w:tc>
          <w:tcPr>
            <w:tcW w:w="1064" w:type="pct"/>
            <w:tcBorders>
              <w:top w:val="nil"/>
              <w:left w:val="nil"/>
              <w:bottom w:val="nil"/>
              <w:right w:val="nil"/>
            </w:tcBorders>
            <w:vAlign w:val="bottom"/>
          </w:tcPr>
          <w:p w14:paraId="5E32E64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0.405 </w:t>
            </w:r>
          </w:p>
        </w:tc>
      </w:tr>
      <w:tr w14:paraId="5FC8C2B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2EC1D7D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0.3</w:t>
            </w:r>
            <w:r>
              <w:rPr>
                <w:rFonts w:hint="eastAsia" w:cs="Arial"/>
                <w:kern w:val="0"/>
                <w:sz w:val="15"/>
                <w:szCs w:val="20"/>
                <w:lang w:val="zh-CN"/>
              </w:rPr>
              <w:t>~</w:t>
            </w:r>
            <w:r>
              <w:rPr>
                <w:rFonts w:cs="Arial"/>
                <w:kern w:val="0"/>
                <w:sz w:val="15"/>
                <w:szCs w:val="20"/>
                <w:lang w:val="zh-CN"/>
              </w:rPr>
              <w:t>0.4</w:t>
            </w:r>
            <w:r>
              <w:rPr>
                <w:rFonts w:hint="eastAsia" w:cs="Arial"/>
                <w:kern w:val="0"/>
                <w:sz w:val="15"/>
                <w:szCs w:val="20"/>
                <w:lang w:val="zh-CN"/>
              </w:rPr>
              <w:t>）</w:t>
            </w:r>
          </w:p>
        </w:tc>
        <w:tc>
          <w:tcPr>
            <w:tcW w:w="1064" w:type="pct"/>
            <w:tcBorders>
              <w:top w:val="nil"/>
              <w:left w:val="nil"/>
              <w:bottom w:val="nil"/>
              <w:right w:val="nil"/>
            </w:tcBorders>
            <w:vAlign w:val="bottom"/>
          </w:tcPr>
          <w:p w14:paraId="5D81CAC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0.303 </w:t>
            </w:r>
          </w:p>
        </w:tc>
        <w:tc>
          <w:tcPr>
            <w:tcW w:w="1064" w:type="pct"/>
            <w:tcBorders>
              <w:top w:val="nil"/>
              <w:left w:val="nil"/>
              <w:bottom w:val="nil"/>
              <w:right w:val="nil"/>
            </w:tcBorders>
            <w:vAlign w:val="bottom"/>
          </w:tcPr>
          <w:p w14:paraId="574D7B0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0.076 </w:t>
            </w:r>
          </w:p>
        </w:tc>
        <w:tc>
          <w:tcPr>
            <w:tcW w:w="1064" w:type="pct"/>
            <w:tcBorders>
              <w:top w:val="nil"/>
              <w:left w:val="nil"/>
              <w:bottom w:val="nil"/>
              <w:right w:val="nil"/>
            </w:tcBorders>
            <w:vAlign w:val="bottom"/>
          </w:tcPr>
          <w:p w14:paraId="5274A41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0.334 </w:t>
            </w:r>
          </w:p>
        </w:tc>
      </w:tr>
      <w:tr w14:paraId="55974D9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33E248E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0.4</w:t>
            </w:r>
            <w:r>
              <w:rPr>
                <w:rFonts w:hint="eastAsia" w:cs="Arial"/>
                <w:kern w:val="0"/>
                <w:sz w:val="15"/>
                <w:szCs w:val="20"/>
                <w:lang w:val="zh-CN"/>
              </w:rPr>
              <w:t>~</w:t>
            </w:r>
            <w:r>
              <w:rPr>
                <w:rFonts w:cs="Arial"/>
                <w:kern w:val="0"/>
                <w:sz w:val="15"/>
                <w:szCs w:val="20"/>
                <w:lang w:val="zh-CN"/>
              </w:rPr>
              <w:t>0.5</w:t>
            </w:r>
            <w:r>
              <w:rPr>
                <w:rFonts w:hint="eastAsia" w:cs="Arial"/>
                <w:kern w:val="0"/>
                <w:sz w:val="15"/>
                <w:szCs w:val="20"/>
                <w:lang w:val="zh-CN"/>
              </w:rPr>
              <w:t>）</w:t>
            </w:r>
          </w:p>
        </w:tc>
        <w:tc>
          <w:tcPr>
            <w:tcW w:w="1064" w:type="pct"/>
            <w:tcBorders>
              <w:top w:val="nil"/>
              <w:left w:val="nil"/>
              <w:bottom w:val="nil"/>
              <w:right w:val="nil"/>
            </w:tcBorders>
            <w:vAlign w:val="bottom"/>
          </w:tcPr>
          <w:p w14:paraId="0B12E99C">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0.338 </w:t>
            </w:r>
          </w:p>
        </w:tc>
        <w:tc>
          <w:tcPr>
            <w:tcW w:w="1064" w:type="pct"/>
            <w:tcBorders>
              <w:top w:val="nil"/>
              <w:left w:val="nil"/>
              <w:bottom w:val="nil"/>
              <w:right w:val="nil"/>
            </w:tcBorders>
            <w:vAlign w:val="bottom"/>
          </w:tcPr>
          <w:p w14:paraId="6F98C18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0.100 </w:t>
            </w:r>
          </w:p>
        </w:tc>
        <w:tc>
          <w:tcPr>
            <w:tcW w:w="1064" w:type="pct"/>
            <w:tcBorders>
              <w:top w:val="nil"/>
              <w:left w:val="nil"/>
              <w:bottom w:val="nil"/>
              <w:right w:val="nil"/>
            </w:tcBorders>
            <w:vAlign w:val="bottom"/>
          </w:tcPr>
          <w:p w14:paraId="5245A9F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0.321 </w:t>
            </w:r>
          </w:p>
        </w:tc>
      </w:tr>
      <w:tr w14:paraId="334244B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28895FCC">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0.5</w:t>
            </w:r>
            <w:r>
              <w:rPr>
                <w:rFonts w:hint="eastAsia" w:cs="Arial"/>
                <w:kern w:val="0"/>
                <w:sz w:val="15"/>
                <w:szCs w:val="20"/>
                <w:lang w:val="zh-CN"/>
              </w:rPr>
              <w:t>~</w:t>
            </w:r>
            <w:r>
              <w:rPr>
                <w:rFonts w:cs="Arial"/>
                <w:kern w:val="0"/>
                <w:sz w:val="15"/>
                <w:szCs w:val="20"/>
                <w:lang w:val="zh-CN"/>
              </w:rPr>
              <w:t>0.6</w:t>
            </w:r>
            <w:r>
              <w:rPr>
                <w:rFonts w:hint="eastAsia" w:cs="Arial"/>
                <w:kern w:val="0"/>
                <w:sz w:val="15"/>
                <w:szCs w:val="20"/>
                <w:lang w:val="zh-CN"/>
              </w:rPr>
              <w:t>）</w:t>
            </w:r>
          </w:p>
        </w:tc>
        <w:tc>
          <w:tcPr>
            <w:tcW w:w="1064" w:type="pct"/>
            <w:tcBorders>
              <w:top w:val="nil"/>
              <w:left w:val="nil"/>
              <w:bottom w:val="nil"/>
              <w:right w:val="nil"/>
            </w:tcBorders>
            <w:vAlign w:val="bottom"/>
          </w:tcPr>
          <w:p w14:paraId="392CCDD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0.427 </w:t>
            </w:r>
          </w:p>
        </w:tc>
        <w:tc>
          <w:tcPr>
            <w:tcW w:w="1064" w:type="pct"/>
            <w:tcBorders>
              <w:top w:val="nil"/>
              <w:left w:val="nil"/>
              <w:bottom w:val="nil"/>
              <w:right w:val="nil"/>
            </w:tcBorders>
            <w:vAlign w:val="bottom"/>
          </w:tcPr>
          <w:p w14:paraId="06E12B1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0.128 </w:t>
            </w:r>
          </w:p>
        </w:tc>
        <w:tc>
          <w:tcPr>
            <w:tcW w:w="1064" w:type="pct"/>
            <w:tcBorders>
              <w:top w:val="nil"/>
              <w:left w:val="nil"/>
              <w:bottom w:val="nil"/>
              <w:right w:val="nil"/>
            </w:tcBorders>
            <w:vAlign w:val="bottom"/>
          </w:tcPr>
          <w:p w14:paraId="073FBCF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0.422 </w:t>
            </w:r>
          </w:p>
        </w:tc>
      </w:tr>
      <w:tr w14:paraId="3C00509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10534EF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0.6</w:t>
            </w:r>
            <w:r>
              <w:rPr>
                <w:rFonts w:hint="eastAsia" w:cs="Arial"/>
                <w:kern w:val="0"/>
                <w:sz w:val="15"/>
                <w:szCs w:val="20"/>
                <w:lang w:val="zh-CN"/>
              </w:rPr>
              <w:t>~</w:t>
            </w:r>
            <w:r>
              <w:rPr>
                <w:rFonts w:cs="Arial"/>
                <w:kern w:val="0"/>
                <w:sz w:val="15"/>
                <w:szCs w:val="20"/>
                <w:lang w:val="zh-CN"/>
              </w:rPr>
              <w:t>0.7</w:t>
            </w:r>
            <w:r>
              <w:rPr>
                <w:rFonts w:hint="eastAsia" w:cs="Arial"/>
                <w:kern w:val="0"/>
                <w:sz w:val="15"/>
                <w:szCs w:val="20"/>
                <w:lang w:val="zh-CN"/>
              </w:rPr>
              <w:t>）</w:t>
            </w:r>
          </w:p>
        </w:tc>
        <w:tc>
          <w:tcPr>
            <w:tcW w:w="1064" w:type="pct"/>
            <w:tcBorders>
              <w:top w:val="nil"/>
              <w:left w:val="nil"/>
              <w:bottom w:val="nil"/>
              <w:right w:val="nil"/>
            </w:tcBorders>
            <w:vAlign w:val="bottom"/>
          </w:tcPr>
          <w:p w14:paraId="670A1B5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0.367 </w:t>
            </w:r>
          </w:p>
        </w:tc>
        <w:tc>
          <w:tcPr>
            <w:tcW w:w="1064" w:type="pct"/>
            <w:tcBorders>
              <w:top w:val="nil"/>
              <w:left w:val="nil"/>
              <w:bottom w:val="nil"/>
              <w:right w:val="nil"/>
            </w:tcBorders>
            <w:vAlign w:val="bottom"/>
          </w:tcPr>
          <w:p w14:paraId="09C709B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0.183 </w:t>
            </w:r>
          </w:p>
        </w:tc>
        <w:tc>
          <w:tcPr>
            <w:tcW w:w="1064" w:type="pct"/>
            <w:tcBorders>
              <w:top w:val="nil"/>
              <w:left w:val="nil"/>
              <w:bottom w:val="nil"/>
              <w:right w:val="nil"/>
            </w:tcBorders>
            <w:vAlign w:val="bottom"/>
          </w:tcPr>
          <w:p w14:paraId="33CC345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0.423 </w:t>
            </w:r>
          </w:p>
        </w:tc>
      </w:tr>
      <w:tr w14:paraId="62C439D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73213F3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0.7</w:t>
            </w:r>
            <w:r>
              <w:rPr>
                <w:rFonts w:hint="eastAsia" w:cs="Arial"/>
                <w:kern w:val="0"/>
                <w:sz w:val="15"/>
                <w:szCs w:val="20"/>
                <w:lang w:val="zh-CN"/>
              </w:rPr>
              <w:t>~</w:t>
            </w:r>
            <w:r>
              <w:rPr>
                <w:rFonts w:cs="Arial"/>
                <w:kern w:val="0"/>
                <w:sz w:val="15"/>
                <w:szCs w:val="20"/>
                <w:lang w:val="zh-CN"/>
              </w:rPr>
              <w:t>0.8</w:t>
            </w:r>
            <w:r>
              <w:rPr>
                <w:rFonts w:hint="eastAsia" w:cs="Arial"/>
                <w:kern w:val="0"/>
                <w:sz w:val="15"/>
                <w:szCs w:val="20"/>
                <w:lang w:val="zh-CN"/>
              </w:rPr>
              <w:t>）</w:t>
            </w:r>
          </w:p>
        </w:tc>
        <w:tc>
          <w:tcPr>
            <w:tcW w:w="1064" w:type="pct"/>
            <w:tcBorders>
              <w:top w:val="nil"/>
              <w:left w:val="nil"/>
              <w:bottom w:val="nil"/>
              <w:right w:val="nil"/>
            </w:tcBorders>
            <w:vAlign w:val="bottom"/>
          </w:tcPr>
          <w:p w14:paraId="5D8248C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0.412 </w:t>
            </w:r>
          </w:p>
        </w:tc>
        <w:tc>
          <w:tcPr>
            <w:tcW w:w="1064" w:type="pct"/>
            <w:tcBorders>
              <w:top w:val="nil"/>
              <w:left w:val="nil"/>
              <w:bottom w:val="nil"/>
              <w:right w:val="nil"/>
            </w:tcBorders>
            <w:vAlign w:val="bottom"/>
          </w:tcPr>
          <w:p w14:paraId="6A2F4F5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0.244 </w:t>
            </w:r>
          </w:p>
        </w:tc>
        <w:tc>
          <w:tcPr>
            <w:tcW w:w="1064" w:type="pct"/>
            <w:tcBorders>
              <w:top w:val="nil"/>
              <w:left w:val="nil"/>
              <w:bottom w:val="nil"/>
              <w:right w:val="nil"/>
            </w:tcBorders>
            <w:vAlign w:val="bottom"/>
          </w:tcPr>
          <w:p w14:paraId="3402996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0.493 </w:t>
            </w:r>
          </w:p>
        </w:tc>
      </w:tr>
      <w:tr w14:paraId="0EEE4F8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nil"/>
              <w:right w:val="nil"/>
            </w:tcBorders>
            <w:vAlign w:val="center"/>
          </w:tcPr>
          <w:p w14:paraId="1CEAFD9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0.8</w:t>
            </w:r>
            <w:r>
              <w:rPr>
                <w:rFonts w:hint="eastAsia" w:cs="Arial"/>
                <w:kern w:val="0"/>
                <w:sz w:val="15"/>
                <w:szCs w:val="20"/>
                <w:lang w:val="zh-CN"/>
              </w:rPr>
              <w:t>~</w:t>
            </w:r>
            <w:r>
              <w:rPr>
                <w:rFonts w:cs="Arial"/>
                <w:kern w:val="0"/>
                <w:sz w:val="15"/>
                <w:szCs w:val="20"/>
                <w:lang w:val="zh-CN"/>
              </w:rPr>
              <w:t>0.9</w:t>
            </w:r>
            <w:r>
              <w:rPr>
                <w:rFonts w:hint="eastAsia" w:cs="Arial"/>
                <w:kern w:val="0"/>
                <w:sz w:val="15"/>
                <w:szCs w:val="20"/>
                <w:lang w:val="zh-CN"/>
              </w:rPr>
              <w:t>）</w:t>
            </w:r>
          </w:p>
        </w:tc>
        <w:tc>
          <w:tcPr>
            <w:tcW w:w="1064" w:type="pct"/>
            <w:tcBorders>
              <w:top w:val="nil"/>
              <w:left w:val="nil"/>
              <w:bottom w:val="nil"/>
              <w:right w:val="nil"/>
            </w:tcBorders>
            <w:vAlign w:val="bottom"/>
          </w:tcPr>
          <w:p w14:paraId="7E103F1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0.739 </w:t>
            </w:r>
          </w:p>
        </w:tc>
        <w:tc>
          <w:tcPr>
            <w:tcW w:w="1064" w:type="pct"/>
            <w:tcBorders>
              <w:top w:val="nil"/>
              <w:left w:val="nil"/>
              <w:bottom w:val="nil"/>
              <w:right w:val="nil"/>
            </w:tcBorders>
            <w:vAlign w:val="bottom"/>
          </w:tcPr>
          <w:p w14:paraId="5050FAA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0.409 </w:t>
            </w:r>
          </w:p>
        </w:tc>
        <w:tc>
          <w:tcPr>
            <w:tcW w:w="1064" w:type="pct"/>
            <w:tcBorders>
              <w:top w:val="nil"/>
              <w:left w:val="nil"/>
              <w:bottom w:val="nil"/>
              <w:right w:val="nil"/>
            </w:tcBorders>
            <w:vAlign w:val="bottom"/>
          </w:tcPr>
          <w:p w14:paraId="4DAD5DA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0.570 </w:t>
            </w:r>
          </w:p>
        </w:tc>
      </w:tr>
      <w:tr w14:paraId="0569579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807" w:type="pct"/>
            <w:tcBorders>
              <w:top w:val="nil"/>
              <w:left w:val="nil"/>
              <w:bottom w:val="single" w:color="auto" w:sz="12" w:space="0"/>
              <w:right w:val="nil"/>
            </w:tcBorders>
            <w:vAlign w:val="center"/>
          </w:tcPr>
          <w:p w14:paraId="676D6D3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w:t>
            </w:r>
            <w:r>
              <w:rPr>
                <w:rFonts w:cs="Arial"/>
                <w:kern w:val="0"/>
                <w:sz w:val="15"/>
                <w:szCs w:val="20"/>
                <w:lang w:val="zh-CN"/>
              </w:rPr>
              <w:t>0.9</w:t>
            </w:r>
            <w:r>
              <w:rPr>
                <w:rFonts w:hint="eastAsia" w:cs="Arial"/>
                <w:kern w:val="0"/>
                <w:sz w:val="15"/>
                <w:szCs w:val="20"/>
                <w:lang w:val="zh-CN"/>
              </w:rPr>
              <w:t>~</w:t>
            </w:r>
            <w:r>
              <w:rPr>
                <w:rFonts w:cs="Arial"/>
                <w:kern w:val="0"/>
                <w:sz w:val="15"/>
                <w:szCs w:val="20"/>
                <w:lang w:val="zh-CN"/>
              </w:rPr>
              <w:t>1</w:t>
            </w:r>
            <w:r>
              <w:rPr>
                <w:rFonts w:hint="eastAsia" w:cs="Arial"/>
                <w:kern w:val="0"/>
                <w:sz w:val="15"/>
                <w:szCs w:val="20"/>
                <w:lang w:val="zh-CN"/>
              </w:rPr>
              <w:t>）</w:t>
            </w:r>
          </w:p>
        </w:tc>
        <w:tc>
          <w:tcPr>
            <w:tcW w:w="1064" w:type="pct"/>
            <w:tcBorders>
              <w:top w:val="nil"/>
              <w:left w:val="nil"/>
              <w:bottom w:val="single" w:color="auto" w:sz="12" w:space="0"/>
              <w:right w:val="nil"/>
            </w:tcBorders>
            <w:vAlign w:val="bottom"/>
          </w:tcPr>
          <w:p w14:paraId="6C03D74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0.769 </w:t>
            </w:r>
          </w:p>
        </w:tc>
        <w:tc>
          <w:tcPr>
            <w:tcW w:w="1064" w:type="pct"/>
            <w:tcBorders>
              <w:top w:val="nil"/>
              <w:left w:val="nil"/>
              <w:bottom w:val="single" w:color="auto" w:sz="12" w:space="0"/>
              <w:right w:val="nil"/>
            </w:tcBorders>
            <w:vAlign w:val="bottom"/>
          </w:tcPr>
          <w:p w14:paraId="6A65D79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0.538 </w:t>
            </w:r>
          </w:p>
        </w:tc>
        <w:tc>
          <w:tcPr>
            <w:tcW w:w="1064" w:type="pct"/>
            <w:tcBorders>
              <w:top w:val="nil"/>
              <w:left w:val="nil"/>
              <w:bottom w:val="single" w:color="auto" w:sz="12" w:space="0"/>
              <w:right w:val="nil"/>
            </w:tcBorders>
            <w:vAlign w:val="bottom"/>
          </w:tcPr>
          <w:p w14:paraId="600D9DB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0.682 </w:t>
            </w:r>
          </w:p>
        </w:tc>
      </w:tr>
    </w:tbl>
    <w:p w14:paraId="35522654">
      <w:pPr>
        <w:pStyle w:val="3"/>
        <w:rPr>
          <w:b/>
          <w:lang w:val="zh-CN"/>
        </w:rPr>
      </w:pPr>
      <w:r>
        <w:rPr>
          <w:rFonts w:hint="eastAsia"/>
          <w:lang w:val="zh-CN"/>
        </w:rPr>
        <w:t>3.2 GWSA产品在一级流域的适用性</w:t>
      </w:r>
      <w:bookmarkEnd w:id="42"/>
      <w:r>
        <w:rPr>
          <w:rFonts w:hint="eastAsia"/>
          <w:b/>
          <w:lang w:val="zh-CN"/>
        </w:rPr>
        <w:t xml:space="preserve">  </w:t>
      </w:r>
      <w:bookmarkStart w:id="44" w:name="_Hlk203658026"/>
    </w:p>
    <w:p w14:paraId="2B9542A1">
      <w:pPr>
        <w:ind w:firstLine="420"/>
      </w:pPr>
      <w:r>
        <w:rPr>
          <w:rFonts w:hint="eastAsia"/>
        </w:rPr>
        <w:t>表5为三种GWSA产品在各一级流域的</w:t>
      </w:r>
      <w:r>
        <w:rPr>
          <w:rFonts w:hint="eastAsia"/>
          <w:i/>
          <w:iCs/>
        </w:rPr>
        <w:t>GSEI</w:t>
      </w:r>
      <w:r>
        <w:rPr>
          <w:rFonts w:hint="eastAsia"/>
        </w:rPr>
        <w:t>指数中位数，由于内陆河流域与西南诸河流域地下水监测井较少，并未统计三种GWSA产品在这两个流域的适用性。</w:t>
      </w:r>
    </w:p>
    <w:bookmarkEnd w:id="44"/>
    <w:p w14:paraId="1829D35D">
      <w:pPr>
        <w:ind w:firstLine="420"/>
      </w:pPr>
      <w:r>
        <w:rPr>
          <w:rFonts w:hint="eastAsia"/>
        </w:rPr>
        <w:t>三种GWSA产品在各一级流域适用性不同，</w:t>
      </w:r>
      <w:bookmarkStart w:id="45" w:name="_Hlk219478276"/>
      <w:r>
        <w:rPr>
          <w:rFonts w:hint="eastAsia"/>
        </w:rPr>
        <w:t>GWSA-JPLM+CLSM在海河流域、辽河流域、淮河流域、黄河流域与珠江流域最为适用，需要注意的是，虽然该产品在黄河流域与珠江流域具有适用性，但适用性指数略低；GWSA-JPLM+VIC在松嫩流域适用性最佳，这与CHEN等</w:t>
      </w:r>
      <w:r>
        <w:rPr>
          <w:rFonts w:cs="Times New Roman"/>
          <w:kern w:val="0"/>
          <w:vertAlign w:val="superscript"/>
        </w:rPr>
        <w:t>[6]</w:t>
      </w:r>
      <w:r>
        <w:rPr>
          <w:rFonts w:hint="eastAsia"/>
        </w:rPr>
        <w:t>的研究结果一致，该产品在海河流域、辽河流域与淮河流域也具有适用性；</w:t>
      </w:r>
      <w:r>
        <w:t>GWSA-JPLM+Noah</w:t>
      </w:r>
      <w:r>
        <w:rPr>
          <w:rFonts w:hint="eastAsia"/>
        </w:rPr>
        <w:t>在长江流域与东南诸河流域最为适用，该产品在海河流域、淮河流域也具有适用性。</w:t>
      </w:r>
      <w:bookmarkEnd w:id="45"/>
    </w:p>
    <w:p w14:paraId="179E4518">
      <w:pPr>
        <w:keepNext/>
        <w:keepLines/>
        <w:ind w:firstLine="0" w:firstLineChars="0"/>
        <w:jc w:val="center"/>
        <w:rPr>
          <w:rFonts w:eastAsia="黑体" w:cs="Times New Roman"/>
          <w:sz w:val="18"/>
          <w:szCs w:val="18"/>
        </w:rPr>
      </w:pPr>
      <w:bookmarkStart w:id="46" w:name="_Ref192251174"/>
      <w:r>
        <w:rPr>
          <w:rFonts w:hint="eastAsia" w:eastAsia="黑体" w:cs="Times New Roman"/>
          <w:sz w:val="18"/>
          <w:szCs w:val="18"/>
        </w:rPr>
        <w:t xml:space="preserve">表 </w:t>
      </w:r>
      <w:bookmarkEnd w:id="46"/>
      <w:r>
        <w:rPr>
          <w:rFonts w:hint="eastAsia" w:eastAsia="黑体" w:cs="Times New Roman"/>
          <w:sz w:val="18"/>
          <w:szCs w:val="18"/>
        </w:rPr>
        <w:t xml:space="preserve">5 </w:t>
      </w:r>
      <w:r>
        <w:rPr>
          <w:rFonts w:eastAsia="黑体" w:cs="Times New Roman"/>
          <w:sz w:val="18"/>
          <w:szCs w:val="18"/>
        </w:rPr>
        <w:t>各</w:t>
      </w:r>
      <w:r>
        <w:rPr>
          <w:rFonts w:hint="eastAsia" w:eastAsia="黑体" w:cs="Times New Roman"/>
          <w:sz w:val="18"/>
          <w:szCs w:val="18"/>
        </w:rPr>
        <w:t>一级流域三种GWSA产品的</w:t>
      </w:r>
      <w:r>
        <w:rPr>
          <w:rFonts w:hint="eastAsia" w:eastAsia="黑体" w:cs="Times New Roman"/>
          <w:i/>
          <w:iCs/>
          <w:sz w:val="18"/>
          <w:szCs w:val="18"/>
        </w:rPr>
        <w:t>GSEI</w:t>
      </w:r>
      <w:r>
        <w:rPr>
          <w:rFonts w:hint="eastAsia" w:eastAsia="黑体" w:cs="Times New Roman"/>
          <w:sz w:val="18"/>
          <w:szCs w:val="18"/>
        </w:rPr>
        <w:t>中位数</w:t>
      </w:r>
    </w:p>
    <w:p w14:paraId="2DCD66F0">
      <w:pPr>
        <w:keepNext/>
        <w:keepLines/>
        <w:ind w:firstLine="0" w:firstLineChars="0"/>
        <w:jc w:val="center"/>
        <w:rPr>
          <w:rFonts w:eastAsia="黑体" w:cs="Times New Roman"/>
          <w:sz w:val="18"/>
          <w:szCs w:val="18"/>
        </w:rPr>
      </w:pPr>
      <w:r>
        <w:rPr>
          <w:rFonts w:eastAsia="黑体" w:cs="Times New Roman"/>
          <w:sz w:val="18"/>
          <w:szCs w:val="18"/>
        </w:rPr>
        <w:t xml:space="preserve">Table </w:t>
      </w:r>
      <w:r>
        <w:rPr>
          <w:rFonts w:hint="eastAsia" w:eastAsia="黑体" w:cs="Times New Roman"/>
          <w:sz w:val="18"/>
          <w:szCs w:val="18"/>
        </w:rPr>
        <w:t>5</w:t>
      </w:r>
      <w:r>
        <w:t xml:space="preserve"> </w:t>
      </w:r>
      <w:r>
        <w:rPr>
          <w:rFonts w:eastAsia="黑体" w:cs="Times New Roman"/>
          <w:sz w:val="18"/>
          <w:szCs w:val="18"/>
        </w:rPr>
        <w:t xml:space="preserve">Median </w:t>
      </w:r>
      <w:r>
        <w:rPr>
          <w:rFonts w:eastAsia="黑体" w:cs="Times New Roman"/>
          <w:i/>
          <w:iCs/>
          <w:sz w:val="18"/>
          <w:szCs w:val="18"/>
        </w:rPr>
        <w:t>GSEI</w:t>
      </w:r>
      <w:r>
        <w:rPr>
          <w:rFonts w:eastAsia="黑体" w:cs="Times New Roman"/>
          <w:sz w:val="18"/>
          <w:szCs w:val="18"/>
        </w:rPr>
        <w:t xml:space="preserve"> </w:t>
      </w:r>
      <w:r>
        <w:rPr>
          <w:rFonts w:hint="eastAsia" w:eastAsia="黑体" w:cs="Times New Roman"/>
          <w:sz w:val="18"/>
          <w:szCs w:val="18"/>
        </w:rPr>
        <w:t>values of</w:t>
      </w:r>
      <w:r>
        <w:rPr>
          <w:rFonts w:eastAsia="黑体" w:cs="Times New Roman"/>
          <w:sz w:val="18"/>
          <w:szCs w:val="18"/>
        </w:rPr>
        <w:t xml:space="preserve"> three GWSA products </w:t>
      </w:r>
      <w:r>
        <w:rPr>
          <w:rFonts w:hint="eastAsia" w:eastAsia="黑体" w:cs="Times New Roman"/>
          <w:sz w:val="18"/>
          <w:szCs w:val="18"/>
        </w:rPr>
        <w:t>for different</w:t>
      </w:r>
      <w:r>
        <w:rPr>
          <w:rFonts w:eastAsia="黑体" w:cs="Times New Roman"/>
          <w:sz w:val="18"/>
          <w:szCs w:val="18"/>
        </w:rPr>
        <w:t xml:space="preserve"> first-order river basin</w:t>
      </w:r>
      <w:r>
        <w:rPr>
          <w:rFonts w:hint="eastAsia" w:eastAsia="黑体" w:cs="Times New Roman"/>
          <w:sz w:val="18"/>
          <w:szCs w:val="18"/>
        </w:rPr>
        <w:t>s</w:t>
      </w:r>
    </w:p>
    <w:tbl>
      <w:tblPr>
        <w:tblStyle w:val="14"/>
        <w:tblW w:w="5000" w:type="pct"/>
        <w:jc w:val="center"/>
        <w:tblLayout w:type="autofit"/>
        <w:tblCellMar>
          <w:top w:w="0" w:type="dxa"/>
          <w:left w:w="108" w:type="dxa"/>
          <w:bottom w:w="0" w:type="dxa"/>
          <w:right w:w="108" w:type="dxa"/>
        </w:tblCellMar>
      </w:tblPr>
      <w:tblGrid>
        <w:gridCol w:w="1452"/>
        <w:gridCol w:w="1256"/>
        <w:gridCol w:w="1929"/>
        <w:gridCol w:w="2040"/>
        <w:gridCol w:w="1845"/>
      </w:tblGrid>
      <w:tr w14:paraId="20AA3588">
        <w:tblPrEx>
          <w:tblCellMar>
            <w:top w:w="0" w:type="dxa"/>
            <w:left w:w="108" w:type="dxa"/>
            <w:bottom w:w="0" w:type="dxa"/>
            <w:right w:w="108" w:type="dxa"/>
          </w:tblCellMar>
        </w:tblPrEx>
        <w:trPr>
          <w:jc w:val="center"/>
        </w:trPr>
        <w:tc>
          <w:tcPr>
            <w:tcW w:w="852" w:type="pct"/>
            <w:tcBorders>
              <w:top w:val="single" w:color="auto" w:sz="12" w:space="0"/>
              <w:bottom w:val="single" w:color="auto" w:sz="12" w:space="0"/>
            </w:tcBorders>
            <w:vAlign w:val="center"/>
          </w:tcPr>
          <w:p w14:paraId="3BF2C806">
            <w:pPr>
              <w:keepLines/>
              <w:autoSpaceDE w:val="0"/>
              <w:autoSpaceDN w:val="0"/>
              <w:adjustRightInd w:val="0"/>
              <w:ind w:firstLine="0" w:firstLineChars="0"/>
              <w:jc w:val="center"/>
              <w:rPr>
                <w:rFonts w:cs="Arial"/>
                <w:kern w:val="0"/>
                <w:sz w:val="15"/>
                <w:szCs w:val="20"/>
                <w:lang w:val="zh-CN"/>
              </w:rPr>
            </w:pPr>
            <w:bookmarkStart w:id="47" w:name="OLE_LINK25"/>
            <w:r>
              <w:rPr>
                <w:rFonts w:hint="eastAsia" w:cs="Arial"/>
                <w:kern w:val="0"/>
                <w:sz w:val="15"/>
                <w:szCs w:val="20"/>
                <w:lang w:val="zh-CN"/>
              </w:rPr>
              <w:t>流域</w:t>
            </w:r>
          </w:p>
        </w:tc>
        <w:tc>
          <w:tcPr>
            <w:tcW w:w="737" w:type="pct"/>
            <w:tcBorders>
              <w:top w:val="single" w:color="auto" w:sz="12" w:space="0"/>
              <w:bottom w:val="single" w:color="auto" w:sz="12" w:space="0"/>
            </w:tcBorders>
            <w:vAlign w:val="center"/>
          </w:tcPr>
          <w:p w14:paraId="6BF068E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监测井数量</w:t>
            </w:r>
          </w:p>
        </w:tc>
        <w:tc>
          <w:tcPr>
            <w:tcW w:w="1132" w:type="pct"/>
            <w:tcBorders>
              <w:top w:val="single" w:color="auto" w:sz="12" w:space="0"/>
              <w:bottom w:val="single" w:color="auto" w:sz="12" w:space="0"/>
            </w:tcBorders>
            <w:vAlign w:val="center"/>
          </w:tcPr>
          <w:p w14:paraId="00F5D7F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GWSA-JPLM+Noah</w:t>
            </w:r>
          </w:p>
        </w:tc>
        <w:tc>
          <w:tcPr>
            <w:tcW w:w="1197" w:type="pct"/>
            <w:tcBorders>
              <w:top w:val="single" w:color="auto" w:sz="12" w:space="0"/>
              <w:bottom w:val="single" w:color="auto" w:sz="12" w:space="0"/>
            </w:tcBorders>
            <w:vAlign w:val="center"/>
          </w:tcPr>
          <w:p w14:paraId="7269E0A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GWSA-JPLM+CLSM</w:t>
            </w:r>
          </w:p>
        </w:tc>
        <w:tc>
          <w:tcPr>
            <w:tcW w:w="1082" w:type="pct"/>
            <w:tcBorders>
              <w:top w:val="single" w:color="auto" w:sz="12" w:space="0"/>
              <w:bottom w:val="single" w:color="auto" w:sz="12" w:space="0"/>
            </w:tcBorders>
            <w:vAlign w:val="center"/>
          </w:tcPr>
          <w:p w14:paraId="62DBADD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GWSA-JPLM+VIC</w:t>
            </w:r>
          </w:p>
        </w:tc>
      </w:tr>
      <w:tr w14:paraId="3C904358">
        <w:tblPrEx>
          <w:tblCellMar>
            <w:top w:w="0" w:type="dxa"/>
            <w:left w:w="108" w:type="dxa"/>
            <w:bottom w:w="0" w:type="dxa"/>
            <w:right w:w="108" w:type="dxa"/>
          </w:tblCellMar>
        </w:tblPrEx>
        <w:trPr>
          <w:jc w:val="center"/>
        </w:trPr>
        <w:tc>
          <w:tcPr>
            <w:tcW w:w="852" w:type="pct"/>
            <w:tcBorders>
              <w:top w:val="single" w:color="auto" w:sz="12" w:space="0"/>
            </w:tcBorders>
            <w:vAlign w:val="center"/>
          </w:tcPr>
          <w:p w14:paraId="3CD45D0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海河流域</w:t>
            </w:r>
          </w:p>
        </w:tc>
        <w:tc>
          <w:tcPr>
            <w:tcW w:w="737" w:type="pct"/>
            <w:tcBorders>
              <w:top w:val="single" w:color="auto" w:sz="12" w:space="0"/>
            </w:tcBorders>
            <w:vAlign w:val="center"/>
          </w:tcPr>
          <w:p w14:paraId="3A00A47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1361</w:t>
            </w:r>
          </w:p>
        </w:tc>
        <w:tc>
          <w:tcPr>
            <w:tcW w:w="1132" w:type="pct"/>
            <w:tcBorders>
              <w:top w:val="single" w:color="auto" w:sz="12" w:space="0"/>
            </w:tcBorders>
            <w:vAlign w:val="bottom"/>
          </w:tcPr>
          <w:p w14:paraId="45B320E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0.519 </w:t>
            </w:r>
          </w:p>
        </w:tc>
        <w:tc>
          <w:tcPr>
            <w:tcW w:w="1197" w:type="pct"/>
            <w:tcBorders>
              <w:top w:val="single" w:color="auto" w:sz="12" w:space="0"/>
            </w:tcBorders>
            <w:vAlign w:val="bottom"/>
          </w:tcPr>
          <w:p w14:paraId="04033C4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0.545 </w:t>
            </w:r>
          </w:p>
        </w:tc>
        <w:tc>
          <w:tcPr>
            <w:tcW w:w="1082" w:type="pct"/>
            <w:tcBorders>
              <w:top w:val="single" w:color="auto" w:sz="12" w:space="0"/>
            </w:tcBorders>
            <w:vAlign w:val="bottom"/>
          </w:tcPr>
          <w:p w14:paraId="0B2C464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0.514 </w:t>
            </w:r>
          </w:p>
        </w:tc>
      </w:tr>
      <w:tr w14:paraId="0089D029">
        <w:tblPrEx>
          <w:tblCellMar>
            <w:top w:w="0" w:type="dxa"/>
            <w:left w:w="108" w:type="dxa"/>
            <w:bottom w:w="0" w:type="dxa"/>
            <w:right w:w="108" w:type="dxa"/>
          </w:tblCellMar>
        </w:tblPrEx>
        <w:trPr>
          <w:jc w:val="center"/>
        </w:trPr>
        <w:tc>
          <w:tcPr>
            <w:tcW w:w="852" w:type="pct"/>
            <w:vAlign w:val="center"/>
          </w:tcPr>
          <w:p w14:paraId="057459F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松嫩流域</w:t>
            </w:r>
          </w:p>
        </w:tc>
        <w:tc>
          <w:tcPr>
            <w:tcW w:w="737" w:type="pct"/>
            <w:vAlign w:val="center"/>
          </w:tcPr>
          <w:p w14:paraId="5BAD22A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793</w:t>
            </w:r>
          </w:p>
        </w:tc>
        <w:tc>
          <w:tcPr>
            <w:tcW w:w="1132" w:type="pct"/>
            <w:vAlign w:val="bottom"/>
          </w:tcPr>
          <w:p w14:paraId="1C16BE5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0.459 </w:t>
            </w:r>
          </w:p>
        </w:tc>
        <w:tc>
          <w:tcPr>
            <w:tcW w:w="1197" w:type="pct"/>
            <w:vAlign w:val="bottom"/>
          </w:tcPr>
          <w:p w14:paraId="2F91553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0.545 </w:t>
            </w:r>
          </w:p>
        </w:tc>
        <w:tc>
          <w:tcPr>
            <w:tcW w:w="1082" w:type="pct"/>
            <w:vAlign w:val="bottom"/>
          </w:tcPr>
          <w:p w14:paraId="757E121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0.593 </w:t>
            </w:r>
          </w:p>
        </w:tc>
      </w:tr>
      <w:tr w14:paraId="2E9CC854">
        <w:tblPrEx>
          <w:tblCellMar>
            <w:top w:w="0" w:type="dxa"/>
            <w:left w:w="108" w:type="dxa"/>
            <w:bottom w:w="0" w:type="dxa"/>
            <w:right w:w="108" w:type="dxa"/>
          </w:tblCellMar>
        </w:tblPrEx>
        <w:trPr>
          <w:jc w:val="center"/>
        </w:trPr>
        <w:tc>
          <w:tcPr>
            <w:tcW w:w="852" w:type="pct"/>
            <w:vAlign w:val="center"/>
          </w:tcPr>
          <w:p w14:paraId="42035E7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辽河流域</w:t>
            </w:r>
          </w:p>
        </w:tc>
        <w:tc>
          <w:tcPr>
            <w:tcW w:w="737" w:type="pct"/>
            <w:vAlign w:val="center"/>
          </w:tcPr>
          <w:p w14:paraId="164C674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476</w:t>
            </w:r>
          </w:p>
        </w:tc>
        <w:tc>
          <w:tcPr>
            <w:tcW w:w="1132" w:type="pct"/>
            <w:vAlign w:val="bottom"/>
          </w:tcPr>
          <w:p w14:paraId="0C22145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0.484 </w:t>
            </w:r>
          </w:p>
        </w:tc>
        <w:tc>
          <w:tcPr>
            <w:tcW w:w="1197" w:type="pct"/>
            <w:vAlign w:val="bottom"/>
          </w:tcPr>
          <w:p w14:paraId="1273EEE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0.609 </w:t>
            </w:r>
          </w:p>
        </w:tc>
        <w:tc>
          <w:tcPr>
            <w:tcW w:w="1082" w:type="pct"/>
            <w:vAlign w:val="bottom"/>
          </w:tcPr>
          <w:p w14:paraId="04A0F9D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0.552 </w:t>
            </w:r>
          </w:p>
        </w:tc>
      </w:tr>
      <w:tr w14:paraId="0C5E4CF1">
        <w:tblPrEx>
          <w:tblCellMar>
            <w:top w:w="0" w:type="dxa"/>
            <w:left w:w="108" w:type="dxa"/>
            <w:bottom w:w="0" w:type="dxa"/>
            <w:right w:w="108" w:type="dxa"/>
          </w:tblCellMar>
        </w:tblPrEx>
        <w:trPr>
          <w:jc w:val="center"/>
        </w:trPr>
        <w:tc>
          <w:tcPr>
            <w:tcW w:w="852" w:type="pct"/>
            <w:vAlign w:val="center"/>
          </w:tcPr>
          <w:p w14:paraId="4FBE0C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淮河流域</w:t>
            </w:r>
          </w:p>
        </w:tc>
        <w:tc>
          <w:tcPr>
            <w:tcW w:w="737" w:type="pct"/>
            <w:vAlign w:val="center"/>
          </w:tcPr>
          <w:p w14:paraId="48F5E10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757</w:t>
            </w:r>
          </w:p>
        </w:tc>
        <w:tc>
          <w:tcPr>
            <w:tcW w:w="1132" w:type="pct"/>
            <w:vAlign w:val="bottom"/>
          </w:tcPr>
          <w:p w14:paraId="1BC6EA7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0.555 </w:t>
            </w:r>
          </w:p>
        </w:tc>
        <w:tc>
          <w:tcPr>
            <w:tcW w:w="1197" w:type="pct"/>
            <w:vAlign w:val="bottom"/>
          </w:tcPr>
          <w:p w14:paraId="391E9D8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0.605 </w:t>
            </w:r>
          </w:p>
        </w:tc>
        <w:tc>
          <w:tcPr>
            <w:tcW w:w="1082" w:type="pct"/>
            <w:vAlign w:val="bottom"/>
          </w:tcPr>
          <w:p w14:paraId="668EB90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0.559 </w:t>
            </w:r>
          </w:p>
        </w:tc>
      </w:tr>
      <w:tr w14:paraId="7DA14AB0">
        <w:tblPrEx>
          <w:tblCellMar>
            <w:top w:w="0" w:type="dxa"/>
            <w:left w:w="108" w:type="dxa"/>
            <w:bottom w:w="0" w:type="dxa"/>
            <w:right w:w="108" w:type="dxa"/>
          </w:tblCellMar>
        </w:tblPrEx>
        <w:trPr>
          <w:jc w:val="center"/>
        </w:trPr>
        <w:tc>
          <w:tcPr>
            <w:tcW w:w="852" w:type="pct"/>
            <w:vAlign w:val="center"/>
          </w:tcPr>
          <w:p w14:paraId="18BA80E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黄河流域</w:t>
            </w:r>
          </w:p>
        </w:tc>
        <w:tc>
          <w:tcPr>
            <w:tcW w:w="737" w:type="pct"/>
            <w:vAlign w:val="center"/>
          </w:tcPr>
          <w:p w14:paraId="45EF34F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1408</w:t>
            </w:r>
          </w:p>
        </w:tc>
        <w:tc>
          <w:tcPr>
            <w:tcW w:w="1132" w:type="pct"/>
            <w:vAlign w:val="bottom"/>
          </w:tcPr>
          <w:p w14:paraId="04CEEF6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0.506 </w:t>
            </w:r>
          </w:p>
        </w:tc>
        <w:tc>
          <w:tcPr>
            <w:tcW w:w="1197" w:type="pct"/>
            <w:vAlign w:val="bottom"/>
          </w:tcPr>
          <w:p w14:paraId="11C2DA7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0.512 </w:t>
            </w:r>
          </w:p>
        </w:tc>
        <w:tc>
          <w:tcPr>
            <w:tcW w:w="1082" w:type="pct"/>
            <w:vAlign w:val="bottom"/>
          </w:tcPr>
          <w:p w14:paraId="7B44133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0.486 </w:t>
            </w:r>
          </w:p>
        </w:tc>
      </w:tr>
      <w:tr w14:paraId="4AF431B7">
        <w:tblPrEx>
          <w:tblCellMar>
            <w:top w:w="0" w:type="dxa"/>
            <w:left w:w="108" w:type="dxa"/>
            <w:bottom w:w="0" w:type="dxa"/>
            <w:right w:w="108" w:type="dxa"/>
          </w:tblCellMar>
        </w:tblPrEx>
        <w:trPr>
          <w:jc w:val="center"/>
        </w:trPr>
        <w:tc>
          <w:tcPr>
            <w:tcW w:w="852" w:type="pct"/>
            <w:vAlign w:val="center"/>
          </w:tcPr>
          <w:p w14:paraId="2FBB46F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长江流域</w:t>
            </w:r>
          </w:p>
        </w:tc>
        <w:tc>
          <w:tcPr>
            <w:tcW w:w="737" w:type="pct"/>
            <w:vAlign w:val="center"/>
          </w:tcPr>
          <w:p w14:paraId="3E9D288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1286</w:t>
            </w:r>
          </w:p>
        </w:tc>
        <w:tc>
          <w:tcPr>
            <w:tcW w:w="1132" w:type="pct"/>
            <w:vAlign w:val="bottom"/>
          </w:tcPr>
          <w:p w14:paraId="2E29680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0.532 </w:t>
            </w:r>
          </w:p>
        </w:tc>
        <w:tc>
          <w:tcPr>
            <w:tcW w:w="1197" w:type="pct"/>
            <w:vAlign w:val="bottom"/>
          </w:tcPr>
          <w:p w14:paraId="05881D2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0.509 </w:t>
            </w:r>
          </w:p>
        </w:tc>
        <w:tc>
          <w:tcPr>
            <w:tcW w:w="1082" w:type="pct"/>
            <w:vAlign w:val="bottom"/>
          </w:tcPr>
          <w:p w14:paraId="51D3F1E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0.498 </w:t>
            </w:r>
          </w:p>
        </w:tc>
      </w:tr>
      <w:tr w14:paraId="4AF17BDD">
        <w:tblPrEx>
          <w:tblCellMar>
            <w:top w:w="0" w:type="dxa"/>
            <w:left w:w="108" w:type="dxa"/>
            <w:bottom w:w="0" w:type="dxa"/>
            <w:right w:w="108" w:type="dxa"/>
          </w:tblCellMar>
        </w:tblPrEx>
        <w:trPr>
          <w:jc w:val="center"/>
        </w:trPr>
        <w:tc>
          <w:tcPr>
            <w:tcW w:w="852" w:type="pct"/>
            <w:vAlign w:val="center"/>
          </w:tcPr>
          <w:p w14:paraId="15240A8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珠江流域</w:t>
            </w:r>
          </w:p>
        </w:tc>
        <w:tc>
          <w:tcPr>
            <w:tcW w:w="737" w:type="pct"/>
            <w:vAlign w:val="center"/>
          </w:tcPr>
          <w:p w14:paraId="22B5B19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589</w:t>
            </w:r>
          </w:p>
        </w:tc>
        <w:tc>
          <w:tcPr>
            <w:tcW w:w="1132" w:type="pct"/>
            <w:vAlign w:val="bottom"/>
          </w:tcPr>
          <w:p w14:paraId="2F6ADD0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0.487 </w:t>
            </w:r>
          </w:p>
        </w:tc>
        <w:tc>
          <w:tcPr>
            <w:tcW w:w="1197" w:type="pct"/>
            <w:vAlign w:val="bottom"/>
          </w:tcPr>
          <w:p w14:paraId="31AF047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0.508 </w:t>
            </w:r>
          </w:p>
        </w:tc>
        <w:tc>
          <w:tcPr>
            <w:tcW w:w="1082" w:type="pct"/>
            <w:vAlign w:val="bottom"/>
          </w:tcPr>
          <w:p w14:paraId="224BA47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0.459 </w:t>
            </w:r>
          </w:p>
        </w:tc>
      </w:tr>
      <w:tr w14:paraId="23AC2A15">
        <w:tblPrEx>
          <w:tblCellMar>
            <w:top w:w="0" w:type="dxa"/>
            <w:left w:w="108" w:type="dxa"/>
            <w:bottom w:w="0" w:type="dxa"/>
            <w:right w:w="108" w:type="dxa"/>
          </w:tblCellMar>
        </w:tblPrEx>
        <w:trPr>
          <w:jc w:val="center"/>
        </w:trPr>
        <w:tc>
          <w:tcPr>
            <w:tcW w:w="852" w:type="pct"/>
            <w:tcBorders>
              <w:bottom w:val="single" w:color="auto" w:sz="12" w:space="0"/>
            </w:tcBorders>
            <w:vAlign w:val="center"/>
          </w:tcPr>
          <w:p w14:paraId="2D29B92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东南诸河流域</w:t>
            </w:r>
          </w:p>
        </w:tc>
        <w:tc>
          <w:tcPr>
            <w:tcW w:w="737" w:type="pct"/>
            <w:tcBorders>
              <w:bottom w:val="single" w:color="auto" w:sz="12" w:space="0"/>
            </w:tcBorders>
            <w:vAlign w:val="center"/>
          </w:tcPr>
          <w:p w14:paraId="34B2092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330</w:t>
            </w:r>
          </w:p>
        </w:tc>
        <w:tc>
          <w:tcPr>
            <w:tcW w:w="1132" w:type="pct"/>
            <w:tcBorders>
              <w:bottom w:val="single" w:color="auto" w:sz="12" w:space="0"/>
            </w:tcBorders>
            <w:vAlign w:val="bottom"/>
          </w:tcPr>
          <w:p w14:paraId="2D1514A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0.534 </w:t>
            </w:r>
          </w:p>
        </w:tc>
        <w:tc>
          <w:tcPr>
            <w:tcW w:w="1197" w:type="pct"/>
            <w:tcBorders>
              <w:bottom w:val="single" w:color="auto" w:sz="12" w:space="0"/>
            </w:tcBorders>
            <w:vAlign w:val="bottom"/>
          </w:tcPr>
          <w:p w14:paraId="1CC6001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0.460 </w:t>
            </w:r>
          </w:p>
        </w:tc>
        <w:tc>
          <w:tcPr>
            <w:tcW w:w="1082" w:type="pct"/>
            <w:tcBorders>
              <w:bottom w:val="single" w:color="auto" w:sz="12" w:space="0"/>
            </w:tcBorders>
            <w:vAlign w:val="bottom"/>
          </w:tcPr>
          <w:p w14:paraId="72FE5FB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0.476 </w:t>
            </w:r>
          </w:p>
        </w:tc>
      </w:tr>
      <w:bookmarkEnd w:id="47"/>
    </w:tbl>
    <w:p w14:paraId="1ED73FAC">
      <w:pPr>
        <w:ind w:firstLine="420"/>
      </w:pPr>
      <w:r>
        <w:rPr>
          <w:rFonts w:hint="eastAsia"/>
        </w:rPr>
        <w:t>不同GWSA产品在我国不同流域的适用性存在差异。GWSA-JPLM+CLSM产品在海河流域、辽河流域、淮河流域等一级流域具有一定优势，这可能与CLSM对地下水-土壤水耦合过程的精细刻画</w:t>
      </w:r>
      <w:r>
        <w:rPr>
          <w:rFonts w:cs="Times New Roman"/>
          <w:kern w:val="0"/>
          <w:vertAlign w:val="superscript"/>
        </w:rPr>
        <w:t>[38]</w:t>
      </w:r>
      <w:r>
        <w:rPr>
          <w:rFonts w:hint="eastAsia"/>
        </w:rPr>
        <w:t>有关，这些流域人类活动对地下水系统的扰动强烈，地下水变化对陆地水储量变化贡献显著</w:t>
      </w:r>
      <w:r>
        <w:rPr>
          <w:rFonts w:cs="Times New Roman"/>
          <w:kern w:val="0"/>
          <w:vertAlign w:val="superscript"/>
        </w:rPr>
        <w:t>[26,45]</w:t>
      </w:r>
      <w:r>
        <w:rPr>
          <w:rFonts w:hint="eastAsia"/>
        </w:rPr>
        <w:t>，CLSM能够较好地响应地下水补给与消耗过程</w:t>
      </w:r>
      <w:r>
        <w:rPr>
          <w:rFonts w:cs="Times New Roman"/>
          <w:kern w:val="0"/>
          <w:vertAlign w:val="superscript"/>
        </w:rPr>
        <w:t>[46</w:t>
      </w:r>
      <w:r>
        <w:rPr>
          <w:rFonts w:hint="eastAsia" w:cs="Times New Roman"/>
          <w:kern w:val="0"/>
          <w:vertAlign w:val="superscript"/>
        </w:rPr>
        <w:t>-</w:t>
      </w:r>
      <w:r>
        <w:rPr>
          <w:rFonts w:cs="Times New Roman"/>
          <w:kern w:val="0"/>
          <w:vertAlign w:val="superscript"/>
        </w:rPr>
        <w:t>47]</w:t>
      </w:r>
      <w:r>
        <w:rPr>
          <w:rFonts w:hint="eastAsia"/>
        </w:rPr>
        <w:t>。</w:t>
      </w:r>
    </w:p>
    <w:p w14:paraId="42B26D5F">
      <w:pPr>
        <w:ind w:firstLine="420"/>
      </w:pPr>
      <w:r>
        <w:rPr>
          <w:rFonts w:hint="eastAsia"/>
        </w:rPr>
        <w:t>GWSA-JPLM+VIC产品在松嫩流域表现突出，该流域是我国重要的季节性雪水资源区，春季融雪驱动地下水补给，地表径流受冻融循环强烈调控。而VIC模型引入可变渗透曲线、土壤持水能力次网格参数化与非线性格网基流算法，</w:t>
      </w:r>
      <w:r>
        <w:t>可以使用水平衡、能量平衡、冻土</w:t>
      </w:r>
      <w:r>
        <w:rPr>
          <w:rFonts w:hint="eastAsia"/>
        </w:rPr>
        <w:t>等</w:t>
      </w:r>
      <w:r>
        <w:t>各种模拟模式</w:t>
      </w:r>
      <w:r>
        <w:rPr>
          <w:rFonts w:hint="eastAsia"/>
        </w:rPr>
        <w:t>，能够精细模拟冰雪融水和冻土层</w:t>
      </w:r>
      <w:r>
        <w:rPr>
          <w:rFonts w:cs="Times New Roman"/>
          <w:kern w:val="0"/>
          <w:vertAlign w:val="superscript"/>
        </w:rPr>
        <w:t>[38]</w:t>
      </w:r>
      <w:r>
        <w:rPr>
          <w:rFonts w:hint="eastAsia"/>
        </w:rPr>
        <w:t>，对降水梯度的响应和融雪径流的模拟能力较强，该机制在东北地区季节性冻土与融水补给主导的流域中具有优势</w:t>
      </w:r>
      <w:r>
        <w:rPr>
          <w:rFonts w:cs="Times New Roman"/>
          <w:kern w:val="0"/>
          <w:vertAlign w:val="superscript"/>
        </w:rPr>
        <w:t>[48]</w:t>
      </w:r>
      <w:r>
        <w:rPr>
          <w:rFonts w:hint="eastAsia"/>
        </w:rPr>
        <w:t>。</w:t>
      </w:r>
    </w:p>
    <w:p w14:paraId="521A9EB7">
      <w:pPr>
        <w:pStyle w:val="7"/>
        <w:ind w:firstLine="420"/>
      </w:pPr>
      <w:r>
        <w:rPr>
          <w:rFonts w:hint="eastAsia"/>
        </w:rPr>
        <w:t>GWSA-JPLM+Noah产品在长江流域与东南诸河流域较为适用，这可能与Noah模型侧重于土壤-植被-大气连续体（SVAT）的垂向过程，对土壤水分动态和蒸散发的模拟较为精细</w:t>
      </w:r>
      <w:r>
        <w:rPr>
          <w:rFonts w:cs="Times New Roman"/>
          <w:kern w:val="0"/>
          <w:vertAlign w:val="superscript"/>
        </w:rPr>
        <w:t>[38,48]</w:t>
      </w:r>
      <w:r>
        <w:rPr>
          <w:rFonts w:hint="eastAsia"/>
          <w:kern w:val="0"/>
        </w:rPr>
        <w:t>有关</w:t>
      </w:r>
      <w:r>
        <w:rPr>
          <w:rFonts w:hint="eastAsia"/>
        </w:rPr>
        <w:t>，而这两个流域降水充沛、植被覆盖较高，其水文过程以土壤水动态主导、蒸散发强烈且变化迅速为特征</w:t>
      </w:r>
      <w:r>
        <w:rPr>
          <w:rFonts w:cs="Times New Roman"/>
          <w:kern w:val="0"/>
          <w:vertAlign w:val="superscript"/>
        </w:rPr>
        <w:t>[49]</w:t>
      </w:r>
      <w:r>
        <w:rPr>
          <w:rFonts w:hint="eastAsia"/>
        </w:rPr>
        <w:t>，使得Noah在该流域模拟性能较高。</w:t>
      </w:r>
    </w:p>
    <w:p w14:paraId="6247BE13">
      <w:pPr>
        <w:ind w:firstLine="420"/>
      </w:pPr>
      <w:r>
        <w:rPr>
          <w:rFonts w:hint="eastAsia"/>
        </w:rPr>
        <w:t>综上所述，</w:t>
      </w:r>
      <w:bookmarkStart w:id="48" w:name="_Hlk208251498"/>
      <w:r>
        <w:rPr>
          <w:rFonts w:hint="eastAsia"/>
        </w:rPr>
        <w:t>不同GWSA产品在我国不同流域的适用性差异主要源于不同陆地表面模型对不同流域水文过程模拟能力的差异。</w:t>
      </w:r>
      <w:bookmarkStart w:id="49" w:name="_Hlk208250759"/>
      <w:r>
        <w:rPr>
          <w:rFonts w:hint="eastAsia"/>
        </w:rPr>
        <w:t>而本文提出的集成趋势、相位和幅度3种一致性指标的地下水储量变化适用性指数，可以系统性地评估不同GWSA产品在不同流域的适用性。</w:t>
      </w:r>
      <w:bookmarkEnd w:id="48"/>
      <w:bookmarkEnd w:id="49"/>
    </w:p>
    <w:p w14:paraId="7553D8CF">
      <w:pPr>
        <w:pStyle w:val="3"/>
        <w:rPr>
          <w:b/>
          <w:lang w:val="zh-CN"/>
        </w:rPr>
      </w:pPr>
      <w:r>
        <w:rPr>
          <w:rFonts w:hint="eastAsia"/>
          <w:lang w:val="zh-CN"/>
        </w:rPr>
        <w:t>3.3 GWSA产品在</w:t>
      </w:r>
      <w:r>
        <w:rPr>
          <w:rFonts w:hint="eastAsia"/>
        </w:rPr>
        <w:t>子</w:t>
      </w:r>
      <w:r>
        <w:rPr>
          <w:rFonts w:hint="eastAsia"/>
          <w:lang w:val="zh-CN"/>
        </w:rPr>
        <w:t>流域的适用性</w:t>
      </w:r>
      <w:r>
        <w:rPr>
          <w:rFonts w:hint="eastAsia"/>
          <w:b/>
          <w:lang w:val="zh-CN"/>
        </w:rPr>
        <w:t xml:space="preserve">  </w:t>
      </w:r>
    </w:p>
    <w:p w14:paraId="2CB16B58">
      <w:pPr>
        <w:ind w:firstLine="420"/>
      </w:pPr>
      <w:bookmarkStart w:id="50" w:name="OLE_LINK6"/>
      <w:r>
        <w:rPr>
          <w:rFonts w:hint="eastAsia"/>
        </w:rPr>
        <w:t>子流域按气候区分类可分为7类：半湿润-半干旱区、湿润区、湿润-半湿润区、半湿润区、半干旱区、干旱-半干旱区及干旱区。表6为三种GWSA产品在各子流域的</w:t>
      </w:r>
      <w:r>
        <w:rPr>
          <w:rFonts w:hint="eastAsia"/>
          <w:i/>
          <w:iCs/>
        </w:rPr>
        <w:t>GSEI</w:t>
      </w:r>
      <w:r>
        <w:rPr>
          <w:rFonts w:hint="eastAsia"/>
        </w:rPr>
        <w:t>中位数，统计结果表明三种GWSA产品在不同气候区子流域的适用性存在显著差异。具体表现为：</w:t>
      </w:r>
    </w:p>
    <w:p w14:paraId="2D6FE969">
      <w:pPr>
        <w:ind w:firstLine="420"/>
      </w:pPr>
      <w:bookmarkStart w:id="51" w:name="OLE_LINK33"/>
      <w:r>
        <w:rPr>
          <w:rFonts w:hint="eastAsia"/>
        </w:rPr>
        <w:t>在湿润区、湿润-半湿润区及半湿润区，GWSA-JPLM+CLSM与GWSA-JPLM+VIC整体表现较优；局部区域如岷沱江流域，GWSA-JPLM+Noah更适用，Noah模型简化的土壤水动态模拟使得其对短期强降水引起的水文变异响应更灵敏</w:t>
      </w:r>
      <w:r>
        <w:rPr>
          <w:rFonts w:cs="Times New Roman"/>
          <w:kern w:val="0"/>
          <w:vertAlign w:val="superscript"/>
        </w:rPr>
        <w:t>[38,50]</w:t>
      </w:r>
      <w:r>
        <w:rPr>
          <w:rFonts w:hint="eastAsia"/>
        </w:rPr>
        <w:t>，在降水直接驱动、地表过程占主导的湿润、半湿润地区具有一定的适用性；而在半湿润-半干旱、半干旱、干旱-半干旱及干旱区，GWSA-JPLM+Noah表现较优，部分流域如天山北麓诸河流域，GWSA-JPLM+VIC更适用，这流域存在</w:t>
      </w:r>
      <w:r>
        <w:t>积雪融水补给</w:t>
      </w:r>
      <w:r>
        <w:rPr>
          <w:rFonts w:hint="eastAsia"/>
        </w:rPr>
        <w:t>，而VIC模型对</w:t>
      </w:r>
      <w:r>
        <w:t>该区积雪融水补给特征</w:t>
      </w:r>
      <w:r>
        <w:rPr>
          <w:rFonts w:hint="eastAsia"/>
        </w:rPr>
        <w:t>模拟能力较强</w:t>
      </w:r>
      <w:r>
        <w:rPr>
          <w:rFonts w:cs="Times New Roman"/>
          <w:kern w:val="0"/>
          <w:vertAlign w:val="superscript"/>
        </w:rPr>
        <w:t>[38,48]</w:t>
      </w:r>
      <w:r>
        <w:rPr>
          <w:rFonts w:hint="eastAsia"/>
        </w:rPr>
        <w:t>。</w:t>
      </w:r>
      <w:bookmarkStart w:id="52" w:name="_Hlk203675206"/>
      <w:r>
        <w:rPr>
          <w:rFonts w:hint="eastAsia"/>
        </w:rPr>
        <w:t>此外，三种模型在海河北系流域、龙门至三峡口流域、兰州至河口镇流域及黑河流域适用性较低，这可能源于流域内复杂的水文过程超出了模型模拟能力。</w:t>
      </w:r>
      <w:bookmarkStart w:id="53" w:name="_Hlk203674675"/>
      <w:r>
        <w:rPr>
          <w:rFonts w:hint="eastAsia"/>
        </w:rPr>
        <w:t>综上所述，不同GWSA产品在我国不同流域的适用性差异主要与GLDAS模型对流域主导水文因素的模拟能力有关。</w:t>
      </w:r>
      <w:bookmarkEnd w:id="51"/>
      <w:bookmarkEnd w:id="52"/>
      <w:bookmarkEnd w:id="53"/>
      <w:r>
        <w:rPr>
          <w:rFonts w:hint="eastAsia"/>
        </w:rPr>
        <w:t xml:space="preserve"> </w:t>
      </w:r>
    </w:p>
    <w:bookmarkEnd w:id="50"/>
    <w:p w14:paraId="395A1DD6">
      <w:pPr>
        <w:keepNext/>
        <w:keepLines/>
        <w:ind w:firstLine="0" w:firstLineChars="0"/>
        <w:jc w:val="center"/>
        <w:rPr>
          <w:rFonts w:eastAsia="黑体" w:cs="Times New Roman"/>
          <w:sz w:val="18"/>
          <w:szCs w:val="18"/>
        </w:rPr>
      </w:pPr>
      <w:bookmarkStart w:id="54" w:name="_Ref192251200"/>
      <w:r>
        <w:rPr>
          <w:rFonts w:hint="eastAsia" w:eastAsia="黑体" w:cs="Times New Roman"/>
          <w:sz w:val="18"/>
          <w:szCs w:val="18"/>
        </w:rPr>
        <w:t xml:space="preserve">表 </w:t>
      </w:r>
      <w:bookmarkEnd w:id="54"/>
      <w:r>
        <w:rPr>
          <w:rFonts w:hint="eastAsia" w:eastAsia="黑体" w:cs="Times New Roman"/>
          <w:sz w:val="18"/>
          <w:szCs w:val="18"/>
        </w:rPr>
        <w:t>6 子流域不同产品</w:t>
      </w:r>
      <w:r>
        <w:rPr>
          <w:rFonts w:hint="eastAsia" w:eastAsia="黑体" w:cs="Times New Roman"/>
          <w:i/>
          <w:iCs/>
          <w:sz w:val="18"/>
          <w:szCs w:val="18"/>
        </w:rPr>
        <w:t>GSEI</w:t>
      </w:r>
      <w:r>
        <w:rPr>
          <w:rFonts w:hint="eastAsia" w:eastAsia="黑体" w:cs="Times New Roman"/>
          <w:sz w:val="18"/>
          <w:szCs w:val="18"/>
        </w:rPr>
        <w:t>中位数</w:t>
      </w:r>
    </w:p>
    <w:p w14:paraId="51377987">
      <w:pPr>
        <w:keepNext/>
        <w:keepLines/>
        <w:ind w:firstLine="0" w:firstLineChars="0"/>
        <w:jc w:val="center"/>
        <w:rPr>
          <w:rFonts w:eastAsia="黑体" w:cs="Times New Roman"/>
          <w:sz w:val="18"/>
          <w:szCs w:val="18"/>
        </w:rPr>
      </w:pPr>
      <w:r>
        <w:rPr>
          <w:rFonts w:eastAsia="黑体" w:cs="Times New Roman"/>
          <w:sz w:val="18"/>
          <w:szCs w:val="18"/>
        </w:rPr>
        <w:t xml:space="preserve">Table </w:t>
      </w:r>
      <w:r>
        <w:rPr>
          <w:rFonts w:hint="eastAsia" w:eastAsia="黑体" w:cs="Times New Roman"/>
          <w:sz w:val="18"/>
          <w:szCs w:val="18"/>
        </w:rPr>
        <w:t>6</w:t>
      </w:r>
      <w:r>
        <w:rPr>
          <w:rFonts w:eastAsia="黑体" w:cs="Times New Roman"/>
          <w:sz w:val="18"/>
          <w:szCs w:val="18"/>
        </w:rPr>
        <w:t xml:space="preserve"> Median </w:t>
      </w:r>
      <w:r>
        <w:rPr>
          <w:rFonts w:eastAsia="黑体" w:cs="Times New Roman"/>
          <w:i/>
          <w:iCs/>
          <w:sz w:val="18"/>
          <w:szCs w:val="18"/>
        </w:rPr>
        <w:t>GSEI</w:t>
      </w:r>
      <w:r>
        <w:rPr>
          <w:rFonts w:eastAsia="黑体" w:cs="Times New Roman"/>
          <w:sz w:val="18"/>
          <w:szCs w:val="18"/>
        </w:rPr>
        <w:t xml:space="preserve"> </w:t>
      </w:r>
      <w:r>
        <w:rPr>
          <w:rFonts w:hint="eastAsia" w:eastAsia="黑体" w:cs="Times New Roman"/>
          <w:sz w:val="18"/>
          <w:szCs w:val="18"/>
        </w:rPr>
        <w:t>values of</w:t>
      </w:r>
      <w:r>
        <w:rPr>
          <w:rFonts w:eastAsia="黑体" w:cs="Times New Roman"/>
          <w:sz w:val="18"/>
          <w:szCs w:val="18"/>
        </w:rPr>
        <w:t xml:space="preserve"> different products </w:t>
      </w:r>
      <w:r>
        <w:rPr>
          <w:rFonts w:hint="eastAsia" w:eastAsia="黑体" w:cs="Times New Roman"/>
          <w:sz w:val="18"/>
          <w:szCs w:val="18"/>
        </w:rPr>
        <w:t xml:space="preserve">for </w:t>
      </w:r>
      <w:r>
        <w:rPr>
          <w:rFonts w:eastAsia="黑体" w:cs="Times New Roman"/>
          <w:sz w:val="18"/>
          <w:szCs w:val="18"/>
        </w:rPr>
        <w:t>sub-basin</w:t>
      </w:r>
      <w:r>
        <w:rPr>
          <w:rFonts w:hint="eastAsia" w:eastAsia="黑体" w:cs="Times New Roman"/>
          <w:sz w:val="18"/>
          <w:szCs w:val="18"/>
        </w:rPr>
        <w:t>s</w:t>
      </w:r>
    </w:p>
    <w:tbl>
      <w:tblPr>
        <w:tblStyle w:val="14"/>
        <w:tblW w:w="5182" w:type="pct"/>
        <w:jc w:val="center"/>
        <w:tblLayout w:type="autofit"/>
        <w:tblCellMar>
          <w:top w:w="0" w:type="dxa"/>
          <w:left w:w="108" w:type="dxa"/>
          <w:bottom w:w="0" w:type="dxa"/>
          <w:right w:w="108" w:type="dxa"/>
        </w:tblCellMar>
      </w:tblPr>
      <w:tblGrid>
        <w:gridCol w:w="1090"/>
        <w:gridCol w:w="1090"/>
        <w:gridCol w:w="1090"/>
        <w:gridCol w:w="1090"/>
        <w:gridCol w:w="1484"/>
        <w:gridCol w:w="1568"/>
        <w:gridCol w:w="1407"/>
        <w:gridCol w:w="13"/>
      </w:tblGrid>
      <w:tr w14:paraId="27090CCA">
        <w:tblPrEx>
          <w:tblCellMar>
            <w:top w:w="0" w:type="dxa"/>
            <w:left w:w="108" w:type="dxa"/>
            <w:bottom w:w="0" w:type="dxa"/>
            <w:right w:w="108" w:type="dxa"/>
          </w:tblCellMar>
        </w:tblPrEx>
        <w:trPr>
          <w:trHeight w:val="312" w:hRule="atLeast"/>
          <w:tblHeader/>
          <w:jc w:val="center"/>
        </w:trPr>
        <w:tc>
          <w:tcPr>
            <w:tcW w:w="714" w:type="pct"/>
            <w:tcBorders>
              <w:top w:val="single" w:color="auto" w:sz="12" w:space="0"/>
              <w:bottom w:val="single" w:color="auto" w:sz="4" w:space="0"/>
            </w:tcBorders>
            <w:vAlign w:val="center"/>
          </w:tcPr>
          <w:p w14:paraId="583E0144">
            <w:pPr>
              <w:keepLines/>
              <w:autoSpaceDE w:val="0"/>
              <w:autoSpaceDN w:val="0"/>
              <w:adjustRightInd w:val="0"/>
              <w:ind w:firstLine="0" w:firstLineChars="0"/>
              <w:jc w:val="center"/>
              <w:rPr>
                <w:rFonts w:cs="Arial"/>
                <w:kern w:val="0"/>
                <w:sz w:val="15"/>
                <w:szCs w:val="20"/>
                <w:lang w:val="zh-CN"/>
              </w:rPr>
            </w:pPr>
            <w:bookmarkStart w:id="55" w:name="OLE_LINK38"/>
            <w:r>
              <w:rPr>
                <w:rFonts w:hint="eastAsia" w:cs="Arial"/>
                <w:kern w:val="0"/>
                <w:sz w:val="15"/>
                <w:szCs w:val="20"/>
                <w:lang w:val="zh-CN"/>
              </w:rPr>
              <w:t>子流域名称</w:t>
            </w:r>
          </w:p>
        </w:tc>
        <w:tc>
          <w:tcPr>
            <w:tcW w:w="714" w:type="pct"/>
            <w:tcBorders>
              <w:top w:val="single" w:color="auto" w:sz="12" w:space="0"/>
              <w:bottom w:val="single" w:color="auto" w:sz="4" w:space="0"/>
            </w:tcBorders>
            <w:vAlign w:val="center"/>
          </w:tcPr>
          <w:p w14:paraId="5DC363A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监测井数量</w:t>
            </w:r>
          </w:p>
        </w:tc>
        <w:tc>
          <w:tcPr>
            <w:tcW w:w="714" w:type="pct"/>
            <w:tcBorders>
              <w:top w:val="single" w:color="auto" w:sz="12" w:space="0"/>
              <w:bottom w:val="single" w:color="auto" w:sz="4" w:space="0"/>
            </w:tcBorders>
            <w:vAlign w:val="center"/>
          </w:tcPr>
          <w:p w14:paraId="2BD297E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所属一级流域</w:t>
            </w:r>
          </w:p>
        </w:tc>
        <w:tc>
          <w:tcPr>
            <w:tcW w:w="714" w:type="pct"/>
            <w:tcBorders>
              <w:top w:val="single" w:color="auto" w:sz="12" w:space="0"/>
              <w:bottom w:val="single" w:color="auto" w:sz="4" w:space="0"/>
            </w:tcBorders>
            <w:vAlign w:val="center"/>
          </w:tcPr>
          <w:p w14:paraId="4919F5B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气候类型</w:t>
            </w:r>
          </w:p>
        </w:tc>
        <w:tc>
          <w:tcPr>
            <w:tcW w:w="714" w:type="pct"/>
            <w:tcBorders>
              <w:top w:val="single" w:color="auto" w:sz="12" w:space="0"/>
              <w:bottom w:val="single" w:color="auto" w:sz="4" w:space="0"/>
            </w:tcBorders>
            <w:vAlign w:val="center"/>
          </w:tcPr>
          <w:p w14:paraId="03F38EC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GWSA-JPLM+Noah</w:t>
            </w:r>
          </w:p>
        </w:tc>
        <w:tc>
          <w:tcPr>
            <w:tcW w:w="714" w:type="pct"/>
            <w:tcBorders>
              <w:top w:val="single" w:color="auto" w:sz="12" w:space="0"/>
              <w:bottom w:val="single" w:color="auto" w:sz="4" w:space="0"/>
            </w:tcBorders>
            <w:vAlign w:val="center"/>
          </w:tcPr>
          <w:p w14:paraId="31B904F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GWSA-JPLM+CLSM</w:t>
            </w:r>
          </w:p>
        </w:tc>
        <w:tc>
          <w:tcPr>
            <w:tcW w:w="714" w:type="pct"/>
            <w:gridSpan w:val="2"/>
            <w:tcBorders>
              <w:top w:val="single" w:color="auto" w:sz="12" w:space="0"/>
              <w:bottom w:val="single" w:color="auto" w:sz="4" w:space="0"/>
            </w:tcBorders>
            <w:vAlign w:val="center"/>
          </w:tcPr>
          <w:p w14:paraId="22014D8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GWSA-JPLM+VIC</w:t>
            </w:r>
          </w:p>
        </w:tc>
      </w:tr>
      <w:tr w14:paraId="39E9FBEC">
        <w:tblPrEx>
          <w:tblCellMar>
            <w:top w:w="0" w:type="dxa"/>
            <w:left w:w="108" w:type="dxa"/>
            <w:bottom w:w="0" w:type="dxa"/>
            <w:right w:w="108" w:type="dxa"/>
          </w:tblCellMar>
        </w:tblPrEx>
        <w:trPr>
          <w:gridAfter w:val="1"/>
          <w:wAfter w:w="6" w:type="pct"/>
          <w:trHeight w:val="312" w:hRule="atLeast"/>
          <w:jc w:val="center"/>
        </w:trPr>
        <w:tc>
          <w:tcPr>
            <w:tcW w:w="713" w:type="pct"/>
            <w:tcBorders>
              <w:top w:val="single" w:color="auto" w:sz="12" w:space="0"/>
            </w:tcBorders>
            <w:vAlign w:val="center"/>
          </w:tcPr>
          <w:p w14:paraId="213C70C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松花江</w:t>
            </w:r>
          </w:p>
        </w:tc>
        <w:tc>
          <w:tcPr>
            <w:tcW w:w="713" w:type="pct"/>
            <w:tcBorders>
              <w:top w:val="single" w:color="auto" w:sz="12" w:space="0"/>
            </w:tcBorders>
            <w:vAlign w:val="center"/>
          </w:tcPr>
          <w:p w14:paraId="26C07D5B">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442</w:t>
            </w:r>
          </w:p>
        </w:tc>
        <w:tc>
          <w:tcPr>
            <w:tcW w:w="713" w:type="pct"/>
            <w:tcBorders>
              <w:top w:val="single" w:color="auto" w:sz="12" w:space="0"/>
            </w:tcBorders>
            <w:vAlign w:val="center"/>
          </w:tcPr>
          <w:p w14:paraId="4195E2D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松嫩</w:t>
            </w:r>
          </w:p>
        </w:tc>
        <w:tc>
          <w:tcPr>
            <w:tcW w:w="714" w:type="pct"/>
            <w:tcBorders>
              <w:top w:val="single" w:color="auto" w:sz="12" w:space="0"/>
            </w:tcBorders>
            <w:vAlign w:val="center"/>
          </w:tcPr>
          <w:p w14:paraId="2E2B9F8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c>
          <w:tcPr>
            <w:tcW w:w="713" w:type="pct"/>
            <w:tcBorders>
              <w:top w:val="single" w:color="auto" w:sz="12" w:space="0"/>
            </w:tcBorders>
            <w:vAlign w:val="center"/>
          </w:tcPr>
          <w:p w14:paraId="5A93E6F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0.436</w:t>
            </w:r>
          </w:p>
        </w:tc>
        <w:tc>
          <w:tcPr>
            <w:tcW w:w="713" w:type="pct"/>
            <w:tcBorders>
              <w:top w:val="single" w:color="auto" w:sz="12" w:space="0"/>
            </w:tcBorders>
            <w:vAlign w:val="center"/>
          </w:tcPr>
          <w:p w14:paraId="770F90C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0.545</w:t>
            </w:r>
          </w:p>
        </w:tc>
        <w:tc>
          <w:tcPr>
            <w:tcW w:w="714" w:type="pct"/>
            <w:tcBorders>
              <w:top w:val="single" w:color="auto" w:sz="12" w:space="0"/>
            </w:tcBorders>
            <w:vAlign w:val="center"/>
          </w:tcPr>
          <w:p w14:paraId="2B320B58">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0.586</w:t>
            </w:r>
          </w:p>
        </w:tc>
      </w:tr>
      <w:tr w14:paraId="14359162">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6072551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鄱阳湖水系</w:t>
            </w:r>
          </w:p>
        </w:tc>
        <w:tc>
          <w:tcPr>
            <w:tcW w:w="713" w:type="pct"/>
            <w:vAlign w:val="center"/>
          </w:tcPr>
          <w:p w14:paraId="1D382536">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148</w:t>
            </w:r>
          </w:p>
        </w:tc>
        <w:tc>
          <w:tcPr>
            <w:tcW w:w="713" w:type="pct"/>
            <w:vAlign w:val="center"/>
          </w:tcPr>
          <w:p w14:paraId="0DF83CC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w:t>
            </w:r>
          </w:p>
        </w:tc>
        <w:tc>
          <w:tcPr>
            <w:tcW w:w="714" w:type="pct"/>
            <w:vAlign w:val="center"/>
          </w:tcPr>
          <w:p w14:paraId="0740153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c>
          <w:tcPr>
            <w:tcW w:w="713" w:type="pct"/>
            <w:vAlign w:val="center"/>
          </w:tcPr>
          <w:p w14:paraId="407B2CB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0.519</w:t>
            </w:r>
          </w:p>
        </w:tc>
        <w:tc>
          <w:tcPr>
            <w:tcW w:w="713" w:type="pct"/>
            <w:vAlign w:val="center"/>
          </w:tcPr>
          <w:p w14:paraId="506FF9E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0.566</w:t>
            </w:r>
          </w:p>
        </w:tc>
        <w:tc>
          <w:tcPr>
            <w:tcW w:w="714" w:type="pct"/>
            <w:vAlign w:val="center"/>
          </w:tcPr>
          <w:p w14:paraId="72D2989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0.471</w:t>
            </w:r>
          </w:p>
        </w:tc>
      </w:tr>
      <w:tr w14:paraId="6968922E">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6617280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洞庭湖水系</w:t>
            </w:r>
          </w:p>
        </w:tc>
        <w:tc>
          <w:tcPr>
            <w:tcW w:w="713" w:type="pct"/>
            <w:vAlign w:val="center"/>
          </w:tcPr>
          <w:p w14:paraId="2168778E">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276</w:t>
            </w:r>
          </w:p>
        </w:tc>
        <w:tc>
          <w:tcPr>
            <w:tcW w:w="713" w:type="pct"/>
            <w:vAlign w:val="center"/>
          </w:tcPr>
          <w:p w14:paraId="3FBF4D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w:t>
            </w:r>
          </w:p>
        </w:tc>
        <w:tc>
          <w:tcPr>
            <w:tcW w:w="714" w:type="pct"/>
            <w:vAlign w:val="center"/>
          </w:tcPr>
          <w:p w14:paraId="29106CE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c>
          <w:tcPr>
            <w:tcW w:w="713" w:type="pct"/>
            <w:vAlign w:val="center"/>
          </w:tcPr>
          <w:p w14:paraId="762DB11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0.540</w:t>
            </w:r>
          </w:p>
        </w:tc>
        <w:tc>
          <w:tcPr>
            <w:tcW w:w="713" w:type="pct"/>
            <w:vAlign w:val="center"/>
          </w:tcPr>
          <w:p w14:paraId="51F0299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0.548</w:t>
            </w:r>
          </w:p>
        </w:tc>
        <w:tc>
          <w:tcPr>
            <w:tcW w:w="714" w:type="pct"/>
            <w:vAlign w:val="center"/>
          </w:tcPr>
          <w:p w14:paraId="05780BC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0.588</w:t>
            </w:r>
          </w:p>
        </w:tc>
      </w:tr>
      <w:tr w14:paraId="753E2A21">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6BBCD41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汉江</w:t>
            </w:r>
          </w:p>
        </w:tc>
        <w:tc>
          <w:tcPr>
            <w:tcW w:w="713" w:type="pct"/>
            <w:vAlign w:val="center"/>
          </w:tcPr>
          <w:p w14:paraId="462146FA">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251</w:t>
            </w:r>
          </w:p>
        </w:tc>
        <w:tc>
          <w:tcPr>
            <w:tcW w:w="713" w:type="pct"/>
            <w:vAlign w:val="center"/>
          </w:tcPr>
          <w:p w14:paraId="05ACCFB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w:t>
            </w:r>
          </w:p>
        </w:tc>
        <w:tc>
          <w:tcPr>
            <w:tcW w:w="714" w:type="pct"/>
            <w:vAlign w:val="center"/>
          </w:tcPr>
          <w:p w14:paraId="51AA8D9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c>
          <w:tcPr>
            <w:tcW w:w="713" w:type="pct"/>
            <w:vAlign w:val="center"/>
          </w:tcPr>
          <w:p w14:paraId="170653A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0.489</w:t>
            </w:r>
          </w:p>
        </w:tc>
        <w:tc>
          <w:tcPr>
            <w:tcW w:w="713" w:type="pct"/>
            <w:vAlign w:val="center"/>
          </w:tcPr>
          <w:p w14:paraId="68C36B2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0.553</w:t>
            </w:r>
          </w:p>
        </w:tc>
        <w:tc>
          <w:tcPr>
            <w:tcW w:w="714" w:type="pct"/>
            <w:vAlign w:val="center"/>
          </w:tcPr>
          <w:p w14:paraId="2BF1C5C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0.524</w:t>
            </w:r>
          </w:p>
        </w:tc>
      </w:tr>
      <w:tr w14:paraId="7B3B2C79">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6CE319F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宜昌至湖口</w:t>
            </w:r>
          </w:p>
        </w:tc>
        <w:tc>
          <w:tcPr>
            <w:tcW w:w="713" w:type="pct"/>
            <w:vAlign w:val="center"/>
          </w:tcPr>
          <w:p w14:paraId="5F67FAC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171</w:t>
            </w:r>
          </w:p>
        </w:tc>
        <w:tc>
          <w:tcPr>
            <w:tcW w:w="713" w:type="pct"/>
            <w:vAlign w:val="center"/>
          </w:tcPr>
          <w:p w14:paraId="330DCE9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w:t>
            </w:r>
          </w:p>
        </w:tc>
        <w:tc>
          <w:tcPr>
            <w:tcW w:w="714" w:type="pct"/>
            <w:vAlign w:val="center"/>
          </w:tcPr>
          <w:p w14:paraId="33BA2B5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c>
          <w:tcPr>
            <w:tcW w:w="713" w:type="pct"/>
            <w:vAlign w:val="center"/>
          </w:tcPr>
          <w:p w14:paraId="081DE8A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0.486</w:t>
            </w:r>
          </w:p>
        </w:tc>
        <w:tc>
          <w:tcPr>
            <w:tcW w:w="713" w:type="pct"/>
            <w:vAlign w:val="center"/>
          </w:tcPr>
          <w:p w14:paraId="7E72F0A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0.465</w:t>
            </w:r>
          </w:p>
        </w:tc>
        <w:tc>
          <w:tcPr>
            <w:tcW w:w="714" w:type="pct"/>
            <w:vAlign w:val="center"/>
          </w:tcPr>
          <w:p w14:paraId="1A88554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0.504</w:t>
            </w:r>
          </w:p>
        </w:tc>
      </w:tr>
      <w:tr w14:paraId="08712E62">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28260EF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岷沱江</w:t>
            </w:r>
          </w:p>
        </w:tc>
        <w:tc>
          <w:tcPr>
            <w:tcW w:w="713" w:type="pct"/>
            <w:vAlign w:val="center"/>
          </w:tcPr>
          <w:p w14:paraId="571856D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107</w:t>
            </w:r>
          </w:p>
        </w:tc>
        <w:tc>
          <w:tcPr>
            <w:tcW w:w="713" w:type="pct"/>
            <w:vAlign w:val="center"/>
          </w:tcPr>
          <w:p w14:paraId="5BC7884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长江</w:t>
            </w:r>
          </w:p>
        </w:tc>
        <w:tc>
          <w:tcPr>
            <w:tcW w:w="714" w:type="pct"/>
            <w:vAlign w:val="center"/>
          </w:tcPr>
          <w:p w14:paraId="10C3413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w:t>
            </w:r>
          </w:p>
        </w:tc>
        <w:tc>
          <w:tcPr>
            <w:tcW w:w="713" w:type="pct"/>
            <w:vAlign w:val="center"/>
          </w:tcPr>
          <w:p w14:paraId="2DAAA54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0.545</w:t>
            </w:r>
          </w:p>
        </w:tc>
        <w:tc>
          <w:tcPr>
            <w:tcW w:w="713" w:type="pct"/>
            <w:vAlign w:val="center"/>
          </w:tcPr>
          <w:p w14:paraId="0692EEF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0.520</w:t>
            </w:r>
          </w:p>
        </w:tc>
        <w:tc>
          <w:tcPr>
            <w:tcW w:w="714" w:type="pct"/>
            <w:vAlign w:val="center"/>
          </w:tcPr>
          <w:p w14:paraId="4DE5EAE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0.425</w:t>
            </w:r>
          </w:p>
        </w:tc>
      </w:tr>
      <w:tr w14:paraId="59ED41B9">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790D1B3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嫩江</w:t>
            </w:r>
          </w:p>
        </w:tc>
        <w:tc>
          <w:tcPr>
            <w:tcW w:w="713" w:type="pct"/>
            <w:vAlign w:val="center"/>
          </w:tcPr>
          <w:p w14:paraId="06DB4231">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340</w:t>
            </w:r>
          </w:p>
        </w:tc>
        <w:tc>
          <w:tcPr>
            <w:tcW w:w="713" w:type="pct"/>
            <w:vAlign w:val="center"/>
          </w:tcPr>
          <w:p w14:paraId="2487007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松嫩</w:t>
            </w:r>
          </w:p>
        </w:tc>
        <w:tc>
          <w:tcPr>
            <w:tcW w:w="714" w:type="pct"/>
            <w:vAlign w:val="center"/>
          </w:tcPr>
          <w:p w14:paraId="6A2A4EB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c>
          <w:tcPr>
            <w:tcW w:w="713" w:type="pct"/>
            <w:vAlign w:val="center"/>
          </w:tcPr>
          <w:p w14:paraId="741BA39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0.446</w:t>
            </w:r>
          </w:p>
        </w:tc>
        <w:tc>
          <w:tcPr>
            <w:tcW w:w="713" w:type="pct"/>
            <w:vAlign w:val="center"/>
          </w:tcPr>
          <w:p w14:paraId="6360C10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0.563</w:t>
            </w:r>
          </w:p>
        </w:tc>
        <w:tc>
          <w:tcPr>
            <w:tcW w:w="714" w:type="pct"/>
            <w:vAlign w:val="center"/>
          </w:tcPr>
          <w:p w14:paraId="11D9570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0.607</w:t>
            </w:r>
          </w:p>
        </w:tc>
      </w:tr>
      <w:tr w14:paraId="2D891616">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7DFF324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东辽河</w:t>
            </w:r>
          </w:p>
        </w:tc>
        <w:tc>
          <w:tcPr>
            <w:tcW w:w="713" w:type="pct"/>
            <w:vAlign w:val="center"/>
          </w:tcPr>
          <w:p w14:paraId="42394A27">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405</w:t>
            </w:r>
          </w:p>
        </w:tc>
        <w:tc>
          <w:tcPr>
            <w:tcW w:w="713" w:type="pct"/>
            <w:vAlign w:val="center"/>
          </w:tcPr>
          <w:p w14:paraId="2ADE8B0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辽河</w:t>
            </w:r>
          </w:p>
        </w:tc>
        <w:tc>
          <w:tcPr>
            <w:tcW w:w="714" w:type="pct"/>
            <w:vAlign w:val="center"/>
          </w:tcPr>
          <w:p w14:paraId="3687F1E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c>
          <w:tcPr>
            <w:tcW w:w="713" w:type="pct"/>
            <w:vAlign w:val="center"/>
          </w:tcPr>
          <w:p w14:paraId="1858999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0.507</w:t>
            </w:r>
          </w:p>
        </w:tc>
        <w:tc>
          <w:tcPr>
            <w:tcW w:w="713" w:type="pct"/>
            <w:vAlign w:val="center"/>
          </w:tcPr>
          <w:p w14:paraId="1A08174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0.609</w:t>
            </w:r>
          </w:p>
        </w:tc>
        <w:tc>
          <w:tcPr>
            <w:tcW w:w="714" w:type="pct"/>
            <w:vAlign w:val="center"/>
          </w:tcPr>
          <w:p w14:paraId="4372FE0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0.538</w:t>
            </w:r>
          </w:p>
        </w:tc>
      </w:tr>
      <w:tr w14:paraId="1C9FC1F8">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7F2109E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淮河中上游</w:t>
            </w:r>
          </w:p>
        </w:tc>
        <w:tc>
          <w:tcPr>
            <w:tcW w:w="713" w:type="pct"/>
            <w:vAlign w:val="center"/>
          </w:tcPr>
          <w:p w14:paraId="3185E0CC">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462</w:t>
            </w:r>
          </w:p>
        </w:tc>
        <w:tc>
          <w:tcPr>
            <w:tcW w:w="713" w:type="pct"/>
            <w:vAlign w:val="center"/>
          </w:tcPr>
          <w:p w14:paraId="780DD1F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w:t>
            </w:r>
          </w:p>
        </w:tc>
        <w:tc>
          <w:tcPr>
            <w:tcW w:w="714" w:type="pct"/>
            <w:vAlign w:val="center"/>
          </w:tcPr>
          <w:p w14:paraId="453BF09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c>
          <w:tcPr>
            <w:tcW w:w="713" w:type="pct"/>
            <w:vAlign w:val="center"/>
          </w:tcPr>
          <w:p w14:paraId="278A2D1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0.537</w:t>
            </w:r>
          </w:p>
        </w:tc>
        <w:tc>
          <w:tcPr>
            <w:tcW w:w="713" w:type="pct"/>
            <w:vAlign w:val="center"/>
          </w:tcPr>
          <w:p w14:paraId="7AEFDF4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0.602</w:t>
            </w:r>
          </w:p>
        </w:tc>
        <w:tc>
          <w:tcPr>
            <w:tcW w:w="714" w:type="pct"/>
            <w:vAlign w:val="center"/>
          </w:tcPr>
          <w:p w14:paraId="5F56B66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0.540</w:t>
            </w:r>
          </w:p>
        </w:tc>
      </w:tr>
      <w:tr w14:paraId="3CC57F33">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37E0FDF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淮河下游</w:t>
            </w:r>
          </w:p>
        </w:tc>
        <w:tc>
          <w:tcPr>
            <w:tcW w:w="713" w:type="pct"/>
            <w:vAlign w:val="center"/>
          </w:tcPr>
          <w:p w14:paraId="4D7ADEE4">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358</w:t>
            </w:r>
          </w:p>
        </w:tc>
        <w:tc>
          <w:tcPr>
            <w:tcW w:w="713" w:type="pct"/>
            <w:vAlign w:val="center"/>
          </w:tcPr>
          <w:p w14:paraId="7DC5B09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淮河</w:t>
            </w:r>
          </w:p>
        </w:tc>
        <w:tc>
          <w:tcPr>
            <w:tcW w:w="714" w:type="pct"/>
            <w:vAlign w:val="center"/>
          </w:tcPr>
          <w:p w14:paraId="2414499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湿润-半湿润</w:t>
            </w:r>
          </w:p>
        </w:tc>
        <w:tc>
          <w:tcPr>
            <w:tcW w:w="713" w:type="pct"/>
            <w:vAlign w:val="center"/>
          </w:tcPr>
          <w:p w14:paraId="3957799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0.581</w:t>
            </w:r>
          </w:p>
        </w:tc>
        <w:tc>
          <w:tcPr>
            <w:tcW w:w="713" w:type="pct"/>
            <w:vAlign w:val="center"/>
          </w:tcPr>
          <w:p w14:paraId="6BDFC8D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0.608</w:t>
            </w:r>
          </w:p>
        </w:tc>
        <w:tc>
          <w:tcPr>
            <w:tcW w:w="714" w:type="pct"/>
            <w:vAlign w:val="center"/>
          </w:tcPr>
          <w:p w14:paraId="0328515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0.540</w:t>
            </w:r>
          </w:p>
        </w:tc>
      </w:tr>
      <w:tr w14:paraId="523D8746">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7FADA66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海河南系</w:t>
            </w:r>
          </w:p>
        </w:tc>
        <w:tc>
          <w:tcPr>
            <w:tcW w:w="713" w:type="pct"/>
            <w:vAlign w:val="center"/>
          </w:tcPr>
          <w:p w14:paraId="43D51329">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858</w:t>
            </w:r>
          </w:p>
        </w:tc>
        <w:tc>
          <w:tcPr>
            <w:tcW w:w="713" w:type="pct"/>
            <w:vAlign w:val="center"/>
          </w:tcPr>
          <w:p w14:paraId="604CD4A6">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w:t>
            </w:r>
          </w:p>
        </w:tc>
        <w:tc>
          <w:tcPr>
            <w:tcW w:w="714" w:type="pct"/>
            <w:vAlign w:val="center"/>
          </w:tcPr>
          <w:p w14:paraId="7E86CC7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w:t>
            </w:r>
          </w:p>
        </w:tc>
        <w:tc>
          <w:tcPr>
            <w:tcW w:w="713" w:type="pct"/>
            <w:vAlign w:val="center"/>
          </w:tcPr>
          <w:p w14:paraId="145E6A6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0.592</w:t>
            </w:r>
          </w:p>
        </w:tc>
        <w:tc>
          <w:tcPr>
            <w:tcW w:w="713" w:type="pct"/>
            <w:vAlign w:val="center"/>
          </w:tcPr>
          <w:p w14:paraId="05252A1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0.608</w:t>
            </w:r>
          </w:p>
        </w:tc>
        <w:tc>
          <w:tcPr>
            <w:tcW w:w="714" w:type="pct"/>
            <w:vAlign w:val="center"/>
          </w:tcPr>
          <w:p w14:paraId="7DCD90E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0.548</w:t>
            </w:r>
          </w:p>
        </w:tc>
      </w:tr>
      <w:tr w14:paraId="581E8F7F">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1D7B64A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西辽河</w:t>
            </w:r>
          </w:p>
        </w:tc>
        <w:tc>
          <w:tcPr>
            <w:tcW w:w="713" w:type="pct"/>
            <w:vAlign w:val="center"/>
          </w:tcPr>
          <w:p w14:paraId="21D1BE9A">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102</w:t>
            </w:r>
          </w:p>
        </w:tc>
        <w:tc>
          <w:tcPr>
            <w:tcW w:w="713" w:type="pct"/>
            <w:vAlign w:val="center"/>
          </w:tcPr>
          <w:p w14:paraId="0689E28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辽河</w:t>
            </w:r>
          </w:p>
        </w:tc>
        <w:tc>
          <w:tcPr>
            <w:tcW w:w="714" w:type="pct"/>
            <w:vAlign w:val="center"/>
          </w:tcPr>
          <w:p w14:paraId="72C5156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半湿润-半干旱</w:t>
            </w:r>
          </w:p>
        </w:tc>
        <w:tc>
          <w:tcPr>
            <w:tcW w:w="713" w:type="pct"/>
            <w:vAlign w:val="center"/>
          </w:tcPr>
          <w:p w14:paraId="0DD437D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0.473</w:t>
            </w:r>
          </w:p>
        </w:tc>
        <w:tc>
          <w:tcPr>
            <w:tcW w:w="713" w:type="pct"/>
            <w:vAlign w:val="center"/>
          </w:tcPr>
          <w:p w14:paraId="216EF7F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0.575</w:t>
            </w:r>
          </w:p>
        </w:tc>
        <w:tc>
          <w:tcPr>
            <w:tcW w:w="714" w:type="pct"/>
            <w:vAlign w:val="center"/>
          </w:tcPr>
          <w:p w14:paraId="392B95C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0.554</w:t>
            </w:r>
          </w:p>
        </w:tc>
      </w:tr>
      <w:tr w14:paraId="4D4C4694">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2773D38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海河北系</w:t>
            </w:r>
          </w:p>
        </w:tc>
        <w:tc>
          <w:tcPr>
            <w:tcW w:w="713" w:type="pct"/>
            <w:vAlign w:val="center"/>
          </w:tcPr>
          <w:p w14:paraId="2187AEF4">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620</w:t>
            </w:r>
          </w:p>
        </w:tc>
        <w:tc>
          <w:tcPr>
            <w:tcW w:w="713" w:type="pct"/>
            <w:vAlign w:val="center"/>
          </w:tcPr>
          <w:p w14:paraId="6D4F7B3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海河</w:t>
            </w:r>
          </w:p>
        </w:tc>
        <w:tc>
          <w:tcPr>
            <w:tcW w:w="714" w:type="pct"/>
            <w:vAlign w:val="center"/>
          </w:tcPr>
          <w:p w14:paraId="1D37C0A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半湿润-半干旱</w:t>
            </w:r>
          </w:p>
        </w:tc>
        <w:tc>
          <w:tcPr>
            <w:tcW w:w="713" w:type="pct"/>
            <w:vAlign w:val="center"/>
          </w:tcPr>
          <w:p w14:paraId="7EE5C8D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0.459</w:t>
            </w:r>
          </w:p>
        </w:tc>
        <w:tc>
          <w:tcPr>
            <w:tcW w:w="713" w:type="pct"/>
            <w:vAlign w:val="center"/>
          </w:tcPr>
          <w:p w14:paraId="5057A119">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0.487</w:t>
            </w:r>
          </w:p>
        </w:tc>
        <w:tc>
          <w:tcPr>
            <w:tcW w:w="714" w:type="pct"/>
            <w:vAlign w:val="center"/>
          </w:tcPr>
          <w:p w14:paraId="4CCC1B9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0.462</w:t>
            </w:r>
          </w:p>
        </w:tc>
      </w:tr>
      <w:tr w14:paraId="61130331">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023C6ED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龙门至三峡口</w:t>
            </w:r>
          </w:p>
        </w:tc>
        <w:tc>
          <w:tcPr>
            <w:tcW w:w="713" w:type="pct"/>
            <w:vAlign w:val="center"/>
          </w:tcPr>
          <w:p w14:paraId="6375D89E">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508</w:t>
            </w:r>
          </w:p>
        </w:tc>
        <w:tc>
          <w:tcPr>
            <w:tcW w:w="713" w:type="pct"/>
            <w:vAlign w:val="center"/>
          </w:tcPr>
          <w:p w14:paraId="3B04186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黄河</w:t>
            </w:r>
          </w:p>
        </w:tc>
        <w:tc>
          <w:tcPr>
            <w:tcW w:w="714" w:type="pct"/>
            <w:vAlign w:val="center"/>
          </w:tcPr>
          <w:p w14:paraId="2729846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半湿润-半干旱</w:t>
            </w:r>
          </w:p>
        </w:tc>
        <w:tc>
          <w:tcPr>
            <w:tcW w:w="713" w:type="pct"/>
            <w:vAlign w:val="center"/>
          </w:tcPr>
          <w:p w14:paraId="7EC8705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0.421</w:t>
            </w:r>
          </w:p>
        </w:tc>
        <w:tc>
          <w:tcPr>
            <w:tcW w:w="713" w:type="pct"/>
            <w:vAlign w:val="center"/>
          </w:tcPr>
          <w:p w14:paraId="6A8A205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0.498</w:t>
            </w:r>
          </w:p>
        </w:tc>
        <w:tc>
          <w:tcPr>
            <w:tcW w:w="714" w:type="pct"/>
            <w:vAlign w:val="center"/>
          </w:tcPr>
          <w:p w14:paraId="500814C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0.418</w:t>
            </w:r>
          </w:p>
        </w:tc>
      </w:tr>
      <w:tr w14:paraId="198874F4">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316E5F4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兰州至河口镇</w:t>
            </w:r>
          </w:p>
        </w:tc>
        <w:tc>
          <w:tcPr>
            <w:tcW w:w="713" w:type="pct"/>
            <w:vAlign w:val="center"/>
          </w:tcPr>
          <w:p w14:paraId="7249A63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455</w:t>
            </w:r>
          </w:p>
        </w:tc>
        <w:tc>
          <w:tcPr>
            <w:tcW w:w="713" w:type="pct"/>
            <w:vAlign w:val="center"/>
          </w:tcPr>
          <w:p w14:paraId="0E7994A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黄河</w:t>
            </w:r>
          </w:p>
        </w:tc>
        <w:tc>
          <w:tcPr>
            <w:tcW w:w="714" w:type="pct"/>
            <w:vAlign w:val="center"/>
          </w:tcPr>
          <w:p w14:paraId="6947641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干旱-半干旱</w:t>
            </w:r>
          </w:p>
        </w:tc>
        <w:tc>
          <w:tcPr>
            <w:tcW w:w="713" w:type="pct"/>
            <w:vAlign w:val="center"/>
          </w:tcPr>
          <w:p w14:paraId="72D889E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0.471</w:t>
            </w:r>
          </w:p>
        </w:tc>
        <w:tc>
          <w:tcPr>
            <w:tcW w:w="713" w:type="pct"/>
            <w:vAlign w:val="center"/>
          </w:tcPr>
          <w:p w14:paraId="782EFC7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0.496</w:t>
            </w:r>
          </w:p>
        </w:tc>
        <w:tc>
          <w:tcPr>
            <w:tcW w:w="714" w:type="pct"/>
            <w:vAlign w:val="center"/>
          </w:tcPr>
          <w:p w14:paraId="3D985F2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0.454</w:t>
            </w:r>
          </w:p>
        </w:tc>
      </w:tr>
      <w:tr w14:paraId="1A029F49">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22FB772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拉孜至派乡</w:t>
            </w:r>
          </w:p>
        </w:tc>
        <w:tc>
          <w:tcPr>
            <w:tcW w:w="713" w:type="pct"/>
            <w:vAlign w:val="center"/>
          </w:tcPr>
          <w:p w14:paraId="2417DE9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9</w:t>
            </w:r>
            <w:r>
              <w:rPr>
                <w:rFonts w:cs="Arial"/>
                <w:kern w:val="0"/>
                <w:sz w:val="15"/>
                <w:szCs w:val="20"/>
                <w:lang w:val="zh-CN"/>
              </w:rPr>
              <w:t>4</w:t>
            </w:r>
          </w:p>
        </w:tc>
        <w:tc>
          <w:tcPr>
            <w:tcW w:w="713" w:type="pct"/>
            <w:vAlign w:val="center"/>
          </w:tcPr>
          <w:p w14:paraId="42C29674">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西南诸河</w:t>
            </w:r>
          </w:p>
        </w:tc>
        <w:tc>
          <w:tcPr>
            <w:tcW w:w="714" w:type="pct"/>
            <w:vAlign w:val="center"/>
          </w:tcPr>
          <w:p w14:paraId="3E12ACF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半干旱</w:t>
            </w:r>
          </w:p>
        </w:tc>
        <w:tc>
          <w:tcPr>
            <w:tcW w:w="713" w:type="pct"/>
            <w:vAlign w:val="center"/>
          </w:tcPr>
          <w:p w14:paraId="6D817A5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0.628</w:t>
            </w:r>
          </w:p>
        </w:tc>
        <w:tc>
          <w:tcPr>
            <w:tcW w:w="713" w:type="pct"/>
            <w:vAlign w:val="center"/>
          </w:tcPr>
          <w:p w14:paraId="1B3FE8FA">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0.563</w:t>
            </w:r>
          </w:p>
        </w:tc>
        <w:tc>
          <w:tcPr>
            <w:tcW w:w="714" w:type="pct"/>
            <w:vAlign w:val="center"/>
          </w:tcPr>
          <w:p w14:paraId="7DD9724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0.526</w:t>
            </w:r>
          </w:p>
        </w:tc>
      </w:tr>
      <w:tr w14:paraId="78FBDAAE">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71A566B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黑河</w:t>
            </w:r>
          </w:p>
        </w:tc>
        <w:tc>
          <w:tcPr>
            <w:tcW w:w="713" w:type="pct"/>
            <w:vAlign w:val="center"/>
          </w:tcPr>
          <w:p w14:paraId="716196D3">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89</w:t>
            </w:r>
          </w:p>
        </w:tc>
        <w:tc>
          <w:tcPr>
            <w:tcW w:w="713" w:type="pct"/>
            <w:vAlign w:val="center"/>
          </w:tcPr>
          <w:p w14:paraId="47E406A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w:t>
            </w:r>
          </w:p>
        </w:tc>
        <w:tc>
          <w:tcPr>
            <w:tcW w:w="714" w:type="pct"/>
            <w:vAlign w:val="center"/>
          </w:tcPr>
          <w:p w14:paraId="11E0F5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w:t>
            </w:r>
          </w:p>
        </w:tc>
        <w:tc>
          <w:tcPr>
            <w:tcW w:w="713" w:type="pct"/>
            <w:vAlign w:val="center"/>
          </w:tcPr>
          <w:p w14:paraId="7E3A540E">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0.503</w:t>
            </w:r>
          </w:p>
        </w:tc>
        <w:tc>
          <w:tcPr>
            <w:tcW w:w="713" w:type="pct"/>
            <w:vAlign w:val="center"/>
          </w:tcPr>
          <w:p w14:paraId="1EB791C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0.447</w:t>
            </w:r>
          </w:p>
        </w:tc>
        <w:tc>
          <w:tcPr>
            <w:tcW w:w="714" w:type="pct"/>
            <w:vAlign w:val="center"/>
          </w:tcPr>
          <w:p w14:paraId="035F458D">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0.427</w:t>
            </w:r>
          </w:p>
        </w:tc>
      </w:tr>
      <w:tr w14:paraId="5CA350DA">
        <w:tblPrEx>
          <w:tblCellMar>
            <w:top w:w="0" w:type="dxa"/>
            <w:left w:w="108" w:type="dxa"/>
            <w:bottom w:w="0" w:type="dxa"/>
            <w:right w:w="108" w:type="dxa"/>
          </w:tblCellMar>
        </w:tblPrEx>
        <w:trPr>
          <w:gridAfter w:val="1"/>
          <w:wAfter w:w="6" w:type="pct"/>
          <w:trHeight w:val="312" w:hRule="atLeast"/>
          <w:jc w:val="center"/>
        </w:trPr>
        <w:tc>
          <w:tcPr>
            <w:tcW w:w="713" w:type="pct"/>
            <w:vAlign w:val="center"/>
          </w:tcPr>
          <w:p w14:paraId="710148B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石羊河</w:t>
            </w:r>
          </w:p>
        </w:tc>
        <w:tc>
          <w:tcPr>
            <w:tcW w:w="713" w:type="pct"/>
            <w:vAlign w:val="center"/>
          </w:tcPr>
          <w:p w14:paraId="594F3F90">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84</w:t>
            </w:r>
          </w:p>
        </w:tc>
        <w:tc>
          <w:tcPr>
            <w:tcW w:w="713" w:type="pct"/>
            <w:vAlign w:val="center"/>
          </w:tcPr>
          <w:p w14:paraId="5046623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w:t>
            </w:r>
          </w:p>
        </w:tc>
        <w:tc>
          <w:tcPr>
            <w:tcW w:w="714" w:type="pct"/>
            <w:vAlign w:val="center"/>
          </w:tcPr>
          <w:p w14:paraId="3733795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w:t>
            </w:r>
          </w:p>
        </w:tc>
        <w:tc>
          <w:tcPr>
            <w:tcW w:w="713" w:type="pct"/>
            <w:vAlign w:val="center"/>
          </w:tcPr>
          <w:p w14:paraId="4CC35E91">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0.532</w:t>
            </w:r>
          </w:p>
        </w:tc>
        <w:tc>
          <w:tcPr>
            <w:tcW w:w="713" w:type="pct"/>
            <w:vAlign w:val="center"/>
          </w:tcPr>
          <w:p w14:paraId="7E0FB797">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0.391</w:t>
            </w:r>
          </w:p>
        </w:tc>
        <w:tc>
          <w:tcPr>
            <w:tcW w:w="714" w:type="pct"/>
            <w:vAlign w:val="center"/>
          </w:tcPr>
          <w:p w14:paraId="3C0310AB">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0.481</w:t>
            </w:r>
          </w:p>
        </w:tc>
      </w:tr>
      <w:tr w14:paraId="31ADF462">
        <w:tblPrEx>
          <w:tblCellMar>
            <w:top w:w="0" w:type="dxa"/>
            <w:left w:w="108" w:type="dxa"/>
            <w:bottom w:w="0" w:type="dxa"/>
            <w:right w:w="108" w:type="dxa"/>
          </w:tblCellMar>
        </w:tblPrEx>
        <w:trPr>
          <w:gridAfter w:val="1"/>
          <w:wAfter w:w="6" w:type="pct"/>
          <w:trHeight w:val="312" w:hRule="atLeast"/>
          <w:jc w:val="center"/>
        </w:trPr>
        <w:tc>
          <w:tcPr>
            <w:tcW w:w="713" w:type="pct"/>
            <w:tcBorders>
              <w:bottom w:val="single" w:color="auto" w:sz="12" w:space="0"/>
            </w:tcBorders>
            <w:vAlign w:val="center"/>
          </w:tcPr>
          <w:p w14:paraId="0061A825">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天山北麓诸河</w:t>
            </w:r>
          </w:p>
        </w:tc>
        <w:tc>
          <w:tcPr>
            <w:tcW w:w="713" w:type="pct"/>
            <w:tcBorders>
              <w:bottom w:val="single" w:color="auto" w:sz="12" w:space="0"/>
            </w:tcBorders>
            <w:vAlign w:val="center"/>
          </w:tcPr>
          <w:p w14:paraId="3D7C4AF7">
            <w:pPr>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1</w:t>
            </w:r>
            <w:r>
              <w:rPr>
                <w:rFonts w:hint="eastAsia" w:cs="Arial"/>
                <w:kern w:val="0"/>
                <w:sz w:val="15"/>
                <w:szCs w:val="20"/>
                <w:lang w:val="zh-CN"/>
              </w:rPr>
              <w:t>24</w:t>
            </w:r>
          </w:p>
        </w:tc>
        <w:tc>
          <w:tcPr>
            <w:tcW w:w="713" w:type="pct"/>
            <w:tcBorders>
              <w:bottom w:val="single" w:color="auto" w:sz="12" w:space="0"/>
            </w:tcBorders>
            <w:vAlign w:val="center"/>
          </w:tcPr>
          <w:p w14:paraId="6454B00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内陆河</w:t>
            </w:r>
          </w:p>
        </w:tc>
        <w:tc>
          <w:tcPr>
            <w:tcW w:w="714" w:type="pct"/>
            <w:tcBorders>
              <w:bottom w:val="single" w:color="auto" w:sz="12" w:space="0"/>
            </w:tcBorders>
            <w:vAlign w:val="center"/>
          </w:tcPr>
          <w:p w14:paraId="1FF31ED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干旱</w:t>
            </w:r>
          </w:p>
        </w:tc>
        <w:tc>
          <w:tcPr>
            <w:tcW w:w="713" w:type="pct"/>
            <w:tcBorders>
              <w:bottom w:val="single" w:color="auto" w:sz="12" w:space="0"/>
            </w:tcBorders>
            <w:vAlign w:val="center"/>
          </w:tcPr>
          <w:p w14:paraId="4CF4084F">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0.559</w:t>
            </w:r>
          </w:p>
        </w:tc>
        <w:tc>
          <w:tcPr>
            <w:tcW w:w="713" w:type="pct"/>
            <w:tcBorders>
              <w:bottom w:val="single" w:color="auto" w:sz="12" w:space="0"/>
            </w:tcBorders>
            <w:vAlign w:val="center"/>
          </w:tcPr>
          <w:p w14:paraId="48EF9A7C">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0.489</w:t>
            </w:r>
          </w:p>
        </w:tc>
        <w:tc>
          <w:tcPr>
            <w:tcW w:w="714" w:type="pct"/>
            <w:tcBorders>
              <w:bottom w:val="single" w:color="auto" w:sz="12" w:space="0"/>
            </w:tcBorders>
            <w:vAlign w:val="center"/>
          </w:tcPr>
          <w:p w14:paraId="2B067472">
            <w:pPr>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0.613</w:t>
            </w:r>
          </w:p>
        </w:tc>
      </w:tr>
      <w:bookmarkEnd w:id="55"/>
    </w:tbl>
    <w:p w14:paraId="79852B90">
      <w:pPr>
        <w:pStyle w:val="2"/>
      </w:pPr>
      <w:r>
        <w:rPr>
          <w:rFonts w:hint="eastAsia"/>
          <w:lang w:val="zh-CN"/>
        </w:rPr>
        <w:t>4 讨论</w:t>
      </w:r>
    </w:p>
    <w:p w14:paraId="04E53CF6">
      <w:pPr>
        <w:pStyle w:val="3"/>
        <w:rPr>
          <w:lang w:val="zh-CN"/>
        </w:rPr>
      </w:pPr>
      <w:r>
        <w:rPr>
          <w:rFonts w:hint="eastAsia"/>
          <w:lang w:val="zh-CN"/>
        </w:rPr>
        <w:t xml:space="preserve">4.1 </w:t>
      </w:r>
      <w:r>
        <w:rPr>
          <w:rFonts w:hint="eastAsia"/>
          <w:i/>
          <w:iCs/>
          <w:lang w:val="zh-CN"/>
        </w:rPr>
        <w:t>GSEI</w:t>
      </w:r>
      <w:r>
        <w:rPr>
          <w:rFonts w:hint="eastAsia"/>
          <w:lang w:val="zh-CN"/>
        </w:rPr>
        <w:t>的合理性与优势</w:t>
      </w:r>
    </w:p>
    <w:p w14:paraId="69605067">
      <w:pPr>
        <w:ind w:firstLine="420"/>
      </w:pPr>
      <w:r>
        <w:rPr>
          <w:rFonts w:hint="eastAsia"/>
        </w:rPr>
        <w:t>与以往研究中采用的相关系数相比，本文提出的适用性指标考虑了趋势、相位和幅度三个角度，比相关系数更为严格。图3为部分像元最佳GWSA产品与实测地下水位变化时间序列图，像元所在位置如图1所示。从图3对应时间序列图中能够直观地发现，A1像元的GWSA与实测地下水位变化的相位和幅度一致性较低，与</w:t>
      </w:r>
      <w:r>
        <w:rPr>
          <w:rFonts w:hint="eastAsia"/>
          <w:i/>
          <w:iCs/>
        </w:rPr>
        <w:t>PCV</w:t>
      </w:r>
      <w:r>
        <w:rPr>
          <w:rFonts w:hint="eastAsia"/>
        </w:rPr>
        <w:t>和</w:t>
      </w:r>
      <w:r>
        <w:rPr>
          <w:rFonts w:hint="eastAsia"/>
          <w:i/>
          <w:iCs/>
        </w:rPr>
        <w:t>ACV</w:t>
      </w:r>
      <w:r>
        <w:rPr>
          <w:rFonts w:hint="eastAsia"/>
        </w:rPr>
        <w:t>结果一致（见表7）。而A2像元的GWSA与实测地下水位变化的幅度一致性较低，A3像元两个时间序列相位一致性较低，如表7所列， A2像元的ACV和A3像元的PCV低于阈值，这与时间序列图所呈现的情况相符。由此可见，本文提出的适用性评价指标比相关系数更为全面。</w:t>
      </w:r>
    </w:p>
    <w:p w14:paraId="2EF9719C">
      <w:pPr>
        <w:ind w:firstLine="420"/>
      </w:pPr>
      <w:r>
        <w:rPr>
          <w:rFonts w:hint="eastAsia"/>
        </w:rPr>
        <w:t>在部分结果中，如B1、B2，</w:t>
      </w:r>
      <w:r>
        <w:rPr>
          <w:rFonts w:hint="eastAsia"/>
          <w:i/>
          <w:iCs/>
        </w:rPr>
        <w:t>GSEI</w:t>
      </w:r>
      <w:r>
        <w:rPr>
          <w:rFonts w:hint="eastAsia"/>
        </w:rPr>
        <w:t>大于相关系数（见表7）。这种情况通常出现在</w:t>
      </w:r>
      <w:r>
        <w:rPr>
          <w:rFonts w:hint="eastAsia"/>
          <w:i/>
          <w:iCs/>
        </w:rPr>
        <w:t>CC</w:t>
      </w:r>
      <w:r>
        <w:rPr>
          <w:rFonts w:hint="eastAsia"/>
        </w:rPr>
        <w:t>低于阈值而</w:t>
      </w:r>
      <w:r>
        <w:rPr>
          <w:rFonts w:hint="eastAsia"/>
          <w:i/>
          <w:iCs/>
        </w:rPr>
        <w:t>ACV</w:t>
      </w:r>
      <w:r>
        <w:rPr>
          <w:rFonts w:hint="eastAsia"/>
        </w:rPr>
        <w:t>或</w:t>
      </w:r>
      <w:r>
        <w:rPr>
          <w:rFonts w:hint="eastAsia"/>
          <w:i/>
          <w:iCs/>
        </w:rPr>
        <w:t>PCV</w:t>
      </w:r>
      <w:r>
        <w:rPr>
          <w:rFonts w:hint="eastAsia"/>
        </w:rPr>
        <w:t>高于阈值时，出现这种情况的原因可能是：（1）本文提出的适用性指标加入相位与幅度一致性指标，弥补了相关系数在表征相位和幅度一致性时的不足；（2）本文提出的综合适用性指数与相关系数值域不同，前者值域为[0，1]，后者为[-1，1]。此外，部分区域的</w:t>
      </w:r>
      <w:r>
        <w:rPr>
          <w:rFonts w:hint="eastAsia"/>
          <w:i/>
          <w:iCs/>
        </w:rPr>
        <w:t>GSEI</w:t>
      </w:r>
      <w:r>
        <w:rPr>
          <w:rFonts w:hint="eastAsia"/>
        </w:rPr>
        <w:t>与相关系数基本一致，如C1（见图3和表7）。</w:t>
      </w:r>
    </w:p>
    <w:tbl>
      <w:tblPr>
        <w:tblStyle w:val="14"/>
        <w:tblW w:w="5726" w:type="pct"/>
        <w:jc w:val="center"/>
        <w:tblLayout w:type="autofit"/>
        <w:tblCellMar>
          <w:top w:w="0" w:type="dxa"/>
          <w:left w:w="108" w:type="dxa"/>
          <w:bottom w:w="0" w:type="dxa"/>
          <w:right w:w="108" w:type="dxa"/>
        </w:tblCellMar>
      </w:tblPr>
      <w:tblGrid>
        <w:gridCol w:w="4879"/>
        <w:gridCol w:w="4880"/>
      </w:tblGrid>
      <w:tr w14:paraId="680F5BC9">
        <w:tblPrEx>
          <w:tblCellMar>
            <w:top w:w="0" w:type="dxa"/>
            <w:left w:w="108" w:type="dxa"/>
            <w:bottom w:w="0" w:type="dxa"/>
            <w:right w:w="108" w:type="dxa"/>
          </w:tblCellMar>
        </w:tblPrEx>
        <w:trPr>
          <w:trHeight w:val="2551" w:hRule="atLeast"/>
          <w:jc w:val="center"/>
        </w:trPr>
        <w:tc>
          <w:tcPr>
            <w:tcW w:w="4756" w:type="dxa"/>
            <w:vAlign w:val="center"/>
          </w:tcPr>
          <w:p w14:paraId="3288409E">
            <w:pPr>
              <w:spacing w:line="0" w:lineRule="atLeast"/>
              <w:ind w:firstLine="0" w:firstLineChars="0"/>
              <w:jc w:val="center"/>
              <w:outlineLvl w:val="1"/>
              <w:rPr>
                <w:kern w:val="0"/>
                <w:sz w:val="15"/>
                <w:lang w:val="zh-CN"/>
              </w:rPr>
            </w:pPr>
            <w:r>
              <w:drawing>
                <wp:inline distT="0" distB="0" distL="0" distR="0">
                  <wp:extent cx="2879725" cy="1576705"/>
                  <wp:effectExtent l="0" t="0" r="0"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42"/>
                          <a:stretch>
                            <a:fillRect/>
                          </a:stretch>
                        </pic:blipFill>
                        <pic:spPr>
                          <a:xfrm>
                            <a:off x="0" y="0"/>
                            <a:ext cx="2880000" cy="1577062"/>
                          </a:xfrm>
                          <a:prstGeom prst="rect">
                            <a:avLst/>
                          </a:prstGeom>
                        </pic:spPr>
                      </pic:pic>
                    </a:graphicData>
                  </a:graphic>
                </wp:inline>
              </w:drawing>
            </w:r>
          </w:p>
        </w:tc>
        <w:tc>
          <w:tcPr>
            <w:tcW w:w="4756" w:type="dxa"/>
            <w:vAlign w:val="center"/>
          </w:tcPr>
          <w:p w14:paraId="3023CA29">
            <w:pPr>
              <w:spacing w:line="0" w:lineRule="atLeast"/>
              <w:ind w:firstLine="0" w:firstLineChars="0"/>
              <w:jc w:val="center"/>
              <w:outlineLvl w:val="1"/>
              <w:rPr>
                <w:kern w:val="0"/>
                <w:sz w:val="15"/>
                <w:lang w:val="zh-CN"/>
              </w:rPr>
            </w:pPr>
            <w:r>
              <w:drawing>
                <wp:inline distT="0" distB="0" distL="0" distR="0">
                  <wp:extent cx="2879725" cy="15779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3"/>
                          <a:stretch>
                            <a:fillRect/>
                          </a:stretch>
                        </pic:blipFill>
                        <pic:spPr>
                          <a:xfrm>
                            <a:off x="0" y="0"/>
                            <a:ext cx="2880000" cy="1578592"/>
                          </a:xfrm>
                          <a:prstGeom prst="rect">
                            <a:avLst/>
                          </a:prstGeom>
                        </pic:spPr>
                      </pic:pic>
                    </a:graphicData>
                  </a:graphic>
                </wp:inline>
              </w:drawing>
            </w:r>
          </w:p>
        </w:tc>
      </w:tr>
      <w:tr w14:paraId="135451E4">
        <w:tblPrEx>
          <w:tblCellMar>
            <w:top w:w="0" w:type="dxa"/>
            <w:left w:w="108" w:type="dxa"/>
            <w:bottom w:w="0" w:type="dxa"/>
            <w:right w:w="108" w:type="dxa"/>
          </w:tblCellMar>
        </w:tblPrEx>
        <w:trPr>
          <w:trHeight w:val="170" w:hRule="atLeast"/>
          <w:jc w:val="center"/>
        </w:trPr>
        <w:tc>
          <w:tcPr>
            <w:tcW w:w="4756" w:type="dxa"/>
            <w:vAlign w:val="center"/>
          </w:tcPr>
          <w:p w14:paraId="30412681">
            <w:pPr>
              <w:spacing w:line="0" w:lineRule="atLeast"/>
              <w:ind w:firstLine="0" w:firstLineChars="0"/>
              <w:jc w:val="center"/>
              <w:outlineLvl w:val="1"/>
              <w:rPr>
                <w:kern w:val="0"/>
                <w:sz w:val="15"/>
                <w:lang w:val="zh-CN"/>
              </w:rPr>
            </w:pPr>
            <w:r>
              <w:rPr>
                <w:rFonts w:hint="eastAsia"/>
                <w:kern w:val="0"/>
                <w:sz w:val="15"/>
                <w:lang w:val="zh-CN"/>
              </w:rPr>
              <w:t>（a）A1</w:t>
            </w:r>
          </w:p>
        </w:tc>
        <w:tc>
          <w:tcPr>
            <w:tcW w:w="4756" w:type="dxa"/>
            <w:vAlign w:val="center"/>
          </w:tcPr>
          <w:p w14:paraId="4E6EFFB3">
            <w:pPr>
              <w:spacing w:line="0" w:lineRule="atLeast"/>
              <w:ind w:firstLine="0" w:firstLineChars="0"/>
              <w:jc w:val="center"/>
              <w:outlineLvl w:val="1"/>
              <w:rPr>
                <w:kern w:val="0"/>
                <w:sz w:val="15"/>
                <w:lang w:val="zh-CN"/>
              </w:rPr>
            </w:pPr>
            <w:r>
              <w:rPr>
                <w:rFonts w:hint="eastAsia"/>
                <w:kern w:val="0"/>
                <w:sz w:val="15"/>
                <w:lang w:val="zh-CN"/>
              </w:rPr>
              <w:t>（b）A2</w:t>
            </w:r>
          </w:p>
        </w:tc>
      </w:tr>
      <w:tr w14:paraId="2A3EB06A">
        <w:tblPrEx>
          <w:tblCellMar>
            <w:top w:w="0" w:type="dxa"/>
            <w:left w:w="108" w:type="dxa"/>
            <w:bottom w:w="0" w:type="dxa"/>
            <w:right w:w="108" w:type="dxa"/>
          </w:tblCellMar>
        </w:tblPrEx>
        <w:trPr>
          <w:trHeight w:val="2268" w:hRule="atLeast"/>
          <w:jc w:val="center"/>
        </w:trPr>
        <w:tc>
          <w:tcPr>
            <w:tcW w:w="4756" w:type="dxa"/>
            <w:vAlign w:val="center"/>
          </w:tcPr>
          <w:p w14:paraId="24D665D5">
            <w:pPr>
              <w:spacing w:line="0" w:lineRule="atLeast"/>
              <w:ind w:firstLine="0" w:firstLineChars="0"/>
              <w:jc w:val="center"/>
              <w:outlineLvl w:val="1"/>
              <w:rPr>
                <w:kern w:val="0"/>
                <w:sz w:val="15"/>
                <w:lang w:val="zh-CN"/>
              </w:rPr>
            </w:pPr>
            <w:r>
              <w:rPr>
                <w:kern w:val="0"/>
                <w:sz w:val="15"/>
                <w:lang w:val="zh-CN"/>
              </w:rPr>
              <w:drawing>
                <wp:inline distT="0" distB="0" distL="0" distR="0">
                  <wp:extent cx="2879725" cy="1580515"/>
                  <wp:effectExtent l="0" t="0" r="0" b="635"/>
                  <wp:docPr id="9376012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1277" name="图片 2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2880000" cy="1580651"/>
                          </a:xfrm>
                          <a:prstGeom prst="rect">
                            <a:avLst/>
                          </a:prstGeom>
                          <a:noFill/>
                        </pic:spPr>
                      </pic:pic>
                    </a:graphicData>
                  </a:graphic>
                </wp:inline>
              </w:drawing>
            </w:r>
          </w:p>
        </w:tc>
        <w:tc>
          <w:tcPr>
            <w:tcW w:w="4756" w:type="dxa"/>
            <w:vAlign w:val="center"/>
          </w:tcPr>
          <w:p w14:paraId="500D533A">
            <w:pPr>
              <w:spacing w:line="0" w:lineRule="atLeast"/>
              <w:ind w:firstLine="0" w:firstLineChars="0"/>
              <w:jc w:val="center"/>
              <w:outlineLvl w:val="1"/>
              <w:rPr>
                <w:kern w:val="0"/>
                <w:sz w:val="15"/>
                <w:lang w:val="zh-CN"/>
              </w:rPr>
            </w:pPr>
            <w:r>
              <w:drawing>
                <wp:inline distT="0" distB="0" distL="0" distR="0">
                  <wp:extent cx="2879725" cy="1579880"/>
                  <wp:effectExtent l="0" t="0" r="0" b="127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45"/>
                          <a:stretch>
                            <a:fillRect/>
                          </a:stretch>
                        </pic:blipFill>
                        <pic:spPr>
                          <a:xfrm>
                            <a:off x="0" y="0"/>
                            <a:ext cx="2880000" cy="1580447"/>
                          </a:xfrm>
                          <a:prstGeom prst="rect">
                            <a:avLst/>
                          </a:prstGeom>
                        </pic:spPr>
                      </pic:pic>
                    </a:graphicData>
                  </a:graphic>
                </wp:inline>
              </w:drawing>
            </w:r>
          </w:p>
        </w:tc>
      </w:tr>
      <w:tr w14:paraId="71797918">
        <w:tblPrEx>
          <w:tblCellMar>
            <w:top w:w="0" w:type="dxa"/>
            <w:left w:w="108" w:type="dxa"/>
            <w:bottom w:w="0" w:type="dxa"/>
            <w:right w:w="108" w:type="dxa"/>
          </w:tblCellMar>
        </w:tblPrEx>
        <w:trPr>
          <w:trHeight w:val="170" w:hRule="atLeast"/>
          <w:jc w:val="center"/>
        </w:trPr>
        <w:tc>
          <w:tcPr>
            <w:tcW w:w="4756" w:type="dxa"/>
            <w:vAlign w:val="center"/>
          </w:tcPr>
          <w:p w14:paraId="42028BE7">
            <w:pPr>
              <w:spacing w:line="0" w:lineRule="atLeast"/>
              <w:ind w:firstLine="0" w:firstLineChars="0"/>
              <w:jc w:val="center"/>
              <w:outlineLvl w:val="1"/>
              <w:rPr>
                <w:kern w:val="0"/>
                <w:sz w:val="15"/>
                <w:lang w:val="zh-CN"/>
              </w:rPr>
            </w:pPr>
            <w:r>
              <w:rPr>
                <w:rFonts w:hint="eastAsia"/>
                <w:kern w:val="0"/>
                <w:sz w:val="15"/>
                <w:lang w:val="zh-CN"/>
              </w:rPr>
              <w:t>（c）A3</w:t>
            </w:r>
          </w:p>
        </w:tc>
        <w:tc>
          <w:tcPr>
            <w:tcW w:w="4756" w:type="dxa"/>
            <w:vAlign w:val="center"/>
          </w:tcPr>
          <w:p w14:paraId="76BDFC00">
            <w:pPr>
              <w:spacing w:line="0" w:lineRule="atLeast"/>
              <w:ind w:firstLine="0" w:firstLineChars="0"/>
              <w:jc w:val="center"/>
              <w:outlineLvl w:val="1"/>
              <w:rPr>
                <w:kern w:val="0"/>
                <w:sz w:val="15"/>
                <w:lang w:val="zh-CN"/>
              </w:rPr>
            </w:pPr>
            <w:r>
              <w:rPr>
                <w:rFonts w:hint="eastAsia"/>
                <w:kern w:val="0"/>
                <w:sz w:val="15"/>
                <w:lang w:val="zh-CN"/>
              </w:rPr>
              <w:t>（d）B1</w:t>
            </w:r>
          </w:p>
        </w:tc>
      </w:tr>
      <w:tr w14:paraId="38F094C8">
        <w:tblPrEx>
          <w:tblCellMar>
            <w:top w:w="0" w:type="dxa"/>
            <w:left w:w="108" w:type="dxa"/>
            <w:bottom w:w="0" w:type="dxa"/>
            <w:right w:w="108" w:type="dxa"/>
          </w:tblCellMar>
        </w:tblPrEx>
        <w:trPr>
          <w:trHeight w:val="170" w:hRule="atLeast"/>
          <w:jc w:val="center"/>
        </w:trPr>
        <w:tc>
          <w:tcPr>
            <w:tcW w:w="4756" w:type="dxa"/>
            <w:vAlign w:val="center"/>
          </w:tcPr>
          <w:p w14:paraId="5C27798A">
            <w:pPr>
              <w:spacing w:line="0" w:lineRule="atLeast"/>
              <w:ind w:firstLine="0" w:firstLineChars="0"/>
              <w:jc w:val="center"/>
              <w:outlineLvl w:val="1"/>
              <w:rPr>
                <w:kern w:val="0"/>
                <w:sz w:val="15"/>
                <w:lang w:val="zh-CN"/>
              </w:rPr>
            </w:pPr>
            <w:r>
              <w:rPr>
                <w:kern w:val="0"/>
                <w:sz w:val="15"/>
                <w:lang w:val="zh-CN"/>
              </w:rPr>
              <w:drawing>
                <wp:inline distT="0" distB="0" distL="0" distR="0">
                  <wp:extent cx="2879725" cy="1576705"/>
                  <wp:effectExtent l="0" t="0" r="0" b="4445"/>
                  <wp:docPr id="3474162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16272" name="图片 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2880000" cy="1577126"/>
                          </a:xfrm>
                          <a:prstGeom prst="rect">
                            <a:avLst/>
                          </a:prstGeom>
                          <a:noFill/>
                        </pic:spPr>
                      </pic:pic>
                    </a:graphicData>
                  </a:graphic>
                </wp:inline>
              </w:drawing>
            </w:r>
          </w:p>
        </w:tc>
        <w:tc>
          <w:tcPr>
            <w:tcW w:w="4756" w:type="dxa"/>
            <w:vAlign w:val="center"/>
          </w:tcPr>
          <w:p w14:paraId="716E8BA8">
            <w:pPr>
              <w:spacing w:line="0" w:lineRule="atLeast"/>
              <w:ind w:firstLine="0" w:firstLineChars="0"/>
              <w:jc w:val="center"/>
              <w:outlineLvl w:val="1"/>
              <w:rPr>
                <w:kern w:val="0"/>
                <w:sz w:val="15"/>
                <w:lang w:val="zh-CN"/>
              </w:rPr>
            </w:pPr>
            <w:r>
              <w:drawing>
                <wp:inline distT="0" distB="0" distL="0" distR="0">
                  <wp:extent cx="2879725" cy="1577975"/>
                  <wp:effectExtent l="0" t="0" r="0" b="31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47"/>
                          <a:stretch>
                            <a:fillRect/>
                          </a:stretch>
                        </pic:blipFill>
                        <pic:spPr>
                          <a:xfrm>
                            <a:off x="0" y="0"/>
                            <a:ext cx="2880000" cy="1578592"/>
                          </a:xfrm>
                          <a:prstGeom prst="rect">
                            <a:avLst/>
                          </a:prstGeom>
                        </pic:spPr>
                      </pic:pic>
                    </a:graphicData>
                  </a:graphic>
                </wp:inline>
              </w:drawing>
            </w:r>
          </w:p>
        </w:tc>
      </w:tr>
      <w:tr w14:paraId="13223D17">
        <w:trPr>
          <w:trHeight w:val="170" w:hRule="atLeast"/>
          <w:jc w:val="center"/>
        </w:trPr>
        <w:tc>
          <w:tcPr>
            <w:tcW w:w="4756" w:type="dxa"/>
            <w:vAlign w:val="center"/>
          </w:tcPr>
          <w:p w14:paraId="0088941A">
            <w:pPr>
              <w:spacing w:line="0" w:lineRule="atLeast"/>
              <w:ind w:firstLine="0" w:firstLineChars="0"/>
              <w:jc w:val="center"/>
              <w:outlineLvl w:val="1"/>
              <w:rPr>
                <w:kern w:val="0"/>
                <w:sz w:val="15"/>
                <w:lang w:val="zh-CN"/>
              </w:rPr>
            </w:pPr>
            <w:r>
              <w:rPr>
                <w:rFonts w:hint="eastAsia"/>
                <w:kern w:val="0"/>
                <w:sz w:val="15"/>
                <w:lang w:val="zh-CN"/>
              </w:rPr>
              <w:t>（e）B2</w:t>
            </w:r>
          </w:p>
        </w:tc>
        <w:tc>
          <w:tcPr>
            <w:tcW w:w="4756" w:type="dxa"/>
            <w:vAlign w:val="center"/>
          </w:tcPr>
          <w:p w14:paraId="12A65BF3">
            <w:pPr>
              <w:spacing w:line="0" w:lineRule="atLeast"/>
              <w:ind w:firstLine="0" w:firstLineChars="0"/>
              <w:jc w:val="center"/>
              <w:outlineLvl w:val="1"/>
              <w:rPr>
                <w:kern w:val="0"/>
                <w:sz w:val="15"/>
                <w:lang w:val="zh-CN"/>
              </w:rPr>
            </w:pPr>
            <w:r>
              <w:rPr>
                <w:rFonts w:hint="eastAsia"/>
                <w:kern w:val="0"/>
                <w:sz w:val="15"/>
                <w:lang w:val="zh-CN"/>
              </w:rPr>
              <w:t>（f）C1</w:t>
            </w:r>
          </w:p>
        </w:tc>
      </w:tr>
    </w:tbl>
    <w:p w14:paraId="238E6918">
      <w:pPr>
        <w:ind w:firstLine="0" w:firstLineChars="0"/>
        <w:jc w:val="center"/>
        <w:rPr>
          <w:rFonts w:eastAsia="黑体" w:cs="Times New Roman"/>
          <w:sz w:val="18"/>
          <w:szCs w:val="18"/>
        </w:rPr>
      </w:pPr>
      <w:bookmarkStart w:id="56" w:name="_Ref193570054"/>
      <w:r>
        <w:rPr>
          <w:rFonts w:hint="eastAsia" w:eastAsia="黑体" w:cs="Times New Roman"/>
          <w:sz w:val="18"/>
          <w:szCs w:val="18"/>
        </w:rPr>
        <w:t>图</w:t>
      </w:r>
      <w:bookmarkEnd w:id="56"/>
      <w:r>
        <w:rPr>
          <w:rFonts w:hint="eastAsia" w:eastAsia="黑体" w:cs="Times New Roman"/>
          <w:sz w:val="18"/>
          <w:szCs w:val="18"/>
        </w:rPr>
        <w:t>3 部分像元最佳GWSA产品与实测地下水位变化时间序列图</w:t>
      </w:r>
    </w:p>
    <w:p w14:paraId="296295B9">
      <w:pPr>
        <w:ind w:firstLine="0" w:firstLineChars="0"/>
        <w:jc w:val="center"/>
        <w:rPr>
          <w:rFonts w:eastAsia="黑体" w:cs="Times New Roman"/>
          <w:bCs/>
          <w:sz w:val="18"/>
          <w:szCs w:val="18"/>
        </w:rPr>
      </w:pPr>
      <w:r>
        <w:rPr>
          <w:rFonts w:eastAsia="黑体" w:cs="Times New Roman"/>
          <w:bCs/>
          <w:sz w:val="18"/>
          <w:szCs w:val="18"/>
        </w:rPr>
        <w:t>Fig.</w:t>
      </w:r>
      <w:r>
        <w:rPr>
          <w:rFonts w:hint="eastAsia" w:eastAsia="黑体" w:cs="Times New Roman"/>
          <w:bCs/>
          <w:sz w:val="18"/>
          <w:szCs w:val="18"/>
        </w:rPr>
        <w:t xml:space="preserve">3 </w:t>
      </w:r>
      <w:r>
        <w:rPr>
          <w:rFonts w:eastAsia="黑体" w:cs="Times New Roman"/>
          <w:bCs/>
          <w:sz w:val="18"/>
          <w:szCs w:val="18"/>
        </w:rPr>
        <w:t>Time</w:t>
      </w:r>
      <w:r>
        <w:rPr>
          <w:rFonts w:hint="eastAsia" w:eastAsia="黑体" w:cs="Times New Roman"/>
          <w:bCs/>
          <w:sz w:val="18"/>
          <w:szCs w:val="18"/>
        </w:rPr>
        <w:t xml:space="preserve"> </w:t>
      </w:r>
      <w:r>
        <w:rPr>
          <w:rFonts w:eastAsia="黑体" w:cs="Times New Roman"/>
          <w:bCs/>
          <w:sz w:val="18"/>
          <w:szCs w:val="18"/>
        </w:rPr>
        <w:t xml:space="preserve">series </w:t>
      </w:r>
      <w:r>
        <w:rPr>
          <w:rFonts w:hint="eastAsia" w:eastAsia="黑体" w:cs="Times New Roman"/>
          <w:bCs/>
          <w:sz w:val="18"/>
          <w:szCs w:val="18"/>
        </w:rPr>
        <w:t>of</w:t>
      </w:r>
      <w:r>
        <w:rPr>
          <w:rFonts w:eastAsia="黑体" w:cs="Times New Roman"/>
          <w:bCs/>
          <w:sz w:val="18"/>
          <w:szCs w:val="18"/>
        </w:rPr>
        <w:t xml:space="preserve"> optimal GWSA products </w:t>
      </w:r>
      <w:r>
        <w:rPr>
          <w:rFonts w:hint="eastAsia" w:eastAsia="黑体" w:cs="Times New Roman"/>
          <w:bCs/>
          <w:sz w:val="18"/>
          <w:szCs w:val="18"/>
        </w:rPr>
        <w:t>and measured groundwater level changes for selected</w:t>
      </w:r>
      <w:r>
        <w:rPr>
          <w:rFonts w:eastAsia="黑体" w:cs="Times New Roman"/>
          <w:bCs/>
          <w:sz w:val="18"/>
          <w:szCs w:val="18"/>
        </w:rPr>
        <w:t xml:space="preserve"> pixels</w:t>
      </w:r>
    </w:p>
    <w:p w14:paraId="4616ADCA">
      <w:pPr>
        <w:keepNext/>
        <w:keepLines/>
        <w:ind w:firstLine="0" w:firstLineChars="0"/>
        <w:jc w:val="center"/>
        <w:rPr>
          <w:rFonts w:eastAsia="黑体" w:cs="Times New Roman"/>
          <w:sz w:val="18"/>
          <w:szCs w:val="18"/>
        </w:rPr>
      </w:pPr>
      <w:bookmarkStart w:id="57" w:name="_Ref192251232"/>
      <w:r>
        <w:rPr>
          <w:rFonts w:hint="eastAsia" w:eastAsia="黑体" w:cs="Times New Roman"/>
          <w:sz w:val="18"/>
          <w:szCs w:val="18"/>
        </w:rPr>
        <w:t xml:space="preserve">表 </w:t>
      </w:r>
      <w:bookmarkEnd w:id="57"/>
      <w:r>
        <w:rPr>
          <w:rFonts w:hint="eastAsia" w:eastAsia="黑体" w:cs="Times New Roman"/>
          <w:sz w:val="18"/>
          <w:szCs w:val="18"/>
        </w:rPr>
        <w:t>7 部分像元最佳GWSA产品各指标结果</w:t>
      </w:r>
    </w:p>
    <w:p w14:paraId="6F15FCD4">
      <w:pPr>
        <w:keepNext/>
        <w:keepLines/>
        <w:ind w:firstLine="0" w:firstLineChars="0"/>
        <w:jc w:val="center"/>
        <w:rPr>
          <w:rFonts w:eastAsia="黑体" w:cs="Times New Roman"/>
          <w:sz w:val="18"/>
          <w:szCs w:val="18"/>
        </w:rPr>
      </w:pPr>
      <w:r>
        <w:rPr>
          <w:rFonts w:eastAsia="黑体" w:cs="Times New Roman"/>
          <w:sz w:val="18"/>
          <w:szCs w:val="18"/>
        </w:rPr>
        <w:t xml:space="preserve">Table </w:t>
      </w:r>
      <w:r>
        <w:rPr>
          <w:rFonts w:hint="eastAsia" w:eastAsia="黑体" w:cs="Times New Roman"/>
          <w:sz w:val="18"/>
          <w:szCs w:val="18"/>
        </w:rPr>
        <w:t>7 Indicator r</w:t>
      </w:r>
      <w:r>
        <w:rPr>
          <w:rFonts w:eastAsia="黑体" w:cs="Times New Roman"/>
          <w:sz w:val="18"/>
          <w:szCs w:val="18"/>
        </w:rPr>
        <w:t xml:space="preserve">esults of </w:t>
      </w:r>
      <w:r>
        <w:rPr>
          <w:rFonts w:hint="eastAsia" w:eastAsia="黑体" w:cs="Times New Roman"/>
          <w:sz w:val="18"/>
          <w:szCs w:val="18"/>
        </w:rPr>
        <w:t>optimal</w:t>
      </w:r>
      <w:r>
        <w:rPr>
          <w:rFonts w:eastAsia="黑体" w:cs="Times New Roman"/>
          <w:sz w:val="18"/>
          <w:szCs w:val="18"/>
        </w:rPr>
        <w:t xml:space="preserve"> GWSA product</w:t>
      </w:r>
      <w:r>
        <w:rPr>
          <w:rFonts w:hint="eastAsia" w:eastAsia="黑体" w:cs="Times New Roman"/>
          <w:sz w:val="18"/>
          <w:szCs w:val="18"/>
        </w:rPr>
        <w:t>s</w:t>
      </w:r>
      <w:r>
        <w:rPr>
          <w:rFonts w:eastAsia="黑体" w:cs="Times New Roman"/>
          <w:sz w:val="18"/>
          <w:szCs w:val="18"/>
        </w:rPr>
        <w:t xml:space="preserve"> for </w:t>
      </w:r>
      <w:r>
        <w:rPr>
          <w:rFonts w:hint="eastAsia" w:eastAsia="黑体" w:cs="Times New Roman"/>
          <w:sz w:val="18"/>
          <w:szCs w:val="18"/>
        </w:rPr>
        <w:t xml:space="preserve">selected </w:t>
      </w:r>
      <w:r>
        <w:rPr>
          <w:rFonts w:eastAsia="黑体" w:cs="Times New Roman"/>
          <w:sz w:val="18"/>
          <w:szCs w:val="18"/>
        </w:rPr>
        <w:t>pixels</w:t>
      </w:r>
    </w:p>
    <w:tbl>
      <w:tblPr>
        <w:tblStyle w:val="14"/>
        <w:tblW w:w="5000" w:type="pct"/>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04"/>
        <w:gridCol w:w="1999"/>
        <w:gridCol w:w="1104"/>
        <w:gridCol w:w="1104"/>
        <w:gridCol w:w="1104"/>
        <w:gridCol w:w="1105"/>
        <w:gridCol w:w="1102"/>
      </w:tblGrid>
      <w:tr w14:paraId="3D22637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tcBorders>
              <w:top w:val="single" w:color="auto" w:sz="12" w:space="0"/>
              <w:bottom w:val="single" w:color="auto" w:sz="12" w:space="0"/>
            </w:tcBorders>
            <w:vAlign w:val="center"/>
          </w:tcPr>
          <w:p w14:paraId="39913C7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像元编号</w:t>
            </w:r>
          </w:p>
        </w:tc>
        <w:tc>
          <w:tcPr>
            <w:tcW w:w="1173" w:type="pct"/>
            <w:tcBorders>
              <w:top w:val="single" w:color="auto" w:sz="12" w:space="0"/>
              <w:bottom w:val="single" w:color="auto" w:sz="12" w:space="0"/>
            </w:tcBorders>
            <w:vAlign w:val="center"/>
          </w:tcPr>
          <w:p w14:paraId="13C966F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地下水监测井数量</w:t>
            </w:r>
          </w:p>
        </w:tc>
        <w:tc>
          <w:tcPr>
            <w:tcW w:w="648" w:type="pct"/>
            <w:tcBorders>
              <w:top w:val="single" w:color="auto" w:sz="12" w:space="0"/>
              <w:bottom w:val="single" w:color="auto" w:sz="12" w:space="0"/>
            </w:tcBorders>
            <w:vAlign w:val="center"/>
          </w:tcPr>
          <w:p w14:paraId="3080D5DF">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CC</w:t>
            </w:r>
          </w:p>
        </w:tc>
        <w:tc>
          <w:tcPr>
            <w:tcW w:w="648" w:type="pct"/>
            <w:tcBorders>
              <w:top w:val="single" w:color="auto" w:sz="12" w:space="0"/>
              <w:bottom w:val="single" w:color="auto" w:sz="12" w:space="0"/>
            </w:tcBorders>
            <w:vAlign w:val="center"/>
          </w:tcPr>
          <w:p w14:paraId="59999D4F">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PCV</w:t>
            </w:r>
          </w:p>
        </w:tc>
        <w:tc>
          <w:tcPr>
            <w:tcW w:w="648" w:type="pct"/>
            <w:tcBorders>
              <w:top w:val="single" w:color="auto" w:sz="12" w:space="0"/>
              <w:bottom w:val="single" w:color="auto" w:sz="12" w:space="0"/>
            </w:tcBorders>
            <w:vAlign w:val="center"/>
          </w:tcPr>
          <w:p w14:paraId="7534BC9B">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ACV</w:t>
            </w:r>
          </w:p>
        </w:tc>
        <w:tc>
          <w:tcPr>
            <w:tcW w:w="648" w:type="pct"/>
            <w:tcBorders>
              <w:top w:val="single" w:color="auto" w:sz="12" w:space="0"/>
              <w:bottom w:val="single" w:color="auto" w:sz="12" w:space="0"/>
            </w:tcBorders>
            <w:vAlign w:val="center"/>
          </w:tcPr>
          <w:p w14:paraId="03348F82">
            <w:pPr>
              <w:keepNext/>
              <w:keepLines/>
              <w:autoSpaceDE w:val="0"/>
              <w:autoSpaceDN w:val="0"/>
              <w:adjustRightInd w:val="0"/>
              <w:ind w:firstLine="0" w:firstLineChars="0"/>
              <w:jc w:val="center"/>
              <w:rPr>
                <w:rFonts w:cs="Arial"/>
                <w:i/>
                <w:iCs/>
                <w:kern w:val="0"/>
                <w:sz w:val="15"/>
                <w:szCs w:val="20"/>
                <w:lang w:val="zh-CN"/>
              </w:rPr>
            </w:pPr>
            <w:r>
              <w:rPr>
                <w:rFonts w:hint="eastAsia" w:cs="Arial"/>
                <w:i/>
                <w:iCs/>
                <w:kern w:val="0"/>
                <w:sz w:val="15"/>
                <w:szCs w:val="20"/>
                <w:lang w:val="zh-CN"/>
              </w:rPr>
              <w:t>GSEI</w:t>
            </w:r>
          </w:p>
        </w:tc>
        <w:tc>
          <w:tcPr>
            <w:tcW w:w="647" w:type="pct"/>
            <w:tcBorders>
              <w:top w:val="single" w:color="auto" w:sz="12" w:space="0"/>
              <w:bottom w:val="single" w:color="auto" w:sz="12" w:space="0"/>
            </w:tcBorders>
            <w:vAlign w:val="center"/>
          </w:tcPr>
          <w:p w14:paraId="127211D2">
            <w:pPr>
              <w:keepNext/>
              <w:keepLines/>
              <w:autoSpaceDE w:val="0"/>
              <w:autoSpaceDN w:val="0"/>
              <w:adjustRightInd w:val="0"/>
              <w:ind w:firstLine="0" w:firstLineChars="0"/>
              <w:jc w:val="center"/>
              <w:rPr>
                <w:rFonts w:cs="Arial"/>
                <w:i/>
                <w:iCs/>
                <w:kern w:val="0"/>
                <w:sz w:val="15"/>
                <w:szCs w:val="20"/>
                <w:lang w:val="zh-CN"/>
              </w:rPr>
            </w:pPr>
            <w:r>
              <w:rPr>
                <w:rFonts w:cs="Arial"/>
                <w:i/>
                <w:iCs/>
                <w:kern w:val="0"/>
                <w:sz w:val="15"/>
                <w:szCs w:val="20"/>
                <w:lang w:val="zh-CN"/>
              </w:rPr>
              <w:t>P</w:t>
            </w:r>
            <w:r>
              <w:rPr>
                <w:rFonts w:hint="eastAsia" w:cs="Arial"/>
                <w:i/>
                <w:iCs/>
                <w:kern w:val="0"/>
                <w:sz w:val="15"/>
                <w:szCs w:val="20"/>
                <w:lang w:val="zh-CN"/>
              </w:rPr>
              <w:t>earson</w:t>
            </w:r>
          </w:p>
        </w:tc>
      </w:tr>
      <w:tr w14:paraId="5BC4F72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tcBorders>
              <w:top w:val="single" w:color="auto" w:sz="12" w:space="0"/>
            </w:tcBorders>
            <w:vAlign w:val="bottom"/>
          </w:tcPr>
          <w:p w14:paraId="6B4F4D6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A1</w:t>
            </w:r>
          </w:p>
        </w:tc>
        <w:tc>
          <w:tcPr>
            <w:tcW w:w="1173" w:type="pct"/>
            <w:tcBorders>
              <w:top w:val="single" w:color="auto" w:sz="12" w:space="0"/>
            </w:tcBorders>
            <w:vAlign w:val="bottom"/>
          </w:tcPr>
          <w:p w14:paraId="5C58916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w:t>
            </w:r>
          </w:p>
        </w:tc>
        <w:tc>
          <w:tcPr>
            <w:tcW w:w="648" w:type="pct"/>
            <w:tcBorders>
              <w:top w:val="single" w:color="auto" w:sz="12" w:space="0"/>
            </w:tcBorders>
            <w:vAlign w:val="center"/>
          </w:tcPr>
          <w:p w14:paraId="4CCFE0E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0.814 </w:t>
            </w:r>
          </w:p>
        </w:tc>
        <w:tc>
          <w:tcPr>
            <w:tcW w:w="648" w:type="pct"/>
            <w:tcBorders>
              <w:top w:val="single" w:color="auto" w:sz="12" w:space="0"/>
            </w:tcBorders>
            <w:vAlign w:val="center"/>
          </w:tcPr>
          <w:p w14:paraId="5DF4FE99">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0.184 </w:t>
            </w:r>
          </w:p>
        </w:tc>
        <w:tc>
          <w:tcPr>
            <w:tcW w:w="648" w:type="pct"/>
            <w:tcBorders>
              <w:top w:val="single" w:color="auto" w:sz="12" w:space="0"/>
            </w:tcBorders>
            <w:vAlign w:val="center"/>
          </w:tcPr>
          <w:p w14:paraId="1AD82241">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0.365 </w:t>
            </w:r>
          </w:p>
        </w:tc>
        <w:tc>
          <w:tcPr>
            <w:tcW w:w="648" w:type="pct"/>
            <w:tcBorders>
              <w:top w:val="single" w:color="auto" w:sz="12" w:space="0"/>
            </w:tcBorders>
            <w:vAlign w:val="center"/>
          </w:tcPr>
          <w:p w14:paraId="70A6D5F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0.312 </w:t>
            </w:r>
          </w:p>
        </w:tc>
        <w:tc>
          <w:tcPr>
            <w:tcW w:w="647" w:type="pct"/>
            <w:tcBorders>
              <w:top w:val="single" w:color="auto" w:sz="12" w:space="0"/>
            </w:tcBorders>
            <w:vAlign w:val="center"/>
          </w:tcPr>
          <w:p w14:paraId="4B6AD046">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0.629 </w:t>
            </w:r>
          </w:p>
        </w:tc>
      </w:tr>
      <w:tr w14:paraId="36EDBB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vAlign w:val="bottom"/>
          </w:tcPr>
          <w:p w14:paraId="2E4A785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A2</w:t>
            </w:r>
          </w:p>
        </w:tc>
        <w:tc>
          <w:tcPr>
            <w:tcW w:w="1173" w:type="pct"/>
            <w:vAlign w:val="bottom"/>
          </w:tcPr>
          <w:p w14:paraId="79F6C3D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6</w:t>
            </w:r>
          </w:p>
        </w:tc>
        <w:tc>
          <w:tcPr>
            <w:tcW w:w="648" w:type="pct"/>
            <w:vAlign w:val="center"/>
          </w:tcPr>
          <w:p w14:paraId="0AC512F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0.836 </w:t>
            </w:r>
          </w:p>
        </w:tc>
        <w:tc>
          <w:tcPr>
            <w:tcW w:w="648" w:type="pct"/>
            <w:vAlign w:val="center"/>
          </w:tcPr>
          <w:p w14:paraId="45743B4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0.448 </w:t>
            </w:r>
          </w:p>
        </w:tc>
        <w:tc>
          <w:tcPr>
            <w:tcW w:w="648" w:type="pct"/>
            <w:vAlign w:val="center"/>
          </w:tcPr>
          <w:p w14:paraId="1712240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0.422 </w:t>
            </w:r>
          </w:p>
        </w:tc>
        <w:tc>
          <w:tcPr>
            <w:tcW w:w="648" w:type="pct"/>
            <w:vAlign w:val="center"/>
          </w:tcPr>
          <w:p w14:paraId="2DFDCEB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0.583 </w:t>
            </w:r>
          </w:p>
        </w:tc>
        <w:tc>
          <w:tcPr>
            <w:tcW w:w="647" w:type="pct"/>
            <w:vAlign w:val="center"/>
          </w:tcPr>
          <w:p w14:paraId="7CF0A4C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0.673 </w:t>
            </w:r>
          </w:p>
        </w:tc>
      </w:tr>
      <w:tr w14:paraId="25D1056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vAlign w:val="bottom"/>
          </w:tcPr>
          <w:p w14:paraId="59508E3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A3</w:t>
            </w:r>
          </w:p>
        </w:tc>
        <w:tc>
          <w:tcPr>
            <w:tcW w:w="1173" w:type="pct"/>
            <w:vAlign w:val="center"/>
          </w:tcPr>
          <w:p w14:paraId="026D3A50">
            <w:pPr>
              <w:keepNext/>
              <w:keepLines/>
              <w:autoSpaceDE w:val="0"/>
              <w:autoSpaceDN w:val="0"/>
              <w:adjustRightInd w:val="0"/>
              <w:ind w:firstLine="0" w:firstLineChars="0"/>
              <w:jc w:val="center"/>
              <w:rPr>
                <w:rFonts w:cs="Arial"/>
                <w:kern w:val="0"/>
                <w:sz w:val="15"/>
                <w:szCs w:val="20"/>
                <w:lang w:val="zh-CN"/>
              </w:rPr>
            </w:pPr>
            <w:r>
              <w:rPr>
                <w:rFonts w:cs="Arial"/>
                <w:kern w:val="0"/>
                <w:sz w:val="15"/>
                <w:szCs w:val="20"/>
                <w:lang w:val="zh-CN"/>
              </w:rPr>
              <w:t>4</w:t>
            </w:r>
          </w:p>
        </w:tc>
        <w:tc>
          <w:tcPr>
            <w:tcW w:w="648" w:type="pct"/>
            <w:vAlign w:val="center"/>
          </w:tcPr>
          <w:p w14:paraId="3362D07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0.851 </w:t>
            </w:r>
          </w:p>
        </w:tc>
        <w:tc>
          <w:tcPr>
            <w:tcW w:w="648" w:type="pct"/>
            <w:vAlign w:val="center"/>
          </w:tcPr>
          <w:p w14:paraId="70E4A1C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0.105 </w:t>
            </w:r>
          </w:p>
        </w:tc>
        <w:tc>
          <w:tcPr>
            <w:tcW w:w="648" w:type="pct"/>
            <w:vAlign w:val="center"/>
          </w:tcPr>
          <w:p w14:paraId="0E1E33E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0.634 </w:t>
            </w:r>
          </w:p>
        </w:tc>
        <w:tc>
          <w:tcPr>
            <w:tcW w:w="648" w:type="pct"/>
            <w:vAlign w:val="center"/>
          </w:tcPr>
          <w:p w14:paraId="37B9967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0.474 </w:t>
            </w:r>
          </w:p>
        </w:tc>
        <w:tc>
          <w:tcPr>
            <w:tcW w:w="647" w:type="pct"/>
            <w:vAlign w:val="center"/>
          </w:tcPr>
          <w:p w14:paraId="65CDDE2B">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0.702 </w:t>
            </w:r>
          </w:p>
        </w:tc>
      </w:tr>
      <w:tr w14:paraId="0EBAF60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vAlign w:val="bottom"/>
          </w:tcPr>
          <w:p w14:paraId="5EC8AB2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B1</w:t>
            </w:r>
          </w:p>
        </w:tc>
        <w:tc>
          <w:tcPr>
            <w:tcW w:w="1173" w:type="pct"/>
            <w:vAlign w:val="bottom"/>
          </w:tcPr>
          <w:p w14:paraId="535A4770">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10</w:t>
            </w:r>
          </w:p>
        </w:tc>
        <w:tc>
          <w:tcPr>
            <w:tcW w:w="648" w:type="pct"/>
            <w:vAlign w:val="center"/>
          </w:tcPr>
          <w:p w14:paraId="497378D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0.358 </w:t>
            </w:r>
          </w:p>
        </w:tc>
        <w:tc>
          <w:tcPr>
            <w:tcW w:w="648" w:type="pct"/>
            <w:vAlign w:val="center"/>
          </w:tcPr>
          <w:p w14:paraId="6DEFB22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0.248 </w:t>
            </w:r>
          </w:p>
        </w:tc>
        <w:tc>
          <w:tcPr>
            <w:tcW w:w="648" w:type="pct"/>
            <w:vAlign w:val="center"/>
          </w:tcPr>
          <w:p w14:paraId="1F93AC5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0.608 </w:t>
            </w:r>
          </w:p>
        </w:tc>
        <w:tc>
          <w:tcPr>
            <w:tcW w:w="648" w:type="pct"/>
            <w:vAlign w:val="center"/>
          </w:tcPr>
          <w:p w14:paraId="7F4825DA">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0.285 </w:t>
            </w:r>
          </w:p>
        </w:tc>
        <w:tc>
          <w:tcPr>
            <w:tcW w:w="647" w:type="pct"/>
            <w:vAlign w:val="center"/>
          </w:tcPr>
          <w:p w14:paraId="0DE113A2">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-0.285 </w:t>
            </w:r>
          </w:p>
        </w:tc>
      </w:tr>
      <w:tr w14:paraId="260D1A7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tcBorders>
              <w:bottom w:val="nil"/>
            </w:tcBorders>
            <w:vAlign w:val="bottom"/>
          </w:tcPr>
          <w:p w14:paraId="357C817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B2</w:t>
            </w:r>
          </w:p>
        </w:tc>
        <w:tc>
          <w:tcPr>
            <w:tcW w:w="1173" w:type="pct"/>
            <w:tcBorders>
              <w:bottom w:val="nil"/>
            </w:tcBorders>
            <w:vAlign w:val="bottom"/>
          </w:tcPr>
          <w:p w14:paraId="0480A5A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4</w:t>
            </w:r>
          </w:p>
        </w:tc>
        <w:tc>
          <w:tcPr>
            <w:tcW w:w="648" w:type="pct"/>
            <w:tcBorders>
              <w:bottom w:val="nil"/>
            </w:tcBorders>
            <w:vAlign w:val="center"/>
          </w:tcPr>
          <w:p w14:paraId="565FBA34">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0.636 </w:t>
            </w:r>
          </w:p>
        </w:tc>
        <w:tc>
          <w:tcPr>
            <w:tcW w:w="648" w:type="pct"/>
            <w:tcBorders>
              <w:bottom w:val="nil"/>
            </w:tcBorders>
            <w:vAlign w:val="center"/>
          </w:tcPr>
          <w:p w14:paraId="3177421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0.404 </w:t>
            </w:r>
          </w:p>
        </w:tc>
        <w:tc>
          <w:tcPr>
            <w:tcW w:w="648" w:type="pct"/>
            <w:tcBorders>
              <w:bottom w:val="nil"/>
            </w:tcBorders>
            <w:vAlign w:val="center"/>
          </w:tcPr>
          <w:p w14:paraId="473061F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0.436 </w:t>
            </w:r>
          </w:p>
        </w:tc>
        <w:tc>
          <w:tcPr>
            <w:tcW w:w="648" w:type="pct"/>
            <w:tcBorders>
              <w:bottom w:val="nil"/>
            </w:tcBorders>
            <w:vAlign w:val="center"/>
          </w:tcPr>
          <w:p w14:paraId="262A7415">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0.347 </w:t>
            </w:r>
          </w:p>
        </w:tc>
        <w:tc>
          <w:tcPr>
            <w:tcW w:w="647" w:type="pct"/>
            <w:tcBorders>
              <w:bottom w:val="nil"/>
            </w:tcBorders>
            <w:vAlign w:val="center"/>
          </w:tcPr>
          <w:p w14:paraId="45B40413">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0.272 </w:t>
            </w:r>
          </w:p>
        </w:tc>
      </w:tr>
      <w:tr w14:paraId="538E1AF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89" w:type="pct"/>
            <w:tcBorders>
              <w:top w:val="nil"/>
              <w:bottom w:val="single" w:color="auto" w:sz="12" w:space="0"/>
            </w:tcBorders>
            <w:vAlign w:val="bottom"/>
          </w:tcPr>
          <w:p w14:paraId="5FBCADE7">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C1</w:t>
            </w:r>
          </w:p>
        </w:tc>
        <w:tc>
          <w:tcPr>
            <w:tcW w:w="1173" w:type="pct"/>
            <w:tcBorders>
              <w:top w:val="nil"/>
              <w:bottom w:val="single" w:color="auto" w:sz="12" w:space="0"/>
            </w:tcBorders>
            <w:vAlign w:val="bottom"/>
          </w:tcPr>
          <w:p w14:paraId="646867FC">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3</w:t>
            </w:r>
          </w:p>
        </w:tc>
        <w:tc>
          <w:tcPr>
            <w:tcW w:w="648" w:type="pct"/>
            <w:tcBorders>
              <w:top w:val="nil"/>
              <w:bottom w:val="single" w:color="auto" w:sz="12" w:space="0"/>
            </w:tcBorders>
            <w:vAlign w:val="center"/>
          </w:tcPr>
          <w:p w14:paraId="146A0C0F">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0.928 </w:t>
            </w:r>
          </w:p>
        </w:tc>
        <w:tc>
          <w:tcPr>
            <w:tcW w:w="648" w:type="pct"/>
            <w:tcBorders>
              <w:top w:val="nil"/>
              <w:bottom w:val="single" w:color="auto" w:sz="12" w:space="0"/>
            </w:tcBorders>
            <w:vAlign w:val="center"/>
          </w:tcPr>
          <w:p w14:paraId="435D694D">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0.705 </w:t>
            </w:r>
          </w:p>
        </w:tc>
        <w:tc>
          <w:tcPr>
            <w:tcW w:w="648" w:type="pct"/>
            <w:tcBorders>
              <w:top w:val="nil"/>
              <w:bottom w:val="single" w:color="auto" w:sz="12" w:space="0"/>
            </w:tcBorders>
            <w:vAlign w:val="center"/>
          </w:tcPr>
          <w:p w14:paraId="719D7E3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0.637 </w:t>
            </w:r>
          </w:p>
        </w:tc>
        <w:tc>
          <w:tcPr>
            <w:tcW w:w="648" w:type="pct"/>
            <w:tcBorders>
              <w:top w:val="nil"/>
              <w:bottom w:val="single" w:color="auto" w:sz="12" w:space="0"/>
            </w:tcBorders>
            <w:vAlign w:val="center"/>
          </w:tcPr>
          <w:p w14:paraId="42011778">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0.859 </w:t>
            </w:r>
          </w:p>
        </w:tc>
        <w:tc>
          <w:tcPr>
            <w:tcW w:w="647" w:type="pct"/>
            <w:tcBorders>
              <w:top w:val="nil"/>
              <w:bottom w:val="single" w:color="auto" w:sz="12" w:space="0"/>
            </w:tcBorders>
            <w:vAlign w:val="center"/>
          </w:tcPr>
          <w:p w14:paraId="3EEE35AE">
            <w:pPr>
              <w:keepNext/>
              <w:keepLines/>
              <w:autoSpaceDE w:val="0"/>
              <w:autoSpaceDN w:val="0"/>
              <w:adjustRightInd w:val="0"/>
              <w:ind w:firstLine="0" w:firstLineChars="0"/>
              <w:jc w:val="center"/>
              <w:rPr>
                <w:rFonts w:cs="Arial"/>
                <w:kern w:val="0"/>
                <w:sz w:val="15"/>
                <w:szCs w:val="20"/>
                <w:lang w:val="zh-CN"/>
              </w:rPr>
            </w:pPr>
            <w:r>
              <w:rPr>
                <w:rFonts w:hint="eastAsia" w:cs="Arial"/>
                <w:kern w:val="0"/>
                <w:sz w:val="15"/>
                <w:szCs w:val="20"/>
                <w:lang w:val="zh-CN"/>
              </w:rPr>
              <w:t xml:space="preserve">0.855 </w:t>
            </w:r>
          </w:p>
        </w:tc>
      </w:tr>
    </w:tbl>
    <w:p w14:paraId="0DAC7B60">
      <w:pPr>
        <w:autoSpaceDE w:val="0"/>
        <w:autoSpaceDN w:val="0"/>
        <w:adjustRightInd w:val="0"/>
        <w:ind w:firstLine="420"/>
      </w:pPr>
      <w:r>
        <w:rPr>
          <w:rFonts w:hint="eastAsia"/>
        </w:rPr>
        <w:t>为了更全面地论证研究结果的可靠性，将本文的研究结果与前人研究进行比较，</w:t>
      </w:r>
      <w:bookmarkStart w:id="58" w:name="_Hlk203674415"/>
      <w:bookmarkStart w:id="59" w:name="_Hlk203675560"/>
      <w:r>
        <w:rPr>
          <w:rFonts w:hint="eastAsia"/>
        </w:rPr>
        <w:t>两者结果基本一致</w:t>
      </w:r>
      <w:bookmarkEnd w:id="58"/>
      <w:r>
        <w:rPr>
          <w:rFonts w:hint="eastAsia"/>
        </w:rPr>
        <w:t>。</w:t>
      </w:r>
      <w:bookmarkEnd w:id="59"/>
      <w:r>
        <w:rPr>
          <w:rFonts w:hint="eastAsia"/>
        </w:rPr>
        <w:t>例如,</w:t>
      </w:r>
      <w:r>
        <w:t xml:space="preserve"> Z</w:t>
      </w:r>
      <w:r>
        <w:rPr>
          <w:rFonts w:hint="eastAsia"/>
        </w:rPr>
        <w:t>HANG等</w:t>
      </w:r>
      <w:r>
        <w:rPr>
          <w:rFonts w:cs="Times New Roman"/>
          <w:kern w:val="0"/>
          <w:vertAlign w:val="superscript"/>
        </w:rPr>
        <w:t>[32]</w:t>
      </w:r>
      <w:r>
        <w:rPr>
          <w:rFonts w:hint="eastAsia"/>
        </w:rPr>
        <w:t>对JPL Mascon联合</w:t>
      </w:r>
      <w:bookmarkStart w:id="60" w:name="OLE_LINK41"/>
      <w:r>
        <w:rPr>
          <w:rFonts w:hint="eastAsia"/>
        </w:rPr>
        <w:t>GLDAS-Noah 得到的GWSA</w:t>
      </w:r>
      <w:bookmarkEnd w:id="60"/>
      <w:r>
        <w:rPr>
          <w:rFonts w:hint="eastAsia"/>
        </w:rPr>
        <w:t>产品在进行不确定性分析，发现该产品在我国珠江流域不确定性较高，而在河西走廊、洞庭湖水系流域不确定性较低；</w:t>
      </w:r>
      <w:r>
        <w:t>C</w:t>
      </w:r>
      <w:r>
        <w:rPr>
          <w:rFonts w:hint="eastAsia"/>
        </w:rPr>
        <w:t>HEN等</w:t>
      </w:r>
      <w:r>
        <w:rPr>
          <w:rFonts w:cs="Times New Roman"/>
          <w:kern w:val="0"/>
          <w:vertAlign w:val="superscript"/>
        </w:rPr>
        <w:t>[6]</w:t>
      </w:r>
      <w:r>
        <w:rPr>
          <w:rFonts w:hint="eastAsia"/>
        </w:rPr>
        <w:t>基于多种GARCE数据进行不确定性分析从而重构松花江流域TWSA数据，并联合多种GLDAS模型得到GWSA产品，通过与实测地下水数据比较，发现联合GLDAS-VIC得到的GWSA产品在松花江流域适用性最佳，GLDAS-Noah适用性最差。禤键豪等</w:t>
      </w:r>
      <w:r>
        <w:rPr>
          <w:rFonts w:cs="Times New Roman"/>
          <w:kern w:val="0"/>
          <w:vertAlign w:val="superscript"/>
        </w:rPr>
        <w:t>[51]</w:t>
      </w:r>
      <w:r>
        <w:rPr>
          <w:rFonts w:hint="eastAsia"/>
        </w:rPr>
        <w:t>通过比较河西走廊JPL Mascon联合GLDAS-Noah估计的GWSA与实测地下水位数据，发现二者时间序列的相关系数在黑河流域与石羊河流域分别为 0.44 和 0.75；GUO等</w:t>
      </w:r>
      <w:r>
        <w:rPr>
          <w:rFonts w:cs="Times New Roman"/>
          <w:kern w:val="0"/>
          <w:vertAlign w:val="superscript"/>
        </w:rPr>
        <w:t>[52]</w:t>
      </w:r>
      <w:r>
        <w:rPr>
          <w:rFonts w:hint="eastAsia"/>
        </w:rPr>
        <w:t>基于CSR Mascon、JPL Mascon产品均值联合GLDAS CLSM、Noah 和 VIC三种模型计算得到海河流域的三种GWSA产品，通过与实测地下水数据及水资源公报数据比较，发现三种产品在海河流域都可用；YIN等</w:t>
      </w:r>
      <w:r>
        <w:rPr>
          <w:rFonts w:cs="Times New Roman"/>
          <w:kern w:val="0"/>
          <w:vertAlign w:val="superscript"/>
        </w:rPr>
        <w:t>[26]</w:t>
      </w:r>
      <w:r>
        <w:rPr>
          <w:rFonts w:hint="eastAsia"/>
        </w:rPr>
        <w:t>基于多种GARCE数据与水文模型得到GWSA产品，通过与公报数据比较，发现两者在海河流域、淮河流域及长江流域的相关系数均在0.50以上；YIN等</w:t>
      </w:r>
      <w:r>
        <w:rPr>
          <w:rFonts w:cs="Times New Roman"/>
          <w:kern w:val="0"/>
          <w:vertAlign w:val="superscript"/>
        </w:rPr>
        <w:t>[53]</w:t>
      </w:r>
      <w:r>
        <w:rPr>
          <w:rFonts w:hint="eastAsia"/>
        </w:rPr>
        <w:t>比较全国CSR SH联合GLDAS-Noah估计的GWSA与水资源公报数据，发现两者在淮河流域的相关系数均在0.55以上，而在黄河流域与辽河流域的相关系数较低。此外，部分研究结果与本文研究结果相悖，</w:t>
      </w:r>
      <w:r>
        <w:t>G</w:t>
      </w:r>
      <w:r>
        <w:rPr>
          <w:rFonts w:hint="eastAsia"/>
        </w:rPr>
        <w:t>UO等</w:t>
      </w:r>
      <w:r>
        <w:rPr>
          <w:rFonts w:cs="Times New Roman"/>
          <w:kern w:val="0"/>
          <w:vertAlign w:val="superscript"/>
        </w:rPr>
        <w:t>[54]</w:t>
      </w:r>
      <w:r>
        <w:rPr>
          <w:rFonts w:hint="eastAsia"/>
        </w:rPr>
        <w:t>和瞿伟等</w:t>
      </w:r>
      <w:r>
        <w:rPr>
          <w:rFonts w:cs="Times New Roman"/>
          <w:kern w:val="0"/>
          <w:vertAlign w:val="superscript"/>
        </w:rPr>
        <w:t>[55]</w:t>
      </w:r>
      <w:r>
        <w:rPr>
          <w:rFonts w:hint="eastAsia"/>
        </w:rPr>
        <w:t>发现虽然GWSA产品在黄河流域与实测地下水位的相关系数较高，分别为0.85和0.75，但GWSA与实测地下水位变化的时间序列在相位与幅度上的吻合度较差，这可能源于上述研究主要利用相关系数评估GWSA产品与地下水观测水位数据的趋势一致性，却未充分考虑相位与幅度的一致性。由此可见，综合考虑趋势、相位和幅度一致性的</w:t>
      </w:r>
      <w:r>
        <w:rPr>
          <w:rFonts w:hint="eastAsia"/>
          <w:i/>
          <w:iCs/>
        </w:rPr>
        <w:t>GSEI</w:t>
      </w:r>
      <w:r>
        <w:rPr>
          <w:rFonts w:hint="eastAsia"/>
        </w:rPr>
        <w:t>综合适用性指数在评价GWSA产品适用性时更为全面。</w:t>
      </w:r>
    </w:p>
    <w:p w14:paraId="2D05D3F7">
      <w:pPr>
        <w:ind w:firstLine="420"/>
      </w:pPr>
      <w:r>
        <w:rPr>
          <w:rFonts w:hint="eastAsia"/>
        </w:rPr>
        <w:t>综上，</w:t>
      </w:r>
      <w:bookmarkStart w:id="61" w:name="_Hlk202283145"/>
      <w:r>
        <w:rPr>
          <w:rFonts w:hint="eastAsia"/>
        </w:rPr>
        <w:t>虽然评价过程中只利用了自然资源部地下水位站点，但评价结果总体可靠，且相比于以往研究，</w:t>
      </w:r>
      <w:r>
        <w:rPr>
          <w:rFonts w:hint="eastAsia"/>
          <w:i/>
          <w:iCs/>
        </w:rPr>
        <w:t>GSEI</w:t>
      </w:r>
      <w:r>
        <w:rPr>
          <w:rFonts w:hint="eastAsia"/>
        </w:rPr>
        <w:t>综合适用性指数综合趋势、相位、幅度3个角度进行适用性评估，更为全面。</w:t>
      </w:r>
      <w:bookmarkEnd w:id="61"/>
    </w:p>
    <w:p w14:paraId="53A16626">
      <w:pPr>
        <w:pStyle w:val="3"/>
      </w:pPr>
      <w:r>
        <w:rPr>
          <w:rFonts w:hint="eastAsia"/>
        </w:rPr>
        <w:t xml:space="preserve">4.2 </w:t>
      </w:r>
      <w:r>
        <w:rPr>
          <w:rFonts w:hint="eastAsia"/>
          <w:i/>
          <w:iCs/>
        </w:rPr>
        <w:t>GSEI</w:t>
      </w:r>
      <w:r>
        <w:rPr>
          <w:rFonts w:hint="eastAsia"/>
          <w:lang w:val="zh-CN"/>
        </w:rPr>
        <w:t>指数的应用潜力</w:t>
      </w:r>
    </w:p>
    <w:p w14:paraId="71D89B37">
      <w:pPr>
        <w:ind w:firstLine="420"/>
      </w:pPr>
      <w:r>
        <w:rPr>
          <w:rFonts w:hint="eastAsia"/>
        </w:rPr>
        <w:t>在小节3.1中确定的各指标阈值基础上，可分析GWSA产品的应用范围。由表7和</w:t>
      </w:r>
      <w:bookmarkStart w:id="62" w:name="OLE_LINK29"/>
      <w:r>
        <w:rPr>
          <w:rFonts w:hint="eastAsia"/>
        </w:rPr>
        <w:t>图</w:t>
      </w:r>
      <w:bookmarkEnd w:id="62"/>
      <w:r>
        <w:rPr>
          <w:rFonts w:hint="eastAsia"/>
        </w:rPr>
        <w:t>3可以看出，当</w:t>
      </w:r>
      <w:r>
        <w:rPr>
          <w:rFonts w:hint="eastAsia"/>
          <w:i/>
          <w:iCs/>
        </w:rPr>
        <w:t>GSEI</w:t>
      </w:r>
      <w:r>
        <w:rPr>
          <w:rFonts w:hint="eastAsia"/>
        </w:rPr>
        <w:t>大于0.5，</w:t>
      </w:r>
      <w:r>
        <w:rPr>
          <w:rFonts w:hint="eastAsia"/>
          <w:i/>
          <w:iCs/>
        </w:rPr>
        <w:t>CC</w:t>
      </w:r>
      <w:r>
        <w:rPr>
          <w:rFonts w:hint="eastAsia"/>
        </w:rPr>
        <w:t>大于0.8时，GWSA</w:t>
      </w:r>
      <w:bookmarkStart w:id="63" w:name="OLE_LINK9"/>
      <w:r>
        <w:rPr>
          <w:rFonts w:hint="eastAsia"/>
        </w:rPr>
        <w:t>与实测地下水位变化</w:t>
      </w:r>
      <w:bookmarkEnd w:id="63"/>
      <w:r>
        <w:rPr>
          <w:rFonts w:hint="eastAsia"/>
        </w:rPr>
        <w:t>长期趋势具有一致性，可用于地下水储量年际变化研究[见图3（b）和图3（f）]；如表4所列，当</w:t>
      </w:r>
      <w:r>
        <w:rPr>
          <w:rFonts w:hint="eastAsia"/>
          <w:i/>
          <w:iCs/>
        </w:rPr>
        <w:t>GSEI</w:t>
      </w:r>
      <w:r>
        <w:rPr>
          <w:rFonts w:hint="eastAsia"/>
        </w:rPr>
        <w:t>大于0.8时，其余三个指标都大于阈值， GWSA与实测地下水位变化在趋势、相位与幅度上都具有一致性，可用于地下水储量年际变化与年内变化的研究[见图3（f）]。此外，在使用本文反演的三个GWSA产品进行地下水储量逐月变化研究时需谨慎。</w:t>
      </w:r>
    </w:p>
    <w:p w14:paraId="1DC77DE6">
      <w:pPr>
        <w:pStyle w:val="3"/>
        <w:rPr>
          <w:lang w:val="zh-CN"/>
        </w:rPr>
      </w:pPr>
      <w:bookmarkStart w:id="64" w:name="OLE_LINK42"/>
      <w:bookmarkStart w:id="65" w:name="OLE_LINK10"/>
      <w:r>
        <w:rPr>
          <w:rFonts w:hint="eastAsia"/>
          <w:lang w:val="zh-CN"/>
        </w:rPr>
        <w:t xml:space="preserve">4.3 </w:t>
      </w:r>
      <w:bookmarkEnd w:id="64"/>
      <w:bookmarkEnd w:id="65"/>
      <w:r>
        <w:rPr>
          <w:rFonts w:hint="eastAsia"/>
          <w:lang w:val="zh-CN"/>
        </w:rPr>
        <w:t xml:space="preserve">不足与展望 </w:t>
      </w:r>
    </w:p>
    <w:p w14:paraId="0935B035">
      <w:pPr>
        <w:ind w:firstLine="420"/>
      </w:pPr>
      <w:r>
        <w:rPr>
          <w:rFonts w:hint="eastAsia"/>
        </w:rPr>
        <w:t>本文</w:t>
      </w:r>
      <w:bookmarkStart w:id="66" w:name="_Hlk208246938"/>
      <w:r>
        <w:rPr>
          <w:rFonts w:hint="eastAsia"/>
        </w:rPr>
        <w:t>基于JPL Mascon组合GLDAS 模型中Noah、VIC和CLSM 三种陆地表面模型估计的GWSA产品，提出一种集成三种时间序列一致性指标的地下水储量变化适用性指数</w:t>
      </w:r>
      <w:bookmarkEnd w:id="66"/>
      <w:r>
        <w:rPr>
          <w:rFonts w:hint="eastAsia"/>
        </w:rPr>
        <w:t>，从全国、一级流域及子流域三个尺度，对3种GWSA产品的适用性进行了评估。研究发现不同GWSA产品在我国不同流域的适用性存在差异，这主要源于不同陆地表面模型对不同流域水文过程模拟能力的差异。然而，本研究也存在一些不足。</w:t>
      </w:r>
      <w:bookmarkStart w:id="67" w:name="_Hlk207641014"/>
      <w:r>
        <w:rPr>
          <w:rFonts w:hint="eastAsia"/>
        </w:rPr>
        <w:t>首先，由于给水度、弹性释水系数及非弹性压密释水系数等数据难以获取</w:t>
      </w:r>
      <w:r>
        <w:rPr>
          <w:rFonts w:cs="Times New Roman"/>
          <w:kern w:val="0"/>
          <w:vertAlign w:val="superscript"/>
        </w:rPr>
        <w:t>[19,23,56]</w:t>
      </w:r>
      <w:r>
        <w:rPr>
          <w:rFonts w:hint="eastAsia"/>
        </w:rPr>
        <w:t>，</w:t>
      </w:r>
      <w:bookmarkStart w:id="68" w:name="OLE_LINK15"/>
      <w:r>
        <w:rPr>
          <w:rFonts w:hint="eastAsia"/>
        </w:rPr>
        <w:t>本文在像元范围内，将筛选后所有实测地下水位变化值的均值与地下水储量变化进行了直接比较，而未分别处理潜水井与承压水井的观测数据，也未将其转换为相应的地下水储量变化，这可能导致结果存在一定的不确定性</w:t>
      </w:r>
      <w:bookmarkEnd w:id="67"/>
      <w:bookmarkEnd w:id="68"/>
      <w:r>
        <w:rPr>
          <w:rFonts w:hint="eastAsia"/>
        </w:rPr>
        <w:t>；</w:t>
      </w:r>
      <w:bookmarkStart w:id="69" w:name="_Hlk207641082"/>
      <w:r>
        <w:rPr>
          <w:rFonts w:hint="eastAsia"/>
        </w:rPr>
        <w:t>其次，虽然对地下水监测井水位观测数据进行了系统的质量控制处理，包括异常值剔除、缺失数据插值以及像元尺度空间代表性筛选，以保证数据的连续性、可靠性和代表性。然而，对于地下水水位变化空间异质性较强的区域，3个地下水监测井水位观测数据空间代表性可能不足</w:t>
      </w:r>
      <w:r>
        <w:rPr>
          <w:rFonts w:cs="Times New Roman"/>
          <w:kern w:val="0"/>
          <w:vertAlign w:val="superscript"/>
        </w:rPr>
        <w:t>[45,57]</w:t>
      </w:r>
      <w:bookmarkEnd w:id="69"/>
      <w:r>
        <w:rPr>
          <w:rFonts w:hint="eastAsia"/>
        </w:rPr>
        <w:t>；</w:t>
      </w:r>
      <w:bookmarkStart w:id="70" w:name="_Hlk219386291"/>
      <w:r>
        <w:rPr>
          <w:rFonts w:hint="eastAsia"/>
        </w:rPr>
        <w:t>最后，JPL Mascon组合GLDAS计算GWSA时，忽略了湖泊和水库蓄水量变化对地表水变化的影响，可能导致GWSA在部分水库密集或人类活动影响较强的小流域存在一定不确定性。</w:t>
      </w:r>
      <w:bookmarkEnd w:id="70"/>
      <w:r>
        <w:rPr>
          <w:rFonts w:hint="eastAsia"/>
        </w:rPr>
        <w:t>在后续研究中，将补充收集更长时间序列、覆盖范围更广的实测地下水数据，从时间与空间上拓展评价结果，以期提升评价结果的完整性。</w:t>
      </w:r>
    </w:p>
    <w:p w14:paraId="6BB597F3">
      <w:pPr>
        <w:pStyle w:val="2"/>
        <w:rPr>
          <w:lang w:val="zh-CN"/>
        </w:rPr>
      </w:pPr>
      <w:r>
        <w:rPr>
          <w:rFonts w:hint="eastAsia"/>
          <w:lang w:val="zh-CN"/>
        </w:rPr>
        <w:t>5 结论</w:t>
      </w:r>
    </w:p>
    <w:p w14:paraId="3093360C">
      <w:pPr>
        <w:ind w:firstLine="420"/>
      </w:pPr>
      <w:bookmarkStart w:id="71" w:name="_Hlk207638439"/>
      <w:r>
        <w:rPr>
          <w:rFonts w:hint="eastAsia"/>
        </w:rPr>
        <w:t>本文</w:t>
      </w:r>
      <w:r>
        <w:t>提出一</w:t>
      </w:r>
      <w:r>
        <w:rPr>
          <w:rFonts w:hint="eastAsia"/>
        </w:rPr>
        <w:t>种</w:t>
      </w:r>
      <w:r>
        <w:t>集成</w:t>
      </w:r>
      <w:r>
        <w:rPr>
          <w:rFonts w:hint="eastAsia"/>
        </w:rPr>
        <w:t>三</w:t>
      </w:r>
      <w:r>
        <w:t>种</w:t>
      </w:r>
      <w:r>
        <w:rPr>
          <w:rFonts w:hint="eastAsia"/>
        </w:rPr>
        <w:t>时间序列一致性</w:t>
      </w:r>
      <w:r>
        <w:t>指标的</w:t>
      </w:r>
      <w:r>
        <w:rPr>
          <w:rFonts w:hint="eastAsia"/>
        </w:rPr>
        <w:t>地下水储量变化适用性</w:t>
      </w:r>
      <w:r>
        <w:t>指数</w:t>
      </w:r>
      <w:r>
        <w:rPr>
          <w:rFonts w:hint="eastAsia"/>
        </w:rPr>
        <w:t>，</w:t>
      </w:r>
      <w:bookmarkStart w:id="72" w:name="OLE_LINK3"/>
      <w:r>
        <w:rPr>
          <w:rFonts w:hint="eastAsia"/>
        </w:rPr>
        <w:t>从全国、一级流域及子流域三个尺度，</w:t>
      </w:r>
      <w:bookmarkEnd w:id="72"/>
      <w:r>
        <w:rPr>
          <w:rFonts w:hint="eastAsia"/>
        </w:rPr>
        <w:t>对JPL Mascon组合</w:t>
      </w:r>
      <w:r>
        <w:t>GLDAS 模型中</w:t>
      </w:r>
      <w:r>
        <w:rPr>
          <w:rFonts w:hint="eastAsia"/>
        </w:rPr>
        <w:t>Noah、VIC和CLSM</w:t>
      </w:r>
      <w:r>
        <w:t xml:space="preserve"> </w:t>
      </w:r>
      <w:r>
        <w:rPr>
          <w:rFonts w:hint="eastAsia"/>
        </w:rPr>
        <w:t>三种</w:t>
      </w:r>
      <w:r>
        <w:t>陆地表面模型</w:t>
      </w:r>
      <w:r>
        <w:rPr>
          <w:rFonts w:hint="eastAsia"/>
        </w:rPr>
        <w:t>估计的GWSA产品进行适用性评估</w:t>
      </w:r>
      <w:bookmarkEnd w:id="71"/>
      <w:r>
        <w:rPr>
          <w:rFonts w:hint="eastAsia"/>
        </w:rPr>
        <w:t>，主要结论如下：</w:t>
      </w:r>
    </w:p>
    <w:p w14:paraId="1A8D2C13">
      <w:pPr>
        <w:ind w:firstLine="420"/>
      </w:pPr>
      <w:r>
        <w:rPr>
          <w:rFonts w:hint="eastAsia"/>
        </w:rPr>
        <w:t>（1）本文建立的地下水储量变化产品适用性指数同时考虑了时间序列趋势、相位与振幅一致性</w:t>
      </w:r>
      <w:r>
        <w:t>，</w:t>
      </w:r>
      <w:r>
        <w:rPr>
          <w:rFonts w:hint="eastAsia"/>
        </w:rPr>
        <w:t>相比于相关系数，可以更加准确地评估地下水储量变化产品的适用性</w:t>
      </w:r>
      <w:r>
        <w:t>。</w:t>
      </w:r>
    </w:p>
    <w:p w14:paraId="34E093D8">
      <w:pPr>
        <w:ind w:firstLine="420"/>
      </w:pPr>
      <w:r>
        <w:rPr>
          <w:rFonts w:hint="eastAsia"/>
        </w:rPr>
        <w:t>（2）</w:t>
      </w:r>
      <w:bookmarkStart w:id="73" w:name="OLE_LINK20"/>
      <w:r>
        <w:rPr>
          <w:rFonts w:hint="eastAsia"/>
        </w:rPr>
        <w:t>GWSA-JPLM+CLSM产品在我国适用性最佳；在一级流域和子流域，三种GWSA产品的适用性存在显著差异，这主要源于不同陆地表面模型对不同流域水文过程模拟能力存在差异。在我国北方以地下水为主要供水水源的地区，如海河流域、淮河流域GWSA-JPLM+CLSM产品最为适用，在松嫩流域GWSA-JPLM+VIC产品最为适用。</w:t>
      </w:r>
    </w:p>
    <w:bookmarkEnd w:id="73"/>
    <w:p w14:paraId="26948F20">
      <w:pPr>
        <w:ind w:firstLine="420"/>
      </w:pPr>
      <w:r>
        <w:rPr>
          <w:rFonts w:hint="eastAsia"/>
        </w:rPr>
        <w:t>（3）本文构建的适用性评估方法能够</w:t>
      </w:r>
      <w:r>
        <w:t>系统性评估GWSA产品的应用潜力</w:t>
      </w:r>
      <w:r>
        <w:rPr>
          <w:rFonts w:hint="eastAsia"/>
        </w:rPr>
        <w:t>。当</w:t>
      </w:r>
      <w:r>
        <w:rPr>
          <w:rFonts w:hint="eastAsia"/>
          <w:i/>
          <w:iCs/>
        </w:rPr>
        <w:t>GSEI</w:t>
      </w:r>
      <w:r>
        <w:rPr>
          <w:rFonts w:hint="eastAsia"/>
        </w:rPr>
        <w:t>大于0.5，</w:t>
      </w:r>
      <w:r>
        <w:rPr>
          <w:rFonts w:hint="eastAsia"/>
          <w:i/>
          <w:iCs/>
        </w:rPr>
        <w:t>CC</w:t>
      </w:r>
      <w:r>
        <w:rPr>
          <w:rFonts w:hint="eastAsia"/>
        </w:rPr>
        <w:t>大于0.8时，可用于地下水储量年际变化研究；当</w:t>
      </w:r>
      <w:r>
        <w:rPr>
          <w:rFonts w:hint="eastAsia"/>
          <w:i/>
          <w:iCs/>
        </w:rPr>
        <w:t>GSEI</w:t>
      </w:r>
      <w:r>
        <w:rPr>
          <w:rFonts w:hint="eastAsia"/>
        </w:rPr>
        <w:t>大于0.8时，其余3个指标都大于阈值，可用于地下水储量年际变化与年内变化研究。</w:t>
      </w:r>
    </w:p>
    <w:p w14:paraId="2C43874F">
      <w:pPr>
        <w:pStyle w:val="7"/>
        <w:ind w:firstLine="420"/>
      </w:pPr>
    </w:p>
    <w:p w14:paraId="35AA9C85">
      <w:pPr>
        <w:pStyle w:val="2"/>
        <w:rPr>
          <w:rFonts w:cs="Arial"/>
          <w:kern w:val="0"/>
          <w:sz w:val="15"/>
          <w:szCs w:val="20"/>
        </w:rPr>
      </w:pPr>
      <w:bookmarkStart w:id="74" w:name="OLE_LINK12"/>
      <w:r>
        <w:rPr>
          <w:rStyle w:val="35"/>
          <w:rFonts w:hint="eastAsia" w:cs="Times New Roman"/>
          <w:b w:val="0"/>
          <w:bCs w:val="0"/>
        </w:rPr>
        <w:t>6</w:t>
      </w:r>
      <w:r>
        <w:rPr>
          <w:rStyle w:val="35"/>
          <w:rFonts w:cs="Times New Roman"/>
          <w:b w:val="0"/>
          <w:bCs w:val="0"/>
        </w:rPr>
        <w:t xml:space="preserve"> 参考文献（References）</w:t>
      </w:r>
    </w:p>
    <w:p w14:paraId="6D436458">
      <w:pPr>
        <w:ind w:firstLine="300"/>
      </w:pPr>
      <w:r>
        <w:rPr>
          <w:rFonts w:hint="eastAsia" w:cs="Arial"/>
          <w:kern w:val="0"/>
          <w:sz w:val="15"/>
          <w:szCs w:val="20"/>
        </w:rPr>
        <w:t xml:space="preserve">[1]SU Y Z, GUO B, ZHOU Z T, et al. Spatio-temporal variations in groundwater revealed by GRACE and its driving factors in the Huang-Huai-Hai Plain, China[J]. Sensors, 2020, 20(3): 922. </w:t>
      </w:r>
    </w:p>
    <w:p w14:paraId="4D6D6F7E">
      <w:pPr>
        <w:ind w:firstLine="300"/>
      </w:pPr>
      <w:r>
        <w:rPr>
          <w:rFonts w:hint="eastAsia" w:cs="Arial"/>
          <w:kern w:val="0"/>
          <w:sz w:val="15"/>
          <w:szCs w:val="20"/>
        </w:rPr>
        <w:t xml:space="preserve">[2] SIEBERT S, BURKE J, FAURES J M, et al. Groundwater use for irrigation：A global inventory[J]. Hydrology and Earth System Sciences, 2010, 14(10): 1863-1880. </w:t>
      </w:r>
    </w:p>
    <w:p w14:paraId="7A5B016C">
      <w:pPr>
        <w:ind w:firstLine="300"/>
      </w:pPr>
      <w:r>
        <w:rPr>
          <w:rFonts w:hint="eastAsia" w:cs="Arial"/>
          <w:kern w:val="0"/>
          <w:sz w:val="15"/>
          <w:szCs w:val="20"/>
        </w:rPr>
        <w:t xml:space="preserve">[3] FAMIGLIETTI J S. The global groundwater crisis[J]. Nature Climate Change, 2014, 4(11): 945-948. </w:t>
      </w:r>
    </w:p>
    <w:p w14:paraId="10528579">
      <w:pPr>
        <w:ind w:firstLine="300"/>
      </w:pPr>
      <w:r>
        <w:rPr>
          <w:rFonts w:hint="eastAsia" w:cs="Arial"/>
          <w:kern w:val="0"/>
          <w:sz w:val="15"/>
          <w:szCs w:val="20"/>
        </w:rPr>
        <w:t xml:space="preserve">[4] FENG W, SHUM C K, ZHONG M, et al. Groundwater storage changes in China from satellite gravity: An overview[J]. Remote Sensing, 2018, 10(5): 674. </w:t>
      </w:r>
    </w:p>
    <w:p w14:paraId="48D72289">
      <w:pPr>
        <w:ind w:firstLine="300"/>
      </w:pPr>
      <w:r>
        <w:rPr>
          <w:rFonts w:hint="eastAsia" w:cs="Arial"/>
          <w:kern w:val="0"/>
          <w:sz w:val="15"/>
          <w:szCs w:val="20"/>
        </w:rPr>
        <w:t xml:space="preserve">[5] CHAO N F, CHEN G, LI J, et al. Groundwater storage change in the Jinsha River Basin from GRACE, hydrologic models, and </w:t>
      </w:r>
      <w:r>
        <w:rPr>
          <w:rFonts w:hint="eastAsia" w:cs="Arial"/>
          <w:i/>
          <w:kern w:val="0"/>
          <w:sz w:val="15"/>
          <w:szCs w:val="20"/>
        </w:rPr>
        <w:t>in situ</w:t>
      </w:r>
      <w:r>
        <w:rPr>
          <w:rFonts w:hint="eastAsia" w:cs="Arial"/>
          <w:kern w:val="0"/>
          <w:sz w:val="15"/>
          <w:szCs w:val="20"/>
        </w:rPr>
        <w:t xml:space="preserve"> data[J]. Groundwater, 2020, 58(5): 735-748. </w:t>
      </w:r>
    </w:p>
    <w:p w14:paraId="0054C8BA">
      <w:pPr>
        <w:ind w:firstLine="300"/>
      </w:pPr>
      <w:r>
        <w:rPr>
          <w:rFonts w:hint="eastAsia" w:cs="Arial"/>
          <w:kern w:val="0"/>
          <w:sz w:val="15"/>
          <w:szCs w:val="20"/>
        </w:rPr>
        <w:t xml:space="preserve">[6] CHEN H, ZHANG W C, NIE N, et al. Long-term groundwater storage variations estimated in the Songhua River Basin by using GRACE products, land surface models, and </w:t>
      </w:r>
      <w:r>
        <w:rPr>
          <w:rFonts w:hint="eastAsia" w:cs="Arial"/>
          <w:i/>
          <w:kern w:val="0"/>
          <w:sz w:val="15"/>
          <w:szCs w:val="20"/>
        </w:rPr>
        <w:t>in-situ</w:t>
      </w:r>
      <w:r>
        <w:rPr>
          <w:rFonts w:hint="eastAsia" w:cs="Arial"/>
          <w:kern w:val="0"/>
          <w:sz w:val="15"/>
          <w:szCs w:val="20"/>
        </w:rPr>
        <w:t xml:space="preserve"> observations[J]. Science of the Total Environment, 2019, 649: 372-387. </w:t>
      </w:r>
    </w:p>
    <w:p w14:paraId="4FA52AB6">
      <w:pPr>
        <w:ind w:firstLine="300"/>
      </w:pPr>
      <w:r>
        <w:rPr>
          <w:rFonts w:hint="eastAsia" w:cs="Arial"/>
          <w:kern w:val="0"/>
          <w:sz w:val="15"/>
          <w:szCs w:val="20"/>
        </w:rPr>
        <w:t xml:space="preserve">[7] KORNFELD R P, ARNOLD B W, GROSS M A, et al. GRACE-FO: The gravity recovery and climate experiment follow-on mission[J]. Journal of Spacecraft and Rockets, 2019, 56(3): 931-951. </w:t>
      </w:r>
    </w:p>
    <w:p w14:paraId="0E64693B">
      <w:pPr>
        <w:ind w:firstLine="300"/>
      </w:pPr>
      <w:r>
        <w:rPr>
          <w:rFonts w:hint="eastAsia" w:cs="Arial"/>
          <w:kern w:val="0"/>
          <w:sz w:val="15"/>
          <w:szCs w:val="20"/>
        </w:rPr>
        <w:t xml:space="preserve">[8] KANG Z, BETTADPUR S, NAGEL P, et al. GRACE-FO precise orbit determination and gravity recovery[J]. Journal of Geodesy, 2020, 94(9): 85. </w:t>
      </w:r>
    </w:p>
    <w:p w14:paraId="3D25A785">
      <w:pPr>
        <w:ind w:firstLine="300"/>
      </w:pPr>
      <w:r>
        <w:rPr>
          <w:rFonts w:hint="eastAsia" w:cs="Arial"/>
          <w:kern w:val="0"/>
          <w:sz w:val="15"/>
          <w:szCs w:val="20"/>
        </w:rPr>
        <w:t xml:space="preserve">[9] PEIDOU A, LANDERER F, WIESE D, et al. Spatiotemporal characterization of geophysical signal detection capabilities of GRACE-FO[J]. Geophysical Research Letters, 2022, 49(1): e2021GL095157. </w:t>
      </w:r>
    </w:p>
    <w:p w14:paraId="68985DCC">
      <w:pPr>
        <w:ind w:firstLine="300"/>
      </w:pPr>
      <w:r>
        <w:rPr>
          <w:rFonts w:hint="eastAsia" w:cs="Arial"/>
          <w:kern w:val="0"/>
          <w:sz w:val="15"/>
          <w:szCs w:val="20"/>
        </w:rPr>
        <w:t xml:space="preserve">[10] YEH P J F, SWENSON S C, FAMIGLIETTI J S, et al. Remote sensing of groundwater storage changes in Illinois using the Gravity Recovery and Climate Experiment (GRACE)[J]. Water Resources Research, 2006, 42(12): 2006WR005374. </w:t>
      </w:r>
    </w:p>
    <w:p w14:paraId="38535C10">
      <w:pPr>
        <w:ind w:firstLine="300"/>
      </w:pPr>
      <w:r>
        <w:rPr>
          <w:rFonts w:hint="eastAsia" w:cs="Arial"/>
          <w:kern w:val="0"/>
          <w:sz w:val="15"/>
          <w:szCs w:val="20"/>
        </w:rPr>
        <w:t xml:space="preserve">[11] SCANLON B R, LONGUEVERGNE L, LONG D. Ground referencing GRACE satellite estimates of groundwater storage changes in the California Central Valley, USA[J]. Water Resources Research, 2012, 48(4): 2011WR011312. </w:t>
      </w:r>
    </w:p>
    <w:p w14:paraId="70FF9C70">
      <w:pPr>
        <w:ind w:firstLine="300"/>
      </w:pPr>
      <w:r>
        <w:rPr>
          <w:rFonts w:hint="eastAsia" w:cs="Arial"/>
          <w:kern w:val="0"/>
          <w:sz w:val="15"/>
          <w:szCs w:val="20"/>
        </w:rPr>
        <w:t xml:space="preserve">[12] BHANJA S N, MUKHERJEE A, SAHA D, et al. Validation of GRACE based groundwater storage anomaly using </w:t>
      </w:r>
      <w:r>
        <w:rPr>
          <w:rFonts w:hint="eastAsia" w:cs="Arial"/>
          <w:i/>
          <w:kern w:val="0"/>
          <w:sz w:val="15"/>
          <w:szCs w:val="20"/>
        </w:rPr>
        <w:t>in-situ</w:t>
      </w:r>
      <w:r>
        <w:rPr>
          <w:rFonts w:hint="eastAsia" w:cs="Arial"/>
          <w:kern w:val="0"/>
          <w:sz w:val="15"/>
          <w:szCs w:val="20"/>
        </w:rPr>
        <w:t xml:space="preserve"> groundwater level measurements in India[J]. Journal of Hydrology, 2016, 543: 729-738. </w:t>
      </w:r>
    </w:p>
    <w:p w14:paraId="19217198">
      <w:pPr>
        <w:ind w:firstLine="300"/>
      </w:pPr>
      <w:r>
        <w:rPr>
          <w:rFonts w:hint="eastAsia" w:cs="Arial"/>
          <w:kern w:val="0"/>
          <w:sz w:val="15"/>
          <w:szCs w:val="20"/>
        </w:rPr>
        <w:t xml:space="preserve">[13] ABHISHEK, KINOUCHI T. Synergetic application of GRACE gravity data, global hydrological model, and </w:t>
      </w:r>
      <w:r>
        <w:rPr>
          <w:rFonts w:hint="eastAsia" w:cs="Arial"/>
          <w:i/>
          <w:kern w:val="0"/>
          <w:sz w:val="15"/>
          <w:szCs w:val="20"/>
        </w:rPr>
        <w:t>in-situ</w:t>
      </w:r>
      <w:r>
        <w:rPr>
          <w:rFonts w:hint="eastAsia" w:cs="Arial"/>
          <w:kern w:val="0"/>
          <w:sz w:val="15"/>
          <w:szCs w:val="20"/>
        </w:rPr>
        <w:t xml:space="preserve"> observations to quantify water storage dynamics over Peninsular India during 2002–2017[J]. Journal of Hydrology, 2021, 596: 126069. </w:t>
      </w:r>
    </w:p>
    <w:p w14:paraId="330FA644">
      <w:pPr>
        <w:ind w:firstLine="300"/>
      </w:pPr>
      <w:r>
        <w:rPr>
          <w:rFonts w:hint="eastAsia" w:cs="Arial"/>
          <w:kern w:val="0"/>
          <w:sz w:val="15"/>
          <w:szCs w:val="20"/>
        </w:rPr>
        <w:t xml:space="preserve">[14] SRIVASTAVA S, SINGH A, DWIVEDI D. Facing groundwater depletion in India: The role of human activities and climate extremes[J]. Groundwater for Sustainable Development, 2025, 29: 101430. </w:t>
      </w:r>
    </w:p>
    <w:p w14:paraId="7A6A5491">
      <w:pPr>
        <w:ind w:firstLine="300"/>
      </w:pPr>
      <w:r>
        <w:rPr>
          <w:rFonts w:hint="eastAsia" w:cs="Arial"/>
          <w:kern w:val="0"/>
          <w:sz w:val="15"/>
          <w:szCs w:val="20"/>
        </w:rPr>
        <w:t xml:space="preserve">[15] THOMAS B F, FAMIGLIETTI J S, LANDERER F W, et al. GRACE Groundwater Drought Index: Evaluation of California Central Valley groundwater drought[J]. Remote Sensing of Environment, 2017, 198: 384-392. </w:t>
      </w:r>
    </w:p>
    <w:p w14:paraId="5C3B4505">
      <w:pPr>
        <w:ind w:firstLine="300"/>
      </w:pPr>
      <w:r>
        <w:rPr>
          <w:rFonts w:hint="eastAsia" w:cs="Arial"/>
          <w:kern w:val="0"/>
          <w:sz w:val="15"/>
          <w:szCs w:val="20"/>
        </w:rPr>
        <w:t xml:space="preserve">[16] AGARWAL V, AKYILMAZ O, SHUM C K, et al. Machine learning based downscaling of GRACE-estimated groundwater in Central Valley, California[J]. Science of the Total Environment, 2023, 865: 161138. </w:t>
      </w:r>
    </w:p>
    <w:p w14:paraId="68D3C4E1">
      <w:pPr>
        <w:ind w:firstLine="300"/>
      </w:pPr>
      <w:r>
        <w:rPr>
          <w:rFonts w:hint="eastAsia" w:cs="Arial"/>
          <w:kern w:val="0"/>
          <w:sz w:val="15"/>
          <w:szCs w:val="20"/>
        </w:rPr>
        <w:t xml:space="preserve">[17] STEVENS M D, RAMIREZ S G, MARTIN E H, et al. Groundwater storage loss in the central valley analysis using a novel method based on </w:t>
      </w:r>
      <w:r>
        <w:rPr>
          <w:rFonts w:hint="eastAsia" w:cs="Arial"/>
          <w:i/>
          <w:kern w:val="0"/>
          <w:sz w:val="15"/>
          <w:szCs w:val="20"/>
        </w:rPr>
        <w:t>in situ</w:t>
      </w:r>
      <w:r>
        <w:rPr>
          <w:rFonts w:hint="eastAsia" w:cs="Arial"/>
          <w:kern w:val="0"/>
          <w:sz w:val="15"/>
          <w:szCs w:val="20"/>
        </w:rPr>
        <w:t xml:space="preserve"> data compared to GRACE-derived data[J]. Environmental Modelling &amp; Software, 2025, 186: 106368. </w:t>
      </w:r>
    </w:p>
    <w:p w14:paraId="1F34D371">
      <w:pPr>
        <w:ind w:firstLine="300"/>
      </w:pPr>
      <w:r>
        <w:rPr>
          <w:rFonts w:hint="eastAsia" w:cs="Arial"/>
          <w:kern w:val="0"/>
          <w:sz w:val="15"/>
          <w:szCs w:val="20"/>
        </w:rPr>
        <w:t xml:space="preserve">[18] MALLICK J, ALQADHI S, TALUKDAR S, et al. Evaluating groundwater sustainability and vegetation dynamics in arid regions: Advanced remote sensing and spatiotemporal analysis in Saudi Arabia[J]. Environmental Technology &amp; Innovation, 2025, 38: 104203. </w:t>
      </w:r>
    </w:p>
    <w:p w14:paraId="48A05883">
      <w:pPr>
        <w:ind w:firstLine="300"/>
      </w:pPr>
      <w:r>
        <w:rPr>
          <w:rFonts w:hint="eastAsia" w:cs="Arial"/>
          <w:kern w:val="0"/>
          <w:sz w:val="15"/>
          <w:szCs w:val="20"/>
        </w:rPr>
        <w:t xml:space="preserve">[19] AMIRI V, ALI S, SOHRABI N. Estimating the spatio-temporal assessment of GRACE/GRACE-FO derived groundwater storage depletion and validation with </w:t>
      </w:r>
      <w:r>
        <w:rPr>
          <w:rFonts w:hint="eastAsia" w:cs="Arial"/>
          <w:i/>
          <w:kern w:val="0"/>
          <w:sz w:val="15"/>
          <w:szCs w:val="20"/>
        </w:rPr>
        <w:t>in-situ</w:t>
      </w:r>
      <w:r>
        <w:rPr>
          <w:rFonts w:hint="eastAsia" w:cs="Arial"/>
          <w:kern w:val="0"/>
          <w:sz w:val="15"/>
          <w:szCs w:val="20"/>
        </w:rPr>
        <w:t xml:space="preserve"> water quality data (Yazd province, central Iran)[J]. Journal of Hydrology, 2023, 620: 129416. </w:t>
      </w:r>
    </w:p>
    <w:p w14:paraId="4A7077D9">
      <w:pPr>
        <w:ind w:firstLine="300"/>
      </w:pPr>
      <w:r>
        <w:rPr>
          <w:rFonts w:hint="eastAsia" w:cs="Arial"/>
          <w:kern w:val="0"/>
          <w:sz w:val="15"/>
          <w:szCs w:val="20"/>
        </w:rPr>
        <w:t>[20] 曹杰, 肖云, 龙笛, 等. 联合重力卫星和水井资料监测华北平原地下水储量变化[J]. 武汉大学学报(信息科学版), 2024, 49(5): 805-818.</w:t>
      </w:r>
      <w:r>
        <w:rPr>
          <w:rFonts w:hint="eastAsia" w:cs="Arial"/>
          <w:kern w:val="0"/>
          <w:sz w:val="15"/>
          <w:szCs w:val="20"/>
        </w:rPr>
        <w:br w:type="textWrapping"/>
      </w:r>
      <w:r>
        <w:rPr>
          <w:rFonts w:hint="eastAsia" w:cs="Arial"/>
          <w:kern w:val="0"/>
          <w:sz w:val="15"/>
          <w:szCs w:val="20"/>
        </w:rPr>
        <w:t xml:space="preserve">CAO J, XIAO Y, LONG D, et al. Combined gravity satellite and water well information to monitor groundwater storage changes in the North China Plain[J]. Geomatics and Information Science of Wuhan University, 2024, 49(5): 805-818. </w:t>
      </w:r>
    </w:p>
    <w:p w14:paraId="57B2AD00">
      <w:pPr>
        <w:ind w:firstLine="300"/>
      </w:pPr>
      <w:r>
        <w:rPr>
          <w:rFonts w:hint="eastAsia" w:cs="Arial"/>
          <w:kern w:val="0"/>
          <w:sz w:val="15"/>
          <w:szCs w:val="20"/>
        </w:rPr>
        <w:t>[21] 彭晓枫, 房世波, 韩佳昊, 等. 华北平原地下水储量变化及多源影响因素分析[J]. 遥感学报, 2025, 29(3): 677-688.</w:t>
      </w:r>
      <w:r>
        <w:rPr>
          <w:rFonts w:hint="eastAsia" w:cs="Arial"/>
          <w:kern w:val="0"/>
          <w:sz w:val="15"/>
          <w:szCs w:val="20"/>
        </w:rPr>
        <w:br w:type="textWrapping"/>
      </w:r>
      <w:r>
        <w:rPr>
          <w:rFonts w:hint="eastAsia" w:cs="Arial"/>
          <w:kern w:val="0"/>
          <w:sz w:val="15"/>
          <w:szCs w:val="20"/>
        </w:rPr>
        <w:t xml:space="preserve">PENG X F, FANG S B, HAN J H, et al. Analysis of groundwater storage anomaly and multisource influencing factors in the North China Plain[J]. National Remote Sensing Bulletin, 2025, 29(3): 677-688. </w:t>
      </w:r>
    </w:p>
    <w:p w14:paraId="7CA3CBC9">
      <w:pPr>
        <w:ind w:firstLine="300"/>
      </w:pPr>
      <w:r>
        <w:rPr>
          <w:rFonts w:hint="eastAsia" w:cs="Arial"/>
          <w:kern w:val="0"/>
          <w:sz w:val="15"/>
          <w:szCs w:val="20"/>
        </w:rPr>
        <w:t xml:space="preserve">[22] QU W, ZHANG P F, CHEN P N, et al. Spatiotemporal variations and sustainability characteristics of groundwater storage in North China from 2002 to 2022 revealed by GRACE/GRACE follow-on and multiple hydrologic data[J]. Remote Sensing, 2024, 16(7): 1176. </w:t>
      </w:r>
    </w:p>
    <w:p w14:paraId="32CDE8B7">
      <w:pPr>
        <w:ind w:firstLine="300"/>
      </w:pPr>
      <w:r>
        <w:rPr>
          <w:rFonts w:hint="eastAsia" w:cs="Arial"/>
          <w:kern w:val="0"/>
          <w:sz w:val="15"/>
          <w:szCs w:val="20"/>
        </w:rPr>
        <w:t xml:space="preserve">[23] ALI S, RAN J J, LUAN Y, et al. The GWR model-based regional downscaling of GRACE/GRACE-FO derived groundwater storage to investigate local-scale variations in the North China Plain[J]. Science of the Total Environment, 2024, 908: 168239. </w:t>
      </w:r>
    </w:p>
    <w:p w14:paraId="2065705A">
      <w:pPr>
        <w:ind w:firstLine="300"/>
      </w:pPr>
      <w:r>
        <w:rPr>
          <w:rFonts w:hint="eastAsia" w:cs="Arial"/>
          <w:kern w:val="0"/>
          <w:sz w:val="15"/>
          <w:szCs w:val="20"/>
        </w:rPr>
        <w:t>[24] 王坤, 李玉龙, 李琛曦, 等. 基于GRACE卫星的黄淮海地区地下水储量变化与归因分析[J]. 水利水运工程学报, 2023(6): 24-34.</w:t>
      </w:r>
      <w:r>
        <w:rPr>
          <w:rFonts w:hint="eastAsia" w:cs="Arial"/>
          <w:kern w:val="0"/>
          <w:sz w:val="15"/>
          <w:szCs w:val="20"/>
        </w:rPr>
        <w:br w:type="textWrapping"/>
      </w:r>
      <w:r>
        <w:rPr>
          <w:rFonts w:hint="eastAsia" w:cs="Arial"/>
          <w:kern w:val="0"/>
          <w:sz w:val="15"/>
          <w:szCs w:val="20"/>
        </w:rPr>
        <w:t xml:space="preserve">WANG K, LI Y L, LI C X, et al. Variations in groundwater storage in the Huang-Huai-Hai region and attribution analysis based on GRACE data[J]. Hydro-Science and Engineering, 2023(6): 24-34. </w:t>
      </w:r>
    </w:p>
    <w:p w14:paraId="6E93E530">
      <w:pPr>
        <w:ind w:firstLine="300"/>
      </w:pPr>
      <w:r>
        <w:rPr>
          <w:rFonts w:hint="eastAsia" w:cs="Arial"/>
          <w:kern w:val="0"/>
          <w:sz w:val="15"/>
          <w:szCs w:val="20"/>
        </w:rPr>
        <w:t>[25] 张岚, 孙文科. 重力卫星GRACE Mascon产品的应用研究进展与展望[J]. 地球与行星物理论评, 2022, 53(1): 35-52.</w:t>
      </w:r>
      <w:r>
        <w:rPr>
          <w:rFonts w:hint="eastAsia" w:cs="Arial"/>
          <w:kern w:val="0"/>
          <w:sz w:val="15"/>
          <w:szCs w:val="20"/>
        </w:rPr>
        <w:br w:type="textWrapping"/>
      </w:r>
      <w:r>
        <w:rPr>
          <w:rFonts w:hint="eastAsia" w:cs="Arial"/>
          <w:kern w:val="0"/>
          <w:sz w:val="15"/>
          <w:szCs w:val="20"/>
        </w:rPr>
        <w:t xml:space="preserve">ZHANG L, SUN W K. Progress and prospect of GRACE Mascon product and its application[J]. Reviews of Geophysics and Planetary Physics, 2022, 53(1): 35-52. </w:t>
      </w:r>
    </w:p>
    <w:p w14:paraId="3ACC60FE">
      <w:pPr>
        <w:ind w:firstLine="300"/>
      </w:pPr>
      <w:r>
        <w:rPr>
          <w:rFonts w:hint="eastAsia" w:cs="Arial"/>
          <w:kern w:val="0"/>
          <w:sz w:val="15"/>
          <w:szCs w:val="20"/>
        </w:rPr>
        <w:t xml:space="preserve">[26] YIN Z J, XU Y Y, ZHU X Y, et al. Variations of groundwater storage in different basins of China over recent decades[J]. Journal of Hydrology, 2021, 598: 126282. </w:t>
      </w:r>
    </w:p>
    <w:p w14:paraId="4DB1C22B">
      <w:pPr>
        <w:ind w:firstLine="300"/>
      </w:pPr>
      <w:r>
        <w:rPr>
          <w:rFonts w:hint="eastAsia" w:cs="Arial"/>
          <w:kern w:val="0"/>
          <w:sz w:val="15"/>
          <w:szCs w:val="20"/>
        </w:rPr>
        <w:t>[27] 刘任莉, 佘敦先, 李敏, 等. 利用卫星观测数据评估GLDAS与WGHM水文模型的适用性[J]. 武汉大学学报(信息科学版), 2019, 44(11): 1596-1604.</w:t>
      </w:r>
      <w:r>
        <w:rPr>
          <w:rFonts w:hint="eastAsia" w:cs="Arial"/>
          <w:kern w:val="0"/>
          <w:sz w:val="15"/>
          <w:szCs w:val="20"/>
        </w:rPr>
        <w:br w:type="textWrapping"/>
      </w:r>
      <w:r>
        <w:rPr>
          <w:rFonts w:hint="eastAsia" w:cs="Arial"/>
          <w:kern w:val="0"/>
          <w:sz w:val="15"/>
          <w:szCs w:val="20"/>
        </w:rPr>
        <w:t xml:space="preserve">LIU R L, SHE D X, LI M, et al. Using satellite observations to assess applicability of GLDAS and WGHM hydrological model[J]. Geomatics and Information Science of Wuhan University, 2019, 44(11): 1596-1604. </w:t>
      </w:r>
    </w:p>
    <w:p w14:paraId="3772D9EB">
      <w:pPr>
        <w:ind w:firstLine="300"/>
      </w:pPr>
      <w:r>
        <w:rPr>
          <w:rFonts w:hint="eastAsia" w:cs="Arial"/>
          <w:kern w:val="0"/>
          <w:sz w:val="15"/>
          <w:szCs w:val="20"/>
        </w:rPr>
        <w:t xml:space="preserve">[28] KALU I, NDEHEDEHE C E, FERREIRA V G, et al. Unravelling soil moisture uncertainties in GRACE groundwater modelling[J]. Journal of Hydrology, 2025, 650: 132489. </w:t>
      </w:r>
    </w:p>
    <w:p w14:paraId="4C1ECE3C">
      <w:pPr>
        <w:ind w:firstLine="300"/>
      </w:pPr>
      <w:r>
        <w:rPr>
          <w:rFonts w:hint="eastAsia" w:cs="Arial"/>
          <w:kern w:val="0"/>
          <w:sz w:val="15"/>
          <w:szCs w:val="20"/>
        </w:rPr>
        <w:t xml:space="preserve">[29] AKL M, THOMAS B F. Challenges in applying water budget framework for estimating groundwater storage changes from GRACE observations[J]. Journal of Hydrology, 2024, 639: 131600. </w:t>
      </w:r>
    </w:p>
    <w:p w14:paraId="54DAA0AC">
      <w:pPr>
        <w:ind w:firstLine="300"/>
      </w:pPr>
      <w:r>
        <w:rPr>
          <w:rFonts w:hint="eastAsia" w:cs="Arial"/>
          <w:kern w:val="0"/>
          <w:sz w:val="15"/>
          <w:szCs w:val="20"/>
        </w:rPr>
        <w:t xml:space="preserve">[30] RATEB A, SCANLON B R, POOL D R, et al. Comparison of groundwater storage changes from GRACE satellites with monitoring and modeling of major U.S. aquifers[J]. Water Resources Research, 2020, 56(12): e2020WR027556. </w:t>
      </w:r>
    </w:p>
    <w:p w14:paraId="6252CE42">
      <w:pPr>
        <w:ind w:firstLine="300"/>
      </w:pPr>
      <w:r>
        <w:rPr>
          <w:rFonts w:hint="eastAsia" w:cs="Arial"/>
          <w:kern w:val="0"/>
          <w:sz w:val="15"/>
          <w:szCs w:val="20"/>
        </w:rPr>
        <w:t xml:space="preserve">[31] SCANLON B R, POOL D R, RATEB A, et al. Multidecadal drought impacts on the Lower Colorado Basin with implications for future management[J]. Communications Earth &amp; Environment, 2025, 6: 214. </w:t>
      </w:r>
    </w:p>
    <w:p w14:paraId="1DBFA9C6">
      <w:pPr>
        <w:ind w:firstLine="300"/>
      </w:pPr>
      <w:r>
        <w:rPr>
          <w:rFonts w:hint="eastAsia" w:cs="Arial"/>
          <w:kern w:val="0"/>
          <w:sz w:val="15"/>
          <w:szCs w:val="20"/>
        </w:rPr>
        <w:t xml:space="preserve">[32] ZHANG J X, LIU K, WANG M. Seasonal and interannual variations in China’s groundwater based on GRACE data and multisource hydrological models[J]. Remote Sensing, 2020, 12(5): 845. </w:t>
      </w:r>
    </w:p>
    <w:p w14:paraId="5CE0C4B4">
      <w:pPr>
        <w:ind w:firstLine="300"/>
      </w:pPr>
      <w:r>
        <w:rPr>
          <w:rFonts w:hint="eastAsia" w:cs="Arial"/>
          <w:kern w:val="0"/>
          <w:sz w:val="15"/>
          <w:szCs w:val="20"/>
        </w:rPr>
        <w:t xml:space="preserve">[33] SOKNETH L, MOHANASUNDARAM S, SHRESTHA S, et al. Evaluating aquifer stress and resilience with GRACE information at different spatial scales in Cambodia[J]. Hydrogeology Journal, 2022, 30(8): 2359-2377. </w:t>
      </w:r>
    </w:p>
    <w:p w14:paraId="35E71AF0">
      <w:pPr>
        <w:ind w:firstLine="300"/>
      </w:pPr>
      <w:r>
        <w:rPr>
          <w:rFonts w:hint="eastAsia" w:cs="Arial"/>
          <w:kern w:val="0"/>
          <w:sz w:val="15"/>
          <w:szCs w:val="20"/>
        </w:rPr>
        <w:t>[34] LI Q Z, PAN Y, ZHANG C, et al. Quantifying multi-source uncertainties in GRACE-based estimates of groundwater storage changes in China</w:t>
      </w:r>
      <w:r>
        <w:rPr>
          <w:rFonts w:hint="default" w:cs="Arial"/>
          <w:kern w:val="0"/>
          <w:sz w:val="15"/>
          <w:szCs w:val="20"/>
          <w:lang w:val="en-US" w:eastAsia="zh-CN"/>
        </w:rPr>
        <w:t>’</w:t>
      </w:r>
      <w:r>
        <w:rPr>
          <w:rFonts w:hint="eastAsia" w:cs="Arial"/>
          <w:kern w:val="0"/>
          <w:sz w:val="15"/>
          <w:szCs w:val="20"/>
          <w:lang w:val="en-US" w:eastAsia="zh-CN"/>
        </w:rPr>
        <w:t xml:space="preserve">s </w:t>
      </w:r>
      <w:r>
        <w:rPr>
          <w:rFonts w:hint="eastAsia" w:cs="Arial"/>
          <w:kern w:val="0"/>
          <w:sz w:val="15"/>
          <w:szCs w:val="20"/>
        </w:rPr>
        <w:t xml:space="preserve">mainland[J]. Remote Sensing, 2023, 15(11): 2744. </w:t>
      </w:r>
    </w:p>
    <w:p w14:paraId="7E013217">
      <w:pPr>
        <w:ind w:firstLine="300"/>
      </w:pPr>
      <w:r>
        <w:rPr>
          <w:rFonts w:hint="eastAsia" w:cs="Arial"/>
          <w:kern w:val="0"/>
          <w:sz w:val="15"/>
          <w:szCs w:val="20"/>
        </w:rPr>
        <w:t xml:space="preserve">[35] PEARSON K. Note on regression and inheritance in the case of two parents[J]. Proceedings of the Royal Society of London, 1895, 58 (1895): 240-242. </w:t>
      </w:r>
    </w:p>
    <w:p w14:paraId="0EEB9272">
      <w:pPr>
        <w:ind w:firstLine="300"/>
      </w:pPr>
      <w:r>
        <w:rPr>
          <w:rFonts w:hint="eastAsia" w:cs="Arial"/>
          <w:kern w:val="0"/>
          <w:sz w:val="15"/>
          <w:szCs w:val="20"/>
        </w:rPr>
        <w:t xml:space="preserve">[36] ZHAO Q, ZHANG B, YAO Y B, et al. Geodetic and hydrological measurements reveal the recent acceleration of groundwater depletion in North China Plain[J]. Journal of Hydrology, 2019, 575: 1065-1072. </w:t>
      </w:r>
    </w:p>
    <w:p w14:paraId="7E5DDD14">
      <w:pPr>
        <w:ind w:firstLine="300"/>
      </w:pPr>
      <w:r>
        <w:rPr>
          <w:rFonts w:hint="eastAsia" w:cs="Arial"/>
          <w:kern w:val="0"/>
          <w:sz w:val="15"/>
          <w:szCs w:val="20"/>
        </w:rPr>
        <w:t>[37] 龙笛, 杨文婷, 孙章丽, 等. 海河平原地下水储量变化的重力卫星反演和流域水量平衡[J]. 水利学报, 2023, 54(3): 255-267.</w:t>
      </w:r>
      <w:r>
        <w:rPr>
          <w:rFonts w:hint="eastAsia" w:cs="Arial"/>
          <w:kern w:val="0"/>
          <w:sz w:val="15"/>
          <w:szCs w:val="20"/>
        </w:rPr>
        <w:br w:type="textWrapping"/>
      </w:r>
      <w:r>
        <w:rPr>
          <w:rFonts w:hint="eastAsia" w:cs="Arial"/>
          <w:kern w:val="0"/>
          <w:sz w:val="15"/>
          <w:szCs w:val="20"/>
        </w:rPr>
        <w:t xml:space="preserve">LONG D, YANG W T, SUN Z L, et al. GRACE satellite-based estimation of groundwater storage changes and water balance analysis for the Haihe River Basin[J]. Journal of Hydraulic Engineering, 2023, 54(3): 255-267. </w:t>
      </w:r>
    </w:p>
    <w:p w14:paraId="71F734E9">
      <w:pPr>
        <w:ind w:firstLine="300"/>
      </w:pPr>
      <w:r>
        <w:rPr>
          <w:rFonts w:hint="eastAsia" w:cs="Arial"/>
          <w:kern w:val="0"/>
          <w:sz w:val="15"/>
          <w:szCs w:val="20"/>
        </w:rPr>
        <w:t xml:space="preserve">[38] RODELL M, HOUSER P R, JAMBOR U, et al. The global land data assimilation system[J]. Bulletin of the American Meteorological Society, 2004, 85(3): 381-394. </w:t>
      </w:r>
    </w:p>
    <w:p w14:paraId="33B5B72C">
      <w:pPr>
        <w:ind w:firstLine="300"/>
      </w:pPr>
      <w:r>
        <w:rPr>
          <w:rFonts w:hint="eastAsia" w:cs="Arial"/>
          <w:kern w:val="0"/>
          <w:sz w:val="15"/>
          <w:szCs w:val="20"/>
        </w:rPr>
        <w:t>[39] 张勇刚, 王正涛, 高瑀, 等. 利用小波分解重构GRACE地下水储量成分研究[J]. 武汉大学学报(信息科学版), 2025, 50(1): 20-29.</w:t>
      </w:r>
      <w:r>
        <w:rPr>
          <w:rFonts w:hint="eastAsia" w:cs="Arial"/>
          <w:kern w:val="0"/>
          <w:sz w:val="15"/>
          <w:szCs w:val="20"/>
        </w:rPr>
        <w:br w:type="textWrapping"/>
      </w:r>
      <w:r>
        <w:rPr>
          <w:rFonts w:hint="eastAsia" w:cs="Arial"/>
          <w:kern w:val="0"/>
          <w:sz w:val="15"/>
          <w:szCs w:val="20"/>
        </w:rPr>
        <w:t xml:space="preserve">ZHANG Y G, WANG Z T, GAO Y, et al. Estimation of GRACE groundwater storage components using wavelet decomposition[J]. Geomatics and Information Science of Wuhan University, 2025, 50(1): 20-29. </w:t>
      </w:r>
    </w:p>
    <w:p w14:paraId="5D40D572">
      <w:pPr>
        <w:ind w:firstLine="300"/>
      </w:pPr>
      <w:r>
        <w:rPr>
          <w:rFonts w:hint="eastAsia" w:cs="Arial"/>
          <w:kern w:val="0"/>
          <w:sz w:val="15"/>
          <w:szCs w:val="20"/>
        </w:rPr>
        <w:t xml:space="preserve">[40] HU F M, LIANG B J, YANG G, et al. Evaluation of groundwater storage variability and relationship with hydrometeorological factors in the Huang-Huai-Hai Plain, China, using GRACE and GLDAS Data (2002—2023)[J]. Journal of Hydrology: Regional Studies, 2025, 60: 102540. </w:t>
      </w:r>
    </w:p>
    <w:p w14:paraId="1B4954AD">
      <w:pPr>
        <w:ind w:firstLine="300"/>
      </w:pPr>
      <w:r>
        <w:rPr>
          <w:rFonts w:hint="eastAsia" w:cs="Arial"/>
          <w:kern w:val="0"/>
          <w:sz w:val="15"/>
          <w:szCs w:val="20"/>
        </w:rPr>
        <w:t xml:space="preserve">[41] ZEBENDE G F, DA SILVA FILHO A M. Detrended multiple cross-correlation coefficient[J]. Physica A: Statistical Mechanics and Its Applications, 2018, 510: 91-97. </w:t>
      </w:r>
    </w:p>
    <w:p w14:paraId="674237A7">
      <w:pPr>
        <w:ind w:firstLine="300"/>
      </w:pPr>
      <w:r>
        <w:rPr>
          <w:rFonts w:hint="eastAsia" w:cs="Arial"/>
          <w:kern w:val="0"/>
          <w:sz w:val="15"/>
          <w:szCs w:val="20"/>
        </w:rPr>
        <w:t xml:space="preserve">[42] THURNER S, FEURSTEIN M C, TEICH M C. Multiresolution wavelet analysis of heartbeat intervals discriminates healthy patients from those with cardiac pathology[J]. Physical Review Letters, 1998, 80(7): 1544-1547. </w:t>
      </w:r>
    </w:p>
    <w:p w14:paraId="725DF475">
      <w:pPr>
        <w:ind w:firstLine="300"/>
      </w:pPr>
      <w:r>
        <w:rPr>
          <w:rFonts w:hint="eastAsia" w:cs="Arial"/>
          <w:kern w:val="0"/>
          <w:sz w:val="15"/>
          <w:szCs w:val="20"/>
        </w:rPr>
        <w:t xml:space="preserve">[43] FELDMAN M. Hilbert transform in vibration analysis[J]. Mechanical Systems and Signal Processing, 2011, 25(3): 735-802. </w:t>
      </w:r>
    </w:p>
    <w:p w14:paraId="197810D6">
      <w:pPr>
        <w:ind w:firstLine="300"/>
      </w:pPr>
      <w:r>
        <w:rPr>
          <w:rFonts w:hint="eastAsia" w:cs="Arial"/>
          <w:kern w:val="0"/>
          <w:sz w:val="15"/>
          <w:szCs w:val="20"/>
        </w:rPr>
        <w:t xml:space="preserve">[44] ZAYED A I. Hilbert transform associated with the fractional Fourier transform[J]. IEEE Signal Processing Letters, 1998, 5(8): 206-208. </w:t>
      </w:r>
    </w:p>
    <w:p w14:paraId="2E2A9D9C">
      <w:pPr>
        <w:ind w:firstLine="300"/>
      </w:pPr>
      <w:r>
        <w:rPr>
          <w:rFonts w:hint="eastAsia" w:cs="Arial"/>
          <w:kern w:val="0"/>
          <w:sz w:val="15"/>
          <w:szCs w:val="20"/>
        </w:rPr>
        <w:t xml:space="preserve">[45] YANG J W, PAN Y, ZHANG C, et al. Comparison of groundwater storage changes over losing and Gaining aquifers of China using GRACE satellites, modeling and </w:t>
      </w:r>
      <w:r>
        <w:rPr>
          <w:rFonts w:hint="eastAsia" w:cs="Arial"/>
          <w:i/>
          <w:kern w:val="0"/>
          <w:sz w:val="15"/>
          <w:szCs w:val="20"/>
        </w:rPr>
        <w:t>in-situ</w:t>
      </w:r>
      <w:r>
        <w:rPr>
          <w:rFonts w:hint="eastAsia" w:cs="Arial"/>
          <w:kern w:val="0"/>
          <w:sz w:val="15"/>
          <w:szCs w:val="20"/>
        </w:rPr>
        <w:t xml:space="preserve"> observations[J]. Science of the Total Environment, 2024, 938: 173514. </w:t>
      </w:r>
    </w:p>
    <w:p w14:paraId="33ED4888">
      <w:pPr>
        <w:ind w:firstLine="300"/>
      </w:pPr>
      <w:r>
        <w:rPr>
          <w:rFonts w:hint="eastAsia" w:cs="Arial"/>
          <w:kern w:val="0"/>
          <w:sz w:val="15"/>
          <w:szCs w:val="20"/>
        </w:rPr>
        <w:t xml:space="preserve">[46] ZAITCHIK B F, RODELL M, REICHLE R H. Assimilation of GRACE terrestrial water storage data into a land surface model: Results for the Mississippi River Basin[J]. Journal of Hydrometeorology, 2008, 9(3): 535-548. </w:t>
      </w:r>
    </w:p>
    <w:p w14:paraId="31046199">
      <w:pPr>
        <w:ind w:firstLine="300"/>
      </w:pPr>
      <w:r>
        <w:rPr>
          <w:rFonts w:hint="eastAsia" w:cs="Arial"/>
          <w:kern w:val="0"/>
          <w:sz w:val="15"/>
          <w:szCs w:val="20"/>
        </w:rPr>
        <w:t xml:space="preserve">[47] REAGER J T, THOMAS A C, SPROLES E A, et al. Assimilation of GRACE terrestrial water storage observations into a land surface model for the assessment of regional flood potential[J]. Remote Sensing, 2015, 7(11): 14663-14679. </w:t>
      </w:r>
    </w:p>
    <w:p w14:paraId="1020FC68">
      <w:pPr>
        <w:ind w:firstLine="300"/>
      </w:pPr>
      <w:r>
        <w:rPr>
          <w:rFonts w:hint="eastAsia" w:cs="Arial"/>
          <w:kern w:val="0"/>
          <w:sz w:val="15"/>
          <w:szCs w:val="20"/>
        </w:rPr>
        <w:t xml:space="preserve">[48] BI H Y, MA J W, ZHENG W J, et al. Comparison of soil moisture in GLDAS model simulations and </w:t>
      </w:r>
      <w:r>
        <w:rPr>
          <w:rFonts w:hint="eastAsia" w:cs="Arial"/>
          <w:i/>
          <w:kern w:val="0"/>
          <w:sz w:val="15"/>
          <w:szCs w:val="20"/>
        </w:rPr>
        <w:t>in situ</w:t>
      </w:r>
      <w:r>
        <w:rPr>
          <w:rFonts w:hint="eastAsia" w:cs="Arial"/>
          <w:kern w:val="0"/>
          <w:sz w:val="15"/>
          <w:szCs w:val="20"/>
        </w:rPr>
        <w:t xml:space="preserve"> observations over the Tibetan Plateau[J]. Journal of Geophysical Research: Atmospheres, 2016, 121(6): 2658-2678. </w:t>
      </w:r>
    </w:p>
    <w:p w14:paraId="5C7FE2BE">
      <w:pPr>
        <w:ind w:firstLine="300"/>
      </w:pPr>
      <w:r>
        <w:rPr>
          <w:rFonts w:hint="eastAsia" w:cs="Arial"/>
          <w:kern w:val="0"/>
          <w:sz w:val="15"/>
          <w:szCs w:val="20"/>
        </w:rPr>
        <w:t xml:space="preserve">[49] BAI H B, ZHONG Y L, MA N, et al. Changes and drivers of long-term land evapotranspiration in the Yangtze River Basin: A water balance perspective[J]. Journal of Hydrology, 2025, 653: 132763. </w:t>
      </w:r>
    </w:p>
    <w:p w14:paraId="312A7F5F">
      <w:pPr>
        <w:ind w:firstLine="300"/>
      </w:pPr>
      <w:r>
        <w:rPr>
          <w:rFonts w:hint="eastAsia" w:cs="Arial"/>
          <w:kern w:val="0"/>
          <w:sz w:val="15"/>
          <w:szCs w:val="20"/>
        </w:rPr>
        <w:t xml:space="preserve">[50] MO X, WU J J, WANG Q, et al. Variations in water storage in China over recent decades from GRACE observations and GLDAS[J]. Natural Hazards and Earth System Sciences, 2016, 16(2): 469-482. </w:t>
      </w:r>
    </w:p>
    <w:p w14:paraId="46652C03">
      <w:pPr>
        <w:ind w:firstLine="300"/>
      </w:pPr>
      <w:r>
        <w:rPr>
          <w:rFonts w:hint="eastAsia" w:cs="Arial"/>
          <w:kern w:val="0"/>
          <w:sz w:val="15"/>
          <w:szCs w:val="20"/>
        </w:rPr>
        <w:t>[51] 禤键豪, 张兴福, 陈秋杰. GRACE/GRACE-FO重力卫星揭示近20年河西走廊陆地水储量时空变化[J]. 地球物理学进展, 2024, 39(1): 100-110.</w:t>
      </w:r>
      <w:r>
        <w:rPr>
          <w:rFonts w:hint="eastAsia" w:cs="Arial"/>
          <w:kern w:val="0"/>
          <w:sz w:val="15"/>
          <w:szCs w:val="20"/>
        </w:rPr>
        <w:br w:type="textWrapping"/>
      </w:r>
      <w:r>
        <w:rPr>
          <w:rFonts w:hint="eastAsia" w:cs="Arial"/>
          <w:kern w:val="0"/>
          <w:sz w:val="15"/>
          <w:szCs w:val="20"/>
        </w:rPr>
        <w:t xml:space="preserve">XUAN J H, ZHANG X F, CHEN Q J. Spatio-temporal terrestrial water storage changes in the Hexi Corridor derived by GRACE/GRACE-FO gravity satellites over the past 20 years[J]. Progress in Geophysics, 2024, 39(1): 100-110. </w:t>
      </w:r>
    </w:p>
    <w:p w14:paraId="32565A63">
      <w:pPr>
        <w:ind w:firstLine="300"/>
      </w:pPr>
      <w:r>
        <w:rPr>
          <w:rFonts w:hint="eastAsia" w:cs="Arial"/>
          <w:kern w:val="0"/>
          <w:sz w:val="15"/>
          <w:szCs w:val="20"/>
        </w:rPr>
        <w:t xml:space="preserve">[52] GUO Y, GAN F P, YAN B K, et al. Evaluation of groundwater storage depletion using GRACE/GRACE follow-on data with land surface models and its driving factors in Haihe River Basin, China[J]. Sustainability, 2022, 14(3): 1108. </w:t>
      </w:r>
    </w:p>
    <w:p w14:paraId="35D66600">
      <w:pPr>
        <w:ind w:firstLine="300"/>
      </w:pPr>
      <w:r>
        <w:rPr>
          <w:rFonts w:hint="eastAsia" w:cs="Arial"/>
          <w:kern w:val="0"/>
          <w:sz w:val="15"/>
          <w:szCs w:val="20"/>
        </w:rPr>
        <w:t xml:space="preserve">[53] YIN W J, HU L T, JIAO J J. Evaluation of groundwater storage variations in northern China using GRACE data[J]. Geofluids, 2017, 2017(1): 8254824. </w:t>
      </w:r>
    </w:p>
    <w:p w14:paraId="7D13E643">
      <w:pPr>
        <w:ind w:firstLine="300"/>
      </w:pPr>
      <w:r>
        <w:rPr>
          <w:rFonts w:hint="eastAsia" w:cs="Arial"/>
          <w:kern w:val="0"/>
          <w:sz w:val="15"/>
          <w:szCs w:val="20"/>
        </w:rPr>
        <w:t xml:space="preserve">[54] GUO S T, YAO Y Y, JI Q, et al. Groundwater depletion intensified by irrigation and afforestation in the Yellow River Basin: A spatiotemporal analysis using GRACE and well monitoring data with implications for sustainable management[J]. Journal of Hydrology: Regional Studies, 2025, 59: 102324. </w:t>
      </w:r>
    </w:p>
    <w:p w14:paraId="7F75977D">
      <w:pPr>
        <w:ind w:firstLine="300"/>
      </w:pPr>
      <w:r>
        <w:rPr>
          <w:rFonts w:hint="eastAsia" w:cs="Arial"/>
          <w:kern w:val="0"/>
          <w:sz w:val="15"/>
          <w:szCs w:val="20"/>
        </w:rPr>
        <w:t>[55] 瞿伟, 陈沛男, 张普方, 等. GRACE/GRACE-FO揭示黄河上游2002—2022年GWS及可持续性时空演化[J]. 武汉大学学报(信息科学版), 2024, 49(8): 1287-1299.</w:t>
      </w:r>
      <w:r>
        <w:rPr>
          <w:rFonts w:hint="eastAsia" w:cs="Arial"/>
          <w:kern w:val="0"/>
          <w:sz w:val="15"/>
          <w:szCs w:val="20"/>
        </w:rPr>
        <w:br w:type="textWrapping"/>
      </w:r>
      <w:r>
        <w:rPr>
          <w:rFonts w:hint="eastAsia" w:cs="Arial"/>
          <w:kern w:val="0"/>
          <w:sz w:val="15"/>
          <w:szCs w:val="20"/>
        </w:rPr>
        <w:t xml:space="preserve">QU W, CHEN P N, ZHANG P F, et al. Spatiotemporal changes of GWS changes and their sustainability in the upper reaches of the Yellow River Basin from 2002 to 2022 revealed by GRACE/GRACE-FO observations[J]. Geomatics and Information Science of Wuhan University, 2024, 49(8): 1287-1299. </w:t>
      </w:r>
    </w:p>
    <w:p w14:paraId="5D41A00D">
      <w:pPr>
        <w:ind w:firstLine="300"/>
      </w:pPr>
      <w:r>
        <w:rPr>
          <w:rFonts w:hint="eastAsia" w:cs="Arial"/>
          <w:kern w:val="0"/>
          <w:sz w:val="15"/>
          <w:szCs w:val="20"/>
        </w:rPr>
        <w:t xml:space="preserve">[56] WANG T Y, WANG P, ZHANG Y C, et al. Contrasting groundwater depletion patterns induced by anthropogenic and climate-driven factors on Alxa Plateau, northwestern China[J]. Journal of Hydrology, 2019, 576: 262-272. </w:t>
      </w:r>
    </w:p>
    <w:p w14:paraId="39A6067D">
      <w:pPr>
        <w:ind w:firstLine="300"/>
      </w:pPr>
      <w:r>
        <w:rPr>
          <w:rFonts w:hint="eastAsia" w:cs="Arial"/>
          <w:kern w:val="0"/>
          <w:sz w:val="15"/>
          <w:szCs w:val="20"/>
        </w:rPr>
        <w:t xml:space="preserve">[57] ZHAO K Y, FANG Z H, LI J W, et al. Spatial-temporal variations of groundwater storage in China: A multiscale analysis based on GRACE data[J]. Resources, Conservation and Recycling, 2023, 197: 107088. </w:t>
      </w:r>
    </w:p>
    <w:p w14:paraId="3153B53D">
      <w:pPr>
        <w:pStyle w:val="46"/>
        <w:ind w:left="315" w:hanging="315" w:hangingChars="150"/>
        <w:rPr>
          <w:rFonts w:cs="Times New Roman"/>
          <w:szCs w:val="21"/>
        </w:rPr>
      </w:pPr>
    </w:p>
    <w:p w14:paraId="735CB81A">
      <w:pPr>
        <w:ind w:firstLine="420"/>
        <w:rPr>
          <w:rFonts w:cs="Times New Roman"/>
          <w:szCs w:val="21"/>
        </w:rPr>
      </w:pPr>
    </w:p>
    <w:bookmarkEnd w:id="74"/>
    <w:p w14:paraId="470FC092">
      <w:pPr>
        <w:ind w:firstLine="0" w:firstLineChars="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78F760D">
        <w:pPr>
          <w:pStyle w:val="9"/>
          <w:ind w:firstLine="360"/>
          <w:jc w:val="center"/>
        </w:pPr>
        <w:r>
          <w:fldChar w:fldCharType="begin"/>
        </w:r>
        <w:r>
          <w:instrText xml:space="preserve">PAGE   \* MERGEFORMAT</w:instrText>
        </w:r>
        <w:r>
          <w:fldChar w:fldCharType="separate"/>
        </w:r>
        <w:r>
          <w:rPr>
            <w:lang w:val="zh-CN"/>
          </w:rPr>
          <w:t>3</w:t>
        </w:r>
        <w:r>
          <w:fldChar w:fldCharType="end"/>
        </w:r>
      </w:p>
    </w:sdtContent>
  </w:sdt>
  <w:p w14:paraId="15B0905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AF135">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0B1C">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ind w:firstLine="420"/>
      </w:pPr>
      <w:r>
        <w:separator/>
      </w:r>
    </w:p>
  </w:footnote>
  <w:footnote w:type="continuationSeparator" w:id="3">
    <w:p>
      <w:pPr>
        <w:ind w:firstLine="420"/>
      </w:pPr>
      <w:r>
        <w:continuationSeparator/>
      </w:r>
    </w:p>
  </w:footnote>
  <w:footnote w:id="0">
    <w:p w14:paraId="5EA23021">
      <w:pPr>
        <w:pStyle w:val="11"/>
        <w:snapToGrid/>
        <w:ind w:firstLine="361"/>
        <w:jc w:val="both"/>
        <w:rPr>
          <w:rFonts w:cs="Times New Roman"/>
          <w:b/>
          <w:color w:val="FF0000"/>
          <w:szCs w:val="18"/>
        </w:rPr>
      </w:pPr>
      <w:r>
        <w:rPr>
          <w:rFonts w:eastAsia="黑体" w:cs="Times New Roman"/>
          <w:b/>
          <w:bCs/>
          <w:szCs w:val="18"/>
        </w:rPr>
        <w:t>收稿日期：</w:t>
      </w:r>
      <w:r>
        <w:rPr>
          <w:rFonts w:hint="eastAsia" w:eastAsia="黑体" w:cs="Times New Roman"/>
          <w:b/>
          <w:bCs/>
          <w:szCs w:val="18"/>
        </w:rPr>
        <w:t>2025-12-16</w:t>
      </w:r>
      <w:r>
        <w:rPr>
          <w:rFonts w:cs="Times New Roman"/>
          <w:szCs w:val="18"/>
        </w:rPr>
        <w:t>；</w:t>
      </w:r>
      <w:r>
        <w:rPr>
          <w:rFonts w:eastAsia="黑体" w:cs="Times New Roman"/>
          <w:b/>
          <w:bCs/>
          <w:szCs w:val="18"/>
        </w:rPr>
        <w:t>修回日期：</w:t>
      </w:r>
      <w:r>
        <w:rPr>
          <w:rFonts w:hint="eastAsia" w:eastAsia="黑体" w:cs="Times New Roman"/>
          <w:b/>
          <w:bCs/>
          <w:szCs w:val="18"/>
        </w:rPr>
        <w:t>202</w:t>
      </w:r>
      <w:r>
        <w:rPr>
          <w:rFonts w:hint="eastAsia" w:eastAsia="黑体" w:cs="Times New Roman"/>
          <w:b/>
          <w:bCs/>
          <w:szCs w:val="18"/>
          <w:lang w:val="en-US" w:eastAsia="zh-CN"/>
        </w:rPr>
        <w:t>6</w:t>
      </w:r>
      <w:r>
        <w:rPr>
          <w:rFonts w:hint="eastAsia" w:eastAsia="黑体" w:cs="Times New Roman"/>
          <w:b/>
          <w:bCs/>
          <w:szCs w:val="18"/>
        </w:rPr>
        <w:t>-02-25</w:t>
      </w:r>
      <w:r>
        <w:rPr>
          <w:rFonts w:cs="Times New Roman"/>
          <w:szCs w:val="18"/>
        </w:rPr>
        <w:t>；</w:t>
      </w:r>
      <w:r>
        <w:rPr>
          <w:rFonts w:eastAsia="黑体" w:cs="Times New Roman"/>
          <w:b/>
          <w:bCs/>
          <w:szCs w:val="18"/>
        </w:rPr>
        <w:t>录用</w:t>
      </w:r>
      <w:bookmarkStart w:id="75" w:name="_GoBack"/>
      <w:bookmarkEnd w:id="75"/>
      <w:r>
        <w:rPr>
          <w:rFonts w:eastAsia="黑体" w:cs="Times New Roman"/>
          <w:b/>
          <w:bCs/>
          <w:szCs w:val="18"/>
        </w:rPr>
        <w:t>日期：</w:t>
      </w:r>
      <w:r>
        <w:rPr>
          <w:rFonts w:hint="eastAsia" w:eastAsia="黑体" w:cs="Times New Roman"/>
          <w:b/>
          <w:bCs/>
          <w:szCs w:val="18"/>
        </w:rPr>
        <w:t>202</w:t>
      </w:r>
      <w:r>
        <w:rPr>
          <w:rFonts w:hint="eastAsia" w:eastAsia="黑体" w:cs="Times New Roman"/>
          <w:b/>
          <w:bCs/>
          <w:szCs w:val="18"/>
          <w:lang w:val="en-US" w:eastAsia="zh-CN"/>
        </w:rPr>
        <w:t>6</w:t>
      </w:r>
      <w:r>
        <w:rPr>
          <w:rFonts w:hint="eastAsia" w:eastAsia="黑体" w:cs="Times New Roman"/>
          <w:b/>
          <w:bCs/>
          <w:szCs w:val="18"/>
        </w:rPr>
        <w:t>-03-09</w:t>
      </w:r>
      <w:r>
        <w:rPr>
          <w:rFonts w:cs="Times New Roman"/>
          <w:szCs w:val="18"/>
        </w:rPr>
        <w:t>；</w:t>
      </w:r>
      <w:r>
        <w:rPr>
          <w:rFonts w:eastAsia="黑体" w:cs="Times New Roman"/>
          <w:b/>
          <w:bCs/>
          <w:szCs w:val="18"/>
        </w:rPr>
        <w:t>网络出版日期：</w:t>
      </w:r>
    </w:p>
    <w:p w14:paraId="0F1D5BE6">
      <w:pPr>
        <w:pStyle w:val="11"/>
        <w:ind w:firstLine="353"/>
        <w:jc w:val="both"/>
        <w:rPr>
          <w:rFonts w:cs="Times New Roman"/>
          <w:szCs w:val="18"/>
        </w:rPr>
      </w:pPr>
      <w:r>
        <w:rPr>
          <w:rFonts w:eastAsia="黑体" w:cs="Times New Roman"/>
          <w:b/>
          <w:bCs/>
          <w:spacing w:val="-2"/>
          <w:szCs w:val="18"/>
        </w:rPr>
        <w:t>基金项目：</w:t>
      </w:r>
      <w:r>
        <w:rPr>
          <w:rFonts w:hint="eastAsia" w:cs="Times New Roman"/>
          <w:szCs w:val="18"/>
        </w:rPr>
        <w:t>国家重点研发计划项目（2023YFF1304202）；国家自然科学基金项目（52309040，52279031）</w:t>
      </w:r>
    </w:p>
    <w:p w14:paraId="745B4E55">
      <w:pPr>
        <w:ind w:firstLine="353"/>
        <w:rPr>
          <w:rFonts w:cs="Times New Roman"/>
          <w:spacing w:val="4"/>
          <w:sz w:val="18"/>
          <w:szCs w:val="18"/>
        </w:rPr>
      </w:pPr>
      <w:r>
        <w:rPr>
          <w:rFonts w:eastAsia="黑体" w:cs="Times New Roman"/>
          <w:b/>
          <w:bCs/>
          <w:spacing w:val="-2"/>
          <w:sz w:val="18"/>
          <w:szCs w:val="18"/>
        </w:rPr>
        <w:t>作者简介：</w:t>
      </w:r>
      <w:r>
        <w:rPr>
          <w:rFonts w:hint="eastAsia" w:cs="Times New Roman"/>
          <w:spacing w:val="4"/>
          <w:sz w:val="18"/>
          <w:szCs w:val="18"/>
        </w:rPr>
        <w:t>华雯静（2001—），女，硕士研究生，主要从事水资源遥感研究。</w:t>
      </w:r>
      <w:r>
        <w:rPr>
          <w:rFonts w:cs="Times New Roman"/>
          <w:spacing w:val="4"/>
          <w:sz w:val="18"/>
          <w:szCs w:val="18"/>
        </w:rPr>
        <w:t>E-mail：</w:t>
      </w:r>
      <w:r>
        <w:rPr>
          <w:rFonts w:hint="eastAsia" w:cs="Times New Roman"/>
          <w:spacing w:val="4"/>
          <w:sz w:val="18"/>
          <w:szCs w:val="18"/>
        </w:rPr>
        <w:t>hwj11230854@163.com</w:t>
      </w:r>
    </w:p>
    <w:p w14:paraId="6DD91387">
      <w:pPr>
        <w:ind w:firstLine="353"/>
        <w:rPr>
          <w:rFonts w:cs="Times New Roman"/>
          <w:spacing w:val="4"/>
          <w:sz w:val="18"/>
          <w:szCs w:val="18"/>
        </w:rPr>
      </w:pPr>
      <w:r>
        <w:rPr>
          <w:rFonts w:eastAsia="黑体" w:cs="Times New Roman"/>
          <w:b/>
          <w:bCs/>
          <w:spacing w:val="-2"/>
          <w:sz w:val="18"/>
          <w:szCs w:val="18"/>
        </w:rPr>
        <w:t>通信作者：</w:t>
      </w:r>
      <w:r>
        <w:rPr>
          <w:rFonts w:hint="eastAsia" w:cs="Times New Roman"/>
          <w:sz w:val="18"/>
          <w:szCs w:val="18"/>
        </w:rPr>
        <w:t>曹引（1991—），高级工程师，博士，主要从事水资源遥感研究。</w:t>
      </w:r>
      <w:r>
        <w:rPr>
          <w:rFonts w:cs="Times New Roman"/>
          <w:spacing w:val="4"/>
          <w:sz w:val="18"/>
          <w:szCs w:val="18"/>
        </w:rPr>
        <w:t>E-mail：</w:t>
      </w:r>
      <w:r>
        <w:rPr>
          <w:rFonts w:hint="eastAsia" w:cs="Times New Roman"/>
          <w:sz w:val="18"/>
          <w:szCs w:val="18"/>
        </w:rPr>
        <w:t>caoyin@iwhr.com</w:t>
      </w:r>
      <w:r>
        <w:rPr>
          <w:rFonts w:cs="Times New Roman"/>
          <w:sz w:val="18"/>
          <w:szCs w:val="18"/>
        </w:rPr>
        <w:t xml:space="preserve"> </w:t>
      </w:r>
    </w:p>
    <w:p w14:paraId="3BCF1D9A">
      <w:pPr>
        <w:pStyle w:val="11"/>
        <w:ind w:firstLine="36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7090">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6F39E">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20235">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50"/>
  <w:drawingGridVerticalSpacing w:val="156"/>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4NWI2ODRkMzA0NDg1Y2I0NTQ4ZGM0Mzk4YWU5MmMifQ=="/>
  </w:docVars>
  <w:rsids>
    <w:rsidRoot w:val="005342F8"/>
    <w:rsid w:val="00004E67"/>
    <w:rsid w:val="00004EDA"/>
    <w:rsid w:val="00004FC4"/>
    <w:rsid w:val="00012F4B"/>
    <w:rsid w:val="00014176"/>
    <w:rsid w:val="000170B1"/>
    <w:rsid w:val="000178E5"/>
    <w:rsid w:val="00021CA3"/>
    <w:rsid w:val="00021F82"/>
    <w:rsid w:val="00022967"/>
    <w:rsid w:val="000309C7"/>
    <w:rsid w:val="00032FFE"/>
    <w:rsid w:val="00036413"/>
    <w:rsid w:val="00046681"/>
    <w:rsid w:val="000523C5"/>
    <w:rsid w:val="000530CB"/>
    <w:rsid w:val="00061DBA"/>
    <w:rsid w:val="00062074"/>
    <w:rsid w:val="000728C3"/>
    <w:rsid w:val="00072950"/>
    <w:rsid w:val="00073CE1"/>
    <w:rsid w:val="00087CF4"/>
    <w:rsid w:val="0009530E"/>
    <w:rsid w:val="0009722D"/>
    <w:rsid w:val="000A01E4"/>
    <w:rsid w:val="000A331F"/>
    <w:rsid w:val="000B018F"/>
    <w:rsid w:val="000B555B"/>
    <w:rsid w:val="000B607F"/>
    <w:rsid w:val="000C2CFB"/>
    <w:rsid w:val="000C6951"/>
    <w:rsid w:val="000D0625"/>
    <w:rsid w:val="000D3644"/>
    <w:rsid w:val="000D43DA"/>
    <w:rsid w:val="000D5276"/>
    <w:rsid w:val="000E45CD"/>
    <w:rsid w:val="000E73BC"/>
    <w:rsid w:val="000E7A96"/>
    <w:rsid w:val="000F113F"/>
    <w:rsid w:val="000F3329"/>
    <w:rsid w:val="00100F25"/>
    <w:rsid w:val="00107119"/>
    <w:rsid w:val="00110E8F"/>
    <w:rsid w:val="00112482"/>
    <w:rsid w:val="00117840"/>
    <w:rsid w:val="00120A04"/>
    <w:rsid w:val="00122D3D"/>
    <w:rsid w:val="00123458"/>
    <w:rsid w:val="00126BD6"/>
    <w:rsid w:val="00127632"/>
    <w:rsid w:val="001333C1"/>
    <w:rsid w:val="001376DF"/>
    <w:rsid w:val="00140C9A"/>
    <w:rsid w:val="00151670"/>
    <w:rsid w:val="001546F9"/>
    <w:rsid w:val="00156CFD"/>
    <w:rsid w:val="00160020"/>
    <w:rsid w:val="00164E92"/>
    <w:rsid w:val="001676D7"/>
    <w:rsid w:val="00173AB8"/>
    <w:rsid w:val="00173D06"/>
    <w:rsid w:val="00180CCA"/>
    <w:rsid w:val="00180DF4"/>
    <w:rsid w:val="00180FBE"/>
    <w:rsid w:val="00190ED0"/>
    <w:rsid w:val="00192027"/>
    <w:rsid w:val="001B528A"/>
    <w:rsid w:val="001B54D1"/>
    <w:rsid w:val="001C0E00"/>
    <w:rsid w:val="001C32BB"/>
    <w:rsid w:val="001C6F6F"/>
    <w:rsid w:val="001C7E92"/>
    <w:rsid w:val="001D3DDB"/>
    <w:rsid w:val="001D79D9"/>
    <w:rsid w:val="001E320A"/>
    <w:rsid w:val="001E77A6"/>
    <w:rsid w:val="001F3A74"/>
    <w:rsid w:val="001F450F"/>
    <w:rsid w:val="001F4D47"/>
    <w:rsid w:val="001F5870"/>
    <w:rsid w:val="001F5D63"/>
    <w:rsid w:val="00201AD9"/>
    <w:rsid w:val="002042B9"/>
    <w:rsid w:val="002129F1"/>
    <w:rsid w:val="0021393A"/>
    <w:rsid w:val="002140E2"/>
    <w:rsid w:val="00215644"/>
    <w:rsid w:val="002211F4"/>
    <w:rsid w:val="0022238E"/>
    <w:rsid w:val="00224844"/>
    <w:rsid w:val="00240E6A"/>
    <w:rsid w:val="002421FF"/>
    <w:rsid w:val="00251E0D"/>
    <w:rsid w:val="0027323A"/>
    <w:rsid w:val="00287983"/>
    <w:rsid w:val="002915DD"/>
    <w:rsid w:val="00292415"/>
    <w:rsid w:val="00292E45"/>
    <w:rsid w:val="00293F72"/>
    <w:rsid w:val="002979C7"/>
    <w:rsid w:val="002A41BA"/>
    <w:rsid w:val="002B1209"/>
    <w:rsid w:val="002B2151"/>
    <w:rsid w:val="002B59E0"/>
    <w:rsid w:val="002C06BD"/>
    <w:rsid w:val="002C23D1"/>
    <w:rsid w:val="002C6BFB"/>
    <w:rsid w:val="002C704B"/>
    <w:rsid w:val="002D3977"/>
    <w:rsid w:val="002E0C43"/>
    <w:rsid w:val="002E1EF2"/>
    <w:rsid w:val="002E7897"/>
    <w:rsid w:val="00300774"/>
    <w:rsid w:val="003151CD"/>
    <w:rsid w:val="0031527B"/>
    <w:rsid w:val="00321E5F"/>
    <w:rsid w:val="00326EB8"/>
    <w:rsid w:val="00334E34"/>
    <w:rsid w:val="00336675"/>
    <w:rsid w:val="0034196F"/>
    <w:rsid w:val="00341D57"/>
    <w:rsid w:val="00343793"/>
    <w:rsid w:val="00343AE8"/>
    <w:rsid w:val="003452FC"/>
    <w:rsid w:val="00352FAF"/>
    <w:rsid w:val="00353132"/>
    <w:rsid w:val="003543C3"/>
    <w:rsid w:val="00362649"/>
    <w:rsid w:val="00365279"/>
    <w:rsid w:val="00373EAB"/>
    <w:rsid w:val="0037458E"/>
    <w:rsid w:val="00376E1C"/>
    <w:rsid w:val="00384B67"/>
    <w:rsid w:val="00385450"/>
    <w:rsid w:val="0038593B"/>
    <w:rsid w:val="003879B4"/>
    <w:rsid w:val="00390270"/>
    <w:rsid w:val="00393B34"/>
    <w:rsid w:val="00394601"/>
    <w:rsid w:val="00395977"/>
    <w:rsid w:val="00395A6F"/>
    <w:rsid w:val="003A33B6"/>
    <w:rsid w:val="003A3AA3"/>
    <w:rsid w:val="003A685B"/>
    <w:rsid w:val="003A7DF0"/>
    <w:rsid w:val="003B14DD"/>
    <w:rsid w:val="003B178C"/>
    <w:rsid w:val="003B2DAA"/>
    <w:rsid w:val="003B3BB4"/>
    <w:rsid w:val="003B4034"/>
    <w:rsid w:val="003B534C"/>
    <w:rsid w:val="003B7A38"/>
    <w:rsid w:val="003C0EC0"/>
    <w:rsid w:val="003C3143"/>
    <w:rsid w:val="003D574B"/>
    <w:rsid w:val="003D58CE"/>
    <w:rsid w:val="003D6124"/>
    <w:rsid w:val="003E1E87"/>
    <w:rsid w:val="003E2ECA"/>
    <w:rsid w:val="003E7CDD"/>
    <w:rsid w:val="003F0CF4"/>
    <w:rsid w:val="00402C96"/>
    <w:rsid w:val="00404611"/>
    <w:rsid w:val="0041425B"/>
    <w:rsid w:val="00414500"/>
    <w:rsid w:val="00422275"/>
    <w:rsid w:val="0042294E"/>
    <w:rsid w:val="004245D1"/>
    <w:rsid w:val="0042612A"/>
    <w:rsid w:val="004264AA"/>
    <w:rsid w:val="004278E1"/>
    <w:rsid w:val="004313AC"/>
    <w:rsid w:val="004336CA"/>
    <w:rsid w:val="00436033"/>
    <w:rsid w:val="004376D0"/>
    <w:rsid w:val="00441580"/>
    <w:rsid w:val="00441C83"/>
    <w:rsid w:val="00443D2D"/>
    <w:rsid w:val="004471CD"/>
    <w:rsid w:val="00447436"/>
    <w:rsid w:val="00451713"/>
    <w:rsid w:val="004517E4"/>
    <w:rsid w:val="00461E0E"/>
    <w:rsid w:val="0046472A"/>
    <w:rsid w:val="00467191"/>
    <w:rsid w:val="004708E0"/>
    <w:rsid w:val="004719AC"/>
    <w:rsid w:val="00476B97"/>
    <w:rsid w:val="00477AF7"/>
    <w:rsid w:val="00486CA0"/>
    <w:rsid w:val="00494D2F"/>
    <w:rsid w:val="00496472"/>
    <w:rsid w:val="00496A6F"/>
    <w:rsid w:val="004971C5"/>
    <w:rsid w:val="004A3DC7"/>
    <w:rsid w:val="004A543C"/>
    <w:rsid w:val="004B07CE"/>
    <w:rsid w:val="004B20D5"/>
    <w:rsid w:val="004B7590"/>
    <w:rsid w:val="004B7EB9"/>
    <w:rsid w:val="004C66E0"/>
    <w:rsid w:val="004C6C69"/>
    <w:rsid w:val="004D1E97"/>
    <w:rsid w:val="004D21A7"/>
    <w:rsid w:val="004D5D3F"/>
    <w:rsid w:val="004D7EE9"/>
    <w:rsid w:val="004E2BAD"/>
    <w:rsid w:val="004E6CAD"/>
    <w:rsid w:val="004F07FA"/>
    <w:rsid w:val="004F6213"/>
    <w:rsid w:val="00502652"/>
    <w:rsid w:val="00502F05"/>
    <w:rsid w:val="00505A17"/>
    <w:rsid w:val="005107DB"/>
    <w:rsid w:val="0051152B"/>
    <w:rsid w:val="00511B07"/>
    <w:rsid w:val="00513303"/>
    <w:rsid w:val="005169A5"/>
    <w:rsid w:val="00520AF3"/>
    <w:rsid w:val="00520DD6"/>
    <w:rsid w:val="005257FD"/>
    <w:rsid w:val="0052618C"/>
    <w:rsid w:val="005279EB"/>
    <w:rsid w:val="00532A14"/>
    <w:rsid w:val="005342F8"/>
    <w:rsid w:val="00536262"/>
    <w:rsid w:val="00537362"/>
    <w:rsid w:val="0054007A"/>
    <w:rsid w:val="00552593"/>
    <w:rsid w:val="0055512A"/>
    <w:rsid w:val="00555274"/>
    <w:rsid w:val="00555604"/>
    <w:rsid w:val="00555745"/>
    <w:rsid w:val="0056234E"/>
    <w:rsid w:val="00563FE8"/>
    <w:rsid w:val="00567ADF"/>
    <w:rsid w:val="005726DF"/>
    <w:rsid w:val="00573627"/>
    <w:rsid w:val="00574C02"/>
    <w:rsid w:val="00576248"/>
    <w:rsid w:val="0058141A"/>
    <w:rsid w:val="0058376B"/>
    <w:rsid w:val="00586061"/>
    <w:rsid w:val="0059021E"/>
    <w:rsid w:val="005936F4"/>
    <w:rsid w:val="00595415"/>
    <w:rsid w:val="005979CD"/>
    <w:rsid w:val="005A13AB"/>
    <w:rsid w:val="005B153A"/>
    <w:rsid w:val="005B60A3"/>
    <w:rsid w:val="005C15D6"/>
    <w:rsid w:val="005C3F07"/>
    <w:rsid w:val="005C4775"/>
    <w:rsid w:val="005C7656"/>
    <w:rsid w:val="005D18BC"/>
    <w:rsid w:val="005D3360"/>
    <w:rsid w:val="005D4419"/>
    <w:rsid w:val="005D4722"/>
    <w:rsid w:val="005E021C"/>
    <w:rsid w:val="005E03F6"/>
    <w:rsid w:val="005E048C"/>
    <w:rsid w:val="005E0D48"/>
    <w:rsid w:val="005E1B03"/>
    <w:rsid w:val="005E5630"/>
    <w:rsid w:val="005F0C9C"/>
    <w:rsid w:val="005F2068"/>
    <w:rsid w:val="005F34AE"/>
    <w:rsid w:val="0060017F"/>
    <w:rsid w:val="00603E3D"/>
    <w:rsid w:val="006102B5"/>
    <w:rsid w:val="00610C5C"/>
    <w:rsid w:val="00614AC8"/>
    <w:rsid w:val="0062211B"/>
    <w:rsid w:val="00624322"/>
    <w:rsid w:val="00624ED3"/>
    <w:rsid w:val="00635FCE"/>
    <w:rsid w:val="006403CD"/>
    <w:rsid w:val="0064392A"/>
    <w:rsid w:val="0064713F"/>
    <w:rsid w:val="00650AC5"/>
    <w:rsid w:val="00657EBB"/>
    <w:rsid w:val="006628E8"/>
    <w:rsid w:val="006646B1"/>
    <w:rsid w:val="00674A21"/>
    <w:rsid w:val="0068308A"/>
    <w:rsid w:val="00686B73"/>
    <w:rsid w:val="00687B76"/>
    <w:rsid w:val="00697DC7"/>
    <w:rsid w:val="006A11D4"/>
    <w:rsid w:val="006A141E"/>
    <w:rsid w:val="006A393B"/>
    <w:rsid w:val="006A4E59"/>
    <w:rsid w:val="006B54FE"/>
    <w:rsid w:val="006B7906"/>
    <w:rsid w:val="006C2069"/>
    <w:rsid w:val="006D1E04"/>
    <w:rsid w:val="006D5A35"/>
    <w:rsid w:val="006D6172"/>
    <w:rsid w:val="006E0BA5"/>
    <w:rsid w:val="006E1116"/>
    <w:rsid w:val="006E2269"/>
    <w:rsid w:val="006E7E2C"/>
    <w:rsid w:val="006F3CD7"/>
    <w:rsid w:val="00700B2E"/>
    <w:rsid w:val="007026C1"/>
    <w:rsid w:val="007048C3"/>
    <w:rsid w:val="00712397"/>
    <w:rsid w:val="00720B15"/>
    <w:rsid w:val="00727F65"/>
    <w:rsid w:val="007309EC"/>
    <w:rsid w:val="00730FCE"/>
    <w:rsid w:val="00731207"/>
    <w:rsid w:val="00731D3D"/>
    <w:rsid w:val="007341C0"/>
    <w:rsid w:val="00742951"/>
    <w:rsid w:val="007445B7"/>
    <w:rsid w:val="00745474"/>
    <w:rsid w:val="00747F44"/>
    <w:rsid w:val="007501FD"/>
    <w:rsid w:val="007522AE"/>
    <w:rsid w:val="00756312"/>
    <w:rsid w:val="00756A24"/>
    <w:rsid w:val="00756C07"/>
    <w:rsid w:val="00764B88"/>
    <w:rsid w:val="00765790"/>
    <w:rsid w:val="00766BC3"/>
    <w:rsid w:val="007718EC"/>
    <w:rsid w:val="007966A7"/>
    <w:rsid w:val="007971D4"/>
    <w:rsid w:val="007A255C"/>
    <w:rsid w:val="007B01F8"/>
    <w:rsid w:val="007B565C"/>
    <w:rsid w:val="007B7E44"/>
    <w:rsid w:val="007C0846"/>
    <w:rsid w:val="007C1AB5"/>
    <w:rsid w:val="007C4A70"/>
    <w:rsid w:val="007D3D74"/>
    <w:rsid w:val="007D6865"/>
    <w:rsid w:val="007D7D95"/>
    <w:rsid w:val="007E3E48"/>
    <w:rsid w:val="007E6655"/>
    <w:rsid w:val="007E7ABD"/>
    <w:rsid w:val="007F35AE"/>
    <w:rsid w:val="007F3996"/>
    <w:rsid w:val="007F5D4C"/>
    <w:rsid w:val="007F7BF6"/>
    <w:rsid w:val="0080036A"/>
    <w:rsid w:val="00805EA7"/>
    <w:rsid w:val="00810EBC"/>
    <w:rsid w:val="0081151F"/>
    <w:rsid w:val="008126E0"/>
    <w:rsid w:val="00812883"/>
    <w:rsid w:val="00813704"/>
    <w:rsid w:val="00814C9F"/>
    <w:rsid w:val="00814F10"/>
    <w:rsid w:val="0082592D"/>
    <w:rsid w:val="00826543"/>
    <w:rsid w:val="00827514"/>
    <w:rsid w:val="00830987"/>
    <w:rsid w:val="00840BBD"/>
    <w:rsid w:val="008434D7"/>
    <w:rsid w:val="00845D32"/>
    <w:rsid w:val="008469F1"/>
    <w:rsid w:val="00861919"/>
    <w:rsid w:val="0086232A"/>
    <w:rsid w:val="008668FF"/>
    <w:rsid w:val="008720C2"/>
    <w:rsid w:val="008728D8"/>
    <w:rsid w:val="00880BFD"/>
    <w:rsid w:val="00881F71"/>
    <w:rsid w:val="0088332B"/>
    <w:rsid w:val="00884408"/>
    <w:rsid w:val="00890F14"/>
    <w:rsid w:val="008A6744"/>
    <w:rsid w:val="008C22E6"/>
    <w:rsid w:val="008C6110"/>
    <w:rsid w:val="008D3610"/>
    <w:rsid w:val="008D4903"/>
    <w:rsid w:val="008D4B2C"/>
    <w:rsid w:val="008E561E"/>
    <w:rsid w:val="008F0B6A"/>
    <w:rsid w:val="008F248E"/>
    <w:rsid w:val="008F6980"/>
    <w:rsid w:val="00901F6D"/>
    <w:rsid w:val="0090460F"/>
    <w:rsid w:val="009048F6"/>
    <w:rsid w:val="00905FBB"/>
    <w:rsid w:val="0091292A"/>
    <w:rsid w:val="009139BE"/>
    <w:rsid w:val="009144B1"/>
    <w:rsid w:val="00915348"/>
    <w:rsid w:val="00916ED0"/>
    <w:rsid w:val="009208A0"/>
    <w:rsid w:val="0092113C"/>
    <w:rsid w:val="0092185F"/>
    <w:rsid w:val="00922B6F"/>
    <w:rsid w:val="00922FBA"/>
    <w:rsid w:val="00924E0C"/>
    <w:rsid w:val="00931B6E"/>
    <w:rsid w:val="00937FE5"/>
    <w:rsid w:val="009478E7"/>
    <w:rsid w:val="00950AFC"/>
    <w:rsid w:val="00953B99"/>
    <w:rsid w:val="00955B5C"/>
    <w:rsid w:val="00956214"/>
    <w:rsid w:val="009611A7"/>
    <w:rsid w:val="009635A4"/>
    <w:rsid w:val="00967240"/>
    <w:rsid w:val="009718BC"/>
    <w:rsid w:val="00974B0F"/>
    <w:rsid w:val="009761D8"/>
    <w:rsid w:val="009776B3"/>
    <w:rsid w:val="00980869"/>
    <w:rsid w:val="00982E42"/>
    <w:rsid w:val="0098323B"/>
    <w:rsid w:val="009853C8"/>
    <w:rsid w:val="009964C2"/>
    <w:rsid w:val="009A1E4D"/>
    <w:rsid w:val="009A29F8"/>
    <w:rsid w:val="009A2EC7"/>
    <w:rsid w:val="009A48FD"/>
    <w:rsid w:val="009A4CAE"/>
    <w:rsid w:val="009A4CD7"/>
    <w:rsid w:val="009A7237"/>
    <w:rsid w:val="009B2D4A"/>
    <w:rsid w:val="009C1975"/>
    <w:rsid w:val="009C4B9A"/>
    <w:rsid w:val="009C6DE1"/>
    <w:rsid w:val="009D59C7"/>
    <w:rsid w:val="009E003B"/>
    <w:rsid w:val="009E0DA8"/>
    <w:rsid w:val="009E1AE2"/>
    <w:rsid w:val="009E23E9"/>
    <w:rsid w:val="009E2C0A"/>
    <w:rsid w:val="009F1104"/>
    <w:rsid w:val="009F4C39"/>
    <w:rsid w:val="009F5FB7"/>
    <w:rsid w:val="009F6247"/>
    <w:rsid w:val="009F75B1"/>
    <w:rsid w:val="00A06E82"/>
    <w:rsid w:val="00A11EA5"/>
    <w:rsid w:val="00A1211C"/>
    <w:rsid w:val="00A13142"/>
    <w:rsid w:val="00A14CB3"/>
    <w:rsid w:val="00A20F73"/>
    <w:rsid w:val="00A22432"/>
    <w:rsid w:val="00A235DE"/>
    <w:rsid w:val="00A30C07"/>
    <w:rsid w:val="00A37752"/>
    <w:rsid w:val="00A40800"/>
    <w:rsid w:val="00A40DEC"/>
    <w:rsid w:val="00A4734C"/>
    <w:rsid w:val="00A47437"/>
    <w:rsid w:val="00A530E5"/>
    <w:rsid w:val="00A53F1E"/>
    <w:rsid w:val="00A57C93"/>
    <w:rsid w:val="00A622F1"/>
    <w:rsid w:val="00A6615A"/>
    <w:rsid w:val="00A6789E"/>
    <w:rsid w:val="00A7193F"/>
    <w:rsid w:val="00A73FB1"/>
    <w:rsid w:val="00A822D9"/>
    <w:rsid w:val="00A90BA4"/>
    <w:rsid w:val="00A94FE7"/>
    <w:rsid w:val="00A960BA"/>
    <w:rsid w:val="00AA1EDE"/>
    <w:rsid w:val="00AA2DE0"/>
    <w:rsid w:val="00AA435B"/>
    <w:rsid w:val="00AB4526"/>
    <w:rsid w:val="00AC2D46"/>
    <w:rsid w:val="00AD3388"/>
    <w:rsid w:val="00AD3989"/>
    <w:rsid w:val="00AD684E"/>
    <w:rsid w:val="00AE49B9"/>
    <w:rsid w:val="00AE4B0B"/>
    <w:rsid w:val="00AE6BC6"/>
    <w:rsid w:val="00AF25BF"/>
    <w:rsid w:val="00AF2F1C"/>
    <w:rsid w:val="00AF393F"/>
    <w:rsid w:val="00B0449B"/>
    <w:rsid w:val="00B04B66"/>
    <w:rsid w:val="00B106BF"/>
    <w:rsid w:val="00B11082"/>
    <w:rsid w:val="00B14FFF"/>
    <w:rsid w:val="00B16CE3"/>
    <w:rsid w:val="00B27AAA"/>
    <w:rsid w:val="00B33B73"/>
    <w:rsid w:val="00B51066"/>
    <w:rsid w:val="00B54147"/>
    <w:rsid w:val="00B55787"/>
    <w:rsid w:val="00B57137"/>
    <w:rsid w:val="00B575EB"/>
    <w:rsid w:val="00B648BA"/>
    <w:rsid w:val="00B73350"/>
    <w:rsid w:val="00B76BBA"/>
    <w:rsid w:val="00B80D22"/>
    <w:rsid w:val="00B811A4"/>
    <w:rsid w:val="00B83834"/>
    <w:rsid w:val="00B85DEF"/>
    <w:rsid w:val="00B939D8"/>
    <w:rsid w:val="00B95515"/>
    <w:rsid w:val="00B95CF5"/>
    <w:rsid w:val="00B9795F"/>
    <w:rsid w:val="00B97E37"/>
    <w:rsid w:val="00BA1976"/>
    <w:rsid w:val="00BA7841"/>
    <w:rsid w:val="00BB2002"/>
    <w:rsid w:val="00BB5459"/>
    <w:rsid w:val="00BC2FF2"/>
    <w:rsid w:val="00BC6260"/>
    <w:rsid w:val="00BD1044"/>
    <w:rsid w:val="00BD2FC4"/>
    <w:rsid w:val="00BD4052"/>
    <w:rsid w:val="00BD43A6"/>
    <w:rsid w:val="00BD5BA3"/>
    <w:rsid w:val="00BD64F0"/>
    <w:rsid w:val="00BD7AF5"/>
    <w:rsid w:val="00BE2BB8"/>
    <w:rsid w:val="00BE4DB1"/>
    <w:rsid w:val="00BE525A"/>
    <w:rsid w:val="00BE5583"/>
    <w:rsid w:val="00BF070D"/>
    <w:rsid w:val="00C026F3"/>
    <w:rsid w:val="00C04F66"/>
    <w:rsid w:val="00C06253"/>
    <w:rsid w:val="00C158F3"/>
    <w:rsid w:val="00C16630"/>
    <w:rsid w:val="00C21034"/>
    <w:rsid w:val="00C223D1"/>
    <w:rsid w:val="00C231E3"/>
    <w:rsid w:val="00C241D4"/>
    <w:rsid w:val="00C30433"/>
    <w:rsid w:val="00C32E18"/>
    <w:rsid w:val="00C403D0"/>
    <w:rsid w:val="00C41B56"/>
    <w:rsid w:val="00C41F4C"/>
    <w:rsid w:val="00C43308"/>
    <w:rsid w:val="00C442C6"/>
    <w:rsid w:val="00C4621A"/>
    <w:rsid w:val="00C51171"/>
    <w:rsid w:val="00C52CE9"/>
    <w:rsid w:val="00C61D34"/>
    <w:rsid w:val="00C63367"/>
    <w:rsid w:val="00C65A44"/>
    <w:rsid w:val="00C73229"/>
    <w:rsid w:val="00C76360"/>
    <w:rsid w:val="00C77A21"/>
    <w:rsid w:val="00C8192C"/>
    <w:rsid w:val="00C8615A"/>
    <w:rsid w:val="00C93B9D"/>
    <w:rsid w:val="00CA31C2"/>
    <w:rsid w:val="00CA54D1"/>
    <w:rsid w:val="00CB1EE2"/>
    <w:rsid w:val="00CB27A7"/>
    <w:rsid w:val="00CB35E2"/>
    <w:rsid w:val="00CB6567"/>
    <w:rsid w:val="00CC0863"/>
    <w:rsid w:val="00CC5934"/>
    <w:rsid w:val="00CC672C"/>
    <w:rsid w:val="00CD09E6"/>
    <w:rsid w:val="00CD2EA0"/>
    <w:rsid w:val="00CD3452"/>
    <w:rsid w:val="00CD49B4"/>
    <w:rsid w:val="00CD673B"/>
    <w:rsid w:val="00CE0063"/>
    <w:rsid w:val="00CE2B1B"/>
    <w:rsid w:val="00CE5EB6"/>
    <w:rsid w:val="00CE6062"/>
    <w:rsid w:val="00CE6EB6"/>
    <w:rsid w:val="00CF2FB4"/>
    <w:rsid w:val="00D0557C"/>
    <w:rsid w:val="00D05FAE"/>
    <w:rsid w:val="00D10F16"/>
    <w:rsid w:val="00D170F7"/>
    <w:rsid w:val="00D206F2"/>
    <w:rsid w:val="00D20730"/>
    <w:rsid w:val="00D209AE"/>
    <w:rsid w:val="00D20E2B"/>
    <w:rsid w:val="00D31A5D"/>
    <w:rsid w:val="00D36A4E"/>
    <w:rsid w:val="00D37AFF"/>
    <w:rsid w:val="00D447A6"/>
    <w:rsid w:val="00D50760"/>
    <w:rsid w:val="00D52520"/>
    <w:rsid w:val="00D53431"/>
    <w:rsid w:val="00D5687B"/>
    <w:rsid w:val="00D56A4C"/>
    <w:rsid w:val="00D61A30"/>
    <w:rsid w:val="00D73ADB"/>
    <w:rsid w:val="00D74440"/>
    <w:rsid w:val="00D75570"/>
    <w:rsid w:val="00D81D36"/>
    <w:rsid w:val="00D82538"/>
    <w:rsid w:val="00D82FA8"/>
    <w:rsid w:val="00D8312D"/>
    <w:rsid w:val="00D87731"/>
    <w:rsid w:val="00D877FD"/>
    <w:rsid w:val="00D87879"/>
    <w:rsid w:val="00D87F7A"/>
    <w:rsid w:val="00D93026"/>
    <w:rsid w:val="00D95152"/>
    <w:rsid w:val="00D965C0"/>
    <w:rsid w:val="00DB1D66"/>
    <w:rsid w:val="00DB297B"/>
    <w:rsid w:val="00DB5051"/>
    <w:rsid w:val="00DC517D"/>
    <w:rsid w:val="00DD06D7"/>
    <w:rsid w:val="00DD3952"/>
    <w:rsid w:val="00DD7C81"/>
    <w:rsid w:val="00DF1DD4"/>
    <w:rsid w:val="00DF2E09"/>
    <w:rsid w:val="00DF6566"/>
    <w:rsid w:val="00E0718C"/>
    <w:rsid w:val="00E13BEC"/>
    <w:rsid w:val="00E14027"/>
    <w:rsid w:val="00E14A13"/>
    <w:rsid w:val="00E16139"/>
    <w:rsid w:val="00E173FC"/>
    <w:rsid w:val="00E23202"/>
    <w:rsid w:val="00E3042B"/>
    <w:rsid w:val="00E37E54"/>
    <w:rsid w:val="00E4076C"/>
    <w:rsid w:val="00E41094"/>
    <w:rsid w:val="00E41108"/>
    <w:rsid w:val="00E4141D"/>
    <w:rsid w:val="00E4150F"/>
    <w:rsid w:val="00E44E21"/>
    <w:rsid w:val="00E51A20"/>
    <w:rsid w:val="00E60B60"/>
    <w:rsid w:val="00E60F6E"/>
    <w:rsid w:val="00E64AED"/>
    <w:rsid w:val="00E7208A"/>
    <w:rsid w:val="00E76EEE"/>
    <w:rsid w:val="00E83789"/>
    <w:rsid w:val="00E864D0"/>
    <w:rsid w:val="00E916E0"/>
    <w:rsid w:val="00E921E0"/>
    <w:rsid w:val="00E9358B"/>
    <w:rsid w:val="00E935A1"/>
    <w:rsid w:val="00E94DE3"/>
    <w:rsid w:val="00E97294"/>
    <w:rsid w:val="00EA3A6D"/>
    <w:rsid w:val="00EB1123"/>
    <w:rsid w:val="00EB1CDF"/>
    <w:rsid w:val="00EB4062"/>
    <w:rsid w:val="00EB4CF4"/>
    <w:rsid w:val="00EB78FF"/>
    <w:rsid w:val="00EC2AD5"/>
    <w:rsid w:val="00EE0FFA"/>
    <w:rsid w:val="00EF3685"/>
    <w:rsid w:val="00EF5515"/>
    <w:rsid w:val="00EF6BCD"/>
    <w:rsid w:val="00F031F9"/>
    <w:rsid w:val="00F0685F"/>
    <w:rsid w:val="00F10255"/>
    <w:rsid w:val="00F11597"/>
    <w:rsid w:val="00F13012"/>
    <w:rsid w:val="00F21573"/>
    <w:rsid w:val="00F21C6B"/>
    <w:rsid w:val="00F31209"/>
    <w:rsid w:val="00F33660"/>
    <w:rsid w:val="00F41BFD"/>
    <w:rsid w:val="00F42C0F"/>
    <w:rsid w:val="00F43476"/>
    <w:rsid w:val="00F460C1"/>
    <w:rsid w:val="00F54BC3"/>
    <w:rsid w:val="00F60E92"/>
    <w:rsid w:val="00F624BC"/>
    <w:rsid w:val="00F64448"/>
    <w:rsid w:val="00F73A9B"/>
    <w:rsid w:val="00F753D3"/>
    <w:rsid w:val="00F75CDF"/>
    <w:rsid w:val="00F80ACF"/>
    <w:rsid w:val="00F8179D"/>
    <w:rsid w:val="00F83505"/>
    <w:rsid w:val="00F86744"/>
    <w:rsid w:val="00F90424"/>
    <w:rsid w:val="00F910CC"/>
    <w:rsid w:val="00F9281D"/>
    <w:rsid w:val="00F928DD"/>
    <w:rsid w:val="00FA0C7B"/>
    <w:rsid w:val="00FB62DB"/>
    <w:rsid w:val="00FB65A7"/>
    <w:rsid w:val="00FC00DD"/>
    <w:rsid w:val="00FC0408"/>
    <w:rsid w:val="00FC0D90"/>
    <w:rsid w:val="00FC1655"/>
    <w:rsid w:val="00FC2C0F"/>
    <w:rsid w:val="00FC40BF"/>
    <w:rsid w:val="00FC6728"/>
    <w:rsid w:val="00FD0057"/>
    <w:rsid w:val="00FD6333"/>
    <w:rsid w:val="00FE2152"/>
    <w:rsid w:val="00FE4510"/>
    <w:rsid w:val="00FF0A64"/>
    <w:rsid w:val="00FF1001"/>
    <w:rsid w:val="00FF1E96"/>
    <w:rsid w:val="00FF2F12"/>
    <w:rsid w:val="00FF7FC5"/>
    <w:rsid w:val="020561EB"/>
    <w:rsid w:val="045D1B96"/>
    <w:rsid w:val="063B377E"/>
    <w:rsid w:val="06F67CFA"/>
    <w:rsid w:val="07ED258E"/>
    <w:rsid w:val="0A754301"/>
    <w:rsid w:val="0D902303"/>
    <w:rsid w:val="0E2B6124"/>
    <w:rsid w:val="0EA34F52"/>
    <w:rsid w:val="100D26E5"/>
    <w:rsid w:val="101C7590"/>
    <w:rsid w:val="106A60FF"/>
    <w:rsid w:val="12834052"/>
    <w:rsid w:val="147F5F0E"/>
    <w:rsid w:val="14C52C52"/>
    <w:rsid w:val="158B066E"/>
    <w:rsid w:val="1649737C"/>
    <w:rsid w:val="18175B3F"/>
    <w:rsid w:val="181A3E13"/>
    <w:rsid w:val="1BE72E68"/>
    <w:rsid w:val="1BFC7B9F"/>
    <w:rsid w:val="1C9B5E51"/>
    <w:rsid w:val="1CE7D767"/>
    <w:rsid w:val="1EFB109A"/>
    <w:rsid w:val="1F463F0C"/>
    <w:rsid w:val="1F9F049B"/>
    <w:rsid w:val="20F2462B"/>
    <w:rsid w:val="24D9646C"/>
    <w:rsid w:val="2B0C45F5"/>
    <w:rsid w:val="2BF23751"/>
    <w:rsid w:val="2C8E04D3"/>
    <w:rsid w:val="2CA96C55"/>
    <w:rsid w:val="2EC44421"/>
    <w:rsid w:val="322B6F2F"/>
    <w:rsid w:val="341C08B9"/>
    <w:rsid w:val="34F03DD8"/>
    <w:rsid w:val="38430EAC"/>
    <w:rsid w:val="384B4DB2"/>
    <w:rsid w:val="385E74D0"/>
    <w:rsid w:val="3999786B"/>
    <w:rsid w:val="39B04430"/>
    <w:rsid w:val="3A7ADC5E"/>
    <w:rsid w:val="3DD7BD5B"/>
    <w:rsid w:val="3FD47FAD"/>
    <w:rsid w:val="41A83C08"/>
    <w:rsid w:val="432D5C24"/>
    <w:rsid w:val="46662327"/>
    <w:rsid w:val="46A57F78"/>
    <w:rsid w:val="47C8615B"/>
    <w:rsid w:val="48346E88"/>
    <w:rsid w:val="4BE35CCD"/>
    <w:rsid w:val="4CE03F7C"/>
    <w:rsid w:val="4E023360"/>
    <w:rsid w:val="4F0170F3"/>
    <w:rsid w:val="4F307F8F"/>
    <w:rsid w:val="50854E7C"/>
    <w:rsid w:val="50A26316"/>
    <w:rsid w:val="50B34442"/>
    <w:rsid w:val="52481A73"/>
    <w:rsid w:val="52655C2C"/>
    <w:rsid w:val="52672FA8"/>
    <w:rsid w:val="527963F8"/>
    <w:rsid w:val="53537279"/>
    <w:rsid w:val="54BFA8F0"/>
    <w:rsid w:val="557E1660"/>
    <w:rsid w:val="56B93B57"/>
    <w:rsid w:val="56FBB977"/>
    <w:rsid w:val="58AC0B0F"/>
    <w:rsid w:val="59372BC4"/>
    <w:rsid w:val="59DE3CDD"/>
    <w:rsid w:val="5BD7D145"/>
    <w:rsid w:val="5D0D6309"/>
    <w:rsid w:val="5DA0212C"/>
    <w:rsid w:val="5EFB0814"/>
    <w:rsid w:val="614F5F26"/>
    <w:rsid w:val="65E34694"/>
    <w:rsid w:val="668967BF"/>
    <w:rsid w:val="6B276665"/>
    <w:rsid w:val="6D597D0C"/>
    <w:rsid w:val="6D7E6433"/>
    <w:rsid w:val="6DCD5D6A"/>
    <w:rsid w:val="6DEA5E99"/>
    <w:rsid w:val="6E135DD8"/>
    <w:rsid w:val="6E507EC6"/>
    <w:rsid w:val="6ED17FE0"/>
    <w:rsid w:val="6EDF988C"/>
    <w:rsid w:val="6F5F14A7"/>
    <w:rsid w:val="6F75469F"/>
    <w:rsid w:val="6FB65F48"/>
    <w:rsid w:val="6FCF33E3"/>
    <w:rsid w:val="723D0E21"/>
    <w:rsid w:val="736E5788"/>
    <w:rsid w:val="747C2E90"/>
    <w:rsid w:val="75485E93"/>
    <w:rsid w:val="75EF98A8"/>
    <w:rsid w:val="77F30DF6"/>
    <w:rsid w:val="79992452"/>
    <w:rsid w:val="7A407C42"/>
    <w:rsid w:val="7A6EDC33"/>
    <w:rsid w:val="7AF7EDF2"/>
    <w:rsid w:val="7BCFAF46"/>
    <w:rsid w:val="7BEFB4D9"/>
    <w:rsid w:val="7BFA1063"/>
    <w:rsid w:val="7BFB7F54"/>
    <w:rsid w:val="7BFF94D3"/>
    <w:rsid w:val="7C420B41"/>
    <w:rsid w:val="7CAEF10F"/>
    <w:rsid w:val="7D6715E2"/>
    <w:rsid w:val="7EFF3C36"/>
    <w:rsid w:val="7F8E3CE4"/>
    <w:rsid w:val="7FCB7AD0"/>
    <w:rsid w:val="9FFB9CDF"/>
    <w:rsid w:val="AEFEA2CB"/>
    <w:rsid w:val="B3FFF0D7"/>
    <w:rsid w:val="B5FD7604"/>
    <w:rsid w:val="B7BB8A5A"/>
    <w:rsid w:val="BD7E22B7"/>
    <w:rsid w:val="BE459242"/>
    <w:rsid w:val="BEDC7B32"/>
    <w:rsid w:val="C7FF2952"/>
    <w:rsid w:val="CF7FFA2F"/>
    <w:rsid w:val="D27F22C2"/>
    <w:rsid w:val="DBFD388C"/>
    <w:rsid w:val="DFFEFE99"/>
    <w:rsid w:val="DFFFD886"/>
    <w:rsid w:val="EBBF56E0"/>
    <w:rsid w:val="F7BD8D3C"/>
    <w:rsid w:val="F8BFEED7"/>
    <w:rsid w:val="FBF782BF"/>
    <w:rsid w:val="FBFB9BC8"/>
    <w:rsid w:val="FDFEF9EB"/>
    <w:rsid w:val="FEDF3563"/>
    <w:rsid w:val="FF96A991"/>
    <w:rsid w:val="FFA241D7"/>
    <w:rsid w:val="FFDFA55F"/>
    <w:rsid w:val="FFEBCA21"/>
    <w:rsid w:val="FFF3C74C"/>
    <w:rsid w:val="FFF7E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黑体"/>
      <w:kern w:val="2"/>
      <w:sz w:val="21"/>
      <w:szCs w:val="22"/>
      <w:lang w:val="en-US" w:eastAsia="zh-CN" w:bidi="ar-SA"/>
    </w:rPr>
  </w:style>
  <w:style w:type="paragraph" w:styleId="2">
    <w:name w:val="heading 1"/>
    <w:basedOn w:val="1"/>
    <w:next w:val="1"/>
    <w:link w:val="35"/>
    <w:qFormat/>
    <w:uiPriority w:val="9"/>
    <w:pPr>
      <w:keepNext/>
      <w:keepLines/>
      <w:ind w:firstLine="0" w:firstLineChars="0"/>
      <w:outlineLvl w:val="0"/>
    </w:pPr>
    <w:rPr>
      <w:rFonts w:eastAsia="黑体"/>
      <w:b/>
      <w:bCs/>
      <w:kern w:val="44"/>
      <w:sz w:val="28"/>
      <w:szCs w:val="44"/>
    </w:rPr>
  </w:style>
  <w:style w:type="paragraph" w:styleId="3">
    <w:name w:val="heading 2"/>
    <w:basedOn w:val="1"/>
    <w:next w:val="1"/>
    <w:link w:val="36"/>
    <w:unhideWhenUsed/>
    <w:qFormat/>
    <w:uiPriority w:val="9"/>
    <w:pPr>
      <w:keepNext/>
      <w:keepLines/>
      <w:ind w:firstLine="0" w:firstLineChars="0"/>
      <w:outlineLvl w:val="1"/>
    </w:pPr>
    <w:rPr>
      <w:rFonts w:eastAsia="黑体" w:cs="宋体"/>
      <w:bCs/>
      <w:szCs w:val="32"/>
    </w:rPr>
  </w:style>
  <w:style w:type="paragraph" w:styleId="4">
    <w:name w:val="heading 3"/>
    <w:basedOn w:val="1"/>
    <w:next w:val="1"/>
    <w:unhideWhenUsed/>
    <w:qFormat/>
    <w:uiPriority w:val="9"/>
    <w:pPr>
      <w:ind w:firstLine="0" w:firstLineChars="0"/>
      <w:jc w:val="left"/>
      <w:outlineLvl w:val="2"/>
    </w:pPr>
    <w:rPr>
      <w:rFonts w:hint="eastAsia" w:eastAsia="楷体" w:cs="Times New Roman"/>
      <w:kern w:val="0"/>
      <w:szCs w:val="27"/>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pacing w:before="152" w:after="160"/>
      <w:ind w:firstLine="0" w:firstLineChars="0"/>
    </w:pPr>
    <w:rPr>
      <w:rFonts w:ascii="Arial" w:hAnsi="Arial" w:eastAsia="黑体" w:cs="Arial"/>
      <w:sz w:val="20"/>
      <w:szCs w:val="20"/>
    </w:rPr>
  </w:style>
  <w:style w:type="paragraph" w:styleId="6">
    <w:name w:val="annotation text"/>
    <w:basedOn w:val="1"/>
    <w:semiHidden/>
    <w:unhideWhenUsed/>
    <w:qFormat/>
    <w:uiPriority w:val="99"/>
    <w:pPr>
      <w:jc w:val="left"/>
    </w:pPr>
  </w:style>
  <w:style w:type="paragraph" w:styleId="7">
    <w:name w:val="Body Text"/>
    <w:basedOn w:val="1"/>
    <w:link w:val="45"/>
    <w:unhideWhenUsed/>
    <w:qFormat/>
    <w:uiPriority w:val="99"/>
    <w:pPr>
      <w:spacing w:after="120"/>
    </w:pPr>
  </w:style>
  <w:style w:type="paragraph" w:styleId="8">
    <w:name w:val="Balloon Text"/>
    <w:basedOn w:val="1"/>
    <w:link w:val="34"/>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footnote text"/>
    <w:basedOn w:val="1"/>
    <w:link w:val="30"/>
    <w:unhideWhenUsed/>
    <w:qFormat/>
    <w:uiPriority w:val="0"/>
    <w:pPr>
      <w:snapToGrid w:val="0"/>
      <w:jc w:val="left"/>
    </w:pPr>
    <w:rPr>
      <w:sz w:val="18"/>
      <w:szCs w:val="20"/>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37"/>
    <w:qFormat/>
    <w:uiPriority w:val="10"/>
    <w:pPr>
      <w:spacing w:before="240" w:after="60"/>
      <w:jc w:val="center"/>
      <w:outlineLvl w:val="0"/>
    </w:pPr>
    <w:rPr>
      <w:rFonts w:ascii="Cambria" w:hAnsi="Cambria" w:cs="Times New Roman"/>
      <w:b/>
      <w:bCs/>
      <w:sz w:val="48"/>
      <w:szCs w:val="32"/>
    </w:rPr>
  </w:style>
  <w:style w:type="table" w:styleId="15">
    <w:name w:val="Table Grid"/>
    <w:basedOn w:val="14"/>
    <w:qFormat/>
    <w:uiPriority w:val="39"/>
    <w:rPr>
      <w:rFonts w:asciiTheme="minorHAnsi" w:hAns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FollowedHyperlink"/>
    <w:basedOn w:val="16"/>
    <w:semiHidden/>
    <w:unhideWhenUsed/>
    <w:qFormat/>
    <w:uiPriority w:val="99"/>
    <w:rPr>
      <w:color w:val="666666"/>
      <w:u w:val="none"/>
    </w:rPr>
  </w:style>
  <w:style w:type="character" w:styleId="19">
    <w:name w:val="Emphasis"/>
    <w:basedOn w:val="16"/>
    <w:qFormat/>
    <w:uiPriority w:val="20"/>
  </w:style>
  <w:style w:type="character" w:styleId="20">
    <w:name w:val="HTML Definition"/>
    <w:basedOn w:val="16"/>
    <w:semiHidden/>
    <w:unhideWhenUsed/>
    <w:qFormat/>
    <w:uiPriority w:val="99"/>
  </w:style>
  <w:style w:type="character" w:styleId="21">
    <w:name w:val="HTML Acronym"/>
    <w:basedOn w:val="16"/>
    <w:semiHidden/>
    <w:unhideWhenUsed/>
    <w:qFormat/>
    <w:uiPriority w:val="99"/>
  </w:style>
  <w:style w:type="character" w:styleId="22">
    <w:name w:val="HTML Variable"/>
    <w:basedOn w:val="16"/>
    <w:semiHidden/>
    <w:unhideWhenUsed/>
    <w:qFormat/>
    <w:uiPriority w:val="99"/>
  </w:style>
  <w:style w:type="character" w:styleId="23">
    <w:name w:val="Hyperlink"/>
    <w:unhideWhenUsed/>
    <w:qFormat/>
    <w:uiPriority w:val="99"/>
    <w:rPr>
      <w:color w:val="0000FF"/>
      <w:u w:val="single"/>
    </w:rPr>
  </w:style>
  <w:style w:type="character" w:styleId="24">
    <w:name w:val="HTML Code"/>
    <w:basedOn w:val="16"/>
    <w:semiHidden/>
    <w:unhideWhenUsed/>
    <w:qFormat/>
    <w:uiPriority w:val="99"/>
    <w:rPr>
      <w:rFonts w:ascii="Courier New" w:hAnsi="Courier New"/>
      <w:sz w:val="20"/>
    </w:rPr>
  </w:style>
  <w:style w:type="character" w:styleId="25">
    <w:name w:val="annotation reference"/>
    <w:basedOn w:val="16"/>
    <w:semiHidden/>
    <w:unhideWhenUsed/>
    <w:qFormat/>
    <w:uiPriority w:val="99"/>
    <w:rPr>
      <w:sz w:val="21"/>
      <w:szCs w:val="21"/>
    </w:rPr>
  </w:style>
  <w:style w:type="character" w:styleId="26">
    <w:name w:val="HTML Cite"/>
    <w:basedOn w:val="16"/>
    <w:semiHidden/>
    <w:unhideWhenUsed/>
    <w:qFormat/>
    <w:uiPriority w:val="99"/>
  </w:style>
  <w:style w:type="character" w:styleId="27">
    <w:name w:val="footnote reference"/>
    <w:basedOn w:val="16"/>
    <w:semiHidden/>
    <w:unhideWhenUsed/>
    <w:qFormat/>
    <w:uiPriority w:val="99"/>
    <w:rPr>
      <w:vertAlign w:val="superscript"/>
    </w:rPr>
  </w:style>
  <w:style w:type="character" w:customStyle="1" w:styleId="28">
    <w:name w:val="页眉 字符"/>
    <w:basedOn w:val="16"/>
    <w:link w:val="10"/>
    <w:qFormat/>
    <w:uiPriority w:val="99"/>
    <w:rPr>
      <w:sz w:val="18"/>
      <w:szCs w:val="18"/>
    </w:rPr>
  </w:style>
  <w:style w:type="character" w:customStyle="1" w:styleId="29">
    <w:name w:val="页脚 字符"/>
    <w:basedOn w:val="16"/>
    <w:link w:val="9"/>
    <w:qFormat/>
    <w:uiPriority w:val="99"/>
    <w:rPr>
      <w:sz w:val="18"/>
      <w:szCs w:val="18"/>
    </w:rPr>
  </w:style>
  <w:style w:type="character" w:customStyle="1" w:styleId="30">
    <w:name w:val="脚注文本 字符"/>
    <w:basedOn w:val="16"/>
    <w:link w:val="11"/>
    <w:qFormat/>
    <w:uiPriority w:val="0"/>
    <w:rPr>
      <w:rFonts w:ascii="Calibri" w:hAnsi="Calibri" w:eastAsia="宋体" w:cs="黑体"/>
      <w:sz w:val="18"/>
      <w:szCs w:val="20"/>
    </w:rPr>
  </w:style>
  <w:style w:type="paragraph" w:customStyle="1" w:styleId="31">
    <w:name w:val="reader-word-layer reader-word-s2-12"/>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列出段落1"/>
    <w:basedOn w:val="1"/>
    <w:qFormat/>
    <w:uiPriority w:val="34"/>
    <w:pPr>
      <w:ind w:firstLine="420"/>
    </w:pPr>
  </w:style>
  <w:style w:type="character" w:customStyle="1" w:styleId="33">
    <w:name w:val="apple-converted-space"/>
    <w:basedOn w:val="16"/>
    <w:qFormat/>
    <w:uiPriority w:val="0"/>
  </w:style>
  <w:style w:type="character" w:customStyle="1" w:styleId="34">
    <w:name w:val="批注框文本 字符"/>
    <w:basedOn w:val="16"/>
    <w:link w:val="8"/>
    <w:semiHidden/>
    <w:qFormat/>
    <w:uiPriority w:val="99"/>
    <w:rPr>
      <w:rFonts w:ascii="Calibri" w:hAnsi="Calibri" w:eastAsia="宋体" w:cs="黑体"/>
      <w:sz w:val="18"/>
      <w:szCs w:val="18"/>
    </w:rPr>
  </w:style>
  <w:style w:type="character" w:customStyle="1" w:styleId="35">
    <w:name w:val="标题 1 字符"/>
    <w:basedOn w:val="16"/>
    <w:link w:val="2"/>
    <w:qFormat/>
    <w:uiPriority w:val="9"/>
    <w:rPr>
      <w:rFonts w:eastAsia="黑体" w:cs="黑体"/>
      <w:b/>
      <w:bCs/>
      <w:kern w:val="44"/>
      <w:sz w:val="28"/>
      <w:szCs w:val="44"/>
    </w:rPr>
  </w:style>
  <w:style w:type="character" w:customStyle="1" w:styleId="36">
    <w:name w:val="标题 2 字符"/>
    <w:basedOn w:val="16"/>
    <w:link w:val="3"/>
    <w:qFormat/>
    <w:uiPriority w:val="9"/>
    <w:rPr>
      <w:rFonts w:eastAsia="黑体" w:cs="宋体"/>
      <w:bCs/>
      <w:kern w:val="2"/>
      <w:sz w:val="21"/>
      <w:szCs w:val="32"/>
    </w:rPr>
  </w:style>
  <w:style w:type="character" w:customStyle="1" w:styleId="37">
    <w:name w:val="标题 字符"/>
    <w:basedOn w:val="16"/>
    <w:link w:val="13"/>
    <w:qFormat/>
    <w:uiPriority w:val="10"/>
    <w:rPr>
      <w:rFonts w:ascii="Cambria" w:hAnsi="Cambria" w:eastAsia="宋体" w:cs="Times New Roman"/>
      <w:b/>
      <w:bCs/>
      <w:sz w:val="48"/>
      <w:szCs w:val="32"/>
    </w:rPr>
  </w:style>
  <w:style w:type="table" w:customStyle="1" w:styleId="38">
    <w:name w:val="网格型1"/>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focus"/>
    <w:basedOn w:val="16"/>
    <w:qFormat/>
    <w:uiPriority w:val="0"/>
  </w:style>
  <w:style w:type="paragraph" w:customStyle="1" w:styleId="40">
    <w:name w:val="图表标题"/>
    <w:qFormat/>
    <w:uiPriority w:val="0"/>
    <w:pPr>
      <w:snapToGrid w:val="0"/>
      <w:spacing w:beforeLines="10" w:afterLines="10" w:line="360" w:lineRule="auto"/>
      <w:jc w:val="center"/>
    </w:pPr>
    <w:rPr>
      <w:rFonts w:ascii="Times New Roman" w:hAnsi="Times New Roman" w:eastAsia="黑体" w:cs="Times New Roman"/>
      <w:b/>
      <w:sz w:val="18"/>
      <w:lang w:val="en-US" w:eastAsia="zh-CN" w:bidi="ar-SA"/>
    </w:rPr>
  </w:style>
  <w:style w:type="paragraph" w:styleId="41">
    <w:name w:val="List Paragraph"/>
    <w:basedOn w:val="1"/>
    <w:qFormat/>
    <w:uiPriority w:val="34"/>
    <w:pPr>
      <w:ind w:firstLine="420"/>
    </w:pPr>
  </w:style>
  <w:style w:type="paragraph" w:customStyle="1" w:styleId="42">
    <w:name w:val="标准三号正文"/>
    <w:basedOn w:val="1"/>
    <w:qFormat/>
    <w:uiPriority w:val="0"/>
    <w:pPr>
      <w:spacing w:line="360" w:lineRule="auto"/>
      <w:ind w:firstLine="880"/>
    </w:pPr>
    <w:rPr>
      <w:rFonts w:ascii="宋体" w:hAnsi="宋体" w:eastAsia="仿宋"/>
      <w:sz w:val="32"/>
    </w:rPr>
  </w:style>
  <w:style w:type="paragraph" w:customStyle="1" w:styleId="43">
    <w:name w:val="AMDisplayEquation"/>
    <w:basedOn w:val="1"/>
    <w:next w:val="1"/>
    <w:link w:val="44"/>
    <w:qFormat/>
    <w:uiPriority w:val="0"/>
    <w:pPr>
      <w:tabs>
        <w:tab w:val="center" w:pos="4720"/>
        <w:tab w:val="right" w:pos="9240"/>
      </w:tabs>
      <w:adjustRightInd w:val="0"/>
      <w:snapToGrid w:val="0"/>
      <w:ind w:firstLine="0" w:firstLineChars="0"/>
    </w:pPr>
    <w:rPr>
      <w:rFonts w:cs="Times New Roman"/>
      <w:kern w:val="0"/>
      <w:szCs w:val="20"/>
    </w:rPr>
  </w:style>
  <w:style w:type="character" w:customStyle="1" w:styleId="44">
    <w:name w:val="AMDisplayEquation 字符"/>
    <w:link w:val="43"/>
    <w:qFormat/>
    <w:uiPriority w:val="0"/>
    <w:rPr>
      <w:sz w:val="21"/>
    </w:rPr>
  </w:style>
  <w:style w:type="character" w:customStyle="1" w:styleId="45">
    <w:name w:val="正文文本 字符"/>
    <w:basedOn w:val="16"/>
    <w:link w:val="7"/>
    <w:qFormat/>
    <w:uiPriority w:val="99"/>
    <w:rPr>
      <w:rFonts w:cs="黑体"/>
      <w:kern w:val="2"/>
      <w:sz w:val="21"/>
      <w:szCs w:val="22"/>
    </w:rPr>
  </w:style>
  <w:style w:type="paragraph" w:customStyle="1" w:styleId="46">
    <w:name w:val="书目1"/>
    <w:basedOn w:val="1"/>
    <w:next w:val="1"/>
    <w:unhideWhenUsed/>
    <w:qFormat/>
    <w:uiPriority w:val="37"/>
  </w:style>
  <w:style w:type="character" w:customStyle="1" w:styleId="47">
    <w:name w:val="MTEquationSection"/>
    <w:basedOn w:val="16"/>
    <w:qFormat/>
    <w:uiPriority w:val="0"/>
    <w:rPr>
      <w:rFonts w:cs="Times New Roman"/>
      <w:b/>
      <w:bCs/>
      <w:vanish/>
      <w:color w:val="FF0000"/>
      <w:sz w:val="48"/>
      <w:szCs w:val="32"/>
    </w:rPr>
  </w:style>
  <w:style w:type="paragraph" w:customStyle="1" w:styleId="48">
    <w:name w:val="MTDisplayEquation"/>
    <w:basedOn w:val="43"/>
    <w:next w:val="1"/>
    <w:link w:val="49"/>
    <w:qFormat/>
    <w:uiPriority w:val="0"/>
    <w:pPr>
      <w:tabs>
        <w:tab w:val="center" w:pos="4160"/>
        <w:tab w:val="right" w:pos="8300"/>
        <w:tab w:val="clear" w:pos="4720"/>
        <w:tab w:val="clear" w:pos="9240"/>
      </w:tabs>
      <w:ind w:firstLine="420"/>
    </w:pPr>
  </w:style>
  <w:style w:type="character" w:customStyle="1" w:styleId="49">
    <w:name w:val="MTDisplayEquation 字符"/>
    <w:basedOn w:val="44"/>
    <w:link w:val="48"/>
    <w:qFormat/>
    <w:uiPriority w:val="0"/>
    <w:rPr>
      <w:sz w:val="21"/>
    </w:rPr>
  </w:style>
  <w:style w:type="paragraph" w:customStyle="1" w:styleId="50">
    <w:name w:val="书目2"/>
    <w:basedOn w:val="1"/>
    <w:next w:val="1"/>
    <w:unhideWhenUsed/>
    <w:qFormat/>
    <w:uiPriority w:val="37"/>
    <w:pPr>
      <w:tabs>
        <w:tab w:val="left" w:pos="504"/>
      </w:tabs>
      <w:ind w:left="504" w:hanging="504"/>
    </w:pPr>
  </w:style>
  <w:style w:type="paragraph" w:customStyle="1" w:styleId="51">
    <w:name w:val="修订1"/>
    <w:hidden/>
    <w:unhideWhenUsed/>
    <w:qFormat/>
    <w:uiPriority w:val="99"/>
    <w:rPr>
      <w:rFonts w:ascii="Times New Roman" w:hAnsi="Times New Roman"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0.wmf"/><Relationship Id="rId97" Type="http://schemas.openxmlformats.org/officeDocument/2006/relationships/oleObject" Target="embeddings/oleObject47.bin"/><Relationship Id="rId96" Type="http://schemas.openxmlformats.org/officeDocument/2006/relationships/oleObject" Target="embeddings/oleObject46.bin"/><Relationship Id="rId95" Type="http://schemas.openxmlformats.org/officeDocument/2006/relationships/oleObject" Target="embeddings/oleObject45.bin"/><Relationship Id="rId94" Type="http://schemas.openxmlformats.org/officeDocument/2006/relationships/image" Target="media/image39.wmf"/><Relationship Id="rId93" Type="http://schemas.openxmlformats.org/officeDocument/2006/relationships/oleObject" Target="embeddings/oleObject44.bin"/><Relationship Id="rId92" Type="http://schemas.openxmlformats.org/officeDocument/2006/relationships/image" Target="media/image38.wmf"/><Relationship Id="rId91" Type="http://schemas.openxmlformats.org/officeDocument/2006/relationships/oleObject" Target="embeddings/oleObject43.bin"/><Relationship Id="rId90" Type="http://schemas.openxmlformats.org/officeDocument/2006/relationships/image" Target="media/image37.wmf"/><Relationship Id="rId9" Type="http://schemas.openxmlformats.org/officeDocument/2006/relationships/footer" Target="footer2.xml"/><Relationship Id="rId89" Type="http://schemas.openxmlformats.org/officeDocument/2006/relationships/oleObject" Target="embeddings/oleObject42.bin"/><Relationship Id="rId88" Type="http://schemas.openxmlformats.org/officeDocument/2006/relationships/image" Target="media/image36.wmf"/><Relationship Id="rId87" Type="http://schemas.openxmlformats.org/officeDocument/2006/relationships/oleObject" Target="embeddings/oleObject41.bin"/><Relationship Id="rId86" Type="http://schemas.openxmlformats.org/officeDocument/2006/relationships/image" Target="media/image35.wmf"/><Relationship Id="rId85" Type="http://schemas.openxmlformats.org/officeDocument/2006/relationships/oleObject" Target="embeddings/oleObject40.bin"/><Relationship Id="rId84" Type="http://schemas.openxmlformats.org/officeDocument/2006/relationships/image" Target="media/image34.wmf"/><Relationship Id="rId83" Type="http://schemas.openxmlformats.org/officeDocument/2006/relationships/oleObject" Target="embeddings/oleObject39.bin"/><Relationship Id="rId82" Type="http://schemas.openxmlformats.org/officeDocument/2006/relationships/image" Target="media/image33.wmf"/><Relationship Id="rId81" Type="http://schemas.openxmlformats.org/officeDocument/2006/relationships/oleObject" Target="embeddings/oleObject38.bin"/><Relationship Id="rId80" Type="http://schemas.openxmlformats.org/officeDocument/2006/relationships/image" Target="media/image32.wmf"/><Relationship Id="rId8" Type="http://schemas.openxmlformats.org/officeDocument/2006/relationships/footer" Target="footer1.xml"/><Relationship Id="rId79" Type="http://schemas.openxmlformats.org/officeDocument/2006/relationships/oleObject" Target="embeddings/oleObject37.bin"/><Relationship Id="rId78" Type="http://schemas.openxmlformats.org/officeDocument/2006/relationships/image" Target="media/image31.wmf"/><Relationship Id="rId77" Type="http://schemas.openxmlformats.org/officeDocument/2006/relationships/oleObject" Target="embeddings/oleObject36.bin"/><Relationship Id="rId76" Type="http://schemas.openxmlformats.org/officeDocument/2006/relationships/image" Target="media/image30.wmf"/><Relationship Id="rId75" Type="http://schemas.openxmlformats.org/officeDocument/2006/relationships/oleObject" Target="embeddings/oleObject35.bin"/><Relationship Id="rId74" Type="http://schemas.openxmlformats.org/officeDocument/2006/relationships/image" Target="media/image29.wmf"/><Relationship Id="rId73" Type="http://schemas.openxmlformats.org/officeDocument/2006/relationships/oleObject" Target="embeddings/oleObject34.bin"/><Relationship Id="rId72" Type="http://schemas.openxmlformats.org/officeDocument/2006/relationships/image" Target="media/image28.wmf"/><Relationship Id="rId71" Type="http://schemas.openxmlformats.org/officeDocument/2006/relationships/oleObject" Target="embeddings/oleObject33.bin"/><Relationship Id="rId70" Type="http://schemas.openxmlformats.org/officeDocument/2006/relationships/oleObject" Target="embeddings/oleObject32.bin"/><Relationship Id="rId7" Type="http://schemas.openxmlformats.org/officeDocument/2006/relationships/header" Target="header3.xml"/><Relationship Id="rId69" Type="http://schemas.openxmlformats.org/officeDocument/2006/relationships/oleObject" Target="embeddings/oleObject31.bin"/><Relationship Id="rId68" Type="http://schemas.openxmlformats.org/officeDocument/2006/relationships/image" Target="media/image27.wmf"/><Relationship Id="rId67" Type="http://schemas.openxmlformats.org/officeDocument/2006/relationships/oleObject" Target="embeddings/oleObject30.bin"/><Relationship Id="rId66" Type="http://schemas.openxmlformats.org/officeDocument/2006/relationships/image" Target="media/image26.wmf"/><Relationship Id="rId65" Type="http://schemas.openxmlformats.org/officeDocument/2006/relationships/oleObject" Target="embeddings/oleObject29.bin"/><Relationship Id="rId64" Type="http://schemas.openxmlformats.org/officeDocument/2006/relationships/image" Target="media/image25.wmf"/><Relationship Id="rId63" Type="http://schemas.openxmlformats.org/officeDocument/2006/relationships/oleObject" Target="embeddings/oleObject28.bin"/><Relationship Id="rId62" Type="http://schemas.openxmlformats.org/officeDocument/2006/relationships/image" Target="media/image24.wmf"/><Relationship Id="rId61" Type="http://schemas.openxmlformats.org/officeDocument/2006/relationships/oleObject" Target="embeddings/oleObject27.bin"/><Relationship Id="rId60" Type="http://schemas.openxmlformats.org/officeDocument/2006/relationships/image" Target="media/image23.wmf"/><Relationship Id="rId6" Type="http://schemas.openxmlformats.org/officeDocument/2006/relationships/header" Target="header2.xml"/><Relationship Id="rId59" Type="http://schemas.openxmlformats.org/officeDocument/2006/relationships/oleObject" Target="embeddings/oleObject26.bin"/><Relationship Id="rId58" Type="http://schemas.openxmlformats.org/officeDocument/2006/relationships/image" Target="media/image22.wmf"/><Relationship Id="rId57" Type="http://schemas.openxmlformats.org/officeDocument/2006/relationships/oleObject" Target="embeddings/oleObject25.bin"/><Relationship Id="rId56" Type="http://schemas.openxmlformats.org/officeDocument/2006/relationships/image" Target="media/image21.wmf"/><Relationship Id="rId55" Type="http://schemas.openxmlformats.org/officeDocument/2006/relationships/oleObject" Target="embeddings/oleObject24.bin"/><Relationship Id="rId54" Type="http://schemas.openxmlformats.org/officeDocument/2006/relationships/image" Target="media/image20.wmf"/><Relationship Id="rId53" Type="http://schemas.openxmlformats.org/officeDocument/2006/relationships/oleObject" Target="embeddings/oleObject23.bin"/><Relationship Id="rId52" Type="http://schemas.openxmlformats.org/officeDocument/2006/relationships/image" Target="media/image19.wmf"/><Relationship Id="rId51" Type="http://schemas.openxmlformats.org/officeDocument/2006/relationships/oleObject" Target="embeddings/oleObject22.bin"/><Relationship Id="rId50" Type="http://schemas.openxmlformats.org/officeDocument/2006/relationships/image" Target="media/image18.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17.wmf"/><Relationship Id="rId47" Type="http://schemas.openxmlformats.org/officeDocument/2006/relationships/oleObject" Target="embeddings/oleObject20.bin"/><Relationship Id="rId46" Type="http://schemas.openxmlformats.org/officeDocument/2006/relationships/image" Target="media/image16.wmf"/><Relationship Id="rId45" Type="http://schemas.openxmlformats.org/officeDocument/2006/relationships/oleObject" Target="embeddings/oleObject19.bin"/><Relationship Id="rId44" Type="http://schemas.openxmlformats.org/officeDocument/2006/relationships/oleObject" Target="embeddings/oleObject18.bin"/><Relationship Id="rId43" Type="http://schemas.openxmlformats.org/officeDocument/2006/relationships/oleObject" Target="embeddings/oleObject17.bin"/><Relationship Id="rId42" Type="http://schemas.openxmlformats.org/officeDocument/2006/relationships/oleObject" Target="embeddings/oleObject16.bin"/><Relationship Id="rId41" Type="http://schemas.openxmlformats.org/officeDocument/2006/relationships/image" Target="media/image15.wmf"/><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image" Target="media/image14.wmf"/><Relationship Id="rId38" Type="http://schemas.openxmlformats.org/officeDocument/2006/relationships/oleObject" Target="embeddings/oleObject14.bin"/><Relationship Id="rId37" Type="http://schemas.openxmlformats.org/officeDocument/2006/relationships/image" Target="media/image13.wmf"/><Relationship Id="rId36" Type="http://schemas.openxmlformats.org/officeDocument/2006/relationships/oleObject" Target="embeddings/oleObject13.bin"/><Relationship Id="rId35" Type="http://schemas.openxmlformats.org/officeDocument/2006/relationships/image" Target="media/image12.wmf"/><Relationship Id="rId34" Type="http://schemas.openxmlformats.org/officeDocument/2006/relationships/oleObject" Target="embeddings/oleObject12.bin"/><Relationship Id="rId33" Type="http://schemas.openxmlformats.org/officeDocument/2006/relationships/oleObject" Target="embeddings/oleObject11.bin"/><Relationship Id="rId32" Type="http://schemas.openxmlformats.org/officeDocument/2006/relationships/image" Target="media/image11.wmf"/><Relationship Id="rId31" Type="http://schemas.openxmlformats.org/officeDocument/2006/relationships/oleObject" Target="embeddings/oleObject10.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9.wmf"/><Relationship Id="rId27" Type="http://schemas.openxmlformats.org/officeDocument/2006/relationships/oleObject" Target="embeddings/oleObject8.bin"/><Relationship Id="rId26" Type="http://schemas.openxmlformats.org/officeDocument/2006/relationships/image" Target="media/image8.wmf"/><Relationship Id="rId25" Type="http://schemas.openxmlformats.org/officeDocument/2006/relationships/oleObject" Target="embeddings/oleObject7.bin"/><Relationship Id="rId24" Type="http://schemas.openxmlformats.org/officeDocument/2006/relationships/image" Target="media/image7.wmf"/><Relationship Id="rId23" Type="http://schemas.openxmlformats.org/officeDocument/2006/relationships/oleObject" Target="embeddings/oleObject6.bin"/><Relationship Id="rId22" Type="http://schemas.openxmlformats.org/officeDocument/2006/relationships/image" Target="media/image6.wmf"/><Relationship Id="rId21" Type="http://schemas.openxmlformats.org/officeDocument/2006/relationships/oleObject" Target="embeddings/oleObject5.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wmf"/><Relationship Id="rId17" Type="http://schemas.openxmlformats.org/officeDocument/2006/relationships/oleObject" Target="embeddings/oleObject3.bin"/><Relationship Id="rId16" Type="http://schemas.openxmlformats.org/officeDocument/2006/relationships/image" Target="media/image3.wmf"/><Relationship Id="rId15" Type="http://schemas.openxmlformats.org/officeDocument/2006/relationships/oleObject" Target="embeddings/oleObject2.bin"/><Relationship Id="rId149" Type="http://schemas.openxmlformats.org/officeDocument/2006/relationships/fontTable" Target="fontTable.xml"/><Relationship Id="rId148" Type="http://schemas.openxmlformats.org/officeDocument/2006/relationships/customXml" Target="../customXml/item1.xml"/><Relationship Id="rId147" Type="http://schemas.openxmlformats.org/officeDocument/2006/relationships/image" Target="media/image73.png"/><Relationship Id="rId146" Type="http://schemas.openxmlformats.org/officeDocument/2006/relationships/image" Target="media/image72.png"/><Relationship Id="rId145" Type="http://schemas.openxmlformats.org/officeDocument/2006/relationships/image" Target="media/image71.png"/><Relationship Id="rId144" Type="http://schemas.openxmlformats.org/officeDocument/2006/relationships/image" Target="media/image70.png"/><Relationship Id="rId143" Type="http://schemas.openxmlformats.org/officeDocument/2006/relationships/image" Target="media/image69.png"/><Relationship Id="rId142" Type="http://schemas.openxmlformats.org/officeDocument/2006/relationships/image" Target="media/image68.png"/><Relationship Id="rId141" Type="http://schemas.openxmlformats.org/officeDocument/2006/relationships/image" Target="media/image67.jpeg"/><Relationship Id="rId140" Type="http://schemas.openxmlformats.org/officeDocument/2006/relationships/image" Target="media/image66.jpeg"/><Relationship Id="rId14" Type="http://schemas.openxmlformats.org/officeDocument/2006/relationships/image" Target="media/image2.wmf"/><Relationship Id="rId139" Type="http://schemas.openxmlformats.org/officeDocument/2006/relationships/image" Target="media/image65.jpeg"/><Relationship Id="rId138" Type="http://schemas.openxmlformats.org/officeDocument/2006/relationships/image" Target="media/image64.jpeg"/><Relationship Id="rId137" Type="http://schemas.openxmlformats.org/officeDocument/2006/relationships/image" Target="media/image63.jpeg"/><Relationship Id="rId136" Type="http://schemas.openxmlformats.org/officeDocument/2006/relationships/image" Target="media/image62.jpeg"/><Relationship Id="rId135" Type="http://schemas.openxmlformats.org/officeDocument/2006/relationships/image" Target="media/image61.jpeg"/><Relationship Id="rId134" Type="http://schemas.openxmlformats.org/officeDocument/2006/relationships/image" Target="media/image60.jpeg"/><Relationship Id="rId133" Type="http://schemas.openxmlformats.org/officeDocument/2006/relationships/image" Target="media/image59.jpeg"/><Relationship Id="rId132" Type="http://schemas.openxmlformats.org/officeDocument/2006/relationships/image" Target="media/image58.jpeg"/><Relationship Id="rId131" Type="http://schemas.openxmlformats.org/officeDocument/2006/relationships/image" Target="media/image57.jpeg"/><Relationship Id="rId130" Type="http://schemas.openxmlformats.org/officeDocument/2006/relationships/image" Target="media/image56.jpeg"/><Relationship Id="rId13" Type="http://schemas.openxmlformats.org/officeDocument/2006/relationships/oleObject" Target="embeddings/oleObject1.bin"/><Relationship Id="rId129" Type="http://schemas.openxmlformats.org/officeDocument/2006/relationships/image" Target="media/image55.wmf"/><Relationship Id="rId128" Type="http://schemas.openxmlformats.org/officeDocument/2006/relationships/oleObject" Target="embeddings/oleObject63.bin"/><Relationship Id="rId127" Type="http://schemas.openxmlformats.org/officeDocument/2006/relationships/image" Target="media/image54.wmf"/><Relationship Id="rId126" Type="http://schemas.openxmlformats.org/officeDocument/2006/relationships/oleObject" Target="embeddings/oleObject62.bin"/><Relationship Id="rId125" Type="http://schemas.openxmlformats.org/officeDocument/2006/relationships/image" Target="media/image53.wmf"/><Relationship Id="rId124" Type="http://schemas.openxmlformats.org/officeDocument/2006/relationships/oleObject" Target="embeddings/oleObject61.bin"/><Relationship Id="rId123" Type="http://schemas.openxmlformats.org/officeDocument/2006/relationships/image" Target="media/image52.wmf"/><Relationship Id="rId122" Type="http://schemas.openxmlformats.org/officeDocument/2006/relationships/oleObject" Target="embeddings/oleObject60.bin"/><Relationship Id="rId121" Type="http://schemas.openxmlformats.org/officeDocument/2006/relationships/image" Target="media/image51.wmf"/><Relationship Id="rId120" Type="http://schemas.openxmlformats.org/officeDocument/2006/relationships/oleObject" Target="embeddings/oleObject59.bin"/><Relationship Id="rId12" Type="http://schemas.openxmlformats.org/officeDocument/2006/relationships/image" Target="media/image1.jpeg"/><Relationship Id="rId119" Type="http://schemas.openxmlformats.org/officeDocument/2006/relationships/image" Target="media/image50.wmf"/><Relationship Id="rId118" Type="http://schemas.openxmlformats.org/officeDocument/2006/relationships/oleObject" Target="embeddings/oleObject58.bin"/><Relationship Id="rId117" Type="http://schemas.openxmlformats.org/officeDocument/2006/relationships/image" Target="media/image49.wmf"/><Relationship Id="rId116" Type="http://schemas.openxmlformats.org/officeDocument/2006/relationships/oleObject" Target="embeddings/oleObject57.bin"/><Relationship Id="rId115" Type="http://schemas.openxmlformats.org/officeDocument/2006/relationships/image" Target="media/image48.wmf"/><Relationship Id="rId114" Type="http://schemas.openxmlformats.org/officeDocument/2006/relationships/oleObject" Target="embeddings/oleObject56.bin"/><Relationship Id="rId113" Type="http://schemas.openxmlformats.org/officeDocument/2006/relationships/image" Target="media/image47.wmf"/><Relationship Id="rId112" Type="http://schemas.openxmlformats.org/officeDocument/2006/relationships/oleObject" Target="embeddings/oleObject55.bin"/><Relationship Id="rId111" Type="http://schemas.openxmlformats.org/officeDocument/2006/relationships/image" Target="media/image46.wmf"/><Relationship Id="rId110" Type="http://schemas.openxmlformats.org/officeDocument/2006/relationships/oleObject" Target="embeddings/oleObject54.bin"/><Relationship Id="rId11" Type="http://schemas.openxmlformats.org/officeDocument/2006/relationships/theme" Target="theme/theme1.xml"/><Relationship Id="rId109" Type="http://schemas.openxmlformats.org/officeDocument/2006/relationships/image" Target="media/image45.wmf"/><Relationship Id="rId108" Type="http://schemas.openxmlformats.org/officeDocument/2006/relationships/oleObject" Target="embeddings/oleObject53.bin"/><Relationship Id="rId107" Type="http://schemas.openxmlformats.org/officeDocument/2006/relationships/image" Target="media/image44.wmf"/><Relationship Id="rId106" Type="http://schemas.openxmlformats.org/officeDocument/2006/relationships/oleObject" Target="embeddings/oleObject52.bin"/><Relationship Id="rId105" Type="http://schemas.openxmlformats.org/officeDocument/2006/relationships/image" Target="media/image43.wmf"/><Relationship Id="rId104" Type="http://schemas.openxmlformats.org/officeDocument/2006/relationships/oleObject" Target="embeddings/oleObject51.bin"/><Relationship Id="rId103" Type="http://schemas.openxmlformats.org/officeDocument/2006/relationships/image" Target="media/image42.wmf"/><Relationship Id="rId102" Type="http://schemas.openxmlformats.org/officeDocument/2006/relationships/oleObject" Target="embeddings/oleObject50.bin"/><Relationship Id="rId101" Type="http://schemas.openxmlformats.org/officeDocument/2006/relationships/oleObject" Target="embeddings/oleObject49.bin"/><Relationship Id="rId100" Type="http://schemas.openxmlformats.org/officeDocument/2006/relationships/image" Target="media/image41.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2B8B8-AA5C-42CA-B217-219FF3460288}">
  <ds:schemaRefs/>
</ds:datastoreItem>
</file>

<file path=docProps/app.xml><?xml version="1.0" encoding="utf-8"?>
<Properties xmlns="http://schemas.openxmlformats.org/officeDocument/2006/extended-properties" xmlns:vt="http://schemas.openxmlformats.org/officeDocument/2006/docPropsVTypes">
  <Template>Normal</Template>
  <Pages>19</Pages>
  <Words>2895</Words>
  <Characters>6259</Characters>
  <Lines>256</Lines>
  <Paragraphs>72</Paragraphs>
  <TotalTime>3</TotalTime>
  <ScaleCrop>false</ScaleCrop>
  <LinksUpToDate>false</LinksUpToDate>
  <CharactersWithSpaces>6801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2025-12-09T13:30:00Z</dcterms:created>
  <dc:creator>guolina</dc:creator>
  <cp:lastModifiedBy>aaa</cp:lastModifiedBy>
  <cp:lastPrinted>2026-01-30T11:24:00Z</cp:lastPrinted>
  <dcterms:modified xsi:type="dcterms:W3CDTF">2026-03-23T03:51:04Z</dcterms:modified>
  <cp:revision>442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6EC8E54D990F4A888B4CA32CD416393C_13</vt:lpwstr>
  </property>
  <property fmtid="{D5CDD505-2E9C-101B-9397-08002B2CF9AE}" pid="4" name="ZOTERO_PREF_1">
    <vt:lpwstr>&lt;data data-version="3" zotero-version="7.0.32"&gt;&lt;session id="8iuojSig"/&gt;&lt;style id="http://www.zotero.org/styles/gb-t-7714-2015-numeric-bilingual-no-url-doi" hasBibliography="1" bibliographyStyleHasBeenSet="1"/&gt;&lt;prefs&gt;&lt;pref name="fieldType" value="Field"/&gt;&lt;</vt:lpwstr>
  </property>
  <property fmtid="{D5CDD505-2E9C-101B-9397-08002B2CF9AE}" pid="5" name="KSOTemplateDocerSaveRecord">
    <vt:lpwstr>eyJoZGlkIjoiZGE2Mjg2YTZkZTMyMTYwY2M1OTQ5YzJlN2MyYmRjOGEiLCJ1c2VySWQiOiIyNjUyMTM2ODcifQ==</vt:lpwstr>
  </property>
  <property fmtid="{D5CDD505-2E9C-101B-9397-08002B2CF9AE}" pid="6" name="MTEquationNumber2">
    <vt:lpwstr>(#S1.#E1)</vt:lpwstr>
  </property>
  <property fmtid="{D5CDD505-2E9C-101B-9397-08002B2CF9AE}" pid="7" name="MTEquationSection">
    <vt:lpwstr>1</vt:lpwstr>
  </property>
  <property fmtid="{D5CDD505-2E9C-101B-9397-08002B2CF9AE}" pid="8" name="MTWinEqns">
    <vt:bool>true</vt:bool>
  </property>
  <property fmtid="{D5CDD505-2E9C-101B-9397-08002B2CF9AE}" pid="9" name="ZOTERO_PREF_2">
    <vt:lpwstr>pref name="dontAskDelayCitationUpdates" value="true"/&gt;&lt;/prefs&gt;&lt;/data&gt;</vt:lpwstr>
  </property>
  <property fmtid="{D5CDD505-2E9C-101B-9397-08002B2CF9AE}" pid="10" name="AMWinEqns">
    <vt:bool>true</vt:bool>
  </property>
</Properties>
</file>