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FEB66">
      <w:pPr>
        <w:jc w:val="center"/>
        <w:rPr>
          <w:rFonts w:ascii="Times New Roman" w:hAnsi="Times New Roman" w:cs="Times New Roman"/>
          <w:b/>
          <w:bCs/>
          <w:color w:val="auto"/>
          <w:sz w:val="48"/>
          <w:szCs w:val="32"/>
          <w:highlight w:val="none"/>
        </w:rPr>
      </w:pPr>
      <w:bookmarkStart w:id="59" w:name="_GoBack"/>
      <w:r>
        <w:rPr>
          <w:rFonts w:hint="eastAsia" w:ascii="Times New Roman" w:hAnsi="Times New Roman" w:cs="Times New Roman"/>
          <w:b/>
          <w:bCs/>
          <w:color w:val="auto"/>
          <w:sz w:val="48"/>
          <w:szCs w:val="32"/>
          <w:highlight w:val="none"/>
        </w:rPr>
        <w:t>水旱灾害风险全链条研究进展综述：从成因机理到综合防控</w:t>
      </w:r>
    </w:p>
    <w:bookmarkEnd w:id="59"/>
    <w:p w14:paraId="120C1710">
      <w:pPr>
        <w:jc w:val="center"/>
        <w:rPr>
          <w:rFonts w:ascii="Times New Roman" w:hAnsi="Times New Roman" w:cs="Times New Roman"/>
          <w:color w:val="auto"/>
          <w:szCs w:val="21"/>
          <w:highlight w:val="none"/>
        </w:rPr>
      </w:pPr>
      <w:r>
        <w:rPr>
          <w:rFonts w:hint="eastAsia" w:ascii="Times New Roman" w:hAnsi="Times New Roman" w:eastAsia="楷体" w:cs="Times New Roman"/>
          <w:color w:val="auto"/>
          <w:sz w:val="28"/>
          <w:szCs w:val="28"/>
          <w:highlight w:val="none"/>
        </w:rPr>
        <w:t>秦天玲</w:t>
      </w:r>
      <w:r>
        <w:rPr>
          <w:rFonts w:ascii="Times New Roman" w:hAnsi="Times New Roman" w:eastAsia="楷体" w:cs="Times New Roman"/>
          <w:color w:val="auto"/>
          <w:sz w:val="28"/>
          <w:szCs w:val="28"/>
          <w:highlight w:val="none"/>
          <w:vertAlign w:val="superscript"/>
        </w:rPr>
        <w:t>1</w:t>
      </w:r>
      <w:r>
        <w:rPr>
          <w:rFonts w:ascii="Times New Roman" w:hAnsi="Times New Roman" w:eastAsia="楷体" w:cs="Times New Roman"/>
          <w:color w:val="auto"/>
          <w:sz w:val="28"/>
          <w:szCs w:val="28"/>
          <w:highlight w:val="none"/>
        </w:rPr>
        <w:t>，</w:t>
      </w:r>
      <w:r>
        <w:rPr>
          <w:rFonts w:hint="eastAsia" w:ascii="Times New Roman" w:hAnsi="Times New Roman" w:eastAsia="楷体" w:cs="Times New Roman"/>
          <w:color w:val="auto"/>
          <w:sz w:val="28"/>
          <w:szCs w:val="28"/>
          <w:highlight w:val="none"/>
        </w:rPr>
        <w:t>高昊悦</w:t>
      </w:r>
      <w:r>
        <w:rPr>
          <w:rFonts w:hint="eastAsia" w:ascii="Times New Roman" w:hAnsi="Times New Roman" w:eastAsia="楷体" w:cs="Times New Roman"/>
          <w:color w:val="auto"/>
          <w:sz w:val="28"/>
          <w:szCs w:val="28"/>
          <w:highlight w:val="none"/>
          <w:vertAlign w:val="superscript"/>
        </w:rPr>
        <w:t>1</w:t>
      </w:r>
      <w:r>
        <w:rPr>
          <w:rFonts w:ascii="Times New Roman" w:hAnsi="Times New Roman" w:eastAsia="楷体" w:cs="Times New Roman"/>
          <w:color w:val="auto"/>
          <w:sz w:val="28"/>
          <w:szCs w:val="28"/>
          <w:highlight w:val="none"/>
          <w:vertAlign w:val="superscript"/>
        </w:rPr>
        <w:t>,2</w:t>
      </w:r>
      <w:r>
        <w:rPr>
          <w:rFonts w:ascii="Times New Roman" w:hAnsi="Times New Roman" w:eastAsia="楷体" w:cs="Times New Roman"/>
          <w:color w:val="auto"/>
          <w:sz w:val="28"/>
          <w:szCs w:val="28"/>
          <w:highlight w:val="none"/>
        </w:rPr>
        <w:t>，</w:t>
      </w:r>
      <w:r>
        <w:rPr>
          <w:rFonts w:hint="eastAsia" w:ascii="Times New Roman" w:hAnsi="Times New Roman" w:eastAsia="楷体" w:cs="Times New Roman"/>
          <w:color w:val="auto"/>
          <w:sz w:val="28"/>
          <w:szCs w:val="28"/>
          <w:highlight w:val="none"/>
        </w:rPr>
        <w:t>路 洁</w:t>
      </w:r>
      <w:r>
        <w:rPr>
          <w:rFonts w:ascii="Times New Roman" w:hAnsi="Times New Roman" w:eastAsia="楷体" w:cs="Times New Roman"/>
          <w:color w:val="auto"/>
          <w:sz w:val="28"/>
          <w:szCs w:val="28"/>
          <w:highlight w:val="none"/>
          <w:vertAlign w:val="superscript"/>
        </w:rPr>
        <w:t>3</w:t>
      </w:r>
      <w:r>
        <w:rPr>
          <w:rFonts w:ascii="Times New Roman" w:hAnsi="Times New Roman" w:eastAsia="楷体" w:cs="Times New Roman"/>
          <w:color w:val="auto"/>
          <w:sz w:val="28"/>
          <w:szCs w:val="28"/>
          <w:highlight w:val="none"/>
        </w:rPr>
        <w:t>，</w:t>
      </w:r>
      <w:r>
        <w:rPr>
          <w:rFonts w:hint="eastAsia" w:ascii="Times New Roman" w:hAnsi="Times New Roman" w:eastAsia="楷体" w:cs="Times New Roman"/>
          <w:color w:val="auto"/>
          <w:sz w:val="28"/>
          <w:szCs w:val="28"/>
          <w:highlight w:val="none"/>
        </w:rPr>
        <w:t>栾清华</w:t>
      </w:r>
      <w:r>
        <w:rPr>
          <w:rFonts w:ascii="Times New Roman" w:hAnsi="Times New Roman" w:eastAsia="楷体" w:cs="Times New Roman"/>
          <w:color w:val="auto"/>
          <w:sz w:val="28"/>
          <w:szCs w:val="28"/>
          <w:highlight w:val="none"/>
          <w:vertAlign w:val="superscript"/>
        </w:rPr>
        <w:t>2</w:t>
      </w:r>
    </w:p>
    <w:p w14:paraId="6F080973">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ascii="Times New Roman" w:hAnsi="Times New Roman" w:eastAsia="仿宋" w:cs="Times New Roman"/>
          <w:color w:val="auto"/>
          <w:szCs w:val="21"/>
          <w:highlight w:val="none"/>
        </w:rPr>
        <w:t>1. 中国水利水电科学研究院</w:t>
      </w:r>
      <w:r>
        <w:rPr>
          <w:rFonts w:hint="eastAsia" w:ascii="Times New Roman" w:hAnsi="Times New Roman" w:eastAsia="仿宋" w:cs="Times New Roman"/>
          <w:color w:val="auto"/>
          <w:szCs w:val="21"/>
          <w:highlight w:val="none"/>
        </w:rPr>
        <w:t xml:space="preserve"> </w:t>
      </w:r>
      <w:bookmarkStart w:id="0" w:name="OLE_LINK1"/>
      <w:r>
        <w:rPr>
          <w:rFonts w:hint="eastAsia" w:ascii="Times New Roman" w:hAnsi="Times New Roman" w:eastAsia="仿宋" w:cs="Times New Roman"/>
          <w:color w:val="auto"/>
          <w:szCs w:val="21"/>
          <w:highlight w:val="none"/>
        </w:rPr>
        <w:t>流域水循环与水安全全国重点实验室</w:t>
      </w:r>
      <w:bookmarkEnd w:id="0"/>
      <w:r>
        <w:rPr>
          <w:rFonts w:ascii="Times New Roman" w:hAnsi="Times New Roman" w:eastAsia="仿宋" w:cs="Times New Roman"/>
          <w:color w:val="auto"/>
          <w:szCs w:val="21"/>
          <w:highlight w:val="none"/>
        </w:rPr>
        <w:t>，北京  100038；2. 河海大学 水文水资源学院，江苏 南京  210098</w:t>
      </w:r>
      <w:r>
        <w:rPr>
          <w:rFonts w:hint="eastAsia" w:ascii="Times New Roman" w:hAnsi="Times New Roman" w:eastAsia="仿宋" w:cs="Times New Roman"/>
          <w:color w:val="auto"/>
          <w:szCs w:val="21"/>
          <w:highlight w:val="none"/>
        </w:rPr>
        <w:t>；3</w:t>
      </w:r>
      <w:r>
        <w:rPr>
          <w:rFonts w:ascii="Times New Roman" w:hAnsi="Times New Roman" w:eastAsia="仿宋" w:cs="Times New Roman"/>
          <w:color w:val="auto"/>
          <w:szCs w:val="21"/>
          <w:highlight w:val="none"/>
        </w:rPr>
        <w:t>.</w:t>
      </w:r>
      <w:r>
        <w:rPr>
          <w:rFonts w:hint="eastAsia" w:ascii="Times New Roman" w:hAnsi="Times New Roman" w:cs="Times New Roman"/>
          <w:color w:val="auto"/>
          <w:szCs w:val="21"/>
          <w:highlight w:val="none"/>
        </w:rPr>
        <w:t xml:space="preserve"> </w:t>
      </w:r>
      <w:r>
        <w:rPr>
          <w:rFonts w:hint="eastAsia" w:ascii="Times New Roman" w:hAnsi="Times New Roman" w:eastAsia="仿宋" w:cs="Times New Roman"/>
          <w:color w:val="auto"/>
          <w:szCs w:val="21"/>
          <w:highlight w:val="none"/>
        </w:rPr>
        <w:t xml:space="preserve">黄河水利科学研究院 黄河流域生态保护与修复河南省重点实验室，河南 郑州 </w:t>
      </w:r>
      <w:r>
        <w:rPr>
          <w:rFonts w:ascii="Times New Roman" w:hAnsi="Times New Roman" w:eastAsia="仿宋" w:cs="Times New Roman"/>
          <w:color w:val="auto"/>
          <w:szCs w:val="21"/>
          <w:highlight w:val="none"/>
        </w:rPr>
        <w:t xml:space="preserve"> 450003</w:t>
      </w:r>
      <w:r>
        <w:rPr>
          <w:rFonts w:ascii="Times New Roman" w:hAnsi="Times New Roman" w:cs="Times New Roman"/>
          <w:color w:val="auto"/>
          <w:szCs w:val="21"/>
          <w:highlight w:val="none"/>
        </w:rPr>
        <w:t>）</w:t>
      </w:r>
    </w:p>
    <w:p w14:paraId="225F6A81">
      <w:pPr>
        <w:jc w:val="center"/>
        <w:rPr>
          <w:rFonts w:ascii="Times New Roman" w:hAnsi="Times New Roman" w:cs="Times New Roman"/>
          <w:color w:val="auto"/>
          <w:szCs w:val="21"/>
          <w:highlight w:val="none"/>
        </w:rPr>
      </w:pPr>
    </w:p>
    <w:p w14:paraId="418595BA">
      <w:pPr>
        <w:rPr>
          <w:rStyle w:val="18"/>
          <w:rFonts w:ascii="Times New Roman" w:hAnsi="Times New Roman" w:eastAsia="楷体" w:cs="Times New Roman"/>
          <w:b w:val="0"/>
          <w:bCs w:val="0"/>
          <w:color w:val="auto"/>
          <w:szCs w:val="21"/>
          <w:highlight w:val="none"/>
        </w:rPr>
      </w:pPr>
      <w:r>
        <w:rPr>
          <w:rStyle w:val="18"/>
          <w:rFonts w:ascii="Times New Roman" w:hAnsi="Times New Roman" w:eastAsia="黑体" w:cs="Times New Roman"/>
          <w:color w:val="auto"/>
          <w:highlight w:val="none"/>
        </w:rPr>
        <w:t>摘  要：</w:t>
      </w:r>
      <w:r>
        <w:rPr>
          <w:rFonts w:ascii="Times New Roman" w:hAnsi="Times New Roman" w:eastAsia="楷体" w:cs="Times New Roman"/>
          <w:color w:val="auto"/>
          <w:szCs w:val="21"/>
          <w:highlight w:val="none"/>
        </w:rPr>
        <w:t>【目的】</w:t>
      </w:r>
      <w:r>
        <w:rPr>
          <w:rFonts w:hint="eastAsia" w:ascii="Times New Roman" w:hAnsi="Times New Roman" w:eastAsia="楷体" w:cs="Times New Roman"/>
          <w:color w:val="auto"/>
          <w:szCs w:val="21"/>
          <w:highlight w:val="none"/>
        </w:rPr>
        <w:t>在全球气候变化与人类活动耦合影响的背景下，水旱灾害呈现出“频发、广域、并发、链式”等新特征，严重威胁流域水安全与区域可持续发展。亟需对水旱灾害风险管理的全链条研究脉络进行系统综述，以推动其防控范式从单环节分析向系统协同治理演进。</w:t>
      </w:r>
      <w:r>
        <w:rPr>
          <w:rFonts w:ascii="Times New Roman" w:hAnsi="Times New Roman" w:eastAsia="楷体" w:cs="Times New Roman"/>
          <w:color w:val="auto"/>
          <w:szCs w:val="21"/>
          <w:highlight w:val="none"/>
        </w:rPr>
        <w:t>【方法】</w:t>
      </w:r>
      <w:r>
        <w:rPr>
          <w:rFonts w:hint="eastAsia" w:ascii="Times New Roman" w:hAnsi="Times New Roman" w:eastAsia="楷体" w:cs="Times New Roman"/>
          <w:color w:val="auto"/>
          <w:szCs w:val="21"/>
          <w:highlight w:val="none"/>
        </w:rPr>
        <w:t>系统梳理了中国知网（CNKI）与Web of Science（WOS）核心合集中的相关文献，采用文献计量与系统归纳相结合的方法，遵循“成因机理—演变识别—风险评估—综合防控”的逻辑框架，对国内外研究进展、关键技术方法及主要学术观点进行了综合评述。</w:t>
      </w:r>
      <w:r>
        <w:rPr>
          <w:rFonts w:ascii="Times New Roman" w:hAnsi="Times New Roman" w:eastAsia="楷体" w:cs="Times New Roman"/>
          <w:color w:val="auto"/>
          <w:szCs w:val="21"/>
          <w:highlight w:val="none"/>
        </w:rPr>
        <w:t>【结果】</w:t>
      </w:r>
      <w:r>
        <w:rPr>
          <w:rFonts w:hint="eastAsia" w:ascii="Times New Roman" w:hAnsi="Times New Roman" w:eastAsia="楷体" w:cs="Times New Roman"/>
          <w:color w:val="auto"/>
          <w:szCs w:val="21"/>
          <w:highlight w:val="none"/>
        </w:rPr>
        <w:t>水旱灾害成因机理研究已揭示其受大气环流异常、海气耦合系统、陆面过程及人类活动的多圈层耦合驱动，但对人类活动的精细化量化与复杂反馈机制的模拟仍是挑战；演变规律识别正从单要素指标向多源数据融合与智能算法深刻转变，指标体系向机理增强型发展，但旱涝急转等复合事件的普适性识别指标与物理阈值仍待突破；风险评估与预测预警趋向动态化，模型模拟与人工智能融合的模式成为主流，然而多灾种耦合风险模拟与预警不确定性的量化能力仍显不足；综合防控策略则从工程措施向多系统协同韧性治理的模式演进，但多目标协同优化与长效适应效能的评估框架尚不完善。研究亦暴露出环节间衔接不畅、评估与预警割裂等系统性瓶颈。</w:t>
      </w:r>
      <w:r>
        <w:rPr>
          <w:rFonts w:ascii="Times New Roman" w:hAnsi="Times New Roman" w:eastAsia="楷体" w:cs="Times New Roman"/>
          <w:color w:val="auto"/>
          <w:szCs w:val="21"/>
          <w:highlight w:val="none"/>
        </w:rPr>
        <w:t>【结论】</w:t>
      </w:r>
      <w:r>
        <w:rPr>
          <w:rFonts w:hint="eastAsia" w:ascii="Times New Roman" w:hAnsi="Times New Roman" w:eastAsia="楷体" w:cs="Times New Roman"/>
          <w:color w:val="auto"/>
          <w:szCs w:val="21"/>
          <w:highlight w:val="none"/>
        </w:rPr>
        <w:t>为突破上述不足，提出构建机理认知-智能预警-动态防控-反馈学习的闭环研究框架，通过深化多圈层耦合机制理解，发展智能融合的预警与决策技术，强化“自然-工程-智能”协同的韧性治理路径，以提升灾害风险系统防控能力，为构建安全韧性的现代水网与保障区域可持续发展提供系统性科技支撑。</w:t>
      </w:r>
    </w:p>
    <w:p w14:paraId="3CCDE99F">
      <w:pPr>
        <w:rPr>
          <w:rStyle w:val="18"/>
          <w:rFonts w:ascii="Times New Roman" w:hAnsi="Times New Roman" w:eastAsia="楷体" w:cs="Times New Roman"/>
          <w:b w:val="0"/>
          <w:color w:val="auto"/>
          <w:szCs w:val="21"/>
          <w:highlight w:val="none"/>
        </w:rPr>
      </w:pPr>
      <w:r>
        <w:rPr>
          <w:rStyle w:val="18"/>
          <w:rFonts w:ascii="Times New Roman" w:hAnsi="Times New Roman" w:eastAsia="黑体" w:cs="Times New Roman"/>
          <w:color w:val="auto"/>
          <w:highlight w:val="none"/>
        </w:rPr>
        <w:t>关键词：</w:t>
      </w:r>
      <w:r>
        <w:rPr>
          <w:rFonts w:hint="eastAsia" w:ascii="Times New Roman" w:hAnsi="Times New Roman" w:eastAsia="楷体" w:cs="Times New Roman"/>
          <w:color w:val="auto"/>
          <w:szCs w:val="21"/>
          <w:highlight w:val="none"/>
        </w:rPr>
        <w:t>水旱灾害；成因机理；演变识别；风险评估；综合防控；影响因素</w:t>
      </w:r>
    </w:p>
    <w:p w14:paraId="42884590">
      <w:pPr>
        <w:ind w:right="420" w:rightChars="200"/>
        <w:rPr>
          <w:rFonts w:ascii="Times New Roman" w:hAnsi="Times New Roman" w:cs="Times New Roman"/>
          <w:color w:val="auto"/>
          <w:sz w:val="18"/>
          <w:szCs w:val="18"/>
          <w:highlight w:val="none"/>
        </w:rPr>
      </w:pPr>
      <w:r>
        <w:rPr>
          <w:rFonts w:ascii="Times New Roman" w:hAnsi="Times New Roman" w:eastAsia="黑体" w:cs="Times New Roman"/>
          <w:b/>
          <w:bCs/>
          <w:color w:val="auto"/>
          <w:sz w:val="18"/>
          <w:szCs w:val="18"/>
          <w:highlight w:val="none"/>
        </w:rPr>
        <w:t>中图分类号</w:t>
      </w:r>
      <w:r>
        <w:rPr>
          <w:rFonts w:ascii="Times New Roman" w:hAnsi="Times New Roman" w:cs="Times New Roman"/>
          <w:color w:val="auto"/>
          <w:sz w:val="18"/>
          <w:szCs w:val="18"/>
          <w:highlight w:val="none"/>
        </w:rPr>
        <w:t xml:space="preserve">：TV213.4            </w:t>
      </w:r>
      <w:r>
        <w:rPr>
          <w:rFonts w:ascii="Times New Roman" w:hAnsi="Times New Roman" w:eastAsia="黑体" w:cs="Times New Roman"/>
          <w:b/>
          <w:color w:val="auto"/>
          <w:sz w:val="18"/>
          <w:szCs w:val="18"/>
          <w:highlight w:val="none"/>
        </w:rPr>
        <w:t>文献标志码</w:t>
      </w:r>
      <w:r>
        <w:rPr>
          <w:rFonts w:ascii="Times New Roman" w:hAnsi="Times New Roman" w:cs="Times New Roman"/>
          <w:b/>
          <w:color w:val="auto"/>
          <w:sz w:val="18"/>
          <w:szCs w:val="18"/>
          <w:highlight w:val="none"/>
        </w:rPr>
        <w:t>：A</w:t>
      </w:r>
      <w:r>
        <w:rPr>
          <w:rFonts w:ascii="Times New Roman" w:hAnsi="Times New Roman" w:cs="Times New Roman"/>
          <w:color w:val="auto"/>
          <w:sz w:val="18"/>
          <w:szCs w:val="18"/>
          <w:highlight w:val="none"/>
        </w:rPr>
        <w:t xml:space="preserve">         </w:t>
      </w:r>
    </w:p>
    <w:p w14:paraId="66E320CF">
      <w:pPr>
        <w:pStyle w:val="11"/>
        <w:snapToGrid/>
        <w:rPr>
          <w:rFonts w:ascii="Times New Roman" w:hAnsi="Times New Roman" w:cs="Times New Roman"/>
          <w:color w:val="auto"/>
          <w:sz w:val="21"/>
          <w:szCs w:val="21"/>
          <w:highlight w:val="none"/>
        </w:rPr>
      </w:pPr>
    </w:p>
    <w:p w14:paraId="326EA554">
      <w:pPr>
        <w:pStyle w:val="13"/>
        <w:spacing w:before="0" w:after="0"/>
        <w:rPr>
          <w:rFonts w:ascii="Times New Roman" w:hAnsi="Times New Roman"/>
          <w:color w:val="auto"/>
          <w:sz w:val="28"/>
          <w:szCs w:val="28"/>
          <w:highlight w:val="none"/>
        </w:rPr>
      </w:pPr>
      <w:r>
        <w:rPr>
          <w:rFonts w:ascii="Times New Roman" w:hAnsi="Times New Roman"/>
          <w:color w:val="auto"/>
          <w:sz w:val="28"/>
          <w:szCs w:val="28"/>
          <w:highlight w:val="none"/>
        </w:rPr>
        <w:t>Review of research progress on whole</w:t>
      </w:r>
      <w:r>
        <w:rPr>
          <w:rFonts w:hint="eastAsia" w:ascii="Times New Roman" w:hAnsi="Times New Roman"/>
          <w:color w:val="auto"/>
          <w:sz w:val="28"/>
          <w:szCs w:val="28"/>
          <w:highlight w:val="none"/>
        </w:rPr>
        <w:t>-</w:t>
      </w:r>
      <w:r>
        <w:rPr>
          <w:rFonts w:ascii="Times New Roman" w:hAnsi="Times New Roman"/>
          <w:color w:val="auto"/>
          <w:sz w:val="28"/>
          <w:szCs w:val="28"/>
          <w:highlight w:val="none"/>
        </w:rPr>
        <w:t>chain</w:t>
      </w:r>
      <w:r>
        <w:rPr>
          <w:rFonts w:hint="eastAsia" w:ascii="Times New Roman" w:hAnsi="Times New Roman"/>
          <w:color w:val="auto"/>
          <w:sz w:val="28"/>
          <w:szCs w:val="28"/>
          <w:highlight w:val="none"/>
        </w:rPr>
        <w:t xml:space="preserve"> </w:t>
      </w:r>
      <w:r>
        <w:rPr>
          <w:rFonts w:ascii="Times New Roman" w:hAnsi="Times New Roman"/>
          <w:color w:val="auto"/>
          <w:sz w:val="28"/>
          <w:szCs w:val="28"/>
          <w:highlight w:val="none"/>
        </w:rPr>
        <w:t>risk of flood and drought disaster</w:t>
      </w:r>
      <w:r>
        <w:rPr>
          <w:rFonts w:hint="eastAsia" w:ascii="Times New Roman" w:hAnsi="Times New Roman"/>
          <w:color w:val="auto"/>
          <w:sz w:val="28"/>
          <w:szCs w:val="28"/>
          <w:highlight w:val="none"/>
        </w:rPr>
        <w:t>s</w:t>
      </w:r>
      <w:r>
        <w:rPr>
          <w:rFonts w:ascii="Times New Roman" w:hAnsi="Times New Roman"/>
          <w:color w:val="auto"/>
          <w:sz w:val="28"/>
          <w:szCs w:val="28"/>
          <w:highlight w:val="none"/>
        </w:rPr>
        <w:t xml:space="preserve">: </w:t>
      </w:r>
      <w:r>
        <w:rPr>
          <w:rFonts w:hint="eastAsia" w:ascii="Times New Roman" w:hAnsi="Times New Roman"/>
          <w:color w:val="auto"/>
          <w:sz w:val="28"/>
          <w:szCs w:val="28"/>
          <w:highlight w:val="none"/>
        </w:rPr>
        <w:t>F</w:t>
      </w:r>
      <w:r>
        <w:rPr>
          <w:rFonts w:ascii="Times New Roman" w:hAnsi="Times New Roman"/>
          <w:color w:val="auto"/>
          <w:sz w:val="28"/>
          <w:szCs w:val="28"/>
          <w:highlight w:val="none"/>
        </w:rPr>
        <w:t xml:space="preserve">rom </w:t>
      </w:r>
      <w:r>
        <w:rPr>
          <w:rFonts w:hint="eastAsia" w:ascii="Times New Roman" w:hAnsi="Times New Roman"/>
          <w:color w:val="auto"/>
          <w:sz w:val="28"/>
          <w:szCs w:val="28"/>
          <w:highlight w:val="none"/>
        </w:rPr>
        <w:t>formation</w:t>
      </w:r>
      <w:r>
        <w:rPr>
          <w:rFonts w:ascii="Times New Roman" w:hAnsi="Times New Roman"/>
          <w:color w:val="auto"/>
          <w:sz w:val="28"/>
          <w:szCs w:val="28"/>
          <w:highlight w:val="none"/>
        </w:rPr>
        <w:t xml:space="preserve"> mechanism to comprehensive prevention and control</w:t>
      </w:r>
    </w:p>
    <w:p w14:paraId="59C95DAF">
      <w:pPr>
        <w:jc w:val="center"/>
        <w:rPr>
          <w:rFonts w:ascii="Times New Roman" w:hAnsi="Times New Roman" w:cs="Times New Roman"/>
          <w:color w:val="auto"/>
          <w:szCs w:val="21"/>
          <w:highlight w:val="none"/>
        </w:rPr>
      </w:pPr>
      <w:r>
        <w:rPr>
          <w:rFonts w:ascii="Times New Roman" w:hAnsi="Times New Roman" w:eastAsia="楷体" w:cs="Times New Roman"/>
          <w:color w:val="auto"/>
          <w:szCs w:val="21"/>
          <w:highlight w:val="none"/>
        </w:rPr>
        <w:t>QIN T</w:t>
      </w:r>
      <w:r>
        <w:rPr>
          <w:rFonts w:hint="eastAsia" w:ascii="Times New Roman" w:hAnsi="Times New Roman" w:eastAsia="楷体" w:cs="Times New Roman"/>
          <w:color w:val="auto"/>
          <w:szCs w:val="21"/>
          <w:highlight w:val="none"/>
        </w:rPr>
        <w:t>i</w:t>
      </w:r>
      <w:r>
        <w:rPr>
          <w:rFonts w:ascii="Times New Roman" w:hAnsi="Times New Roman" w:eastAsia="楷体" w:cs="Times New Roman"/>
          <w:color w:val="auto"/>
          <w:szCs w:val="21"/>
          <w:highlight w:val="none"/>
        </w:rPr>
        <w:t>anling</w:t>
      </w:r>
      <w:r>
        <w:rPr>
          <w:rFonts w:ascii="Times New Roman" w:hAnsi="Times New Roman" w:eastAsia="楷体" w:cs="Times New Roman"/>
          <w:color w:val="auto"/>
          <w:szCs w:val="21"/>
          <w:highlight w:val="none"/>
          <w:vertAlign w:val="superscript"/>
        </w:rPr>
        <w:t>1</w:t>
      </w:r>
      <w:r>
        <w:rPr>
          <w:rFonts w:ascii="Times New Roman" w:hAnsi="Times New Roman" w:eastAsia="楷体" w:cs="Times New Roman"/>
          <w:color w:val="auto"/>
          <w:szCs w:val="21"/>
          <w:highlight w:val="none"/>
        </w:rPr>
        <w:t>，GAO Haoyue</w:t>
      </w:r>
      <w:r>
        <w:rPr>
          <w:rFonts w:ascii="Times New Roman" w:hAnsi="Times New Roman" w:eastAsia="楷体" w:cs="Times New Roman"/>
          <w:color w:val="auto"/>
          <w:szCs w:val="21"/>
          <w:highlight w:val="none"/>
          <w:vertAlign w:val="superscript"/>
        </w:rPr>
        <w:t>1,2</w:t>
      </w:r>
      <w:r>
        <w:rPr>
          <w:rFonts w:ascii="Times New Roman" w:hAnsi="Times New Roman" w:eastAsia="楷体" w:cs="Times New Roman"/>
          <w:color w:val="auto"/>
          <w:szCs w:val="21"/>
          <w:highlight w:val="none"/>
        </w:rPr>
        <w:t>，LU Jie</w:t>
      </w:r>
      <w:r>
        <w:rPr>
          <w:rFonts w:ascii="Times New Roman" w:hAnsi="Times New Roman" w:eastAsia="楷体" w:cs="Times New Roman"/>
          <w:color w:val="auto"/>
          <w:szCs w:val="21"/>
          <w:highlight w:val="none"/>
          <w:vertAlign w:val="superscript"/>
        </w:rPr>
        <w:t>3</w:t>
      </w:r>
      <w:r>
        <w:rPr>
          <w:rFonts w:ascii="Times New Roman" w:hAnsi="Times New Roman" w:eastAsia="楷体" w:cs="Times New Roman"/>
          <w:color w:val="auto"/>
          <w:szCs w:val="21"/>
          <w:highlight w:val="none"/>
        </w:rPr>
        <w:t>，LUAN Qinghua</w:t>
      </w:r>
      <w:r>
        <w:rPr>
          <w:rFonts w:ascii="Times New Roman" w:hAnsi="Times New Roman" w:eastAsia="楷体" w:cs="Times New Roman"/>
          <w:color w:val="auto"/>
          <w:szCs w:val="21"/>
          <w:highlight w:val="none"/>
          <w:vertAlign w:val="superscript"/>
        </w:rPr>
        <w:t>2</w:t>
      </w:r>
    </w:p>
    <w:p w14:paraId="1D1BD812">
      <w:pPr>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r>
        <w:rPr>
          <w:rFonts w:ascii="Times New Roman" w:hAnsi="Times New Roman" w:eastAsia="仿宋" w:cs="Times New Roman"/>
          <w:color w:val="auto"/>
          <w:sz w:val="18"/>
          <w:szCs w:val="18"/>
          <w:highlight w:val="none"/>
        </w:rPr>
        <w:t>1.</w:t>
      </w:r>
      <w:r>
        <w:rPr>
          <w:color w:val="auto"/>
          <w:highlight w:val="none"/>
        </w:rPr>
        <w:t xml:space="preserve"> </w:t>
      </w:r>
      <w:r>
        <w:rPr>
          <w:rFonts w:ascii="Times New Roman" w:hAnsi="Times New Roman" w:eastAsia="仿宋" w:cs="Times New Roman"/>
          <w:color w:val="auto"/>
          <w:sz w:val="18"/>
          <w:szCs w:val="18"/>
          <w:highlight w:val="none"/>
        </w:rPr>
        <w:t>State Key Laboratory of Water Cycle and Water Security</w:t>
      </w:r>
      <w:r>
        <w:rPr>
          <w:rFonts w:hint="eastAsia" w:ascii="Times New Roman" w:hAnsi="Times New Roman" w:eastAsia="仿宋" w:cs="Times New Roman"/>
          <w:color w:val="auto"/>
          <w:sz w:val="18"/>
          <w:szCs w:val="18"/>
          <w:highlight w:val="none"/>
        </w:rPr>
        <w:t>，</w:t>
      </w:r>
      <w:r>
        <w:rPr>
          <w:rFonts w:ascii="Times New Roman" w:hAnsi="Times New Roman" w:eastAsia="仿宋" w:cs="Times New Roman"/>
          <w:color w:val="auto"/>
          <w:sz w:val="18"/>
          <w:szCs w:val="18"/>
          <w:highlight w:val="none"/>
        </w:rPr>
        <w:t>China Institute of Water Resources and Hydropower Research，Beijing  100038，China；2. College of Hydrology and Water Resources，Hohai University，Nanjing  210098，Jiangsu，China</w:t>
      </w:r>
      <w:r>
        <w:rPr>
          <w:rFonts w:hint="eastAsia" w:ascii="Times New Roman" w:hAnsi="Times New Roman" w:eastAsia="仿宋" w:cs="Times New Roman"/>
          <w:color w:val="auto"/>
          <w:sz w:val="18"/>
          <w:szCs w:val="18"/>
          <w:highlight w:val="none"/>
        </w:rPr>
        <w:t>；3</w:t>
      </w:r>
      <w:r>
        <w:rPr>
          <w:rFonts w:ascii="Times New Roman" w:hAnsi="Times New Roman" w:eastAsia="仿宋" w:cs="Times New Roman"/>
          <w:color w:val="auto"/>
          <w:sz w:val="18"/>
          <w:szCs w:val="18"/>
          <w:highlight w:val="none"/>
        </w:rPr>
        <w:t>.</w:t>
      </w:r>
      <w:r>
        <w:rPr>
          <w:color w:val="auto"/>
          <w:highlight w:val="none"/>
        </w:rPr>
        <w:t xml:space="preserve"> </w:t>
      </w:r>
      <w:r>
        <w:rPr>
          <w:rFonts w:ascii="Times New Roman" w:hAnsi="Times New Roman" w:eastAsia="仿宋" w:cs="Times New Roman"/>
          <w:color w:val="auto"/>
          <w:sz w:val="18"/>
          <w:szCs w:val="18"/>
          <w:highlight w:val="none"/>
        </w:rPr>
        <w:t xml:space="preserve">Henan Key Laboratory of Yellow </w:t>
      </w:r>
      <w:r>
        <w:rPr>
          <w:rFonts w:hint="eastAsia" w:ascii="Times New Roman" w:hAnsi="Times New Roman" w:eastAsia="仿宋" w:cs="Times New Roman"/>
          <w:color w:val="auto"/>
          <w:sz w:val="18"/>
          <w:szCs w:val="18"/>
          <w:highlight w:val="none"/>
        </w:rPr>
        <w:t xml:space="preserve">River </w:t>
      </w:r>
      <w:r>
        <w:rPr>
          <w:rFonts w:ascii="Times New Roman" w:hAnsi="Times New Roman" w:eastAsia="仿宋" w:cs="Times New Roman"/>
          <w:color w:val="auto"/>
          <w:sz w:val="18"/>
          <w:szCs w:val="18"/>
          <w:highlight w:val="none"/>
        </w:rPr>
        <w:t>Basin Ecological Protection and Restoration</w:t>
      </w:r>
      <w:r>
        <w:rPr>
          <w:rFonts w:hint="eastAsia" w:ascii="Times New Roman" w:hAnsi="Times New Roman" w:eastAsia="仿宋" w:cs="Times New Roman"/>
          <w:color w:val="auto"/>
          <w:sz w:val="18"/>
          <w:szCs w:val="18"/>
          <w:highlight w:val="none"/>
        </w:rPr>
        <w:t>，</w:t>
      </w:r>
      <w:r>
        <w:rPr>
          <w:rFonts w:ascii="Times New Roman" w:hAnsi="Times New Roman" w:eastAsia="仿宋" w:cs="Times New Roman"/>
          <w:color w:val="auto"/>
          <w:sz w:val="18"/>
          <w:szCs w:val="18"/>
          <w:highlight w:val="none"/>
        </w:rPr>
        <w:t>Yellow River Institute of Hydraulic Research</w:t>
      </w:r>
      <w:r>
        <w:rPr>
          <w:rFonts w:hint="eastAsia" w:ascii="Times New Roman" w:hAnsi="Times New Roman" w:eastAsia="仿宋" w:cs="Times New Roman"/>
          <w:color w:val="auto"/>
          <w:sz w:val="18"/>
          <w:szCs w:val="18"/>
          <w:highlight w:val="none"/>
        </w:rPr>
        <w:t>，</w:t>
      </w:r>
      <w:r>
        <w:rPr>
          <w:rFonts w:ascii="Times New Roman" w:hAnsi="Times New Roman" w:eastAsia="仿宋" w:cs="Times New Roman"/>
          <w:color w:val="auto"/>
          <w:sz w:val="18"/>
          <w:szCs w:val="18"/>
          <w:highlight w:val="none"/>
        </w:rPr>
        <w:t>Zhengzhou</w:t>
      </w:r>
      <w:r>
        <w:rPr>
          <w:rFonts w:hint="eastAsia" w:ascii="Times New Roman" w:hAnsi="Times New Roman" w:eastAsia="仿宋" w:cs="Times New Roman"/>
          <w:color w:val="auto"/>
          <w:sz w:val="18"/>
          <w:szCs w:val="18"/>
          <w:highlight w:val="none"/>
        </w:rPr>
        <w:t xml:space="preserve">  </w:t>
      </w:r>
      <w:r>
        <w:rPr>
          <w:rFonts w:ascii="Times New Roman" w:hAnsi="Times New Roman" w:eastAsia="仿宋" w:cs="Times New Roman"/>
          <w:color w:val="auto"/>
          <w:sz w:val="18"/>
          <w:szCs w:val="18"/>
          <w:highlight w:val="none"/>
        </w:rPr>
        <w:t>450003</w:t>
      </w:r>
      <w:r>
        <w:rPr>
          <w:rFonts w:hint="eastAsia" w:ascii="Times New Roman" w:hAnsi="Times New Roman" w:eastAsia="仿宋" w:cs="Times New Roman"/>
          <w:color w:val="auto"/>
          <w:sz w:val="18"/>
          <w:szCs w:val="18"/>
          <w:highlight w:val="none"/>
        </w:rPr>
        <w:t>，Henan，</w:t>
      </w:r>
      <w:r>
        <w:rPr>
          <w:rFonts w:ascii="Times New Roman" w:hAnsi="Times New Roman" w:eastAsia="仿宋" w:cs="Times New Roman"/>
          <w:color w:val="auto"/>
          <w:sz w:val="18"/>
          <w:szCs w:val="18"/>
          <w:highlight w:val="none"/>
        </w:rPr>
        <w:t>China</w:t>
      </w:r>
      <w:r>
        <w:rPr>
          <w:rFonts w:ascii="Times New Roman" w:hAnsi="Times New Roman" w:cs="Times New Roman"/>
          <w:color w:val="auto"/>
          <w:sz w:val="18"/>
          <w:szCs w:val="18"/>
          <w:highlight w:val="none"/>
        </w:rPr>
        <w:t>）</w:t>
      </w:r>
    </w:p>
    <w:p w14:paraId="503CE7AE">
      <w:pPr>
        <w:jc w:val="center"/>
        <w:rPr>
          <w:rFonts w:ascii="Times New Roman" w:hAnsi="Times New Roman" w:cs="Times New Roman"/>
          <w:color w:val="auto"/>
          <w:szCs w:val="21"/>
          <w:highlight w:val="none"/>
        </w:rPr>
      </w:pPr>
    </w:p>
    <w:p w14:paraId="4B90E071">
      <w:pPr>
        <w:rPr>
          <w:rStyle w:val="18"/>
          <w:rFonts w:ascii="Times New Roman" w:hAnsi="Times New Roman" w:cs="Times New Roman"/>
          <w:color w:val="auto"/>
          <w:highlight w:val="none"/>
        </w:rPr>
      </w:pPr>
      <w:bookmarkStart w:id="1" w:name="_Hlk218674905"/>
      <w:bookmarkStart w:id="2" w:name="OLE_LINK30"/>
      <w:bookmarkStart w:id="3" w:name="OLE_LINK27"/>
      <w:r>
        <w:rPr>
          <w:rStyle w:val="18"/>
          <w:rFonts w:ascii="Times New Roman" w:hAnsi="Times New Roman" w:cs="Times New Roman"/>
          <w:color w:val="auto"/>
          <w:highlight w:val="none"/>
        </w:rPr>
        <w:t>Abstract：[Objective]</w:t>
      </w:r>
      <w:r>
        <w:rPr>
          <w:color w:val="auto"/>
          <w:highlight w:val="none"/>
        </w:rPr>
        <w:t xml:space="preserve"> </w:t>
      </w:r>
      <w:r>
        <w:rPr>
          <w:rFonts w:ascii="Times New Roman" w:hAnsi="Times New Roman" w:cs="Times New Roman"/>
          <w:bCs/>
          <w:color w:val="auto"/>
          <w:szCs w:val="21"/>
          <w:highlight w:val="none"/>
        </w:rPr>
        <w:t>Under the background of the coupl</w:t>
      </w:r>
      <w:r>
        <w:rPr>
          <w:rFonts w:hint="eastAsia" w:ascii="Times New Roman" w:hAnsi="Times New Roman" w:cs="Times New Roman"/>
          <w:bCs/>
          <w:color w:val="auto"/>
          <w:szCs w:val="21"/>
          <w:highlight w:val="none"/>
        </w:rPr>
        <w:t>ed</w:t>
      </w:r>
      <w:r>
        <w:rPr>
          <w:rFonts w:ascii="Times New Roman" w:hAnsi="Times New Roman" w:cs="Times New Roman"/>
          <w:bCs/>
          <w:color w:val="auto"/>
          <w:szCs w:val="21"/>
          <w:highlight w:val="none"/>
        </w:rPr>
        <w:t xml:space="preserve"> effect</w:t>
      </w:r>
      <w:r>
        <w:rPr>
          <w:rFonts w:hint="eastAsia" w:ascii="Times New Roman" w:hAnsi="Times New Roman" w:cs="Times New Roman"/>
          <w:bCs/>
          <w:color w:val="auto"/>
          <w:szCs w:val="21"/>
          <w:highlight w:val="none"/>
        </w:rPr>
        <w:t>s</w:t>
      </w:r>
      <w:r>
        <w:rPr>
          <w:rFonts w:ascii="Times New Roman" w:hAnsi="Times New Roman" w:cs="Times New Roman"/>
          <w:bCs/>
          <w:color w:val="auto"/>
          <w:szCs w:val="21"/>
          <w:highlight w:val="none"/>
        </w:rPr>
        <w:t xml:space="preserve"> of global climate change and human activities, flood and drought disasters show new characteristics such as frequen</w:t>
      </w:r>
      <w:r>
        <w:rPr>
          <w:rFonts w:hint="eastAsia" w:ascii="Times New Roman" w:hAnsi="Times New Roman" w:cs="Times New Roman"/>
          <w:bCs/>
          <w:color w:val="auto"/>
          <w:szCs w:val="21"/>
          <w:highlight w:val="none"/>
        </w:rPr>
        <w:t xml:space="preserve">t </w:t>
      </w:r>
      <w:r>
        <w:rPr>
          <w:rFonts w:hint="eastAsia" w:ascii="Times New Roman" w:hAnsi="Times New Roman"/>
          <w:bCs/>
          <w:color w:val="auto"/>
          <w:szCs w:val="21"/>
          <w:highlight w:val="none"/>
        </w:rPr>
        <w:t>occurrence</w:t>
      </w:r>
      <w:r>
        <w:rPr>
          <w:rFonts w:ascii="Times New Roman" w:hAnsi="Times New Roman" w:cs="Times New Roman"/>
          <w:bCs/>
          <w:color w:val="auto"/>
          <w:szCs w:val="21"/>
          <w:highlight w:val="none"/>
        </w:rPr>
        <w:t xml:space="preserve">, </w:t>
      </w:r>
      <w:r>
        <w:rPr>
          <w:rFonts w:hint="eastAsia" w:ascii="Times New Roman" w:hAnsi="Times New Roman"/>
          <w:bCs/>
          <w:color w:val="auto"/>
          <w:szCs w:val="21"/>
          <w:highlight w:val="none"/>
        </w:rPr>
        <w:t>wide distribution</w:t>
      </w:r>
      <w:r>
        <w:rPr>
          <w:rFonts w:ascii="Times New Roman" w:hAnsi="Times New Roman" w:cs="Times New Roman"/>
          <w:bCs/>
          <w:color w:val="auto"/>
          <w:szCs w:val="21"/>
          <w:highlight w:val="none"/>
        </w:rPr>
        <w:t>, concurren</w:t>
      </w:r>
      <w:r>
        <w:rPr>
          <w:rFonts w:hint="eastAsia" w:ascii="Times New Roman" w:hAnsi="Times New Roman" w:cs="Times New Roman"/>
          <w:bCs/>
          <w:color w:val="auto"/>
          <w:szCs w:val="21"/>
          <w:highlight w:val="none"/>
        </w:rPr>
        <w:t>t outbreaks</w:t>
      </w:r>
      <w:r>
        <w:rPr>
          <w:rFonts w:ascii="Times New Roman" w:hAnsi="Times New Roman" w:cs="Times New Roman"/>
          <w:bCs/>
          <w:color w:val="auto"/>
          <w:szCs w:val="21"/>
          <w:highlight w:val="none"/>
        </w:rPr>
        <w:t xml:space="preserve"> and chain</w:t>
      </w:r>
      <w:r>
        <w:rPr>
          <w:rFonts w:hint="eastAsia" w:ascii="Times New Roman" w:hAnsi="Times New Roman" w:cs="Times New Roman"/>
          <w:bCs/>
          <w:color w:val="auto"/>
          <w:szCs w:val="21"/>
          <w:highlight w:val="none"/>
        </w:rPr>
        <w:t xml:space="preserve"> effects</w:t>
      </w:r>
      <w:r>
        <w:rPr>
          <w:rFonts w:ascii="Times New Roman" w:hAnsi="Times New Roman" w:cs="Times New Roman"/>
          <w:bCs/>
          <w:color w:val="auto"/>
          <w:szCs w:val="21"/>
          <w:highlight w:val="none"/>
        </w:rPr>
        <w:t xml:space="preserve">, </w:t>
      </w:r>
      <w:r>
        <w:rPr>
          <w:rFonts w:hint="eastAsia" w:ascii="Times New Roman" w:hAnsi="Times New Roman"/>
          <w:bCs/>
          <w:color w:val="auto"/>
          <w:szCs w:val="21"/>
          <w:highlight w:val="none"/>
        </w:rPr>
        <w:t>posing serious threats to</w:t>
      </w:r>
      <w:r>
        <w:rPr>
          <w:rFonts w:hint="eastAsia" w:ascii="Times New Roman" w:hAnsi="Times New Roman" w:cs="Times New Roman"/>
          <w:bCs/>
          <w:color w:val="auto"/>
          <w:szCs w:val="21"/>
          <w:highlight w:val="none"/>
        </w:rPr>
        <w:t xml:space="preserve"> </w:t>
      </w:r>
      <w:r>
        <w:rPr>
          <w:rFonts w:ascii="Times New Roman" w:hAnsi="Times New Roman" w:cs="Times New Roman"/>
          <w:bCs/>
          <w:color w:val="auto"/>
          <w:szCs w:val="21"/>
          <w:highlight w:val="none"/>
        </w:rPr>
        <w:t xml:space="preserve">water security </w:t>
      </w:r>
      <w:r>
        <w:rPr>
          <w:rFonts w:hint="eastAsia" w:ascii="Times New Roman" w:hAnsi="Times New Roman"/>
          <w:bCs/>
          <w:color w:val="auto"/>
          <w:szCs w:val="21"/>
          <w:highlight w:val="none"/>
        </w:rPr>
        <w:t xml:space="preserve">of river basins </w:t>
      </w:r>
      <w:r>
        <w:rPr>
          <w:rFonts w:ascii="Times New Roman" w:hAnsi="Times New Roman" w:cs="Times New Roman"/>
          <w:bCs/>
          <w:color w:val="auto"/>
          <w:szCs w:val="21"/>
          <w:highlight w:val="none"/>
        </w:rPr>
        <w:t xml:space="preserve">and regional sustainable development. It is urgent to systematically review the research context of </w:t>
      </w:r>
      <w:r>
        <w:rPr>
          <w:rFonts w:hint="eastAsia" w:ascii="Times New Roman" w:hAnsi="Times New Roman" w:cs="Times New Roman"/>
          <w:bCs/>
          <w:color w:val="auto"/>
          <w:szCs w:val="21"/>
          <w:highlight w:val="none"/>
        </w:rPr>
        <w:t xml:space="preserve">the whole-chain risk management of </w:t>
      </w:r>
      <w:r>
        <w:rPr>
          <w:rFonts w:ascii="Times New Roman" w:hAnsi="Times New Roman" w:cs="Times New Roman"/>
          <w:bCs/>
          <w:color w:val="auto"/>
          <w:szCs w:val="21"/>
          <w:highlight w:val="none"/>
        </w:rPr>
        <w:t>flood and drought disaster</w:t>
      </w:r>
      <w:r>
        <w:rPr>
          <w:rFonts w:hint="eastAsia" w:ascii="Times New Roman" w:hAnsi="Times New Roman" w:cs="Times New Roman"/>
          <w:bCs/>
          <w:color w:val="auto"/>
          <w:szCs w:val="21"/>
          <w:highlight w:val="none"/>
        </w:rPr>
        <w:t>s</w:t>
      </w:r>
      <w:r>
        <w:rPr>
          <w:rFonts w:ascii="Times New Roman" w:hAnsi="Times New Roman" w:cs="Times New Roman"/>
          <w:bCs/>
          <w:color w:val="auto"/>
          <w:szCs w:val="21"/>
          <w:highlight w:val="none"/>
        </w:rPr>
        <w:t xml:space="preserve">, so as to promote the evolution of </w:t>
      </w:r>
      <w:r>
        <w:rPr>
          <w:rFonts w:hint="eastAsia" w:ascii="Times New Roman" w:hAnsi="Times New Roman" w:cs="Times New Roman"/>
          <w:bCs/>
          <w:color w:val="auto"/>
          <w:szCs w:val="21"/>
          <w:highlight w:val="none"/>
        </w:rPr>
        <w:t>their</w:t>
      </w:r>
      <w:r>
        <w:rPr>
          <w:rFonts w:ascii="Times New Roman" w:hAnsi="Times New Roman" w:cs="Times New Roman"/>
          <w:bCs/>
          <w:color w:val="auto"/>
          <w:szCs w:val="21"/>
          <w:highlight w:val="none"/>
        </w:rPr>
        <w:t xml:space="preserve"> prevention and control paradigm from single-link analysis to system</w:t>
      </w:r>
      <w:r>
        <w:rPr>
          <w:rFonts w:hint="eastAsia" w:ascii="Times New Roman" w:hAnsi="Times New Roman" w:cs="Times New Roman"/>
          <w:bCs/>
          <w:color w:val="auto"/>
          <w:szCs w:val="21"/>
          <w:highlight w:val="none"/>
        </w:rPr>
        <w:t>atic</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 xml:space="preserve">and </w:t>
      </w:r>
      <w:r>
        <w:rPr>
          <w:rFonts w:ascii="Times New Roman" w:hAnsi="Times New Roman" w:cs="Times New Roman"/>
          <w:bCs/>
          <w:color w:val="auto"/>
          <w:szCs w:val="21"/>
          <w:highlight w:val="none"/>
        </w:rPr>
        <w:t xml:space="preserve">collaborative governance. </w:t>
      </w:r>
      <w:r>
        <w:rPr>
          <w:rStyle w:val="18"/>
          <w:rFonts w:ascii="Times New Roman" w:hAnsi="Times New Roman" w:cs="Times New Roman"/>
          <w:color w:val="auto"/>
          <w:highlight w:val="none"/>
        </w:rPr>
        <w:t>[Methods]</w:t>
      </w:r>
      <w:r>
        <w:rPr>
          <w:color w:val="auto"/>
          <w:highlight w:val="none"/>
        </w:rPr>
        <w:t xml:space="preserve"> </w:t>
      </w:r>
      <w:r>
        <w:rPr>
          <w:rFonts w:hint="eastAsia" w:ascii="Times New Roman" w:hAnsi="Times New Roman" w:cs="Times New Roman"/>
          <w:bCs/>
          <w:color w:val="auto"/>
          <w:szCs w:val="21"/>
          <w:highlight w:val="none"/>
        </w:rPr>
        <w:t>T</w:t>
      </w:r>
      <w:r>
        <w:rPr>
          <w:rFonts w:ascii="Times New Roman" w:hAnsi="Times New Roman" w:cs="Times New Roman"/>
          <w:bCs/>
          <w:color w:val="auto"/>
          <w:szCs w:val="21"/>
          <w:highlight w:val="none"/>
        </w:rPr>
        <w:t>he relevant literature</w:t>
      </w:r>
      <w:r>
        <w:rPr>
          <w:rFonts w:hint="eastAsia" w:ascii="Times New Roman" w:hAnsi="Times New Roman" w:cs="Times New Roman"/>
          <w:bCs/>
          <w:color w:val="auto"/>
          <w:szCs w:val="21"/>
          <w:highlight w:val="none"/>
        </w:rPr>
        <w:t xml:space="preserve"> from</w:t>
      </w:r>
      <w:r>
        <w:rPr>
          <w:rFonts w:ascii="Times New Roman" w:hAnsi="Times New Roman" w:cs="Times New Roman"/>
          <w:bCs/>
          <w:color w:val="auto"/>
          <w:szCs w:val="21"/>
          <w:highlight w:val="none"/>
        </w:rPr>
        <w:t xml:space="preserve"> the core collection of CNKI and Web of Science</w:t>
      </w:r>
      <w:r>
        <w:rPr>
          <w:rFonts w:hint="eastAsia" w:ascii="Times New Roman" w:hAnsi="Times New Roman" w:cs="Times New Roman"/>
          <w:bCs/>
          <w:color w:val="auto"/>
          <w:szCs w:val="21"/>
          <w:highlight w:val="none"/>
        </w:rPr>
        <w:t xml:space="preserve"> is </w:t>
      </w:r>
      <w:r>
        <w:rPr>
          <w:rFonts w:ascii="Times New Roman" w:hAnsi="Times New Roman" w:cs="Times New Roman"/>
          <w:bCs/>
          <w:color w:val="auto"/>
          <w:szCs w:val="21"/>
          <w:highlight w:val="none"/>
        </w:rPr>
        <w:t xml:space="preserve">systematically </w:t>
      </w:r>
      <w:r>
        <w:rPr>
          <w:rFonts w:hint="eastAsia" w:ascii="Times New Roman" w:hAnsi="Times New Roman" w:cs="Times New Roman"/>
          <w:bCs/>
          <w:color w:val="auto"/>
          <w:szCs w:val="21"/>
          <w:highlight w:val="none"/>
        </w:rPr>
        <w:t xml:space="preserve">reviewed </w:t>
      </w:r>
      <w:r>
        <w:rPr>
          <w:rFonts w:hint="eastAsia" w:ascii="Times New Roman" w:hAnsi="Times New Roman"/>
          <w:bCs/>
          <w:color w:val="auto"/>
          <w:szCs w:val="21"/>
          <w:highlight w:val="none"/>
        </w:rPr>
        <w:t>using a combination of</w:t>
      </w:r>
      <w:r>
        <w:rPr>
          <w:rFonts w:ascii="Times New Roman" w:hAnsi="Times New Roman" w:cs="Times New Roman"/>
          <w:bCs/>
          <w:color w:val="auto"/>
          <w:szCs w:val="21"/>
          <w:highlight w:val="none"/>
        </w:rPr>
        <w:t xml:space="preserve"> bibliometrics and systematic induction</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Following</w:t>
      </w:r>
      <w:r>
        <w:rPr>
          <w:rFonts w:ascii="Times New Roman" w:hAnsi="Times New Roman" w:cs="Times New Roman"/>
          <w:bCs/>
          <w:color w:val="auto"/>
          <w:szCs w:val="21"/>
          <w:highlight w:val="none"/>
        </w:rPr>
        <w:t xml:space="preserve"> the logical framework of “formation mechanism</w:t>
      </w:r>
      <w:r>
        <w:rPr>
          <w:rFonts w:hint="eastAsia" w:ascii="Times New Roman" w:hAnsi="Times New Roman" w:cs="Times New Roman"/>
          <w:bCs/>
          <w:color w:val="auto"/>
          <w:szCs w:val="21"/>
          <w:highlight w:val="none"/>
        </w:rPr>
        <w:t xml:space="preserve">, </w:t>
      </w:r>
      <w:r>
        <w:rPr>
          <w:rFonts w:ascii="Times New Roman" w:hAnsi="Times New Roman" w:cs="Times New Roman"/>
          <w:bCs/>
          <w:color w:val="auto"/>
          <w:szCs w:val="21"/>
          <w:highlight w:val="none"/>
        </w:rPr>
        <w:t>evolution identification</w:t>
      </w:r>
      <w:r>
        <w:rPr>
          <w:rFonts w:hint="eastAsia" w:ascii="Times New Roman" w:hAnsi="Times New Roman" w:cs="Times New Roman"/>
          <w:bCs/>
          <w:color w:val="auto"/>
          <w:szCs w:val="21"/>
          <w:highlight w:val="none"/>
        </w:rPr>
        <w:t xml:space="preserve">, </w:t>
      </w:r>
      <w:r>
        <w:rPr>
          <w:rFonts w:ascii="Times New Roman" w:hAnsi="Times New Roman" w:cs="Times New Roman"/>
          <w:bCs/>
          <w:color w:val="auto"/>
          <w:szCs w:val="21"/>
          <w:highlight w:val="none"/>
        </w:rPr>
        <w:t>risk assessment</w:t>
      </w:r>
      <w:r>
        <w:rPr>
          <w:rFonts w:hint="eastAsia" w:ascii="Times New Roman" w:hAnsi="Times New Roman" w:cs="Times New Roman"/>
          <w:bCs/>
          <w:color w:val="auto"/>
          <w:szCs w:val="21"/>
          <w:highlight w:val="none"/>
        </w:rPr>
        <w:t xml:space="preserve">, and </w:t>
      </w:r>
      <w:r>
        <w:rPr>
          <w:rFonts w:ascii="Times New Roman" w:hAnsi="Times New Roman" w:cs="Times New Roman"/>
          <w:bCs/>
          <w:color w:val="auto"/>
          <w:szCs w:val="21"/>
          <w:highlight w:val="none"/>
        </w:rPr>
        <w:t>comprehensive prevention and control”, the research progress, key technical methods</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 xml:space="preserve"> and main academic viewpoints at home and abroad</w:t>
      </w:r>
      <w:r>
        <w:rPr>
          <w:rFonts w:hint="eastAsia" w:ascii="Times New Roman" w:hAnsi="Times New Roman" w:cs="Times New Roman"/>
          <w:bCs/>
          <w:color w:val="auto"/>
          <w:szCs w:val="21"/>
          <w:highlight w:val="none"/>
        </w:rPr>
        <w:t xml:space="preserve"> are </w:t>
      </w:r>
      <w:r>
        <w:rPr>
          <w:rFonts w:ascii="Times New Roman" w:hAnsi="Times New Roman" w:cs="Times New Roman"/>
          <w:bCs/>
          <w:color w:val="auto"/>
          <w:szCs w:val="21"/>
          <w:highlight w:val="none"/>
        </w:rPr>
        <w:t xml:space="preserve">comprehensively reviewed. </w:t>
      </w:r>
      <w:r>
        <w:rPr>
          <w:rStyle w:val="18"/>
          <w:rFonts w:ascii="Times New Roman" w:hAnsi="Times New Roman" w:cs="Times New Roman"/>
          <w:color w:val="auto"/>
          <w:highlight w:val="none"/>
        </w:rPr>
        <w:t>[Results]</w:t>
      </w:r>
      <w:r>
        <w:rPr>
          <w:color w:val="auto"/>
          <w:highlight w:val="none"/>
        </w:rPr>
        <w:t xml:space="preserve"> </w:t>
      </w:r>
      <w:r>
        <w:rPr>
          <w:rFonts w:ascii="Times New Roman" w:hAnsi="Times New Roman" w:cs="Times New Roman"/>
          <w:bCs/>
          <w:color w:val="auto"/>
          <w:szCs w:val="21"/>
          <w:highlight w:val="none"/>
        </w:rPr>
        <w:t xml:space="preserve">The research on the formation mechanism of flood and drought disasters </w:t>
      </w:r>
      <w:r>
        <w:rPr>
          <w:rFonts w:hint="eastAsia" w:ascii="Times New Roman" w:hAnsi="Times New Roman" w:cs="Times New Roman"/>
          <w:bCs/>
          <w:color w:val="auto"/>
          <w:szCs w:val="21"/>
          <w:highlight w:val="none"/>
        </w:rPr>
        <w:t xml:space="preserve">has </w:t>
      </w:r>
      <w:r>
        <w:rPr>
          <w:rFonts w:ascii="Times New Roman" w:hAnsi="Times New Roman" w:cs="Times New Roman"/>
          <w:bCs/>
          <w:color w:val="auto"/>
          <w:szCs w:val="21"/>
          <w:highlight w:val="none"/>
        </w:rPr>
        <w:t>reveal</w:t>
      </w:r>
      <w:r>
        <w:rPr>
          <w:rFonts w:hint="eastAsia" w:ascii="Times New Roman" w:hAnsi="Times New Roman" w:cs="Times New Roman"/>
          <w:bCs/>
          <w:color w:val="auto"/>
          <w:szCs w:val="21"/>
          <w:highlight w:val="none"/>
        </w:rPr>
        <w:t>ed</w:t>
      </w:r>
      <w:r>
        <w:rPr>
          <w:rFonts w:ascii="Times New Roman" w:hAnsi="Times New Roman" w:cs="Times New Roman"/>
          <w:bCs/>
          <w:color w:val="auto"/>
          <w:szCs w:val="21"/>
          <w:highlight w:val="none"/>
        </w:rPr>
        <w:t xml:space="preserve"> that </w:t>
      </w:r>
      <w:r>
        <w:rPr>
          <w:rFonts w:hint="eastAsia" w:ascii="Times New Roman" w:hAnsi="Times New Roman" w:cs="Times New Roman"/>
          <w:bCs/>
          <w:color w:val="auto"/>
          <w:szCs w:val="21"/>
          <w:highlight w:val="none"/>
        </w:rPr>
        <w:t>they are</w:t>
      </w:r>
      <w:r>
        <w:rPr>
          <w:rFonts w:ascii="Times New Roman" w:hAnsi="Times New Roman" w:cs="Times New Roman"/>
          <w:bCs/>
          <w:color w:val="auto"/>
          <w:szCs w:val="21"/>
          <w:highlight w:val="none"/>
        </w:rPr>
        <w:t xml:space="preserve"> driven by </w:t>
      </w:r>
      <w:r>
        <w:rPr>
          <w:rFonts w:hint="eastAsia" w:ascii="Times New Roman" w:hAnsi="Times New Roman" w:cs="Times New Roman"/>
          <w:bCs/>
          <w:color w:val="auto"/>
          <w:szCs w:val="21"/>
          <w:highlight w:val="none"/>
        </w:rPr>
        <w:t xml:space="preserve">multi-sphere coupling of anomalous </w:t>
      </w:r>
      <w:r>
        <w:rPr>
          <w:rFonts w:ascii="Times New Roman" w:hAnsi="Times New Roman" w:cs="Times New Roman"/>
          <w:bCs/>
          <w:color w:val="auto"/>
          <w:szCs w:val="21"/>
          <w:highlight w:val="none"/>
        </w:rPr>
        <w:t>atmospheric circulation, air-sea coupl</w:t>
      </w:r>
      <w:r>
        <w:rPr>
          <w:rFonts w:hint="eastAsia" w:ascii="Times New Roman" w:hAnsi="Times New Roman" w:cs="Times New Roman"/>
          <w:bCs/>
          <w:color w:val="auto"/>
          <w:szCs w:val="21"/>
          <w:highlight w:val="none"/>
        </w:rPr>
        <w:t>ed</w:t>
      </w:r>
      <w:r>
        <w:rPr>
          <w:rFonts w:ascii="Times New Roman" w:hAnsi="Times New Roman" w:cs="Times New Roman"/>
          <w:bCs/>
          <w:color w:val="auto"/>
          <w:szCs w:val="21"/>
          <w:highlight w:val="none"/>
        </w:rPr>
        <w:t xml:space="preserve"> system, land surface process</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 xml:space="preserve"> and human activities, but </w:t>
      </w:r>
      <w:r>
        <w:rPr>
          <w:rFonts w:hint="eastAsia" w:ascii="Times New Roman" w:hAnsi="Times New Roman" w:cs="Times New Roman"/>
          <w:bCs/>
          <w:color w:val="auto"/>
          <w:szCs w:val="21"/>
          <w:highlight w:val="none"/>
        </w:rPr>
        <w:t>the refined</w:t>
      </w:r>
      <w:r>
        <w:rPr>
          <w:rFonts w:ascii="Times New Roman" w:hAnsi="Times New Roman" w:cs="Times New Roman"/>
          <w:bCs/>
          <w:color w:val="auto"/>
          <w:szCs w:val="21"/>
          <w:highlight w:val="none"/>
        </w:rPr>
        <w:t xml:space="preserve"> quantification of human activities and the simulation of complex feedback mechanism </w:t>
      </w:r>
      <w:r>
        <w:rPr>
          <w:rFonts w:hint="eastAsia" w:ascii="Times New Roman" w:hAnsi="Times New Roman" w:cs="Times New Roman"/>
          <w:bCs/>
          <w:color w:val="auto"/>
          <w:szCs w:val="21"/>
          <w:highlight w:val="none"/>
        </w:rPr>
        <w:t xml:space="preserve">remain </w:t>
      </w:r>
      <w:r>
        <w:rPr>
          <w:rFonts w:ascii="Times New Roman" w:hAnsi="Times New Roman" w:cs="Times New Roman"/>
          <w:bCs/>
          <w:color w:val="auto"/>
          <w:szCs w:val="21"/>
          <w:highlight w:val="none"/>
        </w:rPr>
        <w:t>challeng</w:t>
      </w:r>
      <w:r>
        <w:rPr>
          <w:rFonts w:hint="eastAsia" w:ascii="Times New Roman" w:hAnsi="Times New Roman" w:cs="Times New Roman"/>
          <w:bCs/>
          <w:color w:val="auto"/>
          <w:szCs w:val="21"/>
          <w:highlight w:val="none"/>
        </w:rPr>
        <w:t>ing</w:t>
      </w:r>
      <w:r>
        <w:rPr>
          <w:rFonts w:ascii="Times New Roman" w:hAnsi="Times New Roman" w:cs="Times New Roman"/>
          <w:bCs/>
          <w:color w:val="auto"/>
          <w:szCs w:val="21"/>
          <w:highlight w:val="none"/>
        </w:rPr>
        <w:t xml:space="preserve">. The </w:t>
      </w:r>
      <w:r>
        <w:rPr>
          <w:rFonts w:hint="eastAsia" w:ascii="Times New Roman" w:hAnsi="Times New Roman" w:cs="Times New Roman"/>
          <w:bCs/>
          <w:color w:val="auto"/>
          <w:szCs w:val="21"/>
          <w:highlight w:val="none"/>
        </w:rPr>
        <w:t>identification</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 xml:space="preserve">of </w:t>
      </w:r>
      <w:r>
        <w:rPr>
          <w:rFonts w:ascii="Times New Roman" w:hAnsi="Times New Roman" w:cs="Times New Roman"/>
          <w:bCs/>
          <w:color w:val="auto"/>
          <w:szCs w:val="21"/>
          <w:highlight w:val="none"/>
        </w:rPr>
        <w:t xml:space="preserve">evolution </w:t>
      </w:r>
      <w:r>
        <w:rPr>
          <w:rFonts w:hint="eastAsia" w:ascii="Times New Roman" w:hAnsi="Times New Roman" w:cs="Times New Roman"/>
          <w:bCs/>
          <w:color w:val="auto"/>
          <w:szCs w:val="21"/>
          <w:highlight w:val="none"/>
        </w:rPr>
        <w:t xml:space="preserve">patterns </w:t>
      </w:r>
      <w:r>
        <w:rPr>
          <w:rFonts w:ascii="Times New Roman" w:hAnsi="Times New Roman" w:cs="Times New Roman"/>
          <w:bCs/>
          <w:color w:val="auto"/>
          <w:szCs w:val="21"/>
          <w:highlight w:val="none"/>
        </w:rPr>
        <w:t xml:space="preserve">is </w:t>
      </w:r>
      <w:r>
        <w:rPr>
          <w:rFonts w:hint="eastAsia" w:ascii="Times New Roman" w:hAnsi="Times New Roman" w:cs="Times New Roman"/>
          <w:bCs/>
          <w:color w:val="auto"/>
          <w:szCs w:val="21"/>
          <w:highlight w:val="none"/>
        </w:rPr>
        <w:t>undergoing a profound shift</w:t>
      </w:r>
      <w:r>
        <w:rPr>
          <w:rFonts w:ascii="Times New Roman" w:hAnsi="Times New Roman" w:cs="Times New Roman"/>
          <w:bCs/>
          <w:color w:val="auto"/>
          <w:szCs w:val="21"/>
          <w:highlight w:val="none"/>
        </w:rPr>
        <w:t xml:space="preserve"> from single</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 xml:space="preserve">factor </w:t>
      </w:r>
      <w:r>
        <w:rPr>
          <w:rFonts w:hint="eastAsia" w:ascii="Times New Roman" w:hAnsi="Times New Roman" w:cs="Times New Roman"/>
          <w:bCs/>
          <w:color w:val="auto"/>
          <w:szCs w:val="21"/>
          <w:highlight w:val="none"/>
        </w:rPr>
        <w:t>indicator</w:t>
      </w:r>
      <w:r>
        <w:rPr>
          <w:rFonts w:ascii="Times New Roman" w:hAnsi="Times New Roman" w:cs="Times New Roman"/>
          <w:bCs/>
          <w:color w:val="auto"/>
          <w:szCs w:val="21"/>
          <w:highlight w:val="none"/>
        </w:rPr>
        <w:t xml:space="preserve"> to multi-source data fusion and intelligent algorithm</w:t>
      </w:r>
      <w:r>
        <w:rPr>
          <w:rFonts w:hint="eastAsia" w:ascii="Times New Roman" w:hAnsi="Times New Roman" w:cs="Times New Roman"/>
          <w:bCs/>
          <w:color w:val="auto"/>
          <w:szCs w:val="21"/>
          <w:highlight w:val="none"/>
        </w:rPr>
        <w:t>s</w:t>
      </w:r>
      <w:r>
        <w:rPr>
          <w:rFonts w:ascii="Times New Roman" w:hAnsi="Times New Roman" w:cs="Times New Roman"/>
          <w:bCs/>
          <w:color w:val="auto"/>
          <w:szCs w:val="21"/>
          <w:highlight w:val="none"/>
        </w:rPr>
        <w:t xml:space="preserve">, and the </w:t>
      </w:r>
      <w:r>
        <w:rPr>
          <w:rFonts w:hint="eastAsia" w:ascii="Times New Roman" w:hAnsi="Times New Roman" w:cs="Times New Roman"/>
          <w:bCs/>
          <w:color w:val="auto"/>
          <w:szCs w:val="21"/>
          <w:highlight w:val="none"/>
        </w:rPr>
        <w:t>indicator</w:t>
      </w:r>
      <w:r>
        <w:rPr>
          <w:rFonts w:ascii="Times New Roman" w:hAnsi="Times New Roman" w:cs="Times New Roman"/>
          <w:bCs/>
          <w:color w:val="auto"/>
          <w:szCs w:val="21"/>
          <w:highlight w:val="none"/>
        </w:rPr>
        <w:t xml:space="preserve"> system is developing towards mechanism</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enhance</w:t>
      </w:r>
      <w:r>
        <w:rPr>
          <w:rFonts w:hint="eastAsia" w:ascii="Times New Roman" w:hAnsi="Times New Roman" w:cs="Times New Roman"/>
          <w:bCs/>
          <w:color w:val="auto"/>
          <w:szCs w:val="21"/>
          <w:highlight w:val="none"/>
        </w:rPr>
        <w:t>d types</w:t>
      </w:r>
      <w:r>
        <w:rPr>
          <w:rFonts w:ascii="Times New Roman" w:hAnsi="Times New Roman" w:cs="Times New Roman"/>
          <w:bCs/>
          <w:color w:val="auto"/>
          <w:szCs w:val="21"/>
          <w:highlight w:val="none"/>
        </w:rPr>
        <w:t xml:space="preserve">. However, the universal identification </w:t>
      </w:r>
      <w:r>
        <w:rPr>
          <w:rFonts w:hint="eastAsia" w:ascii="Times New Roman" w:hAnsi="Times New Roman" w:cs="Times New Roman"/>
          <w:bCs/>
          <w:color w:val="auto"/>
          <w:szCs w:val="21"/>
          <w:highlight w:val="none"/>
        </w:rPr>
        <w:t>indicators</w:t>
      </w:r>
      <w:r>
        <w:rPr>
          <w:rFonts w:ascii="Times New Roman" w:hAnsi="Times New Roman" w:cs="Times New Roman"/>
          <w:bCs/>
          <w:color w:val="auto"/>
          <w:szCs w:val="21"/>
          <w:highlight w:val="none"/>
        </w:rPr>
        <w:t xml:space="preserve"> and physical threshold</w:t>
      </w:r>
      <w:r>
        <w:rPr>
          <w:rFonts w:hint="eastAsia" w:ascii="Times New Roman" w:hAnsi="Times New Roman" w:cs="Times New Roman"/>
          <w:bCs/>
          <w:color w:val="auto"/>
          <w:szCs w:val="21"/>
          <w:highlight w:val="none"/>
        </w:rPr>
        <w:t>s</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for</w:t>
      </w:r>
      <w:r>
        <w:rPr>
          <w:rFonts w:ascii="Times New Roman" w:hAnsi="Times New Roman" w:cs="Times New Roman"/>
          <w:bCs/>
          <w:color w:val="auto"/>
          <w:szCs w:val="21"/>
          <w:highlight w:val="none"/>
        </w:rPr>
        <w:t xml:space="preserve"> composite events such as</w:t>
      </w:r>
      <w:r>
        <w:rPr>
          <w:rFonts w:hint="eastAsia" w:ascii="Times New Roman" w:hAnsi="Times New Roman" w:cs="Times New Roman"/>
          <w:bCs/>
          <w:color w:val="auto"/>
          <w:szCs w:val="21"/>
          <w:highlight w:val="none"/>
        </w:rPr>
        <w:t xml:space="preserve"> </w:t>
      </w:r>
      <w:r>
        <w:rPr>
          <w:rFonts w:ascii="Times New Roman" w:hAnsi="Times New Roman" w:cs="Times New Roman"/>
          <w:bCs/>
          <w:color w:val="auto"/>
          <w:szCs w:val="21"/>
          <w:highlight w:val="none"/>
        </w:rPr>
        <w:t>drought</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 xml:space="preserve">flood abrupt </w:t>
      </w:r>
      <w:r>
        <w:rPr>
          <w:rFonts w:hint="eastAsia" w:ascii="Times New Roman" w:hAnsi="Times New Roman" w:cs="Times New Roman"/>
          <w:bCs/>
          <w:color w:val="auto"/>
          <w:szCs w:val="21"/>
          <w:highlight w:val="none"/>
        </w:rPr>
        <w:t>alternation</w:t>
      </w:r>
      <w:r>
        <w:rPr>
          <w:rFonts w:ascii="Times New Roman" w:hAnsi="Times New Roman" w:cs="Times New Roman"/>
          <w:bCs/>
          <w:color w:val="auto"/>
          <w:szCs w:val="21"/>
          <w:highlight w:val="none"/>
        </w:rPr>
        <w:t xml:space="preserve"> still need to be </w:t>
      </w:r>
      <w:r>
        <w:rPr>
          <w:rFonts w:hint="eastAsia" w:ascii="Times New Roman" w:hAnsi="Times New Roman"/>
          <w:bCs/>
          <w:color w:val="auto"/>
          <w:szCs w:val="21"/>
          <w:highlight w:val="none"/>
        </w:rPr>
        <w:t>established</w:t>
      </w:r>
      <w:r>
        <w:rPr>
          <w:rFonts w:ascii="Times New Roman" w:hAnsi="Times New Roman" w:cs="Times New Roman"/>
          <w:bCs/>
          <w:color w:val="auto"/>
          <w:szCs w:val="21"/>
          <w:highlight w:val="none"/>
        </w:rPr>
        <w:t>. Risk assessment, prediction</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 xml:space="preserve"> and early warning tend to be dynamic, and the integration of model simulation </w:t>
      </w:r>
      <w:r>
        <w:rPr>
          <w:rFonts w:hint="eastAsia" w:ascii="Times New Roman" w:hAnsi="Times New Roman" w:cs="Times New Roman"/>
          <w:bCs/>
          <w:color w:val="auto"/>
          <w:szCs w:val="21"/>
          <w:highlight w:val="none"/>
        </w:rPr>
        <w:t xml:space="preserve">and </w:t>
      </w:r>
      <w:r>
        <w:rPr>
          <w:rFonts w:ascii="Times New Roman" w:hAnsi="Times New Roman" w:cs="Times New Roman"/>
          <w:bCs/>
          <w:color w:val="auto"/>
          <w:szCs w:val="21"/>
          <w:highlight w:val="none"/>
        </w:rPr>
        <w:t>artificial intelligence become</w:t>
      </w:r>
      <w:r>
        <w:rPr>
          <w:rFonts w:hint="eastAsia" w:ascii="Times New Roman" w:hAnsi="Times New Roman" w:cs="Times New Roman"/>
          <w:bCs/>
          <w:color w:val="auto"/>
          <w:szCs w:val="21"/>
          <w:highlight w:val="none"/>
        </w:rPr>
        <w:t>s</w:t>
      </w:r>
      <w:r>
        <w:rPr>
          <w:rFonts w:ascii="Times New Roman" w:hAnsi="Times New Roman" w:cs="Times New Roman"/>
          <w:bCs/>
          <w:color w:val="auto"/>
          <w:szCs w:val="21"/>
          <w:highlight w:val="none"/>
        </w:rPr>
        <w:t xml:space="preserve"> the mainstream. However, the ability </w:t>
      </w:r>
      <w:r>
        <w:rPr>
          <w:rFonts w:hint="eastAsia" w:ascii="Times New Roman" w:hAnsi="Times New Roman" w:cs="Times New Roman"/>
          <w:bCs/>
          <w:color w:val="auto"/>
          <w:szCs w:val="21"/>
          <w:highlight w:val="none"/>
        </w:rPr>
        <w:t>to quantify</w:t>
      </w:r>
      <w:r>
        <w:rPr>
          <w:rFonts w:ascii="Times New Roman" w:hAnsi="Times New Roman" w:cs="Times New Roman"/>
          <w:bCs/>
          <w:color w:val="auto"/>
          <w:szCs w:val="21"/>
          <w:highlight w:val="none"/>
        </w:rPr>
        <w:t xml:space="preserve"> multi-disaster coupl</w:t>
      </w:r>
      <w:r>
        <w:rPr>
          <w:rFonts w:hint="eastAsia" w:ascii="Times New Roman" w:hAnsi="Times New Roman" w:cs="Times New Roman"/>
          <w:bCs/>
          <w:color w:val="auto"/>
          <w:szCs w:val="21"/>
          <w:highlight w:val="none"/>
        </w:rPr>
        <w:t>ed</w:t>
      </w:r>
      <w:r>
        <w:rPr>
          <w:rFonts w:ascii="Times New Roman" w:hAnsi="Times New Roman" w:cs="Times New Roman"/>
          <w:bCs/>
          <w:color w:val="auto"/>
          <w:szCs w:val="21"/>
          <w:highlight w:val="none"/>
        </w:rPr>
        <w:t xml:space="preserve"> risk simulation and early warning uncertainty is still insufficient. The comprehensive prevention and control strateg</w:t>
      </w:r>
      <w:r>
        <w:rPr>
          <w:rFonts w:hint="eastAsia" w:ascii="Times New Roman" w:hAnsi="Times New Roman" w:cs="Times New Roman"/>
          <w:bCs/>
          <w:color w:val="auto"/>
          <w:szCs w:val="21"/>
          <w:highlight w:val="none"/>
        </w:rPr>
        <w:t>ies</w:t>
      </w:r>
      <w:r>
        <w:rPr>
          <w:rFonts w:ascii="Times New Roman" w:hAnsi="Times New Roman" w:cs="Times New Roman"/>
          <w:bCs/>
          <w:color w:val="auto"/>
          <w:szCs w:val="21"/>
          <w:highlight w:val="none"/>
        </w:rPr>
        <w:t xml:space="preserve"> </w:t>
      </w:r>
      <w:r>
        <w:rPr>
          <w:rFonts w:hint="eastAsia" w:ascii="Times New Roman" w:hAnsi="Times New Roman"/>
          <w:bCs/>
          <w:color w:val="auto"/>
          <w:szCs w:val="21"/>
          <w:highlight w:val="none"/>
        </w:rPr>
        <w:t>are evolving</w:t>
      </w:r>
      <w:r>
        <w:rPr>
          <w:rFonts w:ascii="Times New Roman" w:hAnsi="Times New Roman" w:cs="Times New Roman"/>
          <w:bCs/>
          <w:color w:val="auto"/>
          <w:szCs w:val="21"/>
          <w:highlight w:val="none"/>
        </w:rPr>
        <w:t xml:space="preserve"> from engineering measures to multi-system collaborative resilien</w:t>
      </w:r>
      <w:r>
        <w:rPr>
          <w:rFonts w:hint="eastAsia" w:ascii="Times New Roman" w:hAnsi="Times New Roman" w:cs="Times New Roman"/>
          <w:bCs/>
          <w:color w:val="auto"/>
          <w:szCs w:val="21"/>
          <w:highlight w:val="none"/>
        </w:rPr>
        <w:t>ce</w:t>
      </w:r>
      <w:r>
        <w:rPr>
          <w:rFonts w:ascii="Times New Roman" w:hAnsi="Times New Roman" w:cs="Times New Roman"/>
          <w:bCs/>
          <w:color w:val="auto"/>
          <w:szCs w:val="21"/>
          <w:highlight w:val="none"/>
        </w:rPr>
        <w:t xml:space="preserve"> governance, but the evaluation framework of multi-objective collaborative optimization and long-term adapti</w:t>
      </w:r>
      <w:r>
        <w:rPr>
          <w:rFonts w:hint="eastAsia" w:ascii="Times New Roman" w:hAnsi="Times New Roman" w:cs="Times New Roman"/>
          <w:bCs/>
          <w:color w:val="auto"/>
          <w:szCs w:val="21"/>
          <w:highlight w:val="none"/>
        </w:rPr>
        <w:t>ve</w:t>
      </w:r>
      <w:r>
        <w:rPr>
          <w:rFonts w:ascii="Times New Roman" w:hAnsi="Times New Roman" w:cs="Times New Roman"/>
          <w:bCs/>
          <w:color w:val="auto"/>
          <w:szCs w:val="21"/>
          <w:highlight w:val="none"/>
        </w:rPr>
        <w:t xml:space="preserve"> effectiveness is not </w:t>
      </w:r>
      <w:r>
        <w:rPr>
          <w:rFonts w:hint="eastAsia" w:ascii="Times New Roman" w:hAnsi="Times New Roman" w:cs="Times New Roman"/>
          <w:bCs/>
          <w:color w:val="auto"/>
          <w:szCs w:val="21"/>
          <w:highlight w:val="none"/>
        </w:rPr>
        <w:t>yet complete</w:t>
      </w:r>
      <w:r>
        <w:rPr>
          <w:rFonts w:ascii="Times New Roman" w:hAnsi="Times New Roman" w:cs="Times New Roman"/>
          <w:bCs/>
          <w:color w:val="auto"/>
          <w:szCs w:val="21"/>
          <w:highlight w:val="none"/>
        </w:rPr>
        <w:t>. The research also exposes systemic bottlenecks</w:t>
      </w:r>
      <w:r>
        <w:rPr>
          <w:rFonts w:hint="eastAsia" w:ascii="Times New Roman" w:hAnsi="Times New Roman" w:cs="Times New Roman"/>
          <w:bCs/>
          <w:color w:val="auto"/>
          <w:szCs w:val="21"/>
          <w:highlight w:val="none"/>
        </w:rPr>
        <w:t>,</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 xml:space="preserve">including </w:t>
      </w:r>
      <w:r>
        <w:rPr>
          <w:rFonts w:ascii="Times New Roman" w:hAnsi="Times New Roman" w:cs="Times New Roman"/>
          <w:bCs/>
          <w:color w:val="auto"/>
          <w:szCs w:val="21"/>
          <w:highlight w:val="none"/>
        </w:rPr>
        <w:t>inadequate</w:t>
      </w:r>
      <w:r>
        <w:rPr>
          <w:rFonts w:hint="eastAsia" w:ascii="Times New Roman" w:hAnsi="Times New Roman" w:cs="Times New Roman"/>
          <w:bCs/>
          <w:color w:val="auto"/>
          <w:szCs w:val="21"/>
          <w:highlight w:val="none"/>
        </w:rPr>
        <w:t xml:space="preserve"> coordination</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among</w:t>
      </w:r>
      <w:r>
        <w:rPr>
          <w:rFonts w:ascii="Times New Roman" w:hAnsi="Times New Roman" w:cs="Times New Roman"/>
          <w:bCs/>
          <w:color w:val="auto"/>
          <w:szCs w:val="21"/>
          <w:highlight w:val="none"/>
        </w:rPr>
        <w:t xml:space="preserve"> links </w:t>
      </w:r>
      <w:r>
        <w:rPr>
          <w:rFonts w:hint="eastAsia" w:ascii="Times New Roman" w:hAnsi="Times New Roman" w:cs="Times New Roman"/>
          <w:bCs/>
          <w:color w:val="auto"/>
          <w:szCs w:val="21"/>
          <w:highlight w:val="none"/>
        </w:rPr>
        <w:t>and disconnection</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between</w:t>
      </w:r>
      <w:r>
        <w:rPr>
          <w:rFonts w:ascii="Times New Roman" w:hAnsi="Times New Roman" w:cs="Times New Roman"/>
          <w:bCs/>
          <w:color w:val="auto"/>
          <w:szCs w:val="21"/>
          <w:highlight w:val="none"/>
        </w:rPr>
        <w:t xml:space="preserve"> assessment and early warning. </w:t>
      </w:r>
      <w:r>
        <w:rPr>
          <w:rStyle w:val="18"/>
          <w:rFonts w:ascii="Times New Roman" w:hAnsi="Times New Roman" w:cs="Times New Roman"/>
          <w:color w:val="auto"/>
          <w:highlight w:val="none"/>
        </w:rPr>
        <w:t>[Conclusion]</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T</w:t>
      </w:r>
      <w:r>
        <w:rPr>
          <w:rFonts w:ascii="Times New Roman" w:hAnsi="Times New Roman" w:cs="Times New Roman"/>
          <w:bCs/>
          <w:color w:val="auto"/>
          <w:szCs w:val="21"/>
          <w:highlight w:val="none"/>
        </w:rPr>
        <w:t xml:space="preserve">o </w:t>
      </w:r>
      <w:r>
        <w:rPr>
          <w:rFonts w:hint="eastAsia" w:ascii="Times New Roman" w:hAnsi="Times New Roman" w:cs="Times New Roman"/>
          <w:bCs/>
          <w:color w:val="auto"/>
          <w:szCs w:val="21"/>
          <w:highlight w:val="none"/>
        </w:rPr>
        <w:t>overcome</w:t>
      </w:r>
      <w:r>
        <w:rPr>
          <w:rFonts w:ascii="Times New Roman" w:hAnsi="Times New Roman" w:cs="Times New Roman"/>
          <w:bCs/>
          <w:color w:val="auto"/>
          <w:szCs w:val="21"/>
          <w:highlight w:val="none"/>
        </w:rPr>
        <w:t xml:space="preserve"> the above shortcomings, a closed-loop research framework </w:t>
      </w:r>
      <w:r>
        <w:rPr>
          <w:rFonts w:hint="eastAsia" w:ascii="Times New Roman" w:hAnsi="Times New Roman" w:cs="Times New Roman"/>
          <w:bCs/>
          <w:color w:val="auto"/>
          <w:szCs w:val="21"/>
          <w:highlight w:val="none"/>
        </w:rPr>
        <w:t xml:space="preserve">is proposed, which consists of </w:t>
      </w:r>
      <w:r>
        <w:rPr>
          <w:rFonts w:ascii="Times New Roman" w:hAnsi="Times New Roman" w:cs="Times New Roman"/>
          <w:bCs/>
          <w:color w:val="auto"/>
          <w:szCs w:val="21"/>
          <w:highlight w:val="none"/>
        </w:rPr>
        <w:t>mechanism cognition</w:t>
      </w:r>
      <w:r>
        <w:rPr>
          <w:rFonts w:hint="eastAsia" w:ascii="Times New Roman" w:hAnsi="Times New Roman" w:cs="Times New Roman"/>
          <w:bCs/>
          <w:color w:val="auto"/>
          <w:szCs w:val="21"/>
          <w:highlight w:val="none"/>
        </w:rPr>
        <w:t xml:space="preserve">, </w:t>
      </w:r>
      <w:r>
        <w:rPr>
          <w:rFonts w:ascii="Times New Roman" w:hAnsi="Times New Roman" w:cs="Times New Roman"/>
          <w:bCs/>
          <w:color w:val="auto"/>
          <w:szCs w:val="21"/>
          <w:highlight w:val="none"/>
        </w:rPr>
        <w:t>intelligent early warning</w:t>
      </w:r>
      <w:r>
        <w:rPr>
          <w:rFonts w:hint="eastAsia" w:ascii="Times New Roman" w:hAnsi="Times New Roman" w:cs="Times New Roman"/>
          <w:bCs/>
          <w:color w:val="auto"/>
          <w:szCs w:val="21"/>
          <w:highlight w:val="none"/>
        </w:rPr>
        <w:t xml:space="preserve">, </w:t>
      </w:r>
      <w:r>
        <w:rPr>
          <w:rFonts w:ascii="Times New Roman" w:hAnsi="Times New Roman" w:cs="Times New Roman"/>
          <w:bCs/>
          <w:color w:val="auto"/>
          <w:szCs w:val="21"/>
          <w:highlight w:val="none"/>
        </w:rPr>
        <w:t>dynamic prevention and control</w:t>
      </w:r>
      <w:r>
        <w:rPr>
          <w:rFonts w:hint="eastAsia" w:ascii="Times New Roman" w:hAnsi="Times New Roman" w:cs="Times New Roman"/>
          <w:bCs/>
          <w:color w:val="auto"/>
          <w:szCs w:val="21"/>
          <w:highlight w:val="none"/>
        </w:rPr>
        <w:t xml:space="preserve">, and </w:t>
      </w:r>
      <w:r>
        <w:rPr>
          <w:rFonts w:ascii="Times New Roman" w:hAnsi="Times New Roman" w:cs="Times New Roman"/>
          <w:bCs/>
          <w:color w:val="auto"/>
          <w:szCs w:val="21"/>
          <w:highlight w:val="none"/>
        </w:rPr>
        <w:t xml:space="preserve">feedback learning. </w:t>
      </w:r>
      <w:r>
        <w:rPr>
          <w:rFonts w:hint="eastAsia" w:ascii="Times New Roman" w:hAnsi="Times New Roman" w:cs="Times New Roman"/>
          <w:bCs/>
          <w:color w:val="auto"/>
          <w:szCs w:val="21"/>
          <w:highlight w:val="none"/>
        </w:rPr>
        <w:t>By</w:t>
      </w:r>
      <w:r>
        <w:rPr>
          <w:rFonts w:ascii="Times New Roman" w:hAnsi="Times New Roman" w:cs="Times New Roman"/>
          <w:bCs/>
          <w:color w:val="auto"/>
          <w:szCs w:val="21"/>
          <w:highlight w:val="none"/>
        </w:rPr>
        <w:t xml:space="preserve"> deepening</w:t>
      </w:r>
      <w:r>
        <w:rPr>
          <w:rFonts w:hint="eastAsia" w:ascii="Times New Roman" w:hAnsi="Times New Roman" w:cs="Times New Roman"/>
          <w:bCs/>
          <w:color w:val="auto"/>
          <w:szCs w:val="21"/>
          <w:highlight w:val="none"/>
        </w:rPr>
        <w:t xml:space="preserve"> the</w:t>
      </w:r>
      <w:r>
        <w:rPr>
          <w:rFonts w:ascii="Times New Roman" w:hAnsi="Times New Roman" w:cs="Times New Roman"/>
          <w:bCs/>
          <w:color w:val="auto"/>
          <w:szCs w:val="21"/>
          <w:highlight w:val="none"/>
        </w:rPr>
        <w:t xml:space="preserve"> understanding of multi-</w:t>
      </w:r>
      <w:r>
        <w:rPr>
          <w:rFonts w:hint="eastAsia" w:ascii="Times New Roman" w:hAnsi="Times New Roman" w:cs="Times New Roman"/>
          <w:bCs/>
          <w:color w:val="auto"/>
          <w:szCs w:val="21"/>
          <w:highlight w:val="none"/>
        </w:rPr>
        <w:t>sphere</w:t>
      </w:r>
      <w:r>
        <w:rPr>
          <w:rFonts w:ascii="Times New Roman" w:hAnsi="Times New Roman" w:cs="Times New Roman"/>
          <w:bCs/>
          <w:color w:val="auto"/>
          <w:szCs w:val="21"/>
          <w:highlight w:val="none"/>
        </w:rPr>
        <w:t xml:space="preserve"> coupling mechanism, the</w:t>
      </w:r>
      <w:r>
        <w:rPr>
          <w:rFonts w:hint="eastAsia" w:ascii="Times New Roman" w:hAnsi="Times New Roman" w:cs="Times New Roman"/>
          <w:bCs/>
          <w:color w:val="auto"/>
          <w:szCs w:val="21"/>
          <w:highlight w:val="none"/>
        </w:rPr>
        <w:t xml:space="preserve"> intelligent integration of</w:t>
      </w:r>
      <w:r>
        <w:rPr>
          <w:rFonts w:ascii="Times New Roman" w:hAnsi="Times New Roman" w:cs="Times New Roman"/>
          <w:bCs/>
          <w:color w:val="auto"/>
          <w:szCs w:val="21"/>
          <w:highlight w:val="none"/>
        </w:rPr>
        <w:t xml:space="preserve"> early warning </w:t>
      </w:r>
      <w:r>
        <w:rPr>
          <w:rFonts w:hint="eastAsia" w:ascii="Times New Roman" w:hAnsi="Times New Roman" w:cs="Times New Roman"/>
          <w:bCs/>
          <w:color w:val="auto"/>
          <w:szCs w:val="21"/>
          <w:highlight w:val="none"/>
        </w:rPr>
        <w:t>and</w:t>
      </w:r>
      <w:r>
        <w:rPr>
          <w:rFonts w:ascii="Times New Roman" w:hAnsi="Times New Roman" w:cs="Times New Roman"/>
          <w:bCs/>
          <w:color w:val="auto"/>
          <w:szCs w:val="21"/>
          <w:highlight w:val="none"/>
        </w:rPr>
        <w:t xml:space="preserve"> decision-making technology is developed, and the </w:t>
      </w:r>
      <w:r>
        <w:rPr>
          <w:rFonts w:hint="eastAsia" w:ascii="Times New Roman" w:hAnsi="Times New Roman" w:cs="Times New Roman"/>
          <w:bCs/>
          <w:color w:val="auto"/>
          <w:szCs w:val="21"/>
          <w:highlight w:val="none"/>
        </w:rPr>
        <w:t xml:space="preserve">collaborative </w:t>
      </w:r>
      <w:r>
        <w:rPr>
          <w:rFonts w:ascii="Times New Roman" w:hAnsi="Times New Roman" w:cs="Times New Roman"/>
          <w:bCs/>
          <w:color w:val="auto"/>
          <w:szCs w:val="21"/>
          <w:highlight w:val="none"/>
        </w:rPr>
        <w:t>resilient governance path of “nature</w:t>
      </w:r>
      <w:r>
        <w:rPr>
          <w:rFonts w:ascii="Times New Roman" w:hAnsi="Times New Roman" w:cs="Times New Roman"/>
          <w:color w:val="auto"/>
          <w:sz w:val="24"/>
          <w:szCs w:val="24"/>
          <w:highlight w:val="none"/>
        </w:rPr>
        <w:t>-</w:t>
      </w:r>
      <w:r>
        <w:rPr>
          <w:rFonts w:ascii="Times New Roman" w:hAnsi="Times New Roman" w:cs="Times New Roman"/>
          <w:bCs/>
          <w:color w:val="auto"/>
          <w:szCs w:val="21"/>
          <w:highlight w:val="none"/>
        </w:rPr>
        <w:t>engineering</w:t>
      </w:r>
      <w:r>
        <w:rPr>
          <w:rFonts w:ascii="Times New Roman" w:hAnsi="Times New Roman" w:cs="Times New Roman"/>
          <w:color w:val="auto"/>
          <w:sz w:val="24"/>
          <w:szCs w:val="24"/>
          <w:highlight w:val="none"/>
        </w:rPr>
        <w:t>-</w:t>
      </w:r>
      <w:r>
        <w:rPr>
          <w:rFonts w:ascii="Times New Roman" w:hAnsi="Times New Roman" w:cs="Times New Roman"/>
          <w:bCs/>
          <w:color w:val="auto"/>
          <w:szCs w:val="21"/>
          <w:highlight w:val="none"/>
        </w:rPr>
        <w:t>intelligence” is strengthened to improve the prevention and control ability of disaster risk</w:t>
      </w:r>
      <w:r>
        <w:rPr>
          <w:rFonts w:hint="eastAsia" w:ascii="Times New Roman" w:hAnsi="Times New Roman" w:cs="Times New Roman"/>
          <w:bCs/>
          <w:color w:val="auto"/>
          <w:szCs w:val="21"/>
          <w:highlight w:val="none"/>
        </w:rPr>
        <w:t>s. This</w:t>
      </w:r>
      <w:r>
        <w:rPr>
          <w:rFonts w:ascii="Times New Roman" w:hAnsi="Times New Roman" w:cs="Times New Roman"/>
          <w:bCs/>
          <w:color w:val="auto"/>
          <w:szCs w:val="21"/>
          <w:highlight w:val="none"/>
        </w:rPr>
        <w:t xml:space="preserve"> provide</w:t>
      </w:r>
      <w:r>
        <w:rPr>
          <w:rFonts w:hint="eastAsia" w:ascii="Times New Roman" w:hAnsi="Times New Roman" w:cs="Times New Roman"/>
          <w:bCs/>
          <w:color w:val="auto"/>
          <w:szCs w:val="21"/>
          <w:highlight w:val="none"/>
        </w:rPr>
        <w:t>s</w:t>
      </w:r>
      <w:r>
        <w:rPr>
          <w:rFonts w:ascii="Times New Roman" w:hAnsi="Times New Roman" w:cs="Times New Roman"/>
          <w:bCs/>
          <w:color w:val="auto"/>
          <w:szCs w:val="21"/>
          <w:highlight w:val="none"/>
        </w:rPr>
        <w:t xml:space="preserve"> systematic scientific and technological support for constructi</w:t>
      </w:r>
      <w:r>
        <w:rPr>
          <w:rFonts w:hint="eastAsia" w:ascii="Times New Roman" w:hAnsi="Times New Roman" w:cs="Times New Roman"/>
          <w:bCs/>
          <w:color w:val="auto"/>
          <w:szCs w:val="21"/>
          <w:highlight w:val="none"/>
        </w:rPr>
        <w:t>ng</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rPr>
        <w:t xml:space="preserve">a safe and resilient </w:t>
      </w:r>
      <w:r>
        <w:rPr>
          <w:rFonts w:ascii="Times New Roman" w:hAnsi="Times New Roman" w:cs="Times New Roman"/>
          <w:bCs/>
          <w:color w:val="auto"/>
          <w:szCs w:val="21"/>
          <w:highlight w:val="none"/>
        </w:rPr>
        <w:t xml:space="preserve">modern water network and </w:t>
      </w:r>
      <w:r>
        <w:rPr>
          <w:rFonts w:hint="eastAsia" w:ascii="Times New Roman" w:hAnsi="Times New Roman" w:cs="Times New Roman"/>
          <w:bCs/>
          <w:color w:val="auto"/>
          <w:szCs w:val="21"/>
          <w:highlight w:val="none"/>
        </w:rPr>
        <w:t>ensuring</w:t>
      </w:r>
      <w:r>
        <w:rPr>
          <w:rFonts w:ascii="Times New Roman" w:hAnsi="Times New Roman" w:cs="Times New Roman"/>
          <w:bCs/>
          <w:color w:val="auto"/>
          <w:szCs w:val="21"/>
          <w:highlight w:val="none"/>
        </w:rPr>
        <w:t xml:space="preserve"> regional sustainable development.</w:t>
      </w:r>
      <w:bookmarkEnd w:id="1"/>
    </w:p>
    <w:bookmarkEnd w:id="2"/>
    <w:p w14:paraId="0FFF2DEA">
      <w:pPr>
        <w:rPr>
          <w:rStyle w:val="18"/>
          <w:rFonts w:ascii="Times New Roman" w:hAnsi="Times New Roman" w:eastAsia="楷体" w:cs="Times New Roman"/>
          <w:b w:val="0"/>
          <w:color w:val="auto"/>
          <w:szCs w:val="21"/>
          <w:highlight w:val="none"/>
        </w:rPr>
      </w:pPr>
      <w:r>
        <w:rPr>
          <w:rStyle w:val="18"/>
          <w:rFonts w:ascii="Times New Roman" w:hAnsi="Times New Roman" w:cs="Times New Roman"/>
          <w:color w:val="auto"/>
          <w:highlight w:val="none"/>
        </w:rPr>
        <w:t>Keywords</w:t>
      </w:r>
      <w:r>
        <w:rPr>
          <w:rStyle w:val="18"/>
          <w:rFonts w:hint="eastAsia" w:ascii="Times New Roman" w:hAnsi="Times New Roman" w:cs="Times New Roman"/>
          <w:color w:val="auto"/>
          <w:highlight w:val="none"/>
        </w:rPr>
        <w:t xml:space="preserve">: </w:t>
      </w:r>
      <w:r>
        <w:rPr>
          <w:rStyle w:val="18"/>
          <w:rFonts w:ascii="Times New Roman" w:hAnsi="Times New Roman" w:eastAsia="楷体" w:cs="Times New Roman"/>
          <w:b w:val="0"/>
          <w:color w:val="auto"/>
          <w:szCs w:val="21"/>
          <w:highlight w:val="none"/>
        </w:rPr>
        <w:t>flood and drought disasters; formation mechanism; evolution identification; risk assessment; comprehensive prevention and control</w:t>
      </w:r>
      <w:r>
        <w:rPr>
          <w:rStyle w:val="18"/>
          <w:rFonts w:hint="eastAsia" w:ascii="Times New Roman" w:hAnsi="Times New Roman" w:eastAsia="楷体" w:cs="Times New Roman"/>
          <w:b w:val="0"/>
          <w:color w:val="auto"/>
          <w:szCs w:val="21"/>
          <w:highlight w:val="none"/>
        </w:rPr>
        <w:t>; influencing factors</w:t>
      </w:r>
    </w:p>
    <w:bookmarkEnd w:id="3"/>
    <w:p w14:paraId="4B911BD6">
      <w:pPr>
        <w:pStyle w:val="11"/>
        <w:snapToGrid/>
        <w:jc w:val="both"/>
        <w:rPr>
          <w:rFonts w:ascii="Times New Roman" w:hAnsi="Times New Roman" w:eastAsia="黑体" w:cs="Times New Roman"/>
          <w:b/>
          <w:bCs/>
          <w:color w:val="auto"/>
          <w:kern w:val="0"/>
          <w:szCs w:val="18"/>
          <w:highlight w:val="none"/>
          <w:u w:val="single"/>
        </w:rPr>
      </w:pPr>
      <w:r>
        <w:rPr>
          <w:rFonts w:ascii="Times New Roman" w:hAnsi="Times New Roman" w:eastAsia="黑体" w:cs="Times New Roman"/>
          <w:b/>
          <w:bCs/>
          <w:color w:val="auto"/>
          <w:szCs w:val="18"/>
          <w:highlight w:val="none"/>
          <w:u w:val="single"/>
        </w:rPr>
        <w:t xml:space="preserve">                                      </w:t>
      </w:r>
    </w:p>
    <w:p w14:paraId="3F0025A4">
      <w:pPr>
        <w:pStyle w:val="11"/>
        <w:snapToGrid/>
        <w:jc w:val="both"/>
        <w:rPr>
          <w:rFonts w:ascii="Times New Roman" w:hAnsi="Times New Roman" w:cs="Times New Roman"/>
          <w:b/>
          <w:color w:val="auto"/>
          <w:szCs w:val="18"/>
          <w:highlight w:val="none"/>
        </w:rPr>
      </w:pPr>
      <w:r>
        <w:rPr>
          <w:rFonts w:ascii="Times New Roman" w:hAnsi="Times New Roman" w:eastAsia="黑体" w:cs="Times New Roman"/>
          <w:b/>
          <w:bCs/>
          <w:color w:val="auto"/>
          <w:szCs w:val="18"/>
          <w:highlight w:val="none"/>
        </w:rPr>
        <w:t>收稿日期：</w:t>
      </w:r>
      <w:r>
        <w:rPr>
          <w:rFonts w:ascii="Times New Roman" w:hAnsi="Times New Roman" w:cs="Times New Roman"/>
          <w:color w:val="auto"/>
          <w:szCs w:val="18"/>
          <w:highlight w:val="none"/>
        </w:rPr>
        <w:t>2025-</w:t>
      </w:r>
      <w:r>
        <w:rPr>
          <w:rFonts w:hint="eastAsia" w:ascii="Times New Roman" w:hAnsi="Times New Roman" w:cs="Times New Roman"/>
          <w:color w:val="auto"/>
          <w:szCs w:val="18"/>
          <w:highlight w:val="none"/>
        </w:rPr>
        <w:t>12</w:t>
      </w:r>
      <w:r>
        <w:rPr>
          <w:rFonts w:ascii="Times New Roman" w:hAnsi="Times New Roman" w:cs="Times New Roman"/>
          <w:color w:val="auto"/>
          <w:szCs w:val="18"/>
          <w:highlight w:val="none"/>
        </w:rPr>
        <w:t>-</w:t>
      </w:r>
      <w:r>
        <w:rPr>
          <w:rFonts w:hint="eastAsia" w:ascii="Times New Roman" w:hAnsi="Times New Roman" w:cs="Times New Roman"/>
          <w:color w:val="auto"/>
          <w:szCs w:val="18"/>
          <w:highlight w:val="none"/>
        </w:rPr>
        <w:t>13</w:t>
      </w:r>
      <w:r>
        <w:rPr>
          <w:rFonts w:ascii="Times New Roman" w:hAnsi="Times New Roman" w:cs="Times New Roman"/>
          <w:color w:val="auto"/>
          <w:szCs w:val="18"/>
          <w:highlight w:val="none"/>
        </w:rPr>
        <w:t>；</w:t>
      </w:r>
      <w:r>
        <w:rPr>
          <w:rFonts w:ascii="Times New Roman" w:hAnsi="Times New Roman" w:eastAsia="黑体" w:cs="Times New Roman"/>
          <w:b/>
          <w:bCs/>
          <w:color w:val="auto"/>
          <w:szCs w:val="18"/>
          <w:highlight w:val="none"/>
        </w:rPr>
        <w:t>修回日期：</w:t>
      </w:r>
      <w:r>
        <w:rPr>
          <w:rFonts w:ascii="Times New Roman" w:hAnsi="Times New Roman" w:cs="Times New Roman"/>
          <w:color w:val="auto"/>
          <w:szCs w:val="18"/>
          <w:highlight w:val="none"/>
        </w:rPr>
        <w:t>202</w:t>
      </w:r>
      <w:r>
        <w:rPr>
          <w:rFonts w:hint="eastAsia" w:ascii="Times New Roman" w:hAnsi="Times New Roman" w:cs="Times New Roman"/>
          <w:color w:val="auto"/>
          <w:szCs w:val="18"/>
          <w:highlight w:val="none"/>
        </w:rPr>
        <w:t>6</w:t>
      </w:r>
      <w:r>
        <w:rPr>
          <w:rFonts w:ascii="Times New Roman" w:hAnsi="Times New Roman" w:cs="Times New Roman"/>
          <w:color w:val="auto"/>
          <w:szCs w:val="18"/>
          <w:highlight w:val="none"/>
        </w:rPr>
        <w:t>-</w:t>
      </w:r>
      <w:r>
        <w:rPr>
          <w:rFonts w:hint="eastAsia" w:ascii="Times New Roman" w:hAnsi="Times New Roman" w:cs="Times New Roman"/>
          <w:color w:val="auto"/>
          <w:szCs w:val="18"/>
          <w:highlight w:val="none"/>
        </w:rPr>
        <w:t>02</w:t>
      </w:r>
      <w:r>
        <w:rPr>
          <w:rFonts w:ascii="Times New Roman" w:hAnsi="Times New Roman" w:cs="Times New Roman"/>
          <w:color w:val="auto"/>
          <w:szCs w:val="18"/>
          <w:highlight w:val="none"/>
        </w:rPr>
        <w:t>-</w:t>
      </w:r>
      <w:r>
        <w:rPr>
          <w:rFonts w:hint="eastAsia" w:ascii="Times New Roman" w:hAnsi="Times New Roman" w:cs="Times New Roman"/>
          <w:color w:val="auto"/>
          <w:szCs w:val="18"/>
          <w:highlight w:val="none"/>
        </w:rPr>
        <w:t>02</w:t>
      </w:r>
      <w:r>
        <w:rPr>
          <w:rFonts w:ascii="Times New Roman" w:hAnsi="Times New Roman" w:cs="Times New Roman"/>
          <w:color w:val="auto"/>
          <w:szCs w:val="18"/>
          <w:highlight w:val="none"/>
        </w:rPr>
        <w:t>；</w:t>
      </w:r>
      <w:r>
        <w:rPr>
          <w:rFonts w:ascii="Times New Roman" w:hAnsi="Times New Roman" w:eastAsia="黑体" w:cs="Times New Roman"/>
          <w:b/>
          <w:bCs/>
          <w:color w:val="auto"/>
          <w:szCs w:val="18"/>
          <w:highlight w:val="none"/>
        </w:rPr>
        <w:t>录用日期：</w:t>
      </w:r>
      <w:r>
        <w:rPr>
          <w:rFonts w:ascii="Times New Roman" w:hAnsi="Times New Roman" w:cs="Times New Roman"/>
          <w:color w:val="auto"/>
          <w:szCs w:val="18"/>
          <w:highlight w:val="none"/>
        </w:rPr>
        <w:t>202</w:t>
      </w:r>
      <w:r>
        <w:rPr>
          <w:rFonts w:hint="eastAsia" w:ascii="Times New Roman" w:hAnsi="Times New Roman" w:cs="Times New Roman"/>
          <w:color w:val="auto"/>
          <w:szCs w:val="18"/>
          <w:highlight w:val="none"/>
        </w:rPr>
        <w:t>6</w:t>
      </w:r>
      <w:r>
        <w:rPr>
          <w:rFonts w:ascii="Times New Roman" w:hAnsi="Times New Roman" w:cs="Times New Roman"/>
          <w:color w:val="auto"/>
          <w:szCs w:val="18"/>
          <w:highlight w:val="none"/>
        </w:rPr>
        <w:t>-</w:t>
      </w:r>
      <w:r>
        <w:rPr>
          <w:rFonts w:hint="eastAsia" w:ascii="Times New Roman" w:hAnsi="Times New Roman" w:cs="Times New Roman"/>
          <w:color w:val="auto"/>
          <w:szCs w:val="18"/>
          <w:highlight w:val="none"/>
        </w:rPr>
        <w:t>02</w:t>
      </w:r>
      <w:r>
        <w:rPr>
          <w:rFonts w:ascii="Times New Roman" w:hAnsi="Times New Roman" w:cs="Times New Roman"/>
          <w:color w:val="auto"/>
          <w:szCs w:val="18"/>
          <w:highlight w:val="none"/>
        </w:rPr>
        <w:t>-</w:t>
      </w:r>
      <w:r>
        <w:rPr>
          <w:rFonts w:hint="eastAsia" w:ascii="Times New Roman" w:hAnsi="Times New Roman" w:cs="Times New Roman"/>
          <w:color w:val="auto"/>
          <w:szCs w:val="18"/>
          <w:highlight w:val="none"/>
        </w:rPr>
        <w:t>06</w:t>
      </w:r>
      <w:r>
        <w:rPr>
          <w:rFonts w:ascii="Times New Roman" w:hAnsi="Times New Roman" w:cs="Times New Roman"/>
          <w:color w:val="auto"/>
          <w:szCs w:val="18"/>
          <w:highlight w:val="none"/>
        </w:rPr>
        <w:t>；</w:t>
      </w:r>
      <w:r>
        <w:rPr>
          <w:rFonts w:ascii="Times New Roman" w:hAnsi="Times New Roman" w:eastAsia="黑体" w:cs="Times New Roman"/>
          <w:b/>
          <w:bCs/>
          <w:color w:val="auto"/>
          <w:szCs w:val="18"/>
          <w:highlight w:val="none"/>
        </w:rPr>
        <w:t>网络出版日期：</w:t>
      </w:r>
    </w:p>
    <w:p w14:paraId="03B0CA91">
      <w:pPr>
        <w:pStyle w:val="11"/>
        <w:jc w:val="both"/>
        <w:rPr>
          <w:rFonts w:ascii="Times New Roman" w:hAnsi="Times New Roman" w:cs="Times New Roman"/>
          <w:color w:val="auto"/>
          <w:szCs w:val="18"/>
          <w:highlight w:val="none"/>
        </w:rPr>
      </w:pPr>
      <w:r>
        <w:rPr>
          <w:rFonts w:ascii="Times New Roman" w:hAnsi="Times New Roman" w:eastAsia="黑体" w:cs="Times New Roman"/>
          <w:b/>
          <w:bCs/>
          <w:color w:val="auto"/>
          <w:spacing w:val="-2"/>
          <w:szCs w:val="18"/>
          <w:highlight w:val="none"/>
        </w:rPr>
        <w:t>基金项目：</w:t>
      </w:r>
      <w:r>
        <w:rPr>
          <w:rFonts w:ascii="Times New Roman" w:hAnsi="Times New Roman" w:cs="Times New Roman"/>
          <w:color w:val="auto"/>
          <w:szCs w:val="18"/>
          <w:highlight w:val="none"/>
        </w:rPr>
        <w:t>国家重点研发计划项目(2023YFC3209800)；国家自然科学基金</w:t>
      </w:r>
      <w:r>
        <w:rPr>
          <w:rFonts w:hint="eastAsia" w:ascii="Times New Roman" w:hAnsi="Times New Roman" w:cs="Times New Roman"/>
          <w:color w:val="auto"/>
          <w:szCs w:val="18"/>
          <w:highlight w:val="none"/>
        </w:rPr>
        <w:t>黄河水科学联合</w:t>
      </w:r>
      <w:r>
        <w:rPr>
          <w:rFonts w:ascii="Times New Roman" w:hAnsi="Times New Roman" w:cs="Times New Roman"/>
          <w:color w:val="auto"/>
          <w:szCs w:val="18"/>
          <w:highlight w:val="none"/>
        </w:rPr>
        <w:t>基金项目(U2443205)</w:t>
      </w:r>
    </w:p>
    <w:p w14:paraId="3057C2D1">
      <w:pPr>
        <w:rPr>
          <w:rFonts w:ascii="Times New Roman" w:hAnsi="Times New Roman" w:cs="Times New Roman"/>
          <w:color w:val="auto"/>
          <w:spacing w:val="4"/>
          <w:sz w:val="18"/>
          <w:szCs w:val="18"/>
          <w:highlight w:val="none"/>
        </w:rPr>
      </w:pPr>
      <w:r>
        <w:rPr>
          <w:rFonts w:ascii="Times New Roman" w:hAnsi="Times New Roman" w:eastAsia="黑体" w:cs="Times New Roman"/>
          <w:b/>
          <w:bCs/>
          <w:color w:val="auto"/>
          <w:spacing w:val="-2"/>
          <w:sz w:val="18"/>
          <w:szCs w:val="18"/>
          <w:highlight w:val="none"/>
        </w:rPr>
        <w:t>作者简介：</w:t>
      </w:r>
      <w:r>
        <w:rPr>
          <w:rFonts w:hint="eastAsia" w:ascii="Times New Roman" w:hAnsi="Times New Roman" w:cs="Times New Roman"/>
          <w:color w:val="auto"/>
          <w:sz w:val="18"/>
          <w:szCs w:val="18"/>
          <w:highlight w:val="none"/>
        </w:rPr>
        <w:t>秦天玲</w:t>
      </w:r>
      <w:r>
        <w:rPr>
          <w:rFonts w:ascii="Times New Roman" w:hAnsi="Times New Roman" w:cs="Times New Roman"/>
          <w:color w:val="auto"/>
          <w:sz w:val="18"/>
          <w:szCs w:val="18"/>
          <w:highlight w:val="none"/>
        </w:rPr>
        <w:t>（</w:t>
      </w:r>
      <w:r>
        <w:rPr>
          <w:rFonts w:hint="eastAsia" w:ascii="Times New Roman" w:hAnsi="Times New Roman" w:cs="Times New Roman"/>
          <w:color w:val="auto"/>
          <w:spacing w:val="4"/>
          <w:sz w:val="18"/>
          <w:szCs w:val="18"/>
          <w:highlight w:val="none"/>
        </w:rPr>
        <w:t>1</w:t>
      </w:r>
      <w:r>
        <w:rPr>
          <w:rFonts w:ascii="Times New Roman" w:hAnsi="Times New Roman" w:cs="Times New Roman"/>
          <w:color w:val="auto"/>
          <w:spacing w:val="4"/>
          <w:sz w:val="18"/>
          <w:szCs w:val="18"/>
          <w:highlight w:val="none"/>
        </w:rPr>
        <w:t>986</w:t>
      </w:r>
      <w:r>
        <w:rPr>
          <w:rFonts w:ascii="Times New Roman" w:hAnsi="Times New Roman" w:cs="Times New Roman"/>
          <w:color w:val="auto"/>
          <w:sz w:val="18"/>
          <w:szCs w:val="18"/>
          <w:highlight w:val="none"/>
        </w:rPr>
        <w:t>—），</w:t>
      </w:r>
      <w:r>
        <w:rPr>
          <w:rFonts w:hint="eastAsia" w:ascii="Times New Roman" w:hAnsi="Times New Roman" w:cs="Times New Roman"/>
          <w:color w:val="auto"/>
          <w:spacing w:val="4"/>
          <w:sz w:val="18"/>
          <w:szCs w:val="18"/>
          <w:highlight w:val="none"/>
        </w:rPr>
        <w:t>女</w:t>
      </w:r>
      <w:r>
        <w:rPr>
          <w:rFonts w:ascii="Times New Roman" w:hAnsi="Times New Roman" w:cs="Times New Roman"/>
          <w:color w:val="auto"/>
          <w:spacing w:val="4"/>
          <w:sz w:val="18"/>
          <w:szCs w:val="18"/>
          <w:highlight w:val="none"/>
        </w:rPr>
        <w:t>，</w:t>
      </w:r>
      <w:r>
        <w:rPr>
          <w:rFonts w:hint="eastAsia" w:ascii="Times New Roman" w:hAnsi="Times New Roman" w:cs="Times New Roman"/>
          <w:color w:val="auto"/>
          <w:spacing w:val="4"/>
          <w:sz w:val="18"/>
          <w:szCs w:val="18"/>
          <w:highlight w:val="none"/>
        </w:rPr>
        <w:t>正高级工程师</w:t>
      </w:r>
      <w:r>
        <w:rPr>
          <w:rFonts w:ascii="Times New Roman" w:hAnsi="Times New Roman" w:cs="Times New Roman"/>
          <w:color w:val="auto"/>
          <w:spacing w:val="4"/>
          <w:sz w:val="18"/>
          <w:szCs w:val="18"/>
          <w:highlight w:val="none"/>
        </w:rPr>
        <w:t>，</w:t>
      </w:r>
      <w:r>
        <w:rPr>
          <w:rFonts w:hint="eastAsia" w:ascii="Times New Roman" w:hAnsi="Times New Roman" w:cs="Times New Roman"/>
          <w:color w:val="auto"/>
          <w:spacing w:val="4"/>
          <w:sz w:val="18"/>
          <w:szCs w:val="18"/>
          <w:highlight w:val="none"/>
        </w:rPr>
        <w:t>博士</w:t>
      </w:r>
      <w:r>
        <w:rPr>
          <w:rFonts w:ascii="Times New Roman" w:hAnsi="Times New Roman" w:cs="Times New Roman"/>
          <w:color w:val="auto"/>
          <w:spacing w:val="4"/>
          <w:sz w:val="18"/>
          <w:szCs w:val="18"/>
          <w:highlight w:val="none"/>
        </w:rPr>
        <w:t>，主要从事</w:t>
      </w:r>
      <w:r>
        <w:rPr>
          <w:rFonts w:hint="eastAsia" w:ascii="Times New Roman" w:hAnsi="Times New Roman" w:cs="Times New Roman"/>
          <w:color w:val="auto"/>
          <w:spacing w:val="4"/>
          <w:sz w:val="18"/>
          <w:szCs w:val="18"/>
          <w:highlight w:val="none"/>
        </w:rPr>
        <w:t>气候变化与水文水资源</w:t>
      </w:r>
      <w:r>
        <w:rPr>
          <w:rFonts w:ascii="Times New Roman" w:hAnsi="Times New Roman" w:cs="Times New Roman"/>
          <w:color w:val="auto"/>
          <w:spacing w:val="4"/>
          <w:sz w:val="18"/>
          <w:szCs w:val="18"/>
          <w:highlight w:val="none"/>
        </w:rPr>
        <w:t>研究。E-mail：qintl@iwhr.com</w:t>
      </w:r>
    </w:p>
    <w:p w14:paraId="31D990DC">
      <w:pPr>
        <w:rPr>
          <w:rFonts w:ascii="Times New Roman" w:hAnsi="Times New Roman" w:cs="Times New Roman"/>
          <w:color w:val="auto"/>
          <w:spacing w:val="4"/>
          <w:sz w:val="18"/>
          <w:szCs w:val="18"/>
          <w:highlight w:val="none"/>
        </w:rPr>
      </w:pPr>
      <w:r>
        <w:rPr>
          <w:rFonts w:ascii="Times New Roman" w:hAnsi="Times New Roman" w:eastAsia="黑体" w:cs="Times New Roman"/>
          <w:b/>
          <w:bCs/>
          <w:color w:val="auto"/>
          <w:spacing w:val="-2"/>
          <w:sz w:val="18"/>
          <w:szCs w:val="18"/>
          <w:highlight w:val="none"/>
        </w:rPr>
        <w:t>通信作者：</w:t>
      </w:r>
      <w:r>
        <w:rPr>
          <w:rFonts w:hint="eastAsia" w:ascii="Times New Roman" w:hAnsi="Times New Roman" w:cs="Times New Roman"/>
          <w:color w:val="auto"/>
          <w:sz w:val="18"/>
          <w:szCs w:val="18"/>
          <w:highlight w:val="none"/>
        </w:rPr>
        <w:t>高昊悦</w:t>
      </w:r>
      <w:r>
        <w:rPr>
          <w:rFonts w:ascii="Times New Roman" w:hAnsi="Times New Roman" w:cs="Times New Roman"/>
          <w:color w:val="auto"/>
          <w:spacing w:val="4"/>
          <w:sz w:val="18"/>
          <w:szCs w:val="18"/>
          <w:highlight w:val="none"/>
        </w:rPr>
        <w:t>（</w:t>
      </w:r>
      <w:r>
        <w:rPr>
          <w:rFonts w:hint="eastAsia" w:ascii="Times New Roman" w:hAnsi="Times New Roman" w:cs="Times New Roman"/>
          <w:color w:val="auto"/>
          <w:spacing w:val="4"/>
          <w:sz w:val="18"/>
          <w:szCs w:val="18"/>
          <w:highlight w:val="none"/>
        </w:rPr>
        <w:t>1</w:t>
      </w:r>
      <w:r>
        <w:rPr>
          <w:rFonts w:ascii="Times New Roman" w:hAnsi="Times New Roman" w:cs="Times New Roman"/>
          <w:color w:val="auto"/>
          <w:spacing w:val="4"/>
          <w:sz w:val="18"/>
          <w:szCs w:val="18"/>
          <w:highlight w:val="none"/>
        </w:rPr>
        <w:t>999—），</w:t>
      </w:r>
      <w:r>
        <w:rPr>
          <w:rFonts w:hint="eastAsia" w:ascii="Times New Roman" w:hAnsi="Times New Roman" w:cs="Times New Roman"/>
          <w:color w:val="auto"/>
          <w:spacing w:val="4"/>
          <w:sz w:val="18"/>
          <w:szCs w:val="18"/>
          <w:highlight w:val="none"/>
        </w:rPr>
        <w:t>女</w:t>
      </w:r>
      <w:r>
        <w:rPr>
          <w:rFonts w:ascii="Times New Roman" w:hAnsi="Times New Roman" w:cs="Times New Roman"/>
          <w:color w:val="auto"/>
          <w:spacing w:val="4"/>
          <w:sz w:val="18"/>
          <w:szCs w:val="18"/>
          <w:highlight w:val="none"/>
        </w:rPr>
        <w:t>，博士研究生，主要从事</w:t>
      </w:r>
      <w:r>
        <w:rPr>
          <w:rFonts w:hint="eastAsia" w:ascii="Times New Roman" w:hAnsi="Times New Roman" w:cs="Times New Roman"/>
          <w:color w:val="auto"/>
          <w:spacing w:val="4"/>
          <w:sz w:val="18"/>
          <w:szCs w:val="18"/>
          <w:highlight w:val="none"/>
        </w:rPr>
        <w:t>气候变化与水文水资源</w:t>
      </w:r>
      <w:r>
        <w:rPr>
          <w:rFonts w:ascii="Times New Roman" w:hAnsi="Times New Roman" w:cs="Times New Roman"/>
          <w:color w:val="auto"/>
          <w:spacing w:val="4"/>
          <w:sz w:val="18"/>
          <w:szCs w:val="18"/>
          <w:highlight w:val="none"/>
        </w:rPr>
        <w:t>研究。E-mail：</w:t>
      </w:r>
      <w:r>
        <w:rPr>
          <w:rFonts w:hint="eastAsia" w:ascii="Times New Roman" w:hAnsi="Times New Roman" w:cs="Times New Roman"/>
          <w:color w:val="auto"/>
          <w:spacing w:val="4"/>
          <w:sz w:val="18"/>
          <w:szCs w:val="18"/>
          <w:highlight w:val="none"/>
        </w:rPr>
        <w:t>g</w:t>
      </w:r>
      <w:r>
        <w:rPr>
          <w:rFonts w:ascii="Times New Roman" w:hAnsi="Times New Roman" w:cs="Times New Roman"/>
          <w:color w:val="auto"/>
          <w:spacing w:val="4"/>
          <w:sz w:val="18"/>
          <w:szCs w:val="18"/>
          <w:highlight w:val="none"/>
        </w:rPr>
        <w:t>18132301924@163.</w:t>
      </w:r>
      <w:r>
        <w:rPr>
          <w:rFonts w:hint="eastAsia" w:ascii="Times New Roman" w:hAnsi="Times New Roman" w:cs="Times New Roman"/>
          <w:color w:val="auto"/>
          <w:spacing w:val="4"/>
          <w:sz w:val="18"/>
          <w:szCs w:val="18"/>
          <w:highlight w:val="none"/>
        </w:rPr>
        <w:t>com</w:t>
      </w:r>
    </w:p>
    <w:p w14:paraId="114F2FDD">
      <w:pPr>
        <w:pStyle w:val="7"/>
        <w:rPr>
          <w:rFonts w:ascii="Times New Roman" w:hAnsi="Times New Roman" w:cs="Times New Roman"/>
          <w:color w:val="auto"/>
          <w:highlight w:val="none"/>
        </w:rPr>
      </w:pPr>
    </w:p>
    <w:p w14:paraId="763D27F6">
      <w:pPr>
        <w:pStyle w:val="7"/>
        <w:rPr>
          <w:rFonts w:ascii="Times New Roman" w:hAnsi="Times New Roman" w:cs="Times New Roman"/>
          <w:color w:val="auto"/>
          <w:highlight w:val="none"/>
        </w:rPr>
      </w:pPr>
    </w:p>
    <w:p w14:paraId="25EBDEC5">
      <w:pPr>
        <w:pStyle w:val="2"/>
        <w:spacing w:before="0" w:after="0" w:line="240" w:lineRule="auto"/>
        <w:rPr>
          <w:rFonts w:ascii="Times New Roman" w:hAnsi="Times New Roman" w:cs="Times New Roman"/>
          <w:color w:val="auto"/>
          <w:highlight w:val="none"/>
        </w:rPr>
      </w:pPr>
      <w:r>
        <w:rPr>
          <w:rFonts w:ascii="Times New Roman" w:hAnsi="Times New Roman" w:cs="Times New Roman"/>
          <w:color w:val="auto"/>
          <w:highlight w:val="none"/>
        </w:rPr>
        <w:t>0 引  言</w:t>
      </w:r>
    </w:p>
    <w:p w14:paraId="13F64CB9">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水循环过程受全球气候变化影响正在深刻重塑</w:t>
      </w:r>
      <w:r>
        <w:rPr>
          <w:rFonts w:ascii="Times New Roman" w:hAnsi="Times New Roman" w:cs="Times New Roman"/>
          <w:color w:val="auto"/>
          <w:highlight w:val="none"/>
          <w:vertAlign w:val="superscript"/>
        </w:rPr>
        <w:t>[1-</w:t>
      </w:r>
      <w:r>
        <w:rPr>
          <w:rFonts w:hint="eastAsia" w:ascii="Times New Roman" w:hAnsi="Times New Roman" w:cs="Times New Roman"/>
          <w:color w:val="auto"/>
          <w:highlight w:val="none"/>
          <w:vertAlign w:val="superscript"/>
        </w:rPr>
        <w:t>2</w:t>
      </w:r>
      <w:r>
        <w:rPr>
          <w:rFonts w:ascii="Times New Roman" w:hAnsi="Times New Roman" w:cs="Times New Roman"/>
          <w:color w:val="auto"/>
          <w:highlight w:val="none"/>
          <w:vertAlign w:val="superscript"/>
        </w:rPr>
        <w:t>]</w:t>
      </w:r>
      <w:r>
        <w:rPr>
          <w:rFonts w:hint="eastAsia" w:ascii="Times New Roman" w:hAnsi="Times New Roman" w:cs="Times New Roman"/>
          <w:color w:val="auto"/>
          <w:highlight w:val="none"/>
        </w:rPr>
        <w:t>，且耦合人类活动引发的水旱灾害正在经历“频现、广域、并发、强剧、链式”等新特征</w:t>
      </w:r>
      <w:r>
        <w:rPr>
          <w:rFonts w:ascii="Times New Roman" w:hAnsi="Times New Roman" w:cs="Times New Roman"/>
          <w:color w:val="auto"/>
          <w:highlight w:val="none"/>
          <w:vertAlign w:val="superscript"/>
        </w:rPr>
        <w:t>[3-5]</w:t>
      </w:r>
      <w:r>
        <w:rPr>
          <w:rFonts w:hint="eastAsia" w:ascii="Times New Roman" w:hAnsi="Times New Roman" w:cs="Times New Roman"/>
          <w:color w:val="auto"/>
          <w:highlight w:val="none"/>
        </w:rPr>
        <w:t>。</w:t>
      </w:r>
      <w:bookmarkStart w:id="4" w:name="_Hlk218777526"/>
      <w:r>
        <w:rPr>
          <w:rFonts w:hint="eastAsia" w:ascii="Times New Roman" w:hAnsi="Times New Roman" w:cs="Times New Roman"/>
          <w:color w:val="auto"/>
          <w:highlight w:val="none"/>
        </w:rPr>
        <w:t>据紧急事件数据库（the Emergency Events Database，EM-DAT）统计，在全球洪灾发生频率及其经济损失持续攀升的背景下，近2</w:t>
      </w:r>
      <w:r>
        <w:rPr>
          <w:rFonts w:ascii="Times New Roman" w:hAnsi="Times New Roman" w:cs="Times New Roman"/>
          <w:color w:val="auto"/>
          <w:highlight w:val="none"/>
        </w:rPr>
        <w:t>0</w:t>
      </w:r>
      <w:r>
        <w:rPr>
          <w:rFonts w:hint="eastAsia" w:ascii="Times New Roman" w:hAnsi="Times New Roman" w:cs="Times New Roman"/>
          <w:color w:val="auto"/>
          <w:highlight w:val="none"/>
        </w:rPr>
        <w:t>a洪灾的发生次数较前2</w:t>
      </w:r>
      <w:r>
        <w:rPr>
          <w:rFonts w:ascii="Times New Roman" w:hAnsi="Times New Roman" w:cs="Times New Roman"/>
          <w:color w:val="auto"/>
          <w:highlight w:val="none"/>
        </w:rPr>
        <w:t>0</w:t>
      </w:r>
      <w:r>
        <w:rPr>
          <w:rFonts w:hint="eastAsia" w:ascii="Times New Roman" w:hAnsi="Times New Roman" w:cs="Times New Roman"/>
          <w:color w:val="auto"/>
          <w:highlight w:val="none"/>
        </w:rPr>
        <w:t>年翻倍；</w:t>
      </w:r>
      <w:r>
        <w:rPr>
          <w:rFonts w:hint="eastAsia" w:ascii="Times New Roman" w:hAnsi="Times New Roman" w:cs="Times New Roman"/>
          <w:color w:val="auto"/>
          <w:highlight w:val="none"/>
        </w:rPr>
        <w:t>IPCC</w:t>
      </w:r>
      <w:r>
        <w:rPr>
          <w:rFonts w:hint="eastAsia" w:ascii="Times New Roman" w:hAnsi="Times New Roman" w:cs="Times New Roman"/>
          <w:color w:val="auto"/>
          <w:highlight w:val="none"/>
        </w:rPr>
        <w:t>报告亦指出，全球干旱影响同样严峻，其影响面积平均每10年扩大约1.7%</w:t>
      </w:r>
      <w:r>
        <w:rPr>
          <w:rFonts w:ascii="Times New Roman" w:hAnsi="Times New Roman" w:cs="Times New Roman"/>
          <w:color w:val="auto"/>
          <w:highlight w:val="none"/>
          <w:vertAlign w:val="superscript"/>
        </w:rPr>
        <w:t>[6]</w:t>
      </w:r>
      <w:r>
        <w:rPr>
          <w:rFonts w:hint="eastAsia" w:ascii="Times New Roman" w:hAnsi="Times New Roman" w:cs="Times New Roman"/>
          <w:color w:val="auto"/>
          <w:highlight w:val="none"/>
        </w:rPr>
        <w:t>。我国水旱灾害形势不容乐观，2000—2023年《中国水旱灾害公报》数据显示，洪涝直接经济损失总体呈上升趋势，突破历史极值与警戒水位的洪水事件频发、影响范围广；干旱则呈现阶段性、区域性新特征，连旱、骤旱事件影响突出，</w:t>
      </w:r>
      <w:bookmarkStart w:id="5" w:name="_Hlk218777492"/>
      <w:r>
        <w:rPr>
          <w:rFonts w:hint="eastAsia" w:ascii="Times New Roman" w:hAnsi="Times New Roman" w:cs="Times New Roman"/>
          <w:color w:val="auto"/>
          <w:highlight w:val="none"/>
        </w:rPr>
        <w:t>旱涝急转等复合型灾害日趋严重</w:t>
      </w:r>
      <w:bookmarkEnd w:id="5"/>
      <w:r>
        <w:rPr>
          <w:rFonts w:hint="eastAsia" w:ascii="Times New Roman" w:hAnsi="Times New Roman" w:cs="Times New Roman"/>
          <w:color w:val="auto"/>
          <w:highlight w:val="none"/>
        </w:rPr>
        <w:t>。我国已成为全球水旱灾害发生最频繁、水安全挑战最严峻的国家之一，日益加剧的水旱灾害风险及其连锁效应，已对区域可持续发展构成重大威胁</w:t>
      </w:r>
      <w:bookmarkEnd w:id="4"/>
      <w:r>
        <w:rPr>
          <w:rFonts w:ascii="Times New Roman" w:hAnsi="Times New Roman" w:cs="Times New Roman"/>
          <w:color w:val="auto"/>
          <w:highlight w:val="none"/>
          <w:vertAlign w:val="superscript"/>
        </w:rPr>
        <w:t>[7-8]</w:t>
      </w:r>
      <w:r>
        <w:rPr>
          <w:rFonts w:hint="eastAsia" w:ascii="Times New Roman" w:hAnsi="Times New Roman" w:cs="Times New Roman"/>
          <w:color w:val="auto"/>
          <w:highlight w:val="none"/>
        </w:rPr>
        <w:t>。</w:t>
      </w:r>
    </w:p>
    <w:p w14:paraId="173B79EC">
      <w:pPr>
        <w:ind w:firstLine="420" w:firstLineChars="200"/>
        <w:rPr>
          <w:rFonts w:ascii="Times New Roman" w:hAnsi="Times New Roman" w:cs="Times New Roman"/>
          <w:color w:val="auto"/>
          <w:highlight w:val="none"/>
        </w:rPr>
      </w:pPr>
      <w:bookmarkStart w:id="6" w:name="_Hlk219908565"/>
      <w:bookmarkStart w:id="7" w:name="_Hlk220162934"/>
      <w:bookmarkStart w:id="8" w:name="OLE_LINK36"/>
      <w:r>
        <w:rPr>
          <w:rFonts w:hint="eastAsia" w:ascii="Times New Roman" w:hAnsi="Times New Roman" w:cs="Times New Roman"/>
          <w:color w:val="auto"/>
          <w:highlight w:val="none"/>
        </w:rPr>
        <w:t>面对这一考验，国内外研究学者迅速发展水科学及相关领域的研究，并涌现出大量创新性成果。</w:t>
      </w:r>
      <w:bookmarkStart w:id="9" w:name="OLE_LINK35"/>
      <w:bookmarkStart w:id="10" w:name="OLE_LINK28"/>
      <w:r>
        <w:rPr>
          <w:rFonts w:hint="eastAsia" w:ascii="Times New Roman" w:hAnsi="Times New Roman" w:cs="Times New Roman"/>
          <w:color w:val="auto"/>
          <w:highlight w:val="none"/>
        </w:rPr>
        <w:t>本文聚焦于以水分盈亏为核心致灾因子的旱、涝及其急转事件，将“以水分盈亏为核心”界定为灾害事件的发生、发展及主要直接致灾过程，能够由降水、径流、土壤水等关键水文变量的异常得到独立解释与量化表征（量化依据主要参考国内外广泛应用的标准化指数阈值进行事件界定。如，标准化降水指数（</w:t>
      </w:r>
      <w:r>
        <w:rPr>
          <w:rFonts w:ascii="Times New Roman" w:hAnsi="Times New Roman" w:cs="Times New Roman"/>
          <w:i/>
          <w:iCs/>
          <w:color w:val="auto"/>
          <w:highlight w:val="none"/>
        </w:rPr>
        <w:t>SPI</w:t>
      </w:r>
      <w:r>
        <w:rPr>
          <w:rFonts w:hint="eastAsia" w:ascii="Times New Roman" w:hAnsi="Times New Roman" w:cs="Times New Roman"/>
          <w:color w:val="auto"/>
          <w:highlight w:val="none"/>
        </w:rPr>
        <w:t>）通常在（</w:t>
      </w:r>
      <w:r>
        <w:rPr>
          <w:rFonts w:ascii="Times New Roman" w:hAnsi="Times New Roman" w:cs="Times New Roman"/>
          <w:color w:val="auto"/>
          <w:highlight w:val="none"/>
        </w:rPr>
        <w:t>-1.0, -0.5]</w:t>
      </w:r>
      <w:r>
        <w:rPr>
          <w:rFonts w:hint="eastAsia" w:ascii="Times New Roman" w:hAnsi="Times New Roman" w:cs="Times New Roman"/>
          <w:color w:val="auto"/>
          <w:highlight w:val="none"/>
        </w:rPr>
        <w:t>、（</w:t>
      </w:r>
      <w:r>
        <w:rPr>
          <w:rFonts w:ascii="Times New Roman" w:hAnsi="Times New Roman" w:cs="Times New Roman"/>
          <w:color w:val="auto"/>
          <w:highlight w:val="none"/>
        </w:rPr>
        <w:t>-1.5, -1.0]</w:t>
      </w:r>
      <w:r>
        <w:rPr>
          <w:rFonts w:hint="eastAsia" w:ascii="Times New Roman" w:hAnsi="Times New Roman" w:cs="Times New Roman"/>
          <w:color w:val="auto"/>
          <w:highlight w:val="none"/>
        </w:rPr>
        <w:t>、（</w:t>
      </w:r>
      <w:r>
        <w:rPr>
          <w:rFonts w:ascii="Times New Roman" w:hAnsi="Times New Roman" w:cs="Times New Roman"/>
          <w:color w:val="auto"/>
          <w:highlight w:val="none"/>
        </w:rPr>
        <w:t>-2.0, -1.5]</w:t>
      </w:r>
      <w:r>
        <w:rPr>
          <w:rFonts w:hint="eastAsia" w:ascii="Times New Roman" w:hAnsi="Times New Roman" w:cs="Times New Roman"/>
          <w:color w:val="auto"/>
          <w:highlight w:val="none"/>
        </w:rPr>
        <w:t>和（</w:t>
      </w:r>
      <w:r>
        <w:rPr>
          <w:rFonts w:ascii="Times New Roman" w:hAnsi="Times New Roman" w:cs="Times New Roman"/>
          <w:color w:val="auto"/>
          <w:highlight w:val="none"/>
        </w:rPr>
        <w:t>-</w:t>
      </w:r>
      <w:r>
        <w:rPr>
          <w:rFonts w:hint="eastAsia" w:ascii="Times New Roman" w:hAnsi="Times New Roman" w:cs="Times New Roman"/>
          <w:color w:val="auto"/>
          <w:highlight w:val="none"/>
        </w:rPr>
        <w:t>∞,</w:t>
      </w:r>
      <w:r>
        <w:rPr>
          <w:rFonts w:ascii="Times New Roman" w:hAnsi="Times New Roman" w:cs="Times New Roman"/>
          <w:color w:val="auto"/>
          <w:highlight w:val="none"/>
        </w:rPr>
        <w:t xml:space="preserve"> -2.0]</w:t>
      </w:r>
      <w:r>
        <w:rPr>
          <w:rFonts w:hint="eastAsia" w:ascii="Times New Roman" w:hAnsi="Times New Roman" w:cs="Times New Roman"/>
          <w:color w:val="auto"/>
          <w:highlight w:val="none"/>
        </w:rPr>
        <w:t>分别界定轻度、中度、重度和极度干旱；标准化径流指数（</w:t>
      </w:r>
      <w:r>
        <w:rPr>
          <w:rFonts w:hint="eastAsia" w:ascii="Times New Roman" w:hAnsi="Times New Roman" w:cs="Times New Roman"/>
          <w:i/>
          <w:iCs/>
          <w:color w:val="auto"/>
          <w:highlight w:val="none"/>
        </w:rPr>
        <w:t>SRI</w:t>
      </w:r>
      <w:r>
        <w:rPr>
          <w:rFonts w:hint="eastAsia" w:ascii="Times New Roman" w:hAnsi="Times New Roman" w:cs="Times New Roman"/>
          <w:color w:val="auto"/>
          <w:highlight w:val="none"/>
        </w:rPr>
        <w:t>）通常在[</w:t>
      </w:r>
      <w:r>
        <w:rPr>
          <w:rFonts w:ascii="Times New Roman" w:hAnsi="Times New Roman" w:cs="Times New Roman"/>
          <w:color w:val="auto"/>
          <w:highlight w:val="none"/>
        </w:rPr>
        <w:t>0.5, 1.0</w:t>
      </w:r>
      <w:r>
        <w:rPr>
          <w:rFonts w:hint="eastAsia" w:ascii="Times New Roman" w:hAnsi="Times New Roman" w:cs="Times New Roman"/>
          <w:color w:val="auto"/>
          <w:highlight w:val="none"/>
        </w:rPr>
        <w:t>）、[</w:t>
      </w:r>
      <w:r>
        <w:rPr>
          <w:rFonts w:ascii="Times New Roman" w:hAnsi="Times New Roman" w:cs="Times New Roman"/>
          <w:color w:val="auto"/>
          <w:highlight w:val="none"/>
        </w:rPr>
        <w:t>1.0, 1.5</w:t>
      </w:r>
      <w:r>
        <w:rPr>
          <w:rFonts w:hint="eastAsia" w:ascii="Times New Roman" w:hAnsi="Times New Roman" w:cs="Times New Roman"/>
          <w:color w:val="auto"/>
          <w:highlight w:val="none"/>
        </w:rPr>
        <w:t>）、[</w:t>
      </w:r>
      <w:r>
        <w:rPr>
          <w:rFonts w:ascii="Times New Roman" w:hAnsi="Times New Roman" w:cs="Times New Roman"/>
          <w:color w:val="auto"/>
          <w:highlight w:val="none"/>
        </w:rPr>
        <w:t>1.5, 2.0</w:t>
      </w:r>
      <w:r>
        <w:rPr>
          <w:rFonts w:hint="eastAsia" w:ascii="Times New Roman" w:hAnsi="Times New Roman" w:cs="Times New Roman"/>
          <w:color w:val="auto"/>
          <w:highlight w:val="none"/>
        </w:rPr>
        <w:t>）、[</w:t>
      </w:r>
      <w:r>
        <w:rPr>
          <w:rFonts w:ascii="Times New Roman" w:hAnsi="Times New Roman" w:cs="Times New Roman"/>
          <w:color w:val="auto"/>
          <w:highlight w:val="none"/>
        </w:rPr>
        <w:t>2.0, +</w:t>
      </w:r>
      <w:r>
        <w:rPr>
          <w:rFonts w:hint="eastAsia" w:ascii="Times New Roman" w:hAnsi="Times New Roman" w:cs="Times New Roman"/>
          <w:color w:val="auto"/>
          <w:highlight w:val="none"/>
        </w:rPr>
        <w:t>∞）分别界定轻度、中度、重度和极度洪涝），对于水分盈亏与其他物理过程（如高温、地质活动）强耦合的复杂灾害链（如“干旱-高温”、“洪涝-地质灾害”），其完整机理与风险评估虽至关重要，但由于主导驱动因子和初始成灾过程已超出上述单独水文变量的范畴，故已超出本综述以水文循环过程为主线的研究框架。因此，本文在系统综述水分盈亏单一主线上的致灾机理、演变规律及风险模拟时，会对与之密切相关的复合效应如高温对干旱的加剧作用予以关联性探讨，而不将这类多圈层强耦合的灾害链作为独立的灾害类型进行系统综述。</w:t>
      </w:r>
      <w:bookmarkEnd w:id="6"/>
    </w:p>
    <w:bookmarkEnd w:id="7"/>
    <w:p w14:paraId="2A32A286">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本文数据来源于文献覆盖面广、使用率较高的中国知网数据库与Web of Science（WOS）核心合集数据库，研究将中英文文献检索时间分别设定为1</w:t>
      </w:r>
      <w:r>
        <w:rPr>
          <w:rFonts w:ascii="Times New Roman" w:hAnsi="Times New Roman" w:cs="Times New Roman"/>
          <w:color w:val="auto"/>
          <w:highlight w:val="none"/>
        </w:rPr>
        <w:t>992</w:t>
      </w:r>
      <w:r>
        <w:rPr>
          <w:rFonts w:hint="eastAsia" w:ascii="Times New Roman" w:hAnsi="Times New Roman" w:cs="Times New Roman"/>
          <w:color w:val="auto"/>
          <w:highlight w:val="none"/>
        </w:rPr>
        <w:t>—</w:t>
      </w:r>
      <w:r>
        <w:rPr>
          <w:rFonts w:ascii="Times New Roman" w:hAnsi="Times New Roman" w:cs="Times New Roman"/>
          <w:color w:val="auto"/>
          <w:highlight w:val="none"/>
        </w:rPr>
        <w:t>2024</w:t>
      </w:r>
      <w:r>
        <w:rPr>
          <w:rFonts w:hint="eastAsia" w:ascii="Times New Roman" w:hAnsi="Times New Roman" w:cs="Times New Roman"/>
          <w:color w:val="auto"/>
          <w:highlight w:val="none"/>
        </w:rPr>
        <w:t>年和1</w:t>
      </w:r>
      <w:r>
        <w:rPr>
          <w:rFonts w:ascii="Times New Roman" w:hAnsi="Times New Roman" w:cs="Times New Roman"/>
          <w:color w:val="auto"/>
          <w:highlight w:val="none"/>
        </w:rPr>
        <w:t>996</w:t>
      </w:r>
      <w:r>
        <w:rPr>
          <w:rFonts w:hint="eastAsia" w:ascii="Times New Roman" w:hAnsi="Times New Roman" w:cs="Times New Roman"/>
          <w:color w:val="auto"/>
          <w:highlight w:val="none"/>
        </w:rPr>
        <w:t>—</w:t>
      </w:r>
      <w:r>
        <w:rPr>
          <w:rFonts w:ascii="Times New Roman" w:hAnsi="Times New Roman" w:cs="Times New Roman"/>
          <w:color w:val="auto"/>
          <w:highlight w:val="none"/>
        </w:rPr>
        <w:t>2024</w:t>
      </w:r>
      <w:r>
        <w:rPr>
          <w:rFonts w:hint="eastAsia" w:ascii="Times New Roman" w:hAnsi="Times New Roman" w:cs="Times New Roman"/>
          <w:color w:val="auto"/>
          <w:highlight w:val="none"/>
        </w:rPr>
        <w:t>年，在WOS中，采用主题检索式：TS=((drought* OR flood*) AND disaster*)；在CNKI中，采用相应的主题检索式。初步检索获得相关文献近2万篇。</w:t>
      </w:r>
      <w:r>
        <w:rPr>
          <w:rFonts w:hint="eastAsia"/>
          <w:color w:val="auto"/>
          <w:highlight w:val="none"/>
        </w:rPr>
        <w:t>经过阅览题目、摘要、关键词等信息，剔除会议综述、新闻报道、政策法规等，得到</w:t>
      </w:r>
      <w:r>
        <w:rPr>
          <w:rFonts w:ascii="Times New Roman" w:hAnsi="Times New Roman" w:cs="Times New Roman"/>
          <w:color w:val="auto"/>
          <w:highlight w:val="none"/>
        </w:rPr>
        <w:t>7356</w:t>
      </w:r>
      <w:r>
        <w:rPr>
          <w:rFonts w:hint="eastAsia" w:ascii="Times New Roman" w:hAnsi="Times New Roman" w:cs="Times New Roman"/>
          <w:color w:val="auto"/>
          <w:highlight w:val="none"/>
        </w:rPr>
        <w:t>篇英文文献和</w:t>
      </w:r>
      <w:r>
        <w:rPr>
          <w:rFonts w:ascii="Times New Roman" w:hAnsi="Times New Roman" w:cs="Times New Roman"/>
          <w:color w:val="auto"/>
          <w:highlight w:val="none"/>
        </w:rPr>
        <w:t>2683</w:t>
      </w:r>
      <w:r>
        <w:rPr>
          <w:rFonts w:hint="eastAsia" w:ascii="Times New Roman" w:hAnsi="Times New Roman" w:cs="Times New Roman"/>
          <w:color w:val="auto"/>
          <w:highlight w:val="none"/>
        </w:rPr>
        <w:t>篇中文文献。最后，依据本文界定的研究范围，通过全文浏览，人工筛查并剔除了主要研究内容与水旱灾害风险不符的文献，最终确定了用于本综述系统分析的文献基础。</w:t>
      </w:r>
      <w:bookmarkEnd w:id="8"/>
      <w:bookmarkEnd w:id="9"/>
      <w:r>
        <w:rPr>
          <w:rFonts w:hint="eastAsia" w:ascii="Times New Roman" w:hAnsi="Times New Roman" w:cs="Times New Roman"/>
          <w:color w:val="auto"/>
          <w:highlight w:val="none"/>
        </w:rPr>
        <w:t>如图1所示，自20世纪90年代以来，国内外对水旱灾害事件的关注日益增强，特别是2010年开始，对水旱灾害事件的相关科学研究激增。</w:t>
      </w:r>
      <w:bookmarkStart w:id="11" w:name="_Hlk218537109"/>
      <w:r>
        <w:rPr>
          <w:rFonts w:hint="eastAsia" w:ascii="Times New Roman" w:hAnsi="Times New Roman" w:cs="Times New Roman"/>
          <w:color w:val="auto"/>
          <w:highlight w:val="none"/>
        </w:rPr>
        <w:t>因此，本文依据水旱灾害风险管理的核心逻辑与业务流程，将海量多样的文献归纳、整合为四个环环相扣的关键研究环节进行综述：成因机理与驱动机制、演变规律识别、风险评估与预测预警、综合防控与韧性提升。这一分类框架旨在系统覆盖从致灾因子形成、灾害事件动态识别、风险量化预估到最终风险管控的完整链条。下文将依此脉络，对各环节的研究进展、关键方法与核心观点进行系统述评。</w:t>
      </w:r>
      <w:bookmarkEnd w:id="10"/>
      <w:bookmarkEnd w:id="11"/>
    </w:p>
    <w:p w14:paraId="27682E7F">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在成因机理方面，国际科学界已形成广泛共识，认为水旱灾害的发生是受气候变化加剧的自然变率与人类活动带来的下垫面条件改变经过多圈层多过程耦合驱动的，当前研究多数单一关注大气环流异常、海气耦合系统的影响，或强调陆面过程与人类活动的复合效应</w:t>
      </w:r>
      <w:r>
        <w:rPr>
          <w:rFonts w:ascii="Times New Roman" w:hAnsi="Times New Roman" w:cs="Times New Roman"/>
          <w:color w:val="auto"/>
          <w:highlight w:val="none"/>
          <w:vertAlign w:val="superscript"/>
        </w:rPr>
        <w:t>[9-11]</w:t>
      </w:r>
      <w:r>
        <w:rPr>
          <w:rFonts w:hint="eastAsia" w:ascii="Times New Roman" w:hAnsi="Times New Roman" w:cs="Times New Roman"/>
          <w:color w:val="auto"/>
          <w:highlight w:val="none"/>
        </w:rPr>
        <w:t>；在规律识别方面，国际研究前沿已从传统的考虑降水、径流等单指标统计转向植被、土壤等基于多源数据融合与智能算法的面向多敏感承灾目标的综合旱涝模拟评价方法，致力于揭示水旱事件时空演变的三维动态非线性特征与链式传播规律，且随着人工智能领域的发展，研究学者也在积极革新阈值判定方法与延伸对复杂水旱灾害演变特征规律的识别方法的探索，显著壮大了指标体系，提升了对水旱事件变化规律的刻画能力</w:t>
      </w:r>
      <w:r>
        <w:rPr>
          <w:rFonts w:ascii="Times New Roman" w:hAnsi="Times New Roman" w:cs="Times New Roman"/>
          <w:color w:val="auto"/>
          <w:highlight w:val="none"/>
          <w:vertAlign w:val="superscript"/>
        </w:rPr>
        <w:t>[12-16]</w:t>
      </w:r>
      <w:r>
        <w:rPr>
          <w:rFonts w:hint="eastAsia" w:ascii="Times New Roman" w:hAnsi="Times New Roman" w:cs="Times New Roman"/>
          <w:color w:val="auto"/>
          <w:highlight w:val="none"/>
        </w:rPr>
        <w:t>；在风险评估与预测预警方面，研究正从基于综合风险指标静态评估向模拟动态、综合预警模式发展，其核心是依托遥感技术、耦合模型、深度学习与机器学习等手段，借助智能算法驱动更高精度风险模拟与更加实时化的预警决策，共同推动未来气候变化下水旱灾害风险不确定性的量化预测研究</w:t>
      </w:r>
      <w:r>
        <w:rPr>
          <w:rFonts w:ascii="Times New Roman" w:hAnsi="Times New Roman" w:cs="Times New Roman"/>
          <w:color w:val="auto"/>
          <w:highlight w:val="none"/>
          <w:vertAlign w:val="superscript"/>
        </w:rPr>
        <w:t>[17-19]</w:t>
      </w:r>
      <w:r>
        <w:rPr>
          <w:rFonts w:hint="eastAsia" w:ascii="Times New Roman" w:hAnsi="Times New Roman" w:cs="Times New Roman"/>
          <w:color w:val="auto"/>
          <w:highlight w:val="none"/>
        </w:rPr>
        <w:t>；在综合防控方面，学界理念正从采取单一的工程或非工程措施防控迈向自然与工程协同韧性治理模式，传统以水库、堤防为主的工程体系虽在防汛抗旱中发挥着重要作用，但其带来的生态水文影响与气候适应的局限性也日益凸显，因此，研究学者强调将“自然调”与“工程控”相结合，共同推动洪涝与干旱灾害独立防控转向更加精细化的多尺度系统联合防控</w:t>
      </w:r>
      <w:r>
        <w:rPr>
          <w:rFonts w:ascii="Times New Roman" w:hAnsi="Times New Roman" w:cs="Times New Roman"/>
          <w:color w:val="auto"/>
          <w:highlight w:val="none"/>
          <w:vertAlign w:val="superscript"/>
        </w:rPr>
        <w:t>[20-23]</w:t>
      </w:r>
      <w:r>
        <w:rPr>
          <w:rFonts w:hint="eastAsia" w:ascii="Times New Roman" w:hAnsi="Times New Roman" w:cs="Times New Roman"/>
          <w:color w:val="auto"/>
          <w:highlight w:val="none"/>
        </w:rPr>
        <w:t>。</w:t>
      </w:r>
    </w:p>
    <w:p w14:paraId="486A7184">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上述各环节的研究已经取得了显著进展，然而，各过程的孤立研究带来的机理与防控脱节、评估与预警割裂、复杂灾种研究不足等瓶颈与矛盾不易避免。特别在是我国政府提出的“着力建设安全韧性现代水网”的目标下，亟需打破传统单环节研究壁垒，推动全链条协同发展研究，以实现灾害风险系统治理并提升流域韧性。因此，本文在系统整合成因机理、演变规律识别、风险评估与预测预警及综合防控等方面研究进展的基础上，总结现有研究不足，基于此，提出适应气候变化的水旱灾害风险综合防控与治理的未来发展路径，针对各研究环节凝练未来热点与挑战，旨在推动理论与实践的系统融合，支撑气候变化背景下的灾害风险防控。</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37"/>
        <w:gridCol w:w="4285"/>
      </w:tblGrid>
      <w:tr w14:paraId="324C4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694A588B">
            <w:pPr>
              <w:jc w:val="center"/>
              <w:rPr>
                <w:rFonts w:ascii="Times New Roman" w:hAnsi="Times New Roman" w:cs="Times New Roman" w:eastAsiaTheme="minorEastAsia"/>
                <w:color w:val="auto"/>
                <w:szCs w:val="21"/>
                <w:highlight w:val="none"/>
              </w:rPr>
            </w:pPr>
            <w:r>
              <w:rPr>
                <w:rFonts w:ascii="Times New Roman" w:hAnsi="Times New Roman" w:eastAsia="宋体" w:cs="Times New Roman"/>
                <w:color w:val="auto"/>
                <w:highlight w:val="none"/>
              </w:rPr>
              <w:pict>
                <v:shape id="_x0000_i1025" o:spt="75" type="#_x0000_t75" style="height:121.9pt;width:206pt;" filled="f" o:preferrelative="t" stroked="f" coordsize="21600,21600">
                  <v:path/>
                  <v:fill on="f" focussize="0,0"/>
                  <v:stroke on="f" joinstyle="miter"/>
                  <v:imagedata r:id="rId5" o:title="WOS"/>
                  <o:lock v:ext="edit" aspectratio="t"/>
                  <w10:wrap type="none"/>
                  <w10:anchorlock/>
                </v:shape>
              </w:pict>
            </w:r>
          </w:p>
        </w:tc>
        <w:tc>
          <w:tcPr>
            <w:tcW w:w="4276" w:type="dxa"/>
            <w:vAlign w:val="center"/>
          </w:tcPr>
          <w:p w14:paraId="6433CCFF">
            <w:pPr>
              <w:jc w:val="center"/>
              <w:rPr>
                <w:rFonts w:ascii="Times New Roman" w:hAnsi="Times New Roman" w:cs="Times New Roman" w:eastAsiaTheme="minorEastAsia"/>
                <w:color w:val="auto"/>
                <w:szCs w:val="21"/>
                <w:highlight w:val="none"/>
              </w:rPr>
            </w:pPr>
            <w:r>
              <w:rPr>
                <w:rFonts w:ascii="Times New Roman" w:hAnsi="Times New Roman" w:eastAsia="宋体" w:cs="Times New Roman"/>
                <w:color w:val="auto"/>
                <w:highlight w:val="none"/>
              </w:rPr>
              <w:pict>
                <v:shape id="_x0000_i1026" o:spt="75" type="#_x0000_t75" style="height:99.45pt;width:208.5pt;" filled="f" o:preferrelative="t" stroked="f" coordsize="21600,21600">
                  <v:path/>
                  <v:fill on="f" focussize="0,0"/>
                  <v:stroke on="f" joinstyle="miter"/>
                  <v:imagedata r:id="rId6" o:title="WOS发文量"/>
                  <o:lock v:ext="edit" aspectratio="t"/>
                  <w10:wrap type="none"/>
                  <w10:anchorlock/>
                </v:shape>
              </w:pict>
            </w:r>
          </w:p>
        </w:tc>
      </w:tr>
      <w:tr w14:paraId="185DC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324713FB">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（a）</w:t>
            </w:r>
            <w:r>
              <w:rPr>
                <w:rFonts w:hint="eastAsia" w:ascii="Times New Roman" w:hAnsi="Times New Roman" w:cs="Times New Roman" w:eastAsiaTheme="minorEastAsia"/>
                <w:color w:val="auto"/>
                <w:sz w:val="15"/>
                <w:szCs w:val="15"/>
                <w:highlight w:val="none"/>
              </w:rPr>
              <w:t>英文文献关键词共现网络</w:t>
            </w:r>
          </w:p>
        </w:tc>
        <w:tc>
          <w:tcPr>
            <w:tcW w:w="4276" w:type="dxa"/>
            <w:vAlign w:val="center"/>
          </w:tcPr>
          <w:p w14:paraId="6BD653E8">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（b）英文文献1996</w:t>
            </w:r>
            <w:r>
              <w:rPr>
                <w:rFonts w:hint="eastAsia" w:ascii="Times New Roman" w:hAnsi="Times New Roman" w:cs="Times New Roman" w:eastAsiaTheme="minorEastAsia"/>
                <w:color w:val="auto"/>
                <w:sz w:val="15"/>
                <w:szCs w:val="15"/>
                <w:highlight w:val="none"/>
              </w:rPr>
              <w:t>—</w:t>
            </w:r>
            <w:r>
              <w:rPr>
                <w:rFonts w:ascii="Times New Roman" w:hAnsi="Times New Roman" w:cs="Times New Roman" w:eastAsiaTheme="minorEastAsia"/>
                <w:color w:val="auto"/>
                <w:sz w:val="15"/>
                <w:szCs w:val="15"/>
                <w:highlight w:val="none"/>
              </w:rPr>
              <w:t>2024年发文量</w:t>
            </w:r>
          </w:p>
        </w:tc>
      </w:tr>
      <w:tr w14:paraId="2D605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61E6F66B">
            <w:pPr>
              <w:jc w:val="center"/>
              <w:rPr>
                <w:rFonts w:ascii="Times New Roman" w:hAnsi="Times New Roman" w:cs="Times New Roman" w:eastAsiaTheme="minorEastAsia"/>
                <w:color w:val="auto"/>
                <w:sz w:val="15"/>
                <w:szCs w:val="15"/>
                <w:highlight w:val="none"/>
              </w:rPr>
            </w:pPr>
            <w:r>
              <w:rPr>
                <w:rFonts w:ascii="Times New Roman" w:hAnsi="Times New Roman" w:eastAsia="宋体" w:cs="Times New Roman"/>
                <w:color w:val="auto"/>
                <w:highlight w:val="none"/>
              </w:rPr>
              <w:pict>
                <v:shape id="_x0000_i1027" o:spt="75" type="#_x0000_t75" style="height:120.85pt;width:206pt;" filled="f" o:preferrelative="t" stroked="f" coordsize="21600,21600">
                  <v:path/>
                  <v:fill on="f" focussize="0,0"/>
                  <v:stroke on="f" joinstyle="miter"/>
                  <v:imagedata r:id="rId7" o:title="中国知网"/>
                  <o:lock v:ext="edit" aspectratio="t"/>
                  <w10:wrap type="none"/>
                  <w10:anchorlock/>
                </v:shape>
              </w:pict>
            </w:r>
          </w:p>
        </w:tc>
        <w:tc>
          <w:tcPr>
            <w:tcW w:w="4276" w:type="dxa"/>
            <w:vAlign w:val="center"/>
          </w:tcPr>
          <w:p w14:paraId="74885636">
            <w:pPr>
              <w:rPr>
                <w:rFonts w:ascii="Times New Roman" w:hAnsi="Times New Roman" w:cs="Times New Roman" w:eastAsiaTheme="minorEastAsia"/>
                <w:color w:val="auto"/>
                <w:sz w:val="15"/>
                <w:szCs w:val="15"/>
                <w:highlight w:val="none"/>
              </w:rPr>
            </w:pPr>
            <w:r>
              <w:rPr>
                <w:rFonts w:ascii="Times New Roman" w:hAnsi="Times New Roman" w:eastAsia="宋体" w:cs="Times New Roman"/>
                <w:color w:val="auto"/>
                <w:highlight w:val="none"/>
              </w:rPr>
              <w:pict>
                <v:shape id="_x0000_i1028" o:spt="75" type="#_x0000_t75" style="height:99.45pt;width:208.15pt;" filled="f" o:preferrelative="t" stroked="f" coordsize="21600,21600">
                  <v:path/>
                  <v:fill on="f" focussize="0,0"/>
                  <v:stroke on="f" joinstyle="miter"/>
                  <v:imagedata r:id="rId8" o:title="中国知网发文量"/>
                  <o:lock v:ext="edit" aspectratio="t"/>
                  <w10:wrap type="none"/>
                  <w10:anchorlock/>
                </v:shape>
              </w:pict>
            </w:r>
          </w:p>
        </w:tc>
      </w:tr>
      <w:tr w14:paraId="73F23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6" w:type="dxa"/>
            <w:vAlign w:val="center"/>
          </w:tcPr>
          <w:p w14:paraId="63507077">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（c）</w:t>
            </w:r>
            <w:r>
              <w:rPr>
                <w:rFonts w:hint="eastAsia" w:ascii="Times New Roman" w:hAnsi="Times New Roman" w:cs="Times New Roman" w:eastAsiaTheme="minorEastAsia"/>
                <w:color w:val="auto"/>
                <w:sz w:val="15"/>
                <w:szCs w:val="15"/>
                <w:highlight w:val="none"/>
              </w:rPr>
              <w:t>中文文献关键词共现网络</w:t>
            </w:r>
          </w:p>
        </w:tc>
        <w:tc>
          <w:tcPr>
            <w:tcW w:w="4276" w:type="dxa"/>
            <w:vAlign w:val="center"/>
          </w:tcPr>
          <w:p w14:paraId="1FF77939">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（d）中文文献1992</w:t>
            </w:r>
            <w:r>
              <w:rPr>
                <w:rFonts w:hint="eastAsia" w:ascii="Times New Roman" w:hAnsi="Times New Roman" w:cs="Times New Roman" w:eastAsiaTheme="minorEastAsia"/>
                <w:color w:val="auto"/>
                <w:sz w:val="15"/>
                <w:szCs w:val="15"/>
                <w:highlight w:val="none"/>
              </w:rPr>
              <w:t>—</w:t>
            </w:r>
            <w:r>
              <w:rPr>
                <w:rFonts w:ascii="Times New Roman" w:hAnsi="Times New Roman" w:cs="Times New Roman" w:eastAsiaTheme="minorEastAsia"/>
                <w:color w:val="auto"/>
                <w:sz w:val="15"/>
                <w:szCs w:val="15"/>
                <w:highlight w:val="none"/>
              </w:rPr>
              <w:t>2024年发文量</w:t>
            </w:r>
          </w:p>
        </w:tc>
      </w:tr>
    </w:tbl>
    <w:p w14:paraId="5BF12696">
      <w:pPr>
        <w:pStyle w:val="5"/>
        <w:spacing w:line="288" w:lineRule="auto"/>
        <w:jc w:val="center"/>
        <w:rPr>
          <w:rFonts w:ascii="Times New Roman" w:hAnsi="Times New Roman" w:cs="Times New Roman"/>
          <w:color w:val="auto"/>
          <w:sz w:val="18"/>
          <w:szCs w:val="18"/>
          <w:highlight w:val="none"/>
        </w:rPr>
      </w:pPr>
      <w:bookmarkStart w:id="12" w:name="OLE_LINK29"/>
      <w:r>
        <w:rPr>
          <w:rFonts w:ascii="Times New Roman" w:hAnsi="Times New Roman" w:cs="Times New Roman"/>
          <w:color w:val="auto"/>
          <w:sz w:val="18"/>
          <w:szCs w:val="18"/>
          <w:highlight w:val="none"/>
        </w:rPr>
        <w:t>图 1  中英文文献可视化</w:t>
      </w:r>
      <w:r>
        <w:rPr>
          <w:rFonts w:hint="eastAsia" w:ascii="Times New Roman" w:hAnsi="Times New Roman" w:cs="Times New Roman"/>
          <w:color w:val="auto"/>
          <w:sz w:val="18"/>
          <w:szCs w:val="18"/>
          <w:highlight w:val="none"/>
        </w:rPr>
        <w:t>图谱</w:t>
      </w:r>
    </w:p>
    <w:bookmarkEnd w:id="12"/>
    <w:p w14:paraId="674A6364">
      <w:pPr>
        <w:ind w:firstLine="482"/>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rPr>
        <w:t>Fig.1  Visualization map</w:t>
      </w:r>
      <w:r>
        <w:rPr>
          <w:rFonts w:hint="eastAsia" w:ascii="Times New Roman" w:hAnsi="Times New Roman" w:eastAsia="黑体" w:cs="Times New Roman"/>
          <w:bCs/>
          <w:color w:val="auto"/>
          <w:sz w:val="18"/>
          <w:szCs w:val="18"/>
          <w:highlight w:val="none"/>
        </w:rPr>
        <w:t>s</w:t>
      </w:r>
      <w:r>
        <w:rPr>
          <w:rFonts w:ascii="Times New Roman" w:hAnsi="Times New Roman" w:eastAsia="黑体" w:cs="Times New Roman"/>
          <w:bCs/>
          <w:color w:val="auto"/>
          <w:sz w:val="18"/>
          <w:szCs w:val="18"/>
          <w:highlight w:val="none"/>
        </w:rPr>
        <w:t xml:space="preserve"> of Chinese and English literature</w:t>
      </w:r>
    </w:p>
    <w:p w14:paraId="14530905">
      <w:pPr>
        <w:pStyle w:val="2"/>
        <w:spacing w:before="0" w:after="0" w:line="240" w:lineRule="auto"/>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1 水旱灾害风险全链条研究进展</w:t>
      </w:r>
    </w:p>
    <w:p w14:paraId="21485B86">
      <w:pPr>
        <w:ind w:firstLine="420" w:firstLineChars="200"/>
        <w:rPr>
          <w:rFonts w:ascii="Times New Roman" w:hAnsi="Times New Roman" w:cs="Times New Roman"/>
          <w:color w:val="auto"/>
          <w:highlight w:val="none"/>
        </w:rPr>
      </w:pPr>
      <w:bookmarkStart w:id="13" w:name="_Hlk218584611"/>
      <w:r>
        <w:rPr>
          <w:rFonts w:hint="eastAsia" w:ascii="Times New Roman" w:hAnsi="Times New Roman" w:cs="Times New Roman"/>
          <w:color w:val="auto"/>
          <w:highlight w:val="none"/>
        </w:rPr>
        <w:t>本文所述“全链条”，是指遵循水旱灾害风险管理“致灾因子形成-灾害事件识别-风险量化预估-风险管控决策”的完整逻辑流程。具体而言：成因机理环节旨在阐明驱动灾害发生的自然与人为因素，回答“为何发生”；演变规律识别环节聚焦于发展方法与指标，对灾害事件本身的状态、范围、强度进行动态监测与特征刻画，回答“如何表现”；风险评估与预测预警环节的核心是将致灾因子与承灾体的脆弱性、暴露度相结合，量化可能造成的多维损失，并对其未来发生可能性进行预报，回答“风险多大、何时何地”；综合防控环节则基于前述认知，制定并优化工程与非工程措施，以降低风险或提升系统韧性，回答“如何应对”。这四个环节层层递进，构成从科学认知到管理实践的闭环。下文将依此逻辑框架，对各环节研究进展进行系统评述。</w:t>
      </w:r>
    </w:p>
    <w:bookmarkEnd w:id="13"/>
    <w:p w14:paraId="32C025F8">
      <w:pPr>
        <w:pStyle w:val="3"/>
        <w:rPr>
          <w:rFonts w:ascii="Times New Roman" w:hAnsi="Times New Roman" w:cs="Times New Roman"/>
          <w:color w:val="auto"/>
          <w:highlight w:val="none"/>
        </w:rPr>
      </w:pPr>
      <w:r>
        <w:rPr>
          <w:rFonts w:ascii="Times New Roman" w:hAnsi="Times New Roman" w:cs="Times New Roman"/>
          <w:color w:val="auto"/>
          <w:highlight w:val="none"/>
        </w:rPr>
        <w:t>1.1 水旱</w:t>
      </w:r>
      <w:r>
        <w:rPr>
          <w:rFonts w:hint="eastAsia" w:ascii="Times New Roman" w:hAnsi="Times New Roman" w:cs="Times New Roman"/>
          <w:color w:val="auto"/>
          <w:highlight w:val="none"/>
        </w:rPr>
        <w:t>灾害</w:t>
      </w:r>
      <w:r>
        <w:rPr>
          <w:rFonts w:ascii="Times New Roman" w:hAnsi="Times New Roman" w:cs="Times New Roman"/>
          <w:color w:val="auto"/>
          <w:highlight w:val="none"/>
        </w:rPr>
        <w:t>成因机理与驱动机制</w:t>
      </w:r>
    </w:p>
    <w:p w14:paraId="6E36F43E">
      <w:pPr>
        <w:pStyle w:val="4"/>
        <w:rPr>
          <w:rFonts w:hint="default" w:ascii="Times New Roman" w:hAnsi="Times New Roman"/>
          <w:color w:val="auto"/>
          <w:highlight w:val="none"/>
        </w:rPr>
      </w:pPr>
      <w:r>
        <w:rPr>
          <w:rFonts w:hint="default" w:ascii="Times New Roman" w:hAnsi="Times New Roman"/>
          <w:color w:val="auto"/>
          <w:highlight w:val="none"/>
        </w:rPr>
        <w:t>1.1.1水旱</w:t>
      </w:r>
      <w:r>
        <w:rPr>
          <w:rFonts w:ascii="Times New Roman" w:hAnsi="Times New Roman"/>
          <w:color w:val="auto"/>
          <w:highlight w:val="none"/>
        </w:rPr>
        <w:t>灾害</w:t>
      </w:r>
      <w:r>
        <w:rPr>
          <w:rFonts w:hint="default" w:ascii="Times New Roman" w:hAnsi="Times New Roman"/>
          <w:color w:val="auto"/>
          <w:highlight w:val="none"/>
        </w:rPr>
        <w:t>事件形成机理</w:t>
      </w:r>
    </w:p>
    <w:p w14:paraId="130043C8">
      <w:pPr>
        <w:ind w:firstLine="420" w:firstLineChars="200"/>
        <w:rPr>
          <w:rFonts w:ascii="Times New Roman" w:hAnsi="Times New Roman" w:cs="Times New Roman"/>
          <w:color w:val="auto"/>
          <w:highlight w:val="none"/>
        </w:rPr>
      </w:pPr>
      <w:bookmarkStart w:id="14" w:name="_Hlk218779190"/>
      <w:r>
        <w:rPr>
          <w:rFonts w:hint="eastAsia" w:ascii="Times New Roman" w:hAnsi="Times New Roman" w:cs="Times New Roman"/>
          <w:color w:val="auto"/>
          <w:highlight w:val="none"/>
        </w:rPr>
        <w:t>深入揭示水旱灾害的形成机理是构建精准预测与有效防控体系的科学基础。水旱灾害事件是自然气候变异与人类活动干扰在多尺度上非线性耦合的产物已成为不争事实，其形成机理呈现大气环流触发-陆面过程响应的级联效应</w:t>
      </w:r>
      <w:r>
        <w:rPr>
          <w:rFonts w:ascii="Times New Roman" w:hAnsi="Times New Roman" w:cs="Times New Roman"/>
          <w:color w:val="auto"/>
          <w:highlight w:val="none"/>
          <w:vertAlign w:val="superscript"/>
        </w:rPr>
        <w:t>[24-26]</w:t>
      </w:r>
      <w:r>
        <w:rPr>
          <w:rFonts w:hint="eastAsia" w:ascii="Times New Roman" w:hAnsi="Times New Roman" w:cs="Times New Roman"/>
          <w:color w:val="auto"/>
          <w:highlight w:val="none"/>
        </w:rPr>
        <w:t>（见图2）。因此，近年来的相关研究已从对单一现象的归因，转向对自然与人类复杂系统耦合驱动机制的系统性探讨。</w:t>
      </w:r>
    </w:p>
    <w:p w14:paraId="1EC27B51">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在大气环流异常触发水旱灾害事件的机制研究方面，学界的认知发生了从环流型识别到过程机理量化的深刻转变。从动力强迫看，早期研究致力于建立诸如阻塞高压、低压槽等典型环流型与区域性旱涝事件的统计关系</w:t>
      </w:r>
      <w:r>
        <w:rPr>
          <w:rFonts w:ascii="Times New Roman" w:hAnsi="Times New Roman" w:cs="Times New Roman"/>
          <w:color w:val="auto"/>
          <w:highlight w:val="none"/>
          <w:vertAlign w:val="superscript"/>
        </w:rPr>
        <w:t>[27-28]</w:t>
      </w:r>
      <w:r>
        <w:rPr>
          <w:rFonts w:hint="eastAsia" w:ascii="Times New Roman" w:hAnsi="Times New Roman" w:cs="Times New Roman"/>
          <w:color w:val="auto"/>
          <w:highlight w:val="none"/>
        </w:rPr>
        <w:t>。近年来，随着再分析资料完善和数值模拟能力提升，研究前沿已聚焦于利用高分辨率模拟、动力诊断及能量-水汽收支分析等方法，深入揭示异常环流得以维持和演变的内在物理机制</w:t>
      </w:r>
      <w:r>
        <w:rPr>
          <w:rFonts w:ascii="Times New Roman" w:hAnsi="Times New Roman" w:cs="Times New Roman"/>
          <w:color w:val="auto"/>
          <w:highlight w:val="none"/>
          <w:vertAlign w:val="superscript"/>
        </w:rPr>
        <w:t>[29-30]</w:t>
      </w:r>
      <w:r>
        <w:rPr>
          <w:rFonts w:hint="eastAsia" w:ascii="Times New Roman" w:hAnsi="Times New Roman" w:cs="Times New Roman"/>
          <w:color w:val="auto"/>
          <w:highlight w:val="none"/>
        </w:rPr>
        <w:t>。这一转向确立了动-热力耦合过程通过重构全球能量与水汽输送格局，直接触发区域性极端干湿事件这一科学认知</w:t>
      </w:r>
      <w:r>
        <w:rPr>
          <w:rFonts w:ascii="Times New Roman" w:hAnsi="Times New Roman" w:cs="Times New Roman"/>
          <w:color w:val="auto"/>
          <w:highlight w:val="none"/>
          <w:vertAlign w:val="superscript"/>
        </w:rPr>
        <w:t>[31]</w:t>
      </w:r>
      <w:r>
        <w:rPr>
          <w:rFonts w:hint="eastAsia" w:ascii="Times New Roman" w:hAnsi="Times New Roman" w:cs="Times New Roman"/>
          <w:color w:val="auto"/>
          <w:highlight w:val="none"/>
        </w:rPr>
        <w:t>。针对干旱事件，研究共识在于持续性高压系统的动力下沉作用，通过对流抑制与辐射增温的双重效应，构成气象干旱爆发的直接机制</w:t>
      </w:r>
      <w:r>
        <w:rPr>
          <w:rFonts w:ascii="Times New Roman" w:hAnsi="Times New Roman" w:cs="Times New Roman"/>
          <w:color w:val="auto"/>
          <w:highlight w:val="none"/>
          <w:vertAlign w:val="superscript"/>
        </w:rPr>
        <w:t>[32-34]</w:t>
      </w:r>
      <w:r>
        <w:rPr>
          <w:rFonts w:hint="eastAsia" w:ascii="Times New Roman" w:hAnsi="Times New Roman" w:cs="Times New Roman"/>
          <w:color w:val="auto"/>
          <w:highlight w:val="none"/>
        </w:rPr>
        <w:t>。近年来，研究进一步朝着精细化与定量化发展。例如，</w:t>
      </w:r>
      <w:r>
        <w:rPr>
          <w:rFonts w:hint="eastAsia" w:ascii="Times New Roman" w:hAnsi="Times New Roman" w:cs="Times New Roman"/>
          <w:color w:val="auto"/>
          <w:highlight w:val="none"/>
        </w:rPr>
        <w:t>LIU</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[35</w:t>
      </w:r>
      <w:r>
        <w:rPr>
          <w:rFonts w:hint="eastAsia" w:ascii="Times New Roman" w:hAnsi="Times New Roman" w:cs="Times New Roman"/>
          <w:color w:val="auto"/>
          <w:highlight w:val="none"/>
          <w:vertAlign w:val="superscript"/>
        </w:rPr>
        <w:t>-37</w:t>
      </w:r>
      <w:r>
        <w:rPr>
          <w:rFonts w:ascii="Times New Roman" w:hAnsi="Times New Roman" w:cs="Times New Roman"/>
          <w:color w:val="auto"/>
          <w:highlight w:val="none"/>
          <w:vertAlign w:val="superscript"/>
        </w:rPr>
        <w:t>]</w:t>
      </w:r>
      <w:r>
        <w:rPr>
          <w:rFonts w:hint="eastAsia" w:ascii="Times New Roman" w:hAnsi="Times New Roman" w:cs="Times New Roman"/>
          <w:color w:val="auto"/>
          <w:highlight w:val="none"/>
        </w:rPr>
        <w:t>的归因研究，不仅确认了西太平洋副热带高压在2022年长江流域极端干旱中的主导作用，更定量揭示了其异常强度、范围和稳定性的具体贡献度。对于洪涝事件，机理研究的探索体现为从宏观系统识别到过程深化剖析。当前研究焦点从单纯确认低压系统的存在，转而深入解析其内部的水汽来源、辐合抬升机制以及中尺度对流过程</w:t>
      </w:r>
      <w:r>
        <w:rPr>
          <w:rFonts w:ascii="Times New Roman" w:hAnsi="Times New Roman" w:cs="Times New Roman"/>
          <w:color w:val="auto"/>
          <w:highlight w:val="none"/>
          <w:vertAlign w:val="superscript"/>
        </w:rPr>
        <w:t>[38-40]</w:t>
      </w:r>
      <w:r>
        <w:rPr>
          <w:rFonts w:hint="eastAsia" w:ascii="Times New Roman" w:hAnsi="Times New Roman" w:cs="Times New Roman"/>
          <w:color w:val="auto"/>
          <w:highlight w:val="none"/>
        </w:rPr>
        <w:t>。以2021年河南“7·21”特大暴雨的系列研究为例，学者不仅追溯了低压系统下台风远距离水汽输送的关键通道，更通过高分辨率数值试验，量化了伏牛山等地形关键要素对暴雨中心的增幅效应</w:t>
      </w:r>
      <w:r>
        <w:rPr>
          <w:rFonts w:ascii="Times New Roman" w:hAnsi="Times New Roman" w:cs="Times New Roman"/>
          <w:color w:val="auto"/>
          <w:highlight w:val="none"/>
          <w:vertAlign w:val="superscript"/>
        </w:rPr>
        <w:t>[41-42]</w:t>
      </w:r>
      <w:r>
        <w:rPr>
          <w:rFonts w:hint="eastAsia" w:ascii="Times New Roman" w:hAnsi="Times New Roman" w:cs="Times New Roman"/>
          <w:color w:val="auto"/>
          <w:highlight w:val="none"/>
        </w:rPr>
        <w:t>。</w:t>
      </w:r>
    </w:p>
    <w:p w14:paraId="07CC1FB0">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除动力强迫外，环流异常也通常受海-气耦合系统调控，该系统以海洋热力强迫为核心，通过改变海表感热与潜热通量，驱动大气温度场和压力场重组，这种热力驱动的环流异常调整进一步重构水汽输送路径与垂直运动格局，从而决定区域干旱与洪涝事件的时空配置</w:t>
      </w:r>
      <w:r>
        <w:rPr>
          <w:rFonts w:ascii="Times New Roman" w:hAnsi="Times New Roman" w:cs="Times New Roman"/>
          <w:color w:val="auto"/>
          <w:highlight w:val="none"/>
          <w:vertAlign w:val="superscript"/>
        </w:rPr>
        <w:t>[43-46]</w:t>
      </w:r>
      <w:r>
        <w:rPr>
          <w:rFonts w:hint="eastAsia" w:ascii="Times New Roman" w:hAnsi="Times New Roman" w:cs="Times New Roman"/>
          <w:color w:val="auto"/>
          <w:highlight w:val="none"/>
        </w:rPr>
        <w:t>。在这一方面的核心进展在于厘清不同海温模态的遥相关路径及其对区域旱涝的协同影响。ENSO作为最主要的年际气候变率信号，不仅主导着全球水旱格局，其与我国东部降水的关系研究也最为深入，目前已形成较为清晰的认知框架，即通过影响西太平洋副热带高压和东亚季风环流来调制雨带位置</w:t>
      </w:r>
      <w:r>
        <w:rPr>
          <w:rFonts w:ascii="Times New Roman" w:hAnsi="Times New Roman" w:cs="Times New Roman"/>
          <w:color w:val="auto"/>
          <w:highlight w:val="none"/>
          <w:vertAlign w:val="superscript"/>
        </w:rPr>
        <w:t>[47-49]</w:t>
      </w:r>
      <w:r>
        <w:rPr>
          <w:rFonts w:hint="eastAsia" w:ascii="Times New Roman" w:hAnsi="Times New Roman" w:cs="Times New Roman"/>
          <w:color w:val="auto"/>
          <w:highlight w:val="none"/>
        </w:rPr>
        <w:t>。当前的前沿探索侧重于不同类型ENSO（东太平洋型或中太平洋型）及ENSO与非热带海温异常（如印度洋偶极子（IOD）、北大西洋涛动（NAO））的协同作用。例如，</w:t>
      </w:r>
      <w:r>
        <w:rPr>
          <w:rFonts w:hint="eastAsia" w:ascii="Times New Roman" w:hAnsi="Times New Roman" w:cs="Times New Roman"/>
          <w:color w:val="auto"/>
          <w:highlight w:val="none"/>
        </w:rPr>
        <w:t>X</w:t>
      </w:r>
      <w:r>
        <w:rPr>
          <w:rFonts w:ascii="Times New Roman" w:hAnsi="Times New Roman" w:cs="Times New Roman"/>
          <w:color w:val="auto"/>
          <w:highlight w:val="none"/>
        </w:rPr>
        <w:t>U</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[50]</w:t>
      </w:r>
      <w:r>
        <w:rPr>
          <w:rFonts w:hint="eastAsia" w:ascii="Times New Roman" w:hAnsi="Times New Roman" w:cs="Times New Roman"/>
          <w:color w:val="auto"/>
          <w:highlight w:val="none"/>
        </w:rPr>
        <w:t>的定量归因研究揭示了2019年长江中下游极端干旱是中部型ENSO与超强正IOD通过激发特定大气波列共同导致，并给出了ENSO约60%的贡献率的结论。此外，关于中高纬度海温强迫（如太平洋年代际振荡（PDO）、NAO）如何通过影响中纬度西风急流和大气活动，从而调制我国北方及西南地区旱涝长期风险的研究，也正成为关注重点</w:t>
      </w:r>
      <w:r>
        <w:rPr>
          <w:rFonts w:ascii="Times New Roman" w:hAnsi="Times New Roman" w:cs="Times New Roman"/>
          <w:color w:val="auto"/>
          <w:highlight w:val="none"/>
          <w:vertAlign w:val="superscript"/>
        </w:rPr>
        <w:t>[51-54]</w:t>
      </w:r>
      <w:r>
        <w:rPr>
          <w:rFonts w:hint="eastAsia" w:ascii="Times New Roman" w:hAnsi="Times New Roman" w:cs="Times New Roman"/>
          <w:color w:val="auto"/>
          <w:highlight w:val="none"/>
        </w:rPr>
        <w:t>。这些研究共同推动了从单一因子相关向多因子协同、从统计分析向物理机制阐释的深化。</w:t>
      </w:r>
    </w:p>
    <w:p w14:paraId="58A9FEF7">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上述环流异常决定着水分的来源和输送两个关键过程，但水旱灾害形成的最终强度和空间形态受制于</w:t>
      </w:r>
      <w:bookmarkStart w:id="15" w:name="_Hlk218777769"/>
      <w:r>
        <w:rPr>
          <w:rFonts w:hint="eastAsia" w:ascii="Times New Roman" w:hAnsi="Times New Roman" w:cs="Times New Roman"/>
          <w:color w:val="auto"/>
          <w:highlight w:val="none"/>
        </w:rPr>
        <w:t>陆面系统对水分的再分配过程</w:t>
      </w:r>
      <w:bookmarkEnd w:id="15"/>
      <w:r>
        <w:rPr>
          <w:rFonts w:hint="eastAsia" w:ascii="Times New Roman" w:hAnsi="Times New Roman" w:cs="Times New Roman"/>
          <w:color w:val="auto"/>
          <w:highlight w:val="none"/>
        </w:rPr>
        <w:t>，即土壤和植被等下垫面条件对水量的反馈响应可以显著放大或削弱干旱或洪涝的致灾程度</w:t>
      </w:r>
      <w:r>
        <w:rPr>
          <w:rFonts w:ascii="Times New Roman" w:hAnsi="Times New Roman" w:cs="Times New Roman"/>
          <w:color w:val="auto"/>
          <w:highlight w:val="none"/>
          <w:vertAlign w:val="superscript"/>
        </w:rPr>
        <w:t>[55]</w:t>
      </w:r>
      <w:r>
        <w:rPr>
          <w:rFonts w:hint="eastAsia" w:ascii="Times New Roman" w:hAnsi="Times New Roman" w:cs="Times New Roman"/>
          <w:color w:val="auto"/>
          <w:highlight w:val="none"/>
        </w:rPr>
        <w:t>。在陆面过程反馈与放大作用的研究领域，进展主要体现在对土壤-植被-大气连续体间水分与能量交换双向反馈机制的揭示。早期认识多集中于土壤湿度是洪水形成的前期影响因子</w:t>
      </w:r>
      <w:r>
        <w:rPr>
          <w:rFonts w:ascii="Times New Roman" w:hAnsi="Times New Roman" w:cs="Times New Roman"/>
          <w:color w:val="auto"/>
          <w:highlight w:val="none"/>
          <w:vertAlign w:val="superscript"/>
        </w:rPr>
        <w:t>[56-</w:t>
      </w:r>
      <w:r>
        <w:rPr>
          <w:rFonts w:hint="eastAsia" w:ascii="Times New Roman" w:hAnsi="Times New Roman" w:cs="Times New Roman"/>
          <w:color w:val="auto"/>
          <w:highlight w:val="none"/>
          <w:vertAlign w:val="superscript"/>
        </w:rPr>
        <w:t>5</w:t>
      </w:r>
      <w:r>
        <w:rPr>
          <w:rFonts w:ascii="Times New Roman" w:hAnsi="Times New Roman" w:cs="Times New Roman"/>
          <w:color w:val="auto"/>
          <w:highlight w:val="none"/>
          <w:vertAlign w:val="superscript"/>
        </w:rPr>
        <w:t>7]</w:t>
      </w:r>
      <w:r>
        <w:rPr>
          <w:rFonts w:hint="eastAsia" w:ascii="Times New Roman" w:hAnsi="Times New Roman" w:cs="Times New Roman"/>
          <w:color w:val="auto"/>
          <w:highlight w:val="none"/>
        </w:rPr>
        <w:t>。近年的突破在于认识到陆面过程不仅对水旱灾害被动响应，更具驱动与放大作用。具体而言，在干旱方面，研究证实前期土壤干旱可通过增加感热通量、减少潜热通量，加热低层大气、抑制对流，形成土壤干旱-大气干旱的正反馈</w:t>
      </w:r>
      <w:r>
        <w:rPr>
          <w:rFonts w:ascii="Times New Roman" w:hAnsi="Times New Roman" w:cs="Times New Roman"/>
          <w:color w:val="auto"/>
          <w:highlight w:val="none"/>
          <w:vertAlign w:val="superscript"/>
        </w:rPr>
        <w:t>[58-59]</w:t>
      </w:r>
      <w:r>
        <w:rPr>
          <w:rFonts w:hint="eastAsia" w:ascii="Times New Roman" w:hAnsi="Times New Roman" w:cs="Times New Roman"/>
          <w:color w:val="auto"/>
          <w:highlight w:val="none"/>
        </w:rPr>
        <w:t>；在植被影响方面，其作为沟通陆-气的重要媒介，生长状态及理化特征会通过影响流域蒸散发等方式协同土壤调节水文过程</w:t>
      </w:r>
      <w:r>
        <w:rPr>
          <w:rFonts w:ascii="Times New Roman" w:hAnsi="Times New Roman" w:cs="Times New Roman"/>
          <w:color w:val="auto"/>
          <w:highlight w:val="none"/>
          <w:vertAlign w:val="superscript"/>
        </w:rPr>
        <w:t>[60]</w:t>
      </w:r>
      <w:r>
        <w:rPr>
          <w:rFonts w:hint="eastAsia" w:ascii="Times New Roman" w:hAnsi="Times New Roman" w:cs="Times New Roman"/>
          <w:color w:val="auto"/>
          <w:highlight w:val="none"/>
        </w:rPr>
        <w:t>。近年来，伴随全球变绿趋势，其生态水文效应研究激增</w:t>
      </w:r>
      <w:r>
        <w:rPr>
          <w:rFonts w:ascii="Times New Roman" w:hAnsi="Times New Roman" w:cs="Times New Roman"/>
          <w:color w:val="auto"/>
          <w:highlight w:val="none"/>
          <w:vertAlign w:val="superscript"/>
        </w:rPr>
        <w:t>[61]</w:t>
      </w:r>
      <w:r>
        <w:rPr>
          <w:rFonts w:hint="eastAsia" w:ascii="Times New Roman" w:hAnsi="Times New Roman" w:cs="Times New Roman"/>
          <w:color w:val="auto"/>
          <w:highlight w:val="none"/>
        </w:rPr>
        <w:t>。存在两种看似矛盾但并存的学术观点，一种强调植被恢复通过增加蒸散可能加剧深层土壤水分消耗，诱发或加剧生态干旱</w:t>
      </w:r>
      <w:r>
        <w:rPr>
          <w:rFonts w:ascii="Times New Roman" w:hAnsi="Times New Roman" w:cs="Times New Roman"/>
          <w:color w:val="auto"/>
          <w:highlight w:val="none"/>
          <w:vertAlign w:val="superscript"/>
        </w:rPr>
        <w:t>[62-63]</w:t>
      </w:r>
      <w:r>
        <w:rPr>
          <w:rFonts w:hint="eastAsia" w:ascii="Times New Roman" w:hAnsi="Times New Roman" w:cs="Times New Roman"/>
          <w:color w:val="auto"/>
          <w:highlight w:val="none"/>
        </w:rPr>
        <w:t>；另一种则关注植被变化通过改变反照率、粗糙度等地表属性，对局地气候和土壤水热状况产生的复杂反馈</w:t>
      </w:r>
      <w:r>
        <w:rPr>
          <w:rFonts w:ascii="Times New Roman" w:hAnsi="Times New Roman" w:cs="Times New Roman"/>
          <w:color w:val="auto"/>
          <w:highlight w:val="none"/>
          <w:vertAlign w:val="superscript"/>
        </w:rPr>
        <w:t>[64]</w:t>
      </w:r>
      <w:r>
        <w:rPr>
          <w:rFonts w:hint="eastAsia" w:ascii="Times New Roman" w:hAnsi="Times New Roman" w:cs="Times New Roman"/>
          <w:color w:val="auto"/>
          <w:highlight w:val="none"/>
        </w:rPr>
        <w:t>。这些研究深化了对单一旱涝事件中陆面过程角色的理解。</w:t>
      </w:r>
    </w:p>
    <w:p w14:paraId="5C3963EB">
      <w:pPr>
        <w:ind w:firstLine="420" w:firstLineChars="200"/>
        <w:rPr>
          <w:rFonts w:ascii="Times New Roman" w:hAnsi="Times New Roman" w:cs="Times New Roman"/>
          <w:color w:val="auto"/>
          <w:highlight w:val="none"/>
        </w:rPr>
      </w:pPr>
      <w:bookmarkStart w:id="16" w:name="_Hlk218804036"/>
      <w:bookmarkStart w:id="17" w:name="_Hlk218540368"/>
      <w:r>
        <w:rPr>
          <w:rFonts w:hint="eastAsia" w:ascii="Times New Roman" w:hAnsi="Times New Roman" w:cs="Times New Roman"/>
          <w:color w:val="auto"/>
          <w:highlight w:val="none"/>
        </w:rPr>
        <w:t>在人类活动驱动作用的研究方面，该领域已发展为机理研究中较为活跃且极具挑战性的分支。研究模式实现了从初期定性描述到当前基于多源观测、复杂模型与统计方法进行定量归因的根本性转变。主要进展系统性地体现在以下四个维度：首先，在城市化效应方面，研究已从识别“雨岛效应”及不透水面增加导致内涝加剧的宏观现象</w:t>
      </w:r>
      <w:r>
        <w:rPr>
          <w:rFonts w:ascii="Times New Roman" w:hAnsi="Times New Roman" w:cs="Times New Roman"/>
          <w:color w:val="auto"/>
          <w:highlight w:val="none"/>
          <w:vertAlign w:val="superscript"/>
        </w:rPr>
        <w:t>[65-66]</w:t>
      </w:r>
      <w:r>
        <w:rPr>
          <w:rFonts w:hint="eastAsia" w:ascii="Times New Roman" w:hAnsi="Times New Roman" w:cs="Times New Roman"/>
          <w:color w:val="auto"/>
          <w:highlight w:val="none"/>
        </w:rPr>
        <w:t>，深入到利用耦合气候-水文-城市模型，定量评估不同城市规划策略（如绿地空间布局、排水系统标准）对特定暴雨情景下内涝风险的具体影响</w:t>
      </w:r>
      <w:r>
        <w:rPr>
          <w:rFonts w:ascii="Times New Roman" w:hAnsi="Times New Roman" w:cs="Times New Roman"/>
          <w:color w:val="auto"/>
          <w:highlight w:val="none"/>
          <w:vertAlign w:val="superscript"/>
        </w:rPr>
        <w:t>[67-68]</w:t>
      </w:r>
      <w:r>
        <w:rPr>
          <w:rFonts w:hint="eastAsia" w:ascii="Times New Roman" w:hAnsi="Times New Roman" w:cs="Times New Roman"/>
          <w:color w:val="auto"/>
          <w:highlight w:val="none"/>
        </w:rPr>
        <w:t>。其次，关于水利工程调度，研究不仅持续评估水库群在削减洪峰、保障防洪安全方面的核心效益，更日益关注调度对下游河道生态流量、泥沙输运过程及洪水过程线形态的长期改变，并深入探讨由此可能引发的河道萎缩、湿地退化等次生生态风险，如何实现防洪、抗旱与生态保护的多目标协同优化已成为前沿核心课题</w:t>
      </w:r>
      <w:r>
        <w:rPr>
          <w:rFonts w:ascii="Times New Roman" w:hAnsi="Times New Roman" w:cs="Times New Roman"/>
          <w:color w:val="auto"/>
          <w:highlight w:val="none"/>
          <w:vertAlign w:val="superscript"/>
        </w:rPr>
        <w:t>[69-70]</w:t>
      </w:r>
      <w:r>
        <w:rPr>
          <w:rFonts w:hint="eastAsia" w:ascii="Times New Roman" w:hAnsi="Times New Roman" w:cs="Times New Roman"/>
          <w:color w:val="auto"/>
          <w:highlight w:val="none"/>
        </w:rPr>
        <w:t>。再者，针对土地利用/覆被变化，大尺度研究通过应用分布式水文模型，定量揭示了退耕还林（草）、农业扩张等活动对流域径流深、洪峰流量等关键水文要素的影响及其显著的空间异质性</w:t>
      </w:r>
      <w:r>
        <w:rPr>
          <w:rFonts w:ascii="Times New Roman" w:hAnsi="Times New Roman" w:cs="Times New Roman"/>
          <w:color w:val="auto"/>
          <w:highlight w:val="none"/>
          <w:vertAlign w:val="superscript"/>
        </w:rPr>
        <w:t>[71-72]</w:t>
      </w:r>
      <w:r>
        <w:rPr>
          <w:rFonts w:hint="eastAsia" w:ascii="Times New Roman" w:hAnsi="Times New Roman" w:cs="Times New Roman"/>
          <w:color w:val="auto"/>
          <w:highlight w:val="none"/>
        </w:rPr>
        <w:t>。最后，在农业用水与跨流域调水方面，研究聚焦于高强度灌溉对区域地下水储量的消耗效应，以及大规模调水工程对水源区、受水区及输水沿线的水平衡与水文情势带来的复杂改变</w:t>
      </w:r>
      <w:r>
        <w:rPr>
          <w:rFonts w:ascii="Times New Roman" w:hAnsi="Times New Roman" w:cs="Times New Roman"/>
          <w:color w:val="auto"/>
          <w:highlight w:val="none"/>
          <w:vertAlign w:val="superscript"/>
        </w:rPr>
        <w:t>[73-74]</w:t>
      </w:r>
      <w:r>
        <w:rPr>
          <w:rFonts w:hint="eastAsia" w:ascii="Times New Roman" w:hAnsi="Times New Roman" w:cs="Times New Roman"/>
          <w:color w:val="auto"/>
          <w:highlight w:val="none"/>
        </w:rPr>
        <w:t>。</w:t>
      </w:r>
      <w:bookmarkEnd w:id="16"/>
    </w:p>
    <w:bookmarkEnd w:id="17"/>
    <w:p w14:paraId="7341A5FD">
      <w:pPr>
        <w:ind w:firstLine="420" w:firstLineChars="200"/>
        <w:rPr>
          <w:rFonts w:ascii="Times New Roman" w:hAnsi="Times New Roman" w:cs="Times New Roman"/>
          <w:color w:val="auto"/>
          <w:highlight w:val="none"/>
        </w:rPr>
      </w:pPr>
      <w:bookmarkStart w:id="18" w:name="_Hlk218587773"/>
      <w:r>
        <w:rPr>
          <w:rFonts w:hint="eastAsia" w:ascii="Times New Roman" w:hAnsi="Times New Roman" w:cs="Times New Roman"/>
          <w:color w:val="auto"/>
          <w:highlight w:val="none"/>
        </w:rPr>
        <w:t>尽管上述研究取得了显著进展，但实现系统性的“自然-人类”耦合驱动精确量化仍面临严峻挑战。这些瓶颈主要包括：人类活动数据本身存在高不确定性；在观测序列中有效分离自然变率与人为影响的信号异常困难；以及构建能够兼顾多类人类活动、并与之耦合的多尺度模型极具复杂性。目前，能够在流域尺度上完整集成多项人类活动、并精确模拟其与自然气候变率协同效应的研究案例依然匮乏。因此，未来研究亟需发展能够有机融合自然变率与多类别人类活动模块的统一耦合归因模型框架，以量化各驱动因子的相对贡献及其时空演变规律。</w:t>
      </w:r>
    </w:p>
    <w:bookmarkEnd w:id="14"/>
    <w:bookmarkEnd w:id="18"/>
    <w:p w14:paraId="42312FFF">
      <w:pPr>
        <w:pStyle w:val="5"/>
        <w:spacing w:line="288" w:lineRule="auto"/>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pict>
          <v:shape id="_x0000_i1029" o:spt="75" type="#_x0000_t75" style="height:180.35pt;width:248.45pt;" filled="f" o:preferrelative="t" stroked="f" coordsize="21600,21600">
            <v:path/>
            <v:fill on="f" focussize="0,0"/>
            <v:stroke on="f" joinstyle="miter"/>
            <v:imagedata r:id="rId9" o:title="驱动机制及其影响图改字号"/>
            <o:lock v:ext="edit" aspectratio="t"/>
            <w10:wrap type="none"/>
            <w10:anchorlock/>
          </v:shape>
        </w:pict>
      </w:r>
    </w:p>
    <w:p w14:paraId="63489D74">
      <w:pPr>
        <w:pStyle w:val="5"/>
        <w:spacing w:line="288" w:lineRule="auto"/>
        <w:jc w:val="center"/>
        <w:rPr>
          <w:rFonts w:ascii="Times New Roman" w:hAnsi="Times New Roman" w:cs="Times New Roman"/>
          <w:color w:val="auto"/>
          <w:sz w:val="18"/>
          <w:szCs w:val="18"/>
          <w:highlight w:val="none"/>
        </w:rPr>
      </w:pPr>
      <w:bookmarkStart w:id="19" w:name="_Hlk218780293"/>
      <w:r>
        <w:rPr>
          <w:rFonts w:ascii="Times New Roman" w:hAnsi="Times New Roman" w:cs="Times New Roman"/>
          <w:color w:val="auto"/>
          <w:sz w:val="18"/>
          <w:szCs w:val="18"/>
          <w:highlight w:val="none"/>
        </w:rPr>
        <w:t xml:space="preserve">图 2 </w:t>
      </w:r>
      <w:r>
        <w:rPr>
          <w:rFonts w:hint="eastAsia" w:ascii="Times New Roman" w:hAnsi="Times New Roman" w:cs="Times New Roman"/>
          <w:color w:val="auto"/>
          <w:sz w:val="18"/>
          <w:szCs w:val="18"/>
          <w:highlight w:val="none"/>
        </w:rPr>
        <w:t>水旱灾害事件形成机制及影响示意</w:t>
      </w:r>
    </w:p>
    <w:bookmarkEnd w:id="19"/>
    <w:p w14:paraId="17811B8C">
      <w:pPr>
        <w:ind w:firstLine="482"/>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rPr>
        <w:t xml:space="preserve">Fig.2  </w:t>
      </w:r>
      <w:r>
        <w:rPr>
          <w:rFonts w:hint="eastAsia" w:ascii="Times New Roman" w:hAnsi="Times New Roman" w:eastAsia="黑体" w:cs="Times New Roman"/>
          <w:bCs/>
          <w:color w:val="auto"/>
          <w:sz w:val="18"/>
          <w:szCs w:val="18"/>
          <w:highlight w:val="none"/>
        </w:rPr>
        <w:t>Schematic diagram of formation mechanism and impacts of f</w:t>
      </w:r>
      <w:r>
        <w:rPr>
          <w:rFonts w:ascii="Times New Roman" w:hAnsi="Times New Roman" w:eastAsia="黑体" w:cs="Times New Roman"/>
          <w:bCs/>
          <w:color w:val="auto"/>
          <w:sz w:val="18"/>
          <w:szCs w:val="18"/>
          <w:highlight w:val="none"/>
        </w:rPr>
        <w:t>lood and drought disaster event</w:t>
      </w:r>
      <w:r>
        <w:rPr>
          <w:rFonts w:hint="eastAsia" w:ascii="Times New Roman" w:hAnsi="Times New Roman" w:eastAsia="黑体" w:cs="Times New Roman"/>
          <w:bCs/>
          <w:color w:val="auto"/>
          <w:sz w:val="18"/>
          <w:szCs w:val="18"/>
          <w:highlight w:val="none"/>
        </w:rPr>
        <w:t>s</w:t>
      </w:r>
    </w:p>
    <w:p w14:paraId="54303515">
      <w:pPr>
        <w:pStyle w:val="4"/>
        <w:rPr>
          <w:rFonts w:hint="default" w:ascii="Times New Roman" w:hAnsi="Times New Roman"/>
          <w:color w:val="auto"/>
          <w:highlight w:val="none"/>
        </w:rPr>
      </w:pPr>
      <w:r>
        <w:rPr>
          <w:rFonts w:hint="default" w:ascii="Times New Roman" w:hAnsi="Times New Roman"/>
          <w:color w:val="auto"/>
          <w:highlight w:val="none"/>
        </w:rPr>
        <w:t>1.1.2旱涝急转事件驱动机制</w:t>
      </w:r>
    </w:p>
    <w:p w14:paraId="33C9E40C">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在气候变化日趋严峻的背景下，除单一的干旱或洪涝事件发生频率与严重程度增加外，复合灾害事件也逐渐高发，其中旱涝急转事件在近些年尤为突出。已有研究表明，长江流域</w:t>
      </w:r>
      <w:r>
        <w:rPr>
          <w:rFonts w:hint="eastAsia" w:ascii="Times New Roman" w:hAnsi="Times New Roman" w:cs="Times New Roman"/>
          <w:color w:val="auto"/>
          <w:highlight w:val="none"/>
          <w:vertAlign w:val="superscript"/>
        </w:rPr>
        <w:t>[75-76]</w:t>
      </w:r>
      <w:r>
        <w:rPr>
          <w:rFonts w:hint="eastAsia" w:ascii="Times New Roman" w:hAnsi="Times New Roman" w:cs="Times New Roman"/>
          <w:color w:val="auto"/>
          <w:highlight w:val="none"/>
        </w:rPr>
        <w:t>、华南地区</w:t>
      </w:r>
      <w:r>
        <w:rPr>
          <w:rFonts w:hint="eastAsia" w:ascii="Times New Roman" w:hAnsi="Times New Roman" w:cs="Times New Roman"/>
          <w:color w:val="auto"/>
          <w:highlight w:val="none"/>
          <w:vertAlign w:val="superscript"/>
        </w:rPr>
        <w:t>[77-78]</w:t>
      </w:r>
      <w:r>
        <w:rPr>
          <w:rFonts w:hint="eastAsia" w:ascii="Times New Roman" w:hAnsi="Times New Roman" w:cs="Times New Roman"/>
          <w:color w:val="auto"/>
          <w:highlight w:val="none"/>
        </w:rPr>
        <w:t>和西南地区</w:t>
      </w:r>
      <w:r>
        <w:rPr>
          <w:rFonts w:hint="eastAsia" w:ascii="Times New Roman" w:hAnsi="Times New Roman" w:cs="Times New Roman"/>
          <w:color w:val="auto"/>
          <w:highlight w:val="none"/>
          <w:vertAlign w:val="superscript"/>
        </w:rPr>
        <w:t>[79-80]</w:t>
      </w:r>
      <w:r>
        <w:rPr>
          <w:rFonts w:hint="eastAsia" w:ascii="Times New Roman" w:hAnsi="Times New Roman" w:cs="Times New Roman"/>
          <w:color w:val="auto"/>
          <w:highlight w:val="none"/>
        </w:rPr>
        <w:t>等是我国旱涝急转事件的典型区域。此类事件具有旱涝并存、转换迅速的特点，其危害程度通常高于单一干旱或洪涝事件</w:t>
      </w:r>
      <w:r>
        <w:rPr>
          <w:rFonts w:hint="eastAsia" w:ascii="Times New Roman" w:hAnsi="Times New Roman" w:cs="Times New Roman"/>
          <w:color w:val="auto"/>
          <w:highlight w:val="none"/>
          <w:vertAlign w:val="superscript"/>
        </w:rPr>
        <w:t>[81-82]</w:t>
      </w:r>
      <w:r>
        <w:rPr>
          <w:rFonts w:hint="eastAsia" w:ascii="Times New Roman" w:hAnsi="Times New Roman" w:cs="Times New Roman"/>
          <w:color w:val="auto"/>
          <w:highlight w:val="none"/>
        </w:rPr>
        <w:t>。</w:t>
      </w:r>
    </w:p>
    <w:p w14:paraId="633E5E8C">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驱动旱涝急转事件发生的因素与导致干旱或洪涝事件发生的因素相似，与大气环流异常引起的气候变化密切相关，动力条件快速折转导致区域短时间内发生旱涝交替。以长江流域秋季旱涝急转为例，在事件发生前，受位势高度负异常支配，长江上游及汉江流域上空风场与水汽输送呈现辐散型异常配置，垂直方向盛行干燥下沉气流，降水受到显著抑制。当转折发生后，大气环流形势发生逆转，长江中下游地区转为位势高度正异常控制，对应西太平洋副热带高压显著加强西伸，同时北方低压槽向南延伸。在此环流配置下，长江上游及汉江流域风场与水汽输送转为辐合型异常，垂直运动由上升气流主导，形成有利于强降水发生的动力条件，最终导致旱转涝的急剧变化，而涝转旱过程通常表现为与之相反的环流演变特征</w:t>
      </w:r>
      <w:r>
        <w:rPr>
          <w:rFonts w:ascii="Times New Roman" w:hAnsi="Times New Roman" w:cs="Times New Roman"/>
          <w:color w:val="auto"/>
          <w:highlight w:val="none"/>
          <w:vertAlign w:val="superscript"/>
        </w:rPr>
        <w:t>[83]</w:t>
      </w:r>
      <w:r>
        <w:rPr>
          <w:rFonts w:hint="eastAsia" w:ascii="Times New Roman" w:hAnsi="Times New Roman" w:cs="Times New Roman"/>
          <w:color w:val="auto"/>
          <w:highlight w:val="none"/>
        </w:rPr>
        <w:t>。对于长江中下游地区而言，同样受西北太平洋副热带高压、南亚高压和高空西风急流等动力因素的共同作用，导致该地区的降水变率增强，暴雨频率和强度的增加促使旱涝急转事件发生</w:t>
      </w:r>
      <w:r>
        <w:rPr>
          <w:rFonts w:ascii="Times New Roman" w:hAnsi="Times New Roman" w:cs="Times New Roman"/>
          <w:color w:val="auto"/>
          <w:highlight w:val="none"/>
          <w:vertAlign w:val="superscript"/>
        </w:rPr>
        <w:t>[84-85]</w:t>
      </w:r>
      <w:r>
        <w:rPr>
          <w:rFonts w:hint="eastAsia" w:ascii="Times New Roman" w:hAnsi="Times New Roman" w:cs="Times New Roman"/>
          <w:color w:val="auto"/>
          <w:highlight w:val="none"/>
        </w:rPr>
        <w:t>；此外，旱涝急转事件的发生与热力因素改变十分相关，研究表明海温持续异常与驱动旱涝急转事件发生存在一定关系，以华南地区为例，赤道中东太平洋海温正异常激发气旋式环流，进而增强该地区暖湿气流含量，使得降水丰沛。而在ENSO正位相衰减向负位相过渡时，华南地区降水随之消退，引发涝转旱事件。相反，海温负异常的初始强迫则通常导致旱转涝的发生</w:t>
      </w:r>
      <w:r>
        <w:rPr>
          <w:rFonts w:ascii="Times New Roman" w:hAnsi="Times New Roman" w:cs="Times New Roman"/>
          <w:color w:val="auto"/>
          <w:highlight w:val="none"/>
          <w:vertAlign w:val="superscript"/>
        </w:rPr>
        <w:t>[86]</w:t>
      </w:r>
      <w:r>
        <w:rPr>
          <w:rFonts w:hint="eastAsia" w:ascii="Times New Roman" w:hAnsi="Times New Roman" w:cs="Times New Roman"/>
          <w:color w:val="auto"/>
          <w:highlight w:val="none"/>
        </w:rPr>
        <w:t>。此外，拉尼娜现象对旱涝急转事件发生表现出一定的先兆意义，从定量归因统计来看，长江中下游地区约41%的此类事件发生在拉尼娜现象的衰亡期或其结束后的8个月内</w:t>
      </w:r>
      <w:r>
        <w:rPr>
          <w:rFonts w:ascii="Times New Roman" w:hAnsi="Times New Roman" w:cs="Times New Roman"/>
          <w:color w:val="auto"/>
          <w:highlight w:val="none"/>
          <w:vertAlign w:val="superscript"/>
        </w:rPr>
        <w:t>[87]</w:t>
      </w:r>
      <w:r>
        <w:rPr>
          <w:rFonts w:hint="eastAsia" w:ascii="Times New Roman" w:hAnsi="Times New Roman" w:cs="Times New Roman"/>
          <w:color w:val="auto"/>
          <w:highlight w:val="none"/>
        </w:rPr>
        <w:t>。</w:t>
      </w:r>
    </w:p>
    <w:p w14:paraId="7CC06305">
      <w:pPr>
        <w:ind w:firstLine="420" w:firstLineChars="200"/>
        <w:rPr>
          <w:rFonts w:ascii="Times New Roman" w:hAnsi="Times New Roman" w:cs="Times New Roman"/>
          <w:color w:val="auto"/>
          <w:highlight w:val="none"/>
        </w:rPr>
      </w:pPr>
      <w:bookmarkStart w:id="20" w:name="_Hlk218804076"/>
      <w:bookmarkStart w:id="21" w:name="_Hlk218799819"/>
      <w:r>
        <w:rPr>
          <w:rFonts w:hint="eastAsia" w:ascii="Times New Roman" w:hAnsi="Times New Roman" w:cs="Times New Roman"/>
          <w:color w:val="auto"/>
          <w:highlight w:val="none"/>
        </w:rPr>
        <w:t>值得注意的是，除大气环流与海表温度的强迫作用外，陆面过程作为水分与能量循环的关键过程，对旱涝急转的“急转”特性具有重要的触发与调制作用。土壤湿度的异常变化是核心环节之一。前期持续的干旱导致土壤含水量严重下降，其下渗能力急剧降低；当环流条件突变为强降水时，干枯的土壤使得大部分降水迅速转化为地表径流，而非补给土壤水，从而显著放大了由“旱”到“涝”的降雨-径流转化效率，加剧了洪涝的致灾性</w:t>
      </w:r>
      <w:r>
        <w:rPr>
          <w:rFonts w:ascii="Times New Roman" w:hAnsi="Times New Roman" w:cs="Times New Roman"/>
          <w:color w:val="auto"/>
          <w:highlight w:val="none"/>
          <w:vertAlign w:val="superscript"/>
        </w:rPr>
        <w:t>[88-89]</w:t>
      </w:r>
      <w:r>
        <w:rPr>
          <w:rFonts w:hint="eastAsia" w:ascii="Times New Roman" w:hAnsi="Times New Roman" w:cs="Times New Roman"/>
          <w:color w:val="auto"/>
          <w:highlight w:val="none"/>
        </w:rPr>
        <w:t>。另一方面，植被的动态变化通过改变地表反照率、粗糙度及蒸散发，影响着局地的能量与水汽交换</w:t>
      </w:r>
      <w:r>
        <w:rPr>
          <w:rFonts w:ascii="Times New Roman" w:hAnsi="Times New Roman" w:cs="Times New Roman"/>
          <w:color w:val="auto"/>
          <w:highlight w:val="none"/>
          <w:vertAlign w:val="superscript"/>
        </w:rPr>
        <w:t>[90]</w:t>
      </w:r>
      <w:r>
        <w:rPr>
          <w:rFonts w:hint="eastAsia" w:ascii="Times New Roman" w:hAnsi="Times New Roman" w:cs="Times New Roman"/>
          <w:color w:val="auto"/>
          <w:highlight w:val="none"/>
        </w:rPr>
        <w:t>。如干旱胁迫下的植被退化可能通过减少蒸腾而影响局地湿度</w:t>
      </w:r>
      <w:r>
        <w:rPr>
          <w:rFonts w:ascii="Times New Roman" w:hAnsi="Times New Roman" w:cs="Times New Roman"/>
          <w:color w:val="auto"/>
          <w:highlight w:val="none"/>
          <w:vertAlign w:val="superscript"/>
        </w:rPr>
        <w:t>[91]</w:t>
      </w:r>
      <w:r>
        <w:rPr>
          <w:rFonts w:hint="eastAsia" w:ascii="Times New Roman" w:hAnsi="Times New Roman" w:cs="Times New Roman"/>
          <w:color w:val="auto"/>
          <w:highlight w:val="none"/>
        </w:rPr>
        <w:t>，而降水恢复后植被的响应滞后则可能影响流域的水分再分配过程，这些反馈可能影响着旱涝状态转换的速度与强度</w:t>
      </w:r>
      <w:r>
        <w:rPr>
          <w:rFonts w:ascii="Times New Roman" w:hAnsi="Times New Roman" w:cs="Times New Roman"/>
          <w:color w:val="auto"/>
          <w:highlight w:val="none"/>
          <w:vertAlign w:val="superscript"/>
        </w:rPr>
        <w:t>[92]</w:t>
      </w:r>
      <w:r>
        <w:rPr>
          <w:rFonts w:hint="eastAsia" w:ascii="Times New Roman" w:hAnsi="Times New Roman" w:cs="Times New Roman"/>
          <w:color w:val="auto"/>
          <w:highlight w:val="none"/>
        </w:rPr>
        <w:t>。因此，陆面条件特别是土壤湿度和植被状态，也是通过非线性反馈主动参与并加速系统旱涝状态突变的关键因子</w:t>
      </w:r>
      <w:r>
        <w:rPr>
          <w:rFonts w:ascii="Times New Roman" w:hAnsi="Times New Roman" w:cs="Times New Roman"/>
          <w:color w:val="auto"/>
          <w:highlight w:val="none"/>
          <w:vertAlign w:val="superscript"/>
        </w:rPr>
        <w:t>[93]</w:t>
      </w:r>
      <w:r>
        <w:rPr>
          <w:rFonts w:hint="eastAsia" w:ascii="Times New Roman" w:hAnsi="Times New Roman" w:cs="Times New Roman"/>
          <w:color w:val="auto"/>
          <w:highlight w:val="none"/>
        </w:rPr>
        <w:t>。</w:t>
      </w:r>
      <w:bookmarkEnd w:id="20"/>
    </w:p>
    <w:bookmarkEnd w:id="21"/>
    <w:p w14:paraId="73A60813">
      <w:pPr>
        <w:ind w:firstLine="420" w:firstLineChars="200"/>
        <w:rPr>
          <w:rFonts w:ascii="Times New Roman" w:hAnsi="Times New Roman" w:cs="Times New Roman"/>
          <w:color w:val="auto"/>
          <w:highlight w:val="none"/>
        </w:rPr>
      </w:pPr>
      <w:bookmarkStart w:id="22" w:name="_Hlk219817153"/>
      <w:r>
        <w:rPr>
          <w:rFonts w:hint="eastAsia" w:ascii="Times New Roman" w:hAnsi="Times New Roman" w:cs="Times New Roman"/>
          <w:color w:val="auto"/>
          <w:highlight w:val="none"/>
        </w:rPr>
        <w:t>需进一步认识到，旱转涝与涝转旱作为方向相反的过程，其触发条件、放大机制与时空特征存在系统性差异。在环流背景与触发条件上，旱转涝通常由大尺度环流形势的快速逆转所触发，例如西太平洋副热带高压异常西伸北跳、或季风爆发/低压系统突然建立，导致水汽输送通道在前期受干旱控制的区域迅速开启</w:t>
      </w:r>
      <w:r>
        <w:rPr>
          <w:rFonts w:ascii="Times New Roman" w:hAnsi="Times New Roman" w:cs="Times New Roman"/>
          <w:color w:val="auto"/>
          <w:highlight w:val="none"/>
          <w:vertAlign w:val="superscript"/>
        </w:rPr>
        <w:t>[94]</w:t>
      </w:r>
      <w:r>
        <w:rPr>
          <w:rFonts w:hint="eastAsia" w:ascii="Times New Roman" w:hAnsi="Times New Roman" w:cs="Times New Roman"/>
          <w:color w:val="auto"/>
          <w:highlight w:val="none"/>
        </w:rPr>
        <w:t>。其核心放大机制在于前期土壤严重干旱，极低的土壤含水量大幅削弱下渗能力，使得后续强降水高效转化为地表径流，从而急剧放大洪涝的致灾性。此类事件多发于春夏季及季风前沿区，如长江中下游“空梅”后的突发强梅雨。相反，涝转旱往往与持续性降水系统的突然中断或撤离紧密相关，例如副热带高压南落东退、或大陆高压/阻塞高压建立，导致水汽来源被切断。同时，天气转晴后，太阳辐射增强与气温升高导致蒸散发急剧增加，加速系统水分耗竭，前期饱和的土壤虽可能短暂延缓旱情，但持续的蒸散最终加剧水分亏缺</w:t>
      </w:r>
      <w:r>
        <w:rPr>
          <w:rFonts w:ascii="Times New Roman" w:hAnsi="Times New Roman" w:cs="Times New Roman"/>
          <w:color w:val="auto"/>
          <w:highlight w:val="none"/>
          <w:vertAlign w:val="superscript"/>
        </w:rPr>
        <w:t>[95]</w:t>
      </w:r>
      <w:r>
        <w:rPr>
          <w:rFonts w:hint="eastAsia" w:ascii="Times New Roman" w:hAnsi="Times New Roman" w:cs="Times New Roman"/>
          <w:color w:val="auto"/>
          <w:highlight w:val="none"/>
        </w:rPr>
        <w:t>。此类事件常见于夏秋过渡季节，在副高稳定控制后撤退的区域尤为典型。在时空演变特征上，旱转涝过程通常转变更急、历时更短，易在数日内从气象干旱演变为洪涝，空间上多发生在沿海、迎风坡及水系中上游；涝转旱过程则转变相对缓释、历时较长，往往经历从降水结束到土壤水耗竭、再到水文干旱的过程，空间上在内陆盆地、河流下游及灌溉农业区表现更为明显。</w:t>
      </w:r>
    </w:p>
    <w:bookmarkEnd w:id="22"/>
    <w:p w14:paraId="1A91B1EE">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总的来说，水旱灾害的形成和发展包含着复杂的动力学过程及多尺度的水分和能量循环机制，涉及气象、农业、水文、生态和社会经济等多个层面。早期研究主要采用统计相关分析等单因子驱动方法，聚焦于海温异常、大气环流等自然因子以及人为用水、水利工程等人类活动的独立影响。随着因果分析方法和多圈层耦合模型的发展，研究实现了重要突破：在机理层面，揭示了海洋-陆地-大气耦合与人类活动的复合驱动效应</w:t>
      </w:r>
      <w:r>
        <w:rPr>
          <w:rFonts w:ascii="Times New Roman" w:hAnsi="Times New Roman" w:cs="Times New Roman"/>
          <w:color w:val="auto"/>
          <w:highlight w:val="none"/>
          <w:vertAlign w:val="superscript"/>
        </w:rPr>
        <w:t>[96-97]</w:t>
      </w:r>
      <w:r>
        <w:rPr>
          <w:rFonts w:hint="eastAsia" w:ascii="Times New Roman" w:hAnsi="Times New Roman" w:cs="Times New Roman"/>
          <w:color w:val="auto"/>
          <w:highlight w:val="none"/>
        </w:rPr>
        <w:t>；在技术层面，基于结构方程模型、机器学习、随机森林法及因果链条等的归因技术实现了对各类驱动因子的精准量化</w:t>
      </w:r>
      <w:r>
        <w:rPr>
          <w:rFonts w:ascii="Times New Roman" w:hAnsi="Times New Roman" w:cs="Times New Roman"/>
          <w:color w:val="auto"/>
          <w:highlight w:val="none"/>
          <w:vertAlign w:val="superscript"/>
        </w:rPr>
        <w:t>[98-99]</w:t>
      </w:r>
      <w:r>
        <w:rPr>
          <w:rFonts w:hint="eastAsia" w:ascii="Times New Roman" w:hAnsi="Times New Roman" w:cs="Times New Roman"/>
          <w:color w:val="auto"/>
          <w:highlight w:val="none"/>
        </w:rPr>
        <w:t>；在认知层面，突破了传统旱或涝事件的机理研究框架，发现了旱涝急转的双向反馈机制</w:t>
      </w:r>
      <w:r>
        <w:rPr>
          <w:rFonts w:ascii="Times New Roman" w:hAnsi="Times New Roman" w:cs="Times New Roman"/>
          <w:color w:val="auto"/>
          <w:highlight w:val="none"/>
          <w:vertAlign w:val="superscript"/>
        </w:rPr>
        <w:t>[100-101]</w:t>
      </w:r>
      <w:r>
        <w:rPr>
          <w:rFonts w:hint="eastAsia" w:ascii="Times New Roman" w:hAnsi="Times New Roman" w:cs="Times New Roman"/>
          <w:color w:val="auto"/>
          <w:highlight w:val="none"/>
        </w:rPr>
        <w:t>。</w:t>
      </w:r>
    </w:p>
    <w:p w14:paraId="73844B20">
      <w:pPr>
        <w:ind w:firstLine="420" w:firstLineChars="200"/>
        <w:rPr>
          <w:rFonts w:ascii="Times New Roman" w:hAnsi="Times New Roman" w:cs="Times New Roman"/>
          <w:color w:val="auto"/>
          <w:highlight w:val="none"/>
        </w:rPr>
      </w:pPr>
      <w:bookmarkStart w:id="23" w:name="_Hlk218590770"/>
      <w:r>
        <w:rPr>
          <w:rFonts w:hint="eastAsia" w:ascii="Times New Roman" w:hAnsi="Times New Roman" w:cs="Times New Roman"/>
          <w:color w:val="auto"/>
          <w:highlight w:val="none"/>
        </w:rPr>
        <w:t>综上所述，尽管对旱涝急转的大尺度环流背景和海温异常强迫已有一定认识，但其形成机制研究仍存在明显短板。首先，当前研究对陆面过程，如前期土壤湿度异常、植被状况突变等在触发或调制急转过程中的具体贡献与阈值认识不清，缺乏定量分析；其次，人类活动对这种快速转变事件的潜在影响与反馈机制研究亟需突破；此外，揭示自然与人为复杂因素在极端转折中的协同作用的研究缺口亟待补充。未来需借助耦合模型与精细化观测，开展对急转事件多尺度、多圈层联动机制的系统性归因与动态模拟研究。</w:t>
      </w:r>
    </w:p>
    <w:bookmarkEnd w:id="23"/>
    <w:p w14:paraId="0E448009">
      <w:pPr>
        <w:pStyle w:val="3"/>
        <w:rPr>
          <w:rFonts w:ascii="Times New Roman" w:hAnsi="Times New Roman" w:cs="Times New Roman"/>
          <w:color w:val="auto"/>
          <w:highlight w:val="none"/>
        </w:rPr>
      </w:pPr>
      <w:bookmarkStart w:id="24" w:name="_Hlk218609541"/>
      <w:r>
        <w:rPr>
          <w:rFonts w:ascii="Times New Roman" w:hAnsi="Times New Roman" w:cs="Times New Roman"/>
          <w:color w:val="auto"/>
          <w:highlight w:val="none"/>
        </w:rPr>
        <w:t>1.2</w:t>
      </w:r>
      <w:bookmarkStart w:id="25" w:name="_Hlk218612370"/>
      <w:r>
        <w:rPr>
          <w:rFonts w:ascii="Times New Roman" w:hAnsi="Times New Roman" w:cs="Times New Roman"/>
          <w:color w:val="auto"/>
          <w:highlight w:val="none"/>
        </w:rPr>
        <w:t xml:space="preserve"> 水旱</w:t>
      </w:r>
      <w:r>
        <w:rPr>
          <w:rFonts w:hint="eastAsia" w:ascii="Times New Roman" w:hAnsi="Times New Roman" w:cs="Times New Roman"/>
          <w:color w:val="auto"/>
          <w:highlight w:val="none"/>
        </w:rPr>
        <w:t>灾害</w:t>
      </w:r>
      <w:r>
        <w:rPr>
          <w:rFonts w:ascii="Times New Roman" w:hAnsi="Times New Roman" w:cs="Times New Roman"/>
          <w:color w:val="auto"/>
          <w:highlight w:val="none"/>
        </w:rPr>
        <w:t>演变规律识别</w:t>
      </w:r>
    </w:p>
    <w:p w14:paraId="47AFD8AE">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对水旱灾害演变规律的识别，首先依赖于对致灾因子（即干旱、洪涝事件本身）时空特征的精准刻画。因此，本节主要综述水旱事件的识别方法与指标研究进展。</w:t>
      </w:r>
      <w:bookmarkEnd w:id="25"/>
      <w:r>
        <w:rPr>
          <w:rFonts w:hint="eastAsia" w:ascii="Times New Roman" w:hAnsi="Times New Roman" w:cs="Times New Roman"/>
          <w:color w:val="auto"/>
          <w:highlight w:val="none"/>
        </w:rPr>
        <w:t>数年来，相关学者做出了颇多的有益探索，并发展出了相对成熟的评价指标体系（见图3）。最初以考虑降水量、蒸散发量、径流量等主要表征因子，构建了计算简单但缺乏普适性和机理性的单因素指标或简单多因素评价指标，如标准化降水指数（</w:t>
      </w:r>
      <w:r>
        <w:rPr>
          <w:rFonts w:hint="eastAsia" w:ascii="Times New Roman" w:hAnsi="Times New Roman" w:cs="Times New Roman"/>
          <w:i/>
          <w:iCs/>
          <w:color w:val="auto"/>
          <w:highlight w:val="none"/>
        </w:rPr>
        <w:t>SPI</w:t>
      </w:r>
      <w:r>
        <w:rPr>
          <w:rFonts w:hint="eastAsia" w:ascii="Times New Roman" w:hAnsi="Times New Roman" w:cs="Times New Roman"/>
          <w:color w:val="auto"/>
          <w:highlight w:val="none"/>
        </w:rPr>
        <w:t>）、降水距离平百分率（</w:t>
      </w:r>
      <w:r>
        <w:rPr>
          <w:rFonts w:hint="eastAsia" w:ascii="Times New Roman" w:hAnsi="Times New Roman" w:cs="Times New Roman"/>
          <w:i/>
          <w:iCs/>
          <w:color w:val="auto"/>
          <w:highlight w:val="none"/>
        </w:rPr>
        <w:t>PA</w:t>
      </w:r>
      <w:r>
        <w:rPr>
          <w:rFonts w:hint="eastAsia" w:ascii="Times New Roman" w:hAnsi="Times New Roman" w:cs="Times New Roman"/>
          <w:color w:val="auto"/>
          <w:highlight w:val="none"/>
        </w:rPr>
        <w:t>）、降水异常指数（</w:t>
      </w:r>
      <w:r>
        <w:rPr>
          <w:rFonts w:hint="eastAsia" w:ascii="Times New Roman" w:hAnsi="Times New Roman" w:cs="Times New Roman"/>
          <w:i/>
          <w:iCs/>
          <w:color w:val="auto"/>
          <w:highlight w:val="none"/>
        </w:rPr>
        <w:t>RAI</w:t>
      </w:r>
      <w:r>
        <w:rPr>
          <w:rFonts w:hint="eastAsia" w:ascii="Times New Roman" w:hAnsi="Times New Roman" w:cs="Times New Roman"/>
          <w:color w:val="auto"/>
          <w:highlight w:val="none"/>
        </w:rPr>
        <w:t>）、帕默尔干旱指数（</w:t>
      </w:r>
      <w:r>
        <w:rPr>
          <w:rFonts w:hint="eastAsia" w:ascii="Times New Roman" w:hAnsi="Times New Roman" w:cs="Times New Roman"/>
          <w:i/>
          <w:iCs/>
          <w:color w:val="auto"/>
          <w:highlight w:val="none"/>
        </w:rPr>
        <w:t>PDSI</w:t>
      </w:r>
      <w:r>
        <w:rPr>
          <w:rFonts w:hint="eastAsia" w:ascii="Times New Roman" w:hAnsi="Times New Roman" w:cs="Times New Roman"/>
          <w:color w:val="auto"/>
          <w:highlight w:val="none"/>
        </w:rPr>
        <w:t>）、标准化径流指数（</w:t>
      </w:r>
      <w:r>
        <w:rPr>
          <w:rFonts w:hint="eastAsia" w:ascii="Times New Roman" w:hAnsi="Times New Roman" w:cs="Times New Roman"/>
          <w:i/>
          <w:iCs/>
          <w:color w:val="auto"/>
          <w:highlight w:val="none"/>
        </w:rPr>
        <w:t>SRI</w:t>
      </w:r>
      <w:r>
        <w:rPr>
          <w:rFonts w:hint="eastAsia" w:ascii="Times New Roman" w:hAnsi="Times New Roman" w:cs="Times New Roman"/>
          <w:color w:val="auto"/>
          <w:highlight w:val="none"/>
        </w:rPr>
        <w:t>）、标准化降水蒸散发指数（</w:t>
      </w:r>
      <w:r>
        <w:rPr>
          <w:rFonts w:hint="eastAsia" w:ascii="Times New Roman" w:hAnsi="Times New Roman" w:cs="Times New Roman"/>
          <w:i/>
          <w:iCs/>
          <w:color w:val="auto"/>
          <w:highlight w:val="none"/>
        </w:rPr>
        <w:t>SPEI</w:t>
      </w:r>
      <w:r>
        <w:rPr>
          <w:rFonts w:hint="eastAsia" w:ascii="Times New Roman" w:hAnsi="Times New Roman" w:cs="Times New Roman"/>
          <w:color w:val="auto"/>
          <w:highlight w:val="none"/>
        </w:rPr>
        <w:t>）、气象干旱指数（</w:t>
      </w:r>
      <w:r>
        <w:rPr>
          <w:rFonts w:hint="eastAsia" w:ascii="Times New Roman" w:hAnsi="Times New Roman" w:cs="Times New Roman"/>
          <w:i/>
          <w:iCs/>
          <w:color w:val="auto"/>
          <w:highlight w:val="none"/>
        </w:rPr>
        <w:t>MCI</w:t>
      </w:r>
      <w:r>
        <w:rPr>
          <w:rFonts w:hint="eastAsia" w:ascii="Times New Roman" w:hAnsi="Times New Roman" w:cs="Times New Roman"/>
          <w:color w:val="auto"/>
          <w:highlight w:val="none"/>
        </w:rPr>
        <w:t>）、标准化综合干旱指数（</w:t>
      </w:r>
      <w:r>
        <w:rPr>
          <w:rFonts w:hint="eastAsia" w:ascii="Times New Roman" w:hAnsi="Times New Roman" w:cs="Times New Roman"/>
          <w:i/>
          <w:iCs/>
          <w:color w:val="auto"/>
          <w:highlight w:val="none"/>
        </w:rPr>
        <w:t>SCDI</w:t>
      </w:r>
      <w:r>
        <w:rPr>
          <w:rFonts w:hint="eastAsia" w:ascii="Times New Roman" w:hAnsi="Times New Roman" w:cs="Times New Roman"/>
          <w:color w:val="auto"/>
          <w:highlight w:val="none"/>
        </w:rPr>
        <w:t>）、干燥度指数（</w:t>
      </w:r>
      <w:r>
        <w:rPr>
          <w:rFonts w:hint="eastAsia" w:ascii="Times New Roman" w:hAnsi="Times New Roman" w:cs="Times New Roman"/>
          <w:i/>
          <w:iCs/>
          <w:color w:val="auto"/>
          <w:highlight w:val="none"/>
        </w:rPr>
        <w:t>AI</w:t>
      </w:r>
      <w:r>
        <w:rPr>
          <w:rFonts w:hint="eastAsia" w:ascii="Times New Roman" w:hAnsi="Times New Roman" w:cs="Times New Roman"/>
          <w:color w:val="auto"/>
          <w:highlight w:val="none"/>
        </w:rPr>
        <w:t>）、作物水分距平指数（</w:t>
      </w:r>
      <w:r>
        <w:rPr>
          <w:rFonts w:hint="eastAsia" w:ascii="Times New Roman" w:hAnsi="Times New Roman" w:cs="Times New Roman"/>
          <w:i/>
          <w:iCs/>
          <w:color w:val="auto"/>
          <w:highlight w:val="none"/>
        </w:rPr>
        <w:t>CWDI</w:t>
      </w:r>
      <w:r>
        <w:rPr>
          <w:rFonts w:hint="eastAsia" w:ascii="Times New Roman" w:hAnsi="Times New Roman" w:cs="Times New Roman"/>
          <w:color w:val="auto"/>
          <w:highlight w:val="none"/>
        </w:rPr>
        <w:t>）、</w:t>
      </w:r>
      <w:r>
        <w:rPr>
          <w:rFonts w:hint="eastAsia" w:ascii="Times New Roman" w:hAnsi="Times New Roman" w:cs="Times New Roman"/>
          <w:i/>
          <w:iCs/>
          <w:color w:val="auto"/>
          <w:highlight w:val="none"/>
        </w:rPr>
        <w:t>Z</w:t>
      </w:r>
      <w:r>
        <w:rPr>
          <w:rFonts w:hint="eastAsia" w:ascii="Times New Roman" w:hAnsi="Times New Roman" w:cs="Times New Roman"/>
          <w:color w:val="auto"/>
          <w:highlight w:val="none"/>
        </w:rPr>
        <w:t>指数和它们的改进指数等，开发的这些指数通常以监测站点数据为基础，以月或季为时间尺度，在讨论旱涝事件演变规律的研究中，一般将这些指数与游程理论结合，来识别旱涝事件并提取其特征，且这些指数已在全球多个国家和地区得到广泛实践与应用</w:t>
      </w:r>
      <w:r>
        <w:rPr>
          <w:rFonts w:ascii="Times New Roman" w:hAnsi="Times New Roman" w:cs="Times New Roman"/>
          <w:color w:val="auto"/>
          <w:highlight w:val="none"/>
          <w:vertAlign w:val="superscript"/>
        </w:rPr>
        <w:t>[102-104]</w:t>
      </w:r>
      <w:r>
        <w:rPr>
          <w:rFonts w:hint="eastAsia" w:ascii="Times New Roman" w:hAnsi="Times New Roman" w:cs="Times New Roman"/>
          <w:color w:val="auto"/>
          <w:highlight w:val="none"/>
        </w:rPr>
        <w:t>。后来伴随遥感、地理信息系统、水文模型等工具技术的高速发展，指标内容得到了多样化拓展，一系列基于遥感技术的多源数据融合的指标应运而生，如归一化植被指数（</w:t>
      </w:r>
      <w:r>
        <w:rPr>
          <w:rFonts w:hint="eastAsia" w:ascii="Times New Roman" w:hAnsi="Times New Roman" w:cs="Times New Roman"/>
          <w:i/>
          <w:iCs/>
          <w:color w:val="auto"/>
          <w:highlight w:val="none"/>
        </w:rPr>
        <w:t>NDVI</w:t>
      </w:r>
      <w:r>
        <w:rPr>
          <w:rFonts w:hint="eastAsia" w:ascii="Times New Roman" w:hAnsi="Times New Roman" w:cs="Times New Roman"/>
          <w:color w:val="auto"/>
          <w:highlight w:val="none"/>
        </w:rPr>
        <w:t>）、植被干旱响应指数（</w:t>
      </w:r>
      <w:r>
        <w:rPr>
          <w:rFonts w:hint="eastAsia" w:ascii="Times New Roman" w:hAnsi="Times New Roman" w:cs="Times New Roman"/>
          <w:i/>
          <w:iCs/>
          <w:color w:val="auto"/>
          <w:highlight w:val="none"/>
        </w:rPr>
        <w:t>VDRI</w:t>
      </w:r>
      <w:r>
        <w:rPr>
          <w:rFonts w:hint="eastAsia" w:ascii="Times New Roman" w:hAnsi="Times New Roman" w:cs="Times New Roman"/>
          <w:color w:val="auto"/>
          <w:highlight w:val="none"/>
        </w:rPr>
        <w:t>）、蒸发胁迫指数（</w:t>
      </w:r>
      <w:r>
        <w:rPr>
          <w:rFonts w:hint="eastAsia" w:ascii="Times New Roman" w:hAnsi="Times New Roman" w:cs="Times New Roman"/>
          <w:i/>
          <w:iCs/>
          <w:color w:val="auto"/>
          <w:highlight w:val="none"/>
        </w:rPr>
        <w:t>ESI</w:t>
      </w:r>
      <w:r>
        <w:rPr>
          <w:rFonts w:hint="eastAsia" w:ascii="Times New Roman" w:hAnsi="Times New Roman" w:cs="Times New Roman"/>
          <w:color w:val="auto"/>
          <w:highlight w:val="none"/>
        </w:rPr>
        <w:t>）、标准化土壤湿度指数（</w:t>
      </w:r>
      <w:r>
        <w:rPr>
          <w:rFonts w:hint="eastAsia" w:ascii="Times New Roman" w:hAnsi="Times New Roman" w:cs="Times New Roman"/>
          <w:i/>
          <w:iCs/>
          <w:color w:val="auto"/>
          <w:highlight w:val="none"/>
        </w:rPr>
        <w:t>SSMI</w:t>
      </w:r>
      <w:r>
        <w:rPr>
          <w:rFonts w:hint="eastAsia" w:ascii="Times New Roman" w:hAnsi="Times New Roman" w:cs="Times New Roman"/>
          <w:color w:val="auto"/>
          <w:highlight w:val="none"/>
        </w:rPr>
        <w:t>）等，这些指标的发展拓宽了研究的数据精度和空间覆盖范围，气象与遥感信息的有效融合补偿了离散台站监测的时空不连续性</w:t>
      </w:r>
      <w:r>
        <w:rPr>
          <w:rFonts w:ascii="Times New Roman" w:hAnsi="Times New Roman" w:cs="Times New Roman"/>
          <w:color w:val="auto"/>
          <w:highlight w:val="none"/>
          <w:vertAlign w:val="superscript"/>
        </w:rPr>
        <w:t>[105]</w:t>
      </w:r>
      <w:r>
        <w:rPr>
          <w:rFonts w:hint="eastAsia" w:ascii="Times New Roman" w:hAnsi="Times New Roman" w:cs="Times New Roman"/>
          <w:color w:val="auto"/>
          <w:highlight w:val="none"/>
        </w:rPr>
        <w:t>，为研究大尺度旱涝动态变化提供了有力的支撑。</w:t>
      </w:r>
    </w:p>
    <w:p w14:paraId="46088286">
      <w:pPr>
        <w:pStyle w:val="7"/>
        <w:jc w:val="center"/>
        <w:rPr>
          <w:color w:val="auto"/>
          <w:highlight w:val="none"/>
        </w:rPr>
      </w:pPr>
      <w:r>
        <w:rPr>
          <w:color w:val="auto"/>
          <w:highlight w:val="none"/>
        </w:rPr>
        <w:pict>
          <v:shape id="_x0000_i1030" o:spt="75" type="#_x0000_t75" style="height:146.85pt;width:257pt;" filled="f" o:preferrelative="t" stroked="f" coordsize="21600,21600">
            <v:path/>
            <v:fill on="f" focussize="0,0"/>
            <v:stroke on="f" joinstyle="miter"/>
            <v:imagedata r:id="rId10" o:title="干旱指标终版"/>
            <o:lock v:ext="edit" aspectratio="t"/>
            <w10:wrap type="none"/>
            <w10:anchorlock/>
          </v:shape>
        </w:pict>
      </w:r>
    </w:p>
    <w:p w14:paraId="0B603ABE">
      <w:pPr>
        <w:pStyle w:val="5"/>
        <w:spacing w:line="288" w:lineRule="auto"/>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图 3 </w:t>
      </w:r>
      <w:r>
        <w:rPr>
          <w:rFonts w:hint="eastAsia" w:ascii="Times New Roman" w:hAnsi="Times New Roman" w:cs="Times New Roman"/>
          <w:color w:val="auto"/>
          <w:sz w:val="18"/>
          <w:szCs w:val="18"/>
          <w:highlight w:val="none"/>
        </w:rPr>
        <w:t>干旱指标发展过程及趋势</w:t>
      </w:r>
    </w:p>
    <w:p w14:paraId="5D857B83">
      <w:pPr>
        <w:pStyle w:val="7"/>
        <w:jc w:val="center"/>
        <w:rPr>
          <w:color w:val="auto"/>
          <w:highlight w:val="none"/>
        </w:rPr>
      </w:pPr>
      <w:r>
        <w:rPr>
          <w:rFonts w:ascii="Times New Roman" w:hAnsi="Times New Roman" w:eastAsia="黑体" w:cs="Times New Roman"/>
          <w:bCs/>
          <w:color w:val="auto"/>
          <w:sz w:val="18"/>
          <w:szCs w:val="18"/>
          <w:highlight w:val="none"/>
        </w:rPr>
        <w:t xml:space="preserve">Fig.3  Development process and trend of drought </w:t>
      </w:r>
      <w:r>
        <w:rPr>
          <w:rFonts w:hint="eastAsia" w:ascii="Times New Roman" w:hAnsi="Times New Roman" w:eastAsia="黑体" w:cs="Times New Roman"/>
          <w:bCs/>
          <w:color w:val="auto"/>
          <w:sz w:val="18"/>
          <w:szCs w:val="18"/>
          <w:highlight w:val="none"/>
        </w:rPr>
        <w:t>indicators</w:t>
      </w:r>
    </w:p>
    <w:p w14:paraId="71C1EA67">
      <w:pPr>
        <w:ind w:firstLine="420" w:firstLineChars="200"/>
        <w:rPr>
          <w:rFonts w:ascii="Times New Roman" w:hAnsi="Times New Roman" w:cs="Times New Roman"/>
          <w:color w:val="auto"/>
          <w:highlight w:val="none"/>
        </w:rPr>
      </w:pPr>
      <w:bookmarkStart w:id="26" w:name="_Hlk218778244"/>
      <w:r>
        <w:rPr>
          <w:rFonts w:hint="eastAsia" w:ascii="Times New Roman" w:hAnsi="Times New Roman" w:cs="Times New Roman"/>
          <w:color w:val="auto"/>
          <w:highlight w:val="none"/>
        </w:rPr>
        <w:t>当前，随着学界对水循环过程认识的不断深化</w:t>
      </w:r>
      <w:bookmarkEnd w:id="26"/>
      <w:r>
        <w:rPr>
          <w:rFonts w:hint="eastAsia" w:ascii="Times New Roman" w:hAnsi="Times New Roman" w:cs="Times New Roman"/>
          <w:color w:val="auto"/>
          <w:highlight w:val="none"/>
        </w:rPr>
        <w:t>，意识到单因素指标在刻画实际旱涝状况时缺乏综合性，不足以完整表征自然水循环多要素过程</w:t>
      </w:r>
      <w:r>
        <w:rPr>
          <w:rFonts w:ascii="Times New Roman" w:hAnsi="Times New Roman" w:cs="Times New Roman"/>
          <w:color w:val="auto"/>
          <w:highlight w:val="none"/>
          <w:vertAlign w:val="superscript"/>
        </w:rPr>
        <w:t>[106]</w:t>
      </w:r>
      <w:r>
        <w:rPr>
          <w:rFonts w:hint="eastAsia" w:ascii="Times New Roman" w:hAnsi="Times New Roman" w:cs="Times New Roman"/>
          <w:color w:val="auto"/>
          <w:highlight w:val="none"/>
        </w:rPr>
        <w:t>，且易出现错报漏报等问题，因此发展多因子综合表征、具有一定物理机制的综合旱涝指标成为了目前的研究热点，如</w:t>
      </w:r>
      <w:r>
        <w:rPr>
          <w:rFonts w:hint="eastAsia" w:ascii="Times New Roman" w:hAnsi="Times New Roman" w:cs="Times New Roman"/>
          <w:color w:val="auto"/>
          <w:highlight w:val="none"/>
        </w:rPr>
        <w:t>姜浩</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[107]</w:t>
      </w:r>
      <w:r>
        <w:rPr>
          <w:rFonts w:hint="eastAsia" w:ascii="Times New Roman" w:hAnsi="Times New Roman" w:cs="Times New Roman"/>
          <w:color w:val="auto"/>
          <w:highlight w:val="none"/>
        </w:rPr>
        <w:t>构建的基于温度-降水-植被综合干旱指数（</w:t>
      </w:r>
      <w:r>
        <w:rPr>
          <w:rFonts w:hint="eastAsia" w:ascii="Times New Roman" w:hAnsi="Times New Roman" w:cs="Times New Roman"/>
          <w:i/>
          <w:iCs/>
          <w:color w:val="auto"/>
          <w:highlight w:val="none"/>
        </w:rPr>
        <w:t>TPVDI</w:t>
      </w:r>
      <w:r>
        <w:rPr>
          <w:rFonts w:hint="eastAsia" w:ascii="Times New Roman" w:hAnsi="Times New Roman" w:cs="Times New Roman"/>
          <w:color w:val="auto"/>
          <w:highlight w:val="none"/>
        </w:rPr>
        <w:t>），在气象、农业干旱和综合干旱监测及规律辨析方面均表现出色，同时突破了单一要素监测的局限性，实现了多源数据协同的干旱动态感知；</w:t>
      </w:r>
      <w:r>
        <w:rPr>
          <w:rFonts w:ascii="Times New Roman" w:hAnsi="Times New Roman" w:cs="Times New Roman"/>
          <w:color w:val="auto"/>
          <w:highlight w:val="none"/>
        </w:rPr>
        <w:t>WANG</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[108]</w:t>
      </w:r>
      <w:r>
        <w:rPr>
          <w:rFonts w:hint="eastAsia" w:ascii="Times New Roman" w:hAnsi="Times New Roman" w:cs="Times New Roman"/>
          <w:color w:val="auto"/>
          <w:highlight w:val="none"/>
        </w:rPr>
        <w:t>基于标准化指数框架和三元Copula函数，提出了一种集成降雨、温度、径流和土壤湿度的多尺度综合干旱指数（</w:t>
      </w:r>
      <w:r>
        <w:rPr>
          <w:rFonts w:hint="eastAsia" w:ascii="Times New Roman" w:hAnsi="Times New Roman" w:cs="Times New Roman"/>
          <w:i/>
          <w:iCs/>
          <w:color w:val="auto"/>
          <w:highlight w:val="none"/>
        </w:rPr>
        <w:t>SPERSI</w:t>
      </w:r>
      <w:r>
        <w:rPr>
          <w:rFonts w:hint="eastAsia" w:ascii="Times New Roman" w:hAnsi="Times New Roman" w:cs="Times New Roman"/>
          <w:color w:val="auto"/>
          <w:highlight w:val="none"/>
        </w:rPr>
        <w:t>），以反映气象、水文和农业干旱的综合演变特征。</w:t>
      </w:r>
    </w:p>
    <w:p w14:paraId="7279A7FC">
      <w:pPr>
        <w:ind w:firstLine="420" w:firstLineChars="200"/>
        <w:rPr>
          <w:rFonts w:ascii="Times New Roman" w:hAnsi="Times New Roman" w:cs="Times New Roman"/>
          <w:color w:val="auto"/>
          <w:highlight w:val="none"/>
        </w:rPr>
      </w:pPr>
      <w:bookmarkStart w:id="27" w:name="_Hlk218612072"/>
      <w:r>
        <w:rPr>
          <w:rFonts w:hint="eastAsia" w:ascii="Times New Roman" w:hAnsi="Times New Roman" w:cs="Times New Roman"/>
          <w:color w:val="auto"/>
          <w:highlight w:val="none"/>
        </w:rPr>
        <w:t>上述各类干旱/旱涝识别指数，因其原理、数据基础与发展阶段不同，其特点与应用场景各异。为明晰其技术特征与适用性，如表1所列，从核心原理、关键数据需求、可用尺度及主要优势与局限等方面，对三个阶段中的代表性指数进行了系统对比。总体而言，传统单因素/简单多因素指数（如</w:t>
      </w:r>
      <w:r>
        <w:rPr>
          <w:rFonts w:hint="eastAsia" w:ascii="Times New Roman" w:hAnsi="Times New Roman" w:cs="Times New Roman"/>
          <w:i/>
          <w:iCs/>
          <w:color w:val="auto"/>
          <w:highlight w:val="none"/>
        </w:rPr>
        <w:t>SPI、SPEI、SRI</w:t>
      </w:r>
      <w:r>
        <w:rPr>
          <w:rFonts w:hint="eastAsia" w:ascii="Times New Roman" w:hAnsi="Times New Roman" w:cs="Times New Roman"/>
          <w:color w:val="auto"/>
          <w:highlight w:val="none"/>
        </w:rPr>
        <w:t>）通常计算相对简便，但其数据多依赖于地面站点观测，在空间连续性与实时性上存在局限；基于遥感的多源数据融合指数（如</w:t>
      </w:r>
      <w:r>
        <w:rPr>
          <w:rFonts w:hint="eastAsia" w:ascii="Times New Roman" w:hAnsi="Times New Roman" w:cs="Times New Roman"/>
          <w:i/>
          <w:iCs/>
          <w:color w:val="auto"/>
          <w:highlight w:val="none"/>
        </w:rPr>
        <w:t>SSMI、ESI</w:t>
      </w:r>
      <w:r>
        <w:rPr>
          <w:rFonts w:hint="eastAsia" w:ascii="Times New Roman" w:hAnsi="Times New Roman" w:cs="Times New Roman"/>
          <w:color w:val="auto"/>
          <w:highlight w:val="none"/>
        </w:rPr>
        <w:t>）依托对地观测技术，显著提升了监测的时空覆盖与客观性，但其反演精度易受传感器性能、大气条件及算法不确定性的影响；机理增强型综合指数（如</w:t>
      </w:r>
      <w:r>
        <w:rPr>
          <w:rFonts w:hint="eastAsia" w:ascii="Times New Roman" w:hAnsi="Times New Roman" w:cs="Times New Roman"/>
          <w:i/>
          <w:iCs/>
          <w:color w:val="auto"/>
          <w:highlight w:val="none"/>
        </w:rPr>
        <w:t>SPERSI、TPVDI</w:t>
      </w:r>
      <w:r>
        <w:rPr>
          <w:rFonts w:hint="eastAsia" w:ascii="Times New Roman" w:hAnsi="Times New Roman" w:cs="Times New Roman"/>
          <w:color w:val="auto"/>
          <w:highlight w:val="none"/>
        </w:rPr>
        <w:t>）致力于整合多圈层、多要素信息，表征更为全面且物理意义更强，但对多源异质数据的一致性处理、模型复杂度以及计算资源的要求也显著提高。</w:t>
      </w:r>
    </w:p>
    <w:p w14:paraId="4D958D5D">
      <w:pPr>
        <w:pStyle w:val="7"/>
        <w:rPr>
          <w:color w:val="auto"/>
          <w:highlight w:val="none"/>
        </w:rPr>
      </w:pPr>
    </w:p>
    <w:p w14:paraId="5A663160">
      <w:pPr>
        <w:pStyle w:val="5"/>
        <w:keepNext/>
        <w:jc w:val="center"/>
        <w:rPr>
          <w:rFonts w:ascii="Times New Roman" w:hAnsi="Times New Roman" w:cs="Times New Roman"/>
          <w:color w:val="auto"/>
          <w:sz w:val="18"/>
          <w:szCs w:val="18"/>
          <w:highlight w:val="none"/>
        </w:rPr>
      </w:pPr>
      <w:bookmarkStart w:id="28" w:name="OLE_LINK37"/>
      <w:r>
        <w:rPr>
          <w:rFonts w:ascii="Times New Roman" w:hAnsi="Times New Roman" w:cs="Times New Roman"/>
          <w:color w:val="auto"/>
          <w:sz w:val="18"/>
          <w:szCs w:val="18"/>
          <w:highlight w:val="none"/>
        </w:rPr>
        <w:t>表 1 代表性指标对比表</w:t>
      </w:r>
    </w:p>
    <w:p w14:paraId="0A6EB93C">
      <w:pPr>
        <w:keepNext/>
        <w:jc w:val="center"/>
        <w:rPr>
          <w:rFonts w:ascii="Times New Roman" w:hAnsi="Times New Roman" w:cs="Times New Roman"/>
          <w:color w:val="auto"/>
          <w:sz w:val="18"/>
          <w:szCs w:val="18"/>
          <w:highlight w:val="none"/>
        </w:rPr>
      </w:pPr>
      <w:r>
        <w:rPr>
          <w:rFonts w:ascii="Times New Roman" w:hAnsi="Times New Roman" w:cs="Times New Roman"/>
          <w:color w:val="auto"/>
          <w:highlight w:val="none"/>
        </w:rPr>
        <w:t xml:space="preserve">Table 1 Comparison of representative </w:t>
      </w:r>
      <w:r>
        <w:rPr>
          <w:rFonts w:hint="eastAsia" w:ascii="Times New Roman" w:hAnsi="Times New Roman" w:cs="Times New Roman"/>
          <w:color w:val="auto"/>
          <w:highlight w:val="none"/>
        </w:rPr>
        <w:t>indicators</w:t>
      </w:r>
    </w:p>
    <w:bookmarkEnd w:id="27"/>
    <w:bookmarkEnd w:id="28"/>
    <w:tbl>
      <w:tblPr>
        <w:tblStyle w:val="4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972"/>
        <w:gridCol w:w="1277"/>
        <w:gridCol w:w="992"/>
        <w:gridCol w:w="1276"/>
        <w:gridCol w:w="1418"/>
        <w:gridCol w:w="1643"/>
      </w:tblGrid>
      <w:tr w14:paraId="24F82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14:paraId="4A7181DA">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发展</w:t>
            </w:r>
          </w:p>
          <w:p w14:paraId="22C9CF50">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阶段</w:t>
            </w:r>
          </w:p>
        </w:tc>
        <w:tc>
          <w:tcPr>
            <w:tcW w:w="972" w:type="dxa"/>
            <w:vAlign w:val="center"/>
          </w:tcPr>
          <w:p w14:paraId="33230568">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指数类别</w:t>
            </w:r>
          </w:p>
          <w:p w14:paraId="61933C59">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与名称</w:t>
            </w:r>
          </w:p>
        </w:tc>
        <w:tc>
          <w:tcPr>
            <w:tcW w:w="1277" w:type="dxa"/>
            <w:vAlign w:val="center"/>
          </w:tcPr>
          <w:p w14:paraId="687F0CCE">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核心原理</w:t>
            </w:r>
          </w:p>
        </w:tc>
        <w:tc>
          <w:tcPr>
            <w:tcW w:w="992" w:type="dxa"/>
            <w:vAlign w:val="center"/>
          </w:tcPr>
          <w:p w14:paraId="094353E3">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关键数据</w:t>
            </w:r>
          </w:p>
          <w:p w14:paraId="6D1B18F2">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需求</w:t>
            </w:r>
          </w:p>
        </w:tc>
        <w:tc>
          <w:tcPr>
            <w:tcW w:w="1276" w:type="dxa"/>
            <w:vAlign w:val="center"/>
          </w:tcPr>
          <w:p w14:paraId="4398DB26">
            <w:pPr>
              <w:adjustRightInd w:val="0"/>
              <w:snapToGrid w:val="0"/>
              <w:jc w:val="center"/>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可用</w:t>
            </w:r>
            <w:r>
              <w:rPr>
                <w:rFonts w:ascii="Times New Roman" w:hAnsi="Times New Roman" w:cs="Times New Roman" w:eastAsiaTheme="minorEastAsia"/>
                <w:color w:val="auto"/>
                <w:sz w:val="15"/>
                <w:szCs w:val="15"/>
                <w:highlight w:val="none"/>
              </w:rPr>
              <w:t>尺度</w:t>
            </w:r>
          </w:p>
        </w:tc>
        <w:tc>
          <w:tcPr>
            <w:tcW w:w="1418" w:type="dxa"/>
            <w:vAlign w:val="center"/>
          </w:tcPr>
          <w:p w14:paraId="5A1C158C">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主要优势</w:t>
            </w:r>
          </w:p>
        </w:tc>
        <w:tc>
          <w:tcPr>
            <w:tcW w:w="1643" w:type="dxa"/>
            <w:vAlign w:val="center"/>
          </w:tcPr>
          <w:p w14:paraId="02738669">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主要局限</w:t>
            </w:r>
          </w:p>
        </w:tc>
      </w:tr>
      <w:tr w14:paraId="74ABA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F445B09">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传统单因素/简单多因素指数</w:t>
            </w:r>
          </w:p>
        </w:tc>
        <w:tc>
          <w:tcPr>
            <w:tcW w:w="972" w:type="dxa"/>
            <w:vAlign w:val="center"/>
          </w:tcPr>
          <w:p w14:paraId="5C655451">
            <w:pPr>
              <w:adjustRightInd w:val="0"/>
              <w:snapToGrid w:val="0"/>
              <w:jc w:val="center"/>
              <w:rPr>
                <w:rFonts w:ascii="Times New Roman" w:hAnsi="Times New Roman" w:cs="Times New Roman" w:eastAsiaTheme="minorEastAsia"/>
                <w:i/>
                <w:iCs/>
                <w:color w:val="auto"/>
                <w:sz w:val="15"/>
                <w:szCs w:val="15"/>
                <w:highlight w:val="none"/>
              </w:rPr>
            </w:pPr>
            <w:r>
              <w:rPr>
                <w:rFonts w:ascii="Times New Roman" w:hAnsi="Times New Roman" w:cs="Times New Roman" w:eastAsiaTheme="minorEastAsia"/>
                <w:i/>
                <w:iCs/>
                <w:color w:val="auto"/>
                <w:sz w:val="15"/>
                <w:szCs w:val="15"/>
                <w:highlight w:val="none"/>
              </w:rPr>
              <w:t>SPI</w:t>
            </w:r>
          </w:p>
        </w:tc>
        <w:tc>
          <w:tcPr>
            <w:tcW w:w="1277" w:type="dxa"/>
            <w:vAlign w:val="center"/>
          </w:tcPr>
          <w:p w14:paraId="36607E6B">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基于降水概率分布的标准化</w:t>
            </w:r>
          </w:p>
        </w:tc>
        <w:tc>
          <w:tcPr>
            <w:tcW w:w="992" w:type="dxa"/>
            <w:vAlign w:val="center"/>
          </w:tcPr>
          <w:p w14:paraId="2EDEA44A">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长时序降水数据</w:t>
            </w:r>
          </w:p>
        </w:tc>
        <w:tc>
          <w:tcPr>
            <w:tcW w:w="1276" w:type="dxa"/>
            <w:vAlign w:val="center"/>
          </w:tcPr>
          <w:p w14:paraId="2E51876C">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区域至全球，站点或插值格点</w:t>
            </w:r>
          </w:p>
        </w:tc>
        <w:tc>
          <w:tcPr>
            <w:tcW w:w="1418" w:type="dxa"/>
            <w:vAlign w:val="center"/>
          </w:tcPr>
          <w:p w14:paraId="08C4FA3A">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计算简单，多时间尺度，仅需降水数据，全球可比</w:t>
            </w:r>
          </w:p>
        </w:tc>
        <w:tc>
          <w:tcPr>
            <w:tcW w:w="1643" w:type="dxa"/>
            <w:vAlign w:val="center"/>
          </w:tcPr>
          <w:p w14:paraId="07C03B32">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未考虑温度、蒸散等热力因素，无法反映“暖干”加剧效应</w:t>
            </w:r>
          </w:p>
        </w:tc>
      </w:tr>
      <w:tr w14:paraId="7DB77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7866204">
            <w:pPr>
              <w:widowControl/>
              <w:adjustRightInd w:val="0"/>
              <w:snapToGrid w:val="0"/>
              <w:jc w:val="left"/>
              <w:rPr>
                <w:rFonts w:ascii="Times New Roman" w:hAnsi="Times New Roman" w:cs="Times New Roman" w:eastAsiaTheme="minorEastAsia"/>
                <w:color w:val="auto"/>
                <w:sz w:val="15"/>
                <w:szCs w:val="15"/>
                <w:highlight w:val="none"/>
              </w:rPr>
            </w:pPr>
          </w:p>
        </w:tc>
        <w:tc>
          <w:tcPr>
            <w:tcW w:w="972" w:type="dxa"/>
            <w:vAlign w:val="center"/>
          </w:tcPr>
          <w:p w14:paraId="796B18FA">
            <w:pPr>
              <w:adjustRightInd w:val="0"/>
              <w:snapToGrid w:val="0"/>
              <w:jc w:val="center"/>
              <w:rPr>
                <w:rFonts w:ascii="Times New Roman" w:hAnsi="Times New Roman" w:cs="Times New Roman" w:eastAsiaTheme="minorEastAsia"/>
                <w:i/>
                <w:iCs/>
                <w:color w:val="auto"/>
                <w:sz w:val="15"/>
                <w:szCs w:val="15"/>
                <w:highlight w:val="none"/>
              </w:rPr>
            </w:pPr>
            <w:r>
              <w:rPr>
                <w:rFonts w:ascii="Times New Roman" w:hAnsi="Times New Roman" w:cs="Times New Roman" w:eastAsiaTheme="minorEastAsia"/>
                <w:i/>
                <w:iCs/>
                <w:color w:val="auto"/>
                <w:sz w:val="15"/>
                <w:szCs w:val="15"/>
                <w:highlight w:val="none"/>
              </w:rPr>
              <w:t>SPEI</w:t>
            </w:r>
          </w:p>
        </w:tc>
        <w:tc>
          <w:tcPr>
            <w:tcW w:w="1277" w:type="dxa"/>
            <w:vAlign w:val="center"/>
          </w:tcPr>
          <w:p w14:paraId="1CAA33D2">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结合降水与潜在蒸散的水分盈亏标准化</w:t>
            </w:r>
          </w:p>
        </w:tc>
        <w:tc>
          <w:tcPr>
            <w:tcW w:w="992" w:type="dxa"/>
            <w:vAlign w:val="center"/>
          </w:tcPr>
          <w:p w14:paraId="4892C2A6">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降水、潜在蒸散发</w:t>
            </w:r>
            <w:r>
              <w:rPr>
                <w:rFonts w:hint="eastAsia" w:ascii="Times New Roman" w:hAnsi="Times New Roman" w:cs="Times New Roman" w:eastAsiaTheme="minorEastAsia"/>
                <w:color w:val="auto"/>
                <w:sz w:val="15"/>
                <w:szCs w:val="15"/>
                <w:highlight w:val="none"/>
              </w:rPr>
              <w:t>（PET）</w:t>
            </w:r>
          </w:p>
        </w:tc>
        <w:tc>
          <w:tcPr>
            <w:tcW w:w="1276" w:type="dxa"/>
            <w:vAlign w:val="center"/>
          </w:tcPr>
          <w:p w14:paraId="41423F75">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区域至全球，站点或插值格点</w:t>
            </w:r>
          </w:p>
        </w:tc>
        <w:tc>
          <w:tcPr>
            <w:tcW w:w="1418" w:type="dxa"/>
            <w:vAlign w:val="center"/>
          </w:tcPr>
          <w:p w14:paraId="25894D96">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考虑了全球变暖下的蒸散效应，适用性更广</w:t>
            </w:r>
          </w:p>
        </w:tc>
        <w:tc>
          <w:tcPr>
            <w:tcW w:w="1643" w:type="dxa"/>
            <w:vAlign w:val="center"/>
          </w:tcPr>
          <w:p w14:paraId="1F72446B">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PET计算方法选择影响结果，数据需求高于SPI</w:t>
            </w:r>
          </w:p>
        </w:tc>
      </w:tr>
      <w:tr w14:paraId="29311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25ACCA1">
            <w:pPr>
              <w:widowControl/>
              <w:adjustRightInd w:val="0"/>
              <w:snapToGrid w:val="0"/>
              <w:jc w:val="left"/>
              <w:rPr>
                <w:rFonts w:ascii="Times New Roman" w:hAnsi="Times New Roman" w:cs="Times New Roman" w:eastAsiaTheme="minorEastAsia"/>
                <w:color w:val="auto"/>
                <w:sz w:val="15"/>
                <w:szCs w:val="15"/>
                <w:highlight w:val="none"/>
              </w:rPr>
            </w:pPr>
          </w:p>
        </w:tc>
        <w:tc>
          <w:tcPr>
            <w:tcW w:w="972" w:type="dxa"/>
            <w:vAlign w:val="center"/>
          </w:tcPr>
          <w:p w14:paraId="7068DE47">
            <w:pPr>
              <w:adjustRightInd w:val="0"/>
              <w:snapToGrid w:val="0"/>
              <w:jc w:val="center"/>
              <w:rPr>
                <w:rFonts w:ascii="Times New Roman" w:hAnsi="Times New Roman" w:cs="Times New Roman" w:eastAsiaTheme="minorEastAsia"/>
                <w:i/>
                <w:iCs/>
                <w:color w:val="auto"/>
                <w:sz w:val="15"/>
                <w:szCs w:val="15"/>
                <w:highlight w:val="none"/>
              </w:rPr>
            </w:pPr>
            <w:r>
              <w:rPr>
                <w:rFonts w:ascii="Times New Roman" w:hAnsi="Times New Roman" w:cs="Times New Roman" w:eastAsiaTheme="minorEastAsia"/>
                <w:i/>
                <w:iCs/>
                <w:color w:val="auto"/>
                <w:sz w:val="15"/>
                <w:szCs w:val="15"/>
                <w:highlight w:val="none"/>
              </w:rPr>
              <w:t>PDSI</w:t>
            </w:r>
          </w:p>
        </w:tc>
        <w:tc>
          <w:tcPr>
            <w:tcW w:w="1277" w:type="dxa"/>
            <w:vAlign w:val="center"/>
          </w:tcPr>
          <w:p w14:paraId="022446EE">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基于两土层土壤水分供需模型（水量平衡）</w:t>
            </w:r>
          </w:p>
        </w:tc>
        <w:tc>
          <w:tcPr>
            <w:tcW w:w="992" w:type="dxa"/>
            <w:vAlign w:val="center"/>
          </w:tcPr>
          <w:p w14:paraId="44C1C9B0">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降水、温度、土壤有效持水量等</w:t>
            </w:r>
          </w:p>
        </w:tc>
        <w:tc>
          <w:tcPr>
            <w:tcW w:w="1276" w:type="dxa"/>
            <w:vAlign w:val="center"/>
          </w:tcPr>
          <w:p w14:paraId="59634BBD">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区域尺度，站点</w:t>
            </w:r>
          </w:p>
        </w:tc>
        <w:tc>
          <w:tcPr>
            <w:tcW w:w="1418" w:type="dxa"/>
            <w:vAlign w:val="center"/>
          </w:tcPr>
          <w:p w14:paraId="515D8A98">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具有物理机制，能反映干旱累积与恢复过程</w:t>
            </w:r>
          </w:p>
        </w:tc>
        <w:tc>
          <w:tcPr>
            <w:tcW w:w="1643" w:type="dxa"/>
            <w:vAlign w:val="center"/>
          </w:tcPr>
          <w:p w14:paraId="0C9AC981">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计算复杂，参数本地化要求高，对短期干旱不敏感</w:t>
            </w:r>
          </w:p>
        </w:tc>
      </w:tr>
      <w:tr w14:paraId="493C2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C32593F">
            <w:pPr>
              <w:widowControl/>
              <w:adjustRightInd w:val="0"/>
              <w:snapToGrid w:val="0"/>
              <w:jc w:val="left"/>
              <w:rPr>
                <w:rFonts w:ascii="Times New Roman" w:hAnsi="Times New Roman" w:cs="Times New Roman" w:eastAsiaTheme="minorEastAsia"/>
                <w:color w:val="auto"/>
                <w:sz w:val="15"/>
                <w:szCs w:val="15"/>
                <w:highlight w:val="none"/>
              </w:rPr>
            </w:pPr>
          </w:p>
        </w:tc>
        <w:tc>
          <w:tcPr>
            <w:tcW w:w="972" w:type="dxa"/>
            <w:vAlign w:val="center"/>
          </w:tcPr>
          <w:p w14:paraId="1296B456">
            <w:pPr>
              <w:adjustRightInd w:val="0"/>
              <w:snapToGrid w:val="0"/>
              <w:jc w:val="center"/>
              <w:rPr>
                <w:rFonts w:ascii="Times New Roman" w:hAnsi="Times New Roman" w:cs="Times New Roman" w:eastAsiaTheme="minorEastAsia"/>
                <w:i/>
                <w:iCs/>
                <w:color w:val="auto"/>
                <w:sz w:val="15"/>
                <w:szCs w:val="15"/>
                <w:highlight w:val="none"/>
              </w:rPr>
            </w:pPr>
            <w:r>
              <w:rPr>
                <w:rFonts w:ascii="Times New Roman" w:hAnsi="Times New Roman" w:cs="Times New Roman" w:eastAsiaTheme="minorEastAsia"/>
                <w:i/>
                <w:iCs/>
                <w:color w:val="auto"/>
                <w:sz w:val="15"/>
                <w:szCs w:val="15"/>
                <w:highlight w:val="none"/>
              </w:rPr>
              <w:t>SRI</w:t>
            </w:r>
          </w:p>
        </w:tc>
        <w:tc>
          <w:tcPr>
            <w:tcW w:w="1277" w:type="dxa"/>
            <w:vAlign w:val="center"/>
          </w:tcPr>
          <w:p w14:paraId="3A90F0AE">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基于径流概率分布标准化</w:t>
            </w:r>
          </w:p>
        </w:tc>
        <w:tc>
          <w:tcPr>
            <w:tcW w:w="992" w:type="dxa"/>
            <w:vAlign w:val="center"/>
          </w:tcPr>
          <w:p w14:paraId="656E07D8">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径流数据</w:t>
            </w:r>
          </w:p>
        </w:tc>
        <w:tc>
          <w:tcPr>
            <w:tcW w:w="1276" w:type="dxa"/>
            <w:vAlign w:val="center"/>
          </w:tcPr>
          <w:p w14:paraId="492FD1FE">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流域尺度，水文站点</w:t>
            </w:r>
          </w:p>
        </w:tc>
        <w:tc>
          <w:tcPr>
            <w:tcW w:w="1418" w:type="dxa"/>
            <w:vAlign w:val="center"/>
          </w:tcPr>
          <w:p w14:paraId="4A97E606">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直接反映水文系统水资源状况，响应农业与生态用水</w:t>
            </w:r>
          </w:p>
        </w:tc>
        <w:tc>
          <w:tcPr>
            <w:tcW w:w="1643" w:type="dxa"/>
            <w:vAlign w:val="center"/>
          </w:tcPr>
          <w:p w14:paraId="40604B79">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严重依赖水文站网，在无资料地区应用困难</w:t>
            </w:r>
          </w:p>
        </w:tc>
      </w:tr>
      <w:tr w14:paraId="09DE1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46C6F85">
            <w:pPr>
              <w:widowControl/>
              <w:adjustRightInd w:val="0"/>
              <w:snapToGrid w:val="0"/>
              <w:jc w:val="left"/>
              <w:rPr>
                <w:rFonts w:ascii="Times New Roman" w:hAnsi="Times New Roman" w:cs="Times New Roman" w:eastAsiaTheme="minorEastAsia"/>
                <w:color w:val="auto"/>
                <w:sz w:val="15"/>
                <w:szCs w:val="15"/>
                <w:highlight w:val="none"/>
              </w:rPr>
            </w:pPr>
          </w:p>
        </w:tc>
        <w:tc>
          <w:tcPr>
            <w:tcW w:w="972" w:type="dxa"/>
            <w:vAlign w:val="center"/>
          </w:tcPr>
          <w:p w14:paraId="6EFF02CD">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i/>
                <w:iCs/>
                <w:color w:val="auto"/>
                <w:sz w:val="15"/>
                <w:szCs w:val="15"/>
                <w:highlight w:val="none"/>
              </w:rPr>
              <w:t>RAI, PA, Z</w:t>
            </w:r>
            <w:r>
              <w:rPr>
                <w:rFonts w:ascii="Times New Roman" w:hAnsi="Times New Roman" w:cs="Times New Roman" w:eastAsiaTheme="minorEastAsia"/>
                <w:color w:val="auto"/>
                <w:sz w:val="15"/>
                <w:szCs w:val="15"/>
                <w:highlight w:val="none"/>
              </w:rPr>
              <w:t>指数等</w:t>
            </w:r>
          </w:p>
        </w:tc>
        <w:tc>
          <w:tcPr>
            <w:tcW w:w="1277" w:type="dxa"/>
            <w:vAlign w:val="center"/>
          </w:tcPr>
          <w:p w14:paraId="481B693C">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基于降水距平或概率分布</w:t>
            </w:r>
          </w:p>
        </w:tc>
        <w:tc>
          <w:tcPr>
            <w:tcW w:w="992" w:type="dxa"/>
            <w:vAlign w:val="center"/>
          </w:tcPr>
          <w:p w14:paraId="5EA0F8E3">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降水数据</w:t>
            </w:r>
          </w:p>
        </w:tc>
        <w:tc>
          <w:tcPr>
            <w:tcW w:w="1276" w:type="dxa"/>
            <w:vAlign w:val="center"/>
          </w:tcPr>
          <w:p w14:paraId="6079115A">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区域至全球，站点</w:t>
            </w:r>
          </w:p>
        </w:tc>
        <w:tc>
          <w:tcPr>
            <w:tcW w:w="1418" w:type="dxa"/>
            <w:vAlign w:val="center"/>
          </w:tcPr>
          <w:p w14:paraId="1F9B9153">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计算极为简单，直观反映降水异常</w:t>
            </w:r>
          </w:p>
        </w:tc>
        <w:tc>
          <w:tcPr>
            <w:tcW w:w="1643" w:type="dxa"/>
            <w:vAlign w:val="center"/>
          </w:tcPr>
          <w:p w14:paraId="2E22D8A6">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无统一标准，空间可比性差，缺乏物理意义</w:t>
            </w:r>
          </w:p>
        </w:tc>
      </w:tr>
      <w:tr w14:paraId="26874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7BE7A96">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基于遥感的多源数据融合指数</w:t>
            </w:r>
          </w:p>
        </w:tc>
        <w:tc>
          <w:tcPr>
            <w:tcW w:w="972" w:type="dxa"/>
            <w:vAlign w:val="center"/>
          </w:tcPr>
          <w:p w14:paraId="51719C71">
            <w:pPr>
              <w:adjustRightInd w:val="0"/>
              <w:snapToGrid w:val="0"/>
              <w:jc w:val="center"/>
              <w:rPr>
                <w:rFonts w:ascii="Times New Roman" w:hAnsi="Times New Roman" w:cs="Times New Roman" w:eastAsiaTheme="minorEastAsia"/>
                <w:i/>
                <w:iCs/>
                <w:color w:val="auto"/>
                <w:sz w:val="15"/>
                <w:szCs w:val="15"/>
                <w:highlight w:val="none"/>
              </w:rPr>
            </w:pPr>
            <w:r>
              <w:rPr>
                <w:rFonts w:ascii="Times New Roman" w:hAnsi="Times New Roman" w:cs="Times New Roman" w:eastAsiaTheme="minorEastAsia"/>
                <w:i/>
                <w:iCs/>
                <w:color w:val="auto"/>
                <w:sz w:val="15"/>
                <w:szCs w:val="15"/>
                <w:highlight w:val="none"/>
              </w:rPr>
              <w:t>NDVI</w:t>
            </w:r>
          </w:p>
        </w:tc>
        <w:tc>
          <w:tcPr>
            <w:tcW w:w="1277" w:type="dxa"/>
            <w:vAlign w:val="center"/>
          </w:tcPr>
          <w:p w14:paraId="0E8B6DA0">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基于植被在近红外与红光波段的反射率比值</w:t>
            </w:r>
          </w:p>
        </w:tc>
        <w:tc>
          <w:tcPr>
            <w:tcW w:w="992" w:type="dxa"/>
            <w:vAlign w:val="center"/>
          </w:tcPr>
          <w:p w14:paraId="15F94D0C">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多光谱遥感数据</w:t>
            </w:r>
          </w:p>
        </w:tc>
        <w:tc>
          <w:tcPr>
            <w:tcW w:w="1276" w:type="dxa"/>
            <w:vAlign w:val="center"/>
          </w:tcPr>
          <w:p w14:paraId="180D887F">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区域至全球，栅格尺度</w:t>
            </w:r>
          </w:p>
        </w:tc>
        <w:tc>
          <w:tcPr>
            <w:tcW w:w="1418" w:type="dxa"/>
            <w:vAlign w:val="center"/>
          </w:tcPr>
          <w:p w14:paraId="5A3A4062">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空间连续，直观反映植被生长状况与胁迫</w:t>
            </w:r>
          </w:p>
        </w:tc>
        <w:tc>
          <w:tcPr>
            <w:tcW w:w="1643" w:type="dxa"/>
            <w:vAlign w:val="center"/>
          </w:tcPr>
          <w:p w14:paraId="07C4DE0D">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受云层、物候周期影响大，对水分胁迫响应滞后</w:t>
            </w:r>
          </w:p>
        </w:tc>
      </w:tr>
      <w:tr w14:paraId="3B876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E01E388">
            <w:pPr>
              <w:widowControl/>
              <w:adjustRightInd w:val="0"/>
              <w:snapToGrid w:val="0"/>
              <w:jc w:val="left"/>
              <w:rPr>
                <w:rFonts w:ascii="Times New Roman" w:hAnsi="Times New Roman" w:cs="Times New Roman" w:eastAsiaTheme="minorEastAsia"/>
                <w:color w:val="auto"/>
                <w:sz w:val="15"/>
                <w:szCs w:val="15"/>
                <w:highlight w:val="none"/>
              </w:rPr>
            </w:pPr>
          </w:p>
        </w:tc>
        <w:tc>
          <w:tcPr>
            <w:tcW w:w="972" w:type="dxa"/>
            <w:vAlign w:val="center"/>
          </w:tcPr>
          <w:p w14:paraId="19829A92">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i/>
                <w:iCs/>
                <w:color w:val="auto"/>
                <w:sz w:val="15"/>
                <w:szCs w:val="15"/>
                <w:highlight w:val="none"/>
              </w:rPr>
              <w:t xml:space="preserve">VDRI, ESI </w:t>
            </w:r>
            <w:r>
              <w:rPr>
                <w:rFonts w:ascii="Times New Roman" w:hAnsi="Times New Roman" w:cs="Times New Roman" w:eastAsiaTheme="minorEastAsia"/>
                <w:color w:val="auto"/>
                <w:sz w:val="15"/>
                <w:szCs w:val="15"/>
                <w:highlight w:val="none"/>
              </w:rPr>
              <w:t>等植被/蒸散胁迫指数</w:t>
            </w:r>
          </w:p>
        </w:tc>
        <w:tc>
          <w:tcPr>
            <w:tcW w:w="1277" w:type="dxa"/>
            <w:vAlign w:val="center"/>
          </w:tcPr>
          <w:p w14:paraId="4270956D">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基于植被指数、地表温度或能量平衡模型反演水分胁迫</w:t>
            </w:r>
          </w:p>
        </w:tc>
        <w:tc>
          <w:tcPr>
            <w:tcW w:w="992" w:type="dxa"/>
            <w:vAlign w:val="center"/>
          </w:tcPr>
          <w:p w14:paraId="74214DE3">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多光谱与热红外遥感数据、气象数据</w:t>
            </w:r>
          </w:p>
        </w:tc>
        <w:tc>
          <w:tcPr>
            <w:tcW w:w="1276" w:type="dxa"/>
            <w:vAlign w:val="center"/>
          </w:tcPr>
          <w:p w14:paraId="3CB5EEC2">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区域至全球，栅格尺度</w:t>
            </w:r>
          </w:p>
        </w:tc>
        <w:tc>
          <w:tcPr>
            <w:tcW w:w="1418" w:type="dxa"/>
            <w:vAlign w:val="center"/>
          </w:tcPr>
          <w:p w14:paraId="2A955488">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能更直接反映植被生理缺水或蒸散异常，实时性强</w:t>
            </w:r>
          </w:p>
        </w:tc>
        <w:tc>
          <w:tcPr>
            <w:tcW w:w="1643" w:type="dxa"/>
            <w:vAlign w:val="center"/>
          </w:tcPr>
          <w:p w14:paraId="3DD8A6E5">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受云层、地形影响，算法复杂，对输入数据质量敏感</w:t>
            </w:r>
          </w:p>
        </w:tc>
      </w:tr>
      <w:tr w14:paraId="3A6B8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5D0C9DF">
            <w:pPr>
              <w:widowControl/>
              <w:adjustRightInd w:val="0"/>
              <w:snapToGrid w:val="0"/>
              <w:jc w:val="left"/>
              <w:rPr>
                <w:rFonts w:ascii="Times New Roman" w:hAnsi="Times New Roman" w:cs="Times New Roman" w:eastAsiaTheme="minorEastAsia"/>
                <w:color w:val="auto"/>
                <w:sz w:val="15"/>
                <w:szCs w:val="15"/>
                <w:highlight w:val="none"/>
              </w:rPr>
            </w:pPr>
          </w:p>
        </w:tc>
        <w:tc>
          <w:tcPr>
            <w:tcW w:w="972" w:type="dxa"/>
            <w:vAlign w:val="center"/>
          </w:tcPr>
          <w:p w14:paraId="45DD5DEE">
            <w:pPr>
              <w:adjustRightInd w:val="0"/>
              <w:snapToGrid w:val="0"/>
              <w:jc w:val="center"/>
              <w:rPr>
                <w:rFonts w:ascii="Times New Roman" w:hAnsi="Times New Roman" w:cs="Times New Roman" w:eastAsiaTheme="minorEastAsia"/>
                <w:i/>
                <w:iCs/>
                <w:color w:val="auto"/>
                <w:sz w:val="15"/>
                <w:szCs w:val="15"/>
                <w:highlight w:val="none"/>
              </w:rPr>
            </w:pPr>
            <w:r>
              <w:rPr>
                <w:rFonts w:ascii="Times New Roman" w:hAnsi="Times New Roman" w:cs="Times New Roman" w:eastAsiaTheme="minorEastAsia"/>
                <w:i/>
                <w:iCs/>
                <w:color w:val="auto"/>
                <w:sz w:val="15"/>
                <w:szCs w:val="15"/>
                <w:highlight w:val="none"/>
              </w:rPr>
              <w:t>SSMI</w:t>
            </w:r>
          </w:p>
        </w:tc>
        <w:tc>
          <w:tcPr>
            <w:tcW w:w="1277" w:type="dxa"/>
            <w:vAlign w:val="center"/>
          </w:tcPr>
          <w:p w14:paraId="58695F35">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基于微波遥感反演的土壤湿度概率分布标准化</w:t>
            </w:r>
          </w:p>
        </w:tc>
        <w:tc>
          <w:tcPr>
            <w:tcW w:w="992" w:type="dxa"/>
            <w:vAlign w:val="center"/>
          </w:tcPr>
          <w:p w14:paraId="5D7655BC">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遥感数据</w:t>
            </w:r>
          </w:p>
        </w:tc>
        <w:tc>
          <w:tcPr>
            <w:tcW w:w="1276" w:type="dxa"/>
            <w:vAlign w:val="center"/>
          </w:tcPr>
          <w:p w14:paraId="1FC3F334">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区域至全球，栅格尺度</w:t>
            </w:r>
          </w:p>
        </w:tc>
        <w:tc>
          <w:tcPr>
            <w:tcW w:w="1418" w:type="dxa"/>
            <w:vAlign w:val="center"/>
          </w:tcPr>
          <w:p w14:paraId="3B55C691">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可直接探测表层土壤水分，空间覆盖好</w:t>
            </w:r>
          </w:p>
        </w:tc>
        <w:tc>
          <w:tcPr>
            <w:tcW w:w="1643" w:type="dxa"/>
            <w:vAlign w:val="center"/>
          </w:tcPr>
          <w:p w14:paraId="64AF76C0">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探测深度浅，受植被、粗糙度影响，时间分辨率较低</w:t>
            </w:r>
          </w:p>
        </w:tc>
      </w:tr>
      <w:tr w14:paraId="722F0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A4A89AE">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机理增强型综合指数</w:t>
            </w:r>
          </w:p>
        </w:tc>
        <w:tc>
          <w:tcPr>
            <w:tcW w:w="972" w:type="dxa"/>
            <w:vAlign w:val="center"/>
          </w:tcPr>
          <w:p w14:paraId="2890B858">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i/>
                <w:iCs/>
                <w:color w:val="auto"/>
                <w:sz w:val="15"/>
                <w:szCs w:val="15"/>
                <w:highlight w:val="none"/>
              </w:rPr>
              <w:t>TPVDI</w:t>
            </w:r>
            <w:r>
              <w:rPr>
                <w:rFonts w:ascii="Times New Roman" w:hAnsi="Times New Roman" w:cs="Times New Roman" w:eastAsiaTheme="minorEastAsia"/>
                <w:color w:val="auto"/>
                <w:sz w:val="15"/>
                <w:szCs w:val="15"/>
                <w:highlight w:val="none"/>
              </w:rPr>
              <w:t>(温度-降水-植被综合干旱指数)</w:t>
            </w:r>
          </w:p>
        </w:tc>
        <w:tc>
          <w:tcPr>
            <w:tcW w:w="1277" w:type="dxa"/>
            <w:vAlign w:val="center"/>
          </w:tcPr>
          <w:p w14:paraId="52FCE388">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基于遥感的温度-植被-水分指数三角空间特征，并结合降水数据</w:t>
            </w:r>
          </w:p>
        </w:tc>
        <w:tc>
          <w:tcPr>
            <w:tcW w:w="992" w:type="dxa"/>
            <w:vAlign w:val="center"/>
          </w:tcPr>
          <w:p w14:paraId="4AB1B0E5">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遥感地表温度、植被指数、格点降水数据</w:t>
            </w:r>
          </w:p>
        </w:tc>
        <w:tc>
          <w:tcPr>
            <w:tcW w:w="1276" w:type="dxa"/>
            <w:vAlign w:val="center"/>
          </w:tcPr>
          <w:p w14:paraId="1DDC2EE4">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区域至流域，栅格尺度</w:t>
            </w:r>
          </w:p>
        </w:tc>
        <w:tc>
          <w:tcPr>
            <w:tcW w:w="1418" w:type="dxa"/>
            <w:vAlign w:val="center"/>
          </w:tcPr>
          <w:p w14:paraId="22FF914F">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综合感知地表能量与水分状况，物理意义增强，时空连续</w:t>
            </w:r>
          </w:p>
        </w:tc>
        <w:tc>
          <w:tcPr>
            <w:tcW w:w="1643" w:type="dxa"/>
            <w:vAlign w:val="center"/>
          </w:tcPr>
          <w:p w14:paraId="41764B2E">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对深层土壤水分和径流反映不足，多云地区数据缺失</w:t>
            </w:r>
          </w:p>
        </w:tc>
      </w:tr>
      <w:tr w14:paraId="0EC90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1658904">
            <w:pPr>
              <w:widowControl/>
              <w:adjustRightInd w:val="0"/>
              <w:snapToGrid w:val="0"/>
              <w:jc w:val="left"/>
              <w:rPr>
                <w:rFonts w:ascii="Times New Roman" w:hAnsi="Times New Roman" w:cs="Times New Roman" w:eastAsiaTheme="minorEastAsia"/>
                <w:color w:val="auto"/>
                <w:sz w:val="15"/>
                <w:szCs w:val="15"/>
                <w:highlight w:val="none"/>
              </w:rPr>
            </w:pPr>
          </w:p>
        </w:tc>
        <w:tc>
          <w:tcPr>
            <w:tcW w:w="972" w:type="dxa"/>
            <w:vAlign w:val="center"/>
          </w:tcPr>
          <w:p w14:paraId="7F461D9D">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i/>
                <w:iCs/>
                <w:color w:val="auto"/>
                <w:sz w:val="15"/>
                <w:szCs w:val="15"/>
                <w:highlight w:val="none"/>
              </w:rPr>
              <w:t>SPERSI</w:t>
            </w:r>
            <w:r>
              <w:rPr>
                <w:rFonts w:ascii="Times New Roman" w:hAnsi="Times New Roman" w:cs="Times New Roman" w:eastAsiaTheme="minorEastAsia"/>
                <w:color w:val="auto"/>
                <w:sz w:val="15"/>
                <w:szCs w:val="15"/>
                <w:highlight w:val="none"/>
              </w:rPr>
              <w:t>等多变量综合指数</w:t>
            </w:r>
          </w:p>
        </w:tc>
        <w:tc>
          <w:tcPr>
            <w:tcW w:w="1277" w:type="dxa"/>
            <w:vAlign w:val="center"/>
          </w:tcPr>
          <w:p w14:paraId="3FEB14F5">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基于Copula等统计方法耦合降水、温度、径流、土壤湿度等多变量</w:t>
            </w:r>
          </w:p>
        </w:tc>
        <w:tc>
          <w:tcPr>
            <w:tcW w:w="992" w:type="dxa"/>
            <w:vAlign w:val="center"/>
          </w:tcPr>
          <w:p w14:paraId="388FDDD6">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多源水文气象数据</w:t>
            </w:r>
          </w:p>
        </w:tc>
        <w:tc>
          <w:tcPr>
            <w:tcW w:w="1276" w:type="dxa"/>
            <w:vAlign w:val="center"/>
          </w:tcPr>
          <w:p w14:paraId="023E24A0">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流域至区域尺度</w:t>
            </w:r>
          </w:p>
        </w:tc>
        <w:tc>
          <w:tcPr>
            <w:tcW w:w="1418" w:type="dxa"/>
            <w:vAlign w:val="center"/>
          </w:tcPr>
          <w:p w14:paraId="250FC559">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综合表征气象、水文、农业干旱，信息全面，表征能力强</w:t>
            </w:r>
          </w:p>
        </w:tc>
        <w:tc>
          <w:tcPr>
            <w:tcW w:w="1643" w:type="dxa"/>
            <w:vAlign w:val="center"/>
          </w:tcPr>
          <w:p w14:paraId="6912BC27">
            <w:pPr>
              <w:adjustRightInd w:val="0"/>
              <w:snapToGrid w:val="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数据需求高，计算复杂，多变量联合分布构建与验证难度大</w:t>
            </w:r>
          </w:p>
        </w:tc>
      </w:tr>
    </w:tbl>
    <w:p w14:paraId="0809023E">
      <w:pPr>
        <w:ind w:firstLine="420" w:firstLineChars="200"/>
        <w:rPr>
          <w:rFonts w:ascii="Times New Roman" w:hAnsi="Times New Roman" w:cs="Times New Roman"/>
          <w:color w:val="auto"/>
          <w:highlight w:val="none"/>
        </w:rPr>
      </w:pPr>
      <w:bookmarkStart w:id="29" w:name="_Hlk219831941"/>
      <w:r>
        <w:rPr>
          <w:rFonts w:ascii="Times New Roman" w:hAnsi="Times New Roman" w:cs="Times New Roman"/>
          <w:color w:val="auto"/>
          <w:highlight w:val="none"/>
        </w:rPr>
        <w:t>表1系统梳理了各类指标的特征。然而，在实际应用中，需根据空间尺度、气候区划与具体目标对方法与指标进行优选与组合。为明确提供具有实操性的指导，并回应不同情境下的方法适配性问题，本文提炼出三类存在本质差异的典型场景</w:t>
      </w:r>
      <w:r>
        <w:rPr>
          <w:rFonts w:hint="eastAsia" w:ascii="Times New Roman" w:hAnsi="Times New Roman" w:cs="Times New Roman"/>
          <w:color w:val="auto"/>
          <w:highlight w:val="none"/>
        </w:rPr>
        <w:t>，针对</w:t>
      </w:r>
      <w:r>
        <w:rPr>
          <w:rFonts w:ascii="Times New Roman" w:hAnsi="Times New Roman" w:cs="Times New Roman"/>
          <w:color w:val="auto"/>
          <w:highlight w:val="none"/>
        </w:rPr>
        <w:t>每一场景，整合了推荐的方法组合、核心考量，并辅以简要案例，</w:t>
      </w:r>
      <w:r>
        <w:rPr>
          <w:rFonts w:hint="eastAsia" w:ascii="Times New Roman" w:hAnsi="Times New Roman" w:cs="Times New Roman"/>
          <w:color w:val="auto"/>
          <w:highlight w:val="none"/>
        </w:rPr>
        <w:t>如表2所列，</w:t>
      </w:r>
      <w:r>
        <w:rPr>
          <w:rFonts w:ascii="Times New Roman" w:hAnsi="Times New Roman" w:cs="Times New Roman"/>
          <w:color w:val="auto"/>
          <w:highlight w:val="none"/>
        </w:rPr>
        <w:t>大流域尺度综合监测代表了机理复杂的宏观自然地理单元，其方法组合需体现跨圈层过程的整合，并</w:t>
      </w:r>
      <w:r>
        <w:rPr>
          <w:rFonts w:hint="eastAsia" w:ascii="Times New Roman" w:hAnsi="Times New Roman" w:cs="Times New Roman"/>
          <w:color w:val="auto"/>
          <w:highlight w:val="none"/>
        </w:rPr>
        <w:t>考虑了</w:t>
      </w:r>
      <w:r>
        <w:rPr>
          <w:rFonts w:ascii="Times New Roman" w:hAnsi="Times New Roman" w:cs="Times New Roman"/>
          <w:color w:val="auto"/>
          <w:highlight w:val="none"/>
        </w:rPr>
        <w:t>在湿润区与干旱区的不同侧重；城市内涝动态识别则针对高精度、高时效性且人类活动主导的微观承灾体，凸显“监测-模型-遥感”闭环在应对城市特有挑战中的作用；无资料地区旱情估算</w:t>
      </w:r>
      <w:r>
        <w:rPr>
          <w:rFonts w:hint="eastAsia" w:ascii="Times New Roman" w:hAnsi="Times New Roman" w:cs="Times New Roman"/>
          <w:color w:val="auto"/>
          <w:highlight w:val="none"/>
        </w:rPr>
        <w:t>面临</w:t>
      </w:r>
      <w:r>
        <w:rPr>
          <w:rFonts w:ascii="Times New Roman" w:hAnsi="Times New Roman" w:cs="Times New Roman"/>
          <w:color w:val="auto"/>
          <w:highlight w:val="none"/>
        </w:rPr>
        <w:t>数据稀缺这一普遍瓶颈，其方法论核心在于多源遥感融合与机器学习驱动的信息生成。</w:t>
      </w:r>
      <w:r>
        <w:rPr>
          <w:rFonts w:hint="eastAsia" w:ascii="Times New Roman" w:hAnsi="Times New Roman" w:cs="Times New Roman"/>
          <w:color w:val="auto"/>
          <w:highlight w:val="none"/>
        </w:rPr>
        <w:t>通过</w:t>
      </w:r>
      <w:r>
        <w:rPr>
          <w:rFonts w:ascii="Times New Roman" w:hAnsi="Times New Roman" w:cs="Times New Roman"/>
          <w:color w:val="auto"/>
          <w:highlight w:val="none"/>
        </w:rPr>
        <w:t>从原理到实践说明其应用方式与效果，从而为研究者与决策者根据具体需求选择并组合适用工具提供清晰参考。</w:t>
      </w:r>
    </w:p>
    <w:p w14:paraId="29E022F3">
      <w:pPr>
        <w:pStyle w:val="5"/>
        <w:keepNext/>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表 2 </w:t>
      </w:r>
      <w:r>
        <w:rPr>
          <w:rFonts w:hint="eastAsia" w:ascii="Times New Roman" w:hAnsi="Times New Roman" w:cs="Times New Roman"/>
          <w:color w:val="auto"/>
          <w:sz w:val="18"/>
          <w:szCs w:val="18"/>
          <w:highlight w:val="none"/>
        </w:rPr>
        <w:t>典型应用场景下的方法组合与案例示意</w:t>
      </w:r>
    </w:p>
    <w:p w14:paraId="41DABDC8">
      <w:pPr>
        <w:keepNext/>
        <w:jc w:val="center"/>
        <w:rPr>
          <w:rFonts w:ascii="Times New Roman" w:hAnsi="Times New Roman" w:cs="Times New Roman"/>
          <w:color w:val="auto"/>
          <w:sz w:val="18"/>
          <w:szCs w:val="18"/>
          <w:highlight w:val="none"/>
        </w:rPr>
      </w:pPr>
      <w:r>
        <w:rPr>
          <w:rFonts w:ascii="Times New Roman" w:hAnsi="Times New Roman" w:cs="Times New Roman"/>
          <w:color w:val="auto"/>
          <w:highlight w:val="none"/>
        </w:rPr>
        <w:t xml:space="preserve">Table 2 </w:t>
      </w:r>
      <w:r>
        <w:rPr>
          <w:rFonts w:hint="eastAsia" w:ascii="Times New Roman" w:hAnsi="Times New Roman" w:cs="Times New Roman"/>
          <w:color w:val="auto"/>
          <w:highlight w:val="none"/>
        </w:rPr>
        <w:t>M</w:t>
      </w:r>
      <w:r>
        <w:rPr>
          <w:rFonts w:ascii="Times New Roman" w:hAnsi="Times New Roman" w:cs="Times New Roman"/>
          <w:color w:val="auto"/>
          <w:highlight w:val="none"/>
        </w:rPr>
        <w:t>ethod combinations and cases under typical application scenarios</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040"/>
        <w:gridCol w:w="1602"/>
        <w:gridCol w:w="2734"/>
        <w:gridCol w:w="2284"/>
      </w:tblGrid>
      <w:tr w14:paraId="5A161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14:paraId="4D172F2A">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应用场景与气候区</w:t>
            </w:r>
          </w:p>
        </w:tc>
        <w:tc>
          <w:tcPr>
            <w:tcW w:w="1040" w:type="dxa"/>
            <w:vAlign w:val="center"/>
          </w:tcPr>
          <w:p w14:paraId="0D794776">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方法组合</w:t>
            </w:r>
          </w:p>
        </w:tc>
        <w:tc>
          <w:tcPr>
            <w:tcW w:w="1602" w:type="dxa"/>
            <w:vAlign w:val="center"/>
          </w:tcPr>
          <w:p w14:paraId="00B72E3F">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关键考量与说明</w:t>
            </w:r>
          </w:p>
        </w:tc>
        <w:tc>
          <w:tcPr>
            <w:tcW w:w="2734" w:type="dxa"/>
            <w:vAlign w:val="center"/>
          </w:tcPr>
          <w:p w14:paraId="0E75D918">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案例与应用效果</w:t>
            </w:r>
          </w:p>
        </w:tc>
        <w:tc>
          <w:tcPr>
            <w:tcW w:w="2284" w:type="dxa"/>
            <w:vAlign w:val="center"/>
          </w:tcPr>
          <w:p w14:paraId="66D97010">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关键局限性与适用边界</w:t>
            </w:r>
          </w:p>
        </w:tc>
      </w:tr>
      <w:tr w14:paraId="707C2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14:paraId="1C49AC42">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大流域尺度综合干旱监测</w:t>
            </w:r>
          </w:p>
        </w:tc>
        <w:tc>
          <w:tcPr>
            <w:tcW w:w="1040" w:type="dxa"/>
            <w:vAlign w:val="center"/>
          </w:tcPr>
          <w:p w14:paraId="51621014">
            <w:pPr>
              <w:pStyle w:val="7"/>
              <w:adjustRightInd w:val="0"/>
              <w:snapToGrid w:val="0"/>
              <w:spacing w:after="0"/>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多类型干旱耦合</w:t>
            </w:r>
            <w:r>
              <w:rPr>
                <w:rFonts w:ascii="Times New Roman" w:hAnsi="Times New Roman" w:cs="Times New Roman" w:eastAsiaTheme="minorEastAsia"/>
                <w:color w:val="auto"/>
                <w:sz w:val="15"/>
                <w:szCs w:val="15"/>
                <w:highlight w:val="none"/>
              </w:rPr>
              <w:t>：</w:t>
            </w:r>
            <w:r>
              <w:rPr>
                <w:rFonts w:hint="eastAsia" w:ascii="Times New Roman" w:hAnsi="Times New Roman" w:cs="Times New Roman" w:eastAsiaTheme="minorEastAsia"/>
                <w:color w:val="auto"/>
                <w:sz w:val="15"/>
                <w:szCs w:val="15"/>
                <w:highlight w:val="none"/>
              </w:rPr>
              <w:t>干旱指标</w:t>
            </w:r>
            <w:r>
              <w:rPr>
                <w:rFonts w:ascii="Times New Roman" w:hAnsi="Times New Roman" w:cs="Times New Roman" w:eastAsiaTheme="minorEastAsia"/>
                <w:color w:val="auto"/>
                <w:sz w:val="15"/>
                <w:szCs w:val="15"/>
                <w:highlight w:val="none"/>
              </w:rPr>
              <w:t>+水文模型</w:t>
            </w:r>
            <w:r>
              <w:rPr>
                <w:rFonts w:hint="eastAsia" w:ascii="Times New Roman" w:hAnsi="Times New Roman" w:cs="Times New Roman" w:eastAsiaTheme="minorEastAsia"/>
                <w:color w:val="auto"/>
                <w:sz w:val="15"/>
                <w:szCs w:val="15"/>
                <w:highlight w:val="none"/>
              </w:rPr>
              <w:t>+遥感指数</w:t>
            </w:r>
          </w:p>
        </w:tc>
        <w:tc>
          <w:tcPr>
            <w:tcW w:w="1602" w:type="dxa"/>
            <w:vAlign w:val="center"/>
          </w:tcPr>
          <w:p w14:paraId="195041BD">
            <w:pPr>
              <w:pStyle w:val="7"/>
              <w:adjustRightInd w:val="0"/>
              <w:snapToGrid w:val="0"/>
              <w:spacing w:after="0"/>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湿润/半湿润区（如长江流域）：侧重降水异常与径流响应，SPEI与SRI结合。</w:t>
            </w:r>
          </w:p>
          <w:p w14:paraId="3A0FC0A2">
            <w:pPr>
              <w:pStyle w:val="7"/>
              <w:adjustRightInd w:val="0"/>
              <w:snapToGrid w:val="0"/>
              <w:spacing w:after="0"/>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干旱/半干旱区（如黄河流域）：侧重水分亏缺与生态响应，SPEI、遥感土壤湿度与植被指数结合</w:t>
            </w:r>
            <w:r>
              <w:rPr>
                <w:rFonts w:hint="eastAsia" w:ascii="Times New Roman" w:hAnsi="Times New Roman" w:cs="Times New Roman" w:eastAsiaTheme="minorEastAsia"/>
                <w:color w:val="auto"/>
                <w:sz w:val="15"/>
                <w:szCs w:val="15"/>
                <w:highlight w:val="none"/>
              </w:rPr>
              <w:t>，侧重</w:t>
            </w:r>
            <w:r>
              <w:rPr>
                <w:rFonts w:ascii="Times New Roman" w:hAnsi="Times New Roman" w:cs="Times New Roman" w:eastAsiaTheme="minorEastAsia"/>
                <w:color w:val="auto"/>
                <w:sz w:val="15"/>
                <w:szCs w:val="15"/>
                <w:highlight w:val="none"/>
              </w:rPr>
              <w:t>解析干旱从气候系统传导至农业、水文及社会经济系统的复杂路径与滞后效应</w:t>
            </w:r>
          </w:p>
        </w:tc>
        <w:tc>
          <w:tcPr>
            <w:tcW w:w="2734" w:type="dxa"/>
            <w:vAlign w:val="center"/>
          </w:tcPr>
          <w:p w14:paraId="095DD9E0">
            <w:pPr>
              <w:pStyle w:val="7"/>
              <w:adjustRightInd w:val="0"/>
              <w:snapToGrid w:val="0"/>
              <w:spacing w:after="0"/>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针对全黄河流域，构建了融合SWAT与AquaCrop机理模型的多类型干旱传播解析框架。该研究不仅实现了对气象、农业、水文、生态及社会经济干旱的综合监测，更创新性地揭示了干旱在不同类型间的长链传播机制。研究发现，流域内干旱传播存在显著的“串-并-混联”模式空间分异，并定量给出了不同等级干旱的传播阈值。这套框架将干旱监测从静态状态评估推进到动态过程诊断，为建立流域级联干旱预警系统和制定分区分级的抗旱策略提供了直接的机理依据和量化工具</w:t>
            </w:r>
            <w:r>
              <w:rPr>
                <w:rFonts w:ascii="Times New Roman" w:hAnsi="Times New Roman" w:cs="Times New Roman" w:eastAsiaTheme="minorEastAsia"/>
                <w:color w:val="auto"/>
                <w:sz w:val="15"/>
                <w:szCs w:val="15"/>
                <w:highlight w:val="none"/>
                <w:vertAlign w:val="superscript"/>
              </w:rPr>
              <w:t>[109]</w:t>
            </w:r>
            <w:r>
              <w:rPr>
                <w:rFonts w:hint="eastAsia" w:ascii="Times New Roman" w:hAnsi="Times New Roman" w:cs="Times New Roman" w:eastAsiaTheme="minorEastAsia"/>
                <w:color w:val="auto"/>
                <w:sz w:val="15"/>
                <w:szCs w:val="15"/>
                <w:highlight w:val="none"/>
              </w:rPr>
              <w:t>。</w:t>
            </w:r>
          </w:p>
        </w:tc>
        <w:tc>
          <w:tcPr>
            <w:tcW w:w="2284" w:type="dxa"/>
            <w:vAlign w:val="center"/>
          </w:tcPr>
          <w:p w14:paraId="0DEDEEC3">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局限性：依赖较长历史数据序列，在无资料或资料稀缺区域应用受限；水文模型参数率定复杂，需本地化调整；遥感数据易受云层、传感器性能影响。适用边界：适用于具有较完整监测网络或可靠再分析资料的流域，对数据同化与模型耦合能力要求较高。</w:t>
            </w:r>
          </w:p>
        </w:tc>
      </w:tr>
      <w:tr w14:paraId="6ABB1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14:paraId="657400CB">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城市内涝动态识别</w:t>
            </w:r>
          </w:p>
        </w:tc>
        <w:tc>
          <w:tcPr>
            <w:tcW w:w="1040" w:type="dxa"/>
            <w:vAlign w:val="center"/>
          </w:tcPr>
          <w:p w14:paraId="2E4F64C2">
            <w:pPr>
              <w:pStyle w:val="7"/>
              <w:adjustRightInd w:val="0"/>
              <w:snapToGrid w:val="0"/>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高精度遥感数据与机理模型融合：卫星遥感+水文水动力耦合模型+内涝风险综合评价模型</w:t>
            </w:r>
          </w:p>
        </w:tc>
        <w:tc>
          <w:tcPr>
            <w:tcW w:w="1602" w:type="dxa"/>
            <w:vAlign w:val="center"/>
          </w:tcPr>
          <w:p w14:paraId="1857018C">
            <w:pPr>
              <w:pStyle w:val="7"/>
              <w:adjustRightInd w:val="0"/>
              <w:snapToGrid w:val="0"/>
              <w:spacing w:after="0"/>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高密度建成区/海绵城市：依赖亚米级/米级DEM精确刻画地面与排水网络；模型需耦合地表、管网水流及风险量化模块。核心是地形精度与模型机理的深度结合。</w:t>
            </w:r>
          </w:p>
          <w:p w14:paraId="36D9275E">
            <w:pPr>
              <w:pStyle w:val="7"/>
              <w:adjustRightInd w:val="0"/>
              <w:snapToGrid w:val="0"/>
              <w:spacing w:after="0"/>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新兴开发区/海绵城市试点区：可加入LID措施模块，评估绿色基础设施效能。</w:t>
            </w:r>
          </w:p>
        </w:tc>
        <w:tc>
          <w:tcPr>
            <w:tcW w:w="2734" w:type="dxa"/>
            <w:vAlign w:val="center"/>
          </w:tcPr>
          <w:p w14:paraId="43C8002A">
            <w:pPr>
              <w:pStyle w:val="7"/>
              <w:adjustRightInd w:val="0"/>
              <w:snapToGrid w:val="0"/>
              <w:spacing w:after="0"/>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针对深圳大沙河中下游区域，采用GF-7卫星高精度DEM，构建了水文水动力耦合的内涝数值仿真与风险评价模型。模拟结果与历史实测数据对比验证，精度优于82%。应用该模型评估发现，相较于海绵城市建设前的2017年，2021年研究区内涝风险区面积减少了3.36%。研究证实，2.5米分辨率的DEM能将积水深度模拟精度显著提升5.31%~58.09%。该模型成果已应用于深圳市海绵城市效果评价，为城市内涝风险管理提供了有效工具</w:t>
            </w:r>
            <w:r>
              <w:rPr>
                <w:rFonts w:ascii="Times New Roman" w:hAnsi="Times New Roman" w:cs="Times New Roman" w:eastAsiaTheme="minorEastAsia"/>
                <w:color w:val="auto"/>
                <w:sz w:val="15"/>
                <w:szCs w:val="15"/>
                <w:highlight w:val="none"/>
                <w:vertAlign w:val="superscript"/>
              </w:rPr>
              <w:t>[110]</w:t>
            </w:r>
            <w:r>
              <w:rPr>
                <w:rFonts w:hint="eastAsia" w:ascii="Times New Roman" w:hAnsi="Times New Roman" w:cs="Times New Roman" w:eastAsiaTheme="minorEastAsia"/>
                <w:color w:val="auto"/>
                <w:sz w:val="15"/>
                <w:szCs w:val="15"/>
                <w:highlight w:val="none"/>
              </w:rPr>
              <w:t>。</w:t>
            </w:r>
          </w:p>
        </w:tc>
        <w:tc>
          <w:tcPr>
            <w:tcW w:w="2284" w:type="dxa"/>
            <w:vAlign w:val="center"/>
          </w:tcPr>
          <w:p w14:paraId="5E4E9EAC">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局限性：高精度DEM数据获取成本高、更新慢；模型构建与率定复杂，对计算资源要求高；难以实时模拟突发性极端降雨。适用边界：适用于城市规划、风险评估等对空间精度要求高的场景，需结合实时监测数据用于预警。</w:t>
            </w:r>
          </w:p>
        </w:tc>
      </w:tr>
      <w:tr w14:paraId="62BA6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vAlign w:val="center"/>
          </w:tcPr>
          <w:p w14:paraId="272971AA">
            <w:pPr>
              <w:pStyle w:val="7"/>
              <w:adjustRightInd w:val="0"/>
              <w:snapToGrid w:val="0"/>
              <w:spacing w:after="0"/>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无资料/缺资料地区</w:t>
            </w:r>
            <w:r>
              <w:rPr>
                <w:rFonts w:hint="eastAsia" w:ascii="Times New Roman" w:hAnsi="Times New Roman" w:cs="Times New Roman" w:eastAsiaTheme="minorEastAsia"/>
                <w:color w:val="auto"/>
                <w:sz w:val="15"/>
                <w:szCs w:val="15"/>
                <w:highlight w:val="none"/>
              </w:rPr>
              <w:t>旱情评估与预估</w:t>
            </w:r>
          </w:p>
        </w:tc>
        <w:tc>
          <w:tcPr>
            <w:tcW w:w="1040" w:type="dxa"/>
            <w:vAlign w:val="center"/>
          </w:tcPr>
          <w:p w14:paraId="7BFA41F3">
            <w:pPr>
              <w:pStyle w:val="7"/>
              <w:adjustRightInd w:val="0"/>
              <w:snapToGrid w:val="0"/>
              <w:spacing w:after="0"/>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多源数据融合与机器学习：多源遥感产品+再分析资料+机器学习</w:t>
            </w:r>
            <w:r>
              <w:rPr>
                <w:rFonts w:hint="eastAsia" w:ascii="Times New Roman" w:hAnsi="Times New Roman" w:cs="Times New Roman" w:eastAsiaTheme="minorEastAsia"/>
                <w:color w:val="auto"/>
                <w:sz w:val="15"/>
                <w:szCs w:val="15"/>
                <w:highlight w:val="none"/>
              </w:rPr>
              <w:t>（深度学习）</w:t>
            </w:r>
          </w:p>
        </w:tc>
        <w:tc>
          <w:tcPr>
            <w:tcW w:w="1602" w:type="dxa"/>
            <w:vAlign w:val="center"/>
          </w:tcPr>
          <w:p w14:paraId="1D603E6F">
            <w:pPr>
              <w:pStyle w:val="7"/>
              <w:adjustRightInd w:val="0"/>
              <w:snapToGrid w:val="0"/>
              <w:spacing w:after="0"/>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高原山区：融合微波、光学遥感和高分辨率气候再分析资料，克服站点稀缺难题。</w:t>
            </w:r>
          </w:p>
          <w:p w14:paraId="4AC0F426">
            <w:pPr>
              <w:pStyle w:val="7"/>
              <w:adjustRightInd w:val="0"/>
              <w:snapToGrid w:val="0"/>
              <w:spacing w:after="0"/>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跨境河流域：依赖全球遥感产品与模型输出，利用地理相似性原理进行信息移植。</w:t>
            </w:r>
          </w:p>
        </w:tc>
        <w:tc>
          <w:tcPr>
            <w:tcW w:w="2734" w:type="dxa"/>
            <w:vAlign w:val="center"/>
          </w:tcPr>
          <w:p w14:paraId="67632CCB">
            <w:pPr>
              <w:pStyle w:val="7"/>
              <w:adjustRightInd w:val="0"/>
              <w:snapToGrid w:val="0"/>
              <w:spacing w:after="0"/>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针对缺资料区域的气象干旱预测难题，采用深度学习框架，基于再分析资料的高分辨率降水与气温数据，构建了</w:t>
            </w:r>
            <w:bookmarkStart w:id="30" w:name="_Hlk219831821"/>
            <w:r>
              <w:rPr>
                <w:rFonts w:hint="eastAsia" w:ascii="Times New Roman" w:hAnsi="Times New Roman" w:cs="Times New Roman" w:eastAsiaTheme="minorEastAsia"/>
                <w:color w:val="auto"/>
                <w:sz w:val="15"/>
                <w:szCs w:val="15"/>
                <w:highlight w:val="none"/>
              </w:rPr>
              <w:t>多尺度时空气象干旱</w:t>
            </w:r>
            <w:bookmarkEnd w:id="30"/>
            <w:r>
              <w:rPr>
                <w:rFonts w:hint="eastAsia" w:ascii="Times New Roman" w:hAnsi="Times New Roman" w:cs="Times New Roman" w:eastAsiaTheme="minorEastAsia"/>
                <w:color w:val="auto"/>
                <w:sz w:val="15"/>
                <w:szCs w:val="15"/>
                <w:highlight w:val="none"/>
              </w:rPr>
              <w:t>预测模型。模型在东亚地区的验证表明，其对不同时间尺度干旱指数的预测结果与再分析数据吻合良好，其中季节尺度</w:t>
            </w:r>
            <w:r>
              <w:rPr>
                <w:rFonts w:ascii="Times New Roman" w:hAnsi="Times New Roman" w:cs="Times New Roman" w:eastAsiaTheme="minorEastAsia"/>
                <w:color w:val="auto"/>
                <w:sz w:val="15"/>
                <w:szCs w:val="15"/>
                <w:highlight w:val="none"/>
              </w:rPr>
              <w:t>SPEI</w:t>
            </w:r>
            <w:r>
              <w:rPr>
                <w:rFonts w:ascii="Times New Roman" w:hAnsi="Lucida Sans Unicode" w:cs="Times New Roman" w:eastAsiaTheme="minorEastAsia"/>
                <w:color w:val="auto"/>
                <w:sz w:val="15"/>
                <w:szCs w:val="15"/>
                <w:highlight w:val="none"/>
              </w:rPr>
              <w:t>‑</w:t>
            </w:r>
            <w:r>
              <w:rPr>
                <w:rFonts w:ascii="Times New Roman" w:hAnsi="Times New Roman" w:cs="Times New Roman" w:eastAsiaTheme="minorEastAsia"/>
                <w:color w:val="auto"/>
                <w:sz w:val="15"/>
                <w:szCs w:val="15"/>
                <w:highlight w:val="none"/>
              </w:rPr>
              <w:t>3</w:t>
            </w:r>
            <w:r>
              <w:rPr>
                <w:rFonts w:hint="eastAsia" w:ascii="Times New Roman" w:hAnsi="Times New Roman" w:cs="Times New Roman" w:eastAsiaTheme="minorEastAsia"/>
                <w:color w:val="auto"/>
                <w:sz w:val="15"/>
                <w:szCs w:val="15"/>
                <w:highlight w:val="none"/>
              </w:rPr>
              <w:t>预测精度最高，相较于月尺度</w:t>
            </w:r>
            <w:r>
              <w:rPr>
                <w:rFonts w:ascii="Times New Roman" w:hAnsi="Times New Roman" w:cs="Times New Roman" w:eastAsiaTheme="minorEastAsia"/>
                <w:color w:val="auto"/>
                <w:sz w:val="15"/>
                <w:szCs w:val="15"/>
                <w:highlight w:val="none"/>
              </w:rPr>
              <w:t>SPI30</w:t>
            </w:r>
            <w:r>
              <w:rPr>
                <w:rFonts w:hint="eastAsia" w:ascii="Times New Roman" w:hAnsi="Times New Roman" w:cs="Times New Roman" w:eastAsiaTheme="minorEastAsia"/>
                <w:color w:val="auto"/>
                <w:sz w:val="15"/>
                <w:szCs w:val="15"/>
                <w:highlight w:val="none"/>
              </w:rPr>
              <w:t>，其</w:t>
            </w:r>
            <w:r>
              <w:rPr>
                <w:rFonts w:ascii="Times New Roman" w:hAnsi="Times New Roman" w:cs="Times New Roman" w:eastAsiaTheme="minorEastAsia"/>
                <w:color w:val="auto"/>
                <w:sz w:val="15"/>
                <w:szCs w:val="15"/>
                <w:highlight w:val="none"/>
              </w:rPr>
              <w:t>RMSE</w:t>
            </w:r>
            <w:r>
              <w:rPr>
                <w:rFonts w:hint="eastAsia" w:ascii="Times New Roman" w:hAnsi="Times New Roman" w:cs="Times New Roman" w:eastAsiaTheme="minorEastAsia"/>
                <w:color w:val="auto"/>
                <w:sz w:val="15"/>
                <w:szCs w:val="15"/>
                <w:highlight w:val="none"/>
              </w:rPr>
              <w:t>降低</w:t>
            </w:r>
            <w:r>
              <w:rPr>
                <w:rFonts w:ascii="Times New Roman" w:hAnsi="Times New Roman" w:cs="Times New Roman" w:eastAsiaTheme="minorEastAsia"/>
                <w:color w:val="auto"/>
                <w:sz w:val="15"/>
                <w:szCs w:val="15"/>
                <w:highlight w:val="none"/>
              </w:rPr>
              <w:t>15.6%</w:t>
            </w:r>
            <w:r>
              <w:rPr>
                <w:rFonts w:hint="eastAsia" w:ascii="Times New Roman" w:hAnsi="Times New Roman" w:cs="Times New Roman" w:eastAsiaTheme="minorEastAsia"/>
                <w:color w:val="auto"/>
                <w:sz w:val="15"/>
                <w:szCs w:val="15"/>
                <w:highlight w:val="none"/>
              </w:rPr>
              <w:t>，相关系数提升</w:t>
            </w:r>
            <w:r>
              <w:rPr>
                <w:rFonts w:ascii="Times New Roman" w:hAnsi="Times New Roman" w:cs="Times New Roman" w:eastAsiaTheme="minorEastAsia"/>
                <w:color w:val="auto"/>
                <w:sz w:val="15"/>
                <w:szCs w:val="15"/>
                <w:highlight w:val="none"/>
              </w:rPr>
              <w:t>18.2%</w:t>
            </w:r>
            <w:r>
              <w:rPr>
                <w:rFonts w:hint="eastAsia" w:ascii="Times New Roman" w:hAnsi="Times New Roman" w:cs="Times New Roman" w:eastAsiaTheme="minorEastAsia"/>
                <w:color w:val="auto"/>
                <w:sz w:val="15"/>
                <w:szCs w:val="15"/>
                <w:highlight w:val="none"/>
              </w:rPr>
              <w:t>。应用该模型对</w:t>
            </w:r>
            <w:r>
              <w:rPr>
                <w:rFonts w:ascii="Times New Roman" w:hAnsi="Times New Roman" w:cs="Times New Roman" w:eastAsiaTheme="minorEastAsia"/>
                <w:color w:val="auto"/>
                <w:sz w:val="15"/>
                <w:szCs w:val="15"/>
                <w:highlight w:val="none"/>
              </w:rPr>
              <w:t>2020</w:t>
            </w:r>
            <w:r>
              <w:rPr>
                <w:rFonts w:hint="eastAsia" w:ascii="Times New Roman" w:hAnsi="Times New Roman" w:cs="Times New Roman" w:eastAsiaTheme="minorEastAsia"/>
                <w:color w:val="auto"/>
                <w:sz w:val="15"/>
                <w:szCs w:val="15"/>
                <w:highlight w:val="none"/>
              </w:rPr>
              <w:t>年三类典型干旱事件（骤旱、持续干旱与严重干旱）的预测表明，多时间尺度组合能有效刻画不同干旱类型的时空演变特征。该研究</w:t>
            </w:r>
            <w:bookmarkStart w:id="31" w:name="_Hlk219831837"/>
            <w:r>
              <w:rPr>
                <w:rFonts w:hint="eastAsia" w:ascii="Times New Roman" w:hAnsi="Times New Roman" w:cs="Times New Roman" w:eastAsiaTheme="minorEastAsia"/>
                <w:color w:val="auto"/>
                <w:sz w:val="15"/>
                <w:szCs w:val="15"/>
                <w:highlight w:val="none"/>
              </w:rPr>
              <w:t>为地形复杂、观测稀缺区域的气象干旱动态预警提供了可业务化的深度学习解决方案</w:t>
            </w:r>
            <w:bookmarkEnd w:id="31"/>
            <w:r>
              <w:rPr>
                <w:rFonts w:hint="eastAsia" w:ascii="Times New Roman" w:hAnsi="Times New Roman" w:cs="Times New Roman" w:eastAsiaTheme="minorEastAsia"/>
                <w:color w:val="auto"/>
                <w:sz w:val="15"/>
                <w:szCs w:val="15"/>
                <w:highlight w:val="none"/>
              </w:rPr>
              <w:t>，已具备在东亚地区开展干旱早期监测与风险评估的应用潜力</w:t>
            </w:r>
            <w:r>
              <w:rPr>
                <w:rFonts w:ascii="Times New Roman" w:hAnsi="Times New Roman" w:cs="Times New Roman" w:eastAsiaTheme="minorEastAsia"/>
                <w:color w:val="auto"/>
                <w:sz w:val="15"/>
                <w:szCs w:val="15"/>
                <w:highlight w:val="none"/>
                <w:vertAlign w:val="superscript"/>
              </w:rPr>
              <w:t>[111]</w:t>
            </w:r>
            <w:r>
              <w:rPr>
                <w:rFonts w:hint="eastAsia" w:ascii="Times New Roman" w:hAnsi="Times New Roman" w:cs="Times New Roman" w:eastAsiaTheme="minorEastAsia"/>
                <w:color w:val="auto"/>
                <w:sz w:val="15"/>
                <w:szCs w:val="15"/>
                <w:highlight w:val="none"/>
              </w:rPr>
              <w:t>。</w:t>
            </w:r>
          </w:p>
        </w:tc>
        <w:tc>
          <w:tcPr>
            <w:tcW w:w="2284" w:type="dxa"/>
            <w:vAlign w:val="center"/>
          </w:tcPr>
          <w:p w14:paraId="2E4118CE">
            <w:pPr>
              <w:pStyle w:val="7"/>
              <w:adjustRightInd w:val="0"/>
              <w:snapToGrid w:val="0"/>
              <w:spacing w:after="0"/>
              <w:jc w:val="center"/>
              <w:rPr>
                <w:rFonts w:ascii="Times New Roman" w:hAnsi="Times New Roman" w:cs="Times New Roman" w:eastAsiaTheme="minorEastAsia"/>
                <w:color w:val="auto"/>
                <w:sz w:val="15"/>
                <w:szCs w:val="15"/>
                <w:highlight w:val="none"/>
              </w:rPr>
            </w:pPr>
            <w:r>
              <w:rPr>
                <w:rFonts w:hint="eastAsia" w:ascii="Times New Roman" w:hAnsi="Times New Roman" w:cs="Times New Roman" w:eastAsiaTheme="minorEastAsia"/>
                <w:color w:val="auto"/>
                <w:sz w:val="15"/>
                <w:szCs w:val="15"/>
                <w:highlight w:val="none"/>
              </w:rPr>
              <w:t>局限性：机器学习模型可解释性较弱，对输入数据质量敏感，且需大量样本，易在极端事件样本不足时预测性能下降；遥感反演产品存在不确定性。适用边界：适用于站点稀疏但遥感覆盖良好的区域，可作为早期预警的辅助工具，需结合机理模型进行结果验证。</w:t>
            </w:r>
          </w:p>
        </w:tc>
      </w:tr>
      <w:bookmarkEnd w:id="29"/>
    </w:tbl>
    <w:p w14:paraId="00B41E26">
      <w:pPr>
        <w:pStyle w:val="7"/>
        <w:rPr>
          <w:color w:val="auto"/>
          <w:highlight w:val="none"/>
        </w:rPr>
      </w:pPr>
    </w:p>
    <w:p w14:paraId="1D8D1696">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研究过程中，还建立起了不同干旱类型传播特征的评价体系，探究不同干旱类型传播的时空特征，主要方法包括有相关分析、小波分析、Copula函数、贝叶斯网络、因果分析等</w:t>
      </w:r>
      <w:r>
        <w:rPr>
          <w:rFonts w:ascii="Times New Roman" w:hAnsi="Times New Roman" w:cs="Times New Roman"/>
          <w:color w:val="auto"/>
          <w:highlight w:val="none"/>
          <w:vertAlign w:val="superscript"/>
        </w:rPr>
        <w:t>[112-113]</w:t>
      </w:r>
      <w:r>
        <w:rPr>
          <w:rFonts w:hint="eastAsia" w:ascii="Times New Roman" w:hAnsi="Times New Roman" w:cs="Times New Roman"/>
          <w:color w:val="auto"/>
          <w:highlight w:val="none"/>
        </w:rPr>
        <w:t>，深化了对干旱事件及其时空传播演变特征的认识。目前研究中综述干旱指数发展与应用的成果也较为丰富，从指标构建所属类型、考虑因素、发展年份、研究尺度、等级划分和优缺点等方面展开过客观评价，指出现有旱涝指数在不同地区（气候区）不同作用机制下的适用性研究不足，存在“一指数统全区”的现象，导致突出区域的差异性及应对差异的有效性欠佳</w:t>
      </w:r>
      <w:r>
        <w:rPr>
          <w:rFonts w:ascii="Times New Roman" w:hAnsi="Times New Roman" w:cs="Times New Roman"/>
          <w:color w:val="auto"/>
          <w:highlight w:val="none"/>
          <w:vertAlign w:val="superscript"/>
        </w:rPr>
        <w:t>[114-116]</w:t>
      </w:r>
      <w:r>
        <w:rPr>
          <w:rFonts w:hint="eastAsia" w:ascii="Times New Roman" w:hAnsi="Times New Roman" w:cs="Times New Roman"/>
          <w:color w:val="auto"/>
          <w:highlight w:val="none"/>
        </w:rPr>
        <w:t>。</w:t>
      </w:r>
    </w:p>
    <w:p w14:paraId="1DACB9B3">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洪涝事件演变规律的识别方法除上述旱涝指数外，还包括基于时序数据分析的统计方法、基于遥感遥测与GIS技术的空间分析方法和基于物理机制的数值模拟方法，以解析洪涝的时空动态并预测发展轨迹。其中统计法是通过历史数据序列，采用广义极值分布或</w:t>
      </w:r>
      <w:r>
        <w:rPr>
          <w:rFonts w:ascii="Times New Roman" w:hAnsi="Times New Roman" w:cs="Times New Roman"/>
          <w:color w:val="auto"/>
          <w:highlight w:val="none"/>
        </w:rPr>
        <w:t>P-Ⅲ</w:t>
      </w:r>
      <w:r>
        <w:rPr>
          <w:rFonts w:hint="eastAsia" w:ascii="Times New Roman" w:hAnsi="Times New Roman" w:cs="Times New Roman"/>
          <w:color w:val="auto"/>
          <w:highlight w:val="none"/>
        </w:rPr>
        <w:t>型分布拟合极值序列，推求不同重现期的洪涝指标</w:t>
      </w:r>
      <w:r>
        <w:rPr>
          <w:rFonts w:ascii="Times New Roman" w:hAnsi="Times New Roman" w:cs="Times New Roman"/>
          <w:color w:val="auto"/>
          <w:highlight w:val="none"/>
          <w:vertAlign w:val="superscript"/>
        </w:rPr>
        <w:t>[117-118]</w:t>
      </w:r>
      <w:r>
        <w:rPr>
          <w:rFonts w:hint="eastAsia" w:ascii="Times New Roman" w:hAnsi="Times New Roman" w:cs="Times New Roman"/>
          <w:color w:val="auto"/>
          <w:highlight w:val="none"/>
        </w:rPr>
        <w:t>；或采用M-K检验、Pettitt检验、小波分析等识别流量/降水序列的趋势、周期与突变点，来判断气候变化或人类活动影响下的洪涝规律变化</w:t>
      </w:r>
      <w:r>
        <w:rPr>
          <w:rFonts w:ascii="Times New Roman" w:hAnsi="Times New Roman" w:cs="Times New Roman"/>
          <w:color w:val="auto"/>
          <w:highlight w:val="none"/>
          <w:vertAlign w:val="superscript"/>
        </w:rPr>
        <w:t>[119-120]</w:t>
      </w:r>
      <w:r>
        <w:rPr>
          <w:rFonts w:hint="eastAsia" w:ascii="Times New Roman" w:hAnsi="Times New Roman" w:cs="Times New Roman"/>
          <w:color w:val="auto"/>
          <w:highlight w:val="none"/>
        </w:rPr>
        <w:t>；也可以依靠上述旱涝指标定量识别洪涝事件动态变化特征</w:t>
      </w:r>
      <w:r>
        <w:rPr>
          <w:rFonts w:ascii="Times New Roman" w:hAnsi="Times New Roman" w:cs="Times New Roman"/>
          <w:color w:val="auto"/>
          <w:highlight w:val="none"/>
          <w:vertAlign w:val="superscript"/>
        </w:rPr>
        <w:t>[121]</w:t>
      </w:r>
      <w:r>
        <w:rPr>
          <w:rFonts w:hint="eastAsia" w:ascii="Times New Roman" w:hAnsi="Times New Roman" w:cs="Times New Roman"/>
          <w:color w:val="auto"/>
          <w:highlight w:val="none"/>
        </w:rPr>
        <w:t>，这种方法具备理论成熟、计算简单、结果直观的优势，但严重依赖历史数据的质量和序列长度，且基于统计学方法，难以揭示物理机制。空间分析方法通过对地观测技术，如采用遥感影像及多元遥感数据融合识别水体范围变化、滞洪事件、汇流路径、淹没优先级、土壤湿度等动态</w:t>
      </w:r>
      <w:r>
        <w:rPr>
          <w:rFonts w:ascii="Times New Roman" w:hAnsi="Times New Roman" w:cs="Times New Roman"/>
          <w:color w:val="auto"/>
          <w:highlight w:val="none"/>
          <w:vertAlign w:val="superscript"/>
        </w:rPr>
        <w:t>[122]</w:t>
      </w:r>
      <w:r>
        <w:rPr>
          <w:rFonts w:hint="eastAsia" w:ascii="Times New Roman" w:hAnsi="Times New Roman" w:cs="Times New Roman"/>
          <w:color w:val="auto"/>
          <w:highlight w:val="none"/>
        </w:rPr>
        <w:t>，这类方法补充了对资料匮乏区的研究，具备实时大范围监测的优点，同时也面临因云层遮挡、地形遮蔽等因素带来的分辨率限制的挑战</w:t>
      </w:r>
      <w:r>
        <w:rPr>
          <w:rFonts w:ascii="Times New Roman" w:hAnsi="Times New Roman" w:cs="Times New Roman"/>
          <w:color w:val="auto"/>
          <w:highlight w:val="none"/>
          <w:vertAlign w:val="superscript"/>
        </w:rPr>
        <w:t>[123]</w:t>
      </w:r>
      <w:r>
        <w:rPr>
          <w:rFonts w:hint="eastAsia" w:ascii="Times New Roman" w:hAnsi="Times New Roman" w:cs="Times New Roman"/>
          <w:color w:val="auto"/>
          <w:highlight w:val="none"/>
        </w:rPr>
        <w:t>；</w:t>
      </w:r>
      <w:bookmarkStart w:id="32" w:name="OLE_LINK25"/>
      <w:r>
        <w:rPr>
          <w:rFonts w:hint="eastAsia" w:ascii="Times New Roman" w:hAnsi="Times New Roman" w:cs="Times New Roman"/>
          <w:color w:val="auto"/>
          <w:highlight w:val="none"/>
        </w:rPr>
        <w:t>基于物理机制的模型模拟方法，如耦合水文与水动力模型，通过再现产汇流与洪水演进过程，成为从机理上解析洪涝事件时空动态、识别其关键驱动因素与潜在高风险区域的核心工具，为规律识别提供了物理可解释的视角</w:t>
      </w:r>
      <w:r>
        <w:rPr>
          <w:rFonts w:ascii="Times New Roman" w:hAnsi="Times New Roman" w:cs="Times New Roman"/>
          <w:color w:val="auto"/>
          <w:highlight w:val="none"/>
          <w:vertAlign w:val="superscript"/>
        </w:rPr>
        <w:t>[124]</w:t>
      </w:r>
      <w:r>
        <w:rPr>
          <w:rFonts w:hint="eastAsia" w:ascii="Times New Roman" w:hAnsi="Times New Roman" w:cs="Times New Roman"/>
          <w:color w:val="auto"/>
          <w:highlight w:val="none"/>
        </w:rPr>
        <w:t>。随着科技进步与多学科交叉融合，高分辨率遥感数据和耦合模型的应用显著提升了模拟精度，三维聚类算法实现了对旱涝事件时空演变的多维解析，机器学习与深度学习等人工智能方法，因其在复杂模式识别与高维数据处理上的优势，正被广泛应用于从多源遥感数据中自动化提取洪水淹没范围、精准识别干旱空间格局以及捕捉旱涝急转的快速信号，极大地提升了灾害动态监测的自动化水平与时空分辨率，逐步成为当前的主流技术手段</w:t>
      </w:r>
      <w:r>
        <w:rPr>
          <w:rFonts w:ascii="Times New Roman" w:hAnsi="Times New Roman" w:cs="Times New Roman"/>
          <w:color w:val="auto"/>
          <w:highlight w:val="none"/>
          <w:vertAlign w:val="superscript"/>
        </w:rPr>
        <w:t>[125-127]</w:t>
      </w:r>
      <w:r>
        <w:rPr>
          <w:rFonts w:hint="eastAsia" w:ascii="Times New Roman" w:hAnsi="Times New Roman" w:cs="Times New Roman"/>
          <w:color w:val="auto"/>
          <w:highlight w:val="none"/>
        </w:rPr>
        <w:t>。</w:t>
      </w:r>
      <w:bookmarkEnd w:id="32"/>
    </w:p>
    <w:p w14:paraId="4DC364B4">
      <w:pPr>
        <w:ind w:firstLine="420" w:firstLineChars="200"/>
        <w:rPr>
          <w:rFonts w:ascii="Times New Roman" w:hAnsi="Times New Roman" w:cs="Times New Roman"/>
          <w:color w:val="auto"/>
          <w:highlight w:val="none"/>
        </w:rPr>
      </w:pPr>
      <w:bookmarkStart w:id="33" w:name="_Hlk218612079"/>
      <w:r>
        <w:rPr>
          <w:rFonts w:hint="eastAsia" w:ascii="Times New Roman" w:hAnsi="Times New Roman" w:cs="Times New Roman"/>
          <w:color w:val="auto"/>
          <w:highlight w:val="none"/>
        </w:rPr>
        <w:t>与干旱识别侧重于“持续性亏缺”不同，洪涝演变识别更关注“瞬时或短历时超额”水体的动态过程，这对监测的时空分辨率与模型的物理机理提出了独特要求。在监测层面，高时空分辨率遥感虽能有效捕捉淹没范围动态变化，但仍受限于重返周期、云雨干扰及对城市复杂地形下浅层积水与地下管网内涝的探测能力不足。在模拟层面，水文水动力耦合模型是解析洪水演进机理的核心，其精度严重依赖于高精度地形数据、土地利用/覆被信息及模型参数率定，而城市地区下垫面高度异质性与地下排水管网的存在，更极大地增加了模型复杂性。因此，发展实时/准实时、高精度、强机理的洪涝动态识别技术与数据-模型融合同化框架，是当前面临的主要技术挑战，也是实现精准预警的关键。</w:t>
      </w:r>
    </w:p>
    <w:bookmarkEnd w:id="33"/>
    <w:p w14:paraId="64E6901D">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旱涝急转事件演变规律的识别方法目前还未形成一个明确的全面的体系，研究学者考虑水文、气象要素构建了多种不同时间尺度的旱涝急转指标并且在持续寻找更具普适性的方式来评估区域旱涝急转事件的演变特征（见图4）。从众多研究成果来看，旱涝急转指标大致可以分为两类，一类是受到干旱指标蓬勃发展的影响，学者将</w:t>
      </w:r>
      <w:r>
        <w:rPr>
          <w:rFonts w:hint="eastAsia" w:ascii="Times New Roman" w:hAnsi="Times New Roman" w:cs="Times New Roman"/>
          <w:i/>
          <w:iCs/>
          <w:color w:val="auto"/>
          <w:highlight w:val="none"/>
        </w:rPr>
        <w:t>SPI、SRI、SPEI、SWAP</w:t>
      </w:r>
      <w:r>
        <w:rPr>
          <w:rFonts w:hint="eastAsia" w:ascii="Times New Roman" w:hAnsi="Times New Roman" w:cs="Times New Roman"/>
          <w:color w:val="auto"/>
          <w:highlight w:val="none"/>
        </w:rPr>
        <w:t>等干旱指标直接应用到对旱涝急转演变规律识别的研究中，并且初步得出了不同流域旱涝急转事件演变的规律及未来变化态势</w:t>
      </w:r>
      <w:r>
        <w:rPr>
          <w:rFonts w:ascii="Times New Roman" w:hAnsi="Times New Roman" w:cs="Times New Roman"/>
          <w:color w:val="auto"/>
          <w:highlight w:val="none"/>
          <w:vertAlign w:val="superscript"/>
        </w:rPr>
        <w:t>[128-130]</w:t>
      </w:r>
      <w:r>
        <w:rPr>
          <w:rFonts w:hint="eastAsia" w:ascii="Times New Roman" w:hAnsi="Times New Roman" w:cs="Times New Roman"/>
          <w:color w:val="auto"/>
          <w:highlight w:val="none"/>
        </w:rPr>
        <w:t>；另一类是针对旱涝急转开发出的特定指数，2006年，</w:t>
      </w:r>
      <w:r>
        <w:rPr>
          <w:rFonts w:hint="eastAsia" w:ascii="Times New Roman" w:hAnsi="Times New Roman" w:cs="Times New Roman"/>
          <w:color w:val="auto"/>
          <w:highlight w:val="none"/>
        </w:rPr>
        <w:t>吴志伟</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[131]</w:t>
      </w:r>
      <w:r>
        <w:rPr>
          <w:rFonts w:hint="eastAsia" w:ascii="Times New Roman" w:hAnsi="Times New Roman" w:cs="Times New Roman"/>
          <w:color w:val="auto"/>
          <w:highlight w:val="none"/>
        </w:rPr>
        <w:t>首次定义旱涝急转的概念并针对长江中下游地区旱涝急转演变特征识别提出了以2个月为时间尺度的长周期旱涝急转指数（</w:t>
      </w:r>
      <w:r>
        <w:rPr>
          <w:rFonts w:hint="eastAsia" w:ascii="Times New Roman" w:hAnsi="Times New Roman" w:cs="Times New Roman"/>
          <w:i/>
          <w:iCs/>
          <w:color w:val="auto"/>
          <w:highlight w:val="none"/>
        </w:rPr>
        <w:t>LDFAI</w:t>
      </w:r>
      <w:r>
        <w:rPr>
          <w:rFonts w:hint="eastAsia" w:ascii="Times New Roman" w:hAnsi="Times New Roman" w:cs="Times New Roman"/>
          <w:color w:val="auto"/>
          <w:highlight w:val="none"/>
        </w:rPr>
        <w:t>），由此开启了广大科研人员对旱涝急转这一复合水旱事件的探索。</w:t>
      </w:r>
      <w:r>
        <w:rPr>
          <w:rFonts w:hint="eastAsia" w:ascii="Times New Roman" w:hAnsi="Times New Roman" w:cs="Times New Roman"/>
          <w:color w:val="auto"/>
          <w:highlight w:val="none"/>
        </w:rPr>
        <w:t>孙鹏</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[132]</w:t>
      </w:r>
      <w:r>
        <w:rPr>
          <w:rFonts w:hint="eastAsia" w:ascii="Times New Roman" w:hAnsi="Times New Roman" w:cs="Times New Roman"/>
          <w:color w:val="auto"/>
          <w:highlight w:val="none"/>
        </w:rPr>
        <w:t>受其启发，且考虑到季节内发生多次旱涝急转事件的可能性，优化了长周期旱涝急转指数的权重参数，得到了时间尺度为1个月的短周期旱涝急转指数（</w:t>
      </w:r>
      <w:r>
        <w:rPr>
          <w:rFonts w:hint="eastAsia" w:ascii="Times New Roman" w:hAnsi="Times New Roman" w:cs="Times New Roman"/>
          <w:i/>
          <w:iCs/>
          <w:color w:val="auto"/>
          <w:highlight w:val="none"/>
        </w:rPr>
        <w:t>SDFAI</w:t>
      </w:r>
      <w:r>
        <w:rPr>
          <w:rFonts w:hint="eastAsia" w:ascii="Times New Roman" w:hAnsi="Times New Roman" w:cs="Times New Roman"/>
          <w:color w:val="auto"/>
          <w:highlight w:val="none"/>
        </w:rPr>
        <w:t>），这两个指数均以</w:t>
      </w:r>
      <w:r>
        <w:rPr>
          <w:rFonts w:hint="eastAsia" w:ascii="Times New Roman" w:hAnsi="Times New Roman" w:cs="Times New Roman"/>
          <w:i/>
          <w:iCs/>
          <w:color w:val="auto"/>
          <w:highlight w:val="none"/>
        </w:rPr>
        <w:t>SPI</w:t>
      </w:r>
      <w:r>
        <w:rPr>
          <w:rFonts w:hint="eastAsia" w:ascii="Times New Roman" w:hAnsi="Times New Roman" w:cs="Times New Roman"/>
          <w:color w:val="auto"/>
          <w:highlight w:val="none"/>
        </w:rPr>
        <w:t>为基础数据开展运算沿用至今</w:t>
      </w:r>
      <w:r>
        <w:rPr>
          <w:rFonts w:ascii="Times New Roman" w:hAnsi="Times New Roman" w:cs="Times New Roman"/>
          <w:color w:val="auto"/>
          <w:highlight w:val="none"/>
          <w:vertAlign w:val="superscript"/>
        </w:rPr>
        <w:t>[133-134]</w:t>
      </w:r>
      <w:r>
        <w:rPr>
          <w:rFonts w:hint="eastAsia" w:ascii="Times New Roman" w:hAnsi="Times New Roman" w:cs="Times New Roman"/>
          <w:color w:val="auto"/>
          <w:highlight w:val="none"/>
        </w:rPr>
        <w:t>，后为了识别流域汛期时的旱涝急转演变特征又开发出以</w:t>
      </w:r>
      <w:r>
        <w:rPr>
          <w:rFonts w:hint="eastAsia" w:ascii="Times New Roman" w:hAnsi="Times New Roman" w:cs="Times New Roman"/>
          <w:i/>
          <w:iCs/>
          <w:color w:val="auto"/>
          <w:highlight w:val="none"/>
        </w:rPr>
        <w:t>SRI</w:t>
      </w:r>
      <w:r>
        <w:rPr>
          <w:rFonts w:hint="eastAsia" w:ascii="Times New Roman" w:hAnsi="Times New Roman" w:cs="Times New Roman"/>
          <w:color w:val="auto"/>
          <w:highlight w:val="none"/>
        </w:rPr>
        <w:t>为基础的长、短周期径流指数</w:t>
      </w:r>
      <w:r>
        <w:rPr>
          <w:rFonts w:ascii="Times New Roman" w:hAnsi="Times New Roman" w:cs="Times New Roman"/>
          <w:color w:val="auto"/>
          <w:highlight w:val="none"/>
          <w:vertAlign w:val="superscript"/>
        </w:rPr>
        <w:t>[135]</w:t>
      </w:r>
      <w:r>
        <w:rPr>
          <w:rFonts w:hint="eastAsia" w:ascii="Times New Roman" w:hAnsi="Times New Roman" w:cs="Times New Roman"/>
          <w:color w:val="auto"/>
          <w:highlight w:val="none"/>
        </w:rPr>
        <w:t>。但这类指数的时间尺度跨越较大，对“急”的概念的表现并不突出，针对这一问题，</w:t>
      </w:r>
      <w:r>
        <w:rPr>
          <w:rFonts w:ascii="Times New Roman" w:hAnsi="Times New Roman" w:cs="Times New Roman"/>
          <w:color w:val="auto"/>
          <w:highlight w:val="none"/>
        </w:rPr>
        <w:t>SHAN</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[136]</w:t>
      </w:r>
      <w:r>
        <w:rPr>
          <w:rFonts w:hint="eastAsia" w:ascii="Times New Roman" w:hAnsi="Times New Roman" w:cs="Times New Roman"/>
          <w:color w:val="auto"/>
          <w:highlight w:val="none"/>
        </w:rPr>
        <w:t>充分考虑旱转涝时的急迫程度，定义了日尺度旱涝急转指数（</w:t>
      </w:r>
      <w:r>
        <w:rPr>
          <w:rFonts w:hint="eastAsia" w:ascii="Times New Roman" w:hAnsi="Times New Roman" w:cs="Times New Roman"/>
          <w:i/>
          <w:iCs/>
          <w:color w:val="auto"/>
          <w:highlight w:val="none"/>
        </w:rPr>
        <w:t>DWAAI</w:t>
      </w:r>
      <w:r>
        <w:rPr>
          <w:rFonts w:hint="eastAsia" w:ascii="Times New Roman" w:hAnsi="Times New Roman" w:cs="Times New Roman"/>
          <w:color w:val="auto"/>
          <w:highlight w:val="none"/>
        </w:rPr>
        <w:t>），应用到长江中下游旱涝急转事件特征分析实践中，然而这一指数依赖的权重系数在不同流域的差异化显著，无法统一，设定的主观性较强，出现错判、漏判的现象无法避免，且不同等级的旱涝急转划分阈值也不尽相同，因此</w:t>
      </w:r>
      <w:r>
        <w:rPr>
          <w:rFonts w:hint="eastAsia" w:ascii="Times New Roman" w:hAnsi="Times New Roman" w:cs="Times New Roman"/>
          <w:color w:val="auto"/>
          <w:highlight w:val="none"/>
        </w:rPr>
        <w:t>涂新军</w:t>
      </w:r>
      <w:r>
        <w:rPr>
          <w:rFonts w:hint="eastAsia" w:ascii="Times New Roman" w:hAnsi="Times New Roman" w:cs="Times New Roman"/>
          <w:color w:val="auto"/>
          <w:highlight w:val="none"/>
        </w:rPr>
        <w:t>等</w:t>
      </w:r>
      <w:r>
        <w:rPr>
          <w:rFonts w:ascii="Times New Roman" w:hAnsi="Times New Roman" w:cs="Times New Roman"/>
          <w:color w:val="auto"/>
          <w:highlight w:val="none"/>
          <w:vertAlign w:val="superscript"/>
        </w:rPr>
        <w:t>[137]</w:t>
      </w:r>
      <w:r>
        <w:rPr>
          <w:rFonts w:hint="eastAsia" w:ascii="Times New Roman" w:hAnsi="Times New Roman" w:cs="Times New Roman"/>
          <w:color w:val="auto"/>
          <w:highlight w:val="none"/>
        </w:rPr>
        <w:t>针对这些传统的旱涝急转评估指数做出改进，提出一种改进的标准化旱涝急转指数（</w:t>
      </w:r>
      <w:r>
        <w:rPr>
          <w:rFonts w:hint="eastAsia" w:ascii="Times New Roman" w:hAnsi="Times New Roman" w:cs="Times New Roman"/>
          <w:i/>
          <w:iCs/>
          <w:color w:val="auto"/>
          <w:highlight w:val="none"/>
        </w:rPr>
        <w:t>SDWAI</w:t>
      </w:r>
      <w:r>
        <w:rPr>
          <w:rFonts w:hint="eastAsia" w:ascii="Times New Roman" w:hAnsi="Times New Roman" w:cs="Times New Roman"/>
          <w:color w:val="auto"/>
          <w:highlight w:val="none"/>
        </w:rPr>
        <w:t>），这一指数的出现有效统一了旱涝急转等级划分，避免了错漏判等问题，并且表现出良好的适用性。整体来看，这两类指数的考虑因素大多侧重气象或水文等单一层面或简单多层面，而随着研究不断深入，考虑因素更加全面的指标被开发应用，提高了旱涝急转指标构建的综合性，如纳入土壤湿度因子的多因素标准化旱涝急转指数（</w:t>
      </w:r>
      <w:r>
        <w:rPr>
          <w:rFonts w:hint="eastAsia" w:ascii="Times New Roman" w:hAnsi="Times New Roman" w:cs="Times New Roman"/>
          <w:i/>
          <w:iCs/>
          <w:color w:val="auto"/>
          <w:highlight w:val="none"/>
        </w:rPr>
        <w:t>MSDFI</w:t>
      </w:r>
      <w:r>
        <w:rPr>
          <w:rFonts w:hint="eastAsia" w:ascii="Times New Roman" w:hAnsi="Times New Roman" w:cs="Times New Roman"/>
          <w:color w:val="auto"/>
          <w:highlight w:val="none"/>
        </w:rPr>
        <w:t>）、土壤水分浓度指数（</w:t>
      </w:r>
      <w:r>
        <w:rPr>
          <w:rFonts w:hint="eastAsia" w:ascii="Times New Roman" w:hAnsi="Times New Roman" w:cs="Times New Roman"/>
          <w:i/>
          <w:iCs/>
          <w:color w:val="auto"/>
          <w:highlight w:val="none"/>
        </w:rPr>
        <w:t>SMCI</w:t>
      </w:r>
      <w:r>
        <w:rPr>
          <w:rFonts w:hint="eastAsia" w:ascii="Times New Roman" w:hAnsi="Times New Roman" w:cs="Times New Roman"/>
          <w:color w:val="auto"/>
          <w:highlight w:val="none"/>
        </w:rPr>
        <w:t>）等均表现出良好的适用性</w:t>
      </w:r>
      <w:r>
        <w:rPr>
          <w:rFonts w:ascii="Times New Roman" w:hAnsi="Times New Roman" w:cs="Times New Roman"/>
          <w:color w:val="auto"/>
          <w:highlight w:val="none"/>
          <w:vertAlign w:val="superscript"/>
        </w:rPr>
        <w:t>[138]</w:t>
      </w:r>
      <w:r>
        <w:rPr>
          <w:rFonts w:hint="eastAsia" w:ascii="Times New Roman" w:hAnsi="Times New Roman" w:cs="Times New Roman"/>
          <w:color w:val="auto"/>
          <w:highlight w:val="none"/>
        </w:rPr>
        <w:t>。</w:t>
      </w:r>
    </w:p>
    <w:p w14:paraId="6B1D22E0">
      <w:pPr>
        <w:ind w:firstLine="420" w:firstLineChars="200"/>
        <w:rPr>
          <w:rFonts w:ascii="Times New Roman" w:hAnsi="Times New Roman" w:cs="Times New Roman"/>
          <w:color w:val="auto"/>
          <w:highlight w:val="none"/>
        </w:rPr>
      </w:pPr>
      <w:bookmarkStart w:id="34" w:name="_Hlk219817382"/>
      <w:bookmarkStart w:id="35" w:name="_Hlk218590779"/>
      <w:r>
        <w:rPr>
          <w:rFonts w:hint="eastAsia" w:ascii="Times New Roman" w:hAnsi="Times New Roman" w:cs="Times New Roman"/>
          <w:color w:val="auto"/>
          <w:highlight w:val="none"/>
        </w:rPr>
        <w:t>当前研究通常采用“构建指标、划分阈值”的方式来识别旱涝急转事件，并依据同一套指标的不同等级来判定旱转涝或涝转旱及其强度。然而，由于旱转涝与涝转旱的内在驱动机制存在根本差异，二者的识别方法论理应区别对待，这对指标构建与阈值选取提出了针对性要求。在识别逻辑上，旱转涝的判识强调前期干旱信号（如</w:t>
      </w:r>
      <w:r>
        <w:rPr>
          <w:rFonts w:hint="eastAsia" w:ascii="Times New Roman" w:hAnsi="Times New Roman" w:cs="Times New Roman"/>
          <w:i/>
          <w:iCs/>
          <w:color w:val="auto"/>
          <w:highlight w:val="none"/>
        </w:rPr>
        <w:t>SPI、SRI</w:t>
      </w:r>
      <w:r>
        <w:rPr>
          <w:rFonts w:hint="eastAsia" w:ascii="Times New Roman" w:hAnsi="Times New Roman" w:cs="Times New Roman"/>
          <w:color w:val="auto"/>
          <w:highlight w:val="none"/>
        </w:rPr>
        <w:t>持续低于低阈值）与后续短时强降水信号的组合，其“急转”过程剧烈，对日或次周尺度的高频数据敏感；而涝转旱的识别则依赖于前期湿润状态之后降水显著减少或中断，并常伴随气温升高、蒸散发增强的信号，其转变过程相对缓释，对周至月尺度的变化更为关键。尽管在理论上需差异化构建识别框架，但现有方法在实践中仍面临共性瓶颈。首先，“急转”阈值的客观判定缺乏物理依据，多依赖统计经验，导致“急”的时间尺度和“转”的强度阈值主观性强，可比性差。其次，多数指标基于单一或少数变量，难以协同捕捉降水、土壤水、径流等多要素的连锁逆转。最后，当前识别方法以诊断统计为主，物理机制薄弱，在揭示急转触发临界条件及实现早期预警方面能力有限。因此，未来需发展物理基础更强、能融合多要素同步变化信号、并支持早期预警的差异化识别框架。</w:t>
      </w:r>
    </w:p>
    <w:bookmarkEnd w:id="34"/>
    <w:p w14:paraId="6F2EC01F">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针对本环节的综述可以发现，尽管当前研究中识别方法与指标体系日趋丰富，但当前研究仍存在若干关键不足。一是旱涝急转等复合事件的识别指标普适性不足，现有指标多针对特定区域开发，其物理基础与统一阈值尚未建立，限制了跨区域对比与业务化应用。二是多源数据融合与智能识别方法的物理可解释性不强，许多机器学习模型虽能有效拟合，却难以揭示灾害演变的内在物理机制与因果关系。三是对洪涝事件动态、连续演变过程的实时追踪与早期信号捕捉能力仍较薄弱，难以满足高时效性风险预警的需求。未来需加强机理与数据融合的识别模型构建，并发展标准化、具有物理意义的动态监测指标体系。</w:t>
      </w:r>
    </w:p>
    <w:bookmarkEnd w:id="35"/>
    <w:p w14:paraId="3C69045B">
      <w:pPr>
        <w:pStyle w:val="7"/>
        <w:jc w:val="center"/>
        <w:rPr>
          <w:color w:val="auto"/>
          <w:highlight w:val="none"/>
        </w:rPr>
      </w:pPr>
      <w:r>
        <w:rPr>
          <w:color w:val="auto"/>
          <w:highlight w:val="none"/>
        </w:rPr>
        <w:pict>
          <v:shape id="_x0000_i1031" o:spt="75" type="#_x0000_t75" style="height:196.4pt;width:350pt;" filled="f" o:preferrelative="t" stroked="f" coordsize="21600,21600">
            <v:path/>
            <v:fill on="f" focussize="0,0"/>
            <v:stroke on="f" joinstyle="miter"/>
            <v:imagedata r:id="rId11" o:title="旱涝急转指标终版"/>
            <o:lock v:ext="edit" aspectratio="t"/>
            <w10:wrap type="none"/>
            <w10:anchorlock/>
          </v:shape>
        </w:pict>
      </w:r>
    </w:p>
    <w:p w14:paraId="24E3E381">
      <w:pPr>
        <w:pStyle w:val="5"/>
        <w:spacing w:line="288" w:lineRule="auto"/>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图 4 </w:t>
      </w:r>
      <w:r>
        <w:rPr>
          <w:rFonts w:hint="eastAsia" w:ascii="Times New Roman" w:hAnsi="Times New Roman" w:cs="Times New Roman"/>
          <w:color w:val="auto"/>
          <w:sz w:val="18"/>
          <w:szCs w:val="18"/>
          <w:highlight w:val="none"/>
        </w:rPr>
        <w:t>旱涝急转指标发展历程</w:t>
      </w:r>
    </w:p>
    <w:p w14:paraId="273D1938">
      <w:pPr>
        <w:pStyle w:val="7"/>
        <w:jc w:val="center"/>
        <w:rPr>
          <w:color w:val="auto"/>
          <w:highlight w:val="none"/>
        </w:rPr>
      </w:pPr>
      <w:r>
        <w:rPr>
          <w:rFonts w:ascii="Times New Roman" w:hAnsi="Times New Roman" w:eastAsia="黑体" w:cs="Times New Roman"/>
          <w:bCs/>
          <w:color w:val="auto"/>
          <w:sz w:val="18"/>
          <w:szCs w:val="18"/>
          <w:highlight w:val="none"/>
        </w:rPr>
        <w:t>Fig.4  Development process of drought-flood abrupt alternation ind</w:t>
      </w:r>
      <w:r>
        <w:rPr>
          <w:rFonts w:hint="eastAsia" w:ascii="Times New Roman" w:hAnsi="Times New Roman" w:eastAsia="黑体" w:cs="Times New Roman"/>
          <w:bCs/>
          <w:color w:val="auto"/>
          <w:sz w:val="18"/>
          <w:szCs w:val="18"/>
          <w:highlight w:val="none"/>
        </w:rPr>
        <w:t>icators</w:t>
      </w:r>
    </w:p>
    <w:bookmarkEnd w:id="24"/>
    <w:p w14:paraId="1231947A">
      <w:pPr>
        <w:pStyle w:val="3"/>
        <w:rPr>
          <w:rFonts w:ascii="Times New Roman" w:hAnsi="Times New Roman" w:cs="Times New Roman"/>
          <w:color w:val="auto"/>
          <w:highlight w:val="none"/>
        </w:rPr>
      </w:pPr>
      <w:r>
        <w:rPr>
          <w:rFonts w:ascii="Times New Roman" w:hAnsi="Times New Roman" w:cs="Times New Roman"/>
          <w:color w:val="auto"/>
          <w:highlight w:val="none"/>
        </w:rPr>
        <w:t xml:space="preserve">1.3 </w:t>
      </w:r>
      <w:r>
        <w:rPr>
          <w:rFonts w:hint="eastAsia" w:ascii="Times New Roman" w:hAnsi="Times New Roman" w:cs="Times New Roman"/>
          <w:color w:val="auto"/>
          <w:highlight w:val="none"/>
        </w:rPr>
        <w:t>水旱灾害风险评估及预测预警</w:t>
      </w:r>
    </w:p>
    <w:p w14:paraId="03D37C5F">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明晰水旱灾害的成因机理与演变规律是风险识别的科学基础，而精准量化其可能造成的多维影响，则是衔接科学认知与防控决策的核心桥梁，这也正是水旱灾害风险评估的根本任务。</w:t>
      </w:r>
      <w:bookmarkStart w:id="36" w:name="_Hlk218540343"/>
      <w:r>
        <w:rPr>
          <w:rFonts w:hint="eastAsia" w:ascii="Times New Roman" w:hAnsi="Times New Roman" w:cs="Times New Roman"/>
          <w:color w:val="auto"/>
          <w:highlight w:val="none"/>
        </w:rPr>
        <w:t>在明晰成因与演变规律（1.1与1.2小节）的基础上，风险评估的核心任务是量化灾害可能造成的多维损失，而预测预警则是其面向未来的动态应用，二者共同为防控决策（1.4节）提供直接依据。</w:t>
      </w:r>
      <w:bookmarkEnd w:id="36"/>
      <w:r>
        <w:rPr>
          <w:rFonts w:hint="eastAsia" w:ascii="Times New Roman" w:hAnsi="Times New Roman" w:cs="Times New Roman"/>
          <w:color w:val="auto"/>
          <w:highlight w:val="none"/>
        </w:rPr>
        <w:t>近年来水旱灾害风险评估体系不断演进，从早期的静态统计发展为融合多源数据、过程机理与智能算法的综合评估范式。水旱灾害风险评估主要采用综合指标风险评价法、基于过程模拟的模型耦合评估法以及基于数据驱动的智能评估法，重点关注其时空分布特征及对社会经济、农业和生态等领域的影响，揭示了气候变化背景下全球和我国尺度均呈现旱涝风险升级、城市化加剧内涝风险，以及新型复合型灾害风险日益增强的现状</w:t>
      </w:r>
      <w:r>
        <w:rPr>
          <w:rFonts w:ascii="Times New Roman" w:hAnsi="Times New Roman" w:cs="Times New Roman"/>
          <w:color w:val="auto"/>
          <w:highlight w:val="none"/>
          <w:vertAlign w:val="superscript"/>
        </w:rPr>
        <w:t>[139-140]</w:t>
      </w:r>
      <w:r>
        <w:rPr>
          <w:rFonts w:hint="eastAsia" w:ascii="Times New Roman" w:hAnsi="Times New Roman" w:cs="Times New Roman"/>
          <w:color w:val="auto"/>
          <w:highlight w:val="none"/>
        </w:rPr>
        <w:t>。</w:t>
      </w:r>
    </w:p>
    <w:p w14:paraId="6356F5B1">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综合指标风险评价法是最成熟的风险评估方法之一，通常是结合层次分析法、主成分分析法、加权综合评价法、模糊综合评价法、模糊集对评价法、人工神经网络法等确定评价指标权重</w:t>
      </w:r>
      <w:r>
        <w:rPr>
          <w:rFonts w:ascii="Times New Roman" w:hAnsi="Times New Roman" w:cs="Times New Roman"/>
          <w:color w:val="auto"/>
          <w:highlight w:val="none"/>
          <w:vertAlign w:val="superscript"/>
        </w:rPr>
        <w:t>[141-143]</w:t>
      </w:r>
      <w:r>
        <w:rPr>
          <w:rFonts w:hint="eastAsia" w:ascii="Times New Roman" w:hAnsi="Times New Roman" w:cs="Times New Roman"/>
          <w:color w:val="auto"/>
          <w:highlight w:val="none"/>
        </w:rPr>
        <w:t>，而后量化计算，这种评估方法以</w:t>
      </w:r>
      <w:r>
        <w:rPr>
          <w:rFonts w:hint="eastAsia" w:ascii="Times New Roman" w:hAnsi="Times New Roman" w:cs="Times New Roman"/>
          <w:color w:val="auto"/>
          <w:highlight w:val="none"/>
        </w:rPr>
        <w:t>张继权等</w:t>
      </w:r>
      <w:r>
        <w:rPr>
          <w:rFonts w:ascii="Times New Roman" w:hAnsi="Times New Roman" w:cs="Times New Roman"/>
          <w:color w:val="auto"/>
          <w:highlight w:val="none"/>
          <w:vertAlign w:val="superscript"/>
        </w:rPr>
        <w:t>[144]</w:t>
      </w:r>
      <w:r>
        <w:rPr>
          <w:rFonts w:hint="eastAsia" w:ascii="Times New Roman" w:hAnsi="Times New Roman" w:cs="Times New Roman"/>
          <w:color w:val="auto"/>
          <w:highlight w:val="none"/>
        </w:rPr>
        <w:t>提出的涵盖危险性（致灾因子）、脆弱性（孕灾环境）、暴露性（承灾体）和防灾减灾能力的自然灾害风险评估方法最具代表性且因其框架清晰而应用广泛，但这种评估过程偏静态主观，易对评估结果产生影响，难以捕捉灾害风险的动态过程。基于过程模拟的模型耦合评估法是从旱涝灾害风险系统中各影响因素的相互作用和其造成损失的物理成因机制角度出发，通过模拟致灾-成灾-损失的全过程来量化危险等级，评估灾害风险</w:t>
      </w:r>
      <w:r>
        <w:rPr>
          <w:rFonts w:ascii="Times New Roman" w:hAnsi="Times New Roman" w:cs="Times New Roman"/>
          <w:color w:val="auto"/>
          <w:highlight w:val="none"/>
          <w:vertAlign w:val="superscript"/>
        </w:rPr>
        <w:t>[145-147]</w:t>
      </w:r>
      <w:r>
        <w:rPr>
          <w:rFonts w:hint="eastAsia" w:ascii="Times New Roman" w:hAnsi="Times New Roman" w:cs="Times New Roman"/>
          <w:color w:val="auto"/>
          <w:highlight w:val="none"/>
        </w:rPr>
        <w:t>。总的来说，这类方法在旱灾风险评估方面的研究成果较少，由于干旱事件中的不确定性因素和变化特征难以描述，不同情景下的损失过程复杂且难以模拟，精度无法保证。在洪涝灾害风险管理方面，VIC、SWAT等基于陆地水循环过程的水文模型</w:t>
      </w:r>
      <w:r>
        <w:rPr>
          <w:rFonts w:ascii="Times New Roman" w:hAnsi="Times New Roman" w:cs="Times New Roman"/>
          <w:color w:val="auto"/>
          <w:highlight w:val="none"/>
          <w:vertAlign w:val="superscript"/>
        </w:rPr>
        <w:t>[148-149]</w:t>
      </w:r>
      <w:r>
        <w:rPr>
          <w:rFonts w:hint="eastAsia" w:ascii="Times New Roman" w:hAnsi="Times New Roman" w:cs="Times New Roman"/>
          <w:color w:val="auto"/>
          <w:highlight w:val="none"/>
        </w:rPr>
        <w:t>，MIKE 11、MIKE 21、MIKE FLOOD等基于水力学方程的一维/二维及其耦合的水动力模型</w:t>
      </w:r>
      <w:r>
        <w:rPr>
          <w:rFonts w:ascii="Times New Roman" w:hAnsi="Times New Roman" w:cs="Times New Roman"/>
          <w:color w:val="auto"/>
          <w:highlight w:val="none"/>
          <w:vertAlign w:val="superscript"/>
        </w:rPr>
        <w:t>[150-151]</w:t>
      </w:r>
      <w:r>
        <w:rPr>
          <w:rFonts w:hint="eastAsia" w:ascii="Times New Roman" w:hAnsi="Times New Roman" w:cs="Times New Roman"/>
          <w:color w:val="auto"/>
          <w:highlight w:val="none"/>
        </w:rPr>
        <w:t>，SWMM等城市雨洪模型</w:t>
      </w:r>
      <w:r>
        <w:rPr>
          <w:rFonts w:ascii="Times New Roman" w:hAnsi="Times New Roman" w:cs="Times New Roman"/>
          <w:color w:val="auto"/>
          <w:highlight w:val="none"/>
          <w:vertAlign w:val="superscript"/>
        </w:rPr>
        <w:t>[152-153]</w:t>
      </w:r>
      <w:r>
        <w:rPr>
          <w:rFonts w:hint="eastAsia" w:ascii="Times New Roman" w:hAnsi="Times New Roman" w:cs="Times New Roman"/>
          <w:color w:val="auto"/>
          <w:highlight w:val="none"/>
        </w:rPr>
        <w:t>及他们之间的耦合模型在输出流量过程线、淹没范围、水深、流速场和淹没历时等危险性核心指标方面贡献突出，</w:t>
      </w:r>
      <w:bookmarkStart w:id="37" w:name="OLE_LINK26"/>
      <w:r>
        <w:rPr>
          <w:rFonts w:hint="eastAsia" w:ascii="Times New Roman" w:hAnsi="Times New Roman" w:cs="Times New Roman"/>
          <w:color w:val="auto"/>
          <w:highlight w:val="none"/>
        </w:rPr>
        <w:t>在风险评估框架中，上述模型的根本任务在于提供高精度的危险性信息即流量、淹没水深和历时等，作为综合风险模型中危险性模块的输入，从而与脆弱性、暴露度数据相结合，完成从灾害模拟到风险量化</w:t>
      </w:r>
      <w:r>
        <w:rPr>
          <w:rFonts w:ascii="Times New Roman" w:hAnsi="Times New Roman" w:cs="Times New Roman"/>
          <w:color w:val="auto"/>
          <w:highlight w:val="none"/>
          <w:vertAlign w:val="superscript"/>
        </w:rPr>
        <w:t>[154-158]</w:t>
      </w:r>
      <w:r>
        <w:rPr>
          <w:rFonts w:hint="eastAsia" w:ascii="Times New Roman" w:hAnsi="Times New Roman" w:cs="Times New Roman"/>
          <w:color w:val="auto"/>
          <w:highlight w:val="none"/>
        </w:rPr>
        <w:t>。</w:t>
      </w:r>
      <w:bookmarkEnd w:id="37"/>
    </w:p>
    <w:p w14:paraId="5DD91858">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为应对风险评估对高维度、非线性及不确定性处理的迫切需求，机器学习、深度学习等数据驱动方法迅速应用于该领域。这些方法的核心优势在于，能够直接从致灾因子与承灾体的历史数据中挖掘复杂关系，建立灾害强度与经济损失、人员受影响程度等的快速评估模型，或用于降尺度、偏差校正以提升气候模式输出的风险评估可用性，成为动态风险评估的关键技术</w:t>
      </w:r>
      <w:r>
        <w:rPr>
          <w:rFonts w:ascii="Times New Roman" w:hAnsi="Times New Roman" w:cs="Times New Roman"/>
          <w:color w:val="auto"/>
          <w:highlight w:val="none"/>
          <w:vertAlign w:val="superscript"/>
        </w:rPr>
        <w:t>[159-160]</w:t>
      </w:r>
      <w:r>
        <w:rPr>
          <w:rFonts w:hint="eastAsia" w:ascii="Times New Roman" w:hAnsi="Times New Roman" w:cs="Times New Roman"/>
          <w:color w:val="auto"/>
          <w:highlight w:val="none"/>
        </w:rPr>
        <w:t>，特别是在城市化内涝风险动态监测、早涝急转等新型灾害的量化解析上实现了技术突破</w:t>
      </w:r>
      <w:r>
        <w:rPr>
          <w:rFonts w:ascii="Times New Roman" w:hAnsi="Times New Roman" w:cs="Times New Roman"/>
          <w:color w:val="auto"/>
          <w:highlight w:val="none"/>
          <w:vertAlign w:val="superscript"/>
        </w:rPr>
        <w:t>[161-162]</w:t>
      </w:r>
      <w:r>
        <w:rPr>
          <w:rFonts w:hint="eastAsia" w:ascii="Times New Roman" w:hAnsi="Times New Roman" w:cs="Times New Roman"/>
          <w:color w:val="auto"/>
          <w:highlight w:val="none"/>
        </w:rPr>
        <w:t>。利用这类方法，可以有效从海量数据中挖掘灾害与损失的复杂非线性关系，在处理高维数据方面具有较强的能力，且善于挖掘复杂模式，预测效率较高，因此逐渐成为了旱涝灾害风险预测的主流方式</w:t>
      </w:r>
      <w:r>
        <w:rPr>
          <w:rFonts w:ascii="Times New Roman" w:hAnsi="Times New Roman" w:cs="Times New Roman"/>
          <w:color w:val="auto"/>
          <w:highlight w:val="none"/>
          <w:vertAlign w:val="superscript"/>
        </w:rPr>
        <w:t>[163-164]</w:t>
      </w:r>
      <w:r>
        <w:rPr>
          <w:rFonts w:hint="eastAsia" w:ascii="Times New Roman" w:hAnsi="Times New Roman" w:cs="Times New Roman"/>
          <w:color w:val="auto"/>
          <w:highlight w:val="none"/>
        </w:rPr>
        <w:t>。随着数字孪生技术</w:t>
      </w:r>
      <w:r>
        <w:rPr>
          <w:rFonts w:ascii="Times New Roman" w:hAnsi="Times New Roman" w:cs="Times New Roman"/>
          <w:color w:val="auto"/>
          <w:highlight w:val="none"/>
          <w:vertAlign w:val="superscript"/>
        </w:rPr>
        <w:t>[165-166]</w:t>
      </w:r>
      <w:r>
        <w:rPr>
          <w:rFonts w:hint="eastAsia" w:ascii="Times New Roman" w:hAnsi="Times New Roman" w:cs="Times New Roman"/>
          <w:color w:val="auto"/>
          <w:highlight w:val="none"/>
        </w:rPr>
        <w:t>、贝叶斯网络模型</w:t>
      </w:r>
      <w:r>
        <w:rPr>
          <w:rFonts w:ascii="Times New Roman" w:hAnsi="Times New Roman" w:cs="Times New Roman"/>
          <w:color w:val="auto"/>
          <w:highlight w:val="none"/>
          <w:vertAlign w:val="superscript"/>
        </w:rPr>
        <w:t>[167-168]</w:t>
      </w:r>
      <w:r>
        <w:rPr>
          <w:rFonts w:hint="eastAsia" w:ascii="Times New Roman" w:hAnsi="Times New Roman" w:cs="Times New Roman"/>
          <w:color w:val="auto"/>
          <w:highlight w:val="none"/>
        </w:rPr>
        <w:t>及机器学习与气候模式耦合</w:t>
      </w:r>
      <w:r>
        <w:rPr>
          <w:rFonts w:ascii="Times New Roman" w:hAnsi="Times New Roman" w:cs="Times New Roman"/>
          <w:color w:val="auto"/>
          <w:highlight w:val="none"/>
          <w:vertAlign w:val="superscript"/>
        </w:rPr>
        <w:t>[169-170]</w:t>
      </w:r>
      <w:r>
        <w:rPr>
          <w:rFonts w:hint="eastAsia" w:ascii="Times New Roman" w:hAnsi="Times New Roman" w:cs="Times New Roman"/>
          <w:color w:val="auto"/>
          <w:highlight w:val="none"/>
        </w:rPr>
        <w:t>等技术的突破性发展，当前研究在极端气候事件预测精度提升</w:t>
      </w:r>
      <w:r>
        <w:rPr>
          <w:rFonts w:ascii="Times New Roman" w:hAnsi="Times New Roman" w:cs="Times New Roman"/>
          <w:color w:val="auto"/>
          <w:highlight w:val="none"/>
          <w:vertAlign w:val="superscript"/>
        </w:rPr>
        <w:t>[171-172]</w:t>
      </w:r>
      <w:r>
        <w:rPr>
          <w:rFonts w:hint="eastAsia" w:ascii="Times New Roman" w:hAnsi="Times New Roman" w:cs="Times New Roman"/>
          <w:color w:val="auto"/>
          <w:highlight w:val="none"/>
        </w:rPr>
        <w:t>、多灾种动态耦合预警</w:t>
      </w:r>
      <w:r>
        <w:rPr>
          <w:rFonts w:ascii="Times New Roman" w:hAnsi="Times New Roman" w:cs="Times New Roman"/>
          <w:color w:val="auto"/>
          <w:highlight w:val="none"/>
          <w:vertAlign w:val="superscript"/>
        </w:rPr>
        <w:t>[173-174]</w:t>
      </w:r>
      <w:r>
        <w:rPr>
          <w:rFonts w:hint="eastAsia" w:ascii="Times New Roman" w:hAnsi="Times New Roman" w:cs="Times New Roman"/>
          <w:color w:val="auto"/>
          <w:highlight w:val="none"/>
        </w:rPr>
        <w:t>、复合灾害常态化预警体系建设等方面取得显著进展，特别是在智能预警系统开发与气候模式深度融合应用中实现了突破。与过去主要采用的遥感与GIS技术、预警指标评价体系及气-陆-水嵌套模型等方法开展的极端气候下的洪旱风险预测预警研究，在聚焦灾害时空分布特征、城市化内涝风险及预警系统构建等方面更加深化。</w:t>
      </w:r>
    </w:p>
    <w:p w14:paraId="6966A829">
      <w:pPr>
        <w:ind w:firstLine="420" w:firstLineChars="200"/>
        <w:rPr>
          <w:rFonts w:ascii="Times New Roman" w:hAnsi="Times New Roman" w:cs="Times New Roman"/>
          <w:color w:val="auto"/>
          <w:highlight w:val="none"/>
        </w:rPr>
      </w:pPr>
      <w:bookmarkStart w:id="38" w:name="_Hlk218590787"/>
      <w:r>
        <w:rPr>
          <w:rFonts w:hint="eastAsia" w:ascii="Times New Roman" w:hAnsi="Times New Roman" w:cs="Times New Roman"/>
          <w:color w:val="auto"/>
          <w:highlight w:val="none"/>
        </w:rPr>
        <w:t>当前风险评估与预警研究在动态性、系统性和不确定性量化方面面临显著挑战。一方面，针对复合型风险的动态评估方法需更加完备，当前多数研究仍面向静态或单灾种评估，难以刻画风险在时间上的级联演变与空间上的交叉放大效应。另一方面，预测预警的不确定性未被充分量化，从气候模式输出、水文预报到风险后果传递过程中的误差累积机制认识不足，限制了预警信息的可信度与决策有效性。此外，多尺度风险评估结果的落地应用与属地化预警能力之间存在脱节。</w:t>
      </w:r>
    </w:p>
    <w:bookmarkEnd w:id="38"/>
    <w:p w14:paraId="31EEB3AC">
      <w:pPr>
        <w:pStyle w:val="3"/>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.4水旱灾害风险综合防控与韧性提升</w:t>
      </w:r>
    </w:p>
    <w:p w14:paraId="03F13475">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在系统揭示水旱灾害成因机理、精准识别其演变规律并动态评估预估其风险的基础上，风险管理的最终落脚点在于采取行之有效、动态耦合的综合防控体系，以提升区域韧性及系统适应能力。我国以流域为单元、以水库堤防等为骨干的防洪工程体系，通过“拦蓄泄分滞排”等措施有效主动调控洪水，仍是防御和降低洪水风险的基石</w:t>
      </w:r>
      <w:r>
        <w:rPr>
          <w:rFonts w:ascii="Times New Roman" w:hAnsi="Times New Roman" w:cs="Times New Roman"/>
          <w:color w:val="auto"/>
          <w:highlight w:val="none"/>
          <w:vertAlign w:val="superscript"/>
        </w:rPr>
        <w:t>[175]</w:t>
      </w:r>
      <w:r>
        <w:rPr>
          <w:rFonts w:hint="eastAsia" w:ascii="Times New Roman" w:hAnsi="Times New Roman" w:cs="Times New Roman"/>
          <w:color w:val="auto"/>
          <w:highlight w:val="none"/>
        </w:rPr>
        <w:t>。然而，面对气候极端化与灾害链式化的新态势，传统工程的局限性日益凸显：其基于历史气候的刚性设计可能难以适应未来极端事件的强度和频率，且对自然水文循环与生态过程的扰动，存在转移而非消减系统风险的可能。</w:t>
      </w:r>
    </w:p>
    <w:p w14:paraId="577620CE">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因此，水旱灾害防御范式发展从被动应急的危机管理向主动的风险管理、从单一的工程措施向工程-非工程-生态-智能多维协同转变，并通过断链减灾的核心策略与韧性治理的关键理念，系统提升应对水旱灾害的能力。多年实践证明，工程体系在水旱灾害防御特别是洪涝灾害治理中具有很大效能，其中水库工程通过在流域上游或关键节点修建大坝，形成人工湖泊，利用水库库容拦蓄洪水，削减下游洪峰流量，已是流域防洪中的“王牌”措施</w:t>
      </w:r>
      <w:r>
        <w:rPr>
          <w:rFonts w:ascii="Times New Roman" w:hAnsi="Times New Roman" w:cs="Times New Roman"/>
          <w:color w:val="auto"/>
          <w:highlight w:val="none"/>
          <w:vertAlign w:val="superscript"/>
        </w:rPr>
        <w:t>[176]</w:t>
      </w:r>
      <w:r>
        <w:rPr>
          <w:rFonts w:hint="eastAsia" w:ascii="Times New Roman" w:hAnsi="Times New Roman" w:cs="Times New Roman"/>
          <w:color w:val="auto"/>
          <w:highlight w:val="none"/>
        </w:rPr>
        <w:t>。但其建设与实施过程中存在着对自然水文循环的扰动、对流域水生态功能的削弱、基于历史标准的设计安全局限以及系统风险的空间转移等问题。</w:t>
      </w:r>
    </w:p>
    <w:p w14:paraId="69D5506E">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这是因为传统工程措施的刚性干预一方面会直接改变河流的自然流向及形态，深刻影响水文循环，阻断洪水与洪泛区之间的自然交互，进而影响河流生态系统的平衡，可能导致洪泛区生态功能的退化，此外，原有生态环境及地质结构的改变可能引发地质灾害等次生风险</w:t>
      </w:r>
      <w:r>
        <w:rPr>
          <w:rFonts w:ascii="Times New Roman" w:hAnsi="Times New Roman" w:cs="Times New Roman"/>
          <w:color w:val="auto"/>
          <w:highlight w:val="none"/>
          <w:vertAlign w:val="superscript"/>
        </w:rPr>
        <w:t>[177-178]</w:t>
      </w:r>
      <w:r>
        <w:rPr>
          <w:rFonts w:hint="eastAsia" w:ascii="Times New Roman" w:hAnsi="Times New Roman" w:cs="Times New Roman"/>
          <w:color w:val="auto"/>
          <w:highlight w:val="none"/>
        </w:rPr>
        <w:t>；另一方面工程的设计与建设往往基于历史气候数据，可能无法适应未来多变的极端气候，从而面临工程安全问题，造成工程失效失事</w:t>
      </w:r>
      <w:r>
        <w:rPr>
          <w:rFonts w:ascii="Times New Roman" w:hAnsi="Times New Roman" w:cs="Times New Roman"/>
          <w:color w:val="auto"/>
          <w:highlight w:val="none"/>
          <w:vertAlign w:val="superscript"/>
        </w:rPr>
        <w:t>[189-180]</w:t>
      </w:r>
      <w:r>
        <w:rPr>
          <w:rFonts w:hint="eastAsia" w:ascii="Times New Roman" w:hAnsi="Times New Roman" w:cs="Times New Roman"/>
          <w:color w:val="auto"/>
          <w:highlight w:val="none"/>
        </w:rPr>
        <w:t>。因此，在实践层面，需协同工程性调控与生态性适应手段，弥补传统防控模式对生态系统带来的负面干扰，从而构建更具韧性的防控体系。如通过有意识地恢复河流廊道、建设海绵城市及保护修复洪泛区与湿地等基于自然的解决方案，增强流域对水文极值的自然缓冲、滞蓄与适应能力，从而提升系统的生态韧性与基础设施的气候适应性</w:t>
      </w:r>
      <w:r>
        <w:rPr>
          <w:rFonts w:ascii="Times New Roman" w:hAnsi="Times New Roman" w:cs="Times New Roman"/>
          <w:color w:val="auto"/>
          <w:highlight w:val="none"/>
          <w:vertAlign w:val="superscript"/>
        </w:rPr>
        <w:t>[181-182]</w:t>
      </w:r>
      <w:r>
        <w:rPr>
          <w:rFonts w:hint="eastAsia" w:ascii="Times New Roman" w:hAnsi="Times New Roman" w:cs="Times New Roman"/>
          <w:color w:val="auto"/>
          <w:highlight w:val="none"/>
        </w:rPr>
        <w:t>。</w:t>
      </w:r>
    </w:p>
    <w:p w14:paraId="377B84BF">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然而，无论是工程体系的优化调度还是生态系统的功能恢复，其效能的最大化最终依赖于前瞻、精准且协同的管理决策。这便推动水旱灾害风险管理范式发生从被动应急向主动防控的根本性转变。其核心在于依托数字孪生流域、大数据与人工智能等前沿技术，构建智慧决策支持系统。其中，数字孪生技术通过集成实时监测、多源数据同化与物理机理模型，实现对灾害过程的高保真模拟与调度方案的动态预演，为工程体系协同优化提供推演平台</w:t>
      </w:r>
      <w:r>
        <w:rPr>
          <w:rFonts w:ascii="Times New Roman" w:hAnsi="Times New Roman" w:cs="Times New Roman"/>
          <w:color w:val="auto"/>
          <w:highlight w:val="none"/>
          <w:vertAlign w:val="superscript"/>
        </w:rPr>
        <w:t>[183-184]</w:t>
      </w:r>
      <w:r>
        <w:rPr>
          <w:rFonts w:hint="eastAsia" w:ascii="Times New Roman" w:hAnsi="Times New Roman" w:cs="Times New Roman"/>
          <w:color w:val="auto"/>
          <w:highlight w:val="none"/>
        </w:rPr>
        <w:t>。而机器学习与复杂网络分析等方法，能够深入解析并量化旱涝急转、灾害级联传播等复杂过程，精准识别关键风险节点与最优干预时机，从而实现从灾后被动应对到灾前主动防御的模式转变</w:t>
      </w:r>
      <w:r>
        <w:rPr>
          <w:rFonts w:ascii="Times New Roman" w:hAnsi="Times New Roman" w:cs="Times New Roman"/>
          <w:color w:val="auto"/>
          <w:highlight w:val="none"/>
          <w:vertAlign w:val="superscript"/>
        </w:rPr>
        <w:t>[185]</w:t>
      </w:r>
      <w:r>
        <w:rPr>
          <w:rFonts w:hint="eastAsia" w:ascii="Times New Roman" w:hAnsi="Times New Roman" w:cs="Times New Roman"/>
          <w:color w:val="auto"/>
          <w:highlight w:val="none"/>
        </w:rPr>
        <w:t>。</w:t>
      </w:r>
    </w:p>
    <w:p w14:paraId="62C1EED6">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基于上述技术赋能，水旱灾害防御体系逐步突破传统的危机管理模式，向覆盖全周期的系统性风险管理转变。从而形成融合监测预警、应急预案、风险管理、政策法规、保险机制等的综合体系。当前，依托数字化突破，该体系已在多方面取得关键进展：在决策精准性上，实现了实时模拟与数字孪生驱动的高效调度</w:t>
      </w:r>
      <w:r>
        <w:rPr>
          <w:rFonts w:ascii="Times New Roman" w:hAnsi="Times New Roman" w:cs="Times New Roman"/>
          <w:color w:val="auto"/>
          <w:highlight w:val="none"/>
          <w:vertAlign w:val="superscript"/>
        </w:rPr>
        <w:t>[186]</w:t>
      </w:r>
      <w:r>
        <w:rPr>
          <w:rFonts w:hint="eastAsia" w:ascii="Times New Roman" w:hAnsi="Times New Roman" w:cs="Times New Roman"/>
          <w:color w:val="auto"/>
          <w:highlight w:val="none"/>
        </w:rPr>
        <w:t>；在系统适应性上，推动了韧性城市与抗旱农业体系的构建</w:t>
      </w:r>
      <w:r>
        <w:rPr>
          <w:rFonts w:ascii="Times New Roman" w:hAnsi="Times New Roman" w:cs="Times New Roman"/>
          <w:color w:val="auto"/>
          <w:highlight w:val="none"/>
          <w:vertAlign w:val="superscript"/>
        </w:rPr>
        <w:t>[197-188]</w:t>
      </w:r>
      <w:r>
        <w:rPr>
          <w:rFonts w:hint="eastAsia" w:ascii="Times New Roman" w:hAnsi="Times New Roman" w:cs="Times New Roman"/>
          <w:color w:val="auto"/>
          <w:highlight w:val="none"/>
        </w:rPr>
        <w:t>；在治理协同性上，强化了跨区域、跨部门的联动能力</w:t>
      </w:r>
      <w:r>
        <w:rPr>
          <w:rFonts w:ascii="Times New Roman" w:hAnsi="Times New Roman" w:cs="Times New Roman"/>
          <w:color w:val="auto"/>
          <w:highlight w:val="none"/>
          <w:vertAlign w:val="superscript"/>
        </w:rPr>
        <w:t>[189]</w:t>
      </w:r>
      <w:r>
        <w:rPr>
          <w:rFonts w:hint="eastAsia" w:ascii="Times New Roman" w:hAnsi="Times New Roman" w:cs="Times New Roman"/>
          <w:color w:val="auto"/>
          <w:highlight w:val="none"/>
        </w:rPr>
        <w:t>。面对未来极端事件频次、强度与不确定性俱增的严峻气候情势，该体系仍需在如下重点方向深化：包括提升极端天气机理研究与预报预警精度、深化对复合链式风险的动态评估、加强流域智慧化管理平台建设、系统性完善防洪减灾的治理边界与责任机制，以及持续健全相关法律法规与服务保障体系，从而最终构建一个能够抵御冲击、适应变化并可持续学习进化的高韧性水安全系统。</w:t>
      </w:r>
    </w:p>
    <w:p w14:paraId="07119FE1">
      <w:pPr>
        <w:ind w:firstLine="420" w:firstLineChars="200"/>
        <w:rPr>
          <w:rFonts w:ascii="Times New Roman" w:hAnsi="Times New Roman" w:cs="Times New Roman"/>
          <w:color w:val="auto"/>
          <w:highlight w:val="none"/>
        </w:rPr>
      </w:pPr>
      <w:bookmarkStart w:id="39" w:name="_Hlk218590793"/>
      <w:r>
        <w:rPr>
          <w:rFonts w:hint="eastAsia" w:ascii="Times New Roman" w:hAnsi="Times New Roman" w:cs="Times New Roman"/>
          <w:color w:val="auto"/>
          <w:highlight w:val="none"/>
        </w:rPr>
        <w:t>当前防控体系研究与实践仍较多依赖传统工程与经验型调度，在系统性、适应性与协同性上存在不足。首先，多措施协同优化与长效效能评估框架还需完善，当前各类措施多独立规划与评估，缺乏基于系统韧性的多目标协同设计。其次，多尺度防控体系的衔接机制与动态调整能力薄弱，难以应对跨尺度风险传导与极端情景冲击。最后，防控策略缺乏与前瞻性风险预估的动态耦合，自适应调整能力不足。未来应重点发展融合多目标优化、自适应管理与动态风险反馈的韧性防控体系设计与数字孪生支撑平台。</w:t>
      </w:r>
    </w:p>
    <w:bookmarkEnd w:id="39"/>
    <w:p w14:paraId="3BD67E0E">
      <w:pPr>
        <w:pStyle w:val="2"/>
        <w:spacing w:before="0" w:after="0" w:line="240" w:lineRule="auto"/>
        <w:rPr>
          <w:rFonts w:ascii="Times New Roman" w:hAnsi="Times New Roman" w:eastAsia="宋体" w:cs="Times New Roman"/>
          <w:b w:val="0"/>
          <w:bCs w:val="0"/>
          <w:color w:val="auto"/>
          <w:highlight w:val="none"/>
        </w:rPr>
      </w:pPr>
      <w:bookmarkStart w:id="40" w:name="_Hlk218537224"/>
      <w:r>
        <w:rPr>
          <w:rFonts w:hint="eastAsia" w:ascii="Times New Roman" w:hAnsi="Times New Roman" w:eastAsia="宋体" w:cs="Times New Roman"/>
          <w:b w:val="0"/>
          <w:bCs w:val="0"/>
          <w:color w:val="auto"/>
          <w:highlight w:val="none"/>
        </w:rPr>
        <w:t>2</w:t>
      </w:r>
      <w:r>
        <w:rPr>
          <w:rFonts w:ascii="Times New Roman" w:hAnsi="Times New Roman" w:eastAsia="宋体" w:cs="Times New Roman"/>
          <w:b w:val="0"/>
          <w:bCs w:val="0"/>
          <w:color w:val="auto"/>
          <w:highlight w:val="none"/>
        </w:rPr>
        <w:t xml:space="preserve"> </w:t>
      </w:r>
      <w:r>
        <w:rPr>
          <w:rFonts w:hint="eastAsia" w:ascii="Times New Roman" w:hAnsi="Times New Roman" w:eastAsia="宋体" w:cs="Times New Roman"/>
          <w:b w:val="0"/>
          <w:bCs w:val="0"/>
          <w:color w:val="auto"/>
          <w:highlight w:val="none"/>
        </w:rPr>
        <w:t>水旱灾害全链条协同研究框架与未来研究热点</w:t>
      </w:r>
    </w:p>
    <w:p w14:paraId="3BAC2D7A">
      <w:pPr>
        <w:pStyle w:val="3"/>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.1 </w:t>
      </w:r>
      <w:r>
        <w:rPr>
          <w:rFonts w:hint="eastAsia" w:ascii="Times New Roman" w:hAnsi="Times New Roman" w:cs="Times New Roman"/>
          <w:color w:val="auto"/>
          <w:highlight w:val="none"/>
        </w:rPr>
        <w:t>水旱灾害全链条协同研究框架</w:t>
      </w:r>
    </w:p>
    <w:p w14:paraId="5F62D9FC">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通过上述系统梳理，可以发现对水旱灾害各环节的研究已经取得了显著进展，然而，在极端气候事件频发且多变的背景下，环节间脱节、理论与实践偏差的研究瓶颈也逐渐显现。因此，未来除需深化单独环节的研究外，更需着力统筹技术方法，构建机理认知-智能预警-动态防控-反馈学习的全链条协同研究框架（见图5），促进科学体系、技术手段和管理决策的系统整合，以实现水旱灾害防控体系的智能、灵活发展。该协同框架旨在将相对独立的四个研究环节，整合为一个能够自我反馈与优化的自适应体系。其基本逻辑是深化对灾害机理的认知，为精准识别规律与科学研判风险提供理论支撑；融合动态规律识别与风险评估及其智能预警，为防控决策与智能调度提供科学引导；通过空天地一体化监测网络，实时捕获防控措施实施效果和新的灾害数据，为科学认知模型和评估预警算法提供用于校验、修正和升级的反馈信息，从而形成良性循环。</w:t>
      </w:r>
    </w:p>
    <w:p w14:paraId="6FB4D4E0">
      <w:pPr>
        <w:pStyle w:val="7"/>
        <w:rPr>
          <w:color w:val="auto"/>
          <w:highlight w:val="none"/>
        </w:rPr>
      </w:pPr>
      <w:r>
        <w:rPr>
          <w:color w:val="auto"/>
          <w:highlight w:val="none"/>
        </w:rPr>
        <w:pict>
          <v:shape id="_x0000_i1032" o:spt="75" type="#_x0000_t75" style="height:208.15pt;width:414.55pt;" filled="f" o:preferrelative="t" stroked="f" coordsize="21600,21600">
            <v:path/>
            <v:fill on="f" focussize="0,0"/>
            <v:stroke on="f" joinstyle="miter"/>
            <v:imagedata r:id="rId12" o:title="研究框架横"/>
            <o:lock v:ext="edit" aspectratio="t"/>
            <w10:wrap type="none"/>
            <w10:anchorlock/>
          </v:shape>
        </w:pict>
      </w:r>
    </w:p>
    <w:p w14:paraId="0DF01515">
      <w:pPr>
        <w:pStyle w:val="5"/>
        <w:spacing w:line="288" w:lineRule="auto"/>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图 5 </w:t>
      </w:r>
      <w:r>
        <w:rPr>
          <w:rFonts w:hint="eastAsia" w:ascii="Times New Roman" w:hAnsi="Times New Roman" w:cs="Times New Roman"/>
          <w:color w:val="auto"/>
          <w:sz w:val="18"/>
          <w:szCs w:val="18"/>
          <w:highlight w:val="none"/>
        </w:rPr>
        <w:t>水旱灾害全链条协同研究框架示意</w:t>
      </w:r>
    </w:p>
    <w:p w14:paraId="4E656F04">
      <w:pPr>
        <w:pStyle w:val="7"/>
        <w:jc w:val="center"/>
        <w:rPr>
          <w:color w:val="auto"/>
          <w:highlight w:val="none"/>
        </w:rPr>
      </w:pPr>
      <w:r>
        <w:rPr>
          <w:rFonts w:ascii="Times New Roman" w:hAnsi="Times New Roman" w:eastAsia="黑体" w:cs="Times New Roman"/>
          <w:bCs/>
          <w:color w:val="auto"/>
          <w:sz w:val="18"/>
          <w:szCs w:val="18"/>
          <w:highlight w:val="none"/>
        </w:rPr>
        <w:t xml:space="preserve">Fig.5  </w:t>
      </w:r>
      <w:r>
        <w:rPr>
          <w:rFonts w:hint="eastAsia" w:ascii="Times New Roman" w:hAnsi="Times New Roman" w:eastAsia="黑体" w:cs="Times New Roman"/>
          <w:bCs/>
          <w:color w:val="auto"/>
          <w:sz w:val="18"/>
          <w:szCs w:val="18"/>
          <w:highlight w:val="none"/>
        </w:rPr>
        <w:t>S</w:t>
      </w:r>
      <w:r>
        <w:rPr>
          <w:rFonts w:ascii="Times New Roman" w:hAnsi="Times New Roman" w:eastAsia="黑体" w:cs="Times New Roman"/>
          <w:bCs/>
          <w:color w:val="auto"/>
          <w:sz w:val="18"/>
          <w:szCs w:val="18"/>
          <w:highlight w:val="none"/>
        </w:rPr>
        <w:t>chematic diagram of whole</w:t>
      </w:r>
      <w:r>
        <w:rPr>
          <w:rFonts w:hint="eastAsia" w:ascii="Times New Roman" w:hAnsi="Times New Roman" w:eastAsia="黑体" w:cs="Times New Roman"/>
          <w:bCs/>
          <w:color w:val="auto"/>
          <w:sz w:val="18"/>
          <w:szCs w:val="18"/>
          <w:highlight w:val="none"/>
        </w:rPr>
        <w:t>-</w:t>
      </w:r>
      <w:r>
        <w:rPr>
          <w:rFonts w:ascii="Times New Roman" w:hAnsi="Times New Roman" w:eastAsia="黑体" w:cs="Times New Roman"/>
          <w:bCs/>
          <w:color w:val="auto"/>
          <w:sz w:val="18"/>
          <w:szCs w:val="18"/>
          <w:highlight w:val="none"/>
        </w:rPr>
        <w:t>chain collaborative research framework for flood and drought disasters</w:t>
      </w:r>
    </w:p>
    <w:p w14:paraId="22D8C1F2">
      <w:pPr>
        <w:pStyle w:val="3"/>
        <w:rPr>
          <w:rFonts w:ascii="Times New Roman" w:hAnsi="Times New Roman" w:cs="Times New Roman"/>
          <w:color w:val="auto"/>
          <w:highlight w:val="none"/>
        </w:rPr>
      </w:pPr>
      <w:bookmarkStart w:id="41" w:name="_Hlk219906529"/>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.2 </w:t>
      </w:r>
      <w:r>
        <w:rPr>
          <w:rFonts w:hint="eastAsia" w:ascii="Times New Roman" w:hAnsi="Times New Roman" w:cs="Times New Roman"/>
          <w:color w:val="auto"/>
          <w:highlight w:val="none"/>
        </w:rPr>
        <w:t>全链条协同的技术路径与数据流转机制</w:t>
      </w:r>
    </w:p>
    <w:p w14:paraId="10BDB05B">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“机理认知-智能预警-动态防控-反馈学习”的闭环协同，其本质是在统一数据与模型框架下，实现灾害信息向防灾知识的转化、并最终驱动智慧决策的迭代过程。</w:t>
      </w:r>
      <w:r>
        <w:rPr>
          <w:rFonts w:hint="eastAsia"/>
          <w:color w:val="auto"/>
          <w:highlight w:val="none"/>
        </w:rPr>
        <w:t>当前，以中国“数字孪生流域”建设为代表的国家级实践，正将这一框架从理论构想转化为可运行的工程系统。其中，“数字孪生长江智慧防洪系统”作为先行先试的典范，</w:t>
      </w:r>
      <w:r>
        <w:rPr>
          <w:rFonts w:hint="eastAsia" w:ascii="Times New Roman" w:hAnsi="Times New Roman" w:cs="Times New Roman"/>
          <w:color w:val="auto"/>
          <w:highlight w:val="none"/>
        </w:rPr>
        <w:t>已得到初步验证与体现。本节将结合这一具体案例，解析在闭环中各环节应如何通过技术要素的衔接与数据的流转，支撑起一个动态演进的风险管理系统。</w:t>
      </w:r>
    </w:p>
    <w:p w14:paraId="5AFCD6F6">
      <w:pPr>
        <w:rPr>
          <w:rFonts w:ascii="Times New Roman" w:hAnsi="Times New Roman" w:cs="Times New Roman"/>
          <w:b/>
          <w:bCs/>
          <w:color w:val="auto"/>
          <w:highlight w:val="none"/>
        </w:rPr>
      </w:pPr>
      <w:r>
        <w:rPr>
          <w:rFonts w:hint="eastAsia" w:ascii="Times New Roman" w:hAnsi="Times New Roman" w:cs="Times New Roman"/>
          <w:b/>
          <w:bCs/>
          <w:color w:val="auto"/>
          <w:highlight w:val="none"/>
        </w:rPr>
        <w:t>2.2.1机理认知</w:t>
      </w:r>
    </w:p>
    <w:p w14:paraId="0F0A04E1">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该环节旨在将原始数据转化为对灾害形成与发展规律的系统性认识。其核心路径是多源数据汇聚、数字底板构建、耦合模型模拟。首先，来自气象卫星、测雨雷达、地面水文站网等构成的立体监测体系，实时获取流域降水、水位、流量等关键数据。这些多源异构数据通过同化算法融合，形成时空连续的流域数据底板。随后，这一高保真数字底板驱动水文、水动力、生态等多过程耦合的机理模型，通过模拟与反演，揭示灾害事件中的关键过程、驱动因子与响应关系。在数字孪生长江智慧防洪系统中，这一路径被体系化实施。系统整合了监测站点及多源遥感数据，构建了全流域空间数据底板，包括L1~L3级不同精度的影像和地形数据，以及倾斜摄影、水下地形、BIM等类型数据。基于此底板，构建了全流域的分布式水文水动力模拟，将流域划分为</w:t>
      </w:r>
      <w:r>
        <w:rPr>
          <w:rFonts w:ascii="Times New Roman" w:hAnsi="Times New Roman" w:cs="Times New Roman"/>
          <w:color w:val="auto"/>
          <w:highlight w:val="none"/>
        </w:rPr>
        <w:t>1.2</w:t>
      </w:r>
      <w:r>
        <w:rPr>
          <w:rFonts w:hint="eastAsia" w:ascii="Times New Roman" w:hAnsi="Times New Roman" w:cs="Times New Roman"/>
          <w:color w:val="auto"/>
          <w:highlight w:val="none"/>
        </w:rPr>
        <w:t>万多个计算单元，实现任意计算单元的流量输出。这不仅是技术能力的体现，更意味着对长江洪水致灾机理的认知，已从基于统计规律的经验认知，跃升为基于物理机制的数字认知。</w:t>
      </w:r>
    </w:p>
    <w:p w14:paraId="18BD0F45">
      <w:pPr>
        <w:rPr>
          <w:rFonts w:ascii="Times New Roman" w:hAnsi="Times New Roman" w:cs="Times New Roman"/>
          <w:b/>
          <w:bCs/>
          <w:color w:val="auto"/>
          <w:highlight w:val="none"/>
        </w:rPr>
      </w:pPr>
      <w:r>
        <w:rPr>
          <w:rFonts w:hint="eastAsia" w:ascii="Times New Roman" w:hAnsi="Times New Roman" w:cs="Times New Roman"/>
          <w:b/>
          <w:bCs/>
          <w:color w:val="auto"/>
          <w:highlight w:val="none"/>
        </w:rPr>
        <w:t>2.2.2智能预警</w:t>
      </w:r>
    </w:p>
    <w:p w14:paraId="27FF8111">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此环节的目标是将机理认知转化为前瞻性的风险信号。其核心技术路径是构建一体化预报-调度-影响分析链。以未来气象预报为输入，自动耦合模型进行未来情景模拟，并行计算不同调度策略下的洪水演进与淹没后果。最终，将模拟得到的水深、流速等水力条件，与承灾体数据库叠加，动态生成风险预警图。数据流在此从描述“物理状态”转变为预示“社会风险”。数字孪生长江智慧防洪系统将这一路径凝练为“四预”的核心功能。系统构建了短临、短期、中期、延伸期及长期多时间尺度嵌套的无缝隙渐进式定量降水预报体系，为预警提供了全覆盖、滚动跟踪的降水输入。基于此，系统通过预报调度一体化技术，集成了覆盖干支流488个控制性节点、1200多套模型方案，支撑全流域的洪水演进模拟与调度预演。这实现了从单一预报到“预报-模拟-调度”的转变。</w:t>
      </w:r>
    </w:p>
    <w:p w14:paraId="7DC02EDE">
      <w:pPr>
        <w:rPr>
          <w:rFonts w:ascii="Times New Roman" w:hAnsi="Times New Roman" w:cs="Times New Roman"/>
          <w:b/>
          <w:bCs/>
          <w:color w:val="auto"/>
          <w:highlight w:val="none"/>
        </w:rPr>
      </w:pPr>
      <w:r>
        <w:rPr>
          <w:rFonts w:hint="eastAsia" w:ascii="Times New Roman" w:hAnsi="Times New Roman" w:cs="Times New Roman"/>
          <w:b/>
          <w:bCs/>
          <w:color w:val="auto"/>
          <w:highlight w:val="none"/>
        </w:rPr>
        <w:t>2.2.3动态防控</w:t>
      </w:r>
    </w:p>
    <w:p w14:paraId="50D300D8">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该环节旨在将风险预警转化为最优的防控行动。其实现依赖于“数字孪生决策平台”。该平台集成了实时监测、模型预演结果、历史预案与调度规则库。决策者可在平台提供的虚拟环境中，对多种防控方案进行交互式模拟与多目标协同优化，直观对比不同方案在防洪安全、发电、供水、生态等多方面的综合效应，从而辅助生成科学的调度指令或应急行动计划。数据在此环节中，从描述“是什么”（现状与预测）和“为什么”（机理），流转为规定“怎么办”的最优行动方案集。数字孪生长江智慧防洪系统构建了独特的“正逆向互馈预演体系”，不仅能正向预演防洪风险，还能逆向推演洪量分配，通过双向互馈计算智能生成和优化调度方案。在决策支持上，系统采用轻量化数字孪生技术，设计了宏观流域态势感知与微观重点区域风险评估的双重视角，并可叠加视频流数据实现虚实场景实时比对。同时，系统提供多场景、多视角、多尺度的方案可视化对比功能，并集成了如三峡库区基于高程的淹没风险库等专业模型，极大提升了调度决策的精准性与科学性。</w:t>
      </w:r>
    </w:p>
    <w:p w14:paraId="6F586B29">
      <w:pPr>
        <w:rPr>
          <w:rFonts w:ascii="Times New Roman" w:hAnsi="Times New Roman" w:cs="Times New Roman"/>
          <w:b/>
          <w:bCs/>
          <w:color w:val="auto"/>
          <w:highlight w:val="none"/>
        </w:rPr>
      </w:pPr>
      <w:r>
        <w:rPr>
          <w:rFonts w:hint="eastAsia" w:ascii="Times New Roman" w:hAnsi="Times New Roman" w:cs="Times New Roman"/>
          <w:b/>
          <w:bCs/>
          <w:color w:val="auto"/>
          <w:highlight w:val="none"/>
        </w:rPr>
        <w:t>2.2.4反馈学习</w:t>
      </w:r>
    </w:p>
    <w:p w14:paraId="0AED4EF2">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反馈学习环节是实现闭环协同、系统自我进化的关键。其路径是建立监测-评估-优化的逆向数据流。防控行动实施后，通过遥感、无人机、社会感知等多渠道获取的实际灾情与工程响应数据，与之前的预演预测结果进行自动比对与归因分析。产生的偏差信息被用于自动率定模型参数、修正预警阈值或优化调度规则，从而形成一个从实践反馈中持续学习的增强回路。数字孪生长江智慧防洪系统已初步建立起支持反馈学习的技术框架。其“流域水模拟体系动态构建技术”是一个关键工具，它允许根据物理现实的变化，快速概化河系、配置计算节点并自动率定模型参数，从而将实战或新数据反映的经验实时反馈并固化至孪生体系，敏捷地更新模拟能力。这标志着系统初步建立了从应用反馈中持续优化和适配的技术框架，但距离实时、自动化的闭环学习仍有差距。</w:t>
      </w:r>
    </w:p>
    <w:p w14:paraId="34EE71BE">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综上，全链条协同并非环节的简单串联，而是数据、模型与知识持续流动、转化与增值的过程。数字孪生长江智慧防洪系统的实践表明，尽管各环节技术已取得长足进展，但当前协同效能仍在一定程度上受限于环节间数据接口的标准化程度、模型耦合的自动化水平，以及反馈学习的实时性与系统性。突破这些瓶颈，实现真正无缝衔接、自适应演进的智慧防灾体系，是下一阶段研究的核心挑战，这也为未来研究方向指明了目标。</w:t>
      </w:r>
      <w:bookmarkEnd w:id="41"/>
    </w:p>
    <w:p w14:paraId="53B53DF9">
      <w:pPr>
        <w:pStyle w:val="3"/>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.3 </w:t>
      </w:r>
      <w:r>
        <w:rPr>
          <w:rFonts w:hint="eastAsia" w:ascii="Times New Roman" w:hAnsi="Times New Roman" w:cs="Times New Roman"/>
          <w:color w:val="auto"/>
          <w:highlight w:val="none"/>
        </w:rPr>
        <w:t>未来核心挑战与研究热点</w:t>
      </w:r>
    </w:p>
    <w:p w14:paraId="7C43DD02">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关于水旱灾害成因机理，未来的核心挑战在于揭示“海洋-陆地-大气-人类”多圈层之间的非线性耦合与多圈层耦合作用下的灾害触发与连锁放大机制。研究应超越对单一驱动力的独立分析，如探讨大气环流模式或下垫面条件改变等对水旱灾害事件的贡献，并着力阐明自然变率与人类活动是如何协同触发并放大极端旱涝事件。具体而言，未来要重点发展能有机耦合大气环流动力、陆面水文过程及社会经济活动的多尺度综合模型。同时，应挖掘机器学习与因果推断等数据驱动方法在机理探究方面的应用，以量化多因子贡献、辨识关键过程阈值，并揭示旱涝急转等复合灾害的形成路径。最终，通过深化对复杂系统触发-响应-放大的链式机理认知，为建立先进适应的预测系统奠定坚实的科学基础。</w:t>
      </w:r>
    </w:p>
    <w:p w14:paraId="093ABBFD">
      <w:pPr>
        <w:ind w:firstLine="420" w:firstLineChars="200"/>
        <w:rPr>
          <w:rFonts w:ascii="Times New Roman" w:hAnsi="Times New Roman" w:cs="Times New Roman"/>
          <w:color w:val="auto"/>
          <w:highlight w:val="none"/>
        </w:rPr>
      </w:pPr>
      <w:bookmarkStart w:id="42" w:name="_Hlk218800872"/>
      <w:r>
        <w:rPr>
          <w:rFonts w:hint="eastAsia" w:ascii="Times New Roman" w:hAnsi="Times New Roman" w:cs="Times New Roman"/>
          <w:color w:val="auto"/>
          <w:highlight w:val="none"/>
        </w:rPr>
        <w:t>针对上述研究挑战，未来具体的研究热点可能聚焦于以下三个方向：发展能够解析多圈层间能量-水分循环耦合反馈的高分辨率地球系统模式子模块；利用长期观测序列与古气候代用资料，辨识人类世背景下自然变率与人为强迫贡献的长期演变特征及其转折点；针对重点区域如城市群、大型水利工程影响区，开展自然-人类耦合系统的脆弱性与恢复力诊断，厘清其影响灾害链式放大的关键界面过程与调控节点。</w:t>
      </w:r>
      <w:bookmarkEnd w:id="42"/>
    </w:p>
    <w:p w14:paraId="04DDF8A2">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关于演变规律识别，亟需突破现有方法，向更高维度、更强机理和更智能化的方向迈进。具体体现在如下几个方面：首先，针对现有模型机理不透明、物理可解释性不足的问题，未来需深化智能模型与传统水文、水动力模型的机理融合，在追求拟合精度提升的同时，发展出能够阐释物理过程的可解释性模型，从而揭示不同类型干旱间的转换、洪水演进的临界阈值与突变机制等；其次，面对当前识别指标体系在时空维度单一、指标统一化程度低的局限，未来应构建多维度、多时空尺度的动态识别框架，突破现有指标时间尺度不匹配、阈值主观性强的限制，通过集成气象、水文、土壤、遥感和社会经济等多维度数据信息，建立适用于流域、城市等不同尺度的标准化识别工具；再次，为克服实时监测与预估能力薄弱、数据更新与预测精度不足的短板，未来需强化实时动态监测与早期预警的能力，利用高频遥感与同化技术，实现对旱涝演变过程更加精细化的动态刻画与趋势预估，为风险预警提供更及时、精准的规律认知基础。</w:t>
      </w:r>
    </w:p>
    <w:p w14:paraId="003817D2">
      <w:pPr>
        <w:ind w:firstLine="420" w:firstLineChars="200"/>
        <w:rPr>
          <w:rFonts w:ascii="Times New Roman" w:hAnsi="Times New Roman" w:cs="Times New Roman"/>
          <w:color w:val="auto"/>
          <w:highlight w:val="none"/>
        </w:rPr>
      </w:pPr>
      <w:bookmarkStart w:id="43" w:name="_Hlk218800893"/>
      <w:r>
        <w:rPr>
          <w:rFonts w:hint="eastAsia" w:ascii="Times New Roman" w:hAnsi="Times New Roman" w:cs="Times New Roman"/>
          <w:color w:val="auto"/>
          <w:highlight w:val="none"/>
        </w:rPr>
        <w:t>对此，关键的深化研究方向可能集中体现在：研发融合物理定律与深度学习框架的物理信息神经网络，用于从高维数据中直接挖掘并表达旱涝演变的核心控制方程；构建基于立体观测网的多源数据实时同化系统，实现公里级乃至更精细尺度的土壤湿度、地表水体、植被动态等要素的准实时、高可信度反演与融合分析；探索利用新兴遥感技术反演地表水文关键变量，发展适用于无资料或缺资料区域的旱涝识别新方法。</w:t>
      </w:r>
      <w:bookmarkEnd w:id="43"/>
    </w:p>
    <w:p w14:paraId="764039D3">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关于</w:t>
      </w:r>
      <w:bookmarkStart w:id="44" w:name="_Hlk218800901"/>
      <w:r>
        <w:rPr>
          <w:rFonts w:hint="eastAsia" w:ascii="Times New Roman" w:hAnsi="Times New Roman" w:cs="Times New Roman"/>
          <w:color w:val="auto"/>
          <w:highlight w:val="none"/>
        </w:rPr>
        <w:t>风险评估及预测预警</w:t>
      </w:r>
      <w:bookmarkEnd w:id="44"/>
      <w:r>
        <w:rPr>
          <w:rFonts w:hint="eastAsia" w:ascii="Times New Roman" w:hAnsi="Times New Roman" w:cs="Times New Roman"/>
          <w:color w:val="auto"/>
          <w:highlight w:val="none"/>
        </w:rPr>
        <w:t>，未来需紧密结合评估预估，共同应对不确定性的气候变化带来的风险挑战。因此，风险评估的研究关键在于量化风险不确定性的临界阈值，通过构建多技术融合的评估体系，提升模型的泛化能力，从而深刻揭示单一灾种及复合灾害对农业、生态等领域的冲击影响；风险预测预警的研究则需重点突破预测预见期有限与预警范围不足的限制，通过深度融合多源数据、技术与智能化手段，构建贯通“四预”的全流程管理体系。最终，以风险评估的动态成果直接应用于预警决策，并依托数字孪生平台等实现预案的模拟推演与迭代优化，共同推动灾害风险防控向实时化、精准化、智能化方向全面发展，为构建具备韧性的水安全保障体系提供核心科技支撑。</w:t>
      </w:r>
    </w:p>
    <w:p w14:paraId="304E8351">
      <w:pPr>
        <w:ind w:firstLine="420" w:firstLineChars="200"/>
        <w:rPr>
          <w:rFonts w:ascii="Times New Roman" w:hAnsi="Times New Roman" w:cs="Times New Roman"/>
          <w:color w:val="auto"/>
          <w:highlight w:val="none"/>
        </w:rPr>
      </w:pPr>
      <w:bookmarkStart w:id="45" w:name="_Hlk218800921"/>
      <w:r>
        <w:rPr>
          <w:rFonts w:hint="eastAsia" w:ascii="Times New Roman" w:hAnsi="Times New Roman" w:cs="Times New Roman"/>
          <w:color w:val="auto"/>
          <w:highlight w:val="none"/>
        </w:rPr>
        <w:t>进一步细化的前沿研究热点主要包含：发展基于贝叶斯深度学习的动态风险预估模型，量化从气象预报不确定性到灾害损失风险的完整传递链；研发面向暴雨-洪涝-内涝与干旱-热浪-生态退化等典型灾害链的级联风险评估模型，模拟风险跨介质、跨系统的传播与放大效应；构建耦合高分辨率气候模式输出、水文水动力模型与社会经济暴露数据库的“气候-水文-灾害-损失”全链条风险模拟平台，支撑未来不同情景下的长期风险趋势预估与适应对策成本效益分析。</w:t>
      </w:r>
    </w:p>
    <w:bookmarkEnd w:id="45"/>
    <w:p w14:paraId="7C2670D8">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关于综合防控，未来亟待从传统的灾后应急模式转向贯穿风险防控的全过程管理范式。核心在于构建自然-工程</w:t>
      </w:r>
      <w:r>
        <w:rPr>
          <w:rFonts w:ascii="Times New Roman" w:hAnsi="Times New Roman" w:cs="Times New Roman"/>
          <w:color w:val="auto"/>
          <w:highlight w:val="none"/>
        </w:rPr>
        <w:t>-</w:t>
      </w:r>
      <w:r>
        <w:rPr>
          <w:rFonts w:hint="eastAsia" w:ascii="Times New Roman" w:hAnsi="Times New Roman" w:cs="Times New Roman"/>
          <w:color w:val="auto"/>
          <w:highlight w:val="none"/>
        </w:rPr>
        <w:t>智能深度协同的减灾体系，重点发展能够融合机理认知与数据驱动的混合模型，从而具备系统整合生态的缓冲作用、工程的调控能力与智能的预演策略的复杂功能。与此同时，应着力完善流域-城市-社区多尺度联防联控机制，以应对风险跨尺度传导与治理边界碎片化的难题。面对突发性、连锁型灾害日益增多的变化趋势，发展动态防控机制成为必然，如实时融入多源信息来提升风险评估与预警的前瞻性与准确性，并形成可随气候情景变化而自主调整的弹性防控策略。此外，也应提高对生态工程的长效效能与潜在风险平衡的关注，需量化其长期生态水文效应，完善以可持续为导向的规划、评估与适应性管理框架，提升流域或区域水旱灾害防控体系的系统性、智能化与韧性水平。</w:t>
      </w:r>
    </w:p>
    <w:p w14:paraId="46A28A33">
      <w:pPr>
        <w:ind w:firstLine="420" w:firstLineChars="200"/>
        <w:rPr>
          <w:rFonts w:ascii="Times New Roman" w:hAnsi="Times New Roman" w:cs="Times New Roman"/>
          <w:color w:val="auto"/>
          <w:highlight w:val="none"/>
        </w:rPr>
      </w:pPr>
      <w:bookmarkStart w:id="46" w:name="_Hlk218800946"/>
      <w:r>
        <w:rPr>
          <w:rFonts w:hint="eastAsia" w:ascii="Times New Roman" w:hAnsi="Times New Roman" w:cs="Times New Roman"/>
          <w:color w:val="auto"/>
          <w:highlight w:val="none"/>
        </w:rPr>
        <w:t>具体的前沿探索将围绕以下几个重点展开：研发基于数字孪生与强化学习的流域水工程群自适应协同调度系统，实现防洪、抗旱、供水、生态等多目标动态权衡与实时优化决策；开展基于自然的解决方案效能精细化模拟与长效监测研究，定量评估海绵城市、生态修复等措施在不同气候区与地貌条件下的减灾效益、生态服务价值及潜在风险；探索建立跨部门、跨区域的水旱灾害风险转移与共担机制，并研究将其与智能预警、工程调度深度耦合的治理新模式，以市场与金融工具提升全社会风险抵御与恢复能力。</w:t>
      </w:r>
    </w:p>
    <w:bookmarkEnd w:id="40"/>
    <w:bookmarkEnd w:id="46"/>
    <w:p w14:paraId="247DE3D3">
      <w:pPr>
        <w:pStyle w:val="2"/>
        <w:spacing w:before="0" w:after="0" w:line="240" w:lineRule="auto"/>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 xml:space="preserve">3 </w:t>
      </w:r>
      <w:r>
        <w:rPr>
          <w:rFonts w:hint="eastAsia" w:ascii="Times New Roman" w:hAnsi="Times New Roman" w:eastAsia="宋体" w:cs="Times New Roman"/>
          <w:b w:val="0"/>
          <w:bCs w:val="0"/>
          <w:color w:val="auto"/>
          <w:highlight w:val="none"/>
        </w:rPr>
        <w:t>结语</w:t>
      </w:r>
    </w:p>
    <w:p w14:paraId="2EFA3689">
      <w:pPr>
        <w:ind w:firstLine="420" w:firstLineChars="200"/>
        <w:rPr>
          <w:rFonts w:ascii="Times New Roman" w:hAnsi="Times New Roman" w:cs="Times New Roman"/>
          <w:color w:val="auto"/>
          <w:highlight w:val="none"/>
        </w:rPr>
      </w:pPr>
      <w:bookmarkStart w:id="47" w:name="_Hlk218781832"/>
      <w:r>
        <w:rPr>
          <w:rFonts w:hint="eastAsia" w:ascii="Times New Roman" w:hAnsi="Times New Roman" w:cs="Times New Roman"/>
          <w:color w:val="auto"/>
          <w:highlight w:val="none"/>
        </w:rPr>
        <w:t>本文基于对水旱灾害的成因机理、演变识别、风险评估和综合防控的全链条研究进展的系统梳理，揭示了各环节的核心认知、方法演进与关键瓶颈。在成因机理方面，研究已从单一因子分析发展为对“海洋-大气-陆地-人类”多圈层非线性耦合驱动机制的系统揭示，但人类活动的精细化量化与多圈层交互反馈的模拟仍是薄弱环节。在演变识别方面，指标体系经历了从单因素统计到多源遥感融合，再到机理增强型综合识别的演进，智能算法显著提升了动态监测能力，然而旱涝急转等复合事件的识别指标普适性差、物理阈值模糊等问题依然突出。在风险评估与预警方面，研究范式已从静态评估转向动态、链式评估，人工智能与数字孪生技术推动了风险的实时模拟与预警，但对多灾种耦合风险、预警不确定性量化以及业务闭环的贯通能力仍显不足。在综合防控方面，理念已从工程主导转向“自然-工程-智能”协同的韧性治理，但多措施协同优化理论、跨尺度联防联控机制及长效适应效能评估体系尚未成熟。</w:t>
      </w:r>
    </w:p>
    <w:p w14:paraId="2EAA64C1">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综上所述，面对气候变化下水旱灾害“频发、广域、并发、链式”的新特征，传统单环节、静态化的研究与管理模式已难以适应。本文提出构建“机理认知-智能预警-动态防控-反馈学习”的全链条协同研究框架，其核心在于打破环节壁垒，通过深化多圈层耦合机理解析、发展物理可解释的智能识别与预警技术、构建基于数字孪生的自适应防控体系，最终形成闭环。未来的研究需在统一耦合归因模型、标准化动态识别体系、不确定性量化预警平台以及多目标协同韧性提升路径等方向上取得突破。本文旨在为推动水旱灾害风险研究从“独立”向“系统”的转型提供参考，为构建安全韧性的现代水网与流域综合治理体系提供理论支撑与技术路径。</w:t>
      </w:r>
    </w:p>
    <w:bookmarkEnd w:id="47"/>
    <w:p w14:paraId="7ED2E49E">
      <w:pPr>
        <w:pStyle w:val="7"/>
        <w:rPr>
          <w:color w:val="auto"/>
          <w:highlight w:val="none"/>
        </w:rPr>
      </w:pPr>
    </w:p>
    <w:p w14:paraId="352AD1F4">
      <w:pPr>
        <w:pStyle w:val="2"/>
        <w:spacing w:before="0" w:after="0" w:line="240" w:lineRule="auto"/>
        <w:rPr>
          <w:rStyle w:val="35"/>
          <w:rFonts w:ascii="Times New Roman" w:hAnsi="Times New Roman" w:cs="Times New Roman"/>
          <w:b w:val="0"/>
          <w:bCs w:val="0"/>
          <w:color w:val="auto"/>
          <w:highlight w:val="none"/>
        </w:rPr>
      </w:pPr>
      <w:r>
        <w:rPr>
          <w:rStyle w:val="35"/>
          <w:rFonts w:ascii="Times New Roman" w:hAnsi="Times New Roman" w:cs="Times New Roman"/>
          <w:b w:val="0"/>
          <w:bCs w:val="0"/>
          <w:color w:val="auto"/>
          <w:highlight w:val="none"/>
        </w:rPr>
        <w:t xml:space="preserve"> 参考文献</w:t>
      </w:r>
    </w:p>
    <w:p w14:paraId="10E9E5B0">
      <w:pPr>
        <w:pStyle w:val="41"/>
        <w:ind w:firstLine="0"/>
        <w:rPr>
          <w:rFonts w:ascii="Times New Roman" w:hAnsi="Times New Roman" w:cs="Times New Roman"/>
          <w:color w:val="auto"/>
          <w:sz w:val="15"/>
          <w:szCs w:val="15"/>
          <w:highlight w:val="none"/>
        </w:rPr>
      </w:pPr>
      <w:bookmarkStart w:id="48" w:name="_Hlk223015673"/>
      <w:r>
        <w:rPr>
          <w:rFonts w:hint="eastAsia" w:ascii="Times New Roman" w:hAnsi="Times New Roman" w:cs="Times New Roman"/>
          <w:color w:val="auto"/>
          <w:sz w:val="15"/>
          <w:szCs w:val="15"/>
          <w:highlight w:val="none"/>
        </w:rPr>
        <w:t xml:space="preserve">[1] ZHANG </w:t>
      </w:r>
      <w:r>
        <w:rPr>
          <w:rFonts w:hint="eastAsia" w:ascii="Times New Roman" w:hAnsi="Times New Roman" w:cs="Times New Roman"/>
          <w:color w:val="auto"/>
          <w:sz w:val="15"/>
          <w:szCs w:val="15"/>
          <w:highlight w:val="none"/>
        </w:rPr>
        <w:t>W X</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Anthropogenic amplification of precipitation variability over the past century[J]. Science, 2024, 385(6707): 427-432. </w:t>
      </w:r>
    </w:p>
    <w:p w14:paraId="07796C0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[2] 汤秋鸿, 陈德亮. 全球变化加剧水循环失衡与水资源危机[J]. 中国科学: 地球科学, 2025, </w:t>
      </w:r>
      <w:r>
        <w:rPr>
          <w:rFonts w:hint="eastAsia" w:ascii="Times New Roman" w:hAnsi="Times New Roman" w:cs="Times New Roman"/>
          <w:color w:val="auto"/>
          <w:sz w:val="15"/>
          <w:szCs w:val="15"/>
          <w:highlight w:val="none"/>
        </w:rPr>
        <w:t>55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3209-3212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TANG Q</w:t>
      </w:r>
      <w:r>
        <w:rPr>
          <w:rFonts w:ascii="Times New Roman" w:hAnsi="Times New Roman" w:cs="Times New Roman"/>
          <w:color w:val="auto"/>
          <w:sz w:val="15"/>
          <w:szCs w:val="15"/>
          <w:highlight w:val="none"/>
        </w:rPr>
        <w:t xml:space="preserve"> H</w:t>
      </w:r>
      <w:r>
        <w:rPr>
          <w:rFonts w:hint="eastAsia" w:ascii="Times New Roman" w:hAnsi="Times New Roman" w:cs="Times New Roman"/>
          <w:color w:val="auto"/>
          <w:sz w:val="15"/>
          <w:szCs w:val="15"/>
          <w:highlight w:val="none"/>
        </w:rPr>
        <w:t>, CHEN D</w:t>
      </w:r>
      <w:r>
        <w:rPr>
          <w:rFonts w:ascii="Times New Roman" w:hAnsi="Times New Roman" w:cs="Times New Roman"/>
          <w:color w:val="auto"/>
          <w:sz w:val="15"/>
          <w:szCs w:val="15"/>
          <w:highlight w:val="none"/>
        </w:rPr>
        <w:t xml:space="preserve"> L.</w:t>
      </w:r>
      <w:r>
        <w:rPr>
          <w:rFonts w:hint="eastAsia" w:ascii="Times New Roman" w:hAnsi="Times New Roman" w:cs="Times New Roman"/>
          <w:color w:val="auto"/>
          <w:sz w:val="15"/>
          <w:szCs w:val="15"/>
          <w:highlight w:val="none"/>
        </w:rPr>
        <w:t xml:space="preserve"> Global change exacerbates water cycle imbalances and intensifies water resource crises[J]. </w:t>
      </w:r>
      <w:r>
        <w:rPr>
          <w:rFonts w:hint="eastAsia" w:ascii="Times New Roman" w:hAnsi="Times New Roman" w:cs="Times New Roman"/>
          <w:color w:val="auto"/>
          <w:sz w:val="15"/>
          <w:szCs w:val="15"/>
          <w:highlight w:val="none"/>
        </w:rPr>
        <w:t>Scientia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Sinica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(Terrae)</w:t>
      </w:r>
      <w:r>
        <w:rPr>
          <w:rFonts w:hint="eastAsia" w:ascii="Times New Roman" w:hAnsi="Times New Roman" w:cs="Times New Roman"/>
          <w:color w:val="auto"/>
          <w:sz w:val="15"/>
          <w:szCs w:val="15"/>
          <w:highlight w:val="none"/>
        </w:rPr>
        <w:t xml:space="preserve">, 2025, </w:t>
      </w:r>
      <w:r>
        <w:rPr>
          <w:rFonts w:hint="eastAsia" w:ascii="Times New Roman" w:hAnsi="Times New Roman" w:cs="Times New Roman"/>
          <w:color w:val="auto"/>
          <w:sz w:val="15"/>
          <w:szCs w:val="15"/>
          <w:highlight w:val="none"/>
        </w:rPr>
        <w:t>55</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3209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3212</w:t>
      </w:r>
      <w:r>
        <w:rPr>
          <w:rFonts w:hint="eastAsia" w:ascii="Times New Roman" w:hAnsi="Times New Roman" w:cs="Times New Roman"/>
          <w:color w:val="auto"/>
          <w:sz w:val="15"/>
          <w:szCs w:val="15"/>
          <w:highlight w:val="none"/>
        </w:rPr>
        <w:t xml:space="preserve">. </w:t>
      </w:r>
    </w:p>
    <w:p w14:paraId="348E9D3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 GUDMUNDSSON L, BOULANGE J, DO H X, et al. Globally observed trends in mean and extreme river flow attributed to climate change[J]. Science, 2021, 371(6534): 1159-1162. </w:t>
      </w:r>
    </w:p>
    <w:p w14:paraId="4F3DC57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 POKHREL Y, FELFELANI F, SATOH Y, et al. Global terrestrial water storage and drought severity under climate change[J]. Nature Climate Change, 2021, 11(3): 226-233. </w:t>
      </w:r>
    </w:p>
    <w:p w14:paraId="2A78E7D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 王煜, 万芳, 王威浩, 等. 流域水资源系统复杂网络特征及韧性驱动机理[J]. 水科学进展, 2025, </w:t>
      </w:r>
      <w:r>
        <w:rPr>
          <w:rFonts w:hint="eastAsia" w:ascii="Times New Roman" w:hAnsi="Times New Roman" w:cs="Times New Roman"/>
          <w:color w:val="auto"/>
          <w:sz w:val="15"/>
          <w:szCs w:val="15"/>
          <w:highlight w:val="none"/>
        </w:rPr>
        <w:t>36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190-203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WAN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W H</w:t>
      </w:r>
      <w:r>
        <w:rPr>
          <w:rFonts w:hint="eastAsia" w:ascii="Times New Roman" w:hAnsi="Times New Roman" w:cs="Times New Roman"/>
          <w:color w:val="auto"/>
          <w:sz w:val="15"/>
          <w:szCs w:val="15"/>
          <w:highlight w:val="none"/>
        </w:rPr>
        <w:t xml:space="preserve">, et al. Complex network characteristics and resilience-driving mechanisms of water resource systems in river basin[J]. Advances in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ater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cience, 2025, </w:t>
      </w:r>
      <w:r>
        <w:rPr>
          <w:rFonts w:hint="eastAsia" w:ascii="Times New Roman" w:hAnsi="Times New Roman" w:cs="Times New Roman"/>
          <w:color w:val="auto"/>
          <w:sz w:val="15"/>
          <w:szCs w:val="15"/>
          <w:highlight w:val="none"/>
        </w:rPr>
        <w:t>36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190-203</w:t>
      </w:r>
      <w:r>
        <w:rPr>
          <w:rFonts w:hint="eastAsia" w:ascii="Times New Roman" w:hAnsi="Times New Roman" w:cs="Times New Roman"/>
          <w:color w:val="auto"/>
          <w:sz w:val="15"/>
          <w:szCs w:val="15"/>
          <w:highlight w:val="none"/>
        </w:rPr>
        <w:t xml:space="preserve">. </w:t>
      </w:r>
    </w:p>
    <w:p w14:paraId="29524F49">
      <w:pPr>
        <w:pStyle w:val="41"/>
        <w:ind w:firstLine="0"/>
        <w:rPr>
          <w:rFonts w:ascii="Times New Roman" w:hAnsi="Times New Roman" w:cs="Times New Roman"/>
          <w:color w:val="auto"/>
          <w:sz w:val="15"/>
          <w:szCs w:val="15"/>
          <w:highlight w:val="none"/>
        </w:rPr>
      </w:pPr>
      <w:bookmarkStart w:id="49" w:name="_Ref216276691"/>
      <w:r>
        <w:rPr>
          <w:rFonts w:ascii="Times New Roman" w:hAnsi="Times New Roman" w:cs="Times New Roman"/>
          <w:color w:val="auto"/>
          <w:sz w:val="15"/>
          <w:szCs w:val="15"/>
          <w:highlight w:val="none"/>
        </w:rPr>
        <w:t xml:space="preserve">[6] </w:t>
      </w:r>
      <w:bookmarkEnd w:id="49"/>
      <w:r>
        <w:rPr>
          <w:rFonts w:hint="eastAsia" w:ascii="Times New Roman" w:hAnsi="Times New Roman" w:cs="Times New Roman"/>
          <w:color w:val="auto"/>
          <w:sz w:val="15"/>
          <w:szCs w:val="15"/>
          <w:highlight w:val="none"/>
        </w:rPr>
        <w:t>IPCC. Climate Change 2021: The physical science basis[M/OL].  (2021</w:t>
      </w:r>
      <w:r>
        <w:rPr>
          <w:rFonts w:hint="eastAsia" w:ascii="Times New Roman" w:hAnsi="Times New Roman" w:cs="Times New Roman"/>
          <w:color w:val="auto"/>
          <w:sz w:val="15"/>
          <w:szCs w:val="15"/>
          <w:highlight w:val="none"/>
          <w:lang w:val="en-US" w:eastAsia="zh-CN"/>
        </w:rPr>
        <w:t>-08-09</w:t>
      </w:r>
      <w:r>
        <w:rPr>
          <w:rFonts w:hint="eastAsia" w:ascii="Times New Roman" w:hAnsi="Times New Roman" w:cs="Times New Roman"/>
          <w:color w:val="auto"/>
          <w:sz w:val="15"/>
          <w:szCs w:val="15"/>
          <w:highlight w:val="none"/>
        </w:rPr>
        <w:t>) [2026-03-25].https://www.ipcc.ch/report/ar6/wg1/.</w:t>
      </w:r>
    </w:p>
    <w:p w14:paraId="54A15CC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[7] 黄远东, 杨志强, 许冲. 灾害造成的人类损失(2000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2019)[J]. 中国应急管理, 2023(</w:t>
      </w:r>
      <w:r>
        <w:rPr>
          <w:rFonts w:hint="eastAsia"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46-51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HUANG </w:t>
      </w:r>
      <w:r>
        <w:rPr>
          <w:rFonts w:hint="eastAsia" w:ascii="Times New Roman" w:hAnsi="Times New Roman" w:cs="Times New Roman"/>
          <w:color w:val="auto"/>
          <w:sz w:val="15"/>
          <w:szCs w:val="15"/>
          <w:highlight w:val="none"/>
        </w:rPr>
        <w:t>Y D</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Z Q</w:t>
      </w:r>
      <w:r>
        <w:rPr>
          <w:rFonts w:hint="eastAsia" w:ascii="Times New Roman" w:hAnsi="Times New Roman" w:cs="Times New Roman"/>
          <w:color w:val="auto"/>
          <w:sz w:val="15"/>
          <w:szCs w:val="15"/>
          <w:highlight w:val="none"/>
        </w:rPr>
        <w:t xml:space="preserve">, XU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 The human cost of disasters: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n overview of the last 20 years (2000—2019)[J]. China Emergency Management, 2023(</w:t>
      </w:r>
      <w:r>
        <w:rPr>
          <w:rFonts w:hint="eastAsia"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46-51</w:t>
      </w:r>
      <w:r>
        <w:rPr>
          <w:rFonts w:hint="eastAsia" w:ascii="Times New Roman" w:hAnsi="Times New Roman" w:cs="Times New Roman"/>
          <w:color w:val="auto"/>
          <w:sz w:val="15"/>
          <w:szCs w:val="15"/>
          <w:highlight w:val="none"/>
        </w:rPr>
        <w:t xml:space="preserve">. </w:t>
      </w:r>
    </w:p>
    <w:p w14:paraId="10E13F7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[8] 夏军, 王庆明. 我国水利水电工程科学研究进展与前沿领域[J]. 南水北调与水利科技(中英文), 2025, </w:t>
      </w:r>
      <w:r>
        <w:rPr>
          <w:rFonts w:hint="eastAsia" w:ascii="Times New Roman" w:hAnsi="Times New Roman" w:cs="Times New Roman"/>
          <w:color w:val="auto"/>
          <w:sz w:val="15"/>
          <w:szCs w:val="15"/>
          <w:highlight w:val="none"/>
        </w:rPr>
        <w:t>23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753-760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XIA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Q M</w:t>
      </w:r>
      <w:r>
        <w:rPr>
          <w:rFonts w:hint="eastAsia" w:ascii="Times New Roman" w:hAnsi="Times New Roman" w:cs="Times New Roman"/>
          <w:color w:val="auto"/>
          <w:sz w:val="15"/>
          <w:szCs w:val="15"/>
          <w:highlight w:val="none"/>
        </w:rPr>
        <w:t xml:space="preserve">. Frontiers and prospects of water conservancy and hydropower science[J]. South-to-North Water Transfers and Water Science &amp; Technology, 2025, </w:t>
      </w:r>
      <w:r>
        <w:rPr>
          <w:rFonts w:hint="eastAsia" w:ascii="Times New Roman" w:hAnsi="Times New Roman" w:cs="Times New Roman"/>
          <w:color w:val="auto"/>
          <w:sz w:val="15"/>
          <w:szCs w:val="15"/>
          <w:highlight w:val="none"/>
        </w:rPr>
        <w:t>23</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753-760</w:t>
      </w:r>
      <w:r>
        <w:rPr>
          <w:rFonts w:hint="eastAsia" w:ascii="Times New Roman" w:hAnsi="Times New Roman" w:cs="Times New Roman"/>
          <w:color w:val="auto"/>
          <w:sz w:val="15"/>
          <w:szCs w:val="15"/>
          <w:highlight w:val="none"/>
        </w:rPr>
        <w:t xml:space="preserve">. </w:t>
      </w:r>
    </w:p>
    <w:p w14:paraId="5C51CDD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 YUAN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Y M</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S Y</w:t>
      </w:r>
      <w:r>
        <w:rPr>
          <w:rFonts w:hint="eastAsia" w:ascii="Times New Roman" w:hAnsi="Times New Roman" w:cs="Times New Roman"/>
          <w:color w:val="auto"/>
          <w:sz w:val="15"/>
          <w:szCs w:val="15"/>
          <w:highlight w:val="none"/>
        </w:rPr>
        <w:t>, et al. Multiscale causes of the 2022 Yangtze mega-flash drought under climate change[J]. Science China Earth Sciences, 2024, 67(</w:t>
      </w:r>
      <w:r>
        <w:rPr>
          <w:rFonts w:hint="eastAsia"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 xml:space="preserve">): 2649-2660. </w:t>
      </w:r>
    </w:p>
    <w:p w14:paraId="028FA8DA">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[10] M</w:t>
      </w:r>
      <w:r>
        <w:rPr>
          <w:rFonts w:hint="eastAsia" w:ascii="Times New Roman" w:hAnsi="Times New Roman" w:cs="Times New Roman"/>
          <w:color w:val="auto"/>
          <w:sz w:val="15"/>
          <w:szCs w:val="15"/>
          <w:highlight w:val="none"/>
        </w:rPr>
        <w:t>ERZ</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B</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Ö</w:t>
      </w:r>
      <w:r>
        <w:rPr>
          <w:rFonts w:hint="eastAsia" w:ascii="Times New Roman" w:hAnsi="Times New Roman" w:cs="Times New Roman"/>
          <w:color w:val="auto"/>
          <w:sz w:val="15"/>
          <w:szCs w:val="15"/>
          <w:highlight w:val="none"/>
        </w:rPr>
        <w:t>SCHL</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 xml:space="preserve"> V</w:t>
      </w:r>
      <w:r>
        <w:rPr>
          <w:rFonts w:hint="eastAsia" w:ascii="Times New Roman" w:hAnsi="Times New Roman" w:cs="Times New Roman"/>
          <w:color w:val="auto"/>
          <w:sz w:val="15"/>
          <w:szCs w:val="15"/>
          <w:highlight w:val="none"/>
        </w:rPr>
        <w:t>OROGUSHYN</w:t>
      </w:r>
      <w:r>
        <w:rPr>
          <w:rFonts w:hint="eastAsia" w:ascii="Times New Roman" w:hAnsi="Times New Roman" w:cs="Times New Roman"/>
          <w:color w:val="auto"/>
          <w:sz w:val="15"/>
          <w:szCs w:val="15"/>
          <w:highlight w:val="none"/>
        </w:rPr>
        <w:t xml:space="preserve"> S</w:t>
      </w:r>
      <w:r>
        <w:rPr>
          <w:rFonts w:hint="eastAsia" w:ascii="Times New Roman" w:hAnsi="Times New Roman" w:cs="Times New Roman"/>
          <w:color w:val="auto"/>
          <w:sz w:val="15"/>
          <w:szCs w:val="15"/>
          <w:highlight w:val="none"/>
        </w:rPr>
        <w:t xml:space="preserve">, et al. Causes, impacts and patterns of disastrous river floods[J]. Nature Reviews Earth &amp; Environment, 2021, 2(9): 592-609. </w:t>
      </w:r>
    </w:p>
    <w:p w14:paraId="0E4ED9F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[11] GEBRECHORKOS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H, SHEFFIELD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VICENTE-SERRANO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M</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et al. Warming accelerates global drought severity[J]. Nature, 2025, 642</w:t>
      </w:r>
      <w:r>
        <w:rPr>
          <w:rFonts w:hint="eastAsia" w:ascii="Times New Roman" w:hAnsi="Times New Roman" w:cs="Times New Roman"/>
          <w:color w:val="auto"/>
          <w:sz w:val="15"/>
          <w:szCs w:val="15"/>
          <w:highlight w:val="none"/>
        </w:rPr>
        <w:t>(8068):</w:t>
      </w:r>
      <w:r>
        <w:rPr>
          <w:rFonts w:hint="eastAsia" w:ascii="Times New Roman" w:hAnsi="Times New Roman" w:cs="Times New Roman"/>
          <w:color w:val="auto"/>
          <w:sz w:val="15"/>
          <w:szCs w:val="15"/>
          <w:highlight w:val="none"/>
        </w:rPr>
        <w:t xml:space="preserve"> 628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635. </w:t>
      </w:r>
    </w:p>
    <w:p w14:paraId="7C7B8E8D">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[12] 吴凡, 杨肖丽, 任立良, 等. 人类活动影响下的中国各大流域水文干旱状态演变规律[J]. 水利学报, 2024, </w:t>
      </w:r>
      <w:r>
        <w:rPr>
          <w:rFonts w:hint="eastAsia" w:ascii="Times New Roman" w:hAnsi="Times New Roman" w:cs="Times New Roman"/>
          <w:color w:val="auto"/>
          <w:sz w:val="15"/>
          <w:szCs w:val="15"/>
          <w:highlight w:val="none"/>
        </w:rPr>
        <w:t>55</w:t>
      </w:r>
      <w:r>
        <w:rPr>
          <w:rFonts w:hint="eastAsia" w:ascii="Times New Roman" w:hAnsi="Times New Roman" w:cs="Times New Roman"/>
          <w:color w:val="auto"/>
          <w:sz w:val="15"/>
          <w:szCs w:val="15"/>
          <w:highlight w:val="none"/>
        </w:rPr>
        <w:t>(12)</w:t>
      </w:r>
      <w:r>
        <w:rPr>
          <w:rFonts w:hint="eastAsia" w:ascii="Times New Roman" w:hAnsi="Times New Roman" w:cs="Times New Roman"/>
          <w:color w:val="auto"/>
          <w:sz w:val="15"/>
          <w:szCs w:val="15"/>
          <w:highlight w:val="none"/>
        </w:rPr>
        <w:t>: 1448-1460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WU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X L</w:t>
      </w:r>
      <w:r>
        <w:rPr>
          <w:rFonts w:hint="eastAsia" w:ascii="Times New Roman" w:hAnsi="Times New Roman" w:cs="Times New Roman"/>
          <w:color w:val="auto"/>
          <w:sz w:val="15"/>
          <w:szCs w:val="15"/>
          <w:highlight w:val="none"/>
        </w:rPr>
        <w:t xml:space="preserve">, REN </w:t>
      </w:r>
      <w:r>
        <w:rPr>
          <w:rFonts w:hint="eastAsia" w:ascii="Times New Roman" w:hAnsi="Times New Roman" w:cs="Times New Roman"/>
          <w:color w:val="auto"/>
          <w:sz w:val="15"/>
          <w:szCs w:val="15"/>
          <w:highlight w:val="none"/>
        </w:rPr>
        <w:t>L L</w:t>
      </w:r>
      <w:r>
        <w:rPr>
          <w:rFonts w:hint="eastAsia" w:ascii="Times New Roman" w:hAnsi="Times New Roman" w:cs="Times New Roman"/>
          <w:color w:val="auto"/>
          <w:sz w:val="15"/>
          <w:szCs w:val="15"/>
          <w:highlight w:val="none"/>
        </w:rPr>
        <w:t xml:space="preserve">, et al. Evolutionary law of hydrological and drought states in large basins of China under the influence of human activities[J]. Journal of Hydraulic Engineering, 2024, </w:t>
      </w:r>
      <w:r>
        <w:rPr>
          <w:rFonts w:hint="eastAsia" w:ascii="Times New Roman" w:hAnsi="Times New Roman" w:cs="Times New Roman"/>
          <w:color w:val="auto"/>
          <w:sz w:val="15"/>
          <w:szCs w:val="15"/>
          <w:highlight w:val="none"/>
        </w:rPr>
        <w:t>55</w:t>
      </w:r>
      <w:r>
        <w:rPr>
          <w:rFonts w:hint="eastAsia" w:ascii="Times New Roman" w:hAnsi="Times New Roman" w:cs="Times New Roman"/>
          <w:color w:val="auto"/>
          <w:sz w:val="15"/>
          <w:szCs w:val="15"/>
          <w:highlight w:val="none"/>
        </w:rPr>
        <w:t>(12)</w:t>
      </w:r>
      <w:r>
        <w:rPr>
          <w:rFonts w:hint="eastAsia" w:ascii="Times New Roman" w:hAnsi="Times New Roman" w:cs="Times New Roman"/>
          <w:color w:val="auto"/>
          <w:sz w:val="15"/>
          <w:szCs w:val="15"/>
          <w:highlight w:val="none"/>
        </w:rPr>
        <w:t>: 1448-1460</w:t>
      </w:r>
      <w:r>
        <w:rPr>
          <w:rFonts w:hint="eastAsia" w:ascii="Times New Roman" w:hAnsi="Times New Roman" w:cs="Times New Roman"/>
          <w:color w:val="auto"/>
          <w:sz w:val="15"/>
          <w:szCs w:val="15"/>
          <w:highlight w:val="none"/>
        </w:rPr>
        <w:t xml:space="preserve">. </w:t>
      </w:r>
    </w:p>
    <w:p w14:paraId="6790215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[13] 段居琦, 张强, 何雨峰, 等. 基于大气-土壤-植被系统干旱发生发展过程的综合干旱指标构建与应用[J]. 气象学报, 2021, 79(</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229-239.</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DUAN </w:t>
      </w:r>
      <w:r>
        <w:rPr>
          <w:rFonts w:hint="eastAsia" w:ascii="Times New Roman" w:hAnsi="Times New Roman" w:cs="Times New Roman"/>
          <w:color w:val="auto"/>
          <w:sz w:val="15"/>
          <w:szCs w:val="15"/>
          <w:highlight w:val="none"/>
        </w:rPr>
        <w:t>J Q</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HE </w:t>
      </w:r>
      <w:r>
        <w:rPr>
          <w:rFonts w:hint="eastAsia" w:ascii="Times New Roman" w:hAnsi="Times New Roman" w:cs="Times New Roman"/>
          <w:color w:val="auto"/>
          <w:sz w:val="15"/>
          <w:szCs w:val="15"/>
          <w:highlight w:val="none"/>
        </w:rPr>
        <w:t>Y F</w:t>
      </w:r>
      <w:r>
        <w:rPr>
          <w:rFonts w:hint="eastAsia" w:ascii="Times New Roman" w:hAnsi="Times New Roman" w:cs="Times New Roman"/>
          <w:color w:val="auto"/>
          <w:sz w:val="15"/>
          <w:szCs w:val="15"/>
          <w:highlight w:val="none"/>
        </w:rPr>
        <w:t>, et al. Construction and application of the combined drought index based on the development process of drought in the atmosphere-</w:t>
      </w:r>
      <w:r>
        <w:rPr>
          <w:rFonts w:hint="eastAsia" w:ascii="Times New Roman" w:hAnsi="Times New Roman" w:cs="Times New Roman"/>
          <w:color w:val="auto"/>
          <w:sz w:val="15"/>
          <w:szCs w:val="15"/>
          <w:highlight w:val="none"/>
        </w:rPr>
        <w:t>soil</w:t>
      </w:r>
      <w:r>
        <w:rPr>
          <w:rFonts w:hint="eastAsia" w:ascii="Times New Roman" w:hAnsi="Times New Roman" w:cs="Times New Roman"/>
          <w:color w:val="auto"/>
          <w:sz w:val="15"/>
          <w:szCs w:val="15"/>
          <w:highlight w:val="none"/>
        </w:rPr>
        <w:t>-vegetation system</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Acta Meteorologica Sinica, 2021, 79(2): 229-239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w:t>
      </w:r>
    </w:p>
    <w:p w14:paraId="37F0DCC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[14] NING </w:t>
      </w:r>
      <w:r>
        <w:rPr>
          <w:rFonts w:hint="eastAsia" w:ascii="Times New Roman" w:hAnsi="Times New Roman" w:cs="Times New Roman"/>
          <w:color w:val="auto"/>
          <w:sz w:val="15"/>
          <w:szCs w:val="15"/>
          <w:highlight w:val="none"/>
        </w:rPr>
        <w:t>S W</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XU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et al. Spatiotemporal propagation of compound drought events in China: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n approach combining 3D clustering and daily-scale Extended Convergent Cross Mapping[J]. Journal of Hydrology, 2025, 661: 133837. </w:t>
      </w:r>
    </w:p>
    <w:p w14:paraId="316854E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[15] YANG </w:t>
      </w:r>
      <w:r>
        <w:rPr>
          <w:rFonts w:hint="eastAsia" w:ascii="Times New Roman" w:hAnsi="Times New Roman" w:cs="Times New Roman"/>
          <w:color w:val="auto"/>
          <w:sz w:val="15"/>
          <w:szCs w:val="15"/>
          <w:highlight w:val="none"/>
        </w:rPr>
        <w:t>C P</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C H</w:t>
      </w:r>
      <w:r>
        <w:rPr>
          <w:rFonts w:hint="eastAsia" w:ascii="Times New Roman" w:hAnsi="Times New Roman" w:cs="Times New Roman"/>
          <w:color w:val="auto"/>
          <w:sz w:val="15"/>
          <w:szCs w:val="15"/>
          <w:highlight w:val="none"/>
        </w:rPr>
        <w:t xml:space="preserve">, XING </w:t>
      </w:r>
      <w:r>
        <w:rPr>
          <w:rFonts w:hint="eastAsia" w:ascii="Times New Roman" w:hAnsi="Times New Roman" w:cs="Times New Roman"/>
          <w:color w:val="auto"/>
          <w:sz w:val="15"/>
          <w:szCs w:val="15"/>
          <w:highlight w:val="none"/>
        </w:rPr>
        <w:t>X G</w:t>
      </w:r>
      <w:r>
        <w:rPr>
          <w:rFonts w:hint="eastAsia" w:ascii="Times New Roman" w:hAnsi="Times New Roman" w:cs="Times New Roman"/>
          <w:color w:val="auto"/>
          <w:sz w:val="15"/>
          <w:szCs w:val="15"/>
          <w:highlight w:val="none"/>
        </w:rPr>
        <w:t>, et al. Predicting the risk and trigger thresholds for propagation of meteorological droughts to agricultural droughts in China based on Copula-Bayesian model[J]. Agricultural Water Management, 2025, 313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09468.</w:t>
      </w:r>
      <w:r>
        <w:rPr>
          <w:rFonts w:hint="eastAsia" w:ascii="Times New Roman" w:hAnsi="Times New Roman" w:cs="Times New Roman"/>
          <w:color w:val="auto"/>
          <w:sz w:val="15"/>
          <w:szCs w:val="15"/>
          <w:highlight w:val="none"/>
        </w:rPr>
        <w:t xml:space="preserve"> </w:t>
      </w:r>
    </w:p>
    <w:p w14:paraId="5BF9519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[16] LI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 DING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Z Q</w:t>
      </w:r>
      <w:r>
        <w:rPr>
          <w:rFonts w:hint="eastAsia" w:ascii="Times New Roman" w:hAnsi="Times New Roman" w:cs="Times New Roman"/>
          <w:color w:val="auto"/>
          <w:sz w:val="15"/>
          <w:szCs w:val="15"/>
          <w:highlight w:val="none"/>
        </w:rPr>
        <w:t>, et al. The spatiotemporal evolution and propagation characteristics of multiple drought types from a three-dimensional perspective[J]. Journal of Hydrology, 2025, 652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132702. </w:t>
      </w:r>
    </w:p>
    <w:p w14:paraId="3BDC427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[17] MENG </w:t>
      </w:r>
      <w:r>
        <w:rPr>
          <w:rFonts w:hint="eastAsia" w:ascii="Times New Roman" w:hAnsi="Times New Roman" w:cs="Times New Roman"/>
          <w:color w:val="auto"/>
          <w:sz w:val="15"/>
          <w:szCs w:val="15"/>
          <w:highlight w:val="none"/>
        </w:rPr>
        <w:t>P F</w:t>
      </w:r>
      <w:r>
        <w:rPr>
          <w:rFonts w:hint="eastAsia" w:ascii="Times New Roman" w:hAnsi="Times New Roman" w:cs="Times New Roman"/>
          <w:color w:val="auto"/>
          <w:sz w:val="15"/>
          <w:szCs w:val="15"/>
          <w:highlight w:val="none"/>
        </w:rPr>
        <w:t xml:space="preserve">, SONG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L J</w:t>
      </w:r>
      <w:r>
        <w:rPr>
          <w:rFonts w:hint="eastAsia" w:ascii="Times New Roman" w:hAnsi="Times New Roman" w:cs="Times New Roman"/>
          <w:color w:val="auto"/>
          <w:sz w:val="15"/>
          <w:szCs w:val="15"/>
          <w:highlight w:val="none"/>
        </w:rPr>
        <w:t xml:space="preserve">, et al. Risk assessment of flood disasters in the Loess Plateau using the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azard</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ensitivity</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v</w:t>
      </w:r>
      <w:r>
        <w:rPr>
          <w:rFonts w:hint="eastAsia" w:ascii="Times New Roman" w:hAnsi="Times New Roman" w:cs="Times New Roman"/>
          <w:color w:val="auto"/>
          <w:sz w:val="15"/>
          <w:szCs w:val="15"/>
          <w:highlight w:val="none"/>
        </w:rPr>
        <w:t>ulnerability</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ecoverability framework[J]. International Journal of Disaster Risk Reduction, 2025</w:t>
      </w:r>
      <w:r>
        <w:rPr>
          <w:rFonts w:hint="eastAsia" w:ascii="Times New Roman" w:hAnsi="Times New Roman" w:cs="Times New Roman"/>
          <w:color w:val="auto"/>
          <w:sz w:val="15"/>
          <w:szCs w:val="15"/>
          <w:highlight w:val="none"/>
        </w:rPr>
        <w:t>, 120</w:t>
      </w:r>
      <w:r>
        <w:rPr>
          <w:rFonts w:hint="eastAsia" w:ascii="Times New Roman" w:hAnsi="Times New Roman" w:cs="Times New Roman"/>
          <w:color w:val="auto"/>
          <w:sz w:val="15"/>
          <w:szCs w:val="15"/>
          <w:highlight w:val="none"/>
        </w:rPr>
        <w:t xml:space="preserve">: 105379. </w:t>
      </w:r>
    </w:p>
    <w:p w14:paraId="7EFDC60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[18] REICHSTEIN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BENSON </w:t>
      </w:r>
      <w:r>
        <w:rPr>
          <w:rFonts w:hint="eastAsia" w:ascii="Times New Roman" w:hAnsi="Times New Roman" w:cs="Times New Roman"/>
          <w:color w:val="auto"/>
          <w:sz w:val="15"/>
          <w:szCs w:val="15"/>
          <w:highlight w:val="none"/>
        </w:rPr>
        <w:t>V</w:t>
      </w:r>
      <w:r>
        <w:rPr>
          <w:rFonts w:hint="eastAsia" w:ascii="Times New Roman" w:hAnsi="Times New Roman" w:cs="Times New Roman"/>
          <w:color w:val="auto"/>
          <w:sz w:val="15"/>
          <w:szCs w:val="15"/>
          <w:highlight w:val="none"/>
        </w:rPr>
        <w:t xml:space="preserve">, BLUNK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et al. Early warning of complex climate risk with integrated artificial intelligence[J]. Nature Communications, 2025, 16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2564. </w:t>
      </w:r>
    </w:p>
    <w:p w14:paraId="72D83FC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[19] 徐宗学, 陈浩, 任梅芳, 等. 中国城市洪涝致灾机理与风险评估研究进展[J]. 水科学进展, 2020, 31(</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713-724.</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XU </w:t>
      </w:r>
      <w:r>
        <w:rPr>
          <w:rFonts w:hint="eastAsia" w:ascii="Times New Roman" w:hAnsi="Times New Roman" w:cs="Times New Roman"/>
          <w:color w:val="auto"/>
          <w:sz w:val="15"/>
          <w:szCs w:val="15"/>
          <w:highlight w:val="none"/>
        </w:rPr>
        <w:t>Z X</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REN </w:t>
      </w:r>
      <w:r>
        <w:rPr>
          <w:rFonts w:hint="eastAsia" w:ascii="Times New Roman" w:hAnsi="Times New Roman" w:cs="Times New Roman"/>
          <w:color w:val="auto"/>
          <w:sz w:val="15"/>
          <w:szCs w:val="15"/>
          <w:highlight w:val="none"/>
        </w:rPr>
        <w:t>M F</w:t>
      </w:r>
      <w:r>
        <w:rPr>
          <w:rFonts w:hint="eastAsia" w:ascii="Times New Roman" w:hAnsi="Times New Roman" w:cs="Times New Roman"/>
          <w:color w:val="auto"/>
          <w:sz w:val="15"/>
          <w:szCs w:val="15"/>
          <w:highlight w:val="none"/>
        </w:rPr>
        <w:t>, et al. Progress on disaster mechanism and risk assessment of urban flood/waterlogging disasters in China[J]. Advances in Water Science, 2020, 31(</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713-724. </w:t>
      </w:r>
    </w:p>
    <w:p w14:paraId="5BAA6E1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[20] 张强, 姚玉璧, 王莺, 等. 中国南方干旱灾害风险特征及其防控对策[J]. 生态学报, 2017, 37(21): 7206-7218.</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YAO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et al. Risk characteristics and control technology measures of drought disaster in Southern China</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Acta Ecologica Sinica, 2017, 37(21): 7206-7218. </w:t>
      </w:r>
    </w:p>
    <w:p w14:paraId="3CB7A50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[21] 刘家宏, 裴羽佳, 梅超, 等. 郑州“7·20”特大暴雨内涝成因及灾害防控[J]. 郑州大学学报(工学版), 2023, </w:t>
      </w:r>
      <w:r>
        <w:rPr>
          <w:rFonts w:hint="eastAsia" w:ascii="Times New Roman" w:hAnsi="Times New Roman" w:cs="Times New Roman"/>
          <w:color w:val="auto"/>
          <w:sz w:val="15"/>
          <w:szCs w:val="15"/>
          <w:highlight w:val="none"/>
        </w:rPr>
        <w:t>44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38-45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LIU </w:t>
      </w:r>
      <w:r>
        <w:rPr>
          <w:rFonts w:hint="eastAsia" w:ascii="Times New Roman" w:hAnsi="Times New Roman" w:cs="Times New Roman"/>
          <w:color w:val="auto"/>
          <w:sz w:val="15"/>
          <w:szCs w:val="15"/>
          <w:highlight w:val="none"/>
        </w:rPr>
        <w:t>J H</w:t>
      </w:r>
      <w:r>
        <w:rPr>
          <w:rFonts w:hint="eastAsia" w:ascii="Times New Roman" w:hAnsi="Times New Roman" w:cs="Times New Roman"/>
          <w:color w:val="auto"/>
          <w:sz w:val="15"/>
          <w:szCs w:val="15"/>
          <w:highlight w:val="none"/>
        </w:rPr>
        <w:t xml:space="preserve">, PEI </w:t>
      </w:r>
      <w:r>
        <w:rPr>
          <w:rFonts w:hint="eastAsia" w:ascii="Times New Roman" w:hAnsi="Times New Roman" w:cs="Times New Roman"/>
          <w:color w:val="auto"/>
          <w:sz w:val="15"/>
          <w:szCs w:val="15"/>
          <w:highlight w:val="none"/>
        </w:rPr>
        <w:t>Y J</w:t>
      </w:r>
      <w:r>
        <w:rPr>
          <w:rFonts w:hint="eastAsia" w:ascii="Times New Roman" w:hAnsi="Times New Roman" w:cs="Times New Roman"/>
          <w:color w:val="auto"/>
          <w:sz w:val="15"/>
          <w:szCs w:val="15"/>
          <w:highlight w:val="none"/>
        </w:rPr>
        <w:t xml:space="preserve">, MEI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 et al. Waterlogging cause and disaster prevention and control of </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torrential rain in Zhengzhou[J]. Journal of Zhengzhou University (Engineering Science), 2023,</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44</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38-45</w:t>
      </w:r>
      <w:r>
        <w:rPr>
          <w:rFonts w:hint="eastAsia" w:ascii="Times New Roman" w:hAnsi="Times New Roman" w:cs="Times New Roman"/>
          <w:color w:val="auto"/>
          <w:sz w:val="15"/>
          <w:szCs w:val="15"/>
          <w:highlight w:val="none"/>
        </w:rPr>
        <w:t xml:space="preserve">. </w:t>
      </w:r>
    </w:p>
    <w:p w14:paraId="2BBC34C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[22] A</w:t>
      </w:r>
      <w:r>
        <w:rPr>
          <w:rFonts w:hint="eastAsia" w:ascii="Times New Roman" w:hAnsi="Times New Roman" w:cs="Times New Roman"/>
          <w:color w:val="auto"/>
          <w:sz w:val="15"/>
          <w:szCs w:val="15"/>
          <w:highlight w:val="none"/>
        </w:rPr>
        <w:t>KBARIAN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G</w:t>
      </w:r>
      <w:r>
        <w:rPr>
          <w:rFonts w:hint="eastAsia" w:ascii="Times New Roman" w:hAnsi="Times New Roman" w:cs="Times New Roman"/>
          <w:color w:val="auto"/>
          <w:sz w:val="15"/>
          <w:szCs w:val="15"/>
          <w:highlight w:val="none"/>
        </w:rPr>
        <w:t>HEIBI</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HAJIAGHAEI</w:t>
      </w:r>
      <w:r>
        <w:rPr>
          <w:rFonts w:hint="eastAsia" w:ascii="Times New Roman" w:hAnsi="Times New Roman" w:cs="Times New Roman"/>
          <w:color w:val="auto"/>
          <w:sz w:val="15"/>
          <w:szCs w:val="15"/>
          <w:highlight w:val="none"/>
        </w:rPr>
        <w:t>-K</w:t>
      </w:r>
      <w:r>
        <w:rPr>
          <w:rFonts w:hint="eastAsia" w:ascii="Times New Roman" w:hAnsi="Times New Roman" w:cs="Times New Roman"/>
          <w:color w:val="auto"/>
          <w:sz w:val="15"/>
          <w:szCs w:val="15"/>
          <w:highlight w:val="none"/>
        </w:rPr>
        <w:t>ESHTELI</w:t>
      </w:r>
      <w:r>
        <w:rPr>
          <w:rFonts w:hint="eastAsia" w:ascii="Times New Roman" w:hAnsi="Times New Roman" w:cs="Times New Roman"/>
          <w:color w:val="auto"/>
          <w:sz w:val="15"/>
          <w:szCs w:val="15"/>
          <w:highlight w:val="none"/>
        </w:rPr>
        <w:t xml:space="preserve"> M</w:t>
      </w:r>
      <w:r>
        <w:rPr>
          <w:rFonts w:hint="eastAsia" w:ascii="Times New Roman" w:hAnsi="Times New Roman" w:cs="Times New Roman"/>
          <w:color w:val="auto"/>
          <w:sz w:val="15"/>
          <w:szCs w:val="15"/>
          <w:highlight w:val="none"/>
        </w:rPr>
        <w:t xml:space="preserve">, et al. A hybrid novel framework for flood disaster risk control in developing countries based on smart prediction systems and prioritized scenarios[J]. Journal of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nvironmental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anagement, 2022, 312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114939. </w:t>
      </w:r>
    </w:p>
    <w:p w14:paraId="00C0ECE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[23] SHAO </w:t>
      </w:r>
      <w:r>
        <w:rPr>
          <w:rFonts w:hint="eastAsia" w:ascii="Times New Roman" w:hAnsi="Times New Roman" w:cs="Times New Roman"/>
          <w:color w:val="auto"/>
          <w:sz w:val="15"/>
          <w:szCs w:val="15"/>
          <w:highlight w:val="none"/>
        </w:rPr>
        <w:t>Z Y</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Y X</w:t>
      </w:r>
      <w:r>
        <w:rPr>
          <w:rFonts w:hint="eastAsia" w:ascii="Times New Roman" w:hAnsi="Times New Roman" w:cs="Times New Roman"/>
          <w:color w:val="auto"/>
          <w:sz w:val="15"/>
          <w:szCs w:val="15"/>
          <w:highlight w:val="none"/>
        </w:rPr>
        <w:t xml:space="preserve">, GONG </w:t>
      </w:r>
      <w:r>
        <w:rPr>
          <w:rFonts w:hint="eastAsia" w:ascii="Times New Roman" w:hAnsi="Times New Roman" w:cs="Times New Roman"/>
          <w:color w:val="auto"/>
          <w:sz w:val="15"/>
          <w:szCs w:val="15"/>
          <w:highlight w:val="none"/>
        </w:rPr>
        <w:t>H F</w:t>
      </w:r>
      <w:r>
        <w:rPr>
          <w:rFonts w:hint="eastAsia" w:ascii="Times New Roman" w:hAnsi="Times New Roman" w:cs="Times New Roman"/>
          <w:color w:val="auto"/>
          <w:sz w:val="15"/>
          <w:szCs w:val="15"/>
          <w:highlight w:val="none"/>
        </w:rPr>
        <w:t xml:space="preserve">, et al. From risk control to resilience: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evelopments and trends of urban roads designed as surface flood passages to cope with extreme storms[J]. Frontiers of Environmental Science &amp; Engineering, 2023, 18(2): 22. </w:t>
      </w:r>
    </w:p>
    <w:p w14:paraId="6E66552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[24] 张强, 姚玉璧, 李耀辉, 等. 中国干旱事件成因和变化规律的研究进展与展望[J]. 气象学报, 2020, </w:t>
      </w:r>
      <w:r>
        <w:rPr>
          <w:rFonts w:hint="eastAsia" w:ascii="Times New Roman" w:hAnsi="Times New Roman" w:cs="Times New Roman"/>
          <w:color w:val="auto"/>
          <w:sz w:val="15"/>
          <w:szCs w:val="15"/>
          <w:highlight w:val="none"/>
        </w:rPr>
        <w:t>78</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500-521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YAO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et al. Progress and prospect on the study of causes and variation regularity of droughts in China[J]. Acta Meteorologica Sinica, 2020, </w:t>
      </w:r>
      <w:r>
        <w:rPr>
          <w:rFonts w:hint="eastAsia" w:ascii="Times New Roman" w:hAnsi="Times New Roman" w:cs="Times New Roman"/>
          <w:color w:val="auto"/>
          <w:sz w:val="15"/>
          <w:szCs w:val="15"/>
          <w:highlight w:val="none"/>
        </w:rPr>
        <w:t>78</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500-521</w:t>
      </w:r>
      <w:r>
        <w:rPr>
          <w:rFonts w:hint="eastAsia" w:ascii="Times New Roman" w:hAnsi="Times New Roman" w:cs="Times New Roman"/>
          <w:color w:val="auto"/>
          <w:sz w:val="15"/>
          <w:szCs w:val="15"/>
          <w:highlight w:val="none"/>
        </w:rPr>
        <w:t xml:space="preserve">. </w:t>
      </w:r>
    </w:p>
    <w:p w14:paraId="6A13300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[25] 郝增超, 陈阳. 地球系统视角下的多圈层复合极端事件研究进展与展望[J]. 中国科学: 地球科学, 2024, </w:t>
      </w:r>
      <w:r>
        <w:rPr>
          <w:rFonts w:hint="eastAsia" w:ascii="Times New Roman" w:hAnsi="Times New Roman" w:cs="Times New Roman"/>
          <w:color w:val="auto"/>
          <w:sz w:val="15"/>
          <w:szCs w:val="15"/>
          <w:highlight w:val="none"/>
        </w:rPr>
        <w:t>54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360-393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H</w:t>
      </w:r>
      <w:r>
        <w:rPr>
          <w:rFonts w:ascii="Times New Roman" w:hAnsi="Times New Roman" w:cs="Times New Roman"/>
          <w:color w:val="auto"/>
          <w:sz w:val="15"/>
          <w:szCs w:val="15"/>
          <w:highlight w:val="none"/>
        </w:rPr>
        <w:t>AO</w:t>
      </w:r>
      <w:r>
        <w:rPr>
          <w:rFonts w:hint="eastAsia" w:ascii="Times New Roman" w:hAnsi="Times New Roman" w:cs="Times New Roman"/>
          <w:color w:val="auto"/>
          <w:sz w:val="15"/>
          <w:szCs w:val="15"/>
          <w:highlight w:val="none"/>
        </w:rPr>
        <w:t xml:space="preserve"> Z</w:t>
      </w:r>
      <w:r>
        <w:rPr>
          <w:rFonts w:ascii="Times New Roman" w:hAnsi="Times New Roman" w:cs="Times New Roman"/>
          <w:color w:val="auto"/>
          <w:sz w:val="15"/>
          <w:szCs w:val="15"/>
          <w:highlight w:val="none"/>
        </w:rPr>
        <w:t xml:space="preserve"> C</w:t>
      </w:r>
      <w:r>
        <w:rPr>
          <w:rFonts w:hint="eastAsia" w:ascii="Times New Roman" w:hAnsi="Times New Roman" w:cs="Times New Roman"/>
          <w:color w:val="auto"/>
          <w:sz w:val="15"/>
          <w:szCs w:val="15"/>
          <w:highlight w:val="none"/>
        </w:rPr>
        <w:t>;</w:t>
      </w:r>
      <w:r>
        <w:rPr>
          <w:rFonts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Chen Y</w:t>
      </w:r>
      <w:r>
        <w:rPr>
          <w:rFonts w:hint="eastAsia" w:ascii="Times New Roman" w:hAnsi="Times New Roman" w:cs="Times New Roman"/>
          <w:color w:val="auto"/>
          <w:sz w:val="15"/>
          <w:szCs w:val="15"/>
          <w:highlight w:val="none"/>
        </w:rPr>
        <w:t>. Research progresses and prospects of multi-sphere compound extremes from the Earth System perspective</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Scientia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Sinica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(Terrae)</w:t>
      </w:r>
      <w:r>
        <w:rPr>
          <w:rFonts w:hint="eastAsia" w:ascii="Times New Roman" w:hAnsi="Times New Roman" w:cs="Times New Roman"/>
          <w:color w:val="auto"/>
          <w:sz w:val="15"/>
          <w:szCs w:val="15"/>
          <w:highlight w:val="none"/>
        </w:rPr>
        <w:t xml:space="preserve">, 2024, </w:t>
      </w:r>
      <w:r>
        <w:rPr>
          <w:rFonts w:hint="eastAsia" w:ascii="Times New Roman" w:hAnsi="Times New Roman" w:cs="Times New Roman"/>
          <w:color w:val="auto"/>
          <w:sz w:val="15"/>
          <w:szCs w:val="15"/>
          <w:highlight w:val="none"/>
        </w:rPr>
        <w:t>54</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360-393</w:t>
      </w:r>
      <w:r>
        <w:rPr>
          <w:rFonts w:hint="eastAsia" w:ascii="Times New Roman" w:hAnsi="Times New Roman" w:cs="Times New Roman"/>
          <w:color w:val="auto"/>
          <w:sz w:val="15"/>
          <w:szCs w:val="15"/>
          <w:highlight w:val="none"/>
        </w:rPr>
        <w:t xml:space="preserve">. </w:t>
      </w:r>
    </w:p>
    <w:p w14:paraId="665FF8CA">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[26] 郑帅, 翁白莎, 严登华, 等. 基于水循环全过程的旱涝级联效应研究框架[J]. 水资源保护, 2024, 40(</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60-70.</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ZHENG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WENG</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B S</w:t>
      </w:r>
      <w:r>
        <w:rPr>
          <w:rFonts w:hint="eastAsia" w:ascii="Times New Roman" w:hAnsi="Times New Roman" w:cs="Times New Roman"/>
          <w:color w:val="auto"/>
          <w:sz w:val="15"/>
          <w:szCs w:val="15"/>
          <w:highlight w:val="none"/>
        </w:rPr>
        <w:t xml:space="preserve">, YAN </w:t>
      </w:r>
      <w:r>
        <w:rPr>
          <w:rFonts w:hint="eastAsia" w:ascii="Times New Roman" w:hAnsi="Times New Roman" w:cs="Times New Roman"/>
          <w:color w:val="auto"/>
          <w:sz w:val="15"/>
          <w:szCs w:val="15"/>
          <w:highlight w:val="none"/>
        </w:rPr>
        <w:t>D H</w:t>
      </w:r>
      <w:r>
        <w:rPr>
          <w:rFonts w:hint="eastAsia" w:ascii="Times New Roman" w:hAnsi="Times New Roman" w:cs="Times New Roman"/>
          <w:color w:val="auto"/>
          <w:sz w:val="15"/>
          <w:szCs w:val="15"/>
          <w:highlight w:val="none"/>
        </w:rPr>
        <w:t>, et al. Research framework of drought-food cascade effect based on water cycle processes[J]. Water Resources Protection, 2024, 40(</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60-70. </w:t>
      </w:r>
    </w:p>
    <w:p w14:paraId="68EC2907">
      <w:pPr>
        <w:pStyle w:val="41"/>
        <w:ind w:firstLine="0"/>
        <w:rPr>
          <w:rFonts w:ascii="Times New Roman" w:hAnsi="Times New Roman" w:cs="Times New Roman"/>
          <w:color w:val="auto"/>
          <w:sz w:val="15"/>
          <w:szCs w:val="15"/>
          <w:highlight w:val="none"/>
        </w:rPr>
      </w:pPr>
      <w:bookmarkStart w:id="50" w:name="_Ref216339834"/>
      <w:r>
        <w:rPr>
          <w:rFonts w:hint="eastAsia" w:ascii="Times New Roman" w:hAnsi="Times New Roman" w:cs="Times New Roman"/>
          <w:color w:val="auto"/>
          <w:sz w:val="15"/>
          <w:szCs w:val="15"/>
          <w:highlight w:val="none"/>
        </w:rPr>
        <w:t xml:space="preserve">[27] 罗四维, 钱正安, 王谦谦. 夏季100毫巴青藏高压与我国东部旱涝关系的天气气候研究[J]. 高原气象, </w:t>
      </w:r>
      <w:r>
        <w:rPr>
          <w:rFonts w:ascii="Times New Roman" w:hAnsi="Times New Roman" w:cs="Times New Roman"/>
          <w:color w:val="auto"/>
          <w:sz w:val="15"/>
          <w:szCs w:val="15"/>
          <w:highlight w:val="none"/>
        </w:rPr>
        <w:t>1982(2): 1-10.</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LUO </w:t>
      </w:r>
      <w:r>
        <w:rPr>
          <w:rFonts w:hint="eastAsia" w:ascii="Times New Roman" w:hAnsi="Times New Roman" w:cs="Times New Roman"/>
          <w:color w:val="auto"/>
          <w:sz w:val="15"/>
          <w:szCs w:val="15"/>
          <w:highlight w:val="none"/>
        </w:rPr>
        <w:t>S W</w:t>
      </w:r>
      <w:r>
        <w:rPr>
          <w:rFonts w:hint="eastAsia" w:ascii="Times New Roman" w:hAnsi="Times New Roman" w:cs="Times New Roman"/>
          <w:color w:val="auto"/>
          <w:sz w:val="15"/>
          <w:szCs w:val="15"/>
          <w:highlight w:val="none"/>
        </w:rPr>
        <w:t>, QIAN</w:t>
      </w:r>
      <w:r>
        <w:rPr>
          <w:rFonts w:hint="eastAsia" w:ascii="Times New Roman" w:hAnsi="Times New Roman" w:cs="Times New Roman"/>
          <w:color w:val="auto"/>
          <w:sz w:val="15"/>
          <w:szCs w:val="15"/>
          <w:highlight w:val="none"/>
        </w:rPr>
        <w:t xml:space="preserve"> Z</w:t>
      </w:r>
      <w:r>
        <w:rPr>
          <w:rFonts w:ascii="Times New Roman" w:hAnsi="Times New Roman" w:cs="Times New Roman"/>
          <w:color w:val="auto"/>
          <w:sz w:val="15"/>
          <w:szCs w:val="15"/>
          <w:highlight w:val="none"/>
        </w:rPr>
        <w:t xml:space="preserve"> A, </w:t>
      </w:r>
      <w:r>
        <w:rPr>
          <w:rFonts w:hint="eastAsia" w:ascii="Times New Roman" w:hAnsi="Times New Roman" w:cs="Times New Roman"/>
          <w:color w:val="auto"/>
          <w:sz w:val="15"/>
          <w:szCs w:val="15"/>
          <w:highlight w:val="none"/>
        </w:rPr>
        <w:t>WANG Q Q</w:t>
      </w:r>
      <w:r>
        <w:rPr>
          <w:rFonts w:hint="eastAsia" w:ascii="Times New Roman" w:hAnsi="Times New Roman" w:cs="Times New Roman"/>
          <w:color w:val="auto"/>
          <w:sz w:val="15"/>
          <w:szCs w:val="15"/>
          <w:highlight w:val="none"/>
        </w:rPr>
        <w:t xml:space="preserve">. The climatic and synoptical study about the relation between the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inghai-</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izang high pressure on the 100mb surface and the flood and drought in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ast China in summer[J]. Plateau Meteorology, 1982</w:t>
      </w:r>
      <w:r>
        <w:rPr>
          <w:rFonts w:ascii="Times New Roman" w:hAnsi="Times New Roman" w:cs="Times New Roman"/>
          <w:color w:val="auto"/>
          <w:sz w:val="15"/>
          <w:szCs w:val="15"/>
          <w:highlight w:val="none"/>
        </w:rPr>
        <w:t>(2): 1-10.</w:t>
      </w:r>
      <w:r>
        <w:rPr>
          <w:rFonts w:hint="eastAsia" w:ascii="Times New Roman" w:hAnsi="Times New Roman" w:cs="Times New Roman"/>
          <w:color w:val="auto"/>
          <w:sz w:val="15"/>
          <w:szCs w:val="15"/>
          <w:highlight w:val="none"/>
        </w:rPr>
        <w:t xml:space="preserve">. </w:t>
      </w:r>
    </w:p>
    <w:p w14:paraId="2587979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[28] HUANG </w:t>
      </w:r>
      <w:r>
        <w:rPr>
          <w:rFonts w:hint="eastAsia" w:ascii="Times New Roman" w:hAnsi="Times New Roman" w:cs="Times New Roman"/>
          <w:color w:val="auto"/>
          <w:sz w:val="15"/>
          <w:szCs w:val="15"/>
          <w:highlight w:val="none"/>
        </w:rPr>
        <w:t>R H</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Y F</w:t>
      </w:r>
      <w:r>
        <w:rPr>
          <w:rFonts w:hint="eastAsia" w:ascii="Times New Roman" w:hAnsi="Times New Roman" w:cs="Times New Roman"/>
          <w:color w:val="auto"/>
          <w:sz w:val="15"/>
          <w:szCs w:val="15"/>
          <w:highlight w:val="none"/>
        </w:rPr>
        <w:t xml:space="preserve">. The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nfluence of ENSO on the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ummer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limate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hange in China and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ts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echanism[J]. Advances in Atmospheric Sciences, 1989, </w:t>
      </w:r>
      <w:r>
        <w:rPr>
          <w:rFonts w:hint="eastAsia"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21-32. </w:t>
      </w:r>
    </w:p>
    <w:p w14:paraId="5BA45A4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[29] BAO </w:t>
      </w:r>
      <w:r>
        <w:rPr>
          <w:rFonts w:hint="eastAsia" w:ascii="Times New Roman" w:hAnsi="Times New Roman" w:cs="Times New Roman"/>
          <w:color w:val="auto"/>
          <w:sz w:val="15"/>
          <w:szCs w:val="15"/>
          <w:highlight w:val="none"/>
        </w:rPr>
        <w:t>Z R</w:t>
      </w:r>
      <w:r>
        <w:rPr>
          <w:rFonts w:hint="eastAsia" w:ascii="Times New Roman" w:hAnsi="Times New Roman" w:cs="Times New Roman"/>
          <w:color w:val="auto"/>
          <w:sz w:val="15"/>
          <w:szCs w:val="15"/>
          <w:highlight w:val="none"/>
        </w:rPr>
        <w:t xml:space="preserve">, XIE </w:t>
      </w:r>
      <w:r>
        <w:rPr>
          <w:rFonts w:hint="eastAsia" w:ascii="Times New Roman" w:hAnsi="Times New Roman" w:cs="Times New Roman"/>
          <w:color w:val="auto"/>
          <w:sz w:val="15"/>
          <w:szCs w:val="15"/>
          <w:highlight w:val="none"/>
        </w:rPr>
        <w:t>Y K</w:t>
      </w:r>
      <w:r>
        <w:rPr>
          <w:rFonts w:hint="eastAsia" w:ascii="Times New Roman" w:hAnsi="Times New Roman" w:cs="Times New Roman"/>
          <w:color w:val="auto"/>
          <w:sz w:val="15"/>
          <w:szCs w:val="15"/>
          <w:highlight w:val="none"/>
        </w:rPr>
        <w:t xml:space="preserve">, SHI </w:t>
      </w:r>
      <w:r>
        <w:rPr>
          <w:rFonts w:hint="eastAsia" w:ascii="Times New Roman" w:hAnsi="Times New Roman" w:cs="Times New Roman"/>
          <w:color w:val="auto"/>
          <w:sz w:val="15"/>
          <w:szCs w:val="15"/>
          <w:highlight w:val="none"/>
        </w:rPr>
        <w:t>J S</w:t>
      </w:r>
      <w:r>
        <w:rPr>
          <w:rFonts w:hint="eastAsia" w:ascii="Times New Roman" w:hAnsi="Times New Roman" w:cs="Times New Roman"/>
          <w:color w:val="auto"/>
          <w:sz w:val="15"/>
          <w:szCs w:val="15"/>
          <w:highlight w:val="none"/>
        </w:rPr>
        <w:t xml:space="preserve">, et al. Regional disparities in extreme precipitation trends across East Asia: Observation-constrained projection and attribution[J]. Advances in Climate Change Research, </w:t>
      </w:r>
      <w:r>
        <w:rPr>
          <w:rFonts w:hint="eastAsia" w:ascii="Times New Roman" w:hAnsi="Times New Roman" w:cs="Times New Roman"/>
          <w:color w:val="auto"/>
          <w:sz w:val="15"/>
          <w:szCs w:val="15"/>
          <w:highlight w:val="none"/>
        </w:rPr>
        <w:t>2026, 17(1): 35-47</w:t>
      </w:r>
      <w:r>
        <w:rPr>
          <w:rFonts w:hint="eastAsia" w:ascii="Times New Roman" w:hAnsi="Times New Roman" w:cs="Times New Roman"/>
          <w:color w:val="auto"/>
          <w:sz w:val="15"/>
          <w:szCs w:val="15"/>
          <w:highlight w:val="none"/>
        </w:rPr>
        <w:t xml:space="preserve">. </w:t>
      </w:r>
    </w:p>
    <w:p w14:paraId="1BB6EED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[30] 黄玉蓉, 黄绮君, 郭炳瑶, 等. 季风低压诱发2018年8月广东特大暴雨过程分析[J]. 大气科学学报, 2024, </w:t>
      </w:r>
      <w:r>
        <w:rPr>
          <w:rFonts w:hint="eastAsia" w:ascii="Times New Roman" w:hAnsi="Times New Roman" w:cs="Times New Roman"/>
          <w:color w:val="auto"/>
          <w:sz w:val="15"/>
          <w:szCs w:val="15"/>
          <w:highlight w:val="none"/>
        </w:rPr>
        <w:t>47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95-107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HUANG </w:t>
      </w:r>
      <w:r>
        <w:rPr>
          <w:rFonts w:hint="eastAsia" w:ascii="Times New Roman" w:hAnsi="Times New Roman" w:cs="Times New Roman"/>
          <w:color w:val="auto"/>
          <w:sz w:val="15"/>
          <w:szCs w:val="15"/>
          <w:highlight w:val="none"/>
        </w:rPr>
        <w:t>Y R</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Q J</w:t>
      </w:r>
      <w:r>
        <w:rPr>
          <w:rFonts w:hint="eastAsia" w:ascii="Times New Roman" w:hAnsi="Times New Roman" w:cs="Times New Roman"/>
          <w:color w:val="auto"/>
          <w:sz w:val="15"/>
          <w:szCs w:val="15"/>
          <w:highlight w:val="none"/>
        </w:rPr>
        <w:t xml:space="preserve">, GUO </w:t>
      </w:r>
      <w:r>
        <w:rPr>
          <w:rFonts w:hint="eastAsia" w:ascii="Times New Roman" w:hAnsi="Times New Roman" w:cs="Times New Roman"/>
          <w:color w:val="auto"/>
          <w:sz w:val="15"/>
          <w:szCs w:val="15"/>
          <w:highlight w:val="none"/>
        </w:rPr>
        <w:t>B Y</w:t>
      </w:r>
      <w:r>
        <w:rPr>
          <w:rFonts w:hint="eastAsia" w:ascii="Times New Roman" w:hAnsi="Times New Roman" w:cs="Times New Roman"/>
          <w:color w:val="auto"/>
          <w:sz w:val="15"/>
          <w:szCs w:val="15"/>
          <w:highlight w:val="none"/>
        </w:rPr>
        <w:t xml:space="preserve">, et al. Analysis of a rainstorm associated with monsoon depression in Guangdong[J]. Transactions of Atmospheric Sciences, 2024, </w:t>
      </w:r>
      <w:r>
        <w:rPr>
          <w:rFonts w:hint="eastAsia" w:ascii="Times New Roman" w:hAnsi="Times New Roman" w:cs="Times New Roman"/>
          <w:color w:val="auto"/>
          <w:sz w:val="15"/>
          <w:szCs w:val="15"/>
          <w:highlight w:val="none"/>
        </w:rPr>
        <w:t>47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95-107</w:t>
      </w:r>
      <w:r>
        <w:rPr>
          <w:rFonts w:hint="eastAsia" w:ascii="Times New Roman" w:hAnsi="Times New Roman" w:cs="Times New Roman"/>
          <w:color w:val="auto"/>
          <w:sz w:val="15"/>
          <w:szCs w:val="15"/>
          <w:highlight w:val="none"/>
        </w:rPr>
        <w:t xml:space="preserve">. </w:t>
      </w:r>
    </w:p>
    <w:bookmarkEnd w:id="50"/>
    <w:p w14:paraId="20600B7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[31] LIU </w:t>
      </w:r>
      <w:r>
        <w:rPr>
          <w:rFonts w:hint="eastAsia" w:ascii="Times New Roman" w:hAnsi="Times New Roman" w:cs="Times New Roman"/>
          <w:color w:val="auto"/>
          <w:sz w:val="15"/>
          <w:szCs w:val="15"/>
          <w:highlight w:val="none"/>
        </w:rPr>
        <w:t>B J</w:t>
      </w:r>
      <w:r>
        <w:rPr>
          <w:rFonts w:hint="eastAsia" w:ascii="Times New Roman" w:hAnsi="Times New Roman" w:cs="Times New Roman"/>
          <w:color w:val="auto"/>
          <w:sz w:val="15"/>
          <w:szCs w:val="15"/>
          <w:highlight w:val="none"/>
        </w:rPr>
        <w:t xml:space="preserve">, TAN </w:t>
      </w:r>
      <w:r>
        <w:rPr>
          <w:rFonts w:hint="eastAsia" w:ascii="Times New Roman" w:hAnsi="Times New Roman" w:cs="Times New Roman"/>
          <w:color w:val="auto"/>
          <w:sz w:val="15"/>
          <w:szCs w:val="15"/>
          <w:highlight w:val="none"/>
        </w:rPr>
        <w:t>X Z</w:t>
      </w:r>
      <w:r>
        <w:rPr>
          <w:rFonts w:hint="eastAsia" w:ascii="Times New Roman" w:hAnsi="Times New Roman" w:cs="Times New Roman"/>
          <w:color w:val="auto"/>
          <w:sz w:val="15"/>
          <w:szCs w:val="15"/>
          <w:highlight w:val="none"/>
        </w:rPr>
        <w:t xml:space="preserve">, GAN </w:t>
      </w:r>
      <w:r>
        <w:rPr>
          <w:rFonts w:hint="eastAsia" w:ascii="Times New Roman" w:hAnsi="Times New Roman" w:cs="Times New Roman"/>
          <w:color w:val="auto"/>
          <w:sz w:val="15"/>
          <w:szCs w:val="15"/>
          <w:highlight w:val="none"/>
        </w:rPr>
        <w:t>T Y</w:t>
      </w:r>
      <w:r>
        <w:rPr>
          <w:rFonts w:hint="eastAsia" w:ascii="Times New Roman" w:hAnsi="Times New Roman" w:cs="Times New Roman"/>
          <w:color w:val="auto"/>
          <w:sz w:val="15"/>
          <w:szCs w:val="15"/>
          <w:highlight w:val="none"/>
        </w:rPr>
        <w:t xml:space="preserve">, et al. Global atmospheric moisture transport associated with precipitation extremes: Mechanisms and climate change impacts[J]. </w:t>
      </w:r>
      <w:r>
        <w:rPr>
          <w:rFonts w:hint="eastAsia" w:ascii="Times New Roman" w:hAnsi="Times New Roman" w:cs="Times New Roman"/>
          <w:color w:val="auto"/>
          <w:sz w:val="15"/>
          <w:szCs w:val="15"/>
          <w:highlight w:val="none"/>
        </w:rPr>
        <w:t>WIREs</w:t>
      </w:r>
      <w:r>
        <w:rPr>
          <w:rFonts w:hint="eastAsia" w:ascii="Times New Roman" w:hAnsi="Times New Roman" w:cs="Times New Roman"/>
          <w:color w:val="auto"/>
          <w:sz w:val="15"/>
          <w:szCs w:val="15"/>
          <w:highlight w:val="none"/>
        </w:rPr>
        <w:t xml:space="preserve"> Water, 2020, 7(2)</w:t>
      </w:r>
      <w:r>
        <w:rPr>
          <w:rFonts w:hint="eastAsia" w:ascii="Times New Roman" w:hAnsi="Times New Roman" w:cs="Times New Roman"/>
          <w:color w:val="auto"/>
          <w:sz w:val="15"/>
          <w:szCs w:val="15"/>
          <w:highlight w:val="none"/>
        </w:rPr>
        <w:t>: e1412</w:t>
      </w:r>
      <w:r>
        <w:rPr>
          <w:rFonts w:hint="eastAsia" w:ascii="Times New Roman" w:hAnsi="Times New Roman" w:cs="Times New Roman"/>
          <w:color w:val="auto"/>
          <w:sz w:val="15"/>
          <w:szCs w:val="15"/>
          <w:highlight w:val="none"/>
        </w:rPr>
        <w:t xml:space="preserve">. </w:t>
      </w:r>
    </w:p>
    <w:p w14:paraId="7F30417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[32] MA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YUAN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Dominant atmospheric circulation patterns associated with the rapid intensification of summer flash droughts in Eastern China[J]. Science of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he Total Environment, 2024, 957: 177416. </w:t>
      </w:r>
    </w:p>
    <w:p w14:paraId="4F820DF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[33] BHAWAR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 L, JIANG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H, SU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et al. Variation of upper tropospheric clouds and water </w:t>
      </w:r>
      <w:r>
        <w:rPr>
          <w:rFonts w:hint="eastAsia" w:ascii="Times New Roman" w:hAnsi="Times New Roman" w:cs="Times New Roman"/>
          <w:color w:val="auto"/>
          <w:sz w:val="15"/>
          <w:szCs w:val="15"/>
          <w:highlight w:val="none"/>
        </w:rPr>
        <w:t>vapour</w:t>
      </w:r>
      <w:r>
        <w:rPr>
          <w:rFonts w:hint="eastAsia" w:ascii="Times New Roman" w:hAnsi="Times New Roman" w:cs="Times New Roman"/>
          <w:color w:val="auto"/>
          <w:sz w:val="15"/>
          <w:szCs w:val="15"/>
          <w:highlight w:val="none"/>
        </w:rPr>
        <w:t xml:space="preserve"> over the Indian Ocean</w:t>
      </w:r>
      <w:r>
        <w:rPr>
          <w:rFonts w:hint="eastAsia" w:ascii="Times New Roman" w:hAnsi="Times New Roman" w:cs="Times New Roman"/>
          <w:color w:val="auto"/>
          <w:sz w:val="15"/>
          <w:szCs w:val="15"/>
          <w:highlight w:val="none"/>
        </w:rPr>
        <w:t>: Ut clouds and water vapour</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variability</w:t>
      </w:r>
      <w:r>
        <w:rPr>
          <w:rFonts w:hint="eastAsia" w:ascii="Times New Roman" w:hAnsi="Times New Roman" w:cs="Times New Roman"/>
          <w:color w:val="auto"/>
          <w:sz w:val="15"/>
          <w:szCs w:val="15"/>
          <w:highlight w:val="none"/>
        </w:rPr>
        <w:t xml:space="preserve">[J]. International Journal of Climatology, 2014, 34(15): 3840-3848. </w:t>
      </w:r>
    </w:p>
    <w:p w14:paraId="203CE9B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[34] WANG </w:t>
      </w:r>
      <w:r>
        <w:rPr>
          <w:rFonts w:hint="eastAsia" w:ascii="Times New Roman" w:hAnsi="Times New Roman" w:cs="Times New Roman"/>
          <w:color w:val="auto"/>
          <w:sz w:val="15"/>
          <w:szCs w:val="15"/>
          <w:highlight w:val="none"/>
        </w:rPr>
        <w:t>L Y</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S F</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et al. Interdecadal variation of springtime compound temperature</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precipitation extreme events in China and its association with Atlantic multidecadal oscillation and interdecadal Pacific oscillation[J]. Journal of Geophysical Research: Atmospheres, 2025, 130(2): e2024JD042503. </w:t>
      </w:r>
    </w:p>
    <w:p w14:paraId="3061A06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[35] </w:t>
      </w:r>
      <w:r>
        <w:rPr>
          <w:rFonts w:hint="eastAsia" w:ascii="Times New Roman" w:hAnsi="Times New Roman" w:cs="Times New Roman"/>
          <w:color w:val="auto"/>
          <w:sz w:val="15"/>
          <w:szCs w:val="15"/>
          <w:highlight w:val="none"/>
        </w:rPr>
        <w:t>LIU Y</w:t>
      </w:r>
      <w:r>
        <w:rPr>
          <w:rFonts w:hint="eastAsia" w:ascii="Times New Roman" w:hAnsi="Times New Roman" w:cs="Times New Roman"/>
          <w:color w:val="auto"/>
          <w:sz w:val="15"/>
          <w:szCs w:val="15"/>
          <w:highlight w:val="none"/>
        </w:rPr>
        <w:t xml:space="preserve">, YUAN </w:t>
      </w:r>
      <w:r>
        <w:rPr>
          <w:rFonts w:hint="eastAsia" w:ascii="Times New Roman" w:hAnsi="Times New Roman" w:cs="Times New Roman"/>
          <w:color w:val="auto"/>
          <w:sz w:val="15"/>
          <w:szCs w:val="15"/>
          <w:highlight w:val="none"/>
        </w:rPr>
        <w:t>S S</w:t>
      </w:r>
      <w:r>
        <w:rPr>
          <w:rFonts w:hint="eastAsia" w:ascii="Times New Roman" w:hAnsi="Times New Roman" w:cs="Times New Roman"/>
          <w:color w:val="auto"/>
          <w:sz w:val="15"/>
          <w:szCs w:val="15"/>
          <w:highlight w:val="none"/>
        </w:rPr>
        <w:t xml:space="preserve">, ZHU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et al. The patterns, magnitude, and drivers of unprecedented 2022 mega-drought in the Yangtze River Basin, China[J]. Environmental Research Letters, 2023, 18(11)</w:t>
      </w:r>
      <w:r>
        <w:rPr>
          <w:rFonts w:hint="eastAsia" w:ascii="Times New Roman" w:hAnsi="Times New Roman" w:cs="Times New Roman"/>
          <w:color w:val="auto"/>
          <w:sz w:val="15"/>
          <w:szCs w:val="15"/>
          <w:highlight w:val="none"/>
        </w:rPr>
        <w:t>: 114006</w:t>
      </w:r>
      <w:r>
        <w:rPr>
          <w:rFonts w:hint="eastAsia" w:ascii="Times New Roman" w:hAnsi="Times New Roman" w:cs="Times New Roman"/>
          <w:color w:val="auto"/>
          <w:sz w:val="15"/>
          <w:szCs w:val="15"/>
          <w:highlight w:val="none"/>
        </w:rPr>
        <w:t xml:space="preserve">. </w:t>
      </w:r>
    </w:p>
    <w:p w14:paraId="4FFE850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[36] 段欣妤, 张强, 张良, 等. 2022年长江流域重大干旱发展过程中西太平洋副热带高压的多维度异常特征[J]. 科学通报, 2024, 69(15): 2081-2092.</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DUAN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et al. The multi-dimensional anomaly characteristics of the western Pacific subtropical high during the development of </w:t>
      </w:r>
      <w:r>
        <w:rPr>
          <w:rFonts w:hint="eastAsia" w:ascii="Times New Roman" w:hAnsi="Times New Roman" w:cs="Times New Roman"/>
          <w:color w:val="auto"/>
          <w:sz w:val="15"/>
          <w:szCs w:val="15"/>
          <w:highlight w:val="none"/>
        </w:rPr>
        <w:t>the 2022</w:t>
      </w:r>
      <w:r>
        <w:rPr>
          <w:rFonts w:hint="eastAsia" w:ascii="Times New Roman" w:hAnsi="Times New Roman" w:cs="Times New Roman"/>
          <w:color w:val="auto"/>
          <w:sz w:val="15"/>
          <w:szCs w:val="15"/>
          <w:highlight w:val="none"/>
        </w:rPr>
        <w:t xml:space="preserve"> major drought in the Yangtze River Basin[J]. Chinese Science Bulletin</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2024, 69</w:t>
      </w:r>
      <w:r>
        <w:rPr>
          <w:rFonts w:hint="eastAsia" w:ascii="Times New Roman" w:hAnsi="Times New Roman" w:cs="Times New Roman"/>
          <w:color w:val="auto"/>
          <w:sz w:val="15"/>
          <w:szCs w:val="15"/>
          <w:highlight w:val="none"/>
        </w:rPr>
        <w:t>(15)</w:t>
      </w:r>
      <w:r>
        <w:rPr>
          <w:rFonts w:hint="eastAsia" w:ascii="Times New Roman" w:hAnsi="Times New Roman" w:cs="Times New Roman"/>
          <w:color w:val="auto"/>
          <w:sz w:val="15"/>
          <w:szCs w:val="15"/>
          <w:highlight w:val="none"/>
        </w:rPr>
        <w:t xml:space="preserve">: 2081-2092. </w:t>
      </w:r>
    </w:p>
    <w:p w14:paraId="56A1353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[37] 陈蔚, 管兆勇, 杨华栋, 等. 2022年夏季西太平洋副热带高压异常强盛且稳定维持与长江中下游持续性极端高温事件[J]. 气象学报, 2025, 83(</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33-45.</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CHEN </w:t>
      </w:r>
      <w:r>
        <w:rPr>
          <w:rFonts w:hint="eastAsia" w:ascii="Times New Roman" w:hAnsi="Times New Roman" w:cs="Times New Roman"/>
          <w:color w:val="auto"/>
          <w:sz w:val="15"/>
          <w:szCs w:val="15"/>
          <w:highlight w:val="none"/>
        </w:rPr>
        <w:t xml:space="preserve">W </w:t>
      </w:r>
      <w:r>
        <w:rPr>
          <w:rFonts w:hint="eastAsia" w:ascii="Times New Roman" w:hAnsi="Times New Roman" w:cs="Times New Roman"/>
          <w:color w:val="auto"/>
          <w:sz w:val="15"/>
          <w:szCs w:val="15"/>
          <w:highlight w:val="none"/>
        </w:rPr>
        <w:t xml:space="preserve">, GUAN </w:t>
      </w:r>
      <w:r>
        <w:rPr>
          <w:rFonts w:hint="eastAsia" w:ascii="Times New Roman" w:hAnsi="Times New Roman" w:cs="Times New Roman"/>
          <w:color w:val="auto"/>
          <w:sz w:val="15"/>
          <w:szCs w:val="15"/>
          <w:highlight w:val="none"/>
        </w:rPr>
        <w:t>Z Y</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H D</w:t>
      </w:r>
      <w:r>
        <w:rPr>
          <w:rFonts w:hint="eastAsia" w:ascii="Times New Roman" w:hAnsi="Times New Roman" w:cs="Times New Roman"/>
          <w:color w:val="auto"/>
          <w:sz w:val="15"/>
          <w:szCs w:val="15"/>
          <w:highlight w:val="none"/>
        </w:rPr>
        <w:t>, et al. The anomalously strong and persistent western Pacific subtropical high in summer 2022 in association with the extreme heatwaves in the middle and lower reaches of the Yangtze River[J]. Acta Meteorologica Sinica, 2025, 83(</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33-45. </w:t>
      </w:r>
    </w:p>
    <w:p w14:paraId="3A57E85A">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[38] 覃皓, 农孟松, 翟丽萍, 等. 广西沿海“23.6”弱热带低压破纪录暴雨过程的诊断分析[J]. 气象学报, 2024, </w:t>
      </w:r>
      <w:r>
        <w:rPr>
          <w:rFonts w:hint="eastAsia" w:ascii="Times New Roman" w:hAnsi="Times New Roman" w:cs="Times New Roman"/>
          <w:color w:val="auto"/>
          <w:sz w:val="15"/>
          <w:szCs w:val="15"/>
          <w:highlight w:val="none"/>
        </w:rPr>
        <w:t>82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289-305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QIN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NONG </w:t>
      </w:r>
      <w:r>
        <w:rPr>
          <w:rFonts w:hint="eastAsia" w:ascii="Times New Roman" w:hAnsi="Times New Roman" w:cs="Times New Roman"/>
          <w:color w:val="auto"/>
          <w:sz w:val="15"/>
          <w:szCs w:val="15"/>
          <w:highlight w:val="none"/>
        </w:rPr>
        <w:t>M 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ZHAI</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L P</w:t>
      </w:r>
      <w:r>
        <w:rPr>
          <w:rFonts w:hint="eastAsia" w:ascii="Times New Roman" w:hAnsi="Times New Roman" w:cs="Times New Roman"/>
          <w:color w:val="auto"/>
          <w:sz w:val="15"/>
          <w:szCs w:val="15"/>
          <w:highlight w:val="none"/>
        </w:rPr>
        <w:t xml:space="preserve">, et al. Diagnosis of the June 2023 record-breaking rainstorm caused by a weak tropical depression in the coastal area of Guangxi, China[J]. Acta Meteorologica Sinica, 2024, </w:t>
      </w:r>
      <w:r>
        <w:rPr>
          <w:rFonts w:hint="eastAsia" w:ascii="Times New Roman" w:hAnsi="Times New Roman" w:cs="Times New Roman"/>
          <w:color w:val="auto"/>
          <w:sz w:val="15"/>
          <w:szCs w:val="15"/>
          <w:highlight w:val="none"/>
        </w:rPr>
        <w:t>82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289-305</w:t>
      </w:r>
      <w:r>
        <w:rPr>
          <w:rFonts w:hint="eastAsia" w:ascii="Times New Roman" w:hAnsi="Times New Roman" w:cs="Times New Roman"/>
          <w:color w:val="auto"/>
          <w:sz w:val="15"/>
          <w:szCs w:val="15"/>
          <w:highlight w:val="none"/>
        </w:rPr>
        <w:t xml:space="preserve">. </w:t>
      </w:r>
    </w:p>
    <w:p w14:paraId="26D30E8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[39] S</w:t>
      </w:r>
      <w:r>
        <w:rPr>
          <w:rFonts w:hint="eastAsia" w:ascii="Times New Roman" w:hAnsi="Times New Roman" w:cs="Times New Roman"/>
          <w:color w:val="auto"/>
          <w:sz w:val="15"/>
          <w:szCs w:val="15"/>
          <w:highlight w:val="none"/>
        </w:rPr>
        <w:t>Ø</w:t>
      </w:r>
      <w:r>
        <w:rPr>
          <w:rFonts w:hint="eastAsia" w:ascii="Times New Roman" w:hAnsi="Times New Roman" w:cs="Times New Roman"/>
          <w:color w:val="auto"/>
          <w:sz w:val="15"/>
          <w:szCs w:val="15"/>
          <w:highlight w:val="none"/>
        </w:rPr>
        <w:t xml:space="preserve">RLAND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SORTEBERG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The dynamic and thermodynamic structure of monsoon low-pressure systems during extreme rainfall events[J]. Tellus A: Dynamic Meteorology and Oceanography, 2015, 67(1): 27039. </w:t>
      </w:r>
    </w:p>
    <w:p w14:paraId="13F00D8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[40] YOU </w:t>
      </w:r>
      <w:r>
        <w:rPr>
          <w:rFonts w:hint="eastAsia" w:ascii="Times New Roman" w:hAnsi="Times New Roman" w:cs="Times New Roman"/>
          <w:color w:val="auto"/>
          <w:sz w:val="15"/>
          <w:szCs w:val="15"/>
          <w:highlight w:val="none"/>
        </w:rPr>
        <w:t>Y J</w:t>
      </w:r>
      <w:r>
        <w:rPr>
          <w:rFonts w:hint="eastAsia" w:ascii="Times New Roman" w:hAnsi="Times New Roman" w:cs="Times New Roman"/>
          <w:color w:val="auto"/>
          <w:sz w:val="15"/>
          <w:szCs w:val="15"/>
          <w:highlight w:val="none"/>
        </w:rPr>
        <w:t xml:space="preserve">, TING </w:t>
      </w:r>
      <w:r>
        <w:rPr>
          <w:rFonts w:hint="eastAsia" w:ascii="Times New Roman" w:hAnsi="Times New Roman" w:cs="Times New Roman"/>
          <w:color w:val="auto"/>
          <w:sz w:val="15"/>
          <w:szCs w:val="15"/>
          <w:highlight w:val="none"/>
        </w:rPr>
        <w:t>M F</w:t>
      </w:r>
      <w:r>
        <w:rPr>
          <w:rFonts w:hint="eastAsia" w:ascii="Times New Roman" w:hAnsi="Times New Roman" w:cs="Times New Roman"/>
          <w:color w:val="auto"/>
          <w:sz w:val="15"/>
          <w:szCs w:val="15"/>
          <w:highlight w:val="none"/>
        </w:rPr>
        <w:t xml:space="preserve">. Low pressure systems and extreme precipitation in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outheast and East Asian monsoon regions[J]. Journal of Climate, 2021, 34(3): 1147-1162. </w:t>
      </w:r>
    </w:p>
    <w:p w14:paraId="603DD03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[41] 张霞, 杨慧, 王新敏, 等. “21·7”河南极端强降水特征及环流异常性分析[J]. 大气科学学报, 2021, </w:t>
      </w:r>
      <w:r>
        <w:rPr>
          <w:rFonts w:hint="eastAsia" w:ascii="Times New Roman" w:hAnsi="Times New Roman" w:cs="Times New Roman"/>
          <w:color w:val="auto"/>
          <w:sz w:val="15"/>
          <w:szCs w:val="15"/>
          <w:highlight w:val="none"/>
        </w:rPr>
        <w:t>44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672-687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X M</w:t>
      </w:r>
      <w:r>
        <w:rPr>
          <w:rFonts w:hint="eastAsia" w:ascii="Times New Roman" w:hAnsi="Times New Roman" w:cs="Times New Roman"/>
          <w:color w:val="auto"/>
          <w:sz w:val="15"/>
          <w:szCs w:val="15"/>
          <w:highlight w:val="none"/>
        </w:rPr>
        <w:t xml:space="preserve">, et al. Analysis on characteristic and abnormality of atmospheric circulations of the July 2021 extreme precipitation in Henan[J]. Transactions of Atmospheric Sciences, 2021, </w:t>
      </w:r>
      <w:r>
        <w:rPr>
          <w:rFonts w:hint="eastAsia" w:ascii="Times New Roman" w:hAnsi="Times New Roman" w:cs="Times New Roman"/>
          <w:color w:val="auto"/>
          <w:sz w:val="15"/>
          <w:szCs w:val="15"/>
          <w:highlight w:val="none"/>
        </w:rPr>
        <w:t>44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672-687</w:t>
      </w:r>
      <w:r>
        <w:rPr>
          <w:rFonts w:hint="eastAsia" w:ascii="Times New Roman" w:hAnsi="Times New Roman" w:cs="Times New Roman"/>
          <w:color w:val="auto"/>
          <w:sz w:val="15"/>
          <w:szCs w:val="15"/>
          <w:highlight w:val="none"/>
        </w:rPr>
        <w:t xml:space="preserve">. </w:t>
      </w:r>
    </w:p>
    <w:p w14:paraId="3730893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[42] RAO </w:t>
      </w:r>
      <w:r>
        <w:rPr>
          <w:rFonts w:hint="eastAsia" w:ascii="Times New Roman" w:hAnsi="Times New Roman" w:cs="Times New Roman"/>
          <w:color w:val="auto"/>
          <w:sz w:val="15"/>
          <w:szCs w:val="15"/>
          <w:highlight w:val="none"/>
        </w:rPr>
        <w:t>C H</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G H</w:t>
      </w:r>
      <w:r>
        <w:rPr>
          <w:rFonts w:hint="eastAsia" w:ascii="Times New Roman" w:hAnsi="Times New Roman" w:cs="Times New Roman"/>
          <w:color w:val="auto"/>
          <w:sz w:val="15"/>
          <w:szCs w:val="15"/>
          <w:highlight w:val="none"/>
        </w:rPr>
        <w:t xml:space="preserve">, RAN </w:t>
      </w:r>
      <w:r>
        <w:rPr>
          <w:rFonts w:hint="eastAsia" w:ascii="Times New Roman" w:hAnsi="Times New Roman" w:cs="Times New Roman"/>
          <w:color w:val="auto"/>
          <w:sz w:val="15"/>
          <w:szCs w:val="15"/>
          <w:highlight w:val="none"/>
        </w:rPr>
        <w:t>L K</w:t>
      </w:r>
      <w:r>
        <w:rPr>
          <w:rFonts w:hint="eastAsia" w:ascii="Times New Roman" w:hAnsi="Times New Roman" w:cs="Times New Roman"/>
          <w:color w:val="auto"/>
          <w:sz w:val="15"/>
          <w:szCs w:val="15"/>
          <w:highlight w:val="none"/>
        </w:rPr>
        <w:t xml:space="preserve">. Effects of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yphoon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n</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a (2021) and the western Pacific subtropical high on an extreme heavy rainfall event in Central China[J]. Journal of Geophysical Research: Atmospheres, 2023, 128(7): e2022JD037924. </w:t>
      </w:r>
    </w:p>
    <w:p w14:paraId="0DC48B6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[43] LI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YU </w:t>
      </w:r>
      <w:r>
        <w:rPr>
          <w:rFonts w:hint="eastAsia" w:ascii="Times New Roman" w:hAnsi="Times New Roman" w:cs="Times New Roman"/>
          <w:color w:val="auto"/>
          <w:sz w:val="15"/>
          <w:szCs w:val="15"/>
          <w:highlight w:val="none"/>
        </w:rPr>
        <w:t>Z</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et al. Interaction mechanism of global multiple ocean-atmosphere coupled modes and their impacts on South and East Asian Monsoon: A review[J]. Global and Planetary Change, 2024, 237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104438. </w:t>
      </w:r>
    </w:p>
    <w:p w14:paraId="55DF1D2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[44] GEEN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 BORDONI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BATTISTI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 S, et al. Monsoons, ITCZs, and the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oncept of the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 xml:space="preserve">lobal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onsoon[J]. Reviews of Geophysics, 2020, 58(4):</w:t>
      </w:r>
      <w:r>
        <w:rPr>
          <w:rFonts w:hint="eastAsia" w:ascii="Times New Roman" w:hAnsi="Times New Roman" w:cs="Times New Roman"/>
          <w:color w:val="auto"/>
          <w:sz w:val="15"/>
          <w:szCs w:val="15"/>
          <w:highlight w:val="none"/>
        </w:rPr>
        <w:t xml:space="preserve"> e2020RG000700.</w:t>
      </w:r>
      <w:r>
        <w:rPr>
          <w:rFonts w:hint="eastAsia" w:ascii="Times New Roman" w:hAnsi="Times New Roman" w:cs="Times New Roman"/>
          <w:color w:val="auto"/>
          <w:sz w:val="15"/>
          <w:szCs w:val="15"/>
          <w:highlight w:val="none"/>
        </w:rPr>
        <w:t xml:space="preserve"> </w:t>
      </w:r>
    </w:p>
    <w:p w14:paraId="725A7FD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[45] WANG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KUMAR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MURTUGUDDE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 et al. Covariations between the Indian Ocean dipole and ENSO: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modeling study[J]. Climate Dynamics, 2019, 53(9): 5743-5761. </w:t>
      </w:r>
    </w:p>
    <w:p w14:paraId="44A0BA0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[46] GAO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M N</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et al. The 2020–2021 prolonged La </w:t>
      </w:r>
      <w:r>
        <w:rPr>
          <w:rFonts w:hint="eastAsia" w:ascii="Times New Roman" w:hAnsi="Times New Roman" w:cs="Times New Roman"/>
          <w:color w:val="auto"/>
          <w:sz w:val="15"/>
          <w:szCs w:val="15"/>
          <w:highlight w:val="none"/>
        </w:rPr>
        <w:t>Niña</w:t>
      </w:r>
      <w:r>
        <w:rPr>
          <w:rFonts w:hint="eastAsia" w:ascii="Times New Roman" w:hAnsi="Times New Roman" w:cs="Times New Roman"/>
          <w:color w:val="auto"/>
          <w:sz w:val="15"/>
          <w:szCs w:val="15"/>
          <w:highlight w:val="none"/>
        </w:rPr>
        <w:t xml:space="preserve"> evolution in the tropical Pacific[J]. Science China Earth Sciences, 2022, 65(12): 2248-2266. </w:t>
      </w:r>
    </w:p>
    <w:p w14:paraId="3AF8F4A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[47] 张强, 李栋梁, 姚玉璧, 等. 干旱形成机制与预测理论方法及其灾害风险特征研究进展与展望[J]. 气象学报, 2024, 82(</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1-21.</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D L</w:t>
      </w:r>
      <w:r>
        <w:rPr>
          <w:rFonts w:hint="eastAsia" w:ascii="Times New Roman" w:hAnsi="Times New Roman" w:cs="Times New Roman"/>
          <w:color w:val="auto"/>
          <w:sz w:val="15"/>
          <w:szCs w:val="15"/>
          <w:highlight w:val="none"/>
        </w:rPr>
        <w:t xml:space="preserve">, YAO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et al. Progress and prospect of the research on drought formation</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prediction, and related risk assessment[J]. Acta Meteorologica Sinica, 2024, 82(</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1-21. </w:t>
      </w:r>
    </w:p>
    <w:p w14:paraId="103A1FE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[48] LI </w:t>
      </w:r>
      <w:r>
        <w:rPr>
          <w:rFonts w:hint="eastAsia" w:ascii="Times New Roman" w:hAnsi="Times New Roman" w:cs="Times New Roman"/>
          <w:color w:val="auto"/>
          <w:sz w:val="15"/>
          <w:szCs w:val="15"/>
          <w:highlight w:val="none"/>
        </w:rPr>
        <w:t>X L</w:t>
      </w:r>
      <w:r>
        <w:rPr>
          <w:rFonts w:hint="eastAsia" w:ascii="Times New Roman" w:hAnsi="Times New Roman" w:cs="Times New Roman"/>
          <w:color w:val="auto"/>
          <w:sz w:val="15"/>
          <w:szCs w:val="15"/>
          <w:highlight w:val="none"/>
        </w:rPr>
        <w:t xml:space="preserve">, JIN </w:t>
      </w:r>
      <w:r>
        <w:rPr>
          <w:rFonts w:hint="eastAsia" w:ascii="Times New Roman" w:hAnsi="Times New Roman" w:cs="Times New Roman"/>
          <w:color w:val="auto"/>
          <w:sz w:val="15"/>
          <w:szCs w:val="15"/>
          <w:highlight w:val="none"/>
        </w:rPr>
        <w:t>T Y</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B S</w:t>
      </w:r>
      <w:r>
        <w:rPr>
          <w:rFonts w:hint="eastAsia" w:ascii="Times New Roman" w:hAnsi="Times New Roman" w:cs="Times New Roman"/>
          <w:color w:val="auto"/>
          <w:sz w:val="15"/>
          <w:szCs w:val="15"/>
          <w:highlight w:val="none"/>
        </w:rPr>
        <w:t xml:space="preserve">, et al. The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nfluence of ENSO on the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ong</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erm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ater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torage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nomalies in the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iddle</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ower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eaches of the Yangtze River Basin: Evaluation and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nalysis[J]. Earth and Space Science, 2023, 10(10): e2023EA003007. </w:t>
      </w:r>
    </w:p>
    <w:p w14:paraId="4428D7E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[49] WANG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et al. Associated impact mechanism of heavy rain and floods in the middle and lower reaches of the Yangtze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iver basin based on ocean-atmosphere anomaly patterns[J]. Science of the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otal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nvironment, 2024, 946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174067. </w:t>
      </w:r>
    </w:p>
    <w:p w14:paraId="6A92D64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[50] XU </w:t>
      </w:r>
      <w:r>
        <w:rPr>
          <w:rFonts w:hint="eastAsia" w:ascii="Times New Roman" w:hAnsi="Times New Roman" w:cs="Times New Roman"/>
          <w:color w:val="auto"/>
          <w:sz w:val="15"/>
          <w:szCs w:val="15"/>
          <w:highlight w:val="none"/>
        </w:rPr>
        <w:t>K</w:t>
      </w:r>
      <w:r>
        <w:rPr>
          <w:rFonts w:hint="eastAsia" w:ascii="Times New Roman" w:hAnsi="Times New Roman" w:cs="Times New Roman"/>
          <w:color w:val="auto"/>
          <w:sz w:val="15"/>
          <w:szCs w:val="15"/>
          <w:highlight w:val="none"/>
        </w:rPr>
        <w:t xml:space="preserve">, MIAO </w:t>
      </w:r>
      <w:r>
        <w:rPr>
          <w:rFonts w:hint="eastAsia" w:ascii="Times New Roman" w:hAnsi="Times New Roman" w:cs="Times New Roman"/>
          <w:color w:val="auto"/>
          <w:sz w:val="15"/>
          <w:szCs w:val="15"/>
          <w:highlight w:val="none"/>
        </w:rPr>
        <w:t>H Y</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B Q</w:t>
      </w:r>
      <w:r>
        <w:rPr>
          <w:rFonts w:hint="eastAsia" w:ascii="Times New Roman" w:hAnsi="Times New Roman" w:cs="Times New Roman"/>
          <w:color w:val="auto"/>
          <w:sz w:val="15"/>
          <w:szCs w:val="15"/>
          <w:highlight w:val="none"/>
        </w:rPr>
        <w:t>, et al. Aggravation of record</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breaking drought over the mid</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to</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lower reaches of the Yangtze River in the post</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monsoon season of 2019 by anomalous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ndo</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Pacific </w:t>
      </w:r>
      <w:r>
        <w:rPr>
          <w:rFonts w:hint="eastAsia" w:ascii="Times New Roman" w:hAnsi="Times New Roman" w:cs="Times New Roman"/>
          <w:color w:val="auto"/>
          <w:sz w:val="15"/>
          <w:szCs w:val="15"/>
          <w:highlight w:val="none"/>
        </w:rPr>
        <w:t>o</w:t>
      </w:r>
      <w:r>
        <w:rPr>
          <w:rFonts w:hint="eastAsia" w:ascii="Times New Roman" w:hAnsi="Times New Roman" w:cs="Times New Roman"/>
          <w:color w:val="auto"/>
          <w:sz w:val="15"/>
          <w:szCs w:val="15"/>
          <w:highlight w:val="none"/>
        </w:rPr>
        <w:t xml:space="preserve">ceanic conditions[J]. Geophysical Research Letters, 2020, 47(24): e2020GL090847. </w:t>
      </w:r>
    </w:p>
    <w:p w14:paraId="3A54557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[51] HUANG </w:t>
      </w:r>
      <w:r>
        <w:rPr>
          <w:rFonts w:hint="eastAsia" w:ascii="Times New Roman" w:hAnsi="Times New Roman" w:cs="Times New Roman"/>
          <w:color w:val="auto"/>
          <w:sz w:val="15"/>
          <w:szCs w:val="15"/>
          <w:highlight w:val="none"/>
        </w:rPr>
        <w:t>H J</w:t>
      </w:r>
      <w:r>
        <w:rPr>
          <w:rFonts w:hint="eastAsia" w:ascii="Times New Roman" w:hAnsi="Times New Roman" w:cs="Times New Roman"/>
          <w:color w:val="auto"/>
          <w:sz w:val="15"/>
          <w:szCs w:val="15"/>
          <w:highlight w:val="none"/>
        </w:rPr>
        <w:t xml:space="preserve">, ZHU </w:t>
      </w:r>
      <w:r>
        <w:rPr>
          <w:rFonts w:hint="eastAsia" w:ascii="Times New Roman" w:hAnsi="Times New Roman" w:cs="Times New Roman"/>
          <w:color w:val="auto"/>
          <w:sz w:val="15"/>
          <w:szCs w:val="15"/>
          <w:highlight w:val="none"/>
        </w:rPr>
        <w:t>Z W</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Disentangling the unprecedented Yangtze River Basin extreme high temperatures in </w:t>
      </w:r>
      <w:r>
        <w:rPr>
          <w:rFonts w:hint="eastAsia" w:ascii="Times New Roman" w:hAnsi="Times New Roman" w:cs="Times New Roman"/>
          <w:color w:val="auto"/>
          <w:sz w:val="15"/>
          <w:szCs w:val="15"/>
          <w:highlight w:val="none"/>
        </w:rPr>
        <w:t>summer 2022</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ombined impacts of the reintensified La Niña and strong positive NAO[J]. Journal of Climate, 2024, 37(3): 927-942. </w:t>
      </w:r>
    </w:p>
    <w:p w14:paraId="11B306D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[52] MA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YUAN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et al. Flash drought in the south of Yangtze River and the potential impact of </w:t>
      </w:r>
      <w:r>
        <w:rPr>
          <w:rFonts w:hint="eastAsia" w:ascii="Times New Roman" w:hAnsi="Times New Roman" w:cs="Times New Roman"/>
          <w:color w:val="auto"/>
          <w:sz w:val="15"/>
          <w:szCs w:val="15"/>
          <w:highlight w:val="none"/>
        </w:rPr>
        <w:t>n</w:t>
      </w:r>
      <w:r>
        <w:rPr>
          <w:rFonts w:hint="eastAsia" w:ascii="Times New Roman" w:hAnsi="Times New Roman" w:cs="Times New Roman"/>
          <w:color w:val="auto"/>
          <w:sz w:val="15"/>
          <w:szCs w:val="15"/>
          <w:highlight w:val="none"/>
        </w:rPr>
        <w:t>orth Atlantic Sea surface temperature[J]. Journal of Geophysical Research: Atmospheres, 2024, 129(5):</w:t>
      </w:r>
      <w:r>
        <w:rPr>
          <w:rFonts w:hint="eastAsia" w:ascii="Times New Roman" w:hAnsi="Times New Roman" w:cs="Times New Roman"/>
          <w:color w:val="auto"/>
          <w:sz w:val="15"/>
          <w:szCs w:val="15"/>
          <w:highlight w:val="none"/>
        </w:rPr>
        <w:t xml:space="preserve"> e2023JD039820</w:t>
      </w:r>
      <w:r>
        <w:rPr>
          <w:rFonts w:hint="eastAsia" w:ascii="Times New Roman" w:hAnsi="Times New Roman" w:cs="Times New Roman"/>
          <w:color w:val="auto"/>
          <w:sz w:val="15"/>
          <w:szCs w:val="15"/>
          <w:highlight w:val="none"/>
        </w:rPr>
        <w:t xml:space="preserve">. </w:t>
      </w:r>
    </w:p>
    <w:p w14:paraId="5EFE310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[53] LI </w:t>
      </w:r>
      <w:r>
        <w:rPr>
          <w:rFonts w:hint="eastAsia" w:ascii="Times New Roman" w:hAnsi="Times New Roman" w:cs="Times New Roman"/>
          <w:color w:val="auto"/>
          <w:sz w:val="15"/>
          <w:szCs w:val="15"/>
          <w:highlight w:val="none"/>
        </w:rPr>
        <w:t>S J</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L X</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et al. The Pacific Decadal Oscillation less predictable under greenhouse warming[J]. Nature Climate Change, 2020, 10(1): 30-34. </w:t>
      </w:r>
    </w:p>
    <w:p w14:paraId="18C11C7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[54] 刘威, 杨煜达. 过去600年中国西南地区极端旱涝事件的重建与分析[J]. 第四纪研究, 2021, </w:t>
      </w:r>
      <w:r>
        <w:rPr>
          <w:rFonts w:hint="eastAsia" w:ascii="Times New Roman" w:hAnsi="Times New Roman" w:cs="Times New Roman"/>
          <w:color w:val="auto"/>
          <w:sz w:val="15"/>
          <w:szCs w:val="15"/>
          <w:highlight w:val="none"/>
        </w:rPr>
        <w:t>41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368-378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LIU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Y D</w:t>
      </w:r>
      <w:r>
        <w:rPr>
          <w:rFonts w:hint="eastAsia" w:ascii="Times New Roman" w:hAnsi="Times New Roman" w:cs="Times New Roman"/>
          <w:color w:val="auto"/>
          <w:sz w:val="15"/>
          <w:szCs w:val="15"/>
          <w:highlight w:val="none"/>
        </w:rPr>
        <w:t xml:space="preserve">. Reconstruction and analysis of extreme drought and flood events in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outhwest China in the past 600 years[J]. Quaternary Sciences, 2021, </w:t>
      </w:r>
      <w:r>
        <w:rPr>
          <w:rFonts w:hint="eastAsia" w:ascii="Times New Roman" w:hAnsi="Times New Roman" w:cs="Times New Roman"/>
          <w:color w:val="auto"/>
          <w:sz w:val="15"/>
          <w:szCs w:val="15"/>
          <w:highlight w:val="none"/>
        </w:rPr>
        <w:t>41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368-378</w:t>
      </w:r>
      <w:r>
        <w:rPr>
          <w:rFonts w:hint="eastAsia" w:ascii="Times New Roman" w:hAnsi="Times New Roman" w:cs="Times New Roman"/>
          <w:color w:val="auto"/>
          <w:sz w:val="15"/>
          <w:szCs w:val="15"/>
          <w:highlight w:val="none"/>
        </w:rPr>
        <w:t xml:space="preserve">. </w:t>
      </w:r>
    </w:p>
    <w:p w14:paraId="6E8BBE7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[55] 袁星, 周诗玙, 马凤, 等. 气候和下垫面变化下骤旱形成演变机制研究进展[J]. 地球科学进展, 2024, 39(</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 877-888.</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YUAN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S Y</w:t>
      </w:r>
      <w:r>
        <w:rPr>
          <w:rFonts w:hint="eastAsia" w:ascii="Times New Roman" w:hAnsi="Times New Roman" w:cs="Times New Roman"/>
          <w:color w:val="auto"/>
          <w:sz w:val="15"/>
          <w:szCs w:val="15"/>
          <w:highlight w:val="none"/>
        </w:rPr>
        <w:t xml:space="preserve">, MA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et al. Review on the formation</w:t>
      </w:r>
      <w:r>
        <w:rPr>
          <w:rFonts w:hint="eastAsia" w:ascii="Times New Roman" w:hAnsi="Times New Roman" w:cs="Times New Roman"/>
          <w:color w:val="auto"/>
          <w:sz w:val="15"/>
          <w:szCs w:val="15"/>
          <w:highlight w:val="none"/>
        </w:rPr>
        <w:t xml:space="preserve"> and evolution mechanisms</w:t>
      </w:r>
      <w:r>
        <w:rPr>
          <w:rFonts w:hint="eastAsia" w:ascii="Times New Roman" w:hAnsi="Times New Roman" w:cs="Times New Roman"/>
          <w:color w:val="auto"/>
          <w:sz w:val="15"/>
          <w:szCs w:val="15"/>
          <w:highlight w:val="none"/>
        </w:rPr>
        <w:t xml:space="preserve"> of flash droughts under climate and land cover change[J]. Advances in Earth Science, 2024, 39(</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 xml:space="preserve">): 877-888. </w:t>
      </w:r>
    </w:p>
    <w:p w14:paraId="24FC2D1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[56] </w:t>
      </w:r>
      <w:r>
        <w:rPr>
          <w:rFonts w:hint="eastAsia" w:ascii="Times New Roman" w:hAnsi="Times New Roman" w:cs="Times New Roman"/>
          <w:color w:val="auto"/>
          <w:sz w:val="15"/>
          <w:szCs w:val="15"/>
          <w:highlight w:val="none"/>
        </w:rPr>
        <w:t>RAN Q H</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CHEN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X X</w:t>
      </w:r>
      <w:r>
        <w:rPr>
          <w:rFonts w:hint="eastAsia" w:ascii="Times New Roman" w:hAnsi="Times New Roman" w:cs="Times New Roman"/>
          <w:color w:val="auto"/>
          <w:sz w:val="15"/>
          <w:szCs w:val="15"/>
          <w:highlight w:val="none"/>
        </w:rPr>
        <w:t xml:space="preserve">, et al. The relative importance of antecedent soil moisture and precipitation in flood generation in the middle and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ower Yangtze River basin[J]. Hydrology and Earth System Sciences, </w:t>
      </w:r>
      <w:r>
        <w:rPr>
          <w:rFonts w:hint="eastAsia" w:ascii="Times New Roman" w:hAnsi="Times New Roman" w:cs="Times New Roman"/>
          <w:color w:val="auto"/>
          <w:sz w:val="15"/>
          <w:szCs w:val="15"/>
          <w:highlight w:val="none"/>
        </w:rPr>
        <w:t>2022</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26(19)</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4919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4931</w:t>
      </w:r>
      <w:r>
        <w:rPr>
          <w:rFonts w:hint="eastAsia" w:ascii="Times New Roman" w:hAnsi="Times New Roman" w:cs="Times New Roman"/>
          <w:color w:val="auto"/>
          <w:sz w:val="15"/>
          <w:szCs w:val="15"/>
          <w:highlight w:val="none"/>
        </w:rPr>
        <w:t xml:space="preserve">. </w:t>
      </w:r>
    </w:p>
    <w:p w14:paraId="5F1B8E6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[57] YANG </w:t>
      </w:r>
      <w:r>
        <w:rPr>
          <w:rFonts w:hint="eastAsia" w:ascii="Times New Roman" w:hAnsi="Times New Roman" w:cs="Times New Roman"/>
          <w:color w:val="auto"/>
          <w:sz w:val="15"/>
          <w:szCs w:val="15"/>
          <w:highlight w:val="none"/>
        </w:rPr>
        <w:t>Y X</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X D</w:t>
      </w:r>
      <w:r>
        <w:rPr>
          <w:rFonts w:hint="eastAsia" w:ascii="Times New Roman" w:hAnsi="Times New Roman" w:cs="Times New Roman"/>
          <w:color w:val="auto"/>
          <w:sz w:val="15"/>
          <w:szCs w:val="15"/>
          <w:highlight w:val="none"/>
        </w:rPr>
        <w:t>, et al. Climate leads to reversed latitudinal changes in Chinese flood peak timing[J]. Earth</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s Future, 2022, 10(6): e2022EF002726. </w:t>
      </w:r>
    </w:p>
    <w:p w14:paraId="0CA658E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[58] 马英赛, 孟宪红, 韩博, 等. 黄土高原土壤湿度对地表能量和大气边界层影响的观测研究[J]. 高原气象, 2019, 38(</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705-715.</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MA </w:t>
      </w:r>
      <w:r>
        <w:rPr>
          <w:rFonts w:hint="eastAsia" w:ascii="Times New Roman" w:hAnsi="Times New Roman" w:cs="Times New Roman"/>
          <w:color w:val="auto"/>
          <w:sz w:val="15"/>
          <w:szCs w:val="15"/>
          <w:highlight w:val="none"/>
        </w:rPr>
        <w:t>Y S</w:t>
      </w:r>
      <w:r>
        <w:rPr>
          <w:rFonts w:hint="eastAsia" w:ascii="Times New Roman" w:hAnsi="Times New Roman" w:cs="Times New Roman"/>
          <w:color w:val="auto"/>
          <w:sz w:val="15"/>
          <w:szCs w:val="15"/>
          <w:highlight w:val="none"/>
        </w:rPr>
        <w:t xml:space="preserve">, MENG </w:t>
      </w:r>
      <w:r>
        <w:rPr>
          <w:rFonts w:hint="eastAsia" w:ascii="Times New Roman" w:hAnsi="Times New Roman" w:cs="Times New Roman"/>
          <w:color w:val="auto"/>
          <w:sz w:val="15"/>
          <w:szCs w:val="15"/>
          <w:highlight w:val="none"/>
        </w:rPr>
        <w:t>X H</w:t>
      </w:r>
      <w:r>
        <w:rPr>
          <w:rFonts w:hint="eastAsia" w:ascii="Times New Roman" w:hAnsi="Times New Roman" w:cs="Times New Roman"/>
          <w:color w:val="auto"/>
          <w:sz w:val="15"/>
          <w:szCs w:val="15"/>
          <w:highlight w:val="none"/>
        </w:rPr>
        <w:t xml:space="preserve">, HAN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et al. Observations of soil moisture influence on surface energy dynamics and planetary boundary layer characteristics over the Loess Plateau[J]. Plateau Meteorology, 2019, 38(</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705-715. </w:t>
      </w:r>
    </w:p>
    <w:p w14:paraId="28BFEFA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[59] ANDEREGG W R L, TRUGMAN A T, BOWLING D R, et al. Plant functional traits and climate influence drought intensification and land-atmosphere feedbacks[J]. </w:t>
      </w:r>
      <w:r>
        <w:rPr>
          <w:rFonts w:hint="eastAsia" w:ascii="Times New Roman" w:hAnsi="Times New Roman" w:cs="Times New Roman"/>
          <w:color w:val="auto"/>
          <w:sz w:val="15"/>
          <w:szCs w:val="15"/>
          <w:highlight w:val="none"/>
        </w:rPr>
        <w:t>PNAS</w:t>
      </w:r>
      <w:r>
        <w:rPr>
          <w:rFonts w:hint="eastAsia" w:ascii="Times New Roman" w:hAnsi="Times New Roman" w:cs="Times New Roman"/>
          <w:color w:val="auto"/>
          <w:sz w:val="15"/>
          <w:szCs w:val="15"/>
          <w:highlight w:val="none"/>
        </w:rPr>
        <w:t xml:space="preserve">, 2019, 116(28): </w:t>
      </w:r>
      <w:r>
        <w:rPr>
          <w:rFonts w:hint="eastAsia" w:ascii="Times New Roman" w:hAnsi="Times New Roman" w:cs="Times New Roman"/>
          <w:color w:val="auto"/>
          <w:sz w:val="15"/>
          <w:szCs w:val="15"/>
          <w:highlight w:val="none"/>
        </w:rPr>
        <w:t>14071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14076</w:t>
      </w:r>
      <w:r>
        <w:rPr>
          <w:rFonts w:hint="eastAsia" w:ascii="Times New Roman" w:hAnsi="Times New Roman" w:cs="Times New Roman"/>
          <w:color w:val="auto"/>
          <w:sz w:val="15"/>
          <w:szCs w:val="15"/>
          <w:highlight w:val="none"/>
        </w:rPr>
        <w:t xml:space="preserve">. </w:t>
      </w:r>
    </w:p>
    <w:p w14:paraId="497AFD0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[60] CHEN </w:t>
      </w:r>
      <w:r>
        <w:rPr>
          <w:rFonts w:hint="eastAsia" w:ascii="Times New Roman" w:hAnsi="Times New Roman" w:cs="Times New Roman"/>
          <w:color w:val="auto"/>
          <w:sz w:val="15"/>
          <w:szCs w:val="15"/>
          <w:highlight w:val="none"/>
        </w:rPr>
        <w:t>J L</w:t>
      </w:r>
      <w:r>
        <w:rPr>
          <w:rFonts w:hint="eastAsia" w:ascii="Times New Roman" w:hAnsi="Times New Roman" w:cs="Times New Roman"/>
          <w:color w:val="auto"/>
          <w:sz w:val="15"/>
          <w:szCs w:val="15"/>
          <w:highlight w:val="none"/>
        </w:rPr>
        <w:t xml:space="preserve">, SHAO </w:t>
      </w:r>
      <w:r>
        <w:rPr>
          <w:rFonts w:hint="eastAsia" w:ascii="Times New Roman" w:hAnsi="Times New Roman" w:cs="Times New Roman"/>
          <w:color w:val="auto"/>
          <w:sz w:val="15"/>
          <w:szCs w:val="15"/>
          <w:highlight w:val="none"/>
        </w:rPr>
        <w:t>Z F</w:t>
      </w:r>
      <w:r>
        <w:rPr>
          <w:rFonts w:hint="eastAsia" w:ascii="Times New Roman" w:hAnsi="Times New Roman" w:cs="Times New Roman"/>
          <w:color w:val="auto"/>
          <w:sz w:val="15"/>
          <w:szCs w:val="15"/>
          <w:highlight w:val="none"/>
        </w:rPr>
        <w:t xml:space="preserve">, DENG </w:t>
      </w:r>
      <w:r>
        <w:rPr>
          <w:rFonts w:hint="eastAsia" w:ascii="Times New Roman" w:hAnsi="Times New Roman" w:cs="Times New Roman"/>
          <w:color w:val="auto"/>
          <w:sz w:val="15"/>
          <w:szCs w:val="15"/>
          <w:highlight w:val="none"/>
        </w:rPr>
        <w:t>X J</w:t>
      </w:r>
      <w:r>
        <w:rPr>
          <w:rFonts w:hint="eastAsia" w:ascii="Times New Roman" w:hAnsi="Times New Roman" w:cs="Times New Roman"/>
          <w:color w:val="auto"/>
          <w:sz w:val="15"/>
          <w:szCs w:val="15"/>
          <w:highlight w:val="none"/>
        </w:rPr>
        <w:t xml:space="preserve">, et al. Vegetation as the catalyst for water circulation on global terrestrial ecosystem[J]. Science of the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otal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nvironment, 2023, 895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165071. </w:t>
      </w:r>
    </w:p>
    <w:p w14:paraId="76B1548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[61] CHEN </w:t>
      </w:r>
      <w:r>
        <w:rPr>
          <w:rFonts w:hint="eastAsia" w:ascii="Times New Roman" w:hAnsi="Times New Roman" w:cs="Times New Roman"/>
          <w:color w:val="auto"/>
          <w:sz w:val="15"/>
          <w:szCs w:val="15"/>
          <w:highlight w:val="none"/>
        </w:rPr>
        <w:t>J L</w:t>
      </w:r>
      <w:r>
        <w:rPr>
          <w:rFonts w:hint="eastAsia" w:ascii="Times New Roman" w:hAnsi="Times New Roman" w:cs="Times New Roman"/>
          <w:color w:val="auto"/>
          <w:sz w:val="15"/>
          <w:szCs w:val="15"/>
          <w:highlight w:val="none"/>
        </w:rPr>
        <w:t xml:space="preserve">, SHAO </w:t>
      </w:r>
      <w:r>
        <w:rPr>
          <w:rFonts w:hint="eastAsia" w:ascii="Times New Roman" w:hAnsi="Times New Roman" w:cs="Times New Roman"/>
          <w:color w:val="auto"/>
          <w:sz w:val="15"/>
          <w:szCs w:val="15"/>
          <w:highlight w:val="none"/>
        </w:rPr>
        <w:t>Z F</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et al. Assessing the impact of drought-land cover change on global vegetation greenness and productivity[J]. Science of the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otal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nvironment, 2022, 852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158499. </w:t>
      </w:r>
    </w:p>
    <w:p w14:paraId="14395E5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[62] ZHANG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KEENAN T F, ZHOU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Exacerbated drought impacts on global ecosystems due to structural overshoot[J]. </w:t>
      </w:r>
      <w:r>
        <w:rPr>
          <w:rFonts w:hint="eastAsia" w:ascii="Times New Roman" w:hAnsi="Times New Roman" w:cs="Times New Roman"/>
          <w:color w:val="auto"/>
          <w:sz w:val="15"/>
          <w:szCs w:val="15"/>
          <w:highlight w:val="none"/>
        </w:rPr>
        <w:t>Nature</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Ecology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 xml:space="preserve">&amp; Evolution, </w:t>
      </w:r>
      <w:r>
        <w:rPr>
          <w:rFonts w:hint="eastAsia" w:ascii="Times New Roman" w:hAnsi="Times New Roman" w:cs="Times New Roman"/>
          <w:color w:val="auto"/>
          <w:sz w:val="15"/>
          <w:szCs w:val="15"/>
          <w:highlight w:val="none"/>
        </w:rPr>
        <w:t>2021, 5</w:t>
      </w:r>
      <w:r>
        <w:rPr>
          <w:rFonts w:hint="eastAsia" w:ascii="Times New Roman" w:hAnsi="Times New Roman" w:cs="Times New Roman"/>
          <w:color w:val="auto"/>
          <w:sz w:val="15"/>
          <w:szCs w:val="15"/>
          <w:highlight w:val="none"/>
        </w:rPr>
        <w:t>(11):</w:t>
      </w:r>
      <w:r>
        <w:rPr>
          <w:rFonts w:hint="eastAsia" w:ascii="Times New Roman" w:hAnsi="Times New Roman" w:cs="Times New Roman"/>
          <w:color w:val="auto"/>
          <w:sz w:val="15"/>
          <w:szCs w:val="15"/>
          <w:highlight w:val="none"/>
        </w:rPr>
        <w:t xml:space="preserve"> 1490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1498. </w:t>
      </w:r>
    </w:p>
    <w:p w14:paraId="6FB78D6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[63] MANKIN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S, SEAGER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 SMERDON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E, et al. Mid-latitude freshwater availability reduced by projected vegetation responses to climate change[J]. </w:t>
      </w:r>
      <w:r>
        <w:rPr>
          <w:rFonts w:hint="eastAsia" w:ascii="Times New Roman" w:hAnsi="Times New Roman" w:cs="Times New Roman"/>
          <w:color w:val="auto"/>
          <w:sz w:val="15"/>
          <w:szCs w:val="15"/>
          <w:highlight w:val="none"/>
        </w:rPr>
        <w:t>Nature</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Geoscience,</w:t>
      </w:r>
      <w:r>
        <w:rPr>
          <w:rFonts w:hint="eastAsia" w:ascii="Times New Roman" w:hAnsi="Times New Roman" w:cs="Times New Roman"/>
          <w:color w:val="auto"/>
          <w:sz w:val="15"/>
          <w:szCs w:val="15"/>
          <w:highlight w:val="none"/>
        </w:rPr>
        <w:t xml:space="preserve"> 2019, 12</w:t>
      </w:r>
      <w:r>
        <w:rPr>
          <w:rFonts w:hint="eastAsia" w:ascii="Times New Roman" w:hAnsi="Times New Roman" w:cs="Times New Roman"/>
          <w:color w:val="auto"/>
          <w:sz w:val="15"/>
          <w:szCs w:val="15"/>
          <w:highlight w:val="none"/>
        </w:rPr>
        <w:t>(12):</w:t>
      </w:r>
      <w:r>
        <w:rPr>
          <w:rFonts w:hint="eastAsia" w:ascii="Times New Roman" w:hAnsi="Times New Roman" w:cs="Times New Roman"/>
          <w:color w:val="auto"/>
          <w:sz w:val="15"/>
          <w:szCs w:val="15"/>
          <w:highlight w:val="none"/>
        </w:rPr>
        <w:t xml:space="preserve"> 983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988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w:t>
      </w:r>
    </w:p>
    <w:p w14:paraId="1B00D8C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[64] LI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BEVACQUA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 et al. Future increase in compound soil drought-heat extremes exacerbated by vegetation greening[J]. Nature Communications, 2024, 15: 10875. </w:t>
      </w:r>
    </w:p>
    <w:p w14:paraId="60DBF61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[65] 张丽平, 孙英君, 赵培华, 等. 基于地理国情数据的城市土地利用变化与地表降雨径流关联分析[J]. 国土与自然资源研究, 2024(</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32-37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L P</w:t>
      </w:r>
      <w:r>
        <w:rPr>
          <w:rFonts w:hint="eastAsia" w:ascii="Times New Roman" w:hAnsi="Times New Roman" w:cs="Times New Roman"/>
          <w:color w:val="auto"/>
          <w:sz w:val="15"/>
          <w:szCs w:val="15"/>
          <w:highlight w:val="none"/>
        </w:rPr>
        <w:t xml:space="preserve">, SUN </w:t>
      </w:r>
      <w:r>
        <w:rPr>
          <w:rFonts w:hint="eastAsia" w:ascii="Times New Roman" w:hAnsi="Times New Roman" w:cs="Times New Roman"/>
          <w:color w:val="auto"/>
          <w:sz w:val="15"/>
          <w:szCs w:val="15"/>
          <w:highlight w:val="none"/>
        </w:rPr>
        <w:t>Y J</w:t>
      </w:r>
      <w:r>
        <w:rPr>
          <w:rFonts w:hint="eastAsia" w:ascii="Times New Roman" w:hAnsi="Times New Roman" w:cs="Times New Roman"/>
          <w:color w:val="auto"/>
          <w:sz w:val="15"/>
          <w:szCs w:val="15"/>
          <w:highlight w:val="none"/>
        </w:rPr>
        <w:t xml:space="preserve">, ZHAO </w:t>
      </w:r>
      <w:r>
        <w:rPr>
          <w:rFonts w:hint="eastAsia" w:ascii="Times New Roman" w:hAnsi="Times New Roman" w:cs="Times New Roman"/>
          <w:color w:val="auto"/>
          <w:sz w:val="15"/>
          <w:szCs w:val="15"/>
          <w:highlight w:val="none"/>
        </w:rPr>
        <w:t>P H</w:t>
      </w:r>
      <w:r>
        <w:rPr>
          <w:rFonts w:hint="eastAsia" w:ascii="Times New Roman" w:hAnsi="Times New Roman" w:cs="Times New Roman"/>
          <w:color w:val="auto"/>
          <w:sz w:val="15"/>
          <w:szCs w:val="15"/>
          <w:highlight w:val="none"/>
        </w:rPr>
        <w:t>, et al. Correlation analysis of urban land use change and surface rainfall runoff based on geographical national conditions data[J]. Territory &amp; Natural Resources Study, 2024(</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32-37</w:t>
      </w:r>
      <w:r>
        <w:rPr>
          <w:rFonts w:hint="eastAsia" w:ascii="Times New Roman" w:hAnsi="Times New Roman" w:cs="Times New Roman"/>
          <w:color w:val="auto"/>
          <w:sz w:val="15"/>
          <w:szCs w:val="15"/>
          <w:highlight w:val="none"/>
        </w:rPr>
        <w:t xml:space="preserve">. </w:t>
      </w:r>
    </w:p>
    <w:p w14:paraId="153CE5A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[66] 黄华兵, 王先伟, 柳林. 城市暴雨内涝综述: 特征、机理、数据与方法[J]. 地理科学进展, 2021, </w:t>
      </w:r>
      <w:r>
        <w:rPr>
          <w:rFonts w:hint="eastAsia" w:ascii="Times New Roman" w:hAnsi="Times New Roman" w:cs="Times New Roman"/>
          <w:color w:val="auto"/>
          <w:sz w:val="15"/>
          <w:szCs w:val="15"/>
          <w:highlight w:val="none"/>
        </w:rPr>
        <w:t>40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1048-1059.</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HUANG </w:t>
      </w:r>
      <w:r>
        <w:rPr>
          <w:rFonts w:hint="eastAsia" w:ascii="Times New Roman" w:hAnsi="Times New Roman" w:cs="Times New Roman"/>
          <w:color w:val="auto"/>
          <w:sz w:val="15"/>
          <w:szCs w:val="15"/>
          <w:highlight w:val="none"/>
        </w:rPr>
        <w:t>H B</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X W</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A review on urban pluvial floods: Characteristics, mechanisms, data, and research methods[J]. Progress in Geography, 2021, </w:t>
      </w:r>
      <w:r>
        <w:rPr>
          <w:rFonts w:hint="eastAsia" w:ascii="Times New Roman" w:hAnsi="Times New Roman" w:cs="Times New Roman"/>
          <w:color w:val="auto"/>
          <w:sz w:val="15"/>
          <w:szCs w:val="15"/>
          <w:highlight w:val="none"/>
        </w:rPr>
        <w:t>40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xml:space="preserve">): 1048-1059. </w:t>
      </w:r>
    </w:p>
    <w:p w14:paraId="2F881F0D">
      <w:pPr>
        <w:pStyle w:val="41"/>
        <w:ind w:firstLine="0"/>
        <w:rPr>
          <w:rFonts w:ascii="Times New Roman" w:hAnsi="Times New Roman" w:cs="Times New Roman"/>
          <w:color w:val="auto"/>
          <w:sz w:val="15"/>
          <w:szCs w:val="15"/>
          <w:highlight w:val="none"/>
        </w:rPr>
      </w:pPr>
      <w:bookmarkStart w:id="51" w:name="_Ref216344621"/>
      <w:r>
        <w:rPr>
          <w:rFonts w:hint="eastAsia" w:ascii="Times New Roman" w:hAnsi="Times New Roman" w:cs="Times New Roman"/>
          <w:color w:val="auto"/>
          <w:sz w:val="15"/>
          <w:szCs w:val="15"/>
          <w:highlight w:val="none"/>
        </w:rPr>
        <w:t>[67] 刘益, 杨耀先, 石磊, 等. 7月青藏高原热低压与降水年际变化关系研究[J]. 高原科学研究, 2025, 9(</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48-58.</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IU</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Y X</w:t>
      </w:r>
      <w:r>
        <w:rPr>
          <w:rFonts w:hint="eastAsia" w:ascii="Times New Roman" w:hAnsi="Times New Roman" w:cs="Times New Roman"/>
          <w:color w:val="auto"/>
          <w:sz w:val="15"/>
          <w:szCs w:val="15"/>
          <w:highlight w:val="none"/>
        </w:rPr>
        <w:t xml:space="preserve">, SHI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et al. Study on the relationship between thermal low-pressure and interannual variation of precipitation over the Qinghai-Xizang Plateau in July[J]. Plateau Science Research, 2025, 9(</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xml:space="preserve">): 48-58. </w:t>
      </w:r>
    </w:p>
    <w:p w14:paraId="683D83E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[68] CHEN </w:t>
      </w:r>
      <w:r>
        <w:rPr>
          <w:rFonts w:hint="eastAsia" w:ascii="Times New Roman" w:hAnsi="Times New Roman" w:cs="Times New Roman"/>
          <w:color w:val="auto"/>
          <w:sz w:val="15"/>
          <w:szCs w:val="15"/>
          <w:highlight w:val="none"/>
        </w:rPr>
        <w:t>J X</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S S</w:t>
      </w:r>
      <w:r>
        <w:rPr>
          <w:rFonts w:hint="eastAsia" w:ascii="Times New Roman" w:hAnsi="Times New Roman" w:cs="Times New Roman"/>
          <w:color w:val="auto"/>
          <w:sz w:val="15"/>
          <w:szCs w:val="15"/>
          <w:highlight w:val="none"/>
        </w:rPr>
        <w:t xml:space="preserve">, LUO </w:t>
      </w:r>
      <w:r>
        <w:rPr>
          <w:rFonts w:hint="eastAsia" w:ascii="Times New Roman" w:hAnsi="Times New Roman" w:cs="Times New Roman"/>
          <w:color w:val="auto"/>
          <w:sz w:val="15"/>
          <w:szCs w:val="15"/>
          <w:highlight w:val="none"/>
        </w:rPr>
        <w:t>P P</w:t>
      </w:r>
      <w:r>
        <w:rPr>
          <w:rFonts w:hint="eastAsia" w:ascii="Times New Roman" w:hAnsi="Times New Roman" w:cs="Times New Roman"/>
          <w:color w:val="auto"/>
          <w:sz w:val="15"/>
          <w:szCs w:val="15"/>
          <w:highlight w:val="none"/>
        </w:rPr>
        <w:t xml:space="preserve">, et al. Integrating machine learning with NSGA-Ⅱ to assess the synchronization effects of stormwater disaster hazard and green–blue infrastructure[J]. Journal of Hydrology, </w:t>
      </w:r>
      <w:r>
        <w:rPr>
          <w:rFonts w:hint="eastAsia" w:ascii="Times New Roman" w:hAnsi="Times New Roman" w:cs="Times New Roman"/>
          <w:color w:val="auto"/>
          <w:sz w:val="15"/>
          <w:szCs w:val="15"/>
          <w:highlight w:val="none"/>
        </w:rPr>
        <w:t>2026, 666</w:t>
      </w:r>
      <w:r>
        <w:rPr>
          <w:rFonts w:hint="eastAsia" w:ascii="Times New Roman" w:hAnsi="Times New Roman" w:cs="Times New Roman"/>
          <w:color w:val="auto"/>
          <w:sz w:val="15"/>
          <w:szCs w:val="15"/>
          <w:highlight w:val="none"/>
        </w:rPr>
        <w:t xml:space="preserve">: 134777. </w:t>
      </w:r>
    </w:p>
    <w:p w14:paraId="1D4B824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[69] 安新代. 黄河小浪底水库防洪减淤作用与效益跟踪分析[J]. 人民黄河, 2023, 45(</w:t>
      </w:r>
      <w:r>
        <w:rPr>
          <w:rFonts w:hint="eastAsia"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 37-42.</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AN </w:t>
      </w:r>
      <w:r>
        <w:rPr>
          <w:rFonts w:hint="eastAsia" w:ascii="Times New Roman" w:hAnsi="Times New Roman" w:cs="Times New Roman"/>
          <w:color w:val="auto"/>
          <w:sz w:val="15"/>
          <w:szCs w:val="15"/>
          <w:highlight w:val="none"/>
        </w:rPr>
        <w:t>X D</w:t>
      </w:r>
      <w:r>
        <w:rPr>
          <w:rFonts w:hint="eastAsia" w:ascii="Times New Roman" w:hAnsi="Times New Roman" w:cs="Times New Roman"/>
          <w:color w:val="auto"/>
          <w:sz w:val="15"/>
          <w:szCs w:val="15"/>
          <w:highlight w:val="none"/>
        </w:rPr>
        <w:t>. Effect and benefit tracking analysis of flood control and sediment reduction in Xiaolangdi Reservoir of the Yellow River[J]. Yellow River, 2023, 45(</w:t>
      </w:r>
      <w:r>
        <w:rPr>
          <w:rFonts w:hint="eastAsia"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 xml:space="preserve">): 37-42. </w:t>
      </w:r>
    </w:p>
    <w:p w14:paraId="5EE8EFC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[70] WANG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LU </w:t>
      </w:r>
      <w:r>
        <w:rPr>
          <w:rFonts w:hint="eastAsia" w:ascii="Times New Roman" w:hAnsi="Times New Roman" w:cs="Times New Roman"/>
          <w:color w:val="auto"/>
          <w:sz w:val="15"/>
          <w:szCs w:val="15"/>
          <w:highlight w:val="none"/>
        </w:rPr>
        <w:t>J Z</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X L</w:t>
      </w:r>
      <w:r>
        <w:rPr>
          <w:rFonts w:hint="eastAsia" w:ascii="Times New Roman" w:hAnsi="Times New Roman" w:cs="Times New Roman"/>
          <w:color w:val="auto"/>
          <w:sz w:val="15"/>
          <w:szCs w:val="15"/>
          <w:highlight w:val="none"/>
        </w:rPr>
        <w:t xml:space="preserve">, et al. Flood mitigation effects of lake-reservoir group on the Poyang Lake watershed based on runoff-weighted model from multi-satellite weekly observation[J]. Journal of Hydrology: Regional Studies, 2022, 44: 101265. </w:t>
      </w:r>
    </w:p>
    <w:p w14:paraId="41B4EFB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[71] 葛志楠, 郝洁, 鞠琴, 等. 渭河流域土地利用变化对径流的影响[J]. 人民黄河, 2020, 42(6): 7-12.</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GE </w:t>
      </w:r>
      <w:r>
        <w:rPr>
          <w:rFonts w:hint="eastAsia" w:ascii="Times New Roman" w:hAnsi="Times New Roman" w:cs="Times New Roman"/>
          <w:color w:val="auto"/>
          <w:sz w:val="15"/>
          <w:szCs w:val="15"/>
          <w:highlight w:val="none"/>
        </w:rPr>
        <w:t>Z N</w:t>
      </w:r>
      <w:r>
        <w:rPr>
          <w:rFonts w:hint="eastAsia" w:ascii="Times New Roman" w:hAnsi="Times New Roman" w:cs="Times New Roman"/>
          <w:color w:val="auto"/>
          <w:sz w:val="15"/>
          <w:szCs w:val="15"/>
          <w:highlight w:val="none"/>
        </w:rPr>
        <w:t xml:space="preserve">, HAO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JU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et al. Impact of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and </w:t>
      </w:r>
      <w:r>
        <w:rPr>
          <w:rFonts w:hint="eastAsia" w:ascii="Times New Roman" w:hAnsi="Times New Roman" w:cs="Times New Roman"/>
          <w:color w:val="auto"/>
          <w:sz w:val="15"/>
          <w:szCs w:val="15"/>
          <w:highlight w:val="none"/>
        </w:rPr>
        <w:t>u</w:t>
      </w:r>
      <w:r>
        <w:rPr>
          <w:rFonts w:hint="eastAsia" w:ascii="Times New Roman" w:hAnsi="Times New Roman" w:cs="Times New Roman"/>
          <w:color w:val="auto"/>
          <w:sz w:val="15"/>
          <w:szCs w:val="15"/>
          <w:highlight w:val="none"/>
        </w:rPr>
        <w:t xml:space="preserve">se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hange on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unoff in Weihe River Basin[J]. Yellow River, 2020, 42(6): 7-12. </w:t>
      </w:r>
    </w:p>
    <w:p w14:paraId="5591D1E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[72] E</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GHOUL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 SELLAMI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KHLIFI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et al. Impact of land use land cover changes on flow uncertainty in Siliana watershed of northwestern Tunisia[J]. Catena, 2023, 220: 106733. </w:t>
      </w:r>
    </w:p>
    <w:p w14:paraId="4357F17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[73] YU </w:t>
      </w:r>
      <w:r>
        <w:rPr>
          <w:rFonts w:hint="eastAsia" w:ascii="Times New Roman" w:hAnsi="Times New Roman" w:cs="Times New Roman"/>
          <w:color w:val="auto"/>
          <w:sz w:val="15"/>
          <w:szCs w:val="15"/>
          <w:highlight w:val="none"/>
        </w:rPr>
        <w:t>Y X</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G X</w:t>
      </w:r>
      <w:r>
        <w:rPr>
          <w:rFonts w:hint="eastAsia" w:ascii="Times New Roman" w:hAnsi="Times New Roman" w:cs="Times New Roman"/>
          <w:color w:val="auto"/>
          <w:sz w:val="15"/>
          <w:szCs w:val="15"/>
          <w:highlight w:val="none"/>
        </w:rPr>
        <w:t xml:space="preserve">, QI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et al. Irrigated agriculture expansion drives groundwater storage decline in Black Soil Region of Northeast China[J]. Agricultural Water Management, 2025, 319: 109813. </w:t>
      </w:r>
    </w:p>
    <w:p w14:paraId="17CD391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[74] 张钰, 崔萌, 唐梅英, 等. 不同调水方式对调水河流水文情势影响评估[J]. 南水北调与水利科技(中英文), 2025,</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23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651-659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CUI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TANG </w:t>
      </w:r>
      <w:r>
        <w:rPr>
          <w:rFonts w:hint="eastAsia" w:ascii="Times New Roman" w:hAnsi="Times New Roman" w:cs="Times New Roman"/>
          <w:color w:val="auto"/>
          <w:sz w:val="15"/>
          <w:szCs w:val="15"/>
          <w:highlight w:val="none"/>
        </w:rPr>
        <w:t>M Y</w:t>
      </w:r>
      <w:r>
        <w:rPr>
          <w:rFonts w:hint="eastAsia" w:ascii="Times New Roman" w:hAnsi="Times New Roman" w:cs="Times New Roman"/>
          <w:color w:val="auto"/>
          <w:sz w:val="15"/>
          <w:szCs w:val="15"/>
          <w:highlight w:val="none"/>
        </w:rPr>
        <w:t>, et al. Assessment of the impact of different water transfer schemes on the hydrological regime alteration of the water-outlet river[J]. South-to-North Water Transfers and Water Science &amp; Technology, 2025,</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23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651-659</w:t>
      </w:r>
      <w:r>
        <w:rPr>
          <w:rFonts w:hint="eastAsia" w:ascii="Times New Roman" w:hAnsi="Times New Roman" w:cs="Times New Roman"/>
          <w:color w:val="auto"/>
          <w:sz w:val="15"/>
          <w:szCs w:val="15"/>
          <w:highlight w:val="none"/>
        </w:rPr>
        <w:t xml:space="preserve">. </w:t>
      </w:r>
    </w:p>
    <w:bookmarkEnd w:id="51"/>
    <w:p w14:paraId="63402AFA">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[75] WANG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GUO </w:t>
      </w:r>
      <w:r>
        <w:rPr>
          <w:rFonts w:hint="eastAsia" w:ascii="Times New Roman" w:hAnsi="Times New Roman" w:cs="Times New Roman"/>
          <w:color w:val="auto"/>
          <w:sz w:val="15"/>
          <w:szCs w:val="15"/>
          <w:highlight w:val="none"/>
        </w:rPr>
        <w:t>S L</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et al. A novel multi-scale standardized index analyzing monthly to sub-seasonal drought-flood abrupt alternation events in the Yangtze River basin[J]. Journal of Hydrology, 2024, 633: 130999. </w:t>
      </w:r>
    </w:p>
    <w:p w14:paraId="031CBB5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[76] YANG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S Q</w:t>
      </w:r>
      <w:r>
        <w:rPr>
          <w:rFonts w:hint="eastAsia" w:ascii="Times New Roman" w:hAnsi="Times New Roman" w:cs="Times New Roman"/>
          <w:color w:val="auto"/>
          <w:sz w:val="15"/>
          <w:szCs w:val="15"/>
          <w:highlight w:val="none"/>
        </w:rPr>
        <w:t xml:space="preserve">, XIA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et al. Analysis of drought and flood alternation and its driving factors in the Yangtze River Basin under climate change[J]. Atmospheric Research, 2022, 270: 106087. </w:t>
      </w:r>
    </w:p>
    <w:p w14:paraId="5432250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[77] 何慧, 廖雪萍, 陆虹, 等. 华南地区1961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2014年夏季长周期旱涝急转特征[J]. 地理学报, 2016, </w:t>
      </w:r>
      <w:r>
        <w:rPr>
          <w:rFonts w:hint="eastAsia" w:ascii="Times New Roman" w:hAnsi="Times New Roman" w:cs="Times New Roman"/>
          <w:color w:val="auto"/>
          <w:sz w:val="15"/>
          <w:szCs w:val="15"/>
          <w:highlight w:val="none"/>
        </w:rPr>
        <w:t>71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130-141.</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HE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LIAO </w:t>
      </w:r>
      <w:r>
        <w:rPr>
          <w:rFonts w:hint="eastAsia" w:ascii="Times New Roman" w:hAnsi="Times New Roman" w:cs="Times New Roman"/>
          <w:color w:val="auto"/>
          <w:sz w:val="15"/>
          <w:szCs w:val="15"/>
          <w:highlight w:val="none"/>
        </w:rPr>
        <w:t>X P</w:t>
      </w:r>
      <w:r>
        <w:rPr>
          <w:rFonts w:hint="eastAsia" w:ascii="Times New Roman" w:hAnsi="Times New Roman" w:cs="Times New Roman"/>
          <w:color w:val="auto"/>
          <w:sz w:val="15"/>
          <w:szCs w:val="15"/>
          <w:highlight w:val="none"/>
        </w:rPr>
        <w:t xml:space="preserve">, LU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et al. Features of long-cycle drought-flood abrupt alternation in South China during summer in 1961-2014[J]. Acta Geographica Sinica, 2016, </w:t>
      </w:r>
      <w:r>
        <w:rPr>
          <w:rFonts w:hint="eastAsia" w:ascii="Times New Roman" w:hAnsi="Times New Roman" w:cs="Times New Roman"/>
          <w:color w:val="auto"/>
          <w:sz w:val="15"/>
          <w:szCs w:val="15"/>
          <w:highlight w:val="none"/>
        </w:rPr>
        <w:t>71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130-141. </w:t>
      </w:r>
    </w:p>
    <w:p w14:paraId="2233CED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[78] BAI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Z X</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J F</w:t>
      </w:r>
      <w:r>
        <w:rPr>
          <w:rFonts w:hint="eastAsia" w:ascii="Times New Roman" w:hAnsi="Times New Roman" w:cs="Times New Roman"/>
          <w:color w:val="auto"/>
          <w:sz w:val="15"/>
          <w:szCs w:val="15"/>
          <w:highlight w:val="none"/>
        </w:rPr>
        <w:t xml:space="preserve">, et al. A novel multivariate multiscale index for drought-flood abrupt alternations: Considering precipitation, evapotranspiration, and soil moisture[J]. Journal of Hydrology, 2024, 643: 132039. </w:t>
      </w:r>
    </w:p>
    <w:p w14:paraId="6F172A4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[79] 赵东升, 张家诚, 邓思琪, 等. 1960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2018年中国西南地区旱涝急转的时空变化特征[J]. 地理科学, 2021, </w:t>
      </w:r>
      <w:r>
        <w:rPr>
          <w:rFonts w:hint="eastAsia" w:ascii="Times New Roman" w:hAnsi="Times New Roman" w:cs="Times New Roman"/>
          <w:color w:val="auto"/>
          <w:sz w:val="15"/>
          <w:szCs w:val="15"/>
          <w:highlight w:val="none"/>
        </w:rPr>
        <w:t>41</w:t>
      </w:r>
      <w:r>
        <w:rPr>
          <w:rFonts w:hint="eastAsia" w:ascii="Times New Roman" w:hAnsi="Times New Roman" w:cs="Times New Roman"/>
          <w:color w:val="auto"/>
          <w:sz w:val="15"/>
          <w:szCs w:val="15"/>
          <w:highlight w:val="none"/>
        </w:rPr>
        <w:t>(12)</w:t>
      </w:r>
      <w:r>
        <w:rPr>
          <w:rFonts w:hint="eastAsia" w:ascii="Times New Roman" w:hAnsi="Times New Roman" w:cs="Times New Roman"/>
          <w:color w:val="auto"/>
          <w:sz w:val="15"/>
          <w:szCs w:val="15"/>
          <w:highlight w:val="none"/>
        </w:rPr>
        <w:t>: 2222-2231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ZHAO </w:t>
      </w:r>
      <w:r>
        <w:rPr>
          <w:rFonts w:hint="eastAsia" w:ascii="Times New Roman" w:hAnsi="Times New Roman" w:cs="Times New Roman"/>
          <w:color w:val="auto"/>
          <w:sz w:val="15"/>
          <w:szCs w:val="15"/>
          <w:highlight w:val="none"/>
        </w:rPr>
        <w:t>D S</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J C</w:t>
      </w:r>
      <w:r>
        <w:rPr>
          <w:rFonts w:hint="eastAsia" w:ascii="Times New Roman" w:hAnsi="Times New Roman" w:cs="Times New Roman"/>
          <w:color w:val="auto"/>
          <w:sz w:val="15"/>
          <w:szCs w:val="15"/>
          <w:highlight w:val="none"/>
        </w:rPr>
        <w:t xml:space="preserve">, DENG </w:t>
      </w:r>
      <w:r>
        <w:rPr>
          <w:rFonts w:hint="eastAsia" w:ascii="Times New Roman" w:hAnsi="Times New Roman" w:cs="Times New Roman"/>
          <w:color w:val="auto"/>
          <w:sz w:val="15"/>
          <w:szCs w:val="15"/>
          <w:highlight w:val="none"/>
        </w:rPr>
        <w:t>S Q</w:t>
      </w:r>
      <w:r>
        <w:rPr>
          <w:rFonts w:hint="eastAsia" w:ascii="Times New Roman" w:hAnsi="Times New Roman" w:cs="Times New Roman"/>
          <w:color w:val="auto"/>
          <w:sz w:val="15"/>
          <w:szCs w:val="15"/>
          <w:highlight w:val="none"/>
        </w:rPr>
        <w:t xml:space="preserve">, et al. Spatio-temporal characteristics of drought-flood abrupt alternation in </w:t>
      </w:r>
      <w:r>
        <w:rPr>
          <w:rFonts w:hint="eastAsia" w:ascii="Times New Roman" w:hAnsi="Times New Roman" w:cs="Times New Roman"/>
          <w:color w:val="auto"/>
          <w:sz w:val="15"/>
          <w:szCs w:val="15"/>
          <w:highlight w:val="none"/>
        </w:rPr>
        <w:t xml:space="preserve">the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outhwest China from 1960 to 2018[J]. </w:t>
      </w:r>
      <w:r>
        <w:rPr>
          <w:rFonts w:hint="eastAsia" w:ascii="Times New Roman" w:hAnsi="Times New Roman" w:cs="Times New Roman"/>
          <w:color w:val="auto"/>
          <w:sz w:val="15"/>
          <w:szCs w:val="15"/>
          <w:highlight w:val="none"/>
        </w:rPr>
        <w:t>Scientia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Geographica Sinica</w:t>
      </w:r>
      <w:r>
        <w:rPr>
          <w:rFonts w:hint="eastAsia" w:ascii="Times New Roman" w:hAnsi="Times New Roman" w:cs="Times New Roman"/>
          <w:color w:val="auto"/>
          <w:sz w:val="15"/>
          <w:szCs w:val="15"/>
          <w:highlight w:val="none"/>
        </w:rPr>
        <w:t xml:space="preserve">, 2021, </w:t>
      </w:r>
      <w:r>
        <w:rPr>
          <w:rFonts w:hint="eastAsia" w:ascii="Times New Roman" w:hAnsi="Times New Roman" w:cs="Times New Roman"/>
          <w:color w:val="auto"/>
          <w:sz w:val="15"/>
          <w:szCs w:val="15"/>
          <w:highlight w:val="none"/>
        </w:rPr>
        <w:t>41</w:t>
      </w:r>
      <w:r>
        <w:rPr>
          <w:rFonts w:hint="eastAsia" w:ascii="Times New Roman" w:hAnsi="Times New Roman" w:cs="Times New Roman"/>
          <w:color w:val="auto"/>
          <w:sz w:val="15"/>
          <w:szCs w:val="15"/>
          <w:highlight w:val="none"/>
        </w:rPr>
        <w:t>(12)</w:t>
      </w:r>
      <w:r>
        <w:rPr>
          <w:rFonts w:hint="eastAsia" w:ascii="Times New Roman" w:hAnsi="Times New Roman" w:cs="Times New Roman"/>
          <w:color w:val="auto"/>
          <w:sz w:val="15"/>
          <w:szCs w:val="15"/>
          <w:highlight w:val="none"/>
        </w:rPr>
        <w:t>: 2222-2231</w:t>
      </w:r>
      <w:r>
        <w:rPr>
          <w:rFonts w:hint="eastAsia" w:ascii="Times New Roman" w:hAnsi="Times New Roman" w:cs="Times New Roman"/>
          <w:color w:val="auto"/>
          <w:sz w:val="15"/>
          <w:szCs w:val="15"/>
          <w:highlight w:val="none"/>
        </w:rPr>
        <w:t xml:space="preserve">. </w:t>
      </w:r>
    </w:p>
    <w:p w14:paraId="37131B2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[80] 王映思, 肖天贵, 董雪峰. 1961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2019年中国西南地区夏季长周期旱涝急转与大气环流特征[J]. 高原气象, 2021, 40(</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760-772.</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WANG </w:t>
      </w:r>
      <w:r>
        <w:rPr>
          <w:rFonts w:hint="eastAsia" w:ascii="Times New Roman" w:hAnsi="Times New Roman" w:cs="Times New Roman"/>
          <w:color w:val="auto"/>
          <w:sz w:val="15"/>
          <w:szCs w:val="15"/>
          <w:highlight w:val="none"/>
        </w:rPr>
        <w:t>Y S</w:t>
      </w:r>
      <w:r>
        <w:rPr>
          <w:rFonts w:hint="eastAsia" w:ascii="Times New Roman" w:hAnsi="Times New Roman" w:cs="Times New Roman"/>
          <w:color w:val="auto"/>
          <w:sz w:val="15"/>
          <w:szCs w:val="15"/>
          <w:highlight w:val="none"/>
        </w:rPr>
        <w:t xml:space="preserve">, XIAO </w:t>
      </w:r>
      <w:r>
        <w:rPr>
          <w:rFonts w:hint="eastAsia" w:ascii="Times New Roman" w:hAnsi="Times New Roman" w:cs="Times New Roman"/>
          <w:color w:val="auto"/>
          <w:sz w:val="15"/>
          <w:szCs w:val="15"/>
          <w:highlight w:val="none"/>
        </w:rPr>
        <w:t>T G</w:t>
      </w:r>
      <w:r>
        <w:rPr>
          <w:rFonts w:hint="eastAsia" w:ascii="Times New Roman" w:hAnsi="Times New Roman" w:cs="Times New Roman"/>
          <w:color w:val="auto"/>
          <w:sz w:val="15"/>
          <w:szCs w:val="15"/>
          <w:highlight w:val="none"/>
        </w:rPr>
        <w:t xml:space="preserve">, DONG </w:t>
      </w:r>
      <w:r>
        <w:rPr>
          <w:rFonts w:hint="eastAsia" w:ascii="Times New Roman" w:hAnsi="Times New Roman" w:cs="Times New Roman"/>
          <w:color w:val="auto"/>
          <w:sz w:val="15"/>
          <w:szCs w:val="15"/>
          <w:highlight w:val="none"/>
        </w:rPr>
        <w:t>X F</w:t>
      </w:r>
      <w:r>
        <w:rPr>
          <w:rFonts w:hint="eastAsia" w:ascii="Times New Roman" w:hAnsi="Times New Roman" w:cs="Times New Roman"/>
          <w:color w:val="auto"/>
          <w:sz w:val="15"/>
          <w:szCs w:val="15"/>
          <w:highlight w:val="none"/>
        </w:rPr>
        <w:t xml:space="preserve">. Characteristics of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ong-</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ycle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brupt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rought-</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lood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lternations in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outhwest China and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tmospheric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irculation in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ummer from 1961 to 2019[J]. Plateau Meteorology, 2021, 40(</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760-772. </w:t>
      </w:r>
    </w:p>
    <w:p w14:paraId="37249C1D">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[81] WU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JIANG </w:t>
      </w:r>
      <w:r>
        <w:rPr>
          <w:rFonts w:hint="eastAsia" w:ascii="Times New Roman" w:hAnsi="Times New Roman" w:cs="Times New Roman"/>
          <w:color w:val="auto"/>
          <w:sz w:val="15"/>
          <w:szCs w:val="15"/>
          <w:highlight w:val="none"/>
        </w:rPr>
        <w:t>D B</w:t>
      </w:r>
      <w:r>
        <w:rPr>
          <w:rFonts w:hint="eastAsia" w:ascii="Times New Roman" w:hAnsi="Times New Roman" w:cs="Times New Roman"/>
          <w:color w:val="auto"/>
          <w:sz w:val="15"/>
          <w:szCs w:val="15"/>
          <w:highlight w:val="none"/>
        </w:rPr>
        <w:t xml:space="preserve">. Probabilistic impacts of compound dry and hot events on global gross primary production[J]. Environmental Research Letters, 2022, 17(3): 034049. </w:t>
      </w:r>
    </w:p>
    <w:p w14:paraId="57AA0B4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[82] MA </w:t>
      </w:r>
      <w:r>
        <w:rPr>
          <w:rFonts w:hint="eastAsia" w:ascii="Times New Roman" w:hAnsi="Times New Roman" w:cs="Times New Roman"/>
          <w:color w:val="auto"/>
          <w:sz w:val="15"/>
          <w:szCs w:val="15"/>
          <w:highlight w:val="none"/>
        </w:rPr>
        <w:t>Y Y</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C H</w:t>
      </w:r>
      <w:r>
        <w:rPr>
          <w:rFonts w:hint="eastAsia" w:ascii="Times New Roman" w:hAnsi="Times New Roman" w:cs="Times New Roman"/>
          <w:color w:val="auto"/>
          <w:sz w:val="15"/>
          <w:szCs w:val="15"/>
          <w:highlight w:val="none"/>
        </w:rPr>
        <w:t xml:space="preserve">. How essential of the balance between large and small scale features to reproduce precipitation during a sudden sharp turn from drought to flood[J]. Climate Dynamics, 2019, 52(7): 5013-5029. </w:t>
      </w:r>
    </w:p>
    <w:p w14:paraId="610FEE7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[83] 王乐, 郭生练, 谭鑫, 等. 长江流域秋季大尺度旱涝转折变化特征及天气形势转换[J]. 地球科学, 2025, 50(</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 3408-3421.</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WANG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GUO </w:t>
      </w:r>
      <w:r>
        <w:rPr>
          <w:rFonts w:hint="eastAsia" w:ascii="Times New Roman" w:hAnsi="Times New Roman" w:cs="Times New Roman"/>
          <w:color w:val="auto"/>
          <w:sz w:val="15"/>
          <w:szCs w:val="15"/>
          <w:highlight w:val="none"/>
        </w:rPr>
        <w:t>S L</w:t>
      </w:r>
      <w:r>
        <w:rPr>
          <w:rFonts w:hint="eastAsia" w:ascii="Times New Roman" w:hAnsi="Times New Roman" w:cs="Times New Roman"/>
          <w:color w:val="auto"/>
          <w:sz w:val="15"/>
          <w:szCs w:val="15"/>
          <w:highlight w:val="none"/>
        </w:rPr>
        <w:t xml:space="preserve">, TAN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et al. Characteristics of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arge-</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cale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rought and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lood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lternation in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utumn in the Yangtze River Basin and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ssociated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eather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ituation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lternation[J]. Earth Science, 2025, 50(</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 xml:space="preserve">): 3408-3421. </w:t>
      </w:r>
    </w:p>
    <w:p w14:paraId="5A7CA5A1">
      <w:pPr>
        <w:pStyle w:val="41"/>
        <w:ind w:firstLine="0"/>
        <w:rPr>
          <w:rFonts w:ascii="Times New Roman" w:hAnsi="Times New Roman" w:cs="Times New Roman"/>
          <w:color w:val="auto"/>
          <w:sz w:val="15"/>
          <w:szCs w:val="15"/>
          <w:highlight w:val="none"/>
        </w:rPr>
      </w:pPr>
      <w:bookmarkStart w:id="52" w:name="_Ref216344715"/>
      <w:r>
        <w:rPr>
          <w:rFonts w:ascii="Times New Roman" w:hAnsi="Times New Roman" w:cs="Times New Roman"/>
          <w:color w:val="auto"/>
          <w:sz w:val="15"/>
          <w:szCs w:val="15"/>
          <w:highlight w:val="none"/>
        </w:rPr>
        <w:t>[84] XIE Y</w:t>
      </w:r>
      <w:r>
        <w:rPr>
          <w:rFonts w:hint="eastAsia" w:ascii="Times New Roman" w:hAnsi="Times New Roman" w:cs="Times New Roman"/>
          <w:color w:val="auto"/>
          <w:sz w:val="15"/>
          <w:szCs w:val="15"/>
          <w:highlight w:val="none"/>
        </w:rPr>
        <w:t xml:space="preserve"> Y</w:t>
      </w:r>
      <w:r>
        <w:rPr>
          <w:rFonts w:ascii="Times New Roman" w:hAnsi="Times New Roman" w:cs="Times New Roman"/>
          <w:color w:val="auto"/>
          <w:sz w:val="15"/>
          <w:szCs w:val="15"/>
          <w:highlight w:val="none"/>
        </w:rPr>
        <w:t>, LIU Z</w:t>
      </w:r>
      <w:r>
        <w:rPr>
          <w:rFonts w:hint="eastAsia" w:ascii="Times New Roman" w:hAnsi="Times New Roman" w:cs="Times New Roman"/>
          <w:color w:val="auto"/>
          <w:sz w:val="15"/>
          <w:szCs w:val="15"/>
          <w:highlight w:val="none"/>
        </w:rPr>
        <w:t xml:space="preserve"> Y</w:t>
      </w:r>
      <w:r>
        <w:rPr>
          <w:rFonts w:ascii="Times New Roman" w:hAnsi="Times New Roman" w:cs="Times New Roman"/>
          <w:color w:val="auto"/>
          <w:sz w:val="15"/>
          <w:szCs w:val="15"/>
          <w:highlight w:val="none"/>
        </w:rPr>
        <w:t>, LIN K</w:t>
      </w:r>
      <w:r>
        <w:rPr>
          <w:rFonts w:hint="eastAsia" w:ascii="Times New Roman" w:hAnsi="Times New Roman" w:cs="Times New Roman"/>
          <w:color w:val="auto"/>
          <w:sz w:val="15"/>
          <w:szCs w:val="15"/>
          <w:highlight w:val="none"/>
        </w:rPr>
        <w:t xml:space="preserve"> R</w:t>
      </w:r>
      <w:r>
        <w:rPr>
          <w:rFonts w:ascii="Times New Roman" w:hAnsi="Times New Roman" w:cs="Times New Roman"/>
          <w:color w:val="auto"/>
          <w:sz w:val="15"/>
          <w:szCs w:val="15"/>
          <w:highlight w:val="none"/>
        </w:rPr>
        <w:t>. Dry-wet transition events in China: Identification, temporal dynamics, and spatial patterns[J]. Journal of Yangtze River Scientific Research Institute, 2021, 38(9): 77.</w:t>
      </w:r>
      <w:bookmarkEnd w:id="52"/>
    </w:p>
    <w:p w14:paraId="3233FBC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[85] 王凤, 孙即霖, 吴德星. 2011年春夏长江中下游旱涝急转特征及原因分析[J]. 中国海洋大学学报(自然科学版), 2014, </w:t>
      </w:r>
      <w:r>
        <w:rPr>
          <w:rFonts w:hint="eastAsia" w:ascii="Times New Roman" w:hAnsi="Times New Roman" w:cs="Times New Roman"/>
          <w:color w:val="auto"/>
          <w:sz w:val="15"/>
          <w:szCs w:val="15"/>
          <w:highlight w:val="none"/>
        </w:rPr>
        <w:t>44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10-16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WANG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SUN </w:t>
      </w:r>
      <w:r>
        <w:rPr>
          <w:rFonts w:hint="eastAsia" w:ascii="Times New Roman" w:hAnsi="Times New Roman" w:cs="Times New Roman"/>
          <w:color w:val="auto"/>
          <w:sz w:val="15"/>
          <w:szCs w:val="15"/>
          <w:highlight w:val="none"/>
        </w:rPr>
        <w:t>J L</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D X</w:t>
      </w:r>
      <w:r>
        <w:rPr>
          <w:rFonts w:hint="eastAsia" w:ascii="Times New Roman" w:hAnsi="Times New Roman" w:cs="Times New Roman"/>
          <w:color w:val="auto"/>
          <w:sz w:val="15"/>
          <w:szCs w:val="15"/>
          <w:highlight w:val="none"/>
        </w:rPr>
        <w:t xml:space="preserve">. Characteristics of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roughts</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loods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witch in the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ower and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iddle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eaches of Yangtze River in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ate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pring and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arly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ummer of 2011[J]. Periodical of Ocean University of China, 2014, </w:t>
      </w:r>
      <w:r>
        <w:rPr>
          <w:rFonts w:hint="eastAsia" w:ascii="Times New Roman" w:hAnsi="Times New Roman" w:cs="Times New Roman"/>
          <w:color w:val="auto"/>
          <w:sz w:val="15"/>
          <w:szCs w:val="15"/>
          <w:highlight w:val="none"/>
        </w:rPr>
        <w:t>44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10-16</w:t>
      </w:r>
      <w:r>
        <w:rPr>
          <w:rFonts w:hint="eastAsia" w:ascii="Times New Roman" w:hAnsi="Times New Roman" w:cs="Times New Roman"/>
          <w:color w:val="auto"/>
          <w:sz w:val="15"/>
          <w:szCs w:val="15"/>
          <w:highlight w:val="none"/>
        </w:rPr>
        <w:t xml:space="preserve">. </w:t>
      </w:r>
    </w:p>
    <w:p w14:paraId="3554FD8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[86] 陈旭哲, 范伶俐, 徐建军, 等. 华南汛期旱涝急转特征及其与海温异常的关系[J]. 广东海洋大学学报, 2023, </w:t>
      </w:r>
      <w:r>
        <w:rPr>
          <w:rFonts w:hint="eastAsia" w:ascii="Times New Roman" w:hAnsi="Times New Roman" w:cs="Times New Roman"/>
          <w:color w:val="auto"/>
          <w:sz w:val="15"/>
          <w:szCs w:val="15"/>
          <w:highlight w:val="none"/>
        </w:rPr>
        <w:t>43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68-77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CHEN </w:t>
      </w:r>
      <w:r>
        <w:rPr>
          <w:rFonts w:hint="eastAsia" w:ascii="Times New Roman" w:hAnsi="Times New Roman" w:cs="Times New Roman"/>
          <w:color w:val="auto"/>
          <w:sz w:val="15"/>
          <w:szCs w:val="15"/>
          <w:highlight w:val="none"/>
        </w:rPr>
        <w:t>X Z</w:t>
      </w:r>
      <w:r>
        <w:rPr>
          <w:rFonts w:hint="eastAsia" w:ascii="Times New Roman" w:hAnsi="Times New Roman" w:cs="Times New Roman"/>
          <w:color w:val="auto"/>
          <w:sz w:val="15"/>
          <w:szCs w:val="15"/>
          <w:highlight w:val="none"/>
        </w:rPr>
        <w:t xml:space="preserve">, FAN </w:t>
      </w:r>
      <w:r>
        <w:rPr>
          <w:rFonts w:hint="eastAsia" w:ascii="Times New Roman" w:hAnsi="Times New Roman" w:cs="Times New Roman"/>
          <w:color w:val="auto"/>
          <w:sz w:val="15"/>
          <w:szCs w:val="15"/>
          <w:highlight w:val="none"/>
        </w:rPr>
        <w:t>L L</w:t>
      </w:r>
      <w:r>
        <w:rPr>
          <w:rFonts w:hint="eastAsia" w:ascii="Times New Roman" w:hAnsi="Times New Roman" w:cs="Times New Roman"/>
          <w:color w:val="auto"/>
          <w:sz w:val="15"/>
          <w:szCs w:val="15"/>
          <w:highlight w:val="none"/>
        </w:rPr>
        <w:t xml:space="preserve">, XU </w:t>
      </w:r>
      <w:r>
        <w:rPr>
          <w:rFonts w:hint="eastAsia" w:ascii="Times New Roman" w:hAnsi="Times New Roman" w:cs="Times New Roman"/>
          <w:color w:val="auto"/>
          <w:sz w:val="15"/>
          <w:szCs w:val="15"/>
          <w:highlight w:val="none"/>
        </w:rPr>
        <w:t>J J</w:t>
      </w:r>
      <w:r>
        <w:rPr>
          <w:rFonts w:hint="eastAsia" w:ascii="Times New Roman" w:hAnsi="Times New Roman" w:cs="Times New Roman"/>
          <w:color w:val="auto"/>
          <w:sz w:val="15"/>
          <w:szCs w:val="15"/>
          <w:highlight w:val="none"/>
        </w:rPr>
        <w:t xml:space="preserve">, et al. Characteristics of flood-drought shift in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outhern China and their relationship with SST anomaly[J]. Journal of Guangdong Ocean University, 2023, </w:t>
      </w:r>
      <w:r>
        <w:rPr>
          <w:rFonts w:hint="eastAsia" w:ascii="Times New Roman" w:hAnsi="Times New Roman" w:cs="Times New Roman"/>
          <w:color w:val="auto"/>
          <w:sz w:val="15"/>
          <w:szCs w:val="15"/>
          <w:highlight w:val="none"/>
        </w:rPr>
        <w:t>43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68-77</w:t>
      </w:r>
      <w:r>
        <w:rPr>
          <w:rFonts w:hint="eastAsia" w:ascii="Times New Roman" w:hAnsi="Times New Roman" w:cs="Times New Roman"/>
          <w:color w:val="auto"/>
          <w:sz w:val="15"/>
          <w:szCs w:val="15"/>
          <w:highlight w:val="none"/>
        </w:rPr>
        <w:t xml:space="preserve">. </w:t>
      </w:r>
    </w:p>
    <w:p w14:paraId="28AC546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[87] 闪丽洁, 张利平, 张艳军, 等. 长江中下游流域旱涝急转事件特征分析及其与ENSO的关系[J]. 地理学报, 2018, 73(</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25-40.</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SHAN </w:t>
      </w:r>
      <w:r>
        <w:rPr>
          <w:rFonts w:hint="eastAsia" w:ascii="Times New Roman" w:hAnsi="Times New Roman" w:cs="Times New Roman"/>
          <w:color w:val="auto"/>
          <w:sz w:val="15"/>
          <w:szCs w:val="15"/>
          <w:highlight w:val="none"/>
        </w:rPr>
        <w:t>L J</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L P</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Y J</w:t>
      </w:r>
      <w:r>
        <w:rPr>
          <w:rFonts w:hint="eastAsia" w:ascii="Times New Roman" w:hAnsi="Times New Roman" w:cs="Times New Roman"/>
          <w:color w:val="auto"/>
          <w:sz w:val="15"/>
          <w:szCs w:val="15"/>
          <w:highlight w:val="none"/>
        </w:rPr>
        <w:t>, et al. Characteristics of dry-wet abrupt alternation events in the middle and lower reaches of the Yangtze River Basin and their relationship with ENSO[J]. Acta Geographica Sinica, 2018, 73(</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25-40. </w:t>
      </w:r>
    </w:p>
    <w:p w14:paraId="7D6F95D4">
      <w:pPr>
        <w:pStyle w:val="41"/>
        <w:ind w:firstLine="0"/>
        <w:rPr>
          <w:rFonts w:ascii="Times New Roman" w:hAnsi="Times New Roman" w:cs="Times New Roman"/>
          <w:color w:val="auto"/>
          <w:sz w:val="15"/>
          <w:szCs w:val="15"/>
          <w:highlight w:val="none"/>
        </w:rPr>
      </w:pPr>
      <w:bookmarkStart w:id="53" w:name="_Ref216344855"/>
      <w:r>
        <w:rPr>
          <w:rFonts w:hint="eastAsia" w:ascii="Times New Roman" w:hAnsi="Times New Roman" w:cs="Times New Roman"/>
          <w:color w:val="auto"/>
          <w:sz w:val="15"/>
          <w:szCs w:val="15"/>
          <w:highlight w:val="none"/>
        </w:rPr>
        <w:t>[88] 殷方旭, 游介文, 张茵驰, 等. 闽江流域土壤湿度及其记忆性的时空特征与趋势分析[J]. 人民珠江, 2025, 46(6): 31-41.</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YIN </w:t>
      </w:r>
      <w:r>
        <w:rPr>
          <w:rFonts w:hint="eastAsia" w:ascii="Times New Roman" w:hAnsi="Times New Roman" w:cs="Times New Roman"/>
          <w:color w:val="auto"/>
          <w:sz w:val="15"/>
          <w:szCs w:val="15"/>
          <w:highlight w:val="none"/>
        </w:rPr>
        <w:t>F X</w:t>
      </w:r>
      <w:r>
        <w:rPr>
          <w:rFonts w:hint="eastAsia" w:ascii="Times New Roman" w:hAnsi="Times New Roman" w:cs="Times New Roman"/>
          <w:color w:val="auto"/>
          <w:sz w:val="15"/>
          <w:szCs w:val="15"/>
          <w:highlight w:val="none"/>
        </w:rPr>
        <w:t xml:space="preserve">, YOU </w:t>
      </w:r>
      <w:r>
        <w:rPr>
          <w:rFonts w:hint="eastAsia" w:ascii="Times New Roman" w:hAnsi="Times New Roman" w:cs="Times New Roman"/>
          <w:color w:val="auto"/>
          <w:sz w:val="15"/>
          <w:szCs w:val="15"/>
          <w:highlight w:val="none"/>
        </w:rPr>
        <w:t>J W</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Y C</w:t>
      </w:r>
      <w:r>
        <w:rPr>
          <w:rFonts w:hint="eastAsia" w:ascii="Times New Roman" w:hAnsi="Times New Roman" w:cs="Times New Roman"/>
          <w:color w:val="auto"/>
          <w:sz w:val="15"/>
          <w:szCs w:val="15"/>
          <w:highlight w:val="none"/>
        </w:rPr>
        <w:t xml:space="preserve">, et al. Spatiotemporal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haracteristics and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rend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nalysis of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oil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oisture and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ts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emory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ffect in the Minjiang River Basin[J]. P</w:t>
      </w:r>
      <w:r>
        <w:rPr>
          <w:rFonts w:hint="eastAsia" w:ascii="Times New Roman" w:hAnsi="Times New Roman" w:cs="Times New Roman"/>
          <w:color w:val="auto"/>
          <w:sz w:val="15"/>
          <w:szCs w:val="15"/>
          <w:highlight w:val="none"/>
        </w:rPr>
        <w:t>earl</w:t>
      </w:r>
      <w:r>
        <w:rPr>
          <w:rFonts w:hint="eastAsia" w:ascii="Times New Roman" w:hAnsi="Times New Roman" w:cs="Times New Roman"/>
          <w:color w:val="auto"/>
          <w:sz w:val="15"/>
          <w:szCs w:val="15"/>
          <w:highlight w:val="none"/>
        </w:rPr>
        <w:t xml:space="preserve"> R</w:t>
      </w:r>
      <w:r>
        <w:rPr>
          <w:rFonts w:hint="eastAsia" w:ascii="Times New Roman" w:hAnsi="Times New Roman" w:cs="Times New Roman"/>
          <w:color w:val="auto"/>
          <w:sz w:val="15"/>
          <w:szCs w:val="15"/>
          <w:highlight w:val="none"/>
        </w:rPr>
        <w:t>iver</w:t>
      </w:r>
      <w:r>
        <w:rPr>
          <w:rFonts w:hint="eastAsia" w:ascii="Times New Roman" w:hAnsi="Times New Roman" w:cs="Times New Roman"/>
          <w:color w:val="auto"/>
          <w:sz w:val="15"/>
          <w:szCs w:val="15"/>
          <w:highlight w:val="none"/>
        </w:rPr>
        <w:t>, 2025, 46(</w:t>
      </w:r>
      <w:r>
        <w:rPr>
          <w:rFonts w:hint="eastAsia"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xml:space="preserve">): 31-41. </w:t>
      </w:r>
    </w:p>
    <w:p w14:paraId="1FCD770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[89]</w:t>
      </w:r>
      <w:r>
        <w:rPr>
          <w:rFonts w:hint="eastAsia" w:ascii="Times New Roman" w:hAnsi="Times New Roman" w:cs="Times New Roman"/>
          <w:color w:val="auto"/>
          <w:sz w:val="15"/>
          <w:szCs w:val="15"/>
          <w:highlight w:val="none"/>
        </w:rPr>
        <w:t xml:space="preserve"> SINGH</w:t>
      </w:r>
      <w:r>
        <w:rPr>
          <w:rFonts w:hint="eastAsia" w:ascii="Times New Roman" w:hAnsi="Times New Roman" w:cs="Times New Roman"/>
          <w:color w:val="auto"/>
          <w:sz w:val="15"/>
          <w:szCs w:val="15"/>
          <w:highlight w:val="none"/>
        </w:rPr>
        <w:t xml:space="preserve"> N </w:t>
      </w:r>
      <w:r>
        <w:rPr>
          <w:rFonts w:hint="eastAsia" w:ascii="Times New Roman" w:hAnsi="Times New Roman" w:cs="Times New Roman"/>
          <w:color w:val="auto"/>
          <w:sz w:val="15"/>
          <w:szCs w:val="15"/>
          <w:highlight w:val="none"/>
        </w:rPr>
        <w:t>K</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EMANUEL</w:t>
      </w:r>
      <w:r>
        <w:rPr>
          <w:rFonts w:hint="eastAsia" w:ascii="Times New Roman" w:hAnsi="Times New Roman" w:cs="Times New Roman"/>
          <w:color w:val="auto"/>
          <w:sz w:val="15"/>
          <w:szCs w:val="15"/>
          <w:highlight w:val="none"/>
        </w:rPr>
        <w:t xml:space="preserve"> R E, </w:t>
      </w:r>
      <w:r>
        <w:rPr>
          <w:rFonts w:hint="eastAsia" w:ascii="Times New Roman" w:hAnsi="Times New Roman" w:cs="Times New Roman"/>
          <w:color w:val="auto"/>
          <w:sz w:val="15"/>
          <w:szCs w:val="15"/>
          <w:highlight w:val="none"/>
        </w:rPr>
        <w:t>MCGLYNN</w:t>
      </w:r>
      <w:r>
        <w:rPr>
          <w:rFonts w:hint="eastAsia" w:ascii="Times New Roman" w:hAnsi="Times New Roman" w:cs="Times New Roman"/>
          <w:color w:val="auto"/>
          <w:sz w:val="15"/>
          <w:szCs w:val="15"/>
          <w:highlight w:val="none"/>
        </w:rPr>
        <w:t xml:space="preserve"> B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et al. Soil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oisture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esponses to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ainfall: Implications for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unoff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eneration[J]. Water Resources Research, 2021, 57(9):</w:t>
      </w:r>
      <w:r>
        <w:rPr>
          <w:rFonts w:hint="eastAsia" w:ascii="Times New Roman" w:hAnsi="Times New Roman" w:cs="Times New Roman"/>
          <w:color w:val="auto"/>
          <w:sz w:val="15"/>
          <w:szCs w:val="15"/>
          <w:highlight w:val="none"/>
        </w:rPr>
        <w:t xml:space="preserve"> e2020WR028827.</w:t>
      </w:r>
      <w:r>
        <w:rPr>
          <w:rFonts w:hint="eastAsia" w:ascii="Times New Roman" w:hAnsi="Times New Roman" w:cs="Times New Roman"/>
          <w:color w:val="auto"/>
          <w:sz w:val="15"/>
          <w:szCs w:val="15"/>
          <w:highlight w:val="none"/>
        </w:rPr>
        <w:t xml:space="preserve"> </w:t>
      </w:r>
    </w:p>
    <w:p w14:paraId="0D4D07AD">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[90] CHENG </w:t>
      </w:r>
      <w:r>
        <w:rPr>
          <w:rFonts w:hint="eastAsia" w:ascii="Times New Roman" w:hAnsi="Times New Roman" w:cs="Times New Roman"/>
          <w:color w:val="auto"/>
          <w:sz w:val="15"/>
          <w:szCs w:val="15"/>
          <w:highlight w:val="none"/>
        </w:rPr>
        <w:t>Y M</w:t>
      </w:r>
      <w:r>
        <w:rPr>
          <w:rFonts w:hint="eastAsia" w:ascii="Times New Roman" w:hAnsi="Times New Roman" w:cs="Times New Roman"/>
          <w:color w:val="auto"/>
          <w:sz w:val="15"/>
          <w:szCs w:val="15"/>
          <w:highlight w:val="none"/>
        </w:rPr>
        <w:t xml:space="preserve">, AN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et al. Latitudinal and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easonal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symmetry in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and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urface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emperature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esponses to </w:t>
      </w:r>
      <w:r>
        <w:rPr>
          <w:rFonts w:hint="eastAsia" w:ascii="Times New Roman" w:hAnsi="Times New Roman" w:cs="Times New Roman"/>
          <w:color w:val="auto"/>
          <w:sz w:val="15"/>
          <w:szCs w:val="15"/>
          <w:highlight w:val="none"/>
        </w:rPr>
        <w:t>v</w:t>
      </w:r>
      <w:r>
        <w:rPr>
          <w:rFonts w:hint="eastAsia" w:ascii="Times New Roman" w:hAnsi="Times New Roman" w:cs="Times New Roman"/>
          <w:color w:val="auto"/>
          <w:sz w:val="15"/>
          <w:szCs w:val="15"/>
          <w:highlight w:val="none"/>
        </w:rPr>
        <w:t xml:space="preserve">egetation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 xml:space="preserve">reening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cross China[J]. Earth</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s Future, 2025, 13(11): e2025EF006385. </w:t>
      </w:r>
    </w:p>
    <w:p w14:paraId="32AEC3FA">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[91] LI </w:t>
      </w:r>
      <w:r>
        <w:rPr>
          <w:rFonts w:hint="eastAsia" w:ascii="Times New Roman" w:hAnsi="Times New Roman" w:cs="Times New Roman"/>
          <w:color w:val="auto"/>
          <w:sz w:val="15"/>
          <w:szCs w:val="15"/>
          <w:highlight w:val="none"/>
        </w:rPr>
        <w:t>X Z</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X D</w:t>
      </w:r>
      <w:r>
        <w:rPr>
          <w:rFonts w:hint="eastAsia" w:ascii="Times New Roman" w:hAnsi="Times New Roman" w:cs="Times New Roman"/>
          <w:color w:val="auto"/>
          <w:sz w:val="15"/>
          <w:szCs w:val="15"/>
          <w:highlight w:val="none"/>
        </w:rPr>
        <w:t xml:space="preserve">, PAN </w:t>
      </w:r>
      <w:r>
        <w:rPr>
          <w:rFonts w:hint="eastAsia" w:ascii="Times New Roman" w:hAnsi="Times New Roman" w:cs="Times New Roman"/>
          <w:color w:val="auto"/>
          <w:sz w:val="15"/>
          <w:szCs w:val="15"/>
          <w:highlight w:val="none"/>
        </w:rPr>
        <w:t>Z T</w:t>
      </w:r>
      <w:r>
        <w:rPr>
          <w:rFonts w:hint="eastAsia" w:ascii="Times New Roman" w:hAnsi="Times New Roman" w:cs="Times New Roman"/>
          <w:color w:val="auto"/>
          <w:sz w:val="15"/>
          <w:szCs w:val="15"/>
          <w:highlight w:val="none"/>
        </w:rPr>
        <w:t xml:space="preserve">, et al. Transient vegetation degradation reinforced rapid climate change (RCC) events during the Holocene[J]. npj Climate and Atmospheric Science, 2023, 6: </w:t>
      </w:r>
      <w:r>
        <w:rPr>
          <w:rFonts w:hint="eastAsia" w:ascii="Times New Roman" w:hAnsi="Times New Roman" w:cs="Times New Roman"/>
          <w:color w:val="auto"/>
          <w:sz w:val="15"/>
          <w:szCs w:val="15"/>
          <w:highlight w:val="none"/>
        </w:rPr>
        <w:t>125</w:t>
      </w:r>
      <w:r>
        <w:rPr>
          <w:rFonts w:hint="eastAsia" w:ascii="Times New Roman" w:hAnsi="Times New Roman" w:cs="Times New Roman"/>
          <w:color w:val="auto"/>
          <w:sz w:val="15"/>
          <w:szCs w:val="15"/>
          <w:highlight w:val="none"/>
        </w:rPr>
        <w:t xml:space="preserve">. </w:t>
      </w:r>
    </w:p>
    <w:p w14:paraId="6D3025C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[92] CAO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Z</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WEI</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et al. Revegetation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mpacts on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oisture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ecycling and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recipitation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rends in the Chinese Loess Plateau[J]. Water Resources Research, 2024, 60(12): e2024WR038199. </w:t>
      </w:r>
    </w:p>
    <w:p w14:paraId="662BB4F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[93] DONG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H S</w:t>
      </w:r>
      <w:r>
        <w:rPr>
          <w:rFonts w:hint="eastAsia" w:ascii="Times New Roman" w:hAnsi="Times New Roman" w:cs="Times New Roman"/>
          <w:color w:val="auto"/>
          <w:sz w:val="15"/>
          <w:szCs w:val="15"/>
          <w:highlight w:val="none"/>
        </w:rPr>
        <w:t xml:space="preserve">, et al. Lag impacts of the anomalous July soil moisture over Southern China on the August rainfall over the Huang–Huai River Basin[J]. Climate Dynamics, </w:t>
      </w:r>
      <w:r>
        <w:rPr>
          <w:rFonts w:hint="eastAsia" w:ascii="Times New Roman" w:hAnsi="Times New Roman" w:cs="Times New Roman"/>
          <w:color w:val="auto"/>
          <w:sz w:val="15"/>
          <w:szCs w:val="15"/>
          <w:highlight w:val="none"/>
        </w:rPr>
        <w:t>2022</w:t>
      </w:r>
      <w:r>
        <w:rPr>
          <w:rFonts w:hint="eastAsia" w:ascii="Times New Roman" w:hAnsi="Times New Roman" w:cs="Times New Roman"/>
          <w:color w:val="auto"/>
          <w:sz w:val="15"/>
          <w:szCs w:val="15"/>
          <w:highlight w:val="none"/>
        </w:rPr>
        <w:t xml:space="preserve">, 58(5): 1737-1754. </w:t>
      </w:r>
    </w:p>
    <w:p w14:paraId="7682140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[94] HU </w:t>
      </w:r>
      <w:r>
        <w:rPr>
          <w:rFonts w:hint="eastAsia" w:ascii="Times New Roman" w:hAnsi="Times New Roman" w:cs="Times New Roman"/>
          <w:color w:val="auto"/>
          <w:sz w:val="15"/>
          <w:szCs w:val="15"/>
          <w:highlight w:val="none"/>
        </w:rPr>
        <w:t>G B</w:t>
      </w:r>
      <w:r>
        <w:rPr>
          <w:rFonts w:hint="eastAsia" w:ascii="Times New Roman" w:hAnsi="Times New Roman" w:cs="Times New Roman"/>
          <w:color w:val="auto"/>
          <w:sz w:val="15"/>
          <w:szCs w:val="15"/>
          <w:highlight w:val="none"/>
        </w:rPr>
        <w:t xml:space="preserve">, XU </w:t>
      </w:r>
      <w:r>
        <w:rPr>
          <w:rFonts w:hint="eastAsia" w:ascii="Times New Roman" w:hAnsi="Times New Roman" w:cs="Times New Roman"/>
          <w:color w:val="auto"/>
          <w:sz w:val="15"/>
          <w:szCs w:val="15"/>
          <w:highlight w:val="none"/>
        </w:rPr>
        <w:t>K</w:t>
      </w:r>
      <w:r>
        <w:rPr>
          <w:rFonts w:hint="eastAsia" w:ascii="Times New Roman" w:hAnsi="Times New Roman" w:cs="Times New Roman"/>
          <w:color w:val="auto"/>
          <w:sz w:val="15"/>
          <w:szCs w:val="15"/>
          <w:highlight w:val="none"/>
        </w:rPr>
        <w:t xml:space="preserve">, GE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et al. Diversity of the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rought–</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lood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brupt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lternation: Dynamic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rocesses during the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reflood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eason over South China[J]. Journal of Climate, 2025, 38(21): 6227-6243. </w:t>
      </w:r>
    </w:p>
    <w:p w14:paraId="49BDE98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[95] 王振雄. 珠江流域旱涝急转事件多源识别及其水质效应评估[D]. 广</w:t>
      </w:r>
      <w:r>
        <w:rPr>
          <w:rFonts w:hint="eastAsia" w:ascii="Times New Roman" w:hAnsi="Times New Roman" w:cs="Times New Roman"/>
          <w:color w:val="auto"/>
          <w:sz w:val="15"/>
          <w:szCs w:val="15"/>
          <w:highlight w:val="none"/>
        </w:rPr>
        <w:t>州</w:t>
      </w:r>
      <w:r>
        <w:rPr>
          <w:rFonts w:hint="eastAsia" w:ascii="Times New Roman" w:hAnsi="Times New Roman" w:cs="Times New Roman"/>
          <w:color w:val="auto"/>
          <w:sz w:val="15"/>
          <w:szCs w:val="15"/>
          <w:highlight w:val="none"/>
        </w:rPr>
        <w:t>: 广东工业大学, 2025.</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WANG </w:t>
      </w:r>
      <w:r>
        <w:rPr>
          <w:rFonts w:hint="eastAsia" w:ascii="Times New Roman" w:hAnsi="Times New Roman" w:cs="Times New Roman"/>
          <w:color w:val="auto"/>
          <w:sz w:val="15"/>
          <w:szCs w:val="15"/>
          <w:highlight w:val="none"/>
        </w:rPr>
        <w:t>Z X</w:t>
      </w:r>
      <w:r>
        <w:rPr>
          <w:rFonts w:hint="eastAsia" w:ascii="Times New Roman" w:hAnsi="Times New Roman" w:cs="Times New Roman"/>
          <w:color w:val="auto"/>
          <w:sz w:val="15"/>
          <w:szCs w:val="15"/>
          <w:highlight w:val="none"/>
        </w:rPr>
        <w:t xml:space="preserve">. Multi-source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dentification and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ater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uality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ffect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valuation of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rought-</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lood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brupt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lternation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vents in the Pearl River Basin[D]. </w:t>
      </w:r>
      <w:r>
        <w:rPr>
          <w:rFonts w:hint="eastAsia" w:ascii="Times New Roman" w:hAnsi="Times New Roman" w:cs="Times New Roman"/>
          <w:color w:val="auto"/>
          <w:sz w:val="15"/>
          <w:szCs w:val="15"/>
          <w:highlight w:val="none"/>
        </w:rPr>
        <w:t>Guangzhou</w:t>
      </w:r>
      <w:r>
        <w:rPr>
          <w:rFonts w:hint="eastAsia" w:ascii="Times New Roman" w:hAnsi="Times New Roman" w:cs="Times New Roman"/>
          <w:color w:val="auto"/>
          <w:sz w:val="15"/>
          <w:szCs w:val="15"/>
          <w:highlight w:val="none"/>
        </w:rPr>
        <w:t>: Guangdong University of Technology</w:t>
      </w:r>
      <w:r>
        <w:rPr>
          <w:rFonts w:hint="eastAsia" w:ascii="Times New Roman" w:hAnsi="Times New Roman" w:cs="Times New Roman"/>
          <w:color w:val="auto"/>
          <w:sz w:val="15"/>
          <w:szCs w:val="15"/>
          <w:highlight w:val="none"/>
        </w:rPr>
        <w:t xml:space="preserve">, 2025. </w:t>
      </w:r>
    </w:p>
    <w:bookmarkEnd w:id="53"/>
    <w:p w14:paraId="029CBB6D">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[96] LUO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S Z</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et al. Land-atmosphere and ocean–atmosphere couplings dominate the dynamics of agricultural drought predictability in the Loess Plateau, China[J]. Journal of Hydrology, 2024, 645: 132225. </w:t>
      </w:r>
    </w:p>
    <w:p w14:paraId="7874A6ED">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[97] KUO Y N, LEHNER F, SIMPSON I R, et al. Recent southwestern US drought exacerbated by anthropogenic aerosols and tropical ocean warming[J]. Nature Geoscience, 2025</w:t>
      </w:r>
      <w:r>
        <w:rPr>
          <w:rFonts w:hint="eastAsia" w:ascii="Times New Roman" w:hAnsi="Times New Roman" w:cs="Times New Roman"/>
          <w:color w:val="auto"/>
          <w:sz w:val="15"/>
          <w:szCs w:val="15"/>
          <w:highlight w:val="none"/>
        </w:rPr>
        <w:t>, 18(7)</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578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585</w:t>
      </w:r>
      <w:r>
        <w:rPr>
          <w:rFonts w:hint="eastAsia" w:ascii="Times New Roman" w:hAnsi="Times New Roman" w:cs="Times New Roman"/>
          <w:color w:val="auto"/>
          <w:sz w:val="15"/>
          <w:szCs w:val="15"/>
          <w:highlight w:val="none"/>
        </w:rPr>
        <w:t xml:space="preserve">. </w:t>
      </w:r>
    </w:p>
    <w:p w14:paraId="54DA821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[98] DING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xml:space="preserve">, LU </w:t>
      </w:r>
      <w:r>
        <w:rPr>
          <w:rFonts w:hint="eastAsia" w:ascii="Times New Roman" w:hAnsi="Times New Roman" w:cs="Times New Roman"/>
          <w:color w:val="auto"/>
          <w:sz w:val="15"/>
          <w:szCs w:val="15"/>
          <w:highlight w:val="none"/>
        </w:rPr>
        <w:t>Z H</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L L</w:t>
      </w:r>
      <w:r>
        <w:rPr>
          <w:rFonts w:hint="eastAsia" w:ascii="Times New Roman" w:hAnsi="Times New Roman" w:cs="Times New Roman"/>
          <w:color w:val="auto"/>
          <w:sz w:val="15"/>
          <w:szCs w:val="15"/>
          <w:highlight w:val="none"/>
        </w:rPr>
        <w:t xml:space="preserve">, et al. Evaluating the spatiotemporal dynamics of driving factors for multiple drought types in different climate regions of China[J]. Journal of Hydrology, 2024, 640: 131710. </w:t>
      </w:r>
    </w:p>
    <w:p w14:paraId="619C530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[99] FU </w:t>
      </w:r>
      <w:r>
        <w:rPr>
          <w:rFonts w:hint="eastAsia" w:ascii="Times New Roman" w:hAnsi="Times New Roman" w:cs="Times New Roman"/>
          <w:color w:val="auto"/>
          <w:sz w:val="15"/>
          <w:szCs w:val="15"/>
          <w:highlight w:val="none"/>
        </w:rPr>
        <w:t>X P</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D Q</w:t>
      </w:r>
      <w:r>
        <w:rPr>
          <w:rFonts w:hint="eastAsia" w:ascii="Times New Roman" w:hAnsi="Times New Roman" w:cs="Times New Roman"/>
          <w:color w:val="auto"/>
          <w:sz w:val="15"/>
          <w:szCs w:val="15"/>
          <w:highlight w:val="none"/>
        </w:rPr>
        <w:t xml:space="preserve">, et al. An XGBoost-SHAP framework for identifying key drivers of urban flooding and developing targeted mitigation strategies[J]. Ecological Indicators, 2025, 175: 113579. </w:t>
      </w:r>
    </w:p>
    <w:p w14:paraId="5FF4437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[100] ZHANG </w:t>
      </w:r>
      <w:r>
        <w:rPr>
          <w:rFonts w:hint="eastAsia" w:ascii="Times New Roman" w:hAnsi="Times New Roman" w:cs="Times New Roman"/>
          <w:color w:val="auto"/>
          <w:sz w:val="15"/>
          <w:szCs w:val="15"/>
          <w:highlight w:val="none"/>
        </w:rPr>
        <w:t>G X</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H M</w:t>
      </w:r>
      <w:r>
        <w:rPr>
          <w:rFonts w:hint="eastAsia" w:ascii="Times New Roman" w:hAnsi="Times New Roman" w:cs="Times New Roman"/>
          <w:color w:val="auto"/>
          <w:sz w:val="15"/>
          <w:szCs w:val="15"/>
          <w:highlight w:val="none"/>
        </w:rPr>
        <w:t xml:space="preserve">, GAN </w:t>
      </w:r>
      <w:r>
        <w:rPr>
          <w:rFonts w:hint="eastAsia" w:ascii="Times New Roman" w:hAnsi="Times New Roman" w:cs="Times New Roman"/>
          <w:color w:val="auto"/>
          <w:sz w:val="15"/>
          <w:szCs w:val="15"/>
          <w:highlight w:val="none"/>
        </w:rPr>
        <w:t>T Y</w:t>
      </w:r>
      <w:r>
        <w:rPr>
          <w:rFonts w:hint="eastAsia" w:ascii="Times New Roman" w:hAnsi="Times New Roman" w:cs="Times New Roman"/>
          <w:color w:val="auto"/>
          <w:sz w:val="15"/>
          <w:szCs w:val="15"/>
          <w:highlight w:val="none"/>
        </w:rPr>
        <w:t>, et al. A comprehensive review of recent progress on the drought-flood abrupt alternation[J]. Journal of Hydrology, 2025</w:t>
      </w:r>
      <w:r>
        <w:rPr>
          <w:rFonts w:hint="eastAsia" w:ascii="Times New Roman" w:hAnsi="Times New Roman" w:cs="Times New Roman"/>
          <w:color w:val="auto"/>
          <w:sz w:val="15"/>
          <w:szCs w:val="15"/>
          <w:highlight w:val="none"/>
        </w:rPr>
        <w:t>, 661</w:t>
      </w:r>
      <w:r>
        <w:rPr>
          <w:rFonts w:hint="eastAsia" w:ascii="Times New Roman" w:hAnsi="Times New Roman" w:cs="Times New Roman"/>
          <w:color w:val="auto"/>
          <w:sz w:val="15"/>
          <w:szCs w:val="15"/>
          <w:highlight w:val="none"/>
        </w:rPr>
        <w:t xml:space="preserve">: 133806. </w:t>
      </w:r>
    </w:p>
    <w:p w14:paraId="569A412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[101] CHEN </w:t>
      </w:r>
      <w:r>
        <w:rPr>
          <w:rFonts w:hint="eastAsia" w:ascii="Times New Roman" w:hAnsi="Times New Roman" w:cs="Times New Roman"/>
          <w:color w:val="auto"/>
          <w:sz w:val="15"/>
          <w:szCs w:val="15"/>
          <w:highlight w:val="none"/>
        </w:rPr>
        <w:t>Z Q</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X H</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et al. Global drought-flood abrupt alternation: </w:t>
      </w:r>
      <w:r>
        <w:rPr>
          <w:rFonts w:hint="eastAsia" w:ascii="Times New Roman" w:hAnsi="Times New Roman" w:cs="Times New Roman"/>
          <w:color w:val="auto"/>
          <w:sz w:val="15"/>
          <w:szCs w:val="15"/>
          <w:highlight w:val="none"/>
        </w:rPr>
        <w:t>Spatio-temporal</w:t>
      </w:r>
      <w:r>
        <w:rPr>
          <w:rFonts w:hint="eastAsia" w:ascii="Times New Roman" w:hAnsi="Times New Roman" w:cs="Times New Roman"/>
          <w:color w:val="auto"/>
          <w:sz w:val="15"/>
          <w:szCs w:val="15"/>
          <w:highlight w:val="none"/>
        </w:rPr>
        <w:t xml:space="preserve"> patterns, drivers, and projections[J]. The Innovation Geoscience, 2025: 100113. </w:t>
      </w:r>
    </w:p>
    <w:p w14:paraId="50CD9E7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[102] WANG </w:t>
      </w:r>
      <w:r>
        <w:rPr>
          <w:rFonts w:hint="eastAsia" w:ascii="Times New Roman" w:hAnsi="Times New Roman" w:cs="Times New Roman"/>
          <w:color w:val="auto"/>
          <w:sz w:val="15"/>
          <w:szCs w:val="15"/>
          <w:highlight w:val="none"/>
        </w:rPr>
        <w:t>M Y</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J Y</w:t>
      </w:r>
      <w:r>
        <w:rPr>
          <w:rFonts w:hint="eastAsia" w:ascii="Times New Roman" w:hAnsi="Times New Roman" w:cs="Times New Roman"/>
          <w:color w:val="auto"/>
          <w:sz w:val="15"/>
          <w:szCs w:val="15"/>
          <w:highlight w:val="none"/>
        </w:rPr>
        <w:t>, et al. Spatiotemporal evolution and driving force analysis of drought characteristics in the Yellow River Basin[J]. Ecological Indicators, 2025, 170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113007. </w:t>
      </w:r>
    </w:p>
    <w:p w14:paraId="5D826E3B">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[103] N</w:t>
      </w:r>
      <w:r>
        <w:rPr>
          <w:rFonts w:hint="eastAsia" w:ascii="Times New Roman" w:hAnsi="Times New Roman" w:cs="Times New Roman"/>
          <w:color w:val="auto"/>
          <w:sz w:val="15"/>
          <w:szCs w:val="15"/>
          <w:highlight w:val="none"/>
        </w:rPr>
        <w:t>AZERI</w:t>
      </w:r>
      <w:r>
        <w:rPr>
          <w:rFonts w:hint="eastAsia" w:ascii="Times New Roman" w:hAnsi="Times New Roman" w:cs="Times New Roman"/>
          <w:color w:val="auto"/>
          <w:sz w:val="15"/>
          <w:szCs w:val="15"/>
          <w:highlight w:val="none"/>
        </w:rPr>
        <w:t xml:space="preserve"> TAHROUDI M</w:t>
      </w:r>
      <w:r>
        <w:rPr>
          <w:rFonts w:hint="eastAsia" w:ascii="Times New Roman" w:hAnsi="Times New Roman" w:cs="Times New Roman"/>
          <w:color w:val="auto"/>
          <w:sz w:val="15"/>
          <w:szCs w:val="15"/>
          <w:highlight w:val="none"/>
        </w:rPr>
        <w:t xml:space="preserve">, RAMEZANI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DE</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MICHELE</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 et al. A </w:t>
      </w:r>
      <w:r>
        <w:rPr>
          <w:rFonts w:hint="eastAsia" w:ascii="Times New Roman" w:hAnsi="Times New Roman" w:cs="Times New Roman"/>
          <w:color w:val="auto"/>
          <w:sz w:val="15"/>
          <w:szCs w:val="15"/>
          <w:highlight w:val="none"/>
        </w:rPr>
        <w:t>n</w:t>
      </w:r>
      <w:r>
        <w:rPr>
          <w:rFonts w:hint="eastAsia" w:ascii="Times New Roman" w:hAnsi="Times New Roman" w:cs="Times New Roman"/>
          <w:color w:val="auto"/>
          <w:sz w:val="15"/>
          <w:szCs w:val="15"/>
          <w:highlight w:val="none"/>
        </w:rPr>
        <w:t xml:space="preserve">ew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ethod for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oint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requency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nalysis of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odified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recipitation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nomaly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ercentage and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treamflow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rought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ndex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ased on the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onditional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ensity of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opula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unctions[J]. Water Resources Management, 2020, 34(13): </w:t>
      </w:r>
      <w:r>
        <w:rPr>
          <w:rFonts w:hint="eastAsia" w:ascii="Times New Roman" w:hAnsi="Times New Roman" w:cs="Times New Roman"/>
          <w:color w:val="auto"/>
          <w:sz w:val="15"/>
          <w:szCs w:val="15"/>
          <w:highlight w:val="none"/>
        </w:rPr>
        <w:t>4217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4231</w:t>
      </w:r>
      <w:r>
        <w:rPr>
          <w:rFonts w:hint="eastAsia" w:ascii="Times New Roman" w:hAnsi="Times New Roman" w:cs="Times New Roman"/>
          <w:color w:val="auto"/>
          <w:sz w:val="15"/>
          <w:szCs w:val="15"/>
          <w:highlight w:val="none"/>
        </w:rPr>
        <w:t xml:space="preserve">. </w:t>
      </w:r>
    </w:p>
    <w:p w14:paraId="6A25298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[104] SINGH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 MISHRA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K</w:t>
      </w:r>
      <w:r>
        <w:rPr>
          <w:rFonts w:hint="eastAsia" w:ascii="Times New Roman" w:hAnsi="Times New Roman" w:cs="Times New Roman"/>
          <w:color w:val="auto"/>
          <w:sz w:val="15"/>
          <w:szCs w:val="15"/>
          <w:highlight w:val="none"/>
        </w:rPr>
        <w:t xml:space="preserve">, SURYAVANSHI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et al. A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omparison of the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requency and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ntensity of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tandardized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recipitation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ndex (SPI) and the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ainfall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nomaly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ndex (RAI) during the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eteorological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rought across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arohar-</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unpun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asin (India)[J]. International Journal of Environment and Climate Change, 2024, 14(6): 36-47. </w:t>
      </w:r>
    </w:p>
    <w:p w14:paraId="2432ED7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[105] 路洁, 许澍, 秦天玲, 等. 青藏高原干旱与洪涝事件演变及应对关键问题[J]. 中国科学: 地球科学, 2023,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(11)</w:t>
      </w:r>
      <w:r>
        <w:rPr>
          <w:rFonts w:hint="eastAsia" w:ascii="Times New Roman" w:hAnsi="Times New Roman" w:cs="Times New Roman"/>
          <w:color w:val="auto"/>
          <w:sz w:val="15"/>
          <w:szCs w:val="15"/>
          <w:highlight w:val="none"/>
        </w:rPr>
        <w:t>: 2560-2574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LU J</w:t>
      </w:r>
      <w:r>
        <w:rPr>
          <w:rFonts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XU S</w:t>
      </w:r>
      <w:r>
        <w:rPr>
          <w:rFonts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QIN T</w:t>
      </w:r>
      <w:r>
        <w:rPr>
          <w:rFonts w:ascii="Times New Roman" w:hAnsi="Times New Roman" w:cs="Times New Roman"/>
          <w:color w:val="auto"/>
          <w:sz w:val="15"/>
          <w:szCs w:val="15"/>
          <w:highlight w:val="none"/>
        </w:rPr>
        <w:t xml:space="preserve"> L, </w:t>
      </w:r>
      <w:r>
        <w:rPr>
          <w:rFonts w:hint="eastAsia" w:ascii="Times New Roman" w:hAnsi="Times New Roman" w:cs="Times New Roman"/>
          <w:color w:val="auto"/>
          <w:sz w:val="15"/>
          <w:szCs w:val="15"/>
          <w:highlight w:val="none"/>
        </w:rPr>
        <w:t xml:space="preserve">et al. Evolution of drought and flood events on the Qinghai-Tibet Plateau and key issues for response[J]. Scientia Sinica (Terrae), 2023,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(11)</w:t>
      </w:r>
      <w:r>
        <w:rPr>
          <w:rFonts w:hint="eastAsia" w:ascii="Times New Roman" w:hAnsi="Times New Roman" w:cs="Times New Roman"/>
          <w:color w:val="auto"/>
          <w:sz w:val="15"/>
          <w:szCs w:val="15"/>
          <w:highlight w:val="none"/>
        </w:rPr>
        <w:t>: 2560-2574</w:t>
      </w:r>
      <w:r>
        <w:rPr>
          <w:rFonts w:hint="eastAsia" w:ascii="Times New Roman" w:hAnsi="Times New Roman" w:cs="Times New Roman"/>
          <w:color w:val="auto"/>
          <w:sz w:val="15"/>
          <w:szCs w:val="15"/>
          <w:highlight w:val="none"/>
        </w:rPr>
        <w:t xml:space="preserve">. </w:t>
      </w:r>
    </w:p>
    <w:p w14:paraId="7F4D8B5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[106] PRAJAPATI V K, KHANNA M, SINGH M, et al. Evaluation of time scale of meteorological, hydrological and agricultural drought indices[J]. Natural Hazards, 2021, 109(</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89-109. </w:t>
      </w:r>
    </w:p>
    <w:p w14:paraId="01BD011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[107] 姜浩, 张寒博, 刘诚斌, 等. 基于温度-降水-植被综合干旱指数的长江流域干旱时空动态监测[J]. 农业机械学报, 2025, 56(</w:t>
      </w:r>
      <w:r>
        <w:rPr>
          <w:rFonts w:hint="eastAsia"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 95-106.</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JIANG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H B</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C B</w:t>
      </w:r>
      <w:r>
        <w:rPr>
          <w:rFonts w:hint="eastAsia" w:ascii="Times New Roman" w:hAnsi="Times New Roman" w:cs="Times New Roman"/>
          <w:color w:val="auto"/>
          <w:sz w:val="15"/>
          <w:szCs w:val="15"/>
          <w:highlight w:val="none"/>
        </w:rPr>
        <w:t xml:space="preserve">, et al. Spatiotemporal dynamics monitoring of drought in Yangtze River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asin using temperature-precipitation-vegetation integrated dryness index(TPVDI)[J]. Transactions of the Chinese Society for Agricultural Machinery, 2025, 56(</w:t>
      </w:r>
      <w:r>
        <w:rPr>
          <w:rFonts w:hint="eastAsia"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 xml:space="preserve">): 95-106. </w:t>
      </w:r>
    </w:p>
    <w:p w14:paraId="75D07D8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[108] WANG </w:t>
      </w:r>
      <w:r>
        <w:rPr>
          <w:rFonts w:hint="eastAsia" w:ascii="Times New Roman" w:hAnsi="Times New Roman" w:cs="Times New Roman"/>
          <w:color w:val="auto"/>
          <w:sz w:val="15"/>
          <w:szCs w:val="15"/>
          <w:highlight w:val="none"/>
        </w:rPr>
        <w:t>W S</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H B</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S Z</w:t>
      </w:r>
      <w:r>
        <w:rPr>
          <w:rFonts w:hint="eastAsia" w:ascii="Times New Roman" w:hAnsi="Times New Roman" w:cs="Times New Roman"/>
          <w:color w:val="auto"/>
          <w:sz w:val="15"/>
          <w:szCs w:val="15"/>
          <w:highlight w:val="none"/>
        </w:rPr>
        <w:t xml:space="preserve">, et al. Trivariate copula functions for constructing a comprehensive atmosphere-land surface-hydrology drought index: A case study in the Yellow River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asin[J]. Journal of Hydrology, 2024, 642: 131784. </w:t>
      </w:r>
    </w:p>
    <w:p w14:paraId="42BEB0A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[109] LI </w:t>
      </w:r>
      <w:r>
        <w:rPr>
          <w:rFonts w:hint="eastAsia" w:ascii="Times New Roman" w:hAnsi="Times New Roman" w:cs="Times New Roman"/>
          <w:color w:val="auto"/>
          <w:sz w:val="15"/>
          <w:szCs w:val="15"/>
          <w:highlight w:val="none"/>
        </w:rPr>
        <w:t>Z Y</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S Z</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Y M</w:t>
      </w:r>
      <w:r>
        <w:rPr>
          <w:rFonts w:hint="eastAsia" w:ascii="Times New Roman" w:hAnsi="Times New Roman" w:cs="Times New Roman"/>
          <w:color w:val="auto"/>
          <w:sz w:val="15"/>
          <w:szCs w:val="15"/>
          <w:highlight w:val="none"/>
        </w:rPr>
        <w:t xml:space="preserve">, et al. A process-oriented framework to decipher drought propagation dynamics from meteorological to ecological, agricultural, hydrological, and socioeconomic drought in the Yellow River Basin[J]. Ecological Indicators, 2026, 182: 114574. </w:t>
      </w:r>
    </w:p>
    <w:p w14:paraId="13636D2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[110] 薛晓萌, 李红旮, 黄晓霞, 等. 基于高分遥感的城市内涝数值仿真与风险评价研究[J]. 遥感技术与应用, 2024, 39(</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971-986.</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XUE </w:t>
      </w:r>
      <w:r>
        <w:rPr>
          <w:rFonts w:hint="eastAsia" w:ascii="Times New Roman" w:hAnsi="Times New Roman" w:cs="Times New Roman"/>
          <w:color w:val="auto"/>
          <w:sz w:val="15"/>
          <w:szCs w:val="15"/>
          <w:highlight w:val="none"/>
        </w:rPr>
        <w:t>X M</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H G</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X X</w:t>
      </w:r>
      <w:r>
        <w:rPr>
          <w:rFonts w:hint="eastAsia" w:ascii="Times New Roman" w:hAnsi="Times New Roman" w:cs="Times New Roman"/>
          <w:color w:val="auto"/>
          <w:sz w:val="15"/>
          <w:szCs w:val="15"/>
          <w:highlight w:val="none"/>
        </w:rPr>
        <w:t>, et al. Numerical simulation and risk evaluation of urban flooding based on high-resolution remote sensing[J]. Remote Sensing Technology and Application, 2024, 39(</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971-986. </w:t>
      </w:r>
    </w:p>
    <w:p w14:paraId="413F157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[111] ZHANG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SUN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Z</w:t>
      </w:r>
      <w:r>
        <w:rPr>
          <w:rFonts w:hint="eastAsia" w:ascii="Times New Roman" w:hAnsi="Times New Roman" w:cs="Times New Roman"/>
          <w:color w:val="auto"/>
          <w:sz w:val="15"/>
          <w:szCs w:val="15"/>
          <w:highlight w:val="none"/>
        </w:rPr>
        <w:t xml:space="preserve">. Multiscale spatiotemporal meteorological drought prediction: A deep learning approach[J]. Advances in Climate Change Research, 2024, 15(2): 211-221. </w:t>
      </w:r>
    </w:p>
    <w:p w14:paraId="0D60D63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[112] MEI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H</w:t>
      </w:r>
      <w:r>
        <w:rPr>
          <w:rFonts w:hint="eastAsia" w:ascii="Times New Roman" w:hAnsi="Times New Roman" w:cs="Times New Roman"/>
          <w:color w:val="auto"/>
          <w:sz w:val="15"/>
          <w:szCs w:val="15"/>
          <w:highlight w:val="none"/>
        </w:rPr>
        <w:t>AN</w:t>
      </w:r>
      <w:r>
        <w:rPr>
          <w:rFonts w:hint="eastAsia" w:ascii="Times New Roman" w:hAnsi="Times New Roman" w:cs="Times New Roman"/>
          <w:color w:val="auto"/>
          <w:sz w:val="15"/>
          <w:szCs w:val="15"/>
          <w:highlight w:val="none"/>
        </w:rPr>
        <w:t xml:space="preserve"> A R</w:t>
      </w:r>
      <w:r>
        <w:rPr>
          <w:rFonts w:hint="eastAsia" w:ascii="Times New Roman" w:hAnsi="Times New Roman" w:cs="Times New Roman"/>
          <w:color w:val="auto"/>
          <w:sz w:val="15"/>
          <w:szCs w:val="15"/>
          <w:highlight w:val="none"/>
        </w:rPr>
        <w:t xml:space="preserve">, TONG </w:t>
      </w:r>
      <w:r>
        <w:rPr>
          <w:rFonts w:hint="eastAsia" w:ascii="Times New Roman" w:hAnsi="Times New Roman" w:cs="Times New Roman"/>
          <w:color w:val="auto"/>
          <w:sz w:val="15"/>
          <w:szCs w:val="15"/>
          <w:highlight w:val="none"/>
        </w:rPr>
        <w:t>S Q</w:t>
      </w:r>
      <w:r>
        <w:rPr>
          <w:rFonts w:hint="eastAsia" w:ascii="Times New Roman" w:hAnsi="Times New Roman" w:cs="Times New Roman"/>
          <w:color w:val="auto"/>
          <w:sz w:val="15"/>
          <w:szCs w:val="15"/>
          <w:highlight w:val="none"/>
        </w:rPr>
        <w:t>, et al. Study on the propagation processes and driving mechanisms of meteorological, hydrological, and agricultural droughts on the Mongolian Plateau[J]. Journal of Hydrology, 2025, 660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133511. </w:t>
      </w:r>
    </w:p>
    <w:p w14:paraId="4D231E0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 xml:space="preserve">[113] YOU </w:t>
      </w:r>
      <w:r>
        <w:rPr>
          <w:rFonts w:hint="eastAsia" w:ascii="Times New Roman" w:hAnsi="Times New Roman" w:cs="Times New Roman"/>
          <w:color w:val="auto"/>
          <w:sz w:val="15"/>
          <w:szCs w:val="15"/>
          <w:highlight w:val="none"/>
        </w:rPr>
        <w:t>Z W</w:t>
      </w:r>
      <w:r>
        <w:rPr>
          <w:rFonts w:hint="eastAsia" w:ascii="Times New Roman" w:hAnsi="Times New Roman" w:cs="Times New Roman"/>
          <w:color w:val="auto"/>
          <w:sz w:val="15"/>
          <w:szCs w:val="15"/>
          <w:highlight w:val="none"/>
        </w:rPr>
        <w:t xml:space="preserve">, SUN </w:t>
      </w:r>
      <w:r>
        <w:rPr>
          <w:rFonts w:hint="eastAsia" w:ascii="Times New Roman" w:hAnsi="Times New Roman" w:cs="Times New Roman"/>
          <w:color w:val="auto"/>
          <w:sz w:val="15"/>
          <w:szCs w:val="15"/>
          <w:highlight w:val="none"/>
        </w:rPr>
        <w:t>X L</w:t>
      </w:r>
      <w:r>
        <w:rPr>
          <w:rFonts w:hint="eastAsia" w:ascii="Times New Roman" w:hAnsi="Times New Roman" w:cs="Times New Roman"/>
          <w:color w:val="auto"/>
          <w:sz w:val="15"/>
          <w:szCs w:val="15"/>
          <w:highlight w:val="none"/>
        </w:rPr>
        <w:t xml:space="preserve">, SUN </w:t>
      </w:r>
      <w:r>
        <w:rPr>
          <w:rFonts w:hint="eastAsia" w:ascii="Times New Roman" w:hAnsi="Times New Roman" w:cs="Times New Roman"/>
          <w:color w:val="auto"/>
          <w:sz w:val="15"/>
          <w:szCs w:val="15"/>
          <w:highlight w:val="none"/>
        </w:rPr>
        <w:t>H W</w:t>
      </w:r>
      <w:r>
        <w:rPr>
          <w:rFonts w:hint="eastAsia" w:ascii="Times New Roman" w:hAnsi="Times New Roman" w:cs="Times New Roman"/>
          <w:color w:val="auto"/>
          <w:sz w:val="15"/>
          <w:szCs w:val="15"/>
          <w:highlight w:val="none"/>
        </w:rPr>
        <w:t xml:space="preserve">, et al. Mechanisms of meteorological drought propagation to agricultural drought in China: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nsights from causality chain[J]. npj Natural Hazards, 2025, 2: 24. </w:t>
      </w:r>
    </w:p>
    <w:p w14:paraId="5DB143B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[11</w:t>
      </w:r>
      <w:r>
        <w:rPr>
          <w:rFonts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宋艳玲. 全球干旱指数研究进展[J]. 应用气象学报, 2022, 33(</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513-526.</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SONG </w:t>
      </w:r>
      <w:r>
        <w:rPr>
          <w:rFonts w:hint="eastAsia" w:ascii="Times New Roman" w:hAnsi="Times New Roman" w:cs="Times New Roman"/>
          <w:color w:val="auto"/>
          <w:sz w:val="15"/>
          <w:szCs w:val="15"/>
          <w:highlight w:val="none"/>
        </w:rPr>
        <w:t>Y L</w:t>
      </w:r>
      <w:r>
        <w:rPr>
          <w:rFonts w:hint="eastAsia" w:ascii="Times New Roman" w:hAnsi="Times New Roman" w:cs="Times New Roman"/>
          <w:color w:val="auto"/>
          <w:sz w:val="15"/>
          <w:szCs w:val="15"/>
          <w:highlight w:val="none"/>
        </w:rPr>
        <w:t>. Global research progress of drought indices[J]. Journal of Applied Meteorological Science, 2022, 33(</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513-526. </w:t>
      </w:r>
    </w:p>
    <w:p w14:paraId="0C6A347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[11</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张俊, 陈桂亚, 杨文发. 国内外干旱研究进展综述[J]. 人民长江, 2011, 42(10): 65-69.</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G Y</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W F</w:t>
      </w:r>
      <w:r>
        <w:rPr>
          <w:rFonts w:hint="eastAsia" w:ascii="Times New Roman" w:hAnsi="Times New Roman" w:cs="Times New Roman"/>
          <w:color w:val="auto"/>
          <w:sz w:val="15"/>
          <w:szCs w:val="15"/>
          <w:highlight w:val="none"/>
        </w:rPr>
        <w:t xml:space="preserve">. Summary of advancement of drought study at home and abroad[J]. Yangtze River, 2011, 42(10): 65-69. </w:t>
      </w:r>
    </w:p>
    <w:p w14:paraId="09CB1F6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[11</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江笑薇, 白建军, 刘宪峰. 基于多源信息的综合干旱监测研究进展与展望[J]</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地球科学进展, 2019, 34(3): 275-287.</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JIANG </w:t>
      </w:r>
      <w:r>
        <w:rPr>
          <w:rFonts w:hint="eastAsia" w:ascii="Times New Roman" w:hAnsi="Times New Roman" w:cs="Times New Roman"/>
          <w:color w:val="auto"/>
          <w:sz w:val="15"/>
          <w:szCs w:val="15"/>
          <w:highlight w:val="none"/>
        </w:rPr>
        <w:t>X W</w:t>
      </w:r>
      <w:r>
        <w:rPr>
          <w:rFonts w:hint="eastAsia" w:ascii="Times New Roman" w:hAnsi="Times New Roman" w:cs="Times New Roman"/>
          <w:color w:val="auto"/>
          <w:sz w:val="15"/>
          <w:szCs w:val="15"/>
          <w:highlight w:val="none"/>
        </w:rPr>
        <w:t xml:space="preserve">, BAI </w:t>
      </w:r>
      <w:r>
        <w:rPr>
          <w:rFonts w:hint="eastAsia" w:ascii="Times New Roman" w:hAnsi="Times New Roman" w:cs="Times New Roman"/>
          <w:color w:val="auto"/>
          <w:sz w:val="15"/>
          <w:szCs w:val="15"/>
          <w:highlight w:val="none"/>
        </w:rPr>
        <w:t>J J</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X F</w:t>
      </w:r>
      <w:r>
        <w:rPr>
          <w:rFonts w:hint="eastAsia" w:ascii="Times New Roman" w:hAnsi="Times New Roman" w:cs="Times New Roman"/>
          <w:color w:val="auto"/>
          <w:sz w:val="15"/>
          <w:szCs w:val="15"/>
          <w:highlight w:val="none"/>
        </w:rPr>
        <w:t>. Research progress and prospect of integrated drought monitoring based on multi-source information[J]</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Advances in Earth Science, 2019, 34(3): 275-287. </w:t>
      </w:r>
    </w:p>
    <w:p w14:paraId="64762EB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[11</w:t>
      </w:r>
      <w:r>
        <w:rPr>
          <w:rFonts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 xml:space="preserve">] 贺新月, 曾献奎, 王栋. 融合极值分布与MCMC的降水极值模拟研究[J]. 水力发电学报, 2020, </w:t>
      </w:r>
      <w:r>
        <w:rPr>
          <w:rFonts w:hint="eastAsia" w:ascii="Times New Roman" w:hAnsi="Times New Roman" w:cs="Times New Roman"/>
          <w:color w:val="auto"/>
          <w:sz w:val="15"/>
          <w:szCs w:val="15"/>
          <w:highlight w:val="none"/>
        </w:rPr>
        <w:t>39</w:t>
      </w:r>
      <w:r>
        <w:rPr>
          <w:rFonts w:hint="eastAsia" w:ascii="Times New Roman" w:hAnsi="Times New Roman" w:cs="Times New Roman"/>
          <w:color w:val="auto"/>
          <w:sz w:val="15"/>
          <w:szCs w:val="15"/>
          <w:highlight w:val="none"/>
        </w:rPr>
        <w:t>(11)</w:t>
      </w:r>
      <w:r>
        <w:rPr>
          <w:rFonts w:hint="eastAsia" w:ascii="Times New Roman" w:hAnsi="Times New Roman" w:cs="Times New Roman"/>
          <w:color w:val="auto"/>
          <w:sz w:val="15"/>
          <w:szCs w:val="15"/>
          <w:highlight w:val="none"/>
        </w:rPr>
        <w:t>: 49-58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HE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ZENG </w:t>
      </w:r>
      <w:r>
        <w:rPr>
          <w:rFonts w:hint="eastAsia" w:ascii="Times New Roman" w:hAnsi="Times New Roman" w:cs="Times New Roman"/>
          <w:color w:val="auto"/>
          <w:sz w:val="15"/>
          <w:szCs w:val="15"/>
          <w:highlight w:val="none"/>
        </w:rPr>
        <w:t>X K</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 Simulations of extreme precipitations based on extreme distributions and MCMC method[J]. Journal of Hydroelectric Engineering, 2020, </w:t>
      </w:r>
      <w:r>
        <w:rPr>
          <w:rFonts w:hint="eastAsia" w:ascii="Times New Roman" w:hAnsi="Times New Roman" w:cs="Times New Roman"/>
          <w:color w:val="auto"/>
          <w:sz w:val="15"/>
          <w:szCs w:val="15"/>
          <w:highlight w:val="none"/>
        </w:rPr>
        <w:t>39</w:t>
      </w:r>
      <w:r>
        <w:rPr>
          <w:rFonts w:hint="eastAsia" w:ascii="Times New Roman" w:hAnsi="Times New Roman" w:cs="Times New Roman"/>
          <w:color w:val="auto"/>
          <w:sz w:val="15"/>
          <w:szCs w:val="15"/>
          <w:highlight w:val="none"/>
        </w:rPr>
        <w:t>(11)</w:t>
      </w:r>
      <w:r>
        <w:rPr>
          <w:rFonts w:hint="eastAsia" w:ascii="Times New Roman" w:hAnsi="Times New Roman" w:cs="Times New Roman"/>
          <w:color w:val="auto"/>
          <w:sz w:val="15"/>
          <w:szCs w:val="15"/>
          <w:highlight w:val="none"/>
        </w:rPr>
        <w:t>: 49-58</w:t>
      </w:r>
      <w:r>
        <w:rPr>
          <w:rFonts w:hint="eastAsia" w:ascii="Times New Roman" w:hAnsi="Times New Roman" w:cs="Times New Roman"/>
          <w:color w:val="auto"/>
          <w:sz w:val="15"/>
          <w:szCs w:val="15"/>
          <w:highlight w:val="none"/>
        </w:rPr>
        <w:t xml:space="preserve">. </w:t>
      </w:r>
    </w:p>
    <w:p w14:paraId="4A716C7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[11</w:t>
      </w:r>
      <w:r>
        <w:rPr>
          <w:rFonts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 xml:space="preserve">] DU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ZENG </w:t>
      </w:r>
      <w:r>
        <w:rPr>
          <w:rFonts w:hint="eastAsia" w:ascii="Times New Roman" w:hAnsi="Times New Roman" w:cs="Times New Roman"/>
          <w:color w:val="auto"/>
          <w:sz w:val="15"/>
          <w:szCs w:val="15"/>
          <w:highlight w:val="none"/>
        </w:rPr>
        <w:t>S D</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Y T</w:t>
      </w:r>
      <w:r>
        <w:rPr>
          <w:rFonts w:hint="eastAsia" w:ascii="Times New Roman" w:hAnsi="Times New Roman" w:cs="Times New Roman"/>
          <w:color w:val="auto"/>
          <w:sz w:val="15"/>
          <w:szCs w:val="15"/>
          <w:highlight w:val="none"/>
        </w:rPr>
        <w:t>, et al. Climate change will lead to different over-threshold flood risks patterns of the riverside cities in the Yangtze River Basin[J]. Journal of Hydrology, 2025</w:t>
      </w:r>
      <w:r>
        <w:rPr>
          <w:rFonts w:hint="eastAsia" w:ascii="Times New Roman" w:hAnsi="Times New Roman" w:cs="Times New Roman"/>
          <w:color w:val="auto"/>
          <w:sz w:val="15"/>
          <w:szCs w:val="15"/>
          <w:highlight w:val="none"/>
        </w:rPr>
        <w:t>, 661</w:t>
      </w:r>
      <w:r>
        <w:rPr>
          <w:rFonts w:hint="eastAsia" w:ascii="Times New Roman" w:hAnsi="Times New Roman" w:cs="Times New Roman"/>
          <w:color w:val="auto"/>
          <w:sz w:val="15"/>
          <w:szCs w:val="15"/>
          <w:highlight w:val="none"/>
        </w:rPr>
        <w:t xml:space="preserve">: 133664. </w:t>
      </w:r>
    </w:p>
    <w:p w14:paraId="3F0378CA">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19</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Y H</w:t>
      </w:r>
      <w:r>
        <w:rPr>
          <w:rFonts w:hint="eastAsia" w:ascii="Times New Roman" w:hAnsi="Times New Roman" w:cs="Times New Roman"/>
          <w:color w:val="auto"/>
          <w:sz w:val="15"/>
          <w:szCs w:val="15"/>
          <w:highlight w:val="none"/>
        </w:rPr>
        <w:t xml:space="preserve">. An urban system perspective on urban flood resilience using SEM: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vidence from Nanjing city, China[J]. Natural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azards, 2021, 109(3): 2575-2599. </w:t>
      </w:r>
    </w:p>
    <w:p w14:paraId="2358E53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0</w:t>
      </w:r>
      <w:r>
        <w:rPr>
          <w:rFonts w:hint="eastAsia" w:ascii="Times New Roman" w:hAnsi="Times New Roman" w:cs="Times New Roman"/>
          <w:color w:val="auto"/>
          <w:sz w:val="15"/>
          <w:szCs w:val="15"/>
          <w:highlight w:val="none"/>
        </w:rPr>
        <w:t xml:space="preserve">] MENG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LIN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 DING </w:t>
      </w:r>
      <w:r>
        <w:rPr>
          <w:rFonts w:hint="eastAsia" w:ascii="Times New Roman" w:hAnsi="Times New Roman" w:cs="Times New Roman"/>
          <w:color w:val="auto"/>
          <w:sz w:val="15"/>
          <w:szCs w:val="15"/>
          <w:highlight w:val="none"/>
        </w:rPr>
        <w:t>J L</w:t>
      </w:r>
      <w:r>
        <w:rPr>
          <w:rFonts w:hint="eastAsia" w:ascii="Times New Roman" w:hAnsi="Times New Roman" w:cs="Times New Roman"/>
          <w:color w:val="auto"/>
          <w:sz w:val="15"/>
          <w:szCs w:val="15"/>
          <w:highlight w:val="none"/>
        </w:rPr>
        <w:t xml:space="preserve">, et al. Spatiotemporal evolution of droughts and floods in the Yellow River Basin: A novel approach combining CMADS-L evaluation, hydroclimatic zonation and CNN-LSTM prediction[J]. Journal of Hydrology: Regional Studies, 2025, 58: 102250. </w:t>
      </w:r>
    </w:p>
    <w:p w14:paraId="7783C74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FENG </w:t>
      </w:r>
      <w:r>
        <w:rPr>
          <w:rFonts w:hint="eastAsia" w:ascii="Times New Roman" w:hAnsi="Times New Roman" w:cs="Times New Roman"/>
          <w:color w:val="auto"/>
          <w:sz w:val="15"/>
          <w:szCs w:val="15"/>
          <w:highlight w:val="none"/>
        </w:rPr>
        <w:t>J M</w:t>
      </w:r>
      <w:r>
        <w:rPr>
          <w:rFonts w:hint="eastAsia" w:ascii="Times New Roman" w:hAnsi="Times New Roman" w:cs="Times New Roman"/>
          <w:color w:val="auto"/>
          <w:sz w:val="15"/>
          <w:szCs w:val="15"/>
          <w:highlight w:val="none"/>
        </w:rPr>
        <w:t xml:space="preserve">, QIN </w:t>
      </w:r>
      <w:r>
        <w:rPr>
          <w:rFonts w:hint="eastAsia" w:ascii="Times New Roman" w:hAnsi="Times New Roman" w:cs="Times New Roman"/>
          <w:color w:val="auto"/>
          <w:sz w:val="15"/>
          <w:szCs w:val="15"/>
          <w:highlight w:val="none"/>
        </w:rPr>
        <w:t>T L</w:t>
      </w:r>
      <w:r>
        <w:rPr>
          <w:rFonts w:hint="eastAsia" w:ascii="Times New Roman" w:hAnsi="Times New Roman" w:cs="Times New Roman"/>
          <w:color w:val="auto"/>
          <w:sz w:val="15"/>
          <w:szCs w:val="15"/>
          <w:highlight w:val="none"/>
        </w:rPr>
        <w:t xml:space="preserve">, LV </w:t>
      </w:r>
      <w:r>
        <w:rPr>
          <w:rFonts w:hint="eastAsia" w:ascii="Times New Roman" w:hAnsi="Times New Roman" w:cs="Times New Roman"/>
          <w:color w:val="auto"/>
          <w:sz w:val="15"/>
          <w:szCs w:val="15"/>
          <w:highlight w:val="none"/>
        </w:rPr>
        <w:t>X Z</w:t>
      </w:r>
      <w:r>
        <w:rPr>
          <w:rFonts w:hint="eastAsia" w:ascii="Times New Roman" w:hAnsi="Times New Roman" w:cs="Times New Roman"/>
          <w:color w:val="auto"/>
          <w:sz w:val="15"/>
          <w:szCs w:val="15"/>
          <w:highlight w:val="none"/>
        </w:rPr>
        <w:t xml:space="preserve">, et al. Frequent drought and flood events in the Yellow River Basin, increasing future drought trends in the middle and upper reaches[J]. International Journal of Applied Earth Observation and Geoinformation, 2025, 139: 104511. </w:t>
      </w:r>
    </w:p>
    <w:p w14:paraId="27D454FA">
      <w:pPr>
        <w:pStyle w:val="41"/>
        <w:ind w:firstLine="0"/>
        <w:rPr>
          <w:rFonts w:ascii="Times New Roman" w:hAnsi="Times New Roman" w:cs="Times New Roman"/>
          <w:color w:val="auto"/>
          <w:sz w:val="15"/>
          <w:szCs w:val="15"/>
          <w:highlight w:val="none"/>
        </w:rPr>
      </w:pPr>
      <w:bookmarkStart w:id="54" w:name="_Ref216357694"/>
      <w:r>
        <w:rPr>
          <w:rFonts w:ascii="Times New Roman" w:hAnsi="Times New Roman" w:cs="Times New Roman"/>
          <w:color w:val="auto"/>
          <w:sz w:val="15"/>
          <w:szCs w:val="15"/>
          <w:highlight w:val="none"/>
        </w:rPr>
        <w:t>[122] TANG Y</w:t>
      </w:r>
      <w:r>
        <w:rPr>
          <w:rFonts w:hint="eastAsia" w:ascii="Times New Roman" w:hAnsi="Times New Roman" w:cs="Times New Roman"/>
          <w:color w:val="auto"/>
          <w:sz w:val="15"/>
          <w:szCs w:val="15"/>
          <w:highlight w:val="none"/>
        </w:rPr>
        <w:t xml:space="preserve"> J</w:t>
      </w:r>
      <w:r>
        <w:rPr>
          <w:rFonts w:ascii="Times New Roman" w:hAnsi="Times New Roman" w:cs="Times New Roman"/>
          <w:color w:val="auto"/>
          <w:sz w:val="15"/>
          <w:szCs w:val="15"/>
          <w:highlight w:val="none"/>
        </w:rPr>
        <w:t>, ZHANG Y</w:t>
      </w:r>
      <w:r>
        <w:rPr>
          <w:rFonts w:hint="eastAsia" w:ascii="Times New Roman" w:hAnsi="Times New Roman" w:cs="Times New Roman"/>
          <w:color w:val="auto"/>
          <w:sz w:val="15"/>
          <w:szCs w:val="15"/>
          <w:highlight w:val="none"/>
        </w:rPr>
        <w:t xml:space="preserve"> J</w:t>
      </w:r>
      <w:r>
        <w:rPr>
          <w:rFonts w:ascii="Times New Roman" w:hAnsi="Times New Roman" w:cs="Times New Roman"/>
          <w:color w:val="auto"/>
          <w:sz w:val="15"/>
          <w:szCs w:val="15"/>
          <w:highlight w:val="none"/>
        </w:rPr>
        <w:t>, ZHANG G, et al. Study on the operation process of Dongdian Flood Detention and Storage Area in Haihe River Basin based on multi‐source remote sensing images[J]. Engineering Journal of Wuhan University, 2025,58(5):782-791.</w:t>
      </w:r>
      <w:bookmarkEnd w:id="54"/>
    </w:p>
    <w:p w14:paraId="2184837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孟令奎. 遥感技术在洪涝灾害防御中的前沿应用与面临挑战[J]. 中国水利, 2024(11): 26-32.</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MENG </w:t>
      </w:r>
      <w:r>
        <w:rPr>
          <w:rFonts w:hint="eastAsia" w:ascii="Times New Roman" w:hAnsi="Times New Roman" w:cs="Times New Roman"/>
          <w:color w:val="auto"/>
          <w:sz w:val="15"/>
          <w:szCs w:val="15"/>
          <w:highlight w:val="none"/>
        </w:rPr>
        <w:t>L K</w:t>
      </w:r>
      <w:r>
        <w:rPr>
          <w:rFonts w:hint="eastAsia" w:ascii="Times New Roman" w:hAnsi="Times New Roman" w:cs="Times New Roman"/>
          <w:color w:val="auto"/>
          <w:sz w:val="15"/>
          <w:szCs w:val="15"/>
          <w:highlight w:val="none"/>
        </w:rPr>
        <w:t xml:space="preserve">. Frontier applications and challenges of remote sensing technology in flood disaster prevention[J]. China Water Resources, 2024(11): 26-32. </w:t>
      </w:r>
    </w:p>
    <w:p w14:paraId="76EA17A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李子祥, 杨帆, 范子武, 等. 基于多暴雨情景的城市洪涝模拟与风险评估[J]. 水利水电技术(中英文), 2025, </w:t>
      </w:r>
      <w:r>
        <w:rPr>
          <w:rFonts w:hint="eastAsia" w:ascii="Times New Roman" w:hAnsi="Times New Roman" w:cs="Times New Roman"/>
          <w:color w:val="auto"/>
          <w:sz w:val="15"/>
          <w:szCs w:val="15"/>
          <w:highlight w:val="none"/>
        </w:rPr>
        <w:t>56</w:t>
      </w:r>
      <w:r>
        <w:rPr>
          <w:rFonts w:hint="eastAsia" w:ascii="Times New Roman" w:hAnsi="Times New Roman" w:cs="Times New Roman"/>
          <w:color w:val="auto"/>
          <w:sz w:val="15"/>
          <w:szCs w:val="15"/>
          <w:highlight w:val="none"/>
        </w:rPr>
        <w:t>(10)</w:t>
      </w:r>
      <w:r>
        <w:rPr>
          <w:rFonts w:hint="eastAsia" w:ascii="Times New Roman" w:hAnsi="Times New Roman" w:cs="Times New Roman"/>
          <w:color w:val="auto"/>
          <w:sz w:val="15"/>
          <w:szCs w:val="15"/>
          <w:highlight w:val="none"/>
        </w:rPr>
        <w:t>: 84-96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LI </w:t>
      </w:r>
      <w:r>
        <w:rPr>
          <w:rFonts w:hint="eastAsia" w:ascii="Times New Roman" w:hAnsi="Times New Roman" w:cs="Times New Roman"/>
          <w:color w:val="auto"/>
          <w:sz w:val="15"/>
          <w:szCs w:val="15"/>
          <w:highlight w:val="none"/>
        </w:rPr>
        <w:t>Z X</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FAN </w:t>
      </w:r>
      <w:r>
        <w:rPr>
          <w:rFonts w:hint="eastAsia" w:ascii="Times New Roman" w:hAnsi="Times New Roman" w:cs="Times New Roman"/>
          <w:color w:val="auto"/>
          <w:sz w:val="15"/>
          <w:szCs w:val="15"/>
          <w:highlight w:val="none"/>
        </w:rPr>
        <w:t>Z W</w:t>
      </w:r>
      <w:r>
        <w:rPr>
          <w:rFonts w:hint="eastAsia" w:ascii="Times New Roman" w:hAnsi="Times New Roman" w:cs="Times New Roman"/>
          <w:color w:val="auto"/>
          <w:sz w:val="15"/>
          <w:szCs w:val="15"/>
          <w:highlight w:val="none"/>
        </w:rPr>
        <w:t xml:space="preserve">, et al. Urban </w:t>
      </w:r>
      <w:r>
        <w:rPr>
          <w:rFonts w:hint="eastAsia" w:ascii="Times New Roman" w:hAnsi="Times New Roman" w:cs="Times New Roman"/>
          <w:color w:val="auto"/>
          <w:sz w:val="15"/>
          <w:szCs w:val="15"/>
          <w:highlight w:val="none"/>
        </w:rPr>
        <w:t>flood</w:t>
      </w:r>
      <w:r>
        <w:rPr>
          <w:rFonts w:hint="eastAsia" w:ascii="Times New Roman" w:hAnsi="Times New Roman" w:cs="Times New Roman"/>
          <w:color w:val="auto"/>
          <w:sz w:val="15"/>
          <w:szCs w:val="15"/>
          <w:highlight w:val="none"/>
        </w:rPr>
        <w:t xml:space="preserve"> risk simulation and assessment in cities based on multi rainstorm scenarios[J]. Water Resources and Hydropower Engineering, 2025, </w:t>
      </w:r>
      <w:r>
        <w:rPr>
          <w:rFonts w:hint="eastAsia" w:ascii="Times New Roman" w:hAnsi="Times New Roman" w:cs="Times New Roman"/>
          <w:color w:val="auto"/>
          <w:sz w:val="15"/>
          <w:szCs w:val="15"/>
          <w:highlight w:val="none"/>
        </w:rPr>
        <w:t>56</w:t>
      </w:r>
      <w:r>
        <w:rPr>
          <w:rFonts w:hint="eastAsia" w:ascii="Times New Roman" w:hAnsi="Times New Roman" w:cs="Times New Roman"/>
          <w:color w:val="auto"/>
          <w:sz w:val="15"/>
          <w:szCs w:val="15"/>
          <w:highlight w:val="none"/>
        </w:rPr>
        <w:t>(10)</w:t>
      </w:r>
      <w:r>
        <w:rPr>
          <w:rFonts w:hint="eastAsia" w:ascii="Times New Roman" w:hAnsi="Times New Roman" w:cs="Times New Roman"/>
          <w:color w:val="auto"/>
          <w:sz w:val="15"/>
          <w:szCs w:val="15"/>
          <w:highlight w:val="none"/>
        </w:rPr>
        <w:t>: 84-96</w:t>
      </w:r>
      <w:r>
        <w:rPr>
          <w:rFonts w:hint="eastAsia" w:ascii="Times New Roman" w:hAnsi="Times New Roman" w:cs="Times New Roman"/>
          <w:color w:val="auto"/>
          <w:sz w:val="15"/>
          <w:szCs w:val="15"/>
          <w:highlight w:val="none"/>
        </w:rPr>
        <w:t xml:space="preserve">. </w:t>
      </w:r>
    </w:p>
    <w:p w14:paraId="0FBAA17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PAN </w:t>
      </w:r>
      <w:r>
        <w:rPr>
          <w:rFonts w:hint="eastAsia" w:ascii="Times New Roman" w:hAnsi="Times New Roman" w:cs="Times New Roman"/>
          <w:color w:val="auto"/>
          <w:sz w:val="15"/>
          <w:szCs w:val="15"/>
          <w:highlight w:val="none"/>
        </w:rPr>
        <w:t>X X</w:t>
      </w:r>
      <w:r>
        <w:rPr>
          <w:rFonts w:hint="eastAsia" w:ascii="Times New Roman" w:hAnsi="Times New Roman" w:cs="Times New Roman"/>
          <w:color w:val="auto"/>
          <w:sz w:val="15"/>
          <w:szCs w:val="15"/>
          <w:highlight w:val="none"/>
        </w:rPr>
        <w:t xml:space="preserve">, HOU </w:t>
      </w:r>
      <w:r>
        <w:rPr>
          <w:rFonts w:hint="eastAsia" w:ascii="Times New Roman" w:hAnsi="Times New Roman" w:cs="Times New Roman"/>
          <w:color w:val="auto"/>
          <w:sz w:val="15"/>
          <w:szCs w:val="15"/>
          <w:highlight w:val="none"/>
        </w:rPr>
        <w:t>J M</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G Z</w:t>
      </w:r>
      <w:r>
        <w:rPr>
          <w:rFonts w:hint="eastAsia" w:ascii="Times New Roman" w:hAnsi="Times New Roman" w:cs="Times New Roman"/>
          <w:color w:val="auto"/>
          <w:sz w:val="15"/>
          <w:szCs w:val="15"/>
          <w:highlight w:val="none"/>
        </w:rPr>
        <w:t>, et al. Rapid urban inundation prediction method based on numerical simulation and AI algorithm[J]. Journal of Hydrology, 2025, 647</w:t>
      </w:r>
      <w:r>
        <w:rPr>
          <w:rFonts w:hint="eastAsia" w:ascii="Times New Roman" w:hAnsi="Times New Roman" w:cs="Times New Roman"/>
          <w:color w:val="auto"/>
          <w:sz w:val="15"/>
          <w:szCs w:val="15"/>
          <w:highlight w:val="none"/>
        </w:rPr>
        <w:t>: 132334</w:t>
      </w:r>
      <w:r>
        <w:rPr>
          <w:rFonts w:hint="eastAsia" w:ascii="Times New Roman" w:hAnsi="Times New Roman" w:cs="Times New Roman"/>
          <w:color w:val="auto"/>
          <w:sz w:val="15"/>
          <w:szCs w:val="15"/>
          <w:highlight w:val="none"/>
        </w:rPr>
        <w:t xml:space="preserve">. </w:t>
      </w:r>
    </w:p>
    <w:p w14:paraId="07203A8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xml:space="preserve">] LIAO </w:t>
      </w:r>
      <w:r>
        <w:rPr>
          <w:rFonts w:hint="eastAsia" w:ascii="Times New Roman" w:hAnsi="Times New Roman" w:cs="Times New Roman"/>
          <w:color w:val="auto"/>
          <w:sz w:val="15"/>
          <w:szCs w:val="15"/>
          <w:highlight w:val="none"/>
        </w:rPr>
        <w:t>Y X</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Z L</w:t>
      </w:r>
      <w:r>
        <w:rPr>
          <w:rFonts w:hint="eastAsia" w:ascii="Times New Roman" w:hAnsi="Times New Roman" w:cs="Times New Roman"/>
          <w:color w:val="auto"/>
          <w:sz w:val="15"/>
          <w:szCs w:val="15"/>
          <w:highlight w:val="none"/>
        </w:rPr>
        <w:t xml:space="preserve">, YU </w:t>
      </w:r>
      <w:r>
        <w:rPr>
          <w:rFonts w:hint="eastAsia" w:ascii="Times New Roman" w:hAnsi="Times New Roman" w:cs="Times New Roman"/>
          <w:color w:val="auto"/>
          <w:sz w:val="15"/>
          <w:szCs w:val="15"/>
          <w:highlight w:val="none"/>
        </w:rPr>
        <w:t>H J</w:t>
      </w:r>
      <w:r>
        <w:rPr>
          <w:rFonts w:hint="eastAsia" w:ascii="Times New Roman" w:hAnsi="Times New Roman" w:cs="Times New Roman"/>
          <w:color w:val="auto"/>
          <w:sz w:val="15"/>
          <w:szCs w:val="15"/>
          <w:highlight w:val="none"/>
        </w:rPr>
        <w:t>, et al. Accelerating urban flood inundation simulation under spatio</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temporally varying rainstorms using </w:t>
      </w:r>
      <w:r>
        <w:rPr>
          <w:rFonts w:hint="eastAsia" w:ascii="Times New Roman" w:hAnsi="Times New Roman" w:cs="Times New Roman"/>
          <w:color w:val="auto"/>
          <w:sz w:val="15"/>
          <w:szCs w:val="15"/>
          <w:highlight w:val="none"/>
        </w:rPr>
        <w:t>ConvLSTM</w:t>
      </w:r>
      <w:r>
        <w:rPr>
          <w:rFonts w:hint="eastAsia" w:ascii="Times New Roman" w:hAnsi="Times New Roman" w:cs="Times New Roman"/>
          <w:color w:val="auto"/>
          <w:sz w:val="15"/>
          <w:szCs w:val="15"/>
          <w:highlight w:val="none"/>
        </w:rPr>
        <w:t xml:space="preserve"> deep learning model[J]. Water Resources Research, 2025, 61(8): e2025WR040433. </w:t>
      </w:r>
    </w:p>
    <w:p w14:paraId="0F79A2E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 侯精明, 潘鑫鑫, 陈光照. 基于AI的洪涝过程快速模拟预报方法及应用[J]. 中国防汛抗旱, 2024, 34(2): 1-7.</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HOU </w:t>
      </w:r>
      <w:r>
        <w:rPr>
          <w:rFonts w:hint="eastAsia" w:ascii="Times New Roman" w:hAnsi="Times New Roman" w:cs="Times New Roman"/>
          <w:color w:val="auto"/>
          <w:sz w:val="15"/>
          <w:szCs w:val="15"/>
          <w:highlight w:val="none"/>
        </w:rPr>
        <w:t>J M</w:t>
      </w:r>
      <w:r>
        <w:rPr>
          <w:rFonts w:hint="eastAsia" w:ascii="Times New Roman" w:hAnsi="Times New Roman" w:cs="Times New Roman"/>
          <w:color w:val="auto"/>
          <w:sz w:val="15"/>
          <w:szCs w:val="15"/>
          <w:highlight w:val="none"/>
        </w:rPr>
        <w:t xml:space="preserve">, PAN </w:t>
      </w:r>
      <w:r>
        <w:rPr>
          <w:rFonts w:hint="eastAsia" w:ascii="Times New Roman" w:hAnsi="Times New Roman" w:cs="Times New Roman"/>
          <w:color w:val="auto"/>
          <w:sz w:val="15"/>
          <w:szCs w:val="15"/>
          <w:highlight w:val="none"/>
        </w:rPr>
        <w:t>X X</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G Z</w:t>
      </w:r>
      <w:r>
        <w:rPr>
          <w:rFonts w:hint="eastAsia" w:ascii="Times New Roman" w:hAnsi="Times New Roman" w:cs="Times New Roman"/>
          <w:color w:val="auto"/>
          <w:sz w:val="15"/>
          <w:szCs w:val="15"/>
          <w:highlight w:val="none"/>
        </w:rPr>
        <w:t xml:space="preserve">. AI-driven rapid simulation and forecasting techniques for flooding processes and their practical application[J]. China Flood &amp; Drought Management, 2024, 34(2): 1-7. </w:t>
      </w:r>
    </w:p>
    <w:p w14:paraId="3009DAC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[12</w:t>
      </w:r>
      <w:r>
        <w:rPr>
          <w:rFonts w:ascii="Times New Roman" w:hAnsi="Times New Roman" w:cs="Times New Roman"/>
          <w:color w:val="auto"/>
          <w:sz w:val="15"/>
          <w:szCs w:val="15"/>
          <w:highlight w:val="none"/>
        </w:rPr>
        <w:t>8</w:t>
      </w:r>
      <w:r>
        <w:rPr>
          <w:rFonts w:hint="eastAsia" w:ascii="Times New Roman" w:hAnsi="Times New Roman" w:cs="Times New Roman"/>
          <w:color w:val="auto"/>
          <w:sz w:val="15"/>
          <w:szCs w:val="15"/>
          <w:highlight w:val="none"/>
        </w:rPr>
        <w:t xml:space="preserve">] 杨家伟, 陈华, 侯雨坤, 等. 基于气象旱涝指数的旱涝急转事件识别方法[J]. 地理学报, 2019, </w:t>
      </w:r>
      <w:r>
        <w:rPr>
          <w:rFonts w:hint="eastAsia" w:ascii="Times New Roman" w:hAnsi="Times New Roman" w:cs="Times New Roman"/>
          <w:color w:val="auto"/>
          <w:sz w:val="15"/>
          <w:szCs w:val="15"/>
          <w:highlight w:val="none"/>
        </w:rPr>
        <w:t>74</w:t>
      </w:r>
      <w:r>
        <w:rPr>
          <w:rFonts w:hint="eastAsia" w:ascii="Times New Roman" w:hAnsi="Times New Roman" w:cs="Times New Roman"/>
          <w:color w:val="auto"/>
          <w:sz w:val="15"/>
          <w:szCs w:val="15"/>
          <w:highlight w:val="none"/>
        </w:rPr>
        <w:t>(11)</w:t>
      </w:r>
      <w:r>
        <w:rPr>
          <w:rFonts w:hint="eastAsia" w:ascii="Times New Roman" w:hAnsi="Times New Roman" w:cs="Times New Roman"/>
          <w:color w:val="auto"/>
          <w:sz w:val="15"/>
          <w:szCs w:val="15"/>
          <w:highlight w:val="none"/>
        </w:rPr>
        <w:t>: 2358-2370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YANG </w:t>
      </w:r>
      <w:r>
        <w:rPr>
          <w:rFonts w:hint="eastAsia" w:ascii="Times New Roman" w:hAnsi="Times New Roman" w:cs="Times New Roman"/>
          <w:color w:val="auto"/>
          <w:sz w:val="15"/>
          <w:szCs w:val="15"/>
          <w:highlight w:val="none"/>
        </w:rPr>
        <w:t>J W</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CHEN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HOU </w:t>
      </w:r>
      <w:r>
        <w:rPr>
          <w:rFonts w:hint="eastAsia" w:ascii="Times New Roman" w:hAnsi="Times New Roman" w:cs="Times New Roman"/>
          <w:color w:val="auto"/>
          <w:sz w:val="15"/>
          <w:szCs w:val="15"/>
          <w:highlight w:val="none"/>
        </w:rPr>
        <w:t>Y K</w:t>
      </w:r>
      <w:r>
        <w:rPr>
          <w:rFonts w:hint="eastAsia" w:ascii="Times New Roman" w:hAnsi="Times New Roman" w:cs="Times New Roman"/>
          <w:color w:val="auto"/>
          <w:sz w:val="15"/>
          <w:szCs w:val="15"/>
          <w:highlight w:val="none"/>
        </w:rPr>
        <w:t xml:space="preserve">, et al. A method to identify the drought-flood transition based on the meteorological drought index[J]. Acta Geographica Sinica, 2019, </w:t>
      </w:r>
      <w:r>
        <w:rPr>
          <w:rFonts w:hint="eastAsia" w:ascii="Times New Roman" w:hAnsi="Times New Roman" w:cs="Times New Roman"/>
          <w:color w:val="auto"/>
          <w:sz w:val="15"/>
          <w:szCs w:val="15"/>
          <w:highlight w:val="none"/>
        </w:rPr>
        <w:t>74</w:t>
      </w:r>
      <w:r>
        <w:rPr>
          <w:rFonts w:hint="eastAsia" w:ascii="Times New Roman" w:hAnsi="Times New Roman" w:cs="Times New Roman"/>
          <w:color w:val="auto"/>
          <w:sz w:val="15"/>
          <w:szCs w:val="15"/>
          <w:highlight w:val="none"/>
        </w:rPr>
        <w:t>(11)</w:t>
      </w:r>
      <w:r>
        <w:rPr>
          <w:rFonts w:hint="eastAsia" w:ascii="Times New Roman" w:hAnsi="Times New Roman" w:cs="Times New Roman"/>
          <w:color w:val="auto"/>
          <w:sz w:val="15"/>
          <w:szCs w:val="15"/>
          <w:highlight w:val="none"/>
        </w:rPr>
        <w:t>: 2358-2370</w:t>
      </w:r>
      <w:r>
        <w:rPr>
          <w:rFonts w:hint="eastAsia" w:ascii="Times New Roman" w:hAnsi="Times New Roman" w:cs="Times New Roman"/>
          <w:color w:val="auto"/>
          <w:sz w:val="15"/>
          <w:szCs w:val="15"/>
          <w:highlight w:val="none"/>
        </w:rPr>
        <w:t xml:space="preserve">. </w:t>
      </w:r>
    </w:p>
    <w:p w14:paraId="1A0BCC6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29</w:t>
      </w:r>
      <w:r>
        <w:rPr>
          <w:rFonts w:hint="eastAsia" w:ascii="Times New Roman" w:hAnsi="Times New Roman" w:cs="Times New Roman"/>
          <w:color w:val="auto"/>
          <w:sz w:val="15"/>
          <w:szCs w:val="15"/>
          <w:highlight w:val="none"/>
        </w:rPr>
        <w:t>] 王艺婷, 黄生志, 黄强, 等. 黄土高原地区干旱可预报性的时空分布与驱动机理[J]. 自然灾害学报, 2024, 33(3): 137-151.</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WANG </w:t>
      </w:r>
      <w:r>
        <w:rPr>
          <w:rFonts w:hint="eastAsia" w:ascii="Times New Roman" w:hAnsi="Times New Roman" w:cs="Times New Roman"/>
          <w:color w:val="auto"/>
          <w:sz w:val="15"/>
          <w:szCs w:val="15"/>
          <w:highlight w:val="none"/>
        </w:rPr>
        <w:t>Y T</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S Z</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et al. Spatial-temporal distribution and driving mechanism of drought predictability in the Loess Plateau[J]. Journal of Natural Disasters, 2024, 33(3): 137-151. </w:t>
      </w:r>
    </w:p>
    <w:p w14:paraId="2D0734E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[13</w:t>
      </w:r>
      <w:r>
        <w:rPr>
          <w:rFonts w:ascii="Times New Roman" w:hAnsi="Times New Roman" w:cs="Times New Roman"/>
          <w:color w:val="auto"/>
          <w:sz w:val="15"/>
          <w:szCs w:val="15"/>
          <w:highlight w:val="none"/>
        </w:rPr>
        <w:t>0</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Y Q</w:t>
      </w:r>
      <w:r>
        <w:rPr>
          <w:rFonts w:hint="eastAsia" w:ascii="Times New Roman" w:hAnsi="Times New Roman" w:cs="Times New Roman"/>
          <w:color w:val="auto"/>
          <w:sz w:val="15"/>
          <w:szCs w:val="15"/>
          <w:highlight w:val="none"/>
        </w:rPr>
        <w:t xml:space="preserve">, YOU </w:t>
      </w:r>
      <w:r>
        <w:rPr>
          <w:rFonts w:hint="eastAsia" w:ascii="Times New Roman" w:hAnsi="Times New Roman" w:cs="Times New Roman"/>
          <w:color w:val="auto"/>
          <w:sz w:val="15"/>
          <w:szCs w:val="15"/>
          <w:highlight w:val="none"/>
        </w:rPr>
        <w:t>Q L</w:t>
      </w:r>
      <w:r>
        <w:rPr>
          <w:rFonts w:hint="eastAsia" w:ascii="Times New Roman" w:hAnsi="Times New Roman" w:cs="Times New Roman"/>
          <w:color w:val="auto"/>
          <w:sz w:val="15"/>
          <w:szCs w:val="15"/>
          <w:highlight w:val="none"/>
        </w:rPr>
        <w:t xml:space="preserve">, ULLAH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et al. Substantial increase in abrupt shifts between drought and flood events in China based on observations and model simulations[J]. Science of the Total Environment, 2023, 876: 162822. </w:t>
      </w:r>
    </w:p>
    <w:p w14:paraId="4FC283C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[13</w:t>
      </w:r>
      <w:r>
        <w:rPr>
          <w:rFonts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吴志伟, 李建平, 何金海, 等. 大尺度大气环流异常与长江中下游夏季长周期旱涝急转[J]. 科学通报, 2006, </w:t>
      </w:r>
      <w:r>
        <w:rPr>
          <w:rFonts w:hint="eastAsia" w:ascii="Times New Roman" w:hAnsi="Times New Roman" w:cs="Times New Roman"/>
          <w:color w:val="auto"/>
          <w:sz w:val="15"/>
          <w:szCs w:val="15"/>
          <w:highlight w:val="none"/>
        </w:rPr>
        <w:t>51</w:t>
      </w:r>
      <w:r>
        <w:rPr>
          <w:rFonts w:hint="eastAsia" w:ascii="Times New Roman" w:hAnsi="Times New Roman" w:cs="Times New Roman"/>
          <w:color w:val="auto"/>
          <w:sz w:val="15"/>
          <w:szCs w:val="15"/>
          <w:highlight w:val="none"/>
        </w:rPr>
        <w:t>(14)</w:t>
      </w:r>
      <w:r>
        <w:rPr>
          <w:rFonts w:hint="eastAsia" w:ascii="Times New Roman" w:hAnsi="Times New Roman" w:cs="Times New Roman"/>
          <w:color w:val="auto"/>
          <w:sz w:val="15"/>
          <w:szCs w:val="15"/>
          <w:highlight w:val="none"/>
        </w:rPr>
        <w:t>: 1717-1724</w:t>
      </w:r>
      <w:r>
        <w:rPr>
          <w:rFonts w:hint="eastAsia" w:ascii="Times New Roman" w:hAnsi="Times New Roman" w:cs="Times New Roman"/>
          <w:color w:val="auto"/>
          <w:sz w:val="15"/>
          <w:szCs w:val="15"/>
          <w:highlight w:val="none"/>
        </w:rPr>
        <w:t xml:space="preserve">. </w:t>
      </w:r>
    </w:p>
    <w:p w14:paraId="7F6551B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[13</w:t>
      </w:r>
      <w:r>
        <w:rPr>
          <w:rFonts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xml:space="preserve">] 孙鹏, 刘春玲, 张强. 东江流域汛期旱涝急转的时空演变特征[J]. 人民珠江, 2012, </w:t>
      </w:r>
      <w:r>
        <w:rPr>
          <w:rFonts w:hint="eastAsia" w:ascii="Times New Roman" w:hAnsi="Times New Roman" w:cs="Times New Roman"/>
          <w:color w:val="auto"/>
          <w:sz w:val="15"/>
          <w:szCs w:val="15"/>
          <w:highlight w:val="none"/>
        </w:rPr>
        <w:t>33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29-34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SUN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C L</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Spatio-temporal variations of drought-flood abrupt alternation during main flood season in East River Basin[J]. Pearl River, 2012, </w:t>
      </w:r>
      <w:r>
        <w:rPr>
          <w:rFonts w:hint="eastAsia" w:ascii="Times New Roman" w:hAnsi="Times New Roman" w:cs="Times New Roman"/>
          <w:color w:val="auto"/>
          <w:sz w:val="15"/>
          <w:szCs w:val="15"/>
          <w:highlight w:val="none"/>
        </w:rPr>
        <w:t>33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29-34</w:t>
      </w:r>
      <w:r>
        <w:rPr>
          <w:rFonts w:hint="eastAsia" w:ascii="Times New Roman" w:hAnsi="Times New Roman" w:cs="Times New Roman"/>
          <w:color w:val="auto"/>
          <w:sz w:val="15"/>
          <w:szCs w:val="15"/>
          <w:highlight w:val="none"/>
        </w:rPr>
        <w:t xml:space="preserve">. </w:t>
      </w:r>
    </w:p>
    <w:p w14:paraId="4169E865">
      <w:pPr>
        <w:pStyle w:val="41"/>
        <w:ind w:firstLine="0"/>
        <w:rPr>
          <w:rFonts w:ascii="Times New Roman" w:hAnsi="Times New Roman" w:cs="Times New Roman"/>
          <w:color w:val="auto"/>
          <w:sz w:val="15"/>
          <w:szCs w:val="15"/>
          <w:highlight w:val="none"/>
        </w:rPr>
      </w:pPr>
      <w:bookmarkStart w:id="55" w:name="_Ref218894364"/>
      <w:r>
        <w:rPr>
          <w:rFonts w:ascii="Times New Roman" w:hAnsi="Times New Roman" w:cs="Times New Roman"/>
          <w:color w:val="auto"/>
          <w:sz w:val="15"/>
          <w:szCs w:val="15"/>
          <w:highlight w:val="none"/>
        </w:rPr>
        <w:t>[133]</w:t>
      </w:r>
      <w:bookmarkEnd w:id="55"/>
      <w:r>
        <w:rPr>
          <w:rFonts w:ascii="Arial" w:hAnsi="Arial" w:cs="Arial"/>
          <w:color w:val="auto"/>
          <w:szCs w:val="21"/>
          <w:highlight w:val="none"/>
          <w:shd w:val="clear" w:color="auto" w:fill="FFFFFF"/>
        </w:rPr>
        <w:t xml:space="preserve"> </w:t>
      </w:r>
      <w:r>
        <w:rPr>
          <w:rFonts w:ascii="Times New Roman" w:hAnsi="Times New Roman" w:cs="Times New Roman"/>
          <w:color w:val="auto"/>
          <w:sz w:val="15"/>
          <w:szCs w:val="15"/>
          <w:highlight w:val="none"/>
        </w:rPr>
        <w:t xml:space="preserve">王丽,夏欢,袁喆,等. 长江中下游地区旱涝急转演变特征及成因分析(英文) [J/OL]. 水利水电技术(中英文), </w:t>
      </w:r>
      <w:r>
        <w:rPr>
          <w:rFonts w:hint="eastAsia" w:ascii="Times New Roman" w:hAnsi="Times New Roman" w:cs="Times New Roman"/>
          <w:color w:val="auto"/>
          <w:sz w:val="15"/>
          <w:szCs w:val="15"/>
          <w:highlight w:val="none"/>
        </w:rPr>
        <w:t>2025.</w:t>
      </w:r>
      <w:r>
        <w:rPr>
          <w:rFonts w:ascii="Times New Roman" w:hAnsi="Times New Roman" w:cs="Times New Roman"/>
          <w:color w:val="auto"/>
          <w:sz w:val="15"/>
          <w:szCs w:val="15"/>
          <w:highlight w:val="none"/>
        </w:rPr>
        <w:t>[2026-03-12]. https://link.cnki.net/urlid/10.1746.TV.20250901.1831.002.</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W</w:t>
      </w:r>
      <w:r>
        <w:rPr>
          <w:rFonts w:ascii="Times New Roman" w:hAnsi="Times New Roman" w:cs="Times New Roman"/>
          <w:color w:val="auto"/>
          <w:sz w:val="15"/>
          <w:szCs w:val="15"/>
          <w:highlight w:val="none"/>
        </w:rPr>
        <w:t>ANG L, XIA H, YUAN Z, et al. Analysis of evolutionary characteristics and causes of drought-flood abrupt alternation in middle and lower reaches of Yangtze River Basin [J/OL].Water Resources and Hydropower Engineering</w:t>
      </w:r>
      <w:r>
        <w:rPr>
          <w:rFonts w:hint="eastAsia" w:ascii="Times New Roman" w:hAnsi="Times New Roman" w:cs="Times New Roman"/>
          <w:color w:val="auto"/>
          <w:sz w:val="15"/>
          <w:szCs w:val="15"/>
          <w:highlight w:val="none"/>
        </w:rPr>
        <w:t xml:space="preserve">,2025.[2025-12-11]. </w:t>
      </w:r>
      <w:r>
        <w:rPr>
          <w:rFonts w:ascii="Times New Roman" w:hAnsi="Times New Roman" w:cs="Times New Roman"/>
          <w:color w:val="auto"/>
          <w:sz w:val="15"/>
          <w:szCs w:val="15"/>
          <w:highlight w:val="none"/>
        </w:rPr>
        <w:t>https://link.cnki.net/urlid/10.1746.TV.20250901.1831.002.</w:t>
      </w:r>
    </w:p>
    <w:p w14:paraId="19ABBE40">
      <w:pPr>
        <w:pStyle w:val="41"/>
        <w:ind w:firstLine="0"/>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[134] 胡静,尹军,王丽,等. 长江中下游流域旱涝急转事件特征分析 [J/OL]. 水利水电技术(中英文), </w:t>
      </w:r>
      <w:r>
        <w:rPr>
          <w:rFonts w:hint="eastAsia" w:ascii="Times New Roman" w:hAnsi="Times New Roman" w:cs="Times New Roman"/>
          <w:color w:val="auto"/>
          <w:sz w:val="15"/>
          <w:szCs w:val="15"/>
          <w:highlight w:val="none"/>
        </w:rPr>
        <w:t>2025.</w:t>
      </w:r>
      <w:r>
        <w:rPr>
          <w:rFonts w:ascii="Times New Roman" w:hAnsi="Times New Roman" w:cs="Times New Roman"/>
          <w:color w:val="auto"/>
          <w:sz w:val="15"/>
          <w:szCs w:val="15"/>
          <w:highlight w:val="none"/>
        </w:rPr>
        <w:t>[2026-03-12]. https://link.cnki.net/urlid/10.1746.TV.20250822.1805.006.</w:t>
      </w:r>
      <w:r>
        <w:rPr>
          <w:rFonts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lang w:val="de-DE"/>
        </w:rPr>
        <w:t>H</w:t>
      </w:r>
      <w:r>
        <w:rPr>
          <w:rFonts w:ascii="Times New Roman" w:hAnsi="Times New Roman" w:cs="Times New Roman"/>
          <w:color w:val="auto"/>
          <w:sz w:val="15"/>
          <w:szCs w:val="15"/>
          <w:highlight w:val="none"/>
          <w:lang w:val="de-DE"/>
        </w:rPr>
        <w:t xml:space="preserve">U Jing, YIN Jun, WANG Li, et al. </w:t>
      </w:r>
      <w:r>
        <w:rPr>
          <w:rFonts w:ascii="Times New Roman" w:hAnsi="Times New Roman" w:cs="Times New Roman"/>
          <w:color w:val="auto"/>
          <w:sz w:val="15"/>
          <w:szCs w:val="15"/>
          <w:highlight w:val="none"/>
        </w:rPr>
        <w:t>Analysis of characteristics of drought-flood abrupt alternation events in middle and lower reaches of Yangtze River Basin [J/OL]. Water Resources and Hydropower Engineering,</w:t>
      </w:r>
      <w:r>
        <w:rPr>
          <w:rFonts w:hint="eastAsia" w:ascii="Times New Roman" w:hAnsi="Times New Roman" w:cs="Times New Roman"/>
          <w:color w:val="auto"/>
          <w:sz w:val="15"/>
          <w:szCs w:val="15"/>
          <w:highlight w:val="none"/>
        </w:rPr>
        <w:t>2025.</w:t>
      </w:r>
      <w:r>
        <w:rPr>
          <w:rFonts w:ascii="Times New Roman" w:hAnsi="Times New Roman" w:cs="Times New Roman"/>
          <w:color w:val="auto"/>
          <w:sz w:val="15"/>
          <w:szCs w:val="15"/>
          <w:highlight w:val="none"/>
        </w:rPr>
        <w:t xml:space="preserve">[2025-09-05]. https://link.cnki.net/urlid/10.1746.TV.20250822.1805.006. </w:t>
      </w:r>
    </w:p>
    <w:p w14:paraId="5315424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[13</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张水锋, 张金池, 闵俊杰, 等. 基于径流分析的淮河流域汛期旱涝急转研究[J]. 湖泊科学, 2012, </w:t>
      </w:r>
      <w:r>
        <w:rPr>
          <w:rFonts w:hint="eastAsia" w:ascii="Times New Roman" w:hAnsi="Times New Roman" w:cs="Times New Roman"/>
          <w:color w:val="auto"/>
          <w:sz w:val="15"/>
          <w:szCs w:val="15"/>
          <w:highlight w:val="none"/>
        </w:rPr>
        <w:t>24</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679-686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S F</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J C</w:t>
      </w:r>
      <w:r>
        <w:rPr>
          <w:rFonts w:hint="eastAsia" w:ascii="Times New Roman" w:hAnsi="Times New Roman" w:cs="Times New Roman"/>
          <w:color w:val="auto"/>
          <w:sz w:val="15"/>
          <w:szCs w:val="15"/>
          <w:highlight w:val="none"/>
        </w:rPr>
        <w:t xml:space="preserve">, MIN </w:t>
      </w:r>
      <w:r>
        <w:rPr>
          <w:rFonts w:hint="eastAsia" w:ascii="Times New Roman" w:hAnsi="Times New Roman" w:cs="Times New Roman"/>
          <w:color w:val="auto"/>
          <w:sz w:val="15"/>
          <w:szCs w:val="15"/>
          <w:highlight w:val="none"/>
        </w:rPr>
        <w:t>J J</w:t>
      </w:r>
      <w:r>
        <w:rPr>
          <w:rFonts w:hint="eastAsia" w:ascii="Times New Roman" w:hAnsi="Times New Roman" w:cs="Times New Roman"/>
          <w:color w:val="auto"/>
          <w:sz w:val="15"/>
          <w:szCs w:val="15"/>
          <w:highlight w:val="none"/>
        </w:rPr>
        <w:t>, et al. Drought-flood abrupt alternation based on runoff in the Huaihe River Basin during rainy season[J]. Journal of Lake Sciences, 2012,</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24</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679-686</w:t>
      </w:r>
      <w:r>
        <w:rPr>
          <w:rFonts w:hint="eastAsia" w:ascii="Times New Roman" w:hAnsi="Times New Roman" w:cs="Times New Roman"/>
          <w:color w:val="auto"/>
          <w:sz w:val="15"/>
          <w:szCs w:val="15"/>
          <w:highlight w:val="none"/>
        </w:rPr>
        <w:t xml:space="preserve">. </w:t>
      </w:r>
    </w:p>
    <w:p w14:paraId="5388C02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[13</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xml:space="preserve">] SHAN </w:t>
      </w:r>
      <w:r>
        <w:rPr>
          <w:rFonts w:hint="eastAsia" w:ascii="Times New Roman" w:hAnsi="Times New Roman" w:cs="Times New Roman"/>
          <w:color w:val="auto"/>
          <w:sz w:val="15"/>
          <w:szCs w:val="15"/>
          <w:highlight w:val="none"/>
        </w:rPr>
        <w:t>L J</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L P</w:t>
      </w:r>
      <w:r>
        <w:rPr>
          <w:rFonts w:hint="eastAsia" w:ascii="Times New Roman" w:hAnsi="Times New Roman" w:cs="Times New Roman"/>
          <w:color w:val="auto"/>
          <w:sz w:val="15"/>
          <w:szCs w:val="15"/>
          <w:highlight w:val="none"/>
        </w:rPr>
        <w:t xml:space="preserve">, SONG </w:t>
      </w:r>
      <w:r>
        <w:rPr>
          <w:rFonts w:hint="eastAsia" w:ascii="Times New Roman" w:hAnsi="Times New Roman" w:cs="Times New Roman"/>
          <w:color w:val="auto"/>
          <w:sz w:val="15"/>
          <w:szCs w:val="15"/>
          <w:highlight w:val="none"/>
        </w:rPr>
        <w:t>J Y</w:t>
      </w:r>
      <w:r>
        <w:rPr>
          <w:rFonts w:hint="eastAsia" w:ascii="Times New Roman" w:hAnsi="Times New Roman" w:cs="Times New Roman"/>
          <w:color w:val="auto"/>
          <w:sz w:val="15"/>
          <w:szCs w:val="15"/>
          <w:highlight w:val="none"/>
        </w:rPr>
        <w:t xml:space="preserve">, et al. Characteristics of dry-wet abrupt alternation events in the middle and lower reaches of the Yangtze River Basin and the relationship with ENSO[J]. Journal of Geographical Sciences, 2018, 28(8): 1039-1058. </w:t>
      </w:r>
    </w:p>
    <w:p w14:paraId="1E80BEE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[13</w:t>
      </w:r>
      <w:r>
        <w:rPr>
          <w:rFonts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 xml:space="preserve">] 涂新军, 庞万宁, 陈晓宏, 等. 传统旱涝急转评估指数的局限和改进[J]. 水科学进展, 2022, </w:t>
      </w:r>
      <w:r>
        <w:rPr>
          <w:rFonts w:hint="eastAsia" w:ascii="Times New Roman" w:hAnsi="Times New Roman" w:cs="Times New Roman"/>
          <w:color w:val="auto"/>
          <w:sz w:val="15"/>
          <w:szCs w:val="15"/>
          <w:highlight w:val="none"/>
        </w:rPr>
        <w:t>33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592-601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TU </w:t>
      </w:r>
      <w:r>
        <w:rPr>
          <w:rFonts w:hint="eastAsia" w:ascii="Times New Roman" w:hAnsi="Times New Roman" w:cs="Times New Roman"/>
          <w:color w:val="auto"/>
          <w:sz w:val="15"/>
          <w:szCs w:val="15"/>
          <w:highlight w:val="none"/>
        </w:rPr>
        <w:t>X J</w:t>
      </w:r>
      <w:r>
        <w:rPr>
          <w:rFonts w:hint="eastAsia" w:ascii="Times New Roman" w:hAnsi="Times New Roman" w:cs="Times New Roman"/>
          <w:color w:val="auto"/>
          <w:sz w:val="15"/>
          <w:szCs w:val="15"/>
          <w:highlight w:val="none"/>
        </w:rPr>
        <w:t xml:space="preserve">, PANG </w:t>
      </w:r>
      <w:r>
        <w:rPr>
          <w:rFonts w:hint="eastAsia" w:ascii="Times New Roman" w:hAnsi="Times New Roman" w:cs="Times New Roman"/>
          <w:color w:val="auto"/>
          <w:sz w:val="15"/>
          <w:szCs w:val="15"/>
          <w:highlight w:val="none"/>
        </w:rPr>
        <w:t>W 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CHEN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X H</w:t>
      </w:r>
      <w:r>
        <w:rPr>
          <w:rFonts w:hint="eastAsia" w:ascii="Times New Roman" w:hAnsi="Times New Roman" w:cs="Times New Roman"/>
          <w:color w:val="auto"/>
          <w:sz w:val="15"/>
          <w:szCs w:val="15"/>
          <w:highlight w:val="none"/>
        </w:rPr>
        <w:t xml:space="preserve">, et al. Limitations and improvement of the traditional assessment index for drought-wetness abrupt alternation[J]. Advances in Water Science, 2022, </w:t>
      </w:r>
      <w:r>
        <w:rPr>
          <w:rFonts w:hint="eastAsia" w:ascii="Times New Roman" w:hAnsi="Times New Roman" w:cs="Times New Roman"/>
          <w:color w:val="auto"/>
          <w:sz w:val="15"/>
          <w:szCs w:val="15"/>
          <w:highlight w:val="none"/>
        </w:rPr>
        <w:t>33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592-601</w:t>
      </w:r>
      <w:r>
        <w:rPr>
          <w:rFonts w:hint="eastAsia" w:ascii="Times New Roman" w:hAnsi="Times New Roman" w:cs="Times New Roman"/>
          <w:color w:val="auto"/>
          <w:sz w:val="15"/>
          <w:szCs w:val="15"/>
          <w:highlight w:val="none"/>
        </w:rPr>
        <w:t xml:space="preserve">. </w:t>
      </w:r>
    </w:p>
    <w:p w14:paraId="1316087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38</w:t>
      </w:r>
      <w:r>
        <w:rPr>
          <w:rFonts w:hint="eastAsia" w:ascii="Times New Roman" w:hAnsi="Times New Roman" w:cs="Times New Roman"/>
          <w:color w:val="auto"/>
          <w:sz w:val="15"/>
          <w:szCs w:val="15"/>
          <w:highlight w:val="none"/>
        </w:rPr>
        <w:t xml:space="preserve">] QIU </w:t>
      </w:r>
      <w:r>
        <w:rPr>
          <w:rFonts w:hint="eastAsia" w:ascii="Times New Roman" w:hAnsi="Times New Roman" w:cs="Times New Roman"/>
          <w:color w:val="auto"/>
          <w:sz w:val="15"/>
          <w:szCs w:val="15"/>
          <w:highlight w:val="none"/>
        </w:rPr>
        <w:t>J X</w:t>
      </w:r>
      <w:r>
        <w:rPr>
          <w:rFonts w:hint="eastAsia" w:ascii="Times New Roman" w:hAnsi="Times New Roman" w:cs="Times New Roman"/>
          <w:color w:val="auto"/>
          <w:sz w:val="15"/>
          <w:szCs w:val="15"/>
          <w:highlight w:val="none"/>
        </w:rPr>
        <w:t xml:space="preserve">, HE </w:t>
      </w:r>
      <w:r>
        <w:rPr>
          <w:rFonts w:hint="eastAsia" w:ascii="Times New Roman" w:hAnsi="Times New Roman" w:cs="Times New Roman"/>
          <w:color w:val="auto"/>
          <w:sz w:val="15"/>
          <w:szCs w:val="15"/>
          <w:highlight w:val="none"/>
        </w:rPr>
        <w:t>C X</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X P</w:t>
      </w:r>
      <w:r>
        <w:rPr>
          <w:rFonts w:hint="eastAsia" w:ascii="Times New Roman" w:hAnsi="Times New Roman" w:cs="Times New Roman"/>
          <w:color w:val="auto"/>
          <w:sz w:val="15"/>
          <w:szCs w:val="15"/>
          <w:highlight w:val="none"/>
        </w:rPr>
        <w:t xml:space="preserve">, et al. Projecting dry-wet abrupt alternation across China from the perspective of soil moisture[J]. npj Climate and Atmospheric Science, 2024, 7: 269. </w:t>
      </w:r>
    </w:p>
    <w:p w14:paraId="7E93E81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39</w:t>
      </w:r>
      <w:r>
        <w:rPr>
          <w:rFonts w:hint="eastAsia" w:ascii="Times New Roman" w:hAnsi="Times New Roman" w:cs="Times New Roman"/>
          <w:color w:val="auto"/>
          <w:sz w:val="15"/>
          <w:szCs w:val="15"/>
          <w:highlight w:val="none"/>
        </w:rPr>
        <w:t xml:space="preserve">] KREIBICH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VAN LOON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F, </w:t>
      </w:r>
      <w:r>
        <w:rPr>
          <w:rFonts w:hint="eastAsia" w:ascii="Times New Roman" w:hAnsi="Times New Roman" w:cs="Times New Roman"/>
          <w:color w:val="auto"/>
          <w:sz w:val="15"/>
          <w:szCs w:val="15"/>
          <w:highlight w:val="none"/>
        </w:rPr>
        <w:t>SCHRÖTER</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K</w:t>
      </w:r>
      <w:r>
        <w:rPr>
          <w:rFonts w:hint="eastAsia" w:ascii="Times New Roman" w:hAnsi="Times New Roman" w:cs="Times New Roman"/>
          <w:color w:val="auto"/>
          <w:sz w:val="15"/>
          <w:szCs w:val="15"/>
          <w:highlight w:val="none"/>
        </w:rPr>
        <w:t xml:space="preserve">, et al. The challenge of unprecedented floods and droughts in risk management[J]. Nature, 2022, 608(7921): 80-86. </w:t>
      </w:r>
    </w:p>
    <w:p w14:paraId="7C4E3BC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40</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S S</w:t>
      </w:r>
      <w:r>
        <w:rPr>
          <w:rFonts w:hint="eastAsia" w:ascii="Times New Roman" w:hAnsi="Times New Roman" w:cs="Times New Roman"/>
          <w:color w:val="auto"/>
          <w:sz w:val="15"/>
          <w:szCs w:val="15"/>
          <w:highlight w:val="none"/>
        </w:rPr>
        <w:t xml:space="preserve">, SHU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et al. Increasing occurrence of sudden turns from drought to flood over China[J]. Journal of Geophysical Research: Atmospheres, 2024, 129(3): e2023JD039974. </w:t>
      </w:r>
    </w:p>
    <w:p w14:paraId="606D631B">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[14</w:t>
      </w:r>
      <w:r>
        <w:rPr>
          <w:rFonts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朱军, 王金晨, 张琪, 等. 变暖环境下华北地区农业气象灾害风险评估Ⅰ: 基于综合指标体系法农业干旱风险评估及适应对策建议[J]. 中国农业气象, 2024,</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45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549-561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ZHU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J C</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et al.</w:t>
      </w:r>
      <w:r>
        <w:rPr>
          <w:rFonts w:hint="eastAsia" w:ascii="Times New Roman" w:hAnsi="Times New Roman" w:cs="Times New Roman"/>
          <w:color w:val="auto"/>
          <w:sz w:val="15"/>
          <w:szCs w:val="15"/>
          <w:highlight w:val="none"/>
        </w:rPr>
        <w:t xml:space="preserve"> Risk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ssessment of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grometeorological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isasters in North China </w:t>
      </w:r>
      <w:r>
        <w:rPr>
          <w:rFonts w:hint="eastAsia" w:ascii="Times New Roman" w:hAnsi="Times New Roman" w:cs="Times New Roman"/>
          <w:color w:val="auto"/>
          <w:sz w:val="15"/>
          <w:szCs w:val="15"/>
          <w:highlight w:val="none"/>
        </w:rPr>
        <w:t>u</w:t>
      </w:r>
      <w:r>
        <w:rPr>
          <w:rFonts w:hint="eastAsia" w:ascii="Times New Roman" w:hAnsi="Times New Roman" w:cs="Times New Roman"/>
          <w:color w:val="auto"/>
          <w:sz w:val="15"/>
          <w:szCs w:val="15"/>
          <w:highlight w:val="none"/>
        </w:rPr>
        <w:t xml:space="preserve">nder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arming </w:t>
      </w:r>
      <w:r>
        <w:rPr>
          <w:rFonts w:hint="eastAsia" w:ascii="Times New Roman" w:hAnsi="Times New Roman" w:cs="Times New Roman"/>
          <w:color w:val="auto"/>
          <w:sz w:val="15"/>
          <w:szCs w:val="15"/>
          <w:highlight w:val="none"/>
        </w:rPr>
        <w:t>environmentⅰ</w:t>
      </w:r>
      <w:r>
        <w:rPr>
          <w:rFonts w:hint="eastAsia" w:ascii="Times New Roman" w:hAnsi="Times New Roman" w:cs="Times New Roman"/>
          <w:color w:val="auto"/>
          <w:sz w:val="15"/>
          <w:szCs w:val="15"/>
          <w:highlight w:val="none"/>
        </w:rPr>
        <w:t xml:space="preserve">: Agricultural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rought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isk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ssessment and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daptation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ountermeasures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ased on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omprehensive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ndex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ystem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ethod[J]. Chinese Journal of Agrometeorology, 2024, </w:t>
      </w:r>
      <w:r>
        <w:rPr>
          <w:rFonts w:hint="eastAsia" w:ascii="Times New Roman" w:hAnsi="Times New Roman" w:cs="Times New Roman"/>
          <w:color w:val="auto"/>
          <w:sz w:val="15"/>
          <w:szCs w:val="15"/>
          <w:highlight w:val="none"/>
        </w:rPr>
        <w:t>45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549-561</w:t>
      </w:r>
      <w:r>
        <w:rPr>
          <w:rFonts w:hint="eastAsia" w:ascii="Times New Roman" w:hAnsi="Times New Roman" w:cs="Times New Roman"/>
          <w:color w:val="auto"/>
          <w:sz w:val="15"/>
          <w:szCs w:val="15"/>
          <w:highlight w:val="none"/>
        </w:rPr>
        <w:t xml:space="preserve">. </w:t>
      </w:r>
    </w:p>
    <w:p w14:paraId="3E86D46B">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[14</w:t>
      </w:r>
      <w:r>
        <w:rPr>
          <w:rFonts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Z Y</w:t>
      </w:r>
      <w:r>
        <w:rPr>
          <w:rFonts w:hint="eastAsia" w:ascii="Times New Roman" w:hAnsi="Times New Roman" w:cs="Times New Roman"/>
          <w:color w:val="auto"/>
          <w:sz w:val="15"/>
          <w:szCs w:val="15"/>
          <w:highlight w:val="none"/>
        </w:rPr>
        <w:t xml:space="preserve">, XIONG </w:t>
      </w:r>
      <w:r>
        <w:rPr>
          <w:rFonts w:hint="eastAsia" w:ascii="Times New Roman" w:hAnsi="Times New Roman" w:cs="Times New Roman"/>
          <w:color w:val="auto"/>
          <w:sz w:val="15"/>
          <w:szCs w:val="15"/>
          <w:highlight w:val="none"/>
        </w:rPr>
        <w:t>H X</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F W</w:t>
      </w:r>
      <w:r>
        <w:rPr>
          <w:rFonts w:hint="eastAsia" w:ascii="Times New Roman" w:hAnsi="Times New Roman" w:cs="Times New Roman"/>
          <w:color w:val="auto"/>
          <w:sz w:val="15"/>
          <w:szCs w:val="15"/>
          <w:highlight w:val="none"/>
        </w:rPr>
        <w:t xml:space="preserve">, et al. Sustainable development assessment of ecological vulnerability in arid areas under the influence of multiple indicators[J]. Journal of Cleaner Production, 2024, 436: 140629. </w:t>
      </w:r>
    </w:p>
    <w:p w14:paraId="1C2B71F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[14</w:t>
      </w:r>
      <w:r>
        <w:rPr>
          <w:rFonts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何斌, 王全九, 吴迪, 等. 基于主成分分析和层次分析法相结合的陕西省农业干旱风险评估[J]. 干旱地区农业研究, 2017, 35(</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219-227.</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HE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Q J</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 et al. Agricultural drought risk assessment in Shaanxi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rovince using principal component analysis and AHP[J]. Agricultural Research in the Arid Areas, 2017, 35(</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219-227. </w:t>
      </w:r>
    </w:p>
    <w:p w14:paraId="301D0A9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[14</w:t>
      </w:r>
      <w:r>
        <w:rPr>
          <w:rFonts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J Q</w:t>
      </w:r>
      <w:r>
        <w:rPr>
          <w:rFonts w:hint="eastAsia" w:ascii="Times New Roman" w:hAnsi="Times New Roman" w:cs="Times New Roman"/>
          <w:color w:val="auto"/>
          <w:sz w:val="15"/>
          <w:szCs w:val="15"/>
          <w:highlight w:val="none"/>
        </w:rPr>
        <w:t xml:space="preserve">, GANG </w:t>
      </w:r>
      <w:r>
        <w:rPr>
          <w:rFonts w:hint="eastAsia" w:ascii="Times New Roman" w:hAnsi="Times New Roman" w:cs="Times New Roman"/>
          <w:color w:val="auto"/>
          <w:sz w:val="15"/>
          <w:szCs w:val="15"/>
          <w:highlight w:val="none"/>
        </w:rPr>
        <w:t>T</w:t>
      </w:r>
      <w:r>
        <w:rPr>
          <w:rFonts w:ascii="Times New Roman" w:hAnsi="Times New Roman" w:cs="Times New Roman"/>
          <w:color w:val="auto"/>
          <w:sz w:val="15"/>
          <w:szCs w:val="15"/>
          <w:highlight w:val="none"/>
        </w:rPr>
        <w:t>ianxianfu</w:t>
      </w:r>
      <w:r>
        <w:rPr>
          <w:rFonts w:hint="eastAsia" w:ascii="Times New Roman" w:hAnsi="Times New Roman" w:cs="Times New Roman"/>
          <w:color w:val="auto"/>
          <w:sz w:val="15"/>
          <w:szCs w:val="15"/>
          <w:highlight w:val="none"/>
        </w:rPr>
        <w:t>,</w:t>
      </w:r>
      <w:r>
        <w:rPr>
          <w:rFonts w:ascii="Times New Roman" w:hAnsi="Times New Roman" w:cs="Times New Roman"/>
          <w:color w:val="auto"/>
          <w:sz w:val="15"/>
          <w:szCs w:val="15"/>
          <w:highlight w:val="none"/>
        </w:rPr>
        <w:t xml:space="preserve"> DUO duonayuyi</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 Integrated natural disaster risk management</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omprehensive and integrated model and Chinese strategy choice[J]. Journal of Natural Disasters, 2006, </w:t>
      </w:r>
      <w:r>
        <w:rPr>
          <w:rFonts w:hint="eastAsia" w:ascii="Times New Roman" w:hAnsi="Times New Roman" w:cs="Times New Roman"/>
          <w:color w:val="auto"/>
          <w:sz w:val="15"/>
          <w:szCs w:val="15"/>
          <w:highlight w:val="none"/>
        </w:rPr>
        <w:t>15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29-37.</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张继权, 冈田宪夫, 多多纳裕一. 综合自然灾害风险管理</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全面整合的模式与中国的战略选择[J]. 自然灾害学报, 2006,</w:t>
      </w:r>
      <w:r>
        <w:rPr>
          <w:rFonts w:hint="eastAsia" w:ascii="Times New Roman" w:hAnsi="Times New Roman" w:cs="Times New Roman"/>
          <w:color w:val="auto"/>
          <w:sz w:val="15"/>
          <w:szCs w:val="15"/>
          <w:highlight w:val="none"/>
        </w:rPr>
        <w:t xml:space="preserve"> 15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29-37. </w:t>
      </w:r>
    </w:p>
    <w:p w14:paraId="1BA2037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[14</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REN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 xml:space="preserve">, PANG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ZHAO</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 et al. Incorporating dynamic drainage supervision into deep learning for accurate real-time flood simulation in urban areas[J]. Water Research, 2025, 270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122816. </w:t>
      </w:r>
    </w:p>
    <w:p w14:paraId="59F5B45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[14</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苏鑫, 邵薇薇, 刘家宏, 等. 基于情景模拟的洪涝灾害经济损失动态评估[J]. 清华大学学报(自然科学版), 2022, 62(10): 1606-1617.</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SU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SHAO</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W W</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J H</w:t>
      </w:r>
      <w:r>
        <w:rPr>
          <w:rFonts w:hint="eastAsia" w:ascii="Times New Roman" w:hAnsi="Times New Roman" w:cs="Times New Roman"/>
          <w:color w:val="auto"/>
          <w:sz w:val="15"/>
          <w:szCs w:val="15"/>
          <w:highlight w:val="none"/>
        </w:rPr>
        <w:t xml:space="preserve">, et al. Dynamic assessment of economic losses from flood disasters based on scenario simulations[J]. Journal of Tsinghua University (Science and Technology), 2022, 62(10): 1606-1617. </w:t>
      </w:r>
    </w:p>
    <w:p w14:paraId="416BC90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47</w:t>
      </w:r>
      <w:r>
        <w:rPr>
          <w:rFonts w:hint="eastAsia" w:ascii="Times New Roman" w:hAnsi="Times New Roman" w:cs="Times New Roman"/>
          <w:color w:val="auto"/>
          <w:sz w:val="15"/>
          <w:szCs w:val="15"/>
          <w:highlight w:val="none"/>
        </w:rPr>
        <w:t xml:space="preserve">] 王俊珲, 侯精明, 王峰, 等. 洪涝过程模拟及三维实景展示方法研究[J]. 自然灾害学报, 2020, </w:t>
      </w:r>
      <w:r>
        <w:rPr>
          <w:rFonts w:hint="eastAsia" w:ascii="Times New Roman" w:hAnsi="Times New Roman" w:cs="Times New Roman"/>
          <w:color w:val="auto"/>
          <w:sz w:val="15"/>
          <w:szCs w:val="15"/>
          <w:highlight w:val="none"/>
        </w:rPr>
        <w:t>29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149-160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WANG </w:t>
      </w:r>
      <w:r>
        <w:rPr>
          <w:rFonts w:hint="eastAsia" w:ascii="Times New Roman" w:hAnsi="Times New Roman" w:cs="Times New Roman"/>
          <w:color w:val="auto"/>
          <w:sz w:val="15"/>
          <w:szCs w:val="15"/>
          <w:highlight w:val="none"/>
        </w:rPr>
        <w:t>J H</w:t>
      </w:r>
      <w:r>
        <w:rPr>
          <w:rFonts w:hint="eastAsia" w:ascii="Times New Roman" w:hAnsi="Times New Roman" w:cs="Times New Roman"/>
          <w:color w:val="auto"/>
          <w:sz w:val="15"/>
          <w:szCs w:val="15"/>
          <w:highlight w:val="none"/>
        </w:rPr>
        <w:t xml:space="preserve">, HOU </w:t>
      </w:r>
      <w:r>
        <w:rPr>
          <w:rFonts w:hint="eastAsia" w:ascii="Times New Roman" w:hAnsi="Times New Roman" w:cs="Times New Roman"/>
          <w:color w:val="auto"/>
          <w:sz w:val="15"/>
          <w:szCs w:val="15"/>
          <w:highlight w:val="none"/>
        </w:rPr>
        <w:t>J M</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et al. Study on flood process simulation and 3D scene display method[J]. Journal of Natural Disasters, 2020, </w:t>
      </w:r>
      <w:r>
        <w:rPr>
          <w:rFonts w:hint="eastAsia" w:ascii="Times New Roman" w:hAnsi="Times New Roman" w:cs="Times New Roman"/>
          <w:color w:val="auto"/>
          <w:sz w:val="15"/>
          <w:szCs w:val="15"/>
          <w:highlight w:val="none"/>
        </w:rPr>
        <w:t>29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149-160</w:t>
      </w:r>
      <w:r>
        <w:rPr>
          <w:rFonts w:hint="eastAsia" w:ascii="Times New Roman" w:hAnsi="Times New Roman" w:cs="Times New Roman"/>
          <w:color w:val="auto"/>
          <w:sz w:val="15"/>
          <w:szCs w:val="15"/>
          <w:highlight w:val="none"/>
        </w:rPr>
        <w:t xml:space="preserve">. </w:t>
      </w:r>
    </w:p>
    <w:p w14:paraId="2820175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48</w:t>
      </w:r>
      <w:r>
        <w:rPr>
          <w:rFonts w:hint="eastAsia" w:ascii="Times New Roman" w:hAnsi="Times New Roman" w:cs="Times New Roman"/>
          <w:color w:val="auto"/>
          <w:sz w:val="15"/>
          <w:szCs w:val="15"/>
          <w:highlight w:val="none"/>
        </w:rPr>
        <w:t xml:space="preserve">] 马昊然, 张海荣, 李晓阳, 等. 基于VIC模型的三峡库区流域小时尺度实时洪水预报[J]. 南水北调与水利科技(中英文), 2024, </w:t>
      </w:r>
      <w:r>
        <w:rPr>
          <w:rFonts w:hint="eastAsia" w:ascii="Times New Roman" w:hAnsi="Times New Roman" w:cs="Times New Roman"/>
          <w:color w:val="auto"/>
          <w:sz w:val="15"/>
          <w:szCs w:val="15"/>
          <w:highlight w:val="none"/>
        </w:rPr>
        <w:t>22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309-318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MA </w:t>
      </w:r>
      <w:r>
        <w:rPr>
          <w:rFonts w:hint="eastAsia" w:ascii="Times New Roman" w:hAnsi="Times New Roman" w:cs="Times New Roman"/>
          <w:color w:val="auto"/>
          <w:sz w:val="15"/>
          <w:szCs w:val="15"/>
          <w:highlight w:val="none"/>
        </w:rPr>
        <w:t>H R</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H R</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et al. Hourly scale real-time flood forecasting in the Three Gorges Reservoir basin based on the VIC model[J]. South-to-North Water Transfers and Water Science &amp; Technology, 2024, </w:t>
      </w:r>
      <w:r>
        <w:rPr>
          <w:rFonts w:hint="eastAsia" w:ascii="Times New Roman" w:hAnsi="Times New Roman" w:cs="Times New Roman"/>
          <w:color w:val="auto"/>
          <w:sz w:val="15"/>
          <w:szCs w:val="15"/>
          <w:highlight w:val="none"/>
        </w:rPr>
        <w:t>22</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309-318</w:t>
      </w:r>
      <w:r>
        <w:rPr>
          <w:rFonts w:hint="eastAsia" w:ascii="Times New Roman" w:hAnsi="Times New Roman" w:cs="Times New Roman"/>
          <w:color w:val="auto"/>
          <w:sz w:val="15"/>
          <w:szCs w:val="15"/>
          <w:highlight w:val="none"/>
        </w:rPr>
        <w:t xml:space="preserve">. </w:t>
      </w:r>
    </w:p>
    <w:p w14:paraId="42F394D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49</w:t>
      </w:r>
      <w:r>
        <w:rPr>
          <w:rFonts w:hint="eastAsia" w:ascii="Times New Roman" w:hAnsi="Times New Roman" w:cs="Times New Roman"/>
          <w:color w:val="auto"/>
          <w:sz w:val="15"/>
          <w:szCs w:val="15"/>
          <w:highlight w:val="none"/>
        </w:rPr>
        <w:t xml:space="preserve">] KHATOONI </w:t>
      </w:r>
      <w:r>
        <w:rPr>
          <w:rFonts w:hint="eastAsia" w:ascii="Times New Roman" w:hAnsi="Times New Roman" w:cs="Times New Roman"/>
          <w:color w:val="auto"/>
          <w:sz w:val="15"/>
          <w:szCs w:val="15"/>
          <w:highlight w:val="none"/>
        </w:rPr>
        <w:t>K</w:t>
      </w:r>
      <w:r>
        <w:rPr>
          <w:rFonts w:hint="eastAsia" w:ascii="Times New Roman" w:hAnsi="Times New Roman" w:cs="Times New Roman"/>
          <w:color w:val="auto"/>
          <w:sz w:val="15"/>
          <w:szCs w:val="15"/>
          <w:highlight w:val="none"/>
        </w:rPr>
        <w:t xml:space="preserve">, HOOSHYARIPOR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 MALEKMOHAMMADI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et al. A new approach for urban flood risk assessment using coupled SWMM–HEC-RAS-2D model[J]. Journal of Environmental Management, 2025, 374: 123849. </w:t>
      </w:r>
    </w:p>
    <w:p w14:paraId="23E7CBD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[15</w:t>
      </w:r>
      <w:r>
        <w:rPr>
          <w:rFonts w:ascii="Times New Roman" w:hAnsi="Times New Roman" w:cs="Times New Roman"/>
          <w:color w:val="auto"/>
          <w:sz w:val="15"/>
          <w:szCs w:val="15"/>
          <w:highlight w:val="none"/>
        </w:rPr>
        <w:t>0</w:t>
      </w:r>
      <w:r>
        <w:rPr>
          <w:rFonts w:hint="eastAsia" w:ascii="Times New Roman" w:hAnsi="Times New Roman" w:cs="Times New Roman"/>
          <w:color w:val="auto"/>
          <w:sz w:val="15"/>
          <w:szCs w:val="15"/>
          <w:highlight w:val="none"/>
        </w:rPr>
        <w:t>] 栾震宇, 金秋, 赵思远, 等. 基于MIKE FLOOD耦合模型的城市内涝模拟[J]. 水资源保护, 2021, 37(</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81-88.</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LUAN </w:t>
      </w:r>
      <w:r>
        <w:rPr>
          <w:rFonts w:hint="eastAsia" w:ascii="Times New Roman" w:hAnsi="Times New Roman" w:cs="Times New Roman"/>
          <w:color w:val="auto"/>
          <w:sz w:val="15"/>
          <w:szCs w:val="15"/>
          <w:highlight w:val="none"/>
        </w:rPr>
        <w:t>Z Y</w:t>
      </w:r>
      <w:r>
        <w:rPr>
          <w:rFonts w:hint="eastAsia" w:ascii="Times New Roman" w:hAnsi="Times New Roman" w:cs="Times New Roman"/>
          <w:color w:val="auto"/>
          <w:sz w:val="15"/>
          <w:szCs w:val="15"/>
          <w:highlight w:val="none"/>
        </w:rPr>
        <w:t xml:space="preserve">, JIN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ZHAO </w:t>
      </w:r>
      <w:r>
        <w:rPr>
          <w:rFonts w:hint="eastAsia" w:ascii="Times New Roman" w:hAnsi="Times New Roman" w:cs="Times New Roman"/>
          <w:color w:val="auto"/>
          <w:sz w:val="15"/>
          <w:szCs w:val="15"/>
          <w:highlight w:val="none"/>
        </w:rPr>
        <w:t>S Y</w:t>
      </w:r>
      <w:r>
        <w:rPr>
          <w:rFonts w:hint="eastAsia" w:ascii="Times New Roman" w:hAnsi="Times New Roman" w:cs="Times New Roman"/>
          <w:color w:val="auto"/>
          <w:sz w:val="15"/>
          <w:szCs w:val="15"/>
          <w:highlight w:val="none"/>
        </w:rPr>
        <w:t>, et al. Simulation of urban waterlogging based on MIKE FLOOD coupling model[J]. Water Resources Protection, 2021, 37(</w:t>
      </w:r>
      <w:r>
        <w:rPr>
          <w:rFonts w:hint="eastAsia"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xml:space="preserve">): 81-88. </w:t>
      </w:r>
    </w:p>
    <w:p w14:paraId="4112574D">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[15</w:t>
      </w:r>
      <w:r>
        <w:rPr>
          <w:rFonts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ZHAO </w:t>
      </w:r>
      <w:r>
        <w:rPr>
          <w:rFonts w:hint="eastAsia" w:ascii="Times New Roman" w:hAnsi="Times New Roman" w:cs="Times New Roman"/>
          <w:color w:val="auto"/>
          <w:sz w:val="15"/>
          <w:szCs w:val="15"/>
          <w:highlight w:val="none"/>
        </w:rPr>
        <w:t>L D</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J Z</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 et al. Multi-method combined analysis of urban flood risks and its influencing factors under low impact development[J]. Journal of Hydrology, 2024, 632: 130927. </w:t>
      </w:r>
    </w:p>
    <w:p w14:paraId="0828989F">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[15</w:t>
      </w:r>
      <w:r>
        <w:rPr>
          <w:rFonts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xml:space="preserve">] 任汉承, 刘舒, 谢每超, 等. 基于精细化水动力模型的城市内涝特征分析及风险评估[J]. 水利水电技术(中英文), 2022,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24-40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REN </w:t>
      </w:r>
      <w:r>
        <w:rPr>
          <w:rFonts w:hint="eastAsia" w:ascii="Times New Roman" w:hAnsi="Times New Roman" w:cs="Times New Roman"/>
          <w:color w:val="auto"/>
          <w:sz w:val="15"/>
          <w:szCs w:val="15"/>
          <w:highlight w:val="none"/>
        </w:rPr>
        <w:t>H C</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XIE </w:t>
      </w:r>
      <w:r>
        <w:rPr>
          <w:rFonts w:hint="eastAsia" w:ascii="Times New Roman" w:hAnsi="Times New Roman" w:cs="Times New Roman"/>
          <w:color w:val="auto"/>
          <w:sz w:val="15"/>
          <w:szCs w:val="15"/>
          <w:highlight w:val="none"/>
        </w:rPr>
        <w:t>M C</w:t>
      </w:r>
      <w:r>
        <w:rPr>
          <w:rFonts w:hint="eastAsia" w:ascii="Times New Roman" w:hAnsi="Times New Roman" w:cs="Times New Roman"/>
          <w:color w:val="auto"/>
          <w:sz w:val="15"/>
          <w:szCs w:val="15"/>
          <w:highlight w:val="none"/>
        </w:rPr>
        <w:t xml:space="preserve">, et al. Refined hydrodynamic model-based analysis on urban waterlogging features and risk assessment[J]. Water Resources and Hydropower Engineering, 2022,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24-40</w:t>
      </w:r>
      <w:r>
        <w:rPr>
          <w:rFonts w:hint="eastAsia" w:ascii="Times New Roman" w:hAnsi="Times New Roman" w:cs="Times New Roman"/>
          <w:color w:val="auto"/>
          <w:sz w:val="15"/>
          <w:szCs w:val="15"/>
          <w:highlight w:val="none"/>
        </w:rPr>
        <w:t xml:space="preserve">. </w:t>
      </w:r>
    </w:p>
    <w:p w14:paraId="365AA995">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[15</w:t>
      </w:r>
      <w:r>
        <w:rPr>
          <w:rFonts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xml:space="preserve">] 卢兴超, 徐宗学, 李永坤, 等. 基于SWMM与LISFLOOD-FP耦合模型的城市街区内涝模拟研究[J]. 水资源保护, 2024, </w:t>
      </w:r>
      <w:r>
        <w:rPr>
          <w:rFonts w:hint="eastAsia" w:ascii="Times New Roman" w:hAnsi="Times New Roman" w:cs="Times New Roman"/>
          <w:color w:val="auto"/>
          <w:sz w:val="15"/>
          <w:szCs w:val="15"/>
          <w:highlight w:val="none"/>
        </w:rPr>
        <w:t>40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98-105.</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LU </w:t>
      </w:r>
      <w:r>
        <w:rPr>
          <w:rFonts w:hint="eastAsia" w:ascii="Times New Roman" w:hAnsi="Times New Roman" w:cs="Times New Roman"/>
          <w:color w:val="auto"/>
          <w:sz w:val="15"/>
          <w:szCs w:val="15"/>
          <w:highlight w:val="none"/>
        </w:rPr>
        <w:t>X C</w:t>
      </w:r>
      <w:r>
        <w:rPr>
          <w:rFonts w:hint="eastAsia" w:ascii="Times New Roman" w:hAnsi="Times New Roman" w:cs="Times New Roman"/>
          <w:color w:val="auto"/>
          <w:sz w:val="15"/>
          <w:szCs w:val="15"/>
          <w:highlight w:val="none"/>
        </w:rPr>
        <w:t xml:space="preserve">, XU </w:t>
      </w:r>
      <w:r>
        <w:rPr>
          <w:rFonts w:hint="eastAsia" w:ascii="Times New Roman" w:hAnsi="Times New Roman" w:cs="Times New Roman"/>
          <w:color w:val="auto"/>
          <w:sz w:val="15"/>
          <w:szCs w:val="15"/>
          <w:highlight w:val="none"/>
        </w:rPr>
        <w:t>Z X</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Y K</w:t>
      </w:r>
      <w:r>
        <w:rPr>
          <w:rFonts w:hint="eastAsia" w:ascii="Times New Roman" w:hAnsi="Times New Roman" w:cs="Times New Roman"/>
          <w:color w:val="auto"/>
          <w:sz w:val="15"/>
          <w:szCs w:val="15"/>
          <w:highlight w:val="none"/>
        </w:rPr>
        <w:t xml:space="preserve">, et al. Research on urban block waterlogging simulation based on coupling model of SWMM and LISFLOOD-FP[J]. Water Resources Protection, 2024, </w:t>
      </w:r>
      <w:r>
        <w:rPr>
          <w:rFonts w:hint="eastAsia" w:ascii="Times New Roman" w:hAnsi="Times New Roman" w:cs="Times New Roman"/>
          <w:color w:val="auto"/>
          <w:sz w:val="15"/>
          <w:szCs w:val="15"/>
          <w:highlight w:val="none"/>
        </w:rPr>
        <w:t>40</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xml:space="preserve">): 98-105. </w:t>
      </w:r>
    </w:p>
    <w:p w14:paraId="4515A12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[15</w:t>
      </w:r>
      <w:r>
        <w:rPr>
          <w:rFonts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YUN </w:t>
      </w:r>
      <w:r>
        <w:rPr>
          <w:rFonts w:hint="eastAsia" w:ascii="Times New Roman" w:hAnsi="Times New Roman" w:cs="Times New Roman"/>
          <w:color w:val="auto"/>
          <w:sz w:val="15"/>
          <w:szCs w:val="15"/>
          <w:highlight w:val="none"/>
        </w:rPr>
        <w:t>X B</w:t>
      </w:r>
      <w:r>
        <w:rPr>
          <w:rFonts w:hint="eastAsia" w:ascii="Times New Roman" w:hAnsi="Times New Roman" w:cs="Times New Roman"/>
          <w:color w:val="auto"/>
          <w:sz w:val="15"/>
          <w:szCs w:val="15"/>
          <w:highlight w:val="none"/>
        </w:rPr>
        <w:t xml:space="preserve">, POKHREL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et al. Modeling daily floods in the Lancang</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Mekong River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asin using an improved hydrological</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hydrodynamic model[J]. Water Resources Research, 2021, 57(8): e2021WR029734. </w:t>
      </w:r>
    </w:p>
    <w:p w14:paraId="58FD4E1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[15</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KAMALI </w:t>
      </w:r>
      <w:r>
        <w:rPr>
          <w:rFonts w:hint="eastAsia" w:ascii="Times New Roman" w:hAnsi="Times New Roman" w:cs="Times New Roman"/>
          <w:color w:val="auto"/>
          <w:sz w:val="15"/>
          <w:szCs w:val="15"/>
          <w:highlight w:val="none"/>
        </w:rPr>
        <w:t>Z</w:t>
      </w:r>
      <w:r>
        <w:rPr>
          <w:rFonts w:hint="eastAsia" w:ascii="Times New Roman" w:hAnsi="Times New Roman" w:cs="Times New Roman"/>
          <w:color w:val="auto"/>
          <w:sz w:val="15"/>
          <w:szCs w:val="15"/>
          <w:highlight w:val="none"/>
        </w:rPr>
        <w:t>ARCH</w:t>
      </w:r>
      <w:r>
        <w:rPr>
          <w:rFonts w:hint="eastAsia" w:ascii="Times New Roman" w:hAnsi="Times New Roman" w:cs="Times New Roman"/>
          <w:color w:val="auto"/>
          <w:sz w:val="15"/>
          <w:szCs w:val="15"/>
          <w:highlight w:val="none"/>
        </w:rPr>
        <w:t xml:space="preserve"> M, Z</w:t>
      </w:r>
      <w:r>
        <w:rPr>
          <w:rFonts w:hint="eastAsia" w:ascii="Times New Roman" w:hAnsi="Times New Roman" w:cs="Times New Roman"/>
          <w:color w:val="auto"/>
          <w:sz w:val="15"/>
          <w:szCs w:val="15"/>
          <w:highlight w:val="none"/>
        </w:rPr>
        <w:t>HANG</w:t>
      </w:r>
      <w:r>
        <w:rPr>
          <w:rFonts w:hint="eastAsia" w:ascii="Times New Roman" w:hAnsi="Times New Roman" w:cs="Times New Roman"/>
          <w:color w:val="auto"/>
          <w:sz w:val="15"/>
          <w:szCs w:val="15"/>
          <w:highlight w:val="none"/>
        </w:rPr>
        <w:t xml:space="preserve"> L</w:t>
      </w:r>
      <w:r>
        <w:rPr>
          <w:rFonts w:hint="eastAsia" w:ascii="Times New Roman" w:hAnsi="Times New Roman" w:cs="Times New Roman"/>
          <w:color w:val="auto"/>
          <w:sz w:val="15"/>
          <w:szCs w:val="15"/>
          <w:highlight w:val="none"/>
        </w:rPr>
        <w:t xml:space="preserve"> M</w:t>
      </w:r>
      <w:r>
        <w:rPr>
          <w:rFonts w:hint="eastAsia" w:ascii="Times New Roman" w:hAnsi="Times New Roman" w:cs="Times New Roman"/>
          <w:color w:val="auto"/>
          <w:sz w:val="15"/>
          <w:szCs w:val="15"/>
          <w:highlight w:val="none"/>
        </w:rPr>
        <w:t>, H</w:t>
      </w:r>
      <w:r>
        <w:rPr>
          <w:rFonts w:hint="eastAsia" w:ascii="Times New Roman" w:hAnsi="Times New Roman" w:cs="Times New Roman"/>
          <w:color w:val="auto"/>
          <w:sz w:val="15"/>
          <w:szCs w:val="15"/>
          <w:highlight w:val="none"/>
        </w:rPr>
        <w:t>AERI</w:t>
      </w:r>
      <w:r>
        <w:rPr>
          <w:rFonts w:hint="eastAsia" w:ascii="Times New Roman" w:hAnsi="Times New Roman" w:cs="Times New Roman"/>
          <w:color w:val="auto"/>
          <w:sz w:val="15"/>
          <w:szCs w:val="15"/>
          <w:highlight w:val="none"/>
        </w:rPr>
        <w:t xml:space="preserve"> S M, et al. Classic, modern, and physics-based rheological laws for geophysical granular flows in a landslide hazard chain[J]. Earth-Science Reviews, 2025</w:t>
      </w:r>
      <w:r>
        <w:rPr>
          <w:rFonts w:hint="eastAsia" w:ascii="Times New Roman" w:hAnsi="Times New Roman" w:cs="Times New Roman"/>
          <w:color w:val="auto"/>
          <w:sz w:val="15"/>
          <w:szCs w:val="15"/>
          <w:highlight w:val="none"/>
        </w:rPr>
        <w:t>, 269</w:t>
      </w:r>
      <w:r>
        <w:rPr>
          <w:rFonts w:hint="eastAsia" w:ascii="Times New Roman" w:hAnsi="Times New Roman" w:cs="Times New Roman"/>
          <w:color w:val="auto"/>
          <w:sz w:val="15"/>
          <w:szCs w:val="15"/>
          <w:highlight w:val="none"/>
        </w:rPr>
        <w:t xml:space="preserve">: 105204. </w:t>
      </w:r>
    </w:p>
    <w:p w14:paraId="0531F89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[15</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N</w:t>
      </w:r>
      <w:r>
        <w:rPr>
          <w:rFonts w:hint="eastAsia" w:ascii="Times New Roman" w:hAnsi="Times New Roman" w:cs="Times New Roman"/>
          <w:color w:val="auto"/>
          <w:sz w:val="15"/>
          <w:szCs w:val="15"/>
          <w:highlight w:val="none"/>
        </w:rPr>
        <w:t>GUYEN</w:t>
      </w:r>
      <w:r>
        <w:rPr>
          <w:rFonts w:hint="eastAsia" w:ascii="Times New Roman" w:hAnsi="Times New Roman" w:cs="Times New Roman"/>
          <w:color w:val="auto"/>
          <w:sz w:val="15"/>
          <w:szCs w:val="15"/>
          <w:highlight w:val="none"/>
        </w:rPr>
        <w:t xml:space="preserve"> T H, R</w:t>
      </w:r>
      <w:r>
        <w:rPr>
          <w:rFonts w:hint="eastAsia" w:ascii="Times New Roman" w:hAnsi="Times New Roman" w:cs="Times New Roman"/>
          <w:color w:val="auto"/>
          <w:sz w:val="15"/>
          <w:szCs w:val="15"/>
          <w:highlight w:val="none"/>
        </w:rPr>
        <w:t>ICCI</w:t>
      </w:r>
      <w:r>
        <w:rPr>
          <w:rFonts w:hint="eastAsia" w:ascii="Times New Roman" w:hAnsi="Times New Roman" w:cs="Times New Roman"/>
          <w:color w:val="auto"/>
          <w:sz w:val="15"/>
          <w:szCs w:val="15"/>
          <w:highlight w:val="none"/>
        </w:rPr>
        <w:t xml:space="preserve"> S, B</w:t>
      </w:r>
      <w:r>
        <w:rPr>
          <w:rFonts w:hint="eastAsia" w:ascii="Times New Roman" w:hAnsi="Times New Roman" w:cs="Times New Roman"/>
          <w:color w:val="auto"/>
          <w:sz w:val="15"/>
          <w:szCs w:val="15"/>
          <w:highlight w:val="none"/>
        </w:rPr>
        <w:t>OY</w:t>
      </w:r>
      <w:r>
        <w:rPr>
          <w:rFonts w:hint="eastAsia" w:ascii="Times New Roman" w:hAnsi="Times New Roman" w:cs="Times New Roman"/>
          <w:color w:val="auto"/>
          <w:sz w:val="15"/>
          <w:szCs w:val="15"/>
          <w:highlight w:val="none"/>
        </w:rPr>
        <w:t xml:space="preserve"> F, et al. Chained hydrologic-hydraulic for flood modeling by assimilating SAR-derived flood extent and FFSAR-processed altimetry data[J]. Journal of Hydrology, 2025</w:t>
      </w:r>
      <w:r>
        <w:rPr>
          <w:rFonts w:hint="eastAsia" w:ascii="Times New Roman" w:hAnsi="Times New Roman" w:cs="Times New Roman"/>
          <w:color w:val="auto"/>
          <w:sz w:val="15"/>
          <w:szCs w:val="15"/>
          <w:highlight w:val="none"/>
        </w:rPr>
        <w:t>, 663</w:t>
      </w:r>
      <w:r>
        <w:rPr>
          <w:rFonts w:hint="eastAsia" w:ascii="Times New Roman" w:hAnsi="Times New Roman" w:cs="Times New Roman"/>
          <w:color w:val="auto"/>
          <w:sz w:val="15"/>
          <w:szCs w:val="15"/>
          <w:highlight w:val="none"/>
        </w:rPr>
        <w:t xml:space="preserve">: 134013. </w:t>
      </w:r>
    </w:p>
    <w:p w14:paraId="23C394F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57</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Z L</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Y H</w:t>
      </w:r>
      <w:r>
        <w:rPr>
          <w:rFonts w:hint="eastAsia" w:ascii="Times New Roman" w:hAnsi="Times New Roman" w:cs="Times New Roman"/>
          <w:color w:val="auto"/>
          <w:sz w:val="15"/>
          <w:szCs w:val="15"/>
          <w:highlight w:val="none"/>
        </w:rPr>
        <w:t xml:space="preserve">, ZENG </w:t>
      </w:r>
      <w:r>
        <w:rPr>
          <w:rFonts w:hint="eastAsia" w:ascii="Times New Roman" w:hAnsi="Times New Roman" w:cs="Times New Roman"/>
          <w:color w:val="auto"/>
          <w:sz w:val="15"/>
          <w:szCs w:val="15"/>
          <w:highlight w:val="none"/>
        </w:rPr>
        <w:t>Z Y</w:t>
      </w:r>
      <w:r>
        <w:rPr>
          <w:rFonts w:hint="eastAsia" w:ascii="Times New Roman" w:hAnsi="Times New Roman" w:cs="Times New Roman"/>
          <w:color w:val="auto"/>
          <w:sz w:val="15"/>
          <w:szCs w:val="15"/>
          <w:highlight w:val="none"/>
        </w:rPr>
        <w:t xml:space="preserve">, et al. A tight coupling model for urban flood simulation based on SWMM and TELEMAC-2D and the uncertainty analysis[J]. Sustainable Cities and Society, 2024, 114: 105794. </w:t>
      </w:r>
    </w:p>
    <w:p w14:paraId="2975854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58</w:t>
      </w:r>
      <w:r>
        <w:rPr>
          <w:rFonts w:hint="eastAsia" w:ascii="Times New Roman" w:hAnsi="Times New Roman" w:cs="Times New Roman"/>
          <w:color w:val="auto"/>
          <w:sz w:val="15"/>
          <w:szCs w:val="15"/>
          <w:highlight w:val="none"/>
        </w:rPr>
        <w:t xml:space="preserve">] LU </w:t>
      </w:r>
      <w:r>
        <w:rPr>
          <w:rFonts w:hint="eastAsia" w:ascii="Times New Roman" w:hAnsi="Times New Roman" w:cs="Times New Roman"/>
          <w:color w:val="auto"/>
          <w:sz w:val="15"/>
          <w:szCs w:val="15"/>
          <w:highlight w:val="none"/>
        </w:rPr>
        <w:t>X C</w:t>
      </w:r>
      <w:r>
        <w:rPr>
          <w:rFonts w:hint="eastAsia" w:ascii="Times New Roman" w:hAnsi="Times New Roman" w:cs="Times New Roman"/>
          <w:color w:val="auto"/>
          <w:sz w:val="15"/>
          <w:szCs w:val="15"/>
          <w:highlight w:val="none"/>
        </w:rPr>
        <w:t xml:space="preserve">, XU </w:t>
      </w:r>
      <w:r>
        <w:rPr>
          <w:rFonts w:hint="eastAsia" w:ascii="Times New Roman" w:hAnsi="Times New Roman" w:cs="Times New Roman"/>
          <w:color w:val="auto"/>
          <w:sz w:val="15"/>
          <w:szCs w:val="15"/>
          <w:highlight w:val="none"/>
        </w:rPr>
        <w:t>Z X</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Y K</w:t>
      </w:r>
      <w:r>
        <w:rPr>
          <w:rFonts w:hint="eastAsia" w:ascii="Times New Roman" w:hAnsi="Times New Roman" w:cs="Times New Roman"/>
          <w:color w:val="auto"/>
          <w:sz w:val="15"/>
          <w:szCs w:val="15"/>
          <w:highlight w:val="none"/>
        </w:rPr>
        <w:t xml:space="preserve">, et al. A micro–macro coupled approach to assess urban road traffic flood risk at the city scale[J]. Journal of Hydrology, </w:t>
      </w:r>
      <w:r>
        <w:rPr>
          <w:rFonts w:hint="eastAsia" w:ascii="Times New Roman" w:hAnsi="Times New Roman" w:cs="Times New Roman"/>
          <w:color w:val="auto"/>
          <w:sz w:val="15"/>
          <w:szCs w:val="15"/>
          <w:highlight w:val="none"/>
        </w:rPr>
        <w:t>2026, 664</w:t>
      </w:r>
      <w:r>
        <w:rPr>
          <w:rFonts w:hint="eastAsia" w:ascii="Times New Roman" w:hAnsi="Times New Roman" w:cs="Times New Roman"/>
          <w:color w:val="auto"/>
          <w:sz w:val="15"/>
          <w:szCs w:val="15"/>
          <w:highlight w:val="none"/>
        </w:rPr>
        <w:t xml:space="preserve">: 134435. </w:t>
      </w:r>
    </w:p>
    <w:p w14:paraId="50E3672E">
      <w:pPr>
        <w:pStyle w:val="41"/>
        <w:ind w:firstLine="0"/>
        <w:rPr>
          <w:rFonts w:ascii="Times New Roman" w:hAnsi="Times New Roman" w:cs="Times New Roman"/>
          <w:color w:val="auto"/>
          <w:sz w:val="15"/>
          <w:szCs w:val="15"/>
          <w:highlight w:val="none"/>
        </w:rPr>
      </w:pPr>
      <w:bookmarkStart w:id="56" w:name="_Ref218894530"/>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59</w:t>
      </w:r>
      <w:r>
        <w:rPr>
          <w:rFonts w:hint="eastAsia" w:ascii="Times New Roman" w:hAnsi="Times New Roman" w:cs="Times New Roman"/>
          <w:color w:val="auto"/>
          <w:sz w:val="15"/>
          <w:szCs w:val="15"/>
          <w:highlight w:val="none"/>
        </w:rPr>
        <w:t xml:space="preserve">] CHEN </w:t>
      </w:r>
      <w:r>
        <w:rPr>
          <w:rFonts w:hint="eastAsia" w:ascii="Times New Roman" w:hAnsi="Times New Roman" w:cs="Times New Roman"/>
          <w:color w:val="auto"/>
          <w:sz w:val="15"/>
          <w:szCs w:val="15"/>
          <w:highlight w:val="none"/>
        </w:rPr>
        <w:t>K H</w:t>
      </w:r>
      <w:r>
        <w:rPr>
          <w:rFonts w:hint="eastAsia" w:ascii="Times New Roman" w:hAnsi="Times New Roman" w:cs="Times New Roman"/>
          <w:color w:val="auto"/>
          <w:sz w:val="15"/>
          <w:szCs w:val="15"/>
          <w:highlight w:val="none"/>
        </w:rPr>
        <w:t xml:space="preserve">, YE </w:t>
      </w:r>
      <w:r>
        <w:rPr>
          <w:rFonts w:hint="eastAsia" w:ascii="Times New Roman" w:hAnsi="Times New Roman" w:cs="Times New Roman"/>
          <w:color w:val="auto"/>
          <w:sz w:val="15"/>
          <w:szCs w:val="15"/>
          <w:highlight w:val="none"/>
        </w:rPr>
        <w:t>Y C</w:t>
      </w:r>
      <w:r>
        <w:rPr>
          <w:rFonts w:hint="eastAsia" w:ascii="Times New Roman" w:hAnsi="Times New Roman" w:cs="Times New Roman"/>
          <w:color w:val="auto"/>
          <w:sz w:val="15"/>
          <w:szCs w:val="15"/>
          <w:highlight w:val="none"/>
        </w:rPr>
        <w:t xml:space="preserve">, JIANG </w:t>
      </w:r>
      <w:r>
        <w:rPr>
          <w:rFonts w:hint="eastAsia" w:ascii="Times New Roman" w:hAnsi="Times New Roman" w:cs="Times New Roman"/>
          <w:color w:val="auto"/>
          <w:sz w:val="15"/>
          <w:szCs w:val="15"/>
          <w:highlight w:val="none"/>
        </w:rPr>
        <w:t>E Q</w:t>
      </w:r>
      <w:r>
        <w:rPr>
          <w:rFonts w:hint="eastAsia" w:ascii="Times New Roman" w:hAnsi="Times New Roman" w:cs="Times New Roman"/>
          <w:color w:val="auto"/>
          <w:sz w:val="15"/>
          <w:szCs w:val="15"/>
          <w:highlight w:val="none"/>
        </w:rPr>
        <w:t xml:space="preserve">, et al. Construction and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pplication of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xtreme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vent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robability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odels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ased on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achine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earning[J]. International Journal of High Speed Electronics and Systems, 2025: 2540827. </w:t>
      </w:r>
    </w:p>
    <w:bookmarkEnd w:id="56"/>
    <w:p w14:paraId="715D697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[16</w:t>
      </w:r>
      <w:r>
        <w:rPr>
          <w:rFonts w:ascii="Times New Roman" w:hAnsi="Times New Roman" w:cs="Times New Roman"/>
          <w:color w:val="auto"/>
          <w:sz w:val="15"/>
          <w:szCs w:val="15"/>
          <w:highlight w:val="none"/>
        </w:rPr>
        <w:t>0</w:t>
      </w:r>
      <w:r>
        <w:rPr>
          <w:rFonts w:hint="eastAsia" w:ascii="Times New Roman" w:hAnsi="Times New Roman" w:cs="Times New Roman"/>
          <w:color w:val="auto"/>
          <w:sz w:val="15"/>
          <w:szCs w:val="15"/>
          <w:highlight w:val="none"/>
        </w:rPr>
        <w:t xml:space="preserve">] TANRIVERDI </w:t>
      </w:r>
      <w:r>
        <w:rPr>
          <w:rFonts w:hint="eastAsia" w:ascii="Times New Roman" w:hAnsi="Times New Roman" w:cs="Times New Roman"/>
          <w:color w:val="auto"/>
          <w:sz w:val="15"/>
          <w:szCs w:val="15"/>
          <w:highlight w:val="none"/>
        </w:rPr>
        <w:t>I</w:t>
      </w:r>
      <w:r>
        <w:rPr>
          <w:rFonts w:hint="eastAsia" w:ascii="Times New Roman" w:hAnsi="Times New Roman" w:cs="Times New Roman"/>
          <w:color w:val="auto"/>
          <w:sz w:val="15"/>
          <w:szCs w:val="15"/>
          <w:highlight w:val="none"/>
        </w:rPr>
        <w:t xml:space="preserve">, BATMAZ İ. AI-driven </w:t>
      </w:r>
      <w:r>
        <w:rPr>
          <w:rFonts w:hint="eastAsia" w:ascii="Times New Roman" w:hAnsi="Times New Roman" w:cs="Times New Roman"/>
          <w:color w:val="auto"/>
          <w:sz w:val="15"/>
          <w:szCs w:val="15"/>
          <w:highlight w:val="none"/>
        </w:rPr>
        <w:t>U.S.</w:t>
      </w:r>
      <w:r>
        <w:rPr>
          <w:rFonts w:hint="eastAsia" w:ascii="Times New Roman" w:hAnsi="Times New Roman" w:cs="Times New Roman"/>
          <w:color w:val="auto"/>
          <w:sz w:val="15"/>
          <w:szCs w:val="15"/>
          <w:highlight w:val="none"/>
        </w:rPr>
        <w:t xml:space="preserve"> drought prediction using machine learning and deep learning[J]. Climate Dynamics, 2025, 63(6): 249. </w:t>
      </w:r>
    </w:p>
    <w:p w14:paraId="188F231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[16</w:t>
      </w:r>
      <w:r>
        <w:rPr>
          <w:rFonts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Y Y</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 XIE </w:t>
      </w:r>
      <w:r>
        <w:rPr>
          <w:rFonts w:hint="eastAsia" w:ascii="Times New Roman" w:hAnsi="Times New Roman" w:cs="Times New Roman"/>
          <w:color w:val="auto"/>
          <w:sz w:val="15"/>
          <w:szCs w:val="15"/>
          <w:highlight w:val="none"/>
        </w:rPr>
        <w:t>Y L</w:t>
      </w:r>
      <w:r>
        <w:rPr>
          <w:rFonts w:hint="eastAsia" w:ascii="Times New Roman" w:hAnsi="Times New Roman" w:cs="Times New Roman"/>
          <w:color w:val="auto"/>
          <w:sz w:val="15"/>
          <w:szCs w:val="15"/>
          <w:highlight w:val="none"/>
        </w:rPr>
        <w:t xml:space="preserve">, et al. Toward explainable flood risk prediction: Integrating a novel hybrid machine learning model[J]. Sustainable Cities and Society, 2025, 120: 106140. </w:t>
      </w:r>
    </w:p>
    <w:p w14:paraId="2B57058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[16</w:t>
      </w:r>
      <w:r>
        <w:rPr>
          <w:rFonts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Z L</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Z W</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et al. Artificial intelligence-incorporated prediction for urban flooding processes in the past 20 years: A critical review[J]. Environmental Modelling &amp; Software, 2025, 192: 106525. </w:t>
      </w:r>
    </w:p>
    <w:p w14:paraId="7460CAD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[16</w:t>
      </w:r>
      <w:r>
        <w:rPr>
          <w:rFonts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REICHSTEIN M</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CAMPS-VALLS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G</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STEVENS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et al. Deep learning and process understanding for data-driven Earth system science[J]. Nature, 2019, 566(7743): 195-204. </w:t>
      </w:r>
    </w:p>
    <w:p w14:paraId="2FB3AAC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[16</w:t>
      </w:r>
      <w:r>
        <w:rPr>
          <w:rFonts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Z Z</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S G</w:t>
      </w:r>
      <w:r>
        <w:rPr>
          <w:rFonts w:hint="eastAsia" w:ascii="Times New Roman" w:hAnsi="Times New Roman" w:cs="Times New Roman"/>
          <w:color w:val="auto"/>
          <w:sz w:val="15"/>
          <w:szCs w:val="15"/>
          <w:highlight w:val="none"/>
        </w:rPr>
        <w:t xml:space="preserve">, SUN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et al. Unraveling nonlinear urban waterlogging responses to rainfall structure: A data-driven analysis in a highly urbanized megacity[J]. Journal of Hydrology, 2026, 664: 134349. </w:t>
      </w:r>
    </w:p>
    <w:p w14:paraId="4DD9687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[16</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黄艳, 喻杉, 罗斌, 等. 面向流域水工程防灾联合智能调度的数字孪生长江探索[J]. 水利学报, 2022,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253-269</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HUANG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YU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LUO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et al. Development of the digital twin Changjiang River with the pilot system of joint and intelligent regulation of water projects for flood management[J]. Journal of Hydraulic Engineering, 2022,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253-269</w:t>
      </w:r>
      <w:r>
        <w:rPr>
          <w:rFonts w:hint="eastAsia" w:ascii="Times New Roman" w:hAnsi="Times New Roman" w:cs="Times New Roman"/>
          <w:color w:val="auto"/>
          <w:sz w:val="15"/>
          <w:szCs w:val="15"/>
          <w:highlight w:val="none"/>
        </w:rPr>
        <w:t xml:space="preserve">. </w:t>
      </w:r>
    </w:p>
    <w:p w14:paraId="666EC95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[16</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xml:space="preserve">] 马强, 李郑淼, 董芳睿, 等. 流域数字孪生防洪模型的构建: 以子牙河“23·7”大洪水复盘为例[J]. 水利学报, 2025, </w:t>
      </w:r>
      <w:r>
        <w:rPr>
          <w:rFonts w:hint="eastAsia" w:ascii="Times New Roman" w:hAnsi="Times New Roman" w:cs="Times New Roman"/>
          <w:color w:val="auto"/>
          <w:sz w:val="15"/>
          <w:szCs w:val="15"/>
          <w:highlight w:val="none"/>
        </w:rPr>
        <w:t>56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73-84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MA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Z M</w:t>
      </w:r>
      <w:r>
        <w:rPr>
          <w:rFonts w:hint="eastAsia" w:ascii="Times New Roman" w:hAnsi="Times New Roman" w:cs="Times New Roman"/>
          <w:color w:val="auto"/>
          <w:sz w:val="15"/>
          <w:szCs w:val="15"/>
          <w:highlight w:val="none"/>
        </w:rPr>
        <w:t xml:space="preserve">, DONG </w:t>
      </w:r>
      <w:r>
        <w:rPr>
          <w:rFonts w:hint="eastAsia" w:ascii="Times New Roman" w:hAnsi="Times New Roman" w:cs="Times New Roman"/>
          <w:color w:val="auto"/>
          <w:sz w:val="15"/>
          <w:szCs w:val="15"/>
          <w:highlight w:val="none"/>
        </w:rPr>
        <w:t>F R</w:t>
      </w:r>
      <w:r>
        <w:rPr>
          <w:rFonts w:hint="eastAsia" w:ascii="Times New Roman" w:hAnsi="Times New Roman" w:cs="Times New Roman"/>
          <w:color w:val="auto"/>
          <w:sz w:val="15"/>
          <w:szCs w:val="15"/>
          <w:highlight w:val="none"/>
        </w:rPr>
        <w:t>, et al. Flood modeling developed for digital twin watershed: A case study of “23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7” great flood assessment in Ziya River Basin[J]. Journal of Hydraulic Engineering, 2025, </w:t>
      </w:r>
      <w:r>
        <w:rPr>
          <w:rFonts w:hint="eastAsia" w:ascii="Times New Roman" w:hAnsi="Times New Roman" w:cs="Times New Roman"/>
          <w:color w:val="auto"/>
          <w:sz w:val="15"/>
          <w:szCs w:val="15"/>
          <w:highlight w:val="none"/>
        </w:rPr>
        <w:t>56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73-84</w:t>
      </w:r>
      <w:r>
        <w:rPr>
          <w:rFonts w:hint="eastAsia" w:ascii="Times New Roman" w:hAnsi="Times New Roman" w:cs="Times New Roman"/>
          <w:color w:val="auto"/>
          <w:sz w:val="15"/>
          <w:szCs w:val="15"/>
          <w:highlight w:val="none"/>
        </w:rPr>
        <w:t xml:space="preserve">. </w:t>
      </w:r>
    </w:p>
    <w:p w14:paraId="3E0EFB86">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67</w:t>
      </w:r>
      <w:r>
        <w:rPr>
          <w:rFonts w:hint="eastAsia" w:ascii="Times New Roman" w:hAnsi="Times New Roman" w:cs="Times New Roman"/>
          <w:color w:val="auto"/>
          <w:sz w:val="15"/>
          <w:szCs w:val="15"/>
          <w:highlight w:val="none"/>
        </w:rPr>
        <w:t>] 谭心如, 王婷, 黄显峰, 等. 基于风险传递网络的台风风暴潮灾害链风险评价[J]. 水利水电技术(中英文), 2025, 56(10): 17-30.</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TAN </w:t>
      </w:r>
      <w:r>
        <w:rPr>
          <w:rFonts w:hint="eastAsia" w:ascii="Times New Roman" w:hAnsi="Times New Roman" w:cs="Times New Roman"/>
          <w:color w:val="auto"/>
          <w:sz w:val="15"/>
          <w:szCs w:val="15"/>
          <w:highlight w:val="none"/>
        </w:rPr>
        <w:t>X R</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 HUANG </w:t>
      </w:r>
      <w:r>
        <w:rPr>
          <w:rFonts w:hint="eastAsia" w:ascii="Times New Roman" w:hAnsi="Times New Roman" w:cs="Times New Roman"/>
          <w:color w:val="auto"/>
          <w:sz w:val="15"/>
          <w:szCs w:val="15"/>
          <w:highlight w:val="none"/>
        </w:rPr>
        <w:t>X F</w:t>
      </w:r>
      <w:r>
        <w:rPr>
          <w:rFonts w:hint="eastAsia" w:ascii="Times New Roman" w:hAnsi="Times New Roman" w:cs="Times New Roman"/>
          <w:color w:val="auto"/>
          <w:sz w:val="15"/>
          <w:szCs w:val="15"/>
          <w:highlight w:val="none"/>
        </w:rPr>
        <w:t xml:space="preserve">, et al. Risk assessment for the typhoon-storm surge-flood-dike burst disaster chain based on risk-transmission network[J]. Water Resources and Hydropower Engineering, 2025, 56(10): 17-30. </w:t>
      </w:r>
    </w:p>
    <w:p w14:paraId="6365272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68</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W</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G 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CHIWUIKEM</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CHIAKA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et al. Flood risk cascade analysis and vulnerability assessment of watershed based on Bayesian network[J]. Journal of Hydrology, 2023, 626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130144</w:t>
      </w:r>
      <w:r>
        <w:rPr>
          <w:rFonts w:hint="eastAsia" w:ascii="Times New Roman" w:hAnsi="Times New Roman" w:cs="Times New Roman"/>
          <w:color w:val="auto"/>
          <w:sz w:val="15"/>
          <w:szCs w:val="15"/>
          <w:highlight w:val="none"/>
        </w:rPr>
        <w:t xml:space="preserve">. </w:t>
      </w:r>
    </w:p>
    <w:p w14:paraId="50CE8568">
      <w:pPr>
        <w:pStyle w:val="41"/>
        <w:ind w:firstLine="0"/>
        <w:rPr>
          <w:rFonts w:ascii="Times New Roman" w:hAnsi="Times New Roman" w:cs="Times New Roman"/>
          <w:color w:val="auto"/>
          <w:sz w:val="15"/>
          <w:szCs w:val="15"/>
          <w:highlight w:val="none"/>
        </w:rPr>
      </w:pPr>
      <w:bookmarkStart w:id="57" w:name="_Ref218894600"/>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69</w:t>
      </w:r>
      <w:r>
        <w:rPr>
          <w:rFonts w:hint="eastAsia" w:ascii="Times New Roman" w:hAnsi="Times New Roman" w:cs="Times New Roman"/>
          <w:color w:val="auto"/>
          <w:sz w:val="15"/>
          <w:szCs w:val="15"/>
          <w:highlight w:val="none"/>
        </w:rPr>
        <w:t xml:space="preserve">] AKINSOJI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ADELODUN </w:t>
      </w:r>
      <w:r>
        <w:rPr>
          <w:rFonts w:hint="eastAsia" w:ascii="Times New Roman" w:hAnsi="Times New Roman" w:cs="Times New Roman"/>
          <w:color w:val="auto"/>
          <w:sz w:val="15"/>
          <w:szCs w:val="15"/>
          <w:highlight w:val="none"/>
        </w:rPr>
        <w:t>B</w:t>
      </w:r>
      <w:r>
        <w:rPr>
          <w:rFonts w:hint="eastAsia" w:ascii="Times New Roman" w:hAnsi="Times New Roman" w:cs="Times New Roman"/>
          <w:color w:val="auto"/>
          <w:sz w:val="15"/>
          <w:szCs w:val="15"/>
          <w:highlight w:val="none"/>
        </w:rPr>
        <w:t xml:space="preserve">, ADEYI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et al. Integrating machine learning models with comprehensive data strategies and optimization techniques to enhance flood prediction accuracy: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review[J]. Water Resources Management, 2024, 38(12): 4735-4761. </w:t>
      </w:r>
    </w:p>
    <w:bookmarkEnd w:id="57"/>
    <w:p w14:paraId="26E8E77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[17</w:t>
      </w:r>
      <w:r>
        <w:rPr>
          <w:rFonts w:ascii="Times New Roman" w:hAnsi="Times New Roman" w:cs="Times New Roman"/>
          <w:color w:val="auto"/>
          <w:sz w:val="15"/>
          <w:szCs w:val="15"/>
          <w:highlight w:val="none"/>
        </w:rPr>
        <w:t>0</w:t>
      </w:r>
      <w:r>
        <w:rPr>
          <w:rFonts w:hint="eastAsia" w:ascii="Times New Roman" w:hAnsi="Times New Roman" w:cs="Times New Roman"/>
          <w:color w:val="auto"/>
          <w:sz w:val="15"/>
          <w:szCs w:val="15"/>
          <w:highlight w:val="none"/>
        </w:rPr>
        <w:t>] 鞠琴, 吴金雨, 王兴平, 等. 机器学习算法在降水和气温多模式集成中的应用[J]. 水资源保护, 2024, 40(</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106-115.</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JU</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Q</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J Y</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X P</w:t>
      </w:r>
      <w:r>
        <w:rPr>
          <w:rFonts w:hint="eastAsia" w:ascii="Times New Roman" w:hAnsi="Times New Roman" w:cs="Times New Roman"/>
          <w:color w:val="auto"/>
          <w:sz w:val="15"/>
          <w:szCs w:val="15"/>
          <w:highlight w:val="none"/>
        </w:rPr>
        <w:t>, et al. Application of machine learning algorithms in multimodal integration of precipitation and temperature[J]. Water Resources Protection, 2024, 40(</w:t>
      </w:r>
      <w:r>
        <w:rPr>
          <w:rFonts w:hint="eastAsia"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xml:space="preserve">): 106-115. </w:t>
      </w:r>
    </w:p>
    <w:p w14:paraId="6F846151">
      <w:pPr>
        <w:pStyle w:val="41"/>
        <w:ind w:firstLine="0"/>
        <w:rPr>
          <w:rFonts w:ascii="Times New Roman" w:hAnsi="Times New Roman" w:cs="Times New Roman"/>
          <w:color w:val="auto"/>
          <w:sz w:val="15"/>
          <w:szCs w:val="15"/>
          <w:highlight w:val="none"/>
        </w:rPr>
      </w:pPr>
      <w:bookmarkStart w:id="58" w:name="_Ref216358690"/>
      <w:r>
        <w:rPr>
          <w:rFonts w:hint="eastAsia" w:ascii="Times New Roman" w:hAnsi="Times New Roman" w:cs="Times New Roman"/>
          <w:color w:val="auto"/>
          <w:sz w:val="15"/>
          <w:szCs w:val="15"/>
          <w:highlight w:val="none"/>
        </w:rPr>
        <w:t>[17</w:t>
      </w:r>
      <w:r>
        <w:rPr>
          <w:rFonts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SHIOGAMA </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 HAYASHI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 xml:space="preserve">, HIROTA </w:t>
      </w:r>
      <w:r>
        <w:rPr>
          <w:rFonts w:hint="eastAsia" w:ascii="Times New Roman" w:hAnsi="Times New Roman" w:cs="Times New Roman"/>
          <w:color w:val="auto"/>
          <w:sz w:val="15"/>
          <w:szCs w:val="15"/>
          <w:highlight w:val="none"/>
        </w:rPr>
        <w:t>N</w:t>
      </w:r>
      <w:r>
        <w:rPr>
          <w:rFonts w:hint="eastAsia" w:ascii="Times New Roman" w:hAnsi="Times New Roman" w:cs="Times New Roman"/>
          <w:color w:val="auto"/>
          <w:sz w:val="15"/>
          <w:szCs w:val="15"/>
          <w:highlight w:val="none"/>
        </w:rPr>
        <w:t xml:space="preserve">, et al. Combined emergent constraints on future extreme precipitation changes[J]. Nature Communications, 2025, 16: 5293. </w:t>
      </w:r>
    </w:p>
    <w:p w14:paraId="6059AA06">
      <w:pPr>
        <w:pStyle w:val="41"/>
        <w:ind w:firstLine="0"/>
        <w:rPr>
          <w:rFonts w:ascii="Times New Roman" w:hAnsi="Times New Roman" w:cs="Times New Roman"/>
          <w:color w:val="auto"/>
          <w:sz w:val="15"/>
          <w:szCs w:val="15"/>
          <w:highlight w:val="none"/>
          <w:lang w:val="de-DE"/>
        </w:rPr>
      </w:pPr>
      <w:r>
        <w:rPr>
          <w:rFonts w:hint="eastAsia" w:ascii="Times New Roman" w:hAnsi="Times New Roman" w:cs="Times New Roman"/>
          <w:color w:val="auto"/>
          <w:sz w:val="15"/>
          <w:szCs w:val="15"/>
          <w:highlight w:val="none"/>
          <w:lang w:val="de-DE"/>
        </w:rPr>
        <w:t>[17</w:t>
      </w:r>
      <w:r>
        <w:rPr>
          <w:rFonts w:ascii="Times New Roman" w:hAnsi="Times New Roman" w:cs="Times New Roman"/>
          <w:color w:val="auto"/>
          <w:sz w:val="15"/>
          <w:szCs w:val="15"/>
          <w:highlight w:val="none"/>
          <w:lang w:val="de-DE"/>
        </w:rPr>
        <w:t>2</w:t>
      </w:r>
      <w:r>
        <w:rPr>
          <w:rFonts w:hint="eastAsia" w:ascii="Times New Roman" w:hAnsi="Times New Roman" w:cs="Times New Roman"/>
          <w:color w:val="auto"/>
          <w:sz w:val="15"/>
          <w:szCs w:val="15"/>
          <w:highlight w:val="none"/>
          <w:lang w:val="de-DE"/>
        </w:rPr>
        <w:t xml:space="preserve">] XUAN </w:t>
      </w:r>
      <w:r>
        <w:rPr>
          <w:rFonts w:hint="eastAsia" w:ascii="Times New Roman" w:hAnsi="Times New Roman" w:cs="Times New Roman"/>
          <w:color w:val="auto"/>
          <w:sz w:val="15"/>
          <w:szCs w:val="15"/>
          <w:highlight w:val="none"/>
          <w:lang w:val="de-DE"/>
        </w:rPr>
        <w:t>Z Y</w:t>
      </w:r>
      <w:r>
        <w:rPr>
          <w:rFonts w:hint="eastAsia" w:ascii="Times New Roman" w:hAnsi="Times New Roman" w:cs="Times New Roman"/>
          <w:color w:val="auto"/>
          <w:sz w:val="15"/>
          <w:szCs w:val="15"/>
          <w:highlight w:val="none"/>
          <w:lang w:val="de-DE"/>
        </w:rPr>
        <w:t xml:space="preserve">, ZHENG </w:t>
      </w:r>
      <w:r>
        <w:rPr>
          <w:rFonts w:hint="eastAsia" w:ascii="Times New Roman" w:hAnsi="Times New Roman" w:cs="Times New Roman"/>
          <w:color w:val="auto"/>
          <w:sz w:val="15"/>
          <w:szCs w:val="15"/>
          <w:highlight w:val="none"/>
          <w:lang w:val="de-DE"/>
        </w:rPr>
        <w:t>F</w:t>
      </w:r>
      <w:r>
        <w:rPr>
          <w:rFonts w:hint="eastAsia" w:ascii="Times New Roman" w:hAnsi="Times New Roman" w:cs="Times New Roman"/>
          <w:color w:val="auto"/>
          <w:sz w:val="15"/>
          <w:szCs w:val="15"/>
          <w:highlight w:val="none"/>
          <w:lang w:val="de-DE"/>
        </w:rPr>
        <w:t xml:space="preserve">, XIA </w:t>
      </w:r>
      <w:r>
        <w:rPr>
          <w:rFonts w:hint="eastAsia" w:ascii="Times New Roman" w:hAnsi="Times New Roman" w:cs="Times New Roman"/>
          <w:color w:val="auto"/>
          <w:sz w:val="15"/>
          <w:szCs w:val="15"/>
          <w:highlight w:val="none"/>
          <w:lang w:val="de-DE"/>
        </w:rPr>
        <w:t>J J</w:t>
      </w:r>
      <w:r>
        <w:rPr>
          <w:rFonts w:hint="eastAsia" w:ascii="Times New Roman" w:hAnsi="Times New Roman" w:cs="Times New Roman"/>
          <w:color w:val="auto"/>
          <w:sz w:val="15"/>
          <w:szCs w:val="15"/>
          <w:highlight w:val="none"/>
          <w:lang w:val="de-DE"/>
        </w:rPr>
        <w:t xml:space="preserve">, et al. Improving the </w:t>
      </w:r>
      <w:r>
        <w:rPr>
          <w:rFonts w:hint="eastAsia" w:ascii="Times New Roman" w:hAnsi="Times New Roman" w:cs="Times New Roman"/>
          <w:color w:val="auto"/>
          <w:sz w:val="15"/>
          <w:szCs w:val="15"/>
          <w:highlight w:val="none"/>
          <w:lang w:val="de-DE"/>
        </w:rPr>
        <w:t>a</w:t>
      </w:r>
      <w:r>
        <w:rPr>
          <w:rFonts w:hint="eastAsia" w:ascii="Times New Roman" w:hAnsi="Times New Roman" w:cs="Times New Roman"/>
          <w:color w:val="auto"/>
          <w:sz w:val="15"/>
          <w:szCs w:val="15"/>
          <w:highlight w:val="none"/>
          <w:lang w:val="de-DE"/>
        </w:rPr>
        <w:t xml:space="preserve">ssimilation </w:t>
      </w:r>
      <w:r>
        <w:rPr>
          <w:rFonts w:hint="eastAsia" w:ascii="Times New Roman" w:hAnsi="Times New Roman" w:cs="Times New Roman"/>
          <w:color w:val="auto"/>
          <w:sz w:val="15"/>
          <w:szCs w:val="15"/>
          <w:highlight w:val="none"/>
          <w:lang w:val="de-DE"/>
        </w:rPr>
        <w:t>a</w:t>
      </w:r>
      <w:r>
        <w:rPr>
          <w:rFonts w:hint="eastAsia" w:ascii="Times New Roman" w:hAnsi="Times New Roman" w:cs="Times New Roman"/>
          <w:color w:val="auto"/>
          <w:sz w:val="15"/>
          <w:szCs w:val="15"/>
          <w:highlight w:val="none"/>
          <w:lang w:val="de-DE"/>
        </w:rPr>
        <w:t xml:space="preserve">bility for the </w:t>
      </w:r>
      <w:r>
        <w:rPr>
          <w:rFonts w:hint="eastAsia" w:ascii="Times New Roman" w:hAnsi="Times New Roman" w:cs="Times New Roman"/>
          <w:color w:val="auto"/>
          <w:sz w:val="15"/>
          <w:szCs w:val="15"/>
          <w:highlight w:val="none"/>
          <w:lang w:val="de-DE"/>
        </w:rPr>
        <w:t>e</w:t>
      </w:r>
      <w:r>
        <w:rPr>
          <w:rFonts w:hint="eastAsia" w:ascii="Times New Roman" w:hAnsi="Times New Roman" w:cs="Times New Roman"/>
          <w:color w:val="auto"/>
          <w:sz w:val="15"/>
          <w:szCs w:val="15"/>
          <w:highlight w:val="none"/>
          <w:lang w:val="de-DE"/>
        </w:rPr>
        <w:t xml:space="preserve">xtreme </w:t>
      </w:r>
      <w:r>
        <w:rPr>
          <w:rFonts w:hint="eastAsia" w:ascii="Times New Roman" w:hAnsi="Times New Roman" w:cs="Times New Roman"/>
          <w:color w:val="auto"/>
          <w:sz w:val="15"/>
          <w:szCs w:val="15"/>
          <w:highlight w:val="none"/>
          <w:lang w:val="de-DE"/>
        </w:rPr>
        <w:t>e</w:t>
      </w:r>
      <w:r>
        <w:rPr>
          <w:rFonts w:hint="eastAsia" w:ascii="Times New Roman" w:hAnsi="Times New Roman" w:cs="Times New Roman"/>
          <w:color w:val="auto"/>
          <w:sz w:val="15"/>
          <w:szCs w:val="15"/>
          <w:highlight w:val="none"/>
          <w:lang w:val="de-DE"/>
        </w:rPr>
        <w:t xml:space="preserve">vents by </w:t>
      </w:r>
      <w:r>
        <w:rPr>
          <w:rFonts w:hint="eastAsia" w:ascii="Times New Roman" w:hAnsi="Times New Roman" w:cs="Times New Roman"/>
          <w:color w:val="auto"/>
          <w:sz w:val="15"/>
          <w:szCs w:val="15"/>
          <w:highlight w:val="none"/>
          <w:lang w:val="de-DE"/>
        </w:rPr>
        <w:t>p</w:t>
      </w:r>
      <w:r>
        <w:rPr>
          <w:rFonts w:hint="eastAsia" w:ascii="Times New Roman" w:hAnsi="Times New Roman" w:cs="Times New Roman"/>
          <w:color w:val="auto"/>
          <w:sz w:val="15"/>
          <w:szCs w:val="15"/>
          <w:highlight w:val="none"/>
          <w:lang w:val="de-DE"/>
        </w:rPr>
        <w:t xml:space="preserve">roposing a </w:t>
      </w:r>
      <w:r>
        <w:rPr>
          <w:rFonts w:hint="eastAsia" w:ascii="Times New Roman" w:hAnsi="Times New Roman" w:cs="Times New Roman"/>
          <w:color w:val="auto"/>
          <w:sz w:val="15"/>
          <w:szCs w:val="15"/>
          <w:highlight w:val="none"/>
          <w:lang w:val="de-DE"/>
        </w:rPr>
        <w:t>n</w:t>
      </w:r>
      <w:r>
        <w:rPr>
          <w:rFonts w:hint="eastAsia" w:ascii="Times New Roman" w:hAnsi="Times New Roman" w:cs="Times New Roman"/>
          <w:color w:val="auto"/>
          <w:sz w:val="15"/>
          <w:szCs w:val="15"/>
          <w:highlight w:val="none"/>
          <w:lang w:val="de-DE"/>
        </w:rPr>
        <w:t xml:space="preserve">onlinear </w:t>
      </w:r>
      <w:r>
        <w:rPr>
          <w:rFonts w:hint="eastAsia" w:ascii="Times New Roman" w:hAnsi="Times New Roman" w:cs="Times New Roman"/>
          <w:color w:val="auto"/>
          <w:sz w:val="15"/>
          <w:szCs w:val="15"/>
          <w:highlight w:val="none"/>
          <w:lang w:val="de-DE"/>
        </w:rPr>
        <w:t>m</w:t>
      </w:r>
      <w:r>
        <w:rPr>
          <w:rFonts w:hint="eastAsia" w:ascii="Times New Roman" w:hAnsi="Times New Roman" w:cs="Times New Roman"/>
          <w:color w:val="auto"/>
          <w:sz w:val="15"/>
          <w:szCs w:val="15"/>
          <w:highlight w:val="none"/>
          <w:lang w:val="de-DE"/>
        </w:rPr>
        <w:t xml:space="preserve">achine </w:t>
      </w:r>
      <w:r>
        <w:rPr>
          <w:rFonts w:hint="eastAsia" w:ascii="Times New Roman" w:hAnsi="Times New Roman" w:cs="Times New Roman"/>
          <w:color w:val="auto"/>
          <w:sz w:val="15"/>
          <w:szCs w:val="15"/>
          <w:highlight w:val="none"/>
          <w:lang w:val="de-DE"/>
        </w:rPr>
        <w:t>l</w:t>
      </w:r>
      <w:r>
        <w:rPr>
          <w:rFonts w:hint="eastAsia" w:ascii="Times New Roman" w:hAnsi="Times New Roman" w:cs="Times New Roman"/>
          <w:color w:val="auto"/>
          <w:sz w:val="15"/>
          <w:szCs w:val="15"/>
          <w:highlight w:val="none"/>
          <w:lang w:val="de-DE"/>
        </w:rPr>
        <w:t xml:space="preserve">earning </w:t>
      </w:r>
      <w:r>
        <w:rPr>
          <w:rFonts w:hint="eastAsia" w:ascii="Times New Roman" w:hAnsi="Times New Roman" w:cs="Times New Roman"/>
          <w:color w:val="auto"/>
          <w:sz w:val="15"/>
          <w:szCs w:val="15"/>
          <w:highlight w:val="none"/>
          <w:lang w:val="de-DE"/>
        </w:rPr>
        <w:t>d</w:t>
      </w:r>
      <w:r>
        <w:rPr>
          <w:rFonts w:hint="eastAsia" w:ascii="Times New Roman" w:hAnsi="Times New Roman" w:cs="Times New Roman"/>
          <w:color w:val="auto"/>
          <w:sz w:val="15"/>
          <w:szCs w:val="15"/>
          <w:highlight w:val="none"/>
          <w:lang w:val="de-DE"/>
        </w:rPr>
        <w:t xml:space="preserve">ata </w:t>
      </w:r>
      <w:r>
        <w:rPr>
          <w:rFonts w:hint="eastAsia" w:ascii="Times New Roman" w:hAnsi="Times New Roman" w:cs="Times New Roman"/>
          <w:color w:val="auto"/>
          <w:sz w:val="15"/>
          <w:szCs w:val="15"/>
          <w:highlight w:val="none"/>
          <w:lang w:val="de-DE"/>
        </w:rPr>
        <w:t>a</w:t>
      </w:r>
      <w:r>
        <w:rPr>
          <w:rFonts w:hint="eastAsia" w:ascii="Times New Roman" w:hAnsi="Times New Roman" w:cs="Times New Roman"/>
          <w:color w:val="auto"/>
          <w:sz w:val="15"/>
          <w:szCs w:val="15"/>
          <w:highlight w:val="none"/>
          <w:lang w:val="de-DE"/>
        </w:rPr>
        <w:t xml:space="preserve">ssimilation </w:t>
      </w:r>
      <w:r>
        <w:rPr>
          <w:rFonts w:hint="eastAsia" w:ascii="Times New Roman" w:hAnsi="Times New Roman" w:cs="Times New Roman"/>
          <w:color w:val="auto"/>
          <w:sz w:val="15"/>
          <w:szCs w:val="15"/>
          <w:highlight w:val="none"/>
          <w:lang w:val="de-DE"/>
        </w:rPr>
        <w:t>a</w:t>
      </w:r>
      <w:r>
        <w:rPr>
          <w:rFonts w:hint="eastAsia" w:ascii="Times New Roman" w:hAnsi="Times New Roman" w:cs="Times New Roman"/>
          <w:color w:val="auto"/>
          <w:sz w:val="15"/>
          <w:szCs w:val="15"/>
          <w:highlight w:val="none"/>
          <w:lang w:val="de-DE"/>
        </w:rPr>
        <w:t xml:space="preserve">pproach[J]. Geophysical Research Letters, 2025, 52(21): e2025GL118319. </w:t>
      </w:r>
    </w:p>
    <w:bookmarkEnd w:id="58"/>
    <w:p w14:paraId="2AF5F61C">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[17</w:t>
      </w:r>
      <w:r>
        <w:rPr>
          <w:rFonts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xml:space="preserve">] ZAHRA </w:t>
      </w:r>
      <w:r>
        <w:rPr>
          <w:rFonts w:hint="eastAsia" w:ascii="Times New Roman" w:hAnsi="Times New Roman" w:cs="Times New Roman"/>
          <w:color w:val="auto"/>
          <w:sz w:val="15"/>
          <w:szCs w:val="15"/>
          <w:highlight w:val="none"/>
        </w:rPr>
        <w:t>S Z</w:t>
      </w:r>
      <w:r>
        <w:rPr>
          <w:rFonts w:hint="eastAsia" w:ascii="Times New Roman" w:hAnsi="Times New Roman" w:cs="Times New Roman"/>
          <w:color w:val="auto"/>
          <w:sz w:val="15"/>
          <w:szCs w:val="15"/>
          <w:highlight w:val="none"/>
        </w:rPr>
        <w:t xml:space="preserve">, SAHER N, MISSEN </w:t>
      </w:r>
      <w:r>
        <w:rPr>
          <w:rFonts w:hint="eastAsia" w:ascii="Times New Roman" w:hAnsi="Times New Roman" w:cs="Times New Roman"/>
          <w:color w:val="auto"/>
          <w:sz w:val="15"/>
          <w:szCs w:val="15"/>
          <w:highlight w:val="none"/>
        </w:rPr>
        <w:t>M M S</w:t>
      </w:r>
      <w:r>
        <w:rPr>
          <w:rFonts w:hint="eastAsia" w:ascii="Times New Roman" w:hAnsi="Times New Roman" w:cs="Times New Roman"/>
          <w:color w:val="auto"/>
          <w:sz w:val="15"/>
          <w:szCs w:val="15"/>
          <w:highlight w:val="none"/>
        </w:rPr>
        <w:t>, et al. Short-</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 xml:space="preserve">erm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ulti-</w:t>
      </w:r>
      <w:r>
        <w:rPr>
          <w:rFonts w:hint="eastAsia" w:ascii="Times New Roman" w:hAnsi="Times New Roman" w:cs="Times New Roman"/>
          <w:color w:val="auto"/>
          <w:sz w:val="15"/>
          <w:szCs w:val="15"/>
          <w:highlight w:val="none"/>
        </w:rPr>
        <w:t>h</w:t>
      </w:r>
      <w:r>
        <w:rPr>
          <w:rFonts w:hint="eastAsia" w:ascii="Times New Roman" w:hAnsi="Times New Roman" w:cs="Times New Roman"/>
          <w:color w:val="auto"/>
          <w:sz w:val="15"/>
          <w:szCs w:val="15"/>
          <w:highlight w:val="none"/>
        </w:rPr>
        <w:t xml:space="preserve">azard </w:t>
      </w:r>
      <w:r>
        <w:rPr>
          <w:rFonts w:hint="eastAsia" w:ascii="Times New Roman" w:hAnsi="Times New Roman" w:cs="Times New Roman"/>
          <w:color w:val="auto"/>
          <w:sz w:val="15"/>
          <w:szCs w:val="15"/>
          <w:highlight w:val="none"/>
        </w:rPr>
        <w:t>p</w:t>
      </w:r>
      <w:r>
        <w:rPr>
          <w:rFonts w:hint="eastAsia" w:ascii="Times New Roman" w:hAnsi="Times New Roman" w:cs="Times New Roman"/>
          <w:color w:val="auto"/>
          <w:sz w:val="15"/>
          <w:szCs w:val="15"/>
          <w:highlight w:val="none"/>
        </w:rPr>
        <w:t xml:space="preserve">rediction </w:t>
      </w:r>
      <w:r>
        <w:rPr>
          <w:rFonts w:hint="eastAsia" w:ascii="Times New Roman" w:hAnsi="Times New Roman" w:cs="Times New Roman"/>
          <w:color w:val="auto"/>
          <w:sz w:val="15"/>
          <w:szCs w:val="15"/>
          <w:highlight w:val="none"/>
        </w:rPr>
        <w:t>u</w:t>
      </w:r>
      <w:r>
        <w:rPr>
          <w:rFonts w:hint="eastAsia" w:ascii="Times New Roman" w:hAnsi="Times New Roman" w:cs="Times New Roman"/>
          <w:color w:val="auto"/>
          <w:sz w:val="15"/>
          <w:szCs w:val="15"/>
          <w:highlight w:val="none"/>
        </w:rPr>
        <w:t xml:space="preserve">sing a </w:t>
      </w:r>
      <w:r>
        <w:rPr>
          <w:rFonts w:hint="eastAsia" w:ascii="Times New Roman" w:hAnsi="Times New Roman" w:cs="Times New Roman"/>
          <w:color w:val="auto"/>
          <w:sz w:val="15"/>
          <w:szCs w:val="15"/>
          <w:highlight w:val="none"/>
        </w:rPr>
        <w:t>m</w:t>
      </w:r>
      <w:r>
        <w:rPr>
          <w:rFonts w:hint="eastAsia" w:ascii="Times New Roman" w:hAnsi="Times New Roman" w:cs="Times New Roman"/>
          <w:color w:val="auto"/>
          <w:sz w:val="15"/>
          <w:szCs w:val="15"/>
          <w:highlight w:val="none"/>
        </w:rPr>
        <w:t>ulti-</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ource </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ata </w:t>
      </w:r>
      <w:r>
        <w:rPr>
          <w:rFonts w:hint="eastAsia" w:ascii="Times New Roman" w:hAnsi="Times New Roman" w:cs="Times New Roman"/>
          <w:color w:val="auto"/>
          <w:sz w:val="15"/>
          <w:szCs w:val="15"/>
          <w:highlight w:val="none"/>
        </w:rPr>
        <w:t>f</w:t>
      </w:r>
      <w:r>
        <w:rPr>
          <w:rFonts w:hint="eastAsia" w:ascii="Times New Roman" w:hAnsi="Times New Roman" w:cs="Times New Roman"/>
          <w:color w:val="auto"/>
          <w:sz w:val="15"/>
          <w:szCs w:val="15"/>
          <w:highlight w:val="none"/>
        </w:rPr>
        <w:t xml:space="preserve">usion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pproach</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Computers, Materials &amp; Continua</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2025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85(3)</w:t>
      </w:r>
      <w:r>
        <w:rPr>
          <w:rFonts w:hint="eastAsia" w:ascii="Times New Roman" w:hAnsi="Times New Roman" w:cs="Times New Roman"/>
          <w:color w:val="auto"/>
          <w:sz w:val="15"/>
          <w:szCs w:val="15"/>
          <w:highlight w:val="none"/>
        </w:rPr>
        <w:t>: 4869-4883</w:t>
      </w:r>
      <w:r>
        <w:rPr>
          <w:rFonts w:hint="eastAsia" w:ascii="Times New Roman" w:hAnsi="Times New Roman" w:cs="Times New Roman"/>
          <w:color w:val="auto"/>
          <w:sz w:val="15"/>
          <w:szCs w:val="15"/>
          <w:highlight w:val="none"/>
        </w:rPr>
        <w:t xml:space="preserve">. </w:t>
      </w:r>
    </w:p>
    <w:p w14:paraId="2EC5EFB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[17</w:t>
      </w:r>
      <w:r>
        <w:rPr>
          <w:rFonts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徐路凯, 于国卿, 李书霞, 等. 黄河上游干流库坝群段多灾种大数据预警平台研究[J]. </w:t>
      </w:r>
      <w:r>
        <w:rPr>
          <w:rFonts w:hint="eastAsia" w:ascii="Times New Roman" w:hAnsi="Times New Roman" w:cs="Times New Roman"/>
          <w:color w:val="auto"/>
          <w:sz w:val="15"/>
          <w:szCs w:val="15"/>
          <w:highlight w:val="none"/>
        </w:rPr>
        <w:t>人民黄河</w:t>
      </w:r>
      <w:r>
        <w:rPr>
          <w:rFonts w:hint="eastAsia" w:ascii="Times New Roman" w:hAnsi="Times New Roman" w:cs="Times New Roman"/>
          <w:color w:val="auto"/>
          <w:sz w:val="15"/>
          <w:szCs w:val="15"/>
          <w:highlight w:val="none"/>
        </w:rPr>
        <w:t xml:space="preserve">, 2025, </w:t>
      </w:r>
      <w:r>
        <w:rPr>
          <w:rFonts w:hint="eastAsia" w:ascii="Times New Roman" w:hAnsi="Times New Roman" w:cs="Times New Roman"/>
          <w:color w:val="auto"/>
          <w:sz w:val="15"/>
          <w:szCs w:val="15"/>
          <w:highlight w:val="none"/>
        </w:rPr>
        <w:t>47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 40-44.</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XU </w:t>
      </w:r>
      <w:r>
        <w:rPr>
          <w:rFonts w:hint="eastAsia" w:ascii="Times New Roman" w:hAnsi="Times New Roman" w:cs="Times New Roman"/>
          <w:color w:val="auto"/>
          <w:sz w:val="15"/>
          <w:szCs w:val="15"/>
          <w:highlight w:val="none"/>
        </w:rPr>
        <w:t>L K</w:t>
      </w:r>
      <w:r>
        <w:rPr>
          <w:rFonts w:hint="eastAsia" w:ascii="Times New Roman" w:hAnsi="Times New Roman" w:cs="Times New Roman"/>
          <w:color w:val="auto"/>
          <w:sz w:val="15"/>
          <w:szCs w:val="15"/>
          <w:highlight w:val="none"/>
        </w:rPr>
        <w:t xml:space="preserve">, YU </w:t>
      </w:r>
      <w:r>
        <w:rPr>
          <w:rFonts w:hint="eastAsia" w:ascii="Times New Roman" w:hAnsi="Times New Roman" w:cs="Times New Roman"/>
          <w:color w:val="auto"/>
          <w:sz w:val="15"/>
          <w:szCs w:val="15"/>
          <w:highlight w:val="none"/>
        </w:rPr>
        <w:t>G Q</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S X</w:t>
      </w:r>
      <w:r>
        <w:rPr>
          <w:rFonts w:hint="eastAsia" w:ascii="Times New Roman" w:hAnsi="Times New Roman" w:cs="Times New Roman"/>
          <w:color w:val="auto"/>
          <w:sz w:val="15"/>
          <w:szCs w:val="15"/>
          <w:highlight w:val="none"/>
        </w:rPr>
        <w:t>, et al. Multi</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d</w:t>
      </w:r>
      <w:r>
        <w:rPr>
          <w:rFonts w:hint="eastAsia" w:ascii="Times New Roman" w:hAnsi="Times New Roman" w:cs="Times New Roman"/>
          <w:color w:val="auto"/>
          <w:sz w:val="15"/>
          <w:szCs w:val="15"/>
          <w:highlight w:val="none"/>
        </w:rPr>
        <w:t xml:space="preserve">isaster big data early warning platform for reservoir and dam groups section of the upper reaches of the Yellow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iver[J]. </w:t>
      </w:r>
      <w:r>
        <w:rPr>
          <w:rFonts w:hint="eastAsia" w:ascii="Times New Roman" w:hAnsi="Times New Roman" w:cs="Times New Roman"/>
          <w:color w:val="auto"/>
          <w:sz w:val="15"/>
          <w:szCs w:val="15"/>
          <w:highlight w:val="none"/>
        </w:rPr>
        <w:t>Yellow River</w:t>
      </w:r>
      <w:r>
        <w:rPr>
          <w:rFonts w:hint="eastAsia" w:ascii="Times New Roman" w:hAnsi="Times New Roman" w:cs="Times New Roman"/>
          <w:color w:val="auto"/>
          <w:sz w:val="15"/>
          <w:szCs w:val="15"/>
          <w:highlight w:val="none"/>
        </w:rPr>
        <w:t xml:space="preserve">, 2025, </w:t>
      </w:r>
      <w:r>
        <w:rPr>
          <w:rFonts w:hint="eastAsia" w:ascii="Times New Roman" w:hAnsi="Times New Roman" w:cs="Times New Roman"/>
          <w:color w:val="auto"/>
          <w:sz w:val="15"/>
          <w:szCs w:val="15"/>
          <w:highlight w:val="none"/>
        </w:rPr>
        <w:t>47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 xml:space="preserve">): 40-44. </w:t>
      </w:r>
    </w:p>
    <w:p w14:paraId="7FB217A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[17</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陈桂亚. 长江防洪现状及思考 [J]. 人民长江, 2025, 56 (10): 21-27. </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C</w:t>
      </w:r>
      <w:r>
        <w:rPr>
          <w:rFonts w:ascii="Times New Roman" w:hAnsi="Times New Roman" w:cs="Times New Roman"/>
          <w:color w:val="auto"/>
          <w:sz w:val="15"/>
          <w:szCs w:val="15"/>
          <w:highlight w:val="none"/>
        </w:rPr>
        <w:t xml:space="preserve">HEN </w:t>
      </w:r>
      <w:r>
        <w:rPr>
          <w:rFonts w:hint="eastAsia" w:ascii="Times New Roman" w:hAnsi="Times New Roman" w:cs="Times New Roman"/>
          <w:color w:val="auto"/>
          <w:sz w:val="15"/>
          <w:szCs w:val="15"/>
          <w:highlight w:val="none"/>
        </w:rPr>
        <w:t>G</w:t>
      </w:r>
      <w:r>
        <w:rPr>
          <w:rFonts w:ascii="Times New Roman" w:hAnsi="Times New Roman" w:cs="Times New Roman"/>
          <w:color w:val="auto"/>
          <w:sz w:val="15"/>
          <w:szCs w:val="15"/>
          <w:highlight w:val="none"/>
        </w:rPr>
        <w:t xml:space="preserve"> Y</w:t>
      </w:r>
      <w:r>
        <w:rPr>
          <w:rFonts w:hint="eastAsia" w:ascii="Times New Roman" w:hAnsi="Times New Roman" w:cs="Times New Roman"/>
          <w:color w:val="auto"/>
          <w:sz w:val="15"/>
          <w:szCs w:val="15"/>
          <w:highlight w:val="none"/>
        </w:rPr>
        <w:t xml:space="preserve">. </w:t>
      </w:r>
      <w:r>
        <w:rPr>
          <w:rFonts w:ascii="Times New Roman" w:hAnsi="Times New Roman" w:cs="Times New Roman"/>
          <w:color w:val="auto"/>
          <w:sz w:val="15"/>
          <w:szCs w:val="15"/>
          <w:highlight w:val="none"/>
        </w:rPr>
        <w:t>Current status and reflections on Changjiang River flood control</w:t>
      </w:r>
      <w:r>
        <w:rPr>
          <w:rFonts w:hint="eastAsia" w:ascii="Times New Roman" w:hAnsi="Times New Roman" w:cs="Times New Roman"/>
          <w:color w:val="auto"/>
          <w:sz w:val="15"/>
          <w:szCs w:val="15"/>
          <w:highlight w:val="none"/>
        </w:rPr>
        <w:t xml:space="preserve"> [J]. </w:t>
      </w:r>
      <w:r>
        <w:rPr>
          <w:rFonts w:ascii="Times New Roman" w:hAnsi="Times New Roman" w:cs="Times New Roman"/>
          <w:color w:val="auto"/>
          <w:sz w:val="15"/>
          <w:szCs w:val="15"/>
          <w:highlight w:val="none"/>
        </w:rPr>
        <w:t>Yangtze River</w:t>
      </w:r>
      <w:r>
        <w:rPr>
          <w:rFonts w:hint="eastAsia" w:ascii="Times New Roman" w:hAnsi="Times New Roman" w:cs="Times New Roman"/>
          <w:color w:val="auto"/>
          <w:sz w:val="15"/>
          <w:szCs w:val="15"/>
          <w:highlight w:val="none"/>
        </w:rPr>
        <w:t>, 2025, 56 (10): 21-27.</w:t>
      </w:r>
      <w:r>
        <w:rPr>
          <w:rFonts w:ascii="Times New Roman" w:hAnsi="Times New Roman" w:cs="Times New Roman"/>
          <w:color w:val="auto"/>
          <w:sz w:val="15"/>
          <w:szCs w:val="15"/>
          <w:highlight w:val="none"/>
        </w:rPr>
        <w:t xml:space="preserve"> </w:t>
      </w:r>
    </w:p>
    <w:p w14:paraId="4367E99E">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[17</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张尚弘, 荆柱, 安文杰, 等. 三峡及上游梯级水库群特大洪水防洪能力研究[J]. 中国科学</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技术科学</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2022, 52(</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795-806.</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S H</w:t>
      </w:r>
      <w:r>
        <w:rPr>
          <w:rFonts w:hint="eastAsia" w:ascii="Times New Roman" w:hAnsi="Times New Roman" w:cs="Times New Roman"/>
          <w:color w:val="auto"/>
          <w:sz w:val="15"/>
          <w:szCs w:val="15"/>
          <w:highlight w:val="none"/>
        </w:rPr>
        <w:t xml:space="preserve">, JING </w:t>
      </w:r>
      <w:r>
        <w:rPr>
          <w:rFonts w:hint="eastAsia" w:ascii="Times New Roman" w:hAnsi="Times New Roman" w:cs="Times New Roman"/>
          <w:color w:val="auto"/>
          <w:sz w:val="15"/>
          <w:szCs w:val="15"/>
          <w:highlight w:val="none"/>
        </w:rPr>
        <w:t>Z</w:t>
      </w:r>
      <w:r>
        <w:rPr>
          <w:rFonts w:hint="eastAsia" w:ascii="Times New Roman" w:hAnsi="Times New Roman" w:cs="Times New Roman"/>
          <w:color w:val="auto"/>
          <w:sz w:val="15"/>
          <w:szCs w:val="15"/>
          <w:highlight w:val="none"/>
        </w:rPr>
        <w:t xml:space="preserve">, AN </w:t>
      </w:r>
      <w:r>
        <w:rPr>
          <w:rFonts w:hint="eastAsia" w:ascii="Times New Roman" w:hAnsi="Times New Roman" w:cs="Times New Roman"/>
          <w:color w:val="auto"/>
          <w:sz w:val="15"/>
          <w:szCs w:val="15"/>
          <w:highlight w:val="none"/>
        </w:rPr>
        <w:t>W J</w:t>
      </w:r>
      <w:r>
        <w:rPr>
          <w:rFonts w:hint="eastAsia" w:ascii="Times New Roman" w:hAnsi="Times New Roman" w:cs="Times New Roman"/>
          <w:color w:val="auto"/>
          <w:sz w:val="15"/>
          <w:szCs w:val="15"/>
          <w:highlight w:val="none"/>
        </w:rPr>
        <w:t>, et al. Flood-control ability of the Three Gorges Reservoir and upstream cascade reservoirs during catastrophic flooding[J]. S</w:t>
      </w:r>
      <w:r>
        <w:rPr>
          <w:rFonts w:hint="eastAsia" w:ascii="Times New Roman" w:hAnsi="Times New Roman" w:cs="Times New Roman"/>
          <w:color w:val="auto"/>
          <w:sz w:val="15"/>
          <w:szCs w:val="15"/>
          <w:highlight w:val="none"/>
        </w:rPr>
        <w:t>CIENTIA</w:t>
      </w:r>
      <w:r>
        <w:rPr>
          <w:rFonts w:hint="eastAsia" w:ascii="Times New Roman" w:hAnsi="Times New Roman" w:cs="Times New Roman"/>
          <w:color w:val="auto"/>
          <w:sz w:val="15"/>
          <w:szCs w:val="15"/>
          <w:highlight w:val="none"/>
        </w:rPr>
        <w:t xml:space="preserve"> S</w:t>
      </w:r>
      <w:r>
        <w:rPr>
          <w:rFonts w:hint="eastAsia" w:ascii="Times New Roman" w:hAnsi="Times New Roman" w:cs="Times New Roman"/>
          <w:color w:val="auto"/>
          <w:sz w:val="15"/>
          <w:szCs w:val="15"/>
          <w:highlight w:val="none"/>
        </w:rPr>
        <w:t>INICA</w:t>
      </w:r>
      <w:r>
        <w:rPr>
          <w:rFonts w:hint="eastAsia" w:ascii="Times New Roman" w:hAnsi="Times New Roman" w:cs="Times New Roman"/>
          <w:color w:val="auto"/>
          <w:sz w:val="15"/>
          <w:szCs w:val="15"/>
          <w:highlight w:val="none"/>
        </w:rPr>
        <w:t xml:space="preserve"> Technologica, 2022, 52(</w:t>
      </w:r>
      <w:r>
        <w:rPr>
          <w:rFonts w:hint="eastAsia"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xml:space="preserve">): 795-806. </w:t>
      </w:r>
    </w:p>
    <w:p w14:paraId="3104BBAA">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77</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SONG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ZHANG </w:t>
      </w:r>
      <w:r>
        <w:rPr>
          <w:rFonts w:hint="eastAsia" w:ascii="Times New Roman" w:hAnsi="Times New Roman" w:cs="Times New Roman"/>
          <w:color w:val="auto"/>
          <w:sz w:val="15"/>
          <w:szCs w:val="15"/>
          <w:highlight w:val="none"/>
        </w:rPr>
        <w:t>H Y</w:t>
      </w:r>
      <w:r>
        <w:rPr>
          <w:rFonts w:hint="eastAsia" w:ascii="Times New Roman" w:hAnsi="Times New Roman" w:cs="Times New Roman"/>
          <w:color w:val="auto"/>
          <w:sz w:val="15"/>
          <w:szCs w:val="15"/>
          <w:highlight w:val="none"/>
        </w:rPr>
        <w:t>, et al. Anthropogenic impacts on</w:t>
      </w:r>
      <w:r>
        <w:rPr>
          <w:rFonts w:hint="eastAsia" w:ascii="Times New Roman" w:hAnsi="Times New Roman" w:cs="Times New Roman"/>
          <w:color w:val="auto"/>
          <w:sz w:val="15"/>
          <w:szCs w:val="15"/>
          <w:highlight w:val="none"/>
        </w:rPr>
        <w:t xml:space="preserve"> the</w:t>
      </w:r>
      <w:r>
        <w:rPr>
          <w:rFonts w:hint="eastAsia" w:ascii="Times New Roman" w:hAnsi="Times New Roman" w:cs="Times New Roman"/>
          <w:color w:val="auto"/>
          <w:sz w:val="15"/>
          <w:szCs w:val="15"/>
          <w:highlight w:val="none"/>
        </w:rPr>
        <w:t xml:space="preserve"> Yellow River Basin[J]. Nature Reviews Earth </w:t>
      </w:r>
      <w:r>
        <w:rPr>
          <w:rFonts w:hint="eastAsia" w:ascii="Times New Roman" w:hAnsi="Times New Roman" w:cs="Times New Roman"/>
          <w:color w:val="auto"/>
          <w:sz w:val="15"/>
          <w:szCs w:val="15"/>
          <w:highlight w:val="none"/>
        </w:rPr>
        <w:t>&amp;</w:t>
      </w:r>
      <w:r>
        <w:rPr>
          <w:rFonts w:hint="eastAsia" w:ascii="Times New Roman" w:hAnsi="Times New Roman" w:cs="Times New Roman"/>
          <w:color w:val="auto"/>
          <w:sz w:val="15"/>
          <w:szCs w:val="15"/>
          <w:highlight w:val="none"/>
        </w:rPr>
        <w:t xml:space="preserve"> Environment</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2025, 6</w:t>
      </w:r>
      <w:r>
        <w:rPr>
          <w:rFonts w:hint="eastAsia" w:ascii="Times New Roman" w:hAnsi="Times New Roman" w:cs="Times New Roman"/>
          <w:color w:val="auto"/>
          <w:sz w:val="15"/>
          <w:szCs w:val="15"/>
          <w:highlight w:val="none"/>
        </w:rPr>
        <w:t>(10):</w:t>
      </w:r>
      <w:r>
        <w:rPr>
          <w:rFonts w:hint="eastAsia" w:ascii="Times New Roman" w:hAnsi="Times New Roman" w:cs="Times New Roman"/>
          <w:color w:val="auto"/>
          <w:sz w:val="15"/>
          <w:szCs w:val="15"/>
          <w:highlight w:val="none"/>
        </w:rPr>
        <w:t xml:space="preserve"> 656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671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w:t>
      </w:r>
    </w:p>
    <w:p w14:paraId="724B6EE1">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78</w:t>
      </w:r>
      <w:r>
        <w:rPr>
          <w:rFonts w:hint="eastAsia" w:ascii="Times New Roman" w:hAnsi="Times New Roman" w:cs="Times New Roman"/>
          <w:color w:val="auto"/>
          <w:sz w:val="15"/>
          <w:szCs w:val="15"/>
          <w:highlight w:val="none"/>
        </w:rPr>
        <w:t>] 周扬, 杨珺. 梯级水电开发对金沙江干流生态环境的累积影响[J]. 人民珠江, 2024, 45(12): 39-47.</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ZHOU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YANG </w:t>
      </w:r>
      <w:r>
        <w:rPr>
          <w:rFonts w:hint="eastAsia" w:ascii="Times New Roman" w:hAnsi="Times New Roman" w:cs="Times New Roman"/>
          <w:color w:val="auto"/>
          <w:sz w:val="15"/>
          <w:szCs w:val="15"/>
          <w:highlight w:val="none"/>
        </w:rPr>
        <w:t>J</w:t>
      </w:r>
      <w:r>
        <w:rPr>
          <w:rFonts w:hint="eastAsia" w:ascii="Times New Roman" w:hAnsi="Times New Roman" w:cs="Times New Roman"/>
          <w:color w:val="auto"/>
          <w:sz w:val="15"/>
          <w:szCs w:val="15"/>
          <w:highlight w:val="none"/>
        </w:rPr>
        <w:t xml:space="preserve">. Cumulative effect of cascade hydropower development on ecological environment of main stream of Jinsha River[J]. Pearl River, 2024, 45(12): 39-47. </w:t>
      </w:r>
    </w:p>
    <w:p w14:paraId="26253D64">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79</w:t>
      </w:r>
      <w:r>
        <w:rPr>
          <w:rFonts w:hint="eastAsia" w:ascii="Times New Roman" w:hAnsi="Times New Roman" w:cs="Times New Roman"/>
          <w:color w:val="auto"/>
          <w:sz w:val="15"/>
          <w:szCs w:val="15"/>
          <w:highlight w:val="none"/>
        </w:rPr>
        <w:t>] 段曹斌, 陈龙, 陈鋆, 等. 鄱阳湖区应对超标准洪水方案优化总体设想[J]. 人民长江, 2021, 52(</w:t>
      </w:r>
      <w:r>
        <w:rPr>
          <w:rFonts w:hint="eastAsia"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 29-33.</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DUAN </w:t>
      </w:r>
      <w:r>
        <w:rPr>
          <w:rFonts w:hint="eastAsia" w:ascii="Times New Roman" w:hAnsi="Times New Roman" w:cs="Times New Roman"/>
          <w:color w:val="auto"/>
          <w:sz w:val="15"/>
          <w:szCs w:val="15"/>
          <w:highlight w:val="none"/>
        </w:rPr>
        <w:t>C B</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CHEN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L</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CHEN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(J /Y)</w:t>
      </w:r>
      <w:r>
        <w:rPr>
          <w:rFonts w:hint="eastAsia" w:ascii="Times New Roman" w:hAnsi="Times New Roman" w:cs="Times New Roman"/>
          <w:color w:val="auto"/>
          <w:sz w:val="15"/>
          <w:szCs w:val="15"/>
          <w:highlight w:val="none"/>
        </w:rPr>
        <w:t xml:space="preserve">, et al. Overall assumption of optimizing plan to deal with excessive standard </w:t>
      </w:r>
      <w:r>
        <w:rPr>
          <w:rFonts w:hint="eastAsia" w:ascii="Times New Roman" w:hAnsi="Times New Roman" w:cs="Times New Roman"/>
          <w:color w:val="auto"/>
          <w:sz w:val="15"/>
          <w:szCs w:val="15"/>
          <w:highlight w:val="none"/>
        </w:rPr>
        <w:t>flood</w:t>
      </w:r>
      <w:r>
        <w:rPr>
          <w:rFonts w:hint="eastAsia" w:ascii="Times New Roman" w:hAnsi="Times New Roman" w:cs="Times New Roman"/>
          <w:color w:val="auto"/>
          <w:sz w:val="15"/>
          <w:szCs w:val="15"/>
          <w:highlight w:val="none"/>
        </w:rPr>
        <w:t xml:space="preserve"> in Poyang Lake area[J]. Yangtze River, 2021, 52(</w:t>
      </w:r>
      <w:r>
        <w:rPr>
          <w:rFonts w:hint="eastAsia"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 xml:space="preserve">): 29-33. </w:t>
      </w:r>
    </w:p>
    <w:p w14:paraId="60D9204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[18</w:t>
      </w:r>
      <w:r>
        <w:rPr>
          <w:rFonts w:ascii="Times New Roman" w:hAnsi="Times New Roman" w:cs="Times New Roman"/>
          <w:color w:val="auto"/>
          <w:sz w:val="15"/>
          <w:szCs w:val="15"/>
          <w:highlight w:val="none"/>
        </w:rPr>
        <w:t>0</w:t>
      </w:r>
      <w:r>
        <w:rPr>
          <w:rFonts w:hint="eastAsia" w:ascii="Times New Roman" w:hAnsi="Times New Roman" w:cs="Times New Roman"/>
          <w:color w:val="auto"/>
          <w:sz w:val="15"/>
          <w:szCs w:val="15"/>
          <w:highlight w:val="none"/>
        </w:rPr>
        <w:t xml:space="preserve">] 黄艳, 李昌文, 李安强, 等. 变化环境下流域超标准洪水综合应对研究[J]. 人民长江, 2021, </w:t>
      </w:r>
      <w:r>
        <w:rPr>
          <w:rFonts w:hint="eastAsia" w:ascii="Times New Roman" w:hAnsi="Times New Roman" w:cs="Times New Roman"/>
          <w:color w:val="auto"/>
          <w:sz w:val="15"/>
          <w:szCs w:val="15"/>
          <w:highlight w:val="none"/>
        </w:rPr>
        <w:t>52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12-21</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HUANG </w:t>
      </w:r>
      <w:r>
        <w:rPr>
          <w:rFonts w:hint="eastAsia" w:ascii="Times New Roman" w:hAnsi="Times New Roman" w:cs="Times New Roman"/>
          <w:color w:val="auto"/>
          <w:sz w:val="15"/>
          <w:szCs w:val="15"/>
          <w:highlight w:val="none"/>
        </w:rPr>
        <w:t>Y</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C W</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A Q</w:t>
      </w:r>
      <w:r>
        <w:rPr>
          <w:rFonts w:hint="eastAsia" w:ascii="Times New Roman" w:hAnsi="Times New Roman" w:cs="Times New Roman"/>
          <w:color w:val="auto"/>
          <w:sz w:val="15"/>
          <w:szCs w:val="15"/>
          <w:highlight w:val="none"/>
        </w:rPr>
        <w:t xml:space="preserve">, et al. Research on over-standard basin flood and key technologies of comprehensive response under changing environment[J]. Yangtze </w:t>
      </w:r>
      <w:r>
        <w:rPr>
          <w:rFonts w:hint="eastAsia" w:ascii="Times New Roman" w:hAnsi="Times New Roman" w:cs="Times New Roman"/>
          <w:color w:val="auto"/>
          <w:sz w:val="15"/>
          <w:szCs w:val="15"/>
          <w:highlight w:val="none"/>
        </w:rPr>
        <w:t>River</w:t>
      </w:r>
      <w:r>
        <w:rPr>
          <w:rFonts w:hint="eastAsia" w:ascii="Times New Roman" w:hAnsi="Times New Roman" w:cs="Times New Roman"/>
          <w:color w:val="auto"/>
          <w:sz w:val="15"/>
          <w:szCs w:val="15"/>
          <w:highlight w:val="none"/>
        </w:rPr>
        <w:t xml:space="preserve">, 2021, </w:t>
      </w:r>
      <w:r>
        <w:rPr>
          <w:rFonts w:hint="eastAsia" w:ascii="Times New Roman" w:hAnsi="Times New Roman" w:cs="Times New Roman"/>
          <w:color w:val="auto"/>
          <w:sz w:val="15"/>
          <w:szCs w:val="15"/>
          <w:highlight w:val="none"/>
        </w:rPr>
        <w:t>52</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12-21</w:t>
      </w:r>
      <w:r>
        <w:rPr>
          <w:rFonts w:hint="eastAsia" w:ascii="Times New Roman" w:hAnsi="Times New Roman" w:cs="Times New Roman"/>
          <w:color w:val="auto"/>
          <w:sz w:val="15"/>
          <w:szCs w:val="15"/>
          <w:highlight w:val="none"/>
        </w:rPr>
        <w:t xml:space="preserve">. </w:t>
      </w:r>
    </w:p>
    <w:p w14:paraId="60106543">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[18</w:t>
      </w:r>
      <w:r>
        <w:rPr>
          <w:rFonts w:ascii="Times New Roman" w:hAnsi="Times New Roman" w:cs="Times New Roman"/>
          <w:color w:val="auto"/>
          <w:sz w:val="15"/>
          <w:szCs w:val="15"/>
          <w:highlight w:val="none"/>
        </w:rPr>
        <w:t>1</w:t>
      </w:r>
      <w:r>
        <w:rPr>
          <w:rFonts w:hint="eastAsia" w:ascii="Times New Roman" w:hAnsi="Times New Roman" w:cs="Times New Roman"/>
          <w:color w:val="auto"/>
          <w:sz w:val="15"/>
          <w:szCs w:val="15"/>
          <w:highlight w:val="none"/>
        </w:rPr>
        <w:t xml:space="preserve">] XU </w:t>
      </w:r>
      <w:r>
        <w:rPr>
          <w:rFonts w:hint="eastAsia" w:ascii="Times New Roman" w:hAnsi="Times New Roman" w:cs="Times New Roman"/>
          <w:color w:val="auto"/>
          <w:sz w:val="15"/>
          <w:szCs w:val="15"/>
          <w:highlight w:val="none"/>
        </w:rPr>
        <w:t>F B</w:t>
      </w:r>
      <w:r>
        <w:rPr>
          <w:rFonts w:hint="eastAsia" w:ascii="Times New Roman" w:hAnsi="Times New Roman" w:cs="Times New Roman"/>
          <w:color w:val="auto"/>
          <w:sz w:val="15"/>
          <w:szCs w:val="15"/>
          <w:highlight w:val="none"/>
        </w:rPr>
        <w:t xml:space="preserve">, SUN </w:t>
      </w:r>
      <w:r>
        <w:rPr>
          <w:rFonts w:hint="eastAsia" w:ascii="Times New Roman" w:hAnsi="Times New Roman" w:cs="Times New Roman"/>
          <w:color w:val="auto"/>
          <w:sz w:val="15"/>
          <w:szCs w:val="15"/>
          <w:highlight w:val="none"/>
        </w:rPr>
        <w:t>Y B</w:t>
      </w:r>
      <w:r>
        <w:rPr>
          <w:rFonts w:hint="eastAsia" w:ascii="Times New Roman" w:hAnsi="Times New Roman" w:cs="Times New Roman"/>
          <w:color w:val="auto"/>
          <w:sz w:val="15"/>
          <w:szCs w:val="15"/>
          <w:highlight w:val="none"/>
        </w:rPr>
        <w:t xml:space="preserve">, JIANG </w:t>
      </w:r>
      <w:r>
        <w:rPr>
          <w:rFonts w:hint="eastAsia" w:ascii="Times New Roman" w:hAnsi="Times New Roman" w:cs="Times New Roman"/>
          <w:color w:val="auto"/>
          <w:sz w:val="15"/>
          <w:szCs w:val="15"/>
          <w:highlight w:val="none"/>
        </w:rPr>
        <w:t>X H</w:t>
      </w:r>
      <w:r>
        <w:rPr>
          <w:rFonts w:hint="eastAsia" w:ascii="Times New Roman" w:hAnsi="Times New Roman" w:cs="Times New Roman"/>
          <w:color w:val="auto"/>
          <w:sz w:val="15"/>
          <w:szCs w:val="15"/>
          <w:highlight w:val="none"/>
        </w:rPr>
        <w:t xml:space="preserve">, et al. Balancing people and nature’s needs in a changing climate Yellow River Basin: </w:t>
      </w:r>
      <w:r>
        <w:rPr>
          <w:rFonts w:hint="eastAsia" w:ascii="Times New Roman" w:hAnsi="Times New Roman" w:cs="Times New Roman"/>
          <w:color w:val="auto"/>
          <w:sz w:val="15"/>
          <w:szCs w:val="15"/>
          <w:highlight w:val="none"/>
        </w:rPr>
        <w:t>C</w:t>
      </w:r>
      <w:r>
        <w:rPr>
          <w:rFonts w:hint="eastAsia" w:ascii="Times New Roman" w:hAnsi="Times New Roman" w:cs="Times New Roman"/>
          <w:color w:val="auto"/>
          <w:sz w:val="15"/>
          <w:szCs w:val="15"/>
          <w:highlight w:val="none"/>
        </w:rPr>
        <w:t>hallenges and opportunities[J]. International Journal of Water Resources Development, 2025, 41(5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863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883. </w:t>
      </w:r>
    </w:p>
    <w:p w14:paraId="49F7A67D">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[18</w:t>
      </w:r>
      <w:r>
        <w:rPr>
          <w:rFonts w:ascii="Times New Roman" w:hAnsi="Times New Roman" w:cs="Times New Roman"/>
          <w:color w:val="auto"/>
          <w:sz w:val="15"/>
          <w:szCs w:val="15"/>
          <w:highlight w:val="none"/>
        </w:rPr>
        <w:t>2</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AZADGAR 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GAŃCZA</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A</w:t>
      </w:r>
      <w:r>
        <w:rPr>
          <w:rFonts w:hint="eastAsia" w:ascii="Times New Roman" w:hAnsi="Times New Roman" w:cs="Times New Roman"/>
          <w:color w:val="auto"/>
          <w:sz w:val="15"/>
          <w:szCs w:val="15"/>
          <w:highlight w:val="none"/>
        </w:rPr>
        <w:t xml:space="preserve">, ASL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R</w:t>
      </w:r>
      <w:r>
        <w:rPr>
          <w:rFonts w:hint="eastAsia" w:ascii="Times New Roman" w:hAnsi="Times New Roman" w:cs="Times New Roman"/>
          <w:color w:val="auto"/>
          <w:sz w:val="15"/>
          <w:szCs w:val="15"/>
          <w:highlight w:val="none"/>
        </w:rPr>
        <w:t xml:space="preserve">, et al. Optimizing nature-based solutions for urban flood risk mitigation: A multi-objective genetic algorithm approach in Gdańsk, Poland[J]. Science of </w:t>
      </w:r>
      <w:r>
        <w:rPr>
          <w:rFonts w:hint="eastAsia" w:ascii="Times New Roman" w:hAnsi="Times New Roman" w:cs="Times New Roman"/>
          <w:color w:val="auto"/>
          <w:sz w:val="15"/>
          <w:szCs w:val="15"/>
          <w:highlight w:val="none"/>
        </w:rPr>
        <w:t>t</w:t>
      </w:r>
      <w:r>
        <w:rPr>
          <w:rFonts w:hint="eastAsia" w:ascii="Times New Roman" w:hAnsi="Times New Roman" w:cs="Times New Roman"/>
          <w:color w:val="auto"/>
          <w:sz w:val="15"/>
          <w:szCs w:val="15"/>
          <w:highlight w:val="none"/>
        </w:rPr>
        <w:t>he Total Environment, 2025, 963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xml:space="preserve"> 178303. </w:t>
      </w:r>
    </w:p>
    <w:p w14:paraId="0D7B2F12">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[18</w:t>
      </w:r>
      <w:r>
        <w:rPr>
          <w:rFonts w:ascii="Times New Roman" w:hAnsi="Times New Roman" w:cs="Times New Roman"/>
          <w:color w:val="auto"/>
          <w:sz w:val="15"/>
          <w:szCs w:val="15"/>
          <w:highlight w:val="none"/>
        </w:rPr>
        <w:t>3</w:t>
      </w:r>
      <w:r>
        <w:rPr>
          <w:rFonts w:hint="eastAsia" w:ascii="Times New Roman" w:hAnsi="Times New Roman" w:cs="Times New Roman"/>
          <w:color w:val="auto"/>
          <w:sz w:val="15"/>
          <w:szCs w:val="15"/>
          <w:highlight w:val="none"/>
        </w:rPr>
        <w:t xml:space="preserve">] 左海阳. 基于数字孪生的松辽流域水工程防灾联合调度系统探索[J]. 中国防汛抗旱, 2022, </w:t>
      </w:r>
      <w:r>
        <w:rPr>
          <w:rFonts w:hint="eastAsia" w:ascii="Times New Roman" w:hAnsi="Times New Roman" w:cs="Times New Roman"/>
          <w:color w:val="auto"/>
          <w:sz w:val="15"/>
          <w:szCs w:val="15"/>
          <w:highlight w:val="none"/>
        </w:rPr>
        <w:t>32</w:t>
      </w:r>
      <w:r>
        <w:rPr>
          <w:rFonts w:hint="eastAsia" w:ascii="Times New Roman" w:hAnsi="Times New Roman" w:cs="Times New Roman"/>
          <w:color w:val="auto"/>
          <w:sz w:val="15"/>
          <w:szCs w:val="15"/>
          <w:highlight w:val="none"/>
        </w:rPr>
        <w:t>(12)</w:t>
      </w:r>
      <w:r>
        <w:rPr>
          <w:rFonts w:hint="eastAsia" w:ascii="Times New Roman" w:hAnsi="Times New Roman" w:cs="Times New Roman"/>
          <w:color w:val="auto"/>
          <w:sz w:val="15"/>
          <w:szCs w:val="15"/>
          <w:highlight w:val="none"/>
        </w:rPr>
        <w:t>: 41-47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ZUO </w:t>
      </w:r>
      <w:r>
        <w:rPr>
          <w:rFonts w:hint="eastAsia" w:ascii="Times New Roman" w:hAnsi="Times New Roman" w:cs="Times New Roman"/>
          <w:color w:val="auto"/>
          <w:sz w:val="15"/>
          <w:szCs w:val="15"/>
          <w:highlight w:val="none"/>
        </w:rPr>
        <w:t>H Y</w:t>
      </w:r>
      <w:r>
        <w:rPr>
          <w:rFonts w:hint="eastAsia" w:ascii="Times New Roman" w:hAnsi="Times New Roman" w:cs="Times New Roman"/>
          <w:color w:val="auto"/>
          <w:sz w:val="15"/>
          <w:szCs w:val="15"/>
          <w:highlight w:val="none"/>
        </w:rPr>
        <w:t xml:space="preserve">. Research on joint dispatching system for disaster prevention of water projects in Songhua-Liaohe River basin based on Digital Twins[J]. China Flood &amp; Drought Management, 2022, </w:t>
      </w:r>
      <w:r>
        <w:rPr>
          <w:rFonts w:hint="eastAsia" w:ascii="Times New Roman" w:hAnsi="Times New Roman" w:cs="Times New Roman"/>
          <w:color w:val="auto"/>
          <w:sz w:val="15"/>
          <w:szCs w:val="15"/>
          <w:highlight w:val="none"/>
        </w:rPr>
        <w:t>32</w:t>
      </w:r>
      <w:r>
        <w:rPr>
          <w:rFonts w:hint="eastAsia" w:ascii="Times New Roman" w:hAnsi="Times New Roman" w:cs="Times New Roman"/>
          <w:color w:val="auto"/>
          <w:sz w:val="15"/>
          <w:szCs w:val="15"/>
          <w:highlight w:val="none"/>
        </w:rPr>
        <w:t>(12)</w:t>
      </w:r>
      <w:r>
        <w:rPr>
          <w:rFonts w:hint="eastAsia" w:ascii="Times New Roman" w:hAnsi="Times New Roman" w:cs="Times New Roman"/>
          <w:color w:val="auto"/>
          <w:sz w:val="15"/>
          <w:szCs w:val="15"/>
          <w:highlight w:val="none"/>
        </w:rPr>
        <w:t>: 41-47</w:t>
      </w:r>
      <w:r>
        <w:rPr>
          <w:rFonts w:hint="eastAsia" w:ascii="Times New Roman" w:hAnsi="Times New Roman" w:cs="Times New Roman"/>
          <w:color w:val="auto"/>
          <w:sz w:val="15"/>
          <w:szCs w:val="15"/>
          <w:highlight w:val="none"/>
        </w:rPr>
        <w:t xml:space="preserve">. </w:t>
      </w:r>
    </w:p>
    <w:p w14:paraId="21A7851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[18</w:t>
      </w:r>
      <w:r>
        <w:rPr>
          <w:rFonts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X P</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B Q</w:t>
      </w:r>
      <w:r>
        <w:rPr>
          <w:rFonts w:hint="eastAsia" w:ascii="Times New Roman" w:hAnsi="Times New Roman" w:cs="Times New Roman"/>
          <w:color w:val="auto"/>
          <w:sz w:val="15"/>
          <w:szCs w:val="15"/>
          <w:highlight w:val="none"/>
        </w:rPr>
        <w:t xml:space="preserve">, ZHOU </w:t>
      </w:r>
      <w:r>
        <w:rPr>
          <w:rFonts w:hint="eastAsia" w:ascii="Times New Roman" w:hAnsi="Times New Roman" w:cs="Times New Roman"/>
          <w:color w:val="auto"/>
          <w:sz w:val="15"/>
          <w:szCs w:val="15"/>
          <w:highlight w:val="none"/>
        </w:rPr>
        <w:t>G L</w:t>
      </w:r>
      <w:r>
        <w:rPr>
          <w:rFonts w:hint="eastAsia" w:ascii="Times New Roman" w:hAnsi="Times New Roman" w:cs="Times New Roman"/>
          <w:color w:val="auto"/>
          <w:sz w:val="15"/>
          <w:szCs w:val="15"/>
          <w:highlight w:val="none"/>
        </w:rPr>
        <w:t xml:space="preserve">, et al. How a vast digital twin of the Yangtze River could prevent flooding in China[J]. Nature, 2025, 639(8054): 303-305. </w:t>
      </w:r>
    </w:p>
    <w:p w14:paraId="6A94F597">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[18</w:t>
      </w:r>
      <w:r>
        <w:rPr>
          <w:rFonts w:ascii="Times New Roman" w:hAnsi="Times New Roman" w:cs="Times New Roman"/>
          <w:color w:val="auto"/>
          <w:sz w:val="15"/>
          <w:szCs w:val="15"/>
          <w:highlight w:val="none"/>
        </w:rPr>
        <w:t>5</w:t>
      </w:r>
      <w:r>
        <w:rPr>
          <w:rFonts w:hint="eastAsia" w:ascii="Times New Roman" w:hAnsi="Times New Roman" w:cs="Times New Roman"/>
          <w:color w:val="auto"/>
          <w:sz w:val="15"/>
          <w:szCs w:val="15"/>
          <w:highlight w:val="none"/>
        </w:rPr>
        <w:t>] 张肖阳, 詹承豫. 人工智能赋能灾害信息管理研究: 演进与趋势[J]. 中国应急管理科学, 2025(</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 63-79.</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ZHANG </w:t>
      </w:r>
      <w:r>
        <w:rPr>
          <w:rFonts w:hint="eastAsia" w:ascii="Times New Roman" w:hAnsi="Times New Roman" w:cs="Times New Roman"/>
          <w:color w:val="auto"/>
          <w:sz w:val="15"/>
          <w:szCs w:val="15"/>
          <w:highlight w:val="none"/>
        </w:rPr>
        <w:t>X Y</w:t>
      </w:r>
      <w:r>
        <w:rPr>
          <w:rFonts w:hint="eastAsia" w:ascii="Times New Roman" w:hAnsi="Times New Roman" w:cs="Times New Roman"/>
          <w:color w:val="auto"/>
          <w:sz w:val="15"/>
          <w:szCs w:val="15"/>
          <w:highlight w:val="none"/>
        </w:rPr>
        <w:t xml:space="preserve">, ZHAN </w:t>
      </w:r>
      <w:r>
        <w:rPr>
          <w:rFonts w:hint="eastAsia" w:ascii="Times New Roman" w:hAnsi="Times New Roman" w:cs="Times New Roman"/>
          <w:color w:val="auto"/>
          <w:sz w:val="15"/>
          <w:szCs w:val="15"/>
          <w:highlight w:val="none"/>
        </w:rPr>
        <w:t>C Y</w:t>
      </w:r>
      <w:r>
        <w:rPr>
          <w:rFonts w:hint="eastAsia" w:ascii="Times New Roman" w:hAnsi="Times New Roman" w:cs="Times New Roman"/>
          <w:color w:val="auto"/>
          <w:sz w:val="15"/>
          <w:szCs w:val="15"/>
          <w:highlight w:val="none"/>
        </w:rPr>
        <w:t xml:space="preserve">. Overview of artificial intelligence-enabled disaster information management: </w:t>
      </w:r>
      <w:r>
        <w:rPr>
          <w:rFonts w:hint="eastAsia" w:ascii="Times New Roman" w:hAnsi="Times New Roman" w:cs="Times New Roman"/>
          <w:color w:val="auto"/>
          <w:sz w:val="15"/>
          <w:szCs w:val="15"/>
          <w:highlight w:val="none"/>
        </w:rPr>
        <w:t>E</w:t>
      </w:r>
      <w:r>
        <w:rPr>
          <w:rFonts w:hint="eastAsia" w:ascii="Times New Roman" w:hAnsi="Times New Roman" w:cs="Times New Roman"/>
          <w:color w:val="auto"/>
          <w:sz w:val="15"/>
          <w:szCs w:val="15"/>
          <w:highlight w:val="none"/>
        </w:rPr>
        <w:t xml:space="preserve">volution and trends[J]. Journal of China Emergency Management </w:t>
      </w:r>
      <w:r>
        <w:rPr>
          <w:rFonts w:hint="eastAsia" w:ascii="Times New Roman" w:hAnsi="Times New Roman" w:cs="Times New Roman"/>
          <w:color w:val="auto"/>
          <w:sz w:val="15"/>
          <w:szCs w:val="15"/>
          <w:highlight w:val="none"/>
        </w:rPr>
        <w:t>Science</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2025</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9</w:t>
      </w:r>
      <w:r>
        <w:rPr>
          <w:rFonts w:hint="eastAsia" w:ascii="Times New Roman" w:hAnsi="Times New Roman" w:cs="Times New Roman"/>
          <w:color w:val="auto"/>
          <w:sz w:val="15"/>
          <w:szCs w:val="15"/>
          <w:highlight w:val="none"/>
        </w:rPr>
        <w:t xml:space="preserve">): 63-79. </w:t>
      </w:r>
    </w:p>
    <w:p w14:paraId="03481CD0">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[18</w:t>
      </w:r>
      <w:r>
        <w:rPr>
          <w:rFonts w:ascii="Times New Roman" w:hAnsi="Times New Roman" w:cs="Times New Roman"/>
          <w:color w:val="auto"/>
          <w:sz w:val="15"/>
          <w:szCs w:val="15"/>
          <w:highlight w:val="none"/>
        </w:rPr>
        <w:t>6</w:t>
      </w:r>
      <w:r>
        <w:rPr>
          <w:rFonts w:hint="eastAsia" w:ascii="Times New Roman" w:hAnsi="Times New Roman" w:cs="Times New Roman"/>
          <w:color w:val="auto"/>
          <w:sz w:val="15"/>
          <w:szCs w:val="15"/>
          <w:highlight w:val="none"/>
        </w:rPr>
        <w:t xml:space="preserve">] FAN </w:t>
      </w:r>
      <w:r>
        <w:rPr>
          <w:rFonts w:hint="eastAsia" w:ascii="Times New Roman" w:hAnsi="Times New Roman" w:cs="Times New Roman"/>
          <w:color w:val="auto"/>
          <w:sz w:val="15"/>
          <w:szCs w:val="15"/>
          <w:highlight w:val="none"/>
        </w:rPr>
        <w:t>C C</w:t>
      </w:r>
      <w:r>
        <w:rPr>
          <w:rFonts w:hint="eastAsia" w:ascii="Times New Roman" w:hAnsi="Times New Roman" w:cs="Times New Roman"/>
          <w:color w:val="auto"/>
          <w:sz w:val="15"/>
          <w:szCs w:val="15"/>
          <w:highlight w:val="none"/>
        </w:rPr>
        <w:t xml:space="preserve">, HOU </w:t>
      </w:r>
      <w:r>
        <w:rPr>
          <w:rFonts w:hint="eastAsia" w:ascii="Times New Roman" w:hAnsi="Times New Roman" w:cs="Times New Roman"/>
          <w:color w:val="auto"/>
          <w:sz w:val="15"/>
          <w:szCs w:val="15"/>
          <w:highlight w:val="none"/>
        </w:rPr>
        <w:t>J M</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et al. Efficient urban flood control and drainage management framework based on digital twin technology and optimization scheduling algorithm[J]. Water Research, 2025, 282</w:t>
      </w:r>
      <w:r>
        <w:rPr>
          <w:rFonts w:hint="eastAsia" w:ascii="Times New Roman" w:hAnsi="Times New Roman" w:cs="Times New Roman"/>
          <w:color w:val="auto"/>
          <w:sz w:val="15"/>
          <w:szCs w:val="15"/>
          <w:highlight w:val="none"/>
        </w:rPr>
        <w:t>: 123711</w:t>
      </w:r>
      <w:r>
        <w:rPr>
          <w:rFonts w:hint="eastAsia" w:ascii="Times New Roman" w:hAnsi="Times New Roman" w:cs="Times New Roman"/>
          <w:color w:val="auto"/>
          <w:sz w:val="15"/>
          <w:szCs w:val="15"/>
          <w:highlight w:val="none"/>
        </w:rPr>
        <w:t xml:space="preserve">. </w:t>
      </w:r>
    </w:p>
    <w:p w14:paraId="76209DD9">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87</w:t>
      </w:r>
      <w:r>
        <w:rPr>
          <w:rFonts w:hint="eastAsia" w:ascii="Times New Roman" w:hAnsi="Times New Roman" w:cs="Times New Roman"/>
          <w:color w:val="auto"/>
          <w:sz w:val="15"/>
          <w:szCs w:val="15"/>
          <w:highlight w:val="none"/>
        </w:rPr>
        <w:t xml:space="preserve">] 何祥, 胡燕祝, 王松. 一种基于改进LMAW-AHP的城市洪涝韧性评估方法[J]. 北京邮电大学学报, 2025, </w:t>
      </w:r>
      <w:r>
        <w:rPr>
          <w:rFonts w:hint="eastAsia" w:ascii="Times New Roman" w:hAnsi="Times New Roman" w:cs="Times New Roman"/>
          <w:color w:val="auto"/>
          <w:sz w:val="15"/>
          <w:szCs w:val="15"/>
          <w:highlight w:val="none"/>
        </w:rPr>
        <w:t>48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1-6</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HE </w:t>
      </w:r>
      <w:r>
        <w:rPr>
          <w:rFonts w:hint="eastAsia" w:ascii="Times New Roman" w:hAnsi="Times New Roman" w:cs="Times New Roman"/>
          <w:color w:val="auto"/>
          <w:sz w:val="15"/>
          <w:szCs w:val="15"/>
          <w:highlight w:val="none"/>
        </w:rPr>
        <w:t>X</w:t>
      </w:r>
      <w:r>
        <w:rPr>
          <w:rFonts w:hint="eastAsia" w:ascii="Times New Roman" w:hAnsi="Times New Roman" w:cs="Times New Roman"/>
          <w:color w:val="auto"/>
          <w:sz w:val="15"/>
          <w:szCs w:val="15"/>
          <w:highlight w:val="none"/>
        </w:rPr>
        <w:t xml:space="preserve">, HU </w:t>
      </w:r>
      <w:r>
        <w:rPr>
          <w:rFonts w:hint="eastAsia" w:ascii="Times New Roman" w:hAnsi="Times New Roman" w:cs="Times New Roman"/>
          <w:color w:val="auto"/>
          <w:sz w:val="15"/>
          <w:szCs w:val="15"/>
          <w:highlight w:val="none"/>
        </w:rPr>
        <w:t>Y Z</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S</w:t>
      </w:r>
      <w:r>
        <w:rPr>
          <w:rFonts w:hint="eastAsia" w:ascii="Times New Roman" w:hAnsi="Times New Roman" w:cs="Times New Roman"/>
          <w:color w:val="auto"/>
          <w:sz w:val="15"/>
          <w:szCs w:val="15"/>
          <w:highlight w:val="none"/>
        </w:rPr>
        <w:t xml:space="preserve">. An urban flood resilience assessment method based on the improved LMAW-AHP method[J]. Journal of Beijing University of Posts and Telecommunications, 2025, </w:t>
      </w:r>
      <w:r>
        <w:rPr>
          <w:rFonts w:hint="eastAsia" w:ascii="Times New Roman" w:hAnsi="Times New Roman" w:cs="Times New Roman"/>
          <w:color w:val="auto"/>
          <w:sz w:val="15"/>
          <w:szCs w:val="15"/>
          <w:highlight w:val="none"/>
        </w:rPr>
        <w:t>48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4</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1-6</w:t>
      </w:r>
      <w:r>
        <w:rPr>
          <w:rFonts w:hint="eastAsia" w:ascii="Times New Roman" w:hAnsi="Times New Roman" w:cs="Times New Roman"/>
          <w:color w:val="auto"/>
          <w:sz w:val="15"/>
          <w:szCs w:val="15"/>
          <w:highlight w:val="none"/>
        </w:rPr>
        <w:t xml:space="preserve">. </w:t>
      </w:r>
    </w:p>
    <w:p w14:paraId="369C5BA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88</w:t>
      </w:r>
      <w:r>
        <w:rPr>
          <w:rFonts w:hint="eastAsia" w:ascii="Times New Roman" w:hAnsi="Times New Roman" w:cs="Times New Roman"/>
          <w:color w:val="auto"/>
          <w:sz w:val="15"/>
          <w:szCs w:val="15"/>
          <w:highlight w:val="none"/>
        </w:rPr>
        <w:t xml:space="preserve">] 程晓陶, 刘昌军, 李昌志, 等. 变化环境下洪涝风险演变特征与城市韧性提升策略[J]. 水利学报, 2022,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757-768</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br w:type="textWrapping"/>
      </w:r>
      <w:r>
        <w:rPr>
          <w:rFonts w:hint="eastAsia" w:ascii="Times New Roman" w:hAnsi="Times New Roman" w:cs="Times New Roman"/>
          <w:color w:val="auto"/>
          <w:sz w:val="15"/>
          <w:szCs w:val="15"/>
          <w:highlight w:val="none"/>
        </w:rPr>
        <w:t xml:space="preserve">CHENG </w:t>
      </w:r>
      <w:r>
        <w:rPr>
          <w:rFonts w:hint="eastAsia" w:ascii="Times New Roman" w:hAnsi="Times New Roman" w:cs="Times New Roman"/>
          <w:color w:val="auto"/>
          <w:sz w:val="15"/>
          <w:szCs w:val="15"/>
          <w:highlight w:val="none"/>
        </w:rPr>
        <w:t>X T</w:t>
      </w:r>
      <w:r>
        <w:rPr>
          <w:rFonts w:hint="eastAsia" w:ascii="Times New Roman" w:hAnsi="Times New Roman" w:cs="Times New Roman"/>
          <w:color w:val="auto"/>
          <w:sz w:val="15"/>
          <w:szCs w:val="15"/>
          <w:highlight w:val="none"/>
        </w:rPr>
        <w:t xml:space="preserve">, LIU </w:t>
      </w:r>
      <w:r>
        <w:rPr>
          <w:rFonts w:hint="eastAsia" w:ascii="Times New Roman" w:hAnsi="Times New Roman" w:cs="Times New Roman"/>
          <w:color w:val="auto"/>
          <w:sz w:val="15"/>
          <w:szCs w:val="15"/>
          <w:highlight w:val="none"/>
        </w:rPr>
        <w:t>C J</w:t>
      </w:r>
      <w:r>
        <w:rPr>
          <w:rFonts w:hint="eastAsia" w:ascii="Times New Roman" w:hAnsi="Times New Roman" w:cs="Times New Roman"/>
          <w:color w:val="auto"/>
          <w:sz w:val="15"/>
          <w:szCs w:val="15"/>
          <w:highlight w:val="none"/>
        </w:rPr>
        <w:t xml:space="preserve">, LI </w:t>
      </w:r>
      <w:r>
        <w:rPr>
          <w:rFonts w:hint="eastAsia" w:ascii="Times New Roman" w:hAnsi="Times New Roman" w:cs="Times New Roman"/>
          <w:color w:val="auto"/>
          <w:sz w:val="15"/>
          <w:szCs w:val="15"/>
          <w:highlight w:val="none"/>
        </w:rPr>
        <w:t>C Z</w:t>
      </w:r>
      <w:r>
        <w:rPr>
          <w:rFonts w:hint="eastAsia" w:ascii="Times New Roman" w:hAnsi="Times New Roman" w:cs="Times New Roman"/>
          <w:color w:val="auto"/>
          <w:sz w:val="15"/>
          <w:szCs w:val="15"/>
          <w:highlight w:val="none"/>
        </w:rPr>
        <w:t xml:space="preserve">, et al. </w:t>
      </w:r>
      <w:r>
        <w:rPr>
          <w:rFonts w:hint="eastAsia" w:ascii="Times New Roman" w:hAnsi="Times New Roman" w:cs="Times New Roman"/>
          <w:color w:val="auto"/>
          <w:sz w:val="15"/>
          <w:szCs w:val="15"/>
          <w:highlight w:val="none"/>
        </w:rPr>
        <w:t>Evolution</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characteristics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of</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flood</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risk</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under</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changing</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environment</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and</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strategy</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of</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urban resilience</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improvement</w:t>
      </w:r>
      <w:r>
        <w:rPr>
          <w:rFonts w:hint="eastAsia" w:ascii="Times New Roman" w:hAnsi="Times New Roman" w:cs="Times New Roman"/>
          <w:color w:val="auto"/>
          <w:sz w:val="15"/>
          <w:szCs w:val="15"/>
          <w:highlight w:val="none"/>
        </w:rPr>
        <w:t xml:space="preserve">[J]. Journal of Hydraulic Engineering, 2022, </w:t>
      </w:r>
      <w:r>
        <w:rPr>
          <w:rFonts w:hint="eastAsia" w:ascii="Times New Roman" w:hAnsi="Times New Roman" w:cs="Times New Roman"/>
          <w:color w:val="auto"/>
          <w:sz w:val="15"/>
          <w:szCs w:val="15"/>
          <w:highlight w:val="none"/>
        </w:rPr>
        <w:t>53</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7</w:t>
      </w:r>
      <w:r>
        <w:rPr>
          <w:rFonts w:hint="eastAsia" w:ascii="Times New Roman" w:hAnsi="Times New Roman" w:cs="Times New Roman"/>
          <w:color w:val="auto"/>
          <w:sz w:val="15"/>
          <w:szCs w:val="15"/>
          <w:highlight w:val="none"/>
        </w:rPr>
        <w:t>)</w:t>
      </w:r>
      <w:r>
        <w:rPr>
          <w:rFonts w:hint="eastAsia" w:ascii="Times New Roman" w:hAnsi="Times New Roman" w:cs="Times New Roman"/>
          <w:color w:val="auto"/>
          <w:sz w:val="15"/>
          <w:szCs w:val="15"/>
          <w:highlight w:val="none"/>
        </w:rPr>
        <w:t>: 757-768</w:t>
      </w:r>
      <w:r>
        <w:rPr>
          <w:rFonts w:hint="eastAsia" w:ascii="Times New Roman" w:hAnsi="Times New Roman" w:cs="Times New Roman"/>
          <w:color w:val="auto"/>
          <w:sz w:val="15"/>
          <w:szCs w:val="15"/>
          <w:highlight w:val="none"/>
        </w:rPr>
        <w:t xml:space="preserve">. </w:t>
      </w:r>
    </w:p>
    <w:bookmarkEnd w:id="48"/>
    <w:p w14:paraId="26E9A308">
      <w:pPr>
        <w:pStyle w:val="41"/>
        <w:ind w:firstLine="0"/>
        <w:rPr>
          <w:rFonts w:ascii="Times New Roman" w:hAnsi="Times New Roman" w:cs="Times New Roman"/>
          <w:color w:val="auto"/>
          <w:sz w:val="15"/>
          <w:szCs w:val="15"/>
          <w:highlight w:val="none"/>
        </w:rPr>
      </w:pPr>
      <w:r>
        <w:rPr>
          <w:rFonts w:hint="eastAsia" w:ascii="Times New Roman" w:hAnsi="Times New Roman" w:cs="Times New Roman"/>
          <w:color w:val="auto"/>
          <w:sz w:val="15"/>
          <w:szCs w:val="15"/>
          <w:highlight w:val="none"/>
        </w:rPr>
        <w:t>[1</w:t>
      </w:r>
      <w:r>
        <w:rPr>
          <w:rFonts w:ascii="Times New Roman" w:hAnsi="Times New Roman" w:cs="Times New Roman"/>
          <w:color w:val="auto"/>
          <w:sz w:val="15"/>
          <w:szCs w:val="15"/>
          <w:highlight w:val="none"/>
        </w:rPr>
        <w:t>89</w:t>
      </w:r>
      <w:r>
        <w:rPr>
          <w:rFonts w:hint="eastAsia" w:ascii="Times New Roman" w:hAnsi="Times New Roman" w:cs="Times New Roman"/>
          <w:color w:val="auto"/>
          <w:sz w:val="15"/>
          <w:szCs w:val="15"/>
          <w:highlight w:val="none"/>
        </w:rPr>
        <w:t xml:space="preserve">] WU </w:t>
      </w:r>
      <w:r>
        <w:rPr>
          <w:rFonts w:hint="eastAsia" w:ascii="Times New Roman" w:hAnsi="Times New Roman" w:cs="Times New Roman"/>
          <w:color w:val="auto"/>
          <w:sz w:val="15"/>
          <w:szCs w:val="15"/>
          <w:highlight w:val="none"/>
        </w:rPr>
        <w:t>G D</w:t>
      </w:r>
      <w:r>
        <w:rPr>
          <w:rFonts w:hint="eastAsia" w:ascii="Times New Roman" w:hAnsi="Times New Roman" w:cs="Times New Roman"/>
          <w:color w:val="auto"/>
          <w:sz w:val="15"/>
          <w:szCs w:val="15"/>
          <w:highlight w:val="none"/>
        </w:rPr>
        <w:t xml:space="preserve">, HU </w:t>
      </w:r>
      <w:r>
        <w:rPr>
          <w:rFonts w:hint="eastAsia" w:ascii="Times New Roman" w:hAnsi="Times New Roman" w:cs="Times New Roman"/>
          <w:color w:val="auto"/>
          <w:sz w:val="15"/>
          <w:szCs w:val="15"/>
          <w:highlight w:val="none"/>
        </w:rPr>
        <w:t>Z B</w:t>
      </w:r>
      <w:r>
        <w:rPr>
          <w:rFonts w:hint="eastAsia" w:ascii="Times New Roman" w:hAnsi="Times New Roman" w:cs="Times New Roman"/>
          <w:color w:val="auto"/>
          <w:sz w:val="15"/>
          <w:szCs w:val="15"/>
          <w:highlight w:val="none"/>
        </w:rPr>
        <w:t xml:space="preserve">, WANG </w:t>
      </w:r>
      <w:r>
        <w:rPr>
          <w:rFonts w:hint="eastAsia" w:ascii="Times New Roman" w:hAnsi="Times New Roman" w:cs="Times New Roman"/>
          <w:color w:val="auto"/>
          <w:sz w:val="15"/>
          <w:szCs w:val="15"/>
          <w:highlight w:val="none"/>
        </w:rPr>
        <w:t>H M</w:t>
      </w:r>
      <w:r>
        <w:rPr>
          <w:rFonts w:hint="eastAsia" w:ascii="Times New Roman" w:hAnsi="Times New Roman" w:cs="Times New Roman"/>
          <w:color w:val="auto"/>
          <w:sz w:val="15"/>
          <w:szCs w:val="15"/>
          <w:highlight w:val="none"/>
        </w:rPr>
        <w:t>, et al. Adding sectors or strengthening ties</w:t>
      </w:r>
      <w:r>
        <w:rPr>
          <w:rFonts w:hint="eastAsia" w:ascii="Times New Roman" w:hAnsi="Times New Roman" w:cs="Times New Roman"/>
          <w:color w:val="auto"/>
          <w:sz w:val="15"/>
          <w:szCs w:val="15"/>
          <w:highlight w:val="none"/>
        </w:rPr>
        <w:t xml:space="preserve"> </w:t>
      </w:r>
      <w:r>
        <w:rPr>
          <w:rFonts w:hint="eastAsia" w:ascii="Times New Roman" w:hAnsi="Times New Roman" w:cs="Times New Roman"/>
          <w:color w:val="auto"/>
          <w:sz w:val="15"/>
          <w:szCs w:val="15"/>
          <w:highlight w:val="none"/>
        </w:rPr>
        <w:t xml:space="preserve"> Adaptive strategies for cross-sector collaboration in disaster governance[J]. Public Management Review, 2025, 27(9): 2007-2029. </w:t>
      </w:r>
    </w:p>
    <w:p w14:paraId="7ABC21D7">
      <w:pPr>
        <w:pStyle w:val="41"/>
        <w:ind w:firstLine="0"/>
        <w:rPr>
          <w:rFonts w:ascii="Times New Roman" w:hAnsi="Times New Roman" w:cs="Times New Roman"/>
          <w:color w:val="auto"/>
          <w:sz w:val="15"/>
          <w:szCs w:val="15"/>
          <w:highlight w:val="none"/>
        </w:rPr>
      </w:pPr>
    </w:p>
    <w:p w14:paraId="059A90C8">
      <w:pPr>
        <w:pStyle w:val="41"/>
        <w:ind w:firstLine="0"/>
        <w:rPr>
          <w:rFonts w:ascii="Times New Roman" w:hAnsi="Times New Roman" w:cs="Times New Roman"/>
          <w:color w:val="auto"/>
          <w:sz w:val="15"/>
          <w:szCs w:val="15"/>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Lucida Sans Unicode">
    <w:panose1 w:val="020B0602030504020204"/>
    <w:charset w:val="00"/>
    <w:family w:val="swiss"/>
    <w:pitch w:val="default"/>
    <w:sig w:usb0="80001AFF" w:usb1="0000396B" w:usb2="00000000" w:usb3="00000000" w:csb0="200000BF" w:csb1="D7F7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6DA36067">
        <w:pPr>
          <w:pStyle w:val="9"/>
          <w:jc w:val="center"/>
        </w:pPr>
        <w:r>
          <w:fldChar w:fldCharType="begin"/>
        </w:r>
        <w:r>
          <w:instrText xml:space="preserve">PAGE   \* MERGEFORMAT</w:instrText>
        </w:r>
        <w:r>
          <w:fldChar w:fldCharType="separate"/>
        </w:r>
        <w:r>
          <w:rPr>
            <w:lang w:val="zh-CN"/>
          </w:rPr>
          <w:t>3</w:t>
        </w:r>
        <w:r>
          <w:fldChar w:fldCharType="end"/>
        </w:r>
      </w:p>
    </w:sdtContent>
  </w:sdt>
  <w:p w14:paraId="2FB632B3">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WI2ODRkMzA0NDg1Y2I0NTQ4ZGM0Mzk4YWU5MmMifQ=="/>
  </w:docVars>
  <w:rsids>
    <w:rsidRoot w:val="005342F8"/>
    <w:rsid w:val="00002B85"/>
    <w:rsid w:val="00012F4B"/>
    <w:rsid w:val="00021F82"/>
    <w:rsid w:val="0002721F"/>
    <w:rsid w:val="0003250B"/>
    <w:rsid w:val="00032FFE"/>
    <w:rsid w:val="00033233"/>
    <w:rsid w:val="00042417"/>
    <w:rsid w:val="00042541"/>
    <w:rsid w:val="000467E2"/>
    <w:rsid w:val="00046D60"/>
    <w:rsid w:val="00047C1A"/>
    <w:rsid w:val="00050715"/>
    <w:rsid w:val="00051B04"/>
    <w:rsid w:val="00056939"/>
    <w:rsid w:val="00060209"/>
    <w:rsid w:val="00074431"/>
    <w:rsid w:val="0007453A"/>
    <w:rsid w:val="000878A2"/>
    <w:rsid w:val="00087CF4"/>
    <w:rsid w:val="0009295C"/>
    <w:rsid w:val="000A5A5C"/>
    <w:rsid w:val="000B2290"/>
    <w:rsid w:val="000B56B3"/>
    <w:rsid w:val="000C1B1E"/>
    <w:rsid w:val="000C56D8"/>
    <w:rsid w:val="000D628B"/>
    <w:rsid w:val="000D683F"/>
    <w:rsid w:val="000D7C4D"/>
    <w:rsid w:val="000E4741"/>
    <w:rsid w:val="000F6C79"/>
    <w:rsid w:val="000F74F5"/>
    <w:rsid w:val="001055A4"/>
    <w:rsid w:val="00110E8F"/>
    <w:rsid w:val="00117840"/>
    <w:rsid w:val="00123458"/>
    <w:rsid w:val="00133C38"/>
    <w:rsid w:val="00141F88"/>
    <w:rsid w:val="00157E40"/>
    <w:rsid w:val="001613D7"/>
    <w:rsid w:val="00163926"/>
    <w:rsid w:val="001719C3"/>
    <w:rsid w:val="00171EDE"/>
    <w:rsid w:val="00176428"/>
    <w:rsid w:val="00176786"/>
    <w:rsid w:val="00187CB0"/>
    <w:rsid w:val="001B06B7"/>
    <w:rsid w:val="001B528A"/>
    <w:rsid w:val="001C0E00"/>
    <w:rsid w:val="001E03F0"/>
    <w:rsid w:val="001E1359"/>
    <w:rsid w:val="001F11AC"/>
    <w:rsid w:val="001F7688"/>
    <w:rsid w:val="001F7B56"/>
    <w:rsid w:val="0020212B"/>
    <w:rsid w:val="00205CEE"/>
    <w:rsid w:val="0020756B"/>
    <w:rsid w:val="002211F4"/>
    <w:rsid w:val="002225F7"/>
    <w:rsid w:val="00227AC0"/>
    <w:rsid w:val="00230EC7"/>
    <w:rsid w:val="00233117"/>
    <w:rsid w:val="0023700F"/>
    <w:rsid w:val="00237B1F"/>
    <w:rsid w:val="00243F6F"/>
    <w:rsid w:val="00246B86"/>
    <w:rsid w:val="00252EB3"/>
    <w:rsid w:val="002534B5"/>
    <w:rsid w:val="00284F70"/>
    <w:rsid w:val="00291B3A"/>
    <w:rsid w:val="00293F72"/>
    <w:rsid w:val="002940EC"/>
    <w:rsid w:val="0029756F"/>
    <w:rsid w:val="002C7986"/>
    <w:rsid w:val="002D32E4"/>
    <w:rsid w:val="002E6B59"/>
    <w:rsid w:val="002E7897"/>
    <w:rsid w:val="002F0D38"/>
    <w:rsid w:val="002F3D47"/>
    <w:rsid w:val="0030691F"/>
    <w:rsid w:val="003122DD"/>
    <w:rsid w:val="00314B0E"/>
    <w:rsid w:val="003151CD"/>
    <w:rsid w:val="003336A4"/>
    <w:rsid w:val="00341D57"/>
    <w:rsid w:val="00343A52"/>
    <w:rsid w:val="00366AEE"/>
    <w:rsid w:val="00384F02"/>
    <w:rsid w:val="003879B4"/>
    <w:rsid w:val="0039033A"/>
    <w:rsid w:val="00392037"/>
    <w:rsid w:val="003A5491"/>
    <w:rsid w:val="003A7157"/>
    <w:rsid w:val="003B2DAA"/>
    <w:rsid w:val="003B3BB4"/>
    <w:rsid w:val="003C0173"/>
    <w:rsid w:val="003C39AD"/>
    <w:rsid w:val="003D574B"/>
    <w:rsid w:val="003D6C07"/>
    <w:rsid w:val="003F1A77"/>
    <w:rsid w:val="003F24D2"/>
    <w:rsid w:val="003F6751"/>
    <w:rsid w:val="004035B9"/>
    <w:rsid w:val="00404611"/>
    <w:rsid w:val="00414C5D"/>
    <w:rsid w:val="0041655E"/>
    <w:rsid w:val="004240D5"/>
    <w:rsid w:val="0042525E"/>
    <w:rsid w:val="00432601"/>
    <w:rsid w:val="004358A8"/>
    <w:rsid w:val="00440358"/>
    <w:rsid w:val="00443D2D"/>
    <w:rsid w:val="00453C69"/>
    <w:rsid w:val="004557C2"/>
    <w:rsid w:val="004708E0"/>
    <w:rsid w:val="004719AC"/>
    <w:rsid w:val="00484BF8"/>
    <w:rsid w:val="00484DC1"/>
    <w:rsid w:val="0048562D"/>
    <w:rsid w:val="004868B9"/>
    <w:rsid w:val="00486CA0"/>
    <w:rsid w:val="004905B4"/>
    <w:rsid w:val="0049165D"/>
    <w:rsid w:val="004A0C12"/>
    <w:rsid w:val="004A0F66"/>
    <w:rsid w:val="004B52C3"/>
    <w:rsid w:val="004B5818"/>
    <w:rsid w:val="004B7590"/>
    <w:rsid w:val="004C342A"/>
    <w:rsid w:val="004C66E0"/>
    <w:rsid w:val="004C6B3D"/>
    <w:rsid w:val="004D1038"/>
    <w:rsid w:val="004D21A7"/>
    <w:rsid w:val="004D5D2C"/>
    <w:rsid w:val="004E0BDB"/>
    <w:rsid w:val="004E2D59"/>
    <w:rsid w:val="004E3311"/>
    <w:rsid w:val="004E57D4"/>
    <w:rsid w:val="004F5549"/>
    <w:rsid w:val="00500EB6"/>
    <w:rsid w:val="00501100"/>
    <w:rsid w:val="005031F7"/>
    <w:rsid w:val="00507A50"/>
    <w:rsid w:val="005107CF"/>
    <w:rsid w:val="00510BD8"/>
    <w:rsid w:val="00511BFE"/>
    <w:rsid w:val="00517CAC"/>
    <w:rsid w:val="005225D2"/>
    <w:rsid w:val="005303FC"/>
    <w:rsid w:val="005342F8"/>
    <w:rsid w:val="00536262"/>
    <w:rsid w:val="00540C5F"/>
    <w:rsid w:val="00544D22"/>
    <w:rsid w:val="00554EC6"/>
    <w:rsid w:val="005567C0"/>
    <w:rsid w:val="0056264F"/>
    <w:rsid w:val="005646DA"/>
    <w:rsid w:val="00566297"/>
    <w:rsid w:val="0057135D"/>
    <w:rsid w:val="00573138"/>
    <w:rsid w:val="005869E1"/>
    <w:rsid w:val="0059021E"/>
    <w:rsid w:val="005979CD"/>
    <w:rsid w:val="005A0097"/>
    <w:rsid w:val="005A1A97"/>
    <w:rsid w:val="005A48FB"/>
    <w:rsid w:val="005B15EB"/>
    <w:rsid w:val="005B26E0"/>
    <w:rsid w:val="005B60A3"/>
    <w:rsid w:val="005C2DAE"/>
    <w:rsid w:val="005D4464"/>
    <w:rsid w:val="005E021C"/>
    <w:rsid w:val="005E03F6"/>
    <w:rsid w:val="005E06BE"/>
    <w:rsid w:val="005F4463"/>
    <w:rsid w:val="00607E5A"/>
    <w:rsid w:val="00610825"/>
    <w:rsid w:val="006137B3"/>
    <w:rsid w:val="00613D97"/>
    <w:rsid w:val="00614390"/>
    <w:rsid w:val="00621812"/>
    <w:rsid w:val="00622ECE"/>
    <w:rsid w:val="0064392A"/>
    <w:rsid w:val="0064739E"/>
    <w:rsid w:val="00660D1A"/>
    <w:rsid w:val="00661627"/>
    <w:rsid w:val="00673C82"/>
    <w:rsid w:val="00681202"/>
    <w:rsid w:val="00681F5C"/>
    <w:rsid w:val="00687B76"/>
    <w:rsid w:val="00687BA2"/>
    <w:rsid w:val="00691A25"/>
    <w:rsid w:val="00692C12"/>
    <w:rsid w:val="006953E6"/>
    <w:rsid w:val="00697567"/>
    <w:rsid w:val="006A4B60"/>
    <w:rsid w:val="006A4E59"/>
    <w:rsid w:val="006B198E"/>
    <w:rsid w:val="006B70B2"/>
    <w:rsid w:val="006B7CC2"/>
    <w:rsid w:val="006C2069"/>
    <w:rsid w:val="006D18FD"/>
    <w:rsid w:val="006D462B"/>
    <w:rsid w:val="006D549A"/>
    <w:rsid w:val="006D5A35"/>
    <w:rsid w:val="006D6CC9"/>
    <w:rsid w:val="006E0C70"/>
    <w:rsid w:val="006F1C79"/>
    <w:rsid w:val="006F3815"/>
    <w:rsid w:val="006F3CD7"/>
    <w:rsid w:val="00700686"/>
    <w:rsid w:val="00702CAA"/>
    <w:rsid w:val="007048C3"/>
    <w:rsid w:val="00720B15"/>
    <w:rsid w:val="007222A3"/>
    <w:rsid w:val="00730FCE"/>
    <w:rsid w:val="00731560"/>
    <w:rsid w:val="007329A0"/>
    <w:rsid w:val="0073366E"/>
    <w:rsid w:val="00736FD9"/>
    <w:rsid w:val="00737FC4"/>
    <w:rsid w:val="00741119"/>
    <w:rsid w:val="00744FC1"/>
    <w:rsid w:val="007477F8"/>
    <w:rsid w:val="007538D2"/>
    <w:rsid w:val="007540CA"/>
    <w:rsid w:val="00756A24"/>
    <w:rsid w:val="00765790"/>
    <w:rsid w:val="00791807"/>
    <w:rsid w:val="007A1B6A"/>
    <w:rsid w:val="007A258C"/>
    <w:rsid w:val="007B1DB1"/>
    <w:rsid w:val="007B3576"/>
    <w:rsid w:val="007B565C"/>
    <w:rsid w:val="007B703F"/>
    <w:rsid w:val="007C74F8"/>
    <w:rsid w:val="007C7938"/>
    <w:rsid w:val="007D4560"/>
    <w:rsid w:val="007E3E48"/>
    <w:rsid w:val="007E57AD"/>
    <w:rsid w:val="007E7746"/>
    <w:rsid w:val="007F084B"/>
    <w:rsid w:val="007F312F"/>
    <w:rsid w:val="007F35AE"/>
    <w:rsid w:val="007F37F2"/>
    <w:rsid w:val="007F3E96"/>
    <w:rsid w:val="007F41AF"/>
    <w:rsid w:val="007F717A"/>
    <w:rsid w:val="00803235"/>
    <w:rsid w:val="00804330"/>
    <w:rsid w:val="0080441F"/>
    <w:rsid w:val="0081151F"/>
    <w:rsid w:val="008126E0"/>
    <w:rsid w:val="008127C6"/>
    <w:rsid w:val="00816BC1"/>
    <w:rsid w:val="00821AC7"/>
    <w:rsid w:val="00821BF9"/>
    <w:rsid w:val="008469F1"/>
    <w:rsid w:val="00847AA4"/>
    <w:rsid w:val="00853414"/>
    <w:rsid w:val="00860B7A"/>
    <w:rsid w:val="00866130"/>
    <w:rsid w:val="008720A1"/>
    <w:rsid w:val="0087454E"/>
    <w:rsid w:val="00891488"/>
    <w:rsid w:val="00895C5A"/>
    <w:rsid w:val="00897C68"/>
    <w:rsid w:val="008E27AE"/>
    <w:rsid w:val="008E570E"/>
    <w:rsid w:val="008F5EEC"/>
    <w:rsid w:val="0090419A"/>
    <w:rsid w:val="00914927"/>
    <w:rsid w:val="00921028"/>
    <w:rsid w:val="00924E0C"/>
    <w:rsid w:val="00937FE5"/>
    <w:rsid w:val="009424AF"/>
    <w:rsid w:val="00944B1C"/>
    <w:rsid w:val="009478E7"/>
    <w:rsid w:val="00966AD5"/>
    <w:rsid w:val="009751EC"/>
    <w:rsid w:val="0098384E"/>
    <w:rsid w:val="009964C2"/>
    <w:rsid w:val="009A19E8"/>
    <w:rsid w:val="009A48FD"/>
    <w:rsid w:val="009A60D2"/>
    <w:rsid w:val="009A71ED"/>
    <w:rsid w:val="009A7DA1"/>
    <w:rsid w:val="009B07B4"/>
    <w:rsid w:val="009B2D4A"/>
    <w:rsid w:val="009B72B0"/>
    <w:rsid w:val="009C26E1"/>
    <w:rsid w:val="009C4B9A"/>
    <w:rsid w:val="009C538D"/>
    <w:rsid w:val="009C5C09"/>
    <w:rsid w:val="009E0DA8"/>
    <w:rsid w:val="009E1382"/>
    <w:rsid w:val="009E1F87"/>
    <w:rsid w:val="009E23E9"/>
    <w:rsid w:val="009E2A02"/>
    <w:rsid w:val="009E5EB0"/>
    <w:rsid w:val="009F15C1"/>
    <w:rsid w:val="009F6247"/>
    <w:rsid w:val="00A03412"/>
    <w:rsid w:val="00A04899"/>
    <w:rsid w:val="00A05DDA"/>
    <w:rsid w:val="00A05FC7"/>
    <w:rsid w:val="00A22432"/>
    <w:rsid w:val="00A24A3B"/>
    <w:rsid w:val="00A31CEB"/>
    <w:rsid w:val="00A354F2"/>
    <w:rsid w:val="00A35A04"/>
    <w:rsid w:val="00A42719"/>
    <w:rsid w:val="00A428D6"/>
    <w:rsid w:val="00A47553"/>
    <w:rsid w:val="00A53590"/>
    <w:rsid w:val="00A53B6A"/>
    <w:rsid w:val="00A571D0"/>
    <w:rsid w:val="00A57750"/>
    <w:rsid w:val="00A61790"/>
    <w:rsid w:val="00A63055"/>
    <w:rsid w:val="00A63E45"/>
    <w:rsid w:val="00A6766E"/>
    <w:rsid w:val="00A6789E"/>
    <w:rsid w:val="00A72D3F"/>
    <w:rsid w:val="00A76C4B"/>
    <w:rsid w:val="00A908B3"/>
    <w:rsid w:val="00A92B2B"/>
    <w:rsid w:val="00A971F1"/>
    <w:rsid w:val="00AA1A2E"/>
    <w:rsid w:val="00AA1D23"/>
    <w:rsid w:val="00AB4660"/>
    <w:rsid w:val="00AD236C"/>
    <w:rsid w:val="00AD67B4"/>
    <w:rsid w:val="00AE128F"/>
    <w:rsid w:val="00B068F7"/>
    <w:rsid w:val="00B10EC7"/>
    <w:rsid w:val="00B11348"/>
    <w:rsid w:val="00B16CE3"/>
    <w:rsid w:val="00B17E65"/>
    <w:rsid w:val="00B22CE9"/>
    <w:rsid w:val="00B37C2E"/>
    <w:rsid w:val="00B427DE"/>
    <w:rsid w:val="00B4775D"/>
    <w:rsid w:val="00B5684F"/>
    <w:rsid w:val="00B73025"/>
    <w:rsid w:val="00B761AB"/>
    <w:rsid w:val="00B76BBA"/>
    <w:rsid w:val="00B80D22"/>
    <w:rsid w:val="00B86FCC"/>
    <w:rsid w:val="00B952B9"/>
    <w:rsid w:val="00B9795F"/>
    <w:rsid w:val="00B97E37"/>
    <w:rsid w:val="00BB24A8"/>
    <w:rsid w:val="00BB5459"/>
    <w:rsid w:val="00BB65E9"/>
    <w:rsid w:val="00BC1119"/>
    <w:rsid w:val="00BD2D1D"/>
    <w:rsid w:val="00BD5483"/>
    <w:rsid w:val="00BF1857"/>
    <w:rsid w:val="00BF465D"/>
    <w:rsid w:val="00C114CE"/>
    <w:rsid w:val="00C13D25"/>
    <w:rsid w:val="00C2403F"/>
    <w:rsid w:val="00C24B4F"/>
    <w:rsid w:val="00C25ABF"/>
    <w:rsid w:val="00C41438"/>
    <w:rsid w:val="00C41ED6"/>
    <w:rsid w:val="00C46AFA"/>
    <w:rsid w:val="00C46E00"/>
    <w:rsid w:val="00C47AB1"/>
    <w:rsid w:val="00C51FF7"/>
    <w:rsid w:val="00C543FA"/>
    <w:rsid w:val="00C57117"/>
    <w:rsid w:val="00C57F9C"/>
    <w:rsid w:val="00C61D34"/>
    <w:rsid w:val="00C63367"/>
    <w:rsid w:val="00C6590A"/>
    <w:rsid w:val="00C66950"/>
    <w:rsid w:val="00C80F0B"/>
    <w:rsid w:val="00C853B1"/>
    <w:rsid w:val="00C96338"/>
    <w:rsid w:val="00CB0B6B"/>
    <w:rsid w:val="00CD1A00"/>
    <w:rsid w:val="00CD49B4"/>
    <w:rsid w:val="00CF0677"/>
    <w:rsid w:val="00CF07F2"/>
    <w:rsid w:val="00CF2FB4"/>
    <w:rsid w:val="00CF7630"/>
    <w:rsid w:val="00D10BF4"/>
    <w:rsid w:val="00D11EFF"/>
    <w:rsid w:val="00D21056"/>
    <w:rsid w:val="00D21278"/>
    <w:rsid w:val="00D31A5D"/>
    <w:rsid w:val="00D36A4E"/>
    <w:rsid w:val="00D40784"/>
    <w:rsid w:val="00D42F59"/>
    <w:rsid w:val="00D447A6"/>
    <w:rsid w:val="00D500ED"/>
    <w:rsid w:val="00D53EF1"/>
    <w:rsid w:val="00D63895"/>
    <w:rsid w:val="00D64CAB"/>
    <w:rsid w:val="00D64FEC"/>
    <w:rsid w:val="00D67720"/>
    <w:rsid w:val="00D74440"/>
    <w:rsid w:val="00D87879"/>
    <w:rsid w:val="00D91DF7"/>
    <w:rsid w:val="00D93026"/>
    <w:rsid w:val="00D94E11"/>
    <w:rsid w:val="00D94F6B"/>
    <w:rsid w:val="00D95152"/>
    <w:rsid w:val="00D95CFE"/>
    <w:rsid w:val="00D965C0"/>
    <w:rsid w:val="00DA1C20"/>
    <w:rsid w:val="00DA396D"/>
    <w:rsid w:val="00DB7291"/>
    <w:rsid w:val="00DC138C"/>
    <w:rsid w:val="00DD11C3"/>
    <w:rsid w:val="00DD2CB9"/>
    <w:rsid w:val="00DD3D72"/>
    <w:rsid w:val="00DD5B9F"/>
    <w:rsid w:val="00DE0216"/>
    <w:rsid w:val="00DE330E"/>
    <w:rsid w:val="00DF24C9"/>
    <w:rsid w:val="00DF269F"/>
    <w:rsid w:val="00E00043"/>
    <w:rsid w:val="00E011FD"/>
    <w:rsid w:val="00E05B37"/>
    <w:rsid w:val="00E22AE4"/>
    <w:rsid w:val="00E23F0D"/>
    <w:rsid w:val="00E326A7"/>
    <w:rsid w:val="00E41108"/>
    <w:rsid w:val="00E422C8"/>
    <w:rsid w:val="00E53FC9"/>
    <w:rsid w:val="00E5537F"/>
    <w:rsid w:val="00E705BD"/>
    <w:rsid w:val="00E83CC6"/>
    <w:rsid w:val="00E9189C"/>
    <w:rsid w:val="00E91C76"/>
    <w:rsid w:val="00EA2D30"/>
    <w:rsid w:val="00EA3393"/>
    <w:rsid w:val="00EA59FE"/>
    <w:rsid w:val="00EB3113"/>
    <w:rsid w:val="00EC3829"/>
    <w:rsid w:val="00EC6129"/>
    <w:rsid w:val="00ED1BDA"/>
    <w:rsid w:val="00ED79B9"/>
    <w:rsid w:val="00EE02D3"/>
    <w:rsid w:val="00EE5FC9"/>
    <w:rsid w:val="00EF286F"/>
    <w:rsid w:val="00EF7194"/>
    <w:rsid w:val="00F13943"/>
    <w:rsid w:val="00F32004"/>
    <w:rsid w:val="00F332B4"/>
    <w:rsid w:val="00F34001"/>
    <w:rsid w:val="00F348D8"/>
    <w:rsid w:val="00F40BE0"/>
    <w:rsid w:val="00F47E6D"/>
    <w:rsid w:val="00F50A0C"/>
    <w:rsid w:val="00F5597E"/>
    <w:rsid w:val="00F56D5A"/>
    <w:rsid w:val="00F65FF2"/>
    <w:rsid w:val="00F75CDF"/>
    <w:rsid w:val="00F87083"/>
    <w:rsid w:val="00F910CC"/>
    <w:rsid w:val="00F92CAF"/>
    <w:rsid w:val="00F95DE5"/>
    <w:rsid w:val="00F97AE3"/>
    <w:rsid w:val="00FA2C35"/>
    <w:rsid w:val="00FA517E"/>
    <w:rsid w:val="00FA5EC4"/>
    <w:rsid w:val="00FB6CEB"/>
    <w:rsid w:val="00FC0D90"/>
    <w:rsid w:val="00FC54E6"/>
    <w:rsid w:val="00FC5CAB"/>
    <w:rsid w:val="00FC6267"/>
    <w:rsid w:val="00FD0057"/>
    <w:rsid w:val="00FD3F23"/>
    <w:rsid w:val="00FD57E6"/>
    <w:rsid w:val="00FD61BB"/>
    <w:rsid w:val="00FD75C8"/>
    <w:rsid w:val="00FE0DFF"/>
    <w:rsid w:val="00FE3347"/>
    <w:rsid w:val="00FF0016"/>
    <w:rsid w:val="00FF3DCE"/>
    <w:rsid w:val="020437B1"/>
    <w:rsid w:val="020561EB"/>
    <w:rsid w:val="045D1B96"/>
    <w:rsid w:val="063B377E"/>
    <w:rsid w:val="06F67CFA"/>
    <w:rsid w:val="07ED258E"/>
    <w:rsid w:val="0A754301"/>
    <w:rsid w:val="0C1335EF"/>
    <w:rsid w:val="0C8E770F"/>
    <w:rsid w:val="0D902303"/>
    <w:rsid w:val="0E2B6124"/>
    <w:rsid w:val="0EA34F52"/>
    <w:rsid w:val="100D26E5"/>
    <w:rsid w:val="12834052"/>
    <w:rsid w:val="147F5F0E"/>
    <w:rsid w:val="158B066E"/>
    <w:rsid w:val="1649737C"/>
    <w:rsid w:val="16CB5406"/>
    <w:rsid w:val="190E16E0"/>
    <w:rsid w:val="1B8942F1"/>
    <w:rsid w:val="1C9B5E51"/>
    <w:rsid w:val="1CE7D767"/>
    <w:rsid w:val="1E2738CC"/>
    <w:rsid w:val="1EF41F2E"/>
    <w:rsid w:val="1F463F0C"/>
    <w:rsid w:val="1F9F049B"/>
    <w:rsid w:val="20F2462B"/>
    <w:rsid w:val="24D9646C"/>
    <w:rsid w:val="258A6E46"/>
    <w:rsid w:val="27DF1219"/>
    <w:rsid w:val="28A6368F"/>
    <w:rsid w:val="2A7C7530"/>
    <w:rsid w:val="2BF23751"/>
    <w:rsid w:val="2C8E04D3"/>
    <w:rsid w:val="2CA96C55"/>
    <w:rsid w:val="2EC44421"/>
    <w:rsid w:val="384B4DB2"/>
    <w:rsid w:val="385E74D0"/>
    <w:rsid w:val="39645B51"/>
    <w:rsid w:val="3999786B"/>
    <w:rsid w:val="39B04430"/>
    <w:rsid w:val="3A7ADC5E"/>
    <w:rsid w:val="3C752089"/>
    <w:rsid w:val="3D1E68EC"/>
    <w:rsid w:val="3DD7BD5B"/>
    <w:rsid w:val="3E39701B"/>
    <w:rsid w:val="40A86BF9"/>
    <w:rsid w:val="432D5C24"/>
    <w:rsid w:val="46662327"/>
    <w:rsid w:val="47BC660C"/>
    <w:rsid w:val="47C8615B"/>
    <w:rsid w:val="48346E88"/>
    <w:rsid w:val="49A829E6"/>
    <w:rsid w:val="4CE03F7C"/>
    <w:rsid w:val="50314D29"/>
    <w:rsid w:val="50854E7C"/>
    <w:rsid w:val="50A26316"/>
    <w:rsid w:val="5167040A"/>
    <w:rsid w:val="52481A73"/>
    <w:rsid w:val="52672FA8"/>
    <w:rsid w:val="54BFA8F0"/>
    <w:rsid w:val="557E1660"/>
    <w:rsid w:val="56FBB977"/>
    <w:rsid w:val="58AC0B0F"/>
    <w:rsid w:val="59DE3CDD"/>
    <w:rsid w:val="5A6436A8"/>
    <w:rsid w:val="5BD7D145"/>
    <w:rsid w:val="5C0A47B4"/>
    <w:rsid w:val="5EFB0814"/>
    <w:rsid w:val="614F5F26"/>
    <w:rsid w:val="65E34694"/>
    <w:rsid w:val="668967BF"/>
    <w:rsid w:val="6A500FA8"/>
    <w:rsid w:val="6B276665"/>
    <w:rsid w:val="6CDD1226"/>
    <w:rsid w:val="6D597D0C"/>
    <w:rsid w:val="6D7E6433"/>
    <w:rsid w:val="6DCD5D6A"/>
    <w:rsid w:val="6DEA5E99"/>
    <w:rsid w:val="6ED17FE0"/>
    <w:rsid w:val="6EDF988C"/>
    <w:rsid w:val="6F5F14A7"/>
    <w:rsid w:val="6FB65F48"/>
    <w:rsid w:val="6FCF33E3"/>
    <w:rsid w:val="711D2CA3"/>
    <w:rsid w:val="736E5788"/>
    <w:rsid w:val="747C2E90"/>
    <w:rsid w:val="74FA48A1"/>
    <w:rsid w:val="75EF98A8"/>
    <w:rsid w:val="77CE2D7E"/>
    <w:rsid w:val="77F30DF6"/>
    <w:rsid w:val="79992452"/>
    <w:rsid w:val="7A407C42"/>
    <w:rsid w:val="7A6EDC33"/>
    <w:rsid w:val="7AF7EDF2"/>
    <w:rsid w:val="7BCFAF46"/>
    <w:rsid w:val="7BEFB4D9"/>
    <w:rsid w:val="7BFA1063"/>
    <w:rsid w:val="7BFB7F54"/>
    <w:rsid w:val="7BFF94D3"/>
    <w:rsid w:val="7C420B41"/>
    <w:rsid w:val="7CAEF10F"/>
    <w:rsid w:val="7D6715E2"/>
    <w:rsid w:val="7EFF3C36"/>
    <w:rsid w:val="7FCB7AD0"/>
    <w:rsid w:val="9FFB9CDF"/>
    <w:rsid w:val="AEFEA2CB"/>
    <w:rsid w:val="B3FFF0D7"/>
    <w:rsid w:val="B5FD7604"/>
    <w:rsid w:val="B7BB8A5A"/>
    <w:rsid w:val="BD7E22B7"/>
    <w:rsid w:val="BE459242"/>
    <w:rsid w:val="BEDC7B32"/>
    <w:rsid w:val="C7FF2952"/>
    <w:rsid w:val="CF7FFA2F"/>
    <w:rsid w:val="D27F22C2"/>
    <w:rsid w:val="DBFD388C"/>
    <w:rsid w:val="DFFEFE99"/>
    <w:rsid w:val="DFFFD886"/>
    <w:rsid w:val="EBBF56E0"/>
    <w:rsid w:val="F7BD8D3C"/>
    <w:rsid w:val="F8BFEED7"/>
    <w:rsid w:val="FBF782BF"/>
    <w:rsid w:val="FBFB9BC8"/>
    <w:rsid w:val="FDFEF9EB"/>
    <w:rsid w:val="FEDF3563"/>
    <w:rsid w:val="FF96A991"/>
    <w:rsid w:val="FFA241D7"/>
    <w:rsid w:val="FFDFA55F"/>
    <w:rsid w:val="FFEBCA21"/>
    <w:rsid w:val="FFF3C74C"/>
    <w:rsid w:val="FFF7E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5"/>
    <w:qFormat/>
    <w:uiPriority w:val="9"/>
    <w:pPr>
      <w:keepNext/>
      <w:keepLines/>
      <w:spacing w:before="340" w:after="330" w:line="576" w:lineRule="auto"/>
      <w:outlineLvl w:val="0"/>
    </w:pPr>
    <w:rPr>
      <w:rFonts w:eastAsia="黑体"/>
      <w:b/>
      <w:bCs/>
      <w:kern w:val="44"/>
      <w:sz w:val="28"/>
      <w:szCs w:val="44"/>
    </w:rPr>
  </w:style>
  <w:style w:type="paragraph" w:styleId="3">
    <w:name w:val="heading 2"/>
    <w:basedOn w:val="1"/>
    <w:next w:val="1"/>
    <w:link w:val="36"/>
    <w:unhideWhenUsed/>
    <w:qFormat/>
    <w:uiPriority w:val="9"/>
    <w:pPr>
      <w:keepNext/>
      <w:keepLines/>
      <w:outlineLvl w:val="1"/>
    </w:pPr>
    <w:rPr>
      <w:rFonts w:ascii="Cambria" w:hAnsi="Cambria" w:eastAsia="黑体" w:cs="宋体"/>
      <w:bCs/>
      <w:szCs w:val="32"/>
    </w:rPr>
  </w:style>
  <w:style w:type="paragraph" w:styleId="4">
    <w:name w:val="heading 3"/>
    <w:basedOn w:val="1"/>
    <w:next w:val="1"/>
    <w:unhideWhenUsed/>
    <w:qFormat/>
    <w:uiPriority w:val="9"/>
    <w:pPr>
      <w:jc w:val="left"/>
      <w:outlineLvl w:val="2"/>
    </w:pPr>
    <w:rPr>
      <w:rFonts w:hint="eastAsia" w:ascii="宋体" w:hAnsi="宋体" w:eastAsia="楷体" w:cs="Times New Roman"/>
      <w:kern w:val="0"/>
      <w:szCs w:val="27"/>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annotation text"/>
    <w:basedOn w:val="1"/>
    <w:link w:val="46"/>
    <w:semiHidden/>
    <w:unhideWhenUsed/>
    <w:qFormat/>
    <w:uiPriority w:val="99"/>
    <w:pPr>
      <w:jc w:val="left"/>
    </w:pPr>
  </w:style>
  <w:style w:type="paragraph" w:styleId="7">
    <w:name w:val="Body Text"/>
    <w:basedOn w:val="1"/>
    <w:link w:val="48"/>
    <w:unhideWhenUsed/>
    <w:qFormat/>
    <w:uiPriority w:val="99"/>
    <w:pPr>
      <w:spacing w:after="120"/>
    </w:pPr>
  </w:style>
  <w:style w:type="paragraph" w:styleId="8">
    <w:name w:val="Balloon Text"/>
    <w:basedOn w:val="1"/>
    <w:link w:val="34"/>
    <w:unhideWhenUsed/>
    <w:qFormat/>
    <w:uiPriority w:val="99"/>
    <w:rPr>
      <w:sz w:val="18"/>
      <w:szCs w:val="18"/>
    </w:rPr>
  </w:style>
  <w:style w:type="paragraph" w:styleId="9">
    <w:name w:val="footer"/>
    <w:basedOn w:val="1"/>
    <w:link w:val="2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footnote text"/>
    <w:basedOn w:val="1"/>
    <w:link w:val="30"/>
    <w:unhideWhenUsed/>
    <w:qFormat/>
    <w:uiPriority w:val="0"/>
    <w:pPr>
      <w:snapToGrid w:val="0"/>
      <w:jc w:val="left"/>
    </w:pPr>
    <w:rPr>
      <w:sz w:val="18"/>
      <w:szCs w:val="20"/>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37"/>
    <w:qFormat/>
    <w:uiPriority w:val="10"/>
    <w:pPr>
      <w:spacing w:before="240" w:after="60"/>
      <w:jc w:val="center"/>
      <w:outlineLvl w:val="0"/>
    </w:pPr>
    <w:rPr>
      <w:rFonts w:ascii="Cambria" w:hAnsi="Cambria" w:cs="Times New Roman"/>
      <w:b/>
      <w:bCs/>
      <w:sz w:val="48"/>
      <w:szCs w:val="32"/>
    </w:rPr>
  </w:style>
  <w:style w:type="paragraph" w:styleId="14">
    <w:name w:val="annotation subject"/>
    <w:basedOn w:val="6"/>
    <w:next w:val="6"/>
    <w:link w:val="47"/>
    <w:semiHidden/>
    <w:unhideWhenUsed/>
    <w:qFormat/>
    <w:uiPriority w:val="99"/>
    <w:rPr>
      <w:b/>
      <w:bCs/>
    </w:rPr>
  </w:style>
  <w:style w:type="table" w:styleId="16">
    <w:name w:val="Table Grid"/>
    <w:basedOn w:val="15"/>
    <w:qFormat/>
    <w:uiPriority w:val="39"/>
    <w:rPr>
      <w:rFonts w:asciiTheme="minorHAnsi" w:hAnsiTheme="minorHAnsi" w:eastAsiaTheme="minorEastAsia"/>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22"/>
    <w:rPr>
      <w:b/>
      <w:bCs/>
    </w:rPr>
  </w:style>
  <w:style w:type="character" w:styleId="19">
    <w:name w:val="FollowedHyperlink"/>
    <w:basedOn w:val="17"/>
    <w:semiHidden/>
    <w:unhideWhenUsed/>
    <w:qFormat/>
    <w:uiPriority w:val="99"/>
    <w:rPr>
      <w:color w:val="666666"/>
      <w:u w:val="none"/>
    </w:rPr>
  </w:style>
  <w:style w:type="character" w:styleId="20">
    <w:name w:val="Emphasis"/>
    <w:basedOn w:val="17"/>
    <w:qFormat/>
    <w:uiPriority w:val="20"/>
  </w:style>
  <w:style w:type="character" w:styleId="21">
    <w:name w:val="HTML Definition"/>
    <w:basedOn w:val="17"/>
    <w:semiHidden/>
    <w:unhideWhenUsed/>
    <w:qFormat/>
    <w:uiPriority w:val="99"/>
  </w:style>
  <w:style w:type="character" w:styleId="22">
    <w:name w:val="HTML Acronym"/>
    <w:basedOn w:val="17"/>
    <w:semiHidden/>
    <w:unhideWhenUsed/>
    <w:qFormat/>
    <w:uiPriority w:val="99"/>
  </w:style>
  <w:style w:type="character" w:styleId="23">
    <w:name w:val="HTML Variable"/>
    <w:basedOn w:val="17"/>
    <w:semiHidden/>
    <w:unhideWhenUsed/>
    <w:qFormat/>
    <w:uiPriority w:val="99"/>
  </w:style>
  <w:style w:type="character" w:styleId="24">
    <w:name w:val="Hyperlink"/>
    <w:unhideWhenUsed/>
    <w:qFormat/>
    <w:uiPriority w:val="99"/>
    <w:rPr>
      <w:color w:val="0000FF"/>
      <w:u w:val="single"/>
    </w:rPr>
  </w:style>
  <w:style w:type="character" w:styleId="25">
    <w:name w:val="HTML Code"/>
    <w:basedOn w:val="17"/>
    <w:semiHidden/>
    <w:unhideWhenUsed/>
    <w:qFormat/>
    <w:uiPriority w:val="99"/>
    <w:rPr>
      <w:rFonts w:ascii="Courier New" w:hAnsi="Courier New"/>
      <w:sz w:val="20"/>
    </w:rPr>
  </w:style>
  <w:style w:type="character" w:styleId="26">
    <w:name w:val="annotation reference"/>
    <w:basedOn w:val="17"/>
    <w:semiHidden/>
    <w:unhideWhenUsed/>
    <w:qFormat/>
    <w:uiPriority w:val="99"/>
    <w:rPr>
      <w:sz w:val="21"/>
      <w:szCs w:val="21"/>
    </w:rPr>
  </w:style>
  <w:style w:type="character" w:styleId="27">
    <w:name w:val="HTML Cite"/>
    <w:basedOn w:val="17"/>
    <w:semiHidden/>
    <w:unhideWhenUsed/>
    <w:qFormat/>
    <w:uiPriority w:val="99"/>
  </w:style>
  <w:style w:type="character" w:customStyle="1" w:styleId="28">
    <w:name w:val="页眉 字符"/>
    <w:basedOn w:val="17"/>
    <w:link w:val="10"/>
    <w:qFormat/>
    <w:uiPriority w:val="99"/>
    <w:rPr>
      <w:sz w:val="18"/>
      <w:szCs w:val="18"/>
    </w:rPr>
  </w:style>
  <w:style w:type="character" w:customStyle="1" w:styleId="29">
    <w:name w:val="页脚 字符"/>
    <w:basedOn w:val="17"/>
    <w:link w:val="9"/>
    <w:qFormat/>
    <w:uiPriority w:val="99"/>
    <w:rPr>
      <w:sz w:val="18"/>
      <w:szCs w:val="18"/>
    </w:rPr>
  </w:style>
  <w:style w:type="character" w:customStyle="1" w:styleId="30">
    <w:name w:val="脚注文本 字符"/>
    <w:basedOn w:val="17"/>
    <w:link w:val="11"/>
    <w:semiHidden/>
    <w:qFormat/>
    <w:uiPriority w:val="0"/>
    <w:rPr>
      <w:rFonts w:ascii="Calibri" w:hAnsi="Calibri" w:eastAsia="宋体" w:cs="黑体"/>
      <w:sz w:val="18"/>
      <w:szCs w:val="20"/>
    </w:rPr>
  </w:style>
  <w:style w:type="paragraph" w:customStyle="1" w:styleId="31">
    <w:name w:val="reader-word-layer reader-word-s2-12"/>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列出段落1"/>
    <w:basedOn w:val="1"/>
    <w:qFormat/>
    <w:uiPriority w:val="34"/>
    <w:pPr>
      <w:ind w:firstLine="420" w:firstLineChars="200"/>
    </w:pPr>
  </w:style>
  <w:style w:type="character" w:customStyle="1" w:styleId="33">
    <w:name w:val="apple-converted-space"/>
    <w:basedOn w:val="17"/>
    <w:qFormat/>
    <w:uiPriority w:val="0"/>
  </w:style>
  <w:style w:type="character" w:customStyle="1" w:styleId="34">
    <w:name w:val="批注框文本 字符"/>
    <w:basedOn w:val="17"/>
    <w:link w:val="8"/>
    <w:semiHidden/>
    <w:qFormat/>
    <w:uiPriority w:val="99"/>
    <w:rPr>
      <w:rFonts w:ascii="Calibri" w:hAnsi="Calibri" w:eastAsia="宋体" w:cs="黑体"/>
      <w:sz w:val="18"/>
      <w:szCs w:val="18"/>
    </w:rPr>
  </w:style>
  <w:style w:type="character" w:customStyle="1" w:styleId="35">
    <w:name w:val="标题 1 字符"/>
    <w:basedOn w:val="17"/>
    <w:link w:val="2"/>
    <w:qFormat/>
    <w:uiPriority w:val="9"/>
    <w:rPr>
      <w:rFonts w:ascii="Calibri" w:hAnsi="Calibri" w:eastAsia="黑体" w:cs="黑体"/>
      <w:b/>
      <w:bCs/>
      <w:kern w:val="44"/>
      <w:sz w:val="28"/>
      <w:szCs w:val="44"/>
    </w:rPr>
  </w:style>
  <w:style w:type="character" w:customStyle="1" w:styleId="36">
    <w:name w:val="标题 2 字符"/>
    <w:basedOn w:val="17"/>
    <w:link w:val="3"/>
    <w:qFormat/>
    <w:uiPriority w:val="9"/>
    <w:rPr>
      <w:rFonts w:ascii="Cambria" w:hAnsi="Cambria" w:eastAsia="黑体" w:cs="宋体"/>
      <w:bCs/>
      <w:kern w:val="2"/>
      <w:sz w:val="21"/>
      <w:szCs w:val="32"/>
    </w:rPr>
  </w:style>
  <w:style w:type="character" w:customStyle="1" w:styleId="37">
    <w:name w:val="标题 字符"/>
    <w:basedOn w:val="17"/>
    <w:link w:val="13"/>
    <w:qFormat/>
    <w:uiPriority w:val="10"/>
    <w:rPr>
      <w:rFonts w:ascii="Cambria" w:hAnsi="Cambria" w:eastAsia="宋体" w:cs="Times New Roman"/>
      <w:b/>
      <w:bCs/>
      <w:sz w:val="48"/>
      <w:szCs w:val="32"/>
    </w:rPr>
  </w:style>
  <w:style w:type="table" w:customStyle="1" w:styleId="38">
    <w:name w:val="网格型1"/>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focus"/>
    <w:basedOn w:val="17"/>
    <w:qFormat/>
    <w:uiPriority w:val="0"/>
  </w:style>
  <w:style w:type="paragraph" w:customStyle="1" w:styleId="40">
    <w:name w:val="图表标题"/>
    <w:qFormat/>
    <w:uiPriority w:val="0"/>
    <w:pPr>
      <w:snapToGrid w:val="0"/>
      <w:spacing w:beforeLines="10" w:afterLines="10" w:line="360" w:lineRule="auto"/>
      <w:jc w:val="center"/>
    </w:pPr>
    <w:rPr>
      <w:rFonts w:ascii="Times New Roman" w:hAnsi="Times New Roman" w:eastAsia="黑体" w:cs="Times New Roman"/>
      <w:b/>
      <w:sz w:val="18"/>
      <w:lang w:val="en-US" w:eastAsia="zh-CN" w:bidi="ar-SA"/>
    </w:rPr>
  </w:style>
  <w:style w:type="paragraph" w:styleId="41">
    <w:name w:val="List Paragraph"/>
    <w:basedOn w:val="1"/>
    <w:qFormat/>
    <w:uiPriority w:val="34"/>
    <w:pPr>
      <w:ind w:firstLine="420"/>
    </w:pPr>
  </w:style>
  <w:style w:type="paragraph" w:customStyle="1" w:styleId="42">
    <w:name w:val="标准三号正文"/>
    <w:basedOn w:val="1"/>
    <w:qFormat/>
    <w:uiPriority w:val="0"/>
    <w:pPr>
      <w:spacing w:line="360" w:lineRule="auto"/>
      <w:ind w:firstLine="880" w:firstLineChars="200"/>
    </w:pPr>
    <w:rPr>
      <w:rFonts w:ascii="宋体" w:hAnsi="宋体" w:eastAsia="仿宋"/>
      <w:sz w:val="32"/>
    </w:rPr>
  </w:style>
  <w:style w:type="character" w:customStyle="1" w:styleId="43">
    <w:name w:val="未处理的提及1"/>
    <w:basedOn w:val="17"/>
    <w:semiHidden/>
    <w:unhideWhenUsed/>
    <w:qFormat/>
    <w:uiPriority w:val="99"/>
    <w:rPr>
      <w:color w:val="605E5C"/>
      <w:shd w:val="clear" w:color="auto" w:fill="E1DFDD"/>
    </w:rPr>
  </w:style>
  <w:style w:type="table" w:customStyle="1" w:styleId="44">
    <w:name w:val="网格型2"/>
    <w:basedOn w:val="15"/>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修订1"/>
    <w:hidden/>
    <w:semiHidden/>
    <w:qFormat/>
    <w:uiPriority w:val="99"/>
    <w:rPr>
      <w:rFonts w:ascii="Calibri" w:hAnsi="Calibri" w:eastAsia="宋体" w:cs="黑体"/>
      <w:kern w:val="2"/>
      <w:sz w:val="21"/>
      <w:szCs w:val="22"/>
      <w:lang w:val="en-US" w:eastAsia="zh-CN" w:bidi="ar-SA"/>
    </w:rPr>
  </w:style>
  <w:style w:type="character" w:customStyle="1" w:styleId="46">
    <w:name w:val="批注文字 字符"/>
    <w:basedOn w:val="17"/>
    <w:link w:val="6"/>
    <w:semiHidden/>
    <w:qFormat/>
    <w:uiPriority w:val="99"/>
    <w:rPr>
      <w:rFonts w:ascii="Calibri" w:hAnsi="Calibri" w:cs="黑体"/>
      <w:kern w:val="2"/>
      <w:sz w:val="21"/>
      <w:szCs w:val="22"/>
    </w:rPr>
  </w:style>
  <w:style w:type="character" w:customStyle="1" w:styleId="47">
    <w:name w:val="批注主题 字符"/>
    <w:basedOn w:val="46"/>
    <w:link w:val="14"/>
    <w:semiHidden/>
    <w:qFormat/>
    <w:uiPriority w:val="99"/>
    <w:rPr>
      <w:rFonts w:ascii="Calibri" w:hAnsi="Calibri" w:cs="黑体"/>
      <w:b/>
      <w:bCs/>
      <w:kern w:val="2"/>
      <w:sz w:val="21"/>
      <w:szCs w:val="22"/>
    </w:rPr>
  </w:style>
  <w:style w:type="character" w:customStyle="1" w:styleId="48">
    <w:name w:val="正文文本 字符"/>
    <w:basedOn w:val="17"/>
    <w:link w:val="7"/>
    <w:qFormat/>
    <w:uiPriority w:val="99"/>
    <w:rPr>
      <w:rFonts w:ascii="Calibri" w:hAnsi="Calibri" w:cs="黑体"/>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D1761-2D7E-4F3F-B248-DAC538E24BF8}">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10241</Words>
  <Characters>14090</Characters>
  <Lines>525</Lines>
  <Paragraphs>147</Paragraphs>
  <TotalTime>364</TotalTime>
  <ScaleCrop>false</ScaleCrop>
  <LinksUpToDate>false</LinksUpToDate>
  <CharactersWithSpaces>14736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2026-03-06T09:41:00Z</dcterms:created>
  <dc:creator>guolina</dc:creator>
  <cp:lastModifiedBy>aaa</cp:lastModifiedBy>
  <cp:lastPrinted>2014-05-08T03:26:00Z</cp:lastPrinted>
  <dcterms:modified xsi:type="dcterms:W3CDTF">2026-03-25T08:36:46Z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A7DC23A9BEA9433DBA0BEC4D97D39AA8</vt:lpwstr>
  </property>
  <property fmtid="{D5CDD505-2E9C-101B-9397-08002B2CF9AE}" pid="4" name="KSOTemplateDocerSaveRecord">
    <vt:lpwstr>eyJoZGlkIjoiZGE2Mjg2YTZkZTMyMTYwY2M1OTQ5YzJlN2MyYmRjOGEiLCJ1c2VySWQiOiIyNjUyMTM2ODcifQ==</vt:lpwstr>
  </property>
</Properties>
</file>