
<file path=[Content_Types].xml><?xml version="1.0" encoding="utf-8"?>
<Types xmlns="http://schemas.openxmlformats.org/package/2006/content-types">
  <Default Extension="bin" ContentType="application/vnd.openxmlformats-officedocument.oleObject"/>
  <Default Extension="jpeg" ContentType="image/jpeg"/>
  <Default Extension="JPG" ContentType="image/.jpg"/>
  <Default Extension="wmf" ContentType="image/x-w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278A2E">
      <w:pPr>
        <w:ind w:firstLine="0" w:firstLineChars="0"/>
        <w:jc w:val="center"/>
        <w:rPr>
          <w:rFonts w:ascii="黑体" w:hAnsi="黑体" w:eastAsia="黑体" w:cs="黑体"/>
          <w:b/>
          <w:sz w:val="32"/>
          <w:szCs w:val="32"/>
        </w:rPr>
      </w:pPr>
      <w:r>
        <w:rPr>
          <w:rFonts w:hint="eastAsia" w:ascii="黑体" w:hAnsi="黑体" w:eastAsia="黑体" w:cs="黑体"/>
          <w:b/>
          <w:sz w:val="48"/>
          <w:szCs w:val="48"/>
        </w:rPr>
        <w:t>土地利用驱动的少资料流域分布式水文模型参数区域化方法：以跨境湄公河流域为例</w:t>
      </w:r>
    </w:p>
    <w:p w14:paraId="75890638">
      <w:pPr>
        <w:autoSpaceDE w:val="0"/>
        <w:autoSpaceDN w:val="0"/>
        <w:adjustRightInd w:val="0"/>
        <w:ind w:firstLine="0" w:firstLineChars="0"/>
        <w:jc w:val="center"/>
        <w:rPr>
          <w:rFonts w:ascii="楷体" w:hAnsi="楷体" w:eastAsia="楷体" w:cs="楷体"/>
          <w:kern w:val="0"/>
          <w:sz w:val="28"/>
          <w:szCs w:val="28"/>
          <w:lang w:val="zh-CN"/>
        </w:rPr>
      </w:pPr>
      <w:r>
        <w:rPr>
          <w:rFonts w:hint="eastAsia" w:ascii="楷体" w:hAnsi="楷体" w:eastAsia="楷体" w:cs="楷体"/>
          <w:sz w:val="28"/>
          <w:szCs w:val="28"/>
          <w:lang w:val="zh-CN"/>
        </w:rPr>
        <w:t>刘罗汇</w:t>
      </w:r>
      <w:r>
        <w:rPr>
          <w:rStyle w:val="20"/>
          <w:rFonts w:ascii="楷体" w:hAnsi="楷体" w:eastAsia="楷体" w:cs="楷体"/>
          <w:kern w:val="0"/>
          <w:sz w:val="28"/>
          <w:szCs w:val="28"/>
          <w:lang w:val="zh-CN"/>
        </w:rPr>
        <w:footnoteReference w:id="0"/>
      </w:r>
      <w:r>
        <w:rPr>
          <w:rFonts w:hint="eastAsia" w:ascii="楷体" w:hAnsi="楷体" w:eastAsia="楷体" w:cs="楷体"/>
          <w:kern w:val="0"/>
          <w:sz w:val="28"/>
          <w:szCs w:val="28"/>
          <w:lang w:val="zh-CN"/>
        </w:rPr>
        <w:t>，</w:t>
      </w:r>
      <w:r>
        <w:rPr>
          <w:rFonts w:hint="eastAsia" w:ascii="楷体" w:hAnsi="楷体" w:eastAsia="楷体" w:cs="楷体"/>
          <w:sz w:val="28"/>
          <w:szCs w:val="28"/>
          <w:lang w:val="zh-CN"/>
        </w:rPr>
        <w:t>徐</w:t>
      </w:r>
      <w:r>
        <w:rPr>
          <w:rFonts w:hint="eastAsia" w:ascii="楷体" w:hAnsi="楷体" w:eastAsia="楷体" w:cs="楷体"/>
          <w:sz w:val="28"/>
          <w:szCs w:val="28"/>
        </w:rPr>
        <w:t xml:space="preserve">  </w:t>
      </w:r>
      <w:r>
        <w:rPr>
          <w:rFonts w:hint="eastAsia" w:ascii="楷体" w:hAnsi="楷体" w:eastAsia="楷体" w:cs="楷体"/>
          <w:sz w:val="28"/>
          <w:szCs w:val="28"/>
          <w:lang w:val="zh-CN"/>
        </w:rPr>
        <w:t>炜</w:t>
      </w:r>
      <w:r>
        <w:rPr>
          <w:rStyle w:val="20"/>
          <w:rFonts w:hint="eastAsia" w:ascii="楷体" w:hAnsi="楷体" w:eastAsia="楷体" w:cs="楷体"/>
          <w:kern w:val="0"/>
          <w:sz w:val="28"/>
          <w:szCs w:val="28"/>
          <w:lang w:val="zh-CN"/>
        </w:rPr>
        <w:t>1</w:t>
      </w:r>
      <w:r>
        <w:rPr>
          <w:rFonts w:hint="eastAsia" w:ascii="楷体" w:hAnsi="楷体" w:eastAsia="楷体" w:cs="楷体"/>
          <w:kern w:val="0"/>
          <w:sz w:val="28"/>
          <w:szCs w:val="28"/>
          <w:lang w:val="zh-CN"/>
        </w:rPr>
        <w:t>，</w:t>
      </w:r>
      <w:r>
        <w:rPr>
          <w:rFonts w:hint="eastAsia" w:ascii="楷体" w:hAnsi="楷体" w:eastAsia="楷体" w:cs="楷体"/>
          <w:sz w:val="28"/>
          <w:szCs w:val="28"/>
          <w:lang w:val="zh-CN"/>
        </w:rPr>
        <w:t>林果果</w:t>
      </w:r>
      <w:r>
        <w:rPr>
          <w:rStyle w:val="20"/>
          <w:rFonts w:hint="eastAsia" w:ascii="楷体" w:hAnsi="楷体" w:eastAsia="楷体" w:cs="楷体"/>
          <w:kern w:val="0"/>
          <w:sz w:val="28"/>
          <w:szCs w:val="28"/>
          <w:lang w:val="zh-CN"/>
        </w:rPr>
        <w:t>2</w:t>
      </w:r>
      <w:r>
        <w:rPr>
          <w:rFonts w:hint="eastAsia" w:ascii="楷体" w:hAnsi="楷体" w:eastAsia="楷体" w:cs="楷体"/>
          <w:kern w:val="0"/>
          <w:sz w:val="28"/>
          <w:szCs w:val="28"/>
          <w:lang w:val="zh-CN"/>
        </w:rPr>
        <w:t>，</w:t>
      </w:r>
      <w:r>
        <w:rPr>
          <w:rFonts w:hint="eastAsia" w:ascii="楷体" w:hAnsi="楷体" w:eastAsia="楷体" w:cs="楷体"/>
          <w:sz w:val="28"/>
          <w:szCs w:val="28"/>
          <w:lang w:val="zh-CN"/>
        </w:rPr>
        <w:t>胡小琴</w:t>
      </w:r>
      <w:r>
        <w:rPr>
          <w:rStyle w:val="20"/>
          <w:rFonts w:hint="eastAsia" w:ascii="楷体" w:hAnsi="楷体" w:eastAsia="楷体" w:cs="楷体"/>
          <w:kern w:val="0"/>
          <w:sz w:val="28"/>
          <w:szCs w:val="28"/>
          <w:lang w:val="zh-CN"/>
        </w:rPr>
        <w:t>2</w:t>
      </w:r>
      <w:r>
        <w:rPr>
          <w:rFonts w:hint="eastAsia" w:ascii="楷体" w:hAnsi="楷体" w:eastAsia="楷体" w:cs="楷体"/>
          <w:kern w:val="0"/>
          <w:sz w:val="28"/>
          <w:szCs w:val="28"/>
          <w:lang w:val="zh-CN"/>
        </w:rPr>
        <w:t>，</w:t>
      </w:r>
      <w:r>
        <w:rPr>
          <w:rFonts w:hint="eastAsia" w:ascii="楷体" w:hAnsi="楷体" w:eastAsia="楷体" w:cs="楷体"/>
          <w:sz w:val="28"/>
          <w:szCs w:val="28"/>
          <w:lang w:val="zh-CN"/>
        </w:rPr>
        <w:t>肖玉成</w:t>
      </w:r>
      <w:r>
        <w:rPr>
          <w:rStyle w:val="20"/>
          <w:rFonts w:hint="eastAsia" w:ascii="楷体" w:hAnsi="楷体" w:eastAsia="楷体" w:cs="楷体"/>
          <w:kern w:val="0"/>
          <w:sz w:val="28"/>
          <w:szCs w:val="28"/>
          <w:lang w:val="zh-CN"/>
        </w:rPr>
        <w:t>2</w:t>
      </w:r>
      <w:r>
        <w:rPr>
          <w:rFonts w:hint="eastAsia" w:ascii="楷体" w:hAnsi="楷体" w:eastAsia="楷体" w:cs="楷体"/>
          <w:kern w:val="0"/>
          <w:sz w:val="28"/>
          <w:szCs w:val="28"/>
          <w:lang w:val="zh-CN"/>
        </w:rPr>
        <w:t>，</w:t>
      </w:r>
      <w:r>
        <w:rPr>
          <w:rFonts w:hint="eastAsia" w:ascii="楷体" w:hAnsi="楷体" w:eastAsia="楷体" w:cs="楷体"/>
          <w:sz w:val="28"/>
          <w:szCs w:val="28"/>
          <w:lang w:val="zh-CN"/>
        </w:rPr>
        <w:t>姜颖柔</w:t>
      </w:r>
      <w:r>
        <w:rPr>
          <w:rStyle w:val="20"/>
          <w:rFonts w:hint="eastAsia" w:ascii="楷体" w:hAnsi="楷体" w:eastAsia="楷体" w:cs="楷体"/>
          <w:kern w:val="0"/>
          <w:sz w:val="28"/>
          <w:szCs w:val="28"/>
          <w:lang w:val="zh-CN"/>
        </w:rPr>
        <w:t>1</w:t>
      </w:r>
    </w:p>
    <w:p w14:paraId="07A97A4E">
      <w:pPr>
        <w:ind w:firstLine="0" w:firstLineChars="0"/>
        <w:jc w:val="center"/>
        <w:rPr>
          <w:rFonts w:ascii="宋体" w:hAnsi="宋体"/>
          <w:kern w:val="0"/>
          <w:szCs w:val="21"/>
          <w:lang w:val="zh-CN"/>
        </w:rPr>
      </w:pPr>
      <w:r>
        <w:rPr>
          <w:rFonts w:hint="eastAsia" w:ascii="宋体" w:hAnsi="宋体"/>
          <w:kern w:val="0"/>
          <w:szCs w:val="21"/>
        </w:rPr>
        <w:t>（</w:t>
      </w:r>
      <w:r>
        <w:rPr>
          <w:rFonts w:cs="Times New Roman"/>
          <w:kern w:val="0"/>
          <w:szCs w:val="21"/>
        </w:rPr>
        <w:t>1</w:t>
      </w:r>
      <w:r>
        <w:rPr>
          <w:rFonts w:hint="eastAsia" w:ascii="宋体" w:hAnsi="宋体"/>
          <w:kern w:val="0"/>
          <w:szCs w:val="21"/>
        </w:rPr>
        <w:t>.</w:t>
      </w:r>
      <w:r>
        <w:rPr>
          <w:rFonts w:hint="eastAsia" w:ascii="仿宋" w:hAnsi="仿宋" w:eastAsia="仿宋" w:cs="仿宋"/>
          <w:kern w:val="0"/>
          <w:szCs w:val="21"/>
          <w:lang w:val="zh-CN"/>
        </w:rPr>
        <w:t>重庆交通大学</w:t>
      </w:r>
      <w:r>
        <w:rPr>
          <w:rFonts w:hint="eastAsia" w:ascii="仿宋" w:hAnsi="仿宋" w:eastAsia="仿宋" w:cs="仿宋"/>
          <w:kern w:val="0"/>
          <w:szCs w:val="21"/>
          <w:lang w:val="en"/>
        </w:rPr>
        <w:t xml:space="preserve"> </w:t>
      </w:r>
      <w:r>
        <w:rPr>
          <w:rFonts w:hint="eastAsia" w:ascii="仿宋" w:hAnsi="仿宋" w:eastAsia="仿宋" w:cs="仿宋"/>
          <w:kern w:val="0"/>
          <w:szCs w:val="21"/>
          <w:lang w:val="zh-CN"/>
        </w:rPr>
        <w:t>河海学院，重庆</w:t>
      </w:r>
      <w:r>
        <w:rPr>
          <w:rFonts w:hint="eastAsia" w:ascii="仿宋" w:hAnsi="仿宋" w:eastAsia="仿宋" w:cs="仿宋"/>
          <w:kern w:val="0"/>
          <w:szCs w:val="21"/>
          <w:lang w:val="en"/>
        </w:rPr>
        <w:t xml:space="preserve"> </w:t>
      </w:r>
      <w:r>
        <w:rPr>
          <w:rFonts w:cs="Times New Roman"/>
          <w:kern w:val="0"/>
          <w:szCs w:val="21"/>
          <w:lang w:val="zh-CN"/>
        </w:rPr>
        <w:t xml:space="preserve"> 400074</w:t>
      </w:r>
      <w:r>
        <w:rPr>
          <w:rFonts w:hint="eastAsia" w:ascii="宋体" w:hAnsi="宋体"/>
          <w:kern w:val="0"/>
          <w:szCs w:val="21"/>
          <w:lang w:val="zh-CN"/>
        </w:rPr>
        <w:t>；</w:t>
      </w:r>
      <w:r>
        <w:rPr>
          <w:rFonts w:cs="Times New Roman"/>
          <w:kern w:val="0"/>
          <w:szCs w:val="21"/>
          <w:lang w:val="zh-CN"/>
        </w:rPr>
        <w:t>2.</w:t>
      </w:r>
      <w:r>
        <w:rPr>
          <w:rFonts w:hint="eastAsia" w:ascii="仿宋" w:hAnsi="仿宋" w:eastAsia="仿宋" w:cs="仿宋"/>
          <w:kern w:val="0"/>
          <w:szCs w:val="21"/>
          <w:lang w:val="zh-CN"/>
        </w:rPr>
        <w:t>重庆市渝发水利科学研究院有限公司，重庆</w:t>
      </w:r>
      <w:r>
        <w:rPr>
          <w:rFonts w:hint="eastAsia" w:ascii="宋体" w:hAnsi="宋体"/>
          <w:kern w:val="0"/>
          <w:szCs w:val="21"/>
          <w:lang w:val="zh-CN"/>
        </w:rPr>
        <w:t xml:space="preserve"> </w:t>
      </w:r>
      <w:r>
        <w:rPr>
          <w:rFonts w:hint="eastAsia" w:ascii="宋体" w:hAnsi="宋体"/>
          <w:kern w:val="0"/>
          <w:szCs w:val="21"/>
          <w:lang w:val="en"/>
        </w:rPr>
        <w:t xml:space="preserve"> </w:t>
      </w:r>
      <w:r>
        <w:rPr>
          <w:rFonts w:cs="Times New Roman"/>
          <w:kern w:val="0"/>
          <w:szCs w:val="21"/>
          <w:lang w:val="zh-CN"/>
        </w:rPr>
        <w:t>401120</w:t>
      </w:r>
      <w:r>
        <w:rPr>
          <w:rFonts w:hint="eastAsia" w:ascii="宋体" w:hAnsi="宋体"/>
          <w:kern w:val="0"/>
          <w:szCs w:val="21"/>
          <w:lang w:val="zh-CN"/>
        </w:rPr>
        <w:t>）</w:t>
      </w:r>
    </w:p>
    <w:p w14:paraId="0BC5AED9">
      <w:pPr>
        <w:ind w:firstLine="0" w:firstLineChars="0"/>
        <w:jc w:val="center"/>
        <w:rPr>
          <w:rFonts w:ascii="宋体" w:hAnsi="宋体"/>
          <w:kern w:val="0"/>
          <w:szCs w:val="21"/>
          <w:lang w:val="zh-CN"/>
        </w:rPr>
      </w:pPr>
    </w:p>
    <w:p w14:paraId="31E6655B">
      <w:pPr>
        <w:ind w:firstLine="0" w:firstLineChars="0"/>
        <w:rPr>
          <w:rFonts w:ascii="宋体" w:hAnsi="宋体"/>
          <w:bCs/>
          <w:szCs w:val="21"/>
        </w:rPr>
      </w:pPr>
      <w:r>
        <w:rPr>
          <w:rFonts w:hint="eastAsia" w:ascii="黑体" w:hAnsi="黑体" w:eastAsia="黑体" w:cs="黑体"/>
          <w:b/>
          <w:bCs/>
          <w:szCs w:val="21"/>
        </w:rPr>
        <w:t>摘  要：</w:t>
      </w:r>
      <w:r>
        <w:rPr>
          <w:rFonts w:hint="eastAsia" w:eastAsia="楷体" w:cs="Times New Roman"/>
          <w:szCs w:val="21"/>
        </w:rPr>
        <w:t>【目的】针对跨国水利工程中少资料地区水文模拟长期面临的参数识别难题，提出一种基于土地利用类型的栅格分布式水文模型参数移植方法。【方法】以土地利用类型为基本单元，构建“土地利用‑参数”映射关系，形成结构化参数查找表，突破传统参数区域化对测站密度的依赖，实现参数在相似下垫面条件下的跨流域稳健迁移。选取湄公河流域柬埔寨段作为案例，通过参证流域分区率定建立地类-参数对应表，并迁移至目标流域进行验证。【结果】结果表明：模型在参证流域（磅湛站）率定期与检验期的纳什效率系数（</w:t>
      </w:r>
      <w:r>
        <w:rPr>
          <w:rFonts w:hint="eastAsia" w:eastAsia="楷体" w:cs="Times New Roman"/>
          <w:i/>
          <w:iCs/>
          <w:szCs w:val="21"/>
        </w:rPr>
        <w:t>NSE</w:t>
      </w:r>
      <w:r>
        <w:rPr>
          <w:rFonts w:hint="eastAsia" w:eastAsia="楷体" w:cs="Times New Roman"/>
          <w:szCs w:val="21"/>
        </w:rPr>
        <w:t>）分别为0.87和0.86，径流总量相对误差（</w:t>
      </w:r>
      <w:r>
        <w:rPr>
          <w:rFonts w:hint="eastAsia" w:eastAsia="楷体" w:cs="Times New Roman"/>
          <w:i/>
          <w:iCs/>
          <w:szCs w:val="21"/>
        </w:rPr>
        <w:t>RE</w:t>
      </w:r>
      <w:r>
        <w:rPr>
          <w:rFonts w:hint="eastAsia" w:eastAsia="楷体" w:cs="Times New Roman"/>
          <w:szCs w:val="21"/>
        </w:rPr>
        <w:t>）分别为5.71%与8.61%；参数迁移至目标流域后，达萨河Thnous Loung站的</w:t>
      </w:r>
      <w:r>
        <w:rPr>
          <w:rFonts w:hint="eastAsia" w:eastAsia="楷体" w:cs="Times New Roman"/>
          <w:i/>
          <w:iCs/>
          <w:szCs w:val="21"/>
        </w:rPr>
        <w:t>NSE</w:t>
      </w:r>
      <w:r>
        <w:rPr>
          <w:rFonts w:hint="eastAsia" w:eastAsia="楷体" w:cs="Times New Roman"/>
          <w:szCs w:val="21"/>
        </w:rPr>
        <w:t>达0.87、</w:t>
      </w:r>
      <w:r>
        <w:rPr>
          <w:rFonts w:hint="eastAsia" w:eastAsia="楷体" w:cs="Times New Roman"/>
          <w:i/>
          <w:iCs/>
          <w:szCs w:val="21"/>
        </w:rPr>
        <w:t>RE</w:t>
      </w:r>
      <w:r>
        <w:rPr>
          <w:rFonts w:hint="eastAsia" w:eastAsia="楷体" w:cs="Times New Roman"/>
          <w:szCs w:val="21"/>
        </w:rPr>
        <w:t>为8.37%，斯伦河Kralanh站的</w:t>
      </w:r>
      <w:r>
        <w:rPr>
          <w:rFonts w:hint="eastAsia" w:eastAsia="楷体" w:cs="Times New Roman"/>
          <w:i/>
          <w:iCs/>
          <w:szCs w:val="21"/>
        </w:rPr>
        <w:t>NSE</w:t>
      </w:r>
      <w:r>
        <w:rPr>
          <w:rFonts w:hint="eastAsia" w:eastAsia="楷体" w:cs="Times New Roman"/>
          <w:szCs w:val="21"/>
        </w:rPr>
        <w:t>为0.89、</w:t>
      </w:r>
      <w:r>
        <w:rPr>
          <w:rFonts w:hint="eastAsia" w:eastAsia="楷体" w:cs="Times New Roman"/>
          <w:i/>
          <w:iCs/>
          <w:szCs w:val="21"/>
        </w:rPr>
        <w:t>RE</w:t>
      </w:r>
      <w:r>
        <w:rPr>
          <w:rFonts w:hint="eastAsia" w:eastAsia="楷体" w:cs="Times New Roman"/>
          <w:szCs w:val="21"/>
        </w:rPr>
        <w:t>为7.01%，其精度显著高于瞬时单位线法（</w:t>
      </w:r>
      <w:r>
        <w:rPr>
          <w:rFonts w:hint="eastAsia" w:eastAsia="楷体" w:cs="Times New Roman"/>
          <w:i/>
          <w:iCs/>
          <w:szCs w:val="21"/>
        </w:rPr>
        <w:t>NSE</w:t>
      </w:r>
      <w:r>
        <w:rPr>
          <w:rFonts w:hint="eastAsia" w:eastAsia="楷体" w:cs="Times New Roman"/>
          <w:szCs w:val="21"/>
        </w:rPr>
        <w:t>分别为0.76和0.68）和前期影响雨量法（</w:t>
      </w:r>
      <w:r>
        <w:rPr>
          <w:rFonts w:hint="eastAsia" w:eastAsia="楷体" w:cs="Times New Roman"/>
          <w:i/>
          <w:iCs/>
          <w:szCs w:val="21"/>
        </w:rPr>
        <w:t>NSE</w:t>
      </w:r>
      <w:r>
        <w:rPr>
          <w:rFonts w:hint="eastAsia" w:eastAsia="楷体" w:cs="Times New Roman"/>
          <w:szCs w:val="21"/>
        </w:rPr>
        <w:t>分别为0.32和0.74），在洪峰过程模拟与水量平衡方面均表现出更优的适用性。【结论】所提出的方法通过土地利用载体实现了参数的有物理依据的跨流域迁移，填补了缺资料地区的水文模型参数的不足，为分布式水文模型过程模拟方面提供了有效参考。</w:t>
      </w:r>
    </w:p>
    <w:p w14:paraId="02763033">
      <w:pPr>
        <w:ind w:firstLine="0" w:firstLineChars="0"/>
        <w:rPr>
          <w:rFonts w:ascii="楷体" w:hAnsi="楷体" w:eastAsia="楷体" w:cs="楷体"/>
          <w:bCs/>
          <w:szCs w:val="21"/>
        </w:rPr>
      </w:pPr>
      <w:r>
        <w:rPr>
          <w:rFonts w:hint="eastAsia" w:ascii="黑体" w:hAnsi="黑体" w:eastAsia="黑体" w:cs="黑体"/>
          <w:b/>
          <w:bCs/>
          <w:szCs w:val="21"/>
        </w:rPr>
        <w:t>关键词：</w:t>
      </w:r>
      <w:r>
        <w:rPr>
          <w:rFonts w:hint="eastAsia" w:ascii="楷体" w:hAnsi="楷体" w:eastAsia="楷体" w:cs="楷体"/>
          <w:bCs/>
          <w:szCs w:val="21"/>
        </w:rPr>
        <w:t>参数区域化；无资料流域；土地利用均质性；分布式水文模型；数据稀缺地区；水文非平稳性；湄公河流域；气候变化</w:t>
      </w:r>
    </w:p>
    <w:p w14:paraId="7466BAEF">
      <w:pPr>
        <w:ind w:firstLine="0" w:firstLineChars="0"/>
        <w:rPr>
          <w:rFonts w:cs="Times New Roman"/>
          <w:bCs/>
          <w:sz w:val="18"/>
          <w:szCs w:val="18"/>
        </w:rPr>
      </w:pPr>
      <w:r>
        <w:rPr>
          <w:rFonts w:hint="eastAsia" w:ascii="黑体" w:hAnsi="黑体" w:eastAsia="黑体" w:cs="黑体"/>
          <w:b/>
          <w:bCs/>
          <w:sz w:val="18"/>
          <w:szCs w:val="18"/>
        </w:rPr>
        <w:t>中图分类号：</w:t>
      </w:r>
      <w:r>
        <w:rPr>
          <w:rFonts w:eastAsia="黑体" w:cs="Times New Roman"/>
          <w:bCs/>
          <w:sz w:val="18"/>
          <w:szCs w:val="18"/>
        </w:rPr>
        <w:t>TV124</w:t>
      </w:r>
      <w:r>
        <w:rPr>
          <w:rFonts w:hint="eastAsia" w:cs="Times New Roman"/>
          <w:bCs/>
          <w:sz w:val="18"/>
          <w:szCs w:val="18"/>
        </w:rPr>
        <w:tab/>
      </w:r>
      <w:r>
        <w:rPr>
          <w:rFonts w:hint="eastAsia" w:cs="Times New Roman"/>
          <w:bCs/>
          <w:sz w:val="18"/>
          <w:szCs w:val="18"/>
        </w:rPr>
        <w:tab/>
      </w:r>
      <w:r>
        <w:rPr>
          <w:rFonts w:hint="eastAsia" w:ascii="黑体" w:hAnsi="黑体" w:eastAsia="黑体" w:cs="黑体"/>
          <w:b/>
          <w:bCs/>
          <w:sz w:val="18"/>
          <w:szCs w:val="18"/>
        </w:rPr>
        <w:t>文献标志码：</w:t>
      </w:r>
      <w:r>
        <w:rPr>
          <w:rFonts w:eastAsia="黑体" w:cs="Times New Roman"/>
          <w:bCs/>
          <w:sz w:val="18"/>
          <w:szCs w:val="18"/>
        </w:rPr>
        <w:t>A</w:t>
      </w:r>
      <w:r>
        <w:rPr>
          <w:rFonts w:eastAsia="黑体" w:cs="Times New Roman"/>
          <w:bCs/>
          <w:sz w:val="18"/>
          <w:szCs w:val="18"/>
        </w:rPr>
        <w:tab/>
      </w:r>
      <w:r>
        <w:rPr>
          <w:rFonts w:hint="eastAsia" w:ascii="黑体" w:hAnsi="黑体" w:eastAsia="黑体" w:cs="黑体"/>
          <w:bCs/>
          <w:sz w:val="18"/>
          <w:szCs w:val="18"/>
        </w:rPr>
        <w:tab/>
      </w:r>
      <w:r>
        <w:rPr>
          <w:rFonts w:hint="eastAsia" w:cs="Times New Roman"/>
          <w:bCs/>
          <w:sz w:val="18"/>
          <w:szCs w:val="18"/>
        </w:rPr>
        <w:tab/>
      </w:r>
    </w:p>
    <w:p w14:paraId="42B72B8C">
      <w:pPr>
        <w:spacing w:after="0" w:line="240" w:lineRule="auto"/>
        <w:rPr>
          <w:rFonts w:hint="eastAsia" w:eastAsia="宋体"/>
          <w:b/>
          <w:bCs/>
          <w:sz w:val="18"/>
          <w:szCs w:val="18"/>
          <w:lang w:eastAsia="zh-CN"/>
        </w:rPr>
      </w:pPr>
      <w:r>
        <w:rPr>
          <w:rFonts w:hint="eastAsia"/>
          <w:b/>
          <w:color w:val="000000"/>
        </w:rPr>
        <w:t>开放科学（资源服务）标志码</w:t>
      </w:r>
      <w:bookmarkStart w:id="0" w:name="OSID_1"/>
      <w:r>
        <w:rPr>
          <w:rFonts w:hint="eastAsia"/>
          <w:b/>
          <w:color w:val="000000"/>
          <w:highlight w:val="white"/>
        </w:rPr>
        <w:t>（</w:t>
      </w:r>
      <w:r>
        <w:rPr>
          <w:b/>
          <w:color w:val="000000"/>
          <w:highlight w:val="white"/>
        </w:rPr>
        <w:t>OSID</w:t>
      </w:r>
      <w:r>
        <w:rPr>
          <w:rFonts w:hint="eastAsia"/>
          <w:b/>
          <w:color w:val="000000"/>
          <w:highlight w:val="white"/>
        </w:rPr>
        <w:t>）：</w:t>
      </w:r>
      <w:bookmarkEnd w:id="0"/>
      <w:r>
        <w:rPr>
          <w:rFonts w:hint="eastAsia" w:eastAsia="宋体"/>
          <w:b/>
          <w:bCs/>
          <w:sz w:val="18"/>
          <w:szCs w:val="18"/>
          <w:lang w:eastAsia="zh-CN"/>
        </w:rPr>
        <w:drawing>
          <wp:inline distT="0" distB="0" distL="114300" distR="114300">
            <wp:extent cx="1286510" cy="1286510"/>
            <wp:effectExtent l="0" t="0" r="8890" b="8890"/>
            <wp:docPr id="1" name="图片 1" descr="土地利用驱动的少资料流域分布式水文模型参数区域化方法：以跨境湄公河流域为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土地利用驱动的少资料流域分布式水文模型参数区域化方法：以跨境湄公河流域为例"/>
                    <pic:cNvPicPr>
                      <a:picLocks noChangeAspect="1"/>
                    </pic:cNvPicPr>
                  </pic:nvPicPr>
                  <pic:blipFill>
                    <a:blip r:embed="rId6"/>
                    <a:stretch>
                      <a:fillRect/>
                    </a:stretch>
                  </pic:blipFill>
                  <pic:spPr>
                    <a:xfrm>
                      <a:off x="0" y="0"/>
                      <a:ext cx="1286510" cy="1286510"/>
                    </a:xfrm>
                    <a:prstGeom prst="rect">
                      <a:avLst/>
                    </a:prstGeom>
                  </pic:spPr>
                </pic:pic>
              </a:graphicData>
            </a:graphic>
          </wp:inline>
        </w:drawing>
      </w:r>
    </w:p>
    <w:p w14:paraId="04E14D8E">
      <w:pPr>
        <w:ind w:firstLine="0" w:firstLineChars="0"/>
        <w:rPr>
          <w:rFonts w:cs="Times New Roman"/>
          <w:bCs/>
          <w:sz w:val="18"/>
          <w:szCs w:val="18"/>
        </w:rPr>
      </w:pPr>
      <w:bookmarkStart w:id="22" w:name="_GoBack"/>
      <w:bookmarkEnd w:id="22"/>
    </w:p>
    <w:p w14:paraId="04A0DCC1">
      <w:pPr>
        <w:snapToGrid w:val="0"/>
        <w:ind w:firstLine="0" w:firstLineChars="0"/>
        <w:jc w:val="center"/>
        <w:rPr>
          <w:rFonts w:cs="Times New Roman"/>
          <w:b/>
          <w:sz w:val="28"/>
          <w:szCs w:val="28"/>
          <w:highlight w:val="none"/>
        </w:rPr>
      </w:pPr>
      <w:r>
        <w:rPr>
          <w:rFonts w:cs="Times New Roman"/>
          <w:b/>
          <w:sz w:val="28"/>
          <w:szCs w:val="28"/>
        </w:rPr>
        <w:t>Land use-driven parameter regionalization for distributed hydrological modeling in data-scarc</w:t>
      </w:r>
      <w:r>
        <w:rPr>
          <w:rFonts w:cs="Times New Roman"/>
          <w:b/>
          <w:sz w:val="28"/>
          <w:szCs w:val="28"/>
          <w:highlight w:val="none"/>
        </w:rPr>
        <w:t xml:space="preserve">e basins: A case study </w:t>
      </w:r>
      <w:r>
        <w:rPr>
          <w:rFonts w:hint="eastAsia" w:cs="Times New Roman"/>
          <w:b/>
          <w:sz w:val="28"/>
          <w:szCs w:val="28"/>
          <w:highlight w:val="none"/>
          <w:lang w:val="en-US" w:eastAsia="zh-CN"/>
        </w:rPr>
        <w:t>of</w:t>
      </w:r>
      <w:r>
        <w:rPr>
          <w:rFonts w:cs="Times New Roman"/>
          <w:b/>
          <w:sz w:val="28"/>
          <w:szCs w:val="28"/>
          <w:highlight w:val="none"/>
        </w:rPr>
        <w:t xml:space="preserve"> Mekong River Basin</w:t>
      </w:r>
    </w:p>
    <w:p w14:paraId="2FE56DE8">
      <w:pPr>
        <w:snapToGrid w:val="0"/>
        <w:spacing w:line="240" w:lineRule="atLeast"/>
        <w:ind w:firstLine="0" w:firstLineChars="0"/>
        <w:jc w:val="center"/>
        <w:rPr>
          <w:rFonts w:cs="Times New Roman"/>
          <w:kern w:val="0"/>
          <w:szCs w:val="21"/>
          <w:highlight w:val="none"/>
        </w:rPr>
      </w:pPr>
      <w:r>
        <w:rPr>
          <w:rFonts w:cs="Times New Roman"/>
          <w:kern w:val="0"/>
          <w:szCs w:val="21"/>
          <w:highlight w:val="none"/>
          <w:lang w:bidi="ar"/>
        </w:rPr>
        <w:t>LIU Luohui</w:t>
      </w:r>
      <w:r>
        <w:rPr>
          <w:rFonts w:cs="Times New Roman"/>
          <w:kern w:val="0"/>
          <w:szCs w:val="21"/>
          <w:highlight w:val="none"/>
          <w:vertAlign w:val="superscript"/>
          <w:lang w:bidi="ar"/>
        </w:rPr>
        <w:t>1</w:t>
      </w:r>
      <w:r>
        <w:rPr>
          <w:rFonts w:cs="Times New Roman"/>
          <w:kern w:val="0"/>
          <w:szCs w:val="21"/>
          <w:highlight w:val="none"/>
          <w:lang w:bidi="ar"/>
        </w:rPr>
        <w:t>, XU Wei</w:t>
      </w:r>
      <w:r>
        <w:rPr>
          <w:rFonts w:cs="Times New Roman"/>
          <w:kern w:val="0"/>
          <w:szCs w:val="21"/>
          <w:highlight w:val="none"/>
          <w:vertAlign w:val="superscript"/>
          <w:lang w:bidi="ar"/>
        </w:rPr>
        <w:t>1</w:t>
      </w:r>
      <w:r>
        <w:rPr>
          <w:rFonts w:cs="Times New Roman"/>
          <w:kern w:val="0"/>
          <w:szCs w:val="21"/>
          <w:highlight w:val="none"/>
          <w:lang w:bidi="ar"/>
        </w:rPr>
        <w:t>, LIN Guoguo</w:t>
      </w:r>
      <w:r>
        <w:rPr>
          <w:rFonts w:cs="Times New Roman"/>
          <w:kern w:val="0"/>
          <w:szCs w:val="21"/>
          <w:highlight w:val="none"/>
          <w:vertAlign w:val="superscript"/>
          <w:lang w:bidi="ar"/>
        </w:rPr>
        <w:t>2</w:t>
      </w:r>
      <w:r>
        <w:rPr>
          <w:rFonts w:cs="Times New Roman"/>
          <w:kern w:val="0"/>
          <w:szCs w:val="21"/>
          <w:highlight w:val="none"/>
          <w:lang w:bidi="ar"/>
        </w:rPr>
        <w:t>, HU Xiaoqin</w:t>
      </w:r>
      <w:r>
        <w:rPr>
          <w:rFonts w:cs="Times New Roman"/>
          <w:kern w:val="0"/>
          <w:szCs w:val="21"/>
          <w:highlight w:val="none"/>
          <w:vertAlign w:val="superscript"/>
          <w:lang w:bidi="ar"/>
        </w:rPr>
        <w:t>2</w:t>
      </w:r>
      <w:r>
        <w:rPr>
          <w:rFonts w:cs="Times New Roman"/>
          <w:kern w:val="0"/>
          <w:szCs w:val="21"/>
          <w:highlight w:val="none"/>
          <w:lang w:bidi="ar"/>
        </w:rPr>
        <w:t>, XIAO Yucheng</w:t>
      </w:r>
      <w:r>
        <w:rPr>
          <w:rFonts w:cs="Times New Roman"/>
          <w:kern w:val="0"/>
          <w:szCs w:val="21"/>
          <w:highlight w:val="none"/>
          <w:vertAlign w:val="superscript"/>
          <w:lang w:bidi="ar"/>
        </w:rPr>
        <w:t>2</w:t>
      </w:r>
      <w:r>
        <w:rPr>
          <w:rFonts w:cs="Times New Roman"/>
          <w:kern w:val="0"/>
          <w:szCs w:val="21"/>
          <w:highlight w:val="none"/>
          <w:lang w:bidi="ar"/>
        </w:rPr>
        <w:t>, JIANG Yingrou</w:t>
      </w:r>
      <w:r>
        <w:rPr>
          <w:rFonts w:cs="Times New Roman"/>
          <w:kern w:val="0"/>
          <w:szCs w:val="21"/>
          <w:highlight w:val="none"/>
          <w:vertAlign w:val="superscript"/>
          <w:lang w:bidi="ar"/>
        </w:rPr>
        <w:t>1</w:t>
      </w:r>
    </w:p>
    <w:p w14:paraId="5C50B33A">
      <w:pPr>
        <w:ind w:firstLine="0" w:firstLineChars="0"/>
        <w:jc w:val="center"/>
        <w:rPr>
          <w:sz w:val="18"/>
          <w:szCs w:val="18"/>
          <w:highlight w:val="none"/>
          <w:lang w:bidi="ar"/>
        </w:rPr>
      </w:pPr>
      <w:r>
        <w:rPr>
          <w:sz w:val="18"/>
          <w:szCs w:val="18"/>
          <w:highlight w:val="none"/>
          <w:lang w:bidi="ar"/>
        </w:rPr>
        <w:t xml:space="preserve">(1. </w:t>
      </w:r>
      <w:r>
        <w:rPr>
          <w:rFonts w:hint="eastAsia"/>
          <w:sz w:val="18"/>
          <w:szCs w:val="18"/>
          <w:highlight w:val="none"/>
          <w:lang w:val="en-US" w:eastAsia="zh-CN" w:bidi="ar"/>
        </w:rPr>
        <w:t>School</w:t>
      </w:r>
      <w:r>
        <w:rPr>
          <w:rFonts w:hint="eastAsia"/>
          <w:sz w:val="18"/>
          <w:szCs w:val="18"/>
          <w:highlight w:val="none"/>
          <w:lang w:bidi="ar"/>
        </w:rPr>
        <w:t xml:space="preserve"> of</w:t>
      </w:r>
      <w:r>
        <w:rPr>
          <w:rFonts w:hint="eastAsia"/>
          <w:sz w:val="18"/>
          <w:szCs w:val="18"/>
          <w:highlight w:val="none"/>
          <w:lang w:val="en-US" w:eastAsia="zh-CN" w:bidi="ar"/>
        </w:rPr>
        <w:t xml:space="preserve"> </w:t>
      </w:r>
      <w:r>
        <w:rPr>
          <w:sz w:val="18"/>
          <w:szCs w:val="18"/>
          <w:highlight w:val="none"/>
          <w:lang w:bidi="ar"/>
        </w:rPr>
        <w:t>River and Ocean Engineering, Chongqing Jiaotong University,</w:t>
      </w:r>
      <w:r>
        <w:rPr>
          <w:rFonts w:hint="eastAsia"/>
          <w:sz w:val="18"/>
          <w:szCs w:val="18"/>
          <w:highlight w:val="none"/>
          <w:lang w:val="en-US" w:eastAsia="zh-CN" w:bidi="ar"/>
        </w:rPr>
        <w:t xml:space="preserve"> </w:t>
      </w:r>
      <w:r>
        <w:rPr>
          <w:sz w:val="18"/>
          <w:szCs w:val="18"/>
          <w:highlight w:val="none"/>
          <w:lang w:bidi="ar"/>
        </w:rPr>
        <w:t>Chongqing</w:t>
      </w:r>
      <w:r>
        <w:rPr>
          <w:sz w:val="18"/>
          <w:szCs w:val="18"/>
          <w:highlight w:val="none"/>
          <w:lang w:val="en" w:bidi="ar"/>
        </w:rPr>
        <w:t xml:space="preserve"> </w:t>
      </w:r>
      <w:r>
        <w:rPr>
          <w:sz w:val="18"/>
          <w:szCs w:val="18"/>
          <w:highlight w:val="none"/>
          <w:lang w:bidi="ar"/>
        </w:rPr>
        <w:t xml:space="preserve"> 400074, China;</w:t>
      </w:r>
      <w:r>
        <w:rPr>
          <w:rFonts w:hint="eastAsia"/>
          <w:sz w:val="18"/>
          <w:szCs w:val="18"/>
          <w:highlight w:val="none"/>
          <w:lang w:val="en-US" w:eastAsia="zh-CN" w:bidi="ar"/>
        </w:rPr>
        <w:t xml:space="preserve"> </w:t>
      </w:r>
      <w:r>
        <w:rPr>
          <w:sz w:val="18"/>
          <w:szCs w:val="18"/>
          <w:highlight w:val="none"/>
          <w:lang w:bidi="ar"/>
        </w:rPr>
        <w:t>2.Chongqing Yufa Water Conservancy Research Institute Co., Ltd.,</w:t>
      </w:r>
      <w:r>
        <w:rPr>
          <w:sz w:val="18"/>
          <w:szCs w:val="18"/>
          <w:highlight w:val="none"/>
          <w:lang w:val="en" w:bidi="ar"/>
        </w:rPr>
        <w:t xml:space="preserve"> </w:t>
      </w:r>
      <w:r>
        <w:rPr>
          <w:sz w:val="18"/>
          <w:szCs w:val="18"/>
          <w:highlight w:val="none"/>
          <w:lang w:bidi="ar"/>
        </w:rPr>
        <w:t xml:space="preserve">Chongqing </w:t>
      </w:r>
      <w:r>
        <w:rPr>
          <w:sz w:val="18"/>
          <w:szCs w:val="18"/>
          <w:highlight w:val="none"/>
          <w:lang w:val="en" w:bidi="ar"/>
        </w:rPr>
        <w:t xml:space="preserve"> </w:t>
      </w:r>
      <w:r>
        <w:rPr>
          <w:sz w:val="18"/>
          <w:szCs w:val="18"/>
          <w:highlight w:val="none"/>
          <w:lang w:bidi="ar"/>
        </w:rPr>
        <w:t>401120, China)</w:t>
      </w:r>
    </w:p>
    <w:p w14:paraId="1EF8944F">
      <w:pPr>
        <w:ind w:firstLine="0" w:firstLineChars="0"/>
        <w:jc w:val="center"/>
        <w:rPr>
          <w:sz w:val="18"/>
          <w:szCs w:val="18"/>
          <w:highlight w:val="none"/>
          <w:lang w:bidi="ar"/>
        </w:rPr>
      </w:pPr>
    </w:p>
    <w:p w14:paraId="49B318BA">
      <w:pPr>
        <w:ind w:firstLine="0" w:firstLineChars="0"/>
        <w:rPr>
          <w:rFonts w:eastAsia="黑体" w:cs="Times New Roman"/>
          <w:szCs w:val="21"/>
          <w:lang w:bidi="ar"/>
        </w:rPr>
      </w:pPr>
      <w:r>
        <w:rPr>
          <w:rFonts w:eastAsia="黑体" w:cs="Times New Roman"/>
          <w:b/>
          <w:kern w:val="0"/>
          <w:szCs w:val="21"/>
          <w:highlight w:val="none"/>
          <w:lang w:bidi="ar"/>
        </w:rPr>
        <w:t>Abstract:</w:t>
      </w:r>
      <w:r>
        <w:rPr>
          <w:rFonts w:hint="eastAsia" w:eastAsia="黑体" w:cs="Times New Roman"/>
          <w:b/>
          <w:kern w:val="0"/>
          <w:szCs w:val="21"/>
          <w:highlight w:val="none"/>
          <w:lang w:bidi="ar"/>
        </w:rPr>
        <w:t xml:space="preserve"> </w:t>
      </w:r>
      <w:r>
        <w:rPr>
          <w:rFonts w:eastAsia="黑体" w:cs="Times New Roman"/>
          <w:b w:val="0"/>
          <w:bCs/>
          <w:szCs w:val="21"/>
          <w:highlight w:val="none"/>
          <w:lang w:bidi="ar"/>
        </w:rPr>
        <w:t>[Objective]</w:t>
      </w:r>
      <w:r>
        <w:rPr>
          <w:rFonts w:hint="eastAsia" w:eastAsia="黑体" w:cs="Times New Roman"/>
          <w:b w:val="0"/>
          <w:bCs/>
          <w:szCs w:val="21"/>
          <w:highlight w:val="none"/>
          <w:lang w:val="en-US" w:eastAsia="zh-CN" w:bidi="ar"/>
        </w:rPr>
        <w:t xml:space="preserve"> </w:t>
      </w:r>
      <w:r>
        <w:rPr>
          <w:rFonts w:hint="eastAsia"/>
          <w:highlight w:val="none"/>
        </w:rPr>
        <w:t xml:space="preserve">To address the </w:t>
      </w:r>
      <w:r>
        <w:rPr>
          <w:rFonts w:hint="eastAsia"/>
          <w:highlight w:val="none"/>
        </w:rPr>
        <w:t>long-standing</w:t>
      </w:r>
      <w:r>
        <w:rPr>
          <w:rFonts w:hint="eastAsia"/>
          <w:highlight w:val="none"/>
          <w:lang w:val="en-US" w:eastAsia="zh-CN"/>
        </w:rPr>
        <w:t xml:space="preserve"> </w:t>
      </w:r>
      <w:r>
        <w:rPr>
          <w:rFonts w:hint="eastAsia"/>
          <w:highlight w:val="none"/>
        </w:rPr>
        <w:t xml:space="preserve">challenge of parameter identification in hydrological modeling for data-scarce regions within transnational water </w:t>
      </w:r>
      <w:r>
        <w:rPr>
          <w:rFonts w:hint="eastAsia"/>
          <w:highlight w:val="none"/>
        </w:rPr>
        <w:t xml:space="preserve">conservancy </w:t>
      </w:r>
      <w:r>
        <w:rPr>
          <w:rFonts w:hint="eastAsia"/>
          <w:highlight w:val="none"/>
        </w:rPr>
        <w:t>projects, a</w:t>
      </w:r>
      <w:r>
        <w:rPr>
          <w:rFonts w:hint="eastAsia"/>
          <w:highlight w:val="none"/>
        </w:rPr>
        <w:t xml:space="preserve"> parameter transfer method</w:t>
      </w:r>
      <w:r>
        <w:rPr>
          <w:rFonts w:hint="eastAsia"/>
          <w:highlight w:val="none"/>
        </w:rPr>
        <w:t xml:space="preserve"> </w:t>
      </w:r>
      <w:r>
        <w:rPr>
          <w:rFonts w:hint="eastAsia"/>
          <w:highlight w:val="none"/>
          <w:lang w:val="en-US" w:eastAsia="zh-CN"/>
        </w:rPr>
        <w:t xml:space="preserve">for a </w:t>
      </w:r>
      <w:r>
        <w:rPr>
          <w:rFonts w:hint="eastAsia"/>
          <w:highlight w:val="none"/>
          <w:lang w:eastAsia="zh-CN"/>
        </w:rPr>
        <w:t>r</w:t>
      </w:r>
      <w:r>
        <w:rPr>
          <w:rFonts w:hint="eastAsia"/>
          <w:highlight w:val="none"/>
          <w:lang w:val="en-US" w:eastAsia="zh-CN"/>
        </w:rPr>
        <w:t>aster</w:t>
      </w:r>
      <w:r>
        <w:rPr>
          <w:rFonts w:hint="eastAsia"/>
          <w:highlight w:val="none"/>
        </w:rPr>
        <w:t>-based distributed hydrological model</w:t>
      </w:r>
      <w:r>
        <w:rPr>
          <w:rFonts w:hint="eastAsia"/>
          <w:highlight w:val="none"/>
        </w:rPr>
        <w:t xml:space="preserve"> </w:t>
      </w:r>
      <w:r>
        <w:rPr>
          <w:rFonts w:hint="eastAsia"/>
          <w:highlight w:val="none"/>
          <w:lang w:val="en-US" w:eastAsia="zh-CN"/>
        </w:rPr>
        <w:t>based on</w:t>
      </w:r>
      <w:r>
        <w:rPr>
          <w:rFonts w:hint="eastAsia"/>
          <w:highlight w:val="none"/>
        </w:rPr>
        <w:t xml:space="preserve"> land use types is proposed</w:t>
      </w:r>
      <w:r>
        <w:rPr>
          <w:rFonts w:hint="eastAsia"/>
          <w:highlight w:val="none"/>
        </w:rPr>
        <w:t xml:space="preserve">. </w:t>
      </w:r>
      <w:r>
        <w:rPr>
          <w:rFonts w:eastAsia="黑体" w:cs="Times New Roman"/>
          <w:b w:val="0"/>
          <w:bCs w:val="0"/>
          <w:szCs w:val="21"/>
          <w:highlight w:val="none"/>
          <w:lang w:bidi="ar"/>
        </w:rPr>
        <w:t>[Methods]</w:t>
      </w:r>
      <w:r>
        <w:rPr>
          <w:rFonts w:hint="eastAsia" w:eastAsia="黑体" w:cs="Times New Roman"/>
          <w:b w:val="0"/>
          <w:bCs w:val="0"/>
          <w:szCs w:val="21"/>
          <w:highlight w:val="none"/>
          <w:lang w:val="en-US" w:eastAsia="zh-CN" w:bidi="ar"/>
        </w:rPr>
        <w:t xml:space="preserve"> </w:t>
      </w:r>
      <w:r>
        <w:rPr>
          <w:rFonts w:hint="eastAsia"/>
          <w:highlight w:val="none"/>
        </w:rPr>
        <w:t xml:space="preserve">Using land use types as </w:t>
      </w:r>
      <w:r>
        <w:rPr>
          <w:rFonts w:hint="eastAsia"/>
          <w:highlight w:val="none"/>
          <w:lang w:val="en-US" w:eastAsia="zh-CN"/>
        </w:rPr>
        <w:t>basic</w:t>
      </w:r>
      <w:r>
        <w:rPr>
          <w:rFonts w:hint="eastAsia"/>
          <w:highlight w:val="none"/>
        </w:rPr>
        <w:t xml:space="preserve"> units, a</w:t>
      </w:r>
      <w:r>
        <w:rPr>
          <w:rFonts w:hint="eastAsia"/>
          <w:highlight w:val="none"/>
        </w:rPr>
        <w:t xml:space="preserve"> </w:t>
      </w:r>
      <w:r>
        <w:rPr>
          <w:highlight w:val="none"/>
        </w:rPr>
        <w:t>“</w:t>
      </w:r>
      <w:r>
        <w:rPr>
          <w:rFonts w:hint="eastAsia"/>
          <w:highlight w:val="none"/>
        </w:rPr>
        <w:t>land use-parameter</w:t>
      </w:r>
      <w:r>
        <w:rPr>
          <w:highlight w:val="none"/>
        </w:rPr>
        <w:t>”</w:t>
      </w:r>
      <w:r>
        <w:rPr>
          <w:rFonts w:hint="eastAsia"/>
          <w:highlight w:val="none"/>
        </w:rPr>
        <w:t xml:space="preserve"> </w:t>
      </w:r>
      <w:r>
        <w:rPr>
          <w:rFonts w:hint="eastAsia"/>
          <w:highlight w:val="none"/>
        </w:rPr>
        <w:t>mapping relationship</w:t>
      </w:r>
      <w:r>
        <w:rPr>
          <w:rFonts w:hint="eastAsia"/>
          <w:highlight w:val="none"/>
        </w:rPr>
        <w:t xml:space="preserve"> was constructed </w:t>
      </w:r>
      <w:r>
        <w:rPr>
          <w:rFonts w:hint="eastAsia"/>
          <w:highlight w:val="none"/>
        </w:rPr>
        <w:t>to form a structured parameter lookup table</w:t>
      </w:r>
      <w:r>
        <w:rPr>
          <w:rFonts w:hint="eastAsia"/>
          <w:highlight w:val="none"/>
          <w:lang w:val="en-US" w:eastAsia="zh-CN"/>
        </w:rPr>
        <w:t>.</w:t>
      </w:r>
      <w:r>
        <w:rPr>
          <w:rFonts w:hint="eastAsia"/>
          <w:highlight w:val="none"/>
        </w:rPr>
        <w:t xml:space="preserve"> </w:t>
      </w:r>
      <w:r>
        <w:rPr>
          <w:rFonts w:hint="eastAsia"/>
          <w:highlight w:val="none"/>
        </w:rPr>
        <w:t>This approach overc</w:t>
      </w:r>
      <w:r>
        <w:rPr>
          <w:rFonts w:hint="eastAsia"/>
          <w:highlight w:val="none"/>
          <w:lang w:val="en-US" w:eastAsia="zh-CN"/>
        </w:rPr>
        <w:t>a</w:t>
      </w:r>
      <w:r>
        <w:rPr>
          <w:rFonts w:hint="eastAsia"/>
          <w:highlight w:val="none"/>
        </w:rPr>
        <w:t>me</w:t>
      </w:r>
      <w:r>
        <w:rPr>
          <w:rFonts w:hint="eastAsia"/>
          <w:highlight w:val="none"/>
          <w:lang w:val="en-US" w:eastAsia="zh-CN"/>
        </w:rPr>
        <w:t xml:space="preserve"> the</w:t>
      </w:r>
      <w:r>
        <w:rPr>
          <w:rFonts w:hint="eastAsia"/>
          <w:highlight w:val="none"/>
        </w:rPr>
        <w:t xml:space="preserve"> dependenc</w:t>
      </w:r>
      <w:r>
        <w:rPr>
          <w:rFonts w:hint="eastAsia"/>
          <w:highlight w:val="none"/>
          <w:lang w:val="en-US" w:eastAsia="zh-CN"/>
        </w:rPr>
        <w:t>e</w:t>
      </w:r>
      <w:r>
        <w:rPr>
          <w:rFonts w:hint="eastAsia"/>
          <w:highlight w:val="none"/>
        </w:rPr>
        <w:t xml:space="preserve"> of</w:t>
      </w:r>
      <w:r>
        <w:rPr>
          <w:rFonts w:hint="eastAsia"/>
          <w:highlight w:val="none"/>
          <w:lang w:val="en-US" w:eastAsia="zh-CN"/>
        </w:rPr>
        <w:t xml:space="preserve"> </w:t>
      </w:r>
      <w:r>
        <w:rPr>
          <w:rFonts w:hint="eastAsia"/>
          <w:highlight w:val="none"/>
        </w:rPr>
        <w:t>traditional</w:t>
      </w:r>
      <w:r>
        <w:rPr>
          <w:rFonts w:hint="eastAsia"/>
          <w:highlight w:val="none"/>
        </w:rPr>
        <w:t xml:space="preserve"> parameter </w:t>
      </w:r>
      <w:r>
        <w:rPr>
          <w:rFonts w:hint="eastAsia"/>
          <w:highlight w:val="none"/>
        </w:rPr>
        <w:t>regionalization on gauging station</w:t>
      </w:r>
      <w:r>
        <w:rPr>
          <w:rFonts w:hint="eastAsia"/>
          <w:highlight w:val="none"/>
        </w:rPr>
        <w:t xml:space="preserve"> density</w:t>
      </w:r>
      <w:r>
        <w:rPr>
          <w:rFonts w:hint="eastAsia"/>
          <w:highlight w:val="none"/>
          <w:lang w:val="en-US" w:eastAsia="zh-CN"/>
        </w:rPr>
        <w:t>,</w:t>
      </w:r>
      <w:r>
        <w:rPr>
          <w:rFonts w:hint="eastAsia"/>
          <w:highlight w:val="none"/>
        </w:rPr>
        <w:t xml:space="preserve"> </w:t>
      </w:r>
      <w:r>
        <w:rPr>
          <w:rFonts w:hint="eastAsia"/>
          <w:highlight w:val="none"/>
        </w:rPr>
        <w:t>enabling</w:t>
      </w:r>
      <w:r>
        <w:rPr>
          <w:rFonts w:hint="eastAsia"/>
          <w:highlight w:val="none"/>
        </w:rPr>
        <w:t xml:space="preserve"> robust </w:t>
      </w:r>
      <w:r>
        <w:rPr>
          <w:rFonts w:hint="eastAsia"/>
          <w:highlight w:val="none"/>
        </w:rPr>
        <w:t>cross-</w:t>
      </w:r>
      <w:r>
        <w:rPr>
          <w:rFonts w:hint="eastAsia"/>
          <w:highlight w:val="none"/>
          <w:lang w:eastAsia="zh-CN"/>
        </w:rPr>
        <w:t>b</w:t>
      </w:r>
      <w:r>
        <w:rPr>
          <w:rFonts w:hint="eastAsia"/>
          <w:highlight w:val="none"/>
          <w:lang w:val="en-US" w:eastAsia="zh-CN"/>
        </w:rPr>
        <w:t xml:space="preserve">asin </w:t>
      </w:r>
      <w:r>
        <w:rPr>
          <w:rFonts w:hint="eastAsia"/>
          <w:highlight w:val="none"/>
        </w:rPr>
        <w:t xml:space="preserve">parameter </w:t>
      </w:r>
      <w:r>
        <w:rPr>
          <w:rFonts w:hint="eastAsia"/>
          <w:highlight w:val="none"/>
        </w:rPr>
        <w:t>transfer</w:t>
      </w:r>
      <w:r>
        <w:rPr>
          <w:rFonts w:hint="eastAsia"/>
          <w:highlight w:val="none"/>
        </w:rPr>
        <w:t xml:space="preserve"> under similar underlying surface conditions. The Cambodian section of the Mekong River Basin</w:t>
      </w:r>
      <w:r>
        <w:rPr>
          <w:rFonts w:hint="eastAsia"/>
          <w:highlight w:val="none"/>
          <w:lang w:val="en-US" w:eastAsia="zh-CN"/>
        </w:rPr>
        <w:t xml:space="preserve"> </w:t>
      </w:r>
      <w:r>
        <w:rPr>
          <w:rFonts w:hint="eastAsia"/>
          <w:highlight w:val="none"/>
        </w:rPr>
        <w:t xml:space="preserve">was selected as a case study. A land </w:t>
      </w:r>
      <w:r>
        <w:rPr>
          <w:rFonts w:hint="eastAsia"/>
          <w:highlight w:val="none"/>
          <w:lang w:val="en-US" w:eastAsia="zh-CN"/>
        </w:rPr>
        <w:t>use type-</w:t>
      </w:r>
      <w:r>
        <w:rPr>
          <w:rFonts w:hint="eastAsia"/>
          <w:highlight w:val="none"/>
        </w:rPr>
        <w:t xml:space="preserve">parameter </w:t>
      </w:r>
      <w:r>
        <w:rPr>
          <w:rFonts w:hint="eastAsia"/>
          <w:highlight w:val="none"/>
          <w:lang w:val="en-US" w:eastAsia="zh-CN"/>
        </w:rPr>
        <w:t>lookup</w:t>
      </w:r>
      <w:r>
        <w:rPr>
          <w:rFonts w:hint="eastAsia"/>
          <w:highlight w:val="none"/>
        </w:rPr>
        <w:t xml:space="preserve"> table</w:t>
      </w:r>
      <w:r>
        <w:rPr>
          <w:rFonts w:hint="eastAsia"/>
          <w:highlight w:val="none"/>
        </w:rPr>
        <w:t xml:space="preserve"> </w:t>
      </w:r>
      <w:r>
        <w:rPr>
          <w:rFonts w:hint="eastAsia"/>
          <w:highlight w:val="none"/>
        </w:rPr>
        <w:t>was established through zonal calibration in</w:t>
      </w:r>
      <w:r>
        <w:rPr>
          <w:rFonts w:hint="eastAsia"/>
          <w:highlight w:val="none"/>
        </w:rPr>
        <w:t xml:space="preserve"> a reference </w:t>
      </w:r>
      <w:r>
        <w:rPr>
          <w:rFonts w:hint="eastAsia"/>
          <w:highlight w:val="none"/>
          <w:lang w:val="en-US" w:eastAsia="zh-CN"/>
        </w:rPr>
        <w:t xml:space="preserve">river basin, which was then </w:t>
      </w:r>
      <w:r>
        <w:rPr>
          <w:rFonts w:hint="eastAsia"/>
          <w:highlight w:val="none"/>
        </w:rPr>
        <w:t xml:space="preserve">transferred to </w:t>
      </w:r>
      <w:r>
        <w:rPr>
          <w:rFonts w:hint="eastAsia"/>
          <w:highlight w:val="none"/>
          <w:lang w:val="en-US" w:eastAsia="zh-CN"/>
        </w:rPr>
        <w:t xml:space="preserve">the </w:t>
      </w:r>
      <w:r>
        <w:rPr>
          <w:rFonts w:hint="eastAsia"/>
          <w:highlight w:val="none"/>
        </w:rPr>
        <w:t xml:space="preserve">target </w:t>
      </w:r>
      <w:r>
        <w:rPr>
          <w:rFonts w:hint="eastAsia"/>
          <w:highlight w:val="none"/>
          <w:lang w:val="en-US" w:eastAsia="zh-CN"/>
        </w:rPr>
        <w:t xml:space="preserve">river basin </w:t>
      </w:r>
      <w:r>
        <w:rPr>
          <w:rFonts w:hint="eastAsia"/>
          <w:highlight w:val="none"/>
        </w:rPr>
        <w:t>for validation</w:t>
      </w:r>
      <w:r>
        <w:rPr>
          <w:rFonts w:hint="eastAsia"/>
          <w:highlight w:val="none"/>
        </w:rPr>
        <w:t>.</w:t>
      </w:r>
      <w:r>
        <w:rPr>
          <w:rFonts w:hint="eastAsia"/>
          <w:b w:val="0"/>
          <w:bCs w:val="0"/>
          <w:highlight w:val="none"/>
        </w:rPr>
        <w:t xml:space="preserve"> </w:t>
      </w:r>
      <w:r>
        <w:rPr>
          <w:rFonts w:hint="eastAsia" w:eastAsia="黑体" w:cs="Times New Roman"/>
          <w:b w:val="0"/>
          <w:bCs w:val="0"/>
          <w:szCs w:val="21"/>
          <w:highlight w:val="none"/>
          <w:lang w:bidi="ar"/>
        </w:rPr>
        <w:t>[Results]</w:t>
      </w:r>
      <w:r>
        <w:rPr>
          <w:rFonts w:hint="eastAsia" w:eastAsia="黑体" w:cs="Times New Roman"/>
          <w:b w:val="0"/>
          <w:bCs w:val="0"/>
          <w:szCs w:val="21"/>
          <w:highlight w:val="none"/>
          <w:lang w:val="en-US" w:eastAsia="zh-CN" w:bidi="ar"/>
        </w:rPr>
        <w:t xml:space="preserve"> </w:t>
      </w:r>
      <w:r>
        <w:rPr>
          <w:rFonts w:hint="eastAsia"/>
          <w:highlight w:val="none"/>
        </w:rPr>
        <w:t xml:space="preserve">In the reference </w:t>
      </w:r>
      <w:r>
        <w:rPr>
          <w:rFonts w:hint="eastAsia"/>
          <w:highlight w:val="none"/>
          <w:lang w:val="en-US" w:eastAsia="zh-CN"/>
        </w:rPr>
        <w:t>river basin</w:t>
      </w:r>
      <w:r>
        <w:rPr>
          <w:rFonts w:hint="eastAsia"/>
          <w:highlight w:val="none"/>
        </w:rPr>
        <w:t xml:space="preserve"> (K</w:t>
      </w:r>
      <w:r>
        <w:rPr>
          <w:rFonts w:hint="eastAsia"/>
          <w:highlight w:val="none"/>
          <w:lang w:eastAsia="zh-CN"/>
        </w:rPr>
        <w:t>o</w:t>
      </w:r>
      <w:r>
        <w:rPr>
          <w:rFonts w:hint="eastAsia"/>
          <w:highlight w:val="none"/>
        </w:rPr>
        <w:t>mpong Ch</w:t>
      </w:r>
      <w:r>
        <w:rPr>
          <w:rFonts w:hint="eastAsia"/>
        </w:rPr>
        <w:t xml:space="preserve">am station), the Nash-Sutcliffe </w:t>
      </w:r>
      <w:r>
        <w:rPr>
          <w:rFonts w:hint="eastAsia"/>
          <w:lang w:val="en-US" w:eastAsia="zh-CN"/>
        </w:rPr>
        <w:t>e</w:t>
      </w:r>
      <w:r>
        <w:rPr>
          <w:rFonts w:hint="eastAsia"/>
        </w:rPr>
        <w:t>fficiency (</w:t>
      </w:r>
      <w:r>
        <w:rPr>
          <w:rFonts w:hint="eastAsia"/>
          <w:i/>
          <w:iCs/>
        </w:rPr>
        <w:t>NSE</w:t>
      </w:r>
      <w:r>
        <w:rPr>
          <w:rFonts w:hint="eastAsia"/>
        </w:rPr>
        <w:t>) values during the calibration and validation periods were 0.87 and 0.86, respectively, with relative errors (</w:t>
      </w:r>
      <w:r>
        <w:rPr>
          <w:rFonts w:hint="eastAsia"/>
          <w:i/>
          <w:iCs/>
        </w:rPr>
        <w:t>RE</w:t>
      </w:r>
      <w:r>
        <w:rPr>
          <w:rFonts w:hint="eastAsia"/>
        </w:rPr>
        <w:t xml:space="preserve">) in total runoff volume of 5.71% and 8.61%. After the parameters were transferred to the target </w:t>
      </w:r>
      <w:r>
        <w:rPr>
          <w:rFonts w:hint="eastAsia"/>
          <w:lang w:val="en-US" w:eastAsia="zh-CN"/>
        </w:rPr>
        <w:t>river basin,</w:t>
      </w:r>
      <w:r>
        <w:rPr>
          <w:rFonts w:hint="eastAsia"/>
        </w:rPr>
        <w:t xml:space="preserve"> </w:t>
      </w:r>
      <w:r>
        <w:rPr>
          <w:rFonts w:hint="eastAsia"/>
          <w:lang w:val="en-US" w:eastAsia="zh-CN"/>
        </w:rPr>
        <w:t xml:space="preserve">the </w:t>
      </w:r>
      <w:r>
        <w:rPr>
          <w:rFonts w:hint="eastAsia"/>
          <w:i/>
          <w:iCs/>
        </w:rPr>
        <w:t>NSE</w:t>
      </w:r>
      <w:r>
        <w:rPr>
          <w:rFonts w:hint="eastAsia"/>
        </w:rPr>
        <w:t xml:space="preserve"> reached 0.87 at the Thnous Loung station on the Das River </w:t>
      </w:r>
      <w:r>
        <w:rPr>
          <w:rFonts w:hint="eastAsia"/>
          <w:lang w:val="en-US" w:eastAsia="zh-CN"/>
        </w:rPr>
        <w:t xml:space="preserve">with an </w:t>
      </w:r>
      <w:r>
        <w:rPr>
          <w:rFonts w:hint="eastAsia"/>
          <w:i/>
          <w:iCs/>
        </w:rPr>
        <w:t>RE</w:t>
      </w:r>
      <w:r>
        <w:rPr>
          <w:rFonts w:hint="eastAsia"/>
        </w:rPr>
        <w:t xml:space="preserve"> </w:t>
      </w:r>
      <w:r>
        <w:rPr>
          <w:rFonts w:hint="eastAsia"/>
          <w:lang w:val="en-US" w:eastAsia="zh-CN"/>
        </w:rPr>
        <w:t>of</w:t>
      </w:r>
      <w:r>
        <w:rPr>
          <w:rFonts w:hint="eastAsia"/>
        </w:rPr>
        <w:t xml:space="preserve"> 8.37%, and </w:t>
      </w:r>
      <w:r>
        <w:rPr>
          <w:rFonts w:hint="eastAsia"/>
          <w:lang w:val="en-US" w:eastAsia="zh-CN"/>
        </w:rPr>
        <w:t xml:space="preserve">the </w:t>
      </w:r>
      <w:r>
        <w:rPr>
          <w:rFonts w:hint="eastAsia"/>
          <w:i/>
          <w:iCs/>
        </w:rPr>
        <w:t>NSE</w:t>
      </w:r>
      <w:r>
        <w:rPr>
          <w:rFonts w:hint="eastAsia"/>
          <w:i w:val="0"/>
          <w:iCs w:val="0"/>
          <w:lang w:val="en-US" w:eastAsia="zh-CN"/>
        </w:rPr>
        <w:t xml:space="preserve"> was </w:t>
      </w:r>
      <w:r>
        <w:rPr>
          <w:rFonts w:hint="eastAsia"/>
        </w:rPr>
        <w:t>0.89 at the Kralanh station on the Sreng River</w:t>
      </w:r>
      <w:r>
        <w:rPr>
          <w:rFonts w:hint="eastAsia"/>
          <w:lang w:val="en-US" w:eastAsia="zh-CN"/>
        </w:rPr>
        <w:t xml:space="preserve"> with an </w:t>
      </w:r>
      <w:r>
        <w:rPr>
          <w:rFonts w:hint="eastAsia"/>
          <w:i/>
          <w:iCs/>
        </w:rPr>
        <w:t>RE</w:t>
      </w:r>
      <w:r>
        <w:rPr>
          <w:rFonts w:hint="eastAsia"/>
        </w:rPr>
        <w:t xml:space="preserve"> </w:t>
      </w:r>
      <w:r>
        <w:rPr>
          <w:rFonts w:hint="eastAsia"/>
          <w:lang w:val="en-US" w:eastAsia="zh-CN"/>
        </w:rPr>
        <w:t>of</w:t>
      </w:r>
      <w:r>
        <w:rPr>
          <w:rFonts w:hint="eastAsia"/>
        </w:rPr>
        <w:t xml:space="preserve"> 7.01%. The accurac</w:t>
      </w:r>
      <w:r>
        <w:rPr>
          <w:rFonts w:hint="eastAsia"/>
          <w:lang w:val="en-US" w:eastAsia="zh-CN"/>
        </w:rPr>
        <w:t>y was</w:t>
      </w:r>
      <w:r>
        <w:rPr>
          <w:rFonts w:hint="eastAsia"/>
        </w:rPr>
        <w:t xml:space="preserve"> significantly higher than </w:t>
      </w:r>
      <w:r>
        <w:rPr>
          <w:rFonts w:hint="eastAsia"/>
          <w:lang w:val="en-US" w:eastAsia="zh-CN"/>
        </w:rPr>
        <w:t>that</w:t>
      </w:r>
      <w:r>
        <w:rPr>
          <w:rFonts w:hint="eastAsia"/>
        </w:rPr>
        <w:t xml:space="preserve"> </w:t>
      </w:r>
      <w:r>
        <w:rPr>
          <w:rFonts w:hint="eastAsia"/>
          <w:lang w:val="en-US" w:eastAsia="zh-CN"/>
        </w:rPr>
        <w:t>of</w:t>
      </w:r>
      <w:r>
        <w:rPr>
          <w:rFonts w:hint="eastAsia"/>
        </w:rPr>
        <w:t xml:space="preserve"> the instantaneous unit hydrograph method (</w:t>
      </w:r>
      <w:r>
        <w:rPr>
          <w:rFonts w:hint="eastAsia"/>
          <w:i/>
          <w:iCs/>
        </w:rPr>
        <w:t>NSE</w:t>
      </w:r>
      <w:r>
        <w:rPr>
          <w:rFonts w:hint="eastAsia"/>
        </w:rPr>
        <w:t xml:space="preserve"> of 0.76 and 0.68) and the antecedent precipitation index method (</w:t>
      </w:r>
      <w:r>
        <w:rPr>
          <w:rFonts w:hint="eastAsia"/>
          <w:i/>
          <w:iCs/>
        </w:rPr>
        <w:t>NSE</w:t>
      </w:r>
      <w:r>
        <w:rPr>
          <w:rFonts w:hint="eastAsia"/>
        </w:rPr>
        <w:t xml:space="preserve"> of 0.32 and 0.74), demonstrating superior capability in simulating flood peak processes and maintaining water balance.</w:t>
      </w:r>
      <w:r>
        <w:rPr>
          <w:rFonts w:hint="eastAsia"/>
          <w:b w:val="0"/>
          <w:bCs w:val="0"/>
        </w:rPr>
        <w:t xml:space="preserve"> </w:t>
      </w:r>
      <w:r>
        <w:rPr>
          <w:rFonts w:hint="eastAsia" w:eastAsia="黑体" w:cs="Times New Roman"/>
          <w:b w:val="0"/>
          <w:bCs w:val="0"/>
          <w:szCs w:val="21"/>
          <w:lang w:bidi="ar"/>
        </w:rPr>
        <w:t>[Conclusion]</w:t>
      </w:r>
      <w:r>
        <w:rPr>
          <w:rFonts w:hint="eastAsia"/>
          <w:b w:val="0"/>
          <w:bCs w:val="0"/>
        </w:rPr>
        <w:t xml:space="preserve"> </w:t>
      </w:r>
      <w:r>
        <w:rPr>
          <w:rFonts w:hint="eastAsia"/>
          <w:b w:val="0"/>
          <w:bCs w:val="0"/>
        </w:rPr>
        <w:t>The proposed method realizes</w:t>
      </w:r>
      <w:r>
        <w:rPr>
          <w:rFonts w:hint="eastAsia"/>
          <w:b w:val="0"/>
          <w:bCs w:val="0"/>
          <w:lang w:val="en-US" w:eastAsia="zh-CN"/>
        </w:rPr>
        <w:t xml:space="preserve"> p</w:t>
      </w:r>
      <w:r>
        <w:rPr>
          <w:rFonts w:hint="eastAsia"/>
        </w:rPr>
        <w:t>hysically based cross-</w:t>
      </w:r>
      <w:r>
        <w:rPr>
          <w:rFonts w:hint="eastAsia"/>
          <w:lang w:val="en-US" w:eastAsia="zh-CN"/>
        </w:rPr>
        <w:t>basin</w:t>
      </w:r>
      <w:r>
        <w:rPr>
          <w:rFonts w:hint="eastAsia"/>
        </w:rPr>
        <w:t xml:space="preserve"> parameter transfer </w:t>
      </w:r>
      <w:r>
        <w:rPr>
          <w:rFonts w:hint="eastAsia"/>
          <w:lang w:val="en-US" w:eastAsia="zh-CN"/>
        </w:rPr>
        <w:t>using</w:t>
      </w:r>
      <w:r>
        <w:rPr>
          <w:rFonts w:hint="eastAsia"/>
        </w:rPr>
        <w:t xml:space="preserve"> land use as a carrier, fills the gap in hydrological model parameters in data-scarce regions</w:t>
      </w:r>
      <w:r>
        <w:rPr>
          <w:rFonts w:hint="eastAsia"/>
          <w:lang w:val="en-US" w:eastAsia="zh-CN"/>
        </w:rPr>
        <w:t>,</w:t>
      </w:r>
      <w:r>
        <w:rPr>
          <w:rFonts w:hint="eastAsia"/>
        </w:rPr>
        <w:t xml:space="preserve"> </w:t>
      </w:r>
      <w:r>
        <w:rPr>
          <w:rFonts w:hint="eastAsia"/>
          <w:lang w:val="en-US" w:eastAsia="zh-CN"/>
        </w:rPr>
        <w:t xml:space="preserve">and </w:t>
      </w:r>
      <w:r>
        <w:rPr>
          <w:rFonts w:hint="eastAsia"/>
        </w:rPr>
        <w:t>provid</w:t>
      </w:r>
      <w:r>
        <w:rPr>
          <w:rFonts w:hint="eastAsia"/>
          <w:lang w:val="en-US" w:eastAsia="zh-CN"/>
        </w:rPr>
        <w:t>es</w:t>
      </w:r>
      <w:r>
        <w:rPr>
          <w:rFonts w:hint="eastAsia"/>
        </w:rPr>
        <w:t xml:space="preserve"> an effective reference for process simulation in distributed hydrological modeling.</w:t>
      </w:r>
      <w:r>
        <w:rPr>
          <w:rFonts w:hint="eastAsia"/>
        </w:rPr>
        <w:br w:type="textWrapping"/>
      </w:r>
      <w:r>
        <w:rPr>
          <w:rFonts w:eastAsia="黑体" w:cs="Times New Roman"/>
          <w:b/>
          <w:kern w:val="0"/>
          <w:szCs w:val="21"/>
          <w:lang w:bidi="ar"/>
        </w:rPr>
        <w:t>Keywords:</w:t>
      </w:r>
      <w:r>
        <w:rPr>
          <w:rFonts w:cs="Times New Roman"/>
          <w:b/>
          <w:bCs/>
          <w:szCs w:val="21"/>
          <w:lang w:bidi="ar"/>
        </w:rPr>
        <w:t xml:space="preserve"> </w:t>
      </w:r>
      <w:r>
        <w:rPr>
          <w:rFonts w:cs="Times New Roman"/>
          <w:bCs/>
          <w:szCs w:val="21"/>
          <w:lang w:bidi="ar"/>
        </w:rPr>
        <w:t>parameter regionalization; ungauged basins; land use homogeneity; distributed hydrological model; data-scarce regions; hydrological non-stationarity; Mekong River Basin; climate change</w:t>
      </w:r>
    </w:p>
    <w:p w14:paraId="76C882B7">
      <w:pPr>
        <w:pStyle w:val="8"/>
        <w:ind w:firstLine="420"/>
        <w:rPr>
          <w:rFonts w:eastAsia="黑体" w:cs="Times New Roman"/>
          <w:szCs w:val="21"/>
          <w:lang w:bidi="ar"/>
        </w:rPr>
      </w:pPr>
    </w:p>
    <w:p w14:paraId="054B9CF2">
      <w:pPr>
        <w:pStyle w:val="8"/>
        <w:ind w:firstLine="420"/>
        <w:rPr>
          <w:rFonts w:eastAsia="黑体" w:cs="Times New Roman"/>
          <w:szCs w:val="21"/>
          <w:lang w:bidi="ar"/>
        </w:rPr>
      </w:pPr>
    </w:p>
    <w:p w14:paraId="201BB95D">
      <w:pPr>
        <w:pStyle w:val="2"/>
        <w:numPr>
          <w:ilvl w:val="0"/>
          <w:numId w:val="0"/>
        </w:numPr>
      </w:pPr>
      <w:r>
        <w:rPr>
          <w:rFonts w:eastAsia="宋体" w:cs="宋体"/>
        </w:rPr>
        <w:t xml:space="preserve">0 </w:t>
      </w:r>
      <w:r>
        <w:rPr>
          <w:rFonts w:hint="eastAsia"/>
        </w:rPr>
        <w:t>引</w:t>
      </w:r>
      <w:r>
        <w:rPr>
          <w:lang w:val="en"/>
        </w:rPr>
        <w:t xml:space="preserve">  </w:t>
      </w:r>
      <w:r>
        <w:rPr>
          <w:rFonts w:hint="eastAsia"/>
        </w:rPr>
        <w:t>言</w:t>
      </w:r>
    </w:p>
    <w:p w14:paraId="1E26BECE">
      <w:pPr>
        <w:ind w:firstLine="420"/>
      </w:pPr>
      <w:r>
        <w:rPr>
          <w:rFonts w:hint="eastAsia"/>
        </w:rPr>
        <w:t>水文模型作为模拟流域水循环、支撑水资源规划管理的核心工具，其模拟精度与预测能力从根本上受制于输入数据的质量与连续性。当前，全球水文观测网络存在显著的数据鸿沟，特别是在跨境河流与欠发达地区，观测设施的匮乏导致水文序列严重缺失或残缺，直接制约了模型在少资料流域中的应用</w:t>
      </w:r>
      <w:r>
        <w:rPr>
          <w:rFonts w:hint="eastAsia"/>
          <w:vertAlign w:val="superscript"/>
        </w:rPr>
        <w:t>[1]</w:t>
      </w:r>
      <w:r>
        <w:rPr>
          <w:rFonts w:hint="eastAsia"/>
        </w:rPr>
        <w:t>。在气候变化与人类活动双重影响的背景下，流域水文过程的非线性响应与时空异质性显著增强，少资料地区水文模拟的不确定性与技术难度逐步增加</w:t>
      </w:r>
      <w:r>
        <w:rPr>
          <w:rFonts w:hint="eastAsia"/>
          <w:vertAlign w:val="superscript"/>
        </w:rPr>
        <w:t>[2]</w:t>
      </w:r>
      <w:r>
        <w:rPr>
          <w:rFonts w:hint="eastAsia"/>
        </w:rPr>
        <w:t>。因此，发展适用于少资料流域的水文模拟新方法，提升其模拟的物理合理性与结果稳健性，对于保障区域水安全、支撑可持续水资源管理具有重要的理论与现实意义</w:t>
      </w:r>
      <w:r>
        <w:rPr>
          <w:rFonts w:hint="eastAsia"/>
          <w:vertAlign w:val="superscript"/>
        </w:rPr>
        <w:t>[3]</w:t>
      </w:r>
      <w:r>
        <w:rPr>
          <w:rFonts w:hint="eastAsia"/>
        </w:rPr>
        <w:t>。</w:t>
      </w:r>
    </w:p>
    <w:p w14:paraId="7C6C2E29">
      <w:pPr>
        <w:ind w:firstLine="420"/>
      </w:pPr>
      <w:r>
        <w:rPr>
          <w:rFonts w:hint="eastAsia"/>
        </w:rPr>
        <w:t>目前对少资料地区的水文模拟研究，主要遵循以下三条技术路径。一是基于经验关系或简化物理概念的模型法，如SCS-CN模型与单位线法，因其结构简单、参数需求少，被广泛用于中小河流的设计洪水计算与缺资料地区的初步水文模拟</w:t>
      </w:r>
      <w:r>
        <w:rPr>
          <w:rFonts w:hint="eastAsia"/>
          <w:vertAlign w:val="superscript"/>
        </w:rPr>
        <w:t>[4]</w:t>
      </w:r>
      <w:r>
        <w:rPr>
          <w:rFonts w:hint="eastAsia"/>
          <w:szCs w:val="21"/>
        </w:rPr>
        <w:t>，</w:t>
      </w:r>
      <w:r>
        <w:rPr>
          <w:rFonts w:hint="eastAsia"/>
        </w:rPr>
        <w:t>在山区小流域，杨娜娜等</w:t>
      </w:r>
      <w:r>
        <w:rPr>
          <w:rFonts w:hint="eastAsia"/>
          <w:vertAlign w:val="superscript"/>
        </w:rPr>
        <w:t>[5]</w:t>
      </w:r>
      <w:r>
        <w:rPr>
          <w:rFonts w:hint="eastAsia"/>
        </w:rPr>
        <w:t>通过对模型关键参数进行本地化率定与优化，显著提升了模拟精度，实现了满足应急预报需求的快速估算能力。刘春春等</w:t>
      </w:r>
      <w:r>
        <w:rPr>
          <w:rFonts w:hint="eastAsia"/>
          <w:vertAlign w:val="superscript"/>
        </w:rPr>
        <w:t>[6]</w:t>
      </w:r>
      <w:r>
        <w:rPr>
          <w:rFonts w:hint="eastAsia"/>
        </w:rPr>
        <w:t>基于SCS模型对</w:t>
      </w:r>
      <w:r>
        <w:rPr>
          <w:rFonts w:hint="eastAsia"/>
          <w:color w:val="000000"/>
          <w:shd w:val="clear" w:color="auto" w:fill="FFFFFF"/>
        </w:rPr>
        <w:t>西安市清河</w:t>
      </w:r>
      <w:r>
        <w:rPr>
          <w:rFonts w:hint="eastAsia"/>
        </w:rPr>
        <w:t>流域的年际径流总量进行模拟估算，通过径流系数区间法验证了模拟在无实测径流资料条件下的可靠性。二是参数区域化方法，如空间邻近、属性相似及统计回归法，实现了水文参数与知识的空间移植，构成了从区域到全球尺度无资料流域径流估算与水资源评估的关键途径</w:t>
      </w:r>
      <w:r>
        <w:rPr>
          <w:rFonts w:hint="eastAsia"/>
          <w:vertAlign w:val="superscript"/>
        </w:rPr>
        <w:t>[7]</w:t>
      </w:r>
      <w:r>
        <w:rPr>
          <w:rFonts w:hint="eastAsia"/>
        </w:rPr>
        <w:t>。程艳等</w:t>
      </w:r>
      <w:r>
        <w:rPr>
          <w:rFonts w:hint="eastAsia"/>
          <w:vertAlign w:val="superscript"/>
        </w:rPr>
        <w:t>[8]</w:t>
      </w:r>
      <w:r>
        <w:rPr>
          <w:rFonts w:hint="eastAsia"/>
        </w:rPr>
        <w:t>在嘉陵江中游将区域化方法成功应用于不同类型的经典水文模型，解决了特定流域的无资料模拟难题；陈鑫等</w:t>
      </w:r>
      <w:r>
        <w:rPr>
          <w:rFonts w:hint="eastAsia"/>
          <w:vertAlign w:val="superscript"/>
        </w:rPr>
        <w:t>[9]</w:t>
      </w:r>
      <w:r>
        <w:rPr>
          <w:rFonts w:hint="eastAsia"/>
        </w:rPr>
        <w:t>在黑河流域选取了水文气象及下垫面条件相似的参证流域，成功将TOPMODEL模型的参数移植至无资料流域，显著提升了径流模拟的精度，验证了物理相似性方法在解决西北干旱区内陆河无资料模拟问题上的有效性。三是遥感与再分析数据驱动法，该方法不直接依赖地面径流观测，而是依托卫星反演的降水、蒸散发、土壤湿度及高分辨率地形数据等驱动分布式水文模型。刘渤</w:t>
      </w:r>
      <w:r>
        <w:rPr>
          <w:rFonts w:hint="eastAsia"/>
          <w:vertAlign w:val="superscript"/>
        </w:rPr>
        <w:t>[10]</w:t>
      </w:r>
      <w:r>
        <w:rPr>
          <w:rFonts w:hint="eastAsia"/>
        </w:rPr>
        <w:t>利用CMF</w:t>
      </w:r>
      <w:r>
        <w:rPr>
          <w:rFonts w:hint="eastAsia"/>
          <w:color w:val="000000"/>
          <w:shd w:val="clear" w:color="auto" w:fill="FFFFFF"/>
        </w:rPr>
        <w:t>D、E</w:t>
      </w:r>
      <w:r>
        <w:rPr>
          <w:rFonts w:hint="eastAsia"/>
        </w:rPr>
        <w:t>RA5-Land及CFSR再分析数据分别驱动SWAT与AdaBoost模型，在玛纳斯河流域评估了再分析数据在缺资料地区径流模拟中的适用性；曹永强等</w:t>
      </w:r>
      <w:r>
        <w:rPr>
          <w:rFonts w:hint="eastAsia"/>
          <w:vertAlign w:val="superscript"/>
        </w:rPr>
        <w:t>[11]</w:t>
      </w:r>
      <w:r>
        <w:rPr>
          <w:rFonts w:hint="eastAsia"/>
        </w:rPr>
        <w:t>在青藏高原无资料地区，利用多源遥感数据驱动VIC模型，实现了对径流过程较为可靠的模拟，证实了该方法在地面观测极度匮乏的复杂地形区具有不可替代的应用价值。但现有方法在应对跨境少资料场景时仍存在不足。经验模型法的参数源于统计关系或简化物理概念，在流域尺度与下垫面异质性显著时，缺乏稳健的物理外推基础，易产生系统性偏差</w:t>
      </w:r>
      <w:r>
        <w:rPr>
          <w:rFonts w:hint="eastAsia"/>
          <w:vertAlign w:val="superscript"/>
        </w:rPr>
        <w:t>[12]</w:t>
      </w:r>
      <w:r>
        <w:rPr>
          <w:rFonts w:hint="eastAsia"/>
        </w:rPr>
        <w:t>。参数区域化方法的有效性则高度依赖流域间的整体相似性与密集的参证站网，而这在站点稀疏、地理隔离的跨境地区常难以满足，导致传统相似性度量失效</w:t>
      </w:r>
      <w:r>
        <w:rPr>
          <w:rFonts w:hint="eastAsia"/>
          <w:vertAlign w:val="superscript"/>
        </w:rPr>
        <w:t>[13]</w:t>
      </w:r>
      <w:r>
        <w:rPr>
          <w:rFonts w:hint="eastAsia"/>
        </w:rPr>
        <w:t>。遥感与再分析数据驱动法虽能规避地面观测缺失，但其数据产品在热带季风区复杂地形下存在固有偏差，且缺乏足够地面观测进行校正，致使输入误差在模型中逐级放大，最终制约模拟可靠性</w:t>
      </w:r>
      <w:r>
        <w:rPr>
          <w:rFonts w:hint="eastAsia"/>
          <w:vertAlign w:val="superscript"/>
        </w:rPr>
        <w:t>[14]</w:t>
      </w:r>
      <w:r>
        <w:rPr>
          <w:rFonts w:hint="eastAsia"/>
        </w:rPr>
        <w:t>。综上，上述方法的根本局限在于：未能构建下垫面属性、水文过程与模型参数三者间可量化、可移植的物理耦合机制，使得参数迁移易脱离物理成因，演变为数学插值或统计推断。</w:t>
      </w:r>
    </w:p>
    <w:p w14:paraId="26FC3BC4">
      <w:pPr>
        <w:ind w:firstLine="420"/>
        <w:rPr>
          <w:rStyle w:val="38"/>
        </w:rPr>
      </w:pPr>
      <w:r>
        <w:rPr>
          <w:rFonts w:hint="eastAsia"/>
        </w:rPr>
        <w:t>针对传统参数区域化方法在跨境少资料领域应用中面临的挑战，本研究提出一种基于土地利用相似性的水文参数迁移新方法。本方法的根本创新在于实现了参数迁移范式的转换，其核心在于：将参数迁移的基本单元从异质性显著的完整流域，解构为水文功能相对均质的独立下垫面单元；将迁移的判别依据，从依赖于多元统计推断的整体流域水文相似性，转变为基于物理机制的下垫面单元过程同质性判据。这一途径旨在摆脱传统方法对流域整体指标回归的依赖，从而为少资料地区的水文模拟提供一种物理基础更坚实、结果更稳健的参数迁移方案。为系统验证本研究提出方法的有效性与稳健性，</w:t>
      </w:r>
      <w:r>
        <w:rPr>
          <w:rFonts w:hint="eastAsia"/>
          <w:szCs w:val="21"/>
        </w:rPr>
        <w:t>选取柬埔寨境内水文观测严重匮乏的典型流域作为案例区，通过构建参数迁移框架，检验其外推能力。综合评估纳什效率系数、相对误差、决定性系数等多重统计指标，并分析模拟径流过程线与基准序列在峰现时间、洪枯形态等关键水文特征，从而定量与定性相结合地揭示该方法在应对气候和下垫面驱动因素异质性时的可靠性</w:t>
      </w:r>
      <w:r>
        <w:rPr>
          <w:rFonts w:hint="eastAsia"/>
        </w:rPr>
        <w:t>。</w:t>
      </w:r>
      <w:r>
        <w:rPr>
          <w:rStyle w:val="38"/>
          <w:rFonts w:hint="eastAsia"/>
        </w:rPr>
        <w:t>本研究旨在为少资料地区的水文模拟与参数确定提供一种新的技术途径，以支持区域水资源精准调配、旱涝灾害风险评估等定量化决策。</w:t>
      </w:r>
    </w:p>
    <w:p w14:paraId="12D9C92F">
      <w:pPr>
        <w:pStyle w:val="2"/>
        <w:numPr>
          <w:ilvl w:val="0"/>
          <w:numId w:val="0"/>
        </w:numPr>
      </w:pPr>
      <w:r>
        <w:rPr>
          <w:rFonts w:eastAsia="宋体" w:cs="宋体"/>
        </w:rPr>
        <w:t xml:space="preserve">1 </w:t>
      </w:r>
      <w:r>
        <w:rPr>
          <w:rFonts w:hint="eastAsia"/>
        </w:rPr>
        <w:t>模型方法</w:t>
      </w:r>
    </w:p>
    <w:p w14:paraId="6F9A8AB9">
      <w:pPr>
        <w:pStyle w:val="3"/>
        <w:numPr>
          <w:ilvl w:val="0"/>
          <w:numId w:val="0"/>
        </w:numPr>
      </w:pPr>
      <w:r>
        <w:t xml:space="preserve">1.1 </w:t>
      </w:r>
      <w:r>
        <w:rPr>
          <w:rFonts w:hint="eastAsia"/>
        </w:rPr>
        <w:t>方法框架设计</w:t>
      </w:r>
    </w:p>
    <w:p w14:paraId="3328B65F">
      <w:pPr>
        <w:ind w:firstLine="420"/>
      </w:pPr>
      <w:r>
        <w:rPr>
          <w:rFonts w:hint="eastAsia"/>
        </w:rPr>
        <w:t>本研究提出一种基于土地利用类型的跨流域水文参数迁移方法，旨在解决无资料地区的水文模拟难题。其核心在于建立土地利用类型与水文参数间的可迁移定量关系，通过参证流域的知识提炼与目标流域的参数映射，实现水文特性的空间延拓。</w:t>
      </w:r>
    </w:p>
    <w:p w14:paraId="7BCF5AC5">
      <w:pPr>
        <w:ind w:firstLine="420"/>
      </w:pPr>
      <w:r>
        <w:rPr>
          <w:rFonts w:hint="eastAsia"/>
        </w:rPr>
        <w:t>步骤1：在数据完备的参证流域，通过分布式水文模型参数率定识别关键参数并评估其不确定性。</w:t>
      </w:r>
    </w:p>
    <w:p w14:paraId="3A6F342E">
      <w:pPr>
        <w:ind w:firstLine="420"/>
      </w:pPr>
      <w:r>
        <w:rPr>
          <w:rFonts w:hint="eastAsia"/>
        </w:rPr>
        <w:t>步骤2：基于参数-地类响应关系构建定量查找表，实现从流域特性到地类属性的知识泛化，将该查找表与目标流域土地利用数据进行空间映射，生成具有物理意义的初始参数场。</w:t>
      </w:r>
    </w:p>
    <w:p w14:paraId="23E88769">
      <w:pPr>
        <w:ind w:firstLine="420"/>
      </w:pPr>
      <w:r>
        <w:rPr>
          <w:rFonts w:hint="eastAsia"/>
        </w:rPr>
        <w:t>步骤3：依托目标流域局部观测数据，完成参数适应性优化并通过模拟验证框架有效性。该方法通过地类载体确保了参数迁移的物理基础与区域适应性。</w:t>
      </w:r>
    </w:p>
    <w:p w14:paraId="433E56C9">
      <w:pPr>
        <w:ind w:firstLine="420"/>
      </w:pPr>
      <w:r>
        <w:t>技术路线</w:t>
      </w:r>
      <w:r>
        <w:rPr>
          <w:rFonts w:hint="eastAsia"/>
        </w:rPr>
        <w:t>如</w:t>
      </w:r>
      <w:r>
        <w:t>图</w:t>
      </w:r>
      <w:r>
        <w:rPr>
          <w:rFonts w:eastAsia="黑体" w:cs="Times New Roman"/>
        </w:rPr>
        <w:t>1</w:t>
      </w:r>
      <w:r>
        <w:rPr>
          <w:rFonts w:hint="eastAsia"/>
        </w:rPr>
        <w:t>所示</w:t>
      </w:r>
      <w:r>
        <w:t>，本研究的核心创新</w:t>
      </w:r>
      <w:r>
        <w:rPr>
          <w:rFonts w:hint="eastAsia"/>
        </w:rPr>
        <w:t>，</w:t>
      </w:r>
      <w:r>
        <w:t>即以土地利用类型为关键媒介与桥梁，将参数从数据丰富的参证流域稳健地迁移至</w:t>
      </w:r>
      <w:r>
        <w:rPr>
          <w:rFonts w:hint="eastAsia"/>
        </w:rPr>
        <w:t>少</w:t>
      </w:r>
      <w:r>
        <w:t>资料的目标流域，确保了水文模拟过程兼具坚实的物理基础与良好的区域适应能力。</w:t>
      </w:r>
    </w:p>
    <w:p w14:paraId="58A169B8">
      <w:pPr>
        <w:pStyle w:val="8"/>
        <w:ind w:firstLine="0" w:firstLineChars="0"/>
        <w:jc w:val="center"/>
        <w:rPr>
          <w:rFonts w:ascii="宋体" w:hAnsi="宋体"/>
          <w:sz w:val="24"/>
        </w:rPr>
      </w:pPr>
      <w:r>
        <w:rPr>
          <w:rFonts w:ascii="宋体" w:hAnsi="宋体"/>
          <w:sz w:val="24"/>
        </w:rPr>
        <w:drawing>
          <wp:inline distT="0" distB="0" distL="114300" distR="114300">
            <wp:extent cx="4443095" cy="2338070"/>
            <wp:effectExtent l="0" t="0" r="0" b="0"/>
            <wp:docPr id="17" name="图片 2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5" descr="IMG_256"/>
                    <pic:cNvPicPr>
                      <a:picLocks noChangeAspect="1"/>
                    </pic:cNvPicPr>
                  </pic:nvPicPr>
                  <pic:blipFill>
                    <a:blip r:embed="rId7"/>
                    <a:srcRect l="858" t="647" r="8165" b="14239"/>
                    <a:stretch>
                      <a:fillRect/>
                    </a:stretch>
                  </pic:blipFill>
                  <pic:spPr>
                    <a:xfrm>
                      <a:off x="0" y="0"/>
                      <a:ext cx="4443095" cy="2338070"/>
                    </a:xfrm>
                    <a:prstGeom prst="rect">
                      <a:avLst/>
                    </a:prstGeom>
                    <a:noFill/>
                    <a:ln w="9525">
                      <a:noFill/>
                    </a:ln>
                  </pic:spPr>
                </pic:pic>
              </a:graphicData>
            </a:graphic>
          </wp:inline>
        </w:drawing>
      </w:r>
    </w:p>
    <w:p w14:paraId="59739F29">
      <w:pPr>
        <w:pStyle w:val="7"/>
        <w:rPr>
          <w:rFonts w:eastAsia="宋体"/>
          <w:bCs w:val="0"/>
        </w:rPr>
      </w:pPr>
      <w:bookmarkStart w:id="1" w:name="_Ref3122"/>
      <w:r>
        <w:rPr>
          <w:bCs w:val="0"/>
        </w:rPr>
        <w:t>图</w:t>
      </w:r>
      <w:r>
        <w:rPr>
          <w:rFonts w:cs="Times New Roman"/>
          <w:bCs w:val="0"/>
        </w:rPr>
        <w:t>1</w:t>
      </w:r>
      <w:bookmarkEnd w:id="1"/>
      <w:r>
        <w:rPr>
          <w:bCs w:val="0"/>
        </w:rPr>
        <w:t xml:space="preserve">  </w:t>
      </w:r>
      <w:r>
        <w:rPr>
          <w:rFonts w:hint="eastAsia"/>
          <w:bCs w:val="0"/>
        </w:rPr>
        <w:t>技术路线</w:t>
      </w:r>
    </w:p>
    <w:p w14:paraId="7C4A16D4">
      <w:pPr>
        <w:ind w:firstLine="0" w:firstLineChars="0"/>
        <w:jc w:val="center"/>
        <w:rPr>
          <w:rFonts w:eastAsia="黑体" w:cs="Times New Roman"/>
          <w:kern w:val="0"/>
          <w:sz w:val="18"/>
          <w:szCs w:val="18"/>
        </w:rPr>
      </w:pPr>
      <w:r>
        <w:rPr>
          <w:rFonts w:hint="eastAsia" w:eastAsia="黑体" w:cs="Times New Roman"/>
          <w:kern w:val="0"/>
          <w:sz w:val="18"/>
          <w:szCs w:val="18"/>
        </w:rPr>
        <w:t>Fig.</w:t>
      </w:r>
      <w:r>
        <w:rPr>
          <w:rFonts w:hint="eastAsia" w:eastAsia="黑体" w:cs="Times New Roman"/>
          <w:kern w:val="0"/>
          <w:sz w:val="18"/>
          <w:szCs w:val="18"/>
          <w:lang w:val="en-US" w:eastAsia="zh-CN"/>
        </w:rPr>
        <w:t xml:space="preserve"> </w:t>
      </w:r>
      <w:r>
        <w:rPr>
          <w:rFonts w:hint="eastAsia" w:eastAsia="黑体" w:cs="Times New Roman"/>
          <w:kern w:val="0"/>
          <w:sz w:val="18"/>
          <w:szCs w:val="18"/>
        </w:rPr>
        <w:t xml:space="preserve">1  </w:t>
      </w:r>
      <w:r>
        <w:rPr>
          <w:rFonts w:eastAsia="黑体" w:cs="Times New Roman"/>
          <w:kern w:val="0"/>
          <w:sz w:val="18"/>
          <w:szCs w:val="18"/>
        </w:rPr>
        <w:t>Technical roadmap</w:t>
      </w:r>
    </w:p>
    <w:p w14:paraId="4F6AEAD6">
      <w:pPr>
        <w:pStyle w:val="8"/>
        <w:ind w:firstLine="420"/>
      </w:pPr>
      <w:r>
        <w:t>基于上述框架，将依次阐述模型构建、参数迁移机制、对比方法与评估指标，形成完整的方法体系</w:t>
      </w:r>
      <w:r>
        <w:rPr>
          <w:rFonts w:hint="eastAsia"/>
        </w:rPr>
        <w:t>。</w:t>
      </w:r>
    </w:p>
    <w:p w14:paraId="045526F4">
      <w:pPr>
        <w:pStyle w:val="3"/>
        <w:numPr>
          <w:ilvl w:val="0"/>
          <w:numId w:val="0"/>
        </w:numPr>
      </w:pPr>
      <w:r>
        <w:t xml:space="preserve">1.2 </w:t>
      </w:r>
      <w:r>
        <w:rPr>
          <w:rFonts w:hint="eastAsia"/>
        </w:rPr>
        <w:t>栅格型分布式水文模型构建</w:t>
      </w:r>
    </w:p>
    <w:p w14:paraId="68908ABC">
      <w:pPr>
        <w:ind w:firstLine="420"/>
      </w:pPr>
      <w:r>
        <w:rPr>
          <w:rFonts w:hint="eastAsia"/>
        </w:rPr>
        <w:t>栅格型分布式水文模型基于流域的空间异质性和时间动态特征，通过空间离散</w:t>
      </w:r>
      <w:r>
        <w:rPr>
          <w:rFonts w:hint="eastAsia"/>
          <w:color w:val="000000"/>
        </w:rPr>
        <w:t>化合</w:t>
      </w:r>
      <w:r>
        <w:rPr>
          <w:rFonts w:hint="eastAsia"/>
        </w:rPr>
        <w:t>物理过程模拟来揭示水文现象的</w:t>
      </w:r>
      <w:r>
        <w:rPr>
          <w:rFonts w:ascii="宋体" w:hAnsi="宋体"/>
        </w:rPr>
        <w:t>动态演变和空间差异性</w:t>
      </w:r>
      <w:r>
        <w:rPr>
          <w:rFonts w:hint="eastAsia" w:ascii="宋体" w:hAnsi="宋体"/>
        </w:rPr>
        <w:t>，</w:t>
      </w:r>
      <w:r>
        <w:rPr>
          <w:rFonts w:hint="eastAsia"/>
        </w:rPr>
        <w:t>模型原理如</w:t>
      </w:r>
      <w:r>
        <w:t>图</w:t>
      </w:r>
      <w:r>
        <w:rPr>
          <w:rFonts w:hint="eastAsia"/>
        </w:rPr>
        <w:t>2所示。本模型的核心创新在于，构建了以土地利用类型为基本单元的参数化框架，该框架通过将下垫面属性与产汇流参数动态耦合，不仅实现了参数的空间分异性表达，更直接服务于后续跨流域的高效参数迁移。相比之下，SWAT</w:t>
      </w:r>
      <w:r>
        <w:rPr>
          <w:rFonts w:hint="eastAsia"/>
          <w:vertAlign w:val="superscript"/>
        </w:rPr>
        <w:t>[15]</w:t>
      </w:r>
      <w:r>
        <w:rPr>
          <w:rFonts w:hint="eastAsia"/>
        </w:rPr>
        <w:t>、VIC</w:t>
      </w:r>
      <w:r>
        <w:rPr>
          <w:rFonts w:hint="eastAsia"/>
          <w:vertAlign w:val="superscript"/>
        </w:rPr>
        <w:t>[16]</w:t>
      </w:r>
      <w:r>
        <w:rPr>
          <w:rFonts w:hint="eastAsia"/>
        </w:rPr>
        <w:t>等传统分布式模型虽具备坚实的物理基础，但在缺乏本地水文数据支撑时，参数区域化过程存在显著的不确定性。模型通过强化参数与最易获取、最具区域代表性的土地利用信息之间的纽带，显著简化了在少资料流域的模型应用流程，在参数的可移植性、模型的区域适应性与应用效率方面实现了重要突破。</w:t>
      </w:r>
    </w:p>
    <w:p w14:paraId="579FDCD7">
      <w:pPr>
        <w:ind w:firstLine="0" w:firstLineChars="0"/>
        <w:jc w:val="center"/>
      </w:pPr>
      <w:bookmarkStart w:id="2" w:name="_Ref2450"/>
      <w:r>
        <w:rPr>
          <w:rFonts w:ascii="宋体" w:hAnsi="宋体"/>
          <w:sz w:val="24"/>
        </w:rPr>
        <w:drawing>
          <wp:inline distT="0" distB="0" distL="114300" distR="114300">
            <wp:extent cx="5302250" cy="2680970"/>
            <wp:effectExtent l="0" t="0" r="1270" b="1270"/>
            <wp:docPr id="10" name="图片 2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3" descr="IMG_256"/>
                    <pic:cNvPicPr>
                      <a:picLocks noChangeAspect="1"/>
                    </pic:cNvPicPr>
                  </pic:nvPicPr>
                  <pic:blipFill>
                    <a:blip r:embed="rId8"/>
                    <a:srcRect l="1040" t="4315" b="6733"/>
                    <a:stretch>
                      <a:fillRect/>
                    </a:stretch>
                  </pic:blipFill>
                  <pic:spPr>
                    <a:xfrm>
                      <a:off x="0" y="0"/>
                      <a:ext cx="5302250" cy="2680970"/>
                    </a:xfrm>
                    <a:prstGeom prst="rect">
                      <a:avLst/>
                    </a:prstGeom>
                    <a:noFill/>
                    <a:ln w="9525">
                      <a:noFill/>
                    </a:ln>
                  </pic:spPr>
                </pic:pic>
              </a:graphicData>
            </a:graphic>
          </wp:inline>
        </w:drawing>
      </w:r>
    </w:p>
    <w:p w14:paraId="21A4177A">
      <w:pPr>
        <w:pStyle w:val="7"/>
        <w:rPr>
          <w:bCs w:val="0"/>
        </w:rPr>
      </w:pPr>
      <w:r>
        <w:rPr>
          <w:rFonts w:hint="eastAsia"/>
          <w:bCs w:val="0"/>
        </w:rPr>
        <w:t>图</w:t>
      </w:r>
      <w:r>
        <w:rPr>
          <w:bCs w:val="0"/>
        </w:rPr>
        <w:t>2</w:t>
      </w:r>
      <w:r>
        <w:rPr>
          <w:rFonts w:hint="eastAsia"/>
          <w:bCs w:val="0"/>
        </w:rPr>
        <w:t xml:space="preserve">  栅格型分布式水文模型原理</w:t>
      </w:r>
    </w:p>
    <w:p w14:paraId="46F57C7B">
      <w:pPr>
        <w:pStyle w:val="7"/>
        <w:rPr>
          <w:bCs w:val="0"/>
        </w:rPr>
      </w:pPr>
      <w:r>
        <w:rPr>
          <w:rFonts w:hint="eastAsia"/>
          <w:bCs w:val="0"/>
        </w:rPr>
        <w:t>Fig.</w:t>
      </w:r>
      <w:r>
        <w:rPr>
          <w:rFonts w:hint="eastAsia"/>
          <w:bCs w:val="0"/>
          <w:lang w:val="en-US" w:eastAsia="zh-CN"/>
        </w:rPr>
        <w:t xml:space="preserve"> </w:t>
      </w:r>
      <w:r>
        <w:rPr>
          <w:rFonts w:hint="eastAsia"/>
          <w:bCs w:val="0"/>
        </w:rPr>
        <w:t>2  Principle of raster-based distributed hydrological model</w:t>
      </w:r>
    </w:p>
    <w:bookmarkEnd w:id="2"/>
    <w:p w14:paraId="235BD1A3">
      <w:pPr>
        <w:ind w:firstLine="420"/>
      </w:pPr>
      <w:r>
        <w:rPr>
          <w:rFonts w:hint="eastAsia"/>
        </w:rPr>
        <w:t>采用30米分辨率数字高程模型DEM驱动流域空间离散化，将研究区划分为规则的栅格矩阵作为核心计算单元。运用D8流向算法</w:t>
      </w:r>
      <w:r>
        <w:rPr>
          <w:rFonts w:hint="eastAsia"/>
          <w:vertAlign w:val="superscript"/>
        </w:rPr>
        <w:t>[17]</w:t>
      </w:r>
      <w:r>
        <w:rPr>
          <w:rFonts w:hint="eastAsia"/>
        </w:rPr>
        <w:t>完成从水流方向分析到河网与子流域提取的全过程，为汇流计算建立物理路径。每个栅格均作为下垫面属性的空间载体，集成独立的地形、土壤与土地利用信息，从而在物理机制上保障了对流域空间异质性的精确表征。</w:t>
      </w:r>
    </w:p>
    <w:p w14:paraId="760FEDBD">
      <w:pPr>
        <w:ind w:firstLine="420"/>
      </w:pPr>
      <w:r>
        <w:rPr>
          <w:rFonts w:hint="eastAsia"/>
        </w:rPr>
        <w:t>模型在各栅格单元内独立进行垂向与水平水文过程模拟。</w:t>
      </w:r>
    </w:p>
    <w:p w14:paraId="5ED49D46">
      <w:pPr>
        <w:ind w:left="41" w:firstLine="439" w:firstLineChars="0"/>
      </w:pPr>
      <w:r>
        <w:t>（1）</w:t>
      </w:r>
      <w:r>
        <w:rPr>
          <w:rFonts w:hint="eastAsia"/>
          <w:color w:val="000000"/>
          <w:shd w:val="clear" w:color="auto" w:fill="FFFFFF"/>
        </w:rPr>
        <w:t>产流</w:t>
      </w:r>
      <w:r>
        <w:rPr>
          <w:rFonts w:hint="eastAsia"/>
        </w:rPr>
        <w:t>模型。产流模型库包括新安江模型</w:t>
      </w:r>
      <w:r>
        <w:rPr>
          <w:rFonts w:hint="eastAsia"/>
          <w:vertAlign w:val="superscript"/>
        </w:rPr>
        <w:t>[18]</w:t>
      </w:r>
      <w:r>
        <w:rPr>
          <w:rFonts w:hint="eastAsia"/>
        </w:rPr>
        <w:t>、SCS模型</w:t>
      </w:r>
      <w:r>
        <w:rPr>
          <w:rFonts w:hint="eastAsia"/>
          <w:vertAlign w:val="superscript"/>
        </w:rPr>
        <w:t>[19]</w:t>
      </w:r>
      <w:r>
        <w:rPr>
          <w:rFonts w:hint="eastAsia"/>
        </w:rPr>
        <w:t>、paddy水田模型</w:t>
      </w:r>
      <w:r>
        <w:rPr>
          <w:rFonts w:hint="eastAsia"/>
          <w:vertAlign w:val="superscript"/>
        </w:rPr>
        <w:t>[20]</w:t>
      </w:r>
      <w:r>
        <w:rPr>
          <w:rFonts w:hint="eastAsia"/>
        </w:rPr>
        <w:t>和初损后损法</w:t>
      </w:r>
      <w:r>
        <w:rPr>
          <w:rFonts w:hint="eastAsia"/>
          <w:vertAlign w:val="superscript"/>
        </w:rPr>
        <w:t>[21]</w:t>
      </w:r>
      <w:r>
        <w:rPr>
          <w:rFonts w:hint="eastAsia"/>
        </w:rPr>
        <w:t>等，模型选取及其参数化严格依据流域内土地利用类型，以适配不同下垫面条件的产流特征。本研究采用新安江蓄满产流模型，该模型适用于土壤湿润易饱和地区，能够有效刻画高强度降雨下的产流过程，准确表征以蓄满产流为主的径流形成机制。各栅格作为独立计算单元，根据其土地利用类型采用差异化的产流参数，从而提升模型对复杂下垫面条件的适应性与模拟精度。</w:t>
      </w:r>
    </w:p>
    <w:p w14:paraId="7D5BFA4F">
      <w:pPr>
        <w:ind w:firstLine="420"/>
      </w:pPr>
      <w:r>
        <w:rPr>
          <w:rFonts w:hint="eastAsia"/>
        </w:rPr>
        <w:t>垂向过程上，降水经冠层</w:t>
      </w:r>
      <w:r>
        <w:rPr>
          <w:rFonts w:hint="eastAsia"/>
          <w:color w:val="000000"/>
          <w:shd w:val="clear" w:color="auto" w:fill="FFFFFF"/>
        </w:rPr>
        <w:t>截留</w:t>
      </w:r>
      <w:r>
        <w:rPr>
          <w:rFonts w:hint="eastAsia"/>
        </w:rPr>
        <w:t>后划分为地表径流、下渗和蒸散发；水平过程上，径流依据D8流向算法汇入河道。</w:t>
      </w:r>
    </w:p>
    <w:p w14:paraId="7B0711D0">
      <w:pPr>
        <w:ind w:firstLine="420"/>
      </w:pPr>
      <w:r>
        <w:rPr>
          <w:rFonts w:hint="eastAsia"/>
        </w:rPr>
        <w:t>蓄满前产流量</w:t>
      </w:r>
    </w:p>
    <w:tbl>
      <w:tblPr>
        <w:tblStyle w:val="13"/>
        <w:tblW w:w="484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037"/>
        <w:gridCol w:w="510"/>
      </w:tblGrid>
      <w:tr w14:paraId="2CC82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 w:hRule="atLeast"/>
          <w:jc w:val="center"/>
        </w:trPr>
        <w:tc>
          <w:tcPr>
            <w:tcW w:w="4732" w:type="pct"/>
            <w:vAlign w:val="center"/>
          </w:tcPr>
          <w:p w14:paraId="594350AC">
            <w:pPr>
              <w:ind w:firstLine="0" w:firstLineChars="0"/>
              <w:jc w:val="left"/>
              <w:rPr>
                <w:rFonts w:cs="Times New Roman"/>
                <w:i/>
                <w:sz w:val="18"/>
                <w:szCs w:val="18"/>
              </w:rPr>
            </w:pPr>
            <m:oMathPara>
              <m:oMathParaPr>
                <m:jc m:val="center"/>
              </m:oMathParaPr>
              <m:oMath>
                <m:r>
                  <m:rPr>
                    <m:nor/>
                  </m:rPr>
                  <w:rPr>
                    <w:rFonts w:cs="Times New Roman"/>
                    <w:i/>
                    <w:sz w:val="20"/>
                    <w:szCs w:val="20"/>
                  </w:rPr>
                  <m:t>R=PE+W-WM+WM</m:t>
                </m:r>
                <m:sSup>
                  <m:sSupPr>
                    <m:ctrlPr>
                      <w:rPr>
                        <w:rFonts w:ascii="Cambria Math" w:hAnsi="Cambria Math" w:cs="Times New Roman"/>
                        <w:i/>
                        <w:sz w:val="20"/>
                        <w:szCs w:val="20"/>
                      </w:rPr>
                    </m:ctrlPr>
                  </m:sSupPr>
                  <m:e>
                    <m:d>
                      <m:dPr>
                        <m:ctrlPr>
                          <w:rPr>
                            <w:rFonts w:ascii="Cambria Math" w:hAnsi="Cambria Math" w:cs="Times New Roman"/>
                            <w:i/>
                            <w:sz w:val="20"/>
                            <w:szCs w:val="20"/>
                          </w:rPr>
                        </m:ctrlPr>
                      </m:dPr>
                      <m:e>
                        <m:r>
                          <m:rPr>
                            <m:nor/>
                          </m:rPr>
                          <w:rPr>
                            <w:rFonts w:cs="Times New Roman"/>
                            <w:i/>
                            <w:sz w:val="20"/>
                            <w:szCs w:val="20"/>
                          </w:rPr>
                          <m:t>1-</m:t>
                        </m:r>
                        <m:f>
                          <m:fPr>
                            <m:ctrlPr>
                              <w:rPr>
                                <w:rFonts w:ascii="Cambria Math" w:hAnsi="Cambria Math" w:cs="Times New Roman"/>
                                <w:i/>
                                <w:sz w:val="20"/>
                                <w:szCs w:val="20"/>
                              </w:rPr>
                            </m:ctrlPr>
                          </m:fPr>
                          <m:num>
                            <m:r>
                              <m:rPr>
                                <m:nor/>
                              </m:rPr>
                              <w:rPr>
                                <w:rFonts w:cs="Times New Roman"/>
                                <w:i/>
                                <w:sz w:val="20"/>
                                <w:szCs w:val="20"/>
                              </w:rPr>
                              <m:t>PE+a</m:t>
                            </m:r>
                            <m:ctrlPr>
                              <w:rPr>
                                <w:rFonts w:ascii="Cambria Math" w:hAnsi="Cambria Math" w:cs="Times New Roman"/>
                                <w:i/>
                                <w:sz w:val="20"/>
                                <w:szCs w:val="20"/>
                              </w:rPr>
                            </m:ctrlPr>
                          </m:num>
                          <m:den>
                            <m:r>
                              <m:rPr>
                                <m:nor/>
                              </m:rPr>
                              <w:rPr>
                                <w:rFonts w:cs="Times New Roman"/>
                                <w:i/>
                                <w:sz w:val="20"/>
                                <w:szCs w:val="20"/>
                              </w:rPr>
                              <m:t>WMM</m:t>
                            </m:r>
                            <m:ctrlPr>
                              <w:rPr>
                                <w:rFonts w:ascii="Cambria Math" w:hAnsi="Cambria Math" w:cs="Times New Roman"/>
                                <w:i/>
                                <w:sz w:val="20"/>
                                <w:szCs w:val="20"/>
                              </w:rPr>
                            </m:ctrlPr>
                          </m:den>
                        </m:f>
                        <m:ctrlPr>
                          <w:rPr>
                            <w:rFonts w:ascii="Cambria Math" w:hAnsi="Cambria Math" w:cs="Times New Roman"/>
                            <w:i/>
                            <w:sz w:val="20"/>
                            <w:szCs w:val="20"/>
                          </w:rPr>
                        </m:ctrlPr>
                      </m:e>
                    </m:d>
                    <m:ctrlPr>
                      <w:rPr>
                        <w:rFonts w:ascii="Cambria Math" w:hAnsi="Cambria Math" w:cs="Times New Roman"/>
                        <w:i/>
                        <w:sz w:val="20"/>
                        <w:szCs w:val="20"/>
                      </w:rPr>
                    </m:ctrlPr>
                  </m:e>
                  <m:sup>
                    <m:r>
                      <m:rPr>
                        <m:nor/>
                      </m:rPr>
                      <w:rPr>
                        <w:rFonts w:cs="Times New Roman"/>
                        <w:i/>
                        <w:sz w:val="20"/>
                        <w:szCs w:val="20"/>
                      </w:rPr>
                      <m:t>b+1</m:t>
                    </m:r>
                    <m:ctrlPr>
                      <w:rPr>
                        <w:rFonts w:ascii="Cambria Math" w:hAnsi="Cambria Math" w:cs="Times New Roman"/>
                        <w:i/>
                        <w:sz w:val="20"/>
                        <w:szCs w:val="20"/>
                      </w:rPr>
                    </m:ctrlPr>
                  </m:sup>
                </m:sSup>
                <m:d>
                  <m:dPr>
                    <m:begChr m:val="（"/>
                    <m:endChr m:val="）"/>
                    <m:ctrlPr>
                      <w:rPr>
                        <w:rFonts w:ascii="Cambria Math" w:hAnsi="Cambria Math" w:cs="Times New Roman"/>
                        <w:i/>
                        <w:sz w:val="20"/>
                        <w:szCs w:val="20"/>
                      </w:rPr>
                    </m:ctrlPr>
                  </m:dPr>
                  <m:e>
                    <m:r>
                      <m:rPr>
                        <m:nor/>
                      </m:rPr>
                      <w:rPr>
                        <w:rFonts w:cs="Times New Roman"/>
                        <w:i/>
                        <w:sz w:val="20"/>
                        <w:szCs w:val="20"/>
                      </w:rPr>
                      <m:t>a+PE≤WMM</m:t>
                    </m:r>
                    <m:ctrlPr>
                      <w:rPr>
                        <w:rFonts w:ascii="Cambria Math" w:hAnsi="Cambria Math" w:cs="Times New Roman"/>
                        <w:i/>
                        <w:sz w:val="20"/>
                        <w:szCs w:val="20"/>
                      </w:rPr>
                    </m:ctrlPr>
                  </m:e>
                </m:d>
              </m:oMath>
            </m:oMathPara>
          </w:p>
        </w:tc>
        <w:tc>
          <w:tcPr>
            <w:tcW w:w="267" w:type="pct"/>
            <w:vAlign w:val="center"/>
          </w:tcPr>
          <w:p w14:paraId="067AB6EC">
            <w:pPr>
              <w:pStyle w:val="25"/>
              <w:numPr>
                <w:ilvl w:val="0"/>
                <w:numId w:val="0"/>
              </w:numPr>
              <w:jc w:val="right"/>
              <w:rPr>
                <w:sz w:val="21"/>
              </w:rPr>
            </w:pPr>
            <w:r>
              <w:rPr>
                <w:rFonts w:cs="宋体"/>
                <w:sz w:val="18"/>
                <w:szCs w:val="18"/>
              </w:rPr>
              <w:t>(1)</w:t>
            </w:r>
          </w:p>
        </w:tc>
      </w:tr>
    </w:tbl>
    <w:p w14:paraId="1577AB6C">
      <w:pPr>
        <w:ind w:firstLine="420"/>
      </w:pPr>
      <w:r>
        <w:rPr>
          <w:rFonts w:hint="eastAsia"/>
        </w:rPr>
        <w:t>蓄满后产流量</w:t>
      </w:r>
    </w:p>
    <w:tbl>
      <w:tblPr>
        <w:tblStyle w:val="13"/>
        <w:tblW w:w="4855"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057"/>
        <w:gridCol w:w="511"/>
      </w:tblGrid>
      <w:tr w14:paraId="44FF2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4" w:hRule="atLeast"/>
          <w:jc w:val="center"/>
        </w:trPr>
        <w:tc>
          <w:tcPr>
            <w:tcW w:w="4732" w:type="pct"/>
            <w:vAlign w:val="center"/>
          </w:tcPr>
          <w:p w14:paraId="2AF81711">
            <w:pPr>
              <w:spacing w:line="360" w:lineRule="auto"/>
              <w:ind w:firstLine="400"/>
              <w:jc w:val="left"/>
              <w:rPr>
                <w:rFonts w:cs="Times New Roman"/>
                <w:i/>
                <w:sz w:val="18"/>
                <w:szCs w:val="18"/>
              </w:rPr>
            </w:pPr>
            <m:oMathPara>
              <m:oMath>
                <m:eqArr>
                  <m:eqArrPr>
                    <m:maxDist m:val="1"/>
                    <m:ctrlPr>
                      <w:rPr>
                        <w:rFonts w:ascii="Cambria Math" w:hAnsi="Cambria Math" w:cs="Times New Roman"/>
                        <w:i/>
                        <w:sz w:val="20"/>
                        <w:szCs w:val="16"/>
                      </w:rPr>
                    </m:ctrlPr>
                  </m:eqArrPr>
                  <m:e>
                    <m:r>
                      <m:rPr>
                        <m:nor/>
                      </m:rPr>
                      <w:rPr>
                        <w:rFonts w:cs="Times New Roman"/>
                        <w:i/>
                        <w:sz w:val="20"/>
                        <w:szCs w:val="20"/>
                      </w:rPr>
                      <m:t>R</m:t>
                    </m:r>
                    <m:r>
                      <m:rPr>
                        <m:nor/>
                        <m:sty m:val="p"/>
                      </m:rPr>
                      <w:rPr>
                        <w:rFonts w:cs="Times New Roman"/>
                        <w:b w:val="0"/>
                        <w:i w:val="0"/>
                        <w:sz w:val="20"/>
                        <w:szCs w:val="20"/>
                      </w:rPr>
                      <m:t>=</m:t>
                    </m:r>
                    <m:r>
                      <m:rPr>
                        <m:nor/>
                      </m:rPr>
                      <w:rPr>
                        <w:rFonts w:cs="Times New Roman"/>
                        <w:i/>
                        <w:sz w:val="20"/>
                        <w:szCs w:val="20"/>
                      </w:rPr>
                      <m:t>PE</m:t>
                    </m:r>
                    <m:r>
                      <m:rPr>
                        <m:nor/>
                        <m:sty m:val="p"/>
                      </m:rPr>
                      <w:rPr>
                        <w:rFonts w:cs="Times New Roman"/>
                        <w:b w:val="0"/>
                        <w:i w:val="0"/>
                        <w:sz w:val="20"/>
                        <w:szCs w:val="20"/>
                      </w:rPr>
                      <m:t>-</m:t>
                    </m:r>
                    <m:d>
                      <m:dPr>
                        <m:ctrlPr>
                          <w:rPr>
                            <w:rFonts w:ascii="Cambria Math" w:hAnsi="Cambria Math" w:cs="Times New Roman"/>
                            <w:i/>
                            <w:sz w:val="20"/>
                            <w:szCs w:val="20"/>
                          </w:rPr>
                        </m:ctrlPr>
                      </m:dPr>
                      <m:e>
                        <m:r>
                          <m:rPr>
                            <m:nor/>
                          </m:rPr>
                          <w:rPr>
                            <w:rFonts w:cs="Times New Roman"/>
                            <w:i/>
                            <w:sz w:val="20"/>
                            <w:szCs w:val="20"/>
                          </w:rPr>
                          <m:t>WM</m:t>
                        </m:r>
                        <m:r>
                          <m:rPr>
                            <m:nor/>
                            <m:sty m:val="p"/>
                          </m:rPr>
                          <w:rPr>
                            <w:rFonts w:cs="Times New Roman"/>
                            <w:b w:val="0"/>
                            <w:i w:val="0"/>
                            <w:sz w:val="20"/>
                            <w:szCs w:val="20"/>
                          </w:rPr>
                          <m:t>-</m:t>
                        </m:r>
                        <m:r>
                          <m:rPr>
                            <m:nor/>
                          </m:rPr>
                          <w:rPr>
                            <w:rFonts w:cs="Times New Roman"/>
                            <w:i/>
                            <w:sz w:val="20"/>
                            <w:szCs w:val="20"/>
                          </w:rPr>
                          <m:t>W</m:t>
                        </m:r>
                        <m:ctrlPr>
                          <w:rPr>
                            <w:rFonts w:ascii="Cambria Math" w:hAnsi="Cambria Math" w:cs="Times New Roman"/>
                            <w:i/>
                            <w:sz w:val="20"/>
                            <w:szCs w:val="20"/>
                          </w:rPr>
                        </m:ctrlPr>
                      </m:e>
                    </m:d>
                    <m:d>
                      <m:dPr>
                        <m:ctrlPr>
                          <w:rPr>
                            <w:rFonts w:ascii="Cambria Math" w:hAnsi="Cambria Math" w:cs="Times New Roman"/>
                            <w:i/>
                            <w:sz w:val="20"/>
                            <w:szCs w:val="20"/>
                          </w:rPr>
                        </m:ctrlPr>
                      </m:dPr>
                      <m:e>
                        <m:r>
                          <m:rPr>
                            <m:nor/>
                          </m:rPr>
                          <w:rPr>
                            <w:rFonts w:cs="Times New Roman"/>
                            <w:i/>
                            <w:sz w:val="20"/>
                            <w:szCs w:val="20"/>
                          </w:rPr>
                          <m:t>a</m:t>
                        </m:r>
                        <m:r>
                          <m:rPr>
                            <m:nor/>
                            <m:sty m:val="p"/>
                          </m:rPr>
                          <w:rPr>
                            <w:rFonts w:cs="Times New Roman"/>
                            <w:b w:val="0"/>
                            <w:i w:val="0"/>
                            <w:sz w:val="20"/>
                            <w:szCs w:val="20"/>
                          </w:rPr>
                          <m:t>+</m:t>
                        </m:r>
                        <m:r>
                          <m:rPr>
                            <m:nor/>
                          </m:rPr>
                          <w:rPr>
                            <w:rFonts w:cs="Times New Roman"/>
                            <w:i/>
                            <w:sz w:val="20"/>
                            <w:szCs w:val="20"/>
                          </w:rPr>
                          <m:t>PE</m:t>
                        </m:r>
                        <m:r>
                          <m:rPr>
                            <m:nor/>
                            <m:sty m:val="p"/>
                          </m:rPr>
                          <w:rPr>
                            <w:rFonts w:cs="Times New Roman"/>
                            <w:b w:val="0"/>
                            <w:i w:val="0"/>
                            <w:sz w:val="20"/>
                            <w:szCs w:val="20"/>
                          </w:rPr>
                          <m:t>&gt;</m:t>
                        </m:r>
                        <m:r>
                          <m:rPr>
                            <m:nor/>
                          </m:rPr>
                          <w:rPr>
                            <w:rFonts w:cs="Times New Roman"/>
                            <w:i/>
                            <w:sz w:val="20"/>
                            <w:szCs w:val="20"/>
                          </w:rPr>
                          <m:t>WMM</m:t>
                        </m:r>
                        <m:ctrlPr>
                          <w:rPr>
                            <w:rFonts w:ascii="Cambria Math" w:hAnsi="Cambria Math" w:cs="Times New Roman"/>
                            <w:i/>
                            <w:sz w:val="20"/>
                            <w:szCs w:val="20"/>
                          </w:rPr>
                        </m:ctrlPr>
                      </m:e>
                    </m:d>
                    <m:ctrlPr>
                      <w:rPr>
                        <w:rFonts w:ascii="Cambria Math" w:hAnsi="Cambria Math" w:cs="Times New Roman"/>
                        <w:i/>
                        <w:sz w:val="20"/>
                        <w:szCs w:val="16"/>
                      </w:rPr>
                    </m:ctrlPr>
                  </m:e>
                </m:eqArr>
              </m:oMath>
            </m:oMathPara>
          </w:p>
        </w:tc>
        <w:tc>
          <w:tcPr>
            <w:tcW w:w="267" w:type="pct"/>
            <w:vAlign w:val="center"/>
          </w:tcPr>
          <w:p w14:paraId="0A99AFEF">
            <w:pPr>
              <w:pStyle w:val="25"/>
              <w:numPr>
                <w:ilvl w:val="0"/>
                <w:numId w:val="0"/>
              </w:numPr>
              <w:jc w:val="right"/>
              <w:rPr>
                <w:rFonts w:cs="Times New Roman"/>
                <w:szCs w:val="18"/>
              </w:rPr>
            </w:pPr>
            <w:r>
              <w:rPr>
                <w:rFonts w:cs="宋体"/>
                <w:sz w:val="18"/>
                <w:szCs w:val="18"/>
              </w:rPr>
              <w:t>(2)</w:t>
            </w:r>
          </w:p>
        </w:tc>
      </w:tr>
    </w:tbl>
    <w:p w14:paraId="7A727DBD">
      <w:pPr>
        <w:ind w:firstLine="0" w:firstLineChars="0"/>
      </w:pPr>
      <w:r>
        <w:rPr>
          <w:rFonts w:hint="eastAsia"/>
        </w:rPr>
        <w:t>式中，</w:t>
      </w:r>
      <m:oMath>
        <m:r>
          <m:rPr/>
          <w:rPr>
            <w:rFonts w:ascii="Cambria Math" w:hAnsi="Cambria Math"/>
          </w:rPr>
          <m:t>PE</m:t>
        </m:r>
      </m:oMath>
      <w:r>
        <w:rPr>
          <w:rFonts w:hint="eastAsia"/>
        </w:rPr>
        <w:t>为时段降雨量（mm/Δ</w:t>
      </w:r>
      <w:r>
        <w:rPr>
          <w:rFonts w:hint="eastAsia"/>
          <w:i/>
          <w:iCs/>
        </w:rPr>
        <w:t>t</w:t>
      </w:r>
      <w:r>
        <w:rPr>
          <w:rFonts w:hint="eastAsia"/>
        </w:rPr>
        <w:t>）；</w:t>
      </w:r>
      <w:r>
        <w:rPr>
          <w:rFonts w:hint="eastAsia"/>
          <w:i/>
          <w:iCs/>
        </w:rPr>
        <w:t>WM</w:t>
      </w:r>
      <w:r>
        <w:rPr>
          <w:rFonts w:hint="eastAsia"/>
        </w:rPr>
        <w:t>为平均蓄水容量（mm）；</w:t>
      </w:r>
      <w:r>
        <w:rPr>
          <w:rFonts w:hint="eastAsia"/>
          <w:i/>
          <w:iCs/>
        </w:rPr>
        <w:t>W</w:t>
      </w:r>
      <w:r>
        <w:rPr>
          <w:rFonts w:hint="eastAsia"/>
        </w:rPr>
        <w:t>为</w:t>
      </w:r>
      <w:r>
        <w:rPr>
          <w:rFonts w:hint="eastAsia"/>
          <w:color w:val="000000"/>
          <w:shd w:val="clear" w:color="auto" w:fill="FFFFFF"/>
        </w:rPr>
        <w:t>初始</w:t>
      </w:r>
      <w:r>
        <w:rPr>
          <w:rFonts w:hint="eastAsia"/>
          <w:color w:val="000000"/>
          <w:shd w:val="clear" w:color="auto" w:fill="FFDFB1"/>
        </w:rPr>
        <w:t>土壤湿度</w:t>
      </w:r>
      <w:r>
        <w:rPr>
          <w:rFonts w:hint="eastAsia"/>
        </w:rPr>
        <w:t>（mm）；</w:t>
      </w:r>
      <m:oMath>
        <m:r>
          <m:rPr/>
          <w:rPr>
            <w:rFonts w:ascii="Cambria Math" w:hAnsi="Cambria Math"/>
          </w:rPr>
          <m:t>a</m:t>
        </m:r>
      </m:oMath>
      <w:r>
        <w:rPr>
          <w:rFonts w:hint="eastAsia"/>
        </w:rPr>
        <w:t>为土壤湿度下限</w:t>
      </w:r>
      <w:r>
        <w:rPr>
          <w:rStyle w:val="38"/>
          <w:rFonts w:hint="eastAsia"/>
        </w:rPr>
        <w:t>（</w:t>
      </w:r>
      <w:r>
        <w:rPr>
          <w:rStyle w:val="38"/>
        </w:rPr>
        <w:t>mm</w:t>
      </w:r>
      <w:r>
        <w:rPr>
          <w:rStyle w:val="38"/>
          <w:rFonts w:hint="eastAsia"/>
        </w:rPr>
        <w:t>）；</w:t>
      </w:r>
      <w:r>
        <w:rPr>
          <w:rFonts w:hint="eastAsia" w:hAnsi="Cambria Math"/>
          <w:i/>
          <w:iCs/>
        </w:rPr>
        <w:t>WMM</w:t>
      </w:r>
      <w:r>
        <w:rPr>
          <w:rFonts w:hint="eastAsia"/>
        </w:rPr>
        <w:t>为最大蓄水容量（mm）；</w:t>
      </w:r>
      <m:oMath>
        <m:r>
          <m:rPr/>
          <w:rPr>
            <w:rFonts w:ascii="Cambria Math" w:hAnsi="Cambria Math"/>
          </w:rPr>
          <m:t>b</m:t>
        </m:r>
      </m:oMath>
      <w:r>
        <w:rPr>
          <w:rFonts w:hint="eastAsia"/>
        </w:rPr>
        <w:t>为与土壤特性有关的参数，</w:t>
      </w:r>
      <w:r>
        <w:rPr>
          <w:rFonts w:hint="eastAsia"/>
          <w:i/>
          <w:iCs/>
        </w:rPr>
        <w:t>Δt</w:t>
      </w:r>
      <w:r>
        <w:rPr>
          <w:rFonts w:hint="eastAsia"/>
        </w:rPr>
        <w:t>为模型计算所采用的时间步长。</w:t>
      </w:r>
    </w:p>
    <w:p w14:paraId="004DB274">
      <w:pPr>
        <w:ind w:left="41" w:firstLine="439" w:firstLineChars="0"/>
      </w:pPr>
      <w:r>
        <w:t>（2）</w:t>
      </w:r>
      <w:r>
        <w:rPr>
          <w:rFonts w:hint="eastAsia"/>
        </w:rPr>
        <w:t>汇流模型。水平过程上，汇流过程的模拟采用水文-水动力学Muskingum-Cunge模型</w:t>
      </w:r>
      <w:r>
        <w:rPr>
          <w:rFonts w:hint="eastAsia"/>
          <w:vertAlign w:val="superscript"/>
        </w:rPr>
        <w:t>[22]</w:t>
      </w:r>
      <w:r>
        <w:rPr>
          <w:rFonts w:hint="eastAsia"/>
        </w:rPr>
        <w:t>，基于栅格汇流路径，利用上游累积流量、单元坡度及河道断面等参数评估河道栅格汇流。平面汇流依托D8流向算法构建数字流域，采用3×3移动窗口按最陡坡度准则确定水流路径。</w:t>
      </w:r>
      <w:r>
        <w:t>河道汇流应用Muskingum-Cunge二阶扩散波方程</w:t>
      </w:r>
      <w:r>
        <w:rPr>
          <w:rFonts w:hint="eastAsia"/>
          <w:vertAlign w:val="superscript"/>
        </w:rPr>
        <w:t>[23]</w:t>
      </w:r>
      <w:r>
        <w:t>，耦合模拟坡面流非线性动力学特性与河道调蓄效应。</w:t>
      </w:r>
      <w:r>
        <w:rPr>
          <w:rFonts w:hint="eastAsia"/>
        </w:rPr>
        <w:t>扩散波方程和运动波方程分别为</w:t>
      </w:r>
    </w:p>
    <w:tbl>
      <w:tblPr>
        <w:tblStyle w:val="13"/>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223"/>
        <w:gridCol w:w="627"/>
      </w:tblGrid>
      <w:tr w14:paraId="7A430C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4681" w:type="pct"/>
            <w:vAlign w:val="center"/>
          </w:tcPr>
          <w:p w14:paraId="3FC3AED5">
            <w:pPr>
              <w:ind w:firstLine="0" w:firstLineChars="0"/>
              <w:jc w:val="center"/>
              <w:rPr>
                <w:rFonts w:hAnsi="Cambria Math" w:cs="Times New Roman"/>
                <w:i/>
                <w:szCs w:val="21"/>
              </w:rPr>
            </w:pPr>
            <w:r>
              <w:rPr>
                <w:rFonts w:hint="eastAsia" w:hAnsi="Cambria Math" w:cs="Times New Roman"/>
                <w:i/>
                <w:position w:val="-24"/>
                <w:szCs w:val="21"/>
              </w:rPr>
              <w:object>
                <v:shape id="_x0000_i1025" o:spt="75" type="#_x0000_t75" style="height:24.5pt;width:75.5pt;" o:ole="t" filled="f" o:preferrelative="t" stroked="f" coordsize="21600,21600">
                  <v:path/>
                  <v:fill on="f" focussize="0,0"/>
                  <v:stroke on="f" joinstyle="miter"/>
                  <v:imagedata r:id="rId10" o:title=""/>
                  <o:lock v:ext="edit" aspectratio="t"/>
                  <w10:wrap type="none"/>
                  <w10:anchorlock/>
                </v:shape>
                <o:OLEObject Type="Embed" ProgID="Equation.KSEE3" ShapeID="_x0000_i1025" DrawAspect="Content" ObjectID="_1468075725" r:id="rId9">
                  <o:LockedField>false</o:LockedField>
                </o:OLEObject>
              </w:object>
            </w:r>
          </w:p>
        </w:tc>
        <w:tc>
          <w:tcPr>
            <w:tcW w:w="318" w:type="pct"/>
            <w:vAlign w:val="center"/>
          </w:tcPr>
          <w:p w14:paraId="5116FF0A">
            <w:pPr>
              <w:pStyle w:val="25"/>
              <w:numPr>
                <w:ilvl w:val="0"/>
                <w:numId w:val="0"/>
              </w:numPr>
              <w:jc w:val="right"/>
            </w:pPr>
            <w:r>
              <w:rPr>
                <w:rFonts w:cs="宋体"/>
                <w:sz w:val="18"/>
                <w:szCs w:val="18"/>
              </w:rPr>
              <w:t>(3)</w:t>
            </w:r>
          </w:p>
        </w:tc>
      </w:tr>
      <w:tr w14:paraId="2171F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4681" w:type="pct"/>
            <w:vAlign w:val="center"/>
          </w:tcPr>
          <w:p w14:paraId="794F236F">
            <w:pPr>
              <w:ind w:firstLine="0" w:firstLineChars="0"/>
              <w:jc w:val="center"/>
              <w:rPr>
                <w:rFonts w:hAnsi="Cambria Math" w:cs="Times New Roman"/>
                <w:i/>
                <w:position w:val="-24"/>
                <w:szCs w:val="21"/>
              </w:rPr>
            </w:pPr>
            <w:r>
              <w:rPr>
                <w:rFonts w:hint="eastAsia" w:hAnsi="Cambria Math" w:cs="Times New Roman"/>
                <w:i/>
                <w:position w:val="-24"/>
                <w:szCs w:val="21"/>
              </w:rPr>
              <w:object>
                <v:shape id="_x0000_i1026" o:spt="75" type="#_x0000_t75" style="height:25pt;width:58pt;" o:ole="t" filled="f" o:preferrelative="t" stroked="f" coordsize="21600,21600">
                  <v:path/>
                  <v:fill on="f" focussize="0,0"/>
                  <v:stroke on="f" joinstyle="miter"/>
                  <v:imagedata r:id="rId12" o:title=""/>
                  <o:lock v:ext="edit" aspectratio="t"/>
                  <w10:wrap type="none"/>
                  <w10:anchorlock/>
                </v:shape>
                <o:OLEObject Type="Embed" ProgID="Equation.KSEE3" ShapeID="_x0000_i1026" DrawAspect="Content" ObjectID="_1468075726" r:id="rId11">
                  <o:LockedField>false</o:LockedField>
                </o:OLEObject>
              </w:object>
            </w:r>
          </w:p>
        </w:tc>
        <w:tc>
          <w:tcPr>
            <w:tcW w:w="318" w:type="pct"/>
            <w:vAlign w:val="center"/>
          </w:tcPr>
          <w:p w14:paraId="6C0F490A">
            <w:pPr>
              <w:pStyle w:val="25"/>
              <w:numPr>
                <w:ilvl w:val="0"/>
                <w:numId w:val="0"/>
              </w:numPr>
              <w:jc w:val="right"/>
            </w:pPr>
            <w:r>
              <w:rPr>
                <w:rFonts w:cs="宋体"/>
                <w:sz w:val="18"/>
                <w:szCs w:val="18"/>
              </w:rPr>
              <w:t>(4)</w:t>
            </w:r>
          </w:p>
        </w:tc>
      </w:tr>
    </w:tbl>
    <w:p w14:paraId="06AF9473">
      <w:pPr>
        <w:ind w:firstLine="0" w:firstLineChars="0"/>
      </w:pPr>
      <w:r>
        <w:rPr>
          <w:rFonts w:hint="eastAsia"/>
        </w:rPr>
        <w:t>式中，</w:t>
      </w:r>
      <w:r>
        <w:rPr>
          <w:rFonts w:hint="eastAsia" w:ascii="Cambria Math" w:hAnsi="Cambria Math"/>
          <w:position w:val="-10"/>
        </w:rPr>
        <w:object>
          <v:shape id="_x0000_i1027" o:spt="75" type="#_x0000_t75" style="height:16pt;width:12pt;" o:ole="t" filled="f" o:preferrelative="t" stroked="f" coordsize="21600,21600">
            <v:path/>
            <v:fill on="f" focussize="0,0"/>
            <v:stroke on="f" joinstyle="miter"/>
            <v:imagedata r:id="rId14" o:title=""/>
            <o:lock v:ext="edit" aspectratio="t"/>
            <w10:wrap type="none"/>
            <w10:anchorlock/>
          </v:shape>
          <o:OLEObject Type="Embed" ProgID="Equation.KSEE3" ShapeID="_x0000_i1027" DrawAspect="Content" ObjectID="_1468075727" r:id="rId13">
            <o:LockedField>false</o:LockedField>
          </o:OLEObject>
        </w:object>
      </w:r>
      <w:r>
        <w:rPr>
          <w:rFonts w:hint="eastAsia"/>
        </w:rPr>
        <w:t>为河道流量（</w:t>
      </w:r>
      <m:oMath>
        <m:sSup>
          <m:sSupPr>
            <m:ctrlPr>
              <w:rPr>
                <w:rFonts w:ascii="Cambria Math" w:hAnsi="Cambria Math" w:cs="Times New Roman"/>
              </w:rPr>
            </m:ctrlPr>
          </m:sSupPr>
          <m:e>
            <m:r>
              <m:rPr>
                <m:nor/>
                <m:sty m:val="p"/>
              </m:rPr>
              <w:rPr>
                <w:rFonts w:cs="Times New Roman"/>
                <w:b w:val="0"/>
                <w:i w:val="0"/>
              </w:rPr>
              <m:t>m</m:t>
            </m:r>
            <m:ctrlPr>
              <w:rPr>
                <w:rFonts w:ascii="Cambria Math" w:hAnsi="Cambria Math" w:cs="Times New Roman"/>
              </w:rPr>
            </m:ctrlPr>
          </m:e>
          <m:sup>
            <m:r>
              <m:rPr>
                <m:nor/>
                <m:sty m:val="p"/>
              </m:rPr>
              <w:rPr>
                <w:rFonts w:cs="Times New Roman"/>
                <w:b w:val="0"/>
                <w:i w:val="0"/>
              </w:rPr>
              <m:t>3</m:t>
            </m:r>
            <m:ctrlPr>
              <w:rPr>
                <w:rFonts w:ascii="Cambria Math" w:hAnsi="Cambria Math" w:cs="Times New Roman"/>
              </w:rPr>
            </m:ctrlPr>
          </m:sup>
        </m:sSup>
        <m:r>
          <m:rPr>
            <m:nor/>
            <m:sty m:val="p"/>
          </m:rPr>
          <w:rPr>
            <w:rFonts w:cs="Times New Roman"/>
            <w:b w:val="0"/>
            <w:i w:val="0"/>
          </w:rPr>
          <m:t>/s</m:t>
        </m:r>
      </m:oMath>
      <w:r>
        <w:rPr>
          <w:rFonts w:hint="eastAsia" w:hAnsi="Cambria Math"/>
        </w:rPr>
        <w:t>）</w:t>
      </w:r>
      <w:r>
        <w:rPr>
          <w:rFonts w:hint="eastAsia"/>
        </w:rPr>
        <w:t>；</w:t>
      </w:r>
      <w:r>
        <w:rPr>
          <w:rFonts w:hint="eastAsia" w:ascii="Cambria Math" w:hAnsi="Cambria Math"/>
          <w:position w:val="-6"/>
        </w:rPr>
        <w:object>
          <v:shape id="_x0000_i1028" o:spt="75" type="#_x0000_t75" style="height:11pt;width:9.5pt;" o:ole="t" filled="f" o:preferrelative="t" stroked="f" coordsize="21600,21600">
            <v:path/>
            <v:fill on="f" focussize="0,0"/>
            <v:stroke on="f" joinstyle="miter"/>
            <v:imagedata r:id="rId16" o:title=""/>
            <o:lock v:ext="edit" aspectratio="t"/>
            <w10:wrap type="none"/>
            <w10:anchorlock/>
          </v:shape>
          <o:OLEObject Type="Embed" ProgID="Equation.KSEE3" ShapeID="_x0000_i1028" DrawAspect="Content" ObjectID="_1468075728" r:id="rId15">
            <o:LockedField>false</o:LockedField>
          </o:OLEObject>
        </w:object>
      </w:r>
      <w:r>
        <w:rPr>
          <w:rFonts w:hint="eastAsia"/>
        </w:rPr>
        <w:t>为水流波速</w:t>
      </w:r>
      <w:r>
        <w:rPr>
          <w:rFonts w:hint="eastAsia" w:cs="Times New Roman"/>
        </w:rPr>
        <w:t>（</w:t>
      </w:r>
      <m:oMath>
        <m:r>
          <m:rPr>
            <m:nor/>
            <m:sty m:val="p"/>
          </m:rPr>
          <w:rPr>
            <w:rFonts w:cs="Times New Roman"/>
            <w:b w:val="0"/>
            <w:i w:val="0"/>
          </w:rPr>
          <m:t>m/s</m:t>
        </m:r>
      </m:oMath>
      <w:r>
        <w:rPr>
          <w:rFonts w:hint="eastAsia" w:cs="Times New Roman"/>
        </w:rPr>
        <w:t>）</w:t>
      </w:r>
      <w:r>
        <w:rPr>
          <w:rFonts w:hint="eastAsia"/>
        </w:rPr>
        <w:t>；</w:t>
      </w:r>
      <w:r>
        <w:rPr>
          <w:rFonts w:hint="eastAsia" w:ascii="Cambria Math" w:hAnsi="Cambria Math"/>
          <w:position w:val="-4"/>
        </w:rPr>
        <w:object>
          <v:shape id="_x0000_i1029" o:spt="75" type="#_x0000_t75" style="height:12pt;width:13.5pt;" o:ole="t" filled="f" o:preferrelative="t" stroked="f" coordsize="21600,21600">
            <v:path/>
            <v:fill on="f" focussize="0,0"/>
            <v:stroke on="f" joinstyle="miter"/>
            <v:imagedata r:id="rId18" o:title=""/>
            <o:lock v:ext="edit" aspectratio="t"/>
            <w10:wrap type="none"/>
            <w10:anchorlock/>
          </v:shape>
          <o:OLEObject Type="Embed" ProgID="Equation.KSEE3" ShapeID="_x0000_i1029" DrawAspect="Content" ObjectID="_1468075729" r:id="rId17">
            <o:LockedField>false</o:LockedField>
          </o:OLEObject>
        </w:object>
      </w:r>
      <w:r>
        <w:rPr>
          <w:rFonts w:hint="eastAsia"/>
        </w:rPr>
        <w:t>为水力扩散度（</w:t>
      </w:r>
      <m:oMath>
        <m:sSup>
          <m:sSupPr>
            <m:ctrlPr>
              <w:rPr>
                <w:rFonts w:ascii="Cambria Math" w:hAnsi="Cambria Math" w:cs="Times New Roman"/>
              </w:rPr>
            </m:ctrlPr>
          </m:sSupPr>
          <m:e>
            <m:r>
              <m:rPr>
                <m:nor/>
                <m:sty m:val="p"/>
              </m:rPr>
              <w:rPr>
                <w:rFonts w:cs="Times New Roman"/>
                <w:b w:val="0"/>
                <w:i w:val="0"/>
              </w:rPr>
              <m:t>m</m:t>
            </m:r>
            <m:ctrlPr>
              <w:rPr>
                <w:rFonts w:ascii="Cambria Math" w:hAnsi="Cambria Math" w:cs="Times New Roman"/>
              </w:rPr>
            </m:ctrlPr>
          </m:e>
          <m:sup>
            <m:r>
              <m:rPr>
                <m:nor/>
                <m:sty m:val="p"/>
              </m:rPr>
              <w:rPr>
                <w:rFonts w:cs="Times New Roman"/>
                <w:b w:val="0"/>
                <w:i w:val="0"/>
              </w:rPr>
              <m:t>2</m:t>
            </m:r>
            <m:ctrlPr>
              <w:rPr>
                <w:rFonts w:ascii="Cambria Math" w:hAnsi="Cambria Math" w:cs="Times New Roman"/>
              </w:rPr>
            </m:ctrlPr>
          </m:sup>
        </m:sSup>
        <m:r>
          <m:rPr>
            <m:nor/>
            <m:sty m:val="p"/>
          </m:rPr>
          <w:rPr>
            <w:rFonts w:cs="Times New Roman"/>
            <w:b w:val="0"/>
            <w:i w:val="0"/>
          </w:rPr>
          <m:t>/s</m:t>
        </m:r>
      </m:oMath>
      <w:r>
        <w:rPr>
          <w:rFonts w:hint="eastAsia" w:cs="Times New Roman"/>
        </w:rPr>
        <w:t>）</w:t>
      </w:r>
      <w:r>
        <w:rPr>
          <w:rFonts w:hint="eastAsia"/>
        </w:rPr>
        <w:t>；</w:t>
      </w:r>
      <w:r>
        <w:rPr>
          <w:rFonts w:hint="eastAsia" w:ascii="Cambria Math" w:hAnsi="Cambria Math"/>
          <w:position w:val="-6"/>
        </w:rPr>
        <w:object>
          <v:shape id="_x0000_i1030" o:spt="75" type="#_x0000_t75" style="height:11pt;width:10pt;" o:ole="t" filled="f" o:preferrelative="t" stroked="f" coordsize="21600,21600">
            <v:path/>
            <v:fill on="f" focussize="0,0"/>
            <v:stroke on="f" joinstyle="miter"/>
            <v:imagedata r:id="rId20" o:title=""/>
            <o:lock v:ext="edit" aspectratio="t"/>
            <w10:wrap type="none"/>
            <w10:anchorlock/>
          </v:shape>
          <o:OLEObject Type="Embed" ProgID="Equation.KSEE3" ShapeID="_x0000_i1030" DrawAspect="Content" ObjectID="_1468075730" r:id="rId19">
            <o:LockedField>false</o:LockedField>
          </o:OLEObject>
        </w:object>
      </w:r>
      <w:r>
        <w:rPr>
          <w:rFonts w:hint="eastAsia"/>
        </w:rPr>
        <w:t>为水流流程（</w:t>
      </w:r>
      <m:oMath>
        <m:r>
          <m:rPr>
            <m:nor/>
            <m:sty m:val="p"/>
          </m:rPr>
          <w:rPr>
            <w:rFonts w:cs="Times New Roman"/>
            <w:b w:val="0"/>
            <w:i w:val="0"/>
          </w:rPr>
          <m:t>m</m:t>
        </m:r>
      </m:oMath>
      <w:r>
        <w:rPr>
          <w:rFonts w:hint="eastAsia" w:cs="Times New Roman"/>
        </w:rPr>
        <w:t>）</w:t>
      </w:r>
      <w:r>
        <w:rPr>
          <w:rFonts w:hint="eastAsia"/>
        </w:rPr>
        <w:t>；</w:t>
      </w:r>
      <w:r>
        <w:rPr>
          <w:rFonts w:hint="eastAsia" w:ascii="Cambria Math" w:hAnsi="Cambria Math"/>
          <w:position w:val="-6"/>
        </w:rPr>
        <w:object>
          <v:shape id="_x0000_i1031" o:spt="75" type="#_x0000_t75" style="height:12pt;width:7pt;" o:ole="t" filled="f" o:preferrelative="t" stroked="f" coordsize="21600,21600">
            <v:path/>
            <v:fill on="f" focussize="0,0"/>
            <v:stroke on="f" joinstyle="miter"/>
            <v:imagedata r:id="rId22" o:title=""/>
            <o:lock v:ext="edit" aspectratio="t"/>
            <w10:wrap type="none"/>
            <w10:anchorlock/>
          </v:shape>
          <o:OLEObject Type="Embed" ProgID="Equation.KSEE3" ShapeID="_x0000_i1031" DrawAspect="Content" ObjectID="_1468075731" r:id="rId21">
            <o:LockedField>false</o:LockedField>
          </o:OLEObject>
        </w:object>
      </w:r>
      <w:r>
        <w:rPr>
          <w:rFonts w:hint="eastAsia"/>
        </w:rPr>
        <w:t>为时间（</w:t>
      </w:r>
      <m:oMath>
        <m:r>
          <m:rPr>
            <m:nor/>
            <m:sty m:val="p"/>
          </m:rPr>
          <w:rPr>
            <w:rFonts w:cs="Times New Roman"/>
            <w:b w:val="0"/>
            <w:i w:val="0"/>
          </w:rPr>
          <m:t>s</m:t>
        </m:r>
      </m:oMath>
      <w:r>
        <w:rPr>
          <w:rFonts w:hint="eastAsia" w:cs="Times New Roman"/>
        </w:rPr>
        <w:t>）</w:t>
      </w:r>
      <w:r>
        <w:rPr>
          <w:rFonts w:hint="eastAsia"/>
        </w:rPr>
        <w:t>。</w:t>
      </w:r>
    </w:p>
    <w:p w14:paraId="2764D064">
      <w:pPr>
        <w:ind w:firstLine="420"/>
      </w:pPr>
      <w:r>
        <w:rPr>
          <w:rFonts w:hint="eastAsia"/>
        </w:rPr>
        <w:t>对运动波方程离散求解，得到Muskingum-Cunge汇流方程</w:t>
      </w:r>
    </w:p>
    <w:tbl>
      <w:tblPr>
        <w:tblStyle w:val="13"/>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82"/>
        <w:gridCol w:w="668"/>
      </w:tblGrid>
      <w:tr w14:paraId="52656E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4660" w:type="pct"/>
            <w:vAlign w:val="center"/>
          </w:tcPr>
          <w:p w14:paraId="619B5BD3">
            <w:pPr>
              <w:ind w:firstLine="0" w:firstLineChars="0"/>
              <w:jc w:val="center"/>
              <w:rPr>
                <w:rFonts w:hAnsi="Cambria Math" w:cs="Times New Roman"/>
                <w:i/>
                <w:iCs/>
                <w:szCs w:val="21"/>
              </w:rPr>
            </w:pPr>
            <w:r>
              <w:rPr>
                <w:rFonts w:hint="eastAsia" w:hAnsi="Cambria Math" w:cs="Times New Roman"/>
                <w:i/>
                <w:iCs/>
                <w:position w:val="-10"/>
                <w:szCs w:val="21"/>
              </w:rPr>
              <w:object>
                <v:shape id="_x0000_i1032" o:spt="75" type="#_x0000_t75" style="height:18pt;width:160.5pt;" o:ole="t" filled="f" o:preferrelative="t" stroked="f" coordsize="21600,21600">
                  <v:path/>
                  <v:fill on="f" focussize="0,0"/>
                  <v:stroke on="f" joinstyle="miter"/>
                  <v:imagedata r:id="rId24" o:title=""/>
                  <o:lock v:ext="edit" aspectratio="t"/>
                  <w10:wrap type="none"/>
                  <w10:anchorlock/>
                </v:shape>
                <o:OLEObject Type="Embed" ProgID="Equation.KSEE3" ShapeID="_x0000_i1032" DrawAspect="Content" ObjectID="_1468075732" r:id="rId23">
                  <o:LockedField>false</o:LockedField>
                </o:OLEObject>
              </w:object>
            </w:r>
          </w:p>
        </w:tc>
        <w:tc>
          <w:tcPr>
            <w:tcW w:w="339" w:type="pct"/>
            <w:vAlign w:val="center"/>
          </w:tcPr>
          <w:p w14:paraId="201EA324">
            <w:pPr>
              <w:pStyle w:val="25"/>
              <w:numPr>
                <w:ilvl w:val="0"/>
                <w:numId w:val="0"/>
              </w:numPr>
              <w:jc w:val="right"/>
            </w:pPr>
            <w:r>
              <w:rPr>
                <w:rFonts w:cs="宋体"/>
                <w:sz w:val="18"/>
                <w:szCs w:val="18"/>
              </w:rPr>
              <w:t>(5)</w:t>
            </w:r>
          </w:p>
        </w:tc>
      </w:tr>
    </w:tbl>
    <w:p w14:paraId="32FFB13E">
      <w:pPr>
        <w:ind w:firstLine="0" w:firstLineChars="0"/>
      </w:pPr>
      <w:r>
        <w:rPr>
          <w:rFonts w:hint="eastAsia"/>
        </w:rPr>
        <w:t>式中，</w:t>
      </w:r>
      <w:r>
        <w:rPr>
          <w:rFonts w:hint="eastAsia" w:ascii="Cambria Math" w:hAnsi="Cambria Math"/>
          <w:position w:val="-6"/>
        </w:rPr>
        <w:object>
          <v:shape id="_x0000_i1033" o:spt="75" type="#_x0000_t75" style="height:13.5pt;width:7pt;" o:ole="t" filled="f" o:preferrelative="t" stroked="f" coordsize="21600,21600">
            <v:path/>
            <v:fill on="f" focussize="0,0"/>
            <v:stroke on="f" joinstyle="miter"/>
            <v:imagedata r:id="rId26" o:title=""/>
            <o:lock v:ext="edit" aspectratio="t"/>
            <w10:wrap type="none"/>
            <w10:anchorlock/>
          </v:shape>
          <o:OLEObject Type="Embed" ProgID="Equation.KSEE3" ShapeID="_x0000_i1033" DrawAspect="Content" ObjectID="_1468075733" r:id="rId25">
            <o:LockedField>false</o:LockedField>
          </o:OLEObject>
        </w:object>
      </w:r>
      <w:r>
        <w:rPr>
          <w:rFonts w:hint="eastAsia"/>
        </w:rPr>
        <w:t>为空间离散节点；</w:t>
      </w:r>
      <w:r>
        <w:rPr>
          <w:rFonts w:hint="eastAsia" w:ascii="Cambria Math" w:hAnsi="Cambria Math"/>
          <w:position w:val="-10"/>
        </w:rPr>
        <w:object>
          <v:shape id="_x0000_i1034" o:spt="75" type="#_x0000_t75" style="height:15pt;width:10pt;" o:ole="t" filled="f" o:preferrelative="t" stroked="f" coordsize="21600,21600">
            <v:path/>
            <v:fill on="f" focussize="0,0"/>
            <v:stroke on="f" joinstyle="miter"/>
            <v:imagedata r:id="rId28" o:title=""/>
            <o:lock v:ext="edit" aspectratio="t"/>
            <w10:wrap type="none"/>
            <w10:anchorlock/>
          </v:shape>
          <o:OLEObject Type="Embed" ProgID="Equation.KSEE3" ShapeID="_x0000_i1034" DrawAspect="Content" ObjectID="_1468075734" r:id="rId27">
            <o:LockedField>false</o:LockedField>
          </o:OLEObject>
        </w:object>
      </w:r>
      <w:r>
        <w:rPr>
          <w:rFonts w:hint="eastAsia"/>
        </w:rPr>
        <w:t>为时间离散节点。</w:t>
      </w:r>
    </w:p>
    <w:p w14:paraId="2679EBE2">
      <w:pPr>
        <w:ind w:firstLine="420"/>
        <w:jc w:val="left"/>
      </w:pPr>
      <w:r>
        <w:rPr>
          <w:rFonts w:hint="eastAsia"/>
        </w:rPr>
        <w:t>空间步长需满足收敛条件</w:t>
      </w:r>
    </w:p>
    <w:tbl>
      <w:tblPr>
        <w:tblStyle w:val="13"/>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82"/>
        <w:gridCol w:w="668"/>
      </w:tblGrid>
      <w:tr w14:paraId="52439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6" w:hRule="atLeast"/>
          <w:jc w:val="center"/>
        </w:trPr>
        <w:tc>
          <w:tcPr>
            <w:tcW w:w="4660" w:type="pct"/>
            <w:tcBorders>
              <w:tl2br w:val="nil"/>
              <w:tr2bl w:val="nil"/>
            </w:tcBorders>
            <w:vAlign w:val="center"/>
          </w:tcPr>
          <w:p w14:paraId="2E5B0DBA">
            <w:pPr>
              <w:ind w:firstLine="0" w:firstLineChars="0"/>
              <w:jc w:val="center"/>
              <w:rPr>
                <w:sz w:val="18"/>
                <w:szCs w:val="18"/>
              </w:rPr>
            </w:pPr>
            <w:r>
              <w:rPr>
                <w:rFonts w:hint="eastAsia" w:hAnsi="Cambria Math" w:cs="Times New Roman"/>
                <w:i/>
                <w:iCs/>
                <w:position w:val="-22"/>
                <w:sz w:val="18"/>
                <w:szCs w:val="18"/>
              </w:rPr>
              <w:object>
                <v:shape id="_x0000_i1035" o:spt="75" type="#_x0000_t75" style="height:25pt;width:35.5pt;" o:ole="t" filled="f" o:preferrelative="t" stroked="f" coordsize="21600,21600">
                  <v:path/>
                  <v:fill on="f" focussize="0,0"/>
                  <v:stroke on="f" joinstyle="miter"/>
                  <v:imagedata r:id="rId30" o:title=""/>
                  <o:lock v:ext="edit" aspectratio="t"/>
                  <w10:wrap type="none"/>
                  <w10:anchorlock/>
                </v:shape>
                <o:OLEObject Type="Embed" ProgID="Equation.KSEE3" ShapeID="_x0000_i1035" DrawAspect="Content" ObjectID="_1468075735" r:id="rId29">
                  <o:LockedField>false</o:LockedField>
                </o:OLEObject>
              </w:object>
            </w:r>
          </w:p>
        </w:tc>
        <w:tc>
          <w:tcPr>
            <w:tcW w:w="339" w:type="pct"/>
            <w:tcBorders>
              <w:tl2br w:val="nil"/>
              <w:tr2bl w:val="nil"/>
            </w:tcBorders>
            <w:vAlign w:val="center"/>
          </w:tcPr>
          <w:p w14:paraId="762A5D20">
            <w:pPr>
              <w:pStyle w:val="25"/>
              <w:numPr>
                <w:ilvl w:val="0"/>
                <w:numId w:val="0"/>
              </w:numPr>
              <w:jc w:val="right"/>
              <w:rPr>
                <w:szCs w:val="18"/>
              </w:rPr>
            </w:pPr>
            <w:r>
              <w:rPr>
                <w:rFonts w:cs="宋体"/>
                <w:sz w:val="18"/>
                <w:szCs w:val="18"/>
              </w:rPr>
              <w:t>(6)</w:t>
            </w:r>
          </w:p>
        </w:tc>
      </w:tr>
    </w:tbl>
    <w:p w14:paraId="06D96D85">
      <w:pPr>
        <w:ind w:firstLine="420"/>
      </w:pPr>
      <w:r>
        <w:rPr>
          <w:rFonts w:hint="eastAsia"/>
        </w:rPr>
        <w:t>水流波速</w:t>
      </w:r>
      <m:oMath>
        <m:r>
          <m:rPr>
            <m:sty m:val="p"/>
          </m:rPr>
          <w:rPr>
            <w:rFonts w:ascii="Cambria Math" w:hAnsi="Cambria Math"/>
            <w:position w:val="-6"/>
          </w:rPr>
          <w:object>
            <v:shape id="_x0000_i1036" o:spt="75" type="#_x0000_t75" style="height:11pt;width:9.5pt;" o:ole="t" filled="f" o:preferrelative="t" stroked="f" coordsize="21600,21600">
              <v:path/>
              <v:fill on="f" focussize="0,0"/>
              <v:stroke on="f" joinstyle="miter"/>
              <v:imagedata r:id="rId32" o:title=""/>
              <o:lock v:ext="edit" aspectratio="t"/>
              <w10:wrap type="none"/>
              <w10:anchorlock/>
            </v:shape>
            <o:OLEObject Type="Embed" ProgID="Equation.KSEE3" ShapeID="_x0000_i1036" DrawAspect="Content" ObjectID="_1468075736" r:id="rId31">
              <o:LockedField>false</o:LockedField>
            </o:OLEObject>
          </w:object>
        </m:r>
      </m:oMath>
      <w:r>
        <w:rPr>
          <w:rFonts w:hint="eastAsia"/>
        </w:rPr>
        <w:t>和水力扩散度</w:t>
      </w:r>
      <m:oMath>
        <m:r>
          <m:rPr>
            <m:sty m:val="p"/>
          </m:rPr>
          <w:rPr>
            <w:rFonts w:hint="eastAsia" w:ascii="Cambria Math" w:hAnsi="Cambria Math"/>
            <w:position w:val="-4"/>
          </w:rPr>
          <w:object>
            <v:shape id="_x0000_i1037" o:spt="75" type="#_x0000_t75" style="height:12pt;width:13.5pt;" o:ole="t" filled="f" o:preferrelative="t" stroked="f" coordsize="21600,21600">
              <v:path/>
              <v:fill on="f" focussize="0,0"/>
              <v:stroke on="f" joinstyle="miter"/>
              <v:imagedata r:id="rId34" o:title=""/>
              <o:lock v:ext="edit" aspectratio="t"/>
              <w10:wrap type="none"/>
              <w10:anchorlock/>
            </v:shape>
            <o:OLEObject Type="Embed" ProgID="Equation.KSEE3" ShapeID="_x0000_i1037" DrawAspect="Content" ObjectID="_1468075737" r:id="rId33">
              <o:LockedField>false</o:LockedField>
            </o:OLEObject>
          </w:object>
        </m:r>
      </m:oMath>
      <w:r>
        <w:rPr>
          <w:rFonts w:hint="eastAsia"/>
        </w:rPr>
        <w:t>由下式确定</w:t>
      </w:r>
    </w:p>
    <w:tbl>
      <w:tblPr>
        <w:tblStyle w:val="13"/>
        <w:tblW w:w="499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214"/>
        <w:gridCol w:w="634"/>
      </w:tblGrid>
      <w:tr w14:paraId="10316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8" w:hRule="atLeast"/>
          <w:jc w:val="center"/>
        </w:trPr>
        <w:tc>
          <w:tcPr>
            <w:tcW w:w="4677" w:type="pct"/>
            <w:vAlign w:val="center"/>
          </w:tcPr>
          <w:p w14:paraId="5E4B45CE">
            <w:pPr>
              <w:ind w:firstLine="0" w:firstLineChars="0"/>
              <w:jc w:val="center"/>
              <w:rPr>
                <w:rFonts w:hAnsi="Cambria Math" w:cs="Times New Roman"/>
                <w:i/>
                <w:szCs w:val="21"/>
              </w:rPr>
            </w:pPr>
            <w:r>
              <w:rPr>
                <w:rFonts w:hint="eastAsia" w:hAnsi="Cambria Math" w:cs="Times New Roman"/>
                <w:i/>
                <w:position w:val="-40"/>
                <w:szCs w:val="21"/>
              </w:rPr>
              <w:object>
                <v:shape id="_x0000_i1038" o:spt="75" type="#_x0000_t75" style="height:42pt;width:58pt;" o:ole="t" filled="f" o:preferrelative="t" stroked="f" coordsize="21600,21600">
                  <v:path/>
                  <v:fill on="f" focussize="0,0"/>
                  <v:stroke on="f" joinstyle="miter"/>
                  <v:imagedata r:id="rId36" o:title=""/>
                  <o:lock v:ext="edit" aspectratio="t"/>
                  <w10:wrap type="none"/>
                  <w10:anchorlock/>
                </v:shape>
                <o:OLEObject Type="Embed" ProgID="Equation.KSEE3" ShapeID="_x0000_i1038" DrawAspect="Content" ObjectID="_1468075738" r:id="rId35">
                  <o:LockedField>false</o:LockedField>
                </o:OLEObject>
              </w:object>
            </w:r>
          </w:p>
        </w:tc>
        <w:tc>
          <w:tcPr>
            <w:tcW w:w="322" w:type="pct"/>
            <w:vAlign w:val="center"/>
          </w:tcPr>
          <w:p w14:paraId="08C1DC69">
            <w:pPr>
              <w:pStyle w:val="25"/>
              <w:numPr>
                <w:ilvl w:val="0"/>
                <w:numId w:val="0"/>
              </w:numPr>
              <w:jc w:val="right"/>
            </w:pPr>
            <w:r>
              <w:rPr>
                <w:rFonts w:cs="宋体"/>
                <w:sz w:val="18"/>
                <w:szCs w:val="18"/>
              </w:rPr>
              <w:t>(7)</w:t>
            </w:r>
          </w:p>
        </w:tc>
      </w:tr>
      <w:tr w14:paraId="7BE0E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677" w:type="pct"/>
            <w:vAlign w:val="center"/>
          </w:tcPr>
          <w:p w14:paraId="51B7075F">
            <w:pPr>
              <w:ind w:firstLine="0" w:firstLineChars="0"/>
              <w:jc w:val="center"/>
              <w:rPr>
                <w:rFonts w:hAnsi="Cambria Math" w:cs="Times New Roman"/>
                <w:i/>
                <w:szCs w:val="21"/>
              </w:rPr>
            </w:pPr>
            <w:r>
              <w:rPr>
                <w:rFonts w:hint="eastAsia" w:hAnsi="Cambria Math" w:cs="Times New Roman"/>
                <w:i/>
                <w:position w:val="-26"/>
                <w:szCs w:val="21"/>
              </w:rPr>
              <w:object>
                <v:shape id="_x0000_i1039" o:spt="75" type="#_x0000_t75" style="height:27.5pt;width:37pt;" o:ole="t" filled="f" o:preferrelative="t" stroked="f" coordsize="21600,21600">
                  <v:path/>
                  <v:fill on="f" focussize="0,0"/>
                  <v:stroke on="f" joinstyle="miter"/>
                  <v:imagedata r:id="rId38" o:title=""/>
                  <o:lock v:ext="edit" aspectratio="t"/>
                  <w10:wrap type="none"/>
                  <w10:anchorlock/>
                </v:shape>
                <o:OLEObject Type="Embed" ProgID="Equation.KSEE3" ShapeID="_x0000_i1039" DrawAspect="Content" ObjectID="_1468075739" r:id="rId37">
                  <o:LockedField>false</o:LockedField>
                </o:OLEObject>
              </w:object>
            </w:r>
          </w:p>
        </w:tc>
        <w:tc>
          <w:tcPr>
            <w:tcW w:w="322" w:type="pct"/>
            <w:vAlign w:val="center"/>
          </w:tcPr>
          <w:p w14:paraId="75A2A6AB">
            <w:pPr>
              <w:pStyle w:val="25"/>
              <w:numPr>
                <w:ilvl w:val="0"/>
                <w:numId w:val="0"/>
              </w:numPr>
              <w:jc w:val="right"/>
            </w:pPr>
            <w:r>
              <w:rPr>
                <w:rFonts w:cs="宋体"/>
                <w:sz w:val="18"/>
                <w:szCs w:val="18"/>
              </w:rPr>
              <w:t>(8)</w:t>
            </w:r>
          </w:p>
        </w:tc>
      </w:tr>
    </w:tbl>
    <w:p w14:paraId="19C4BBC8">
      <w:pPr>
        <w:pStyle w:val="8"/>
        <w:ind w:firstLine="0" w:firstLineChars="0"/>
      </w:pPr>
      <w:r>
        <w:rPr>
          <w:rFonts w:hint="eastAsia"/>
        </w:rPr>
        <w:t>式中，</w:t>
      </w:r>
      <m:oMath>
        <m:sSub>
          <m:sSubPr>
            <m:ctrlPr>
              <w:rPr>
                <w:rFonts w:ascii="Cambria Math" w:hAnsi="Cambria Math" w:cs="Times New Roman"/>
                <w:i/>
              </w:rPr>
            </m:ctrlPr>
          </m:sSubPr>
          <m:e>
            <m:r>
              <m:rPr>
                <m:nor/>
              </m:rPr>
              <w:rPr>
                <w:rFonts w:cs="Times New Roman"/>
                <w:i/>
              </w:rPr>
              <m:t>S</m:t>
            </m:r>
            <m:ctrlPr>
              <w:rPr>
                <w:rFonts w:ascii="Cambria Math" w:hAnsi="Cambria Math" w:cs="Times New Roman"/>
                <w:i/>
              </w:rPr>
            </m:ctrlPr>
          </m:e>
          <m:sub>
            <m:r>
              <m:rPr>
                <m:nor/>
                <m:sty m:val="p"/>
              </m:rPr>
              <w:rPr>
                <w:rFonts w:cs="Times New Roman"/>
                <w:b w:val="0"/>
                <w:i w:val="0"/>
              </w:rPr>
              <m:t>0</m:t>
            </m:r>
            <m:ctrlPr>
              <w:rPr>
                <w:rFonts w:ascii="Cambria Math" w:hAnsi="Cambria Math" w:cs="Times New Roman"/>
                <w:i/>
              </w:rPr>
            </m:ctrlPr>
          </m:sub>
        </m:sSub>
      </m:oMath>
      <w:r>
        <w:rPr>
          <w:rFonts w:hint="eastAsia"/>
        </w:rPr>
        <w:t>为河底坡度，借助栅格DEM的坡度来确定；</w:t>
      </w:r>
      <m:oMath>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0</m:t>
            </m:r>
            <m:ctrlPr>
              <w:rPr>
                <w:rFonts w:ascii="Cambria Math" w:hAnsi="Cambria Math"/>
                <w:i/>
              </w:rPr>
            </m:ctrlPr>
          </m:sub>
        </m:sSub>
      </m:oMath>
      <w:r>
        <w:rPr>
          <w:rFonts w:hint="eastAsia"/>
        </w:rPr>
        <w:t>为单宽参考流量。</w:t>
      </w:r>
    </w:p>
    <w:p w14:paraId="4DEDD588">
      <w:pPr>
        <w:pStyle w:val="3"/>
        <w:numPr>
          <w:ilvl w:val="0"/>
          <w:numId w:val="0"/>
        </w:numPr>
      </w:pPr>
      <w:r>
        <w:t xml:space="preserve">1.3 </w:t>
      </w:r>
      <w:r>
        <w:rPr>
          <w:rFonts w:hint="eastAsia"/>
        </w:rPr>
        <w:t>参数迁移机制</w:t>
      </w:r>
    </w:p>
    <w:p w14:paraId="166948BE">
      <w:pPr>
        <w:pStyle w:val="8"/>
        <w:ind w:firstLine="420"/>
      </w:pPr>
      <w:r>
        <w:rPr>
          <w:rFonts w:hint="eastAsia"/>
        </w:rPr>
        <w:t>参数迁移的本质是将具有物理意义的模型参数，从数据完备的参证流域拓展至少资料的目标流域，其关键在于如何建立一种稳健的、能应对流域间气候与下垫面非平稳性的迁移关系，从而规避传统方法因依赖流域整体相似性而在复杂异质地区产生的失效风险。</w:t>
      </w:r>
    </w:p>
    <w:p w14:paraId="215199F5">
      <w:pPr>
        <w:pStyle w:val="8"/>
        <w:ind w:firstLine="420"/>
      </w:pPr>
      <w:r>
        <w:rPr>
          <w:rFonts w:hint="eastAsia"/>
        </w:rPr>
        <w:t>本研究选择土地利用类型作为参数迁移的基本载体，土地利用类型是下垫面物理属性与人类活动综合作用下的长期稳定表征，其与水文过程的耦合机制为参数迁移提供了坚实的物理基础。土地利用通过叶面积指数</w:t>
      </w:r>
      <w:r>
        <w:rPr>
          <w:rFonts w:hint="eastAsia"/>
          <w:i/>
          <w:iCs/>
        </w:rPr>
        <w:t>LAI</w:t>
      </w:r>
      <w:r>
        <w:rPr>
          <w:rFonts w:hint="eastAsia"/>
        </w:rPr>
        <w:t>影响冠层截留量，通过土壤饱和导水率</w:t>
      </w:r>
      <w:r>
        <w:rPr>
          <w:rFonts w:hint="eastAsia"/>
          <w:i/>
          <w:iCs/>
        </w:rPr>
        <w:t>Ks</w:t>
      </w:r>
      <w:r>
        <w:rPr>
          <w:rFonts w:hint="eastAsia"/>
        </w:rPr>
        <w:t>影响下渗能力，通过地表糙率</w:t>
      </w:r>
      <w:r>
        <w:rPr>
          <w:rFonts w:hint="eastAsia"/>
          <w:i/>
          <w:iCs/>
        </w:rPr>
        <w:t>n</w:t>
      </w:r>
      <w:r>
        <w:rPr>
          <w:rFonts w:hint="eastAsia"/>
        </w:rPr>
        <w:t>影响汇流速度，直接调控降水截留、下渗、蒸散发及地表地下径流等关键水文过程</w:t>
      </w:r>
      <w:r>
        <w:rPr>
          <w:rFonts w:hint="eastAsia"/>
          <w:vertAlign w:val="superscript"/>
        </w:rPr>
        <w:t>[24]</w:t>
      </w:r>
      <w:r>
        <w:rPr>
          <w:rFonts w:hint="eastAsia"/>
        </w:rPr>
        <w:t>，如表</w:t>
      </w:r>
      <w:r>
        <w:t>1</w:t>
      </w:r>
      <w:r>
        <w:rPr>
          <w:rFonts w:hint="eastAsia"/>
        </w:rPr>
        <w:t>所列，例如城镇用地因不透水面积比例高，地表径流系数如</w:t>
      </w:r>
      <w:r>
        <w:rPr>
          <w:rFonts w:hint="eastAsia"/>
          <w:i/>
          <w:iCs/>
        </w:rPr>
        <w:t>IMP</w:t>
      </w:r>
      <w:r>
        <w:rPr>
          <w:rFonts w:hint="eastAsia"/>
        </w:rPr>
        <w:t>显著增大，产流响应更快，城市不透水区的径流系数可达0.7</w:t>
      </w:r>
      <w:r>
        <w:rPr>
          <w:rFonts w:hint="eastAsia" w:asciiTheme="minorEastAsia" w:hAnsiTheme="minorEastAsia" w:eastAsiaTheme="minorEastAsia" w:cstheme="minorEastAsia"/>
        </w:rPr>
        <w:t>~</w:t>
      </w:r>
      <w:r>
        <w:rPr>
          <w:rFonts w:hint="eastAsia"/>
        </w:rPr>
        <w:t>0.9，远高于林地的0.05</w:t>
      </w:r>
      <w:r>
        <w:rPr>
          <w:rFonts w:hint="eastAsia" w:asciiTheme="minorEastAsia" w:hAnsiTheme="minorEastAsia" w:eastAsiaTheme="minorEastAsia" w:cstheme="minorEastAsia"/>
        </w:rPr>
        <w:t>~</w:t>
      </w:r>
      <w:r>
        <w:rPr>
          <w:rFonts w:hint="eastAsia"/>
        </w:rPr>
        <w:t>0.20</w:t>
      </w:r>
      <w:r>
        <w:rPr>
          <w:rFonts w:hint="eastAsia"/>
          <w:vertAlign w:val="superscript"/>
        </w:rPr>
        <w:t>[25]</w:t>
      </w:r>
      <w:r>
        <w:rPr>
          <w:rFonts w:hint="eastAsia"/>
        </w:rPr>
        <w:t>；有林地因植被覆盖相对均质、土壤结构一致，自由水分布较为均匀，故自由水容量曲线指数</w:t>
      </w:r>
      <w:r>
        <w:rPr>
          <w:rFonts w:hint="eastAsia"/>
          <w:i/>
          <w:iCs/>
        </w:rPr>
        <w:t>EX</w:t>
      </w:r>
      <w:r>
        <w:rPr>
          <w:rFonts w:hint="eastAsia"/>
        </w:rPr>
        <w:t>接近1，当前时段产流面积比例</w:t>
      </w:r>
      <w:r>
        <w:rPr>
          <w:rFonts w:cs="Times New Roman"/>
          <w:i/>
          <w:iCs/>
        </w:rPr>
        <w:t>fr</w:t>
      </w:r>
      <w:r>
        <w:rPr>
          <w:rFonts w:cs="Times New Roman"/>
          <w:i/>
          <w:iCs/>
          <w:vertAlign w:val="subscript"/>
        </w:rPr>
        <w:t>₀</w:t>
      </w:r>
      <w:r>
        <w:rPr>
          <w:rFonts w:hint="eastAsia"/>
        </w:rPr>
        <w:t>取值较大。相较于土壤质地、植被指数等瞬时或单一属性，土地利用类型本质上是多维度水文属性的集成表达，其空间分布可通过遥感技术进行大范围、周期性、低成本的反演与更新。因此，以土地利用类型为桥梁，能够为模型参数构建一个既具有明确物理</w:t>
      </w:r>
      <w:r>
        <w:rPr>
          <w:rFonts w:hint="eastAsia"/>
          <w:color w:val="000000"/>
          <w:shd w:val="clear" w:color="auto" w:fill="FFDFB1"/>
        </w:rPr>
        <w:t>含义</w:t>
      </w:r>
      <w:r>
        <w:rPr>
          <w:rFonts w:hint="eastAsia"/>
        </w:rPr>
        <w:t>、又便于跨流域传递与映射的稳定锚点。</w:t>
      </w:r>
    </w:p>
    <w:p w14:paraId="20D6C320">
      <w:pPr>
        <w:pStyle w:val="7"/>
        <w:rPr>
          <w:bCs w:val="0"/>
        </w:rPr>
      </w:pPr>
      <w:bookmarkStart w:id="3" w:name="_Ref3217"/>
      <w:r>
        <w:rPr>
          <w:rFonts w:hint="eastAsia" w:ascii="黑体" w:hAnsi="黑体"/>
          <w:bCs w:val="0"/>
        </w:rPr>
        <w:t>表</w:t>
      </w:r>
      <w:r>
        <w:rPr>
          <w:rFonts w:cs="Times New Roman"/>
          <w:bCs w:val="0"/>
        </w:rPr>
        <w:t>1</w:t>
      </w:r>
      <w:bookmarkEnd w:id="3"/>
      <w:r>
        <w:rPr>
          <w:rFonts w:hint="eastAsia" w:ascii="黑体" w:hAnsi="黑体"/>
          <w:bCs w:val="0"/>
        </w:rPr>
        <w:t xml:space="preserve">  不同土地利用类型的水文过程与参数联系</w:t>
      </w:r>
    </w:p>
    <w:p w14:paraId="6ABE8FCE">
      <w:pPr>
        <w:pStyle w:val="7"/>
        <w:rPr>
          <w:bCs w:val="0"/>
        </w:rPr>
      </w:pPr>
      <w:r>
        <w:rPr>
          <w:rFonts w:hint="eastAsia"/>
          <w:bCs w:val="0"/>
        </w:rPr>
        <w:t>Tab</w:t>
      </w:r>
      <w:r>
        <w:rPr>
          <w:rFonts w:hint="eastAsia"/>
          <w:bCs w:val="0"/>
          <w:lang w:val="en-US" w:eastAsia="zh-CN"/>
        </w:rPr>
        <w:t xml:space="preserve">le </w:t>
      </w:r>
      <w:r>
        <w:rPr>
          <w:rFonts w:hint="eastAsia"/>
          <w:bCs w:val="0"/>
        </w:rPr>
        <w:t>1  Hydrological processes and parameter linkages for land use types</w:t>
      </w:r>
    </w:p>
    <w:tbl>
      <w:tblPr>
        <w:tblStyle w:val="13"/>
        <w:tblW w:w="6752"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94"/>
        <w:gridCol w:w="2668"/>
        <w:gridCol w:w="2390"/>
      </w:tblGrid>
      <w:tr w14:paraId="43C8807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 w:hRule="atLeast"/>
          <w:jc w:val="center"/>
        </w:trPr>
        <w:tc>
          <w:tcPr>
            <w:tcW w:w="1694" w:type="dxa"/>
            <w:tcBorders>
              <w:top w:val="single" w:color="auto" w:sz="12" w:space="0"/>
              <w:bottom w:val="single" w:color="auto" w:sz="4" w:space="0"/>
            </w:tcBorders>
          </w:tcPr>
          <w:p w14:paraId="2B9FC441">
            <w:pPr>
              <w:ind w:firstLine="0" w:firstLineChars="0"/>
              <w:jc w:val="center"/>
              <w:rPr>
                <w:sz w:val="15"/>
                <w:szCs w:val="15"/>
              </w:rPr>
            </w:pPr>
            <w:r>
              <w:rPr>
                <w:rFonts w:hint="eastAsia"/>
                <w:sz w:val="15"/>
                <w:szCs w:val="15"/>
              </w:rPr>
              <w:t>土地利用类型</w:t>
            </w:r>
          </w:p>
        </w:tc>
        <w:tc>
          <w:tcPr>
            <w:tcW w:w="2668" w:type="dxa"/>
            <w:tcBorders>
              <w:top w:val="single" w:color="auto" w:sz="12" w:space="0"/>
              <w:bottom w:val="single" w:color="auto" w:sz="4" w:space="0"/>
            </w:tcBorders>
          </w:tcPr>
          <w:p w14:paraId="2B38B31A">
            <w:pPr>
              <w:ind w:firstLine="0" w:firstLineChars="0"/>
              <w:jc w:val="center"/>
              <w:rPr>
                <w:sz w:val="15"/>
                <w:szCs w:val="15"/>
              </w:rPr>
            </w:pPr>
            <w:r>
              <w:rPr>
                <w:sz w:val="15"/>
                <w:szCs w:val="15"/>
              </w:rPr>
              <w:t>影响的水文过程</w:t>
            </w:r>
          </w:p>
        </w:tc>
        <w:tc>
          <w:tcPr>
            <w:tcW w:w="2390" w:type="dxa"/>
            <w:tcBorders>
              <w:top w:val="single" w:color="auto" w:sz="12" w:space="0"/>
              <w:bottom w:val="single" w:color="auto" w:sz="4" w:space="0"/>
            </w:tcBorders>
          </w:tcPr>
          <w:p w14:paraId="393BBCD8">
            <w:pPr>
              <w:ind w:firstLine="0" w:firstLineChars="0"/>
              <w:jc w:val="center"/>
              <w:rPr>
                <w:sz w:val="15"/>
                <w:szCs w:val="15"/>
              </w:rPr>
            </w:pPr>
            <w:r>
              <w:rPr>
                <w:sz w:val="15"/>
                <w:szCs w:val="15"/>
              </w:rPr>
              <w:t>关联的模型参数</w:t>
            </w:r>
          </w:p>
        </w:tc>
      </w:tr>
      <w:tr w14:paraId="6B9EF41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 w:hRule="atLeast"/>
          <w:jc w:val="center"/>
        </w:trPr>
        <w:tc>
          <w:tcPr>
            <w:tcW w:w="1694" w:type="dxa"/>
            <w:tcBorders>
              <w:top w:val="single" w:color="auto" w:sz="4" w:space="0"/>
            </w:tcBorders>
          </w:tcPr>
          <w:p w14:paraId="7DF602F7">
            <w:pPr>
              <w:ind w:firstLine="0" w:firstLineChars="0"/>
              <w:jc w:val="center"/>
              <w:rPr>
                <w:sz w:val="15"/>
                <w:szCs w:val="15"/>
              </w:rPr>
            </w:pPr>
            <w:r>
              <w:rPr>
                <w:bCs/>
                <w:sz w:val="15"/>
                <w:szCs w:val="15"/>
              </w:rPr>
              <w:t>林地</w:t>
            </w:r>
          </w:p>
        </w:tc>
        <w:tc>
          <w:tcPr>
            <w:tcW w:w="2668" w:type="dxa"/>
            <w:tcBorders>
              <w:top w:val="single" w:color="auto" w:sz="4" w:space="0"/>
            </w:tcBorders>
          </w:tcPr>
          <w:p w14:paraId="61DCA97A">
            <w:pPr>
              <w:ind w:firstLine="0" w:firstLineChars="0"/>
              <w:jc w:val="center"/>
              <w:rPr>
                <w:sz w:val="15"/>
                <w:szCs w:val="15"/>
              </w:rPr>
            </w:pPr>
            <w:r>
              <w:rPr>
                <w:sz w:val="15"/>
                <w:szCs w:val="15"/>
              </w:rPr>
              <w:t>冠层截留、蒸散发、下渗</w:t>
            </w:r>
          </w:p>
        </w:tc>
        <w:tc>
          <w:tcPr>
            <w:tcW w:w="2390" w:type="dxa"/>
            <w:tcBorders>
              <w:top w:val="single" w:color="auto" w:sz="4" w:space="0"/>
            </w:tcBorders>
          </w:tcPr>
          <w:p w14:paraId="695E8EF3">
            <w:pPr>
              <w:ind w:firstLine="0" w:firstLineChars="0"/>
              <w:jc w:val="center"/>
              <w:rPr>
                <w:i/>
                <w:iCs/>
                <w:sz w:val="15"/>
                <w:szCs w:val="15"/>
              </w:rPr>
            </w:pPr>
            <w:r>
              <w:rPr>
                <w:rFonts w:hint="eastAsia"/>
                <w:i/>
                <w:iCs/>
                <w:color w:val="000000"/>
                <w:sz w:val="15"/>
                <w:szCs w:val="15"/>
                <w:shd w:val="clear" w:color="auto" w:fill="FFFFFF"/>
              </w:rPr>
              <w:t>WM、</w:t>
            </w:r>
            <w:r>
              <w:rPr>
                <w:rFonts w:hint="eastAsia"/>
                <w:i/>
                <w:iCs/>
                <w:sz w:val="15"/>
                <w:szCs w:val="15"/>
              </w:rPr>
              <w:t xml:space="preserve"> C、 KG、 EX</w:t>
            </w:r>
          </w:p>
        </w:tc>
      </w:tr>
      <w:tr w14:paraId="73D0CA1F">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 w:hRule="atLeast"/>
          <w:jc w:val="center"/>
        </w:trPr>
        <w:tc>
          <w:tcPr>
            <w:tcW w:w="1694" w:type="dxa"/>
          </w:tcPr>
          <w:p w14:paraId="4C07F5B2">
            <w:pPr>
              <w:ind w:firstLine="0" w:firstLineChars="0"/>
              <w:jc w:val="center"/>
              <w:rPr>
                <w:sz w:val="15"/>
                <w:szCs w:val="15"/>
              </w:rPr>
            </w:pPr>
            <w:r>
              <w:rPr>
                <w:bCs/>
                <w:sz w:val="15"/>
                <w:szCs w:val="15"/>
              </w:rPr>
              <w:t>草地</w:t>
            </w:r>
          </w:p>
        </w:tc>
        <w:tc>
          <w:tcPr>
            <w:tcW w:w="2668" w:type="dxa"/>
          </w:tcPr>
          <w:p w14:paraId="68697C90">
            <w:pPr>
              <w:ind w:firstLine="0" w:firstLineChars="0"/>
              <w:jc w:val="center"/>
              <w:rPr>
                <w:sz w:val="15"/>
                <w:szCs w:val="15"/>
              </w:rPr>
            </w:pPr>
            <w:r>
              <w:rPr>
                <w:sz w:val="15"/>
                <w:szCs w:val="15"/>
              </w:rPr>
              <w:t>下渗、地表径流、蒸散发</w:t>
            </w:r>
          </w:p>
        </w:tc>
        <w:tc>
          <w:tcPr>
            <w:tcW w:w="2390" w:type="dxa"/>
          </w:tcPr>
          <w:p w14:paraId="31DC846B">
            <w:pPr>
              <w:ind w:firstLine="0" w:firstLineChars="0"/>
              <w:jc w:val="center"/>
              <w:rPr>
                <w:i/>
                <w:iCs/>
                <w:sz w:val="15"/>
                <w:szCs w:val="15"/>
              </w:rPr>
            </w:pPr>
            <w:r>
              <w:rPr>
                <w:rFonts w:hint="eastAsia"/>
                <w:i/>
                <w:iCs/>
                <w:color w:val="000000"/>
                <w:sz w:val="15"/>
                <w:szCs w:val="15"/>
                <w:shd w:val="clear" w:color="auto" w:fill="FFFFFF"/>
              </w:rPr>
              <w:t>SM、</w:t>
            </w:r>
            <w:r>
              <w:rPr>
                <w:rFonts w:hint="eastAsia"/>
                <w:i/>
                <w:iCs/>
                <w:sz w:val="15"/>
                <w:szCs w:val="15"/>
              </w:rPr>
              <w:t xml:space="preserve"> B、 KI</w:t>
            </w:r>
          </w:p>
        </w:tc>
      </w:tr>
      <w:tr w14:paraId="78F6511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694" w:type="dxa"/>
          </w:tcPr>
          <w:p w14:paraId="2BE6EB84">
            <w:pPr>
              <w:ind w:firstLine="0" w:firstLineChars="0"/>
              <w:jc w:val="center"/>
              <w:rPr>
                <w:sz w:val="15"/>
                <w:szCs w:val="15"/>
              </w:rPr>
            </w:pPr>
            <w:r>
              <w:rPr>
                <w:rFonts w:hint="eastAsia"/>
                <w:sz w:val="15"/>
                <w:szCs w:val="15"/>
              </w:rPr>
              <w:t>耕地</w:t>
            </w:r>
          </w:p>
        </w:tc>
        <w:tc>
          <w:tcPr>
            <w:tcW w:w="2668" w:type="dxa"/>
          </w:tcPr>
          <w:p w14:paraId="54E6024A">
            <w:pPr>
              <w:ind w:firstLine="0" w:firstLineChars="0"/>
              <w:jc w:val="center"/>
              <w:rPr>
                <w:sz w:val="15"/>
                <w:szCs w:val="15"/>
              </w:rPr>
            </w:pPr>
            <w:r>
              <w:rPr>
                <w:sz w:val="15"/>
                <w:szCs w:val="15"/>
              </w:rPr>
              <w:t>下渗、壤中流、蒸散发</w:t>
            </w:r>
          </w:p>
        </w:tc>
        <w:tc>
          <w:tcPr>
            <w:tcW w:w="2390" w:type="dxa"/>
          </w:tcPr>
          <w:p w14:paraId="16F2BAD6">
            <w:pPr>
              <w:ind w:firstLine="0" w:firstLineChars="0"/>
              <w:jc w:val="center"/>
              <w:rPr>
                <w:i/>
                <w:iCs/>
                <w:sz w:val="15"/>
                <w:szCs w:val="15"/>
              </w:rPr>
            </w:pPr>
            <w:r>
              <w:rPr>
                <w:rFonts w:hint="eastAsia"/>
                <w:i/>
                <w:iCs/>
                <w:color w:val="000000"/>
                <w:sz w:val="15"/>
                <w:szCs w:val="15"/>
                <w:shd w:val="clear" w:color="auto" w:fill="FFFFFF"/>
              </w:rPr>
              <w:t>IMP、</w:t>
            </w:r>
            <w:r>
              <w:rPr>
                <w:rFonts w:hint="eastAsia"/>
                <w:i/>
                <w:iCs/>
                <w:sz w:val="15"/>
                <w:szCs w:val="15"/>
              </w:rPr>
              <w:t xml:space="preserve"> KI、 UM/LM </w:t>
            </w:r>
          </w:p>
        </w:tc>
      </w:tr>
      <w:tr w14:paraId="22040F2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694" w:type="dxa"/>
          </w:tcPr>
          <w:p w14:paraId="1C911B9F">
            <w:pPr>
              <w:ind w:firstLine="0" w:firstLineChars="0"/>
              <w:jc w:val="center"/>
              <w:rPr>
                <w:sz w:val="15"/>
                <w:szCs w:val="15"/>
              </w:rPr>
            </w:pPr>
            <w:r>
              <w:rPr>
                <w:rFonts w:hint="eastAsia"/>
                <w:sz w:val="15"/>
                <w:szCs w:val="15"/>
              </w:rPr>
              <w:t>城镇用地</w:t>
            </w:r>
          </w:p>
        </w:tc>
        <w:tc>
          <w:tcPr>
            <w:tcW w:w="2668" w:type="dxa"/>
          </w:tcPr>
          <w:p w14:paraId="05DD74D0">
            <w:pPr>
              <w:ind w:firstLine="0" w:firstLineChars="0"/>
              <w:jc w:val="center"/>
              <w:rPr>
                <w:sz w:val="15"/>
                <w:szCs w:val="15"/>
              </w:rPr>
            </w:pPr>
            <w:r>
              <w:rPr>
                <w:sz w:val="15"/>
                <w:szCs w:val="15"/>
              </w:rPr>
              <w:t>地表径流、下渗</w:t>
            </w:r>
          </w:p>
        </w:tc>
        <w:tc>
          <w:tcPr>
            <w:tcW w:w="2390" w:type="dxa"/>
          </w:tcPr>
          <w:p w14:paraId="1BD6FF12">
            <w:pPr>
              <w:ind w:firstLine="0" w:firstLineChars="0"/>
              <w:jc w:val="center"/>
              <w:rPr>
                <w:i/>
                <w:iCs/>
                <w:sz w:val="15"/>
                <w:szCs w:val="15"/>
              </w:rPr>
            </w:pPr>
            <w:r>
              <w:rPr>
                <w:rFonts w:hint="eastAsia"/>
                <w:i/>
                <w:iCs/>
                <w:sz w:val="15"/>
                <w:szCs w:val="15"/>
              </w:rPr>
              <w:t>IMP、 KG</w:t>
            </w:r>
          </w:p>
        </w:tc>
      </w:tr>
      <w:tr w14:paraId="2745433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694" w:type="dxa"/>
            <w:tcBorders>
              <w:bottom w:val="single" w:color="auto" w:sz="12" w:space="0"/>
            </w:tcBorders>
          </w:tcPr>
          <w:p w14:paraId="10C66586">
            <w:pPr>
              <w:ind w:firstLine="0" w:firstLineChars="0"/>
              <w:jc w:val="center"/>
              <w:rPr>
                <w:sz w:val="15"/>
                <w:szCs w:val="15"/>
              </w:rPr>
            </w:pPr>
            <w:r>
              <w:rPr>
                <w:rFonts w:hint="eastAsia"/>
                <w:sz w:val="15"/>
                <w:szCs w:val="15"/>
              </w:rPr>
              <w:t>水域</w:t>
            </w:r>
          </w:p>
        </w:tc>
        <w:tc>
          <w:tcPr>
            <w:tcW w:w="2668" w:type="dxa"/>
            <w:tcBorders>
              <w:bottom w:val="single" w:color="auto" w:sz="12" w:space="0"/>
            </w:tcBorders>
          </w:tcPr>
          <w:p w14:paraId="2631800D">
            <w:pPr>
              <w:ind w:firstLine="0" w:firstLineChars="0"/>
              <w:jc w:val="center"/>
              <w:rPr>
                <w:sz w:val="15"/>
                <w:szCs w:val="15"/>
              </w:rPr>
            </w:pPr>
            <w:r>
              <w:rPr>
                <w:sz w:val="15"/>
                <w:szCs w:val="15"/>
              </w:rPr>
              <w:t>蒸发、汇流</w:t>
            </w:r>
          </w:p>
        </w:tc>
        <w:tc>
          <w:tcPr>
            <w:tcW w:w="2390" w:type="dxa"/>
            <w:tcBorders>
              <w:bottom w:val="single" w:color="auto" w:sz="12" w:space="0"/>
            </w:tcBorders>
          </w:tcPr>
          <w:p w14:paraId="540A394E">
            <w:pPr>
              <w:ind w:firstLine="0" w:firstLineChars="0"/>
              <w:jc w:val="center"/>
              <w:rPr>
                <w:sz w:val="15"/>
                <w:szCs w:val="15"/>
              </w:rPr>
            </w:pPr>
            <w:r>
              <w:rPr>
                <w:rFonts w:hint="eastAsia"/>
                <w:sz w:val="15"/>
                <w:szCs w:val="15"/>
              </w:rPr>
              <w:t>糙率、蒸发系数</w:t>
            </w:r>
          </w:p>
        </w:tc>
      </w:tr>
    </w:tbl>
    <w:p w14:paraId="5EF57CEF">
      <w:pPr>
        <w:ind w:firstLine="420"/>
      </w:pPr>
      <w:r>
        <w:rPr>
          <w:rFonts w:hint="eastAsia"/>
        </w:rPr>
        <w:t>基于上述理论依据，本研究构建了系统化的知识提炼与空间映射流程，如</w:t>
      </w:r>
      <w:r>
        <w:rPr>
          <w:rStyle w:val="38"/>
          <w:rFonts w:hint="eastAsia"/>
        </w:rPr>
        <w:t>图</w:t>
      </w:r>
      <w:r>
        <w:rPr>
          <w:rStyle w:val="38"/>
        </w:rPr>
        <w:t>3</w:t>
      </w:r>
      <w:r>
        <w:rPr>
          <w:rStyle w:val="38"/>
          <w:rFonts w:hint="eastAsia"/>
        </w:rPr>
        <w:t>所示</w:t>
      </w:r>
      <w:r>
        <w:rPr>
          <w:rFonts w:hint="eastAsia"/>
        </w:rPr>
        <w:t>。在参证流域，基于高分辨率土地利用数据将其划分为若干互不重叠的同质分区，各分区内仅包含单一土地利用类型的栅格单元。将每个土地利用分区视作独立的子流域，在其虚拟出口断面处，以流域整体观测径流数据为参照，以纳什效率系数</w:t>
      </w:r>
      <w:r>
        <w:rPr>
          <w:rFonts w:hint="eastAsia"/>
          <w:i/>
          <w:iCs/>
        </w:rPr>
        <w:t>NSE</w:t>
      </w:r>
      <w:r>
        <w:rPr>
          <w:rFonts w:hint="eastAsia"/>
        </w:rPr>
        <w:t>为主要目标函数进行参数率定，从而获取该类土地利用对应的最优水文模型参数向量。整合全部分区率定所得的最优参数集，构建成为结构化的“土地利用-参数”查找表，形成与下垫面类型直接关联、可迁移的参数集。</w:t>
      </w:r>
    </w:p>
    <w:p w14:paraId="03C7D007">
      <w:pPr>
        <w:pStyle w:val="8"/>
        <w:ind w:firstLine="420"/>
      </w:pPr>
      <w:r>
        <w:rPr>
          <w:rFonts w:hint="eastAsia"/>
        </w:rPr>
        <w:t>本研究将土地利用分类体系</w:t>
      </w:r>
      <w:r>
        <w:rPr>
          <w:rFonts w:hint="eastAsia"/>
          <w:vertAlign w:val="superscript"/>
        </w:rPr>
        <w:t>[26]</w:t>
      </w:r>
      <w:r>
        <w:rPr>
          <w:rFonts w:hint="eastAsia"/>
        </w:rPr>
        <w:t>中的一级或二级地类代码作为相似性的基本度量单元。其量化核心在于土地利用类型的一致性：只要目标流域的某个栅格与参证流域的某个栅格具有相同的土地利用分类，即认为二者具有相似的产汇流功能属性，可直接移植对应的参数集，实现参数知识的跨流域直接移植。若目标流域存在特殊局地条件或具备少量观测数据，可在该初始参数基础上进行局部适应性优化，进一步提升模拟精度。</w:t>
      </w:r>
    </w:p>
    <w:p w14:paraId="28ADA295">
      <w:pPr>
        <w:ind w:firstLine="0" w:firstLineChars="0"/>
        <w:jc w:val="center"/>
      </w:pPr>
      <w:r>
        <w:drawing>
          <wp:inline distT="0" distB="0" distL="114300" distR="114300">
            <wp:extent cx="4894580" cy="2545080"/>
            <wp:effectExtent l="0" t="0" r="12700" b="0"/>
            <wp:docPr id="6"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9"/>
                    <pic:cNvPicPr>
                      <a:picLocks noChangeAspect="1"/>
                    </pic:cNvPicPr>
                  </pic:nvPicPr>
                  <pic:blipFill>
                    <a:blip r:embed="rId39"/>
                    <a:srcRect b="4579"/>
                    <a:stretch>
                      <a:fillRect/>
                    </a:stretch>
                  </pic:blipFill>
                  <pic:spPr>
                    <a:xfrm>
                      <a:off x="0" y="0"/>
                      <a:ext cx="4894580" cy="2545080"/>
                    </a:xfrm>
                    <a:prstGeom prst="rect">
                      <a:avLst/>
                    </a:prstGeom>
                    <a:noFill/>
                    <a:ln>
                      <a:noFill/>
                    </a:ln>
                  </pic:spPr>
                </pic:pic>
              </a:graphicData>
            </a:graphic>
          </wp:inline>
        </w:drawing>
      </w:r>
    </w:p>
    <w:p w14:paraId="05D28BDB">
      <w:pPr>
        <w:pStyle w:val="7"/>
        <w:rPr>
          <w:rFonts w:ascii="黑体" w:hAnsi="黑体"/>
        </w:rPr>
      </w:pPr>
      <w:bookmarkStart w:id="4" w:name="_Ref3367"/>
      <w:r>
        <w:rPr>
          <w:rFonts w:hint="eastAsia" w:ascii="黑体" w:hAnsi="黑体"/>
        </w:rPr>
        <w:t>图</w:t>
      </w:r>
      <w:r>
        <w:rPr>
          <w:rFonts w:cs="Times New Roman"/>
        </w:rPr>
        <w:t>3</w:t>
      </w:r>
      <w:bookmarkEnd w:id="4"/>
      <w:r>
        <w:rPr>
          <w:rFonts w:hint="eastAsia" w:ascii="黑体" w:hAnsi="黑体"/>
        </w:rPr>
        <w:t xml:space="preserve">  参数迁移流程</w:t>
      </w:r>
    </w:p>
    <w:p w14:paraId="74439EF0">
      <w:pPr>
        <w:ind w:firstLine="0" w:firstLineChars="0"/>
        <w:jc w:val="center"/>
      </w:pPr>
      <w:r>
        <w:rPr>
          <w:sz w:val="18"/>
          <w:szCs w:val="21"/>
        </w:rPr>
        <w:t>Fig</w:t>
      </w:r>
      <w:r>
        <w:rPr>
          <w:rFonts w:hint="eastAsia"/>
          <w:sz w:val="18"/>
          <w:szCs w:val="21"/>
        </w:rPr>
        <w:t>.</w:t>
      </w:r>
      <w:r>
        <w:rPr>
          <w:rFonts w:hint="eastAsia"/>
          <w:sz w:val="18"/>
          <w:szCs w:val="21"/>
          <w:lang w:val="en-US" w:eastAsia="zh-CN"/>
        </w:rPr>
        <w:t xml:space="preserve"> </w:t>
      </w:r>
      <w:r>
        <w:rPr>
          <w:sz w:val="18"/>
          <w:szCs w:val="21"/>
        </w:rPr>
        <w:t>3</w:t>
      </w:r>
      <w:r>
        <w:rPr>
          <w:rFonts w:hint="eastAsia"/>
          <w:sz w:val="18"/>
          <w:szCs w:val="21"/>
        </w:rPr>
        <w:t xml:space="preserve"> </w:t>
      </w:r>
      <w:r>
        <w:rPr>
          <w:sz w:val="18"/>
          <w:szCs w:val="21"/>
        </w:rPr>
        <w:t xml:space="preserve"> Flowchart of parameter transfer</w:t>
      </w:r>
    </w:p>
    <w:p w14:paraId="57411797">
      <w:pPr>
        <w:ind w:firstLine="420"/>
      </w:pPr>
      <w:r>
        <w:rPr>
          <w:rFonts w:hint="eastAsia"/>
        </w:rPr>
        <w:t>该方法通过土地利用这</w:t>
      </w:r>
      <w:r>
        <w:rPr>
          <w:rFonts w:hint="eastAsia"/>
          <w:color w:val="000000"/>
          <w:shd w:val="clear" w:color="auto" w:fill="FFFFFF"/>
        </w:rPr>
        <w:t>一稳</w:t>
      </w:r>
      <w:r>
        <w:rPr>
          <w:rFonts w:hint="eastAsia"/>
        </w:rPr>
        <w:t>定、易获取的桥梁，耦合了分布式水文模型的物理机制与参数区域化的实际需求，不仅降低了对密集水文站网的依赖，也增强了参数在跨流域及非平稳条件下的外推能力，为少资料地区水文模拟提供了兼具物理基础与应用效率的解决方案。为评估其有效性，需选取典型方法进行对比分析。</w:t>
      </w:r>
    </w:p>
    <w:p w14:paraId="77AF57A1">
      <w:pPr>
        <w:pStyle w:val="3"/>
        <w:numPr>
          <w:ilvl w:val="0"/>
          <w:numId w:val="0"/>
        </w:numPr>
      </w:pPr>
      <w:r>
        <w:t xml:space="preserve">1.4 </w:t>
      </w:r>
      <w:r>
        <w:rPr>
          <w:rFonts w:hint="eastAsia"/>
        </w:rPr>
        <w:t>对比方法</w:t>
      </w:r>
    </w:p>
    <w:p w14:paraId="4F5B8645">
      <w:pPr>
        <w:ind w:firstLine="420"/>
      </w:pPr>
      <w:r>
        <w:rPr>
          <w:rFonts w:hint="eastAsia"/>
        </w:rPr>
        <w:t>为系统评估本迁移方法的优越性，需将其与少资料流域常用的典型方法进行对比。本研究选取瞬时单位线法</w:t>
      </w:r>
      <w:r>
        <w:rPr>
          <w:rFonts w:hint="eastAsia"/>
          <w:vertAlign w:val="superscript"/>
        </w:rPr>
        <w:t>[27]</w:t>
      </w:r>
      <w:r>
        <w:rPr>
          <w:rFonts w:hint="eastAsia"/>
        </w:rPr>
        <w:t>与前期影响雨量法</w:t>
      </w:r>
      <w:r>
        <w:rPr>
          <w:rFonts w:hint="eastAsia"/>
          <w:vertAlign w:val="superscript"/>
        </w:rPr>
        <w:t>[28]</w:t>
      </w:r>
      <w:r>
        <w:rPr>
          <w:rFonts w:hint="eastAsia"/>
        </w:rPr>
        <w:t>作为对比方法，通过将本方法与这两种方法在相同目标流域上进行径流模拟对比，进而从不同维度检验其性能。</w:t>
      </w:r>
    </w:p>
    <w:p w14:paraId="267D0753">
      <w:pPr>
        <w:ind w:firstLine="420" w:firstLineChars="0"/>
      </w:pPr>
      <w:r>
        <w:t>（1）</w:t>
      </w:r>
      <w:r>
        <w:rPr>
          <w:rFonts w:hint="eastAsia"/>
        </w:rPr>
        <w:t>瞬时单位线法。采用Nash串联线性水库模型模拟流域汇流过程。其瞬时单位线表达式为</w:t>
      </w:r>
    </w:p>
    <w:tbl>
      <w:tblPr>
        <w:tblStyle w:val="13"/>
        <w:tblW w:w="931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455"/>
        <w:gridCol w:w="859"/>
      </w:tblGrid>
      <w:tr w14:paraId="53E81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455" w:type="dxa"/>
            <w:tcBorders>
              <w:tl2br w:val="nil"/>
              <w:tr2bl w:val="nil"/>
            </w:tcBorders>
          </w:tcPr>
          <w:p w14:paraId="258EB1A1">
            <w:pPr>
              <w:ind w:firstLine="1260" w:firstLineChars="600"/>
            </w:pPr>
            <m:oMathPara>
              <m:oMath>
                <m:r>
                  <m:rPr/>
                  <w:rPr>
                    <w:rFonts w:ascii="Cambria Math" w:hAnsi="Cambria Math"/>
                  </w:rPr>
                  <m:t>U</m:t>
                </m:r>
                <m:d>
                  <m:dPr>
                    <m:ctrlPr>
                      <w:rPr>
                        <w:rFonts w:ascii="Cambria Math" w:hAnsi="Cambria Math"/>
                        <w:i/>
                      </w:rPr>
                    </m:ctrlPr>
                  </m:dPr>
                  <m:e>
                    <m:r>
                      <m:rPr/>
                      <w:rPr>
                        <w:rFonts w:ascii="Cambria Math" w:hAnsi="Cambria Math"/>
                      </w:rPr>
                      <m:t>t</m:t>
                    </m:r>
                    <m:ctrlPr>
                      <w:rPr>
                        <w:rFonts w:ascii="Cambria Math" w:hAnsi="Cambria Math"/>
                        <w:i/>
                      </w:rPr>
                    </m:ctrlPr>
                  </m:e>
                </m:d>
                <m:r>
                  <m:rPr/>
                  <w:rPr>
                    <w:rFonts w:ascii="Cambria Math" w:hAnsi="Cambria Math"/>
                  </w:rPr>
                  <m:t>=</m:t>
                </m:r>
                <m:f>
                  <m:fPr>
                    <m:ctrlPr>
                      <w:rPr>
                        <w:rFonts w:ascii="Cambria Math" w:hAnsi="Cambria Math"/>
                        <w:i/>
                      </w:rPr>
                    </m:ctrlPr>
                  </m:fPr>
                  <m:num>
                    <m:r>
                      <m:rPr/>
                      <w:rPr>
                        <w:rFonts w:ascii="Cambria Math" w:hAnsi="Cambria Math"/>
                      </w:rPr>
                      <m:t>1</m:t>
                    </m:r>
                    <m:ctrlPr>
                      <w:rPr>
                        <w:rFonts w:ascii="Cambria Math" w:hAnsi="Cambria Math"/>
                        <w:i/>
                      </w:rPr>
                    </m:ctrlPr>
                  </m:num>
                  <m:den>
                    <m:r>
                      <m:rPr>
                        <m:sty m:val="p"/>
                      </m:rPr>
                      <w:rPr>
                        <w:rFonts w:ascii="Cambria Math" w:hAnsi="Cambria Math"/>
                      </w:rPr>
                      <m:t>Γ</m:t>
                    </m:r>
                    <m:r>
                      <m:rPr/>
                      <w:rPr>
                        <w:rFonts w:ascii="Cambria Math" w:hAnsi="Cambria Math"/>
                      </w:rPr>
                      <m:t>(n)</m:t>
                    </m:r>
                    <m:ctrlPr>
                      <w:rPr>
                        <w:rFonts w:ascii="Cambria Math" w:hAnsi="Cambria Math"/>
                        <w:i/>
                      </w:rPr>
                    </m:ctrlPr>
                  </m:den>
                </m:f>
                <m:r>
                  <m:rPr/>
                  <w:rPr>
                    <w:rFonts w:ascii="Cambria Math" w:hAnsi="Cambria Math"/>
                  </w:rPr>
                  <m:t>∙</m:t>
                </m:r>
                <m:f>
                  <m:fPr>
                    <m:ctrlPr>
                      <w:rPr>
                        <w:rFonts w:ascii="Cambria Math" w:hAnsi="Cambria Math"/>
                        <w:i/>
                      </w:rPr>
                    </m:ctrlPr>
                  </m:fPr>
                  <m:num>
                    <m:r>
                      <m:rPr/>
                      <w:rPr>
                        <w:rFonts w:ascii="Cambria Math" w:hAnsi="Cambria Math"/>
                      </w:rPr>
                      <m:t>1</m:t>
                    </m:r>
                    <m:ctrlPr>
                      <w:rPr>
                        <w:rFonts w:ascii="Cambria Math" w:hAnsi="Cambria Math"/>
                        <w:i/>
                      </w:rPr>
                    </m:ctrlPr>
                  </m:num>
                  <m:den>
                    <m:sSup>
                      <m:sSupPr>
                        <m:ctrlPr>
                          <w:rPr>
                            <w:rFonts w:ascii="Cambria Math" w:hAnsi="Cambria Math"/>
                            <w:i/>
                          </w:rPr>
                        </m:ctrlPr>
                      </m:sSupPr>
                      <m:e>
                        <m:r>
                          <m:rPr/>
                          <w:rPr>
                            <w:rFonts w:ascii="Cambria Math" w:hAnsi="Cambria Math"/>
                          </w:rPr>
                          <m:t>k</m:t>
                        </m:r>
                        <m:ctrlPr>
                          <w:rPr>
                            <w:rFonts w:ascii="Cambria Math" w:hAnsi="Cambria Math"/>
                            <w:i/>
                          </w:rPr>
                        </m:ctrlPr>
                      </m:e>
                      <m:sup>
                        <m:r>
                          <m:rPr/>
                          <w:rPr>
                            <w:rFonts w:ascii="Cambria Math" w:hAnsi="Cambria Math"/>
                          </w:rPr>
                          <m:t>n</m:t>
                        </m:r>
                        <m:ctrlPr>
                          <w:rPr>
                            <w:rFonts w:ascii="Cambria Math" w:hAnsi="Cambria Math"/>
                            <w:i/>
                          </w:rPr>
                        </m:ctrlPr>
                      </m:sup>
                    </m:sSup>
                    <m:ctrlPr>
                      <w:rPr>
                        <w:rFonts w:ascii="Cambria Math" w:hAnsi="Cambria Math"/>
                        <w:i/>
                      </w:rPr>
                    </m:ctrlPr>
                  </m:den>
                </m:f>
                <m:r>
                  <m:rPr/>
                  <w:rPr>
                    <w:rFonts w:ascii="Cambria Math" w:hAnsi="Cambria Math"/>
                  </w:rPr>
                  <m:t>∙</m:t>
                </m:r>
                <m:sSup>
                  <m:sSupPr>
                    <m:ctrlPr>
                      <w:rPr>
                        <w:rFonts w:ascii="Cambria Math" w:hAnsi="Cambria Math"/>
                        <w:i/>
                      </w:rPr>
                    </m:ctrlPr>
                  </m:sSupPr>
                  <m:e>
                    <m:r>
                      <m:rPr/>
                      <w:rPr>
                        <w:rFonts w:ascii="Cambria Math" w:hAnsi="Cambria Math"/>
                      </w:rPr>
                      <m:t>t</m:t>
                    </m:r>
                    <m:ctrlPr>
                      <w:rPr>
                        <w:rFonts w:ascii="Cambria Math" w:hAnsi="Cambria Math"/>
                        <w:i/>
                      </w:rPr>
                    </m:ctrlPr>
                  </m:e>
                  <m:sup>
                    <m:r>
                      <m:rPr/>
                      <w:rPr>
                        <w:rFonts w:ascii="Cambria Math" w:hAnsi="Cambria Math"/>
                      </w:rPr>
                      <m:t>n−1</m:t>
                    </m:r>
                    <m:ctrlPr>
                      <w:rPr>
                        <w:rFonts w:ascii="Cambria Math" w:hAnsi="Cambria Math"/>
                        <w:i/>
                      </w:rPr>
                    </m:ctrlPr>
                  </m:sup>
                </m:sSup>
                <m:r>
                  <m:rPr/>
                  <w:rPr>
                    <w:rFonts w:ascii="Cambria Math" w:hAnsi="Cambria Math"/>
                  </w:rPr>
                  <m:t>∙</m:t>
                </m:r>
                <m:sSup>
                  <m:sSupPr>
                    <m:ctrlPr>
                      <w:rPr>
                        <w:rFonts w:ascii="Cambria Math" w:hAnsi="Cambria Math"/>
                        <w:i/>
                      </w:rPr>
                    </m:ctrlPr>
                  </m:sSupPr>
                  <m:e>
                    <m:r>
                      <m:rPr/>
                      <w:rPr>
                        <w:rFonts w:ascii="Cambria Math" w:hAnsi="Cambria Math"/>
                      </w:rPr>
                      <m:t>e</m:t>
                    </m:r>
                    <m:ctrlPr>
                      <w:rPr>
                        <w:rFonts w:ascii="Cambria Math" w:hAnsi="Cambria Math"/>
                        <w:i/>
                      </w:rPr>
                    </m:ctrlPr>
                  </m:e>
                  <m:sup>
                    <m:f>
                      <m:fPr>
                        <m:type m:val="lin"/>
                        <m:ctrlPr>
                          <w:rPr>
                            <w:rFonts w:ascii="Cambria Math" w:hAnsi="Cambria Math"/>
                            <w:i/>
                          </w:rPr>
                        </m:ctrlPr>
                      </m:fPr>
                      <m:num>
                        <m:r>
                          <m:rPr/>
                          <w:rPr>
                            <w:rFonts w:ascii="Cambria Math" w:hAnsi="Cambria Math"/>
                          </w:rPr>
                          <m:t>−t</m:t>
                        </m:r>
                        <m:ctrlPr>
                          <w:rPr>
                            <w:rFonts w:ascii="Cambria Math" w:hAnsi="Cambria Math"/>
                            <w:i/>
                          </w:rPr>
                        </m:ctrlPr>
                      </m:num>
                      <m:den>
                        <m:r>
                          <m:rPr/>
                          <w:rPr>
                            <w:rFonts w:ascii="Cambria Math" w:hAnsi="Cambria Math"/>
                          </w:rPr>
                          <m:t>k</m:t>
                        </m:r>
                        <m:ctrlPr>
                          <w:rPr>
                            <w:rFonts w:ascii="Cambria Math" w:hAnsi="Cambria Math"/>
                            <w:i/>
                          </w:rPr>
                        </m:ctrlPr>
                      </m:den>
                    </m:f>
                    <m:ctrlPr>
                      <w:rPr>
                        <w:rFonts w:ascii="Cambria Math" w:hAnsi="Cambria Math"/>
                        <w:i/>
                      </w:rPr>
                    </m:ctrlPr>
                  </m:sup>
                </m:sSup>
              </m:oMath>
            </m:oMathPara>
          </w:p>
        </w:tc>
        <w:tc>
          <w:tcPr>
            <w:tcW w:w="859" w:type="dxa"/>
            <w:tcBorders>
              <w:tl2br w:val="nil"/>
              <w:tr2bl w:val="nil"/>
            </w:tcBorders>
            <w:vAlign w:val="center"/>
          </w:tcPr>
          <w:p w14:paraId="6E4122FC">
            <w:pPr>
              <w:pStyle w:val="25"/>
              <w:numPr>
                <w:ilvl w:val="0"/>
                <w:numId w:val="0"/>
              </w:numPr>
              <w:jc w:val="right"/>
            </w:pPr>
            <w:r>
              <w:rPr>
                <w:rFonts w:cs="宋体"/>
                <w:sz w:val="18"/>
                <w:szCs w:val="18"/>
              </w:rPr>
              <w:t>(9)</w:t>
            </w:r>
          </w:p>
        </w:tc>
      </w:tr>
    </w:tbl>
    <w:p w14:paraId="418B792A">
      <w:pPr>
        <w:ind w:firstLine="0" w:firstLineChars="0"/>
      </w:pPr>
      <w:r>
        <w:rPr>
          <w:rFonts w:hint="eastAsia"/>
        </w:rPr>
        <w:t>式中，</w:t>
      </w:r>
      <w:r>
        <w:rPr>
          <w:rFonts w:hint="eastAsia"/>
          <w:i/>
          <w:iCs/>
        </w:rPr>
        <w:t>n</w:t>
      </w:r>
      <w:r>
        <w:rPr>
          <w:rFonts w:hint="eastAsia"/>
        </w:rPr>
        <w:t>为水库个数；</w:t>
      </w:r>
      <w:r>
        <w:rPr>
          <w:rFonts w:hint="eastAsia"/>
          <w:i/>
          <w:iCs/>
        </w:rPr>
        <w:t>k</w:t>
      </w:r>
      <w:r>
        <w:rPr>
          <w:rFonts w:hint="eastAsia"/>
        </w:rPr>
        <w:t>为水库蓄泄时间参数。</w:t>
      </w:r>
    </w:p>
    <w:p w14:paraId="77D82DC4">
      <w:pPr>
        <w:ind w:firstLine="420"/>
      </w:pPr>
      <w:r>
        <w:rPr>
          <w:rFonts w:hint="eastAsia"/>
        </w:rPr>
        <w:t>产流计算通过引入月尺度产流系数</w:t>
      </w:r>
      <w:r>
        <w:rPr>
          <w:rFonts w:hint="eastAsia"/>
          <w:i/>
          <w:iCs/>
        </w:rPr>
        <w:t>R</w:t>
      </w:r>
      <w:r>
        <w:rPr>
          <w:rFonts w:hint="eastAsia"/>
        </w:rPr>
        <w:t>将降雨转化为净雨，再与单位线进行卷积得到模拟径流过程，表达式为</w:t>
      </w:r>
    </w:p>
    <w:tbl>
      <w:tblPr>
        <w:tblStyle w:val="13"/>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499"/>
        <w:gridCol w:w="921"/>
      </w:tblGrid>
      <w:tr w14:paraId="511EE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499" w:type="dxa"/>
            <w:tcBorders>
              <w:tl2br w:val="nil"/>
              <w:tr2bl w:val="nil"/>
            </w:tcBorders>
            <w:vAlign w:val="center"/>
          </w:tcPr>
          <w:p w14:paraId="3B60BA34">
            <w:pPr>
              <w:ind w:firstLine="420"/>
              <w:jc w:val="center"/>
            </w:pPr>
            <m:oMathPara>
              <m:oMath>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sim</m:t>
                    </m:r>
                    <m:ctrlPr>
                      <w:rPr>
                        <w:rFonts w:ascii="Cambria Math" w:hAnsi="Cambria Math"/>
                        <w:i/>
                      </w:rPr>
                    </m:ctrlPr>
                  </m:sub>
                </m:sSub>
                <m:r>
                  <m:rPr/>
                  <w:rPr>
                    <w:rFonts w:ascii="Cambria Math" w:hAnsi="Cambria Math"/>
                    <w:color w:val="000000"/>
                    <w:shd w:val="clear" w:color="auto" w:fill="FFFFFF"/>
                  </w:rPr>
                  <m:t>(</m:t>
                </m:r>
                <m:r>
                  <m:rPr/>
                  <w:rPr>
                    <w:rFonts w:ascii="Cambria Math" w:hAnsi="Cambria Math"/>
                  </w:rPr>
                  <m:t>t)=P</m:t>
                </m:r>
                <m:r>
                  <m:rPr/>
                  <w:rPr>
                    <w:rFonts w:ascii="Cambria Math" w:hAnsi="Cambria Math"/>
                    <w:color w:val="000000"/>
                    <w:shd w:val="clear" w:color="auto" w:fill="FFFFFF"/>
                  </w:rPr>
                  <m:t>(</m:t>
                </m:r>
                <m:r>
                  <m:rPr/>
                  <w:rPr>
                    <w:rFonts w:ascii="Cambria Math" w:hAnsi="Cambria Math"/>
                  </w:rPr>
                  <m:t>t)×R×U</m:t>
                </m:r>
                <m:r>
                  <m:rPr/>
                  <w:rPr>
                    <w:rFonts w:ascii="Cambria Math" w:hAnsi="Cambria Math"/>
                    <w:color w:val="000000"/>
                    <w:shd w:val="clear" w:color="auto" w:fill="FFFFFF"/>
                  </w:rPr>
                  <m:t>(</m:t>
                </m:r>
                <m:r>
                  <m:rPr/>
                  <w:rPr>
                    <w:rFonts w:ascii="Cambria Math" w:hAnsi="Cambria Math"/>
                  </w:rPr>
                  <m:t>t)</m:t>
                </m:r>
              </m:oMath>
            </m:oMathPara>
          </w:p>
        </w:tc>
        <w:tc>
          <w:tcPr>
            <w:tcW w:w="921" w:type="dxa"/>
            <w:tcBorders>
              <w:tl2br w:val="nil"/>
              <w:tr2bl w:val="nil"/>
            </w:tcBorders>
            <w:vAlign w:val="center"/>
          </w:tcPr>
          <w:p w14:paraId="08D43C6E">
            <w:pPr>
              <w:pStyle w:val="25"/>
              <w:numPr>
                <w:ilvl w:val="0"/>
                <w:numId w:val="0"/>
              </w:numPr>
              <w:jc w:val="right"/>
            </w:pPr>
            <w:r>
              <w:rPr>
                <w:rFonts w:cs="宋体"/>
                <w:sz w:val="18"/>
                <w:szCs w:val="18"/>
              </w:rPr>
              <w:t>(10)</w:t>
            </w:r>
          </w:p>
        </w:tc>
      </w:tr>
    </w:tbl>
    <w:p w14:paraId="7EE11CAC">
      <w:pPr>
        <w:ind w:firstLine="0" w:firstLineChars="0"/>
      </w:pPr>
      <w:r>
        <w:rPr>
          <w:rFonts w:hint="eastAsia"/>
        </w:rPr>
        <w:t>式中，</w:t>
      </w:r>
      <w:r>
        <w:rPr>
          <w:rFonts w:hint="eastAsia"/>
          <w:i/>
          <w:iCs/>
        </w:rPr>
        <w:t>P(t)</w:t>
      </w:r>
      <w:r>
        <w:rPr>
          <w:rFonts w:hint="eastAsia"/>
        </w:rPr>
        <w:t>为t时段的降雨（mm）；</w:t>
      </w:r>
      <w:r>
        <w:rPr>
          <w:rFonts w:hint="eastAsia"/>
          <w:i/>
          <w:iCs/>
        </w:rPr>
        <w:t>R</w:t>
      </w:r>
      <w:r>
        <w:rPr>
          <w:rFonts w:hint="eastAsia"/>
        </w:rPr>
        <w:t>为产流系数。</w:t>
      </w:r>
    </w:p>
    <w:p w14:paraId="6DB2FF9E">
      <w:pPr>
        <w:ind w:firstLine="420"/>
      </w:pPr>
      <w:r>
        <w:rPr>
          <w:rFonts w:hint="eastAsia"/>
        </w:rPr>
        <w:t>月产流系数</w:t>
      </w:r>
      <w:r>
        <w:rPr>
          <w:rFonts w:hint="eastAsia"/>
          <w:i/>
          <w:iCs/>
        </w:rPr>
        <w:t>R</w:t>
      </w:r>
      <w:r>
        <w:rPr>
          <w:rFonts w:hint="eastAsia"/>
        </w:rPr>
        <w:t>的初值由历史月均径流深与降雨深比值推导。参数率定中，先采用SCE-UA算法</w:t>
      </w:r>
      <w:r>
        <w:rPr>
          <w:rFonts w:hint="eastAsia"/>
          <w:vertAlign w:val="superscript"/>
        </w:rPr>
        <w:t>[29]</w:t>
      </w:r>
      <w:r>
        <w:rPr>
          <w:rFonts w:hint="eastAsia"/>
        </w:rPr>
        <w:t>优化单位线形状参数</w:t>
      </w:r>
      <w:r>
        <w:rPr>
          <w:rFonts w:hint="eastAsia"/>
          <w:i/>
          <w:iCs/>
        </w:rPr>
        <w:t>n</w:t>
      </w:r>
      <w:r>
        <w:rPr>
          <w:rFonts w:hint="eastAsia"/>
        </w:rPr>
        <w:t>与</w:t>
      </w:r>
      <w:r>
        <w:rPr>
          <w:rFonts w:hint="eastAsia"/>
          <w:i/>
          <w:iCs/>
        </w:rPr>
        <w:t>k</w:t>
      </w:r>
      <w:r>
        <w:rPr>
          <w:rFonts w:hint="eastAsia"/>
        </w:rPr>
        <w:t>；继而以月为单元，通过最小二乘法优化各月</w:t>
      </w:r>
      <w:r>
        <w:rPr>
          <w:rFonts w:hint="eastAsia"/>
          <w:i/>
          <w:iCs/>
        </w:rPr>
        <w:t>R</w:t>
      </w:r>
      <w:r>
        <w:rPr>
          <w:rFonts w:hint="eastAsia"/>
        </w:rPr>
        <w:t>值，最小化月径流总量误差；经迭代计算形成稳定参数集。</w:t>
      </w:r>
    </w:p>
    <w:p w14:paraId="6C3A2A68">
      <w:pPr>
        <w:ind w:firstLine="420"/>
      </w:pPr>
      <w:r>
        <w:rPr>
          <w:rFonts w:hint="eastAsia"/>
        </w:rPr>
        <w:t>（2）前期影响雨量法。通过土壤水量平衡模拟产流过程，采用Penman-Monteith公式</w:t>
      </w:r>
      <w:r>
        <w:rPr>
          <w:rFonts w:hint="eastAsia"/>
          <w:vertAlign w:val="superscript"/>
        </w:rPr>
        <w:t>[30]</w:t>
      </w:r>
      <w:r>
        <w:rPr>
          <w:rFonts w:hint="eastAsia"/>
        </w:rPr>
        <w:t>计算潜在蒸散发。土壤蓄水量的逐日更新公式为</w:t>
      </w:r>
    </w:p>
    <w:tbl>
      <w:tblPr>
        <w:tblStyle w:val="13"/>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454"/>
        <w:gridCol w:w="969"/>
      </w:tblGrid>
      <w:tr w14:paraId="29697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 w:hRule="atLeast"/>
          <w:jc w:val="center"/>
        </w:trPr>
        <w:tc>
          <w:tcPr>
            <w:tcW w:w="8454" w:type="dxa"/>
            <w:tcBorders>
              <w:tl2br w:val="nil"/>
              <w:tr2bl w:val="nil"/>
            </w:tcBorders>
            <w:vAlign w:val="center"/>
          </w:tcPr>
          <w:p w14:paraId="0E79D105">
            <w:pPr>
              <w:spacing w:line="360" w:lineRule="auto"/>
              <w:ind w:firstLine="420"/>
              <w:rPr>
                <w:rFonts w:cs="Times New Roman"/>
                <w:i/>
                <w:szCs w:val="21"/>
              </w:rPr>
            </w:pPr>
            <m:oMathPara>
              <m:oMath>
                <m:sSup>
                  <m:sSupPr>
                    <m:ctrlPr>
                      <w:rPr>
                        <w:rFonts w:ascii="Cambria Math" w:hAnsi="Cambria Math" w:cs="Times New Roman"/>
                        <w:i/>
                        <w:szCs w:val="21"/>
                      </w:rPr>
                    </m:ctrlPr>
                  </m:sSupPr>
                  <m:e>
                    <m:r>
                      <m:rPr/>
                      <w:rPr>
                        <w:rFonts w:ascii="Cambria Math" w:hAnsi="Cambria Math" w:cs="Times New Roman"/>
                        <w:szCs w:val="21"/>
                      </w:rPr>
                      <m:t>P</m:t>
                    </m:r>
                    <m:r>
                      <m:rPr/>
                      <w:rPr>
                        <w:rFonts w:hint="eastAsia" w:ascii="Cambria Math" w:hAnsi="Cambria Math" w:cs="Times New Roman"/>
                        <w:szCs w:val="21"/>
                      </w:rPr>
                      <m:t>a</m:t>
                    </m:r>
                    <m:ctrlPr>
                      <w:rPr>
                        <w:rFonts w:ascii="Cambria Math" w:hAnsi="Cambria Math" w:cs="Times New Roman"/>
                        <w:i/>
                        <w:szCs w:val="21"/>
                      </w:rPr>
                    </m:ctrlPr>
                  </m:e>
                  <m:sup>
                    <m:r>
                      <m:rPr/>
                      <w:rPr>
                        <w:rFonts w:hint="eastAsia" w:ascii="Cambria Math" w:hAnsi="Cambria Math" w:cs="Times New Roman"/>
                        <w:szCs w:val="21"/>
                      </w:rPr>
                      <m:t>t+</m:t>
                    </m:r>
                    <m:r>
                      <m:rPr/>
                      <w:rPr>
                        <w:rFonts w:ascii="Cambria Math" w:hAnsi="Cambria Math" w:cs="Times New Roman"/>
                        <w:szCs w:val="21"/>
                      </w:rPr>
                      <m:t>1</m:t>
                    </m:r>
                    <m:ctrlPr>
                      <w:rPr>
                        <w:rFonts w:ascii="Cambria Math" w:hAnsi="Cambria Math" w:cs="Times New Roman"/>
                        <w:i/>
                        <w:szCs w:val="21"/>
                      </w:rPr>
                    </m:ctrlPr>
                  </m:sup>
                </m:sSup>
                <m:r>
                  <m:rPr/>
                  <w:rPr>
                    <w:rFonts w:ascii="Cambria Math" w:hAnsi="Cambria Math" w:cs="Times New Roman"/>
                    <w:szCs w:val="21"/>
                  </w:rPr>
                  <m:t>=</m:t>
                </m:r>
                <m:sSup>
                  <m:sSupPr>
                    <m:ctrlPr>
                      <w:rPr>
                        <w:rFonts w:ascii="Cambria Math" w:hAnsi="Cambria Math" w:cs="Times New Roman"/>
                        <w:i/>
                        <w:szCs w:val="21"/>
                      </w:rPr>
                    </m:ctrlPr>
                  </m:sSupPr>
                  <m:e>
                    <m:r>
                      <m:rPr/>
                      <w:rPr>
                        <w:rFonts w:ascii="Cambria Math" w:hAnsi="Cambria Math" w:cs="Times New Roman"/>
                        <w:szCs w:val="21"/>
                      </w:rPr>
                      <m:t>P</m:t>
                    </m:r>
                    <m:r>
                      <m:rPr/>
                      <w:rPr>
                        <w:rFonts w:hint="eastAsia" w:ascii="Cambria Math" w:hAnsi="Cambria Math" w:cs="Times New Roman"/>
                        <w:szCs w:val="21"/>
                      </w:rPr>
                      <m:t>a</m:t>
                    </m:r>
                    <m:ctrlPr>
                      <w:rPr>
                        <w:rFonts w:ascii="Cambria Math" w:hAnsi="Cambria Math" w:cs="Times New Roman"/>
                        <w:i/>
                        <w:szCs w:val="21"/>
                      </w:rPr>
                    </m:ctrlPr>
                  </m:e>
                  <m:sup>
                    <m:r>
                      <m:rPr/>
                      <w:rPr>
                        <w:rFonts w:hint="eastAsia" w:ascii="Cambria Math" w:hAnsi="Cambria Math" w:cs="Times New Roman"/>
                        <w:szCs w:val="21"/>
                      </w:rPr>
                      <m:t>t</m:t>
                    </m:r>
                    <m:ctrlPr>
                      <w:rPr>
                        <w:rFonts w:ascii="Cambria Math" w:hAnsi="Cambria Math" w:cs="Times New Roman"/>
                        <w:i/>
                        <w:szCs w:val="21"/>
                      </w:rPr>
                    </m:ctrlPr>
                  </m:sup>
                </m:sSup>
                <m:r>
                  <m:rPr/>
                  <w:rPr>
                    <w:rFonts w:ascii="Cambria Math" w:hAnsi="Cambria Math" w:cs="Times New Roman"/>
                    <w:szCs w:val="21"/>
                  </w:rPr>
                  <m:t>+</m:t>
                </m:r>
                <m:sSup>
                  <m:sSupPr>
                    <m:ctrlPr>
                      <w:rPr>
                        <w:rFonts w:ascii="Cambria Math" w:hAnsi="Cambria Math" w:cs="Times New Roman"/>
                        <w:i/>
                        <w:szCs w:val="21"/>
                      </w:rPr>
                    </m:ctrlPr>
                  </m:sSupPr>
                  <m:e>
                    <m:r>
                      <m:rPr/>
                      <w:rPr>
                        <w:rFonts w:ascii="Cambria Math" w:hAnsi="Cambria Math" w:cs="Times New Roman"/>
                        <w:szCs w:val="21"/>
                      </w:rPr>
                      <m:t>P</m:t>
                    </m:r>
                    <m:ctrlPr>
                      <w:rPr>
                        <w:rFonts w:ascii="Cambria Math" w:hAnsi="Cambria Math" w:cs="Times New Roman"/>
                        <w:i/>
                        <w:szCs w:val="21"/>
                      </w:rPr>
                    </m:ctrlPr>
                  </m:e>
                  <m:sup>
                    <m:r>
                      <m:rPr/>
                      <w:rPr>
                        <w:rFonts w:hint="eastAsia" w:ascii="Cambria Math" w:hAnsi="Cambria Math" w:cs="Times New Roman"/>
                        <w:szCs w:val="21"/>
                      </w:rPr>
                      <m:t>t</m:t>
                    </m:r>
                    <m:r>
                      <m:rPr/>
                      <w:rPr>
                        <w:rFonts w:ascii="Cambria Math" w:hAnsi="Cambria Math" w:cs="Times New Roman"/>
                        <w:szCs w:val="21"/>
                      </w:rPr>
                      <m:t>+1</m:t>
                    </m:r>
                    <m:ctrlPr>
                      <w:rPr>
                        <w:rFonts w:ascii="Cambria Math" w:hAnsi="Cambria Math" w:cs="Times New Roman"/>
                        <w:i/>
                        <w:szCs w:val="21"/>
                      </w:rPr>
                    </m:ctrlPr>
                  </m:sup>
                </m:sSup>
                <m:r>
                  <m:rPr/>
                  <w:rPr>
                    <w:rFonts w:ascii="Cambria Math" w:hAnsi="Cambria Math" w:cs="Times New Roman"/>
                    <w:szCs w:val="21"/>
                  </w:rPr>
                  <m:t>−</m:t>
                </m:r>
                <m:sSup>
                  <m:sSupPr>
                    <m:ctrlPr>
                      <w:rPr>
                        <w:rFonts w:ascii="Cambria Math" w:hAnsi="Cambria Math" w:cs="Times New Roman"/>
                        <w:i/>
                        <w:szCs w:val="21"/>
                      </w:rPr>
                    </m:ctrlPr>
                  </m:sSupPr>
                  <m:e>
                    <m:r>
                      <m:rPr/>
                      <w:rPr>
                        <w:rFonts w:ascii="Cambria Math" w:hAnsi="Cambria Math" w:cs="Times New Roman"/>
                        <w:szCs w:val="21"/>
                      </w:rPr>
                      <m:t>E</m:t>
                    </m:r>
                    <m:ctrlPr>
                      <w:rPr>
                        <w:rFonts w:ascii="Cambria Math" w:hAnsi="Cambria Math" w:cs="Times New Roman"/>
                        <w:i/>
                        <w:szCs w:val="21"/>
                      </w:rPr>
                    </m:ctrlPr>
                  </m:e>
                  <m:sup>
                    <m:r>
                      <m:rPr/>
                      <w:rPr>
                        <w:rFonts w:hint="eastAsia" w:ascii="Cambria Math" w:hAnsi="Cambria Math" w:cs="Times New Roman"/>
                        <w:szCs w:val="21"/>
                      </w:rPr>
                      <m:t>t</m:t>
                    </m:r>
                    <m:r>
                      <m:rPr/>
                      <w:rPr>
                        <w:rFonts w:ascii="Cambria Math" w:hAnsi="Cambria Math" w:cs="Times New Roman"/>
                        <w:szCs w:val="21"/>
                      </w:rPr>
                      <m:t>+1</m:t>
                    </m:r>
                    <m:ctrlPr>
                      <w:rPr>
                        <w:rFonts w:ascii="Cambria Math" w:hAnsi="Cambria Math" w:cs="Times New Roman"/>
                        <w:i/>
                        <w:szCs w:val="21"/>
                      </w:rPr>
                    </m:ctrlPr>
                  </m:sup>
                </m:sSup>
              </m:oMath>
            </m:oMathPara>
          </w:p>
        </w:tc>
        <w:tc>
          <w:tcPr>
            <w:tcW w:w="969" w:type="dxa"/>
            <w:tcBorders>
              <w:tl2br w:val="nil"/>
              <w:tr2bl w:val="nil"/>
            </w:tcBorders>
            <w:vAlign w:val="center"/>
          </w:tcPr>
          <w:p w14:paraId="72545C65">
            <w:pPr>
              <w:pStyle w:val="25"/>
              <w:numPr>
                <w:ilvl w:val="0"/>
                <w:numId w:val="0"/>
              </w:numPr>
              <w:jc w:val="right"/>
            </w:pPr>
            <w:r>
              <w:rPr>
                <w:rFonts w:cs="宋体"/>
                <w:sz w:val="18"/>
                <w:szCs w:val="18"/>
              </w:rPr>
              <w:t>(11)</w:t>
            </w:r>
          </w:p>
        </w:tc>
      </w:tr>
    </w:tbl>
    <w:p w14:paraId="6E06C2E6">
      <w:pPr>
        <w:ind w:firstLine="0" w:firstLineChars="0"/>
      </w:pPr>
      <w:r>
        <w:rPr>
          <w:rFonts w:hint="eastAsia"/>
        </w:rPr>
        <w:t>式中</w:t>
      </w:r>
      <w:r>
        <w:rPr>
          <w:rFonts w:hint="eastAsia"/>
          <w:i/>
          <w:iCs/>
        </w:rPr>
        <w:t>P</w:t>
      </w:r>
      <w:r>
        <w:rPr>
          <w:rFonts w:hint="eastAsia"/>
          <w:i/>
          <w:iCs/>
          <w:vertAlign w:val="subscript"/>
        </w:rPr>
        <w:t>a</w:t>
      </w:r>
      <w:r>
        <w:rPr>
          <w:rFonts w:hint="eastAsia"/>
          <w:i/>
          <w:iCs/>
          <w:vertAlign w:val="superscript"/>
        </w:rPr>
        <w:t>t+1</w:t>
      </w:r>
      <w:r>
        <w:rPr>
          <w:rFonts w:hint="eastAsia"/>
        </w:rPr>
        <w:t>和</w:t>
      </w:r>
      <w:r>
        <w:rPr>
          <w:rFonts w:hint="eastAsia"/>
          <w:i/>
          <w:iCs/>
        </w:rPr>
        <w:t>P</w:t>
      </w:r>
      <w:r>
        <w:rPr>
          <w:rFonts w:hint="eastAsia"/>
          <w:i/>
          <w:iCs/>
          <w:vertAlign w:val="subscript"/>
        </w:rPr>
        <w:t>a</w:t>
      </w:r>
      <w:r>
        <w:rPr>
          <w:rFonts w:hint="eastAsia"/>
          <w:i/>
          <w:iCs/>
          <w:vertAlign w:val="superscript"/>
        </w:rPr>
        <w:t>t</w:t>
      </w:r>
      <w:r>
        <w:rPr>
          <w:rFonts w:hint="eastAsia"/>
        </w:rPr>
        <w:t>分别为第t+1天和第t天的前期影响雨量（mm）；</w:t>
      </w:r>
      <w:r>
        <w:rPr>
          <w:rFonts w:hint="eastAsia"/>
          <w:i/>
          <w:iCs/>
        </w:rPr>
        <w:t>P</w:t>
      </w:r>
      <w:r>
        <w:rPr>
          <w:rFonts w:hint="eastAsia"/>
          <w:i/>
          <w:iCs/>
          <w:vertAlign w:val="superscript"/>
        </w:rPr>
        <w:t>t+1</w:t>
      </w:r>
      <w:r>
        <w:rPr>
          <w:rFonts w:hint="eastAsia"/>
        </w:rPr>
        <w:t>为第t+1天的降雨量（mm）；</w:t>
      </w:r>
      <w:r>
        <w:rPr>
          <w:rFonts w:hint="eastAsia"/>
          <w:i/>
          <w:iCs/>
        </w:rPr>
        <w:t>E</w:t>
      </w:r>
      <w:r>
        <w:rPr>
          <w:rFonts w:hint="eastAsia"/>
          <w:i/>
          <w:iCs/>
          <w:vertAlign w:val="superscript"/>
        </w:rPr>
        <w:t>t+1</w:t>
      </w:r>
      <w:r>
        <w:rPr>
          <w:rFonts w:hint="eastAsia"/>
        </w:rPr>
        <w:t>为第t+1天的蒸发量（mm）。</w:t>
      </w:r>
    </w:p>
    <w:p w14:paraId="24B19BC7">
      <w:pPr>
        <w:ind w:firstLine="420"/>
      </w:pPr>
      <w:r>
        <w:rPr>
          <w:rFonts w:hint="eastAsia"/>
        </w:rPr>
        <w:t>该方法的率定关键在于确定流域土壤最大持水能力，将其作为关键参数，采用SCE-UA算法在合理物理范围内搜索，以日尺度</w:t>
      </w:r>
      <w:r>
        <w:rPr>
          <w:rFonts w:hint="eastAsia"/>
          <w:i/>
          <w:iCs/>
        </w:rPr>
        <w:t>NSE</w:t>
      </w:r>
      <w:r>
        <w:rPr>
          <w:rFonts w:hint="eastAsia"/>
        </w:rPr>
        <w:t>最大化为目标进行优化。蒸散发计算采用Penman-Monteith公式及通用参数，气象数据源于区域气象站。汇流部分沿用瞬时单位线法，其参数率定流程与之相同。</w:t>
      </w:r>
    </w:p>
    <w:p w14:paraId="5D89F7BF">
      <w:pPr>
        <w:pStyle w:val="3"/>
        <w:numPr>
          <w:ilvl w:val="0"/>
          <w:numId w:val="0"/>
        </w:numPr>
      </w:pPr>
      <w:r>
        <w:t xml:space="preserve">1.5 </w:t>
      </w:r>
      <w:r>
        <w:rPr>
          <w:rFonts w:hint="eastAsia"/>
        </w:rPr>
        <w:t>评估指标</w:t>
      </w:r>
    </w:p>
    <w:p w14:paraId="7BFD37B5">
      <w:pPr>
        <w:ind w:firstLine="420"/>
      </w:pPr>
      <w:r>
        <w:rPr>
          <w:rFonts w:hint="eastAsia"/>
        </w:rPr>
        <w:t>为保证参数率定的科学性与结果可比性，本研究以纳什效率系数</w:t>
      </w:r>
      <w:r>
        <w:rPr>
          <w:rFonts w:hint="eastAsia"/>
          <w:i/>
          <w:iCs/>
        </w:rPr>
        <w:t>NSE</w:t>
      </w:r>
      <w:r>
        <w:rPr>
          <w:rFonts w:hint="eastAsia"/>
          <w:vertAlign w:val="superscript"/>
        </w:rPr>
        <w:t>[31]</w:t>
      </w:r>
      <w:r>
        <w:rPr>
          <w:rFonts w:hint="eastAsia"/>
        </w:rPr>
        <w:t>作为主要目标函数，并结合径流总量相对误差</w:t>
      </w:r>
      <w:r>
        <w:rPr>
          <w:rFonts w:hint="eastAsia"/>
          <w:i/>
          <w:iCs/>
        </w:rPr>
        <w:t>RE</w:t>
      </w:r>
      <w:r>
        <w:rPr>
          <w:rFonts w:hint="eastAsia"/>
          <w:vertAlign w:val="superscript"/>
        </w:rPr>
        <w:t>[32]</w:t>
      </w:r>
      <w:r>
        <w:rPr>
          <w:rFonts w:hint="eastAsia"/>
        </w:rPr>
        <w:t>作为约束条件，对栅格型分布式水文模型参数进行严格率定与验证，用决定系数</w:t>
      </w:r>
      <w:r>
        <w:rPr>
          <w:rFonts w:hint="eastAsia"/>
          <w:i/>
          <w:iCs/>
        </w:rPr>
        <w:t>R</w:t>
      </w:r>
      <w:r>
        <w:rPr>
          <w:rFonts w:hint="eastAsia"/>
          <w:i/>
          <w:iCs/>
          <w:vertAlign w:val="superscript"/>
        </w:rPr>
        <w:t>2</w:t>
      </w:r>
      <w:r>
        <w:rPr>
          <w:rFonts w:hint="eastAsia"/>
        </w:rPr>
        <w:t>评价模拟精度</w:t>
      </w:r>
      <w:r>
        <w:rPr>
          <w:rFonts w:hint="eastAsia"/>
          <w:vertAlign w:val="superscript"/>
        </w:rPr>
        <w:t>[33]</w:t>
      </w:r>
      <w:r>
        <w:rPr>
          <w:rFonts w:hint="eastAsia"/>
        </w:rPr>
        <w:t>，确保其在资料相对完备区域的模拟可靠性。计算公式如下</w:t>
      </w:r>
    </w:p>
    <w:tbl>
      <w:tblPr>
        <w:tblStyle w:val="13"/>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06"/>
        <w:gridCol w:w="996"/>
      </w:tblGrid>
      <w:tr w14:paraId="18BB4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8" w:hRule="atLeast"/>
          <w:jc w:val="center"/>
        </w:trPr>
        <w:tc>
          <w:tcPr>
            <w:tcW w:w="8506" w:type="dxa"/>
            <w:tcBorders>
              <w:tl2br w:val="nil"/>
              <w:tr2bl w:val="nil"/>
            </w:tcBorders>
          </w:tcPr>
          <w:p w14:paraId="3C4F0647">
            <w:pPr>
              <w:ind w:firstLine="0" w:firstLineChars="0"/>
              <w:jc w:val="center"/>
            </w:pPr>
            <w:r>
              <w:rPr>
                <w:rFonts w:hint="eastAsia"/>
                <w:position w:val="-42"/>
              </w:rPr>
              <w:object>
                <v:shape id="_x0000_i1040" o:spt="75" type="#_x0000_t75" style="height:42.5pt;width:132pt;" o:ole="t" filled="f" o:preferrelative="t" stroked="f" coordsize="21600,21600">
                  <v:path/>
                  <v:fill on="f" focussize="0,0"/>
                  <v:stroke on="f" joinstyle="miter"/>
                  <v:imagedata r:id="rId41" o:title=""/>
                  <o:lock v:ext="edit" aspectratio="t"/>
                  <w10:wrap type="none"/>
                  <w10:anchorlock/>
                </v:shape>
                <o:OLEObject Type="Embed" ProgID="Equation.KSEE3" ShapeID="_x0000_i1040" DrawAspect="Content" ObjectID="_1468075740" r:id="rId40">
                  <o:LockedField>false</o:LockedField>
                </o:OLEObject>
              </w:object>
            </w:r>
          </w:p>
        </w:tc>
        <w:tc>
          <w:tcPr>
            <w:tcW w:w="986" w:type="dxa"/>
            <w:tcBorders>
              <w:tl2br w:val="nil"/>
              <w:tr2bl w:val="nil"/>
            </w:tcBorders>
            <w:vAlign w:val="center"/>
          </w:tcPr>
          <w:p w14:paraId="3EB09E72">
            <w:pPr>
              <w:pStyle w:val="25"/>
              <w:numPr>
                <w:ilvl w:val="0"/>
                <w:numId w:val="0"/>
              </w:numPr>
              <w:ind w:left="480"/>
            </w:pPr>
            <w:r>
              <w:rPr>
                <w:rFonts w:cs="宋体"/>
                <w:sz w:val="18"/>
                <w:szCs w:val="18"/>
              </w:rPr>
              <w:t>(12)</w:t>
            </w:r>
          </w:p>
        </w:tc>
      </w:tr>
      <w:tr w14:paraId="4A4A8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8506" w:type="dxa"/>
            <w:tcBorders>
              <w:tl2br w:val="nil"/>
              <w:tr2bl w:val="nil"/>
            </w:tcBorders>
          </w:tcPr>
          <w:p w14:paraId="64B71C4F">
            <w:pPr>
              <w:ind w:firstLine="0" w:firstLineChars="0"/>
              <w:jc w:val="center"/>
            </w:pPr>
            <w:r>
              <w:rPr>
                <w:position w:val="-32"/>
              </w:rPr>
              <w:object>
                <v:shape id="_x0000_i1041" o:spt="75" type="#_x0000_t75" style="height:30.5pt;width:89pt;" o:ole="t" filled="f" o:preferrelative="t" stroked="f" coordsize="21600,21600">
                  <v:path/>
                  <v:fill on="f" focussize="0,0"/>
                  <v:stroke on="f" joinstyle="miter"/>
                  <v:imagedata r:id="rId43" o:title=""/>
                  <o:lock v:ext="edit" aspectratio="t"/>
                  <w10:wrap type="none"/>
                  <w10:anchorlock/>
                </v:shape>
                <o:OLEObject Type="Embed" ProgID="Equation.KSEE3" ShapeID="_x0000_i1041" DrawAspect="Content" ObjectID="_1468075741" r:id="rId42">
                  <o:LockedField>false</o:LockedField>
                </o:OLEObject>
              </w:object>
            </w:r>
          </w:p>
        </w:tc>
        <w:tc>
          <w:tcPr>
            <w:tcW w:w="986" w:type="dxa"/>
            <w:tcBorders>
              <w:tl2br w:val="nil"/>
              <w:tr2bl w:val="nil"/>
            </w:tcBorders>
            <w:vAlign w:val="center"/>
          </w:tcPr>
          <w:p w14:paraId="5FC60213">
            <w:pPr>
              <w:pStyle w:val="25"/>
              <w:numPr>
                <w:ilvl w:val="0"/>
                <w:numId w:val="0"/>
              </w:numPr>
              <w:ind w:left="480"/>
            </w:pPr>
            <w:r>
              <w:rPr>
                <w:rFonts w:cs="宋体"/>
                <w:sz w:val="18"/>
                <w:szCs w:val="18"/>
              </w:rPr>
              <w:t>(13)</w:t>
            </w:r>
          </w:p>
        </w:tc>
      </w:tr>
      <w:tr w14:paraId="2B9E5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6" w:hRule="atLeast"/>
          <w:jc w:val="center"/>
        </w:trPr>
        <w:tc>
          <w:tcPr>
            <w:tcW w:w="8506" w:type="dxa"/>
            <w:tcBorders>
              <w:tl2br w:val="nil"/>
              <w:tr2bl w:val="nil"/>
            </w:tcBorders>
          </w:tcPr>
          <w:p w14:paraId="28C3D273">
            <w:pPr>
              <w:ind w:firstLine="0" w:firstLineChars="0"/>
              <w:jc w:val="center"/>
              <w:rPr>
                <w:position w:val="-38"/>
              </w:rPr>
            </w:pPr>
            <w:r>
              <w:rPr>
                <w:rFonts w:hint="eastAsia"/>
                <w:position w:val="-40"/>
              </w:rPr>
              <w:object>
                <v:shape id="_x0000_i1042" o:spt="75" type="#_x0000_t75" style="height:42.5pt;width:175.5pt;" o:ole="t" filled="f" o:preferrelative="t" stroked="f" coordsize="21600,21600">
                  <v:path/>
                  <v:fill on="f" focussize="0,0"/>
                  <v:stroke on="f" joinstyle="miter"/>
                  <v:imagedata r:id="rId45" o:title=""/>
                  <o:lock v:ext="edit" aspectratio="t"/>
                  <w10:wrap type="none"/>
                  <w10:anchorlock/>
                </v:shape>
                <o:OLEObject Type="Embed" ProgID="Equation.KSEE3" ShapeID="_x0000_i1042" DrawAspect="Content" ObjectID="_1468075742" r:id="rId44">
                  <o:LockedField>false</o:LockedField>
                </o:OLEObject>
              </w:object>
            </w:r>
          </w:p>
        </w:tc>
        <w:tc>
          <w:tcPr>
            <w:tcW w:w="986" w:type="dxa"/>
            <w:tcBorders>
              <w:tl2br w:val="nil"/>
              <w:tr2bl w:val="nil"/>
            </w:tcBorders>
            <w:vAlign w:val="center"/>
          </w:tcPr>
          <w:p w14:paraId="7B6D4FE1">
            <w:pPr>
              <w:pStyle w:val="25"/>
              <w:numPr>
                <w:ilvl w:val="0"/>
                <w:numId w:val="0"/>
              </w:numPr>
              <w:ind w:left="480"/>
            </w:pPr>
            <w:r>
              <w:rPr>
                <w:rFonts w:cs="宋体"/>
                <w:sz w:val="18"/>
                <w:szCs w:val="18"/>
              </w:rPr>
              <w:t>(14)</w:t>
            </w:r>
          </w:p>
        </w:tc>
      </w:tr>
    </w:tbl>
    <w:p w14:paraId="374BC0EC">
      <w:pPr>
        <w:spacing w:line="360" w:lineRule="auto"/>
        <w:ind w:firstLine="0" w:firstLineChars="0"/>
        <w:rPr>
          <w:szCs w:val="21"/>
          <w:vertAlign w:val="subscript"/>
        </w:rPr>
      </w:pPr>
      <w:r>
        <w:rPr>
          <w:rFonts w:hint="eastAsia"/>
          <w:szCs w:val="21"/>
        </w:rPr>
        <w:t>式中，</w:t>
      </w:r>
      <w:r>
        <w:rPr>
          <w:rFonts w:hint="eastAsia"/>
          <w:i/>
          <w:iCs/>
          <w:szCs w:val="21"/>
        </w:rPr>
        <w:t>Q</w:t>
      </w:r>
      <w:r>
        <w:rPr>
          <w:rFonts w:hint="eastAsia"/>
          <w:i/>
          <w:iCs/>
          <w:szCs w:val="21"/>
          <w:vertAlign w:val="subscript"/>
        </w:rPr>
        <w:t>S,i</w:t>
      </w:r>
      <w:r>
        <w:rPr>
          <w:rFonts w:hint="eastAsia"/>
          <w:szCs w:val="21"/>
        </w:rPr>
        <w:t>为第</w:t>
      </w:r>
      <w:r>
        <w:rPr>
          <w:rFonts w:hint="eastAsia"/>
          <w:position w:val="-6"/>
          <w:szCs w:val="21"/>
        </w:rPr>
        <w:object>
          <v:shape id="_x0000_i1043" o:spt="75" type="#_x0000_t75" style="height:13pt;width:7pt;" o:ole="t" filled="f" o:preferrelative="t" stroked="f" coordsize="21600,21600">
            <v:path/>
            <v:fill on="f" focussize="0,0"/>
            <v:stroke on="f" joinstyle="miter"/>
            <v:imagedata r:id="rId47" o:title=""/>
            <o:lock v:ext="edit" aspectratio="t"/>
            <w10:wrap type="none"/>
            <w10:anchorlock/>
          </v:shape>
          <o:OLEObject Type="Embed" ProgID="Equation.KSEE3" ShapeID="_x0000_i1043" DrawAspect="Content" ObjectID="_1468075743" r:id="rId46">
            <o:LockedField>false</o:LockedField>
          </o:OLEObject>
        </w:object>
      </w:r>
      <w:r>
        <w:rPr>
          <w:rFonts w:hint="eastAsia"/>
          <w:szCs w:val="21"/>
        </w:rPr>
        <w:t>时段的实测值；</w:t>
      </w:r>
      <w:r>
        <w:rPr>
          <w:rFonts w:hint="eastAsia"/>
          <w:i/>
          <w:iCs/>
          <w:szCs w:val="21"/>
        </w:rPr>
        <w:t>Q</w:t>
      </w:r>
      <w:r>
        <w:rPr>
          <w:rFonts w:hint="eastAsia"/>
          <w:i/>
          <w:iCs/>
          <w:szCs w:val="21"/>
          <w:vertAlign w:val="subscript"/>
        </w:rPr>
        <w:t>M,i</w:t>
      </w:r>
      <w:r>
        <w:rPr>
          <w:rFonts w:hint="eastAsia"/>
          <w:szCs w:val="21"/>
        </w:rPr>
        <w:t>为第</w:t>
      </w:r>
      <w:r>
        <w:rPr>
          <w:rFonts w:hint="eastAsia"/>
          <w:position w:val="-6"/>
          <w:szCs w:val="21"/>
        </w:rPr>
        <w:object>
          <v:shape id="_x0000_i1044" o:spt="75" type="#_x0000_t75" style="height:13pt;width:7pt;" o:ole="t" filled="f" o:preferrelative="t" stroked="f" coordsize="21600,21600">
            <v:path/>
            <v:fill on="f" focussize="0,0"/>
            <v:stroke on="f" joinstyle="miter"/>
            <v:imagedata r:id="rId47" o:title=""/>
            <o:lock v:ext="edit" aspectratio="t"/>
            <w10:wrap type="none"/>
            <w10:anchorlock/>
          </v:shape>
          <o:OLEObject Type="Embed" ProgID="Equation.KSEE3" ShapeID="_x0000_i1044" DrawAspect="Content" ObjectID="_1468075744" r:id="rId48">
            <o:LockedField>false</o:LockedField>
          </o:OLEObject>
        </w:object>
      </w:r>
      <w:r>
        <w:rPr>
          <w:rFonts w:hint="eastAsia"/>
          <w:szCs w:val="21"/>
        </w:rPr>
        <w:t>时段的模拟值；</w:t>
      </w:r>
      <m:oMath>
        <m:acc>
          <m:accPr>
            <m:chr m:val="̅"/>
            <m:ctrlPr>
              <w:rPr>
                <w:rFonts w:ascii="Cambria Math" w:hAnsi="Cambria Math" w:cs="Times New Roman"/>
                <w:i/>
                <w:szCs w:val="21"/>
              </w:rPr>
            </m:ctrlPr>
          </m:accPr>
          <m:e>
            <m:sSub>
              <m:sSubPr>
                <m:ctrlPr>
                  <w:rPr>
                    <w:rFonts w:ascii="Cambria Math" w:hAnsi="Cambria Math" w:cs="Times New Roman"/>
                    <w:i/>
                    <w:szCs w:val="21"/>
                  </w:rPr>
                </m:ctrlPr>
              </m:sSubPr>
              <m:e>
                <m:r>
                  <m:rPr>
                    <m:nor/>
                  </m:rPr>
                  <w:rPr>
                    <w:rFonts w:cs="Times New Roman"/>
                    <w:i/>
                    <w:szCs w:val="21"/>
                  </w:rPr>
                  <m:t>Q</m:t>
                </m:r>
                <m:ctrlPr>
                  <w:rPr>
                    <w:rFonts w:ascii="Cambria Math" w:hAnsi="Cambria Math" w:cs="Times New Roman"/>
                    <w:i/>
                    <w:szCs w:val="21"/>
                  </w:rPr>
                </m:ctrlPr>
              </m:e>
              <m:sub>
                <m:r>
                  <m:rPr/>
                  <w:rPr>
                    <w:rFonts w:ascii="Cambria Math" w:hAnsi="Cambria Math" w:cs="Times New Roman"/>
                    <w:szCs w:val="21"/>
                  </w:rPr>
                  <m:t>S</m:t>
                </m:r>
                <m:ctrlPr>
                  <w:rPr>
                    <w:rFonts w:ascii="Cambria Math" w:hAnsi="Cambria Math" w:cs="Times New Roman"/>
                    <w:i/>
                    <w:szCs w:val="21"/>
                  </w:rPr>
                </m:ctrlPr>
              </m:sub>
            </m:sSub>
            <m:ctrlPr>
              <w:rPr>
                <w:rFonts w:ascii="Cambria Math" w:hAnsi="Cambria Math" w:cs="Times New Roman"/>
                <w:i/>
                <w:szCs w:val="21"/>
              </w:rPr>
            </m:ctrlPr>
          </m:e>
        </m:acc>
      </m:oMath>
      <w:r>
        <w:rPr>
          <w:rFonts w:hint="eastAsia"/>
          <w:szCs w:val="21"/>
        </w:rPr>
        <w:t>为实测平均值；</w:t>
      </w:r>
      <m:oMath>
        <m:acc>
          <m:accPr>
            <m:chr m:val="̅"/>
            <m:ctrlPr>
              <w:rPr>
                <w:rFonts w:ascii="Cambria Math" w:hAnsi="Cambria Math" w:cs="Times New Roman"/>
                <w:i/>
                <w:szCs w:val="21"/>
              </w:rPr>
            </m:ctrlPr>
          </m:accPr>
          <m:e>
            <m:sSub>
              <m:sSubPr>
                <m:ctrlPr>
                  <w:rPr>
                    <w:rFonts w:ascii="Cambria Math" w:hAnsi="Cambria Math" w:cs="Times New Roman"/>
                    <w:i/>
                    <w:szCs w:val="21"/>
                  </w:rPr>
                </m:ctrlPr>
              </m:sSubPr>
              <m:e>
                <m:r>
                  <m:rPr>
                    <m:nor/>
                  </m:rPr>
                  <w:rPr>
                    <w:rFonts w:cs="Times New Roman"/>
                    <w:i/>
                    <w:szCs w:val="21"/>
                  </w:rPr>
                  <m:t>Q</m:t>
                </m:r>
                <m:ctrlPr>
                  <w:rPr>
                    <w:rFonts w:ascii="Cambria Math" w:hAnsi="Cambria Math" w:cs="Times New Roman"/>
                    <w:i/>
                    <w:szCs w:val="21"/>
                  </w:rPr>
                </m:ctrlPr>
              </m:e>
              <m:sub>
                <m:r>
                  <m:rPr>
                    <m:nor/>
                  </m:rPr>
                  <w:rPr>
                    <w:rFonts w:cs="Times New Roman"/>
                    <w:i/>
                    <w:szCs w:val="21"/>
                  </w:rPr>
                  <m:t>M</m:t>
                </m:r>
                <m:ctrlPr>
                  <w:rPr>
                    <w:rFonts w:ascii="Cambria Math" w:hAnsi="Cambria Math" w:cs="Times New Roman"/>
                    <w:i/>
                    <w:szCs w:val="21"/>
                  </w:rPr>
                </m:ctrlPr>
              </m:sub>
            </m:sSub>
            <m:ctrlPr>
              <w:rPr>
                <w:rFonts w:ascii="Cambria Math" w:hAnsi="Cambria Math" w:cs="Times New Roman"/>
                <w:i/>
                <w:szCs w:val="21"/>
              </w:rPr>
            </m:ctrlPr>
          </m:e>
        </m:acc>
      </m:oMath>
      <w:r>
        <w:rPr>
          <w:rFonts w:hint="eastAsia"/>
          <w:szCs w:val="21"/>
        </w:rPr>
        <w:t>为模拟平均值；</w:t>
      </w:r>
      <w:r>
        <w:rPr>
          <w:rFonts w:hint="eastAsia"/>
          <w:position w:val="-6"/>
          <w:szCs w:val="21"/>
        </w:rPr>
        <w:object>
          <v:shape id="_x0000_i1045" o:spt="75" type="#_x0000_t75" style="height:11pt;width:10pt;" o:ole="t" filled="f" o:preferrelative="t" stroked="f" coordsize="21600,21600">
            <v:path/>
            <v:fill on="f" focussize="0,0"/>
            <v:stroke on="f" joinstyle="miter"/>
            <v:imagedata r:id="rId50" o:title=""/>
            <o:lock v:ext="edit" aspectratio="t"/>
            <w10:wrap type="none"/>
            <w10:anchorlock/>
          </v:shape>
          <o:OLEObject Type="Embed" ProgID="Equation.KSEE3" ShapeID="_x0000_i1045" DrawAspect="Content" ObjectID="_1468075745" r:id="rId49">
            <o:LockedField>false</o:LockedField>
          </o:OLEObject>
        </w:object>
      </w:r>
      <w:r>
        <w:rPr>
          <w:rFonts w:hint="eastAsia"/>
          <w:szCs w:val="21"/>
        </w:rPr>
        <w:t>为径流序列长度。</w:t>
      </w:r>
    </w:p>
    <w:p w14:paraId="3BEDA9DC">
      <w:pPr>
        <w:pStyle w:val="2"/>
        <w:numPr>
          <w:ilvl w:val="0"/>
          <w:numId w:val="0"/>
        </w:numPr>
      </w:pPr>
      <w:r>
        <w:rPr>
          <w:rFonts w:eastAsia="宋体" w:cs="宋体"/>
        </w:rPr>
        <w:t xml:space="preserve">2 </w:t>
      </w:r>
      <w:r>
        <w:rPr>
          <w:rFonts w:hint="eastAsia"/>
          <w:color w:val="000000"/>
          <w:shd w:val="clear" w:color="auto" w:fill="FFFFFF"/>
        </w:rPr>
        <w:t>实例研究</w:t>
      </w:r>
    </w:p>
    <w:p w14:paraId="5F59895C">
      <w:pPr>
        <w:pStyle w:val="3"/>
        <w:numPr>
          <w:ilvl w:val="0"/>
          <w:numId w:val="0"/>
        </w:numPr>
      </w:pPr>
      <w:r>
        <w:t xml:space="preserve">2.1 </w:t>
      </w:r>
      <w:r>
        <w:rPr>
          <w:rFonts w:hint="eastAsia"/>
        </w:rPr>
        <w:t>研究区</w:t>
      </w:r>
      <w:r>
        <w:rPr>
          <w:rFonts w:hint="eastAsia"/>
          <w:color w:val="000000"/>
          <w:shd w:val="clear" w:color="auto" w:fill="FFFFFF"/>
        </w:rPr>
        <w:t>与</w:t>
      </w:r>
      <w:r>
        <w:rPr>
          <w:rFonts w:hint="eastAsia"/>
        </w:rPr>
        <w:t>数据</w:t>
      </w:r>
    </w:p>
    <w:p w14:paraId="2B5C5FAB">
      <w:pPr>
        <w:ind w:firstLine="420"/>
        <w:sectPr>
          <w:endnotePr>
            <w:numFmt w:val="decimal"/>
          </w:endnotePr>
          <w:type w:val="continuous"/>
          <w:pgSz w:w="11906" w:h="16838"/>
          <w:pgMar w:top="2098" w:right="1134" w:bottom="1134" w:left="1134" w:header="851" w:footer="992" w:gutter="0"/>
          <w:cols w:space="425" w:num="1"/>
          <w:docGrid w:type="lines" w:linePitch="312" w:charSpace="0"/>
        </w:sectPr>
      </w:pPr>
      <w:r>
        <w:rPr>
          <w:rFonts w:hint="eastAsia"/>
        </w:rPr>
        <w:t>本文研究流域包括</w:t>
      </w:r>
      <w:r>
        <w:t>湄公河（Mekong River）</w:t>
      </w:r>
      <w:r>
        <w:rPr>
          <w:rFonts w:hint="eastAsia"/>
        </w:rPr>
        <w:t>及柬埔寨境内达萨河（Prek Thnot River）和斯伦河（Stung Sreng River），如</w:t>
      </w:r>
      <w:r>
        <w:rPr>
          <w:rFonts w:hint="eastAsia" w:ascii="宋体" w:hAnsi="宋体"/>
        </w:rPr>
        <w:t>图</w:t>
      </w:r>
      <w:r>
        <w:rPr>
          <w:rFonts w:cs="Times New Roman"/>
        </w:rPr>
        <w:t>4</w:t>
      </w:r>
      <w:r>
        <w:rPr>
          <w:rFonts w:hint="eastAsia"/>
        </w:rPr>
        <w:t>所示。</w:t>
      </w:r>
      <w:r>
        <w:t>湄公河发源于中国唐古拉山，在中国境内叫澜沧江，流入中南半岛后的河段称为湄公河。湄公河干流全长4909</w:t>
      </w:r>
      <w:r>
        <w:rPr>
          <w:rFonts w:hint="eastAsia"/>
        </w:rPr>
        <w:t xml:space="preserve"> km</w:t>
      </w:r>
      <w:r>
        <w:t>，流域面积大</w:t>
      </w:r>
      <w:r>
        <w:rPr>
          <w:rFonts w:hint="eastAsia"/>
        </w:rPr>
        <w:t>约</w:t>
      </w:r>
      <w:r>
        <w:t>81.</w:t>
      </w:r>
      <w:r>
        <w:rPr>
          <w:rFonts w:hint="eastAsia"/>
        </w:rPr>
        <w:t>10</w:t>
      </w:r>
      <w:r>
        <w:rPr>
          <w:color w:val="000000"/>
          <w:shd w:val="clear" w:color="auto" w:fill="FFFFFF"/>
        </w:rPr>
        <w:t>万</w:t>
      </w:r>
      <w:r>
        <w:rPr>
          <w:rFonts w:hint="eastAsia"/>
          <w:color w:val="000000"/>
          <w:shd w:val="clear" w:color="auto" w:fill="FFFFFF"/>
        </w:rPr>
        <w:t>km</w:t>
      </w:r>
      <w:r>
        <w:rPr>
          <w:rFonts w:hint="eastAsia"/>
          <w:vertAlign w:val="superscript"/>
        </w:rPr>
        <w:t>2</w:t>
      </w:r>
      <w:r>
        <w:rPr>
          <w:rFonts w:hint="eastAsia"/>
        </w:rPr>
        <w:t>，年径流量约4750亿m³，约88%的降水集中于5月至10月。达萨河发源于纳萨山脉（Khnang Phsa Mountains），位于柬埔寨境内流域面积为5050 km</w:t>
      </w:r>
      <w:r>
        <w:rPr>
          <w:rFonts w:hint="eastAsia"/>
          <w:vertAlign w:val="superscript"/>
        </w:rPr>
        <w:t>2</w:t>
      </w:r>
      <w:r>
        <w:rPr>
          <w:rFonts w:hint="eastAsia"/>
        </w:rPr>
        <w:t>，位于金边以南，是湄公河下游右岸的重要支流之一。特努伦（Thnous Loun</w:t>
      </w:r>
      <w:r>
        <w:rPr>
          <w:rFonts w:hint="eastAsia"/>
          <w:color w:val="000000"/>
          <w:shd w:val="clear" w:color="auto" w:fill="FFFFFF"/>
        </w:rPr>
        <w:t>g）水</w:t>
      </w:r>
      <w:r>
        <w:rPr>
          <w:rFonts w:hint="eastAsia"/>
        </w:rPr>
        <w:t>文站位于流域中下游。斯伦河发源于扁担山脉（Dangrek Mountains），位于柬埔寨境内，流域面积8600 km</w:t>
      </w:r>
      <w:r>
        <w:rPr>
          <w:rFonts w:hint="eastAsia"/>
          <w:vertAlign w:val="superscript"/>
        </w:rPr>
        <w:t>2</w:t>
      </w:r>
      <w:r>
        <w:rPr>
          <w:rFonts w:hint="eastAsia"/>
        </w:rPr>
        <w:t>，位于洞里萨湖西北部，克拉朗（Kralanh）水文站位于流域下游</w:t>
      </w:r>
      <w:r>
        <w:t>。</w:t>
      </w:r>
    </w:p>
    <w:tbl>
      <w:tblPr>
        <w:tblStyle w:val="13"/>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68"/>
        <w:gridCol w:w="3711"/>
      </w:tblGrid>
      <w:tr w14:paraId="477C6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9" w:hRule="atLeast"/>
          <w:jc w:val="center"/>
        </w:trPr>
        <w:tc>
          <w:tcPr>
            <w:tcW w:w="5368" w:type="dxa"/>
            <w:tcBorders>
              <w:tl2br w:val="nil"/>
              <w:tr2bl w:val="nil"/>
            </w:tcBorders>
            <w:vAlign w:val="center"/>
          </w:tcPr>
          <w:p w14:paraId="11CEF206">
            <w:pPr>
              <w:pStyle w:val="8"/>
              <w:ind w:firstLine="420"/>
              <w:jc w:val="center"/>
            </w:pPr>
            <w:r>
              <w:rPr>
                <w:rFonts w:hint="eastAsia"/>
              </w:rPr>
              <w:drawing>
                <wp:inline distT="0" distB="0" distL="114300" distR="114300">
                  <wp:extent cx="1753870" cy="2263140"/>
                  <wp:effectExtent l="0" t="0" r="13970" b="7620"/>
                  <wp:docPr id="14" name="图片 14" descr="水文站控制的边界(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水文站控制的边界(1)"/>
                          <pic:cNvPicPr>
                            <a:picLocks noChangeAspect="1"/>
                          </pic:cNvPicPr>
                        </pic:nvPicPr>
                        <pic:blipFill>
                          <a:blip r:embed="rId51"/>
                          <a:stretch>
                            <a:fillRect/>
                          </a:stretch>
                        </pic:blipFill>
                        <pic:spPr>
                          <a:xfrm>
                            <a:off x="0" y="0"/>
                            <a:ext cx="1753870" cy="2263140"/>
                          </a:xfrm>
                          <a:prstGeom prst="rect">
                            <a:avLst/>
                          </a:prstGeom>
                        </pic:spPr>
                      </pic:pic>
                    </a:graphicData>
                  </a:graphic>
                </wp:inline>
              </w:drawing>
            </w:r>
          </w:p>
        </w:tc>
        <w:tc>
          <w:tcPr>
            <w:tcW w:w="3711" w:type="dxa"/>
            <w:tcBorders>
              <w:tl2br w:val="nil"/>
              <w:tr2bl w:val="nil"/>
            </w:tcBorders>
            <w:vAlign w:val="center"/>
          </w:tcPr>
          <w:p w14:paraId="4B278DEC">
            <w:pPr>
              <w:pStyle w:val="8"/>
              <w:ind w:firstLine="420"/>
              <w:jc w:val="left"/>
            </w:pPr>
            <w:r>
              <w:rPr>
                <w:rFonts w:hint="eastAsia"/>
              </w:rPr>
              <w:drawing>
                <wp:inline distT="0" distB="0" distL="114300" distR="114300">
                  <wp:extent cx="1638935" cy="2223770"/>
                  <wp:effectExtent l="0" t="0" r="6985" b="1270"/>
                  <wp:docPr id="15" name="图片 15" descr="柬埔寨边界(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柬埔寨边界(1)"/>
                          <pic:cNvPicPr>
                            <a:picLocks noChangeAspect="1"/>
                          </pic:cNvPicPr>
                        </pic:nvPicPr>
                        <pic:blipFill>
                          <a:blip r:embed="rId52"/>
                          <a:stretch>
                            <a:fillRect/>
                          </a:stretch>
                        </pic:blipFill>
                        <pic:spPr>
                          <a:xfrm>
                            <a:off x="0" y="0"/>
                            <a:ext cx="1638935" cy="2223770"/>
                          </a:xfrm>
                          <a:prstGeom prst="rect">
                            <a:avLst/>
                          </a:prstGeom>
                        </pic:spPr>
                      </pic:pic>
                    </a:graphicData>
                  </a:graphic>
                </wp:inline>
              </w:drawing>
            </w:r>
          </w:p>
        </w:tc>
      </w:tr>
      <w:tr w14:paraId="76A2A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jc w:val="center"/>
        </w:trPr>
        <w:tc>
          <w:tcPr>
            <w:tcW w:w="5368" w:type="dxa"/>
            <w:tcBorders>
              <w:tl2br w:val="nil"/>
              <w:tr2bl w:val="nil"/>
            </w:tcBorders>
          </w:tcPr>
          <w:p w14:paraId="0A149ECE">
            <w:pPr>
              <w:pStyle w:val="8"/>
              <w:ind w:firstLine="360"/>
              <w:jc w:val="center"/>
            </w:pPr>
            <w:r>
              <w:rPr>
                <w:rFonts w:eastAsia="黑体" w:cs="Times New Roman"/>
                <w:sz w:val="18"/>
                <w:szCs w:val="18"/>
              </w:rPr>
              <w:t>(a)</w:t>
            </w:r>
            <w:r>
              <w:rPr>
                <w:rFonts w:hint="eastAsia" w:ascii="黑体" w:hAnsi="黑体" w:eastAsia="黑体" w:cs="黑体"/>
                <w:sz w:val="18"/>
                <w:szCs w:val="18"/>
              </w:rPr>
              <w:t xml:space="preserve">  磅湛水文站控制流域</w:t>
            </w:r>
            <w:r>
              <w:rPr>
                <w:rFonts w:hint="eastAsia" w:ascii="黑体" w:hAnsi="黑体" w:eastAsia="黑体" w:cs="黑体"/>
                <w:sz w:val="18"/>
                <w:szCs w:val="18"/>
              </w:rPr>
              <w:tab/>
            </w:r>
          </w:p>
        </w:tc>
        <w:tc>
          <w:tcPr>
            <w:tcW w:w="3711" w:type="dxa"/>
            <w:tcBorders>
              <w:tl2br w:val="nil"/>
              <w:tr2bl w:val="nil"/>
            </w:tcBorders>
          </w:tcPr>
          <w:p w14:paraId="541CF9A9">
            <w:pPr>
              <w:pStyle w:val="8"/>
              <w:ind w:firstLine="0" w:firstLineChars="0"/>
              <w:jc w:val="center"/>
            </w:pPr>
            <w:r>
              <w:rPr>
                <w:rFonts w:hint="eastAsia" w:eastAsia="黑体" w:cs="Times New Roman"/>
                <w:sz w:val="18"/>
                <w:szCs w:val="18"/>
              </w:rPr>
              <w:t>(b)</w:t>
            </w:r>
            <w:r>
              <w:rPr>
                <w:rFonts w:hint="eastAsia" w:ascii="黑体" w:hAnsi="黑体" w:eastAsia="黑体" w:cs="黑体"/>
                <w:sz w:val="18"/>
                <w:szCs w:val="18"/>
              </w:rPr>
              <w:t xml:space="preserve">  柬埔寨边界</w:t>
            </w:r>
          </w:p>
        </w:tc>
      </w:tr>
      <w:tr w14:paraId="1D353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368" w:type="dxa"/>
            <w:tcBorders>
              <w:tl2br w:val="nil"/>
              <w:tr2bl w:val="nil"/>
            </w:tcBorders>
          </w:tcPr>
          <w:p w14:paraId="588A05B8">
            <w:pPr>
              <w:pStyle w:val="8"/>
              <w:ind w:firstLine="0" w:firstLineChars="0"/>
              <w:rPr>
                <w:rFonts w:eastAsia="黑体" w:cs="Times New Roman"/>
                <w:sz w:val="18"/>
                <w:szCs w:val="18"/>
              </w:rPr>
            </w:pPr>
            <w:r>
              <w:rPr>
                <w:rFonts w:eastAsia="黑体" w:cs="Times New Roman"/>
                <w:sz w:val="18"/>
                <w:szCs w:val="18"/>
              </w:rPr>
              <w:t xml:space="preserve">(a) </w:t>
            </w:r>
            <w:r>
              <w:rPr>
                <w:rFonts w:hint="eastAsia" w:eastAsia="黑体" w:cs="Times New Roman"/>
                <w:sz w:val="18"/>
                <w:szCs w:val="18"/>
                <w:lang w:val="en-US" w:eastAsia="zh-CN"/>
              </w:rPr>
              <w:t>River basin</w:t>
            </w:r>
            <w:r>
              <w:rPr>
                <w:rFonts w:eastAsia="黑体" w:cs="Times New Roman"/>
                <w:sz w:val="18"/>
                <w:szCs w:val="18"/>
              </w:rPr>
              <w:t xml:space="preserve"> controlled by </w:t>
            </w:r>
            <w:r>
              <w:rPr>
                <w:rFonts w:hint="eastAsia" w:eastAsia="黑体"/>
                <w:sz w:val="18"/>
                <w:szCs w:val="18"/>
              </w:rPr>
              <w:t>K</w:t>
            </w:r>
            <w:r>
              <w:rPr>
                <w:rFonts w:hint="eastAsia" w:eastAsia="黑体"/>
                <w:sz w:val="18"/>
                <w:szCs w:val="18"/>
                <w:lang w:val="en-US" w:eastAsia="zh-CN"/>
              </w:rPr>
              <w:t>o</w:t>
            </w:r>
            <w:r>
              <w:rPr>
                <w:rFonts w:hint="eastAsia" w:eastAsia="黑体"/>
                <w:sz w:val="18"/>
                <w:szCs w:val="18"/>
              </w:rPr>
              <w:t>mpong Cham</w:t>
            </w:r>
            <w:r>
              <w:rPr>
                <w:rFonts w:eastAsia="黑体" w:cs="Times New Roman"/>
                <w:sz w:val="18"/>
                <w:szCs w:val="18"/>
              </w:rPr>
              <w:t xml:space="preserve"> hydrological station</w:t>
            </w:r>
          </w:p>
        </w:tc>
        <w:tc>
          <w:tcPr>
            <w:tcW w:w="3711" w:type="dxa"/>
            <w:tcBorders>
              <w:tl2br w:val="nil"/>
              <w:tr2bl w:val="nil"/>
            </w:tcBorders>
          </w:tcPr>
          <w:p w14:paraId="420A38E3">
            <w:pPr>
              <w:pStyle w:val="8"/>
              <w:ind w:firstLine="0" w:firstLineChars="0"/>
              <w:jc w:val="center"/>
              <w:rPr>
                <w:rFonts w:eastAsia="黑体" w:cs="Times New Roman"/>
                <w:sz w:val="18"/>
                <w:szCs w:val="18"/>
              </w:rPr>
            </w:pPr>
            <w:r>
              <w:rPr>
                <w:rFonts w:eastAsia="黑体" w:cs="Times New Roman"/>
                <w:sz w:val="18"/>
                <w:szCs w:val="18"/>
              </w:rPr>
              <w:t>(b)  Boundary of Cambodia</w:t>
            </w:r>
          </w:p>
        </w:tc>
      </w:tr>
    </w:tbl>
    <w:p w14:paraId="17FA11E9">
      <w:pPr>
        <w:pStyle w:val="8"/>
        <w:ind w:firstLine="0" w:firstLineChars="0"/>
        <w:jc w:val="center"/>
      </w:pPr>
      <w:r>
        <w:rPr>
          <w:rFonts w:hint="eastAsia"/>
        </w:rPr>
        <w:drawing>
          <wp:inline distT="0" distB="0" distL="114300" distR="114300">
            <wp:extent cx="3674110" cy="2387600"/>
            <wp:effectExtent l="0" t="0" r="13970" b="5080"/>
            <wp:docPr id="12" name="图片 12" descr="柬埔寨区域概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柬埔寨区域概况"/>
                    <pic:cNvPicPr>
                      <a:picLocks noChangeAspect="1"/>
                    </pic:cNvPicPr>
                  </pic:nvPicPr>
                  <pic:blipFill>
                    <a:blip r:embed="rId53"/>
                    <a:srcRect l="1830" t="1985" b="7836"/>
                    <a:stretch>
                      <a:fillRect/>
                    </a:stretch>
                  </pic:blipFill>
                  <pic:spPr>
                    <a:xfrm>
                      <a:off x="0" y="0"/>
                      <a:ext cx="3674110" cy="2387600"/>
                    </a:xfrm>
                    <a:prstGeom prst="rect">
                      <a:avLst/>
                    </a:prstGeom>
                  </pic:spPr>
                </pic:pic>
              </a:graphicData>
            </a:graphic>
          </wp:inline>
        </w:drawing>
      </w:r>
    </w:p>
    <w:p w14:paraId="2D6B794C">
      <w:pPr>
        <w:pStyle w:val="8"/>
        <w:ind w:firstLine="0" w:firstLineChars="0"/>
        <w:jc w:val="center"/>
        <w:rPr>
          <w:rFonts w:ascii="黑体" w:hAnsi="黑体" w:eastAsia="黑体" w:cs="黑体"/>
          <w:sz w:val="18"/>
          <w:szCs w:val="18"/>
        </w:rPr>
      </w:pPr>
      <w:r>
        <w:rPr>
          <w:rFonts w:hint="eastAsia"/>
        </w:rPr>
        <w:t xml:space="preserve">(c)  </w:t>
      </w:r>
      <w:r>
        <w:rPr>
          <w:rFonts w:hint="eastAsia" w:ascii="黑体" w:hAnsi="黑体" w:eastAsia="黑体" w:cs="黑体"/>
          <w:sz w:val="18"/>
          <w:szCs w:val="18"/>
        </w:rPr>
        <w:t>柬埔寨区域概况</w:t>
      </w:r>
    </w:p>
    <w:p w14:paraId="536F45EF">
      <w:pPr>
        <w:pStyle w:val="8"/>
        <w:ind w:firstLine="0" w:firstLineChars="0"/>
        <w:jc w:val="center"/>
        <w:rPr>
          <w:rFonts w:eastAsia="黑体" w:cs="Times New Roman"/>
          <w:sz w:val="18"/>
          <w:szCs w:val="18"/>
        </w:rPr>
      </w:pPr>
      <w:r>
        <w:rPr>
          <w:rFonts w:cs="Times New Roman"/>
        </w:rPr>
        <w:t xml:space="preserve">(c)  </w:t>
      </w:r>
      <w:r>
        <w:rPr>
          <w:rFonts w:eastAsia="黑体" w:cs="Times New Roman"/>
          <w:sz w:val="18"/>
          <w:szCs w:val="18"/>
        </w:rPr>
        <w:t>Regional overview of Cambodia</w:t>
      </w:r>
    </w:p>
    <w:p w14:paraId="47D4A967">
      <w:pPr>
        <w:pStyle w:val="7"/>
        <w:rPr>
          <w:rFonts w:ascii="宋体" w:hAnsi="宋体" w:cs="宋体"/>
        </w:rPr>
      </w:pPr>
      <w:bookmarkStart w:id="5" w:name="_Ref32175"/>
      <w:bookmarkStart w:id="6" w:name="_Ref32168"/>
      <w:r>
        <w:rPr>
          <w:rFonts w:hint="eastAsia" w:ascii="宋体" w:hAnsi="宋体" w:cs="宋体"/>
        </w:rPr>
        <w:t>图</w:t>
      </w:r>
      <w:r>
        <w:rPr>
          <w:rFonts w:cs="Times New Roman"/>
        </w:rPr>
        <w:t>4</w:t>
      </w:r>
      <w:bookmarkEnd w:id="5"/>
      <w:r>
        <w:rPr>
          <w:rFonts w:hint="eastAsia" w:ascii="宋体" w:hAnsi="宋体" w:cs="宋体"/>
        </w:rPr>
        <w:t xml:space="preserve">  研究区域概况</w:t>
      </w:r>
      <w:bookmarkEnd w:id="6"/>
    </w:p>
    <w:p w14:paraId="2313C11E">
      <w:pPr>
        <w:ind w:firstLine="0" w:firstLineChars="0"/>
        <w:jc w:val="center"/>
        <w:rPr>
          <w:rFonts w:eastAsia="黑体" w:cs="Times New Roman"/>
          <w:bCs/>
          <w:kern w:val="0"/>
          <w:szCs w:val="21"/>
        </w:rPr>
      </w:pPr>
      <w:r>
        <w:rPr>
          <w:rFonts w:hint="eastAsia" w:eastAsia="黑体" w:cs="Times New Roman"/>
          <w:bCs/>
          <w:kern w:val="0"/>
          <w:sz w:val="18"/>
          <w:szCs w:val="18"/>
        </w:rPr>
        <w:t>Fig.</w:t>
      </w:r>
      <w:r>
        <w:rPr>
          <w:rFonts w:hint="eastAsia" w:eastAsia="黑体" w:cs="Times New Roman"/>
          <w:bCs/>
          <w:kern w:val="0"/>
          <w:sz w:val="18"/>
          <w:szCs w:val="18"/>
          <w:lang w:val="en-US" w:eastAsia="zh-CN"/>
        </w:rPr>
        <w:t xml:space="preserve"> </w:t>
      </w:r>
      <w:r>
        <w:rPr>
          <w:rFonts w:hint="eastAsia" w:eastAsia="黑体" w:cs="Times New Roman"/>
          <w:bCs/>
          <w:kern w:val="0"/>
          <w:sz w:val="18"/>
          <w:szCs w:val="18"/>
        </w:rPr>
        <w:t xml:space="preserve">4 </w:t>
      </w:r>
      <w:r>
        <w:rPr>
          <w:rFonts w:eastAsia="黑体" w:cs="Times New Roman"/>
          <w:bCs/>
          <w:kern w:val="0"/>
          <w:sz w:val="18"/>
          <w:szCs w:val="18"/>
        </w:rPr>
        <w:t xml:space="preserve"> Overview of study area</w:t>
      </w:r>
    </w:p>
    <w:p w14:paraId="217D313B">
      <w:pPr>
        <w:ind w:firstLine="420"/>
      </w:pPr>
      <w:r>
        <w:t>本研究所需的数据涵盖了基础性地理和气象信息</w:t>
      </w:r>
      <w:r>
        <w:rPr>
          <w:rFonts w:hint="eastAsia"/>
        </w:rPr>
        <w:t>，</w:t>
      </w:r>
      <w:r>
        <w:t>包括</w:t>
      </w:r>
      <w:r>
        <w:rPr>
          <w:rFonts w:hint="eastAsia"/>
        </w:rPr>
        <w:t>了</w:t>
      </w:r>
      <w:r>
        <w:t>流域内气象站数据、水文站数据、地理矢量数据、数字高程模型DEM数据</w:t>
      </w:r>
      <w:r>
        <w:rPr>
          <w:rFonts w:hint="eastAsia"/>
        </w:rPr>
        <w:t>、土壤数据</w:t>
      </w:r>
      <w:r>
        <w:t>以及土地利用数据。</w:t>
      </w:r>
      <w:r>
        <w:rPr>
          <w:rFonts w:hint="eastAsia"/>
        </w:rPr>
        <w:t>其中基础性地理数据均来源于地理空间数据云平台，气象资料来自美国国家环境信息中心“全球每日摘要数据”</w:t>
      </w:r>
      <w:r>
        <w:rPr>
          <w:rFonts w:hint="eastAsia"/>
          <w:vertAlign w:val="superscript"/>
        </w:rPr>
        <w:t>[34]</w:t>
      </w:r>
      <w:r>
        <w:rPr>
          <w:rFonts w:hint="eastAsia"/>
        </w:rPr>
        <w:t>，具体情况如表</w:t>
      </w:r>
      <w:r>
        <w:t>2</w:t>
      </w:r>
      <w:r>
        <w:rPr>
          <w:rFonts w:hint="eastAsia"/>
        </w:rPr>
        <w:t>所列。</w:t>
      </w:r>
      <w:bookmarkStart w:id="7" w:name="_Ref847"/>
    </w:p>
    <w:p w14:paraId="18DFB526">
      <w:pPr>
        <w:pStyle w:val="7"/>
        <w:rPr>
          <w:bCs w:val="0"/>
        </w:rPr>
      </w:pPr>
      <w:r>
        <w:rPr>
          <w:rFonts w:hint="eastAsia"/>
          <w:bCs w:val="0"/>
        </w:rPr>
        <w:t>表2</w:t>
      </w:r>
      <w:bookmarkEnd w:id="7"/>
      <w:r>
        <w:rPr>
          <w:rFonts w:hint="eastAsia"/>
          <w:bCs w:val="0"/>
        </w:rPr>
        <w:t xml:space="preserve">  流域数据情况</w:t>
      </w:r>
    </w:p>
    <w:p w14:paraId="7228DD1A">
      <w:pPr>
        <w:pStyle w:val="7"/>
        <w:rPr>
          <w:bCs w:val="0"/>
        </w:rPr>
      </w:pPr>
      <w:r>
        <w:rPr>
          <w:rFonts w:hint="eastAsia"/>
          <w:bCs w:val="0"/>
        </w:rPr>
        <w:t>Tab</w:t>
      </w:r>
      <w:r>
        <w:rPr>
          <w:rFonts w:hint="eastAsia"/>
          <w:bCs w:val="0"/>
          <w:lang w:val="en-US" w:eastAsia="zh-CN"/>
        </w:rPr>
        <w:t xml:space="preserve">le </w:t>
      </w:r>
      <w:r>
        <w:rPr>
          <w:rFonts w:hint="eastAsia"/>
          <w:bCs w:val="0"/>
        </w:rPr>
        <w:t xml:space="preserve">2  </w:t>
      </w:r>
      <w:r>
        <w:rPr>
          <w:rFonts w:hint="eastAsia"/>
          <w:bCs w:val="0"/>
          <w:lang w:val="en-US" w:eastAsia="zh-CN"/>
        </w:rPr>
        <w:t>D</w:t>
      </w:r>
      <w:r>
        <w:rPr>
          <w:rFonts w:hint="eastAsia"/>
          <w:bCs w:val="0"/>
        </w:rPr>
        <w:t xml:space="preserve">ata inventory </w:t>
      </w:r>
      <w:r>
        <w:rPr>
          <w:rFonts w:hint="eastAsia"/>
          <w:bCs w:val="0"/>
          <w:lang w:val="en-US" w:eastAsia="zh-CN"/>
        </w:rPr>
        <w:t>of river basins</w:t>
      </w:r>
    </w:p>
    <w:tbl>
      <w:tblPr>
        <w:tblStyle w:val="13"/>
        <w:tblW w:w="3477" w:type="pct"/>
        <w:jc w:val="center"/>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99"/>
        <w:gridCol w:w="1076"/>
        <w:gridCol w:w="1626"/>
        <w:gridCol w:w="1528"/>
        <w:gridCol w:w="1624"/>
      </w:tblGrid>
      <w:tr w14:paraId="10998D91">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728" w:type="pct"/>
            <w:tcBorders>
              <w:top w:val="single" w:color="auto" w:sz="12" w:space="0"/>
              <w:bottom w:val="single" w:color="auto" w:sz="4" w:space="0"/>
            </w:tcBorders>
            <w:vAlign w:val="center"/>
          </w:tcPr>
          <w:p w14:paraId="24B722F7">
            <w:pPr>
              <w:ind w:firstLine="0" w:firstLineChars="0"/>
              <w:jc w:val="center"/>
              <w:rPr>
                <w:sz w:val="15"/>
                <w:szCs w:val="15"/>
              </w:rPr>
            </w:pPr>
            <w:r>
              <w:rPr>
                <w:rFonts w:hint="eastAsia"/>
                <w:sz w:val="15"/>
                <w:szCs w:val="15"/>
              </w:rPr>
              <w:t>流域</w:t>
            </w:r>
          </w:p>
        </w:tc>
        <w:tc>
          <w:tcPr>
            <w:tcW w:w="784" w:type="pct"/>
            <w:tcBorders>
              <w:top w:val="single" w:color="auto" w:sz="12" w:space="0"/>
              <w:bottom w:val="single" w:color="auto" w:sz="4" w:space="0"/>
            </w:tcBorders>
            <w:vAlign w:val="center"/>
          </w:tcPr>
          <w:p w14:paraId="20C51328">
            <w:pPr>
              <w:ind w:firstLine="0" w:firstLineChars="0"/>
              <w:jc w:val="center"/>
              <w:rPr>
                <w:sz w:val="15"/>
                <w:szCs w:val="15"/>
              </w:rPr>
            </w:pPr>
            <w:r>
              <w:rPr>
                <w:rFonts w:hint="eastAsia"/>
                <w:sz w:val="15"/>
                <w:szCs w:val="15"/>
              </w:rPr>
              <w:t>气象站</w:t>
            </w:r>
          </w:p>
        </w:tc>
        <w:tc>
          <w:tcPr>
            <w:tcW w:w="1186" w:type="pct"/>
            <w:tcBorders>
              <w:top w:val="single" w:color="auto" w:sz="12" w:space="0"/>
              <w:bottom w:val="single" w:color="auto" w:sz="4" w:space="0"/>
            </w:tcBorders>
            <w:vAlign w:val="center"/>
          </w:tcPr>
          <w:p w14:paraId="437CAC90">
            <w:pPr>
              <w:ind w:firstLine="0" w:firstLineChars="0"/>
              <w:jc w:val="center"/>
              <w:rPr>
                <w:sz w:val="15"/>
                <w:szCs w:val="15"/>
              </w:rPr>
            </w:pPr>
            <w:r>
              <w:rPr>
                <w:rFonts w:hint="eastAsia"/>
                <w:sz w:val="15"/>
                <w:szCs w:val="15"/>
              </w:rPr>
              <w:t>DEM分辨率</w:t>
            </w:r>
          </w:p>
        </w:tc>
        <w:tc>
          <w:tcPr>
            <w:tcW w:w="1115" w:type="pct"/>
            <w:tcBorders>
              <w:top w:val="single" w:color="auto" w:sz="12" w:space="0"/>
              <w:bottom w:val="single" w:color="auto" w:sz="4" w:space="0"/>
            </w:tcBorders>
            <w:vAlign w:val="center"/>
          </w:tcPr>
          <w:p w14:paraId="20F4F1A6">
            <w:pPr>
              <w:ind w:firstLine="0" w:firstLineChars="0"/>
              <w:jc w:val="center"/>
              <w:rPr>
                <w:sz w:val="15"/>
                <w:szCs w:val="15"/>
              </w:rPr>
            </w:pPr>
            <w:r>
              <w:rPr>
                <w:rFonts w:hint="eastAsia"/>
                <w:sz w:val="15"/>
                <w:szCs w:val="15"/>
              </w:rPr>
              <w:t>气象数据长度</w:t>
            </w:r>
          </w:p>
        </w:tc>
        <w:tc>
          <w:tcPr>
            <w:tcW w:w="1185" w:type="pct"/>
            <w:tcBorders>
              <w:top w:val="single" w:color="auto" w:sz="12" w:space="0"/>
              <w:bottom w:val="single" w:color="auto" w:sz="4" w:space="0"/>
            </w:tcBorders>
            <w:vAlign w:val="center"/>
          </w:tcPr>
          <w:p w14:paraId="6FE71EE8">
            <w:pPr>
              <w:ind w:firstLine="0" w:firstLineChars="0"/>
              <w:jc w:val="center"/>
              <w:rPr>
                <w:sz w:val="15"/>
                <w:szCs w:val="15"/>
              </w:rPr>
            </w:pPr>
            <w:r>
              <w:rPr>
                <w:rFonts w:hint="eastAsia"/>
                <w:sz w:val="15"/>
                <w:szCs w:val="15"/>
              </w:rPr>
              <w:t>水文站流量数据长度</w:t>
            </w:r>
          </w:p>
        </w:tc>
      </w:tr>
      <w:tr w14:paraId="3AE7B562">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 w:hRule="atLeast"/>
          <w:jc w:val="center"/>
        </w:trPr>
        <w:tc>
          <w:tcPr>
            <w:tcW w:w="728" w:type="pct"/>
            <w:tcBorders>
              <w:top w:val="single" w:color="auto" w:sz="4" w:space="0"/>
            </w:tcBorders>
            <w:vAlign w:val="center"/>
          </w:tcPr>
          <w:p w14:paraId="6DD89AB6">
            <w:pPr>
              <w:ind w:firstLine="0" w:firstLineChars="0"/>
              <w:jc w:val="center"/>
              <w:rPr>
                <w:sz w:val="15"/>
                <w:szCs w:val="15"/>
              </w:rPr>
            </w:pPr>
            <w:r>
              <w:rPr>
                <w:rFonts w:hint="eastAsia"/>
                <w:sz w:val="15"/>
                <w:szCs w:val="15"/>
              </w:rPr>
              <w:t>湄公河</w:t>
            </w:r>
          </w:p>
        </w:tc>
        <w:tc>
          <w:tcPr>
            <w:tcW w:w="784" w:type="pct"/>
            <w:tcBorders>
              <w:top w:val="single" w:color="auto" w:sz="4" w:space="0"/>
            </w:tcBorders>
            <w:vAlign w:val="center"/>
          </w:tcPr>
          <w:p w14:paraId="29B42A4F">
            <w:pPr>
              <w:ind w:firstLine="0" w:firstLineChars="0"/>
              <w:jc w:val="center"/>
              <w:rPr>
                <w:sz w:val="15"/>
                <w:szCs w:val="15"/>
              </w:rPr>
            </w:pPr>
            <w:r>
              <w:rPr>
                <w:sz w:val="15"/>
                <w:szCs w:val="15"/>
              </w:rPr>
              <w:t>64个</w:t>
            </w:r>
          </w:p>
        </w:tc>
        <w:tc>
          <w:tcPr>
            <w:tcW w:w="1186" w:type="pct"/>
            <w:tcBorders>
              <w:top w:val="single" w:color="auto" w:sz="4" w:space="0"/>
            </w:tcBorders>
            <w:vAlign w:val="center"/>
          </w:tcPr>
          <w:p w14:paraId="7FC7EBA4">
            <w:pPr>
              <w:ind w:firstLine="0" w:firstLineChars="0"/>
              <w:jc w:val="center"/>
              <w:rPr>
                <w:sz w:val="15"/>
                <w:szCs w:val="15"/>
              </w:rPr>
            </w:pPr>
            <w:r>
              <w:rPr>
                <w:rFonts w:hint="eastAsia"/>
                <w:sz w:val="15"/>
                <w:szCs w:val="15"/>
              </w:rPr>
              <w:t>3</w:t>
            </w:r>
            <w:r>
              <w:rPr>
                <w:sz w:val="15"/>
                <w:szCs w:val="15"/>
              </w:rPr>
              <w:t>0</w:t>
            </w:r>
            <w:r>
              <w:rPr>
                <w:rFonts w:hint="eastAsia"/>
                <w:sz w:val="15"/>
                <w:szCs w:val="15"/>
              </w:rPr>
              <w:t xml:space="preserve"> </w:t>
            </w:r>
            <w:r>
              <w:rPr>
                <w:sz w:val="15"/>
                <w:szCs w:val="15"/>
              </w:rPr>
              <w:t>m×</w:t>
            </w:r>
            <w:r>
              <w:rPr>
                <w:rFonts w:hint="eastAsia"/>
                <w:sz w:val="15"/>
                <w:szCs w:val="15"/>
              </w:rPr>
              <w:t>3</w:t>
            </w:r>
            <w:r>
              <w:rPr>
                <w:sz w:val="15"/>
                <w:szCs w:val="15"/>
              </w:rPr>
              <w:t>0</w:t>
            </w:r>
            <w:r>
              <w:rPr>
                <w:rFonts w:hint="eastAsia"/>
                <w:sz w:val="15"/>
                <w:szCs w:val="15"/>
              </w:rPr>
              <w:t xml:space="preserve"> </w:t>
            </w:r>
            <w:r>
              <w:rPr>
                <w:sz w:val="15"/>
                <w:szCs w:val="15"/>
              </w:rPr>
              <w:t>m</w:t>
            </w:r>
          </w:p>
        </w:tc>
        <w:tc>
          <w:tcPr>
            <w:tcW w:w="1115" w:type="pct"/>
            <w:tcBorders>
              <w:top w:val="single" w:color="auto" w:sz="4" w:space="0"/>
            </w:tcBorders>
            <w:vAlign w:val="center"/>
          </w:tcPr>
          <w:p w14:paraId="33A7F5B4">
            <w:pPr>
              <w:ind w:firstLine="0" w:firstLineChars="0"/>
              <w:jc w:val="center"/>
              <w:rPr>
                <w:sz w:val="15"/>
                <w:szCs w:val="15"/>
              </w:rPr>
            </w:pPr>
            <w:r>
              <w:rPr>
                <w:rFonts w:hint="eastAsia"/>
                <w:sz w:val="15"/>
                <w:szCs w:val="15"/>
              </w:rPr>
              <w:t>199801—200712</w:t>
            </w:r>
          </w:p>
        </w:tc>
        <w:tc>
          <w:tcPr>
            <w:tcW w:w="1185" w:type="pct"/>
            <w:tcBorders>
              <w:top w:val="single" w:color="auto" w:sz="4" w:space="0"/>
            </w:tcBorders>
            <w:vAlign w:val="center"/>
          </w:tcPr>
          <w:p w14:paraId="4D89CF6F">
            <w:pPr>
              <w:ind w:firstLine="0" w:firstLineChars="0"/>
              <w:jc w:val="center"/>
              <w:rPr>
                <w:sz w:val="15"/>
                <w:szCs w:val="15"/>
              </w:rPr>
            </w:pPr>
            <w:r>
              <w:rPr>
                <w:rFonts w:hint="eastAsia"/>
                <w:sz w:val="15"/>
                <w:szCs w:val="15"/>
              </w:rPr>
              <w:t>199801—200712</w:t>
            </w:r>
          </w:p>
        </w:tc>
      </w:tr>
      <w:tr w14:paraId="0B51903F">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jc w:val="center"/>
        </w:trPr>
        <w:tc>
          <w:tcPr>
            <w:tcW w:w="728" w:type="pct"/>
            <w:vAlign w:val="center"/>
          </w:tcPr>
          <w:p w14:paraId="66264532">
            <w:pPr>
              <w:ind w:firstLine="0" w:firstLineChars="0"/>
              <w:jc w:val="center"/>
              <w:rPr>
                <w:sz w:val="15"/>
                <w:szCs w:val="15"/>
              </w:rPr>
            </w:pPr>
            <w:r>
              <w:rPr>
                <w:rFonts w:hint="eastAsia"/>
                <w:sz w:val="15"/>
                <w:szCs w:val="15"/>
              </w:rPr>
              <w:t>达萨河</w:t>
            </w:r>
          </w:p>
        </w:tc>
        <w:tc>
          <w:tcPr>
            <w:tcW w:w="784" w:type="pct"/>
            <w:vAlign w:val="center"/>
          </w:tcPr>
          <w:p w14:paraId="65396BC6">
            <w:pPr>
              <w:ind w:firstLine="0" w:firstLineChars="0"/>
              <w:jc w:val="center"/>
              <w:rPr>
                <w:sz w:val="15"/>
                <w:szCs w:val="15"/>
              </w:rPr>
            </w:pPr>
            <w:r>
              <w:rPr>
                <w:rFonts w:hint="eastAsia"/>
                <w:sz w:val="15"/>
                <w:szCs w:val="15"/>
              </w:rPr>
              <w:t>9个</w:t>
            </w:r>
          </w:p>
        </w:tc>
        <w:tc>
          <w:tcPr>
            <w:tcW w:w="1186" w:type="pct"/>
            <w:vAlign w:val="center"/>
          </w:tcPr>
          <w:p w14:paraId="66E8783F">
            <w:pPr>
              <w:ind w:firstLine="0" w:firstLineChars="0"/>
              <w:jc w:val="center"/>
              <w:rPr>
                <w:sz w:val="15"/>
                <w:szCs w:val="15"/>
              </w:rPr>
            </w:pPr>
            <w:r>
              <w:rPr>
                <w:sz w:val="15"/>
                <w:szCs w:val="15"/>
              </w:rPr>
              <w:t>30</w:t>
            </w:r>
            <w:r>
              <w:rPr>
                <w:rFonts w:hint="eastAsia"/>
                <w:sz w:val="15"/>
                <w:szCs w:val="15"/>
              </w:rPr>
              <w:t xml:space="preserve"> </w:t>
            </w:r>
            <w:r>
              <w:rPr>
                <w:sz w:val="15"/>
                <w:szCs w:val="15"/>
              </w:rPr>
              <w:t>m×30</w:t>
            </w:r>
            <w:r>
              <w:rPr>
                <w:rFonts w:hint="eastAsia"/>
                <w:sz w:val="15"/>
                <w:szCs w:val="15"/>
              </w:rPr>
              <w:t xml:space="preserve"> </w:t>
            </w:r>
            <w:r>
              <w:rPr>
                <w:sz w:val="15"/>
                <w:szCs w:val="15"/>
              </w:rPr>
              <w:t>m</w:t>
            </w:r>
          </w:p>
        </w:tc>
        <w:tc>
          <w:tcPr>
            <w:tcW w:w="1115" w:type="pct"/>
            <w:vAlign w:val="center"/>
          </w:tcPr>
          <w:p w14:paraId="7F5A099C">
            <w:pPr>
              <w:ind w:firstLine="0" w:firstLineChars="0"/>
              <w:jc w:val="center"/>
              <w:rPr>
                <w:sz w:val="15"/>
                <w:szCs w:val="15"/>
              </w:rPr>
            </w:pPr>
            <w:r>
              <w:rPr>
                <w:rFonts w:hint="eastAsia"/>
                <w:sz w:val="15"/>
                <w:szCs w:val="15"/>
              </w:rPr>
              <w:t>202207—202402</w:t>
            </w:r>
          </w:p>
        </w:tc>
        <w:tc>
          <w:tcPr>
            <w:tcW w:w="1185" w:type="pct"/>
            <w:vAlign w:val="center"/>
          </w:tcPr>
          <w:p w14:paraId="3C2FA81F">
            <w:pPr>
              <w:ind w:firstLine="0" w:firstLineChars="0"/>
              <w:jc w:val="center"/>
              <w:rPr>
                <w:sz w:val="15"/>
                <w:szCs w:val="15"/>
              </w:rPr>
            </w:pPr>
            <w:r>
              <w:rPr>
                <w:rFonts w:hint="eastAsia"/>
                <w:sz w:val="15"/>
                <w:szCs w:val="15"/>
              </w:rPr>
              <w:t>202207—202402</w:t>
            </w:r>
          </w:p>
        </w:tc>
      </w:tr>
      <w:tr w14:paraId="14F3ECA2">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 w:hRule="atLeast"/>
          <w:jc w:val="center"/>
        </w:trPr>
        <w:tc>
          <w:tcPr>
            <w:tcW w:w="728" w:type="pct"/>
            <w:tcBorders>
              <w:bottom w:val="single" w:color="auto" w:sz="12" w:space="0"/>
            </w:tcBorders>
            <w:vAlign w:val="center"/>
          </w:tcPr>
          <w:p w14:paraId="53177257">
            <w:pPr>
              <w:ind w:firstLine="0" w:firstLineChars="0"/>
              <w:jc w:val="center"/>
              <w:rPr>
                <w:sz w:val="15"/>
                <w:szCs w:val="15"/>
              </w:rPr>
            </w:pPr>
            <w:r>
              <w:rPr>
                <w:rFonts w:hint="eastAsia"/>
                <w:sz w:val="15"/>
                <w:szCs w:val="15"/>
              </w:rPr>
              <w:t>斯伦河</w:t>
            </w:r>
          </w:p>
        </w:tc>
        <w:tc>
          <w:tcPr>
            <w:tcW w:w="784" w:type="pct"/>
            <w:tcBorders>
              <w:bottom w:val="single" w:color="auto" w:sz="12" w:space="0"/>
            </w:tcBorders>
            <w:vAlign w:val="center"/>
          </w:tcPr>
          <w:p w14:paraId="458A48F3">
            <w:pPr>
              <w:ind w:firstLine="0" w:firstLineChars="0"/>
              <w:jc w:val="center"/>
              <w:rPr>
                <w:sz w:val="15"/>
                <w:szCs w:val="15"/>
              </w:rPr>
            </w:pPr>
            <w:r>
              <w:rPr>
                <w:rFonts w:hint="eastAsia"/>
                <w:sz w:val="15"/>
                <w:szCs w:val="15"/>
              </w:rPr>
              <w:t>9个</w:t>
            </w:r>
          </w:p>
        </w:tc>
        <w:tc>
          <w:tcPr>
            <w:tcW w:w="1186" w:type="pct"/>
            <w:tcBorders>
              <w:bottom w:val="single" w:color="auto" w:sz="12" w:space="0"/>
            </w:tcBorders>
            <w:vAlign w:val="center"/>
          </w:tcPr>
          <w:p w14:paraId="651D67D8">
            <w:pPr>
              <w:ind w:firstLine="0" w:firstLineChars="0"/>
              <w:jc w:val="center"/>
              <w:rPr>
                <w:sz w:val="15"/>
                <w:szCs w:val="15"/>
              </w:rPr>
            </w:pPr>
            <w:r>
              <w:rPr>
                <w:sz w:val="15"/>
                <w:szCs w:val="15"/>
              </w:rPr>
              <w:t>30</w:t>
            </w:r>
            <w:r>
              <w:rPr>
                <w:rFonts w:hint="eastAsia"/>
                <w:sz w:val="15"/>
                <w:szCs w:val="15"/>
              </w:rPr>
              <w:t xml:space="preserve"> </w:t>
            </w:r>
            <w:r>
              <w:rPr>
                <w:sz w:val="15"/>
                <w:szCs w:val="15"/>
              </w:rPr>
              <w:t>m×30</w:t>
            </w:r>
            <w:r>
              <w:rPr>
                <w:rFonts w:hint="eastAsia"/>
                <w:sz w:val="15"/>
                <w:szCs w:val="15"/>
              </w:rPr>
              <w:t xml:space="preserve"> </w:t>
            </w:r>
            <w:r>
              <w:rPr>
                <w:sz w:val="15"/>
                <w:szCs w:val="15"/>
              </w:rPr>
              <w:t>m</w:t>
            </w:r>
          </w:p>
        </w:tc>
        <w:tc>
          <w:tcPr>
            <w:tcW w:w="1115" w:type="pct"/>
            <w:tcBorders>
              <w:bottom w:val="single" w:color="auto" w:sz="12" w:space="0"/>
            </w:tcBorders>
            <w:vAlign w:val="center"/>
          </w:tcPr>
          <w:p w14:paraId="3425B3F1">
            <w:pPr>
              <w:ind w:firstLine="0" w:firstLineChars="0"/>
              <w:jc w:val="center"/>
              <w:rPr>
                <w:sz w:val="15"/>
                <w:szCs w:val="15"/>
              </w:rPr>
            </w:pPr>
            <w:r>
              <w:rPr>
                <w:rFonts w:hint="eastAsia"/>
                <w:sz w:val="15"/>
                <w:szCs w:val="15"/>
              </w:rPr>
              <w:t>202207—202402</w:t>
            </w:r>
          </w:p>
        </w:tc>
        <w:tc>
          <w:tcPr>
            <w:tcW w:w="1185" w:type="pct"/>
            <w:tcBorders>
              <w:bottom w:val="single" w:color="auto" w:sz="12" w:space="0"/>
            </w:tcBorders>
            <w:vAlign w:val="center"/>
          </w:tcPr>
          <w:p w14:paraId="257502AA">
            <w:pPr>
              <w:ind w:firstLine="0" w:firstLineChars="0"/>
              <w:jc w:val="center"/>
              <w:rPr>
                <w:sz w:val="15"/>
                <w:szCs w:val="15"/>
              </w:rPr>
            </w:pPr>
            <w:r>
              <w:rPr>
                <w:rFonts w:hint="eastAsia"/>
                <w:sz w:val="15"/>
                <w:szCs w:val="15"/>
              </w:rPr>
              <w:t>202207—202402</w:t>
            </w:r>
          </w:p>
        </w:tc>
      </w:tr>
    </w:tbl>
    <w:p w14:paraId="6A26B181">
      <w:pPr>
        <w:pStyle w:val="8"/>
        <w:ind w:firstLine="420"/>
      </w:pPr>
      <w:r>
        <w:rPr>
          <w:rFonts w:hint="eastAsia"/>
        </w:rPr>
        <w:t>湄公河流域、达萨河流域、斯伦河流域的土地利用类型如图</w:t>
      </w:r>
      <w:r>
        <w:t>5</w:t>
      </w:r>
      <w:r>
        <w:rPr>
          <w:rFonts w:hint="eastAsia"/>
        </w:rPr>
        <w:t>所示，各流域土地利用数据的获取时段与实测水文资料保持时序上的严格一致，并统一采用中国LUCC分类体系进行地类划分，为参数移植提供了统一的物理基础。</w:t>
      </w:r>
    </w:p>
    <w:p w14:paraId="3843F153">
      <w:pPr>
        <w:pStyle w:val="7"/>
        <w:rPr>
          <w:bCs w:val="0"/>
        </w:rPr>
      </w:pPr>
      <w:r>
        <w:rPr>
          <w:rFonts w:ascii="宋体" w:hAnsi="宋体" w:eastAsia="宋体" w:cs="宋体"/>
          <w:sz w:val="24"/>
          <w:szCs w:val="24"/>
        </w:rPr>
        <w:drawing>
          <wp:inline distT="0" distB="0" distL="114300" distR="114300">
            <wp:extent cx="3667760" cy="2245360"/>
            <wp:effectExtent l="0" t="0" r="8890" b="2540"/>
            <wp:docPr id="5" name="图片 2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2" descr="IMG_256"/>
                    <pic:cNvPicPr>
                      <a:picLocks noChangeAspect="1"/>
                    </pic:cNvPicPr>
                  </pic:nvPicPr>
                  <pic:blipFill>
                    <a:blip r:embed="rId54"/>
                    <a:stretch>
                      <a:fillRect/>
                    </a:stretch>
                  </pic:blipFill>
                  <pic:spPr>
                    <a:xfrm>
                      <a:off x="0" y="0"/>
                      <a:ext cx="3667760" cy="2245360"/>
                    </a:xfrm>
                    <a:prstGeom prst="rect">
                      <a:avLst/>
                    </a:prstGeom>
                    <a:noFill/>
                    <a:ln w="9525">
                      <a:noFill/>
                    </a:ln>
                  </pic:spPr>
                </pic:pic>
              </a:graphicData>
            </a:graphic>
          </wp:inline>
        </w:drawing>
      </w:r>
    </w:p>
    <w:p w14:paraId="5C37682A">
      <w:pPr>
        <w:pStyle w:val="7"/>
        <w:rPr>
          <w:bCs w:val="0"/>
        </w:rPr>
      </w:pPr>
      <w:bookmarkStart w:id="8" w:name="_Ref3550"/>
      <w:r>
        <w:rPr>
          <w:rFonts w:hint="eastAsia"/>
          <w:bCs w:val="0"/>
        </w:rPr>
        <w:t>图</w:t>
      </w:r>
      <w:r>
        <w:rPr>
          <w:bCs w:val="0"/>
        </w:rPr>
        <w:t>5</w:t>
      </w:r>
      <w:bookmarkEnd w:id="8"/>
      <w:r>
        <w:rPr>
          <w:rFonts w:hint="eastAsia"/>
          <w:bCs w:val="0"/>
        </w:rPr>
        <w:t xml:space="preserve">  流域的土地利用类型</w:t>
      </w:r>
    </w:p>
    <w:p w14:paraId="34749416">
      <w:pPr>
        <w:pStyle w:val="7"/>
        <w:rPr>
          <w:rFonts w:hint="default" w:eastAsia="黑体"/>
          <w:bCs w:val="0"/>
          <w:lang w:val="en-US" w:eastAsia="zh-CN"/>
        </w:rPr>
      </w:pPr>
      <w:r>
        <w:rPr>
          <w:rFonts w:hint="eastAsia"/>
          <w:bCs w:val="0"/>
        </w:rPr>
        <w:t>Fig.</w:t>
      </w:r>
      <w:r>
        <w:rPr>
          <w:rFonts w:hint="eastAsia"/>
          <w:bCs w:val="0"/>
          <w:lang w:val="en-US" w:eastAsia="zh-CN"/>
        </w:rPr>
        <w:t xml:space="preserve"> </w:t>
      </w:r>
      <w:r>
        <w:rPr>
          <w:rFonts w:hint="eastAsia"/>
          <w:bCs w:val="0"/>
        </w:rPr>
        <w:t xml:space="preserve">5  Land use types of </w:t>
      </w:r>
      <w:r>
        <w:rPr>
          <w:rFonts w:hint="eastAsia"/>
          <w:bCs w:val="0"/>
          <w:lang w:val="en-US" w:eastAsia="zh-CN"/>
        </w:rPr>
        <w:t>river basins</w:t>
      </w:r>
    </w:p>
    <w:p w14:paraId="7EED693C">
      <w:pPr>
        <w:pStyle w:val="8"/>
        <w:ind w:firstLine="420"/>
      </w:pPr>
      <w:r>
        <w:rPr>
          <w:rFonts w:hint="eastAsia"/>
        </w:rPr>
        <w:t>针对湄公河流域下垫面复杂、土地利用类型多样的特点，本研究按地类开展分区参数率定，并集成代表性参数集。在参数迁移中，基于目标流域土地利用结构进行参数定向移植，再结合局部下垫面特征开展有限校正，即可在新流域实现水文过程与径流动态的高精度模拟，在保证物理一致性的同时显著提升迁移效率。</w:t>
      </w:r>
    </w:p>
    <w:p w14:paraId="79042744">
      <w:pPr>
        <w:pStyle w:val="3"/>
        <w:numPr>
          <w:ilvl w:val="0"/>
          <w:numId w:val="0"/>
        </w:numPr>
      </w:pPr>
      <w:r>
        <w:t xml:space="preserve">2.2 </w:t>
      </w:r>
      <w:r>
        <w:rPr>
          <w:rFonts w:hint="eastAsia"/>
        </w:rPr>
        <w:t>模型验证</w:t>
      </w:r>
    </w:p>
    <w:p w14:paraId="0F0C4496">
      <w:pPr>
        <w:ind w:firstLine="420"/>
      </w:pPr>
      <w:r>
        <w:rPr>
          <w:rFonts w:hint="eastAsia"/>
        </w:rPr>
        <w:t>本研究构建湄公河流域栅格型分布式水文模型，以干流磅湛站日均流量数据作为参数率定依据，其中1998—2004年为率定期，2005—2007年为检验期。湄公河流域模型参数依据土地利用类型进行组织与管理，并存储于结构化的查找表中。其中有林地这一土地利用类型所对应的具体参数组如表4所列。</w:t>
      </w:r>
    </w:p>
    <w:p w14:paraId="22E6E4DB">
      <w:pPr>
        <w:pStyle w:val="7"/>
        <w:rPr>
          <w:bCs w:val="0"/>
        </w:rPr>
      </w:pPr>
      <w:bookmarkStart w:id="9" w:name="_Ref3625"/>
      <w:r>
        <w:rPr>
          <w:rFonts w:hint="eastAsia"/>
          <w:bCs w:val="0"/>
        </w:rPr>
        <w:t>表4</w:t>
      </w:r>
      <w:bookmarkEnd w:id="9"/>
      <w:r>
        <w:rPr>
          <w:rFonts w:hint="eastAsia"/>
          <w:bCs w:val="0"/>
        </w:rPr>
        <w:t xml:space="preserve">  有林地参数集</w:t>
      </w:r>
    </w:p>
    <w:p w14:paraId="03FEFF3B">
      <w:pPr>
        <w:pStyle w:val="7"/>
        <w:rPr>
          <w:bCs w:val="0"/>
        </w:rPr>
      </w:pPr>
      <w:r>
        <w:rPr>
          <w:rFonts w:hint="eastAsia"/>
          <w:bCs w:val="0"/>
        </w:rPr>
        <w:t>Tab</w:t>
      </w:r>
      <w:r>
        <w:rPr>
          <w:rFonts w:hint="eastAsia"/>
          <w:bCs w:val="0"/>
          <w:lang w:val="en-US" w:eastAsia="zh-CN"/>
        </w:rPr>
        <w:t xml:space="preserve">le </w:t>
      </w:r>
      <w:r>
        <w:rPr>
          <w:rFonts w:hint="eastAsia"/>
          <w:bCs w:val="0"/>
        </w:rPr>
        <w:t>4  Parameter set for forested land</w:t>
      </w:r>
    </w:p>
    <w:tbl>
      <w:tblPr>
        <w:tblStyle w:val="13"/>
        <w:tblW w:w="6038" w:type="dxa"/>
        <w:jc w:val="center"/>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32" w:type="dxa"/>
          <w:left w:w="64" w:type="dxa"/>
          <w:bottom w:w="32" w:type="dxa"/>
          <w:right w:w="64" w:type="dxa"/>
        </w:tblCellMar>
      </w:tblPr>
      <w:tblGrid>
        <w:gridCol w:w="851"/>
        <w:gridCol w:w="1981"/>
        <w:gridCol w:w="761"/>
        <w:gridCol w:w="963"/>
        <w:gridCol w:w="733"/>
        <w:gridCol w:w="749"/>
      </w:tblGrid>
      <w:tr w14:paraId="2DE1E410">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90" w:hRule="atLeast"/>
          <w:tblHeader/>
          <w:jc w:val="center"/>
        </w:trPr>
        <w:tc>
          <w:tcPr>
            <w:tcW w:w="851" w:type="dxa"/>
            <w:tcBorders>
              <w:top w:val="single" w:color="auto" w:sz="12" w:space="0"/>
              <w:bottom w:val="single" w:color="auto" w:sz="4" w:space="0"/>
            </w:tcBorders>
            <w:vAlign w:val="center"/>
          </w:tcPr>
          <w:p w14:paraId="689235B3">
            <w:pPr>
              <w:snapToGrid w:val="0"/>
              <w:ind w:firstLine="0" w:firstLineChars="0"/>
              <w:jc w:val="center"/>
              <w:rPr>
                <w:bCs/>
                <w:sz w:val="15"/>
                <w:szCs w:val="15"/>
              </w:rPr>
            </w:pPr>
            <w:r>
              <w:rPr>
                <w:rFonts w:hint="eastAsia"/>
                <w:bCs/>
                <w:sz w:val="15"/>
                <w:szCs w:val="15"/>
              </w:rPr>
              <w:t>参数名称</w:t>
            </w:r>
          </w:p>
        </w:tc>
        <w:tc>
          <w:tcPr>
            <w:tcW w:w="1981" w:type="dxa"/>
            <w:tcBorders>
              <w:top w:val="single" w:color="auto" w:sz="12" w:space="0"/>
              <w:bottom w:val="single" w:color="auto" w:sz="4" w:space="0"/>
            </w:tcBorders>
            <w:vAlign w:val="center"/>
          </w:tcPr>
          <w:p w14:paraId="4C2307DE">
            <w:pPr>
              <w:snapToGrid w:val="0"/>
              <w:ind w:firstLine="0" w:firstLineChars="0"/>
              <w:jc w:val="center"/>
              <w:rPr>
                <w:bCs/>
                <w:sz w:val="15"/>
                <w:szCs w:val="15"/>
              </w:rPr>
            </w:pPr>
            <w:r>
              <w:rPr>
                <w:rFonts w:hint="eastAsia"/>
                <w:bCs/>
                <w:sz w:val="15"/>
                <w:szCs w:val="15"/>
              </w:rPr>
              <w:t>参数含义</w:t>
            </w:r>
          </w:p>
        </w:tc>
        <w:tc>
          <w:tcPr>
            <w:tcW w:w="761" w:type="dxa"/>
            <w:tcBorders>
              <w:top w:val="single" w:color="auto" w:sz="12" w:space="0"/>
              <w:bottom w:val="single" w:color="auto" w:sz="4" w:space="0"/>
            </w:tcBorders>
            <w:vAlign w:val="center"/>
          </w:tcPr>
          <w:p w14:paraId="76F1A271">
            <w:pPr>
              <w:snapToGrid w:val="0"/>
              <w:ind w:firstLine="0" w:firstLineChars="0"/>
              <w:jc w:val="center"/>
              <w:rPr>
                <w:bCs/>
                <w:sz w:val="15"/>
                <w:szCs w:val="15"/>
              </w:rPr>
            </w:pPr>
            <w:r>
              <w:rPr>
                <w:rFonts w:hint="eastAsia"/>
                <w:bCs/>
                <w:sz w:val="15"/>
                <w:szCs w:val="15"/>
              </w:rPr>
              <w:t>单位</w:t>
            </w:r>
          </w:p>
        </w:tc>
        <w:tc>
          <w:tcPr>
            <w:tcW w:w="963" w:type="dxa"/>
            <w:tcBorders>
              <w:top w:val="single" w:color="auto" w:sz="12" w:space="0"/>
              <w:bottom w:val="single" w:color="auto" w:sz="4" w:space="0"/>
            </w:tcBorders>
            <w:shd w:val="clear" w:color="auto" w:fill="auto"/>
            <w:vAlign w:val="center"/>
          </w:tcPr>
          <w:p w14:paraId="2EF1BE3D">
            <w:pPr>
              <w:snapToGrid w:val="0"/>
              <w:ind w:firstLine="0" w:firstLineChars="0"/>
              <w:jc w:val="center"/>
              <w:rPr>
                <w:bCs/>
                <w:sz w:val="15"/>
                <w:szCs w:val="15"/>
              </w:rPr>
            </w:pPr>
            <w:r>
              <w:rPr>
                <w:rFonts w:hint="eastAsia"/>
                <w:bCs/>
                <w:sz w:val="15"/>
                <w:szCs w:val="15"/>
              </w:rPr>
              <w:t>取值范围</w:t>
            </w:r>
          </w:p>
        </w:tc>
        <w:tc>
          <w:tcPr>
            <w:tcW w:w="733" w:type="dxa"/>
            <w:tcBorders>
              <w:top w:val="single" w:color="auto" w:sz="12" w:space="0"/>
              <w:bottom w:val="single" w:color="auto" w:sz="4" w:space="0"/>
            </w:tcBorders>
            <w:shd w:val="clear" w:color="auto" w:fill="auto"/>
            <w:vAlign w:val="center"/>
          </w:tcPr>
          <w:p w14:paraId="0B1C074D">
            <w:pPr>
              <w:snapToGrid w:val="0"/>
              <w:ind w:firstLine="0" w:firstLineChars="0"/>
              <w:jc w:val="center"/>
              <w:rPr>
                <w:bCs/>
                <w:sz w:val="15"/>
                <w:szCs w:val="15"/>
              </w:rPr>
            </w:pPr>
            <w:r>
              <w:rPr>
                <w:rFonts w:hint="eastAsia"/>
                <w:bCs/>
                <w:sz w:val="15"/>
                <w:szCs w:val="15"/>
              </w:rPr>
              <w:t>初始值</w:t>
            </w:r>
          </w:p>
        </w:tc>
        <w:tc>
          <w:tcPr>
            <w:tcW w:w="749" w:type="dxa"/>
            <w:tcBorders>
              <w:top w:val="single" w:color="auto" w:sz="12" w:space="0"/>
              <w:bottom w:val="single" w:color="auto" w:sz="4" w:space="0"/>
            </w:tcBorders>
            <w:vAlign w:val="center"/>
          </w:tcPr>
          <w:p w14:paraId="4D50BFFB">
            <w:pPr>
              <w:snapToGrid w:val="0"/>
              <w:ind w:firstLine="0" w:firstLineChars="0"/>
              <w:jc w:val="center"/>
              <w:rPr>
                <w:bCs/>
                <w:sz w:val="15"/>
                <w:szCs w:val="15"/>
              </w:rPr>
            </w:pPr>
            <w:r>
              <w:rPr>
                <w:rFonts w:hint="eastAsia"/>
                <w:bCs/>
                <w:sz w:val="15"/>
                <w:szCs w:val="15"/>
              </w:rPr>
              <w:t>率定值</w:t>
            </w:r>
          </w:p>
        </w:tc>
      </w:tr>
      <w:tr w14:paraId="12F36D99">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94" w:hRule="atLeast"/>
          <w:jc w:val="center"/>
        </w:trPr>
        <w:tc>
          <w:tcPr>
            <w:tcW w:w="851" w:type="dxa"/>
            <w:tcBorders>
              <w:top w:val="single" w:color="auto" w:sz="4" w:space="0"/>
              <w:tl2br w:val="nil"/>
              <w:tr2bl w:val="nil"/>
            </w:tcBorders>
            <w:vAlign w:val="center"/>
          </w:tcPr>
          <w:p w14:paraId="4DF71885">
            <w:pPr>
              <w:snapToGrid w:val="0"/>
              <w:ind w:firstLine="0" w:firstLineChars="0"/>
              <w:jc w:val="center"/>
              <w:rPr>
                <w:i/>
                <w:iCs/>
                <w:sz w:val="15"/>
                <w:szCs w:val="15"/>
              </w:rPr>
            </w:pPr>
            <w:r>
              <w:rPr>
                <w:rFonts w:hint="eastAsia"/>
                <w:i/>
                <w:iCs/>
                <w:sz w:val="15"/>
                <w:szCs w:val="15"/>
              </w:rPr>
              <w:t>WM</w:t>
            </w:r>
          </w:p>
        </w:tc>
        <w:tc>
          <w:tcPr>
            <w:tcW w:w="1981" w:type="dxa"/>
            <w:tcBorders>
              <w:top w:val="single" w:color="auto" w:sz="4" w:space="0"/>
              <w:tl2br w:val="nil"/>
              <w:tr2bl w:val="nil"/>
            </w:tcBorders>
            <w:vAlign w:val="center"/>
          </w:tcPr>
          <w:p w14:paraId="1B7496F0">
            <w:pPr>
              <w:snapToGrid w:val="0"/>
              <w:ind w:firstLine="0" w:firstLineChars="0"/>
              <w:jc w:val="center"/>
              <w:rPr>
                <w:sz w:val="15"/>
                <w:szCs w:val="15"/>
              </w:rPr>
            </w:pPr>
            <w:r>
              <w:rPr>
                <w:rFonts w:hint="eastAsia"/>
                <w:sz w:val="15"/>
                <w:szCs w:val="15"/>
              </w:rPr>
              <w:t>最大蓄水容量</w:t>
            </w:r>
          </w:p>
        </w:tc>
        <w:tc>
          <w:tcPr>
            <w:tcW w:w="761" w:type="dxa"/>
            <w:tcBorders>
              <w:top w:val="single" w:color="auto" w:sz="4" w:space="0"/>
              <w:tl2br w:val="nil"/>
              <w:tr2bl w:val="nil"/>
            </w:tcBorders>
            <w:vAlign w:val="center"/>
          </w:tcPr>
          <w:p w14:paraId="62CF28E3">
            <w:pPr>
              <w:snapToGrid w:val="0"/>
              <w:ind w:firstLine="0" w:firstLineChars="0"/>
              <w:jc w:val="center"/>
              <w:rPr>
                <w:sz w:val="15"/>
                <w:szCs w:val="15"/>
              </w:rPr>
            </w:pPr>
            <w:r>
              <w:rPr>
                <w:rFonts w:cs="Times New Roman"/>
                <w:sz w:val="15"/>
                <w:szCs w:val="15"/>
              </w:rPr>
              <w:t>mm</w:t>
            </w:r>
          </w:p>
        </w:tc>
        <w:tc>
          <w:tcPr>
            <w:tcW w:w="963" w:type="dxa"/>
            <w:tcBorders>
              <w:top w:val="single" w:color="auto" w:sz="4" w:space="0"/>
              <w:tl2br w:val="nil"/>
              <w:tr2bl w:val="nil"/>
            </w:tcBorders>
            <w:vAlign w:val="center"/>
          </w:tcPr>
          <w:p w14:paraId="4060730B">
            <w:pPr>
              <w:snapToGrid w:val="0"/>
              <w:ind w:firstLine="0" w:firstLineChars="0"/>
              <w:jc w:val="center"/>
              <w:rPr>
                <w:sz w:val="15"/>
                <w:szCs w:val="15"/>
              </w:rPr>
            </w:pPr>
            <w:r>
              <w:rPr>
                <w:rFonts w:hint="eastAsia"/>
                <w:sz w:val="15"/>
                <w:szCs w:val="15"/>
              </w:rPr>
              <w:t>50</w:t>
            </w:r>
            <w:r>
              <w:rPr>
                <w:rFonts w:hint="eastAsia" w:ascii="华文仿宋" w:hAnsi="华文仿宋" w:eastAsia="华文仿宋" w:cs="华文仿宋"/>
                <w:sz w:val="15"/>
                <w:szCs w:val="15"/>
              </w:rPr>
              <w:t>~</w:t>
            </w:r>
            <w:r>
              <w:rPr>
                <w:rFonts w:hint="eastAsia"/>
                <w:sz w:val="15"/>
                <w:szCs w:val="15"/>
              </w:rPr>
              <w:t>300</w:t>
            </w:r>
          </w:p>
        </w:tc>
        <w:tc>
          <w:tcPr>
            <w:tcW w:w="733" w:type="dxa"/>
            <w:tcBorders>
              <w:top w:val="single" w:color="auto" w:sz="4" w:space="0"/>
              <w:tl2br w:val="nil"/>
              <w:tr2bl w:val="nil"/>
            </w:tcBorders>
            <w:vAlign w:val="center"/>
          </w:tcPr>
          <w:p w14:paraId="4F2A3A06">
            <w:pPr>
              <w:snapToGrid w:val="0"/>
              <w:ind w:firstLine="0" w:firstLineChars="0"/>
              <w:jc w:val="center"/>
              <w:rPr>
                <w:sz w:val="15"/>
                <w:szCs w:val="15"/>
              </w:rPr>
            </w:pPr>
            <w:r>
              <w:rPr>
                <w:rFonts w:hint="eastAsia"/>
                <w:sz w:val="15"/>
                <w:szCs w:val="15"/>
              </w:rPr>
              <w:t>65</w:t>
            </w:r>
          </w:p>
        </w:tc>
        <w:tc>
          <w:tcPr>
            <w:tcW w:w="749" w:type="dxa"/>
            <w:tcBorders>
              <w:top w:val="single" w:color="auto" w:sz="4" w:space="0"/>
              <w:tl2br w:val="nil"/>
              <w:tr2bl w:val="nil"/>
            </w:tcBorders>
            <w:shd w:val="clear" w:color="auto" w:fill="auto"/>
            <w:vAlign w:val="center"/>
          </w:tcPr>
          <w:p w14:paraId="2200C788">
            <w:pPr>
              <w:snapToGrid w:val="0"/>
              <w:ind w:firstLine="0" w:firstLineChars="0"/>
              <w:jc w:val="center"/>
              <w:rPr>
                <w:sz w:val="15"/>
                <w:szCs w:val="15"/>
              </w:rPr>
            </w:pPr>
            <w:r>
              <w:rPr>
                <w:rFonts w:hint="eastAsia"/>
                <w:sz w:val="15"/>
                <w:szCs w:val="15"/>
              </w:rPr>
              <w:t>65</w:t>
            </w:r>
          </w:p>
        </w:tc>
      </w:tr>
      <w:tr w14:paraId="4DB265DF">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90" w:hRule="atLeast"/>
          <w:jc w:val="center"/>
        </w:trPr>
        <w:tc>
          <w:tcPr>
            <w:tcW w:w="851" w:type="dxa"/>
            <w:tcBorders>
              <w:tl2br w:val="nil"/>
              <w:tr2bl w:val="nil"/>
            </w:tcBorders>
            <w:vAlign w:val="center"/>
          </w:tcPr>
          <w:p w14:paraId="1FC03B1C">
            <w:pPr>
              <w:snapToGrid w:val="0"/>
              <w:ind w:firstLine="0" w:firstLineChars="0"/>
              <w:jc w:val="center"/>
              <w:rPr>
                <w:i/>
                <w:iCs/>
                <w:sz w:val="15"/>
                <w:szCs w:val="15"/>
              </w:rPr>
            </w:pPr>
            <w:r>
              <w:rPr>
                <w:rFonts w:hint="eastAsia"/>
                <w:i/>
                <w:iCs/>
                <w:sz w:val="15"/>
                <w:szCs w:val="15"/>
              </w:rPr>
              <w:t>UM</w:t>
            </w:r>
          </w:p>
        </w:tc>
        <w:tc>
          <w:tcPr>
            <w:tcW w:w="1981" w:type="dxa"/>
            <w:tcBorders>
              <w:tl2br w:val="nil"/>
              <w:tr2bl w:val="nil"/>
            </w:tcBorders>
            <w:vAlign w:val="center"/>
          </w:tcPr>
          <w:p w14:paraId="2CA86150">
            <w:pPr>
              <w:snapToGrid w:val="0"/>
              <w:ind w:firstLine="0" w:firstLineChars="0"/>
              <w:jc w:val="center"/>
              <w:rPr>
                <w:sz w:val="15"/>
                <w:szCs w:val="15"/>
              </w:rPr>
            </w:pPr>
            <w:r>
              <w:rPr>
                <w:sz w:val="15"/>
                <w:szCs w:val="15"/>
              </w:rPr>
              <w:t>上层蓄水容量</w:t>
            </w:r>
          </w:p>
        </w:tc>
        <w:tc>
          <w:tcPr>
            <w:tcW w:w="761" w:type="dxa"/>
            <w:tcBorders>
              <w:tl2br w:val="nil"/>
              <w:tr2bl w:val="nil"/>
            </w:tcBorders>
            <w:vAlign w:val="center"/>
          </w:tcPr>
          <w:p w14:paraId="52AA001F">
            <w:pPr>
              <w:snapToGrid w:val="0"/>
              <w:ind w:firstLine="0" w:firstLineChars="0"/>
              <w:jc w:val="center"/>
              <w:rPr>
                <w:sz w:val="15"/>
                <w:szCs w:val="15"/>
              </w:rPr>
            </w:pPr>
            <w:r>
              <w:rPr>
                <w:rFonts w:cs="Times New Roman"/>
                <w:sz w:val="15"/>
                <w:szCs w:val="15"/>
              </w:rPr>
              <w:t>mm</w:t>
            </w:r>
          </w:p>
        </w:tc>
        <w:tc>
          <w:tcPr>
            <w:tcW w:w="963" w:type="dxa"/>
            <w:tcBorders>
              <w:tl2br w:val="nil"/>
              <w:tr2bl w:val="nil"/>
            </w:tcBorders>
            <w:vAlign w:val="center"/>
          </w:tcPr>
          <w:p w14:paraId="5ED378BB">
            <w:pPr>
              <w:snapToGrid w:val="0"/>
              <w:ind w:firstLine="0" w:firstLineChars="0"/>
              <w:jc w:val="center"/>
              <w:rPr>
                <w:sz w:val="15"/>
                <w:szCs w:val="15"/>
              </w:rPr>
            </w:pPr>
            <w:r>
              <w:rPr>
                <w:rFonts w:hint="eastAsia"/>
                <w:sz w:val="15"/>
                <w:szCs w:val="15"/>
              </w:rPr>
              <w:t>5</w:t>
            </w:r>
            <w:r>
              <w:rPr>
                <w:sz w:val="15"/>
                <w:szCs w:val="15"/>
                <w:lang w:val="en"/>
              </w:rPr>
              <w:t>~</w:t>
            </w:r>
            <w:r>
              <w:rPr>
                <w:rFonts w:hint="eastAsia"/>
                <w:sz w:val="15"/>
                <w:szCs w:val="15"/>
              </w:rPr>
              <w:t>100</w:t>
            </w:r>
          </w:p>
        </w:tc>
        <w:tc>
          <w:tcPr>
            <w:tcW w:w="733" w:type="dxa"/>
            <w:tcBorders>
              <w:tl2br w:val="nil"/>
              <w:tr2bl w:val="nil"/>
            </w:tcBorders>
            <w:vAlign w:val="center"/>
          </w:tcPr>
          <w:p w14:paraId="71CB851B">
            <w:pPr>
              <w:snapToGrid w:val="0"/>
              <w:ind w:firstLine="0" w:firstLineChars="0"/>
              <w:jc w:val="center"/>
              <w:rPr>
                <w:sz w:val="15"/>
                <w:szCs w:val="15"/>
              </w:rPr>
            </w:pPr>
            <w:r>
              <w:rPr>
                <w:rFonts w:hint="eastAsia"/>
                <w:sz w:val="15"/>
                <w:szCs w:val="15"/>
              </w:rPr>
              <w:t>10</w:t>
            </w:r>
          </w:p>
        </w:tc>
        <w:tc>
          <w:tcPr>
            <w:tcW w:w="749" w:type="dxa"/>
            <w:tcBorders>
              <w:tl2br w:val="nil"/>
              <w:tr2bl w:val="nil"/>
            </w:tcBorders>
            <w:shd w:val="clear" w:color="auto" w:fill="auto"/>
            <w:vAlign w:val="center"/>
          </w:tcPr>
          <w:p w14:paraId="27BE6195">
            <w:pPr>
              <w:snapToGrid w:val="0"/>
              <w:ind w:firstLine="0" w:firstLineChars="0"/>
              <w:jc w:val="center"/>
              <w:rPr>
                <w:sz w:val="15"/>
                <w:szCs w:val="15"/>
              </w:rPr>
            </w:pPr>
            <w:r>
              <w:rPr>
                <w:rFonts w:hint="eastAsia"/>
                <w:sz w:val="15"/>
                <w:szCs w:val="15"/>
              </w:rPr>
              <w:t>5</w:t>
            </w:r>
          </w:p>
        </w:tc>
      </w:tr>
      <w:tr w14:paraId="0C6B8CFB">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90" w:hRule="atLeast"/>
          <w:jc w:val="center"/>
        </w:trPr>
        <w:tc>
          <w:tcPr>
            <w:tcW w:w="851" w:type="dxa"/>
            <w:tcBorders>
              <w:tl2br w:val="nil"/>
              <w:tr2bl w:val="nil"/>
            </w:tcBorders>
            <w:vAlign w:val="center"/>
          </w:tcPr>
          <w:p w14:paraId="4FFB068F">
            <w:pPr>
              <w:snapToGrid w:val="0"/>
              <w:ind w:firstLine="0" w:firstLineChars="0"/>
              <w:jc w:val="center"/>
              <w:rPr>
                <w:i/>
                <w:iCs/>
                <w:sz w:val="15"/>
                <w:szCs w:val="15"/>
              </w:rPr>
            </w:pPr>
            <w:r>
              <w:rPr>
                <w:rFonts w:hint="eastAsia"/>
                <w:i/>
                <w:iCs/>
                <w:sz w:val="15"/>
                <w:szCs w:val="15"/>
              </w:rPr>
              <w:t>LM</w:t>
            </w:r>
          </w:p>
        </w:tc>
        <w:tc>
          <w:tcPr>
            <w:tcW w:w="1981" w:type="dxa"/>
            <w:tcBorders>
              <w:tl2br w:val="nil"/>
              <w:tr2bl w:val="nil"/>
            </w:tcBorders>
            <w:vAlign w:val="center"/>
          </w:tcPr>
          <w:p w14:paraId="6C378106">
            <w:pPr>
              <w:snapToGrid w:val="0"/>
              <w:ind w:firstLine="0" w:firstLineChars="0"/>
              <w:jc w:val="center"/>
              <w:rPr>
                <w:sz w:val="15"/>
                <w:szCs w:val="15"/>
              </w:rPr>
            </w:pPr>
            <w:r>
              <w:rPr>
                <w:sz w:val="15"/>
                <w:szCs w:val="15"/>
              </w:rPr>
              <w:t>下层蓄水容量</w:t>
            </w:r>
          </w:p>
        </w:tc>
        <w:tc>
          <w:tcPr>
            <w:tcW w:w="761" w:type="dxa"/>
            <w:tcBorders>
              <w:tl2br w:val="nil"/>
              <w:tr2bl w:val="nil"/>
            </w:tcBorders>
            <w:vAlign w:val="center"/>
          </w:tcPr>
          <w:p w14:paraId="285DC4A8">
            <w:pPr>
              <w:snapToGrid w:val="0"/>
              <w:ind w:firstLine="0" w:firstLineChars="0"/>
              <w:jc w:val="center"/>
              <w:rPr>
                <w:sz w:val="15"/>
                <w:szCs w:val="15"/>
              </w:rPr>
            </w:pPr>
            <w:r>
              <w:rPr>
                <w:rFonts w:cs="Times New Roman"/>
                <w:sz w:val="15"/>
                <w:szCs w:val="15"/>
              </w:rPr>
              <w:t>mm</w:t>
            </w:r>
          </w:p>
        </w:tc>
        <w:tc>
          <w:tcPr>
            <w:tcW w:w="963" w:type="dxa"/>
            <w:tcBorders>
              <w:tl2br w:val="nil"/>
              <w:tr2bl w:val="nil"/>
            </w:tcBorders>
            <w:vAlign w:val="center"/>
          </w:tcPr>
          <w:p w14:paraId="304E3613">
            <w:pPr>
              <w:snapToGrid w:val="0"/>
              <w:ind w:firstLine="0" w:firstLineChars="0"/>
              <w:jc w:val="center"/>
              <w:rPr>
                <w:sz w:val="15"/>
                <w:szCs w:val="15"/>
              </w:rPr>
            </w:pPr>
            <w:r>
              <w:rPr>
                <w:rFonts w:hint="eastAsia"/>
                <w:sz w:val="15"/>
                <w:szCs w:val="15"/>
              </w:rPr>
              <w:t>10</w:t>
            </w:r>
            <w:r>
              <w:rPr>
                <w:sz w:val="15"/>
                <w:szCs w:val="15"/>
                <w:lang w:val="en"/>
              </w:rPr>
              <w:t>~</w:t>
            </w:r>
            <w:r>
              <w:rPr>
                <w:rFonts w:hint="eastAsia"/>
                <w:sz w:val="15"/>
                <w:szCs w:val="15"/>
              </w:rPr>
              <w:t>300</w:t>
            </w:r>
          </w:p>
        </w:tc>
        <w:tc>
          <w:tcPr>
            <w:tcW w:w="733" w:type="dxa"/>
            <w:tcBorders>
              <w:tl2br w:val="nil"/>
              <w:tr2bl w:val="nil"/>
            </w:tcBorders>
            <w:vAlign w:val="center"/>
          </w:tcPr>
          <w:p w14:paraId="437D56F6">
            <w:pPr>
              <w:snapToGrid w:val="0"/>
              <w:ind w:firstLine="0" w:firstLineChars="0"/>
              <w:jc w:val="center"/>
              <w:rPr>
                <w:sz w:val="15"/>
                <w:szCs w:val="15"/>
              </w:rPr>
            </w:pPr>
            <w:r>
              <w:rPr>
                <w:rFonts w:hint="eastAsia"/>
                <w:sz w:val="15"/>
                <w:szCs w:val="15"/>
              </w:rPr>
              <w:t>50</w:t>
            </w:r>
          </w:p>
        </w:tc>
        <w:tc>
          <w:tcPr>
            <w:tcW w:w="749" w:type="dxa"/>
            <w:tcBorders>
              <w:tl2br w:val="nil"/>
              <w:tr2bl w:val="nil"/>
            </w:tcBorders>
            <w:shd w:val="clear" w:color="auto" w:fill="auto"/>
            <w:vAlign w:val="center"/>
          </w:tcPr>
          <w:p w14:paraId="3A7DEFF6">
            <w:pPr>
              <w:snapToGrid w:val="0"/>
              <w:ind w:firstLine="0" w:firstLineChars="0"/>
              <w:jc w:val="center"/>
              <w:rPr>
                <w:sz w:val="15"/>
                <w:szCs w:val="15"/>
              </w:rPr>
            </w:pPr>
            <w:r>
              <w:rPr>
                <w:rFonts w:hint="eastAsia"/>
                <w:sz w:val="15"/>
                <w:szCs w:val="15"/>
              </w:rPr>
              <w:t>50</w:t>
            </w:r>
          </w:p>
        </w:tc>
      </w:tr>
      <w:tr w14:paraId="7F2CDCE8">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90" w:hRule="atLeast"/>
          <w:jc w:val="center"/>
        </w:trPr>
        <w:tc>
          <w:tcPr>
            <w:tcW w:w="851" w:type="dxa"/>
            <w:tcBorders>
              <w:tl2br w:val="nil"/>
              <w:tr2bl w:val="nil"/>
            </w:tcBorders>
            <w:vAlign w:val="center"/>
          </w:tcPr>
          <w:p w14:paraId="150C4025">
            <w:pPr>
              <w:snapToGrid w:val="0"/>
              <w:ind w:firstLine="0" w:firstLineChars="0"/>
              <w:jc w:val="center"/>
              <w:rPr>
                <w:i/>
                <w:iCs/>
                <w:sz w:val="15"/>
                <w:szCs w:val="15"/>
              </w:rPr>
            </w:pPr>
            <w:r>
              <w:rPr>
                <w:rFonts w:hint="eastAsia"/>
                <w:i/>
                <w:iCs/>
                <w:sz w:val="15"/>
                <w:szCs w:val="15"/>
              </w:rPr>
              <w:t>DM</w:t>
            </w:r>
          </w:p>
        </w:tc>
        <w:tc>
          <w:tcPr>
            <w:tcW w:w="1981" w:type="dxa"/>
            <w:tcBorders>
              <w:tl2br w:val="nil"/>
              <w:tr2bl w:val="nil"/>
            </w:tcBorders>
            <w:vAlign w:val="center"/>
          </w:tcPr>
          <w:p w14:paraId="12057F72">
            <w:pPr>
              <w:snapToGrid w:val="0"/>
              <w:ind w:firstLine="0" w:firstLineChars="0"/>
              <w:jc w:val="center"/>
              <w:rPr>
                <w:sz w:val="15"/>
                <w:szCs w:val="15"/>
              </w:rPr>
            </w:pPr>
            <w:r>
              <w:rPr>
                <w:sz w:val="15"/>
                <w:szCs w:val="15"/>
              </w:rPr>
              <w:t>深层蓄水容量</w:t>
            </w:r>
          </w:p>
        </w:tc>
        <w:tc>
          <w:tcPr>
            <w:tcW w:w="761" w:type="dxa"/>
            <w:tcBorders>
              <w:tl2br w:val="nil"/>
              <w:tr2bl w:val="nil"/>
            </w:tcBorders>
            <w:vAlign w:val="center"/>
          </w:tcPr>
          <w:p w14:paraId="77F6EE22">
            <w:pPr>
              <w:snapToGrid w:val="0"/>
              <w:ind w:firstLine="0" w:firstLineChars="0"/>
              <w:jc w:val="center"/>
              <w:rPr>
                <w:sz w:val="15"/>
                <w:szCs w:val="15"/>
              </w:rPr>
            </w:pPr>
            <w:r>
              <w:rPr>
                <w:rFonts w:cs="Times New Roman"/>
                <w:sz w:val="15"/>
                <w:szCs w:val="15"/>
              </w:rPr>
              <w:t>mm</w:t>
            </w:r>
          </w:p>
        </w:tc>
        <w:tc>
          <w:tcPr>
            <w:tcW w:w="963" w:type="dxa"/>
            <w:tcBorders>
              <w:tl2br w:val="nil"/>
              <w:tr2bl w:val="nil"/>
            </w:tcBorders>
            <w:vAlign w:val="center"/>
          </w:tcPr>
          <w:p w14:paraId="571A979E">
            <w:pPr>
              <w:snapToGrid w:val="0"/>
              <w:ind w:firstLine="0" w:firstLineChars="0"/>
              <w:jc w:val="center"/>
              <w:rPr>
                <w:sz w:val="15"/>
                <w:szCs w:val="15"/>
              </w:rPr>
            </w:pPr>
            <w:r>
              <w:rPr>
                <w:rFonts w:hint="eastAsia"/>
                <w:sz w:val="15"/>
                <w:szCs w:val="15"/>
              </w:rPr>
              <w:t>5</w:t>
            </w:r>
            <w:r>
              <w:rPr>
                <w:sz w:val="15"/>
                <w:szCs w:val="15"/>
                <w:lang w:val="en"/>
              </w:rPr>
              <w:t>~</w:t>
            </w:r>
            <w:r>
              <w:rPr>
                <w:rFonts w:hint="eastAsia"/>
                <w:sz w:val="15"/>
                <w:szCs w:val="15"/>
              </w:rPr>
              <w:t>100</w:t>
            </w:r>
          </w:p>
        </w:tc>
        <w:tc>
          <w:tcPr>
            <w:tcW w:w="733" w:type="dxa"/>
            <w:tcBorders>
              <w:tl2br w:val="nil"/>
              <w:tr2bl w:val="nil"/>
            </w:tcBorders>
            <w:vAlign w:val="center"/>
          </w:tcPr>
          <w:p w14:paraId="32377F9C">
            <w:pPr>
              <w:snapToGrid w:val="0"/>
              <w:ind w:firstLine="0" w:firstLineChars="0"/>
              <w:jc w:val="center"/>
              <w:rPr>
                <w:sz w:val="15"/>
                <w:szCs w:val="15"/>
              </w:rPr>
            </w:pPr>
            <w:r>
              <w:rPr>
                <w:rFonts w:hint="eastAsia"/>
                <w:sz w:val="15"/>
                <w:szCs w:val="15"/>
              </w:rPr>
              <w:t>5</w:t>
            </w:r>
          </w:p>
        </w:tc>
        <w:tc>
          <w:tcPr>
            <w:tcW w:w="749" w:type="dxa"/>
            <w:tcBorders>
              <w:tl2br w:val="nil"/>
              <w:tr2bl w:val="nil"/>
            </w:tcBorders>
            <w:shd w:val="clear" w:color="auto" w:fill="auto"/>
            <w:vAlign w:val="center"/>
          </w:tcPr>
          <w:p w14:paraId="16275D24">
            <w:pPr>
              <w:snapToGrid w:val="0"/>
              <w:ind w:firstLine="0" w:firstLineChars="0"/>
              <w:jc w:val="center"/>
              <w:rPr>
                <w:sz w:val="15"/>
                <w:szCs w:val="15"/>
              </w:rPr>
            </w:pPr>
            <w:r>
              <w:rPr>
                <w:rFonts w:hint="eastAsia"/>
                <w:sz w:val="15"/>
                <w:szCs w:val="15"/>
              </w:rPr>
              <w:t>10</w:t>
            </w:r>
          </w:p>
        </w:tc>
      </w:tr>
      <w:tr w14:paraId="000E7632">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90" w:hRule="atLeast"/>
          <w:jc w:val="center"/>
        </w:trPr>
        <w:tc>
          <w:tcPr>
            <w:tcW w:w="851" w:type="dxa"/>
            <w:tcBorders>
              <w:tl2br w:val="nil"/>
              <w:tr2bl w:val="nil"/>
            </w:tcBorders>
            <w:vAlign w:val="center"/>
          </w:tcPr>
          <w:p w14:paraId="77239E46">
            <w:pPr>
              <w:snapToGrid w:val="0"/>
              <w:ind w:firstLine="0" w:firstLineChars="0"/>
              <w:jc w:val="center"/>
              <w:rPr>
                <w:i/>
                <w:iCs/>
                <w:sz w:val="15"/>
                <w:szCs w:val="15"/>
              </w:rPr>
            </w:pPr>
            <w:r>
              <w:rPr>
                <w:rFonts w:hint="eastAsia"/>
                <w:i/>
                <w:iCs/>
                <w:sz w:val="15"/>
                <w:szCs w:val="15"/>
              </w:rPr>
              <w:t>B</w:t>
            </w:r>
          </w:p>
        </w:tc>
        <w:tc>
          <w:tcPr>
            <w:tcW w:w="1981" w:type="dxa"/>
            <w:tcBorders>
              <w:tl2br w:val="nil"/>
              <w:tr2bl w:val="nil"/>
            </w:tcBorders>
            <w:vAlign w:val="center"/>
          </w:tcPr>
          <w:p w14:paraId="2C7BD625">
            <w:pPr>
              <w:snapToGrid w:val="0"/>
              <w:ind w:firstLine="0" w:firstLineChars="0"/>
              <w:jc w:val="center"/>
              <w:rPr>
                <w:sz w:val="15"/>
                <w:szCs w:val="15"/>
              </w:rPr>
            </w:pPr>
            <w:r>
              <w:rPr>
                <w:sz w:val="15"/>
                <w:szCs w:val="15"/>
              </w:rPr>
              <w:t>蓄水容量</w:t>
            </w:r>
            <w:r>
              <w:rPr>
                <w:color w:val="000000"/>
                <w:sz w:val="15"/>
                <w:szCs w:val="15"/>
                <w:shd w:val="clear" w:color="auto" w:fill="FFFFFF"/>
              </w:rPr>
              <w:t>曲线指数</w:t>
            </w:r>
          </w:p>
        </w:tc>
        <w:tc>
          <w:tcPr>
            <w:tcW w:w="761" w:type="dxa"/>
            <w:tcBorders>
              <w:tl2br w:val="nil"/>
              <w:tr2bl w:val="nil"/>
            </w:tcBorders>
            <w:vAlign w:val="center"/>
          </w:tcPr>
          <w:p w14:paraId="25D326E1">
            <w:pPr>
              <w:snapToGrid w:val="0"/>
              <w:ind w:firstLine="0" w:firstLineChars="0"/>
              <w:jc w:val="center"/>
              <w:rPr>
                <w:sz w:val="15"/>
                <w:szCs w:val="15"/>
              </w:rPr>
            </w:pPr>
            <w:r>
              <w:rPr>
                <w:sz w:val="15"/>
                <w:szCs w:val="15"/>
              </w:rPr>
              <w:t>无量纲</w:t>
            </w:r>
          </w:p>
        </w:tc>
        <w:tc>
          <w:tcPr>
            <w:tcW w:w="963" w:type="dxa"/>
            <w:tcBorders>
              <w:tl2br w:val="nil"/>
              <w:tr2bl w:val="nil"/>
            </w:tcBorders>
            <w:vAlign w:val="center"/>
          </w:tcPr>
          <w:p w14:paraId="30874C9F">
            <w:pPr>
              <w:snapToGrid w:val="0"/>
              <w:ind w:firstLine="0" w:firstLineChars="0"/>
              <w:jc w:val="center"/>
              <w:rPr>
                <w:sz w:val="15"/>
                <w:szCs w:val="15"/>
              </w:rPr>
            </w:pPr>
            <w:r>
              <w:rPr>
                <w:rFonts w:hint="eastAsia"/>
                <w:sz w:val="15"/>
                <w:szCs w:val="15"/>
              </w:rPr>
              <w:t>0.2</w:t>
            </w:r>
            <w:r>
              <w:rPr>
                <w:sz w:val="15"/>
                <w:szCs w:val="15"/>
                <w:lang w:val="en"/>
              </w:rPr>
              <w:t>~</w:t>
            </w:r>
            <w:r>
              <w:rPr>
                <w:rFonts w:hint="eastAsia"/>
                <w:sz w:val="15"/>
                <w:szCs w:val="15"/>
              </w:rPr>
              <w:t>0.4</w:t>
            </w:r>
          </w:p>
        </w:tc>
        <w:tc>
          <w:tcPr>
            <w:tcW w:w="733" w:type="dxa"/>
            <w:tcBorders>
              <w:tl2br w:val="nil"/>
              <w:tr2bl w:val="nil"/>
            </w:tcBorders>
            <w:vAlign w:val="center"/>
          </w:tcPr>
          <w:p w14:paraId="51934328">
            <w:pPr>
              <w:snapToGrid w:val="0"/>
              <w:ind w:firstLine="0" w:firstLineChars="0"/>
              <w:jc w:val="center"/>
              <w:rPr>
                <w:sz w:val="15"/>
                <w:szCs w:val="15"/>
              </w:rPr>
            </w:pPr>
            <w:r>
              <w:rPr>
                <w:rFonts w:hint="eastAsia"/>
                <w:sz w:val="15"/>
                <w:szCs w:val="15"/>
              </w:rPr>
              <w:t>0.25</w:t>
            </w:r>
          </w:p>
        </w:tc>
        <w:tc>
          <w:tcPr>
            <w:tcW w:w="749" w:type="dxa"/>
            <w:tcBorders>
              <w:tl2br w:val="nil"/>
              <w:tr2bl w:val="nil"/>
            </w:tcBorders>
            <w:shd w:val="clear" w:color="auto" w:fill="auto"/>
            <w:vAlign w:val="center"/>
          </w:tcPr>
          <w:p w14:paraId="198435BE">
            <w:pPr>
              <w:snapToGrid w:val="0"/>
              <w:ind w:firstLine="0" w:firstLineChars="0"/>
              <w:jc w:val="center"/>
              <w:rPr>
                <w:sz w:val="15"/>
                <w:szCs w:val="15"/>
              </w:rPr>
            </w:pPr>
            <w:r>
              <w:rPr>
                <w:rFonts w:hint="eastAsia"/>
                <w:sz w:val="15"/>
                <w:szCs w:val="15"/>
              </w:rPr>
              <w:t>0.25</w:t>
            </w:r>
          </w:p>
        </w:tc>
      </w:tr>
      <w:tr w14:paraId="485D2125">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90" w:hRule="atLeast"/>
          <w:jc w:val="center"/>
        </w:trPr>
        <w:tc>
          <w:tcPr>
            <w:tcW w:w="851" w:type="dxa"/>
            <w:tcBorders>
              <w:tl2br w:val="nil"/>
              <w:tr2bl w:val="nil"/>
            </w:tcBorders>
            <w:vAlign w:val="center"/>
          </w:tcPr>
          <w:p w14:paraId="45D90A2C">
            <w:pPr>
              <w:snapToGrid w:val="0"/>
              <w:ind w:firstLine="0" w:firstLineChars="0"/>
              <w:jc w:val="center"/>
              <w:rPr>
                <w:i/>
                <w:iCs/>
                <w:sz w:val="15"/>
                <w:szCs w:val="15"/>
              </w:rPr>
            </w:pPr>
            <w:r>
              <w:rPr>
                <w:rFonts w:hint="eastAsia"/>
                <w:i/>
                <w:iCs/>
                <w:sz w:val="15"/>
                <w:szCs w:val="15"/>
              </w:rPr>
              <w:t>IMP</w:t>
            </w:r>
          </w:p>
        </w:tc>
        <w:tc>
          <w:tcPr>
            <w:tcW w:w="1981" w:type="dxa"/>
            <w:tcBorders>
              <w:tl2br w:val="nil"/>
              <w:tr2bl w:val="nil"/>
            </w:tcBorders>
            <w:vAlign w:val="center"/>
          </w:tcPr>
          <w:p w14:paraId="326801B1">
            <w:pPr>
              <w:snapToGrid w:val="0"/>
              <w:ind w:firstLine="0" w:firstLineChars="0"/>
              <w:jc w:val="center"/>
              <w:rPr>
                <w:sz w:val="15"/>
                <w:szCs w:val="15"/>
              </w:rPr>
            </w:pPr>
            <w:r>
              <w:rPr>
                <w:sz w:val="15"/>
                <w:szCs w:val="15"/>
              </w:rPr>
              <w:t>不透水面积</w:t>
            </w:r>
          </w:p>
        </w:tc>
        <w:tc>
          <w:tcPr>
            <w:tcW w:w="761" w:type="dxa"/>
            <w:tcBorders>
              <w:tl2br w:val="nil"/>
              <w:tr2bl w:val="nil"/>
            </w:tcBorders>
            <w:vAlign w:val="center"/>
          </w:tcPr>
          <w:p w14:paraId="5B15C442">
            <w:pPr>
              <w:snapToGrid w:val="0"/>
              <w:ind w:firstLine="0" w:firstLineChars="0"/>
              <w:jc w:val="center"/>
              <w:rPr>
                <w:sz w:val="15"/>
                <w:szCs w:val="15"/>
              </w:rPr>
            </w:pPr>
            <w:r>
              <w:rPr>
                <w:sz w:val="15"/>
                <w:szCs w:val="15"/>
              </w:rPr>
              <w:t>无量纲</w:t>
            </w:r>
          </w:p>
        </w:tc>
        <w:tc>
          <w:tcPr>
            <w:tcW w:w="963" w:type="dxa"/>
            <w:tcBorders>
              <w:tl2br w:val="nil"/>
              <w:tr2bl w:val="nil"/>
            </w:tcBorders>
            <w:vAlign w:val="center"/>
          </w:tcPr>
          <w:p w14:paraId="6D16F376">
            <w:pPr>
              <w:snapToGrid w:val="0"/>
              <w:ind w:firstLine="0" w:firstLineChars="0"/>
              <w:jc w:val="center"/>
              <w:rPr>
                <w:sz w:val="15"/>
                <w:szCs w:val="15"/>
              </w:rPr>
            </w:pPr>
            <w:r>
              <w:rPr>
                <w:rFonts w:hint="eastAsia"/>
                <w:sz w:val="15"/>
                <w:szCs w:val="15"/>
              </w:rPr>
              <w:t>0.01</w:t>
            </w:r>
            <w:r>
              <w:rPr>
                <w:sz w:val="15"/>
                <w:szCs w:val="15"/>
                <w:lang w:val="en"/>
              </w:rPr>
              <w:t>~</w:t>
            </w:r>
            <w:r>
              <w:rPr>
                <w:rFonts w:hint="eastAsia"/>
                <w:sz w:val="15"/>
                <w:szCs w:val="15"/>
              </w:rPr>
              <w:t>0.20</w:t>
            </w:r>
          </w:p>
        </w:tc>
        <w:tc>
          <w:tcPr>
            <w:tcW w:w="733" w:type="dxa"/>
            <w:tcBorders>
              <w:tl2br w:val="nil"/>
              <w:tr2bl w:val="nil"/>
            </w:tcBorders>
            <w:vAlign w:val="center"/>
          </w:tcPr>
          <w:p w14:paraId="2486EDC1">
            <w:pPr>
              <w:snapToGrid w:val="0"/>
              <w:ind w:firstLine="0" w:firstLineChars="0"/>
              <w:jc w:val="center"/>
              <w:rPr>
                <w:sz w:val="15"/>
                <w:szCs w:val="15"/>
              </w:rPr>
            </w:pPr>
            <w:r>
              <w:rPr>
                <w:rFonts w:hint="eastAsia"/>
                <w:sz w:val="15"/>
                <w:szCs w:val="15"/>
              </w:rPr>
              <w:t>0.05</w:t>
            </w:r>
          </w:p>
        </w:tc>
        <w:tc>
          <w:tcPr>
            <w:tcW w:w="749" w:type="dxa"/>
            <w:tcBorders>
              <w:tl2br w:val="nil"/>
              <w:tr2bl w:val="nil"/>
            </w:tcBorders>
            <w:shd w:val="clear" w:color="auto" w:fill="auto"/>
            <w:vAlign w:val="center"/>
          </w:tcPr>
          <w:p w14:paraId="675BD090">
            <w:pPr>
              <w:snapToGrid w:val="0"/>
              <w:ind w:firstLine="0" w:firstLineChars="0"/>
              <w:jc w:val="center"/>
              <w:rPr>
                <w:sz w:val="15"/>
                <w:szCs w:val="15"/>
              </w:rPr>
            </w:pPr>
            <w:r>
              <w:rPr>
                <w:rFonts w:hint="eastAsia"/>
                <w:sz w:val="15"/>
                <w:szCs w:val="15"/>
              </w:rPr>
              <w:t>0.05</w:t>
            </w:r>
          </w:p>
        </w:tc>
      </w:tr>
      <w:tr w14:paraId="3C1782B2">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90" w:hRule="atLeast"/>
          <w:jc w:val="center"/>
        </w:trPr>
        <w:tc>
          <w:tcPr>
            <w:tcW w:w="851" w:type="dxa"/>
            <w:tcBorders>
              <w:tl2br w:val="nil"/>
              <w:tr2bl w:val="nil"/>
            </w:tcBorders>
            <w:vAlign w:val="center"/>
          </w:tcPr>
          <w:p w14:paraId="37CD5372">
            <w:pPr>
              <w:snapToGrid w:val="0"/>
              <w:ind w:firstLine="0" w:firstLineChars="0"/>
              <w:jc w:val="center"/>
              <w:rPr>
                <w:i/>
                <w:iCs/>
                <w:sz w:val="15"/>
                <w:szCs w:val="15"/>
              </w:rPr>
            </w:pPr>
            <w:r>
              <w:rPr>
                <w:rFonts w:hint="eastAsia"/>
                <w:i/>
                <w:iCs/>
                <w:sz w:val="15"/>
                <w:szCs w:val="15"/>
              </w:rPr>
              <w:t>C</w:t>
            </w:r>
          </w:p>
        </w:tc>
        <w:tc>
          <w:tcPr>
            <w:tcW w:w="1981" w:type="dxa"/>
            <w:tcBorders>
              <w:tl2br w:val="nil"/>
              <w:tr2bl w:val="nil"/>
            </w:tcBorders>
            <w:vAlign w:val="center"/>
          </w:tcPr>
          <w:p w14:paraId="5B070F6F">
            <w:pPr>
              <w:snapToGrid w:val="0"/>
              <w:ind w:firstLine="0" w:firstLineChars="0"/>
              <w:jc w:val="center"/>
              <w:rPr>
                <w:sz w:val="15"/>
                <w:szCs w:val="15"/>
              </w:rPr>
            </w:pPr>
            <w:r>
              <w:rPr>
                <w:sz w:val="15"/>
                <w:szCs w:val="15"/>
              </w:rPr>
              <w:t>深层蒸发指数</w:t>
            </w:r>
          </w:p>
        </w:tc>
        <w:tc>
          <w:tcPr>
            <w:tcW w:w="761" w:type="dxa"/>
            <w:tcBorders>
              <w:tl2br w:val="nil"/>
              <w:tr2bl w:val="nil"/>
            </w:tcBorders>
            <w:vAlign w:val="center"/>
          </w:tcPr>
          <w:p w14:paraId="38E7F90E">
            <w:pPr>
              <w:snapToGrid w:val="0"/>
              <w:ind w:firstLine="0" w:firstLineChars="0"/>
              <w:jc w:val="center"/>
              <w:rPr>
                <w:sz w:val="15"/>
                <w:szCs w:val="15"/>
              </w:rPr>
            </w:pPr>
            <w:r>
              <w:rPr>
                <w:sz w:val="15"/>
                <w:szCs w:val="15"/>
              </w:rPr>
              <w:t>无量纲</w:t>
            </w:r>
          </w:p>
        </w:tc>
        <w:tc>
          <w:tcPr>
            <w:tcW w:w="963" w:type="dxa"/>
            <w:tcBorders>
              <w:tl2br w:val="nil"/>
              <w:tr2bl w:val="nil"/>
            </w:tcBorders>
            <w:vAlign w:val="center"/>
          </w:tcPr>
          <w:p w14:paraId="364A5EDC">
            <w:pPr>
              <w:snapToGrid w:val="0"/>
              <w:ind w:firstLine="0" w:firstLineChars="0"/>
              <w:jc w:val="center"/>
              <w:rPr>
                <w:sz w:val="15"/>
                <w:szCs w:val="15"/>
              </w:rPr>
            </w:pPr>
            <w:r>
              <w:rPr>
                <w:rFonts w:hint="eastAsia"/>
                <w:sz w:val="15"/>
                <w:szCs w:val="15"/>
              </w:rPr>
              <w:t>0.1</w:t>
            </w:r>
            <w:r>
              <w:rPr>
                <w:sz w:val="15"/>
                <w:szCs w:val="15"/>
                <w:lang w:val="en"/>
              </w:rPr>
              <w:t>~</w:t>
            </w:r>
            <w:r>
              <w:rPr>
                <w:rFonts w:hint="eastAsia"/>
                <w:sz w:val="15"/>
                <w:szCs w:val="15"/>
              </w:rPr>
              <w:t>0.2</w:t>
            </w:r>
          </w:p>
        </w:tc>
        <w:tc>
          <w:tcPr>
            <w:tcW w:w="733" w:type="dxa"/>
            <w:tcBorders>
              <w:tl2br w:val="nil"/>
              <w:tr2bl w:val="nil"/>
            </w:tcBorders>
            <w:vAlign w:val="center"/>
          </w:tcPr>
          <w:p w14:paraId="5E25F06B">
            <w:pPr>
              <w:snapToGrid w:val="0"/>
              <w:ind w:firstLine="0" w:firstLineChars="0"/>
              <w:jc w:val="center"/>
              <w:rPr>
                <w:sz w:val="15"/>
                <w:szCs w:val="15"/>
              </w:rPr>
            </w:pPr>
            <w:r>
              <w:rPr>
                <w:rFonts w:hint="eastAsia"/>
                <w:sz w:val="15"/>
                <w:szCs w:val="15"/>
              </w:rPr>
              <w:t>0.07</w:t>
            </w:r>
          </w:p>
        </w:tc>
        <w:tc>
          <w:tcPr>
            <w:tcW w:w="749" w:type="dxa"/>
            <w:tcBorders>
              <w:tl2br w:val="nil"/>
              <w:tr2bl w:val="nil"/>
            </w:tcBorders>
            <w:shd w:val="clear" w:color="auto" w:fill="auto"/>
            <w:vAlign w:val="center"/>
          </w:tcPr>
          <w:p w14:paraId="7085122F">
            <w:pPr>
              <w:snapToGrid w:val="0"/>
              <w:ind w:firstLine="0" w:firstLineChars="0"/>
              <w:jc w:val="center"/>
              <w:rPr>
                <w:sz w:val="15"/>
                <w:szCs w:val="15"/>
              </w:rPr>
            </w:pPr>
            <w:r>
              <w:rPr>
                <w:rFonts w:hint="eastAsia"/>
                <w:sz w:val="15"/>
                <w:szCs w:val="15"/>
              </w:rPr>
              <w:t>0.1</w:t>
            </w:r>
          </w:p>
        </w:tc>
      </w:tr>
      <w:tr w14:paraId="62973F31">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90" w:hRule="atLeast"/>
          <w:jc w:val="center"/>
        </w:trPr>
        <w:tc>
          <w:tcPr>
            <w:tcW w:w="851" w:type="dxa"/>
            <w:tcBorders>
              <w:tl2br w:val="nil"/>
              <w:tr2bl w:val="nil"/>
            </w:tcBorders>
            <w:vAlign w:val="center"/>
          </w:tcPr>
          <w:p w14:paraId="6CFDB69C">
            <w:pPr>
              <w:snapToGrid w:val="0"/>
              <w:ind w:firstLine="0" w:firstLineChars="0"/>
              <w:jc w:val="center"/>
              <w:rPr>
                <w:i/>
                <w:iCs/>
                <w:sz w:val="15"/>
                <w:szCs w:val="15"/>
              </w:rPr>
            </w:pPr>
            <w:r>
              <w:rPr>
                <w:rFonts w:hint="eastAsia"/>
                <w:i/>
                <w:iCs/>
                <w:sz w:val="15"/>
                <w:szCs w:val="15"/>
              </w:rPr>
              <w:t>SM</w:t>
            </w:r>
          </w:p>
        </w:tc>
        <w:tc>
          <w:tcPr>
            <w:tcW w:w="1981" w:type="dxa"/>
            <w:tcBorders>
              <w:tl2br w:val="nil"/>
              <w:tr2bl w:val="nil"/>
            </w:tcBorders>
            <w:vAlign w:val="center"/>
          </w:tcPr>
          <w:p w14:paraId="5C53779B">
            <w:pPr>
              <w:snapToGrid w:val="0"/>
              <w:ind w:firstLine="0" w:firstLineChars="0"/>
              <w:jc w:val="center"/>
              <w:rPr>
                <w:sz w:val="15"/>
                <w:szCs w:val="15"/>
              </w:rPr>
            </w:pPr>
            <w:r>
              <w:rPr>
                <w:sz w:val="15"/>
                <w:szCs w:val="15"/>
              </w:rPr>
              <w:t>自由水蓄水容量</w:t>
            </w:r>
          </w:p>
        </w:tc>
        <w:tc>
          <w:tcPr>
            <w:tcW w:w="761" w:type="dxa"/>
            <w:tcBorders>
              <w:tl2br w:val="nil"/>
              <w:tr2bl w:val="nil"/>
            </w:tcBorders>
            <w:vAlign w:val="center"/>
          </w:tcPr>
          <w:p w14:paraId="092055BF">
            <w:pPr>
              <w:snapToGrid w:val="0"/>
              <w:ind w:firstLine="0" w:firstLineChars="0"/>
              <w:jc w:val="center"/>
              <w:rPr>
                <w:sz w:val="15"/>
                <w:szCs w:val="15"/>
              </w:rPr>
            </w:pPr>
            <w:r>
              <w:rPr>
                <w:rFonts w:cs="Times New Roman"/>
                <w:sz w:val="15"/>
                <w:szCs w:val="15"/>
              </w:rPr>
              <w:t>mm</w:t>
            </w:r>
          </w:p>
        </w:tc>
        <w:tc>
          <w:tcPr>
            <w:tcW w:w="963" w:type="dxa"/>
            <w:tcBorders>
              <w:tl2br w:val="nil"/>
              <w:tr2bl w:val="nil"/>
            </w:tcBorders>
            <w:vAlign w:val="center"/>
          </w:tcPr>
          <w:p w14:paraId="38862B19">
            <w:pPr>
              <w:snapToGrid w:val="0"/>
              <w:ind w:firstLine="0" w:firstLineChars="0"/>
              <w:jc w:val="center"/>
              <w:rPr>
                <w:sz w:val="15"/>
                <w:szCs w:val="15"/>
              </w:rPr>
            </w:pPr>
            <w:r>
              <w:rPr>
                <w:rFonts w:hint="eastAsia"/>
                <w:sz w:val="15"/>
                <w:szCs w:val="15"/>
              </w:rPr>
              <w:t>10</w:t>
            </w:r>
            <w:r>
              <w:rPr>
                <w:sz w:val="15"/>
                <w:szCs w:val="15"/>
                <w:lang w:val="en"/>
              </w:rPr>
              <w:t>~</w:t>
            </w:r>
            <w:r>
              <w:rPr>
                <w:rFonts w:hint="eastAsia"/>
                <w:sz w:val="15"/>
                <w:szCs w:val="15"/>
              </w:rPr>
              <w:t>50</w:t>
            </w:r>
          </w:p>
        </w:tc>
        <w:tc>
          <w:tcPr>
            <w:tcW w:w="733" w:type="dxa"/>
            <w:tcBorders>
              <w:tl2br w:val="nil"/>
              <w:tr2bl w:val="nil"/>
            </w:tcBorders>
            <w:vAlign w:val="center"/>
          </w:tcPr>
          <w:p w14:paraId="0E302617">
            <w:pPr>
              <w:snapToGrid w:val="0"/>
              <w:ind w:firstLine="0" w:firstLineChars="0"/>
              <w:jc w:val="center"/>
              <w:rPr>
                <w:sz w:val="15"/>
                <w:szCs w:val="15"/>
              </w:rPr>
            </w:pPr>
            <w:r>
              <w:rPr>
                <w:rFonts w:hint="eastAsia"/>
                <w:sz w:val="15"/>
                <w:szCs w:val="15"/>
              </w:rPr>
              <w:t>7</w:t>
            </w:r>
          </w:p>
        </w:tc>
        <w:tc>
          <w:tcPr>
            <w:tcW w:w="749" w:type="dxa"/>
            <w:tcBorders>
              <w:tl2br w:val="nil"/>
              <w:tr2bl w:val="nil"/>
            </w:tcBorders>
            <w:shd w:val="clear" w:color="auto" w:fill="auto"/>
            <w:vAlign w:val="center"/>
          </w:tcPr>
          <w:p w14:paraId="6832092F">
            <w:pPr>
              <w:snapToGrid w:val="0"/>
              <w:ind w:firstLine="0" w:firstLineChars="0"/>
              <w:jc w:val="center"/>
              <w:rPr>
                <w:sz w:val="15"/>
                <w:szCs w:val="15"/>
              </w:rPr>
            </w:pPr>
            <w:r>
              <w:rPr>
                <w:rFonts w:hint="eastAsia"/>
                <w:sz w:val="15"/>
                <w:szCs w:val="15"/>
              </w:rPr>
              <w:t>15</w:t>
            </w:r>
          </w:p>
        </w:tc>
      </w:tr>
      <w:tr w14:paraId="4AAF6981">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90" w:hRule="atLeast"/>
          <w:jc w:val="center"/>
        </w:trPr>
        <w:tc>
          <w:tcPr>
            <w:tcW w:w="851" w:type="dxa"/>
            <w:tcBorders>
              <w:tl2br w:val="nil"/>
              <w:tr2bl w:val="nil"/>
            </w:tcBorders>
            <w:vAlign w:val="center"/>
          </w:tcPr>
          <w:p w14:paraId="5F6022F3">
            <w:pPr>
              <w:snapToGrid w:val="0"/>
              <w:ind w:firstLine="0" w:firstLineChars="0"/>
              <w:jc w:val="center"/>
              <w:rPr>
                <w:i/>
                <w:iCs/>
                <w:sz w:val="15"/>
                <w:szCs w:val="15"/>
              </w:rPr>
            </w:pPr>
            <w:r>
              <w:rPr>
                <w:rFonts w:hint="eastAsia"/>
                <w:i/>
                <w:iCs/>
                <w:sz w:val="15"/>
                <w:szCs w:val="15"/>
              </w:rPr>
              <w:t>EX</w:t>
            </w:r>
          </w:p>
        </w:tc>
        <w:tc>
          <w:tcPr>
            <w:tcW w:w="1981" w:type="dxa"/>
            <w:tcBorders>
              <w:tl2br w:val="nil"/>
              <w:tr2bl w:val="nil"/>
            </w:tcBorders>
            <w:vAlign w:val="center"/>
          </w:tcPr>
          <w:p w14:paraId="0629B08D">
            <w:pPr>
              <w:snapToGrid w:val="0"/>
              <w:ind w:firstLine="0" w:firstLineChars="0"/>
              <w:jc w:val="center"/>
              <w:rPr>
                <w:sz w:val="15"/>
                <w:szCs w:val="15"/>
              </w:rPr>
            </w:pPr>
            <w:r>
              <w:rPr>
                <w:sz w:val="15"/>
                <w:szCs w:val="15"/>
              </w:rPr>
              <w:t>自由水容量</w:t>
            </w:r>
            <w:r>
              <w:rPr>
                <w:color w:val="000000"/>
                <w:sz w:val="15"/>
                <w:szCs w:val="15"/>
                <w:shd w:val="clear" w:color="auto" w:fill="FFFFFF"/>
              </w:rPr>
              <w:t>曲线指数</w:t>
            </w:r>
          </w:p>
        </w:tc>
        <w:tc>
          <w:tcPr>
            <w:tcW w:w="761" w:type="dxa"/>
            <w:tcBorders>
              <w:tl2br w:val="nil"/>
              <w:tr2bl w:val="nil"/>
            </w:tcBorders>
            <w:vAlign w:val="center"/>
          </w:tcPr>
          <w:p w14:paraId="0866D6C3">
            <w:pPr>
              <w:snapToGrid w:val="0"/>
              <w:ind w:firstLine="0" w:firstLineChars="0"/>
              <w:jc w:val="center"/>
              <w:rPr>
                <w:sz w:val="15"/>
                <w:szCs w:val="15"/>
              </w:rPr>
            </w:pPr>
            <w:r>
              <w:rPr>
                <w:sz w:val="15"/>
                <w:szCs w:val="15"/>
              </w:rPr>
              <w:t>无量纲</w:t>
            </w:r>
          </w:p>
        </w:tc>
        <w:tc>
          <w:tcPr>
            <w:tcW w:w="963" w:type="dxa"/>
            <w:tcBorders>
              <w:tl2br w:val="nil"/>
              <w:tr2bl w:val="nil"/>
            </w:tcBorders>
            <w:vAlign w:val="center"/>
          </w:tcPr>
          <w:p w14:paraId="6C499987">
            <w:pPr>
              <w:snapToGrid w:val="0"/>
              <w:ind w:firstLine="0" w:firstLineChars="0"/>
              <w:jc w:val="center"/>
              <w:rPr>
                <w:sz w:val="15"/>
                <w:szCs w:val="15"/>
              </w:rPr>
            </w:pPr>
            <w:r>
              <w:rPr>
                <w:rFonts w:hint="eastAsia"/>
                <w:sz w:val="15"/>
                <w:szCs w:val="15"/>
              </w:rPr>
              <w:t>1.0</w:t>
            </w:r>
            <w:r>
              <w:rPr>
                <w:sz w:val="15"/>
                <w:szCs w:val="15"/>
                <w:lang w:val="en"/>
              </w:rPr>
              <w:t>~</w:t>
            </w:r>
            <w:r>
              <w:rPr>
                <w:rFonts w:hint="eastAsia"/>
                <w:sz w:val="15"/>
                <w:szCs w:val="15"/>
              </w:rPr>
              <w:t>1.5</w:t>
            </w:r>
          </w:p>
        </w:tc>
        <w:tc>
          <w:tcPr>
            <w:tcW w:w="733" w:type="dxa"/>
            <w:tcBorders>
              <w:tl2br w:val="nil"/>
              <w:tr2bl w:val="nil"/>
            </w:tcBorders>
            <w:vAlign w:val="center"/>
          </w:tcPr>
          <w:p w14:paraId="5E93D411">
            <w:pPr>
              <w:snapToGrid w:val="0"/>
              <w:ind w:firstLine="0" w:firstLineChars="0"/>
              <w:jc w:val="center"/>
              <w:rPr>
                <w:sz w:val="15"/>
                <w:szCs w:val="15"/>
              </w:rPr>
            </w:pPr>
            <w:r>
              <w:rPr>
                <w:rFonts w:hint="eastAsia"/>
                <w:sz w:val="15"/>
                <w:szCs w:val="15"/>
              </w:rPr>
              <w:t>1.1</w:t>
            </w:r>
          </w:p>
        </w:tc>
        <w:tc>
          <w:tcPr>
            <w:tcW w:w="749" w:type="dxa"/>
            <w:tcBorders>
              <w:tl2br w:val="nil"/>
              <w:tr2bl w:val="nil"/>
            </w:tcBorders>
            <w:shd w:val="clear" w:color="auto" w:fill="auto"/>
            <w:vAlign w:val="center"/>
          </w:tcPr>
          <w:p w14:paraId="683B6C1C">
            <w:pPr>
              <w:snapToGrid w:val="0"/>
              <w:ind w:firstLine="0" w:firstLineChars="0"/>
              <w:jc w:val="center"/>
              <w:rPr>
                <w:sz w:val="15"/>
                <w:szCs w:val="15"/>
              </w:rPr>
            </w:pPr>
            <w:r>
              <w:rPr>
                <w:rFonts w:hint="eastAsia"/>
                <w:sz w:val="15"/>
                <w:szCs w:val="15"/>
              </w:rPr>
              <w:t>1.1</w:t>
            </w:r>
          </w:p>
        </w:tc>
      </w:tr>
      <w:tr w14:paraId="7AF8A6EE">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90" w:hRule="atLeast"/>
          <w:jc w:val="center"/>
        </w:trPr>
        <w:tc>
          <w:tcPr>
            <w:tcW w:w="851" w:type="dxa"/>
            <w:tcBorders>
              <w:tl2br w:val="nil"/>
              <w:tr2bl w:val="nil"/>
            </w:tcBorders>
            <w:vAlign w:val="center"/>
          </w:tcPr>
          <w:p w14:paraId="466F52F4">
            <w:pPr>
              <w:snapToGrid w:val="0"/>
              <w:ind w:firstLine="0" w:firstLineChars="0"/>
              <w:jc w:val="center"/>
              <w:rPr>
                <w:i/>
                <w:iCs/>
                <w:sz w:val="15"/>
                <w:szCs w:val="15"/>
              </w:rPr>
            </w:pPr>
            <w:r>
              <w:rPr>
                <w:rFonts w:hint="eastAsia"/>
                <w:i/>
                <w:iCs/>
                <w:sz w:val="15"/>
                <w:szCs w:val="15"/>
              </w:rPr>
              <w:t>KG</w:t>
            </w:r>
          </w:p>
        </w:tc>
        <w:tc>
          <w:tcPr>
            <w:tcW w:w="1981" w:type="dxa"/>
            <w:tcBorders>
              <w:tl2br w:val="nil"/>
              <w:tr2bl w:val="nil"/>
            </w:tcBorders>
            <w:vAlign w:val="center"/>
          </w:tcPr>
          <w:p w14:paraId="37CE335B">
            <w:pPr>
              <w:snapToGrid w:val="0"/>
              <w:ind w:firstLine="0" w:firstLineChars="0"/>
              <w:jc w:val="center"/>
              <w:rPr>
                <w:sz w:val="15"/>
                <w:szCs w:val="15"/>
              </w:rPr>
            </w:pPr>
            <w:r>
              <w:rPr>
                <w:sz w:val="15"/>
                <w:szCs w:val="15"/>
              </w:rPr>
              <w:t>自由水</w:t>
            </w:r>
            <w:r>
              <w:rPr>
                <w:color w:val="000000"/>
                <w:sz w:val="15"/>
                <w:szCs w:val="15"/>
                <w:shd w:val="clear" w:color="auto" w:fill="FFFFFF"/>
              </w:rPr>
              <w:t>补</w:t>
            </w:r>
            <w:r>
              <w:rPr>
                <w:sz w:val="15"/>
                <w:szCs w:val="15"/>
              </w:rPr>
              <w:t>地下水指数</w:t>
            </w:r>
          </w:p>
        </w:tc>
        <w:tc>
          <w:tcPr>
            <w:tcW w:w="761" w:type="dxa"/>
            <w:tcBorders>
              <w:tl2br w:val="nil"/>
              <w:tr2bl w:val="nil"/>
            </w:tcBorders>
            <w:vAlign w:val="center"/>
          </w:tcPr>
          <w:p w14:paraId="7C95064B">
            <w:pPr>
              <w:snapToGrid w:val="0"/>
              <w:ind w:firstLine="0" w:firstLineChars="0"/>
              <w:jc w:val="center"/>
              <w:rPr>
                <w:sz w:val="15"/>
                <w:szCs w:val="15"/>
              </w:rPr>
            </w:pPr>
            <w:r>
              <w:rPr>
                <w:sz w:val="15"/>
                <w:szCs w:val="15"/>
              </w:rPr>
              <w:t>无量纲</w:t>
            </w:r>
          </w:p>
        </w:tc>
        <w:tc>
          <w:tcPr>
            <w:tcW w:w="963" w:type="dxa"/>
            <w:tcBorders>
              <w:tl2br w:val="nil"/>
              <w:tr2bl w:val="nil"/>
            </w:tcBorders>
            <w:vAlign w:val="center"/>
          </w:tcPr>
          <w:p w14:paraId="7C1F5C16">
            <w:pPr>
              <w:snapToGrid w:val="0"/>
              <w:ind w:firstLine="0" w:firstLineChars="0"/>
              <w:jc w:val="center"/>
              <w:rPr>
                <w:sz w:val="15"/>
                <w:szCs w:val="15"/>
              </w:rPr>
            </w:pPr>
            <w:r>
              <w:rPr>
                <w:rFonts w:hint="eastAsia"/>
                <w:sz w:val="15"/>
                <w:szCs w:val="15"/>
              </w:rPr>
              <w:t>0.1</w:t>
            </w:r>
            <w:r>
              <w:rPr>
                <w:sz w:val="15"/>
                <w:szCs w:val="15"/>
                <w:lang w:val="en"/>
              </w:rPr>
              <w:t>~</w:t>
            </w:r>
            <w:r>
              <w:rPr>
                <w:rFonts w:hint="eastAsia"/>
                <w:sz w:val="15"/>
                <w:szCs w:val="15"/>
              </w:rPr>
              <w:t>0.5</w:t>
            </w:r>
          </w:p>
        </w:tc>
        <w:tc>
          <w:tcPr>
            <w:tcW w:w="733" w:type="dxa"/>
            <w:tcBorders>
              <w:tl2br w:val="nil"/>
              <w:tr2bl w:val="nil"/>
            </w:tcBorders>
            <w:vAlign w:val="center"/>
          </w:tcPr>
          <w:p w14:paraId="5A1CA71C">
            <w:pPr>
              <w:snapToGrid w:val="0"/>
              <w:ind w:firstLine="0" w:firstLineChars="0"/>
              <w:jc w:val="center"/>
              <w:rPr>
                <w:sz w:val="15"/>
                <w:szCs w:val="15"/>
              </w:rPr>
            </w:pPr>
            <w:r>
              <w:rPr>
                <w:rFonts w:hint="eastAsia"/>
                <w:sz w:val="15"/>
                <w:szCs w:val="15"/>
              </w:rPr>
              <w:t>0.25</w:t>
            </w:r>
          </w:p>
        </w:tc>
        <w:tc>
          <w:tcPr>
            <w:tcW w:w="749" w:type="dxa"/>
            <w:tcBorders>
              <w:tl2br w:val="nil"/>
              <w:tr2bl w:val="nil"/>
            </w:tcBorders>
            <w:shd w:val="clear" w:color="auto" w:fill="auto"/>
            <w:vAlign w:val="center"/>
          </w:tcPr>
          <w:p w14:paraId="1843C566">
            <w:pPr>
              <w:snapToGrid w:val="0"/>
              <w:ind w:firstLine="0" w:firstLineChars="0"/>
              <w:jc w:val="center"/>
              <w:rPr>
                <w:sz w:val="15"/>
                <w:szCs w:val="15"/>
              </w:rPr>
            </w:pPr>
            <w:r>
              <w:rPr>
                <w:rFonts w:hint="eastAsia"/>
                <w:sz w:val="15"/>
                <w:szCs w:val="15"/>
              </w:rPr>
              <w:t>0.2</w:t>
            </w:r>
          </w:p>
        </w:tc>
      </w:tr>
      <w:tr w14:paraId="5E2EC124">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90" w:hRule="atLeast"/>
          <w:jc w:val="center"/>
        </w:trPr>
        <w:tc>
          <w:tcPr>
            <w:tcW w:w="851" w:type="dxa"/>
            <w:tcBorders>
              <w:tl2br w:val="nil"/>
              <w:tr2bl w:val="nil"/>
            </w:tcBorders>
            <w:vAlign w:val="center"/>
          </w:tcPr>
          <w:p w14:paraId="3028E03D">
            <w:pPr>
              <w:snapToGrid w:val="0"/>
              <w:ind w:firstLine="0" w:firstLineChars="0"/>
              <w:jc w:val="center"/>
              <w:rPr>
                <w:i/>
                <w:iCs/>
                <w:sz w:val="15"/>
                <w:szCs w:val="15"/>
              </w:rPr>
            </w:pPr>
            <w:r>
              <w:rPr>
                <w:rFonts w:hint="eastAsia"/>
                <w:i/>
                <w:iCs/>
                <w:sz w:val="15"/>
                <w:szCs w:val="15"/>
              </w:rPr>
              <w:t>KI</w:t>
            </w:r>
          </w:p>
        </w:tc>
        <w:tc>
          <w:tcPr>
            <w:tcW w:w="1981" w:type="dxa"/>
            <w:tcBorders>
              <w:tl2br w:val="nil"/>
              <w:tr2bl w:val="nil"/>
            </w:tcBorders>
            <w:vAlign w:val="center"/>
          </w:tcPr>
          <w:p w14:paraId="2B2F4DAB">
            <w:pPr>
              <w:snapToGrid w:val="0"/>
              <w:ind w:firstLine="0" w:firstLineChars="0"/>
              <w:jc w:val="center"/>
              <w:rPr>
                <w:sz w:val="15"/>
                <w:szCs w:val="15"/>
              </w:rPr>
            </w:pPr>
            <w:r>
              <w:rPr>
                <w:sz w:val="15"/>
                <w:szCs w:val="15"/>
              </w:rPr>
              <w:t>自由水补壤中流指数</w:t>
            </w:r>
          </w:p>
        </w:tc>
        <w:tc>
          <w:tcPr>
            <w:tcW w:w="761" w:type="dxa"/>
            <w:tcBorders>
              <w:tl2br w:val="nil"/>
              <w:tr2bl w:val="nil"/>
            </w:tcBorders>
            <w:vAlign w:val="center"/>
          </w:tcPr>
          <w:p w14:paraId="50C353DD">
            <w:pPr>
              <w:snapToGrid w:val="0"/>
              <w:ind w:firstLine="0" w:firstLineChars="0"/>
              <w:jc w:val="center"/>
              <w:rPr>
                <w:sz w:val="15"/>
                <w:szCs w:val="15"/>
              </w:rPr>
            </w:pPr>
            <w:r>
              <w:rPr>
                <w:sz w:val="15"/>
                <w:szCs w:val="15"/>
              </w:rPr>
              <w:t>无量纲</w:t>
            </w:r>
          </w:p>
        </w:tc>
        <w:tc>
          <w:tcPr>
            <w:tcW w:w="963" w:type="dxa"/>
            <w:tcBorders>
              <w:tl2br w:val="nil"/>
              <w:tr2bl w:val="nil"/>
            </w:tcBorders>
            <w:vAlign w:val="center"/>
          </w:tcPr>
          <w:p w14:paraId="70752EB5">
            <w:pPr>
              <w:snapToGrid w:val="0"/>
              <w:ind w:firstLine="0" w:firstLineChars="0"/>
              <w:jc w:val="center"/>
              <w:rPr>
                <w:sz w:val="15"/>
                <w:szCs w:val="15"/>
              </w:rPr>
            </w:pPr>
            <w:r>
              <w:rPr>
                <w:rFonts w:hint="eastAsia"/>
                <w:sz w:val="15"/>
                <w:szCs w:val="15"/>
              </w:rPr>
              <w:t>0.1</w:t>
            </w:r>
            <w:r>
              <w:rPr>
                <w:sz w:val="15"/>
                <w:szCs w:val="15"/>
                <w:lang w:val="en"/>
              </w:rPr>
              <w:t>~</w:t>
            </w:r>
            <w:r>
              <w:rPr>
                <w:rFonts w:hint="eastAsia"/>
                <w:sz w:val="15"/>
                <w:szCs w:val="15"/>
              </w:rPr>
              <w:t>0.5</w:t>
            </w:r>
          </w:p>
        </w:tc>
        <w:tc>
          <w:tcPr>
            <w:tcW w:w="733" w:type="dxa"/>
            <w:tcBorders>
              <w:tl2br w:val="nil"/>
              <w:tr2bl w:val="nil"/>
            </w:tcBorders>
            <w:vAlign w:val="center"/>
          </w:tcPr>
          <w:p w14:paraId="5A8DC565">
            <w:pPr>
              <w:snapToGrid w:val="0"/>
              <w:ind w:firstLine="0" w:firstLineChars="0"/>
              <w:jc w:val="center"/>
              <w:rPr>
                <w:sz w:val="15"/>
                <w:szCs w:val="15"/>
              </w:rPr>
            </w:pPr>
            <w:r>
              <w:rPr>
                <w:rFonts w:hint="eastAsia"/>
                <w:sz w:val="15"/>
                <w:szCs w:val="15"/>
              </w:rPr>
              <w:t>0.25</w:t>
            </w:r>
          </w:p>
        </w:tc>
        <w:tc>
          <w:tcPr>
            <w:tcW w:w="749" w:type="dxa"/>
            <w:tcBorders>
              <w:tl2br w:val="nil"/>
              <w:tr2bl w:val="nil"/>
            </w:tcBorders>
            <w:shd w:val="clear" w:color="auto" w:fill="auto"/>
            <w:vAlign w:val="center"/>
          </w:tcPr>
          <w:p w14:paraId="0BDAA669">
            <w:pPr>
              <w:snapToGrid w:val="0"/>
              <w:ind w:firstLine="0" w:firstLineChars="0"/>
              <w:jc w:val="center"/>
              <w:rPr>
                <w:sz w:val="15"/>
                <w:szCs w:val="15"/>
              </w:rPr>
            </w:pPr>
            <w:r>
              <w:rPr>
                <w:rFonts w:hint="eastAsia"/>
                <w:sz w:val="15"/>
                <w:szCs w:val="15"/>
              </w:rPr>
              <w:t>0.3</w:t>
            </w:r>
          </w:p>
        </w:tc>
      </w:tr>
      <w:tr w14:paraId="0EAD6BC9">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90" w:hRule="atLeast"/>
          <w:jc w:val="center"/>
        </w:trPr>
        <w:tc>
          <w:tcPr>
            <w:tcW w:w="851" w:type="dxa"/>
            <w:tcBorders>
              <w:tl2br w:val="nil"/>
              <w:tr2bl w:val="nil"/>
            </w:tcBorders>
            <w:vAlign w:val="center"/>
          </w:tcPr>
          <w:p w14:paraId="42B4685B">
            <w:pPr>
              <w:snapToGrid w:val="0"/>
              <w:ind w:firstLine="0" w:firstLineChars="0"/>
              <w:jc w:val="center"/>
              <w:rPr>
                <w:i/>
                <w:iCs/>
                <w:sz w:val="15"/>
                <w:szCs w:val="15"/>
              </w:rPr>
            </w:pPr>
            <w:r>
              <w:rPr>
                <w:rFonts w:hint="eastAsia"/>
                <w:i/>
                <w:iCs/>
                <w:sz w:val="15"/>
                <w:szCs w:val="15"/>
              </w:rPr>
              <w:t>fr</w:t>
            </w:r>
            <w:r>
              <w:rPr>
                <w:rFonts w:hint="eastAsia"/>
                <w:i/>
                <w:iCs/>
                <w:sz w:val="15"/>
                <w:szCs w:val="15"/>
                <w:vertAlign w:val="subscript"/>
              </w:rPr>
              <w:t>0</w:t>
            </w:r>
          </w:p>
        </w:tc>
        <w:tc>
          <w:tcPr>
            <w:tcW w:w="1981" w:type="dxa"/>
            <w:tcBorders>
              <w:tl2br w:val="nil"/>
              <w:tr2bl w:val="nil"/>
            </w:tcBorders>
            <w:vAlign w:val="center"/>
          </w:tcPr>
          <w:p w14:paraId="1E144294">
            <w:pPr>
              <w:snapToGrid w:val="0"/>
              <w:ind w:firstLine="0" w:firstLineChars="0"/>
              <w:jc w:val="center"/>
              <w:rPr>
                <w:sz w:val="15"/>
                <w:szCs w:val="15"/>
              </w:rPr>
            </w:pPr>
            <w:r>
              <w:rPr>
                <w:rFonts w:hint="eastAsia"/>
                <w:sz w:val="15"/>
                <w:szCs w:val="15"/>
              </w:rPr>
              <w:t>当前时段产流面积</w:t>
            </w:r>
          </w:p>
        </w:tc>
        <w:tc>
          <w:tcPr>
            <w:tcW w:w="761" w:type="dxa"/>
            <w:tcBorders>
              <w:tl2br w:val="nil"/>
              <w:tr2bl w:val="nil"/>
            </w:tcBorders>
            <w:vAlign w:val="center"/>
          </w:tcPr>
          <w:p w14:paraId="0A4AE13D">
            <w:pPr>
              <w:snapToGrid w:val="0"/>
              <w:ind w:firstLine="0" w:firstLineChars="0"/>
              <w:jc w:val="center"/>
              <w:rPr>
                <w:sz w:val="15"/>
                <w:szCs w:val="15"/>
              </w:rPr>
            </w:pPr>
            <w:r>
              <w:rPr>
                <w:sz w:val="15"/>
                <w:szCs w:val="15"/>
              </w:rPr>
              <w:t>无量纲</w:t>
            </w:r>
          </w:p>
        </w:tc>
        <w:tc>
          <w:tcPr>
            <w:tcW w:w="963" w:type="dxa"/>
            <w:tcBorders>
              <w:tl2br w:val="nil"/>
              <w:tr2bl w:val="nil"/>
            </w:tcBorders>
            <w:vAlign w:val="center"/>
          </w:tcPr>
          <w:p w14:paraId="75AFA0D9">
            <w:pPr>
              <w:snapToGrid w:val="0"/>
              <w:ind w:firstLine="0" w:firstLineChars="0"/>
              <w:jc w:val="center"/>
              <w:rPr>
                <w:sz w:val="15"/>
                <w:szCs w:val="15"/>
              </w:rPr>
            </w:pPr>
            <w:r>
              <w:rPr>
                <w:rFonts w:hint="eastAsia"/>
                <w:sz w:val="15"/>
                <w:szCs w:val="15"/>
              </w:rPr>
              <w:t>0</w:t>
            </w:r>
            <w:r>
              <w:rPr>
                <w:sz w:val="15"/>
                <w:szCs w:val="15"/>
                <w:lang w:val="en"/>
              </w:rPr>
              <w:t>~</w:t>
            </w:r>
            <w:r>
              <w:rPr>
                <w:rFonts w:hint="eastAsia"/>
                <w:sz w:val="15"/>
                <w:szCs w:val="15"/>
              </w:rPr>
              <w:t>1</w:t>
            </w:r>
          </w:p>
        </w:tc>
        <w:tc>
          <w:tcPr>
            <w:tcW w:w="733" w:type="dxa"/>
            <w:tcBorders>
              <w:tl2br w:val="nil"/>
              <w:tr2bl w:val="nil"/>
            </w:tcBorders>
            <w:vAlign w:val="center"/>
          </w:tcPr>
          <w:p w14:paraId="6DBA8DCE">
            <w:pPr>
              <w:snapToGrid w:val="0"/>
              <w:ind w:firstLine="0" w:firstLineChars="0"/>
              <w:jc w:val="center"/>
              <w:rPr>
                <w:sz w:val="15"/>
                <w:szCs w:val="15"/>
              </w:rPr>
            </w:pPr>
            <w:r>
              <w:rPr>
                <w:rFonts w:hint="eastAsia"/>
                <w:sz w:val="15"/>
                <w:szCs w:val="15"/>
              </w:rPr>
              <w:t>0.8</w:t>
            </w:r>
          </w:p>
        </w:tc>
        <w:tc>
          <w:tcPr>
            <w:tcW w:w="749" w:type="dxa"/>
            <w:tcBorders>
              <w:tl2br w:val="nil"/>
              <w:tr2bl w:val="nil"/>
            </w:tcBorders>
            <w:shd w:val="clear" w:color="auto" w:fill="auto"/>
            <w:vAlign w:val="center"/>
          </w:tcPr>
          <w:p w14:paraId="28DF041C">
            <w:pPr>
              <w:snapToGrid w:val="0"/>
              <w:ind w:firstLine="0" w:firstLineChars="0"/>
              <w:jc w:val="center"/>
              <w:rPr>
                <w:sz w:val="15"/>
                <w:szCs w:val="15"/>
              </w:rPr>
            </w:pPr>
            <w:r>
              <w:rPr>
                <w:rFonts w:hint="eastAsia"/>
                <w:sz w:val="15"/>
                <w:szCs w:val="15"/>
              </w:rPr>
              <w:t>0.8</w:t>
            </w:r>
          </w:p>
        </w:tc>
      </w:tr>
      <w:tr w14:paraId="6AA43969">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90" w:hRule="atLeast"/>
          <w:jc w:val="center"/>
        </w:trPr>
        <w:tc>
          <w:tcPr>
            <w:tcW w:w="851" w:type="dxa"/>
            <w:tcBorders>
              <w:tl2br w:val="nil"/>
              <w:tr2bl w:val="nil"/>
            </w:tcBorders>
            <w:vAlign w:val="center"/>
          </w:tcPr>
          <w:p w14:paraId="2E0CA7AE">
            <w:pPr>
              <w:snapToGrid w:val="0"/>
              <w:ind w:firstLine="0" w:firstLineChars="0"/>
              <w:jc w:val="center"/>
              <w:rPr>
                <w:i/>
                <w:iCs/>
                <w:sz w:val="15"/>
                <w:szCs w:val="15"/>
              </w:rPr>
            </w:pPr>
            <w:r>
              <w:rPr>
                <w:rFonts w:hint="eastAsia"/>
                <w:i/>
                <w:iCs/>
                <w:sz w:val="15"/>
                <w:szCs w:val="15"/>
              </w:rPr>
              <w:t>s</w:t>
            </w:r>
            <w:r>
              <w:rPr>
                <w:rFonts w:hint="eastAsia"/>
                <w:i/>
                <w:iCs/>
                <w:sz w:val="15"/>
                <w:szCs w:val="15"/>
                <w:vertAlign w:val="subscript"/>
              </w:rPr>
              <w:t>0</w:t>
            </w:r>
          </w:p>
        </w:tc>
        <w:tc>
          <w:tcPr>
            <w:tcW w:w="1981" w:type="dxa"/>
            <w:tcBorders>
              <w:tl2br w:val="nil"/>
              <w:tr2bl w:val="nil"/>
            </w:tcBorders>
            <w:vAlign w:val="center"/>
          </w:tcPr>
          <w:p w14:paraId="368997C0">
            <w:pPr>
              <w:snapToGrid w:val="0"/>
              <w:ind w:firstLine="0" w:firstLineChars="0"/>
              <w:jc w:val="center"/>
              <w:rPr>
                <w:sz w:val="15"/>
                <w:szCs w:val="15"/>
              </w:rPr>
            </w:pPr>
            <w:r>
              <w:rPr>
                <w:sz w:val="15"/>
                <w:szCs w:val="15"/>
              </w:rPr>
              <w:t>产流面积上自由水深</w:t>
            </w:r>
          </w:p>
        </w:tc>
        <w:tc>
          <w:tcPr>
            <w:tcW w:w="761" w:type="dxa"/>
            <w:tcBorders>
              <w:tl2br w:val="nil"/>
              <w:tr2bl w:val="nil"/>
            </w:tcBorders>
            <w:vAlign w:val="center"/>
          </w:tcPr>
          <w:p w14:paraId="578F7CE9">
            <w:pPr>
              <w:snapToGrid w:val="0"/>
              <w:ind w:firstLine="0" w:firstLineChars="0"/>
              <w:jc w:val="center"/>
              <w:rPr>
                <w:sz w:val="15"/>
                <w:szCs w:val="15"/>
              </w:rPr>
            </w:pPr>
            <w:r>
              <w:rPr>
                <w:rFonts w:cs="Times New Roman"/>
                <w:sz w:val="15"/>
                <w:szCs w:val="15"/>
              </w:rPr>
              <w:t>mm</w:t>
            </w:r>
          </w:p>
        </w:tc>
        <w:tc>
          <w:tcPr>
            <w:tcW w:w="963" w:type="dxa"/>
            <w:tcBorders>
              <w:tl2br w:val="nil"/>
              <w:tr2bl w:val="nil"/>
            </w:tcBorders>
            <w:vAlign w:val="center"/>
          </w:tcPr>
          <w:p w14:paraId="36B7E085">
            <w:pPr>
              <w:snapToGrid w:val="0"/>
              <w:ind w:firstLine="0" w:firstLineChars="0"/>
              <w:jc w:val="center"/>
              <w:rPr>
                <w:sz w:val="15"/>
                <w:szCs w:val="15"/>
              </w:rPr>
            </w:pPr>
            <w:r>
              <w:rPr>
                <w:rFonts w:hint="eastAsia"/>
                <w:sz w:val="15"/>
                <w:szCs w:val="15"/>
              </w:rPr>
              <w:t>0</w:t>
            </w:r>
            <w:r>
              <w:rPr>
                <w:sz w:val="15"/>
                <w:szCs w:val="15"/>
                <w:lang w:val="en"/>
              </w:rPr>
              <w:t>~</w:t>
            </w:r>
            <w:r>
              <w:rPr>
                <w:rFonts w:hint="eastAsia"/>
                <w:sz w:val="15"/>
                <w:szCs w:val="15"/>
              </w:rPr>
              <w:t>SM</w:t>
            </w:r>
          </w:p>
        </w:tc>
        <w:tc>
          <w:tcPr>
            <w:tcW w:w="733" w:type="dxa"/>
            <w:tcBorders>
              <w:tl2br w:val="nil"/>
              <w:tr2bl w:val="nil"/>
            </w:tcBorders>
            <w:vAlign w:val="center"/>
          </w:tcPr>
          <w:p w14:paraId="472D1B0B">
            <w:pPr>
              <w:snapToGrid w:val="0"/>
              <w:ind w:firstLine="0" w:firstLineChars="0"/>
              <w:jc w:val="center"/>
              <w:rPr>
                <w:sz w:val="15"/>
                <w:szCs w:val="15"/>
              </w:rPr>
            </w:pPr>
            <w:r>
              <w:rPr>
                <w:rFonts w:hint="eastAsia"/>
                <w:sz w:val="15"/>
                <w:szCs w:val="15"/>
              </w:rPr>
              <w:t>6</w:t>
            </w:r>
          </w:p>
        </w:tc>
        <w:tc>
          <w:tcPr>
            <w:tcW w:w="749" w:type="dxa"/>
            <w:tcBorders>
              <w:tl2br w:val="nil"/>
              <w:tr2bl w:val="nil"/>
            </w:tcBorders>
            <w:shd w:val="clear" w:color="auto" w:fill="auto"/>
            <w:vAlign w:val="center"/>
          </w:tcPr>
          <w:p w14:paraId="28734ED6">
            <w:pPr>
              <w:snapToGrid w:val="0"/>
              <w:ind w:firstLine="0" w:firstLineChars="0"/>
              <w:jc w:val="center"/>
              <w:rPr>
                <w:sz w:val="15"/>
                <w:szCs w:val="15"/>
              </w:rPr>
            </w:pPr>
            <w:r>
              <w:rPr>
                <w:rFonts w:hint="eastAsia"/>
                <w:sz w:val="15"/>
                <w:szCs w:val="15"/>
              </w:rPr>
              <w:t>6</w:t>
            </w:r>
          </w:p>
        </w:tc>
      </w:tr>
      <w:tr w14:paraId="7B79E902">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90" w:hRule="atLeast"/>
          <w:jc w:val="center"/>
        </w:trPr>
        <w:tc>
          <w:tcPr>
            <w:tcW w:w="851" w:type="dxa"/>
            <w:tcBorders>
              <w:tl2br w:val="nil"/>
              <w:tr2bl w:val="nil"/>
            </w:tcBorders>
            <w:vAlign w:val="center"/>
          </w:tcPr>
          <w:p w14:paraId="393B70E6">
            <w:pPr>
              <w:snapToGrid w:val="0"/>
              <w:ind w:firstLine="0" w:firstLineChars="0"/>
              <w:jc w:val="center"/>
              <w:rPr>
                <w:i/>
                <w:iCs/>
                <w:sz w:val="15"/>
                <w:szCs w:val="15"/>
              </w:rPr>
            </w:pPr>
            <w:r>
              <w:rPr>
                <w:i/>
                <w:iCs/>
                <w:sz w:val="15"/>
                <w:szCs w:val="15"/>
              </w:rPr>
              <w:t>ua</w:t>
            </w:r>
            <w:r>
              <w:rPr>
                <w:i/>
                <w:iCs/>
                <w:sz w:val="15"/>
                <w:szCs w:val="15"/>
                <w:vertAlign w:val="subscript"/>
              </w:rPr>
              <w:t>0</w:t>
            </w:r>
          </w:p>
        </w:tc>
        <w:tc>
          <w:tcPr>
            <w:tcW w:w="1981" w:type="dxa"/>
            <w:tcBorders>
              <w:tl2br w:val="nil"/>
              <w:tr2bl w:val="nil"/>
            </w:tcBorders>
            <w:vAlign w:val="center"/>
          </w:tcPr>
          <w:p w14:paraId="3866F5C8">
            <w:pPr>
              <w:snapToGrid w:val="0"/>
              <w:ind w:firstLine="0" w:firstLineChars="0"/>
              <w:jc w:val="center"/>
              <w:rPr>
                <w:sz w:val="15"/>
                <w:szCs w:val="15"/>
              </w:rPr>
            </w:pPr>
            <w:r>
              <w:rPr>
                <w:sz w:val="15"/>
                <w:szCs w:val="15"/>
              </w:rPr>
              <w:t>当前时段上层蓄水容量</w:t>
            </w:r>
          </w:p>
        </w:tc>
        <w:tc>
          <w:tcPr>
            <w:tcW w:w="761" w:type="dxa"/>
            <w:tcBorders>
              <w:tl2br w:val="nil"/>
              <w:tr2bl w:val="nil"/>
            </w:tcBorders>
            <w:vAlign w:val="center"/>
          </w:tcPr>
          <w:p w14:paraId="60EFC568">
            <w:pPr>
              <w:snapToGrid w:val="0"/>
              <w:ind w:firstLine="0" w:firstLineChars="0"/>
              <w:jc w:val="center"/>
              <w:rPr>
                <w:sz w:val="15"/>
                <w:szCs w:val="15"/>
              </w:rPr>
            </w:pPr>
            <w:r>
              <w:rPr>
                <w:rFonts w:cs="Times New Roman"/>
                <w:sz w:val="15"/>
                <w:szCs w:val="15"/>
              </w:rPr>
              <w:t>mm</w:t>
            </w:r>
          </w:p>
        </w:tc>
        <w:tc>
          <w:tcPr>
            <w:tcW w:w="963" w:type="dxa"/>
            <w:tcBorders>
              <w:tl2br w:val="nil"/>
              <w:tr2bl w:val="nil"/>
            </w:tcBorders>
            <w:vAlign w:val="center"/>
          </w:tcPr>
          <w:p w14:paraId="6975191F">
            <w:pPr>
              <w:snapToGrid w:val="0"/>
              <w:ind w:firstLine="0" w:firstLineChars="0"/>
              <w:jc w:val="center"/>
              <w:rPr>
                <w:sz w:val="15"/>
                <w:szCs w:val="15"/>
              </w:rPr>
            </w:pPr>
            <w:r>
              <w:rPr>
                <w:rFonts w:hint="eastAsia"/>
                <w:sz w:val="15"/>
                <w:szCs w:val="15"/>
              </w:rPr>
              <w:t>0</w:t>
            </w:r>
            <w:r>
              <w:rPr>
                <w:sz w:val="15"/>
                <w:szCs w:val="15"/>
                <w:lang w:val="en"/>
              </w:rPr>
              <w:t>~</w:t>
            </w:r>
            <w:r>
              <w:rPr>
                <w:rFonts w:hint="eastAsia"/>
                <w:sz w:val="15"/>
                <w:szCs w:val="15"/>
              </w:rPr>
              <w:t>UM</w:t>
            </w:r>
          </w:p>
        </w:tc>
        <w:tc>
          <w:tcPr>
            <w:tcW w:w="733" w:type="dxa"/>
            <w:tcBorders>
              <w:tl2br w:val="nil"/>
              <w:tr2bl w:val="nil"/>
            </w:tcBorders>
            <w:vAlign w:val="center"/>
          </w:tcPr>
          <w:p w14:paraId="4C519B25">
            <w:pPr>
              <w:snapToGrid w:val="0"/>
              <w:ind w:firstLine="0" w:firstLineChars="0"/>
              <w:jc w:val="center"/>
              <w:rPr>
                <w:sz w:val="15"/>
                <w:szCs w:val="15"/>
              </w:rPr>
            </w:pPr>
            <w:r>
              <w:rPr>
                <w:rFonts w:hint="eastAsia"/>
                <w:sz w:val="15"/>
                <w:szCs w:val="15"/>
              </w:rPr>
              <w:t>2</w:t>
            </w:r>
          </w:p>
        </w:tc>
        <w:tc>
          <w:tcPr>
            <w:tcW w:w="749" w:type="dxa"/>
            <w:tcBorders>
              <w:tl2br w:val="nil"/>
              <w:tr2bl w:val="nil"/>
            </w:tcBorders>
            <w:shd w:val="clear" w:color="auto" w:fill="auto"/>
            <w:vAlign w:val="center"/>
          </w:tcPr>
          <w:p w14:paraId="71B9AEF5">
            <w:pPr>
              <w:snapToGrid w:val="0"/>
              <w:ind w:firstLine="0" w:firstLineChars="0"/>
              <w:jc w:val="center"/>
              <w:rPr>
                <w:sz w:val="15"/>
                <w:szCs w:val="15"/>
              </w:rPr>
            </w:pPr>
            <w:r>
              <w:rPr>
                <w:rFonts w:hint="eastAsia"/>
                <w:sz w:val="15"/>
                <w:szCs w:val="15"/>
              </w:rPr>
              <w:t>2</w:t>
            </w:r>
          </w:p>
        </w:tc>
      </w:tr>
      <w:tr w14:paraId="0AB12D20">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90" w:hRule="atLeast"/>
          <w:jc w:val="center"/>
        </w:trPr>
        <w:tc>
          <w:tcPr>
            <w:tcW w:w="851" w:type="dxa"/>
            <w:tcBorders>
              <w:tl2br w:val="nil"/>
              <w:tr2bl w:val="nil"/>
            </w:tcBorders>
            <w:vAlign w:val="center"/>
          </w:tcPr>
          <w:p w14:paraId="0EECE33F">
            <w:pPr>
              <w:snapToGrid w:val="0"/>
              <w:ind w:firstLine="0" w:firstLineChars="0"/>
              <w:jc w:val="center"/>
              <w:rPr>
                <w:i/>
                <w:iCs/>
                <w:sz w:val="15"/>
                <w:szCs w:val="15"/>
              </w:rPr>
            </w:pPr>
            <w:r>
              <w:rPr>
                <w:i/>
                <w:iCs/>
                <w:sz w:val="15"/>
                <w:szCs w:val="15"/>
              </w:rPr>
              <w:t>1a</w:t>
            </w:r>
            <w:r>
              <w:rPr>
                <w:i/>
                <w:iCs/>
                <w:sz w:val="15"/>
                <w:szCs w:val="15"/>
                <w:vertAlign w:val="subscript"/>
              </w:rPr>
              <w:t>0</w:t>
            </w:r>
          </w:p>
        </w:tc>
        <w:tc>
          <w:tcPr>
            <w:tcW w:w="1981" w:type="dxa"/>
            <w:tcBorders>
              <w:tl2br w:val="nil"/>
              <w:tr2bl w:val="nil"/>
            </w:tcBorders>
            <w:vAlign w:val="center"/>
          </w:tcPr>
          <w:p w14:paraId="30D6A28F">
            <w:pPr>
              <w:snapToGrid w:val="0"/>
              <w:ind w:firstLine="0" w:firstLineChars="0"/>
              <w:jc w:val="center"/>
              <w:rPr>
                <w:sz w:val="15"/>
                <w:szCs w:val="15"/>
              </w:rPr>
            </w:pPr>
            <w:r>
              <w:rPr>
                <w:sz w:val="15"/>
                <w:szCs w:val="15"/>
              </w:rPr>
              <w:t>当前时段下层蓄水容量</w:t>
            </w:r>
          </w:p>
        </w:tc>
        <w:tc>
          <w:tcPr>
            <w:tcW w:w="761" w:type="dxa"/>
            <w:tcBorders>
              <w:tl2br w:val="nil"/>
              <w:tr2bl w:val="nil"/>
            </w:tcBorders>
            <w:vAlign w:val="center"/>
          </w:tcPr>
          <w:p w14:paraId="3527040B">
            <w:pPr>
              <w:snapToGrid w:val="0"/>
              <w:ind w:firstLine="0" w:firstLineChars="0"/>
              <w:jc w:val="center"/>
              <w:rPr>
                <w:sz w:val="15"/>
                <w:szCs w:val="15"/>
              </w:rPr>
            </w:pPr>
            <w:r>
              <w:rPr>
                <w:rFonts w:cs="Times New Roman"/>
                <w:sz w:val="15"/>
                <w:szCs w:val="15"/>
              </w:rPr>
              <w:t>mm</w:t>
            </w:r>
          </w:p>
        </w:tc>
        <w:tc>
          <w:tcPr>
            <w:tcW w:w="963" w:type="dxa"/>
            <w:tcBorders>
              <w:tl2br w:val="nil"/>
              <w:tr2bl w:val="nil"/>
            </w:tcBorders>
            <w:vAlign w:val="center"/>
          </w:tcPr>
          <w:p w14:paraId="34D2E766">
            <w:pPr>
              <w:snapToGrid w:val="0"/>
              <w:ind w:firstLine="0" w:firstLineChars="0"/>
              <w:jc w:val="center"/>
              <w:rPr>
                <w:sz w:val="15"/>
                <w:szCs w:val="15"/>
              </w:rPr>
            </w:pPr>
            <w:r>
              <w:rPr>
                <w:rFonts w:hint="eastAsia"/>
                <w:sz w:val="15"/>
                <w:szCs w:val="15"/>
              </w:rPr>
              <w:t>0</w:t>
            </w:r>
            <w:r>
              <w:rPr>
                <w:sz w:val="15"/>
                <w:szCs w:val="15"/>
                <w:lang w:val="en"/>
              </w:rPr>
              <w:t>~</w:t>
            </w:r>
            <w:r>
              <w:rPr>
                <w:rFonts w:hint="eastAsia"/>
                <w:sz w:val="15"/>
                <w:szCs w:val="15"/>
              </w:rPr>
              <w:t>LM</w:t>
            </w:r>
          </w:p>
        </w:tc>
        <w:tc>
          <w:tcPr>
            <w:tcW w:w="733" w:type="dxa"/>
            <w:tcBorders>
              <w:tl2br w:val="nil"/>
              <w:tr2bl w:val="nil"/>
            </w:tcBorders>
            <w:vAlign w:val="center"/>
          </w:tcPr>
          <w:p w14:paraId="1A03FFE2">
            <w:pPr>
              <w:snapToGrid w:val="0"/>
              <w:ind w:firstLine="0" w:firstLineChars="0"/>
              <w:jc w:val="center"/>
              <w:rPr>
                <w:sz w:val="15"/>
                <w:szCs w:val="15"/>
              </w:rPr>
            </w:pPr>
            <w:r>
              <w:rPr>
                <w:rFonts w:hint="eastAsia"/>
                <w:sz w:val="15"/>
                <w:szCs w:val="15"/>
              </w:rPr>
              <w:t>50</w:t>
            </w:r>
          </w:p>
        </w:tc>
        <w:tc>
          <w:tcPr>
            <w:tcW w:w="749" w:type="dxa"/>
            <w:tcBorders>
              <w:tl2br w:val="nil"/>
              <w:tr2bl w:val="nil"/>
            </w:tcBorders>
            <w:shd w:val="clear" w:color="auto" w:fill="auto"/>
            <w:vAlign w:val="center"/>
          </w:tcPr>
          <w:p w14:paraId="267C540D">
            <w:pPr>
              <w:snapToGrid w:val="0"/>
              <w:ind w:firstLine="0" w:firstLineChars="0"/>
              <w:jc w:val="center"/>
              <w:rPr>
                <w:sz w:val="15"/>
                <w:szCs w:val="15"/>
              </w:rPr>
            </w:pPr>
            <w:r>
              <w:rPr>
                <w:rFonts w:hint="eastAsia"/>
                <w:sz w:val="15"/>
                <w:szCs w:val="15"/>
              </w:rPr>
              <w:t>50</w:t>
            </w:r>
          </w:p>
        </w:tc>
      </w:tr>
      <w:tr w14:paraId="1A61B898">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90" w:hRule="atLeast"/>
          <w:jc w:val="center"/>
        </w:trPr>
        <w:tc>
          <w:tcPr>
            <w:tcW w:w="851" w:type="dxa"/>
            <w:tcBorders>
              <w:bottom w:val="single" w:color="auto" w:sz="12" w:space="0"/>
            </w:tcBorders>
            <w:vAlign w:val="center"/>
          </w:tcPr>
          <w:p w14:paraId="4A1CD328">
            <w:pPr>
              <w:snapToGrid w:val="0"/>
              <w:ind w:firstLine="0" w:firstLineChars="0"/>
              <w:jc w:val="center"/>
              <w:rPr>
                <w:i/>
                <w:iCs/>
                <w:sz w:val="15"/>
                <w:szCs w:val="15"/>
              </w:rPr>
            </w:pPr>
            <w:r>
              <w:rPr>
                <w:i/>
                <w:iCs/>
                <w:sz w:val="15"/>
                <w:szCs w:val="15"/>
              </w:rPr>
              <w:t>da</w:t>
            </w:r>
            <w:r>
              <w:rPr>
                <w:i/>
                <w:iCs/>
                <w:sz w:val="15"/>
                <w:szCs w:val="15"/>
                <w:vertAlign w:val="subscript"/>
              </w:rPr>
              <w:t>0</w:t>
            </w:r>
          </w:p>
        </w:tc>
        <w:tc>
          <w:tcPr>
            <w:tcW w:w="1981" w:type="dxa"/>
            <w:tcBorders>
              <w:bottom w:val="single" w:color="auto" w:sz="12" w:space="0"/>
            </w:tcBorders>
            <w:vAlign w:val="center"/>
          </w:tcPr>
          <w:p w14:paraId="4EDD77A7">
            <w:pPr>
              <w:snapToGrid w:val="0"/>
              <w:ind w:firstLine="0" w:firstLineChars="0"/>
              <w:jc w:val="center"/>
              <w:rPr>
                <w:sz w:val="15"/>
                <w:szCs w:val="15"/>
              </w:rPr>
            </w:pPr>
            <w:r>
              <w:rPr>
                <w:sz w:val="15"/>
                <w:szCs w:val="15"/>
              </w:rPr>
              <w:t>当前时段深层蓄水容量</w:t>
            </w:r>
          </w:p>
        </w:tc>
        <w:tc>
          <w:tcPr>
            <w:tcW w:w="761" w:type="dxa"/>
            <w:tcBorders>
              <w:bottom w:val="single" w:color="auto" w:sz="12" w:space="0"/>
            </w:tcBorders>
            <w:vAlign w:val="center"/>
          </w:tcPr>
          <w:p w14:paraId="21441E82">
            <w:pPr>
              <w:snapToGrid w:val="0"/>
              <w:ind w:firstLine="0" w:firstLineChars="0"/>
              <w:jc w:val="center"/>
              <w:rPr>
                <w:sz w:val="15"/>
                <w:szCs w:val="15"/>
              </w:rPr>
            </w:pPr>
            <w:r>
              <w:rPr>
                <w:rFonts w:cs="Times New Roman"/>
                <w:sz w:val="15"/>
                <w:szCs w:val="15"/>
              </w:rPr>
              <w:t>mm</w:t>
            </w:r>
          </w:p>
        </w:tc>
        <w:tc>
          <w:tcPr>
            <w:tcW w:w="963" w:type="dxa"/>
            <w:tcBorders>
              <w:bottom w:val="single" w:color="auto" w:sz="12" w:space="0"/>
            </w:tcBorders>
            <w:vAlign w:val="center"/>
          </w:tcPr>
          <w:p w14:paraId="4D5316BA">
            <w:pPr>
              <w:snapToGrid w:val="0"/>
              <w:ind w:firstLine="0" w:firstLineChars="0"/>
              <w:jc w:val="center"/>
              <w:rPr>
                <w:sz w:val="15"/>
                <w:szCs w:val="15"/>
              </w:rPr>
            </w:pPr>
            <w:r>
              <w:rPr>
                <w:rFonts w:hint="eastAsia"/>
                <w:sz w:val="15"/>
                <w:szCs w:val="15"/>
              </w:rPr>
              <w:t>0</w:t>
            </w:r>
            <w:r>
              <w:rPr>
                <w:sz w:val="15"/>
                <w:szCs w:val="15"/>
                <w:lang w:val="en"/>
              </w:rPr>
              <w:t>~</w:t>
            </w:r>
            <w:r>
              <w:rPr>
                <w:rFonts w:hint="eastAsia"/>
                <w:sz w:val="15"/>
                <w:szCs w:val="15"/>
              </w:rPr>
              <w:t>DM</w:t>
            </w:r>
          </w:p>
        </w:tc>
        <w:tc>
          <w:tcPr>
            <w:tcW w:w="733" w:type="dxa"/>
            <w:tcBorders>
              <w:bottom w:val="single" w:color="auto" w:sz="12" w:space="0"/>
            </w:tcBorders>
            <w:vAlign w:val="center"/>
          </w:tcPr>
          <w:p w14:paraId="079BAB93">
            <w:pPr>
              <w:snapToGrid w:val="0"/>
              <w:ind w:firstLine="0" w:firstLineChars="0"/>
              <w:jc w:val="center"/>
              <w:rPr>
                <w:sz w:val="15"/>
                <w:szCs w:val="15"/>
              </w:rPr>
            </w:pPr>
            <w:r>
              <w:rPr>
                <w:rFonts w:hint="eastAsia"/>
                <w:sz w:val="15"/>
                <w:szCs w:val="15"/>
              </w:rPr>
              <w:t>10</w:t>
            </w:r>
          </w:p>
        </w:tc>
        <w:tc>
          <w:tcPr>
            <w:tcW w:w="749" w:type="dxa"/>
            <w:tcBorders>
              <w:bottom w:val="single" w:color="auto" w:sz="12" w:space="0"/>
            </w:tcBorders>
            <w:shd w:val="clear" w:color="auto" w:fill="auto"/>
            <w:vAlign w:val="center"/>
          </w:tcPr>
          <w:p w14:paraId="7A11DD3F">
            <w:pPr>
              <w:snapToGrid w:val="0"/>
              <w:ind w:firstLine="0" w:firstLineChars="0"/>
              <w:jc w:val="center"/>
              <w:rPr>
                <w:sz w:val="15"/>
                <w:szCs w:val="15"/>
              </w:rPr>
            </w:pPr>
            <w:r>
              <w:rPr>
                <w:rFonts w:hint="eastAsia"/>
                <w:sz w:val="15"/>
                <w:szCs w:val="15"/>
              </w:rPr>
              <w:t>10</w:t>
            </w:r>
          </w:p>
        </w:tc>
      </w:tr>
    </w:tbl>
    <w:p w14:paraId="39FA7184">
      <w:pPr>
        <w:pStyle w:val="8"/>
        <w:ind w:firstLine="420"/>
      </w:pPr>
      <w:r>
        <w:rPr>
          <w:rFonts w:hint="eastAsia"/>
        </w:rPr>
        <w:t>磅湛站径流模拟结果评价结果如</w:t>
      </w:r>
      <w:r>
        <w:rPr>
          <w:rFonts w:hint="eastAsia" w:ascii="宋体" w:hAnsi="宋体"/>
        </w:rPr>
        <w:t>表</w:t>
      </w:r>
      <w:r>
        <w:rPr>
          <w:rFonts w:cs="Times New Roman"/>
        </w:rPr>
        <w:t>5</w:t>
      </w:r>
      <w:r>
        <w:rPr>
          <w:rFonts w:hint="eastAsia" w:ascii="宋体" w:hAnsi="宋体"/>
        </w:rPr>
        <w:t>所列</w:t>
      </w:r>
      <w:r>
        <w:rPr>
          <w:rFonts w:hint="eastAsia"/>
        </w:rPr>
        <w:t>。率定期与检验期的</w:t>
      </w:r>
      <w:r>
        <w:rPr>
          <w:rFonts w:hint="eastAsia"/>
          <w:i/>
          <w:iCs/>
        </w:rPr>
        <w:t>NSE</w:t>
      </w:r>
      <w:r>
        <w:rPr>
          <w:rFonts w:hint="eastAsia"/>
        </w:rPr>
        <w:t>分别为0.87和0.86，水量相对误差</w:t>
      </w:r>
      <w:r>
        <w:rPr>
          <w:rFonts w:hint="eastAsia"/>
          <w:i/>
          <w:iCs/>
        </w:rPr>
        <w:t>RE</w:t>
      </w:r>
      <w:r>
        <w:rPr>
          <w:rFonts w:hint="eastAsia"/>
        </w:rPr>
        <w:t>分别为5.71%与8.61%，决定系数</w:t>
      </w:r>
      <w:r>
        <w:rPr>
          <w:rFonts w:hint="eastAsia"/>
          <w:i/>
          <w:iCs/>
        </w:rPr>
        <w:t>R²</w:t>
      </w:r>
      <w:r>
        <w:rPr>
          <w:rFonts w:hint="eastAsia"/>
        </w:rPr>
        <w:t>分别为0.88和0.86，表明模型在整体过程拟合、水量平衡控制及趋势一致性方面均表现良好。</w:t>
      </w:r>
    </w:p>
    <w:p w14:paraId="6D0EA5F9">
      <w:pPr>
        <w:pStyle w:val="7"/>
        <w:rPr>
          <w:bCs w:val="0"/>
        </w:rPr>
      </w:pPr>
      <w:bookmarkStart w:id="10" w:name="_Ref4298"/>
      <w:r>
        <w:rPr>
          <w:rFonts w:hint="eastAsia"/>
          <w:bCs w:val="0"/>
        </w:rPr>
        <w:t>表5</w:t>
      </w:r>
      <w:bookmarkEnd w:id="10"/>
      <w:r>
        <w:rPr>
          <w:rFonts w:hint="eastAsia"/>
          <w:bCs w:val="0"/>
        </w:rPr>
        <w:t xml:space="preserve">  磅湛站径流模拟结果评价</w:t>
      </w:r>
    </w:p>
    <w:p w14:paraId="54BCFBE2">
      <w:pPr>
        <w:pStyle w:val="7"/>
        <w:rPr>
          <w:bCs w:val="0"/>
        </w:rPr>
      </w:pPr>
      <w:r>
        <w:rPr>
          <w:rFonts w:hint="eastAsia"/>
          <w:bCs w:val="0"/>
        </w:rPr>
        <w:t>Tab</w:t>
      </w:r>
      <w:r>
        <w:rPr>
          <w:rFonts w:hint="eastAsia"/>
          <w:bCs w:val="0"/>
          <w:lang w:val="en-US" w:eastAsia="zh-CN"/>
        </w:rPr>
        <w:t xml:space="preserve">le </w:t>
      </w:r>
      <w:r>
        <w:rPr>
          <w:rFonts w:hint="eastAsia"/>
          <w:bCs w:val="0"/>
        </w:rPr>
        <w:t>5  Evaluation of runoff simulation results at Kompong Cham station</w:t>
      </w:r>
    </w:p>
    <w:tbl>
      <w:tblPr>
        <w:tblStyle w:val="13"/>
        <w:tblW w:w="1783" w:type="pct"/>
        <w:jc w:val="center"/>
        <w:tblBorders>
          <w:top w:val="single" w:color="auto" w:sz="12" w:space="0"/>
          <w:left w:val="none" w:color="auto" w:sz="0" w:space="0"/>
          <w:bottom w:val="single" w:color="auto" w:sz="12" w:space="0"/>
          <w:right w:val="none" w:color="auto" w:sz="0" w:space="0"/>
          <w:insideH w:val="single" w:color="auto" w:sz="8" w:space="0"/>
          <w:insideV w:val="none" w:color="auto" w:sz="0" w:space="0"/>
        </w:tblBorders>
        <w:tblLayout w:type="fixed"/>
        <w:tblCellMar>
          <w:top w:w="0" w:type="dxa"/>
          <w:left w:w="108" w:type="dxa"/>
          <w:bottom w:w="0" w:type="dxa"/>
          <w:right w:w="108" w:type="dxa"/>
        </w:tblCellMar>
      </w:tblPr>
      <w:tblGrid>
        <w:gridCol w:w="842"/>
        <w:gridCol w:w="684"/>
        <w:gridCol w:w="750"/>
        <w:gridCol w:w="1237"/>
      </w:tblGrid>
      <w:tr w14:paraId="479757BF">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108" w:type="dxa"/>
            <w:bottom w:w="0" w:type="dxa"/>
            <w:right w:w="108" w:type="dxa"/>
          </w:tblCellMar>
        </w:tblPrEx>
        <w:trPr>
          <w:trHeight w:val="302" w:hRule="atLeast"/>
          <w:jc w:val="center"/>
        </w:trPr>
        <w:tc>
          <w:tcPr>
            <w:tcW w:w="1198" w:type="pct"/>
            <w:tcBorders>
              <w:top w:val="single" w:color="auto" w:sz="12" w:space="0"/>
              <w:bottom w:val="single" w:color="auto" w:sz="4" w:space="0"/>
            </w:tcBorders>
            <w:vAlign w:val="center"/>
          </w:tcPr>
          <w:p w14:paraId="7117F94C">
            <w:pPr>
              <w:ind w:firstLine="0" w:firstLineChars="0"/>
              <w:jc w:val="center"/>
              <w:rPr>
                <w:sz w:val="15"/>
                <w:szCs w:val="15"/>
              </w:rPr>
            </w:pPr>
            <w:r>
              <w:rPr>
                <w:rFonts w:hint="eastAsia"/>
                <w:sz w:val="15"/>
                <w:szCs w:val="15"/>
              </w:rPr>
              <w:t>阶段</w:t>
            </w:r>
          </w:p>
        </w:tc>
        <w:tc>
          <w:tcPr>
            <w:tcW w:w="973" w:type="pct"/>
            <w:tcBorders>
              <w:top w:val="single" w:color="auto" w:sz="12" w:space="0"/>
              <w:bottom w:val="single" w:color="auto" w:sz="4" w:space="0"/>
            </w:tcBorders>
            <w:vAlign w:val="center"/>
          </w:tcPr>
          <w:p w14:paraId="3FC3BD8A">
            <w:pPr>
              <w:ind w:firstLine="0" w:firstLineChars="0"/>
              <w:jc w:val="center"/>
              <w:rPr>
                <w:i/>
                <w:iCs/>
                <w:sz w:val="15"/>
                <w:szCs w:val="15"/>
              </w:rPr>
            </w:pPr>
            <w:r>
              <w:rPr>
                <w:rFonts w:hint="eastAsia"/>
                <w:i/>
                <w:iCs/>
                <w:sz w:val="15"/>
                <w:szCs w:val="15"/>
              </w:rPr>
              <w:t>NSE</w:t>
            </w:r>
          </w:p>
        </w:tc>
        <w:tc>
          <w:tcPr>
            <w:tcW w:w="1068" w:type="pct"/>
            <w:tcBorders>
              <w:top w:val="single" w:color="auto" w:sz="12" w:space="0"/>
              <w:bottom w:val="single" w:color="auto" w:sz="4" w:space="0"/>
            </w:tcBorders>
            <w:vAlign w:val="center"/>
          </w:tcPr>
          <w:p w14:paraId="534B2462">
            <w:pPr>
              <w:ind w:firstLine="0" w:firstLineChars="0"/>
              <w:jc w:val="center"/>
              <w:rPr>
                <w:i/>
                <w:iCs/>
                <w:sz w:val="15"/>
                <w:szCs w:val="15"/>
              </w:rPr>
            </w:pPr>
            <w:r>
              <w:rPr>
                <w:rFonts w:hint="eastAsia"/>
                <w:i/>
                <w:iCs/>
                <w:sz w:val="15"/>
                <w:szCs w:val="15"/>
              </w:rPr>
              <w:t>RE</w:t>
            </w:r>
            <w:r>
              <w:rPr>
                <w:rFonts w:hint="eastAsia" w:hAnsi="Cambria Math"/>
                <w:sz w:val="15"/>
                <w:szCs w:val="15"/>
              </w:rPr>
              <w:t>/%</w:t>
            </w:r>
          </w:p>
        </w:tc>
        <w:tc>
          <w:tcPr>
            <w:tcW w:w="1760" w:type="pct"/>
            <w:tcBorders>
              <w:top w:val="single" w:color="auto" w:sz="12" w:space="0"/>
              <w:bottom w:val="single" w:color="auto" w:sz="4" w:space="0"/>
            </w:tcBorders>
            <w:vAlign w:val="center"/>
          </w:tcPr>
          <w:p w14:paraId="04BFA7DC">
            <w:pPr>
              <w:ind w:firstLine="0" w:firstLineChars="0"/>
              <w:jc w:val="center"/>
              <w:rPr>
                <w:i/>
                <w:iCs/>
                <w:sz w:val="15"/>
                <w:szCs w:val="15"/>
              </w:rPr>
            </w:pPr>
            <w:r>
              <w:rPr>
                <w:rFonts w:hint="eastAsia"/>
                <w:i/>
                <w:iCs/>
                <w:sz w:val="15"/>
                <w:szCs w:val="15"/>
              </w:rPr>
              <w:t>R</w:t>
            </w:r>
            <w:r>
              <w:rPr>
                <w:rFonts w:hint="eastAsia"/>
                <w:i/>
                <w:iCs/>
                <w:sz w:val="15"/>
                <w:szCs w:val="15"/>
                <w:vertAlign w:val="superscript"/>
              </w:rPr>
              <w:t>2</w:t>
            </w:r>
          </w:p>
        </w:tc>
      </w:tr>
      <w:tr w14:paraId="7E744D7D">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108" w:type="dxa"/>
            <w:bottom w:w="0" w:type="dxa"/>
            <w:right w:w="108" w:type="dxa"/>
          </w:tblCellMar>
        </w:tblPrEx>
        <w:trPr>
          <w:trHeight w:val="284" w:hRule="atLeast"/>
          <w:jc w:val="center"/>
        </w:trPr>
        <w:tc>
          <w:tcPr>
            <w:tcW w:w="1198" w:type="pct"/>
            <w:tcBorders>
              <w:top w:val="single" w:color="auto" w:sz="4" w:space="0"/>
              <w:bottom w:val="nil"/>
            </w:tcBorders>
            <w:shd w:val="clear" w:color="auto" w:fill="auto"/>
            <w:vAlign w:val="center"/>
          </w:tcPr>
          <w:p w14:paraId="140E1667">
            <w:pPr>
              <w:ind w:firstLine="0" w:firstLineChars="0"/>
              <w:jc w:val="center"/>
              <w:rPr>
                <w:sz w:val="15"/>
                <w:szCs w:val="15"/>
              </w:rPr>
            </w:pPr>
            <w:r>
              <w:rPr>
                <w:rFonts w:hint="eastAsia"/>
                <w:sz w:val="15"/>
                <w:szCs w:val="15"/>
              </w:rPr>
              <w:t>率定期</w:t>
            </w:r>
          </w:p>
        </w:tc>
        <w:tc>
          <w:tcPr>
            <w:tcW w:w="973" w:type="pct"/>
            <w:tcBorders>
              <w:top w:val="single" w:color="auto" w:sz="4" w:space="0"/>
              <w:bottom w:val="nil"/>
            </w:tcBorders>
            <w:shd w:val="clear" w:color="auto" w:fill="auto"/>
            <w:vAlign w:val="center"/>
          </w:tcPr>
          <w:p w14:paraId="7B7E22FD">
            <w:pPr>
              <w:ind w:firstLine="0" w:firstLineChars="0"/>
              <w:jc w:val="center"/>
              <w:rPr>
                <w:sz w:val="15"/>
                <w:szCs w:val="15"/>
              </w:rPr>
            </w:pPr>
            <w:r>
              <w:rPr>
                <w:rFonts w:hint="eastAsia"/>
                <w:sz w:val="15"/>
                <w:szCs w:val="15"/>
              </w:rPr>
              <w:t>0.87</w:t>
            </w:r>
          </w:p>
        </w:tc>
        <w:tc>
          <w:tcPr>
            <w:tcW w:w="1068" w:type="pct"/>
            <w:tcBorders>
              <w:top w:val="single" w:color="auto" w:sz="4" w:space="0"/>
              <w:bottom w:val="nil"/>
            </w:tcBorders>
            <w:shd w:val="clear" w:color="auto" w:fill="auto"/>
            <w:vAlign w:val="center"/>
          </w:tcPr>
          <w:p w14:paraId="31113F3E">
            <w:pPr>
              <w:ind w:firstLine="0" w:firstLineChars="0"/>
              <w:jc w:val="center"/>
              <w:rPr>
                <w:sz w:val="15"/>
                <w:szCs w:val="15"/>
              </w:rPr>
            </w:pPr>
            <w:r>
              <w:rPr>
                <w:rFonts w:hint="eastAsia"/>
                <w:sz w:val="15"/>
                <w:szCs w:val="15"/>
              </w:rPr>
              <w:t>5.71</w:t>
            </w:r>
          </w:p>
        </w:tc>
        <w:tc>
          <w:tcPr>
            <w:tcW w:w="1760" w:type="pct"/>
            <w:tcBorders>
              <w:top w:val="single" w:color="auto" w:sz="4" w:space="0"/>
              <w:bottom w:val="nil"/>
            </w:tcBorders>
            <w:shd w:val="clear" w:color="auto" w:fill="auto"/>
            <w:vAlign w:val="center"/>
          </w:tcPr>
          <w:p w14:paraId="7DB406C2">
            <w:pPr>
              <w:ind w:firstLine="0" w:firstLineChars="0"/>
              <w:jc w:val="center"/>
              <w:rPr>
                <w:sz w:val="15"/>
                <w:szCs w:val="15"/>
              </w:rPr>
            </w:pPr>
            <w:r>
              <w:rPr>
                <w:rFonts w:hint="eastAsia"/>
                <w:sz w:val="15"/>
                <w:szCs w:val="15"/>
              </w:rPr>
              <w:t>0.88</w:t>
            </w:r>
          </w:p>
        </w:tc>
      </w:tr>
      <w:tr w14:paraId="5F9C4E08">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108" w:type="dxa"/>
            <w:bottom w:w="0" w:type="dxa"/>
            <w:right w:w="108" w:type="dxa"/>
          </w:tblCellMar>
        </w:tblPrEx>
        <w:trPr>
          <w:trHeight w:val="302" w:hRule="atLeast"/>
          <w:jc w:val="center"/>
        </w:trPr>
        <w:tc>
          <w:tcPr>
            <w:tcW w:w="1198" w:type="pct"/>
            <w:tcBorders>
              <w:top w:val="nil"/>
              <w:bottom w:val="single" w:color="auto" w:sz="12" w:space="0"/>
            </w:tcBorders>
            <w:shd w:val="clear" w:color="auto" w:fill="auto"/>
            <w:vAlign w:val="center"/>
          </w:tcPr>
          <w:p w14:paraId="4ECDAEEB">
            <w:pPr>
              <w:ind w:firstLine="0" w:firstLineChars="0"/>
              <w:jc w:val="center"/>
              <w:rPr>
                <w:sz w:val="15"/>
                <w:szCs w:val="15"/>
              </w:rPr>
            </w:pPr>
            <w:r>
              <w:rPr>
                <w:rFonts w:hint="eastAsia"/>
                <w:sz w:val="15"/>
                <w:szCs w:val="15"/>
              </w:rPr>
              <w:t>检验期</w:t>
            </w:r>
          </w:p>
        </w:tc>
        <w:tc>
          <w:tcPr>
            <w:tcW w:w="973" w:type="pct"/>
            <w:tcBorders>
              <w:top w:val="nil"/>
              <w:bottom w:val="single" w:color="auto" w:sz="12" w:space="0"/>
            </w:tcBorders>
            <w:shd w:val="clear" w:color="auto" w:fill="auto"/>
            <w:vAlign w:val="center"/>
          </w:tcPr>
          <w:p w14:paraId="43BC469C">
            <w:pPr>
              <w:ind w:firstLine="0" w:firstLineChars="0"/>
              <w:jc w:val="center"/>
              <w:rPr>
                <w:sz w:val="15"/>
                <w:szCs w:val="15"/>
              </w:rPr>
            </w:pPr>
            <w:r>
              <w:rPr>
                <w:rFonts w:hint="eastAsia"/>
                <w:sz w:val="15"/>
                <w:szCs w:val="15"/>
              </w:rPr>
              <w:t>0.86</w:t>
            </w:r>
          </w:p>
        </w:tc>
        <w:tc>
          <w:tcPr>
            <w:tcW w:w="1068" w:type="pct"/>
            <w:tcBorders>
              <w:top w:val="nil"/>
              <w:bottom w:val="single" w:color="auto" w:sz="12" w:space="0"/>
            </w:tcBorders>
            <w:shd w:val="clear" w:color="auto" w:fill="auto"/>
            <w:vAlign w:val="center"/>
          </w:tcPr>
          <w:p w14:paraId="28EDB553">
            <w:pPr>
              <w:ind w:firstLine="0" w:firstLineChars="0"/>
              <w:jc w:val="center"/>
              <w:rPr>
                <w:sz w:val="15"/>
                <w:szCs w:val="15"/>
              </w:rPr>
            </w:pPr>
            <w:r>
              <w:rPr>
                <w:rFonts w:hint="eastAsia"/>
                <w:sz w:val="15"/>
                <w:szCs w:val="15"/>
              </w:rPr>
              <w:t>8.61</w:t>
            </w:r>
          </w:p>
        </w:tc>
        <w:tc>
          <w:tcPr>
            <w:tcW w:w="1760" w:type="pct"/>
            <w:tcBorders>
              <w:top w:val="nil"/>
              <w:bottom w:val="single" w:color="auto" w:sz="12" w:space="0"/>
            </w:tcBorders>
            <w:shd w:val="clear" w:color="auto" w:fill="auto"/>
            <w:vAlign w:val="center"/>
          </w:tcPr>
          <w:p w14:paraId="42520526">
            <w:pPr>
              <w:ind w:firstLine="0" w:firstLineChars="0"/>
              <w:jc w:val="center"/>
              <w:rPr>
                <w:sz w:val="15"/>
                <w:szCs w:val="15"/>
              </w:rPr>
            </w:pPr>
            <w:r>
              <w:rPr>
                <w:rFonts w:hint="eastAsia"/>
                <w:sz w:val="15"/>
                <w:szCs w:val="15"/>
              </w:rPr>
              <w:t>0.86</w:t>
            </w:r>
          </w:p>
        </w:tc>
      </w:tr>
    </w:tbl>
    <w:p w14:paraId="7AE95840">
      <w:pPr>
        <w:ind w:firstLine="420"/>
      </w:pPr>
      <w:r>
        <w:rPr>
          <w:rFonts w:hint="eastAsia"/>
        </w:rPr>
        <w:t>磅湛站模拟过程如</w:t>
      </w:r>
      <w:r>
        <w:rPr>
          <w:rFonts w:hint="eastAsia" w:ascii="宋体" w:hAnsi="宋体"/>
          <w:bCs/>
        </w:rPr>
        <w:t>图</w:t>
      </w:r>
      <w:r>
        <w:rPr>
          <w:rFonts w:cs="Times New Roman"/>
          <w:bCs/>
        </w:rPr>
        <w:t>6</w:t>
      </w:r>
      <w:r>
        <w:rPr>
          <w:rFonts w:hint="eastAsia"/>
        </w:rPr>
        <w:t>所示。模拟与实测的年均径流量极值年份一致且数值相近，2000年最大值分别为20554.62 m</w:t>
      </w:r>
      <w:r>
        <w:rPr>
          <w:rFonts w:cs="Times New Roman"/>
        </w:rPr>
        <w:t>³</w:t>
      </w:r>
      <w:r>
        <w:rPr>
          <w:rFonts w:hint="eastAsia"/>
        </w:rPr>
        <w:t>/s与19681.75 m</w:t>
      </w:r>
      <w:r>
        <w:rPr>
          <w:rFonts w:cs="Times New Roman"/>
        </w:rPr>
        <w:t>³</w:t>
      </w:r>
      <w:r>
        <w:rPr>
          <w:rFonts w:hint="eastAsia"/>
        </w:rPr>
        <w:t>/s，1998年最小值分别为 10198.81 m</w:t>
      </w:r>
      <w:r>
        <w:rPr>
          <w:rFonts w:cs="Times New Roman"/>
        </w:rPr>
        <w:t>³</w:t>
      </w:r>
      <w:r>
        <w:rPr>
          <w:rFonts w:hint="eastAsia"/>
        </w:rPr>
        <w:t>/s与9349.69 m</w:t>
      </w:r>
      <w:r>
        <w:rPr>
          <w:rFonts w:cs="Times New Roman"/>
        </w:rPr>
        <w:t>³</w:t>
      </w:r>
      <w:r>
        <w:rPr>
          <w:rFonts w:hint="eastAsia"/>
        </w:rPr>
        <w:t>/s。</w:t>
      </w:r>
    </w:p>
    <w:p w14:paraId="3BE84718">
      <w:pPr>
        <w:pStyle w:val="8"/>
        <w:ind w:firstLine="0" w:firstLineChars="0"/>
        <w:jc w:val="center"/>
        <w:rPr>
          <w:rFonts w:ascii="宋体" w:hAnsi="宋体"/>
          <w:sz w:val="24"/>
        </w:rPr>
      </w:pPr>
      <w:r>
        <w:rPr>
          <w:rFonts w:ascii="宋体" w:hAnsi="宋体"/>
          <w:sz w:val="24"/>
        </w:rPr>
        <w:drawing>
          <wp:inline distT="0" distB="0" distL="114300" distR="114300">
            <wp:extent cx="3177540" cy="1487805"/>
            <wp:effectExtent l="0" t="0" r="7620" b="5715"/>
            <wp:docPr id="24" name="图片 3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0" descr="IMG_256"/>
                    <pic:cNvPicPr>
                      <a:picLocks noChangeAspect="1"/>
                    </pic:cNvPicPr>
                  </pic:nvPicPr>
                  <pic:blipFill>
                    <a:blip r:embed="rId55"/>
                    <a:srcRect l="5478" t="9791" r="3299" b="6507"/>
                    <a:stretch>
                      <a:fillRect/>
                    </a:stretch>
                  </pic:blipFill>
                  <pic:spPr>
                    <a:xfrm>
                      <a:off x="0" y="0"/>
                      <a:ext cx="3177540" cy="1487805"/>
                    </a:xfrm>
                    <a:prstGeom prst="rect">
                      <a:avLst/>
                    </a:prstGeom>
                    <a:noFill/>
                    <a:ln w="9525">
                      <a:noFill/>
                    </a:ln>
                  </pic:spPr>
                </pic:pic>
              </a:graphicData>
            </a:graphic>
          </wp:inline>
        </w:drawing>
      </w:r>
    </w:p>
    <w:p w14:paraId="52EA3475">
      <w:pPr>
        <w:pStyle w:val="7"/>
        <w:rPr>
          <w:rFonts w:ascii="宋体" w:hAnsi="宋体" w:cs="宋体"/>
        </w:rPr>
      </w:pPr>
      <w:bookmarkStart w:id="11" w:name="_Ref5876"/>
      <w:bookmarkStart w:id="12" w:name="_Ref5866"/>
      <w:r>
        <w:rPr>
          <w:rFonts w:hint="eastAsia" w:ascii="宋体" w:hAnsi="宋体" w:cs="宋体"/>
        </w:rPr>
        <w:t>图</w:t>
      </w:r>
      <w:r>
        <w:rPr>
          <w:rFonts w:cs="Times New Roman"/>
        </w:rPr>
        <w:t>6</w:t>
      </w:r>
      <w:bookmarkEnd w:id="11"/>
      <w:r>
        <w:rPr>
          <w:rFonts w:hint="eastAsia" w:ascii="宋体" w:hAnsi="宋体" w:cs="宋体"/>
        </w:rPr>
        <w:t xml:space="preserve">  </w:t>
      </w:r>
      <w:r>
        <w:rPr>
          <w:rFonts w:hint="eastAsia"/>
          <w:szCs w:val="18"/>
        </w:rPr>
        <w:t>磅湛</w:t>
      </w:r>
      <w:r>
        <w:rPr>
          <w:rFonts w:hint="eastAsia" w:ascii="宋体" w:hAnsi="宋体" w:cs="宋体"/>
        </w:rPr>
        <w:t>站</w:t>
      </w:r>
      <w:bookmarkEnd w:id="12"/>
      <w:r>
        <w:rPr>
          <w:rFonts w:hint="eastAsia" w:ascii="宋体" w:hAnsi="宋体" w:cs="宋体"/>
        </w:rPr>
        <w:t>实测及模拟径流过程对比</w:t>
      </w:r>
    </w:p>
    <w:p w14:paraId="46246D92">
      <w:pPr>
        <w:ind w:firstLine="0" w:firstLineChars="0"/>
        <w:jc w:val="center"/>
        <w:rPr>
          <w:rFonts w:eastAsia="黑体" w:cs="Times New Roman"/>
          <w:bCs/>
          <w:kern w:val="0"/>
          <w:sz w:val="18"/>
          <w:szCs w:val="18"/>
        </w:rPr>
      </w:pPr>
      <w:r>
        <w:rPr>
          <w:rFonts w:hint="eastAsia" w:eastAsia="黑体" w:cs="Times New Roman"/>
          <w:bCs/>
          <w:kern w:val="0"/>
          <w:sz w:val="18"/>
          <w:szCs w:val="18"/>
        </w:rPr>
        <w:t>Fig.</w:t>
      </w:r>
      <w:r>
        <w:rPr>
          <w:rFonts w:hint="eastAsia" w:eastAsia="黑体" w:cs="Times New Roman"/>
          <w:bCs/>
          <w:kern w:val="0"/>
          <w:sz w:val="18"/>
          <w:szCs w:val="18"/>
          <w:lang w:val="en-US" w:eastAsia="zh-CN"/>
        </w:rPr>
        <w:t xml:space="preserve"> </w:t>
      </w:r>
      <w:r>
        <w:rPr>
          <w:rFonts w:hint="eastAsia" w:eastAsia="黑体" w:cs="Times New Roman"/>
          <w:bCs/>
          <w:kern w:val="0"/>
          <w:sz w:val="18"/>
          <w:szCs w:val="18"/>
        </w:rPr>
        <w:t>6  Comparison between observed and simulated runoff processes at Kompong Cham station</w:t>
      </w:r>
    </w:p>
    <w:p w14:paraId="6A0D1E4D">
      <w:pPr>
        <w:pStyle w:val="8"/>
        <w:ind w:firstLine="420"/>
      </w:pPr>
      <w:r>
        <w:rPr>
          <w:rFonts w:hint="eastAsia"/>
        </w:rPr>
        <w:t>为检验模型在极端水文条件下的模拟稳健性，以柬埔寨2000年洪水</w:t>
      </w:r>
      <w:r>
        <w:rPr>
          <w:rFonts w:hint="eastAsia"/>
          <w:vertAlign w:val="superscript"/>
        </w:rPr>
        <w:t>[35]</w:t>
      </w:r>
      <w:r>
        <w:rPr>
          <w:rFonts w:hint="eastAsia"/>
        </w:rPr>
        <w:t>与2005年干旱事件</w:t>
      </w:r>
      <w:r>
        <w:rPr>
          <w:rFonts w:hint="eastAsia"/>
          <w:vertAlign w:val="superscript"/>
        </w:rPr>
        <w:t>[36]</w:t>
      </w:r>
      <w:r>
        <w:rPr>
          <w:rFonts w:hint="eastAsia"/>
        </w:rPr>
        <w:t>为例进行评估。采用日径流第95</w:t>
      </w:r>
      <w:r>
        <w:rPr>
          <w:rFonts w:hint="eastAsia"/>
          <w:color w:val="000000"/>
          <w:shd w:val="clear" w:color="auto" w:fill="FFFFFF"/>
        </w:rPr>
        <w:t>百</w:t>
      </w:r>
      <w:r>
        <w:rPr>
          <w:rFonts w:hint="eastAsia"/>
        </w:rPr>
        <w:t>分位数定义洪峰、第10</w:t>
      </w:r>
      <w:r>
        <w:rPr>
          <w:rFonts w:hint="eastAsia"/>
          <w:color w:val="000000"/>
          <w:shd w:val="clear" w:color="auto" w:fill="FFFFFF"/>
        </w:rPr>
        <w:t>百</w:t>
      </w:r>
      <w:r>
        <w:rPr>
          <w:rFonts w:hint="eastAsia"/>
        </w:rPr>
        <w:t>分位数定义枯水期。经对比第9</w:t>
      </w:r>
      <w:r>
        <w:rPr>
          <w:rFonts w:hint="eastAsia"/>
          <w:color w:val="000000"/>
          <w:shd w:val="clear" w:color="auto" w:fill="FFFFFF"/>
        </w:rPr>
        <w:t>0、95、9</w:t>
      </w:r>
      <w:r>
        <w:rPr>
          <w:rFonts w:hint="eastAsia"/>
        </w:rPr>
        <w:t>9</w:t>
      </w:r>
      <w:r>
        <w:rPr>
          <w:rFonts w:hint="eastAsia"/>
          <w:color w:val="000000"/>
          <w:shd w:val="clear" w:color="auto" w:fill="FFFFFF"/>
        </w:rPr>
        <w:t>百</w:t>
      </w:r>
      <w:r>
        <w:rPr>
          <w:rFonts w:hint="eastAsia"/>
        </w:rPr>
        <w:t>分位数阈值，结果显示洪量误差极差小于0.6%，峰值误差极差小于0.3%，峰现时间差不超过1天，关键指标保持稳定，表明第95</w:t>
      </w:r>
      <w:r>
        <w:rPr>
          <w:rFonts w:hint="eastAsia"/>
          <w:color w:val="000000"/>
          <w:shd w:val="clear" w:color="auto" w:fill="FFFFFF"/>
        </w:rPr>
        <w:t>百</w:t>
      </w:r>
      <w:r>
        <w:rPr>
          <w:rFonts w:hint="eastAsia"/>
        </w:rPr>
        <w:t>分位阈值选取具有稳健性，且该阈值在水文统计分析中常用于表征极端洪水事件</w:t>
      </w:r>
      <w:r>
        <w:rPr>
          <w:rFonts w:hint="eastAsia"/>
          <w:vertAlign w:val="superscript"/>
        </w:rPr>
        <w:t>[37]</w:t>
      </w:r>
      <w:r>
        <w:rPr>
          <w:rFonts w:hint="eastAsia"/>
        </w:rPr>
        <w:t>。采用纳什效率系数</w:t>
      </w:r>
      <w:r>
        <w:rPr>
          <w:rFonts w:hint="eastAsia"/>
          <w:i/>
        </w:rPr>
        <w:t>NSE</w:t>
      </w:r>
      <w:r>
        <w:rPr>
          <w:rFonts w:hint="eastAsia"/>
        </w:rPr>
        <w:t>和枯水期水量误差进行评估，结果如表6所列。</w:t>
      </w:r>
    </w:p>
    <w:p w14:paraId="0E8E9ED3">
      <w:pPr>
        <w:pStyle w:val="7"/>
      </w:pPr>
      <w:bookmarkStart w:id="13" w:name="_Ref17410"/>
      <w:r>
        <w:t>表6</w:t>
      </w:r>
      <w:bookmarkEnd w:id="13"/>
      <w:r>
        <w:rPr>
          <w:rFonts w:hint="eastAsia"/>
        </w:rPr>
        <w:t xml:space="preserve">  洪水与枯水期模拟精度评价</w:t>
      </w:r>
    </w:p>
    <w:p w14:paraId="04ECD9E3">
      <w:pPr>
        <w:pStyle w:val="7"/>
        <w:rPr>
          <w:bCs w:val="0"/>
        </w:rPr>
      </w:pPr>
      <w:r>
        <w:rPr>
          <w:rFonts w:hint="eastAsia"/>
          <w:bCs w:val="0"/>
        </w:rPr>
        <w:t>Tab</w:t>
      </w:r>
      <w:r>
        <w:rPr>
          <w:rFonts w:hint="eastAsia"/>
          <w:bCs w:val="0"/>
          <w:lang w:val="en-US" w:eastAsia="zh-CN"/>
        </w:rPr>
        <w:t xml:space="preserve">le </w:t>
      </w:r>
      <w:r>
        <w:rPr>
          <w:rFonts w:hint="eastAsia"/>
          <w:bCs w:val="0"/>
        </w:rPr>
        <w:t>6  Evaluation of simulation accuracy during flood and dry seasons</w:t>
      </w:r>
    </w:p>
    <w:tbl>
      <w:tblPr>
        <w:tblStyle w:val="13"/>
        <w:tblW w:w="8428" w:type="dxa"/>
        <w:jc w:val="center"/>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66"/>
        <w:gridCol w:w="1221"/>
        <w:gridCol w:w="1052"/>
        <w:gridCol w:w="1030"/>
        <w:gridCol w:w="1160"/>
        <w:gridCol w:w="1596"/>
        <w:gridCol w:w="1303"/>
      </w:tblGrid>
      <w:tr w14:paraId="6002B8F6">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1066" w:type="dxa"/>
            <w:tcBorders>
              <w:top w:val="single" w:color="000000" w:sz="12" w:space="0"/>
              <w:bottom w:val="single" w:color="000000" w:sz="4" w:space="0"/>
            </w:tcBorders>
          </w:tcPr>
          <w:p w14:paraId="0D6F7F62">
            <w:pPr>
              <w:ind w:firstLine="0" w:firstLineChars="0"/>
              <w:jc w:val="center"/>
              <w:rPr>
                <w:sz w:val="15"/>
                <w:szCs w:val="15"/>
              </w:rPr>
            </w:pPr>
            <w:r>
              <w:rPr>
                <w:rFonts w:hint="eastAsia"/>
                <w:sz w:val="15"/>
                <w:szCs w:val="15"/>
              </w:rPr>
              <w:t>评估类型</w:t>
            </w:r>
          </w:p>
        </w:tc>
        <w:tc>
          <w:tcPr>
            <w:tcW w:w="1221" w:type="dxa"/>
            <w:tcBorders>
              <w:top w:val="single" w:color="000000" w:sz="12" w:space="0"/>
              <w:bottom w:val="single" w:color="000000" w:sz="4" w:space="0"/>
            </w:tcBorders>
          </w:tcPr>
          <w:p w14:paraId="097682A2">
            <w:pPr>
              <w:ind w:firstLine="0" w:firstLineChars="0"/>
              <w:jc w:val="center"/>
              <w:rPr>
                <w:sz w:val="15"/>
                <w:szCs w:val="15"/>
              </w:rPr>
            </w:pPr>
            <w:r>
              <w:rPr>
                <w:rFonts w:hint="eastAsia"/>
                <w:sz w:val="15"/>
                <w:szCs w:val="15"/>
              </w:rPr>
              <w:t>具体事件</w:t>
            </w:r>
          </w:p>
        </w:tc>
        <w:tc>
          <w:tcPr>
            <w:tcW w:w="1052" w:type="dxa"/>
            <w:tcBorders>
              <w:top w:val="single" w:color="000000" w:sz="12" w:space="0"/>
              <w:bottom w:val="single" w:color="000000" w:sz="4" w:space="0"/>
            </w:tcBorders>
          </w:tcPr>
          <w:p w14:paraId="227E44E3">
            <w:pPr>
              <w:ind w:firstLine="0" w:firstLineChars="0"/>
              <w:jc w:val="center"/>
              <w:rPr>
                <w:sz w:val="15"/>
                <w:szCs w:val="15"/>
              </w:rPr>
            </w:pPr>
            <w:r>
              <w:rPr>
                <w:rFonts w:hint="eastAsia"/>
                <w:sz w:val="15"/>
                <w:szCs w:val="15"/>
              </w:rPr>
              <w:t>洪量误差/%</w:t>
            </w:r>
          </w:p>
        </w:tc>
        <w:tc>
          <w:tcPr>
            <w:tcW w:w="1030" w:type="dxa"/>
            <w:tcBorders>
              <w:top w:val="single" w:color="000000" w:sz="12" w:space="0"/>
              <w:bottom w:val="single" w:color="000000" w:sz="4" w:space="0"/>
            </w:tcBorders>
          </w:tcPr>
          <w:p w14:paraId="61258F9B">
            <w:pPr>
              <w:ind w:firstLine="0" w:firstLineChars="0"/>
              <w:jc w:val="center"/>
              <w:rPr>
                <w:sz w:val="15"/>
                <w:szCs w:val="15"/>
              </w:rPr>
            </w:pPr>
            <w:r>
              <w:rPr>
                <w:rFonts w:hint="eastAsia"/>
                <w:sz w:val="15"/>
                <w:szCs w:val="15"/>
              </w:rPr>
              <w:t>峰值误差/%</w:t>
            </w:r>
          </w:p>
        </w:tc>
        <w:tc>
          <w:tcPr>
            <w:tcW w:w="1160" w:type="dxa"/>
            <w:tcBorders>
              <w:top w:val="single" w:color="000000" w:sz="12" w:space="0"/>
              <w:bottom w:val="single" w:color="000000" w:sz="4" w:space="0"/>
            </w:tcBorders>
          </w:tcPr>
          <w:p w14:paraId="790310A9">
            <w:pPr>
              <w:ind w:firstLine="0" w:firstLineChars="0"/>
              <w:jc w:val="center"/>
              <w:rPr>
                <w:sz w:val="15"/>
                <w:szCs w:val="15"/>
              </w:rPr>
            </w:pPr>
            <w:r>
              <w:rPr>
                <w:rFonts w:hint="eastAsia"/>
                <w:sz w:val="15"/>
                <w:szCs w:val="15"/>
              </w:rPr>
              <w:t>峰现时间差/d</w:t>
            </w:r>
          </w:p>
        </w:tc>
        <w:tc>
          <w:tcPr>
            <w:tcW w:w="1596" w:type="dxa"/>
            <w:tcBorders>
              <w:top w:val="single" w:color="000000" w:sz="12" w:space="0"/>
              <w:bottom w:val="single" w:color="000000" w:sz="4" w:space="0"/>
            </w:tcBorders>
          </w:tcPr>
          <w:p w14:paraId="05A31E0E">
            <w:pPr>
              <w:ind w:firstLine="0" w:firstLineChars="0"/>
              <w:jc w:val="center"/>
              <w:rPr>
                <w:sz w:val="15"/>
                <w:szCs w:val="15"/>
              </w:rPr>
            </w:pPr>
            <w:r>
              <w:rPr>
                <w:rFonts w:hint="eastAsia"/>
                <w:sz w:val="15"/>
                <w:szCs w:val="15"/>
              </w:rPr>
              <w:t>枯水期水量误差/%</w:t>
            </w:r>
          </w:p>
        </w:tc>
        <w:tc>
          <w:tcPr>
            <w:tcW w:w="1303" w:type="dxa"/>
            <w:tcBorders>
              <w:top w:val="single" w:color="000000" w:sz="12" w:space="0"/>
              <w:bottom w:val="single" w:color="000000" w:sz="4" w:space="0"/>
            </w:tcBorders>
          </w:tcPr>
          <w:p w14:paraId="5DC4BFE6">
            <w:pPr>
              <w:ind w:firstLine="0" w:firstLineChars="0"/>
              <w:jc w:val="center"/>
              <w:rPr>
                <w:sz w:val="15"/>
                <w:szCs w:val="15"/>
              </w:rPr>
            </w:pPr>
            <w:r>
              <w:rPr>
                <w:rFonts w:hint="eastAsia"/>
                <w:sz w:val="15"/>
                <w:szCs w:val="15"/>
              </w:rPr>
              <w:t>枯水期</w:t>
            </w:r>
            <w:r>
              <w:rPr>
                <w:rFonts w:hint="eastAsia"/>
                <w:i/>
                <w:iCs/>
                <w:sz w:val="15"/>
                <w:szCs w:val="15"/>
              </w:rPr>
              <w:t>NSE</w:t>
            </w:r>
          </w:p>
        </w:tc>
      </w:tr>
      <w:tr w14:paraId="5833319C">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6" w:type="dxa"/>
            <w:vMerge w:val="restart"/>
            <w:tcBorders>
              <w:top w:val="single" w:color="000000" w:sz="4" w:space="0"/>
            </w:tcBorders>
            <w:vAlign w:val="center"/>
          </w:tcPr>
          <w:p w14:paraId="637EB079">
            <w:pPr>
              <w:ind w:firstLine="0" w:firstLineChars="0"/>
              <w:jc w:val="center"/>
              <w:rPr>
                <w:sz w:val="15"/>
                <w:szCs w:val="15"/>
              </w:rPr>
            </w:pPr>
            <w:r>
              <w:rPr>
                <w:rFonts w:hint="eastAsia"/>
                <w:sz w:val="15"/>
                <w:szCs w:val="15"/>
              </w:rPr>
              <w:t>洪水事件</w:t>
            </w:r>
          </w:p>
        </w:tc>
        <w:tc>
          <w:tcPr>
            <w:tcW w:w="1221" w:type="dxa"/>
            <w:tcBorders>
              <w:top w:val="single" w:color="000000" w:sz="4" w:space="0"/>
            </w:tcBorders>
          </w:tcPr>
          <w:p w14:paraId="0E44FC82">
            <w:pPr>
              <w:ind w:firstLine="0" w:firstLineChars="0"/>
              <w:jc w:val="center"/>
              <w:rPr>
                <w:sz w:val="15"/>
                <w:szCs w:val="15"/>
              </w:rPr>
            </w:pPr>
            <w:r>
              <w:rPr>
                <w:rFonts w:hint="eastAsia"/>
                <w:sz w:val="15"/>
                <w:szCs w:val="15"/>
              </w:rPr>
              <w:t>2000年事件1</w:t>
            </w:r>
          </w:p>
        </w:tc>
        <w:tc>
          <w:tcPr>
            <w:tcW w:w="1052" w:type="dxa"/>
            <w:tcBorders>
              <w:top w:val="single" w:color="000000" w:sz="4" w:space="0"/>
            </w:tcBorders>
          </w:tcPr>
          <w:p w14:paraId="0797C5F2">
            <w:pPr>
              <w:ind w:firstLine="0" w:firstLineChars="0"/>
              <w:jc w:val="center"/>
              <w:rPr>
                <w:sz w:val="15"/>
                <w:szCs w:val="15"/>
              </w:rPr>
            </w:pPr>
            <w:r>
              <w:rPr>
                <w:rFonts w:hint="eastAsia"/>
                <w:sz w:val="15"/>
                <w:szCs w:val="15"/>
              </w:rPr>
              <w:t>3.3</w:t>
            </w:r>
          </w:p>
        </w:tc>
        <w:tc>
          <w:tcPr>
            <w:tcW w:w="1030" w:type="dxa"/>
            <w:tcBorders>
              <w:top w:val="single" w:color="000000" w:sz="4" w:space="0"/>
            </w:tcBorders>
          </w:tcPr>
          <w:p w14:paraId="649189A9">
            <w:pPr>
              <w:ind w:firstLine="0" w:firstLineChars="0"/>
              <w:jc w:val="center"/>
              <w:rPr>
                <w:sz w:val="15"/>
                <w:szCs w:val="15"/>
              </w:rPr>
            </w:pPr>
            <w:r>
              <w:rPr>
                <w:rFonts w:hint="eastAsia"/>
                <w:sz w:val="15"/>
                <w:szCs w:val="15"/>
              </w:rPr>
              <w:t>2.7</w:t>
            </w:r>
          </w:p>
        </w:tc>
        <w:tc>
          <w:tcPr>
            <w:tcW w:w="1160" w:type="dxa"/>
            <w:tcBorders>
              <w:top w:val="single" w:color="000000" w:sz="4" w:space="0"/>
            </w:tcBorders>
          </w:tcPr>
          <w:p w14:paraId="3E5B13CD">
            <w:pPr>
              <w:ind w:firstLine="0" w:firstLineChars="0"/>
              <w:jc w:val="center"/>
              <w:rPr>
                <w:sz w:val="15"/>
                <w:szCs w:val="15"/>
              </w:rPr>
            </w:pPr>
            <w:r>
              <w:rPr>
                <w:rFonts w:hint="eastAsia"/>
                <w:sz w:val="15"/>
                <w:szCs w:val="15"/>
              </w:rPr>
              <w:t>0</w:t>
            </w:r>
          </w:p>
        </w:tc>
        <w:tc>
          <w:tcPr>
            <w:tcW w:w="1596" w:type="dxa"/>
            <w:tcBorders>
              <w:top w:val="single" w:color="000000" w:sz="4" w:space="0"/>
            </w:tcBorders>
          </w:tcPr>
          <w:p w14:paraId="47137F88">
            <w:pPr>
              <w:ind w:firstLine="0" w:firstLineChars="0"/>
              <w:jc w:val="center"/>
              <w:rPr>
                <w:sz w:val="15"/>
                <w:szCs w:val="15"/>
              </w:rPr>
            </w:pPr>
            <w:r>
              <w:rPr>
                <w:rFonts w:hint="eastAsia"/>
                <w:sz w:val="15"/>
                <w:szCs w:val="15"/>
              </w:rPr>
              <w:t>—</w:t>
            </w:r>
          </w:p>
        </w:tc>
        <w:tc>
          <w:tcPr>
            <w:tcW w:w="1303" w:type="dxa"/>
            <w:tcBorders>
              <w:top w:val="single" w:color="000000" w:sz="4" w:space="0"/>
            </w:tcBorders>
          </w:tcPr>
          <w:p w14:paraId="52105900">
            <w:pPr>
              <w:ind w:firstLine="0" w:firstLineChars="0"/>
              <w:jc w:val="center"/>
              <w:rPr>
                <w:sz w:val="15"/>
                <w:szCs w:val="15"/>
              </w:rPr>
            </w:pPr>
            <w:r>
              <w:rPr>
                <w:rFonts w:hint="eastAsia"/>
                <w:sz w:val="15"/>
                <w:szCs w:val="15"/>
              </w:rPr>
              <w:t>—</w:t>
            </w:r>
          </w:p>
        </w:tc>
      </w:tr>
      <w:tr w14:paraId="73908F65">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6" w:type="dxa"/>
            <w:vMerge w:val="continue"/>
          </w:tcPr>
          <w:p w14:paraId="3F031AFE">
            <w:pPr>
              <w:ind w:firstLine="0" w:firstLineChars="0"/>
              <w:jc w:val="center"/>
              <w:rPr>
                <w:sz w:val="15"/>
                <w:szCs w:val="15"/>
              </w:rPr>
            </w:pPr>
          </w:p>
        </w:tc>
        <w:tc>
          <w:tcPr>
            <w:tcW w:w="1221" w:type="dxa"/>
          </w:tcPr>
          <w:p w14:paraId="752F5CA2">
            <w:pPr>
              <w:ind w:firstLine="0" w:firstLineChars="0"/>
              <w:jc w:val="center"/>
              <w:rPr>
                <w:sz w:val="15"/>
                <w:szCs w:val="15"/>
              </w:rPr>
            </w:pPr>
            <w:r>
              <w:rPr>
                <w:rFonts w:hint="eastAsia"/>
                <w:sz w:val="15"/>
                <w:szCs w:val="15"/>
              </w:rPr>
              <w:t>2000年事件2</w:t>
            </w:r>
          </w:p>
        </w:tc>
        <w:tc>
          <w:tcPr>
            <w:tcW w:w="1052" w:type="dxa"/>
          </w:tcPr>
          <w:p w14:paraId="3501B54D">
            <w:pPr>
              <w:ind w:firstLine="0" w:firstLineChars="0"/>
              <w:jc w:val="center"/>
              <w:rPr>
                <w:sz w:val="15"/>
                <w:szCs w:val="15"/>
              </w:rPr>
            </w:pPr>
            <w:r>
              <w:rPr>
                <w:rFonts w:hint="eastAsia"/>
                <w:sz w:val="15"/>
                <w:szCs w:val="15"/>
              </w:rPr>
              <w:t>2.0</w:t>
            </w:r>
          </w:p>
        </w:tc>
        <w:tc>
          <w:tcPr>
            <w:tcW w:w="1030" w:type="dxa"/>
          </w:tcPr>
          <w:p w14:paraId="1D952DF5">
            <w:pPr>
              <w:ind w:firstLine="0" w:firstLineChars="0"/>
              <w:jc w:val="center"/>
              <w:rPr>
                <w:sz w:val="15"/>
                <w:szCs w:val="15"/>
              </w:rPr>
            </w:pPr>
            <w:r>
              <w:rPr>
                <w:rFonts w:hint="eastAsia"/>
                <w:sz w:val="15"/>
                <w:szCs w:val="15"/>
              </w:rPr>
              <w:t>3.4</w:t>
            </w:r>
          </w:p>
        </w:tc>
        <w:tc>
          <w:tcPr>
            <w:tcW w:w="1160" w:type="dxa"/>
          </w:tcPr>
          <w:p w14:paraId="7F10C174">
            <w:pPr>
              <w:ind w:firstLine="0" w:firstLineChars="0"/>
              <w:jc w:val="center"/>
              <w:rPr>
                <w:sz w:val="15"/>
                <w:szCs w:val="15"/>
              </w:rPr>
            </w:pPr>
            <w:r>
              <w:rPr>
                <w:rFonts w:hint="eastAsia"/>
                <w:sz w:val="15"/>
                <w:szCs w:val="15"/>
              </w:rPr>
              <w:t>1</w:t>
            </w:r>
          </w:p>
        </w:tc>
        <w:tc>
          <w:tcPr>
            <w:tcW w:w="1596" w:type="dxa"/>
          </w:tcPr>
          <w:p w14:paraId="40DA7AD9">
            <w:pPr>
              <w:ind w:firstLine="0" w:firstLineChars="0"/>
              <w:jc w:val="center"/>
              <w:rPr>
                <w:sz w:val="15"/>
                <w:szCs w:val="15"/>
              </w:rPr>
            </w:pPr>
            <w:r>
              <w:rPr>
                <w:rFonts w:hint="eastAsia"/>
                <w:sz w:val="15"/>
                <w:szCs w:val="15"/>
              </w:rPr>
              <w:t>—</w:t>
            </w:r>
          </w:p>
        </w:tc>
        <w:tc>
          <w:tcPr>
            <w:tcW w:w="1303" w:type="dxa"/>
          </w:tcPr>
          <w:p w14:paraId="18A7AC7A">
            <w:pPr>
              <w:ind w:firstLine="0" w:firstLineChars="0"/>
              <w:jc w:val="center"/>
              <w:rPr>
                <w:sz w:val="15"/>
                <w:szCs w:val="15"/>
              </w:rPr>
            </w:pPr>
            <w:r>
              <w:rPr>
                <w:rFonts w:hint="eastAsia"/>
                <w:sz w:val="15"/>
                <w:szCs w:val="15"/>
              </w:rPr>
              <w:t>—</w:t>
            </w:r>
          </w:p>
        </w:tc>
      </w:tr>
      <w:tr w14:paraId="5049BE31">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6" w:type="dxa"/>
          </w:tcPr>
          <w:p w14:paraId="0BDA160C">
            <w:pPr>
              <w:ind w:firstLine="0" w:firstLineChars="0"/>
              <w:jc w:val="center"/>
              <w:rPr>
                <w:sz w:val="15"/>
                <w:szCs w:val="15"/>
              </w:rPr>
            </w:pPr>
            <w:r>
              <w:rPr>
                <w:rFonts w:hint="eastAsia"/>
                <w:sz w:val="15"/>
                <w:szCs w:val="15"/>
              </w:rPr>
              <w:t>枯水期</w:t>
            </w:r>
          </w:p>
        </w:tc>
        <w:tc>
          <w:tcPr>
            <w:tcW w:w="1221" w:type="dxa"/>
          </w:tcPr>
          <w:p w14:paraId="488C83AE">
            <w:pPr>
              <w:ind w:firstLine="0" w:firstLineChars="0"/>
              <w:jc w:val="center"/>
              <w:rPr>
                <w:sz w:val="15"/>
                <w:szCs w:val="15"/>
              </w:rPr>
            </w:pPr>
            <w:r>
              <w:rPr>
                <w:rFonts w:hint="eastAsia"/>
                <w:sz w:val="15"/>
                <w:szCs w:val="15"/>
              </w:rPr>
              <w:t>2005年枯水期</w:t>
            </w:r>
          </w:p>
        </w:tc>
        <w:tc>
          <w:tcPr>
            <w:tcW w:w="1052" w:type="dxa"/>
          </w:tcPr>
          <w:p w14:paraId="51A48253">
            <w:pPr>
              <w:ind w:firstLine="0" w:firstLineChars="0"/>
              <w:jc w:val="center"/>
              <w:rPr>
                <w:sz w:val="15"/>
                <w:szCs w:val="15"/>
              </w:rPr>
            </w:pPr>
            <w:r>
              <w:rPr>
                <w:rFonts w:hint="eastAsia"/>
                <w:sz w:val="15"/>
                <w:szCs w:val="15"/>
              </w:rPr>
              <w:t>—</w:t>
            </w:r>
          </w:p>
        </w:tc>
        <w:tc>
          <w:tcPr>
            <w:tcW w:w="1030" w:type="dxa"/>
          </w:tcPr>
          <w:p w14:paraId="2F289B5F">
            <w:pPr>
              <w:ind w:firstLine="0" w:firstLineChars="0"/>
              <w:jc w:val="center"/>
              <w:rPr>
                <w:sz w:val="15"/>
                <w:szCs w:val="15"/>
              </w:rPr>
            </w:pPr>
            <w:r>
              <w:rPr>
                <w:rFonts w:hint="eastAsia"/>
                <w:sz w:val="15"/>
                <w:szCs w:val="15"/>
              </w:rPr>
              <w:t>—</w:t>
            </w:r>
          </w:p>
        </w:tc>
        <w:tc>
          <w:tcPr>
            <w:tcW w:w="1160" w:type="dxa"/>
          </w:tcPr>
          <w:p w14:paraId="43DD5098">
            <w:pPr>
              <w:ind w:firstLine="0" w:firstLineChars="0"/>
              <w:jc w:val="center"/>
              <w:rPr>
                <w:sz w:val="15"/>
                <w:szCs w:val="15"/>
              </w:rPr>
            </w:pPr>
            <w:r>
              <w:rPr>
                <w:rFonts w:hint="eastAsia"/>
                <w:sz w:val="15"/>
                <w:szCs w:val="15"/>
              </w:rPr>
              <w:t>—</w:t>
            </w:r>
          </w:p>
        </w:tc>
        <w:tc>
          <w:tcPr>
            <w:tcW w:w="1596" w:type="dxa"/>
          </w:tcPr>
          <w:p w14:paraId="1C69C331">
            <w:pPr>
              <w:ind w:firstLine="0" w:firstLineChars="0"/>
              <w:jc w:val="center"/>
              <w:rPr>
                <w:sz w:val="15"/>
                <w:szCs w:val="15"/>
              </w:rPr>
            </w:pPr>
            <w:r>
              <w:rPr>
                <w:rFonts w:hint="eastAsia"/>
                <w:sz w:val="15"/>
                <w:szCs w:val="15"/>
              </w:rPr>
              <w:t>8.83</w:t>
            </w:r>
          </w:p>
        </w:tc>
        <w:tc>
          <w:tcPr>
            <w:tcW w:w="1303" w:type="dxa"/>
          </w:tcPr>
          <w:p w14:paraId="2071FED4">
            <w:pPr>
              <w:ind w:firstLine="0" w:firstLineChars="0"/>
              <w:jc w:val="center"/>
              <w:rPr>
                <w:sz w:val="15"/>
                <w:szCs w:val="15"/>
              </w:rPr>
            </w:pPr>
            <w:r>
              <w:rPr>
                <w:rFonts w:hint="eastAsia"/>
                <w:sz w:val="15"/>
                <w:szCs w:val="15"/>
              </w:rPr>
              <w:t>0.78</w:t>
            </w:r>
          </w:p>
        </w:tc>
      </w:tr>
    </w:tbl>
    <w:p w14:paraId="270931E8">
      <w:pPr>
        <w:ind w:firstLine="420"/>
      </w:pPr>
      <w:r>
        <w:rPr>
          <w:rFonts w:hint="eastAsia"/>
        </w:rPr>
        <w:t>结果表明模型在洪峰过程、峰现时间及枯水径流模拟中的准确性，所构建的模型在湄公河流域取得了较好的模拟效果，参证流域的成功率定为后续基于土地利用类型的参数迁移提供了可靠的基准，奠定了该方法在少资料流域应用的可行性基础。</w:t>
      </w:r>
    </w:p>
    <w:p w14:paraId="0822B95F">
      <w:pPr>
        <w:pStyle w:val="3"/>
        <w:numPr>
          <w:ilvl w:val="0"/>
          <w:numId w:val="0"/>
        </w:numPr>
      </w:pPr>
      <w:r>
        <w:t xml:space="preserve">2.3 </w:t>
      </w:r>
      <w:r>
        <w:rPr>
          <w:rFonts w:hint="eastAsia"/>
        </w:rPr>
        <w:t>参数迁移效果分析</w:t>
      </w:r>
    </w:p>
    <w:p w14:paraId="02BAB3A7">
      <w:pPr>
        <w:ind w:firstLine="420"/>
      </w:pPr>
      <w:r>
        <w:rPr>
          <w:rFonts w:hint="eastAsia"/>
        </w:rPr>
        <w:t>为验证参数迁移效果，采用瞬时单位线法和前期影响雨量法模拟特努伦水文站径流，结果如表7所列。</w:t>
      </w:r>
    </w:p>
    <w:p w14:paraId="0926FFD6">
      <w:pPr>
        <w:pStyle w:val="7"/>
        <w:rPr>
          <w:bCs w:val="0"/>
        </w:rPr>
      </w:pPr>
      <w:bookmarkStart w:id="14" w:name="_Ref5820"/>
      <w:r>
        <w:rPr>
          <w:rFonts w:hint="eastAsia"/>
          <w:bCs w:val="0"/>
        </w:rPr>
        <w:t>表7</w:t>
      </w:r>
      <w:bookmarkEnd w:id="14"/>
      <w:r>
        <w:rPr>
          <w:rFonts w:hint="eastAsia"/>
          <w:bCs w:val="0"/>
        </w:rPr>
        <w:t xml:space="preserve">  特努伦站径流模拟结果评价</w:t>
      </w:r>
    </w:p>
    <w:p w14:paraId="2F90CC07">
      <w:pPr>
        <w:pStyle w:val="7"/>
        <w:rPr>
          <w:bCs w:val="0"/>
        </w:rPr>
      </w:pPr>
      <w:r>
        <w:rPr>
          <w:rFonts w:hint="eastAsia"/>
          <w:bCs w:val="0"/>
        </w:rPr>
        <w:t>Tab</w:t>
      </w:r>
      <w:r>
        <w:rPr>
          <w:rFonts w:hint="eastAsia"/>
          <w:bCs w:val="0"/>
          <w:lang w:val="en-US" w:eastAsia="zh-CN"/>
        </w:rPr>
        <w:t xml:space="preserve">le </w:t>
      </w:r>
      <w:r>
        <w:rPr>
          <w:rFonts w:hint="eastAsia"/>
          <w:bCs w:val="0"/>
        </w:rPr>
        <w:t xml:space="preserve">7  Evaluation of runoff simulation results at </w:t>
      </w:r>
      <w:r>
        <w:rPr>
          <w:rFonts w:hint="eastAsia"/>
        </w:rPr>
        <w:t>Thnous</w:t>
      </w:r>
      <w:r>
        <w:rPr>
          <w:rFonts w:hint="eastAsia"/>
          <w:bCs w:val="0"/>
        </w:rPr>
        <w:t xml:space="preserve"> Loung station</w:t>
      </w:r>
    </w:p>
    <w:tbl>
      <w:tblPr>
        <w:tblStyle w:val="13"/>
        <w:tblW w:w="4368" w:type="pct"/>
        <w:jc w:val="center"/>
        <w:tblBorders>
          <w:top w:val="single" w:color="auto" w:sz="12" w:space="0"/>
          <w:left w:val="none" w:color="auto" w:sz="0" w:space="0"/>
          <w:bottom w:val="single" w:color="auto" w:sz="12" w:space="0"/>
          <w:right w:val="none" w:color="auto" w:sz="0" w:space="0"/>
          <w:insideH w:val="single" w:color="auto" w:sz="12" w:space="0"/>
          <w:insideV w:val="none" w:color="auto" w:sz="0" w:space="0"/>
        </w:tblBorders>
        <w:tblLayout w:type="fixed"/>
        <w:tblCellMar>
          <w:top w:w="0" w:type="dxa"/>
          <w:left w:w="108" w:type="dxa"/>
          <w:bottom w:w="0" w:type="dxa"/>
          <w:right w:w="108" w:type="dxa"/>
        </w:tblCellMar>
      </w:tblPr>
      <w:tblGrid>
        <w:gridCol w:w="1353"/>
        <w:gridCol w:w="627"/>
        <w:gridCol w:w="635"/>
        <w:gridCol w:w="620"/>
        <w:gridCol w:w="1136"/>
        <w:gridCol w:w="1117"/>
        <w:gridCol w:w="1219"/>
        <w:gridCol w:w="1042"/>
        <w:gridCol w:w="861"/>
      </w:tblGrid>
      <w:tr w14:paraId="4F49D42D">
        <w:tblPrEx>
          <w:tblBorders>
            <w:top w:val="single" w:color="auto" w:sz="12" w:space="0"/>
            <w:left w:val="none" w:color="auto" w:sz="0" w:space="0"/>
            <w:bottom w:val="single" w:color="auto" w:sz="12" w:space="0"/>
            <w:right w:val="none" w:color="auto" w:sz="0" w:space="0"/>
            <w:insideH w:val="single" w:color="auto" w:sz="12" w:space="0"/>
            <w:insideV w:val="none" w:color="auto" w:sz="0" w:space="0"/>
          </w:tblBorders>
          <w:tblCellMar>
            <w:top w:w="0" w:type="dxa"/>
            <w:left w:w="108" w:type="dxa"/>
            <w:bottom w:w="0" w:type="dxa"/>
            <w:right w:w="108" w:type="dxa"/>
          </w:tblCellMar>
        </w:tblPrEx>
        <w:trPr>
          <w:trHeight w:val="292" w:hRule="atLeast"/>
          <w:jc w:val="center"/>
        </w:trPr>
        <w:tc>
          <w:tcPr>
            <w:tcW w:w="784" w:type="pct"/>
            <w:vMerge w:val="restart"/>
            <w:tcBorders>
              <w:top w:val="single" w:color="auto" w:sz="12" w:space="0"/>
              <w:bottom w:val="nil"/>
            </w:tcBorders>
            <w:vAlign w:val="center"/>
          </w:tcPr>
          <w:p w14:paraId="60F001EE">
            <w:pPr>
              <w:ind w:firstLine="0" w:firstLineChars="0"/>
              <w:jc w:val="center"/>
              <w:rPr>
                <w:sz w:val="15"/>
                <w:szCs w:val="15"/>
              </w:rPr>
            </w:pPr>
            <w:r>
              <w:rPr>
                <w:rFonts w:hint="eastAsia"/>
                <w:sz w:val="15"/>
                <w:szCs w:val="15"/>
              </w:rPr>
              <w:t>方法</w:t>
            </w:r>
          </w:p>
        </w:tc>
        <w:tc>
          <w:tcPr>
            <w:tcW w:w="364" w:type="pct"/>
            <w:vMerge w:val="restart"/>
            <w:tcBorders>
              <w:top w:val="single" w:color="auto" w:sz="12" w:space="0"/>
              <w:bottom w:val="nil"/>
            </w:tcBorders>
            <w:vAlign w:val="center"/>
          </w:tcPr>
          <w:p w14:paraId="7286FC0C">
            <w:pPr>
              <w:ind w:firstLine="0" w:firstLineChars="0"/>
              <w:jc w:val="center"/>
              <w:rPr>
                <w:i/>
                <w:iCs/>
                <w:sz w:val="15"/>
                <w:szCs w:val="15"/>
              </w:rPr>
            </w:pPr>
            <w:r>
              <w:rPr>
                <w:rFonts w:hint="eastAsia"/>
                <w:i/>
                <w:iCs/>
                <w:sz w:val="15"/>
                <w:szCs w:val="15"/>
              </w:rPr>
              <w:t>NSE</w:t>
            </w:r>
          </w:p>
        </w:tc>
        <w:tc>
          <w:tcPr>
            <w:tcW w:w="369" w:type="pct"/>
            <w:vMerge w:val="restart"/>
            <w:tcBorders>
              <w:top w:val="single" w:color="auto" w:sz="12" w:space="0"/>
            </w:tcBorders>
            <w:vAlign w:val="center"/>
          </w:tcPr>
          <w:p w14:paraId="3F804A7A">
            <w:pPr>
              <w:ind w:firstLine="0" w:firstLineChars="0"/>
              <w:jc w:val="center"/>
              <w:rPr>
                <w:i/>
                <w:iCs/>
                <w:sz w:val="15"/>
                <w:szCs w:val="15"/>
              </w:rPr>
            </w:pPr>
            <m:oMath>
              <m:r>
                <m:rPr/>
                <w:rPr>
                  <w:rFonts w:ascii="Cambria Math" w:hAnsi="Cambria Math"/>
                  <w:sz w:val="15"/>
                  <w:szCs w:val="15"/>
                </w:rPr>
                <m:t>RE</m:t>
              </m:r>
            </m:oMath>
            <w:r>
              <w:rPr>
                <w:rFonts w:hint="eastAsia"/>
                <w:sz w:val="15"/>
                <w:szCs w:val="15"/>
              </w:rPr>
              <w:t>/%</w:t>
            </w:r>
          </w:p>
        </w:tc>
        <w:tc>
          <w:tcPr>
            <w:tcW w:w="360" w:type="pct"/>
            <w:vMerge w:val="restart"/>
            <w:tcBorders>
              <w:top w:val="single" w:color="auto" w:sz="12" w:space="0"/>
            </w:tcBorders>
            <w:vAlign w:val="center"/>
          </w:tcPr>
          <w:p w14:paraId="37B5F660">
            <w:pPr>
              <w:ind w:firstLine="0" w:firstLineChars="0"/>
              <w:jc w:val="center"/>
              <w:rPr>
                <w:i/>
                <w:iCs/>
                <w:sz w:val="15"/>
                <w:szCs w:val="15"/>
              </w:rPr>
            </w:pPr>
            <w:r>
              <w:rPr>
                <w:rFonts w:hint="eastAsia"/>
                <w:i/>
                <w:iCs/>
                <w:sz w:val="15"/>
                <w:szCs w:val="15"/>
              </w:rPr>
              <w:t>R</w:t>
            </w:r>
            <w:r>
              <w:rPr>
                <w:rFonts w:hint="eastAsia"/>
                <w:i/>
                <w:iCs/>
                <w:sz w:val="15"/>
                <w:szCs w:val="15"/>
                <w:vertAlign w:val="superscript"/>
              </w:rPr>
              <w:t>2</w:t>
            </w:r>
          </w:p>
        </w:tc>
        <w:tc>
          <w:tcPr>
            <w:tcW w:w="659" w:type="pct"/>
            <w:vMerge w:val="restart"/>
            <w:tcBorders>
              <w:top w:val="single" w:color="auto" w:sz="12" w:space="0"/>
            </w:tcBorders>
            <w:vAlign w:val="center"/>
          </w:tcPr>
          <w:p w14:paraId="5AB9825C">
            <w:pPr>
              <w:ind w:firstLine="0" w:firstLineChars="0"/>
              <w:jc w:val="center"/>
              <w:rPr>
                <w:sz w:val="15"/>
                <w:szCs w:val="15"/>
                <w:oMath/>
              </w:rPr>
            </w:pPr>
            <w:r>
              <w:rPr>
                <w:rFonts w:hint="eastAsia"/>
                <w:sz w:val="15"/>
                <w:szCs w:val="15"/>
              </w:rPr>
              <w:t>洪量误差/%</w:t>
            </w:r>
          </w:p>
        </w:tc>
        <w:tc>
          <w:tcPr>
            <w:tcW w:w="648" w:type="pct"/>
            <w:vMerge w:val="restart"/>
            <w:tcBorders>
              <w:top w:val="single" w:color="auto" w:sz="12" w:space="0"/>
            </w:tcBorders>
            <w:vAlign w:val="center"/>
          </w:tcPr>
          <w:p w14:paraId="19CAFA30">
            <w:pPr>
              <w:ind w:firstLine="0" w:firstLineChars="0"/>
              <w:jc w:val="center"/>
              <w:rPr>
                <w:sz w:val="15"/>
                <w:szCs w:val="15"/>
                <w:oMath/>
              </w:rPr>
            </w:pPr>
            <w:r>
              <w:rPr>
                <w:rFonts w:hint="eastAsia"/>
                <w:sz w:val="15"/>
                <w:szCs w:val="15"/>
              </w:rPr>
              <w:t>峰值误差/%</w:t>
            </w:r>
          </w:p>
        </w:tc>
        <w:tc>
          <w:tcPr>
            <w:tcW w:w="707" w:type="pct"/>
            <w:vMerge w:val="restart"/>
            <w:tcBorders>
              <w:top w:val="single" w:color="auto" w:sz="12" w:space="0"/>
            </w:tcBorders>
            <w:vAlign w:val="center"/>
          </w:tcPr>
          <w:p w14:paraId="1AECB318">
            <w:pPr>
              <w:ind w:firstLine="0" w:firstLineChars="0"/>
              <w:jc w:val="center"/>
              <w:rPr>
                <w:sz w:val="15"/>
                <w:szCs w:val="15"/>
              </w:rPr>
            </w:pPr>
            <w:r>
              <w:rPr>
                <w:rFonts w:hint="eastAsia"/>
                <w:sz w:val="15"/>
                <w:szCs w:val="15"/>
              </w:rPr>
              <w:t>峰现时间差/d</w:t>
            </w:r>
          </w:p>
        </w:tc>
        <w:tc>
          <w:tcPr>
            <w:tcW w:w="1105" w:type="pct"/>
            <w:gridSpan w:val="2"/>
            <w:tcBorders>
              <w:top w:val="single" w:color="auto" w:sz="12" w:space="0"/>
              <w:bottom w:val="single" w:color="auto" w:sz="4" w:space="0"/>
            </w:tcBorders>
            <w:shd w:val="clear" w:color="auto" w:fill="auto"/>
            <w:vAlign w:val="center"/>
          </w:tcPr>
          <w:p w14:paraId="059F6747">
            <w:pPr>
              <w:ind w:firstLine="0" w:firstLineChars="0"/>
              <w:jc w:val="center"/>
              <w:rPr>
                <w:sz w:val="15"/>
                <w:szCs w:val="15"/>
              </w:rPr>
            </w:pPr>
            <w:r>
              <w:rPr>
                <w:rFonts w:hint="eastAsia"/>
                <w:sz w:val="15"/>
                <w:szCs w:val="15"/>
              </w:rPr>
              <w:t>枯水期</w:t>
            </w:r>
          </w:p>
        </w:tc>
      </w:tr>
      <w:tr w14:paraId="3B00166B">
        <w:tblPrEx>
          <w:tblBorders>
            <w:top w:val="single" w:color="auto" w:sz="12" w:space="0"/>
            <w:left w:val="none" w:color="auto" w:sz="0" w:space="0"/>
            <w:bottom w:val="single" w:color="auto" w:sz="12" w:space="0"/>
            <w:right w:val="none" w:color="auto" w:sz="0" w:space="0"/>
            <w:insideH w:val="single" w:color="auto" w:sz="12" w:space="0"/>
            <w:insideV w:val="none" w:color="auto" w:sz="0" w:space="0"/>
          </w:tblBorders>
          <w:tblCellMar>
            <w:top w:w="0" w:type="dxa"/>
            <w:left w:w="108" w:type="dxa"/>
            <w:bottom w:w="0" w:type="dxa"/>
            <w:right w:w="108" w:type="dxa"/>
          </w:tblCellMar>
        </w:tblPrEx>
        <w:trPr>
          <w:trHeight w:val="292" w:hRule="atLeast"/>
          <w:jc w:val="center"/>
        </w:trPr>
        <w:tc>
          <w:tcPr>
            <w:tcW w:w="784" w:type="pct"/>
            <w:vMerge w:val="continue"/>
            <w:tcBorders>
              <w:top w:val="nil"/>
              <w:bottom w:val="single" w:color="auto" w:sz="4" w:space="0"/>
            </w:tcBorders>
            <w:vAlign w:val="center"/>
          </w:tcPr>
          <w:p w14:paraId="5E5DA3D4">
            <w:pPr>
              <w:ind w:firstLine="0" w:firstLineChars="0"/>
              <w:jc w:val="center"/>
              <w:rPr>
                <w:sz w:val="15"/>
                <w:szCs w:val="15"/>
              </w:rPr>
            </w:pPr>
          </w:p>
        </w:tc>
        <w:tc>
          <w:tcPr>
            <w:tcW w:w="364" w:type="pct"/>
            <w:vMerge w:val="continue"/>
            <w:tcBorders>
              <w:top w:val="nil"/>
              <w:bottom w:val="single" w:color="auto" w:sz="4" w:space="0"/>
            </w:tcBorders>
            <w:vAlign w:val="center"/>
          </w:tcPr>
          <w:p w14:paraId="4962E1EB">
            <w:pPr>
              <w:ind w:firstLine="0" w:firstLineChars="0"/>
              <w:jc w:val="center"/>
              <w:rPr>
                <w:sz w:val="15"/>
                <w:szCs w:val="15"/>
              </w:rPr>
            </w:pPr>
          </w:p>
        </w:tc>
        <w:tc>
          <w:tcPr>
            <w:tcW w:w="369" w:type="pct"/>
            <w:vMerge w:val="continue"/>
            <w:tcBorders>
              <w:bottom w:val="single" w:color="auto" w:sz="4" w:space="0"/>
            </w:tcBorders>
            <w:vAlign w:val="center"/>
          </w:tcPr>
          <w:p w14:paraId="7181CF68">
            <w:pPr>
              <w:ind w:firstLine="0" w:firstLineChars="0"/>
              <w:jc w:val="center"/>
              <w:rPr>
                <w:sz w:val="15"/>
                <w:szCs w:val="15"/>
              </w:rPr>
            </w:pPr>
          </w:p>
        </w:tc>
        <w:tc>
          <w:tcPr>
            <w:tcW w:w="360" w:type="pct"/>
            <w:vMerge w:val="continue"/>
            <w:tcBorders>
              <w:bottom w:val="single" w:color="auto" w:sz="4" w:space="0"/>
            </w:tcBorders>
            <w:vAlign w:val="center"/>
          </w:tcPr>
          <w:p w14:paraId="1BFEBD39">
            <w:pPr>
              <w:ind w:firstLine="0" w:firstLineChars="0"/>
              <w:jc w:val="center"/>
              <w:rPr>
                <w:sz w:val="15"/>
                <w:szCs w:val="15"/>
                <w:oMath/>
              </w:rPr>
            </w:pPr>
          </w:p>
        </w:tc>
        <w:tc>
          <w:tcPr>
            <w:tcW w:w="659" w:type="pct"/>
            <w:vMerge w:val="continue"/>
            <w:tcBorders>
              <w:bottom w:val="single" w:color="auto" w:sz="4" w:space="0"/>
            </w:tcBorders>
            <w:vAlign w:val="center"/>
          </w:tcPr>
          <w:p w14:paraId="16ADF1AD">
            <w:pPr>
              <w:ind w:firstLine="0" w:firstLineChars="0"/>
              <w:jc w:val="center"/>
              <w:rPr>
                <w:sz w:val="15"/>
                <w:szCs w:val="15"/>
                <w:oMath/>
              </w:rPr>
            </w:pPr>
          </w:p>
        </w:tc>
        <w:tc>
          <w:tcPr>
            <w:tcW w:w="648" w:type="pct"/>
            <w:vMerge w:val="continue"/>
            <w:tcBorders>
              <w:bottom w:val="single" w:color="auto" w:sz="4" w:space="0"/>
            </w:tcBorders>
            <w:vAlign w:val="center"/>
          </w:tcPr>
          <w:p w14:paraId="2A1D35A4">
            <w:pPr>
              <w:ind w:firstLine="0" w:firstLineChars="0"/>
              <w:jc w:val="center"/>
              <w:rPr>
                <w:sz w:val="15"/>
                <w:szCs w:val="15"/>
                <w:oMath/>
              </w:rPr>
            </w:pPr>
          </w:p>
        </w:tc>
        <w:tc>
          <w:tcPr>
            <w:tcW w:w="707" w:type="pct"/>
            <w:vMerge w:val="continue"/>
            <w:tcBorders>
              <w:bottom w:val="single" w:color="auto" w:sz="4" w:space="0"/>
            </w:tcBorders>
            <w:vAlign w:val="center"/>
          </w:tcPr>
          <w:p w14:paraId="3D9FAC78">
            <w:pPr>
              <w:ind w:firstLine="0" w:firstLineChars="0"/>
              <w:jc w:val="center"/>
              <w:rPr>
                <w:sz w:val="15"/>
                <w:szCs w:val="15"/>
              </w:rPr>
            </w:pPr>
          </w:p>
        </w:tc>
        <w:tc>
          <w:tcPr>
            <w:tcW w:w="605" w:type="pct"/>
            <w:tcBorders>
              <w:top w:val="single" w:color="auto" w:sz="4" w:space="0"/>
              <w:bottom w:val="single" w:color="auto" w:sz="4" w:space="0"/>
            </w:tcBorders>
          </w:tcPr>
          <w:p w14:paraId="31A853E8">
            <w:pPr>
              <w:ind w:firstLine="0" w:firstLineChars="0"/>
              <w:jc w:val="center"/>
              <w:rPr>
                <w:sz w:val="15"/>
                <w:szCs w:val="15"/>
              </w:rPr>
            </w:pPr>
            <w:r>
              <w:rPr>
                <w:rFonts w:hint="eastAsia"/>
                <w:sz w:val="15"/>
                <w:szCs w:val="15"/>
              </w:rPr>
              <w:t>水量误差/%</w:t>
            </w:r>
          </w:p>
        </w:tc>
        <w:tc>
          <w:tcPr>
            <w:tcW w:w="499" w:type="pct"/>
            <w:tcBorders>
              <w:top w:val="single" w:color="auto" w:sz="4" w:space="0"/>
              <w:bottom w:val="single" w:color="auto" w:sz="4" w:space="0"/>
            </w:tcBorders>
          </w:tcPr>
          <w:p w14:paraId="21A7BCBB">
            <w:pPr>
              <w:ind w:firstLine="0" w:firstLineChars="0"/>
              <w:jc w:val="center"/>
              <w:rPr>
                <w:sz w:val="15"/>
                <w:szCs w:val="15"/>
              </w:rPr>
            </w:pPr>
            <w:r>
              <w:rPr>
                <w:rFonts w:hint="eastAsia"/>
                <w:i/>
                <w:iCs/>
                <w:sz w:val="15"/>
                <w:szCs w:val="15"/>
              </w:rPr>
              <w:t>NSE</w:t>
            </w:r>
          </w:p>
        </w:tc>
      </w:tr>
      <w:tr w14:paraId="1CA81A4D">
        <w:tblPrEx>
          <w:tblBorders>
            <w:top w:val="single" w:color="auto" w:sz="12" w:space="0"/>
            <w:left w:val="none" w:color="auto" w:sz="0" w:space="0"/>
            <w:bottom w:val="single" w:color="auto" w:sz="12" w:space="0"/>
            <w:right w:val="none" w:color="auto" w:sz="0" w:space="0"/>
            <w:insideH w:val="single" w:color="auto" w:sz="12" w:space="0"/>
            <w:insideV w:val="none" w:color="auto" w:sz="0" w:space="0"/>
          </w:tblBorders>
          <w:tblCellMar>
            <w:top w:w="0" w:type="dxa"/>
            <w:left w:w="108" w:type="dxa"/>
            <w:bottom w:w="0" w:type="dxa"/>
            <w:right w:w="108" w:type="dxa"/>
          </w:tblCellMar>
        </w:tblPrEx>
        <w:trPr>
          <w:trHeight w:val="275" w:hRule="atLeast"/>
          <w:jc w:val="center"/>
        </w:trPr>
        <w:tc>
          <w:tcPr>
            <w:tcW w:w="784" w:type="pct"/>
            <w:tcBorders>
              <w:top w:val="single" w:color="auto" w:sz="4" w:space="0"/>
              <w:bottom w:val="nil"/>
            </w:tcBorders>
            <w:shd w:val="clear" w:color="auto" w:fill="auto"/>
            <w:vAlign w:val="center"/>
          </w:tcPr>
          <w:p w14:paraId="0D68E176">
            <w:pPr>
              <w:ind w:firstLine="0" w:firstLineChars="0"/>
              <w:jc w:val="center"/>
              <w:rPr>
                <w:sz w:val="15"/>
                <w:szCs w:val="15"/>
              </w:rPr>
            </w:pPr>
            <w:r>
              <w:rPr>
                <w:rFonts w:hint="eastAsia"/>
                <w:sz w:val="15"/>
                <w:szCs w:val="15"/>
              </w:rPr>
              <w:t>水文模型法</w:t>
            </w:r>
          </w:p>
        </w:tc>
        <w:tc>
          <w:tcPr>
            <w:tcW w:w="364" w:type="pct"/>
            <w:tcBorders>
              <w:top w:val="single" w:color="auto" w:sz="4" w:space="0"/>
              <w:bottom w:val="nil"/>
            </w:tcBorders>
            <w:shd w:val="clear" w:color="auto" w:fill="auto"/>
            <w:vAlign w:val="center"/>
          </w:tcPr>
          <w:p w14:paraId="0B9E3680">
            <w:pPr>
              <w:ind w:firstLine="0" w:firstLineChars="0"/>
              <w:jc w:val="center"/>
              <w:rPr>
                <w:sz w:val="15"/>
                <w:szCs w:val="15"/>
              </w:rPr>
            </w:pPr>
            <w:r>
              <w:rPr>
                <w:rFonts w:hint="eastAsia"/>
                <w:sz w:val="15"/>
                <w:szCs w:val="15"/>
              </w:rPr>
              <w:t>0.87</w:t>
            </w:r>
          </w:p>
        </w:tc>
        <w:tc>
          <w:tcPr>
            <w:tcW w:w="369" w:type="pct"/>
            <w:tcBorders>
              <w:top w:val="single" w:color="auto" w:sz="4" w:space="0"/>
              <w:bottom w:val="nil"/>
            </w:tcBorders>
            <w:shd w:val="clear" w:color="auto" w:fill="auto"/>
            <w:vAlign w:val="center"/>
          </w:tcPr>
          <w:p w14:paraId="4F9D7CAE">
            <w:pPr>
              <w:ind w:firstLine="0" w:firstLineChars="0"/>
              <w:jc w:val="center"/>
              <w:rPr>
                <w:sz w:val="15"/>
                <w:szCs w:val="15"/>
              </w:rPr>
            </w:pPr>
            <w:r>
              <w:rPr>
                <w:rFonts w:hint="eastAsia"/>
                <w:sz w:val="15"/>
                <w:szCs w:val="15"/>
              </w:rPr>
              <w:t>8.37</w:t>
            </w:r>
          </w:p>
        </w:tc>
        <w:tc>
          <w:tcPr>
            <w:tcW w:w="360" w:type="pct"/>
            <w:tcBorders>
              <w:top w:val="single" w:color="auto" w:sz="4" w:space="0"/>
              <w:bottom w:val="nil"/>
            </w:tcBorders>
            <w:vAlign w:val="center"/>
          </w:tcPr>
          <w:p w14:paraId="67C4F12E">
            <w:pPr>
              <w:ind w:firstLine="0" w:firstLineChars="0"/>
              <w:jc w:val="center"/>
              <w:rPr>
                <w:sz w:val="15"/>
                <w:szCs w:val="15"/>
              </w:rPr>
            </w:pPr>
            <w:r>
              <w:rPr>
                <w:rFonts w:hint="eastAsia"/>
                <w:sz w:val="15"/>
                <w:szCs w:val="15"/>
              </w:rPr>
              <w:t>0.85</w:t>
            </w:r>
          </w:p>
        </w:tc>
        <w:tc>
          <w:tcPr>
            <w:tcW w:w="659" w:type="pct"/>
            <w:tcBorders>
              <w:top w:val="single" w:color="auto" w:sz="4" w:space="0"/>
              <w:bottom w:val="nil"/>
            </w:tcBorders>
            <w:vAlign w:val="center"/>
          </w:tcPr>
          <w:p w14:paraId="096566FA">
            <w:pPr>
              <w:ind w:firstLine="0" w:firstLineChars="0"/>
              <w:jc w:val="center"/>
              <w:rPr>
                <w:sz w:val="15"/>
                <w:szCs w:val="15"/>
              </w:rPr>
            </w:pPr>
            <w:r>
              <w:rPr>
                <w:rFonts w:hint="eastAsia"/>
                <w:sz w:val="15"/>
                <w:szCs w:val="15"/>
              </w:rPr>
              <w:t>4.91</w:t>
            </w:r>
          </w:p>
        </w:tc>
        <w:tc>
          <w:tcPr>
            <w:tcW w:w="648" w:type="pct"/>
            <w:tcBorders>
              <w:top w:val="single" w:color="auto" w:sz="4" w:space="0"/>
              <w:bottom w:val="nil"/>
            </w:tcBorders>
            <w:vAlign w:val="center"/>
          </w:tcPr>
          <w:p w14:paraId="122C4290">
            <w:pPr>
              <w:ind w:firstLine="0" w:firstLineChars="0"/>
              <w:jc w:val="center"/>
              <w:rPr>
                <w:sz w:val="15"/>
                <w:szCs w:val="15"/>
              </w:rPr>
            </w:pPr>
            <w:r>
              <w:rPr>
                <w:rFonts w:hint="eastAsia"/>
                <w:sz w:val="15"/>
                <w:szCs w:val="15"/>
              </w:rPr>
              <w:t>5.80</w:t>
            </w:r>
          </w:p>
        </w:tc>
        <w:tc>
          <w:tcPr>
            <w:tcW w:w="707" w:type="pct"/>
            <w:tcBorders>
              <w:top w:val="single" w:color="auto" w:sz="4" w:space="0"/>
              <w:bottom w:val="nil"/>
            </w:tcBorders>
            <w:vAlign w:val="center"/>
          </w:tcPr>
          <w:p w14:paraId="47025B90">
            <w:pPr>
              <w:ind w:firstLine="0" w:firstLineChars="0"/>
              <w:jc w:val="center"/>
              <w:rPr>
                <w:sz w:val="15"/>
                <w:szCs w:val="15"/>
              </w:rPr>
            </w:pPr>
            <w:r>
              <w:rPr>
                <w:rFonts w:hint="eastAsia"/>
                <w:sz w:val="15"/>
                <w:szCs w:val="15"/>
              </w:rPr>
              <w:t>0</w:t>
            </w:r>
          </w:p>
        </w:tc>
        <w:tc>
          <w:tcPr>
            <w:tcW w:w="605" w:type="pct"/>
            <w:tcBorders>
              <w:top w:val="single" w:color="auto" w:sz="4" w:space="0"/>
              <w:bottom w:val="nil"/>
            </w:tcBorders>
            <w:vAlign w:val="center"/>
          </w:tcPr>
          <w:p w14:paraId="407F8791">
            <w:pPr>
              <w:ind w:firstLine="0" w:firstLineChars="0"/>
              <w:jc w:val="center"/>
              <w:rPr>
                <w:sz w:val="15"/>
                <w:szCs w:val="15"/>
              </w:rPr>
            </w:pPr>
            <w:r>
              <w:rPr>
                <w:rFonts w:hint="eastAsia"/>
                <w:sz w:val="15"/>
                <w:szCs w:val="15"/>
              </w:rPr>
              <w:t>2.75</w:t>
            </w:r>
          </w:p>
        </w:tc>
        <w:tc>
          <w:tcPr>
            <w:tcW w:w="499" w:type="pct"/>
            <w:tcBorders>
              <w:top w:val="single" w:color="auto" w:sz="4" w:space="0"/>
              <w:bottom w:val="nil"/>
            </w:tcBorders>
            <w:vAlign w:val="center"/>
          </w:tcPr>
          <w:p w14:paraId="7780A0DC">
            <w:pPr>
              <w:ind w:firstLine="0" w:firstLineChars="0"/>
              <w:jc w:val="center"/>
              <w:rPr>
                <w:sz w:val="15"/>
                <w:szCs w:val="15"/>
              </w:rPr>
            </w:pPr>
            <w:r>
              <w:rPr>
                <w:rFonts w:hint="eastAsia"/>
                <w:sz w:val="15"/>
                <w:szCs w:val="15"/>
              </w:rPr>
              <w:t>0.75</w:t>
            </w:r>
          </w:p>
        </w:tc>
      </w:tr>
      <w:tr w14:paraId="0125AC60">
        <w:tblPrEx>
          <w:tblBorders>
            <w:top w:val="single" w:color="auto" w:sz="12" w:space="0"/>
            <w:left w:val="none" w:color="auto" w:sz="0" w:space="0"/>
            <w:bottom w:val="single" w:color="auto" w:sz="12" w:space="0"/>
            <w:right w:val="none" w:color="auto" w:sz="0" w:space="0"/>
            <w:insideH w:val="single" w:color="auto" w:sz="12" w:space="0"/>
            <w:insideV w:val="none" w:color="auto" w:sz="0" w:space="0"/>
          </w:tblBorders>
          <w:tblCellMar>
            <w:top w:w="0" w:type="dxa"/>
            <w:left w:w="108" w:type="dxa"/>
            <w:bottom w:w="0" w:type="dxa"/>
            <w:right w:w="108" w:type="dxa"/>
          </w:tblCellMar>
        </w:tblPrEx>
        <w:trPr>
          <w:trHeight w:val="275" w:hRule="atLeast"/>
          <w:jc w:val="center"/>
        </w:trPr>
        <w:tc>
          <w:tcPr>
            <w:tcW w:w="784" w:type="pct"/>
            <w:tcBorders>
              <w:top w:val="nil"/>
              <w:bottom w:val="nil"/>
            </w:tcBorders>
            <w:shd w:val="clear" w:color="auto" w:fill="auto"/>
            <w:vAlign w:val="center"/>
          </w:tcPr>
          <w:p w14:paraId="7805B18B">
            <w:pPr>
              <w:ind w:firstLine="0" w:firstLineChars="0"/>
              <w:jc w:val="center"/>
              <w:rPr>
                <w:sz w:val="15"/>
                <w:szCs w:val="15"/>
              </w:rPr>
            </w:pPr>
            <w:r>
              <w:rPr>
                <w:rFonts w:hint="eastAsia"/>
                <w:sz w:val="15"/>
                <w:szCs w:val="15"/>
              </w:rPr>
              <w:t>瞬时单位线法</w:t>
            </w:r>
          </w:p>
        </w:tc>
        <w:tc>
          <w:tcPr>
            <w:tcW w:w="364" w:type="pct"/>
            <w:tcBorders>
              <w:top w:val="nil"/>
              <w:bottom w:val="nil"/>
            </w:tcBorders>
            <w:shd w:val="clear" w:color="auto" w:fill="auto"/>
            <w:vAlign w:val="center"/>
          </w:tcPr>
          <w:p w14:paraId="0D791CD5">
            <w:pPr>
              <w:ind w:firstLine="0" w:firstLineChars="0"/>
              <w:jc w:val="center"/>
              <w:rPr>
                <w:sz w:val="15"/>
                <w:szCs w:val="15"/>
              </w:rPr>
            </w:pPr>
            <w:r>
              <w:rPr>
                <w:rFonts w:hint="eastAsia"/>
                <w:sz w:val="15"/>
                <w:szCs w:val="15"/>
              </w:rPr>
              <w:t>0.76</w:t>
            </w:r>
          </w:p>
        </w:tc>
        <w:tc>
          <w:tcPr>
            <w:tcW w:w="369" w:type="pct"/>
            <w:tcBorders>
              <w:top w:val="nil"/>
              <w:bottom w:val="nil"/>
            </w:tcBorders>
            <w:shd w:val="clear" w:color="auto" w:fill="auto"/>
            <w:vAlign w:val="center"/>
          </w:tcPr>
          <w:p w14:paraId="7A53CA41">
            <w:pPr>
              <w:ind w:firstLine="0" w:firstLineChars="0"/>
              <w:jc w:val="center"/>
              <w:rPr>
                <w:sz w:val="15"/>
                <w:szCs w:val="15"/>
              </w:rPr>
            </w:pPr>
            <w:r>
              <w:rPr>
                <w:rFonts w:hint="eastAsia"/>
                <w:sz w:val="15"/>
                <w:szCs w:val="15"/>
              </w:rPr>
              <w:t>8.86</w:t>
            </w:r>
          </w:p>
        </w:tc>
        <w:tc>
          <w:tcPr>
            <w:tcW w:w="360" w:type="pct"/>
            <w:tcBorders>
              <w:top w:val="nil"/>
              <w:bottom w:val="nil"/>
            </w:tcBorders>
            <w:vAlign w:val="center"/>
          </w:tcPr>
          <w:p w14:paraId="7B830643">
            <w:pPr>
              <w:ind w:firstLine="0" w:firstLineChars="0"/>
              <w:jc w:val="center"/>
              <w:rPr>
                <w:sz w:val="15"/>
                <w:szCs w:val="15"/>
              </w:rPr>
            </w:pPr>
            <w:r>
              <w:rPr>
                <w:rFonts w:hint="eastAsia"/>
                <w:sz w:val="15"/>
                <w:szCs w:val="15"/>
              </w:rPr>
              <w:t>0.62</w:t>
            </w:r>
          </w:p>
        </w:tc>
        <w:tc>
          <w:tcPr>
            <w:tcW w:w="659" w:type="pct"/>
            <w:tcBorders>
              <w:top w:val="nil"/>
              <w:bottom w:val="nil"/>
            </w:tcBorders>
            <w:vAlign w:val="center"/>
          </w:tcPr>
          <w:p w14:paraId="6C9432D8">
            <w:pPr>
              <w:ind w:firstLine="0" w:firstLineChars="0"/>
              <w:jc w:val="center"/>
              <w:rPr>
                <w:sz w:val="15"/>
                <w:szCs w:val="15"/>
              </w:rPr>
            </w:pPr>
            <w:r>
              <w:rPr>
                <w:rFonts w:hint="eastAsia"/>
                <w:sz w:val="15"/>
                <w:szCs w:val="15"/>
              </w:rPr>
              <w:t>28.97</w:t>
            </w:r>
          </w:p>
        </w:tc>
        <w:tc>
          <w:tcPr>
            <w:tcW w:w="648" w:type="pct"/>
            <w:tcBorders>
              <w:top w:val="nil"/>
              <w:bottom w:val="nil"/>
            </w:tcBorders>
            <w:vAlign w:val="center"/>
          </w:tcPr>
          <w:p w14:paraId="0C6F8813">
            <w:pPr>
              <w:ind w:firstLine="0" w:firstLineChars="0"/>
              <w:jc w:val="center"/>
              <w:rPr>
                <w:sz w:val="15"/>
                <w:szCs w:val="15"/>
              </w:rPr>
            </w:pPr>
            <w:r>
              <w:rPr>
                <w:rFonts w:hint="eastAsia"/>
                <w:sz w:val="15"/>
                <w:szCs w:val="15"/>
              </w:rPr>
              <w:t>11.64</w:t>
            </w:r>
          </w:p>
        </w:tc>
        <w:tc>
          <w:tcPr>
            <w:tcW w:w="707" w:type="pct"/>
            <w:tcBorders>
              <w:top w:val="nil"/>
              <w:bottom w:val="nil"/>
            </w:tcBorders>
            <w:vAlign w:val="center"/>
          </w:tcPr>
          <w:p w14:paraId="2DC40144">
            <w:pPr>
              <w:ind w:firstLine="0" w:firstLineChars="0"/>
              <w:jc w:val="center"/>
              <w:rPr>
                <w:sz w:val="15"/>
                <w:szCs w:val="15"/>
              </w:rPr>
            </w:pPr>
            <w:r>
              <w:rPr>
                <w:rFonts w:hint="eastAsia"/>
                <w:sz w:val="15"/>
                <w:szCs w:val="15"/>
              </w:rPr>
              <w:t>2</w:t>
            </w:r>
          </w:p>
        </w:tc>
        <w:tc>
          <w:tcPr>
            <w:tcW w:w="605" w:type="pct"/>
            <w:tcBorders>
              <w:top w:val="nil"/>
              <w:bottom w:val="nil"/>
            </w:tcBorders>
            <w:vAlign w:val="center"/>
          </w:tcPr>
          <w:p w14:paraId="537168AA">
            <w:pPr>
              <w:ind w:firstLine="0" w:firstLineChars="0"/>
              <w:jc w:val="center"/>
              <w:rPr>
                <w:sz w:val="15"/>
                <w:szCs w:val="15"/>
              </w:rPr>
            </w:pPr>
            <w:r>
              <w:rPr>
                <w:rFonts w:hint="eastAsia"/>
                <w:sz w:val="15"/>
                <w:szCs w:val="15"/>
              </w:rPr>
              <w:t>8.22</w:t>
            </w:r>
          </w:p>
        </w:tc>
        <w:tc>
          <w:tcPr>
            <w:tcW w:w="499" w:type="pct"/>
            <w:tcBorders>
              <w:top w:val="nil"/>
              <w:bottom w:val="nil"/>
            </w:tcBorders>
            <w:vAlign w:val="center"/>
          </w:tcPr>
          <w:p w14:paraId="40C92F3A">
            <w:pPr>
              <w:ind w:firstLine="0" w:firstLineChars="0"/>
              <w:jc w:val="center"/>
              <w:rPr>
                <w:sz w:val="15"/>
                <w:szCs w:val="15"/>
              </w:rPr>
            </w:pPr>
            <w:r>
              <w:rPr>
                <w:rFonts w:hint="eastAsia"/>
                <w:sz w:val="15"/>
                <w:szCs w:val="15"/>
              </w:rPr>
              <w:t>0.55</w:t>
            </w:r>
          </w:p>
        </w:tc>
      </w:tr>
      <w:tr w14:paraId="59589F2F">
        <w:tblPrEx>
          <w:tblBorders>
            <w:top w:val="single" w:color="auto" w:sz="12" w:space="0"/>
            <w:left w:val="none" w:color="auto" w:sz="0" w:space="0"/>
            <w:bottom w:val="single" w:color="auto" w:sz="12" w:space="0"/>
            <w:right w:val="none" w:color="auto" w:sz="0" w:space="0"/>
            <w:insideH w:val="single" w:color="auto" w:sz="12" w:space="0"/>
            <w:insideV w:val="none" w:color="auto" w:sz="0" w:space="0"/>
          </w:tblBorders>
          <w:tblCellMar>
            <w:top w:w="0" w:type="dxa"/>
            <w:left w:w="108" w:type="dxa"/>
            <w:bottom w:w="0" w:type="dxa"/>
            <w:right w:w="108" w:type="dxa"/>
          </w:tblCellMar>
        </w:tblPrEx>
        <w:trPr>
          <w:trHeight w:val="90" w:hRule="atLeast"/>
          <w:jc w:val="center"/>
        </w:trPr>
        <w:tc>
          <w:tcPr>
            <w:tcW w:w="784" w:type="pct"/>
            <w:tcBorders>
              <w:top w:val="nil"/>
              <w:bottom w:val="single" w:color="auto" w:sz="12" w:space="0"/>
            </w:tcBorders>
            <w:shd w:val="clear" w:color="auto" w:fill="auto"/>
            <w:vAlign w:val="center"/>
          </w:tcPr>
          <w:p w14:paraId="1D528C5C">
            <w:pPr>
              <w:ind w:firstLine="0" w:firstLineChars="0"/>
              <w:jc w:val="center"/>
              <w:rPr>
                <w:sz w:val="15"/>
                <w:szCs w:val="15"/>
              </w:rPr>
            </w:pPr>
            <w:r>
              <w:rPr>
                <w:rFonts w:hint="eastAsia"/>
                <w:sz w:val="15"/>
                <w:szCs w:val="15"/>
              </w:rPr>
              <w:t>前期影响雨量法</w:t>
            </w:r>
          </w:p>
        </w:tc>
        <w:tc>
          <w:tcPr>
            <w:tcW w:w="364" w:type="pct"/>
            <w:tcBorders>
              <w:top w:val="nil"/>
              <w:bottom w:val="single" w:color="auto" w:sz="12" w:space="0"/>
            </w:tcBorders>
            <w:shd w:val="clear" w:color="auto" w:fill="auto"/>
            <w:vAlign w:val="center"/>
          </w:tcPr>
          <w:p w14:paraId="02DF62B8">
            <w:pPr>
              <w:ind w:firstLine="0" w:firstLineChars="0"/>
              <w:jc w:val="center"/>
              <w:rPr>
                <w:sz w:val="15"/>
                <w:szCs w:val="15"/>
              </w:rPr>
            </w:pPr>
            <w:r>
              <w:rPr>
                <w:rFonts w:hint="eastAsia"/>
                <w:sz w:val="15"/>
                <w:szCs w:val="15"/>
              </w:rPr>
              <w:t>0.32</w:t>
            </w:r>
          </w:p>
        </w:tc>
        <w:tc>
          <w:tcPr>
            <w:tcW w:w="369" w:type="pct"/>
            <w:tcBorders>
              <w:top w:val="nil"/>
              <w:bottom w:val="single" w:color="auto" w:sz="12" w:space="0"/>
            </w:tcBorders>
            <w:shd w:val="clear" w:color="auto" w:fill="auto"/>
            <w:vAlign w:val="center"/>
          </w:tcPr>
          <w:p w14:paraId="4EDADBC9">
            <w:pPr>
              <w:ind w:firstLine="0" w:firstLineChars="0"/>
              <w:jc w:val="center"/>
              <w:rPr>
                <w:sz w:val="15"/>
                <w:szCs w:val="15"/>
              </w:rPr>
            </w:pPr>
            <w:r>
              <w:rPr>
                <w:rFonts w:hint="eastAsia"/>
                <w:sz w:val="15"/>
                <w:szCs w:val="15"/>
              </w:rPr>
              <w:t>15.25</w:t>
            </w:r>
          </w:p>
        </w:tc>
        <w:tc>
          <w:tcPr>
            <w:tcW w:w="360" w:type="pct"/>
            <w:tcBorders>
              <w:top w:val="nil"/>
              <w:bottom w:val="single" w:color="auto" w:sz="12" w:space="0"/>
            </w:tcBorders>
            <w:vAlign w:val="center"/>
          </w:tcPr>
          <w:p w14:paraId="3D2E934A">
            <w:pPr>
              <w:ind w:firstLine="0" w:firstLineChars="0"/>
              <w:jc w:val="center"/>
              <w:rPr>
                <w:sz w:val="15"/>
                <w:szCs w:val="15"/>
              </w:rPr>
            </w:pPr>
            <w:r>
              <w:rPr>
                <w:rFonts w:hint="eastAsia"/>
                <w:sz w:val="15"/>
                <w:szCs w:val="15"/>
              </w:rPr>
              <w:t>0.73</w:t>
            </w:r>
          </w:p>
        </w:tc>
        <w:tc>
          <w:tcPr>
            <w:tcW w:w="659" w:type="pct"/>
            <w:tcBorders>
              <w:top w:val="nil"/>
              <w:bottom w:val="single" w:color="auto" w:sz="12" w:space="0"/>
            </w:tcBorders>
            <w:vAlign w:val="center"/>
          </w:tcPr>
          <w:p w14:paraId="3ED547D6">
            <w:pPr>
              <w:ind w:firstLine="0" w:firstLineChars="0"/>
              <w:jc w:val="center"/>
              <w:rPr>
                <w:sz w:val="15"/>
                <w:szCs w:val="15"/>
              </w:rPr>
            </w:pPr>
            <w:r>
              <w:rPr>
                <w:rFonts w:hint="eastAsia"/>
                <w:sz w:val="15"/>
                <w:szCs w:val="15"/>
              </w:rPr>
              <w:t>5.56</w:t>
            </w:r>
          </w:p>
        </w:tc>
        <w:tc>
          <w:tcPr>
            <w:tcW w:w="648" w:type="pct"/>
            <w:tcBorders>
              <w:top w:val="nil"/>
              <w:bottom w:val="single" w:color="auto" w:sz="12" w:space="0"/>
            </w:tcBorders>
            <w:vAlign w:val="center"/>
          </w:tcPr>
          <w:p w14:paraId="1731C14C">
            <w:pPr>
              <w:ind w:firstLine="0" w:firstLineChars="0"/>
              <w:jc w:val="center"/>
              <w:rPr>
                <w:sz w:val="15"/>
                <w:szCs w:val="15"/>
              </w:rPr>
            </w:pPr>
            <w:r>
              <w:rPr>
                <w:rFonts w:hint="eastAsia"/>
                <w:sz w:val="15"/>
                <w:szCs w:val="15"/>
              </w:rPr>
              <w:t>5.85</w:t>
            </w:r>
          </w:p>
        </w:tc>
        <w:tc>
          <w:tcPr>
            <w:tcW w:w="707" w:type="pct"/>
            <w:tcBorders>
              <w:top w:val="nil"/>
              <w:bottom w:val="single" w:color="auto" w:sz="12" w:space="0"/>
            </w:tcBorders>
            <w:vAlign w:val="center"/>
          </w:tcPr>
          <w:p w14:paraId="6AD1514E">
            <w:pPr>
              <w:ind w:firstLine="0" w:firstLineChars="0"/>
              <w:jc w:val="center"/>
              <w:rPr>
                <w:sz w:val="15"/>
                <w:szCs w:val="15"/>
              </w:rPr>
            </w:pPr>
            <w:r>
              <w:rPr>
                <w:rFonts w:hint="eastAsia"/>
                <w:sz w:val="15"/>
                <w:szCs w:val="15"/>
              </w:rPr>
              <w:t>9</w:t>
            </w:r>
          </w:p>
        </w:tc>
        <w:tc>
          <w:tcPr>
            <w:tcW w:w="605" w:type="pct"/>
            <w:tcBorders>
              <w:top w:val="nil"/>
              <w:bottom w:val="single" w:color="auto" w:sz="12" w:space="0"/>
            </w:tcBorders>
            <w:vAlign w:val="center"/>
          </w:tcPr>
          <w:p w14:paraId="7B290F39">
            <w:pPr>
              <w:ind w:firstLine="0" w:firstLineChars="0"/>
              <w:jc w:val="center"/>
              <w:rPr>
                <w:sz w:val="15"/>
                <w:szCs w:val="15"/>
              </w:rPr>
            </w:pPr>
            <w:r>
              <w:rPr>
                <w:rFonts w:hint="eastAsia"/>
                <w:sz w:val="15"/>
                <w:szCs w:val="15"/>
              </w:rPr>
              <w:t>27.35</w:t>
            </w:r>
          </w:p>
        </w:tc>
        <w:tc>
          <w:tcPr>
            <w:tcW w:w="499" w:type="pct"/>
            <w:tcBorders>
              <w:top w:val="nil"/>
              <w:bottom w:val="single" w:color="auto" w:sz="12" w:space="0"/>
            </w:tcBorders>
            <w:vAlign w:val="center"/>
          </w:tcPr>
          <w:p w14:paraId="713A0181">
            <w:pPr>
              <w:ind w:firstLine="0" w:firstLineChars="0"/>
              <w:jc w:val="center"/>
              <w:rPr>
                <w:sz w:val="15"/>
                <w:szCs w:val="15"/>
              </w:rPr>
            </w:pPr>
            <w:r>
              <w:rPr>
                <w:rFonts w:hint="eastAsia"/>
                <w:sz w:val="15"/>
                <w:szCs w:val="15"/>
              </w:rPr>
              <w:t>0.41</w:t>
            </w:r>
          </w:p>
        </w:tc>
      </w:tr>
    </w:tbl>
    <w:p w14:paraId="5C3B49B6">
      <w:pPr>
        <w:pStyle w:val="8"/>
        <w:ind w:firstLine="420"/>
      </w:pPr>
      <w:r>
        <w:rPr>
          <w:rFonts w:hint="eastAsia"/>
        </w:rPr>
        <w:t>水文模型法模拟的</w:t>
      </w:r>
      <w:r>
        <w:rPr>
          <w:rFonts w:hint="eastAsia"/>
          <w:i/>
          <w:iCs/>
        </w:rPr>
        <w:t>NSE</w:t>
      </w:r>
      <w:r>
        <w:rPr>
          <w:rFonts w:hint="eastAsia"/>
        </w:rPr>
        <w:t>值为0.87，精度最优，洪峰与枯水过程误差均低于10%，峰现时间准确。对比方法中，瞬时单位线法</w:t>
      </w:r>
      <w:r>
        <w:rPr>
          <w:rFonts w:hint="eastAsia"/>
          <w:i/>
          <w:iCs/>
        </w:rPr>
        <w:t>NSE</w:t>
      </w:r>
      <w:r>
        <w:rPr>
          <w:rFonts w:hint="eastAsia"/>
        </w:rPr>
        <w:t>值为0.76，过程模拟偏差明显，洪量误差达28.97%；前期影响雨量法</w:t>
      </w:r>
      <w:r>
        <w:rPr>
          <w:rFonts w:hint="eastAsia"/>
          <w:i/>
          <w:iCs/>
        </w:rPr>
        <w:t>NSE</w:t>
      </w:r>
      <w:r>
        <w:rPr>
          <w:rFonts w:hint="eastAsia"/>
        </w:rPr>
        <w:t>值为0.32，呈现系统性高估。表明基于土地利用的参数迁移策略显著提升了少资料流域的模拟可靠性。</w:t>
      </w:r>
    </w:p>
    <w:p w14:paraId="14853488">
      <w:pPr>
        <w:pStyle w:val="8"/>
        <w:ind w:firstLine="420"/>
      </w:pPr>
      <w:r>
        <w:rPr>
          <w:rFonts w:hint="eastAsia"/>
        </w:rPr>
        <w:t>流量过程对比如图</w:t>
      </w:r>
      <w:r>
        <w:t>7</w:t>
      </w:r>
      <w:r>
        <w:rPr>
          <w:rFonts w:hint="eastAsia"/>
        </w:rPr>
        <w:t>所示，不同水文方法的洪峰过程模拟能力存在显著差异。水文模型法在入流、退水及洪峰流量等关键环节均表现出较高的模拟精度；瞬时单位线法的洪峰模拟精度相对较低，且难以准确刻画退水段的复涨过程；而前期影响雨量法则在起涨与退水速率的模拟中存在明显偏差。</w:t>
      </w:r>
    </w:p>
    <w:p w14:paraId="20699929">
      <w:pPr>
        <w:pStyle w:val="8"/>
        <w:ind w:firstLine="0" w:firstLineChars="0"/>
        <w:jc w:val="center"/>
      </w:pPr>
      <w:bookmarkStart w:id="15" w:name="_Ref26985"/>
      <w:bookmarkStart w:id="16" w:name="_Ref14638"/>
      <w:r>
        <w:rPr>
          <w:rFonts w:ascii="宋体" w:hAnsi="宋体"/>
          <w:sz w:val="24"/>
        </w:rPr>
        <w:drawing>
          <wp:inline distT="0" distB="0" distL="114300" distR="114300">
            <wp:extent cx="3284855" cy="1726565"/>
            <wp:effectExtent l="0" t="0" r="6985" b="10795"/>
            <wp:docPr id="23" name="图片 2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9" descr="IMG_256"/>
                    <pic:cNvPicPr>
                      <a:picLocks noChangeAspect="1"/>
                    </pic:cNvPicPr>
                  </pic:nvPicPr>
                  <pic:blipFill>
                    <a:blip r:embed="rId56"/>
                    <a:stretch>
                      <a:fillRect/>
                    </a:stretch>
                  </pic:blipFill>
                  <pic:spPr>
                    <a:xfrm>
                      <a:off x="0" y="0"/>
                      <a:ext cx="3284855" cy="1726565"/>
                    </a:xfrm>
                    <a:prstGeom prst="rect">
                      <a:avLst/>
                    </a:prstGeom>
                    <a:noFill/>
                    <a:ln w="9525">
                      <a:noFill/>
                    </a:ln>
                  </pic:spPr>
                </pic:pic>
              </a:graphicData>
            </a:graphic>
          </wp:inline>
        </w:drawing>
      </w:r>
    </w:p>
    <w:p w14:paraId="51C40EED">
      <w:pPr>
        <w:pStyle w:val="7"/>
      </w:pPr>
      <w:bookmarkStart w:id="17" w:name="_Ref4233"/>
      <w:r>
        <w:rPr>
          <w:rFonts w:hint="eastAsia"/>
        </w:rPr>
        <w:t>图</w:t>
      </w:r>
      <w:r>
        <w:t>7</w:t>
      </w:r>
      <w:bookmarkEnd w:id="15"/>
      <w:bookmarkEnd w:id="17"/>
      <w:r>
        <w:rPr>
          <w:rFonts w:hint="eastAsia"/>
        </w:rPr>
        <w:t xml:space="preserve">  特努伦站实测及模拟径流过程对比</w:t>
      </w:r>
    </w:p>
    <w:p w14:paraId="0E53DEAA">
      <w:pPr>
        <w:pStyle w:val="7"/>
        <w:rPr>
          <w:bCs w:val="0"/>
        </w:rPr>
      </w:pPr>
      <w:r>
        <w:rPr>
          <w:rFonts w:hint="eastAsia"/>
          <w:bCs w:val="0"/>
        </w:rPr>
        <w:t>Fig.</w:t>
      </w:r>
      <w:r>
        <w:rPr>
          <w:rFonts w:hint="eastAsia"/>
          <w:bCs w:val="0"/>
          <w:lang w:val="en-US" w:eastAsia="zh-CN"/>
        </w:rPr>
        <w:t xml:space="preserve"> </w:t>
      </w:r>
      <w:r>
        <w:rPr>
          <w:rFonts w:hint="eastAsia"/>
          <w:bCs w:val="0"/>
        </w:rPr>
        <w:t xml:space="preserve">7  Comparison between observed and simulated runoff processes at </w:t>
      </w:r>
      <w:r>
        <w:rPr>
          <w:rFonts w:hint="eastAsia"/>
        </w:rPr>
        <w:t>Thnous</w:t>
      </w:r>
      <w:r>
        <w:rPr>
          <w:rFonts w:hint="eastAsia"/>
          <w:bCs w:val="0"/>
        </w:rPr>
        <w:t xml:space="preserve"> Loung station</w:t>
      </w:r>
    </w:p>
    <w:bookmarkEnd w:id="16"/>
    <w:p w14:paraId="28D5F45B">
      <w:pPr>
        <w:pStyle w:val="8"/>
        <w:ind w:firstLine="420"/>
      </w:pPr>
      <w:r>
        <w:rPr>
          <w:rFonts w:hint="eastAsia"/>
        </w:rPr>
        <w:t>月均水量对比如图</w:t>
      </w:r>
      <w:r>
        <w:t>8</w:t>
      </w:r>
      <w:r>
        <w:rPr>
          <w:rFonts w:hint="eastAsia"/>
        </w:rPr>
        <w:t>所示，流量峰值出现在7月至11月，占全年径流量的79%，枯水期则为12月至次年6月。水文模型法在汛期模拟的效果最好，水量误差控制在15%以内；瞬时单位线法在汛期模拟精度显著下降；而前期影响雨量法在枯水期的模拟效果最差，于汛期则易出现系统性高估。</w:t>
      </w:r>
    </w:p>
    <w:p w14:paraId="6E1E50DD">
      <w:pPr>
        <w:pStyle w:val="8"/>
        <w:ind w:firstLine="0" w:firstLineChars="0"/>
        <w:jc w:val="center"/>
        <w:rPr>
          <w:rFonts w:ascii="宋体" w:hAnsi="宋体"/>
          <w:sz w:val="24"/>
        </w:rPr>
      </w:pPr>
      <w:r>
        <w:rPr>
          <w:rFonts w:ascii="宋体" w:hAnsi="宋体"/>
          <w:sz w:val="24"/>
        </w:rPr>
        <w:drawing>
          <wp:inline distT="0" distB="0" distL="114300" distR="114300">
            <wp:extent cx="2722880" cy="1619885"/>
            <wp:effectExtent l="0" t="0" r="5080" b="10795"/>
            <wp:docPr id="29" name="图片 2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5" descr="IMG_256"/>
                    <pic:cNvPicPr>
                      <a:picLocks noChangeAspect="1"/>
                    </pic:cNvPicPr>
                  </pic:nvPicPr>
                  <pic:blipFill>
                    <a:blip r:embed="rId57"/>
                    <a:srcRect l="4508" r="5037" b="5278"/>
                    <a:stretch>
                      <a:fillRect/>
                    </a:stretch>
                  </pic:blipFill>
                  <pic:spPr>
                    <a:xfrm>
                      <a:off x="0" y="0"/>
                      <a:ext cx="2722880" cy="1619885"/>
                    </a:xfrm>
                    <a:prstGeom prst="rect">
                      <a:avLst/>
                    </a:prstGeom>
                    <a:noFill/>
                    <a:ln w="9525">
                      <a:noFill/>
                    </a:ln>
                  </pic:spPr>
                </pic:pic>
              </a:graphicData>
            </a:graphic>
          </wp:inline>
        </w:drawing>
      </w:r>
    </w:p>
    <w:p w14:paraId="02EA8665">
      <w:pPr>
        <w:pStyle w:val="7"/>
        <w:rPr>
          <w:bCs w:val="0"/>
        </w:rPr>
      </w:pPr>
      <w:bookmarkStart w:id="18" w:name="_Ref11427"/>
      <w:r>
        <w:rPr>
          <w:rFonts w:hint="eastAsia"/>
          <w:bCs w:val="0"/>
        </w:rPr>
        <w:t>图</w:t>
      </w:r>
      <w:r>
        <w:rPr>
          <w:bCs w:val="0"/>
        </w:rPr>
        <w:t>8</w:t>
      </w:r>
      <w:bookmarkEnd w:id="18"/>
      <w:r>
        <w:rPr>
          <w:bCs w:val="0"/>
        </w:rPr>
        <w:t xml:space="preserve">  </w:t>
      </w:r>
      <w:r>
        <w:rPr>
          <w:rFonts w:hint="eastAsia"/>
          <w:bCs w:val="0"/>
        </w:rPr>
        <w:t>特努伦站月均水量模拟与实测对比</w:t>
      </w:r>
    </w:p>
    <w:p w14:paraId="7C1CB8CA">
      <w:pPr>
        <w:pStyle w:val="7"/>
        <w:rPr>
          <w:bCs w:val="0"/>
        </w:rPr>
      </w:pPr>
      <w:r>
        <w:rPr>
          <w:rFonts w:hint="eastAsia"/>
          <w:bCs w:val="0"/>
        </w:rPr>
        <w:t>Fig.</w:t>
      </w:r>
      <w:r>
        <w:rPr>
          <w:rFonts w:hint="eastAsia"/>
          <w:bCs w:val="0"/>
          <w:lang w:val="en-US" w:eastAsia="zh-CN"/>
        </w:rPr>
        <w:t xml:space="preserve"> </w:t>
      </w:r>
      <w:r>
        <w:rPr>
          <w:rFonts w:hint="eastAsia"/>
          <w:bCs w:val="0"/>
        </w:rPr>
        <w:t xml:space="preserve">8  Comparison between simulated and observed monthly average water volumes at </w:t>
      </w:r>
      <w:r>
        <w:rPr>
          <w:rFonts w:hint="eastAsia"/>
        </w:rPr>
        <w:t>Thnous</w:t>
      </w:r>
      <w:r>
        <w:rPr>
          <w:rFonts w:hint="eastAsia"/>
          <w:bCs w:val="0"/>
        </w:rPr>
        <w:t xml:space="preserve"> Loung station</w:t>
      </w:r>
    </w:p>
    <w:p w14:paraId="5119BC4B">
      <w:pPr>
        <w:pStyle w:val="8"/>
        <w:ind w:firstLine="420"/>
      </w:pPr>
      <w:r>
        <w:rPr>
          <w:rFonts w:hint="eastAsia"/>
        </w:rPr>
        <w:t>同理，迁移参数至斯伦河流域，克拉朗</w:t>
      </w:r>
      <w:r>
        <w:t>站</w:t>
      </w:r>
      <w:r>
        <w:rPr>
          <w:rFonts w:hint="eastAsia"/>
        </w:rPr>
        <w:t>径流模拟结果如表8所列。水文模型法再次表现出最优的综合性能，其</w:t>
      </w:r>
      <w:r>
        <w:rPr>
          <w:rFonts w:hint="eastAsia"/>
          <w:i/>
          <w:iCs/>
        </w:rPr>
        <w:t>NSE</w:t>
      </w:r>
      <w:r>
        <w:rPr>
          <w:rFonts w:hint="eastAsia"/>
        </w:rPr>
        <w:t>达0.89，</w:t>
      </w:r>
      <w:r>
        <w:rPr>
          <w:rFonts w:hint="eastAsia"/>
          <w:i/>
          <w:iCs/>
        </w:rPr>
        <w:t>RE</w:t>
      </w:r>
      <w:r>
        <w:rPr>
          <w:rFonts w:hint="eastAsia"/>
        </w:rPr>
        <w:t>为7.01%，各项过程误差均控制在较低水平。瞬时单位线法</w:t>
      </w:r>
      <w:r>
        <w:rPr>
          <w:rFonts w:hint="eastAsia"/>
          <w:i/>
          <w:iCs/>
        </w:rPr>
        <w:t>RE</w:t>
      </w:r>
      <w:r>
        <w:rPr>
          <w:rFonts w:hint="eastAsia"/>
        </w:rPr>
        <w:t>为22.5%，在水量平衡方面存在明显偏差；前期影响雨量法在洪峰与枯水期模拟中均出现显著误差，枯水期水量误差高达66.37%。表明所提出的参数迁移方法在不同流域均具有稳定的优越性与可靠性。</w:t>
      </w:r>
    </w:p>
    <w:p w14:paraId="158DAC81">
      <w:pPr>
        <w:pStyle w:val="7"/>
        <w:rPr>
          <w:bCs w:val="0"/>
        </w:rPr>
      </w:pPr>
      <w:bookmarkStart w:id="19" w:name="_Ref11561"/>
      <w:r>
        <w:rPr>
          <w:rFonts w:hint="eastAsia"/>
          <w:bCs w:val="0"/>
        </w:rPr>
        <w:t>表8</w:t>
      </w:r>
      <w:bookmarkEnd w:id="19"/>
      <w:r>
        <w:rPr>
          <w:rFonts w:hint="eastAsia"/>
          <w:bCs w:val="0"/>
        </w:rPr>
        <w:t xml:space="preserve">  克拉朗站径流模拟结果评价</w:t>
      </w:r>
    </w:p>
    <w:p w14:paraId="156660B6">
      <w:pPr>
        <w:pStyle w:val="7"/>
        <w:rPr>
          <w:bCs w:val="0"/>
        </w:rPr>
      </w:pPr>
      <w:r>
        <w:rPr>
          <w:rFonts w:hint="eastAsia"/>
          <w:bCs w:val="0"/>
        </w:rPr>
        <w:t>Tab</w:t>
      </w:r>
      <w:r>
        <w:rPr>
          <w:rFonts w:hint="eastAsia"/>
          <w:bCs w:val="0"/>
          <w:lang w:val="en-US" w:eastAsia="zh-CN"/>
        </w:rPr>
        <w:t xml:space="preserve">le </w:t>
      </w:r>
      <w:r>
        <w:rPr>
          <w:rFonts w:hint="eastAsia"/>
          <w:bCs w:val="0"/>
        </w:rPr>
        <w:t>8  Evaluation of runoff simulation results at Kralanh station</w:t>
      </w:r>
    </w:p>
    <w:tbl>
      <w:tblPr>
        <w:tblStyle w:val="13"/>
        <w:tblW w:w="4258" w:type="pct"/>
        <w:jc w:val="center"/>
        <w:tblBorders>
          <w:top w:val="single" w:color="auto" w:sz="12" w:space="0"/>
          <w:left w:val="none" w:color="auto" w:sz="0" w:space="0"/>
          <w:bottom w:val="single" w:color="auto" w:sz="12" w:space="0"/>
          <w:right w:val="none" w:color="auto" w:sz="0" w:space="0"/>
          <w:insideH w:val="single" w:color="auto" w:sz="12" w:space="0"/>
          <w:insideV w:val="none" w:color="auto" w:sz="0" w:space="0"/>
        </w:tblBorders>
        <w:tblLayout w:type="fixed"/>
        <w:tblCellMar>
          <w:top w:w="0" w:type="dxa"/>
          <w:left w:w="108" w:type="dxa"/>
          <w:bottom w:w="0" w:type="dxa"/>
          <w:right w:w="108" w:type="dxa"/>
        </w:tblCellMar>
      </w:tblPr>
      <w:tblGrid>
        <w:gridCol w:w="1291"/>
        <w:gridCol w:w="555"/>
        <w:gridCol w:w="645"/>
        <w:gridCol w:w="602"/>
        <w:gridCol w:w="1043"/>
        <w:gridCol w:w="1042"/>
        <w:gridCol w:w="1182"/>
        <w:gridCol w:w="1122"/>
        <w:gridCol w:w="910"/>
      </w:tblGrid>
      <w:tr w14:paraId="5329E020">
        <w:tblPrEx>
          <w:tblBorders>
            <w:top w:val="single" w:color="auto" w:sz="12" w:space="0"/>
            <w:left w:val="none" w:color="auto" w:sz="0" w:space="0"/>
            <w:bottom w:val="single" w:color="auto" w:sz="12" w:space="0"/>
            <w:right w:val="none" w:color="auto" w:sz="0" w:space="0"/>
            <w:insideH w:val="single" w:color="auto" w:sz="12" w:space="0"/>
            <w:insideV w:val="none" w:color="auto" w:sz="0" w:space="0"/>
          </w:tblBorders>
          <w:tblCellMar>
            <w:top w:w="0" w:type="dxa"/>
            <w:left w:w="108" w:type="dxa"/>
            <w:bottom w:w="0" w:type="dxa"/>
            <w:right w:w="108" w:type="dxa"/>
          </w:tblCellMar>
        </w:tblPrEx>
        <w:trPr>
          <w:trHeight w:val="314" w:hRule="atLeast"/>
          <w:jc w:val="center"/>
        </w:trPr>
        <w:tc>
          <w:tcPr>
            <w:tcW w:w="769" w:type="pct"/>
            <w:vMerge w:val="restart"/>
            <w:tcBorders>
              <w:top w:val="single" w:color="000000" w:sz="12" w:space="0"/>
            </w:tcBorders>
            <w:vAlign w:val="center"/>
          </w:tcPr>
          <w:p w14:paraId="1398EE47">
            <w:pPr>
              <w:ind w:firstLine="0" w:firstLineChars="0"/>
              <w:jc w:val="center"/>
              <w:rPr>
                <w:sz w:val="15"/>
                <w:szCs w:val="15"/>
              </w:rPr>
            </w:pPr>
            <w:r>
              <w:rPr>
                <w:rFonts w:hint="eastAsia"/>
                <w:sz w:val="15"/>
                <w:szCs w:val="15"/>
              </w:rPr>
              <w:t>方法</w:t>
            </w:r>
          </w:p>
        </w:tc>
        <w:tc>
          <w:tcPr>
            <w:tcW w:w="330" w:type="pct"/>
            <w:vMerge w:val="restart"/>
            <w:tcBorders>
              <w:top w:val="single" w:color="000000" w:sz="12" w:space="0"/>
            </w:tcBorders>
            <w:vAlign w:val="center"/>
          </w:tcPr>
          <w:p w14:paraId="6CF9CA32">
            <w:pPr>
              <w:ind w:firstLine="0" w:firstLineChars="0"/>
              <w:jc w:val="center"/>
              <w:rPr>
                <w:i/>
                <w:iCs/>
                <w:sz w:val="15"/>
                <w:szCs w:val="15"/>
              </w:rPr>
            </w:pPr>
            <w:r>
              <w:rPr>
                <w:rFonts w:hint="eastAsia"/>
                <w:i/>
                <w:iCs/>
                <w:sz w:val="15"/>
                <w:szCs w:val="15"/>
              </w:rPr>
              <w:t>NSE</w:t>
            </w:r>
          </w:p>
        </w:tc>
        <w:tc>
          <w:tcPr>
            <w:tcW w:w="384" w:type="pct"/>
            <w:vMerge w:val="restart"/>
            <w:tcBorders>
              <w:top w:val="single" w:color="000000" w:sz="12" w:space="0"/>
            </w:tcBorders>
            <w:vAlign w:val="center"/>
          </w:tcPr>
          <w:p w14:paraId="45CEC70A">
            <w:pPr>
              <w:ind w:firstLine="0" w:firstLineChars="0"/>
              <w:jc w:val="center"/>
              <w:rPr>
                <w:sz w:val="15"/>
                <w:szCs w:val="15"/>
              </w:rPr>
            </w:pPr>
            <m:oMath>
              <m:r>
                <m:rPr/>
                <w:rPr>
                  <w:rFonts w:ascii="Cambria Math" w:hAnsi="Cambria Math"/>
                  <w:sz w:val="15"/>
                  <w:szCs w:val="15"/>
                </w:rPr>
                <m:t>RE</m:t>
              </m:r>
            </m:oMath>
            <w:r>
              <w:rPr>
                <w:rFonts w:hint="eastAsia"/>
                <w:sz w:val="15"/>
                <w:szCs w:val="15"/>
              </w:rPr>
              <w:t>/%</w:t>
            </w:r>
          </w:p>
        </w:tc>
        <w:tc>
          <w:tcPr>
            <w:tcW w:w="358" w:type="pct"/>
            <w:vMerge w:val="restart"/>
            <w:tcBorders>
              <w:top w:val="single" w:color="000000" w:sz="12" w:space="0"/>
            </w:tcBorders>
            <w:vAlign w:val="center"/>
          </w:tcPr>
          <w:p w14:paraId="28B6B39C">
            <w:pPr>
              <w:ind w:firstLine="0" w:firstLineChars="0"/>
              <w:jc w:val="center"/>
              <w:rPr>
                <w:sz w:val="15"/>
                <w:szCs w:val="15"/>
              </w:rPr>
            </w:pPr>
            <w:r>
              <w:rPr>
                <w:rFonts w:hint="eastAsia"/>
                <w:i/>
                <w:iCs/>
                <w:sz w:val="15"/>
                <w:szCs w:val="15"/>
              </w:rPr>
              <w:t>R</w:t>
            </w:r>
            <w:r>
              <w:rPr>
                <w:rFonts w:hint="eastAsia"/>
                <w:i/>
                <w:iCs/>
                <w:sz w:val="15"/>
                <w:szCs w:val="15"/>
                <w:vertAlign w:val="superscript"/>
              </w:rPr>
              <w:t>2</w:t>
            </w:r>
          </w:p>
        </w:tc>
        <w:tc>
          <w:tcPr>
            <w:tcW w:w="621" w:type="pct"/>
            <w:vMerge w:val="restart"/>
            <w:tcBorders>
              <w:top w:val="single" w:color="000000" w:sz="12" w:space="0"/>
              <w:bottom w:val="nil"/>
            </w:tcBorders>
            <w:vAlign w:val="center"/>
          </w:tcPr>
          <w:p w14:paraId="04152D82">
            <w:pPr>
              <w:ind w:firstLine="0" w:firstLineChars="0"/>
              <w:jc w:val="center"/>
              <w:rPr>
                <w:sz w:val="15"/>
                <w:szCs w:val="15"/>
                <w:oMath/>
              </w:rPr>
            </w:pPr>
            <w:r>
              <w:rPr>
                <w:rFonts w:hint="eastAsia"/>
                <w:sz w:val="15"/>
                <w:szCs w:val="15"/>
              </w:rPr>
              <w:t>洪量误差/%</w:t>
            </w:r>
          </w:p>
        </w:tc>
        <w:tc>
          <w:tcPr>
            <w:tcW w:w="621" w:type="pct"/>
            <w:vMerge w:val="restart"/>
            <w:tcBorders>
              <w:top w:val="single" w:color="000000" w:sz="12" w:space="0"/>
              <w:bottom w:val="nil"/>
            </w:tcBorders>
            <w:vAlign w:val="center"/>
          </w:tcPr>
          <w:p w14:paraId="3B7F92CB">
            <w:pPr>
              <w:ind w:firstLine="0" w:firstLineChars="0"/>
              <w:jc w:val="center"/>
              <w:rPr>
                <w:sz w:val="15"/>
                <w:szCs w:val="15"/>
                <w:oMath/>
              </w:rPr>
            </w:pPr>
            <w:r>
              <w:rPr>
                <w:rFonts w:hint="eastAsia"/>
                <w:sz w:val="15"/>
                <w:szCs w:val="15"/>
              </w:rPr>
              <w:t>峰值误差/%</w:t>
            </w:r>
          </w:p>
        </w:tc>
        <w:tc>
          <w:tcPr>
            <w:tcW w:w="704" w:type="pct"/>
            <w:vMerge w:val="restart"/>
            <w:tcBorders>
              <w:top w:val="single" w:color="000000" w:sz="12" w:space="0"/>
              <w:bottom w:val="nil"/>
            </w:tcBorders>
            <w:vAlign w:val="center"/>
          </w:tcPr>
          <w:p w14:paraId="282F42ED">
            <w:pPr>
              <w:ind w:firstLine="0" w:firstLineChars="0"/>
              <w:jc w:val="center"/>
              <w:rPr>
                <w:sz w:val="15"/>
                <w:szCs w:val="15"/>
              </w:rPr>
            </w:pPr>
            <w:r>
              <w:rPr>
                <w:rFonts w:hint="eastAsia"/>
                <w:sz w:val="15"/>
                <w:szCs w:val="15"/>
              </w:rPr>
              <w:t>峰现时间差/天</w:t>
            </w:r>
          </w:p>
        </w:tc>
        <w:tc>
          <w:tcPr>
            <w:tcW w:w="1210" w:type="pct"/>
            <w:gridSpan w:val="2"/>
            <w:tcBorders>
              <w:top w:val="single" w:color="000000" w:sz="12" w:space="0"/>
              <w:bottom w:val="single" w:color="000000" w:sz="4" w:space="0"/>
            </w:tcBorders>
            <w:vAlign w:val="center"/>
          </w:tcPr>
          <w:p w14:paraId="38273505">
            <w:pPr>
              <w:ind w:firstLine="0" w:firstLineChars="0"/>
              <w:jc w:val="center"/>
              <w:rPr>
                <w:sz w:val="15"/>
                <w:szCs w:val="15"/>
              </w:rPr>
            </w:pPr>
            <w:r>
              <w:rPr>
                <w:rFonts w:hint="eastAsia"/>
                <w:sz w:val="15"/>
                <w:szCs w:val="15"/>
              </w:rPr>
              <w:t>枯水期</w:t>
            </w:r>
          </w:p>
        </w:tc>
      </w:tr>
      <w:tr w14:paraId="0B30CFA1">
        <w:tblPrEx>
          <w:tblBorders>
            <w:top w:val="single" w:color="auto" w:sz="12" w:space="0"/>
            <w:left w:val="none" w:color="auto" w:sz="0" w:space="0"/>
            <w:bottom w:val="single" w:color="auto" w:sz="12" w:space="0"/>
            <w:right w:val="none" w:color="auto" w:sz="0" w:space="0"/>
            <w:insideH w:val="single" w:color="auto" w:sz="12" w:space="0"/>
            <w:insideV w:val="none" w:color="auto" w:sz="0" w:space="0"/>
          </w:tblBorders>
          <w:tblCellMar>
            <w:top w:w="0" w:type="dxa"/>
            <w:left w:w="108" w:type="dxa"/>
            <w:bottom w:w="0" w:type="dxa"/>
            <w:right w:w="108" w:type="dxa"/>
          </w:tblCellMar>
        </w:tblPrEx>
        <w:trPr>
          <w:trHeight w:val="314" w:hRule="atLeast"/>
          <w:jc w:val="center"/>
        </w:trPr>
        <w:tc>
          <w:tcPr>
            <w:tcW w:w="769" w:type="pct"/>
            <w:vMerge w:val="continue"/>
            <w:tcBorders>
              <w:bottom w:val="single" w:color="auto" w:sz="4" w:space="0"/>
            </w:tcBorders>
            <w:vAlign w:val="center"/>
          </w:tcPr>
          <w:p w14:paraId="08880744">
            <w:pPr>
              <w:ind w:firstLine="0" w:firstLineChars="0"/>
              <w:jc w:val="center"/>
              <w:rPr>
                <w:sz w:val="15"/>
                <w:szCs w:val="15"/>
              </w:rPr>
            </w:pPr>
          </w:p>
        </w:tc>
        <w:tc>
          <w:tcPr>
            <w:tcW w:w="330" w:type="pct"/>
            <w:vMerge w:val="continue"/>
            <w:tcBorders>
              <w:bottom w:val="single" w:color="auto" w:sz="4" w:space="0"/>
            </w:tcBorders>
            <w:vAlign w:val="center"/>
          </w:tcPr>
          <w:p w14:paraId="658B74CC">
            <w:pPr>
              <w:ind w:firstLine="0" w:firstLineChars="0"/>
              <w:jc w:val="center"/>
              <w:rPr>
                <w:sz w:val="15"/>
                <w:szCs w:val="15"/>
              </w:rPr>
            </w:pPr>
          </w:p>
        </w:tc>
        <w:tc>
          <w:tcPr>
            <w:tcW w:w="384" w:type="pct"/>
            <w:vMerge w:val="continue"/>
            <w:tcBorders>
              <w:bottom w:val="single" w:color="auto" w:sz="4" w:space="0"/>
            </w:tcBorders>
            <w:vAlign w:val="center"/>
          </w:tcPr>
          <w:p w14:paraId="320C9FAF">
            <w:pPr>
              <w:ind w:firstLine="0" w:firstLineChars="0"/>
              <w:jc w:val="center"/>
              <w:rPr>
                <w:sz w:val="15"/>
                <w:szCs w:val="15"/>
              </w:rPr>
            </w:pPr>
          </w:p>
        </w:tc>
        <w:tc>
          <w:tcPr>
            <w:tcW w:w="358" w:type="pct"/>
            <w:vMerge w:val="continue"/>
            <w:tcBorders>
              <w:bottom w:val="single" w:color="auto" w:sz="4" w:space="0"/>
            </w:tcBorders>
            <w:vAlign w:val="center"/>
          </w:tcPr>
          <w:p w14:paraId="2956D3CB">
            <w:pPr>
              <w:ind w:firstLine="0" w:firstLineChars="0"/>
              <w:jc w:val="center"/>
              <w:rPr>
                <w:sz w:val="15"/>
                <w:szCs w:val="15"/>
                <w:oMath/>
              </w:rPr>
            </w:pPr>
          </w:p>
        </w:tc>
        <w:tc>
          <w:tcPr>
            <w:tcW w:w="621" w:type="pct"/>
            <w:vMerge w:val="continue"/>
            <w:tcBorders>
              <w:top w:val="nil"/>
              <w:bottom w:val="single" w:color="auto" w:sz="4" w:space="0"/>
            </w:tcBorders>
            <w:vAlign w:val="center"/>
          </w:tcPr>
          <w:p w14:paraId="0307D6B6">
            <w:pPr>
              <w:ind w:firstLine="0" w:firstLineChars="0"/>
              <w:jc w:val="center"/>
              <w:rPr>
                <w:sz w:val="15"/>
                <w:szCs w:val="15"/>
                <w:oMath/>
              </w:rPr>
            </w:pPr>
          </w:p>
        </w:tc>
        <w:tc>
          <w:tcPr>
            <w:tcW w:w="621" w:type="pct"/>
            <w:vMerge w:val="continue"/>
            <w:tcBorders>
              <w:top w:val="nil"/>
              <w:bottom w:val="single" w:color="auto" w:sz="4" w:space="0"/>
            </w:tcBorders>
            <w:vAlign w:val="center"/>
          </w:tcPr>
          <w:p w14:paraId="5EC4ADED">
            <w:pPr>
              <w:ind w:firstLine="0" w:firstLineChars="0"/>
              <w:jc w:val="center"/>
              <w:rPr>
                <w:sz w:val="15"/>
                <w:szCs w:val="15"/>
                <w:oMath/>
              </w:rPr>
            </w:pPr>
          </w:p>
        </w:tc>
        <w:tc>
          <w:tcPr>
            <w:tcW w:w="704" w:type="pct"/>
            <w:vMerge w:val="continue"/>
            <w:tcBorders>
              <w:top w:val="nil"/>
              <w:bottom w:val="single" w:color="auto" w:sz="4" w:space="0"/>
            </w:tcBorders>
            <w:vAlign w:val="center"/>
          </w:tcPr>
          <w:p w14:paraId="3A514494">
            <w:pPr>
              <w:ind w:firstLine="0" w:firstLineChars="0"/>
              <w:jc w:val="center"/>
              <w:rPr>
                <w:sz w:val="15"/>
                <w:szCs w:val="15"/>
              </w:rPr>
            </w:pPr>
          </w:p>
        </w:tc>
        <w:tc>
          <w:tcPr>
            <w:tcW w:w="668" w:type="pct"/>
            <w:tcBorders>
              <w:top w:val="single" w:color="000000" w:sz="4" w:space="0"/>
              <w:bottom w:val="single" w:color="000000" w:sz="4" w:space="0"/>
            </w:tcBorders>
          </w:tcPr>
          <w:p w14:paraId="5AC0A653">
            <w:pPr>
              <w:ind w:firstLine="0" w:firstLineChars="0"/>
              <w:jc w:val="center"/>
              <w:rPr>
                <w:sz w:val="15"/>
                <w:szCs w:val="15"/>
              </w:rPr>
            </w:pPr>
            <w:r>
              <w:rPr>
                <w:rFonts w:hint="eastAsia"/>
                <w:sz w:val="15"/>
                <w:szCs w:val="15"/>
              </w:rPr>
              <w:t>水量误差/%</w:t>
            </w:r>
          </w:p>
        </w:tc>
        <w:tc>
          <w:tcPr>
            <w:tcW w:w="541" w:type="pct"/>
            <w:tcBorders>
              <w:top w:val="single" w:color="000000" w:sz="4" w:space="0"/>
              <w:bottom w:val="single" w:color="000000" w:sz="4" w:space="0"/>
            </w:tcBorders>
          </w:tcPr>
          <w:p w14:paraId="2BB99FB6">
            <w:pPr>
              <w:ind w:firstLine="0" w:firstLineChars="0"/>
              <w:jc w:val="center"/>
              <w:rPr>
                <w:sz w:val="15"/>
                <w:szCs w:val="15"/>
              </w:rPr>
            </w:pPr>
            <w:r>
              <w:rPr>
                <w:rFonts w:hint="eastAsia"/>
                <w:i/>
                <w:iCs/>
                <w:sz w:val="15"/>
                <w:szCs w:val="15"/>
              </w:rPr>
              <w:t>NSE</w:t>
            </w:r>
          </w:p>
        </w:tc>
      </w:tr>
      <w:tr w14:paraId="063D7FA7">
        <w:tblPrEx>
          <w:tblBorders>
            <w:top w:val="single" w:color="auto" w:sz="12" w:space="0"/>
            <w:left w:val="none" w:color="auto" w:sz="0" w:space="0"/>
            <w:bottom w:val="single" w:color="auto" w:sz="12" w:space="0"/>
            <w:right w:val="none" w:color="auto" w:sz="0" w:space="0"/>
            <w:insideH w:val="single" w:color="auto" w:sz="12" w:space="0"/>
            <w:insideV w:val="none" w:color="auto" w:sz="0" w:space="0"/>
          </w:tblBorders>
          <w:tblCellMar>
            <w:top w:w="0" w:type="dxa"/>
            <w:left w:w="108" w:type="dxa"/>
            <w:bottom w:w="0" w:type="dxa"/>
            <w:right w:w="108" w:type="dxa"/>
          </w:tblCellMar>
        </w:tblPrEx>
        <w:trPr>
          <w:trHeight w:val="90" w:hRule="atLeast"/>
          <w:jc w:val="center"/>
        </w:trPr>
        <w:tc>
          <w:tcPr>
            <w:tcW w:w="769" w:type="pct"/>
            <w:tcBorders>
              <w:top w:val="single" w:color="auto" w:sz="4" w:space="0"/>
              <w:bottom w:val="nil"/>
            </w:tcBorders>
            <w:shd w:val="clear" w:color="auto" w:fill="auto"/>
            <w:vAlign w:val="center"/>
          </w:tcPr>
          <w:p w14:paraId="6A9A040A">
            <w:pPr>
              <w:ind w:firstLine="0" w:firstLineChars="0"/>
              <w:jc w:val="center"/>
              <w:rPr>
                <w:sz w:val="15"/>
                <w:szCs w:val="15"/>
              </w:rPr>
            </w:pPr>
            <w:r>
              <w:rPr>
                <w:rFonts w:hint="eastAsia"/>
                <w:sz w:val="15"/>
                <w:szCs w:val="15"/>
              </w:rPr>
              <w:t>水文模型法</w:t>
            </w:r>
          </w:p>
        </w:tc>
        <w:tc>
          <w:tcPr>
            <w:tcW w:w="330" w:type="pct"/>
            <w:tcBorders>
              <w:top w:val="single" w:color="auto" w:sz="4" w:space="0"/>
              <w:bottom w:val="nil"/>
            </w:tcBorders>
            <w:shd w:val="clear" w:color="auto" w:fill="auto"/>
            <w:vAlign w:val="center"/>
          </w:tcPr>
          <w:p w14:paraId="3199E872">
            <w:pPr>
              <w:ind w:firstLine="0" w:firstLineChars="0"/>
              <w:jc w:val="center"/>
              <w:rPr>
                <w:sz w:val="15"/>
                <w:szCs w:val="15"/>
              </w:rPr>
            </w:pPr>
            <w:r>
              <w:rPr>
                <w:rFonts w:hint="eastAsia"/>
                <w:sz w:val="15"/>
                <w:szCs w:val="15"/>
              </w:rPr>
              <w:t>0.89</w:t>
            </w:r>
          </w:p>
        </w:tc>
        <w:tc>
          <w:tcPr>
            <w:tcW w:w="384" w:type="pct"/>
            <w:tcBorders>
              <w:top w:val="single" w:color="auto" w:sz="4" w:space="0"/>
              <w:bottom w:val="nil"/>
            </w:tcBorders>
            <w:shd w:val="clear" w:color="auto" w:fill="auto"/>
            <w:vAlign w:val="center"/>
          </w:tcPr>
          <w:p w14:paraId="78773E12">
            <w:pPr>
              <w:ind w:firstLine="0" w:firstLineChars="0"/>
              <w:jc w:val="center"/>
              <w:rPr>
                <w:sz w:val="15"/>
                <w:szCs w:val="15"/>
              </w:rPr>
            </w:pPr>
            <w:r>
              <w:rPr>
                <w:rFonts w:hint="eastAsia"/>
                <w:sz w:val="15"/>
                <w:szCs w:val="15"/>
              </w:rPr>
              <w:t>7.01</w:t>
            </w:r>
          </w:p>
        </w:tc>
        <w:tc>
          <w:tcPr>
            <w:tcW w:w="358" w:type="pct"/>
            <w:tcBorders>
              <w:top w:val="single" w:color="auto" w:sz="4" w:space="0"/>
              <w:bottom w:val="nil"/>
            </w:tcBorders>
            <w:vAlign w:val="center"/>
          </w:tcPr>
          <w:p w14:paraId="11951E85">
            <w:pPr>
              <w:ind w:firstLine="0" w:firstLineChars="0"/>
              <w:jc w:val="center"/>
              <w:rPr>
                <w:sz w:val="15"/>
                <w:szCs w:val="15"/>
              </w:rPr>
            </w:pPr>
            <w:r>
              <w:rPr>
                <w:rFonts w:hint="eastAsia"/>
                <w:sz w:val="15"/>
                <w:szCs w:val="15"/>
              </w:rPr>
              <w:t>0.88</w:t>
            </w:r>
          </w:p>
        </w:tc>
        <w:tc>
          <w:tcPr>
            <w:tcW w:w="621" w:type="pct"/>
            <w:tcBorders>
              <w:top w:val="single" w:color="auto" w:sz="4" w:space="0"/>
              <w:bottom w:val="nil"/>
            </w:tcBorders>
            <w:vAlign w:val="center"/>
          </w:tcPr>
          <w:p w14:paraId="20C09009">
            <w:pPr>
              <w:ind w:firstLine="0" w:firstLineChars="0"/>
              <w:jc w:val="center"/>
              <w:rPr>
                <w:sz w:val="15"/>
                <w:szCs w:val="15"/>
              </w:rPr>
            </w:pPr>
            <w:r>
              <w:rPr>
                <w:rFonts w:hint="eastAsia"/>
                <w:sz w:val="15"/>
                <w:szCs w:val="15"/>
              </w:rPr>
              <w:t>11.58</w:t>
            </w:r>
          </w:p>
        </w:tc>
        <w:tc>
          <w:tcPr>
            <w:tcW w:w="621" w:type="pct"/>
            <w:tcBorders>
              <w:top w:val="single" w:color="auto" w:sz="4" w:space="0"/>
              <w:bottom w:val="nil"/>
            </w:tcBorders>
            <w:vAlign w:val="center"/>
          </w:tcPr>
          <w:p w14:paraId="16627A32">
            <w:pPr>
              <w:ind w:firstLine="0" w:firstLineChars="0"/>
              <w:jc w:val="center"/>
              <w:rPr>
                <w:sz w:val="15"/>
                <w:szCs w:val="15"/>
              </w:rPr>
            </w:pPr>
            <w:r>
              <w:rPr>
                <w:rFonts w:hint="eastAsia"/>
                <w:sz w:val="15"/>
                <w:szCs w:val="15"/>
              </w:rPr>
              <w:t>7.04</w:t>
            </w:r>
          </w:p>
        </w:tc>
        <w:tc>
          <w:tcPr>
            <w:tcW w:w="704" w:type="pct"/>
            <w:tcBorders>
              <w:top w:val="single" w:color="auto" w:sz="4" w:space="0"/>
              <w:bottom w:val="nil"/>
            </w:tcBorders>
            <w:vAlign w:val="center"/>
          </w:tcPr>
          <w:p w14:paraId="5AF68A3B">
            <w:pPr>
              <w:ind w:firstLine="0" w:firstLineChars="0"/>
              <w:jc w:val="center"/>
              <w:rPr>
                <w:sz w:val="15"/>
                <w:szCs w:val="15"/>
              </w:rPr>
            </w:pPr>
            <w:r>
              <w:rPr>
                <w:rFonts w:hint="eastAsia"/>
                <w:sz w:val="15"/>
                <w:szCs w:val="15"/>
              </w:rPr>
              <w:t>1</w:t>
            </w:r>
          </w:p>
        </w:tc>
        <w:tc>
          <w:tcPr>
            <w:tcW w:w="668" w:type="pct"/>
            <w:tcBorders>
              <w:top w:val="single" w:color="000000" w:sz="4" w:space="0"/>
              <w:bottom w:val="nil"/>
            </w:tcBorders>
            <w:vAlign w:val="center"/>
          </w:tcPr>
          <w:p w14:paraId="3F21F0DF">
            <w:pPr>
              <w:ind w:firstLine="0" w:firstLineChars="0"/>
              <w:jc w:val="center"/>
              <w:rPr>
                <w:sz w:val="15"/>
                <w:szCs w:val="15"/>
              </w:rPr>
            </w:pPr>
            <w:r>
              <w:rPr>
                <w:rFonts w:hint="eastAsia"/>
                <w:sz w:val="15"/>
                <w:szCs w:val="15"/>
              </w:rPr>
              <w:t>13.19</w:t>
            </w:r>
          </w:p>
        </w:tc>
        <w:tc>
          <w:tcPr>
            <w:tcW w:w="541" w:type="pct"/>
            <w:tcBorders>
              <w:top w:val="single" w:color="000000" w:sz="4" w:space="0"/>
              <w:bottom w:val="nil"/>
            </w:tcBorders>
            <w:vAlign w:val="center"/>
          </w:tcPr>
          <w:p w14:paraId="14226305">
            <w:pPr>
              <w:ind w:firstLine="0" w:firstLineChars="0"/>
              <w:jc w:val="center"/>
              <w:rPr>
                <w:sz w:val="15"/>
                <w:szCs w:val="15"/>
              </w:rPr>
            </w:pPr>
            <w:r>
              <w:rPr>
                <w:rFonts w:hint="eastAsia"/>
                <w:sz w:val="15"/>
                <w:szCs w:val="15"/>
              </w:rPr>
              <w:t>0.74</w:t>
            </w:r>
          </w:p>
        </w:tc>
      </w:tr>
      <w:tr w14:paraId="64FB6001">
        <w:tblPrEx>
          <w:tblBorders>
            <w:top w:val="single" w:color="auto" w:sz="12" w:space="0"/>
            <w:left w:val="none" w:color="auto" w:sz="0" w:space="0"/>
            <w:bottom w:val="single" w:color="auto" w:sz="12" w:space="0"/>
            <w:right w:val="none" w:color="auto" w:sz="0" w:space="0"/>
            <w:insideH w:val="single" w:color="auto" w:sz="12" w:space="0"/>
            <w:insideV w:val="none" w:color="auto" w:sz="0" w:space="0"/>
          </w:tblBorders>
          <w:tblCellMar>
            <w:top w:w="0" w:type="dxa"/>
            <w:left w:w="108" w:type="dxa"/>
            <w:bottom w:w="0" w:type="dxa"/>
            <w:right w:w="108" w:type="dxa"/>
          </w:tblCellMar>
        </w:tblPrEx>
        <w:trPr>
          <w:trHeight w:val="90" w:hRule="atLeast"/>
          <w:jc w:val="center"/>
        </w:trPr>
        <w:tc>
          <w:tcPr>
            <w:tcW w:w="769" w:type="pct"/>
            <w:tcBorders>
              <w:top w:val="nil"/>
              <w:bottom w:val="nil"/>
            </w:tcBorders>
            <w:shd w:val="clear" w:color="auto" w:fill="auto"/>
            <w:vAlign w:val="center"/>
          </w:tcPr>
          <w:p w14:paraId="0056CC10">
            <w:pPr>
              <w:ind w:firstLine="0" w:firstLineChars="0"/>
              <w:jc w:val="center"/>
              <w:rPr>
                <w:sz w:val="15"/>
                <w:szCs w:val="15"/>
              </w:rPr>
            </w:pPr>
            <w:r>
              <w:rPr>
                <w:rFonts w:hint="eastAsia"/>
                <w:sz w:val="15"/>
                <w:szCs w:val="15"/>
              </w:rPr>
              <w:t>瞬时单位线法</w:t>
            </w:r>
          </w:p>
        </w:tc>
        <w:tc>
          <w:tcPr>
            <w:tcW w:w="330" w:type="pct"/>
            <w:tcBorders>
              <w:top w:val="nil"/>
              <w:bottom w:val="nil"/>
            </w:tcBorders>
            <w:shd w:val="clear" w:color="auto" w:fill="auto"/>
            <w:vAlign w:val="center"/>
          </w:tcPr>
          <w:p w14:paraId="1CDF439A">
            <w:pPr>
              <w:ind w:firstLine="0" w:firstLineChars="0"/>
              <w:jc w:val="center"/>
              <w:rPr>
                <w:sz w:val="15"/>
                <w:szCs w:val="15"/>
              </w:rPr>
            </w:pPr>
            <w:r>
              <w:rPr>
                <w:rFonts w:hint="eastAsia"/>
                <w:sz w:val="15"/>
                <w:szCs w:val="15"/>
              </w:rPr>
              <w:t>0.78</w:t>
            </w:r>
          </w:p>
        </w:tc>
        <w:tc>
          <w:tcPr>
            <w:tcW w:w="384" w:type="pct"/>
            <w:tcBorders>
              <w:top w:val="nil"/>
              <w:bottom w:val="nil"/>
            </w:tcBorders>
            <w:shd w:val="clear" w:color="auto" w:fill="auto"/>
            <w:vAlign w:val="center"/>
          </w:tcPr>
          <w:p w14:paraId="3C3130DB">
            <w:pPr>
              <w:ind w:firstLine="0" w:firstLineChars="0"/>
              <w:jc w:val="center"/>
              <w:rPr>
                <w:sz w:val="15"/>
                <w:szCs w:val="15"/>
              </w:rPr>
            </w:pPr>
            <w:r>
              <w:rPr>
                <w:rFonts w:hint="eastAsia"/>
                <w:sz w:val="15"/>
                <w:szCs w:val="15"/>
              </w:rPr>
              <w:t>22.5</w:t>
            </w:r>
          </w:p>
        </w:tc>
        <w:tc>
          <w:tcPr>
            <w:tcW w:w="358" w:type="pct"/>
            <w:tcBorders>
              <w:top w:val="nil"/>
              <w:bottom w:val="nil"/>
            </w:tcBorders>
            <w:vAlign w:val="center"/>
          </w:tcPr>
          <w:p w14:paraId="462C157A">
            <w:pPr>
              <w:ind w:firstLine="0" w:firstLineChars="0"/>
              <w:jc w:val="center"/>
              <w:rPr>
                <w:sz w:val="15"/>
                <w:szCs w:val="15"/>
              </w:rPr>
            </w:pPr>
            <w:r>
              <w:rPr>
                <w:rFonts w:hint="eastAsia"/>
                <w:sz w:val="15"/>
                <w:szCs w:val="15"/>
              </w:rPr>
              <w:t>0.74</w:t>
            </w:r>
          </w:p>
        </w:tc>
        <w:tc>
          <w:tcPr>
            <w:tcW w:w="621" w:type="pct"/>
            <w:tcBorders>
              <w:top w:val="nil"/>
              <w:bottom w:val="nil"/>
            </w:tcBorders>
            <w:vAlign w:val="center"/>
          </w:tcPr>
          <w:p w14:paraId="2440D3F2">
            <w:pPr>
              <w:ind w:firstLine="0" w:firstLineChars="0"/>
              <w:jc w:val="center"/>
              <w:rPr>
                <w:sz w:val="15"/>
                <w:szCs w:val="15"/>
              </w:rPr>
            </w:pPr>
            <w:r>
              <w:rPr>
                <w:rFonts w:hint="eastAsia"/>
                <w:sz w:val="15"/>
                <w:szCs w:val="15"/>
              </w:rPr>
              <w:t>19.72</w:t>
            </w:r>
          </w:p>
        </w:tc>
        <w:tc>
          <w:tcPr>
            <w:tcW w:w="621" w:type="pct"/>
            <w:tcBorders>
              <w:top w:val="nil"/>
              <w:bottom w:val="nil"/>
            </w:tcBorders>
            <w:vAlign w:val="center"/>
          </w:tcPr>
          <w:p w14:paraId="660FB098">
            <w:pPr>
              <w:ind w:firstLine="0" w:firstLineChars="0"/>
              <w:jc w:val="center"/>
              <w:rPr>
                <w:sz w:val="15"/>
                <w:szCs w:val="15"/>
              </w:rPr>
            </w:pPr>
            <w:r>
              <w:rPr>
                <w:rFonts w:hint="eastAsia"/>
                <w:sz w:val="15"/>
                <w:szCs w:val="15"/>
              </w:rPr>
              <w:t>13.42</w:t>
            </w:r>
          </w:p>
        </w:tc>
        <w:tc>
          <w:tcPr>
            <w:tcW w:w="704" w:type="pct"/>
            <w:tcBorders>
              <w:top w:val="nil"/>
              <w:bottom w:val="nil"/>
            </w:tcBorders>
            <w:vAlign w:val="center"/>
          </w:tcPr>
          <w:p w14:paraId="02F6B494">
            <w:pPr>
              <w:ind w:firstLine="0" w:firstLineChars="0"/>
              <w:jc w:val="center"/>
              <w:rPr>
                <w:sz w:val="15"/>
                <w:szCs w:val="15"/>
              </w:rPr>
            </w:pPr>
            <w:r>
              <w:rPr>
                <w:rFonts w:hint="eastAsia"/>
                <w:sz w:val="15"/>
                <w:szCs w:val="15"/>
              </w:rPr>
              <w:t>3</w:t>
            </w:r>
          </w:p>
        </w:tc>
        <w:tc>
          <w:tcPr>
            <w:tcW w:w="668" w:type="pct"/>
            <w:tcBorders>
              <w:top w:val="nil"/>
              <w:bottom w:val="nil"/>
            </w:tcBorders>
            <w:vAlign w:val="center"/>
          </w:tcPr>
          <w:p w14:paraId="4D7A40D2">
            <w:pPr>
              <w:ind w:firstLine="0" w:firstLineChars="0"/>
              <w:jc w:val="center"/>
              <w:rPr>
                <w:sz w:val="15"/>
                <w:szCs w:val="15"/>
              </w:rPr>
            </w:pPr>
            <w:r>
              <w:rPr>
                <w:rFonts w:hint="eastAsia"/>
                <w:sz w:val="15"/>
                <w:szCs w:val="15"/>
              </w:rPr>
              <w:t>24.03</w:t>
            </w:r>
          </w:p>
        </w:tc>
        <w:tc>
          <w:tcPr>
            <w:tcW w:w="541" w:type="pct"/>
            <w:tcBorders>
              <w:top w:val="nil"/>
              <w:bottom w:val="nil"/>
            </w:tcBorders>
            <w:vAlign w:val="center"/>
          </w:tcPr>
          <w:p w14:paraId="661594D3">
            <w:pPr>
              <w:ind w:firstLine="0" w:firstLineChars="0"/>
              <w:jc w:val="center"/>
              <w:rPr>
                <w:sz w:val="15"/>
                <w:szCs w:val="15"/>
              </w:rPr>
            </w:pPr>
            <w:r>
              <w:rPr>
                <w:rFonts w:hint="eastAsia"/>
                <w:sz w:val="15"/>
                <w:szCs w:val="15"/>
              </w:rPr>
              <w:t>0.65</w:t>
            </w:r>
          </w:p>
        </w:tc>
      </w:tr>
      <w:tr w14:paraId="1C63CFCD">
        <w:tblPrEx>
          <w:tblBorders>
            <w:top w:val="single" w:color="auto" w:sz="12" w:space="0"/>
            <w:left w:val="none" w:color="auto" w:sz="0" w:space="0"/>
            <w:bottom w:val="single" w:color="auto" w:sz="12" w:space="0"/>
            <w:right w:val="none" w:color="auto" w:sz="0" w:space="0"/>
            <w:insideH w:val="single" w:color="auto" w:sz="12" w:space="0"/>
            <w:insideV w:val="none" w:color="auto" w:sz="0" w:space="0"/>
          </w:tblBorders>
          <w:tblCellMar>
            <w:top w:w="0" w:type="dxa"/>
            <w:left w:w="108" w:type="dxa"/>
            <w:bottom w:w="0" w:type="dxa"/>
            <w:right w:w="108" w:type="dxa"/>
          </w:tblCellMar>
        </w:tblPrEx>
        <w:trPr>
          <w:trHeight w:val="331" w:hRule="atLeast"/>
          <w:jc w:val="center"/>
        </w:trPr>
        <w:tc>
          <w:tcPr>
            <w:tcW w:w="769" w:type="pct"/>
            <w:tcBorders>
              <w:top w:val="nil"/>
              <w:bottom w:val="single" w:color="auto" w:sz="12" w:space="0"/>
            </w:tcBorders>
            <w:shd w:val="clear" w:color="auto" w:fill="auto"/>
            <w:vAlign w:val="center"/>
          </w:tcPr>
          <w:p w14:paraId="1A9F0226">
            <w:pPr>
              <w:ind w:firstLine="0" w:firstLineChars="0"/>
              <w:jc w:val="center"/>
              <w:rPr>
                <w:sz w:val="15"/>
                <w:szCs w:val="15"/>
              </w:rPr>
            </w:pPr>
            <w:r>
              <w:rPr>
                <w:rFonts w:hint="eastAsia"/>
                <w:sz w:val="15"/>
                <w:szCs w:val="15"/>
              </w:rPr>
              <w:t>前期影响雨量法</w:t>
            </w:r>
          </w:p>
        </w:tc>
        <w:tc>
          <w:tcPr>
            <w:tcW w:w="330" w:type="pct"/>
            <w:tcBorders>
              <w:top w:val="nil"/>
              <w:bottom w:val="single" w:color="auto" w:sz="12" w:space="0"/>
            </w:tcBorders>
            <w:shd w:val="clear" w:color="auto" w:fill="auto"/>
            <w:vAlign w:val="center"/>
          </w:tcPr>
          <w:p w14:paraId="612221FA">
            <w:pPr>
              <w:ind w:firstLine="0" w:firstLineChars="0"/>
              <w:jc w:val="center"/>
              <w:rPr>
                <w:sz w:val="15"/>
                <w:szCs w:val="15"/>
              </w:rPr>
            </w:pPr>
            <w:r>
              <w:rPr>
                <w:rFonts w:hint="eastAsia"/>
                <w:sz w:val="15"/>
                <w:szCs w:val="15"/>
              </w:rPr>
              <w:t>0.64</w:t>
            </w:r>
          </w:p>
        </w:tc>
        <w:tc>
          <w:tcPr>
            <w:tcW w:w="384" w:type="pct"/>
            <w:tcBorders>
              <w:top w:val="nil"/>
              <w:bottom w:val="single" w:color="auto" w:sz="12" w:space="0"/>
            </w:tcBorders>
            <w:shd w:val="clear" w:color="auto" w:fill="auto"/>
            <w:vAlign w:val="center"/>
          </w:tcPr>
          <w:p w14:paraId="757E5A2B">
            <w:pPr>
              <w:ind w:firstLine="0" w:firstLineChars="0"/>
              <w:jc w:val="center"/>
              <w:rPr>
                <w:sz w:val="15"/>
                <w:szCs w:val="15"/>
              </w:rPr>
            </w:pPr>
            <w:r>
              <w:rPr>
                <w:rFonts w:hint="eastAsia"/>
                <w:sz w:val="15"/>
                <w:szCs w:val="15"/>
              </w:rPr>
              <w:t>19.65</w:t>
            </w:r>
          </w:p>
        </w:tc>
        <w:tc>
          <w:tcPr>
            <w:tcW w:w="358" w:type="pct"/>
            <w:tcBorders>
              <w:top w:val="nil"/>
              <w:bottom w:val="single" w:color="auto" w:sz="12" w:space="0"/>
            </w:tcBorders>
            <w:vAlign w:val="center"/>
          </w:tcPr>
          <w:p w14:paraId="0B562879">
            <w:pPr>
              <w:ind w:firstLine="0" w:firstLineChars="0"/>
              <w:jc w:val="center"/>
              <w:rPr>
                <w:sz w:val="15"/>
                <w:szCs w:val="15"/>
              </w:rPr>
            </w:pPr>
            <w:r>
              <w:rPr>
                <w:rFonts w:hint="eastAsia"/>
                <w:sz w:val="15"/>
                <w:szCs w:val="15"/>
              </w:rPr>
              <w:t>0.70</w:t>
            </w:r>
          </w:p>
        </w:tc>
        <w:tc>
          <w:tcPr>
            <w:tcW w:w="621" w:type="pct"/>
            <w:tcBorders>
              <w:top w:val="nil"/>
              <w:bottom w:val="single" w:color="auto" w:sz="12" w:space="0"/>
            </w:tcBorders>
            <w:vAlign w:val="center"/>
          </w:tcPr>
          <w:p w14:paraId="035B5F63">
            <w:pPr>
              <w:ind w:firstLine="0" w:firstLineChars="0"/>
              <w:jc w:val="center"/>
              <w:rPr>
                <w:sz w:val="15"/>
                <w:szCs w:val="15"/>
              </w:rPr>
            </w:pPr>
            <w:r>
              <w:rPr>
                <w:rFonts w:hint="eastAsia"/>
                <w:sz w:val="15"/>
                <w:szCs w:val="15"/>
              </w:rPr>
              <w:t>27.67</w:t>
            </w:r>
          </w:p>
        </w:tc>
        <w:tc>
          <w:tcPr>
            <w:tcW w:w="621" w:type="pct"/>
            <w:tcBorders>
              <w:top w:val="nil"/>
              <w:bottom w:val="single" w:color="auto" w:sz="12" w:space="0"/>
            </w:tcBorders>
            <w:vAlign w:val="center"/>
          </w:tcPr>
          <w:p w14:paraId="6366F9A2">
            <w:pPr>
              <w:ind w:firstLine="0" w:firstLineChars="0"/>
              <w:jc w:val="center"/>
              <w:rPr>
                <w:sz w:val="15"/>
                <w:szCs w:val="15"/>
              </w:rPr>
            </w:pPr>
            <w:r>
              <w:rPr>
                <w:rFonts w:hint="eastAsia"/>
                <w:sz w:val="15"/>
                <w:szCs w:val="15"/>
              </w:rPr>
              <w:t>31.25</w:t>
            </w:r>
          </w:p>
        </w:tc>
        <w:tc>
          <w:tcPr>
            <w:tcW w:w="704" w:type="pct"/>
            <w:tcBorders>
              <w:top w:val="nil"/>
              <w:bottom w:val="single" w:color="auto" w:sz="12" w:space="0"/>
            </w:tcBorders>
            <w:vAlign w:val="center"/>
          </w:tcPr>
          <w:p w14:paraId="00839D30">
            <w:pPr>
              <w:ind w:firstLine="0" w:firstLineChars="0"/>
              <w:jc w:val="center"/>
              <w:rPr>
                <w:sz w:val="15"/>
                <w:szCs w:val="15"/>
              </w:rPr>
            </w:pPr>
            <w:r>
              <w:rPr>
                <w:rFonts w:hint="eastAsia"/>
                <w:sz w:val="15"/>
                <w:szCs w:val="15"/>
              </w:rPr>
              <w:t>2</w:t>
            </w:r>
          </w:p>
        </w:tc>
        <w:tc>
          <w:tcPr>
            <w:tcW w:w="668" w:type="pct"/>
            <w:tcBorders>
              <w:top w:val="nil"/>
              <w:bottom w:val="single" w:color="auto" w:sz="12" w:space="0"/>
            </w:tcBorders>
            <w:vAlign w:val="center"/>
          </w:tcPr>
          <w:p w14:paraId="5431EC0A">
            <w:pPr>
              <w:ind w:firstLine="0" w:firstLineChars="0"/>
              <w:jc w:val="center"/>
              <w:rPr>
                <w:sz w:val="15"/>
                <w:szCs w:val="15"/>
              </w:rPr>
            </w:pPr>
            <w:r>
              <w:rPr>
                <w:rFonts w:hint="eastAsia"/>
                <w:sz w:val="15"/>
                <w:szCs w:val="15"/>
              </w:rPr>
              <w:t>66.37</w:t>
            </w:r>
          </w:p>
        </w:tc>
        <w:tc>
          <w:tcPr>
            <w:tcW w:w="541" w:type="pct"/>
            <w:tcBorders>
              <w:top w:val="nil"/>
              <w:bottom w:val="single" w:color="auto" w:sz="12" w:space="0"/>
            </w:tcBorders>
            <w:vAlign w:val="center"/>
          </w:tcPr>
          <w:p w14:paraId="1A391EEB">
            <w:pPr>
              <w:ind w:firstLine="0" w:firstLineChars="0"/>
              <w:jc w:val="center"/>
              <w:rPr>
                <w:sz w:val="15"/>
                <w:szCs w:val="15"/>
              </w:rPr>
            </w:pPr>
            <w:r>
              <w:rPr>
                <w:rFonts w:hint="eastAsia"/>
                <w:sz w:val="15"/>
                <w:szCs w:val="15"/>
              </w:rPr>
              <w:t>0.34</w:t>
            </w:r>
          </w:p>
        </w:tc>
      </w:tr>
    </w:tbl>
    <w:p w14:paraId="12B9C607">
      <w:pPr>
        <w:pStyle w:val="8"/>
        <w:ind w:firstLine="420"/>
      </w:pPr>
      <w:r>
        <w:rPr>
          <w:rFonts w:hint="eastAsia"/>
        </w:rPr>
        <w:t>克拉朗</w:t>
      </w:r>
      <w:r>
        <w:t>站流量</w:t>
      </w:r>
      <w:r>
        <w:rPr>
          <w:rFonts w:hint="eastAsia"/>
        </w:rPr>
        <w:t>过程</w:t>
      </w:r>
      <w:r>
        <w:t>对比</w:t>
      </w:r>
      <w:r>
        <w:rPr>
          <w:rFonts w:hint="eastAsia"/>
        </w:rPr>
        <w:t>如图</w:t>
      </w:r>
      <w:r>
        <w:t>9</w:t>
      </w:r>
      <w:r>
        <w:rPr>
          <w:rFonts w:hint="eastAsia"/>
        </w:rPr>
        <w:t>所示。前期影响雨量法在枯水期模拟存在显著不足，汛期洪峰流量呈系统性高估，且退水过程偏快；瞬时单位线法整体拟合效果欠佳，两次洪峰流量模拟偏差显著；水文模型法性能最优，准确再现洪水涨落过程与峰值流量。</w:t>
      </w:r>
    </w:p>
    <w:p w14:paraId="0CFE99DB">
      <w:pPr>
        <w:pStyle w:val="8"/>
        <w:ind w:firstLine="0" w:firstLineChars="0"/>
        <w:jc w:val="center"/>
        <w:rPr>
          <w:rFonts w:ascii="宋体" w:hAnsi="宋体"/>
          <w:sz w:val="24"/>
        </w:rPr>
      </w:pPr>
      <w:r>
        <w:rPr>
          <w:rFonts w:ascii="宋体" w:hAnsi="宋体"/>
          <w:sz w:val="24"/>
        </w:rPr>
        <w:drawing>
          <wp:inline distT="0" distB="0" distL="114300" distR="114300">
            <wp:extent cx="3209290" cy="1634490"/>
            <wp:effectExtent l="0" t="0" r="6350" b="11430"/>
            <wp:docPr id="22" name="图片 2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8" descr="IMG_256"/>
                    <pic:cNvPicPr>
                      <a:picLocks noChangeAspect="1"/>
                    </pic:cNvPicPr>
                  </pic:nvPicPr>
                  <pic:blipFill>
                    <a:blip r:embed="rId58"/>
                    <a:stretch>
                      <a:fillRect/>
                    </a:stretch>
                  </pic:blipFill>
                  <pic:spPr>
                    <a:xfrm>
                      <a:off x="0" y="0"/>
                      <a:ext cx="3209290" cy="1634490"/>
                    </a:xfrm>
                    <a:prstGeom prst="rect">
                      <a:avLst/>
                    </a:prstGeom>
                    <a:noFill/>
                    <a:ln w="9525">
                      <a:noFill/>
                    </a:ln>
                  </pic:spPr>
                </pic:pic>
              </a:graphicData>
            </a:graphic>
          </wp:inline>
        </w:drawing>
      </w:r>
    </w:p>
    <w:p w14:paraId="498EBE99">
      <w:pPr>
        <w:pStyle w:val="7"/>
        <w:rPr>
          <w:bCs w:val="0"/>
        </w:rPr>
      </w:pPr>
      <w:bookmarkStart w:id="20" w:name="_Ref11780"/>
      <w:r>
        <w:rPr>
          <w:rFonts w:hint="eastAsia"/>
          <w:bCs w:val="0"/>
        </w:rPr>
        <w:t>图</w:t>
      </w:r>
      <w:r>
        <w:rPr>
          <w:bCs w:val="0"/>
        </w:rPr>
        <w:t>9</w:t>
      </w:r>
      <w:bookmarkEnd w:id="20"/>
      <w:r>
        <w:rPr>
          <w:rFonts w:hint="eastAsia"/>
          <w:bCs w:val="0"/>
        </w:rPr>
        <w:t xml:space="preserve">  克拉朗站实测及模拟径流过程对比</w:t>
      </w:r>
    </w:p>
    <w:p w14:paraId="2C8973B3">
      <w:pPr>
        <w:pStyle w:val="7"/>
        <w:rPr>
          <w:bCs w:val="0"/>
        </w:rPr>
      </w:pPr>
      <w:r>
        <w:rPr>
          <w:rFonts w:hint="eastAsia"/>
          <w:bCs w:val="0"/>
        </w:rPr>
        <w:t>Fig.</w:t>
      </w:r>
      <w:r>
        <w:rPr>
          <w:rFonts w:hint="eastAsia"/>
          <w:bCs w:val="0"/>
          <w:lang w:val="en-US" w:eastAsia="zh-CN"/>
        </w:rPr>
        <w:t xml:space="preserve"> </w:t>
      </w:r>
      <w:r>
        <w:rPr>
          <w:rFonts w:hint="eastAsia"/>
          <w:bCs w:val="0"/>
        </w:rPr>
        <w:t>9  Comparison between observed and simulated runoff processes at Kralanh station</w:t>
      </w:r>
    </w:p>
    <w:p w14:paraId="19FAA872">
      <w:pPr>
        <w:ind w:firstLine="420"/>
      </w:pPr>
      <w:r>
        <w:rPr>
          <w:rFonts w:hint="eastAsia"/>
        </w:rPr>
        <w:t>月均水量对比如</w:t>
      </w:r>
      <w:r>
        <w:rPr>
          <w:rFonts w:hint="eastAsia" w:ascii="宋体" w:hAnsi="宋体"/>
          <w:bCs/>
        </w:rPr>
        <w:t>图</w:t>
      </w:r>
      <w:r>
        <w:rPr>
          <w:rFonts w:cs="Times New Roman"/>
          <w:bCs/>
        </w:rPr>
        <w:t>10</w:t>
      </w:r>
      <w:r>
        <w:rPr>
          <w:rFonts w:hint="eastAsia"/>
        </w:rPr>
        <w:t>所示，流量峰值集中于7—11月，</w:t>
      </w:r>
      <w:r>
        <w:t>占全年径流</w:t>
      </w:r>
      <w:r>
        <w:rPr>
          <w:rFonts w:hint="eastAsia"/>
        </w:rPr>
        <w:t>量</w:t>
      </w:r>
      <w:r>
        <w:t>的</w:t>
      </w:r>
      <w:r>
        <w:rPr>
          <w:rFonts w:hint="eastAsia"/>
        </w:rPr>
        <w:t>74</w:t>
      </w:r>
      <w:r>
        <w:t>%</w:t>
      </w:r>
      <w:r>
        <w:rPr>
          <w:rFonts w:hint="eastAsia"/>
        </w:rPr>
        <w:t>，枯水期为12月至次年6月；瞬时单位线法在汛期水量误差较大；前期影响雨量法枯水期表现最差，汛期水量系统性高估；水文模型法汛期模拟最优，水量误差控制在15%以内。</w:t>
      </w:r>
    </w:p>
    <w:p w14:paraId="2DD3FD80">
      <w:pPr>
        <w:pStyle w:val="8"/>
        <w:ind w:firstLine="0" w:firstLineChars="0"/>
        <w:jc w:val="center"/>
      </w:pPr>
      <w:r>
        <w:rPr>
          <w:rFonts w:ascii="宋体" w:hAnsi="宋体"/>
          <w:sz w:val="24"/>
        </w:rPr>
        <w:drawing>
          <wp:inline distT="0" distB="0" distL="114300" distR="114300">
            <wp:extent cx="2513330" cy="1619885"/>
            <wp:effectExtent l="0" t="0" r="1270" b="10795"/>
            <wp:docPr id="3" name="图片 2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4" descr="IMG_256"/>
                    <pic:cNvPicPr>
                      <a:picLocks noChangeAspect="1"/>
                    </pic:cNvPicPr>
                  </pic:nvPicPr>
                  <pic:blipFill>
                    <a:blip r:embed="rId59"/>
                    <a:srcRect l="3961" t="5539" r="9417"/>
                    <a:stretch>
                      <a:fillRect/>
                    </a:stretch>
                  </pic:blipFill>
                  <pic:spPr>
                    <a:xfrm>
                      <a:off x="0" y="0"/>
                      <a:ext cx="2513330" cy="1619885"/>
                    </a:xfrm>
                    <a:prstGeom prst="rect">
                      <a:avLst/>
                    </a:prstGeom>
                    <a:noFill/>
                    <a:ln w="9525">
                      <a:noFill/>
                    </a:ln>
                  </pic:spPr>
                </pic:pic>
              </a:graphicData>
            </a:graphic>
          </wp:inline>
        </w:drawing>
      </w:r>
    </w:p>
    <w:p w14:paraId="10134A07">
      <w:pPr>
        <w:pStyle w:val="7"/>
        <w:rPr>
          <w:rFonts w:ascii="宋体" w:hAnsi="宋体" w:cs="宋体"/>
        </w:rPr>
      </w:pPr>
      <w:bookmarkStart w:id="21" w:name="_Ref32037"/>
      <w:r>
        <w:rPr>
          <w:rFonts w:hint="eastAsia" w:ascii="宋体" w:hAnsi="宋体" w:cs="宋体"/>
        </w:rPr>
        <w:t>图</w:t>
      </w:r>
      <w:r>
        <w:rPr>
          <w:rFonts w:cs="Times New Roman"/>
        </w:rPr>
        <w:t>10</w:t>
      </w:r>
      <w:bookmarkEnd w:id="21"/>
      <w:r>
        <w:rPr>
          <w:rFonts w:hint="eastAsia" w:ascii="宋体" w:hAnsi="宋体" w:cs="宋体"/>
        </w:rPr>
        <w:t xml:space="preserve">  </w:t>
      </w:r>
      <w:r>
        <w:rPr>
          <w:rFonts w:hint="eastAsia" w:cs="Times New Roman"/>
        </w:rPr>
        <w:t>克拉朗</w:t>
      </w:r>
      <w:r>
        <w:rPr>
          <w:rFonts w:hint="eastAsia" w:ascii="宋体" w:hAnsi="宋体" w:cs="宋体"/>
        </w:rPr>
        <w:t>站月均水量模拟与实测对比</w:t>
      </w:r>
    </w:p>
    <w:p w14:paraId="0EAF1055">
      <w:pPr>
        <w:ind w:firstLine="0" w:firstLineChars="0"/>
        <w:jc w:val="center"/>
        <w:rPr>
          <w:rFonts w:eastAsia="黑体" w:cs="Times New Roman"/>
          <w:bCs/>
          <w:kern w:val="0"/>
          <w:sz w:val="18"/>
          <w:szCs w:val="18"/>
        </w:rPr>
      </w:pPr>
      <w:r>
        <w:rPr>
          <w:rFonts w:hint="eastAsia" w:eastAsia="黑体" w:cs="Times New Roman"/>
          <w:bCs/>
          <w:kern w:val="0"/>
          <w:sz w:val="18"/>
          <w:szCs w:val="18"/>
        </w:rPr>
        <w:t>Fig.</w:t>
      </w:r>
      <w:r>
        <w:rPr>
          <w:rFonts w:hint="eastAsia" w:eastAsia="黑体" w:cs="Times New Roman"/>
          <w:bCs/>
          <w:kern w:val="0"/>
          <w:sz w:val="18"/>
          <w:szCs w:val="18"/>
          <w:lang w:val="en-US" w:eastAsia="zh-CN"/>
        </w:rPr>
        <w:t xml:space="preserve"> </w:t>
      </w:r>
      <w:r>
        <w:rPr>
          <w:rFonts w:hint="eastAsia" w:eastAsia="黑体" w:cs="Times New Roman"/>
          <w:bCs/>
          <w:kern w:val="0"/>
          <w:sz w:val="18"/>
          <w:szCs w:val="18"/>
        </w:rPr>
        <w:t>10  Comparison between simulated and observed monthly average water volumes at Kralanh station</w:t>
      </w:r>
    </w:p>
    <w:p w14:paraId="72B41847">
      <w:pPr>
        <w:ind w:firstLine="420"/>
      </w:pPr>
      <w:r>
        <w:rPr>
          <w:rFonts w:hint="eastAsia"/>
        </w:rPr>
        <w:t>水文模型法在洪峰精度与水量平衡间实现最佳平衡，径流过程拟合能力显著优于其他方法，推荐作为全时段径流模拟首选方案。</w:t>
      </w:r>
    </w:p>
    <w:p w14:paraId="5E6B41CD">
      <w:pPr>
        <w:pStyle w:val="2"/>
        <w:numPr>
          <w:ilvl w:val="0"/>
          <w:numId w:val="0"/>
        </w:numPr>
      </w:pPr>
      <w:r>
        <w:rPr>
          <w:rFonts w:eastAsia="宋体" w:cs="宋体"/>
        </w:rPr>
        <w:t xml:space="preserve">3 </w:t>
      </w:r>
      <w:r>
        <w:rPr>
          <w:rFonts w:hint="eastAsia"/>
        </w:rPr>
        <w:t>结果与讨论</w:t>
      </w:r>
    </w:p>
    <w:p w14:paraId="441EFDF8">
      <w:pPr>
        <w:pStyle w:val="3"/>
        <w:numPr>
          <w:ilvl w:val="0"/>
          <w:numId w:val="0"/>
        </w:numPr>
      </w:pPr>
      <w:r>
        <w:t xml:space="preserve">3.1 </w:t>
      </w:r>
      <w:r>
        <w:rPr>
          <w:rFonts w:hint="eastAsia"/>
        </w:rPr>
        <w:t>大尺度复杂流域水文模拟的精度验证分析</w:t>
      </w:r>
    </w:p>
    <w:p w14:paraId="06227E93">
      <w:pPr>
        <w:ind w:firstLine="420"/>
      </w:pPr>
      <w:r>
        <w:t>本研究在数据完备的湄公河干流磅湛站控制流域对所构建的栅格型分布式水文模型进行了系统验证，结果表明模型对热带季风区大尺度复杂流域的水文过程具备强大的解析能力。模型在率定期与检验期的纳什效率系数</w:t>
      </w:r>
      <w:r>
        <w:rPr>
          <w:i/>
          <w:iCs/>
        </w:rPr>
        <w:t>NSE</w:t>
      </w:r>
      <w:r>
        <w:t>分别达到0.87和0.86，径流总量相对误差</w:t>
      </w:r>
      <w:r>
        <w:rPr>
          <w:i/>
          <w:iCs/>
        </w:rPr>
        <w:t>RE</w:t>
      </w:r>
      <w:r>
        <w:t>均低于9%，且对2000年极端洪水与2005年典型枯水事件的模拟也表现出高精度。这一系列综合性能指标证明，模型通过集成高分辨率下垫面信息与分布式物理机制，成功刻画了广阔流域内降雨-径流的非线性响应与时空异质性，为其作为可靠的知识参证源及后续基于土地利用单元的参数跨流域迁移奠定了坚实基础。</w:t>
      </w:r>
    </w:p>
    <w:p w14:paraId="6666A1B9">
      <w:pPr>
        <w:pStyle w:val="3"/>
        <w:numPr>
          <w:ilvl w:val="0"/>
          <w:numId w:val="0"/>
        </w:numPr>
      </w:pPr>
      <w:r>
        <w:t xml:space="preserve">3.2 </w:t>
      </w:r>
      <w:r>
        <w:rPr>
          <w:rFonts w:hint="eastAsia"/>
        </w:rPr>
        <w:t>基于土地利用</w:t>
      </w:r>
      <w:r>
        <w:rPr>
          <w:rFonts w:hint="eastAsia"/>
          <w:color w:val="000000"/>
          <w:shd w:val="clear" w:color="auto" w:fill="FFFFFF"/>
        </w:rPr>
        <w:t>的参数</w:t>
      </w:r>
      <w:r>
        <w:rPr>
          <w:rFonts w:hint="eastAsia"/>
        </w:rPr>
        <w:t>迁移效能分析</w:t>
      </w:r>
    </w:p>
    <w:p w14:paraId="4A23619E">
      <w:pPr>
        <w:ind w:firstLine="420"/>
      </w:pPr>
      <w:r>
        <w:rPr>
          <w:rFonts w:hint="eastAsia"/>
        </w:rPr>
        <w:t>本研究所提出的基于土地利用类型的参数迁移策略，在两个独立的少资料目标流域展现出卓越的效能。迁移后模型在特努伦站与克拉朗站的纳什效率系数</w:t>
      </w:r>
      <w:r>
        <w:rPr>
          <w:rFonts w:hint="eastAsia"/>
          <w:i/>
          <w:iCs/>
        </w:rPr>
        <w:t>NSE</w:t>
      </w:r>
      <w:r>
        <w:rPr>
          <w:rFonts w:hint="eastAsia"/>
        </w:rPr>
        <w:t>分别达0.87与0.89，径流总量相对误差</w:t>
      </w:r>
      <w:r>
        <w:rPr>
          <w:rFonts w:hint="eastAsia"/>
          <w:i/>
          <w:iCs/>
        </w:rPr>
        <w:t>RE</w:t>
      </w:r>
      <w:r>
        <w:rPr>
          <w:rFonts w:hint="eastAsia"/>
        </w:rPr>
        <w:t>均低于8.5%，其综合精度显著优于作为对比的瞬时单位线法与前期影响雨量法。效能优势不仅体现在数值指标上，更深刻反映于对水文物理过程的捕捉能力：本方法在洪峰流量、峰现时间及枯水径流的模拟误差上全面低于传统方法，并能更准确地再现径流过程的涨落动态与复涨特征。证明了土地利用类型作为参数载体稳定可靠</w:t>
      </w:r>
      <w:r>
        <w:rPr>
          <w:rFonts w:hint="eastAsia"/>
          <w:vertAlign w:val="superscript"/>
        </w:rPr>
        <w:t>[38]</w:t>
      </w:r>
      <w:r>
        <w:rPr>
          <w:rFonts w:hint="eastAsia"/>
        </w:rPr>
        <w:t>，该方法能够实现水文知识的稳健跨流域移植，为缺资料地区提供了兼具高精度与明确物理基础的可靠模拟方案。</w:t>
      </w:r>
    </w:p>
    <w:p w14:paraId="14EBFF4E">
      <w:pPr>
        <w:ind w:firstLine="420"/>
      </w:pPr>
      <w:r>
        <w:rPr>
          <w:rFonts w:hint="eastAsia"/>
        </w:rPr>
        <w:t>为进一步明晰本研究的技术优势，将所提方法与近年基于土地利用参数化的同类研究进行量化对比。</w:t>
      </w:r>
      <w:r>
        <w:t>FENG</w:t>
      </w:r>
      <w:r>
        <w:rPr>
          <w:rFonts w:hint="eastAsia"/>
        </w:rPr>
        <w:t>等</w:t>
      </w:r>
      <w:r>
        <w:rPr>
          <w:rFonts w:hint="eastAsia"/>
          <w:vertAlign w:val="superscript"/>
        </w:rPr>
        <w:t>[39]</w:t>
      </w:r>
      <w:r>
        <w:rPr>
          <w:rFonts w:hint="eastAsia"/>
        </w:rPr>
        <w:t>基于日本全国53个供体流域与70个受体流域开展栅格参数区域化研究，结果表明依据土地利用与土壤属性确定的参数集在受体流域的中位数</w:t>
      </w:r>
      <w:r>
        <w:rPr>
          <w:rFonts w:hint="eastAsia"/>
          <w:i/>
        </w:rPr>
        <w:t>NSE</w:t>
      </w:r>
      <w:r>
        <w:rPr>
          <w:rFonts w:hint="eastAsia"/>
        </w:rPr>
        <w:t>为0.74，中位数峰值误差为0.028，本研究在两个目标流域的模拟精度</w:t>
      </w:r>
      <w:r>
        <w:rPr>
          <w:rFonts w:hint="eastAsia"/>
          <w:i/>
        </w:rPr>
        <w:t>NSE</w:t>
      </w:r>
      <w:r>
        <w:rPr>
          <w:rFonts w:hint="eastAsia"/>
        </w:rPr>
        <w:t>达0.87~0.89，显著优于该水平。</w:t>
      </w:r>
      <w:r>
        <w:t>TANAKA</w:t>
      </w:r>
      <w:r>
        <w:rPr>
          <w:rFonts w:hint="eastAsia"/>
        </w:rPr>
        <w:t>等</w:t>
      </w:r>
      <w:r>
        <w:rPr>
          <w:rFonts w:hint="eastAsia"/>
          <w:vertAlign w:val="superscript"/>
        </w:rPr>
        <w:t>[40]</w:t>
      </w:r>
      <w:r>
        <w:rPr>
          <w:rFonts w:hint="eastAsia"/>
        </w:rPr>
        <w:t>基于土地利用类型进行参数率定，在菊池河流域及15个验证流域中取得良好效果，多数站点</w:t>
      </w:r>
      <w:r>
        <w:rPr>
          <w:rFonts w:hint="eastAsia"/>
          <w:i/>
        </w:rPr>
        <w:t>NSE</w:t>
      </w:r>
      <w:r>
        <w:rPr>
          <w:rFonts w:hint="eastAsia"/>
        </w:rPr>
        <w:t>高于0.8，但部分低于0.5，呈现明显区域差异性，而本研究在两个独立流域中均取得稳定模拟结果，</w:t>
      </w:r>
      <w:r>
        <w:rPr>
          <w:rFonts w:hint="eastAsia"/>
          <w:i/>
        </w:rPr>
        <w:t>NSE</w:t>
      </w:r>
      <w:r>
        <w:rPr>
          <w:rFonts w:hint="eastAsia"/>
        </w:rPr>
        <w:t>均高于0.87，验证了该方法在异质性下垫面条件下的广泛适用性与可靠性。</w:t>
      </w:r>
    </w:p>
    <w:p w14:paraId="7A3FB721">
      <w:pPr>
        <w:ind w:firstLine="420"/>
      </w:pPr>
      <w:r>
        <w:rPr>
          <w:rFonts w:hint="eastAsia"/>
        </w:rPr>
        <w:t>上述对比结果的差异，主要归因于本研究在参数迁移机制上的核心创新。传统参数区域化方法多依赖于流域整体相似性进行参数移植，在复杂下垫面条件下易失效。本研究通过构建“土地利用-参数”结构化查找表，将参数迁移的基本单元从异质性显著的完整流域解构为水文功能相对均质的栅格单元，实现参数在栅格尺度的直接映射。这一精细化物理映射路径不仅有效规避了多源数据融合过程中的不确定性传递，更显著提升了参数在跨流域、非平稳条件下的外推能力，从而在多验证流域中保持高精度与高稳定性。</w:t>
      </w:r>
    </w:p>
    <w:p w14:paraId="28E90B16">
      <w:pPr>
        <w:pStyle w:val="3"/>
        <w:numPr>
          <w:ilvl w:val="0"/>
          <w:numId w:val="0"/>
        </w:numPr>
      </w:pPr>
      <w:r>
        <w:t xml:space="preserve">3.3 </w:t>
      </w:r>
      <w:r>
        <w:rPr>
          <w:rFonts w:hint="eastAsia"/>
        </w:rPr>
        <w:t>与传统“土壤—植被”参数化框架的根本区别</w:t>
      </w:r>
    </w:p>
    <w:p w14:paraId="326241F0">
      <w:pPr>
        <w:ind w:firstLine="420"/>
      </w:pPr>
      <w:r>
        <w:rPr>
          <w:rFonts w:hint="eastAsia"/>
        </w:rPr>
        <w:t>传统土壤植被参数化框架与本研究构建的土地利用参数框架，在逻辑起点与实现路径上具有根本差异。前者视下垫面为自然物理综合体，其参数化遵循自下而上的分解聚合逻辑，依赖对土壤质地、植被指数等基础属性的分离与间接推演，在多源数据时空不一致区域易引发参数关系复杂与外推不确定性高的问题。后者则将下垫面重新定义为自然属性与人类活动长期互馈形成的功能单元，采用自上而下的直接映射路径。该框架以土地利用分类这</w:t>
      </w:r>
      <w:r>
        <w:rPr>
          <w:rFonts w:hint="eastAsia"/>
          <w:color w:val="000000"/>
          <w:shd w:val="clear" w:color="auto" w:fill="FFFFFF"/>
        </w:rPr>
        <w:t>一稳</w:t>
      </w:r>
      <w:r>
        <w:rPr>
          <w:rFonts w:hint="eastAsia"/>
        </w:rPr>
        <w:t>定且易获取的标识，天然集成土壤、植被、地表糙率及人类活动强度等多维信息，从而规避了数据融合的固有难题。姬世保等在模型中采用的土地利用主导法参数分区，已印证此思路的可行性</w:t>
      </w:r>
      <w:r>
        <w:rPr>
          <w:rFonts w:hint="eastAsia"/>
          <w:vertAlign w:val="superscript"/>
        </w:rPr>
        <w:t>[41]</w:t>
      </w:r>
      <w:r>
        <w:rPr>
          <w:rFonts w:hint="eastAsia"/>
        </w:rPr>
        <w:t>。两种框架的核心分歧集中体现在对人类活动水文效应的表征能力上。传统框架难以显式刻画农田灌溉、城市不透水面等关键人为扰动；而土地利用框架因直接涵盖此类功能性地类，可更本质地反映人类活动对产汇流过程的影响。相关研究表明，在人类活动强烈区域，基于土地利用的分组方法较单纯基于植被的方法更具解释力</w:t>
      </w:r>
      <w:r>
        <w:rPr>
          <w:rFonts w:hint="eastAsia"/>
          <w:vertAlign w:val="superscript"/>
        </w:rPr>
        <w:t>[42]</w:t>
      </w:r>
      <w:r>
        <w:rPr>
          <w:rFonts w:hint="eastAsia"/>
        </w:rPr>
        <w:t>。基于此，土地利用参数框架通过建立地类与参数的直接查找表，在跨流域参数移植中实现了更强的可解释性与稳健性。</w:t>
      </w:r>
    </w:p>
    <w:p w14:paraId="509BEF1D">
      <w:pPr>
        <w:pStyle w:val="3"/>
        <w:numPr>
          <w:ilvl w:val="0"/>
          <w:numId w:val="0"/>
        </w:numPr>
      </w:pPr>
      <w:r>
        <w:t>3.4 关于参数迁移的稳健性与时间非平稳性的讨论</w:t>
      </w:r>
    </w:p>
    <w:p w14:paraId="3A966F4E">
      <w:pPr>
        <w:pStyle w:val="8"/>
        <w:ind w:firstLine="420"/>
      </w:pPr>
      <w:r>
        <w:t>本研究面临参证流域（1998</w:t>
      </w:r>
      <w:r>
        <w:rPr>
          <w:lang w:val="en"/>
        </w:rPr>
        <w:t>—20</w:t>
      </w:r>
      <w:r>
        <w:t>07年）与目标流域（2022</w:t>
      </w:r>
      <w:r>
        <w:rPr>
          <w:lang w:val="en"/>
        </w:rPr>
        <w:t>—20</w:t>
      </w:r>
      <w:r>
        <w:t>24年）之间存在显著时间间隔的实际情况，这直接触及参数迁移中关键的时间非平稳性问题。所构建的土地利用与模型参数间的映射关系，其跨时段移植的有效性基于一个核心理论前提：土地利用类型作为下垫面关键水文物理属性的综合性表征，在类别尺度上具有功能保守性</w:t>
      </w:r>
      <w:r>
        <w:rPr>
          <w:rFonts w:hint="eastAsia"/>
          <w:vertAlign w:val="superscript"/>
        </w:rPr>
        <w:t>[43]</w:t>
      </w:r>
      <w:r>
        <w:t>。即使具体地块的利用强度存在波动，但由地类定义的基本产汇流响应模式通常保持稳定。因此，以土地利用类型而非整个流域作为迁移单元，使得即便气候背景或人类活动存在变化，只要目标流域内某地类的水文功能未发生根本性重构，其对应的参数集合便依然具备移植价值。在本案例中，柬埔寨境内主要土地利用格局与热带季风气候背景在观测时段内未发生系统性变迁，这为上述跨时段参数移植提供了现实依据。</w:t>
      </w:r>
    </w:p>
    <w:p w14:paraId="75BB3959">
      <w:pPr>
        <w:pStyle w:val="3"/>
        <w:numPr>
          <w:ilvl w:val="0"/>
          <w:numId w:val="0"/>
        </w:numPr>
      </w:pPr>
      <w:r>
        <w:t>3.5 方法的适用性分析</w:t>
      </w:r>
    </w:p>
    <w:p w14:paraId="0BA562DE">
      <w:pPr>
        <w:pStyle w:val="8"/>
        <w:ind w:firstLine="420"/>
      </w:pPr>
      <w:r>
        <w:t>本研究提出的基于土地利用的参数迁移方法在少资料流域表现出良好的模拟性能，但其有效应用需满足特定的前提条件，同时也存在固有的应用边界。本方法的有效应用主要依赖于以下条件：参证流域</w:t>
      </w:r>
      <w:r>
        <w:rPr>
          <w:rFonts w:hint="eastAsia"/>
          <w:color w:val="000000"/>
          <w:shd w:val="clear" w:color="auto" w:fill="FFDFB1"/>
        </w:rPr>
        <w:t>需</w:t>
      </w:r>
      <w:r>
        <w:t>具备较为完整的水文观测序列，以确保参数率定的准确性与可靠性；目标流域与参证流域应采用统一的土地利用分类体系，且地类构成在时间序列上保持相对稳定；目标流域应具备最低限度的水文观测资料，以支持参数移植效果的验证或模型的局部校正。应充分认识本方法存在的局限性</w:t>
      </w:r>
      <w:r>
        <w:rPr>
          <w:rFonts w:hint="eastAsia"/>
        </w:rPr>
        <w:t>：</w:t>
      </w:r>
      <w:r>
        <w:t>对于完全缺乏水文观测数据的极端少资料流域，移植结果的可靠性无法通过实测资料直接验证，模拟结果存在较高不确定性，需引入多源遥感数据同化或多模型对比分析等辅助手段以降低误判风险</w:t>
      </w:r>
      <w:r>
        <w:rPr>
          <w:rFonts w:hint="eastAsia"/>
        </w:rPr>
        <w:t>，</w:t>
      </w:r>
      <w:r>
        <w:t>在实际应用中，需结合流域具体条件审慎评估方法的适用性，并在数据可及的前提下开展参数的本地化校正</w:t>
      </w:r>
      <w:r>
        <w:rPr>
          <w:rFonts w:hint="eastAsia"/>
        </w:rPr>
        <w:t>。</w:t>
      </w:r>
    </w:p>
    <w:p w14:paraId="286CD6F2">
      <w:pPr>
        <w:pStyle w:val="8"/>
        <w:ind w:firstLine="420"/>
      </w:pPr>
      <w:r>
        <w:t>为进一步增强本框架对动态环境的适应能力，后续研究可从以下维度深化：一是耦合长时间序列遥感监测数据，通过周期性更新土地利用信息并重新率定参数，推动静态参数查找表向时空协同的动态知识库演进；二是针对地类发生显著转变的区域，探索构建参数间的过渡规则与转化函数，以实现对局部下垫面剧烈变化过程的有效表征，从而进一步拓展方法的应用边界</w:t>
      </w:r>
      <w:r>
        <w:rPr>
          <w:rFonts w:hint="eastAsia"/>
        </w:rPr>
        <w:t>；三是</w:t>
      </w:r>
      <w:r>
        <w:t>结合高分辨率遥感反演的不透水面比例、农业灌溉统计数据及水库调度记录，构建</w:t>
      </w:r>
      <w:r>
        <w:rPr>
          <w:rFonts w:hint="eastAsia"/>
        </w:rPr>
        <w:t>“</w:t>
      </w:r>
      <w:r>
        <w:t>人类活动强度指标-模型参数</w:t>
      </w:r>
      <w:r>
        <w:rPr>
          <w:rFonts w:hint="eastAsia"/>
        </w:rPr>
        <w:t>”</w:t>
      </w:r>
      <w:r>
        <w:t>的定量响应函数，采用统计回归或机器学习方法识别关键人类活动因子对参数取值的贡献率，从而将当前基于地类分区的静态参数框架，拓展为可动态响应人类活动变化的适应性参数体系</w:t>
      </w:r>
      <w:r>
        <w:rPr>
          <w:rFonts w:hint="eastAsia"/>
        </w:rPr>
        <w:t>。</w:t>
      </w:r>
    </w:p>
    <w:p w14:paraId="07AD2DB2">
      <w:pPr>
        <w:pStyle w:val="2"/>
        <w:numPr>
          <w:ilvl w:val="0"/>
          <w:numId w:val="0"/>
        </w:numPr>
      </w:pPr>
      <w:r>
        <w:rPr>
          <w:rFonts w:eastAsia="宋体" w:cs="宋体"/>
        </w:rPr>
        <w:t xml:space="preserve">4 </w:t>
      </w:r>
      <w:r>
        <w:rPr>
          <w:rFonts w:hint="eastAsia"/>
        </w:rPr>
        <w:t>结</w:t>
      </w:r>
      <w:r>
        <w:rPr>
          <w:lang w:val="en"/>
        </w:rPr>
        <w:t xml:space="preserve">  </w:t>
      </w:r>
      <w:r>
        <w:rPr>
          <w:rFonts w:hint="eastAsia"/>
        </w:rPr>
        <w:t>论</w:t>
      </w:r>
    </w:p>
    <w:p w14:paraId="4355FCD2">
      <w:pPr>
        <w:ind w:firstLine="420"/>
      </w:pPr>
      <w:r>
        <w:rPr>
          <w:rFonts w:hint="eastAsia"/>
        </w:rPr>
        <w:t>本研究针对少资料地区水文模拟的参数获取难题，提出了基于土地利用相似性的参数迁移方法，成功实现了栅格型分布式水文模型在跨境流域中的高效应用。通过对柬埔寨</w:t>
      </w:r>
      <w:r>
        <w:rPr>
          <w:rFonts w:hint="eastAsia"/>
          <w:color w:val="000000"/>
          <w:shd w:val="clear" w:color="auto" w:fill="FFFFFF"/>
        </w:rPr>
        <w:t>湄公河流域及</w:t>
      </w:r>
      <w:r>
        <w:rPr>
          <w:rFonts w:hint="eastAsia"/>
        </w:rPr>
        <w:t>其中两个典型子流域的系统验证，得出以下结论：</w:t>
      </w:r>
    </w:p>
    <w:p w14:paraId="6CDD9E89">
      <w:pPr>
        <w:ind w:firstLine="420"/>
      </w:pPr>
      <w:r>
        <w:rPr>
          <w:rFonts w:hint="eastAsia"/>
        </w:rPr>
        <w:t>（1）所构建的栅格型分布式水文模型展现出优异的模拟性能与区域适应性。模型在湄公河磅湛站率定期与检验期的</w:t>
      </w:r>
      <w:r>
        <w:rPr>
          <w:rFonts w:hint="eastAsia"/>
          <w:i/>
          <w:iCs/>
        </w:rPr>
        <w:t>NSE</w:t>
      </w:r>
      <w:r>
        <w:rPr>
          <w:rFonts w:hint="eastAsia"/>
        </w:rPr>
        <w:t>均超过0.85，径流总量相对误差控制在9%以内，十年径流总量模拟误差仅为6.49%，证明其对热带季风区大流域复杂水文过程具备强大的解析能力。</w:t>
      </w:r>
    </w:p>
    <w:p w14:paraId="68A14BC1">
      <w:pPr>
        <w:ind w:firstLine="420"/>
      </w:pPr>
      <w:r>
        <w:rPr>
          <w:rFonts w:hint="eastAsia"/>
        </w:rPr>
        <w:t>（2）基于土地利用同质化的参数迁移策略切实有效。通过建立“土地利用-参数”响应关系，将参证流域的知识结构化地移植至达萨河与斯伦河两个少资料流域。迁移后模型</w:t>
      </w:r>
      <w:r>
        <w:rPr>
          <w:rFonts w:hint="eastAsia"/>
          <w:i/>
          <w:iCs/>
        </w:rPr>
        <w:t>NSE</w:t>
      </w:r>
      <w:r>
        <w:rPr>
          <w:rFonts w:hint="eastAsia"/>
        </w:rPr>
        <w:t>均保持在0.87以上，水量平衡误差低于8.5%，其模拟精度在过程拟合与洪峰再现方面均显著优于传统经验方法，验证了该方法的可行性与可靠性。</w:t>
      </w:r>
    </w:p>
    <w:p w14:paraId="61E8B966">
      <w:pPr>
        <w:ind w:firstLine="420"/>
      </w:pPr>
      <w:r>
        <w:rPr>
          <w:rFonts w:hint="eastAsia"/>
        </w:rPr>
        <w:t>（3）本方法在机制合理性与应用效率间取得了良好平衡。相较于传统分布式模型，本方法通过土地利用这一易于获取的代理变量，简化了在少资料地区的应用流程；相较于纯经验模型，则因其嵌入的物理机制而具备更优的过程模拟能力和外推潜力，为跨国水利工程中的快速、科学决策提供了有力的技术工具。</w:t>
      </w:r>
    </w:p>
    <w:p w14:paraId="5B0383DE">
      <w:pPr>
        <w:ind w:firstLine="420"/>
      </w:pPr>
      <w:r>
        <w:t>综上，本研究提出的方法体系突破了少资料流域水文模拟的技术瓶颈。未来需结合实地调查与高分辨率遥感数据，优化参数本地化并探索多源数据同化，以提升模型在复杂下垫面下的适应性与精度。</w:t>
      </w:r>
    </w:p>
    <w:p w14:paraId="30E6C4B3">
      <w:pPr>
        <w:ind w:firstLine="420"/>
      </w:pPr>
    </w:p>
    <w:p w14:paraId="5A0F4CD2">
      <w:pPr>
        <w:ind w:firstLine="0" w:firstLineChars="0"/>
        <w:outlineLvl w:val="0"/>
        <w:rPr>
          <w:b/>
          <w:bCs/>
          <w:sz w:val="20"/>
          <w:szCs w:val="20"/>
        </w:rPr>
      </w:pPr>
      <w:r>
        <w:rPr>
          <w:rFonts w:hint="eastAsia"/>
          <w:b/>
          <w:bCs/>
          <w:sz w:val="20"/>
          <w:szCs w:val="20"/>
        </w:rPr>
        <w:t>参考文献:</w:t>
      </w:r>
    </w:p>
    <w:p w14:paraId="3E0C1804">
      <w:pPr>
        <w:ind w:left="300" w:hanging="300" w:hangingChars="200"/>
        <w:rPr>
          <w:rFonts w:cs="Times New Roman"/>
          <w:sz w:val="15"/>
          <w:szCs w:val="15"/>
        </w:rPr>
      </w:pPr>
      <w:r>
        <w:rPr>
          <w:rFonts w:cs="Times New Roman"/>
          <w:sz w:val="15"/>
          <w:szCs w:val="15"/>
          <w:shd w:val="clear" w:color="auto" w:fill="FFFFFF"/>
        </w:rPr>
        <w:t>[1] LYU H</w:t>
      </w:r>
      <w:r>
        <w:rPr>
          <w:rFonts w:cs="Times New Roman"/>
          <w:sz w:val="15"/>
          <w:szCs w:val="15"/>
          <w:shd w:val="clear" w:color="auto" w:fill="FFCCFF"/>
        </w:rPr>
        <w:t xml:space="preserve"> Y</w:t>
      </w:r>
      <w:r>
        <w:rPr>
          <w:rFonts w:cs="Times New Roman"/>
          <w:sz w:val="15"/>
          <w:szCs w:val="15"/>
          <w:shd w:val="clear" w:color="auto" w:fill="FFFFFF"/>
        </w:rPr>
        <w:t>, MOROVATI K, ZHANG K</w:t>
      </w:r>
      <w:r>
        <w:rPr>
          <w:rFonts w:cs="Times New Roman"/>
          <w:sz w:val="15"/>
          <w:szCs w:val="15"/>
          <w:shd w:val="clear" w:color="auto" w:fill="FFCCFF"/>
        </w:rPr>
        <w:t xml:space="preserve"> E</w:t>
      </w:r>
      <w:r>
        <w:rPr>
          <w:rFonts w:cs="Times New Roman"/>
          <w:sz w:val="15"/>
          <w:szCs w:val="15"/>
          <w:shd w:val="clear" w:color="auto" w:fill="FFFFFF"/>
        </w:rPr>
        <w:t>, et al. Hydrological model calibration in data-deficient basins using satellite altimetry and a hydrodynamic model[J]. Journal of Hydrology, 2024, 643: 132022.</w:t>
      </w:r>
    </w:p>
    <w:p w14:paraId="6535B0CE">
      <w:pPr>
        <w:pStyle w:val="8"/>
        <w:ind w:left="300" w:hanging="300" w:hangingChars="200"/>
        <w:rPr>
          <w:rFonts w:hint="eastAsia" w:cs="Times New Roman"/>
          <w:sz w:val="15"/>
          <w:szCs w:val="15"/>
          <w:shd w:val="clear" w:color="auto" w:fill="FFFFFF"/>
        </w:rPr>
      </w:pPr>
      <w:r>
        <w:rPr>
          <w:rFonts w:hint="eastAsia" w:cs="Times New Roman"/>
          <w:sz w:val="15"/>
          <w:szCs w:val="15"/>
          <w:shd w:val="clear" w:color="auto" w:fill="FFFFFF"/>
        </w:rPr>
        <w:t>[2] ESTACIO A B S, COSTA A C, SOUZA FILHO F A, et al. Uncertainty analysis in parameter regionalization for streamflow prediction in ungauged semi-arid catchments[J]. Hydrological Sciences Journal, 2021, 66(7): 1132-1150.</w:t>
      </w:r>
    </w:p>
    <w:p w14:paraId="656398FF">
      <w:pPr>
        <w:pStyle w:val="8"/>
        <w:ind w:left="300" w:hanging="300" w:hangingChars="200"/>
        <w:rPr>
          <w:rFonts w:hint="eastAsia" w:cs="Times New Roman"/>
          <w:sz w:val="15"/>
          <w:szCs w:val="15"/>
          <w:shd w:val="clear" w:color="auto" w:fill="FFFFFF"/>
        </w:rPr>
      </w:pPr>
      <w:r>
        <w:rPr>
          <w:rFonts w:hint="eastAsia" w:cs="Times New Roman"/>
          <w:sz w:val="15"/>
          <w:szCs w:val="15"/>
          <w:shd w:val="clear" w:color="auto" w:fill="FFFFFF"/>
        </w:rPr>
        <w:t>[3] OUDIN L, CAUPIN R, BRIGODE P. Improved predictions in ungauged basins using flood marks[J]. Journal of Hydrology, 2025,657: 133145.</w:t>
      </w:r>
    </w:p>
    <w:p w14:paraId="5A89E8BF">
      <w:pPr>
        <w:pStyle w:val="8"/>
        <w:ind w:left="300" w:hanging="300" w:hangingChars="200"/>
        <w:rPr>
          <w:sz w:val="15"/>
          <w:szCs w:val="15"/>
        </w:rPr>
      </w:pPr>
      <w:r>
        <w:rPr>
          <w:sz w:val="15"/>
          <w:szCs w:val="15"/>
          <w:shd w:val="clear" w:color="auto" w:fill="FFFFFF"/>
        </w:rPr>
        <w:t xml:space="preserve">[4] </w:t>
      </w:r>
      <w:r>
        <w:rPr>
          <w:sz w:val="15"/>
          <w:szCs w:val="15"/>
          <w:shd w:val="clear" w:color="auto" w:fill="FFCCFF"/>
        </w:rPr>
        <w:t>SREEJITH</w:t>
      </w:r>
      <w:r>
        <w:rPr>
          <w:sz w:val="15"/>
          <w:szCs w:val="15"/>
          <w:shd w:val="clear" w:color="auto" w:fill="FFFFFF"/>
        </w:rPr>
        <w:t xml:space="preserve"> </w:t>
      </w:r>
      <w:r>
        <w:rPr>
          <w:sz w:val="15"/>
          <w:szCs w:val="15"/>
          <w:shd w:val="clear" w:color="auto" w:fill="FFCCFF"/>
        </w:rPr>
        <w:t>K</w:t>
      </w:r>
      <w:r>
        <w:rPr>
          <w:sz w:val="15"/>
          <w:szCs w:val="15"/>
          <w:shd w:val="clear" w:color="auto" w:fill="FFFFFF"/>
        </w:rPr>
        <w:t xml:space="preserve"> </w:t>
      </w:r>
      <w:r>
        <w:rPr>
          <w:sz w:val="15"/>
          <w:szCs w:val="15"/>
          <w:shd w:val="clear" w:color="auto" w:fill="FFCCFF"/>
        </w:rPr>
        <w:t>S</w:t>
      </w:r>
      <w:r>
        <w:rPr>
          <w:sz w:val="15"/>
          <w:szCs w:val="15"/>
          <w:shd w:val="clear" w:color="auto" w:fill="FFFFFF"/>
        </w:rPr>
        <w:t xml:space="preserve">, </w:t>
      </w:r>
      <w:r>
        <w:rPr>
          <w:sz w:val="15"/>
          <w:szCs w:val="15"/>
          <w:shd w:val="clear" w:color="auto" w:fill="FFCCFF"/>
        </w:rPr>
        <w:t>KUMAR</w:t>
      </w:r>
      <w:r>
        <w:rPr>
          <w:sz w:val="15"/>
          <w:szCs w:val="15"/>
          <w:shd w:val="clear" w:color="auto" w:fill="FFFFFF"/>
        </w:rPr>
        <w:t xml:space="preserve"> </w:t>
      </w:r>
      <w:r>
        <w:rPr>
          <w:sz w:val="15"/>
          <w:szCs w:val="15"/>
          <w:shd w:val="clear" w:color="auto" w:fill="FFCCFF"/>
        </w:rPr>
        <w:t>G</w:t>
      </w:r>
      <w:r>
        <w:rPr>
          <w:sz w:val="15"/>
          <w:szCs w:val="15"/>
          <w:shd w:val="clear" w:color="auto" w:fill="FFFFFF"/>
        </w:rPr>
        <w:t xml:space="preserve"> </w:t>
      </w:r>
      <w:r>
        <w:rPr>
          <w:sz w:val="15"/>
          <w:szCs w:val="15"/>
          <w:shd w:val="clear" w:color="auto" w:fill="FFCCFF"/>
        </w:rPr>
        <w:t>P</w:t>
      </w:r>
      <w:r>
        <w:rPr>
          <w:sz w:val="15"/>
          <w:szCs w:val="15"/>
          <w:shd w:val="clear" w:color="auto" w:fill="FFFFFF"/>
        </w:rPr>
        <w:t xml:space="preserve">, </w:t>
      </w:r>
      <w:r>
        <w:rPr>
          <w:sz w:val="15"/>
          <w:szCs w:val="15"/>
          <w:shd w:val="clear" w:color="auto" w:fill="FFCCFF"/>
        </w:rPr>
        <w:t>DWARAKISH</w:t>
      </w:r>
      <w:r>
        <w:rPr>
          <w:sz w:val="15"/>
          <w:szCs w:val="15"/>
          <w:shd w:val="clear" w:color="auto" w:fill="FFFFFF"/>
        </w:rPr>
        <w:t xml:space="preserve"> </w:t>
      </w:r>
      <w:r>
        <w:rPr>
          <w:sz w:val="15"/>
          <w:szCs w:val="15"/>
          <w:shd w:val="clear" w:color="auto" w:fill="FFCCFF"/>
        </w:rPr>
        <w:t>G S</w:t>
      </w:r>
      <w:r>
        <w:rPr>
          <w:sz w:val="15"/>
          <w:szCs w:val="15"/>
          <w:shd w:val="clear" w:color="auto" w:fill="FFFFFF"/>
        </w:rPr>
        <w:t>. A critical review of the soil conservation services</w:t>
      </w:r>
      <w:r>
        <w:rPr>
          <w:sz w:val="15"/>
          <w:szCs w:val="15"/>
          <w:shd w:val="clear" w:color="auto" w:fill="FFCCFF"/>
        </w:rPr>
        <w:t>–</w:t>
      </w:r>
      <w:r>
        <w:rPr>
          <w:sz w:val="15"/>
          <w:szCs w:val="15"/>
          <w:shd w:val="clear" w:color="auto" w:fill="D9D9D9"/>
        </w:rPr>
        <w:t>c</w:t>
      </w:r>
      <w:r>
        <w:rPr>
          <w:sz w:val="15"/>
          <w:szCs w:val="15"/>
          <w:shd w:val="clear" w:color="auto" w:fill="FFFFFF"/>
        </w:rPr>
        <w:t>urve number method in hydrological modelling[J]. Wetlands, 2024, 44</w:t>
      </w:r>
      <w:r>
        <w:rPr>
          <w:sz w:val="15"/>
          <w:szCs w:val="15"/>
          <w:shd w:val="clear" w:color="auto" w:fill="FFCCFF"/>
        </w:rPr>
        <w:t>(8)</w:t>
      </w:r>
      <w:r>
        <w:rPr>
          <w:sz w:val="15"/>
          <w:szCs w:val="15"/>
          <w:shd w:val="clear" w:color="auto" w:fill="FFFFFF"/>
        </w:rPr>
        <w:t>: 117.</w:t>
      </w:r>
      <w:r>
        <w:rPr>
          <w:sz w:val="15"/>
          <w:szCs w:val="15"/>
        </w:rPr>
        <w:t xml:space="preserve"> </w:t>
      </w:r>
    </w:p>
    <w:p w14:paraId="0B2B8FEC">
      <w:pPr>
        <w:pStyle w:val="8"/>
        <w:ind w:left="300" w:hanging="300" w:hangingChars="200"/>
        <w:rPr>
          <w:rFonts w:cs="Times New Roman"/>
          <w:sz w:val="15"/>
          <w:szCs w:val="15"/>
        </w:rPr>
      </w:pPr>
      <w:r>
        <w:rPr>
          <w:rFonts w:hint="eastAsia" w:cs="Times New Roman"/>
          <w:sz w:val="15"/>
          <w:szCs w:val="15"/>
          <w:shd w:val="clear" w:color="auto" w:fill="FFFFFF"/>
        </w:rPr>
        <w:t>[5] 杨娜娜, 刘舒, 刘正风, 等. 径流曲线数模型在湖南省山区小流域的优化与应用[J]. 中国水利水电科学研究院学报(中英文), 2024</w:t>
      </w:r>
      <w:r>
        <w:rPr>
          <w:rFonts w:cs="Times New Roman"/>
          <w:sz w:val="15"/>
          <w:szCs w:val="15"/>
          <w:shd w:val="clear" w:color="auto" w:fill="FFCCFF"/>
        </w:rPr>
        <w:t>, 22</w:t>
      </w:r>
      <w:r>
        <w:rPr>
          <w:rFonts w:hint="eastAsia" w:cs="Times New Roman"/>
          <w:sz w:val="15"/>
          <w:szCs w:val="15"/>
          <w:shd w:val="clear" w:color="auto" w:fill="FFFFFF"/>
        </w:rPr>
        <w:t xml:space="preserve">(4): 411-424.▇YANG N N, LIU S, LIU Z F, et al. Optimization and application of SCS-CN model in small </w:t>
      </w:r>
      <w:r>
        <w:rPr>
          <w:rFonts w:cs="Times New Roman"/>
          <w:sz w:val="15"/>
          <w:szCs w:val="15"/>
          <w:shd w:val="clear" w:color="auto" w:fill="FFCCFF"/>
        </w:rPr>
        <w:t>mountain</w:t>
      </w:r>
      <w:r>
        <w:rPr>
          <w:rFonts w:cs="Times New Roman"/>
          <w:sz w:val="15"/>
          <w:szCs w:val="15"/>
          <w:shd w:val="clear" w:color="auto" w:fill="FFFFFF"/>
        </w:rPr>
        <w:t xml:space="preserve"> </w:t>
      </w:r>
      <w:r>
        <w:rPr>
          <w:rFonts w:cs="Times New Roman"/>
          <w:sz w:val="15"/>
          <w:szCs w:val="15"/>
          <w:shd w:val="clear" w:color="auto" w:fill="FFCCFF"/>
        </w:rPr>
        <w:t>basins</w:t>
      </w:r>
      <w:r>
        <w:rPr>
          <w:rFonts w:cs="Times New Roman"/>
          <w:sz w:val="15"/>
          <w:szCs w:val="15"/>
          <w:shd w:val="clear" w:color="auto" w:fill="FFFFFF"/>
        </w:rPr>
        <w:t xml:space="preserve"> </w:t>
      </w:r>
      <w:r>
        <w:rPr>
          <w:rFonts w:cs="Times New Roman"/>
          <w:sz w:val="15"/>
          <w:szCs w:val="15"/>
          <w:shd w:val="clear" w:color="auto" w:fill="FFCCFF"/>
        </w:rPr>
        <w:t>of</w:t>
      </w:r>
      <w:r>
        <w:rPr>
          <w:rFonts w:cs="Times New Roman"/>
          <w:sz w:val="15"/>
          <w:szCs w:val="15"/>
          <w:shd w:val="clear" w:color="auto" w:fill="FFFFFF"/>
        </w:rPr>
        <w:t xml:space="preserve"> Hunan Province[J]. Journal of China Institute of Water Resources and Hydropower Research, 2024</w:t>
      </w:r>
      <w:r>
        <w:rPr>
          <w:rFonts w:cs="Times New Roman"/>
          <w:sz w:val="15"/>
          <w:szCs w:val="15"/>
          <w:shd w:val="clear" w:color="auto" w:fill="FFCCFF"/>
        </w:rPr>
        <w:t>, 22</w:t>
      </w:r>
      <w:r>
        <w:rPr>
          <w:rFonts w:cs="Times New Roman"/>
          <w:sz w:val="15"/>
          <w:szCs w:val="15"/>
          <w:shd w:val="clear" w:color="auto" w:fill="FFFFFF"/>
        </w:rPr>
        <w:t>(4): 411-424.</w:t>
      </w:r>
    </w:p>
    <w:p w14:paraId="6B4454CB">
      <w:pPr>
        <w:pStyle w:val="8"/>
        <w:ind w:left="300" w:hanging="300" w:hangingChars="200"/>
        <w:rPr>
          <w:rFonts w:cs="Times New Roman"/>
          <w:sz w:val="15"/>
          <w:szCs w:val="15"/>
        </w:rPr>
      </w:pPr>
      <w:r>
        <w:rPr>
          <w:rFonts w:hint="eastAsia" w:cs="Times New Roman"/>
          <w:sz w:val="15"/>
          <w:szCs w:val="15"/>
        </w:rPr>
        <w:t>[6] 刘春春, 王彤, 郭巍, 等. 基于SCS模型的无资料地区年际径流总量模拟研究[J]. 中国农村水利水电, 2021(8): 83-88.▇LIU C C, WANG T, GUO W, et al. Simulation of annual runoff in ungauged basins based on SCS model[J]. China Rural Water and Hydropower, 2021(8): 83-88.</w:t>
      </w:r>
    </w:p>
    <w:p w14:paraId="55574E2B">
      <w:pPr>
        <w:pStyle w:val="8"/>
        <w:ind w:left="300" w:hanging="300" w:hangingChars="200"/>
        <w:rPr>
          <w:rFonts w:cs="Times New Roman"/>
          <w:sz w:val="15"/>
          <w:szCs w:val="15"/>
        </w:rPr>
      </w:pPr>
      <w:r>
        <w:rPr>
          <w:rFonts w:hint="eastAsia" w:cs="Times New Roman"/>
          <w:sz w:val="15"/>
          <w:szCs w:val="15"/>
          <w:shd w:val="clear" w:color="auto" w:fill="FFFFFF"/>
        </w:rPr>
        <w:t>[7] 孙周亮, 刘艳丽, 陈鑫, 等. 水文模型参数区域化方法研究进展[J]. 水文, 2023, 43(4): 1-7.</w:t>
      </w:r>
      <w:r>
        <w:rPr>
          <w:rFonts w:cs="Times New Roman"/>
          <w:sz w:val="15"/>
          <w:szCs w:val="15"/>
          <w:shd w:val="clear" w:color="auto" w:fill="FFFFFF"/>
        </w:rPr>
        <w:br w:type="textWrapping"/>
      </w:r>
      <w:r>
        <w:rPr>
          <w:rFonts w:cs="Times New Roman"/>
          <w:sz w:val="15"/>
          <w:szCs w:val="15"/>
          <w:shd w:val="clear" w:color="auto" w:fill="FFFFFF"/>
        </w:rPr>
        <w:t xml:space="preserve">SUN Z L, LIU Y L, CHEN X, et al. </w:t>
      </w:r>
      <w:r>
        <w:rPr>
          <w:rFonts w:cs="Times New Roman"/>
          <w:sz w:val="15"/>
          <w:szCs w:val="15"/>
          <w:shd w:val="clear" w:color="auto" w:fill="FFCCFF"/>
        </w:rPr>
        <w:t>Review</w:t>
      </w:r>
      <w:r>
        <w:rPr>
          <w:rFonts w:cs="Times New Roman"/>
          <w:sz w:val="15"/>
          <w:szCs w:val="15"/>
          <w:shd w:val="clear" w:color="auto" w:fill="FFFFFF"/>
        </w:rPr>
        <w:t xml:space="preserve"> </w:t>
      </w:r>
      <w:r>
        <w:rPr>
          <w:rFonts w:cs="Times New Roman"/>
          <w:sz w:val="15"/>
          <w:szCs w:val="15"/>
          <w:shd w:val="clear" w:color="auto" w:fill="FFCCFF"/>
        </w:rPr>
        <w:t>of</w:t>
      </w:r>
      <w:r>
        <w:rPr>
          <w:rFonts w:cs="Times New Roman"/>
          <w:sz w:val="15"/>
          <w:szCs w:val="15"/>
          <w:shd w:val="clear" w:color="auto" w:fill="FFFFFF"/>
        </w:rPr>
        <w:t xml:space="preserve"> </w:t>
      </w:r>
      <w:r>
        <w:rPr>
          <w:rFonts w:cs="Times New Roman"/>
          <w:sz w:val="15"/>
          <w:szCs w:val="15"/>
          <w:shd w:val="clear" w:color="auto" w:fill="FFCCFF"/>
        </w:rPr>
        <w:t>hydrological model</w:t>
      </w:r>
      <w:r>
        <w:rPr>
          <w:rFonts w:cs="Times New Roman"/>
          <w:sz w:val="15"/>
          <w:szCs w:val="15"/>
          <w:shd w:val="clear" w:color="auto" w:fill="FFFFFF"/>
        </w:rPr>
        <w:t xml:space="preserve"> parameter regionalization </w:t>
      </w:r>
      <w:r>
        <w:rPr>
          <w:rFonts w:cs="Times New Roman"/>
          <w:sz w:val="15"/>
          <w:szCs w:val="15"/>
          <w:shd w:val="clear" w:color="auto" w:fill="FFCCFF"/>
        </w:rPr>
        <w:t>method</w:t>
      </w:r>
      <w:r>
        <w:rPr>
          <w:rFonts w:cs="Times New Roman"/>
          <w:sz w:val="15"/>
          <w:szCs w:val="15"/>
          <w:shd w:val="clear" w:color="auto" w:fill="FFFFFF"/>
        </w:rPr>
        <w:t>[J]. Journal of China Hydrology, 2023, 43(4): 1-7.</w:t>
      </w:r>
      <w:r>
        <w:rPr>
          <w:rFonts w:cs="Times New Roman"/>
          <w:sz w:val="15"/>
          <w:szCs w:val="15"/>
        </w:rPr>
        <w:t xml:space="preserve"> </w:t>
      </w:r>
    </w:p>
    <w:p w14:paraId="39DEBABD">
      <w:pPr>
        <w:pStyle w:val="8"/>
        <w:ind w:left="300" w:hanging="300" w:hangingChars="200"/>
        <w:rPr>
          <w:rFonts w:cs="Times New Roman"/>
          <w:sz w:val="15"/>
          <w:szCs w:val="15"/>
        </w:rPr>
      </w:pPr>
      <w:r>
        <w:rPr>
          <w:rFonts w:hint="eastAsia" w:cs="Times New Roman"/>
          <w:sz w:val="15"/>
          <w:szCs w:val="15"/>
          <w:shd w:val="clear" w:color="auto" w:fill="FFFFFF"/>
        </w:rPr>
        <w:t xml:space="preserve">[8] 程艳, 敖天其, 黎小东, 等. 基于参数移植法的SWAT模型模拟嘉陵江无资料地区径流[J]. 农业工程学报, 2016, </w:t>
      </w:r>
      <w:r>
        <w:rPr>
          <w:rFonts w:cs="Times New Roman"/>
          <w:sz w:val="15"/>
          <w:szCs w:val="15"/>
          <w:shd w:val="clear" w:color="auto" w:fill="FFFFFF"/>
        </w:rPr>
        <w:t>32</w:t>
      </w:r>
      <w:r>
        <w:rPr>
          <w:rFonts w:hint="eastAsia" w:cs="Times New Roman"/>
          <w:sz w:val="15"/>
          <w:szCs w:val="15"/>
          <w:shd w:val="clear" w:color="auto" w:fill="FFFFFF"/>
        </w:rPr>
        <w:t>(13): 81-86.</w:t>
      </w:r>
      <w:r>
        <w:rPr>
          <w:rFonts w:cs="Times New Roman"/>
          <w:sz w:val="15"/>
          <w:szCs w:val="15"/>
          <w:shd w:val="clear" w:color="auto" w:fill="FFFFFF"/>
        </w:rPr>
        <w:br w:type="textWrapping"/>
      </w:r>
      <w:r>
        <w:rPr>
          <w:rFonts w:cs="Times New Roman"/>
          <w:sz w:val="15"/>
          <w:szCs w:val="15"/>
          <w:shd w:val="clear" w:color="auto" w:fill="FFFFFF"/>
        </w:rPr>
        <w:t xml:space="preserve">CHENG Y, AO T Q, LI X D, et al. </w:t>
      </w:r>
      <w:r>
        <w:rPr>
          <w:rFonts w:cs="Times New Roman"/>
          <w:sz w:val="15"/>
          <w:szCs w:val="15"/>
          <w:shd w:val="clear" w:color="auto" w:fill="D9D9D9"/>
        </w:rPr>
        <w:t>R</w:t>
      </w:r>
      <w:r>
        <w:rPr>
          <w:rFonts w:cs="Times New Roman"/>
          <w:sz w:val="15"/>
          <w:szCs w:val="15"/>
          <w:shd w:val="clear" w:color="auto" w:fill="FFFFFF"/>
        </w:rPr>
        <w:t xml:space="preserve">unoff </w:t>
      </w:r>
      <w:r>
        <w:rPr>
          <w:rFonts w:cs="Times New Roman"/>
          <w:sz w:val="15"/>
          <w:szCs w:val="15"/>
          <w:shd w:val="clear" w:color="auto" w:fill="FFCCFF"/>
        </w:rPr>
        <w:t>simulation</w:t>
      </w:r>
      <w:r>
        <w:rPr>
          <w:rFonts w:cs="Times New Roman"/>
          <w:sz w:val="15"/>
          <w:szCs w:val="15"/>
          <w:shd w:val="clear" w:color="auto" w:fill="FFFFFF"/>
        </w:rPr>
        <w:t xml:space="preserve"> </w:t>
      </w:r>
      <w:r>
        <w:rPr>
          <w:rFonts w:cs="Times New Roman"/>
          <w:sz w:val="15"/>
          <w:szCs w:val="15"/>
          <w:shd w:val="clear" w:color="auto" w:fill="FFCCFF"/>
        </w:rPr>
        <w:t>by</w:t>
      </w:r>
      <w:r>
        <w:rPr>
          <w:rFonts w:cs="Times New Roman"/>
          <w:sz w:val="15"/>
          <w:szCs w:val="15"/>
          <w:shd w:val="clear" w:color="auto" w:fill="FFFFFF"/>
        </w:rPr>
        <w:t xml:space="preserve"> </w:t>
      </w:r>
      <w:r>
        <w:rPr>
          <w:rFonts w:cs="Times New Roman"/>
          <w:sz w:val="15"/>
          <w:szCs w:val="15"/>
          <w:shd w:val="clear" w:color="auto" w:fill="FFCCFF"/>
        </w:rPr>
        <w:t>SWAT</w:t>
      </w:r>
      <w:r>
        <w:rPr>
          <w:rFonts w:cs="Times New Roman"/>
          <w:sz w:val="15"/>
          <w:szCs w:val="15"/>
          <w:shd w:val="clear" w:color="auto" w:fill="FFFFFF"/>
        </w:rPr>
        <w:t xml:space="preserve"> </w:t>
      </w:r>
      <w:r>
        <w:rPr>
          <w:rFonts w:cs="Times New Roman"/>
          <w:sz w:val="15"/>
          <w:szCs w:val="15"/>
          <w:shd w:val="clear" w:color="auto" w:fill="FFCCFF"/>
        </w:rPr>
        <w:t>model</w:t>
      </w:r>
      <w:r>
        <w:rPr>
          <w:rFonts w:cs="Times New Roman"/>
          <w:sz w:val="15"/>
          <w:szCs w:val="15"/>
          <w:shd w:val="clear" w:color="auto" w:fill="FFFFFF"/>
        </w:rPr>
        <w:t xml:space="preserve"> based on </w:t>
      </w:r>
      <w:r>
        <w:rPr>
          <w:rFonts w:cs="Times New Roman"/>
          <w:sz w:val="15"/>
          <w:szCs w:val="15"/>
          <w:shd w:val="clear" w:color="auto" w:fill="FFCCFF"/>
        </w:rPr>
        <w:t>parameters</w:t>
      </w:r>
      <w:r>
        <w:rPr>
          <w:rFonts w:cs="Times New Roman"/>
          <w:sz w:val="15"/>
          <w:szCs w:val="15"/>
          <w:shd w:val="clear" w:color="auto" w:fill="FFFFFF"/>
        </w:rPr>
        <w:t xml:space="preserve"> </w:t>
      </w:r>
      <w:r>
        <w:rPr>
          <w:rFonts w:cs="Times New Roman"/>
          <w:sz w:val="15"/>
          <w:szCs w:val="15"/>
          <w:shd w:val="clear" w:color="auto" w:fill="FFCCFF"/>
        </w:rPr>
        <w:t>transfer</w:t>
      </w:r>
      <w:r>
        <w:rPr>
          <w:rFonts w:cs="Times New Roman"/>
          <w:sz w:val="15"/>
          <w:szCs w:val="15"/>
          <w:shd w:val="clear" w:color="auto" w:fill="FFFFFF"/>
        </w:rPr>
        <w:t xml:space="preserve"> method </w:t>
      </w:r>
      <w:r>
        <w:rPr>
          <w:rFonts w:cs="Times New Roman"/>
          <w:sz w:val="15"/>
          <w:szCs w:val="15"/>
          <w:shd w:val="clear" w:color="auto" w:fill="FFCCFF"/>
        </w:rPr>
        <w:t>in</w:t>
      </w:r>
      <w:r>
        <w:rPr>
          <w:rFonts w:cs="Times New Roman"/>
          <w:sz w:val="15"/>
          <w:szCs w:val="15"/>
          <w:shd w:val="clear" w:color="auto" w:fill="FFFFFF"/>
        </w:rPr>
        <w:t xml:space="preserve"> </w:t>
      </w:r>
      <w:r>
        <w:rPr>
          <w:rFonts w:cs="Times New Roman"/>
          <w:sz w:val="15"/>
          <w:szCs w:val="15"/>
          <w:shd w:val="clear" w:color="auto" w:fill="FFCCFF"/>
        </w:rPr>
        <w:t>ungauged</w:t>
      </w:r>
      <w:r>
        <w:rPr>
          <w:rFonts w:cs="Times New Roman"/>
          <w:sz w:val="15"/>
          <w:szCs w:val="15"/>
          <w:shd w:val="clear" w:color="auto" w:fill="FFFFFF"/>
        </w:rPr>
        <w:t xml:space="preserve"> </w:t>
      </w:r>
      <w:r>
        <w:rPr>
          <w:rFonts w:cs="Times New Roman"/>
          <w:sz w:val="15"/>
          <w:szCs w:val="15"/>
          <w:shd w:val="clear" w:color="auto" w:fill="FFCCFF"/>
        </w:rPr>
        <w:t>catchments of middle reaches of Jialing River</w:t>
      </w:r>
      <w:r>
        <w:rPr>
          <w:rFonts w:cs="Times New Roman"/>
          <w:sz w:val="15"/>
          <w:szCs w:val="15"/>
          <w:shd w:val="clear" w:color="auto" w:fill="FFFFFF"/>
        </w:rPr>
        <w:t>[J]. Transactions of the Chinese Society of Agricultural Engineering, 2016, 32(13): 81-86.</w:t>
      </w:r>
      <w:r>
        <w:rPr>
          <w:rFonts w:cs="Times New Roman"/>
          <w:sz w:val="15"/>
          <w:szCs w:val="15"/>
        </w:rPr>
        <w:t xml:space="preserve"> </w:t>
      </w:r>
    </w:p>
    <w:p w14:paraId="535388C0">
      <w:pPr>
        <w:pStyle w:val="8"/>
        <w:ind w:left="300" w:hanging="300" w:hangingChars="200"/>
        <w:rPr>
          <w:rFonts w:cs="Times New Roman"/>
          <w:sz w:val="15"/>
          <w:szCs w:val="15"/>
        </w:rPr>
      </w:pPr>
      <w:r>
        <w:rPr>
          <w:rFonts w:hint="eastAsia" w:cs="Times New Roman"/>
          <w:sz w:val="15"/>
          <w:szCs w:val="15"/>
        </w:rPr>
        <w:t>[9] 陈鑫, 刘登峰, 黄强, 等. 基于物理相似性的无资料流域水文模型参数区域化[J]. 水科学进展, 2018, 29(3): 332-340.</w:t>
      </w:r>
      <w:r>
        <w:rPr>
          <w:rFonts w:cs="Times New Roman"/>
          <w:sz w:val="15"/>
          <w:szCs w:val="15"/>
        </w:rPr>
        <w:br w:type="textWrapping"/>
      </w:r>
      <w:r>
        <w:rPr>
          <w:rFonts w:hint="eastAsia" w:cs="Times New Roman"/>
          <w:sz w:val="15"/>
          <w:szCs w:val="15"/>
        </w:rPr>
        <w:t>CHEN X, LIU D F, HUANG Q, et al. Hydrological model parameter regionalization in ungauged basins based on physical similarity[J]. Advances in Water Science, 2018, 29(3): 332-340.</w:t>
      </w:r>
    </w:p>
    <w:p w14:paraId="1B74EF19">
      <w:pPr>
        <w:pStyle w:val="8"/>
        <w:ind w:left="300" w:hanging="300" w:hangingChars="200"/>
        <w:rPr>
          <w:rFonts w:cs="Times New Roman"/>
          <w:sz w:val="15"/>
          <w:szCs w:val="15"/>
        </w:rPr>
      </w:pPr>
      <w:r>
        <w:rPr>
          <w:rFonts w:hint="eastAsia" w:cs="Times New Roman"/>
          <w:sz w:val="15"/>
          <w:szCs w:val="15"/>
        </w:rPr>
        <w:t>[10] 刘渤. 再分析数据在缺资料地区径流模拟中的适用性研究[D]. 石河子： 石河子大学, 2022.</w:t>
      </w:r>
      <w:r>
        <w:rPr>
          <w:rFonts w:cs="Times New Roman"/>
          <w:sz w:val="15"/>
          <w:szCs w:val="15"/>
        </w:rPr>
        <w:br w:type="textWrapping"/>
      </w:r>
      <w:r>
        <w:rPr>
          <w:rFonts w:hint="eastAsia" w:cs="Times New Roman"/>
          <w:sz w:val="15"/>
          <w:szCs w:val="15"/>
        </w:rPr>
        <w:t>LIU B. Study on Applicability of reanalysis Data in Runoff Simulation in Data-Scarce Regions[D]. Shihezi: Shihezi University, 2022.</w:t>
      </w:r>
    </w:p>
    <w:p w14:paraId="0E397C4D">
      <w:pPr>
        <w:pStyle w:val="8"/>
        <w:ind w:left="300" w:hanging="300" w:hangingChars="200"/>
        <w:rPr>
          <w:rFonts w:cs="Times New Roman"/>
          <w:sz w:val="15"/>
          <w:szCs w:val="15"/>
        </w:rPr>
      </w:pPr>
      <w:r>
        <w:rPr>
          <w:rFonts w:hint="eastAsia" w:cs="Times New Roman"/>
          <w:sz w:val="15"/>
          <w:szCs w:val="15"/>
        </w:rPr>
        <w:t>[11] 曹永强, 杨明明, 李维佳. 基于遥感数据的无资料地区水文模型应用研究[J]. 水力发电学报, 2021, 40(7): 34-45.</w:t>
      </w:r>
      <w:r>
        <w:rPr>
          <w:rFonts w:cs="Times New Roman"/>
          <w:sz w:val="15"/>
          <w:szCs w:val="15"/>
        </w:rPr>
        <w:br w:type="textWrapping"/>
      </w:r>
      <w:r>
        <w:rPr>
          <w:rFonts w:hint="eastAsia" w:cs="Times New Roman"/>
          <w:sz w:val="15"/>
          <w:szCs w:val="15"/>
        </w:rPr>
        <w:t>CAO Y Q, YANG M M, LI W J. Application of hydrological models in ungauged areas based on remote sensing data[J]. Journal of Hydroelectric Engineering, 2021, 40(7): 34-45.</w:t>
      </w:r>
    </w:p>
    <w:p w14:paraId="632A97E5">
      <w:pPr>
        <w:pStyle w:val="8"/>
        <w:ind w:left="300" w:hanging="300" w:hangingChars="200"/>
        <w:rPr>
          <w:rFonts w:cs="Times New Roman"/>
          <w:sz w:val="15"/>
          <w:szCs w:val="15"/>
        </w:rPr>
      </w:pPr>
      <w:r>
        <w:rPr>
          <w:rFonts w:hint="eastAsia" w:cs="Times New Roman"/>
          <w:sz w:val="15"/>
          <w:szCs w:val="15"/>
        </w:rPr>
        <w:t>[12] 刘懿, 赵坚, 李琳, 等. 水循环模拟中下垫面参数化方法研究综述[J]. 水利水电科技进展, 2021, 41(3): 1-9.</w:t>
      </w:r>
      <w:r>
        <w:rPr>
          <w:rFonts w:cs="Times New Roman"/>
          <w:sz w:val="15"/>
          <w:szCs w:val="15"/>
        </w:rPr>
        <w:br w:type="textWrapping"/>
      </w:r>
      <w:r>
        <w:rPr>
          <w:rFonts w:hint="eastAsia" w:cs="Times New Roman"/>
          <w:sz w:val="15"/>
          <w:szCs w:val="15"/>
        </w:rPr>
        <w:t>LIU Y, ZHAO J, LI L, et al. Review of parameterization methods for underlying surfaces in water cycle simulation[J]. Advances in Science and Technology of Water Resources, 2021, 41(3): 1-9.</w:t>
      </w:r>
    </w:p>
    <w:p w14:paraId="75E24B85">
      <w:pPr>
        <w:pStyle w:val="8"/>
        <w:ind w:left="300" w:hanging="300" w:hangingChars="200"/>
        <w:rPr>
          <w:rFonts w:hint="eastAsia" w:cs="Times New Roman"/>
          <w:sz w:val="15"/>
          <w:szCs w:val="15"/>
          <w:shd w:val="clear" w:color="auto" w:fill="FFFFFF"/>
        </w:rPr>
      </w:pPr>
      <w:r>
        <w:rPr>
          <w:rFonts w:hint="eastAsia" w:cs="Times New Roman"/>
          <w:sz w:val="15"/>
          <w:szCs w:val="15"/>
          <w:shd w:val="clear" w:color="auto" w:fill="FFFFFF"/>
        </w:rPr>
        <w:t>[13] TARASOVA L, GNANN S, YANG S, et al. Catchment characterization: Current descriptors, knowledge gaps and future opportunities[J]. Earth-Science Reviews, 2024, 252: 104739.</w:t>
      </w:r>
    </w:p>
    <w:p w14:paraId="6BDC3710">
      <w:pPr>
        <w:pStyle w:val="8"/>
        <w:ind w:left="300" w:hanging="300" w:hangingChars="200"/>
        <w:rPr>
          <w:rFonts w:cs="Times New Roman"/>
          <w:sz w:val="15"/>
          <w:szCs w:val="15"/>
        </w:rPr>
      </w:pPr>
      <w:r>
        <w:rPr>
          <w:rFonts w:hint="eastAsia" w:cs="Times New Roman"/>
          <w:sz w:val="15"/>
          <w:szCs w:val="15"/>
        </w:rPr>
        <w:t>[14] RODRIGUEZ J M. Development of systematic errors in the East Asian summer monsoon[EB/OL]. (2024-03-11)[2025-01-20]. https://doi.org/10.5194/egusphere-egu24-17639.</w:t>
      </w:r>
      <w:r>
        <w:rPr>
          <w:rFonts w:cs="Times New Roman"/>
          <w:sz w:val="15"/>
          <w:szCs w:val="15"/>
        </w:rPr>
        <w:t xml:space="preserve"> </w:t>
      </w:r>
    </w:p>
    <w:p w14:paraId="5CCC9F02">
      <w:pPr>
        <w:pStyle w:val="8"/>
        <w:ind w:left="300" w:hanging="300" w:hangingChars="200"/>
        <w:rPr>
          <w:rFonts w:cs="Times New Roman"/>
          <w:sz w:val="15"/>
          <w:szCs w:val="15"/>
        </w:rPr>
      </w:pPr>
      <w:r>
        <w:rPr>
          <w:rFonts w:cs="Times New Roman"/>
          <w:sz w:val="15"/>
          <w:szCs w:val="15"/>
          <w:shd w:val="clear" w:color="auto" w:fill="FFFFFF"/>
        </w:rPr>
        <w:t>[15] CHEN L, GUO C</w:t>
      </w:r>
      <w:r>
        <w:rPr>
          <w:rFonts w:cs="Times New Roman"/>
          <w:sz w:val="15"/>
          <w:szCs w:val="15"/>
          <w:shd w:val="clear" w:color="auto" w:fill="FFCCFF"/>
        </w:rPr>
        <w:t xml:space="preserve"> X</w:t>
      </w:r>
      <w:r>
        <w:rPr>
          <w:rFonts w:cs="Times New Roman"/>
          <w:sz w:val="15"/>
          <w:szCs w:val="15"/>
          <w:shd w:val="clear" w:color="auto" w:fill="FFFFFF"/>
        </w:rPr>
        <w:t>, ZHU K</w:t>
      </w:r>
      <w:r>
        <w:rPr>
          <w:rFonts w:cs="Times New Roman"/>
          <w:sz w:val="15"/>
          <w:szCs w:val="15"/>
          <w:shd w:val="clear" w:color="auto" w:fill="FFCCFF"/>
        </w:rPr>
        <w:t xml:space="preserve"> H</w:t>
      </w:r>
      <w:r>
        <w:rPr>
          <w:rFonts w:cs="Times New Roman"/>
          <w:sz w:val="15"/>
          <w:szCs w:val="15"/>
          <w:shd w:val="clear" w:color="auto" w:fill="FFFFFF"/>
        </w:rPr>
        <w:t>, et al. Toward reasonable and efficient simulations: A distributed model based on improved mechanism and confluence algorithm[J]. C</w:t>
      </w:r>
      <w:r>
        <w:rPr>
          <w:rFonts w:cs="Times New Roman"/>
          <w:sz w:val="15"/>
          <w:szCs w:val="15"/>
          <w:shd w:val="clear" w:color="auto" w:fill="D9D9D9"/>
        </w:rPr>
        <w:t>atena</w:t>
      </w:r>
      <w:r>
        <w:rPr>
          <w:rFonts w:cs="Times New Roman"/>
          <w:sz w:val="15"/>
          <w:szCs w:val="15"/>
          <w:shd w:val="clear" w:color="auto" w:fill="FFFFFF"/>
        </w:rPr>
        <w:t>, 2025, 249: 108687.</w:t>
      </w:r>
      <w:r>
        <w:rPr>
          <w:rFonts w:cs="Times New Roman"/>
          <w:sz w:val="15"/>
          <w:szCs w:val="15"/>
        </w:rPr>
        <w:t xml:space="preserve"> </w:t>
      </w:r>
    </w:p>
    <w:p w14:paraId="4BB5B43C">
      <w:pPr>
        <w:pStyle w:val="8"/>
        <w:ind w:left="300" w:hanging="300" w:hangingChars="200"/>
        <w:rPr>
          <w:rFonts w:cs="Times New Roman"/>
          <w:sz w:val="15"/>
          <w:szCs w:val="15"/>
        </w:rPr>
      </w:pPr>
      <w:r>
        <w:rPr>
          <w:rFonts w:cs="Times New Roman"/>
          <w:sz w:val="15"/>
          <w:szCs w:val="15"/>
          <w:shd w:val="clear" w:color="auto" w:fill="FFFFFF"/>
        </w:rPr>
        <w:t xml:space="preserve">[16] ARIVOLI E, SARAVANAN S, CHANDRASEKAR K, et al. Reservoirs response to climate change under medium emission scenario in upper Krishna Basin, India using geospatial inputs[J]. Journal of the Indian Society of Remote Sensing, 2024, 52(5): </w:t>
      </w:r>
      <w:r>
        <w:rPr>
          <w:rFonts w:cs="Times New Roman"/>
          <w:sz w:val="15"/>
          <w:szCs w:val="15"/>
          <w:shd w:val="clear" w:color="auto" w:fill="FFCCFF"/>
        </w:rPr>
        <w:t>1099</w:t>
      </w:r>
      <w:r>
        <w:rPr>
          <w:rFonts w:cs="Times New Roman"/>
          <w:sz w:val="15"/>
          <w:szCs w:val="15"/>
          <w:shd w:val="clear" w:color="auto" w:fill="FFFFFF"/>
        </w:rPr>
        <w:t>-</w:t>
      </w:r>
      <w:r>
        <w:rPr>
          <w:rFonts w:cs="Times New Roman"/>
          <w:sz w:val="15"/>
          <w:szCs w:val="15"/>
          <w:shd w:val="clear" w:color="auto" w:fill="FFCCFF"/>
        </w:rPr>
        <w:t>1116</w:t>
      </w:r>
      <w:r>
        <w:rPr>
          <w:rFonts w:cs="Times New Roman"/>
          <w:sz w:val="15"/>
          <w:szCs w:val="15"/>
          <w:shd w:val="clear" w:color="auto" w:fill="FFFFFF"/>
        </w:rPr>
        <w:t>.</w:t>
      </w:r>
      <w:r>
        <w:rPr>
          <w:rFonts w:cs="Times New Roman"/>
          <w:sz w:val="15"/>
          <w:szCs w:val="15"/>
        </w:rPr>
        <w:t xml:space="preserve"> </w:t>
      </w:r>
    </w:p>
    <w:p w14:paraId="77C5FD40">
      <w:pPr>
        <w:pStyle w:val="8"/>
        <w:ind w:left="300" w:hanging="300" w:hangingChars="200"/>
        <w:rPr>
          <w:rFonts w:hint="eastAsia" w:cs="Times New Roman"/>
          <w:sz w:val="15"/>
          <w:szCs w:val="15"/>
          <w:shd w:val="clear" w:color="auto" w:fill="FFFFFF"/>
        </w:rPr>
      </w:pPr>
      <w:r>
        <w:rPr>
          <w:rFonts w:hint="eastAsia" w:cs="Times New Roman"/>
          <w:sz w:val="15"/>
          <w:szCs w:val="15"/>
          <w:shd w:val="clear" w:color="auto" w:fill="FFFFFF"/>
        </w:rPr>
        <w:t>[17] JENSON S K, DOMINGUE J O. Extracting topographic structure from digital elevation data for geographic information</w:t>
      </w:r>
      <w:r>
        <w:rPr>
          <w:rFonts w:hint="eastAsia" w:cs="Times New Roman"/>
          <w:sz w:val="15"/>
          <w:szCs w:val="15"/>
          <w:shd w:val="clear" w:color="auto" w:fill="FFCCFF"/>
        </w:rPr>
        <w:t xml:space="preserve"> </w:t>
      </w:r>
      <w:r>
        <w:rPr>
          <w:rFonts w:hint="eastAsia" w:cs="Times New Roman"/>
          <w:sz w:val="15"/>
          <w:szCs w:val="15"/>
          <w:shd w:val="clear" w:color="auto" w:fill="FFFFFF"/>
        </w:rPr>
        <w:t>system analysis[J]. Photogrammetric Engineering and Remote Sensing, 1988, 54</w:t>
      </w:r>
      <w:r>
        <w:rPr>
          <w:rFonts w:hint="eastAsia" w:cs="Times New Roman"/>
          <w:sz w:val="15"/>
          <w:szCs w:val="15"/>
          <w:shd w:val="clear" w:color="auto" w:fill="FFCCFF"/>
        </w:rPr>
        <w:t>(11)</w:t>
      </w:r>
      <w:r>
        <w:rPr>
          <w:rFonts w:hint="eastAsia" w:cs="Times New Roman"/>
          <w:sz w:val="15"/>
          <w:szCs w:val="15"/>
          <w:shd w:val="clear" w:color="auto" w:fill="FFFFFF"/>
        </w:rPr>
        <w:t>: 1593-1600.</w:t>
      </w:r>
    </w:p>
    <w:p w14:paraId="79ACAFCD">
      <w:pPr>
        <w:pStyle w:val="8"/>
        <w:ind w:left="300" w:hanging="300" w:hangingChars="200"/>
        <w:rPr>
          <w:rFonts w:cs="Times New Roman"/>
          <w:sz w:val="15"/>
          <w:szCs w:val="15"/>
        </w:rPr>
      </w:pPr>
      <w:r>
        <w:rPr>
          <w:rFonts w:hint="eastAsia" w:cs="Times New Roman"/>
          <w:sz w:val="15"/>
          <w:szCs w:val="15"/>
          <w:shd w:val="clear" w:color="auto" w:fill="FFFFFF"/>
        </w:rPr>
        <w:t xml:space="preserve">[18] 李致家, </w:t>
      </w:r>
      <w:r>
        <w:rPr>
          <w:rFonts w:hint="eastAsia" w:cs="Times New Roman"/>
          <w:sz w:val="15"/>
          <w:szCs w:val="15"/>
          <w:shd w:val="clear" w:color="auto" w:fill="FFCCFF"/>
        </w:rPr>
        <w:t>姚成</w:t>
      </w:r>
      <w:r>
        <w:rPr>
          <w:rFonts w:cs="Times New Roman"/>
          <w:sz w:val="15"/>
          <w:szCs w:val="15"/>
          <w:shd w:val="clear" w:color="auto" w:fill="FFFFFF"/>
        </w:rPr>
        <w:t xml:space="preserve">, </w:t>
      </w:r>
      <w:r>
        <w:rPr>
          <w:rFonts w:hint="eastAsia" w:cs="Times New Roman"/>
          <w:sz w:val="15"/>
          <w:szCs w:val="15"/>
          <w:shd w:val="clear" w:color="auto" w:fill="FFCCFF"/>
        </w:rPr>
        <w:t>汪中华</w:t>
      </w:r>
      <w:r>
        <w:rPr>
          <w:rFonts w:hint="eastAsia" w:cs="Times New Roman"/>
          <w:sz w:val="15"/>
          <w:szCs w:val="15"/>
          <w:shd w:val="clear" w:color="auto" w:fill="FFFFFF"/>
        </w:rPr>
        <w:t xml:space="preserve">. 基于栅格的新安江模型的构建和应用[J]. 河海大学学报(自然科学版), 2007, </w:t>
      </w:r>
      <w:r>
        <w:rPr>
          <w:rFonts w:cs="Times New Roman"/>
          <w:sz w:val="15"/>
          <w:szCs w:val="15"/>
          <w:shd w:val="clear" w:color="auto" w:fill="FFFFFF"/>
        </w:rPr>
        <w:t>35</w:t>
      </w:r>
      <w:r>
        <w:rPr>
          <w:rFonts w:hint="eastAsia" w:cs="Times New Roman"/>
          <w:sz w:val="15"/>
          <w:szCs w:val="15"/>
          <w:shd w:val="clear" w:color="auto" w:fill="FFFFFF"/>
        </w:rPr>
        <w:t>(2): 131-134.</w:t>
      </w:r>
      <w:r>
        <w:rPr>
          <w:rFonts w:cs="Times New Roman"/>
          <w:sz w:val="15"/>
          <w:szCs w:val="15"/>
          <w:shd w:val="clear" w:color="auto" w:fill="FFFFFF"/>
        </w:rPr>
        <w:br w:type="textWrapping"/>
      </w:r>
      <w:r>
        <w:rPr>
          <w:rFonts w:cs="Times New Roman"/>
          <w:sz w:val="15"/>
          <w:szCs w:val="15"/>
          <w:shd w:val="clear" w:color="auto" w:fill="FFFFFF"/>
        </w:rPr>
        <w:t xml:space="preserve">LI Z J, </w:t>
      </w:r>
      <w:r>
        <w:rPr>
          <w:rFonts w:cs="Times New Roman"/>
          <w:sz w:val="15"/>
          <w:szCs w:val="15"/>
          <w:shd w:val="clear" w:color="auto" w:fill="FFCCFF"/>
        </w:rPr>
        <w:t>YAO</w:t>
      </w:r>
      <w:r>
        <w:rPr>
          <w:rFonts w:cs="Times New Roman"/>
          <w:sz w:val="15"/>
          <w:szCs w:val="15"/>
          <w:shd w:val="clear" w:color="auto" w:fill="FFFFFF"/>
        </w:rPr>
        <w:t xml:space="preserve"> </w:t>
      </w:r>
      <w:r>
        <w:rPr>
          <w:rFonts w:cs="Times New Roman"/>
          <w:sz w:val="15"/>
          <w:szCs w:val="15"/>
          <w:shd w:val="clear" w:color="auto" w:fill="FFCCFF"/>
        </w:rPr>
        <w:t>C</w:t>
      </w:r>
      <w:r>
        <w:rPr>
          <w:rFonts w:cs="Times New Roman"/>
          <w:sz w:val="15"/>
          <w:szCs w:val="15"/>
          <w:shd w:val="clear" w:color="auto" w:fill="FFFFFF"/>
        </w:rPr>
        <w:t xml:space="preserve">, </w:t>
      </w:r>
      <w:r>
        <w:rPr>
          <w:rFonts w:cs="Times New Roman"/>
          <w:sz w:val="15"/>
          <w:szCs w:val="15"/>
          <w:shd w:val="clear" w:color="auto" w:fill="FFCCFF"/>
        </w:rPr>
        <w:t>WANG</w:t>
      </w:r>
      <w:r>
        <w:rPr>
          <w:rFonts w:cs="Times New Roman"/>
          <w:sz w:val="15"/>
          <w:szCs w:val="15"/>
          <w:shd w:val="clear" w:color="auto" w:fill="FFFFFF"/>
        </w:rPr>
        <w:t xml:space="preserve"> </w:t>
      </w:r>
      <w:r>
        <w:rPr>
          <w:rFonts w:cs="Times New Roman"/>
          <w:sz w:val="15"/>
          <w:szCs w:val="15"/>
          <w:shd w:val="clear" w:color="auto" w:fill="FFCCFF"/>
        </w:rPr>
        <w:t>Z</w:t>
      </w:r>
      <w:r>
        <w:rPr>
          <w:rFonts w:cs="Times New Roman"/>
          <w:sz w:val="15"/>
          <w:szCs w:val="15"/>
          <w:shd w:val="clear" w:color="auto" w:fill="FFFFFF"/>
        </w:rPr>
        <w:t xml:space="preserve"> </w:t>
      </w:r>
      <w:r>
        <w:rPr>
          <w:rFonts w:cs="Times New Roman"/>
          <w:sz w:val="15"/>
          <w:szCs w:val="15"/>
          <w:shd w:val="clear" w:color="auto" w:fill="FFCCFF"/>
        </w:rPr>
        <w:t>H</w:t>
      </w:r>
      <w:r>
        <w:rPr>
          <w:rFonts w:cs="Times New Roman"/>
          <w:sz w:val="15"/>
          <w:szCs w:val="15"/>
          <w:shd w:val="clear" w:color="auto" w:fill="FFFFFF"/>
        </w:rPr>
        <w:t xml:space="preserve">. </w:t>
      </w:r>
      <w:r>
        <w:rPr>
          <w:rFonts w:cs="Times New Roman"/>
          <w:sz w:val="15"/>
          <w:szCs w:val="15"/>
          <w:shd w:val="clear" w:color="auto" w:fill="FFCCFF"/>
        </w:rPr>
        <w:t>Development</w:t>
      </w:r>
      <w:r>
        <w:rPr>
          <w:rFonts w:cs="Times New Roman"/>
          <w:sz w:val="15"/>
          <w:szCs w:val="15"/>
          <w:shd w:val="clear" w:color="auto" w:fill="FFFFFF"/>
        </w:rPr>
        <w:t xml:space="preserve"> and application of grid-based Xinanjiang model[J]. Journal of Hohai University (Natural Sciences), 2007, 35(2): 131-134.</w:t>
      </w:r>
      <w:r>
        <w:rPr>
          <w:rFonts w:cs="Times New Roman"/>
          <w:sz w:val="15"/>
          <w:szCs w:val="15"/>
        </w:rPr>
        <w:t xml:space="preserve"> </w:t>
      </w:r>
    </w:p>
    <w:p w14:paraId="518658C0">
      <w:pPr>
        <w:pStyle w:val="8"/>
        <w:ind w:left="300" w:hanging="300" w:hangingChars="200"/>
        <w:rPr>
          <w:rFonts w:cs="Times New Roman"/>
          <w:sz w:val="15"/>
          <w:szCs w:val="15"/>
        </w:rPr>
      </w:pPr>
      <w:r>
        <w:rPr>
          <w:rFonts w:hint="eastAsia" w:cs="Times New Roman"/>
          <w:sz w:val="15"/>
          <w:szCs w:val="15"/>
          <w:shd w:val="clear" w:color="auto" w:fill="FFFFFF"/>
        </w:rPr>
        <w:t xml:space="preserve">[19] 张卫, 张展羽, 杨洁. SCS模型在红壤土坡地降雨径流量估算中的应用[J]. 水土保持通报, 2014, </w:t>
      </w:r>
      <w:r>
        <w:rPr>
          <w:rFonts w:cs="Times New Roman"/>
          <w:sz w:val="15"/>
          <w:szCs w:val="15"/>
          <w:shd w:val="clear" w:color="auto" w:fill="FFFFFF"/>
        </w:rPr>
        <w:t>34(5): 124-127</w:t>
      </w:r>
      <w:r>
        <w:rPr>
          <w:rFonts w:hint="eastAsia" w:cs="Times New Roman"/>
          <w:sz w:val="15"/>
          <w:szCs w:val="15"/>
          <w:shd w:val="clear" w:color="auto" w:fill="FFFFFF"/>
        </w:rPr>
        <w:t>.</w:t>
      </w:r>
      <w:r>
        <w:rPr>
          <w:rFonts w:cs="Times New Roman"/>
          <w:sz w:val="15"/>
          <w:szCs w:val="15"/>
          <w:shd w:val="clear" w:color="auto" w:fill="FFFFFF"/>
        </w:rPr>
        <w:br w:type="textWrapping"/>
      </w:r>
      <w:r>
        <w:rPr>
          <w:rFonts w:hint="eastAsia" w:cs="Times New Roman"/>
          <w:sz w:val="15"/>
          <w:szCs w:val="15"/>
          <w:shd w:val="clear" w:color="auto" w:fill="FFFFFF"/>
        </w:rPr>
        <w:t xml:space="preserve">ZHANG W, ZHANG Z Y, YANG J. Application of SCS model </w:t>
      </w:r>
      <w:r>
        <w:rPr>
          <w:rFonts w:cs="Times New Roman"/>
          <w:sz w:val="15"/>
          <w:szCs w:val="15"/>
          <w:shd w:val="clear" w:color="auto" w:fill="FFCCFF"/>
        </w:rPr>
        <w:t>to</w:t>
      </w:r>
      <w:r>
        <w:rPr>
          <w:rFonts w:cs="Times New Roman"/>
          <w:sz w:val="15"/>
          <w:szCs w:val="15"/>
          <w:shd w:val="clear" w:color="auto" w:fill="FFFFFF"/>
        </w:rPr>
        <w:t xml:space="preserve"> </w:t>
      </w:r>
      <w:r>
        <w:rPr>
          <w:rFonts w:cs="Times New Roman"/>
          <w:sz w:val="15"/>
          <w:szCs w:val="15"/>
          <w:shd w:val="clear" w:color="auto" w:fill="FFCCFF"/>
        </w:rPr>
        <w:t>estimate</w:t>
      </w:r>
      <w:r>
        <w:rPr>
          <w:rFonts w:cs="Times New Roman"/>
          <w:sz w:val="15"/>
          <w:szCs w:val="15"/>
          <w:shd w:val="clear" w:color="auto" w:fill="FFFFFF"/>
        </w:rPr>
        <w:t xml:space="preserve"> </w:t>
      </w:r>
      <w:r>
        <w:rPr>
          <w:rFonts w:cs="Times New Roman"/>
          <w:sz w:val="15"/>
          <w:szCs w:val="15"/>
          <w:shd w:val="clear" w:color="auto" w:fill="FFCCFF"/>
        </w:rPr>
        <w:t xml:space="preserve">volume of </w:t>
      </w:r>
      <w:r>
        <w:rPr>
          <w:rFonts w:cs="Times New Roman"/>
          <w:sz w:val="15"/>
          <w:szCs w:val="15"/>
          <w:shd w:val="clear" w:color="auto" w:fill="FFFFFF"/>
        </w:rPr>
        <w:t xml:space="preserve">runoff </w:t>
      </w:r>
      <w:r>
        <w:rPr>
          <w:rFonts w:cs="Times New Roman"/>
          <w:sz w:val="15"/>
          <w:szCs w:val="15"/>
          <w:shd w:val="clear" w:color="auto" w:fill="FFCCFF"/>
        </w:rPr>
        <w:t>in</w:t>
      </w:r>
      <w:r>
        <w:rPr>
          <w:rFonts w:cs="Times New Roman"/>
          <w:sz w:val="15"/>
          <w:szCs w:val="15"/>
          <w:shd w:val="clear" w:color="auto" w:fill="FFFFFF"/>
        </w:rPr>
        <w:t xml:space="preserve"> </w:t>
      </w:r>
      <w:r>
        <w:rPr>
          <w:rFonts w:cs="Times New Roman"/>
          <w:sz w:val="15"/>
          <w:szCs w:val="15"/>
          <w:shd w:val="clear" w:color="auto" w:fill="FFCCFF"/>
        </w:rPr>
        <w:t>slope</w:t>
      </w:r>
      <w:r>
        <w:rPr>
          <w:rFonts w:cs="Times New Roman"/>
          <w:sz w:val="15"/>
          <w:szCs w:val="15"/>
          <w:shd w:val="clear" w:color="auto" w:fill="FFFFFF"/>
        </w:rPr>
        <w:t xml:space="preserve"> </w:t>
      </w:r>
      <w:r>
        <w:rPr>
          <w:rFonts w:cs="Times New Roman"/>
          <w:sz w:val="15"/>
          <w:szCs w:val="15"/>
          <w:shd w:val="clear" w:color="auto" w:fill="FFCCFF"/>
        </w:rPr>
        <w:t>field</w:t>
      </w:r>
      <w:r>
        <w:rPr>
          <w:rFonts w:cs="Times New Roman"/>
          <w:sz w:val="15"/>
          <w:szCs w:val="15"/>
          <w:shd w:val="clear" w:color="auto" w:fill="FFFFFF"/>
        </w:rPr>
        <w:t xml:space="preserve"> </w:t>
      </w:r>
      <w:r>
        <w:rPr>
          <w:rFonts w:cs="Times New Roman"/>
          <w:sz w:val="15"/>
          <w:szCs w:val="15"/>
          <w:shd w:val="clear" w:color="auto" w:fill="FFCCFF"/>
        </w:rPr>
        <w:t>of</w:t>
      </w:r>
      <w:r>
        <w:rPr>
          <w:rFonts w:cs="Times New Roman"/>
          <w:sz w:val="15"/>
          <w:szCs w:val="15"/>
          <w:shd w:val="clear" w:color="auto" w:fill="FFFFFF"/>
        </w:rPr>
        <w:t xml:space="preserve"> </w:t>
      </w:r>
      <w:r>
        <w:rPr>
          <w:rFonts w:cs="Times New Roman"/>
          <w:sz w:val="15"/>
          <w:szCs w:val="15"/>
          <w:shd w:val="clear" w:color="auto" w:fill="FFCCFF"/>
        </w:rPr>
        <w:t>red soil</w:t>
      </w:r>
      <w:r>
        <w:rPr>
          <w:rFonts w:cs="Times New Roman"/>
          <w:sz w:val="15"/>
          <w:szCs w:val="15"/>
          <w:shd w:val="clear" w:color="auto" w:fill="FFFFFF"/>
        </w:rPr>
        <w:t>[J]. Bulletin of Soil and Water Conservation, 2014, 34(5): 124-127.</w:t>
      </w:r>
      <w:r>
        <w:rPr>
          <w:rFonts w:cs="Times New Roman"/>
          <w:sz w:val="15"/>
          <w:szCs w:val="15"/>
        </w:rPr>
        <w:t xml:space="preserve"> </w:t>
      </w:r>
    </w:p>
    <w:p w14:paraId="3040AFB7">
      <w:pPr>
        <w:pStyle w:val="8"/>
        <w:ind w:left="300" w:hanging="300" w:hangingChars="200"/>
        <w:rPr>
          <w:sz w:val="15"/>
          <w:szCs w:val="15"/>
        </w:rPr>
      </w:pPr>
      <w:r>
        <w:rPr>
          <w:sz w:val="15"/>
          <w:szCs w:val="15"/>
          <w:shd w:val="clear" w:color="auto" w:fill="FFFFFF"/>
        </w:rPr>
        <w:t xml:space="preserve">[20] </w:t>
      </w:r>
      <w:r>
        <w:rPr>
          <w:sz w:val="15"/>
          <w:szCs w:val="15"/>
          <w:shd w:val="clear" w:color="auto" w:fill="FFCCFF"/>
        </w:rPr>
        <w:t>LEE</w:t>
      </w:r>
      <w:r>
        <w:rPr>
          <w:sz w:val="15"/>
          <w:szCs w:val="15"/>
          <w:shd w:val="clear" w:color="auto" w:fill="FFFFFF"/>
        </w:rPr>
        <w:t xml:space="preserve"> </w:t>
      </w:r>
      <w:r>
        <w:rPr>
          <w:sz w:val="15"/>
          <w:szCs w:val="15"/>
          <w:shd w:val="clear" w:color="auto" w:fill="FFCCFF"/>
        </w:rPr>
        <w:t>S</w:t>
      </w:r>
      <w:r>
        <w:rPr>
          <w:sz w:val="15"/>
          <w:szCs w:val="15"/>
          <w:shd w:val="clear" w:color="auto" w:fill="FFFFFF"/>
        </w:rPr>
        <w:t xml:space="preserve">, </w:t>
      </w:r>
      <w:r>
        <w:rPr>
          <w:sz w:val="15"/>
          <w:szCs w:val="15"/>
          <w:shd w:val="clear" w:color="auto" w:fill="FFCCFF"/>
        </w:rPr>
        <w:t>PARK</w:t>
      </w:r>
      <w:r>
        <w:rPr>
          <w:sz w:val="15"/>
          <w:szCs w:val="15"/>
          <w:shd w:val="clear" w:color="auto" w:fill="FFFFFF"/>
        </w:rPr>
        <w:t xml:space="preserve"> </w:t>
      </w:r>
      <w:r>
        <w:rPr>
          <w:sz w:val="15"/>
          <w:szCs w:val="15"/>
          <w:shd w:val="clear" w:color="auto" w:fill="FFCCFF"/>
        </w:rPr>
        <w:t>Y S</w:t>
      </w:r>
      <w:r>
        <w:rPr>
          <w:sz w:val="15"/>
          <w:szCs w:val="15"/>
          <w:shd w:val="clear" w:color="auto" w:fill="FFFFFF"/>
        </w:rPr>
        <w:t xml:space="preserve">, </w:t>
      </w:r>
      <w:r>
        <w:rPr>
          <w:sz w:val="15"/>
          <w:szCs w:val="15"/>
          <w:shd w:val="clear" w:color="auto" w:fill="FFCCFF"/>
        </w:rPr>
        <w:t>KIM</w:t>
      </w:r>
      <w:r>
        <w:rPr>
          <w:sz w:val="15"/>
          <w:szCs w:val="15"/>
          <w:shd w:val="clear" w:color="auto" w:fill="FFFFFF"/>
        </w:rPr>
        <w:t xml:space="preserve"> </w:t>
      </w:r>
      <w:r>
        <w:rPr>
          <w:sz w:val="15"/>
          <w:szCs w:val="15"/>
          <w:shd w:val="clear" w:color="auto" w:fill="FFCCFF"/>
        </w:rPr>
        <w:t>J</w:t>
      </w:r>
      <w:r>
        <w:rPr>
          <w:sz w:val="15"/>
          <w:szCs w:val="15"/>
          <w:shd w:val="clear" w:color="auto" w:fill="FFFFFF"/>
        </w:rPr>
        <w:t xml:space="preserve">, et al. Enhanced hydrological simulations in paddy-dominated watersheds using the hourly SWAT-MODFLOW-PADDY modeling approach[J]. </w:t>
      </w:r>
      <w:r>
        <w:rPr>
          <w:sz w:val="15"/>
          <w:szCs w:val="15"/>
          <w:shd w:val="clear" w:color="auto" w:fill="FFCCFF"/>
        </w:rPr>
        <w:t>Sustainability</w:t>
      </w:r>
      <w:r>
        <w:rPr>
          <w:sz w:val="15"/>
          <w:szCs w:val="15"/>
          <w:shd w:val="clear" w:color="auto" w:fill="FFFFFF"/>
        </w:rPr>
        <w:t xml:space="preserve">, 2023, </w:t>
      </w:r>
      <w:r>
        <w:rPr>
          <w:sz w:val="15"/>
          <w:szCs w:val="15"/>
          <w:shd w:val="clear" w:color="auto" w:fill="FFCCFF"/>
        </w:rPr>
        <w:t>15(11)</w:t>
      </w:r>
      <w:r>
        <w:rPr>
          <w:sz w:val="15"/>
          <w:szCs w:val="15"/>
          <w:shd w:val="clear" w:color="auto" w:fill="FFFFFF"/>
        </w:rPr>
        <w:t xml:space="preserve">: </w:t>
      </w:r>
      <w:r>
        <w:rPr>
          <w:rFonts w:hint="eastAsia"/>
          <w:sz w:val="15"/>
          <w:szCs w:val="15"/>
          <w:shd w:val="clear" w:color="auto" w:fill="FFCCFF"/>
        </w:rPr>
        <w:t>2</w:t>
      </w:r>
      <w:r>
        <w:rPr>
          <w:sz w:val="15"/>
          <w:szCs w:val="15"/>
          <w:shd w:val="clear" w:color="auto" w:fill="FFCCFF"/>
        </w:rPr>
        <w:t>1</w:t>
      </w:r>
      <w:r>
        <w:rPr>
          <w:sz w:val="15"/>
          <w:szCs w:val="15"/>
          <w:shd w:val="clear" w:color="auto" w:fill="FFFFFF"/>
        </w:rPr>
        <w:t>.</w:t>
      </w:r>
      <w:r>
        <w:rPr>
          <w:sz w:val="15"/>
          <w:szCs w:val="15"/>
        </w:rPr>
        <w:t xml:space="preserve"> </w:t>
      </w:r>
    </w:p>
    <w:p w14:paraId="362BE07F">
      <w:pPr>
        <w:pStyle w:val="8"/>
        <w:ind w:left="300" w:hanging="300" w:hangingChars="200"/>
        <w:rPr>
          <w:rFonts w:cs="Times New Roman"/>
          <w:sz w:val="15"/>
          <w:szCs w:val="15"/>
        </w:rPr>
      </w:pPr>
      <w:r>
        <w:rPr>
          <w:rFonts w:hint="eastAsia" w:cs="Times New Roman"/>
          <w:sz w:val="15"/>
          <w:szCs w:val="15"/>
          <w:shd w:val="clear" w:color="auto" w:fill="FFFFFF"/>
        </w:rPr>
        <w:t xml:space="preserve">[21] 曹永强, 王菲, 齐静威, 等. HEC-HMS水文模型在辽宁省细河流域的应用研究[J]. 中国防汛抗旱, 2020, </w:t>
      </w:r>
      <w:r>
        <w:rPr>
          <w:rFonts w:cs="Times New Roman"/>
          <w:sz w:val="15"/>
          <w:szCs w:val="15"/>
          <w:shd w:val="clear" w:color="auto" w:fill="FFFFFF"/>
        </w:rPr>
        <w:t xml:space="preserve">30(7): </w:t>
      </w:r>
      <w:r>
        <w:rPr>
          <w:rFonts w:cs="Times New Roman"/>
          <w:sz w:val="15"/>
          <w:szCs w:val="15"/>
          <w:shd w:val="clear" w:color="auto" w:fill="FFCCFF"/>
        </w:rPr>
        <w:t>22</w:t>
      </w:r>
      <w:r>
        <w:rPr>
          <w:rFonts w:cs="Times New Roman"/>
          <w:sz w:val="15"/>
          <w:szCs w:val="15"/>
          <w:shd w:val="clear" w:color="auto" w:fill="FFFFFF"/>
        </w:rPr>
        <w:t>-</w:t>
      </w:r>
      <w:r>
        <w:rPr>
          <w:rFonts w:cs="Times New Roman"/>
          <w:sz w:val="15"/>
          <w:szCs w:val="15"/>
          <w:shd w:val="clear" w:color="auto" w:fill="FFCCFF"/>
        </w:rPr>
        <w:t>29</w:t>
      </w:r>
      <w:r>
        <w:rPr>
          <w:rFonts w:hint="eastAsia" w:cs="Times New Roman"/>
          <w:sz w:val="15"/>
          <w:szCs w:val="15"/>
          <w:shd w:val="clear" w:color="auto" w:fill="FFFFFF"/>
        </w:rPr>
        <w:t>.</w:t>
      </w:r>
      <w:r>
        <w:rPr>
          <w:rFonts w:cs="Times New Roman"/>
          <w:sz w:val="15"/>
          <w:szCs w:val="15"/>
          <w:shd w:val="clear" w:color="auto" w:fill="FFFFFF"/>
        </w:rPr>
        <w:br w:type="textWrapping"/>
      </w:r>
      <w:r>
        <w:rPr>
          <w:rFonts w:hint="eastAsia" w:cs="Times New Roman"/>
          <w:sz w:val="15"/>
          <w:szCs w:val="15"/>
          <w:shd w:val="clear" w:color="auto" w:fill="FFFFFF"/>
        </w:rPr>
        <w:t xml:space="preserve">CAO Y Q, WANG F, QI J W, et al. Application of HEC-HMS hydrological model in Xihe River </w:t>
      </w:r>
      <w:r>
        <w:rPr>
          <w:rFonts w:cs="Times New Roman"/>
          <w:sz w:val="15"/>
          <w:szCs w:val="15"/>
          <w:shd w:val="clear" w:color="auto" w:fill="D9D9D9"/>
        </w:rPr>
        <w:t>B</w:t>
      </w:r>
      <w:r>
        <w:rPr>
          <w:rFonts w:cs="Times New Roman"/>
          <w:sz w:val="15"/>
          <w:szCs w:val="15"/>
          <w:shd w:val="clear" w:color="auto" w:fill="FFFFFF"/>
        </w:rPr>
        <w:t xml:space="preserve">asin of Liaoning Province[J]. China Flood &amp; Drought Management, 2020, 30(7): </w:t>
      </w:r>
      <w:r>
        <w:rPr>
          <w:rFonts w:cs="Times New Roman"/>
          <w:sz w:val="15"/>
          <w:szCs w:val="15"/>
          <w:shd w:val="clear" w:color="auto" w:fill="FFCCFF"/>
        </w:rPr>
        <w:t>22</w:t>
      </w:r>
      <w:r>
        <w:rPr>
          <w:rFonts w:cs="Times New Roman"/>
          <w:sz w:val="15"/>
          <w:szCs w:val="15"/>
          <w:shd w:val="clear" w:color="auto" w:fill="FFFFFF"/>
        </w:rPr>
        <w:t>-</w:t>
      </w:r>
      <w:r>
        <w:rPr>
          <w:rFonts w:cs="Times New Roman"/>
          <w:sz w:val="15"/>
          <w:szCs w:val="15"/>
          <w:shd w:val="clear" w:color="auto" w:fill="FFCCFF"/>
        </w:rPr>
        <w:t>29</w:t>
      </w:r>
      <w:r>
        <w:rPr>
          <w:rFonts w:cs="Times New Roman"/>
          <w:sz w:val="15"/>
          <w:szCs w:val="15"/>
          <w:shd w:val="clear" w:color="auto" w:fill="FFFFFF"/>
        </w:rPr>
        <w:t>.</w:t>
      </w:r>
      <w:r>
        <w:rPr>
          <w:rFonts w:cs="Times New Roman"/>
          <w:sz w:val="15"/>
          <w:szCs w:val="15"/>
        </w:rPr>
        <w:t xml:space="preserve"> </w:t>
      </w:r>
    </w:p>
    <w:p w14:paraId="1069CFD0">
      <w:pPr>
        <w:pStyle w:val="8"/>
        <w:ind w:left="300" w:hanging="300" w:hangingChars="200"/>
        <w:rPr>
          <w:rFonts w:cs="Times New Roman"/>
          <w:sz w:val="15"/>
          <w:szCs w:val="15"/>
        </w:rPr>
      </w:pPr>
      <w:r>
        <w:rPr>
          <w:rFonts w:hint="eastAsia" w:cs="Times New Roman"/>
          <w:sz w:val="15"/>
          <w:szCs w:val="15"/>
          <w:shd w:val="clear" w:color="auto" w:fill="FFFFFF"/>
        </w:rPr>
        <w:t>[22] 包红军, 王莉莉, 李致家. 基于Muskingum-Cunge法的河道水位流量预报研究[J]. 水力发电, 2018, 44(8): 8-12.</w:t>
      </w:r>
      <w:r>
        <w:rPr>
          <w:rFonts w:cs="Times New Roman"/>
          <w:sz w:val="15"/>
          <w:szCs w:val="15"/>
          <w:shd w:val="clear" w:color="auto" w:fill="FFFFFF"/>
        </w:rPr>
        <w:br w:type="textWrapping"/>
      </w:r>
      <w:r>
        <w:rPr>
          <w:rFonts w:cs="Times New Roman"/>
          <w:sz w:val="15"/>
          <w:szCs w:val="15"/>
          <w:shd w:val="clear" w:color="auto" w:fill="FFFFFF"/>
        </w:rPr>
        <w:t>BAO H J, WANG L L, LI Z J. Channel water level and discharge forecasting based on Muskingum-</w:t>
      </w:r>
      <w:r>
        <w:rPr>
          <w:rFonts w:cs="Times New Roman"/>
          <w:sz w:val="15"/>
          <w:szCs w:val="15"/>
          <w:shd w:val="clear" w:color="auto" w:fill="D9D9D9"/>
        </w:rPr>
        <w:t>c</w:t>
      </w:r>
      <w:r>
        <w:rPr>
          <w:rFonts w:cs="Times New Roman"/>
          <w:sz w:val="15"/>
          <w:szCs w:val="15"/>
          <w:shd w:val="clear" w:color="auto" w:fill="FFFFFF"/>
        </w:rPr>
        <w:t>unge method[J]. Water Power, 2018, 44(8): 8-12.</w:t>
      </w:r>
      <w:r>
        <w:rPr>
          <w:rFonts w:cs="Times New Roman"/>
          <w:sz w:val="15"/>
          <w:szCs w:val="15"/>
        </w:rPr>
        <w:t xml:space="preserve"> </w:t>
      </w:r>
    </w:p>
    <w:p w14:paraId="41D00585">
      <w:pPr>
        <w:pStyle w:val="8"/>
        <w:ind w:left="300" w:hanging="300" w:hangingChars="200"/>
        <w:rPr>
          <w:rFonts w:hint="eastAsia" w:cs="Times New Roman"/>
          <w:sz w:val="15"/>
          <w:szCs w:val="15"/>
          <w:shd w:val="clear" w:color="auto" w:fill="FFFFFF"/>
        </w:rPr>
      </w:pPr>
      <w:r>
        <w:rPr>
          <w:rFonts w:hint="eastAsia" w:cs="Times New Roman"/>
          <w:sz w:val="15"/>
          <w:szCs w:val="15"/>
          <w:shd w:val="clear" w:color="auto" w:fill="FFFFFF"/>
        </w:rPr>
        <w:t>[23] 钟向宁, 周</w:t>
      </w:r>
      <w:r>
        <w:rPr>
          <w:rFonts w:hint="eastAsia" w:cs="Times New Roman"/>
          <w:color w:val="000000"/>
          <w:sz w:val="15"/>
          <w:szCs w:val="15"/>
          <w:shd w:val="clear" w:color="auto" w:fill="FFFFFF"/>
        </w:rPr>
        <w:t>买春</w:t>
      </w:r>
      <w:r>
        <w:rPr>
          <w:rFonts w:hint="eastAsia" w:cs="Times New Roman"/>
          <w:sz w:val="15"/>
          <w:szCs w:val="15"/>
          <w:shd w:val="clear" w:color="auto" w:fill="FFFFFF"/>
        </w:rPr>
        <w:t>, 刘远, 等. 河宽模型对Muskingum-Cunge方法汇流的影响[J]. 水力发电学报, 2014, 33(5): 28-35.</w:t>
      </w:r>
      <w:r>
        <w:rPr>
          <w:rFonts w:cs="Times New Roman"/>
          <w:sz w:val="15"/>
          <w:szCs w:val="15"/>
          <w:shd w:val="clear" w:color="auto" w:fill="FFFFFF"/>
        </w:rPr>
        <w:br w:type="textWrapping"/>
      </w:r>
      <w:r>
        <w:rPr>
          <w:rFonts w:hint="eastAsia" w:cs="Times New Roman"/>
          <w:sz w:val="15"/>
          <w:szCs w:val="15"/>
          <w:shd w:val="clear" w:color="auto" w:fill="FFFFFF"/>
        </w:rPr>
        <w:t>ZHONG X N, ZHOU M C, LIU Y, et al. Routing affects of channel width models on Muskingum-Cunge method[J]. Journal of Hydroelectric Engineering, 2014, 33(5): 28-35.</w:t>
      </w:r>
    </w:p>
    <w:p w14:paraId="50934F7A">
      <w:pPr>
        <w:pStyle w:val="8"/>
        <w:ind w:left="300" w:hanging="300" w:hangingChars="200"/>
        <w:rPr>
          <w:rFonts w:cs="Times New Roman"/>
          <w:sz w:val="15"/>
          <w:szCs w:val="15"/>
        </w:rPr>
      </w:pPr>
      <w:r>
        <w:rPr>
          <w:rFonts w:hint="eastAsia" w:cs="Times New Roman"/>
          <w:sz w:val="15"/>
          <w:szCs w:val="15"/>
        </w:rPr>
        <w:t>[24] FAN L, WEI T X, ZHANG X M, et al. Spatiotemporal variation of land use in counties of the upper reaches of the Beiluo River and its impact on runoff and sediment[J]. Journal of Beijing Forestry University, 2024, 46(2): 95-104.</w:t>
      </w:r>
    </w:p>
    <w:p w14:paraId="4E5F0751">
      <w:pPr>
        <w:pStyle w:val="8"/>
        <w:ind w:left="300" w:hanging="300" w:hangingChars="200"/>
        <w:rPr>
          <w:rFonts w:hint="eastAsia" w:cs="Times New Roman"/>
          <w:sz w:val="15"/>
          <w:szCs w:val="15"/>
          <w:shd w:val="clear" w:color="auto" w:fill="FFFFFF"/>
        </w:rPr>
      </w:pPr>
      <w:r>
        <w:rPr>
          <w:rFonts w:hint="eastAsia" w:cs="Times New Roman"/>
          <w:sz w:val="15"/>
          <w:szCs w:val="15"/>
          <w:shd w:val="clear" w:color="auto" w:fill="FFFFFF"/>
        </w:rPr>
        <w:t xml:space="preserve">[25] </w:t>
      </w:r>
      <w:r>
        <w:rPr>
          <w:rFonts w:hint="eastAsia" w:cs="Times New Roman"/>
          <w:sz w:val="15"/>
          <w:szCs w:val="15"/>
          <w:shd w:val="clear" w:color="auto" w:fill="FFCCFF"/>
        </w:rPr>
        <w:t>中华人民共和国</w:t>
      </w:r>
      <w:r>
        <w:rPr>
          <w:rFonts w:hint="eastAsia" w:cs="Times New Roman"/>
          <w:sz w:val="15"/>
          <w:szCs w:val="15"/>
          <w:shd w:val="clear" w:color="auto" w:fill="FFFFFF"/>
        </w:rPr>
        <w:t>住房和城乡建设部. 建筑给水排水设计规范: GB 50015</w:t>
      </w:r>
      <w:r>
        <w:rPr>
          <w:rFonts w:cs="Times New Roman"/>
          <w:sz w:val="15"/>
          <w:szCs w:val="15"/>
          <w:shd w:val="clear" w:color="auto" w:fill="FFFFFF"/>
          <w:lang w:val="en"/>
        </w:rPr>
        <w:t>—</w:t>
      </w:r>
      <w:r>
        <w:rPr>
          <w:rFonts w:cs="Times New Roman"/>
          <w:sz w:val="15"/>
          <w:szCs w:val="15"/>
          <w:shd w:val="clear" w:color="auto" w:fill="FFCCFF"/>
          <w:lang w:val="en"/>
        </w:rPr>
        <w:t>20</w:t>
      </w:r>
      <w:r>
        <w:rPr>
          <w:rFonts w:hint="eastAsia" w:cs="Times New Roman"/>
          <w:sz w:val="15"/>
          <w:szCs w:val="15"/>
          <w:shd w:val="clear" w:color="auto" w:fill="FFCCFF"/>
        </w:rPr>
        <w:t>19</w:t>
      </w:r>
      <w:r>
        <w:rPr>
          <w:rFonts w:hint="eastAsia" w:cs="Times New Roman"/>
          <w:sz w:val="15"/>
          <w:szCs w:val="15"/>
          <w:shd w:val="clear" w:color="auto" w:fill="FFFFFF"/>
        </w:rPr>
        <w:t>[S]. 北京:中国</w:t>
      </w:r>
      <w:r>
        <w:rPr>
          <w:rFonts w:hint="eastAsia" w:cs="Times New Roman"/>
          <w:sz w:val="15"/>
          <w:szCs w:val="15"/>
          <w:shd w:val="clear" w:color="auto" w:fill="FFCCFF"/>
        </w:rPr>
        <w:t>建筑工业</w:t>
      </w:r>
      <w:r>
        <w:rPr>
          <w:rFonts w:hint="eastAsia" w:cs="Times New Roman"/>
          <w:sz w:val="15"/>
          <w:szCs w:val="15"/>
          <w:shd w:val="clear" w:color="auto" w:fill="FFFFFF"/>
        </w:rPr>
        <w:t xml:space="preserve">出版社, </w:t>
      </w:r>
      <w:r>
        <w:rPr>
          <w:rFonts w:hint="eastAsia" w:cs="Times New Roman"/>
          <w:sz w:val="15"/>
          <w:szCs w:val="15"/>
          <w:shd w:val="clear" w:color="auto" w:fill="FFCCFF"/>
        </w:rPr>
        <w:t>2019</w:t>
      </w:r>
      <w:r>
        <w:rPr>
          <w:rFonts w:hint="eastAsia" w:cs="Times New Roman"/>
          <w:sz w:val="15"/>
          <w:szCs w:val="15"/>
          <w:shd w:val="clear" w:color="auto" w:fill="FFFFFF"/>
        </w:rPr>
        <w:t>.</w:t>
      </w:r>
      <w:r>
        <w:rPr>
          <w:rFonts w:cs="Times New Roman"/>
          <w:sz w:val="15"/>
          <w:szCs w:val="15"/>
          <w:shd w:val="clear" w:color="auto" w:fill="FFFFFF"/>
        </w:rPr>
        <w:br w:type="textWrapping"/>
      </w:r>
      <w:r>
        <w:rPr>
          <w:rFonts w:hint="eastAsia" w:cs="Times New Roman"/>
          <w:sz w:val="15"/>
          <w:szCs w:val="15"/>
          <w:shd w:val="clear" w:color="auto" w:fill="FFFFFF"/>
        </w:rPr>
        <w:t xml:space="preserve">Ministry of Housing and Urban-Rural Development of the People’s Republic of China. Code for Design of </w:t>
      </w:r>
      <w:r>
        <w:rPr>
          <w:rFonts w:hint="eastAsia" w:cs="Times New Roman"/>
          <w:sz w:val="15"/>
          <w:szCs w:val="15"/>
          <w:shd w:val="clear" w:color="auto" w:fill="FFCCFF"/>
        </w:rPr>
        <w:t>Building</w:t>
      </w:r>
      <w:r>
        <w:rPr>
          <w:rFonts w:hint="eastAsia" w:cs="Times New Roman"/>
          <w:sz w:val="15"/>
          <w:szCs w:val="15"/>
          <w:shd w:val="clear" w:color="auto" w:fill="FFFFFF"/>
        </w:rPr>
        <w:t xml:space="preserve"> Water Supply and Drainage: GB 50015</w:t>
      </w:r>
      <w:r>
        <w:rPr>
          <w:rFonts w:cs="Times New Roman"/>
          <w:sz w:val="15"/>
          <w:szCs w:val="15"/>
          <w:shd w:val="clear" w:color="auto" w:fill="FFFFFF"/>
          <w:lang w:val="en"/>
        </w:rPr>
        <w:t>—</w:t>
      </w:r>
      <w:r>
        <w:rPr>
          <w:rFonts w:cs="Times New Roman"/>
          <w:sz w:val="15"/>
          <w:szCs w:val="15"/>
          <w:shd w:val="clear" w:color="auto" w:fill="FFCCFF"/>
          <w:lang w:val="en"/>
        </w:rPr>
        <w:t>20</w:t>
      </w:r>
      <w:r>
        <w:rPr>
          <w:rFonts w:hint="eastAsia" w:cs="Times New Roman"/>
          <w:sz w:val="15"/>
          <w:szCs w:val="15"/>
          <w:shd w:val="clear" w:color="auto" w:fill="FFCCFF"/>
        </w:rPr>
        <w:t>19</w:t>
      </w:r>
      <w:r>
        <w:rPr>
          <w:rFonts w:hint="eastAsia" w:cs="Times New Roman"/>
          <w:sz w:val="15"/>
          <w:szCs w:val="15"/>
          <w:shd w:val="clear" w:color="auto" w:fill="FFFFFF"/>
        </w:rPr>
        <w:t xml:space="preserve">[S]. Beijing: China </w:t>
      </w:r>
      <w:r>
        <w:rPr>
          <w:rFonts w:hint="eastAsia" w:cs="Times New Roman"/>
          <w:sz w:val="15"/>
          <w:szCs w:val="15"/>
          <w:shd w:val="clear" w:color="auto" w:fill="FFCCFF"/>
        </w:rPr>
        <w:t>Architecture &amp; Building</w:t>
      </w:r>
      <w:r>
        <w:rPr>
          <w:rFonts w:hint="eastAsia" w:cs="Times New Roman"/>
          <w:sz w:val="15"/>
          <w:szCs w:val="15"/>
          <w:shd w:val="clear" w:color="auto" w:fill="FFFFFF"/>
        </w:rPr>
        <w:t xml:space="preserve"> Press, </w:t>
      </w:r>
      <w:r>
        <w:rPr>
          <w:rFonts w:hint="eastAsia" w:cs="Times New Roman"/>
          <w:sz w:val="15"/>
          <w:szCs w:val="15"/>
          <w:shd w:val="clear" w:color="auto" w:fill="FFCCFF"/>
        </w:rPr>
        <w:t>2019</w:t>
      </w:r>
      <w:r>
        <w:rPr>
          <w:rFonts w:hint="eastAsia" w:cs="Times New Roman"/>
          <w:sz w:val="15"/>
          <w:szCs w:val="15"/>
          <w:shd w:val="clear" w:color="auto" w:fill="FFFFFF"/>
        </w:rPr>
        <w:t>.</w:t>
      </w:r>
    </w:p>
    <w:p w14:paraId="11F9AE12">
      <w:pPr>
        <w:pStyle w:val="8"/>
        <w:ind w:left="300" w:hanging="300" w:hangingChars="200"/>
        <w:rPr>
          <w:rFonts w:cs="Times New Roman"/>
          <w:sz w:val="15"/>
          <w:szCs w:val="15"/>
        </w:rPr>
      </w:pPr>
      <w:r>
        <w:rPr>
          <w:rFonts w:cs="Times New Roman"/>
          <w:sz w:val="15"/>
          <w:szCs w:val="15"/>
          <w:shd w:val="clear" w:color="auto" w:fill="FFFFFF"/>
        </w:rPr>
        <w:t xml:space="preserve">[26] </w:t>
      </w:r>
      <w:r>
        <w:rPr>
          <w:rFonts w:hint="eastAsia" w:cs="Times New Roman"/>
          <w:sz w:val="15"/>
          <w:szCs w:val="15"/>
          <w:shd w:val="clear" w:color="auto" w:fill="FFCCFF"/>
        </w:rPr>
        <w:t>国家质量监督检验检疫总局,</w:t>
      </w:r>
      <w:r>
        <w:rPr>
          <w:rFonts w:hint="eastAsia" w:cs="Times New Roman"/>
          <w:sz w:val="15"/>
          <w:szCs w:val="15"/>
          <w:shd w:val="clear" w:color="auto" w:fill="FFFFFF"/>
        </w:rPr>
        <w:t xml:space="preserve"> 中国国家标准化管理委员会. 土地利用现状分类: GB/T 21010—2017[S]. 北京: 中国标准出版社, 2017.</w:t>
      </w:r>
      <w:r>
        <w:rPr>
          <w:rFonts w:cs="Times New Roman"/>
          <w:sz w:val="15"/>
          <w:szCs w:val="15"/>
          <w:shd w:val="clear" w:color="auto" w:fill="FFFFFF"/>
        </w:rPr>
        <w:br w:type="textWrapping"/>
      </w:r>
      <w:r>
        <w:rPr>
          <w:rFonts w:cs="Times New Roman"/>
          <w:sz w:val="15"/>
          <w:szCs w:val="15"/>
          <w:shd w:val="clear" w:color="auto" w:fill="FFCCFF"/>
        </w:rPr>
        <w:t xml:space="preserve">General Administration of Quality Supervision, Inspection and Quarantine of the People’s Republic of China, </w:t>
      </w:r>
      <w:r>
        <w:rPr>
          <w:rFonts w:cs="Times New Roman"/>
          <w:sz w:val="15"/>
          <w:szCs w:val="15"/>
          <w:shd w:val="clear" w:color="auto" w:fill="FFFFFF"/>
        </w:rPr>
        <w:t>Standardization Administration of the People’s Republic of China. Current Land Use Classification: GB/T 21010—2017[S]. Beijing: Standards Press of China, 2017.</w:t>
      </w:r>
      <w:r>
        <w:rPr>
          <w:rFonts w:cs="Times New Roman"/>
          <w:sz w:val="15"/>
          <w:szCs w:val="15"/>
        </w:rPr>
        <w:t xml:space="preserve"> </w:t>
      </w:r>
    </w:p>
    <w:p w14:paraId="34C3CB82">
      <w:pPr>
        <w:pStyle w:val="8"/>
        <w:ind w:left="300" w:hanging="300" w:hangingChars="200"/>
        <w:rPr>
          <w:rFonts w:hint="eastAsia" w:cs="Times New Roman"/>
          <w:sz w:val="15"/>
          <w:szCs w:val="15"/>
          <w:shd w:val="clear" w:color="auto" w:fill="FFFFFF"/>
        </w:rPr>
      </w:pPr>
      <w:r>
        <w:rPr>
          <w:rFonts w:hint="eastAsia" w:cs="Times New Roman"/>
          <w:sz w:val="15"/>
          <w:szCs w:val="15"/>
          <w:shd w:val="clear" w:color="auto" w:fill="FFFFFF"/>
        </w:rPr>
        <w:t>[27] PAIK K, JEONG M, KIM J, et al. On the nonlinearity of the catchment instantaneous response function: Insights obtained from dynamic wave modeling[J]. Journal of Hydrology, 2024, 637: 131413.</w:t>
      </w:r>
    </w:p>
    <w:p w14:paraId="7BDE3B60">
      <w:pPr>
        <w:pStyle w:val="8"/>
        <w:ind w:left="300" w:hanging="300" w:hangingChars="200"/>
        <w:rPr>
          <w:rFonts w:hint="eastAsia" w:cs="Times New Roman"/>
          <w:sz w:val="15"/>
          <w:szCs w:val="15"/>
          <w:shd w:val="clear" w:color="auto" w:fill="FFFFFF"/>
        </w:rPr>
      </w:pPr>
      <w:r>
        <w:rPr>
          <w:rFonts w:hint="eastAsia" w:cs="Times New Roman"/>
          <w:sz w:val="15"/>
          <w:szCs w:val="15"/>
          <w:shd w:val="clear" w:color="auto" w:fill="FFFFFF"/>
        </w:rPr>
        <w:t>[28] 薛丽. 抚顺地区前期</w:t>
      </w:r>
      <w:r>
        <w:rPr>
          <w:rFonts w:hint="eastAsia" w:cs="Times New Roman"/>
          <w:color w:val="000000"/>
          <w:sz w:val="15"/>
          <w:szCs w:val="15"/>
          <w:shd w:val="clear" w:color="auto" w:fill="FFFFFF"/>
        </w:rPr>
        <w:t>影响雨量</w:t>
      </w:r>
      <w:r>
        <w:rPr>
          <w:rFonts w:hint="eastAsia" w:cs="Times New Roman"/>
          <w:sz w:val="15"/>
          <w:szCs w:val="15"/>
          <w:shd w:val="clear" w:color="auto" w:fill="FFFFFF"/>
        </w:rPr>
        <w:t>Pa值的特性浅析[J]. 地下水, 2017, 39(2): 103-105</w:t>
      </w:r>
      <w:r>
        <w:rPr>
          <w:rFonts w:hint="eastAsia" w:cs="Times New Roman"/>
          <w:sz w:val="15"/>
          <w:szCs w:val="15"/>
          <w:shd w:val="clear" w:color="auto" w:fill="FFCCFF"/>
        </w:rPr>
        <w:t>.</w:t>
      </w:r>
      <w:r>
        <w:rPr>
          <w:rFonts w:cs="Times New Roman"/>
          <w:sz w:val="15"/>
          <w:szCs w:val="15"/>
          <w:shd w:val="clear" w:color="auto" w:fill="FFCCFF"/>
        </w:rPr>
        <w:br w:type="textWrapping"/>
      </w:r>
      <w:r>
        <w:rPr>
          <w:rFonts w:hint="eastAsia" w:cs="Times New Roman"/>
          <w:sz w:val="15"/>
          <w:szCs w:val="15"/>
          <w:shd w:val="clear" w:color="auto" w:fill="FFCCFF"/>
        </w:rPr>
        <w:t>XUE L. Characteristics analysis of antecedent precipitation index (Pa) in Fushun region[J]. Ground Water, 2017, 39(2): 103-105</w:t>
      </w:r>
      <w:r>
        <w:rPr>
          <w:rFonts w:hint="eastAsia" w:cs="Times New Roman"/>
          <w:sz w:val="15"/>
          <w:szCs w:val="15"/>
          <w:shd w:val="clear" w:color="auto" w:fill="FFFFFF"/>
        </w:rPr>
        <w:t>.</w:t>
      </w:r>
    </w:p>
    <w:p w14:paraId="6D980C1C">
      <w:pPr>
        <w:pStyle w:val="8"/>
        <w:ind w:left="300" w:hanging="300" w:hangingChars="200"/>
        <w:rPr>
          <w:rFonts w:cs="Times New Roman"/>
          <w:sz w:val="15"/>
          <w:szCs w:val="15"/>
        </w:rPr>
      </w:pPr>
      <w:r>
        <w:rPr>
          <w:rFonts w:hint="eastAsia" w:cs="Times New Roman"/>
          <w:sz w:val="15"/>
          <w:szCs w:val="15"/>
          <w:shd w:val="clear" w:color="auto" w:fill="FFFFFF"/>
        </w:rPr>
        <w:t>[29] 侯宇, 阚光远, 梁珂. 优选伸缩比SCE-UA算法与新安江模型参数率定研究[J]. 中国水利水电科学研究院学报(中英文), 2024</w:t>
      </w:r>
      <w:r>
        <w:rPr>
          <w:rFonts w:cs="Times New Roman"/>
          <w:sz w:val="15"/>
          <w:szCs w:val="15"/>
          <w:shd w:val="clear" w:color="auto" w:fill="FFCCFF"/>
        </w:rPr>
        <w:t>, 22</w:t>
      </w:r>
      <w:r>
        <w:rPr>
          <w:rFonts w:cs="Times New Roman"/>
          <w:sz w:val="15"/>
          <w:szCs w:val="15"/>
          <w:shd w:val="clear" w:color="auto" w:fill="FFFFFF"/>
        </w:rPr>
        <w:t>(2): 210-218</w:t>
      </w:r>
      <w:r>
        <w:rPr>
          <w:rFonts w:hint="eastAsia" w:cs="Times New Roman"/>
          <w:sz w:val="15"/>
          <w:szCs w:val="15"/>
          <w:shd w:val="clear" w:color="auto" w:fill="FFFFFF"/>
        </w:rPr>
        <w:t>.</w:t>
      </w:r>
      <w:r>
        <w:rPr>
          <w:rFonts w:cs="Times New Roman"/>
          <w:sz w:val="15"/>
          <w:szCs w:val="15"/>
          <w:shd w:val="clear" w:color="auto" w:fill="FFFFFF"/>
        </w:rPr>
        <w:br w:type="textWrapping"/>
      </w:r>
      <w:r>
        <w:rPr>
          <w:rFonts w:hint="eastAsia" w:cs="Times New Roman"/>
          <w:sz w:val="15"/>
          <w:szCs w:val="15"/>
          <w:shd w:val="clear" w:color="auto" w:fill="FFFFFF"/>
        </w:rPr>
        <w:t xml:space="preserve">HOU Y, KAN G Y, LIANG K. </w:t>
      </w:r>
      <w:r>
        <w:rPr>
          <w:rFonts w:cs="Times New Roman"/>
          <w:sz w:val="15"/>
          <w:szCs w:val="15"/>
          <w:shd w:val="clear" w:color="auto" w:fill="FFCCFF"/>
        </w:rPr>
        <w:t>Study</w:t>
      </w:r>
      <w:r>
        <w:rPr>
          <w:rFonts w:cs="Times New Roman"/>
          <w:sz w:val="15"/>
          <w:szCs w:val="15"/>
          <w:shd w:val="clear" w:color="auto" w:fill="FFFFFF"/>
        </w:rPr>
        <w:t xml:space="preserve"> on the </w:t>
      </w:r>
      <w:r>
        <w:rPr>
          <w:rFonts w:cs="Times New Roman"/>
          <w:sz w:val="15"/>
          <w:szCs w:val="15"/>
          <w:shd w:val="clear" w:color="auto" w:fill="FFCCFF"/>
        </w:rPr>
        <w:t>SCE-UA</w:t>
      </w:r>
      <w:r>
        <w:rPr>
          <w:rFonts w:cs="Times New Roman"/>
          <w:sz w:val="15"/>
          <w:szCs w:val="15"/>
          <w:shd w:val="clear" w:color="auto" w:fill="FFFFFF"/>
        </w:rPr>
        <w:t xml:space="preserve"> algorithm</w:t>
      </w:r>
      <w:r>
        <w:rPr>
          <w:rFonts w:cs="Times New Roman"/>
          <w:sz w:val="15"/>
          <w:szCs w:val="15"/>
          <w:shd w:val="clear" w:color="auto" w:fill="FFCCFF"/>
        </w:rPr>
        <w:t xml:space="preserve"> combined</w:t>
      </w:r>
      <w:r>
        <w:rPr>
          <w:rFonts w:cs="Times New Roman"/>
          <w:sz w:val="15"/>
          <w:szCs w:val="15"/>
          <w:shd w:val="clear" w:color="auto" w:fill="FFFFFF"/>
        </w:rPr>
        <w:t xml:space="preserve"> with optimal </w:t>
      </w:r>
      <w:r>
        <w:rPr>
          <w:rFonts w:cs="Times New Roman"/>
          <w:sz w:val="15"/>
          <w:szCs w:val="15"/>
          <w:shd w:val="clear" w:color="auto" w:fill="FFCCFF"/>
        </w:rPr>
        <w:t>scaling</w:t>
      </w:r>
      <w:r>
        <w:rPr>
          <w:rFonts w:cs="Times New Roman"/>
          <w:sz w:val="15"/>
          <w:szCs w:val="15"/>
          <w:shd w:val="clear" w:color="auto" w:fill="FFFFFF"/>
        </w:rPr>
        <w:t xml:space="preserve"> factor and parameter calibration of </w:t>
      </w:r>
      <w:r>
        <w:rPr>
          <w:rFonts w:cs="Times New Roman"/>
          <w:sz w:val="15"/>
          <w:szCs w:val="15"/>
          <w:shd w:val="clear" w:color="auto" w:fill="FFCCFF"/>
        </w:rPr>
        <w:t>the Xinanjiang</w:t>
      </w:r>
      <w:r>
        <w:rPr>
          <w:rFonts w:cs="Times New Roman"/>
          <w:sz w:val="15"/>
          <w:szCs w:val="15"/>
          <w:shd w:val="clear" w:color="auto" w:fill="FFFFFF"/>
        </w:rPr>
        <w:t xml:space="preserve"> model[J]. Journal of China Institute of Water Resources and Hydropower Research, 2024</w:t>
      </w:r>
      <w:r>
        <w:rPr>
          <w:rFonts w:cs="Times New Roman"/>
          <w:sz w:val="15"/>
          <w:szCs w:val="15"/>
          <w:shd w:val="clear" w:color="auto" w:fill="FFCCFF"/>
        </w:rPr>
        <w:t>, 22</w:t>
      </w:r>
      <w:r>
        <w:rPr>
          <w:rFonts w:cs="Times New Roman"/>
          <w:sz w:val="15"/>
          <w:szCs w:val="15"/>
          <w:shd w:val="clear" w:color="auto" w:fill="FFFFFF"/>
        </w:rPr>
        <w:t>(2): 210-218.</w:t>
      </w:r>
      <w:r>
        <w:rPr>
          <w:rFonts w:cs="Times New Roman"/>
          <w:sz w:val="15"/>
          <w:szCs w:val="15"/>
        </w:rPr>
        <w:t xml:space="preserve"> </w:t>
      </w:r>
    </w:p>
    <w:p w14:paraId="1383E756">
      <w:pPr>
        <w:pStyle w:val="8"/>
        <w:ind w:left="300" w:hanging="300" w:hangingChars="200"/>
        <w:rPr>
          <w:rFonts w:hint="eastAsia" w:cs="Times New Roman"/>
          <w:sz w:val="15"/>
          <w:szCs w:val="15"/>
          <w:shd w:val="clear" w:color="auto" w:fill="FFFFFF"/>
        </w:rPr>
      </w:pPr>
      <w:r>
        <w:rPr>
          <w:rFonts w:hint="eastAsia" w:cs="Times New Roman"/>
          <w:sz w:val="15"/>
          <w:szCs w:val="15"/>
          <w:shd w:val="clear" w:color="auto" w:fill="FFFFFF"/>
        </w:rPr>
        <w:t xml:space="preserve">[30] </w:t>
      </w:r>
      <w:r>
        <w:rPr>
          <w:rFonts w:cs="Times New Roman"/>
          <w:sz w:val="15"/>
          <w:szCs w:val="15"/>
          <w:shd w:val="clear" w:color="auto" w:fill="FFFFFF"/>
        </w:rPr>
        <w:t>SHU Z</w:t>
      </w:r>
      <w:r>
        <w:rPr>
          <w:rFonts w:cs="Times New Roman"/>
          <w:sz w:val="15"/>
          <w:szCs w:val="15"/>
          <w:shd w:val="clear" w:color="auto" w:fill="FFCCFF"/>
        </w:rPr>
        <w:t xml:space="preserve"> K</w:t>
      </w:r>
      <w:r>
        <w:rPr>
          <w:rFonts w:cs="Times New Roman"/>
          <w:sz w:val="15"/>
          <w:szCs w:val="15"/>
          <w:shd w:val="clear" w:color="auto" w:fill="FFFFFF"/>
        </w:rPr>
        <w:t>, JIN J</w:t>
      </w:r>
      <w:r>
        <w:rPr>
          <w:rFonts w:cs="Times New Roman"/>
          <w:sz w:val="15"/>
          <w:szCs w:val="15"/>
          <w:shd w:val="clear" w:color="auto" w:fill="FFCCFF"/>
        </w:rPr>
        <w:t xml:space="preserve"> L</w:t>
      </w:r>
      <w:r>
        <w:rPr>
          <w:rFonts w:hint="eastAsia" w:cs="Times New Roman"/>
          <w:sz w:val="15"/>
          <w:szCs w:val="15"/>
          <w:shd w:val="clear" w:color="auto" w:fill="FFFFFF"/>
        </w:rPr>
        <w:t>, MENZEL L, et al. Evaluating the effectiveness of different surface resistance schemes coupled with Penman-Monteith model for estimating actual evapotranspiration</w:t>
      </w:r>
      <w:r>
        <w:rPr>
          <w:rFonts w:hint="eastAsia" w:cs="Times New Roman"/>
          <w:sz w:val="15"/>
          <w:szCs w:val="15"/>
          <w:shd w:val="clear" w:color="auto" w:fill="FFCCFF"/>
        </w:rPr>
        <w:t>：</w:t>
      </w:r>
      <w:r>
        <w:rPr>
          <w:rFonts w:hint="eastAsia" w:cs="Times New Roman"/>
          <w:sz w:val="15"/>
          <w:szCs w:val="15"/>
          <w:shd w:val="clear" w:color="auto" w:fill="FFFFFF"/>
        </w:rPr>
        <w:t>A global comparative study[J]. Journal of Hydrology, 2025, 656: 133047.</w:t>
      </w:r>
    </w:p>
    <w:p w14:paraId="6552084E">
      <w:pPr>
        <w:pStyle w:val="8"/>
        <w:ind w:left="300" w:hanging="300" w:hangingChars="200"/>
        <w:rPr>
          <w:rFonts w:hint="eastAsia" w:cs="Times New Roman"/>
          <w:sz w:val="15"/>
          <w:szCs w:val="15"/>
          <w:shd w:val="clear" w:color="auto" w:fill="FFFFFF"/>
        </w:rPr>
      </w:pPr>
      <w:r>
        <w:rPr>
          <w:rFonts w:hint="eastAsia" w:cs="Times New Roman"/>
          <w:sz w:val="15"/>
          <w:szCs w:val="15"/>
          <w:shd w:val="clear" w:color="auto" w:fill="FFFFFF"/>
        </w:rPr>
        <w:t>[31]</w:t>
      </w:r>
      <w:r>
        <w:rPr>
          <w:rFonts w:cs="Times New Roman"/>
          <w:sz w:val="15"/>
          <w:szCs w:val="15"/>
          <w:shd w:val="clear" w:color="auto" w:fill="FFFFFF"/>
        </w:rPr>
        <w:t xml:space="preserve"> </w:t>
      </w:r>
      <w:r>
        <w:rPr>
          <w:rFonts w:hint="eastAsia" w:cs="Times New Roman"/>
          <w:sz w:val="15"/>
          <w:szCs w:val="15"/>
          <w:shd w:val="clear" w:color="auto" w:fill="FFFFFF"/>
        </w:rPr>
        <w:t>赵长森，李毛毛，段震，等. 缺管网资料地区城市源汇雨洪模型构建及应用[J]. 南水北调与水利科技（中英文），2025，23（4）：942-955.▇ZHAO C S，LI M M，DUAN Z，et al. Construction and application of Eco-Rudim model for urban source-sink storm flood in areas with</w:t>
      </w:r>
      <w:r>
        <w:rPr>
          <w:rFonts w:cs="Times New Roman"/>
          <w:sz w:val="15"/>
          <w:szCs w:val="15"/>
          <w:shd w:val="clear" w:color="auto" w:fill="FFFFFF"/>
        </w:rPr>
        <w:t xml:space="preserve"> </w:t>
      </w:r>
      <w:r>
        <w:rPr>
          <w:rFonts w:hint="eastAsia" w:cs="Times New Roman"/>
          <w:sz w:val="15"/>
          <w:szCs w:val="15"/>
          <w:shd w:val="clear" w:color="auto" w:fill="FFFFFF"/>
        </w:rPr>
        <w:t>pipeline data-deficient area[J]. South-to-North Water Transfers and Water Science &amp; Technology，2025，23（4）：942-955.</w:t>
      </w:r>
    </w:p>
    <w:p w14:paraId="2D06574E">
      <w:pPr>
        <w:pStyle w:val="8"/>
        <w:ind w:left="300" w:hanging="300" w:hangingChars="200"/>
        <w:rPr>
          <w:rFonts w:cs="Times New Roman"/>
          <w:sz w:val="15"/>
          <w:szCs w:val="15"/>
        </w:rPr>
      </w:pPr>
      <w:r>
        <w:rPr>
          <w:rFonts w:hint="eastAsia" w:cs="Times New Roman"/>
          <w:sz w:val="15"/>
          <w:szCs w:val="15"/>
        </w:rPr>
        <w:t>[32]</w:t>
      </w:r>
      <w:r>
        <w:rPr>
          <w:rFonts w:hint="eastAsia" w:cs="Times New Roman"/>
          <w:sz w:val="15"/>
          <w:szCs w:val="15"/>
        </w:rPr>
        <w:tab/>
      </w:r>
      <w:r>
        <w:rPr>
          <w:rFonts w:hint="eastAsia" w:cs="Times New Roman"/>
          <w:sz w:val="15"/>
          <w:szCs w:val="15"/>
        </w:rPr>
        <w:t>XU Q, ZHANG K, YE M, et al. Research on surface water resources in Taihu Lake Basin based on zonal coupling model[J]. Water Resources and Hydropower Engineering, 2025, 56(9): 30-41.</w:t>
      </w:r>
    </w:p>
    <w:p w14:paraId="16AC4458">
      <w:pPr>
        <w:pStyle w:val="8"/>
        <w:ind w:left="300" w:hanging="300" w:hangingChars="200"/>
        <w:rPr>
          <w:rFonts w:cs="Times New Roman"/>
          <w:sz w:val="15"/>
          <w:szCs w:val="15"/>
        </w:rPr>
      </w:pPr>
      <w:r>
        <w:rPr>
          <w:rFonts w:hint="eastAsia" w:cs="Times New Roman"/>
          <w:sz w:val="15"/>
          <w:szCs w:val="15"/>
          <w:shd w:val="clear" w:color="auto" w:fill="FFFFFF"/>
        </w:rPr>
        <w:t>[33] 王晟, 赵炫越, 张乃明, 等. 半分布式水文模型在长江流域模拟效果及影响因素分析[J]. 水资源与水工程学报, 2024, 35(4): 1-11.</w:t>
      </w:r>
      <w:r>
        <w:rPr>
          <w:rFonts w:cs="Times New Roman"/>
          <w:sz w:val="15"/>
          <w:szCs w:val="15"/>
          <w:shd w:val="clear" w:color="auto" w:fill="FFFFFF"/>
        </w:rPr>
        <w:br w:type="textWrapping"/>
      </w:r>
      <w:r>
        <w:rPr>
          <w:rFonts w:cs="Times New Roman"/>
          <w:sz w:val="15"/>
          <w:szCs w:val="15"/>
          <w:shd w:val="clear" w:color="auto" w:fill="FFFFFF"/>
        </w:rPr>
        <w:t xml:space="preserve">WANG S, ZHAO X Y, ZHANG N M, et al. Simulation performance </w:t>
      </w:r>
      <w:r>
        <w:rPr>
          <w:rFonts w:cs="Times New Roman"/>
          <w:sz w:val="15"/>
          <w:szCs w:val="15"/>
          <w:shd w:val="clear" w:color="auto" w:fill="FFCCFF"/>
        </w:rPr>
        <w:t>and</w:t>
      </w:r>
      <w:r>
        <w:rPr>
          <w:rFonts w:cs="Times New Roman"/>
          <w:sz w:val="15"/>
          <w:szCs w:val="15"/>
          <w:shd w:val="clear" w:color="auto" w:fill="FFFFFF"/>
        </w:rPr>
        <w:t xml:space="preserve"> </w:t>
      </w:r>
      <w:r>
        <w:rPr>
          <w:rFonts w:cs="Times New Roman"/>
          <w:sz w:val="15"/>
          <w:szCs w:val="15"/>
          <w:shd w:val="clear" w:color="auto" w:fill="FFCCFF"/>
        </w:rPr>
        <w:t>influencing</w:t>
      </w:r>
      <w:r>
        <w:rPr>
          <w:rFonts w:cs="Times New Roman"/>
          <w:sz w:val="15"/>
          <w:szCs w:val="15"/>
          <w:shd w:val="clear" w:color="auto" w:fill="FFFFFF"/>
        </w:rPr>
        <w:t xml:space="preserve"> </w:t>
      </w:r>
      <w:r>
        <w:rPr>
          <w:rFonts w:cs="Times New Roman"/>
          <w:sz w:val="15"/>
          <w:szCs w:val="15"/>
          <w:shd w:val="clear" w:color="auto" w:fill="FFCCFF"/>
        </w:rPr>
        <w:t>factors of HBV</w:t>
      </w:r>
      <w:r>
        <w:rPr>
          <w:rFonts w:cs="Times New Roman"/>
          <w:sz w:val="15"/>
          <w:szCs w:val="15"/>
          <w:shd w:val="clear" w:color="auto" w:fill="FFFFFF"/>
        </w:rPr>
        <w:t xml:space="preserve"> model in</w:t>
      </w:r>
      <w:r>
        <w:rPr>
          <w:rFonts w:cs="Times New Roman"/>
          <w:sz w:val="15"/>
          <w:szCs w:val="15"/>
          <w:shd w:val="clear" w:color="auto" w:fill="FFCCFF"/>
        </w:rPr>
        <w:t xml:space="preserve"> the</w:t>
      </w:r>
      <w:r>
        <w:rPr>
          <w:rFonts w:cs="Times New Roman"/>
          <w:sz w:val="15"/>
          <w:szCs w:val="15"/>
          <w:shd w:val="clear" w:color="auto" w:fill="FFFFFF"/>
        </w:rPr>
        <w:t xml:space="preserve"> Yangtze River Basin[J]. Journal of Water Resources and Water Engineering, 2024, 35(4): 1-11.</w:t>
      </w:r>
      <w:r>
        <w:rPr>
          <w:rFonts w:cs="Times New Roman"/>
          <w:sz w:val="15"/>
          <w:szCs w:val="15"/>
        </w:rPr>
        <w:t xml:space="preserve"> </w:t>
      </w:r>
    </w:p>
    <w:p w14:paraId="2BCD8ABC">
      <w:pPr>
        <w:pStyle w:val="8"/>
        <w:ind w:left="300" w:hanging="300" w:hangingChars="200"/>
        <w:rPr>
          <w:rFonts w:cs="Times New Roman"/>
          <w:sz w:val="15"/>
          <w:szCs w:val="15"/>
        </w:rPr>
      </w:pPr>
      <w:r>
        <w:rPr>
          <w:rFonts w:cs="Times New Roman"/>
          <w:sz w:val="15"/>
          <w:szCs w:val="15"/>
          <w:shd w:val="clear" w:color="auto" w:fill="FFFFFF"/>
        </w:rPr>
        <w:t xml:space="preserve">[34] MENNE M J, DURRE I, VOSE R S, et al. An overview of the </w:t>
      </w:r>
      <w:r>
        <w:rPr>
          <w:rFonts w:cs="Times New Roman"/>
          <w:sz w:val="15"/>
          <w:szCs w:val="15"/>
          <w:shd w:val="clear" w:color="auto" w:fill="D9D9D9"/>
        </w:rPr>
        <w:t>g</w:t>
      </w:r>
      <w:r>
        <w:rPr>
          <w:rFonts w:cs="Times New Roman"/>
          <w:sz w:val="15"/>
          <w:szCs w:val="15"/>
          <w:shd w:val="clear" w:color="auto" w:fill="FFFFFF"/>
        </w:rPr>
        <w:t xml:space="preserve">lobal </w:t>
      </w:r>
      <w:r>
        <w:rPr>
          <w:rFonts w:cs="Times New Roman"/>
          <w:sz w:val="15"/>
          <w:szCs w:val="15"/>
          <w:shd w:val="clear" w:color="auto" w:fill="D9D9D9"/>
        </w:rPr>
        <w:t>h</w:t>
      </w:r>
      <w:r>
        <w:rPr>
          <w:rFonts w:cs="Times New Roman"/>
          <w:sz w:val="15"/>
          <w:szCs w:val="15"/>
          <w:shd w:val="clear" w:color="auto" w:fill="FFFFFF"/>
        </w:rPr>
        <w:t xml:space="preserve">istorical </w:t>
      </w:r>
      <w:r>
        <w:rPr>
          <w:rFonts w:cs="Times New Roman"/>
          <w:sz w:val="15"/>
          <w:szCs w:val="15"/>
          <w:shd w:val="clear" w:color="auto" w:fill="D9D9D9"/>
        </w:rPr>
        <w:t>c</w:t>
      </w:r>
      <w:r>
        <w:rPr>
          <w:rFonts w:cs="Times New Roman"/>
          <w:sz w:val="15"/>
          <w:szCs w:val="15"/>
          <w:shd w:val="clear" w:color="auto" w:fill="FFFFFF"/>
        </w:rPr>
        <w:t xml:space="preserve">limatology </w:t>
      </w:r>
      <w:r>
        <w:rPr>
          <w:rFonts w:cs="Times New Roman"/>
          <w:sz w:val="15"/>
          <w:szCs w:val="15"/>
          <w:shd w:val="clear" w:color="auto" w:fill="D9D9D9"/>
        </w:rPr>
        <w:t>n</w:t>
      </w:r>
      <w:r>
        <w:rPr>
          <w:rFonts w:cs="Times New Roman"/>
          <w:sz w:val="15"/>
          <w:szCs w:val="15"/>
          <w:shd w:val="clear" w:color="auto" w:fill="FFFFFF"/>
        </w:rPr>
        <w:t>etwork-</w:t>
      </w:r>
      <w:r>
        <w:rPr>
          <w:rFonts w:cs="Times New Roman"/>
          <w:sz w:val="15"/>
          <w:szCs w:val="15"/>
          <w:shd w:val="clear" w:color="auto" w:fill="D9D9D9"/>
        </w:rPr>
        <w:t>d</w:t>
      </w:r>
      <w:r>
        <w:rPr>
          <w:rFonts w:cs="Times New Roman"/>
          <w:sz w:val="15"/>
          <w:szCs w:val="15"/>
          <w:shd w:val="clear" w:color="auto" w:fill="FFFFFF"/>
        </w:rPr>
        <w:t>aily database[J]. Journal of Atmospheric and Oceanic Technology, 2012, 29(7): 897-910.</w:t>
      </w:r>
      <w:r>
        <w:rPr>
          <w:rFonts w:cs="Times New Roman"/>
          <w:sz w:val="15"/>
          <w:szCs w:val="15"/>
        </w:rPr>
        <w:t xml:space="preserve"> </w:t>
      </w:r>
    </w:p>
    <w:p w14:paraId="0BA5666B">
      <w:pPr>
        <w:pStyle w:val="8"/>
        <w:ind w:left="300" w:hanging="300" w:hangingChars="200"/>
        <w:rPr>
          <w:rFonts w:cs="Times New Roman"/>
          <w:sz w:val="15"/>
          <w:szCs w:val="15"/>
        </w:rPr>
      </w:pPr>
      <w:r>
        <w:rPr>
          <w:rFonts w:hint="eastAsia" w:cs="Times New Roman"/>
          <w:sz w:val="15"/>
          <w:szCs w:val="15"/>
        </w:rPr>
        <w:t>[35] International Federation of Red Cross and Red Crescent Societies. Cambodia: Floods Appeal No. 22/2000 Final Report[R]. Geneva: International Federation of Red Cross and Red Crescent Societies, 2002.</w:t>
      </w:r>
    </w:p>
    <w:p w14:paraId="12A37542">
      <w:pPr>
        <w:pStyle w:val="8"/>
        <w:ind w:left="300" w:hanging="300" w:hangingChars="200"/>
        <w:rPr>
          <w:rFonts w:cs="Times New Roman"/>
          <w:sz w:val="15"/>
          <w:szCs w:val="15"/>
        </w:rPr>
      </w:pPr>
      <w:r>
        <w:rPr>
          <w:rFonts w:hint="eastAsia" w:cs="Times New Roman"/>
          <w:sz w:val="15"/>
          <w:szCs w:val="15"/>
        </w:rPr>
        <w:t>[36] United Nations. UN agency begins emergency rice distribution to 150,000 hungry Cambodians[EB/OL]. (2005-04-18)</w:t>
      </w:r>
      <w:r>
        <w:rPr>
          <w:rFonts w:cs="Times New Roman"/>
          <w:sz w:val="15"/>
          <w:szCs w:val="15"/>
        </w:rPr>
        <w:t>[2026-01-20].</w:t>
      </w:r>
      <w:r>
        <w:rPr>
          <w:rFonts w:hint="eastAsia" w:cs="Times New Roman"/>
          <w:sz w:val="15"/>
          <w:szCs w:val="15"/>
        </w:rPr>
        <w:t xml:space="preserve"> </w:t>
      </w:r>
      <w:r>
        <w:rPr>
          <w:rFonts w:cs="Times New Roman"/>
          <w:sz w:val="15"/>
          <w:szCs w:val="15"/>
        </w:rPr>
        <w:t xml:space="preserve">https://news.un.org/en/story/2005/04/135262. </w:t>
      </w:r>
    </w:p>
    <w:p w14:paraId="696075B2">
      <w:pPr>
        <w:pStyle w:val="8"/>
        <w:ind w:left="300" w:hanging="300" w:hangingChars="200"/>
        <w:rPr>
          <w:rFonts w:hint="eastAsia" w:cs="Times New Roman"/>
          <w:sz w:val="15"/>
          <w:szCs w:val="15"/>
          <w:shd w:val="clear" w:color="auto" w:fill="FFCCFF"/>
        </w:rPr>
      </w:pPr>
      <w:r>
        <w:rPr>
          <w:rFonts w:hint="eastAsia" w:cs="Times New Roman"/>
          <w:sz w:val="15"/>
          <w:szCs w:val="15"/>
          <w:shd w:val="clear" w:color="auto" w:fill="FFFFFF"/>
        </w:rPr>
        <w:t>[37] AHEARN E A, HODGKINS G A. Estimating flood magnitude and frequency on streams and rivers in Connecticut[</w:t>
      </w:r>
      <w:r>
        <w:rPr>
          <w:rFonts w:hint="eastAsia" w:cs="Times New Roman"/>
          <w:sz w:val="15"/>
          <w:szCs w:val="15"/>
          <w:shd w:val="clear" w:color="auto" w:fill="FFCCFF"/>
        </w:rPr>
        <w:t>R</w:t>
      </w:r>
      <w:r>
        <w:rPr>
          <w:rFonts w:hint="eastAsia" w:cs="Times New Roman"/>
          <w:sz w:val="15"/>
          <w:szCs w:val="15"/>
          <w:shd w:val="clear" w:color="auto" w:fill="FFFFFF"/>
        </w:rPr>
        <w:t xml:space="preserve">]. </w:t>
      </w:r>
      <w:r>
        <w:rPr>
          <w:rFonts w:hint="eastAsia" w:cs="Times New Roman"/>
          <w:sz w:val="15"/>
          <w:szCs w:val="15"/>
          <w:shd w:val="clear" w:color="auto" w:fill="FFCCFF"/>
        </w:rPr>
        <w:t>Reston: U.S</w:t>
      </w:r>
      <w:r>
        <w:rPr>
          <w:rFonts w:hint="eastAsia" w:cs="Times New Roman"/>
          <w:sz w:val="15"/>
          <w:szCs w:val="15"/>
          <w:shd w:val="clear" w:color="auto" w:fill="FFFFFF"/>
        </w:rPr>
        <w:t>.</w:t>
      </w:r>
      <w:r>
        <w:rPr>
          <w:rFonts w:hint="eastAsia" w:cs="Times New Roman"/>
          <w:sz w:val="15"/>
          <w:szCs w:val="15"/>
          <w:shd w:val="clear" w:color="auto" w:fill="FFCCFF"/>
        </w:rPr>
        <w:t xml:space="preserve"> Geological Survey,</w:t>
      </w:r>
      <w:r>
        <w:rPr>
          <w:rFonts w:hint="eastAsia" w:cs="Times New Roman"/>
          <w:sz w:val="15"/>
          <w:szCs w:val="15"/>
          <w:shd w:val="clear" w:color="auto" w:fill="FFFFFF"/>
        </w:rPr>
        <w:t xml:space="preserve"> 2020</w:t>
      </w:r>
      <w:r>
        <w:rPr>
          <w:rFonts w:hint="eastAsia" w:cs="Times New Roman"/>
          <w:sz w:val="15"/>
          <w:szCs w:val="15"/>
          <w:shd w:val="clear" w:color="auto" w:fill="FFCCFF"/>
        </w:rPr>
        <w:t>.</w:t>
      </w:r>
    </w:p>
    <w:p w14:paraId="2A299486">
      <w:pPr>
        <w:pStyle w:val="8"/>
        <w:ind w:left="300" w:hanging="300" w:hangingChars="200"/>
        <w:rPr>
          <w:rFonts w:cs="Times New Roman"/>
          <w:sz w:val="15"/>
          <w:szCs w:val="15"/>
        </w:rPr>
      </w:pPr>
      <w:r>
        <w:rPr>
          <w:rFonts w:cs="Times New Roman"/>
          <w:sz w:val="15"/>
          <w:szCs w:val="15"/>
          <w:shd w:val="clear" w:color="auto" w:fill="FFFFFF"/>
        </w:rPr>
        <w:t xml:space="preserve">[38] DU Z R, YU L, </w:t>
      </w:r>
      <w:r>
        <w:rPr>
          <w:rFonts w:cs="Times New Roman"/>
          <w:sz w:val="15"/>
          <w:szCs w:val="15"/>
          <w:shd w:val="clear" w:color="auto" w:fill="FFCCFF"/>
        </w:rPr>
        <w:t>LI</w:t>
      </w:r>
      <w:r>
        <w:rPr>
          <w:rFonts w:cs="Times New Roman"/>
          <w:sz w:val="15"/>
          <w:szCs w:val="15"/>
          <w:shd w:val="clear" w:color="auto" w:fill="FFFFFF"/>
        </w:rPr>
        <w:t xml:space="preserve"> </w:t>
      </w:r>
      <w:r>
        <w:rPr>
          <w:rFonts w:cs="Times New Roman"/>
          <w:sz w:val="15"/>
          <w:szCs w:val="15"/>
          <w:shd w:val="clear" w:color="auto" w:fill="FFCCFF"/>
        </w:rPr>
        <w:t>X</w:t>
      </w:r>
      <w:r>
        <w:rPr>
          <w:rFonts w:cs="Times New Roman"/>
          <w:sz w:val="15"/>
          <w:szCs w:val="15"/>
          <w:shd w:val="clear" w:color="auto" w:fill="FFFFFF"/>
        </w:rPr>
        <w:t xml:space="preserve"> </w:t>
      </w:r>
      <w:r>
        <w:rPr>
          <w:rFonts w:cs="Times New Roman"/>
          <w:sz w:val="15"/>
          <w:szCs w:val="15"/>
          <w:shd w:val="clear" w:color="auto" w:fill="FFCCFF"/>
        </w:rPr>
        <w:t>Y</w:t>
      </w:r>
      <w:r>
        <w:rPr>
          <w:rFonts w:cs="Times New Roman"/>
          <w:sz w:val="15"/>
          <w:szCs w:val="15"/>
          <w:shd w:val="clear" w:color="auto" w:fill="FFFFFF"/>
        </w:rPr>
        <w:t xml:space="preserve">, et al. Integrating remote sensing temporal trajectory and survey statistics to update land use/land cover maps[J]. International Journal of </w:t>
      </w:r>
      <w:r>
        <w:rPr>
          <w:rFonts w:cs="Times New Roman"/>
          <w:sz w:val="15"/>
          <w:szCs w:val="15"/>
          <w:shd w:val="clear" w:color="auto" w:fill="FFCCFF"/>
        </w:rPr>
        <w:t>Digital</w:t>
      </w:r>
      <w:r>
        <w:rPr>
          <w:rFonts w:cs="Times New Roman"/>
          <w:sz w:val="15"/>
          <w:szCs w:val="15"/>
          <w:shd w:val="clear" w:color="auto" w:fill="FFFFFF"/>
        </w:rPr>
        <w:t xml:space="preserve"> Earth, 2023, </w:t>
      </w:r>
      <w:r>
        <w:rPr>
          <w:rFonts w:cs="Times New Roman"/>
          <w:sz w:val="15"/>
          <w:szCs w:val="15"/>
          <w:shd w:val="clear" w:color="auto" w:fill="FFCCFF"/>
        </w:rPr>
        <w:t>16(2)</w:t>
      </w:r>
      <w:r>
        <w:rPr>
          <w:rFonts w:cs="Times New Roman"/>
          <w:sz w:val="15"/>
          <w:szCs w:val="15"/>
          <w:shd w:val="clear" w:color="auto" w:fill="FFFFFF"/>
        </w:rPr>
        <w:t xml:space="preserve">: </w:t>
      </w:r>
      <w:r>
        <w:rPr>
          <w:rFonts w:cs="Times New Roman"/>
          <w:sz w:val="15"/>
          <w:szCs w:val="15"/>
          <w:shd w:val="clear" w:color="auto" w:fill="FFCCFF"/>
        </w:rPr>
        <w:t>4428-4445</w:t>
      </w:r>
      <w:r>
        <w:rPr>
          <w:rFonts w:cs="Times New Roman"/>
          <w:sz w:val="15"/>
          <w:szCs w:val="15"/>
          <w:shd w:val="clear" w:color="auto" w:fill="FFFFFF"/>
        </w:rPr>
        <w:t>.</w:t>
      </w:r>
      <w:r>
        <w:rPr>
          <w:rFonts w:cs="Times New Roman"/>
          <w:sz w:val="15"/>
          <w:szCs w:val="15"/>
        </w:rPr>
        <w:t xml:space="preserve"> </w:t>
      </w:r>
    </w:p>
    <w:p w14:paraId="33AC7966">
      <w:pPr>
        <w:pStyle w:val="8"/>
        <w:ind w:left="300" w:hanging="300" w:hangingChars="200"/>
        <w:rPr>
          <w:rFonts w:hint="eastAsia" w:cs="Times New Roman"/>
          <w:sz w:val="15"/>
          <w:szCs w:val="15"/>
          <w:shd w:val="clear" w:color="auto" w:fill="FFFFFF"/>
        </w:rPr>
      </w:pPr>
      <w:r>
        <w:rPr>
          <w:rFonts w:hint="eastAsia" w:cs="Times New Roman"/>
          <w:sz w:val="15"/>
          <w:szCs w:val="15"/>
          <w:shd w:val="clear" w:color="auto" w:fill="FFFFFF"/>
        </w:rPr>
        <w:t>[39] FENG S, TANAKA T, TACHIKAWA Y. Grid-based parameter regionalization of distributed hydrologic models based on geospatial dataset for flash flood predictions in heterogeneous catchments in Japan[J]. Hydrological Research Letters, 2024, 18(4): 95-101.</w:t>
      </w:r>
    </w:p>
    <w:p w14:paraId="22A9CB4F">
      <w:pPr>
        <w:pStyle w:val="8"/>
        <w:ind w:left="300" w:hanging="300" w:hangingChars="200"/>
        <w:rPr>
          <w:rFonts w:cs="Times New Roman"/>
          <w:sz w:val="15"/>
          <w:szCs w:val="15"/>
        </w:rPr>
      </w:pPr>
      <w:r>
        <w:rPr>
          <w:rFonts w:cs="Times New Roman"/>
          <w:sz w:val="15"/>
          <w:szCs w:val="15"/>
          <w:shd w:val="clear" w:color="auto" w:fill="FFFFFF"/>
        </w:rPr>
        <w:t xml:space="preserve">[40] </w:t>
      </w:r>
      <w:r>
        <w:rPr>
          <w:rFonts w:cs="Times New Roman"/>
          <w:sz w:val="15"/>
          <w:szCs w:val="15"/>
          <w:shd w:val="clear" w:color="auto" w:fill="FFCCFF"/>
        </w:rPr>
        <w:t>KATO</w:t>
      </w:r>
      <w:r>
        <w:rPr>
          <w:rFonts w:cs="Times New Roman"/>
          <w:sz w:val="15"/>
          <w:szCs w:val="15"/>
          <w:shd w:val="clear" w:color="auto" w:fill="FFFFFF"/>
        </w:rPr>
        <w:t xml:space="preserve"> </w:t>
      </w:r>
      <w:r>
        <w:rPr>
          <w:rFonts w:cs="Times New Roman"/>
          <w:sz w:val="15"/>
          <w:szCs w:val="15"/>
          <w:shd w:val="clear" w:color="auto" w:fill="FFCCFF"/>
        </w:rPr>
        <w:t>D</w:t>
      </w:r>
      <w:r>
        <w:rPr>
          <w:rFonts w:cs="Times New Roman"/>
          <w:sz w:val="15"/>
          <w:szCs w:val="15"/>
          <w:shd w:val="clear" w:color="auto" w:fill="FFFFFF"/>
        </w:rPr>
        <w:t xml:space="preserve">, </w:t>
      </w:r>
      <w:r>
        <w:rPr>
          <w:rFonts w:cs="Times New Roman"/>
          <w:sz w:val="15"/>
          <w:szCs w:val="15"/>
          <w:shd w:val="clear" w:color="auto" w:fill="FFCCFF"/>
        </w:rPr>
        <w:t>KATO</w:t>
      </w:r>
      <w:r>
        <w:rPr>
          <w:rFonts w:cs="Times New Roman"/>
          <w:sz w:val="15"/>
          <w:szCs w:val="15"/>
          <w:shd w:val="clear" w:color="auto" w:fill="FFFFFF"/>
        </w:rPr>
        <w:t xml:space="preserve"> </w:t>
      </w:r>
      <w:r>
        <w:rPr>
          <w:rFonts w:cs="Times New Roman"/>
          <w:sz w:val="15"/>
          <w:szCs w:val="15"/>
          <w:shd w:val="clear" w:color="auto" w:fill="FFCCFF"/>
        </w:rPr>
        <w:t>M</w:t>
      </w:r>
      <w:r>
        <w:rPr>
          <w:rFonts w:cs="Times New Roman"/>
          <w:sz w:val="15"/>
          <w:szCs w:val="15"/>
          <w:shd w:val="clear" w:color="auto" w:fill="FFFFFF"/>
        </w:rPr>
        <w:t xml:space="preserve">, </w:t>
      </w:r>
      <w:r>
        <w:rPr>
          <w:rFonts w:cs="Times New Roman"/>
          <w:sz w:val="15"/>
          <w:szCs w:val="15"/>
          <w:shd w:val="clear" w:color="auto" w:fill="FFCCFF"/>
        </w:rPr>
        <w:t>TANAKA</w:t>
      </w:r>
      <w:r>
        <w:rPr>
          <w:rFonts w:cs="Times New Roman"/>
          <w:sz w:val="15"/>
          <w:szCs w:val="15"/>
          <w:shd w:val="clear" w:color="auto" w:fill="FFFFFF"/>
        </w:rPr>
        <w:t xml:space="preserve"> </w:t>
      </w:r>
      <w:r>
        <w:rPr>
          <w:rFonts w:cs="Times New Roman"/>
          <w:sz w:val="15"/>
          <w:szCs w:val="15"/>
          <w:shd w:val="clear" w:color="auto" w:fill="FFCCFF"/>
        </w:rPr>
        <w:t>T, et al</w:t>
      </w:r>
      <w:r>
        <w:rPr>
          <w:rFonts w:cs="Times New Roman"/>
          <w:sz w:val="15"/>
          <w:szCs w:val="15"/>
          <w:shd w:val="clear" w:color="auto" w:fill="FFFFFF"/>
        </w:rPr>
        <w:t xml:space="preserve">. Parameter regionalization based on land-use types for a distributed rainfall-runoff model[J]. </w:t>
      </w:r>
      <w:r>
        <w:rPr>
          <w:rFonts w:cs="Times New Roman"/>
          <w:sz w:val="15"/>
          <w:szCs w:val="15"/>
          <w:shd w:val="clear" w:color="auto" w:fill="FFCCFF"/>
        </w:rPr>
        <w:t>Japanese</w:t>
      </w:r>
      <w:r>
        <w:rPr>
          <w:rFonts w:cs="Times New Roman"/>
          <w:sz w:val="15"/>
          <w:szCs w:val="15"/>
          <w:shd w:val="clear" w:color="auto" w:fill="FFFFFF"/>
        </w:rPr>
        <w:t xml:space="preserve"> </w:t>
      </w:r>
      <w:r>
        <w:rPr>
          <w:rFonts w:cs="Times New Roman"/>
          <w:sz w:val="15"/>
          <w:szCs w:val="15"/>
          <w:shd w:val="clear" w:color="auto" w:fill="FFCCFF"/>
        </w:rPr>
        <w:t>Journal</w:t>
      </w:r>
      <w:r>
        <w:rPr>
          <w:rFonts w:cs="Times New Roman"/>
          <w:sz w:val="15"/>
          <w:szCs w:val="15"/>
          <w:shd w:val="clear" w:color="auto" w:fill="FFFFFF"/>
        </w:rPr>
        <w:t xml:space="preserve"> of </w:t>
      </w:r>
      <w:r>
        <w:rPr>
          <w:rFonts w:cs="Times New Roman"/>
          <w:sz w:val="15"/>
          <w:szCs w:val="15"/>
          <w:shd w:val="clear" w:color="auto" w:fill="FFCCFF"/>
        </w:rPr>
        <w:t>JSCE</w:t>
      </w:r>
      <w:r>
        <w:rPr>
          <w:rFonts w:cs="Times New Roman"/>
          <w:sz w:val="15"/>
          <w:szCs w:val="15"/>
          <w:shd w:val="clear" w:color="auto" w:fill="FFFFFF"/>
        </w:rPr>
        <w:t xml:space="preserve">, 2024, 80(12): </w:t>
      </w:r>
      <w:r>
        <w:rPr>
          <w:rFonts w:cs="Times New Roman"/>
          <w:sz w:val="15"/>
          <w:szCs w:val="15"/>
          <w:shd w:val="clear" w:color="auto" w:fill="FFCCFF"/>
        </w:rPr>
        <w:t>68</w:t>
      </w:r>
      <w:r>
        <w:rPr>
          <w:rFonts w:cs="Times New Roman"/>
          <w:sz w:val="15"/>
          <w:szCs w:val="15"/>
          <w:shd w:val="clear" w:color="auto" w:fill="FFFFFF"/>
        </w:rPr>
        <w:t>.</w:t>
      </w:r>
      <w:r>
        <w:rPr>
          <w:rFonts w:cs="Times New Roman"/>
          <w:sz w:val="15"/>
          <w:szCs w:val="15"/>
        </w:rPr>
        <w:t xml:space="preserve"> </w:t>
      </w:r>
    </w:p>
    <w:p w14:paraId="28F5EEA5">
      <w:pPr>
        <w:pStyle w:val="8"/>
        <w:ind w:left="300" w:hanging="300" w:hangingChars="200"/>
        <w:rPr>
          <w:rFonts w:cs="Times New Roman"/>
          <w:sz w:val="15"/>
          <w:szCs w:val="15"/>
        </w:rPr>
      </w:pPr>
      <w:r>
        <w:rPr>
          <w:rFonts w:hint="eastAsia" w:cs="Times New Roman"/>
          <w:sz w:val="15"/>
          <w:szCs w:val="15"/>
          <w:shd w:val="clear" w:color="auto" w:fill="FFFFFF"/>
        </w:rPr>
        <w:t xml:space="preserve">[41] 姬世保, </w:t>
      </w:r>
      <w:r>
        <w:rPr>
          <w:rFonts w:hint="eastAsia" w:cs="Times New Roman"/>
          <w:sz w:val="15"/>
          <w:szCs w:val="15"/>
          <w:shd w:val="clear" w:color="auto" w:fill="FFCCFF"/>
        </w:rPr>
        <w:t>杜军凯</w:t>
      </w:r>
      <w:r>
        <w:rPr>
          <w:rFonts w:cs="Times New Roman"/>
          <w:sz w:val="15"/>
          <w:szCs w:val="15"/>
          <w:shd w:val="clear" w:color="auto" w:fill="FFFFFF"/>
        </w:rPr>
        <w:t xml:space="preserve">, </w:t>
      </w:r>
      <w:r>
        <w:rPr>
          <w:rFonts w:hint="eastAsia" w:cs="Times New Roman"/>
          <w:sz w:val="15"/>
          <w:szCs w:val="15"/>
          <w:shd w:val="clear" w:color="auto" w:fill="FFCCFF"/>
        </w:rPr>
        <w:t>吕向林</w:t>
      </w:r>
      <w:r>
        <w:rPr>
          <w:rFonts w:hint="eastAsia" w:cs="Times New Roman"/>
          <w:sz w:val="15"/>
          <w:szCs w:val="15"/>
          <w:shd w:val="clear" w:color="auto" w:fill="FFFFFF"/>
        </w:rPr>
        <w:t xml:space="preserve">, 等. 基于三维参数化方案的二元分布式水文模拟[J]. 水文, 2023, </w:t>
      </w:r>
      <w:r>
        <w:rPr>
          <w:rFonts w:cs="Times New Roman"/>
          <w:sz w:val="15"/>
          <w:szCs w:val="15"/>
          <w:shd w:val="clear" w:color="auto" w:fill="FFFFFF"/>
        </w:rPr>
        <w:t xml:space="preserve">43(2): </w:t>
      </w:r>
      <w:r>
        <w:rPr>
          <w:rFonts w:cs="Times New Roman"/>
          <w:sz w:val="15"/>
          <w:szCs w:val="15"/>
          <w:shd w:val="clear" w:color="auto" w:fill="FFCCFF"/>
        </w:rPr>
        <w:t>24</w:t>
      </w:r>
      <w:r>
        <w:rPr>
          <w:rFonts w:cs="Times New Roman"/>
          <w:sz w:val="15"/>
          <w:szCs w:val="15"/>
          <w:shd w:val="clear" w:color="auto" w:fill="FFFFFF"/>
        </w:rPr>
        <w:t>-</w:t>
      </w:r>
      <w:r>
        <w:rPr>
          <w:rFonts w:cs="Times New Roman"/>
          <w:sz w:val="15"/>
          <w:szCs w:val="15"/>
          <w:shd w:val="clear" w:color="auto" w:fill="FFCCFF"/>
        </w:rPr>
        <w:t>29</w:t>
      </w:r>
      <w:r>
        <w:rPr>
          <w:rFonts w:hint="eastAsia" w:cs="Times New Roman"/>
          <w:sz w:val="15"/>
          <w:szCs w:val="15"/>
          <w:shd w:val="clear" w:color="auto" w:fill="FFFFFF"/>
        </w:rPr>
        <w:t>.</w:t>
      </w:r>
      <w:r>
        <w:rPr>
          <w:rFonts w:cs="Times New Roman"/>
          <w:sz w:val="15"/>
          <w:szCs w:val="15"/>
          <w:shd w:val="clear" w:color="auto" w:fill="FFFFFF"/>
        </w:rPr>
        <w:br w:type="textWrapping"/>
      </w:r>
      <w:r>
        <w:rPr>
          <w:rFonts w:hint="eastAsia" w:cs="Times New Roman"/>
          <w:sz w:val="15"/>
          <w:szCs w:val="15"/>
          <w:shd w:val="clear" w:color="auto" w:fill="FFFFFF"/>
        </w:rPr>
        <w:t xml:space="preserve">JI S B, </w:t>
      </w:r>
      <w:r>
        <w:rPr>
          <w:rFonts w:cs="Times New Roman"/>
          <w:sz w:val="15"/>
          <w:szCs w:val="15"/>
          <w:shd w:val="clear" w:color="auto" w:fill="FFCCFF"/>
        </w:rPr>
        <w:t>DU</w:t>
      </w:r>
      <w:r>
        <w:rPr>
          <w:rFonts w:cs="Times New Roman"/>
          <w:sz w:val="15"/>
          <w:szCs w:val="15"/>
          <w:shd w:val="clear" w:color="auto" w:fill="FFFFFF"/>
        </w:rPr>
        <w:t xml:space="preserve"> </w:t>
      </w:r>
      <w:r>
        <w:rPr>
          <w:rFonts w:cs="Times New Roman"/>
          <w:sz w:val="15"/>
          <w:szCs w:val="15"/>
          <w:shd w:val="clear" w:color="auto" w:fill="FFCCFF"/>
        </w:rPr>
        <w:t>J</w:t>
      </w:r>
      <w:r>
        <w:rPr>
          <w:rFonts w:cs="Times New Roman"/>
          <w:sz w:val="15"/>
          <w:szCs w:val="15"/>
          <w:shd w:val="clear" w:color="auto" w:fill="FFFFFF"/>
        </w:rPr>
        <w:t xml:space="preserve"> </w:t>
      </w:r>
      <w:r>
        <w:rPr>
          <w:rFonts w:cs="Times New Roman"/>
          <w:sz w:val="15"/>
          <w:szCs w:val="15"/>
          <w:shd w:val="clear" w:color="auto" w:fill="FFCCFF"/>
        </w:rPr>
        <w:t>K</w:t>
      </w:r>
      <w:r>
        <w:rPr>
          <w:rFonts w:cs="Times New Roman"/>
          <w:sz w:val="15"/>
          <w:szCs w:val="15"/>
          <w:shd w:val="clear" w:color="auto" w:fill="FFFFFF"/>
        </w:rPr>
        <w:t xml:space="preserve">, </w:t>
      </w:r>
      <w:r>
        <w:rPr>
          <w:rFonts w:cs="Times New Roman"/>
          <w:sz w:val="15"/>
          <w:szCs w:val="15"/>
          <w:shd w:val="clear" w:color="auto" w:fill="FFCCFF"/>
        </w:rPr>
        <w:t>LYU</w:t>
      </w:r>
      <w:r>
        <w:rPr>
          <w:rFonts w:cs="Times New Roman"/>
          <w:sz w:val="15"/>
          <w:szCs w:val="15"/>
          <w:shd w:val="clear" w:color="auto" w:fill="FFFFFF"/>
        </w:rPr>
        <w:t xml:space="preserve"> </w:t>
      </w:r>
      <w:r>
        <w:rPr>
          <w:rFonts w:cs="Times New Roman"/>
          <w:sz w:val="15"/>
          <w:szCs w:val="15"/>
          <w:shd w:val="clear" w:color="auto" w:fill="FFCCFF"/>
        </w:rPr>
        <w:t>X L</w:t>
      </w:r>
      <w:r>
        <w:rPr>
          <w:rFonts w:cs="Times New Roman"/>
          <w:sz w:val="15"/>
          <w:szCs w:val="15"/>
          <w:shd w:val="clear" w:color="auto" w:fill="FFFFFF"/>
        </w:rPr>
        <w:t xml:space="preserve">, et al. </w:t>
      </w:r>
      <w:r>
        <w:rPr>
          <w:rFonts w:cs="Times New Roman"/>
          <w:sz w:val="15"/>
          <w:szCs w:val="15"/>
          <w:shd w:val="clear" w:color="auto" w:fill="FFCCFF"/>
        </w:rPr>
        <w:t>Dualistic</w:t>
      </w:r>
      <w:r>
        <w:rPr>
          <w:rFonts w:cs="Times New Roman"/>
          <w:sz w:val="15"/>
          <w:szCs w:val="15"/>
          <w:shd w:val="clear" w:color="auto" w:fill="FFFFFF"/>
        </w:rPr>
        <w:t xml:space="preserve"> distributed hydrological simulation </w:t>
      </w:r>
      <w:r>
        <w:rPr>
          <w:rFonts w:cs="Times New Roman"/>
          <w:sz w:val="15"/>
          <w:szCs w:val="15"/>
          <w:shd w:val="clear" w:color="auto" w:fill="FFCCFF"/>
        </w:rPr>
        <w:t>under</w:t>
      </w:r>
      <w:r>
        <w:rPr>
          <w:rFonts w:cs="Times New Roman"/>
          <w:sz w:val="15"/>
          <w:szCs w:val="15"/>
          <w:shd w:val="clear" w:color="auto" w:fill="FFFFFF"/>
        </w:rPr>
        <w:t xml:space="preserve"> </w:t>
      </w:r>
      <w:r>
        <w:rPr>
          <w:rFonts w:cs="Times New Roman"/>
          <w:sz w:val="15"/>
          <w:szCs w:val="15"/>
          <w:shd w:val="clear" w:color="auto" w:fill="FFCCFF"/>
        </w:rPr>
        <w:t>3D</w:t>
      </w:r>
      <w:r>
        <w:rPr>
          <w:rFonts w:cs="Times New Roman"/>
          <w:sz w:val="15"/>
          <w:szCs w:val="15"/>
          <w:shd w:val="clear" w:color="auto" w:fill="FFFFFF"/>
        </w:rPr>
        <w:t xml:space="preserve"> </w:t>
      </w:r>
      <w:r>
        <w:rPr>
          <w:rFonts w:cs="Times New Roman"/>
          <w:sz w:val="15"/>
          <w:szCs w:val="15"/>
          <w:shd w:val="clear" w:color="auto" w:fill="FFCCFF"/>
        </w:rPr>
        <w:t>parametric</w:t>
      </w:r>
      <w:r>
        <w:rPr>
          <w:rFonts w:cs="Times New Roman"/>
          <w:sz w:val="15"/>
          <w:szCs w:val="15"/>
          <w:shd w:val="clear" w:color="auto" w:fill="FFFFFF"/>
        </w:rPr>
        <w:t xml:space="preserve"> scheme[J]. Journal of China Hydrology, 2023, 43(2): </w:t>
      </w:r>
      <w:r>
        <w:rPr>
          <w:rFonts w:cs="Times New Roman"/>
          <w:sz w:val="15"/>
          <w:szCs w:val="15"/>
          <w:shd w:val="clear" w:color="auto" w:fill="FFCCFF"/>
        </w:rPr>
        <w:t>24</w:t>
      </w:r>
      <w:r>
        <w:rPr>
          <w:rFonts w:cs="Times New Roman"/>
          <w:sz w:val="15"/>
          <w:szCs w:val="15"/>
          <w:shd w:val="clear" w:color="auto" w:fill="FFFFFF"/>
        </w:rPr>
        <w:t>-</w:t>
      </w:r>
      <w:r>
        <w:rPr>
          <w:rFonts w:cs="Times New Roman"/>
          <w:sz w:val="15"/>
          <w:szCs w:val="15"/>
          <w:shd w:val="clear" w:color="auto" w:fill="FFCCFF"/>
        </w:rPr>
        <w:t>29</w:t>
      </w:r>
      <w:r>
        <w:rPr>
          <w:rFonts w:cs="Times New Roman"/>
          <w:sz w:val="15"/>
          <w:szCs w:val="15"/>
          <w:shd w:val="clear" w:color="auto" w:fill="FFFFFF"/>
        </w:rPr>
        <w:t>.</w:t>
      </w:r>
      <w:r>
        <w:rPr>
          <w:rFonts w:cs="Times New Roman"/>
          <w:sz w:val="15"/>
          <w:szCs w:val="15"/>
        </w:rPr>
        <w:t xml:space="preserve"> </w:t>
      </w:r>
    </w:p>
    <w:p w14:paraId="3A71782B">
      <w:pPr>
        <w:pStyle w:val="8"/>
        <w:ind w:left="300" w:hanging="300" w:hangingChars="200"/>
        <w:rPr>
          <w:rFonts w:cs="Times New Roman"/>
          <w:sz w:val="15"/>
          <w:szCs w:val="15"/>
        </w:rPr>
      </w:pPr>
      <w:r>
        <w:rPr>
          <w:rFonts w:cs="Times New Roman"/>
          <w:sz w:val="15"/>
          <w:szCs w:val="15"/>
          <w:shd w:val="clear" w:color="auto" w:fill="FFFFFF"/>
        </w:rPr>
        <w:t xml:space="preserve">[42] </w:t>
      </w:r>
      <w:r>
        <w:rPr>
          <w:rFonts w:cs="Times New Roman"/>
          <w:sz w:val="15"/>
          <w:szCs w:val="15"/>
          <w:shd w:val="clear" w:color="auto" w:fill="FFCCFF"/>
        </w:rPr>
        <w:t>ZHAO</w:t>
      </w:r>
      <w:r>
        <w:rPr>
          <w:rFonts w:cs="Times New Roman"/>
          <w:sz w:val="15"/>
          <w:szCs w:val="15"/>
          <w:shd w:val="clear" w:color="auto" w:fill="FFFFFF"/>
        </w:rPr>
        <w:t xml:space="preserve"> Y </w:t>
      </w:r>
      <w:r>
        <w:rPr>
          <w:rFonts w:cs="Times New Roman"/>
          <w:sz w:val="15"/>
          <w:szCs w:val="15"/>
          <w:shd w:val="clear" w:color="auto" w:fill="FFCCFF"/>
        </w:rPr>
        <w:t>G</w:t>
      </w:r>
      <w:r>
        <w:rPr>
          <w:rFonts w:cs="Times New Roman"/>
          <w:sz w:val="15"/>
          <w:szCs w:val="15"/>
          <w:shd w:val="clear" w:color="auto" w:fill="FFFFFF"/>
        </w:rPr>
        <w:t xml:space="preserve">, ZHANG </w:t>
      </w:r>
      <w:r>
        <w:rPr>
          <w:rFonts w:cs="Times New Roman"/>
          <w:sz w:val="15"/>
          <w:szCs w:val="15"/>
          <w:shd w:val="clear" w:color="auto" w:fill="FFCCFF"/>
        </w:rPr>
        <w:t>G</w:t>
      </w:r>
      <w:r>
        <w:rPr>
          <w:rFonts w:cs="Times New Roman"/>
          <w:sz w:val="15"/>
          <w:szCs w:val="15"/>
          <w:shd w:val="clear" w:color="auto" w:fill="FFFFFF"/>
        </w:rPr>
        <w:t xml:space="preserve"> </w:t>
      </w:r>
      <w:r>
        <w:rPr>
          <w:rFonts w:cs="Times New Roman"/>
          <w:sz w:val="15"/>
          <w:szCs w:val="15"/>
          <w:shd w:val="clear" w:color="auto" w:fill="FFCCFF"/>
        </w:rPr>
        <w:t>L</w:t>
      </w:r>
      <w:r>
        <w:rPr>
          <w:rFonts w:cs="Times New Roman"/>
          <w:sz w:val="15"/>
          <w:szCs w:val="15"/>
          <w:shd w:val="clear" w:color="auto" w:fill="FFFFFF"/>
        </w:rPr>
        <w:t xml:space="preserve">, </w:t>
      </w:r>
      <w:r>
        <w:rPr>
          <w:rFonts w:cs="Times New Roman"/>
          <w:sz w:val="15"/>
          <w:szCs w:val="15"/>
          <w:shd w:val="clear" w:color="auto" w:fill="FFCCFF"/>
        </w:rPr>
        <w:t>ZEPP</w:t>
      </w:r>
      <w:r>
        <w:rPr>
          <w:rFonts w:cs="Times New Roman"/>
          <w:sz w:val="15"/>
          <w:szCs w:val="15"/>
          <w:shd w:val="clear" w:color="auto" w:fill="FFFFFF"/>
        </w:rPr>
        <w:t xml:space="preserve"> </w:t>
      </w:r>
      <w:r>
        <w:rPr>
          <w:rFonts w:cs="Times New Roman"/>
          <w:sz w:val="15"/>
          <w:szCs w:val="15"/>
          <w:shd w:val="clear" w:color="auto" w:fill="FFCCFF"/>
        </w:rPr>
        <w:t>H,</w:t>
      </w:r>
      <w:r>
        <w:rPr>
          <w:rFonts w:cs="Times New Roman"/>
          <w:sz w:val="15"/>
          <w:szCs w:val="15"/>
          <w:shd w:val="clear" w:color="auto" w:fill="FFFFFF"/>
        </w:rPr>
        <w:t xml:space="preserve"> </w:t>
      </w:r>
      <w:r>
        <w:rPr>
          <w:rFonts w:cs="Times New Roman"/>
          <w:sz w:val="15"/>
          <w:szCs w:val="15"/>
          <w:shd w:val="clear" w:color="auto" w:fill="FFCCFF"/>
        </w:rPr>
        <w:t>et al</w:t>
      </w:r>
      <w:r>
        <w:rPr>
          <w:rFonts w:cs="Times New Roman"/>
          <w:sz w:val="15"/>
          <w:szCs w:val="15"/>
          <w:shd w:val="clear" w:color="auto" w:fill="FFFFFF"/>
        </w:rPr>
        <w:t>. Establishing a spatial grouping base for surface soil properties along urban</w:t>
      </w:r>
      <w:r>
        <w:rPr>
          <w:rFonts w:cs="Times New Roman"/>
          <w:sz w:val="15"/>
          <w:szCs w:val="15"/>
          <w:shd w:val="clear" w:color="auto" w:fill="FFCCFF"/>
        </w:rPr>
        <w:t>–</w:t>
      </w:r>
      <w:r>
        <w:rPr>
          <w:rFonts w:cs="Times New Roman"/>
          <w:sz w:val="15"/>
          <w:szCs w:val="15"/>
          <w:shd w:val="clear" w:color="auto" w:fill="FFFFFF"/>
        </w:rPr>
        <w:t>rural gradient: A case study in Nanjing, China[J]. C</w:t>
      </w:r>
      <w:r>
        <w:rPr>
          <w:rFonts w:cs="Times New Roman"/>
          <w:sz w:val="15"/>
          <w:szCs w:val="15"/>
          <w:shd w:val="clear" w:color="auto" w:fill="D9D9D9"/>
        </w:rPr>
        <w:t>atena</w:t>
      </w:r>
      <w:r>
        <w:rPr>
          <w:rFonts w:cs="Times New Roman"/>
          <w:sz w:val="15"/>
          <w:szCs w:val="15"/>
          <w:shd w:val="clear" w:color="auto" w:fill="FFFFFF"/>
        </w:rPr>
        <w:t xml:space="preserve">, </w:t>
      </w:r>
      <w:r>
        <w:rPr>
          <w:rFonts w:cs="Times New Roman"/>
          <w:sz w:val="15"/>
          <w:szCs w:val="15"/>
          <w:shd w:val="clear" w:color="auto" w:fill="FFCCFF"/>
        </w:rPr>
        <w:t>2007</w:t>
      </w:r>
      <w:r>
        <w:rPr>
          <w:rFonts w:cs="Times New Roman"/>
          <w:sz w:val="15"/>
          <w:szCs w:val="15"/>
          <w:shd w:val="clear" w:color="auto" w:fill="FFFFFF"/>
        </w:rPr>
        <w:t>, 69(1): 74-81.</w:t>
      </w:r>
      <w:r>
        <w:rPr>
          <w:rFonts w:cs="Times New Roman"/>
          <w:sz w:val="15"/>
          <w:szCs w:val="15"/>
        </w:rPr>
        <w:t xml:space="preserve"> </w:t>
      </w:r>
    </w:p>
    <w:p w14:paraId="4D98EFC1">
      <w:pPr>
        <w:pStyle w:val="8"/>
        <w:ind w:left="300" w:hanging="300" w:hangingChars="200"/>
        <w:rPr>
          <w:rFonts w:cs="Times New Roman"/>
          <w:sz w:val="15"/>
          <w:szCs w:val="15"/>
        </w:rPr>
      </w:pPr>
      <w:r>
        <w:rPr>
          <w:rFonts w:hint="eastAsia" w:cs="Times New Roman"/>
          <w:sz w:val="15"/>
          <w:szCs w:val="15"/>
        </w:rPr>
        <w:t>[43] GUSE B, HAN L, KUMAR R, et al. Spatio</w:t>
      </w:r>
      <w:r>
        <w:rPr>
          <w:rFonts w:cs="Times New Roman"/>
          <w:sz w:val="15"/>
          <w:szCs w:val="15"/>
          <w:lang w:val="en"/>
        </w:rPr>
        <w:t>-</w:t>
      </w:r>
      <w:r>
        <w:rPr>
          <w:rFonts w:hint="eastAsia" w:cs="Times New Roman"/>
          <w:sz w:val="15"/>
          <w:szCs w:val="15"/>
        </w:rPr>
        <w:t>temporal consistency and variability in parameter dominance on simulated hydrological fluxes and state variables[J]. Water Resources Research, 2024, 60(12): e2023WR036822.</w:t>
      </w:r>
    </w:p>
    <w:p w14:paraId="7F32A7C9">
      <w:pPr>
        <w:pStyle w:val="8"/>
        <w:ind w:left="300" w:hanging="300" w:hangingChars="200"/>
        <w:rPr>
          <w:rFonts w:cs="Times New Roman"/>
          <w:sz w:val="15"/>
          <w:szCs w:val="15"/>
        </w:rPr>
      </w:pPr>
    </w:p>
    <w:sectPr>
      <w:endnotePr>
        <w:numFmt w:val="decimal"/>
      </w:endnotePr>
      <w:type w:val="continuous"/>
      <w:pgSz w:w="11906" w:h="16838"/>
      <w:pgMar w:top="2098" w:right="1134" w:bottom="1134"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A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CF3C50" w:usb2="00000016" w:usb3="00000000" w:csb0="0004001F" w:csb1="00000000"/>
  </w:font>
  <w:font w:name="Courier New">
    <w:altName w:val="DejaVu Sans"/>
    <w:panose1 w:val="02070309020205020404"/>
    <w:charset w:val="00"/>
    <w:family w:val="modern"/>
    <w:pitch w:val="default"/>
    <w:sig w:usb0="00000000" w:usb1="00000000" w:usb2="00000009" w:usb3="00000000" w:csb0="400001FF" w:csb1="FFFF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Cambria Math">
    <w:altName w:val="DejaVu Math TeX Gyre"/>
    <w:panose1 w:val="02040503050406030204"/>
    <w:charset w:val="00"/>
    <w:family w:val="roman"/>
    <w:pitch w:val="default"/>
    <w:sig w:usb0="00000000" w:usb1="00000000" w:usb2="02000000" w:usb3="00000000" w:csb0="2000019F" w:csb1="00000000"/>
  </w:font>
  <w:font w:name="DejaVu Math TeX Gyre">
    <w:panose1 w:val="02000503000000000000"/>
    <w:charset w:val="00"/>
    <w:family w:val="auto"/>
    <w:pitch w:val="default"/>
    <w:sig w:usb0="A10000EF" w:usb1="4201F9EE" w:usb2="02000000" w:usb3="00000000" w:csb0="60000193" w:csb1="0DD40000"/>
  </w:font>
  <w:font w:name="华文仿宋">
    <w:panose1 w:val="02010600040101010101"/>
    <w:charset w:val="86"/>
    <w:family w:val="auto"/>
    <w:pitch w:val="default"/>
    <w:sig w:usb0="00000287" w:usb1="080F0000" w:usb2="00000000" w:usb3="00000000" w:csb0="0004009F" w:csb1="DFD70000"/>
  </w:font>
  <w:font w:name="Microsoft YaHei">
    <w:panose1 w:val="020B0503020204020204"/>
    <w:charset w:val="86"/>
    <w:family w:val="auto"/>
    <w:pitch w:val="default"/>
    <w:sig w:usb0="80000287" w:usb1="2ACF3C50" w:usb2="00000016" w:usb3="00000000" w:csb0="0004001F" w:csb1="00000000"/>
  </w:font>
  <w:font w:name="Tahoma">
    <w:altName w:val="noto sans thai"/>
    <w:panose1 w:val="00000000000000000000"/>
    <w:charset w:val="00"/>
    <w:family w:val="auto"/>
    <w:pitch w:val="default"/>
    <w:sig w:usb0="00000000" w:usb1="00000000" w:usb2="00000000" w:usb3="00000000" w:csb0="00000000" w:csb1="00000000"/>
  </w:font>
  <w:font w:name="noto sans thai">
    <w:panose1 w:val="020B0502040504020204"/>
    <w:charset w:val="00"/>
    <w:family w:val="auto"/>
    <w:pitch w:val="default"/>
    <w:sig w:usb0="81000063" w:usb1="00002000" w:usb2="00000000" w:usb3="00000000" w:csb0="0001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ind w:firstLine="420"/>
      </w:pPr>
      <w:r>
        <w:separator/>
      </w:r>
    </w:p>
  </w:footnote>
  <w:footnote w:type="continuationSeparator" w:id="3">
    <w:p>
      <w:pPr>
        <w:ind w:firstLine="420"/>
      </w:pPr>
      <w:r>
        <w:continuationSeparator/>
      </w:r>
    </w:p>
  </w:footnote>
  <w:footnote w:id="0">
    <w:p w14:paraId="18AAE788">
      <w:pPr>
        <w:pStyle w:val="10"/>
        <w:snapToGrid/>
        <w:ind w:firstLine="0" w:firstLineChars="0"/>
        <w:jc w:val="both"/>
        <w:rPr>
          <w:rFonts w:hint="eastAsia" w:eastAsia="黑体" w:cs="Times New Roman"/>
          <w:sz w:val="15"/>
          <w:szCs w:val="15"/>
          <w:lang w:eastAsia="zh-CN"/>
        </w:rPr>
      </w:pPr>
      <w:r>
        <w:rPr>
          <w:rFonts w:hint="eastAsia" w:eastAsia="黑体" w:cs="Times New Roman"/>
          <w:b/>
          <w:bCs/>
          <w:szCs w:val="18"/>
        </w:rPr>
        <w:t>收稿日期：</w:t>
      </w:r>
      <w:r>
        <w:rPr>
          <w:rFonts w:cs="Times New Roman"/>
          <w:szCs w:val="18"/>
        </w:rPr>
        <w:t>2025-12-23</w:t>
      </w:r>
      <w:r>
        <w:rPr>
          <w:rFonts w:hint="eastAsia" w:cs="Times New Roman"/>
          <w:szCs w:val="18"/>
        </w:rPr>
        <w:t>；</w:t>
      </w:r>
      <w:r>
        <w:rPr>
          <w:rFonts w:hint="eastAsia" w:eastAsia="黑体" w:cs="Times New Roman"/>
          <w:b/>
          <w:bCs/>
          <w:szCs w:val="18"/>
        </w:rPr>
        <w:t>修回日期：2</w:t>
      </w:r>
      <w:r>
        <w:rPr>
          <w:rFonts w:eastAsia="黑体" w:cs="Times New Roman"/>
          <w:b/>
          <w:bCs/>
          <w:szCs w:val="18"/>
        </w:rPr>
        <w:t>026-03-</w:t>
      </w:r>
      <w:r>
        <w:rPr>
          <w:rFonts w:hint="eastAsia" w:eastAsia="黑体" w:cs="Times New Roman"/>
          <w:b/>
          <w:bCs/>
          <w:szCs w:val="18"/>
        </w:rPr>
        <w:t>1</w:t>
      </w:r>
      <w:r>
        <w:rPr>
          <w:rFonts w:eastAsia="黑体" w:cs="Times New Roman"/>
          <w:b/>
          <w:bCs/>
          <w:szCs w:val="18"/>
        </w:rPr>
        <w:t>6</w:t>
      </w:r>
      <w:r>
        <w:rPr>
          <w:rFonts w:hint="eastAsia" w:cs="Times New Roman"/>
          <w:szCs w:val="18"/>
        </w:rPr>
        <w:t>；</w:t>
      </w:r>
      <w:r>
        <w:rPr>
          <w:rFonts w:hint="eastAsia" w:eastAsia="黑体" w:cs="Times New Roman"/>
          <w:b/>
          <w:bCs/>
          <w:szCs w:val="18"/>
        </w:rPr>
        <w:t>录用日期：2</w:t>
      </w:r>
      <w:r>
        <w:rPr>
          <w:rFonts w:eastAsia="黑体" w:cs="Times New Roman"/>
          <w:b/>
          <w:bCs/>
          <w:szCs w:val="18"/>
        </w:rPr>
        <w:t>026-03-28</w:t>
      </w:r>
      <w:r>
        <w:rPr>
          <w:rFonts w:hint="eastAsia" w:cs="Times New Roman"/>
          <w:szCs w:val="18"/>
        </w:rPr>
        <w:t>；</w:t>
      </w:r>
      <w:r>
        <w:rPr>
          <w:rFonts w:hint="eastAsia" w:eastAsia="黑体" w:cs="Times New Roman"/>
          <w:b/>
          <w:bCs/>
          <w:szCs w:val="18"/>
        </w:rPr>
        <w:t>网络出版日期：2</w:t>
      </w:r>
      <w:r>
        <w:rPr>
          <w:rFonts w:eastAsia="黑体" w:cs="Times New Roman"/>
          <w:b/>
          <w:bCs/>
          <w:szCs w:val="18"/>
        </w:rPr>
        <w:t>026-0</w:t>
      </w:r>
      <w:r>
        <w:rPr>
          <w:rFonts w:hint="eastAsia" w:eastAsia="黑体" w:cs="Times New Roman"/>
          <w:b/>
          <w:bCs/>
          <w:szCs w:val="18"/>
          <w:lang w:val="en-US" w:eastAsia="zh-CN"/>
        </w:rPr>
        <w:t>5</w:t>
      </w:r>
    </w:p>
    <w:p w14:paraId="6F810413">
      <w:pPr>
        <w:pStyle w:val="10"/>
        <w:spacing w:line="240" w:lineRule="exact"/>
        <w:ind w:firstLine="0" w:firstLineChars="0"/>
        <w:rPr>
          <w:szCs w:val="18"/>
        </w:rPr>
      </w:pPr>
      <w:r>
        <w:rPr>
          <w:rFonts w:hint="eastAsia" w:ascii="黑体" w:hAnsi="黑体" w:eastAsia="黑体" w:cs="黑体"/>
          <w:b/>
          <w:szCs w:val="18"/>
        </w:rPr>
        <w:t>基金项目：</w:t>
      </w:r>
      <w:r>
        <w:rPr>
          <w:rFonts w:hint="eastAsia"/>
          <w:szCs w:val="18"/>
        </w:rPr>
        <w:t>国家重点研发计划</w:t>
      </w:r>
      <w:r>
        <w:rPr>
          <w:szCs w:val="18"/>
        </w:rPr>
        <w:t>(2023YFC3006605)</w:t>
      </w:r>
      <w:r>
        <w:rPr>
          <w:rFonts w:hint="eastAsia"/>
          <w:szCs w:val="18"/>
        </w:rPr>
        <w:t>；中交长江建设发展集团有限公司课题</w:t>
      </w:r>
      <w:r>
        <w:rPr>
          <w:szCs w:val="18"/>
        </w:rPr>
        <w:t>(CJRD-2024-1-04)</w:t>
      </w:r>
      <w:r>
        <w:rPr>
          <w:rFonts w:hint="eastAsia"/>
          <w:szCs w:val="18"/>
        </w:rPr>
        <w:t>；重庆市水利科技项目</w:t>
      </w:r>
      <w:r>
        <w:rPr>
          <w:szCs w:val="18"/>
        </w:rPr>
        <w:t>(CQSLK-2023009</w:t>
      </w:r>
      <w:r>
        <w:rPr>
          <w:rFonts w:hint="eastAsia"/>
          <w:szCs w:val="18"/>
        </w:rPr>
        <w:t>，</w:t>
      </w:r>
      <w:r>
        <w:rPr>
          <w:szCs w:val="18"/>
        </w:rPr>
        <w:t>CQSLK-2022005</w:t>
      </w:r>
      <w:r>
        <w:rPr>
          <w:rFonts w:hint="eastAsia"/>
          <w:szCs w:val="18"/>
        </w:rPr>
        <w:t>，</w:t>
      </w:r>
      <w:r>
        <w:rPr>
          <w:szCs w:val="18"/>
        </w:rPr>
        <w:t>CQSLK-2022011)</w:t>
      </w:r>
      <w:r>
        <w:rPr>
          <w:rFonts w:hint="eastAsia"/>
          <w:szCs w:val="18"/>
        </w:rPr>
        <w:t>；广西科技计划项目资助</w:t>
      </w:r>
      <w:r>
        <w:rPr>
          <w:szCs w:val="18"/>
        </w:rPr>
        <w:t>(</w:t>
      </w:r>
      <w:r>
        <w:rPr>
          <w:rFonts w:hint="eastAsia"/>
          <w:szCs w:val="18"/>
        </w:rPr>
        <w:t>桂科</w:t>
      </w:r>
      <w:r>
        <w:rPr>
          <w:szCs w:val="18"/>
        </w:rPr>
        <w:t>AA23062023)</w:t>
      </w:r>
    </w:p>
    <w:p w14:paraId="43864B88">
      <w:pPr>
        <w:ind w:firstLine="0" w:firstLineChars="0"/>
        <w:rPr>
          <w:sz w:val="18"/>
          <w:szCs w:val="18"/>
        </w:rPr>
      </w:pPr>
      <w:r>
        <w:rPr>
          <w:rFonts w:hint="eastAsia" w:ascii="黑体" w:hAnsi="黑体" w:eastAsia="黑体" w:cs="黑体"/>
          <w:b/>
          <w:sz w:val="18"/>
          <w:szCs w:val="18"/>
        </w:rPr>
        <w:t>作者简介：</w:t>
      </w:r>
      <w:r>
        <w:rPr>
          <w:rFonts w:hint="eastAsia"/>
          <w:sz w:val="18"/>
          <w:szCs w:val="18"/>
        </w:rPr>
        <w:t>刘罗汇</w:t>
      </w:r>
      <w:r>
        <w:rPr>
          <w:sz w:val="18"/>
          <w:szCs w:val="18"/>
        </w:rPr>
        <w:t>(2001</w:t>
      </w:r>
      <w:r>
        <w:rPr>
          <w:rFonts w:hint="eastAsia"/>
          <w:sz w:val="18"/>
          <w:szCs w:val="18"/>
        </w:rPr>
        <w:t>—</w:t>
      </w:r>
      <w:r>
        <w:rPr>
          <w:sz w:val="18"/>
          <w:szCs w:val="18"/>
        </w:rPr>
        <w:t>)</w:t>
      </w:r>
      <w:r>
        <w:rPr>
          <w:rFonts w:hint="eastAsia"/>
          <w:sz w:val="18"/>
          <w:szCs w:val="18"/>
        </w:rPr>
        <w:t>，女，硕士研究生，</w:t>
      </w:r>
      <w:r>
        <w:rPr>
          <w:rFonts w:hint="eastAsia" w:cs="Times New Roman"/>
          <w:spacing w:val="4"/>
          <w:sz w:val="18"/>
          <w:szCs w:val="18"/>
        </w:rPr>
        <w:t>主要从事</w:t>
      </w:r>
      <w:r>
        <w:rPr>
          <w:rFonts w:hint="eastAsia"/>
          <w:sz w:val="18"/>
          <w:szCs w:val="18"/>
        </w:rPr>
        <w:t>水文水资源方向的</w:t>
      </w:r>
      <w:r>
        <w:rPr>
          <w:rFonts w:hint="eastAsia" w:cs="Times New Roman"/>
          <w:spacing w:val="4"/>
          <w:sz w:val="18"/>
          <w:szCs w:val="18"/>
        </w:rPr>
        <w:t>研究。</w:t>
      </w:r>
      <w:r>
        <w:rPr>
          <w:sz w:val="18"/>
          <w:szCs w:val="18"/>
        </w:rPr>
        <w:t>E-mail:</w:t>
      </w:r>
      <w:r>
        <w:rPr>
          <w:rFonts w:hint="eastAsia"/>
          <w:sz w:val="18"/>
          <w:szCs w:val="18"/>
          <w:lang w:val="en-US" w:eastAsia="zh-CN"/>
        </w:rPr>
        <w:t xml:space="preserve"> </w:t>
      </w:r>
      <w:r>
        <w:rPr>
          <w:sz w:val="18"/>
          <w:szCs w:val="18"/>
        </w:rPr>
        <w:t>480202347@qq.com</w:t>
      </w:r>
    </w:p>
    <w:p w14:paraId="120C7959">
      <w:pPr>
        <w:pStyle w:val="10"/>
        <w:spacing w:line="240" w:lineRule="exact"/>
        <w:ind w:firstLine="0" w:firstLineChars="0"/>
      </w:pPr>
      <w:r>
        <w:rPr>
          <w:rFonts w:hint="eastAsia" w:ascii="黑体" w:hAnsi="黑体" w:eastAsia="黑体" w:cs="黑体"/>
          <w:b/>
          <w:szCs w:val="18"/>
        </w:rPr>
        <w:t>通信作者：</w:t>
      </w:r>
      <w:r>
        <w:rPr>
          <w:rFonts w:hint="eastAsia"/>
          <w:szCs w:val="18"/>
        </w:rPr>
        <w:t>徐炜</w:t>
      </w:r>
      <w:r>
        <w:rPr>
          <w:szCs w:val="18"/>
        </w:rPr>
        <w:t>(1985</w:t>
      </w:r>
      <w:r>
        <w:rPr>
          <w:rFonts w:hint="eastAsia"/>
          <w:szCs w:val="18"/>
        </w:rPr>
        <w:t>—</w:t>
      </w:r>
      <w:r>
        <w:rPr>
          <w:szCs w:val="18"/>
        </w:rPr>
        <w:t>)</w:t>
      </w:r>
      <w:r>
        <w:rPr>
          <w:rFonts w:hint="eastAsia"/>
          <w:szCs w:val="18"/>
        </w:rPr>
        <w:t>，男，教授，博士，</w:t>
      </w:r>
      <w:r>
        <w:rPr>
          <w:rFonts w:hint="eastAsia" w:cs="Times New Roman"/>
          <w:spacing w:val="4"/>
          <w:szCs w:val="18"/>
        </w:rPr>
        <w:t>主要从事</w:t>
      </w:r>
      <w:r>
        <w:rPr>
          <w:rFonts w:hint="eastAsia"/>
          <w:szCs w:val="18"/>
        </w:rPr>
        <w:t>水文水资源方向的</w:t>
      </w:r>
      <w:r>
        <w:rPr>
          <w:rFonts w:hint="eastAsia" w:cs="Times New Roman"/>
          <w:spacing w:val="4"/>
          <w:szCs w:val="18"/>
        </w:rPr>
        <w:t>研究。</w:t>
      </w:r>
      <w:r>
        <w:rPr>
          <w:szCs w:val="18"/>
        </w:rPr>
        <w:t>E-mail</w:t>
      </w:r>
      <w:r>
        <w:rPr>
          <w:rFonts w:hint="eastAsia"/>
          <w:szCs w:val="18"/>
        </w:rPr>
        <w:t>：</w:t>
      </w:r>
      <w:r>
        <w:rPr>
          <w:szCs w:val="18"/>
        </w:rPr>
        <w:t>xuwei19850711@163.com</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A4871C"/>
    <w:multiLevelType w:val="multilevel"/>
    <w:tmpl w:val="B9A4871C"/>
    <w:lvl w:ilvl="0" w:tentative="0">
      <w:start w:val="0"/>
      <w:numFmt w:val="decimal"/>
      <w:pStyle w:val="2"/>
      <w:suff w:val="space"/>
      <w:lvlText w:val="%1"/>
      <w:lvlJc w:val="left"/>
      <w:pPr>
        <w:tabs>
          <w:tab w:val="left" w:pos="0"/>
        </w:tabs>
        <w:ind w:left="0" w:firstLine="0"/>
      </w:pPr>
      <w:rPr>
        <w:rFonts w:hint="default" w:ascii="Times New Roman" w:hAnsi="Times New Roman" w:eastAsia="宋体" w:cs="宋体"/>
      </w:rPr>
    </w:lvl>
    <w:lvl w:ilvl="1" w:tentative="0">
      <w:start w:val="1"/>
      <w:numFmt w:val="decimal"/>
      <w:pStyle w:val="3"/>
      <w:suff w:val="space"/>
      <w:lvlText w:val="%1.%2"/>
      <w:lvlJc w:val="left"/>
      <w:pPr>
        <w:tabs>
          <w:tab w:val="left" w:pos="0"/>
        </w:tabs>
        <w:ind w:left="0" w:firstLine="0"/>
      </w:pPr>
      <w:rPr>
        <w:rFonts w:hint="default"/>
      </w:rPr>
    </w:lvl>
    <w:lvl w:ilvl="2" w:tentative="0">
      <w:start w:val="1"/>
      <w:numFmt w:val="decimal"/>
      <w:suff w:val="space"/>
      <w:lvlText w:val="%1.%2.%3 "/>
      <w:lvlJc w:val="left"/>
      <w:pPr>
        <w:ind w:left="0" w:firstLine="0"/>
      </w:pPr>
      <w:rPr>
        <w:rFonts w:hint="default"/>
      </w:rPr>
    </w:lvl>
    <w:lvl w:ilvl="3" w:tentative="0">
      <w:start w:val="1"/>
      <w:numFmt w:val="decimal"/>
      <w:suff w:val="space"/>
      <w:lvlText w:val="%1%2.%3.%4 "/>
      <w:lvlJc w:val="left"/>
      <w:pPr>
        <w:ind w:left="0" w:firstLine="0"/>
      </w:pPr>
      <w:rPr>
        <w:rFonts w:hint="default" w:ascii="Times New Roman" w:hAnsi="Times New Roman" w:cs="Times New Roman"/>
        <w:color w:val="auto"/>
      </w:rPr>
    </w:lvl>
    <w:lvl w:ilvl="4" w:tentative="0">
      <w:start w:val="1"/>
      <w:numFmt w:val="decimal"/>
      <w:pStyle w:val="6"/>
      <w:suff w:val="space"/>
      <w:lvlText w:val="%2.%3.%4.%5 "/>
      <w:lvlJc w:val="left"/>
      <w:pPr>
        <w:ind w:left="0" w:firstLine="0"/>
      </w:pPr>
      <w:rPr>
        <w:rFonts w:hint="eastAsia"/>
      </w:rPr>
    </w:lvl>
    <w:lvl w:ilvl="5" w:tentative="0">
      <w:start w:val="1"/>
      <w:numFmt w:val="decimal"/>
      <w:lvlRestart w:val="3"/>
      <w:suff w:val="space"/>
      <w:lvlText w:val="图%1%2.%3-%6 "/>
      <w:lvlJc w:val="center"/>
      <w:pPr>
        <w:ind w:left="0" w:firstLine="0"/>
      </w:pPr>
      <w:rPr>
        <w:rFonts w:hint="default" w:ascii="Times New Roman" w:hAnsi="Times New Roman" w:eastAsia="宋体"/>
        <w:b w:val="0"/>
        <w:bCs w:val="0"/>
        <w:color w:val="auto"/>
        <w:sz w:val="21"/>
      </w:rPr>
    </w:lvl>
    <w:lvl w:ilvl="6" w:tentative="0">
      <w:start w:val="1"/>
      <w:numFmt w:val="decimal"/>
      <w:lvlRestart w:val="3"/>
      <w:pStyle w:val="21"/>
      <w:suff w:val="space"/>
      <w:lvlText w:val="表%1%2.%3-%7 "/>
      <w:lvlJc w:val="center"/>
      <w:pPr>
        <w:ind w:left="0" w:firstLine="0"/>
      </w:pPr>
      <w:rPr>
        <w:rFonts w:hint="default" w:ascii="Times New Roman" w:hAnsi="Times New Roman" w:eastAsia="宋体"/>
        <w:b w:val="0"/>
        <w:bCs/>
        <w:i w:val="0"/>
        <w:sz w:val="21"/>
        <w:lang w:val="en-US"/>
      </w:rPr>
    </w:lvl>
    <w:lvl w:ilvl="7" w:tentative="0">
      <w:start w:val="1"/>
      <w:numFmt w:val="decimal"/>
      <w:lvlRestart w:val="2"/>
      <w:suff w:val="nothing"/>
      <w:lvlText w:val="（公式%1.%2-%8）"/>
      <w:lvlJc w:val="left"/>
      <w:pPr>
        <w:tabs>
          <w:tab w:val="left" w:pos="0"/>
        </w:tabs>
        <w:ind w:left="0" w:firstLine="0"/>
      </w:pPr>
      <w:rPr>
        <w:rFonts w:hint="default" w:ascii="Times New Roman" w:hAnsi="Times New Roman" w:eastAsia="宋体"/>
      </w:rPr>
    </w:lvl>
    <w:lvl w:ilvl="8" w:tentative="0">
      <w:start w:val="1"/>
      <w:numFmt w:val="decimal"/>
      <w:lvlText w:val="%1.%2.%3.%4.%5.%6.%7.%8.%9"/>
      <w:lvlJc w:val="left"/>
      <w:pPr>
        <w:ind w:left="5102" w:hanging="1700"/>
      </w:pPr>
      <w:rPr>
        <w:rFonts w:hint="eastAsia"/>
      </w:rPr>
    </w:lvl>
  </w:abstractNum>
  <w:abstractNum w:abstractNumId="1">
    <w:nsid w:val="EDC8F0C7"/>
    <w:multiLevelType w:val="multilevel"/>
    <w:tmpl w:val="EDC8F0C7"/>
    <w:lvl w:ilvl="0" w:tentative="0">
      <w:start w:val="1"/>
      <w:numFmt w:val="decimal"/>
      <w:pStyle w:val="26"/>
      <w:suff w:val="space"/>
      <w:lvlText w:val="表%1"/>
      <w:lvlJc w:val="left"/>
      <w:pPr>
        <w:tabs>
          <w:tab w:val="left" w:pos="0"/>
        </w:tabs>
        <w:ind w:left="0" w:firstLine="0"/>
      </w:pPr>
      <w:rPr>
        <w:rFonts w:hint="default" w:ascii="宋体" w:hAnsi="宋体" w:eastAsia="宋体" w:cs="宋体"/>
      </w:rPr>
    </w:lvl>
    <w:lvl w:ilvl="1" w:tentative="0">
      <w:start w:val="1"/>
      <w:numFmt w:val="decimal"/>
      <w:suff w:val="space"/>
      <w:lvlText w:val="%1%2 "/>
      <w:lvlJc w:val="left"/>
      <w:pPr>
        <w:ind w:left="0" w:firstLine="0"/>
      </w:pPr>
      <w:rPr>
        <w:rFonts w:hint="eastAsia"/>
      </w:rPr>
    </w:lvl>
    <w:lvl w:ilvl="2" w:tentative="0">
      <w:start w:val="1"/>
      <w:numFmt w:val="decimal"/>
      <w:suff w:val="space"/>
      <w:lvlText w:val="%1%2.%3 "/>
      <w:lvlJc w:val="left"/>
      <w:pPr>
        <w:ind w:left="0" w:firstLine="0"/>
      </w:pPr>
      <w:rPr>
        <w:rFonts w:hint="eastAsia"/>
      </w:rPr>
    </w:lvl>
    <w:lvl w:ilvl="3" w:tentative="0">
      <w:start w:val="1"/>
      <w:numFmt w:val="decimal"/>
      <w:suff w:val="space"/>
      <w:lvlText w:val="%1%2.%3.%4 "/>
      <w:lvlJc w:val="left"/>
      <w:pPr>
        <w:ind w:left="0" w:firstLine="0"/>
      </w:pPr>
      <w:rPr>
        <w:rFonts w:hint="default" w:ascii="Times New Roman" w:hAnsi="Times New Roman" w:cs="Times New Roman"/>
        <w:color w:val="auto"/>
      </w:rPr>
    </w:lvl>
    <w:lvl w:ilvl="4" w:tentative="0">
      <w:start w:val="1"/>
      <w:numFmt w:val="decimal"/>
      <w:suff w:val="space"/>
      <w:lvlText w:val="%2.%3.%4.%5 "/>
      <w:lvlJc w:val="left"/>
      <w:pPr>
        <w:ind w:left="0" w:firstLine="0"/>
      </w:pPr>
      <w:rPr>
        <w:rFonts w:hint="eastAsia"/>
      </w:rPr>
    </w:lvl>
    <w:lvl w:ilvl="5" w:tentative="0">
      <w:start w:val="1"/>
      <w:numFmt w:val="decimal"/>
      <w:lvlRestart w:val="3"/>
      <w:suff w:val="space"/>
      <w:lvlText w:val="图%1%2.%3-%6 "/>
      <w:lvlJc w:val="center"/>
      <w:pPr>
        <w:ind w:left="4080" w:firstLine="0"/>
      </w:pPr>
      <w:rPr>
        <w:rFonts w:hint="default" w:ascii="Times New Roman" w:hAnsi="Times New Roman" w:eastAsia="宋体"/>
        <w:b w:val="0"/>
        <w:bCs w:val="0"/>
        <w:color w:val="auto"/>
        <w:sz w:val="21"/>
      </w:rPr>
    </w:lvl>
    <w:lvl w:ilvl="6" w:tentative="0">
      <w:start w:val="1"/>
      <w:numFmt w:val="decimal"/>
      <w:lvlRestart w:val="3"/>
      <w:suff w:val="space"/>
      <w:lvlText w:val="表%1%2.%3-%7 "/>
      <w:lvlJc w:val="center"/>
      <w:pPr>
        <w:ind w:left="0" w:firstLine="0"/>
      </w:pPr>
      <w:rPr>
        <w:rFonts w:hint="default" w:ascii="Times New Roman" w:hAnsi="Times New Roman" w:eastAsia="宋体"/>
        <w:b w:val="0"/>
        <w:bCs/>
        <w:i w:val="0"/>
        <w:sz w:val="21"/>
        <w:lang w:val="en-US"/>
      </w:rPr>
    </w:lvl>
    <w:lvl w:ilvl="7" w:tentative="0">
      <w:start w:val="1"/>
      <w:numFmt w:val="decimal"/>
      <w:lvlRestart w:val="2"/>
      <w:suff w:val="nothing"/>
      <w:lvlText w:val="（公式%1%2.%3-%8）"/>
      <w:lvlJc w:val="left"/>
      <w:pPr>
        <w:ind w:left="0" w:firstLine="0"/>
      </w:pPr>
      <w:rPr>
        <w:rFonts w:hint="default" w:ascii="Times New Roman" w:hAnsi="Times New Roman" w:eastAsia="宋体"/>
      </w:rPr>
    </w:lvl>
    <w:lvl w:ilvl="8" w:tentative="0">
      <w:start w:val="1"/>
      <w:numFmt w:val="decimal"/>
      <w:lvlText w:val="%1.%2.%3.%4.%5.%6.%7.%8.%9"/>
      <w:lvlJc w:val="left"/>
      <w:pPr>
        <w:ind w:left="5102" w:hanging="1700"/>
      </w:pPr>
      <w:rPr>
        <w:rFonts w:hint="eastAsia"/>
      </w:rPr>
    </w:lvl>
  </w:abstractNum>
  <w:abstractNum w:abstractNumId="2">
    <w:nsid w:val="315F2DE6"/>
    <w:multiLevelType w:val="multilevel"/>
    <w:tmpl w:val="315F2DE6"/>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Restart w:val="1"/>
      <w:pStyle w:val="25"/>
      <w:suff w:val="nothing"/>
      <w:lvlText w:val="(%8)"/>
      <w:lvlJc w:val="center"/>
      <w:pPr>
        <w:tabs>
          <w:tab w:val="left" w:pos="0"/>
        </w:tabs>
        <w:ind w:left="720" w:firstLine="0"/>
      </w:pPr>
      <w:rPr>
        <w:rFonts w:hint="default" w:ascii="Times New Roman" w:hAnsi="Times New Roman" w:eastAsia="宋体" w:cs="宋体"/>
        <w:sz w:val="18"/>
        <w:szCs w:val="18"/>
      </w:rPr>
    </w:lvl>
    <w:lvl w:ilvl="8" w:tentative="0">
      <w:start w:val="1"/>
      <w:numFmt w:val="decimal"/>
      <w:lvlText w:val="%1.%2.%3.%4.%5.%6.%7.%8.%9"/>
      <w:lvlJc w:val="left"/>
      <w:pPr>
        <w:ind w:left="5102" w:hanging="1700"/>
      </w:pPr>
      <w:rPr>
        <w:rFonts w:hint="eastAsia"/>
      </w:rPr>
    </w:lvl>
  </w:abstractNum>
  <w:abstractNum w:abstractNumId="3">
    <w:nsid w:val="3880BD69"/>
    <w:multiLevelType w:val="multilevel"/>
    <w:tmpl w:val="3880BD69"/>
    <w:lvl w:ilvl="0" w:tentative="0">
      <w:start w:val="1"/>
      <w:numFmt w:val="decimal"/>
      <w:pStyle w:val="36"/>
      <w:suff w:val="space"/>
      <w:lvlText w:val="表%1"/>
      <w:lvlJc w:val="left"/>
      <w:pPr>
        <w:tabs>
          <w:tab w:val="left" w:pos="0"/>
        </w:tabs>
        <w:ind w:left="0" w:firstLine="0"/>
      </w:pPr>
      <w:rPr>
        <w:rFonts w:hint="default" w:ascii="宋体" w:hAnsi="宋体" w:eastAsia="宋体" w:cs="宋体"/>
      </w:rPr>
    </w:lvl>
    <w:lvl w:ilvl="1" w:tentative="0">
      <w:start w:val="1"/>
      <w:numFmt w:val="decimal"/>
      <w:suff w:val="space"/>
      <w:lvlText w:val="%1%2 "/>
      <w:lvlJc w:val="left"/>
      <w:pPr>
        <w:ind w:left="0" w:firstLine="0"/>
      </w:pPr>
      <w:rPr>
        <w:rFonts w:hint="eastAsia"/>
      </w:rPr>
    </w:lvl>
    <w:lvl w:ilvl="2" w:tentative="0">
      <w:start w:val="1"/>
      <w:numFmt w:val="decimal"/>
      <w:suff w:val="space"/>
      <w:lvlText w:val="%1%2.%3 "/>
      <w:lvlJc w:val="left"/>
      <w:pPr>
        <w:ind w:left="0" w:firstLine="0"/>
      </w:pPr>
      <w:rPr>
        <w:rFonts w:hint="eastAsia"/>
      </w:rPr>
    </w:lvl>
    <w:lvl w:ilvl="3" w:tentative="0">
      <w:start w:val="1"/>
      <w:numFmt w:val="decimal"/>
      <w:suff w:val="space"/>
      <w:lvlText w:val="%1%2.%3.%4 "/>
      <w:lvlJc w:val="left"/>
      <w:pPr>
        <w:ind w:left="0" w:firstLine="0"/>
      </w:pPr>
      <w:rPr>
        <w:rFonts w:hint="default" w:ascii="Times New Roman" w:hAnsi="Times New Roman" w:cs="Times New Roman"/>
        <w:color w:val="auto"/>
      </w:rPr>
    </w:lvl>
    <w:lvl w:ilvl="4" w:tentative="0">
      <w:start w:val="1"/>
      <w:numFmt w:val="decimal"/>
      <w:suff w:val="space"/>
      <w:lvlText w:val="%2.%3.%4.%5 "/>
      <w:lvlJc w:val="left"/>
      <w:pPr>
        <w:ind w:left="0" w:firstLine="0"/>
      </w:pPr>
      <w:rPr>
        <w:rFonts w:hint="eastAsia"/>
      </w:rPr>
    </w:lvl>
    <w:lvl w:ilvl="5" w:tentative="0">
      <w:start w:val="1"/>
      <w:numFmt w:val="decimal"/>
      <w:lvlRestart w:val="3"/>
      <w:suff w:val="space"/>
      <w:lvlText w:val="图%1%2.%3-%6 "/>
      <w:lvlJc w:val="center"/>
      <w:pPr>
        <w:ind w:left="4080" w:firstLine="0"/>
      </w:pPr>
      <w:rPr>
        <w:rFonts w:hint="default" w:ascii="Times New Roman" w:hAnsi="Times New Roman" w:eastAsia="宋体"/>
        <w:b w:val="0"/>
        <w:bCs w:val="0"/>
        <w:color w:val="auto"/>
        <w:sz w:val="21"/>
      </w:rPr>
    </w:lvl>
    <w:lvl w:ilvl="6" w:tentative="0">
      <w:start w:val="1"/>
      <w:numFmt w:val="decimal"/>
      <w:lvlRestart w:val="3"/>
      <w:suff w:val="space"/>
      <w:lvlText w:val="表%1%2.%3-%7 "/>
      <w:lvlJc w:val="center"/>
      <w:pPr>
        <w:ind w:left="0" w:firstLine="0"/>
      </w:pPr>
      <w:rPr>
        <w:rFonts w:hint="default" w:ascii="Times New Roman" w:hAnsi="Times New Roman" w:eastAsia="宋体"/>
        <w:b w:val="0"/>
        <w:bCs/>
        <w:i w:val="0"/>
        <w:sz w:val="21"/>
        <w:lang w:val="en-US"/>
      </w:rPr>
    </w:lvl>
    <w:lvl w:ilvl="7" w:tentative="0">
      <w:start w:val="1"/>
      <w:numFmt w:val="decimal"/>
      <w:lvlRestart w:val="2"/>
      <w:suff w:val="nothing"/>
      <w:lvlText w:val="（公式%1%2.%3-%8）"/>
      <w:lvlJc w:val="left"/>
      <w:pPr>
        <w:ind w:left="0" w:firstLine="0"/>
      </w:pPr>
      <w:rPr>
        <w:rFonts w:hint="default" w:ascii="Times New Roman" w:hAnsi="Times New Roman" w:eastAsia="宋体"/>
      </w:rPr>
    </w:lvl>
    <w:lvl w:ilvl="8" w:tentative="0">
      <w:start w:val="1"/>
      <w:numFmt w:val="decimal"/>
      <w:lvlText w:val="%1.%2.%3.%4.%5.%6.%7.%8.%9"/>
      <w:lvlJc w:val="left"/>
      <w:pPr>
        <w:ind w:left="5102" w:hanging="1700"/>
      </w:pPr>
      <w:rPr>
        <w:rFonts w:hint="eastAsia"/>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HorizontalSpacing w:val="181"/>
  <w:drawingGridVerticalSpacing w:val="155"/>
  <w:displayHorizontalDrawingGridEvery w:val="1"/>
  <w:displayVerticalDrawingGridEvery w:val="1"/>
  <w:noPunctuationKerning w:val="1"/>
  <w:characterSpacingControl w:val="compressPunctuation"/>
  <w:footnotePr>
    <w:footnote w:id="2"/>
    <w:footnote w:id="3"/>
  </w:footnotePr>
  <w:endnotePr>
    <w:numFmt w:val="decimal"/>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944537"/>
    <w:rsid w:val="00015BC9"/>
    <w:rsid w:val="00045932"/>
    <w:rsid w:val="000870BD"/>
    <w:rsid w:val="00122D56"/>
    <w:rsid w:val="00154AD1"/>
    <w:rsid w:val="00167623"/>
    <w:rsid w:val="001A2389"/>
    <w:rsid w:val="001A7C96"/>
    <w:rsid w:val="002244F0"/>
    <w:rsid w:val="002B132F"/>
    <w:rsid w:val="003413A6"/>
    <w:rsid w:val="004053C6"/>
    <w:rsid w:val="00420B04"/>
    <w:rsid w:val="004262B8"/>
    <w:rsid w:val="00445EDA"/>
    <w:rsid w:val="00466FC0"/>
    <w:rsid w:val="004972C4"/>
    <w:rsid w:val="004B6AD5"/>
    <w:rsid w:val="005C3FFF"/>
    <w:rsid w:val="00621636"/>
    <w:rsid w:val="00683A6E"/>
    <w:rsid w:val="006E6A36"/>
    <w:rsid w:val="00733E82"/>
    <w:rsid w:val="00882443"/>
    <w:rsid w:val="00882DDB"/>
    <w:rsid w:val="008F5F0A"/>
    <w:rsid w:val="00930C34"/>
    <w:rsid w:val="009B07DF"/>
    <w:rsid w:val="009B502B"/>
    <w:rsid w:val="00A56015"/>
    <w:rsid w:val="00B0008E"/>
    <w:rsid w:val="00B40772"/>
    <w:rsid w:val="00BB19D9"/>
    <w:rsid w:val="00C351E9"/>
    <w:rsid w:val="00CD17CC"/>
    <w:rsid w:val="00CF37AC"/>
    <w:rsid w:val="00D2166C"/>
    <w:rsid w:val="00D57386"/>
    <w:rsid w:val="00D90B2D"/>
    <w:rsid w:val="00E321FA"/>
    <w:rsid w:val="00F00A68"/>
    <w:rsid w:val="00F048A3"/>
    <w:rsid w:val="00F44986"/>
    <w:rsid w:val="00F55F5B"/>
    <w:rsid w:val="00F60BA4"/>
    <w:rsid w:val="00FA1372"/>
    <w:rsid w:val="00FE0D76"/>
    <w:rsid w:val="00FE6A71"/>
    <w:rsid w:val="016C0B5E"/>
    <w:rsid w:val="016F633B"/>
    <w:rsid w:val="040C05F0"/>
    <w:rsid w:val="04CE0D6D"/>
    <w:rsid w:val="05521FB9"/>
    <w:rsid w:val="06434355"/>
    <w:rsid w:val="06E34AAF"/>
    <w:rsid w:val="07066B28"/>
    <w:rsid w:val="076034A7"/>
    <w:rsid w:val="07950B26"/>
    <w:rsid w:val="08021565"/>
    <w:rsid w:val="08464A1F"/>
    <w:rsid w:val="086A7168"/>
    <w:rsid w:val="086D0AD3"/>
    <w:rsid w:val="08793F74"/>
    <w:rsid w:val="09C11BC8"/>
    <w:rsid w:val="0A7C56D1"/>
    <w:rsid w:val="0B0009EF"/>
    <w:rsid w:val="0B146B6D"/>
    <w:rsid w:val="0BCC5FA5"/>
    <w:rsid w:val="0BCD0135"/>
    <w:rsid w:val="0BE72997"/>
    <w:rsid w:val="0C1D153F"/>
    <w:rsid w:val="0C354C94"/>
    <w:rsid w:val="0C361B8D"/>
    <w:rsid w:val="0C536D2F"/>
    <w:rsid w:val="0D3A47AF"/>
    <w:rsid w:val="0DA97B4C"/>
    <w:rsid w:val="0DF418E9"/>
    <w:rsid w:val="0E3D521E"/>
    <w:rsid w:val="0E827CE2"/>
    <w:rsid w:val="0E8E59FB"/>
    <w:rsid w:val="0F9D551E"/>
    <w:rsid w:val="0FED5320"/>
    <w:rsid w:val="103B6E7E"/>
    <w:rsid w:val="105C0732"/>
    <w:rsid w:val="10703DF5"/>
    <w:rsid w:val="10931ACE"/>
    <w:rsid w:val="114F0E19"/>
    <w:rsid w:val="11FC4109"/>
    <w:rsid w:val="12404300"/>
    <w:rsid w:val="126B6706"/>
    <w:rsid w:val="130F2B6D"/>
    <w:rsid w:val="13412A55"/>
    <w:rsid w:val="13871BD3"/>
    <w:rsid w:val="13BD16BF"/>
    <w:rsid w:val="13E0179E"/>
    <w:rsid w:val="145508DC"/>
    <w:rsid w:val="14F572AB"/>
    <w:rsid w:val="15557820"/>
    <w:rsid w:val="15BC5A42"/>
    <w:rsid w:val="15CA6DCF"/>
    <w:rsid w:val="15F5364C"/>
    <w:rsid w:val="16460C86"/>
    <w:rsid w:val="16606CC5"/>
    <w:rsid w:val="17930699"/>
    <w:rsid w:val="184E6AEE"/>
    <w:rsid w:val="18CE6D1A"/>
    <w:rsid w:val="19076EF0"/>
    <w:rsid w:val="19C330B5"/>
    <w:rsid w:val="19CD1B5D"/>
    <w:rsid w:val="19D5021C"/>
    <w:rsid w:val="1A0918A1"/>
    <w:rsid w:val="1A0E7C3D"/>
    <w:rsid w:val="1B160D68"/>
    <w:rsid w:val="1B346E0F"/>
    <w:rsid w:val="1B7543E7"/>
    <w:rsid w:val="1B944537"/>
    <w:rsid w:val="1BA16EE5"/>
    <w:rsid w:val="1C81198C"/>
    <w:rsid w:val="1C9952B9"/>
    <w:rsid w:val="1CB029F5"/>
    <w:rsid w:val="1D5F468A"/>
    <w:rsid w:val="1DD0124D"/>
    <w:rsid w:val="1E356E9F"/>
    <w:rsid w:val="1E3812C6"/>
    <w:rsid w:val="1EBA2FB5"/>
    <w:rsid w:val="1FBE70D3"/>
    <w:rsid w:val="209960A1"/>
    <w:rsid w:val="20D917FF"/>
    <w:rsid w:val="21233D21"/>
    <w:rsid w:val="216243AA"/>
    <w:rsid w:val="218D4D42"/>
    <w:rsid w:val="21966D8B"/>
    <w:rsid w:val="21CA3C27"/>
    <w:rsid w:val="23507857"/>
    <w:rsid w:val="2387635C"/>
    <w:rsid w:val="23ED0B95"/>
    <w:rsid w:val="246D5AB8"/>
    <w:rsid w:val="24812300"/>
    <w:rsid w:val="24C91A8D"/>
    <w:rsid w:val="24F34C8A"/>
    <w:rsid w:val="26315FCE"/>
    <w:rsid w:val="26D67448"/>
    <w:rsid w:val="272A198E"/>
    <w:rsid w:val="27634175"/>
    <w:rsid w:val="283E292D"/>
    <w:rsid w:val="292E40FB"/>
    <w:rsid w:val="2998487B"/>
    <w:rsid w:val="29B91B3D"/>
    <w:rsid w:val="29CA071F"/>
    <w:rsid w:val="2ADF111C"/>
    <w:rsid w:val="2AF31639"/>
    <w:rsid w:val="2AF978D1"/>
    <w:rsid w:val="2B1851DD"/>
    <w:rsid w:val="2C054FAA"/>
    <w:rsid w:val="2CA6781B"/>
    <w:rsid w:val="2CE5579C"/>
    <w:rsid w:val="2D163B74"/>
    <w:rsid w:val="2D6A7452"/>
    <w:rsid w:val="2DA47D6E"/>
    <w:rsid w:val="2E0D1EFE"/>
    <w:rsid w:val="2E393461"/>
    <w:rsid w:val="2E605354"/>
    <w:rsid w:val="2E800147"/>
    <w:rsid w:val="2E945336"/>
    <w:rsid w:val="2F7A6C45"/>
    <w:rsid w:val="2F804A8F"/>
    <w:rsid w:val="2F897CC2"/>
    <w:rsid w:val="2FC618EA"/>
    <w:rsid w:val="307B6426"/>
    <w:rsid w:val="310409D4"/>
    <w:rsid w:val="325C09FA"/>
    <w:rsid w:val="32CD2419"/>
    <w:rsid w:val="3350422C"/>
    <w:rsid w:val="33BB16F1"/>
    <w:rsid w:val="341D19D6"/>
    <w:rsid w:val="34223547"/>
    <w:rsid w:val="35645596"/>
    <w:rsid w:val="35C94540"/>
    <w:rsid w:val="36446E6D"/>
    <w:rsid w:val="37093018"/>
    <w:rsid w:val="38751948"/>
    <w:rsid w:val="390B0063"/>
    <w:rsid w:val="39357C69"/>
    <w:rsid w:val="396528BC"/>
    <w:rsid w:val="39895B16"/>
    <w:rsid w:val="39BE52C9"/>
    <w:rsid w:val="39C11AE3"/>
    <w:rsid w:val="39CE4CF3"/>
    <w:rsid w:val="3A96552E"/>
    <w:rsid w:val="3AEF7A7F"/>
    <w:rsid w:val="3B2D3927"/>
    <w:rsid w:val="3BC76F18"/>
    <w:rsid w:val="3C0273B0"/>
    <w:rsid w:val="3C1C79D0"/>
    <w:rsid w:val="3C2C4053"/>
    <w:rsid w:val="3CF65D26"/>
    <w:rsid w:val="3DB65060"/>
    <w:rsid w:val="3DE072D7"/>
    <w:rsid w:val="3E0A2E58"/>
    <w:rsid w:val="3EAD294A"/>
    <w:rsid w:val="3F0355EF"/>
    <w:rsid w:val="3FB14695"/>
    <w:rsid w:val="3FF4EBD1"/>
    <w:rsid w:val="40287C10"/>
    <w:rsid w:val="404A0443"/>
    <w:rsid w:val="416174E2"/>
    <w:rsid w:val="418D1862"/>
    <w:rsid w:val="41AC7227"/>
    <w:rsid w:val="41CE369A"/>
    <w:rsid w:val="42474D84"/>
    <w:rsid w:val="428411AC"/>
    <w:rsid w:val="4285348D"/>
    <w:rsid w:val="42923E81"/>
    <w:rsid w:val="42CD46CB"/>
    <w:rsid w:val="44693D42"/>
    <w:rsid w:val="44754B13"/>
    <w:rsid w:val="454D7C42"/>
    <w:rsid w:val="456D6DD6"/>
    <w:rsid w:val="45C646B7"/>
    <w:rsid w:val="45E43797"/>
    <w:rsid w:val="46A07E48"/>
    <w:rsid w:val="47321256"/>
    <w:rsid w:val="47AA56E9"/>
    <w:rsid w:val="47DE7A4D"/>
    <w:rsid w:val="48115E33"/>
    <w:rsid w:val="481623DB"/>
    <w:rsid w:val="48511B8D"/>
    <w:rsid w:val="48E94697"/>
    <w:rsid w:val="498A0EE5"/>
    <w:rsid w:val="4A824F4C"/>
    <w:rsid w:val="4B0F3177"/>
    <w:rsid w:val="4B265BF9"/>
    <w:rsid w:val="4BCC44FE"/>
    <w:rsid w:val="4BF83078"/>
    <w:rsid w:val="4C224CBB"/>
    <w:rsid w:val="4C2F53AC"/>
    <w:rsid w:val="4CBA4640"/>
    <w:rsid w:val="4CE43CB8"/>
    <w:rsid w:val="4D673ECC"/>
    <w:rsid w:val="4D690BD0"/>
    <w:rsid w:val="4D93343C"/>
    <w:rsid w:val="4E42068B"/>
    <w:rsid w:val="4EA779C3"/>
    <w:rsid w:val="4ECC1479"/>
    <w:rsid w:val="4F2E6E63"/>
    <w:rsid w:val="4F3A498A"/>
    <w:rsid w:val="50084EE9"/>
    <w:rsid w:val="504D0A44"/>
    <w:rsid w:val="50EB1189"/>
    <w:rsid w:val="518B4777"/>
    <w:rsid w:val="51F16466"/>
    <w:rsid w:val="52B96975"/>
    <w:rsid w:val="532263EB"/>
    <w:rsid w:val="532314DD"/>
    <w:rsid w:val="533E6DD9"/>
    <w:rsid w:val="538B3751"/>
    <w:rsid w:val="54096165"/>
    <w:rsid w:val="54F31286"/>
    <w:rsid w:val="55061975"/>
    <w:rsid w:val="55631D0E"/>
    <w:rsid w:val="558B30E5"/>
    <w:rsid w:val="559C58D9"/>
    <w:rsid w:val="55C3196B"/>
    <w:rsid w:val="56177535"/>
    <w:rsid w:val="56455F9A"/>
    <w:rsid w:val="57CB3FEB"/>
    <w:rsid w:val="580A2E4F"/>
    <w:rsid w:val="580B6CFF"/>
    <w:rsid w:val="58287EF0"/>
    <w:rsid w:val="58576671"/>
    <w:rsid w:val="59453C25"/>
    <w:rsid w:val="59D174D3"/>
    <w:rsid w:val="5A610DFC"/>
    <w:rsid w:val="5A787CB6"/>
    <w:rsid w:val="5B7256D3"/>
    <w:rsid w:val="5B835E95"/>
    <w:rsid w:val="5BA9396F"/>
    <w:rsid w:val="5BF07D28"/>
    <w:rsid w:val="5CB003E8"/>
    <w:rsid w:val="5D207CD9"/>
    <w:rsid w:val="5D7C4E9E"/>
    <w:rsid w:val="5EE409E6"/>
    <w:rsid w:val="5F2913F5"/>
    <w:rsid w:val="5FB16D0D"/>
    <w:rsid w:val="5FC25E26"/>
    <w:rsid w:val="5FFFD128"/>
    <w:rsid w:val="604D003F"/>
    <w:rsid w:val="614F51E1"/>
    <w:rsid w:val="618338A3"/>
    <w:rsid w:val="62976ABE"/>
    <w:rsid w:val="63F12F83"/>
    <w:rsid w:val="643F5A4B"/>
    <w:rsid w:val="644A1AD6"/>
    <w:rsid w:val="64A36F4D"/>
    <w:rsid w:val="650B3C44"/>
    <w:rsid w:val="651E7B4B"/>
    <w:rsid w:val="65454025"/>
    <w:rsid w:val="65DF1A94"/>
    <w:rsid w:val="65EC691D"/>
    <w:rsid w:val="66431D2C"/>
    <w:rsid w:val="6655613C"/>
    <w:rsid w:val="66642BCD"/>
    <w:rsid w:val="670B2021"/>
    <w:rsid w:val="67181515"/>
    <w:rsid w:val="67231B8A"/>
    <w:rsid w:val="67596BDA"/>
    <w:rsid w:val="678A3D4E"/>
    <w:rsid w:val="679247E2"/>
    <w:rsid w:val="67FF1EAE"/>
    <w:rsid w:val="683406C7"/>
    <w:rsid w:val="68871E87"/>
    <w:rsid w:val="690E2DE0"/>
    <w:rsid w:val="69317CDA"/>
    <w:rsid w:val="69490748"/>
    <w:rsid w:val="697242CD"/>
    <w:rsid w:val="69810574"/>
    <w:rsid w:val="69B445B7"/>
    <w:rsid w:val="69C00166"/>
    <w:rsid w:val="69F5427C"/>
    <w:rsid w:val="6A6B1B24"/>
    <w:rsid w:val="6AFF4B4A"/>
    <w:rsid w:val="6B730CAD"/>
    <w:rsid w:val="6BC44E13"/>
    <w:rsid w:val="6BDD3E07"/>
    <w:rsid w:val="6C6A3F93"/>
    <w:rsid w:val="6C6C37DA"/>
    <w:rsid w:val="6C8B2DA0"/>
    <w:rsid w:val="6CE1535B"/>
    <w:rsid w:val="6CE21D97"/>
    <w:rsid w:val="6CF95386"/>
    <w:rsid w:val="6D13694E"/>
    <w:rsid w:val="6D342520"/>
    <w:rsid w:val="6DB1671B"/>
    <w:rsid w:val="6DF13D69"/>
    <w:rsid w:val="6E816A49"/>
    <w:rsid w:val="6EAB8E95"/>
    <w:rsid w:val="6ED7079C"/>
    <w:rsid w:val="6EFB0A87"/>
    <w:rsid w:val="6F413BF1"/>
    <w:rsid w:val="6F9B5FA9"/>
    <w:rsid w:val="6F9F63D8"/>
    <w:rsid w:val="70632D94"/>
    <w:rsid w:val="709F7DD6"/>
    <w:rsid w:val="71236176"/>
    <w:rsid w:val="713C759D"/>
    <w:rsid w:val="71423901"/>
    <w:rsid w:val="71742637"/>
    <w:rsid w:val="718963FB"/>
    <w:rsid w:val="71AE2E11"/>
    <w:rsid w:val="73761EA6"/>
    <w:rsid w:val="73D34BD6"/>
    <w:rsid w:val="761D170C"/>
    <w:rsid w:val="76CE7F56"/>
    <w:rsid w:val="77590B6B"/>
    <w:rsid w:val="775A3E4A"/>
    <w:rsid w:val="783D0751"/>
    <w:rsid w:val="7A1D05C0"/>
    <w:rsid w:val="7AAD7310"/>
    <w:rsid w:val="7B1B3108"/>
    <w:rsid w:val="7B1F4B98"/>
    <w:rsid w:val="7B2C33A2"/>
    <w:rsid w:val="7B3A4757"/>
    <w:rsid w:val="7B796BD2"/>
    <w:rsid w:val="7B942C0B"/>
    <w:rsid w:val="7CFAF4C6"/>
    <w:rsid w:val="7D8C01C4"/>
    <w:rsid w:val="7DA15913"/>
    <w:rsid w:val="7DAD3194"/>
    <w:rsid w:val="7DC81AB0"/>
    <w:rsid w:val="7DF46E19"/>
    <w:rsid w:val="7EFD4694"/>
    <w:rsid w:val="9FDD7E7B"/>
    <w:rsid w:val="DFC74718"/>
    <w:rsid w:val="FF7DE67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33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1044" w:firstLineChars="200"/>
      <w:jc w:val="both"/>
    </w:pPr>
    <w:rPr>
      <w:rFonts w:ascii="Times New Roman" w:hAnsi="Times New Roman" w:eastAsia="宋体" w:cs="宋体"/>
      <w:kern w:val="2"/>
      <w:sz w:val="21"/>
      <w:szCs w:val="24"/>
      <w:lang w:val="en-US" w:eastAsia="zh-CN" w:bidi="ar-SA"/>
    </w:rPr>
  </w:style>
  <w:style w:type="paragraph" w:styleId="2">
    <w:name w:val="heading 1"/>
    <w:next w:val="1"/>
    <w:qFormat/>
    <w:uiPriority w:val="0"/>
    <w:pPr>
      <w:keepNext/>
      <w:keepLines/>
      <w:numPr>
        <w:ilvl w:val="0"/>
        <w:numId w:val="1"/>
      </w:numPr>
      <w:outlineLvl w:val="0"/>
    </w:pPr>
    <w:rPr>
      <w:rFonts w:ascii="Times New Roman" w:hAnsi="Times New Roman" w:eastAsia="黑体" w:cs="Times New Roman"/>
      <w:b/>
      <w:kern w:val="44"/>
      <w:sz w:val="28"/>
      <w:lang w:val="en-US" w:eastAsia="zh-CN" w:bidi="ar-SA"/>
    </w:rPr>
  </w:style>
  <w:style w:type="paragraph" w:styleId="3">
    <w:name w:val="heading 2"/>
    <w:basedOn w:val="1"/>
    <w:next w:val="1"/>
    <w:link w:val="22"/>
    <w:unhideWhenUsed/>
    <w:qFormat/>
    <w:uiPriority w:val="0"/>
    <w:pPr>
      <w:numPr>
        <w:ilvl w:val="1"/>
        <w:numId w:val="1"/>
      </w:numPr>
      <w:ind w:firstLineChars="0"/>
      <w:outlineLvl w:val="1"/>
    </w:pPr>
    <w:rPr>
      <w:b/>
      <w:sz w:val="24"/>
    </w:rPr>
  </w:style>
  <w:style w:type="paragraph" w:styleId="4">
    <w:name w:val="heading 3"/>
    <w:next w:val="1"/>
    <w:semiHidden/>
    <w:unhideWhenUsed/>
    <w:qFormat/>
    <w:uiPriority w:val="0"/>
    <w:pPr>
      <w:keepNext/>
      <w:keepLines/>
      <w:outlineLvl w:val="2"/>
    </w:pPr>
    <w:rPr>
      <w:rFonts w:ascii="Times New Roman" w:hAnsi="Times New Roman" w:eastAsia="宋体" w:cstheme="minorBidi"/>
      <w:b/>
      <w:sz w:val="28"/>
      <w:lang w:val="en-US" w:eastAsia="zh-CN" w:bidi="ar-SA"/>
    </w:rPr>
  </w:style>
  <w:style w:type="paragraph" w:styleId="5">
    <w:name w:val="heading 4"/>
    <w:basedOn w:val="4"/>
    <w:next w:val="1"/>
    <w:link w:val="40"/>
    <w:semiHidden/>
    <w:unhideWhenUsed/>
    <w:qFormat/>
    <w:uiPriority w:val="0"/>
    <w:pPr>
      <w:tabs>
        <w:tab w:val="left" w:pos="0"/>
      </w:tabs>
      <w:spacing w:before="50" w:after="50"/>
      <w:outlineLvl w:val="3"/>
    </w:pPr>
    <w:rPr>
      <w:rFonts w:eastAsiaTheme="majorEastAsia" w:cstheme="majorBidi"/>
      <w:sz w:val="24"/>
    </w:rPr>
  </w:style>
  <w:style w:type="paragraph" w:styleId="6">
    <w:name w:val="heading 5"/>
    <w:basedOn w:val="1"/>
    <w:next w:val="1"/>
    <w:semiHidden/>
    <w:unhideWhenUsed/>
    <w:qFormat/>
    <w:uiPriority w:val="0"/>
    <w:pPr>
      <w:keepNext/>
      <w:keepLines/>
      <w:numPr>
        <w:ilvl w:val="4"/>
        <w:numId w:val="1"/>
      </w:numPr>
      <w:spacing w:before="280" w:after="290" w:line="372" w:lineRule="auto"/>
      <w:ind w:firstLineChars="0"/>
      <w:outlineLvl w:val="4"/>
    </w:pPr>
    <w:rPr>
      <w:b/>
      <w:sz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link w:val="23"/>
    <w:unhideWhenUsed/>
    <w:qFormat/>
    <w:uiPriority w:val="35"/>
    <w:pPr>
      <w:tabs>
        <w:tab w:val="left" w:pos="0"/>
      </w:tabs>
      <w:ind w:firstLine="0" w:firstLineChars="0"/>
      <w:jc w:val="center"/>
    </w:pPr>
    <w:rPr>
      <w:rFonts w:eastAsia="黑体" w:cs="黑体"/>
      <w:bCs/>
      <w:kern w:val="0"/>
      <w:sz w:val="18"/>
      <w:szCs w:val="21"/>
    </w:rPr>
  </w:style>
  <w:style w:type="paragraph" w:styleId="8">
    <w:name w:val="Body Text"/>
    <w:basedOn w:val="1"/>
    <w:link w:val="38"/>
    <w:unhideWhenUsed/>
    <w:qFormat/>
    <w:uiPriority w:val="99"/>
  </w:style>
  <w:style w:type="paragraph" w:styleId="9">
    <w:name w:val="endnote text"/>
    <w:basedOn w:val="1"/>
    <w:link w:val="39"/>
    <w:qFormat/>
    <w:uiPriority w:val="0"/>
    <w:pPr>
      <w:snapToGrid w:val="0"/>
      <w:spacing w:line="340" w:lineRule="atLeast"/>
      <w:jc w:val="left"/>
    </w:pPr>
    <w:rPr>
      <w:sz w:val="18"/>
    </w:rPr>
  </w:style>
  <w:style w:type="paragraph" w:styleId="10">
    <w:name w:val="footnote text"/>
    <w:basedOn w:val="1"/>
    <w:link w:val="42"/>
    <w:qFormat/>
    <w:uiPriority w:val="0"/>
    <w:pPr>
      <w:snapToGrid w:val="0"/>
      <w:jc w:val="left"/>
    </w:pPr>
    <w:rPr>
      <w:sz w:val="18"/>
    </w:rPr>
  </w:style>
  <w:style w:type="paragraph" w:styleId="11">
    <w:name w:val="Normal (Web)"/>
    <w:basedOn w:val="1"/>
    <w:qFormat/>
    <w:uiPriority w:val="0"/>
    <w:rPr>
      <w:sz w:val="24"/>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22"/>
    <w:rPr>
      <w:b/>
      <w:bCs/>
    </w:rPr>
  </w:style>
  <w:style w:type="character" w:styleId="16">
    <w:name w:val="endnote reference"/>
    <w:basedOn w:val="14"/>
    <w:qFormat/>
    <w:uiPriority w:val="0"/>
    <w:rPr>
      <w:vertAlign w:val="superscript"/>
    </w:rPr>
  </w:style>
  <w:style w:type="character" w:styleId="17">
    <w:name w:val="Emphasis"/>
    <w:basedOn w:val="14"/>
    <w:qFormat/>
    <w:uiPriority w:val="0"/>
    <w:rPr>
      <w:i/>
    </w:rPr>
  </w:style>
  <w:style w:type="character" w:styleId="18">
    <w:name w:val="Hyperlink"/>
    <w:basedOn w:val="14"/>
    <w:qFormat/>
    <w:uiPriority w:val="0"/>
    <w:rPr>
      <w:color w:val="0026E5" w:themeColor="hyperlink"/>
      <w:u w:val="single"/>
      <w14:textFill>
        <w14:solidFill>
          <w14:schemeClr w14:val="hlink"/>
        </w14:solidFill>
      </w14:textFill>
    </w:rPr>
  </w:style>
  <w:style w:type="character" w:styleId="19">
    <w:name w:val="HTML Code"/>
    <w:basedOn w:val="14"/>
    <w:qFormat/>
    <w:uiPriority w:val="0"/>
    <w:rPr>
      <w:rFonts w:ascii="Courier New" w:hAnsi="Courier New"/>
      <w:sz w:val="20"/>
    </w:rPr>
  </w:style>
  <w:style w:type="character" w:styleId="20">
    <w:name w:val="footnote reference"/>
    <w:basedOn w:val="14"/>
    <w:qFormat/>
    <w:uiPriority w:val="0"/>
    <w:rPr>
      <w:vertAlign w:val="superscript"/>
    </w:rPr>
  </w:style>
  <w:style w:type="paragraph" w:customStyle="1" w:styleId="21">
    <w:name w:val="表头题注"/>
    <w:basedOn w:val="1"/>
    <w:qFormat/>
    <w:uiPriority w:val="0"/>
    <w:pPr>
      <w:numPr>
        <w:ilvl w:val="6"/>
        <w:numId w:val="1"/>
      </w:numPr>
      <w:ind w:firstLineChars="0"/>
    </w:pPr>
  </w:style>
  <w:style w:type="character" w:customStyle="1" w:styleId="22">
    <w:name w:val="标题 2 字符"/>
    <w:link w:val="3"/>
    <w:qFormat/>
    <w:uiPriority w:val="0"/>
    <w:rPr>
      <w:rFonts w:ascii="Times New Roman" w:hAnsi="Times New Roman" w:eastAsia="宋体" w:cstheme="minorBidi"/>
      <w:b/>
      <w:bCs/>
      <w:spacing w:val="0"/>
      <w:kern w:val="2"/>
      <w:sz w:val="24"/>
      <w:szCs w:val="24"/>
      <w:lang w:val="en-US" w:eastAsia="zh-CN" w:bidi="ar-SA"/>
    </w:rPr>
  </w:style>
  <w:style w:type="character" w:customStyle="1" w:styleId="23">
    <w:name w:val="题注 字符2"/>
    <w:link w:val="7"/>
    <w:qFormat/>
    <w:uiPriority w:val="35"/>
    <w:rPr>
      <w:rFonts w:ascii="Times New Roman" w:hAnsi="Times New Roman" w:eastAsia="黑体" w:cs="宋体"/>
      <w:bCs/>
      <w:sz w:val="18"/>
      <w:szCs w:val="21"/>
    </w:rPr>
  </w:style>
  <w:style w:type="character" w:customStyle="1" w:styleId="24">
    <w:name w:val="题注 字符"/>
    <w:qFormat/>
    <w:uiPriority w:val="35"/>
    <w:rPr>
      <w:rFonts w:eastAsia="宋体" w:cs="Times New Roman"/>
      <w:b/>
      <w:bCs/>
      <w:sz w:val="21"/>
      <w:szCs w:val="21"/>
    </w:rPr>
  </w:style>
  <w:style w:type="paragraph" w:customStyle="1" w:styleId="25">
    <w:name w:val="公式编号"/>
    <w:basedOn w:val="26"/>
    <w:link w:val="27"/>
    <w:qFormat/>
    <w:uiPriority w:val="0"/>
    <w:pPr>
      <w:numPr>
        <w:ilvl w:val="7"/>
        <w:numId w:val="2"/>
      </w:numPr>
      <w:ind w:left="0"/>
    </w:pPr>
    <w:rPr>
      <w:rFonts w:cstheme="minorBidi"/>
    </w:rPr>
  </w:style>
  <w:style w:type="paragraph" w:customStyle="1" w:styleId="26">
    <w:name w:val="公式（）"/>
    <w:basedOn w:val="1"/>
    <w:qFormat/>
    <w:uiPriority w:val="0"/>
    <w:pPr>
      <w:numPr>
        <w:ilvl w:val="0"/>
        <w:numId w:val="3"/>
      </w:numPr>
      <w:ind w:firstLineChars="0"/>
      <w:jc w:val="center"/>
    </w:pPr>
    <w:rPr>
      <w:sz w:val="28"/>
      <w:szCs w:val="28"/>
    </w:rPr>
  </w:style>
  <w:style w:type="character" w:customStyle="1" w:styleId="27">
    <w:name w:val="公式编号 字符"/>
    <w:link w:val="25"/>
    <w:qFormat/>
    <w:uiPriority w:val="0"/>
    <w:rPr>
      <w:rFonts w:ascii="Times New Roman" w:hAnsi="Times New Roman" w:eastAsia="宋体" w:cstheme="minorBidi"/>
      <w:bCs/>
      <w:kern w:val="0"/>
      <w:sz w:val="18"/>
      <w:szCs w:val="21"/>
      <w:lang w:val="en-US" w:eastAsia="zh-CN" w:bidi="ar-SA"/>
    </w:rPr>
  </w:style>
  <w:style w:type="character" w:customStyle="1" w:styleId="28">
    <w:name w:val="表头题注 字符"/>
    <w:basedOn w:val="29"/>
    <w:link w:val="30"/>
    <w:qFormat/>
    <w:uiPriority w:val="0"/>
    <w:rPr>
      <w:rFonts w:eastAsia="宋体"/>
      <w:b/>
      <w:sz w:val="21"/>
      <w:szCs w:val="21"/>
    </w:rPr>
  </w:style>
  <w:style w:type="character" w:customStyle="1" w:styleId="29">
    <w:name w:val="题注 字符1"/>
    <w:qFormat/>
    <w:uiPriority w:val="35"/>
    <w:rPr>
      <w:rFonts w:eastAsia="宋体"/>
      <w:bCs/>
      <w:sz w:val="21"/>
      <w:szCs w:val="21"/>
    </w:rPr>
  </w:style>
  <w:style w:type="paragraph" w:customStyle="1" w:styleId="30">
    <w:name w:val="表头题注2"/>
    <w:basedOn w:val="7"/>
    <w:link w:val="28"/>
    <w:qFormat/>
    <w:uiPriority w:val="0"/>
    <w:pPr>
      <w:keepNext/>
      <w:spacing w:before="50" w:beforeLines="50"/>
    </w:pPr>
  </w:style>
  <w:style w:type="character" w:customStyle="1" w:styleId="31">
    <w:name w:val="表头题注 字符11"/>
    <w:basedOn w:val="32"/>
    <w:link w:val="33"/>
    <w:qFormat/>
    <w:uiPriority w:val="0"/>
    <w:rPr>
      <w:rFonts w:eastAsia="宋体"/>
      <w:b/>
      <w:sz w:val="21"/>
      <w:szCs w:val="21"/>
    </w:rPr>
  </w:style>
  <w:style w:type="character" w:customStyle="1" w:styleId="32">
    <w:name w:val="题注 字符11"/>
    <w:qFormat/>
    <w:uiPriority w:val="35"/>
    <w:rPr>
      <w:rFonts w:eastAsia="宋体"/>
      <w:bCs/>
      <w:sz w:val="21"/>
      <w:szCs w:val="21"/>
    </w:rPr>
  </w:style>
  <w:style w:type="paragraph" w:customStyle="1" w:styleId="33">
    <w:name w:val="表头题注11"/>
    <w:basedOn w:val="7"/>
    <w:link w:val="31"/>
    <w:qFormat/>
    <w:uiPriority w:val="0"/>
    <w:pPr>
      <w:keepNext/>
      <w:spacing w:before="50" w:beforeLines="50"/>
    </w:pPr>
  </w:style>
  <w:style w:type="character" w:customStyle="1" w:styleId="34">
    <w:name w:val="表头题注 字符1"/>
    <w:basedOn w:val="23"/>
    <w:link w:val="35"/>
    <w:qFormat/>
    <w:uiPriority w:val="0"/>
    <w:rPr>
      <w:rFonts w:ascii="Times New Roman" w:hAnsi="Times New Roman" w:eastAsia="宋体" w:cs="宋体"/>
      <w:sz w:val="21"/>
      <w:szCs w:val="21"/>
    </w:rPr>
  </w:style>
  <w:style w:type="paragraph" w:customStyle="1" w:styleId="35">
    <w:name w:val="表头题注1"/>
    <w:basedOn w:val="7"/>
    <w:link w:val="34"/>
    <w:qFormat/>
    <w:uiPriority w:val="0"/>
    <w:pPr>
      <w:keepNext/>
      <w:spacing w:before="50" w:beforeLines="50"/>
    </w:pPr>
  </w:style>
  <w:style w:type="paragraph" w:customStyle="1" w:styleId="36">
    <w:name w:val="图表名"/>
    <w:link w:val="37"/>
    <w:qFormat/>
    <w:uiPriority w:val="0"/>
    <w:pPr>
      <w:numPr>
        <w:ilvl w:val="0"/>
        <w:numId w:val="4"/>
      </w:numPr>
      <w:jc w:val="center"/>
    </w:pPr>
    <w:rPr>
      <w:rFonts w:ascii="Times New Roman" w:hAnsi="Times New Roman" w:eastAsia="宋体" w:cs="宋体"/>
      <w:kern w:val="2"/>
      <w:sz w:val="28"/>
      <w:szCs w:val="28"/>
      <w:lang w:val="en-US" w:eastAsia="zh-CN" w:bidi="ar-SA"/>
    </w:rPr>
  </w:style>
  <w:style w:type="character" w:customStyle="1" w:styleId="37">
    <w:name w:val="图表名 字符"/>
    <w:basedOn w:val="14"/>
    <w:link w:val="36"/>
    <w:qFormat/>
    <w:uiPriority w:val="0"/>
    <w:rPr>
      <w:rFonts w:ascii="Times New Roman" w:hAnsi="Times New Roman" w:eastAsia="宋体" w:cs="宋体"/>
      <w:kern w:val="2"/>
      <w:sz w:val="28"/>
      <w:szCs w:val="28"/>
    </w:rPr>
  </w:style>
  <w:style w:type="character" w:customStyle="1" w:styleId="38">
    <w:name w:val="正文文本 字符"/>
    <w:link w:val="8"/>
    <w:qFormat/>
    <w:uiPriority w:val="99"/>
    <w:rPr>
      <w:rFonts w:ascii="Times New Roman" w:hAnsi="Times New Roman" w:eastAsia="宋体"/>
      <w:sz w:val="21"/>
    </w:rPr>
  </w:style>
  <w:style w:type="character" w:customStyle="1" w:styleId="39">
    <w:name w:val="尾注文本 字符"/>
    <w:link w:val="9"/>
    <w:qFormat/>
    <w:uiPriority w:val="0"/>
    <w:rPr>
      <w:rFonts w:ascii="Times New Roman" w:hAnsi="Times New Roman" w:eastAsia="宋体"/>
      <w:sz w:val="18"/>
    </w:rPr>
  </w:style>
  <w:style w:type="character" w:customStyle="1" w:styleId="40">
    <w:name w:val="标题 4 字符"/>
    <w:link w:val="5"/>
    <w:qFormat/>
    <w:uiPriority w:val="0"/>
    <w:rPr>
      <w:rFonts w:ascii="Times New Roman" w:hAnsi="Times New Roman" w:eastAsiaTheme="majorEastAsia" w:cstheme="majorBidi"/>
      <w:sz w:val="24"/>
      <w:szCs w:val="24"/>
    </w:rPr>
  </w:style>
  <w:style w:type="paragraph" w:styleId="41">
    <w:name w:val="List Paragraph"/>
    <w:basedOn w:val="1"/>
    <w:qFormat/>
    <w:uiPriority w:val="99"/>
    <w:pPr>
      <w:ind w:firstLine="420"/>
    </w:pPr>
  </w:style>
  <w:style w:type="character" w:customStyle="1" w:styleId="42">
    <w:name w:val="脚注文本 字符"/>
    <w:basedOn w:val="14"/>
    <w:link w:val="10"/>
    <w:qFormat/>
    <w:uiPriority w:val="0"/>
    <w:rPr>
      <w:rFonts w:cs="宋体"/>
      <w:kern w:val="2"/>
      <w:sz w:val="18"/>
      <w:szCs w:val="24"/>
    </w:rPr>
  </w:style>
  <w:style w:type="character" w:customStyle="1" w:styleId="43">
    <w:name w:val="Unresolved Mention"/>
    <w:basedOn w:val="14"/>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3.png"/><Relationship Id="rId7" Type="http://schemas.openxmlformats.org/officeDocument/2006/relationships/image" Target="media/image2.png"/><Relationship Id="rId61" Type="http://schemas.openxmlformats.org/officeDocument/2006/relationships/fontTable" Target="fontTable.xml"/><Relationship Id="rId60" Type="http://schemas.openxmlformats.org/officeDocument/2006/relationships/numbering" Target="numbering.xml"/><Relationship Id="rId6" Type="http://schemas.openxmlformats.org/officeDocument/2006/relationships/image" Target="media/image1.jpeg"/><Relationship Id="rId59" Type="http://schemas.openxmlformats.org/officeDocument/2006/relationships/image" Target="media/image33.jpeg"/><Relationship Id="rId58" Type="http://schemas.openxmlformats.org/officeDocument/2006/relationships/image" Target="media/image32.jpeg"/><Relationship Id="rId57" Type="http://schemas.openxmlformats.org/officeDocument/2006/relationships/image" Target="media/image31.jpeg"/><Relationship Id="rId56" Type="http://schemas.openxmlformats.org/officeDocument/2006/relationships/image" Target="media/image30.jpeg"/><Relationship Id="rId55" Type="http://schemas.openxmlformats.org/officeDocument/2006/relationships/image" Target="media/image29.jpeg"/><Relationship Id="rId54" Type="http://schemas.openxmlformats.org/officeDocument/2006/relationships/image" Target="media/image28.jpeg"/><Relationship Id="rId53" Type="http://schemas.openxmlformats.org/officeDocument/2006/relationships/image" Target="media/image27.jpeg"/><Relationship Id="rId52" Type="http://schemas.openxmlformats.org/officeDocument/2006/relationships/image" Target="media/image26.jpeg"/><Relationship Id="rId51" Type="http://schemas.openxmlformats.org/officeDocument/2006/relationships/image" Target="media/image25.jpeg"/><Relationship Id="rId50" Type="http://schemas.openxmlformats.org/officeDocument/2006/relationships/image" Target="media/image24.wmf"/><Relationship Id="rId5" Type="http://schemas.openxmlformats.org/officeDocument/2006/relationships/theme" Target="theme/theme1.xml"/><Relationship Id="rId49" Type="http://schemas.openxmlformats.org/officeDocument/2006/relationships/oleObject" Target="embeddings/oleObject21.bin"/><Relationship Id="rId48" Type="http://schemas.openxmlformats.org/officeDocument/2006/relationships/oleObject" Target="embeddings/oleObject20.bin"/><Relationship Id="rId47" Type="http://schemas.openxmlformats.org/officeDocument/2006/relationships/image" Target="media/image23.wmf"/><Relationship Id="rId46" Type="http://schemas.openxmlformats.org/officeDocument/2006/relationships/oleObject" Target="embeddings/oleObject19.bin"/><Relationship Id="rId45" Type="http://schemas.openxmlformats.org/officeDocument/2006/relationships/image" Target="media/image22.wmf"/><Relationship Id="rId44" Type="http://schemas.openxmlformats.org/officeDocument/2006/relationships/oleObject" Target="embeddings/oleObject18.bin"/><Relationship Id="rId43" Type="http://schemas.openxmlformats.org/officeDocument/2006/relationships/image" Target="media/image21.wmf"/><Relationship Id="rId42" Type="http://schemas.openxmlformats.org/officeDocument/2006/relationships/oleObject" Target="embeddings/oleObject17.bin"/><Relationship Id="rId41" Type="http://schemas.openxmlformats.org/officeDocument/2006/relationships/image" Target="media/image20.wmf"/><Relationship Id="rId40" Type="http://schemas.openxmlformats.org/officeDocument/2006/relationships/oleObject" Target="embeddings/oleObject16.bin"/><Relationship Id="rId4" Type="http://schemas.openxmlformats.org/officeDocument/2006/relationships/endnotes" Target="endnotes.xml"/><Relationship Id="rId39" Type="http://schemas.openxmlformats.org/officeDocument/2006/relationships/image" Target="media/image19.png"/><Relationship Id="rId38" Type="http://schemas.openxmlformats.org/officeDocument/2006/relationships/image" Target="media/image18.wmf"/><Relationship Id="rId37" Type="http://schemas.openxmlformats.org/officeDocument/2006/relationships/oleObject" Target="embeddings/oleObject15.bin"/><Relationship Id="rId36" Type="http://schemas.openxmlformats.org/officeDocument/2006/relationships/image" Target="media/image17.wmf"/><Relationship Id="rId35" Type="http://schemas.openxmlformats.org/officeDocument/2006/relationships/oleObject" Target="embeddings/oleObject14.bin"/><Relationship Id="rId34" Type="http://schemas.openxmlformats.org/officeDocument/2006/relationships/image" Target="media/image16.wmf"/><Relationship Id="rId33" Type="http://schemas.openxmlformats.org/officeDocument/2006/relationships/oleObject" Target="embeddings/oleObject13.bin"/><Relationship Id="rId32" Type="http://schemas.openxmlformats.org/officeDocument/2006/relationships/image" Target="media/image15.wmf"/><Relationship Id="rId31" Type="http://schemas.openxmlformats.org/officeDocument/2006/relationships/oleObject" Target="embeddings/oleObject12.bin"/><Relationship Id="rId30" Type="http://schemas.openxmlformats.org/officeDocument/2006/relationships/image" Target="media/image14.wmf"/><Relationship Id="rId3" Type="http://schemas.openxmlformats.org/officeDocument/2006/relationships/footnotes" Target="footnotes.xml"/><Relationship Id="rId29" Type="http://schemas.openxmlformats.org/officeDocument/2006/relationships/oleObject" Target="embeddings/oleObject11.bin"/><Relationship Id="rId28" Type="http://schemas.openxmlformats.org/officeDocument/2006/relationships/image" Target="media/image13.wmf"/><Relationship Id="rId27" Type="http://schemas.openxmlformats.org/officeDocument/2006/relationships/oleObject" Target="embeddings/oleObject10.bin"/><Relationship Id="rId26" Type="http://schemas.openxmlformats.org/officeDocument/2006/relationships/image" Target="media/image12.wmf"/><Relationship Id="rId25" Type="http://schemas.openxmlformats.org/officeDocument/2006/relationships/oleObject" Target="embeddings/oleObject9.bin"/><Relationship Id="rId24" Type="http://schemas.openxmlformats.org/officeDocument/2006/relationships/image" Target="media/image11.wmf"/><Relationship Id="rId23" Type="http://schemas.openxmlformats.org/officeDocument/2006/relationships/oleObject" Target="embeddings/oleObject8.bin"/><Relationship Id="rId22" Type="http://schemas.openxmlformats.org/officeDocument/2006/relationships/image" Target="media/image10.wmf"/><Relationship Id="rId21" Type="http://schemas.openxmlformats.org/officeDocument/2006/relationships/oleObject" Target="embeddings/oleObject7.bin"/><Relationship Id="rId20" Type="http://schemas.openxmlformats.org/officeDocument/2006/relationships/image" Target="media/image9.wmf"/><Relationship Id="rId2" Type="http://schemas.openxmlformats.org/officeDocument/2006/relationships/settings" Target="settings.xml"/><Relationship Id="rId19" Type="http://schemas.openxmlformats.org/officeDocument/2006/relationships/oleObject" Target="embeddings/oleObject6.bin"/><Relationship Id="rId18" Type="http://schemas.openxmlformats.org/officeDocument/2006/relationships/image" Target="media/image8.wmf"/><Relationship Id="rId17" Type="http://schemas.openxmlformats.org/officeDocument/2006/relationships/oleObject" Target="embeddings/oleObject5.bin"/><Relationship Id="rId16" Type="http://schemas.openxmlformats.org/officeDocument/2006/relationships/image" Target="media/image7.wmf"/><Relationship Id="rId15" Type="http://schemas.openxmlformats.org/officeDocument/2006/relationships/oleObject" Target="embeddings/oleObject4.bin"/><Relationship Id="rId14" Type="http://schemas.openxmlformats.org/officeDocument/2006/relationships/image" Target="media/image6.wmf"/><Relationship Id="rId13" Type="http://schemas.openxmlformats.org/officeDocument/2006/relationships/oleObject" Target="embeddings/oleObject3.bin"/><Relationship Id="rId12" Type="http://schemas.openxmlformats.org/officeDocument/2006/relationships/image" Target="media/image5.wmf"/><Relationship Id="rId11" Type="http://schemas.openxmlformats.org/officeDocument/2006/relationships/oleObject" Target="embeddings/oleObject2.bin"/><Relationship Id="rId10" Type="http://schemas.openxmlformats.org/officeDocument/2006/relationships/image" Target="media/image4.wmf"/><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3954</Words>
  <Characters>5932</Characters>
  <Lines>564</Lines>
  <Paragraphs>497</Paragraphs>
  <TotalTime>0</TotalTime>
  <ScaleCrop>false</ScaleCrop>
  <LinksUpToDate>false</LinksUpToDate>
  <CharactersWithSpaces>6258</CharactersWithSpaces>
  <Application>WPS Office_12.1.2.22550_F1E327BC-269C-435d-A152-05C5408002CA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2026-04-04T16:16:00Z</dcterms:created>
  <dc:creator>汇仔</dc:creator>
  <cp:lastModifiedBy>kylin</cp:lastModifiedBy>
  <dcterms:modified xsi:type="dcterms:W3CDTF">2026-05-09T21:40:10Z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2052-12.1.2.22550</vt:lpwstr>
  </property>
  <property fmtid="{D5CDD505-2E9C-101B-9397-08002B2CF9AE}" pid="3" name="ICV">
    <vt:lpwstr>498B69A268D84F1F9057CBB6487294F5_13</vt:lpwstr>
  </property>
  <property fmtid="{D5CDD505-2E9C-101B-9397-08002B2CF9AE}" pid="4" name="KSOTemplateDocerSaveRecord">
    <vt:lpwstr>eyJoZGlkIjoiMjk1NGZiNjA2NGYxYmYxMGNjZTdmNmI1ZGI1MzA4MWUiLCJ1c2VySWQiOiI5MDYyMjk2NDUifQ==</vt:lpwstr>
  </property>
</Properties>
</file>