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72D1E8">
      <w:pPr>
        <w:spacing w:after="0" w:line="240" w:lineRule="auto"/>
        <w:jc w:val="center"/>
        <w:rPr>
          <w:rFonts w:hint="eastAsia" w:ascii="黑体" w:hAnsi="黑体" w:eastAsia="黑体"/>
          <w:color w:val="000000" w:themeColor="text1"/>
          <w:sz w:val="36"/>
          <w:szCs w:val="36"/>
          <w14:textFill>
            <w14:solidFill>
              <w14:schemeClr w14:val="tx1"/>
            </w14:solidFill>
          </w14:textFill>
        </w:rPr>
      </w:pPr>
      <w:bookmarkStart w:id="0" w:name="OLE_LINK35"/>
      <w:bookmarkStart w:id="1" w:name="OLE_LINK18"/>
      <w:bookmarkStart w:id="2" w:name="OLE_LINK7"/>
      <w:bookmarkStart w:id="3" w:name="OLE_LINK6"/>
      <w:r>
        <w:rPr>
          <w:rFonts w:hint="eastAsia" w:ascii="黑体" w:hAnsi="黑体" w:eastAsia="黑体"/>
          <w:color w:val="000000" w:themeColor="text1"/>
          <w:sz w:val="36"/>
          <w:szCs w:val="36"/>
          <w14:textFill>
            <w14:solidFill>
              <w14:schemeClr w14:val="tx1"/>
            </w14:solidFill>
          </w14:textFill>
        </w:rPr>
        <w:t>面向区县级山地-平原过渡区的数字孪生水利“四预”体系</w:t>
      </w:r>
      <w:bookmarkEnd w:id="0"/>
      <w:r>
        <w:rPr>
          <w:rFonts w:hint="eastAsia" w:ascii="黑体" w:hAnsi="黑体" w:eastAsia="黑体"/>
          <w:color w:val="000000" w:themeColor="text1"/>
          <w:sz w:val="36"/>
          <w:szCs w:val="36"/>
          <w14:textFill>
            <w14:solidFill>
              <w14:schemeClr w14:val="tx1"/>
            </w14:solidFill>
          </w14:textFill>
        </w:rPr>
        <w:t>构建</w:t>
      </w:r>
      <w:bookmarkEnd w:id="1"/>
      <w:r>
        <w:rPr>
          <w:rFonts w:hint="eastAsia" w:ascii="黑体" w:hAnsi="黑体" w:eastAsia="黑体"/>
          <w:color w:val="000000" w:themeColor="text1"/>
          <w:sz w:val="36"/>
          <w:szCs w:val="36"/>
          <w14:textFill>
            <w14:solidFill>
              <w14:schemeClr w14:val="tx1"/>
            </w14:solidFill>
          </w14:textFill>
        </w:rPr>
        <w:t>与评价</w:t>
      </w:r>
    </w:p>
    <w:bookmarkEnd w:id="2"/>
    <w:p w14:paraId="1FEB5CD1">
      <w:pPr>
        <w:spacing w:line="240" w:lineRule="auto"/>
        <w:jc w:val="center"/>
        <w:rPr>
          <w:rFonts w:ascii="Times New Roman" w:hAnsi="Times New Roman" w:eastAsia="楷体" w:cs="Times New Roman"/>
          <w:color w:val="000000" w:themeColor="text1"/>
          <w:sz w:val="24"/>
          <w:vertAlign w:val="superscript"/>
          <w14:textFill>
            <w14:solidFill>
              <w14:schemeClr w14:val="tx1"/>
            </w14:solidFill>
          </w14:textFill>
        </w:rPr>
      </w:pPr>
      <w:bookmarkStart w:id="4" w:name="OLE_LINK10"/>
      <w:r>
        <w:rPr>
          <w:rFonts w:ascii="Times New Roman" w:hAnsi="Times New Roman" w:eastAsia="楷体" w:cs="Times New Roman"/>
          <w:color w:val="000000" w:themeColor="text1"/>
          <w:sz w:val="24"/>
          <w14:textFill>
            <w14:solidFill>
              <w14:schemeClr w14:val="tx1"/>
            </w14:solidFill>
          </w14:textFill>
        </w:rPr>
        <w:t>代进雄，</w:t>
      </w:r>
      <w:r>
        <w:rPr>
          <w:rFonts w:hint="eastAsia" w:ascii="Times New Roman" w:hAnsi="Times New Roman" w:eastAsia="楷体" w:cs="Times New Roman"/>
          <w:color w:val="000000" w:themeColor="text1"/>
          <w:sz w:val="24"/>
          <w14:textFill>
            <w14:solidFill>
              <w14:schemeClr w14:val="tx1"/>
            </w14:solidFill>
          </w14:textFill>
        </w:rPr>
        <w:t>冯雁，</w:t>
      </w:r>
      <w:r>
        <w:rPr>
          <w:rFonts w:ascii="Times New Roman" w:hAnsi="Times New Roman" w:eastAsia="楷体" w:cs="Times New Roman"/>
          <w:color w:val="000000" w:themeColor="text1"/>
          <w:sz w:val="24"/>
          <w14:textFill>
            <w14:solidFill>
              <w14:schemeClr w14:val="tx1"/>
            </w14:solidFill>
          </w14:textFill>
        </w:rPr>
        <w:t>杨晓蕾，</w:t>
      </w:r>
      <w:r>
        <w:rPr>
          <w:rFonts w:hint="eastAsia" w:ascii="Times New Roman" w:hAnsi="Times New Roman" w:eastAsia="楷体" w:cs="Times New Roman"/>
          <w:color w:val="000000" w:themeColor="text1"/>
          <w:sz w:val="24"/>
          <w14:textFill>
            <w14:solidFill>
              <w14:schemeClr w14:val="tx1"/>
            </w14:solidFill>
          </w14:textFill>
        </w:rPr>
        <w:t>贾一夫，高晓薇，张超，王春艳</w:t>
      </w:r>
    </w:p>
    <w:p w14:paraId="2354915C">
      <w:pPr>
        <w:spacing w:line="240" w:lineRule="auto"/>
        <w:jc w:val="center"/>
        <w:rPr>
          <w:rFonts w:hint="eastAsia" w:ascii="宋体" w:hAnsi="宋体" w:eastAsia="宋体" w:cs="Times New Roman"/>
          <w:color w:val="000000" w:themeColor="text1"/>
          <w:sz w:val="18"/>
          <w:szCs w:val="18"/>
          <w14:textFill>
            <w14:solidFill>
              <w14:schemeClr w14:val="tx1"/>
            </w14:solidFill>
          </w14:textFill>
          <w14:ligatures w14:val="none"/>
        </w:rPr>
      </w:pPr>
      <w:r>
        <w:rPr>
          <w:rFonts w:ascii="宋体" w:hAnsi="宋体" w:eastAsia="宋体" w:cs="Times New Roman"/>
          <w:color w:val="000000" w:themeColor="text1"/>
          <w:sz w:val="18"/>
          <w:szCs w:val="18"/>
          <w14:textFill>
            <w14:solidFill>
              <w14:schemeClr w14:val="tx1"/>
            </w14:solidFill>
          </w14:textFill>
          <w14:ligatures w14:val="none"/>
        </w:rPr>
        <w:t xml:space="preserve">（北京市水利规划设计研究院，北京 </w:t>
      </w:r>
      <w:r>
        <w:rPr>
          <w:rFonts w:hint="eastAsia" w:ascii="宋体" w:hAnsi="宋体" w:eastAsia="宋体" w:cs="Times New Roman"/>
          <w:color w:val="000000" w:themeColor="text1"/>
          <w:sz w:val="18"/>
          <w:szCs w:val="18"/>
          <w14:textFill>
            <w14:solidFill>
              <w14:schemeClr w14:val="tx1"/>
            </w14:solidFill>
          </w14:textFill>
          <w14:ligatures w14:val="none"/>
        </w:rPr>
        <w:t xml:space="preserve"> </w:t>
      </w:r>
      <w:r>
        <w:rPr>
          <w:rFonts w:ascii="宋体" w:hAnsi="宋体" w:eastAsia="宋体" w:cs="Times New Roman"/>
          <w:color w:val="000000" w:themeColor="text1"/>
          <w:sz w:val="18"/>
          <w:szCs w:val="18"/>
          <w14:textFill>
            <w14:solidFill>
              <w14:schemeClr w14:val="tx1"/>
            </w14:solidFill>
          </w14:textFill>
          <w14:ligatures w14:val="none"/>
        </w:rPr>
        <w:t>100048）</w:t>
      </w:r>
    </w:p>
    <w:p w14:paraId="7E5946EE">
      <w:pPr>
        <w:spacing w:line="240" w:lineRule="auto"/>
        <w:jc w:val="center"/>
        <w:rPr>
          <w:rFonts w:hint="eastAsia" w:ascii="宋体" w:hAnsi="宋体" w:eastAsia="宋体" w:cs="Times New Roman"/>
          <w:color w:val="000000" w:themeColor="text1"/>
          <w:sz w:val="18"/>
          <w:szCs w:val="18"/>
          <w14:textFill>
            <w14:solidFill>
              <w14:schemeClr w14:val="tx1"/>
            </w14:solidFill>
          </w14:textFill>
          <w14:ligatures w14:val="none"/>
        </w:rPr>
      </w:pPr>
    </w:p>
    <w:p w14:paraId="42030C1D">
      <w:pPr>
        <w:spacing w:after="0" w:line="240" w:lineRule="auto"/>
        <w:jc w:val="both"/>
        <w:rPr>
          <w:rFonts w:ascii="Times New Roman" w:hAnsi="Times New Roman" w:eastAsia="楷体" w:cs="Times New Roman"/>
          <w:color w:val="000000" w:themeColor="text1"/>
          <w:szCs w:val="21"/>
          <w14:textFill>
            <w14:solidFill>
              <w14:schemeClr w14:val="tx1"/>
            </w14:solidFill>
          </w14:textFill>
        </w:rPr>
      </w:pPr>
      <w:r>
        <w:rPr>
          <w:rStyle w:val="23"/>
          <w:bCs w:val="0"/>
          <w:sz w:val="21"/>
          <w:szCs w:val="22"/>
        </w:rPr>
        <w:t>摘</w:t>
      </w:r>
      <w:r>
        <w:rPr>
          <w:rStyle w:val="23"/>
          <w:rFonts w:hint="eastAsia"/>
          <w:bCs w:val="0"/>
          <w:sz w:val="21"/>
          <w:szCs w:val="22"/>
        </w:rPr>
        <w:t xml:space="preserve"> </w:t>
      </w:r>
      <w:r>
        <w:rPr>
          <w:rStyle w:val="23"/>
          <w:bCs w:val="0"/>
          <w:sz w:val="21"/>
          <w:szCs w:val="22"/>
        </w:rPr>
        <w:t>要：</w:t>
      </w:r>
      <w:r>
        <w:rPr>
          <w:rFonts w:ascii="Times New Roman" w:hAnsi="Times New Roman" w:eastAsia="楷体" w:cs="Times New Roman"/>
          <w:color w:val="000000" w:themeColor="text1"/>
          <w:szCs w:val="21"/>
          <w14:textFill>
            <w14:solidFill>
              <w14:schemeClr w14:val="tx1"/>
            </w14:solidFill>
          </w14:textFill>
        </w:rPr>
        <w:t>【目的】</w:t>
      </w:r>
      <w:r>
        <w:rPr>
          <w:rFonts w:hint="eastAsia" w:ascii="Times New Roman" w:hAnsi="Times New Roman" w:eastAsia="楷体" w:cs="Times New Roman"/>
          <w:color w:val="000000" w:themeColor="text1"/>
          <w:szCs w:val="21"/>
          <w14:textFill>
            <w14:solidFill>
              <w14:schemeClr w14:val="tx1"/>
            </w14:solidFill>
          </w14:textFill>
        </w:rPr>
        <w:t>数字孪生技术目前在大流域及具体点状工程上发挥了重要的应用及实践价值，但在区县级水利设施的“四预”</w:t>
      </w:r>
      <w:r>
        <w:rPr>
          <w:rFonts w:hint="eastAsia" w:ascii="Times New Roman" w:hAnsi="Times New Roman" w:eastAsia="楷体" w:cs="Times New Roman"/>
          <w:color w:val="000000" w:themeColor="text1"/>
          <w:szCs w:val="21"/>
          <w:lang w:eastAsia="zh-CN"/>
          <w14:textFill>
            <w14:solidFill>
              <w14:schemeClr w14:val="tx1"/>
            </w14:solidFill>
          </w14:textFill>
        </w:rPr>
        <w:t>（预报、预警、预演、预案）</w:t>
      </w:r>
      <w:r>
        <w:rPr>
          <w:rFonts w:hint="eastAsia" w:ascii="Times New Roman" w:hAnsi="Times New Roman" w:eastAsia="楷体" w:cs="Times New Roman"/>
          <w:color w:val="000000" w:themeColor="text1"/>
          <w:szCs w:val="21"/>
          <w14:textFill>
            <w14:solidFill>
              <w14:schemeClr w14:val="tx1"/>
            </w14:solidFill>
          </w14:textFill>
        </w:rPr>
        <w:t>中仍面对诸多挑战。为解决区县级数字孪生“四预”地理空间数据复杂、数理模型分散以及跨层级调度迟缓等痛点，</w:t>
      </w:r>
      <w:r>
        <w:rPr>
          <w:rFonts w:ascii="Times New Roman" w:hAnsi="Times New Roman" w:eastAsia="楷体" w:cs="Times New Roman"/>
          <w:color w:val="000000" w:themeColor="text1"/>
          <w:szCs w:val="21"/>
          <w14:textFill>
            <w14:solidFill>
              <w14:schemeClr w14:val="tx1"/>
            </w14:solidFill>
          </w14:textFill>
        </w:rPr>
        <w:t>【方法】</w:t>
      </w:r>
      <w:r>
        <w:rPr>
          <w:rFonts w:hint="eastAsia" w:ascii="Times New Roman" w:hAnsi="Times New Roman" w:eastAsia="楷体" w:cs="Times New Roman"/>
          <w:color w:val="000000" w:themeColor="text1"/>
          <w:szCs w:val="21"/>
          <w14:textFill>
            <w14:solidFill>
              <w14:schemeClr w14:val="tx1"/>
            </w14:solidFill>
          </w14:textFill>
        </w:rPr>
        <w:t>以北京市怀柔区为例，基于“基础设施层-数字孪生平台层-智慧应用层”的三层架构，结合区级水利管理特点、信息化现状及山地-平原过渡区地理空间特征，建立了全域差异化监测感知体系，提出了大规模多源数据轻量化融合算法，针对区水务局多部门、多层级的协同需求，构建了</w:t>
      </w:r>
      <w:bookmarkStart w:id="5" w:name="OLE_LINK39"/>
      <w:r>
        <w:rPr>
          <w:rFonts w:hint="eastAsia" w:ascii="Times New Roman" w:hAnsi="Times New Roman" w:eastAsia="楷体" w:cs="Times New Roman"/>
          <w:color w:val="000000" w:themeColor="text1"/>
          <w:szCs w:val="21"/>
          <w14:textFill>
            <w14:solidFill>
              <w14:schemeClr w14:val="tx1"/>
            </w14:solidFill>
          </w14:textFill>
        </w:rPr>
        <w:t>跨层级联合调度</w:t>
      </w:r>
      <w:bookmarkEnd w:id="5"/>
      <w:r>
        <w:rPr>
          <w:rFonts w:hint="eastAsia" w:ascii="Times New Roman" w:hAnsi="Times New Roman" w:eastAsia="楷体" w:cs="Times New Roman"/>
          <w:color w:val="000000" w:themeColor="text1"/>
          <w:szCs w:val="21"/>
          <w14:textFill>
            <w14:solidFill>
              <w14:schemeClr w14:val="tx1"/>
            </w14:solidFill>
          </w14:textFill>
        </w:rPr>
        <w:t>会商应用框架。为评估研究框架实际效能，采用实例模型加载测试、层次分析法、情景分析法对框架效能进行了定量评价。</w:t>
      </w:r>
      <w:r>
        <w:rPr>
          <w:rFonts w:ascii="Times New Roman" w:hAnsi="Times New Roman" w:eastAsia="楷体" w:cs="Times New Roman"/>
          <w:color w:val="000000" w:themeColor="text1"/>
          <w:szCs w:val="21"/>
          <w14:textFill>
            <w14:solidFill>
              <w14:schemeClr w14:val="tx1"/>
            </w14:solidFill>
          </w14:textFill>
        </w:rPr>
        <w:t>【结果】</w:t>
      </w:r>
      <w:r>
        <w:rPr>
          <w:rFonts w:hint="eastAsia" w:ascii="Times New Roman" w:hAnsi="Times New Roman" w:eastAsia="楷体" w:cs="Times New Roman"/>
          <w:color w:val="000000" w:themeColor="text1"/>
          <w:szCs w:val="21"/>
          <w14:textFill>
            <w14:solidFill>
              <w14:schemeClr w14:val="tx1"/>
            </w14:solidFill>
          </w14:textFill>
        </w:rPr>
        <w:t>结果显示，应用研究框架轻量化算法能显著优化模型体量，渲染负载降低了约83%，通过封装的水文模型库以及协同应用，实现怀柔区水利防灾的“四预”综合能力理论上提升约70%。</w:t>
      </w:r>
      <w:r>
        <w:rPr>
          <w:rFonts w:ascii="Times New Roman" w:hAnsi="Times New Roman" w:eastAsia="楷体" w:cs="Times New Roman"/>
          <w:color w:val="000000" w:themeColor="text1"/>
          <w:szCs w:val="21"/>
          <w14:textFill>
            <w14:solidFill>
              <w14:schemeClr w14:val="tx1"/>
            </w14:solidFill>
          </w14:textFill>
        </w:rPr>
        <w:t>【结论】</w:t>
      </w:r>
      <w:r>
        <w:rPr>
          <w:rFonts w:hint="eastAsia" w:ascii="Times New Roman" w:hAnsi="Times New Roman" w:eastAsia="楷体" w:cs="Times New Roman"/>
          <w:color w:val="000000" w:themeColor="text1"/>
          <w:szCs w:val="21"/>
          <w14:textFill>
            <w14:solidFill>
              <w14:schemeClr w14:val="tx1"/>
            </w14:solidFill>
          </w14:textFill>
        </w:rPr>
        <w:t>结果表明，</w:t>
      </w:r>
      <w:r>
        <w:rPr>
          <w:rFonts w:hint="eastAsia" w:ascii="楷体" w:hAnsi="楷体" w:eastAsia="楷体" w:cs="Times New Roman"/>
          <w:color w:val="000000" w:themeColor="text1"/>
          <w:sz w:val="21"/>
          <w:szCs w:val="21"/>
          <w14:textFill>
            <w14:solidFill>
              <w14:schemeClr w14:val="tx1"/>
            </w14:solidFill>
          </w14:textFill>
          <w14:ligatures w14:val="none"/>
        </w:rPr>
        <w:t>平台的建设能够提升怀柔区水利设施精确感知水平、智能仿真精度以及协同调度效能</w:t>
      </w:r>
      <w:r>
        <w:rPr>
          <w:rFonts w:ascii="楷体" w:hAnsi="楷体" w:eastAsia="楷体" w:cs="Times New Roman"/>
          <w:color w:val="000000" w:themeColor="text1"/>
          <w:sz w:val="21"/>
          <w:szCs w:val="21"/>
          <w14:textFill>
            <w14:solidFill>
              <w14:schemeClr w14:val="tx1"/>
            </w14:solidFill>
          </w14:textFill>
          <w14:ligatures w14:val="none"/>
        </w:rPr>
        <w:t>,</w:t>
      </w:r>
      <w:r>
        <w:rPr>
          <w:rFonts w:hint="eastAsia" w:ascii="楷体" w:hAnsi="楷体" w:eastAsia="楷体" w:cs="Times New Roman"/>
          <w:color w:val="000000" w:themeColor="text1"/>
          <w:sz w:val="21"/>
          <w:szCs w:val="21"/>
          <w14:textFill>
            <w14:solidFill>
              <w14:schemeClr w14:val="tx1"/>
            </w14:solidFill>
          </w14:textFill>
          <w14:ligatures w14:val="none"/>
        </w:rPr>
        <w:t>适用于地理环境较复杂，水利设施众多且管理协同多级跨部门的区县级行政单元，可为全国同类案例提供参考。</w:t>
      </w:r>
    </w:p>
    <w:p w14:paraId="09F48922">
      <w:pPr>
        <w:spacing w:after="0" w:line="240" w:lineRule="auto"/>
        <w:jc w:val="both"/>
        <w:rPr>
          <w:rFonts w:hint="default" w:ascii="楷体" w:hAnsi="楷体" w:eastAsia="楷体" w:cs="Times New Roman"/>
          <w:color w:val="000000" w:themeColor="text1"/>
          <w:sz w:val="21"/>
          <w:szCs w:val="21"/>
          <w:lang w:val="en-US" w:eastAsia="zh-CN"/>
          <w14:textFill>
            <w14:solidFill>
              <w14:schemeClr w14:val="tx1"/>
            </w14:solidFill>
          </w14:textFill>
          <w14:ligatures w14:val="none"/>
        </w:rPr>
      </w:pPr>
      <w:r>
        <w:rPr>
          <w:rStyle w:val="23"/>
          <w:sz w:val="21"/>
          <w:szCs w:val="22"/>
        </w:rPr>
        <w:t>关键词</w:t>
      </w:r>
      <w:r>
        <w:rPr>
          <w:rStyle w:val="23"/>
          <w:b w:val="0"/>
          <w:sz w:val="21"/>
          <w:szCs w:val="22"/>
        </w:rPr>
        <w:t>：</w:t>
      </w:r>
      <w:r>
        <w:rPr>
          <w:rFonts w:hint="eastAsia" w:ascii="楷体" w:hAnsi="楷体" w:eastAsia="楷体" w:cs="Times New Roman"/>
          <w:color w:val="000000" w:themeColor="text1"/>
          <w:sz w:val="21"/>
          <w:szCs w:val="21"/>
          <w14:textFill>
            <w14:solidFill>
              <w14:schemeClr w14:val="tx1"/>
            </w14:solidFill>
          </w14:textFill>
          <w14:ligatures w14:val="none"/>
        </w:rPr>
        <w:t>洪涝灾害；地理空间数据；</w:t>
      </w:r>
      <w:r>
        <w:rPr>
          <w:rFonts w:hint="eastAsia" w:ascii="Times New Roman" w:hAnsi="Times New Roman" w:eastAsia="楷体" w:cs="Times New Roman"/>
          <w:color w:val="000000" w:themeColor="text1"/>
          <w:szCs w:val="21"/>
          <w14:textFill>
            <w14:solidFill>
              <w14:schemeClr w14:val="tx1"/>
            </w14:solidFill>
          </w14:textFill>
        </w:rPr>
        <w:t>跨层级联合调度；</w:t>
      </w:r>
      <w:r>
        <w:rPr>
          <w:rFonts w:hint="eastAsia" w:ascii="楷体" w:hAnsi="楷体" w:eastAsia="楷体" w:cs="Times New Roman"/>
          <w:color w:val="000000" w:themeColor="text1"/>
          <w:sz w:val="21"/>
          <w:szCs w:val="21"/>
          <w14:textFill>
            <w14:solidFill>
              <w14:schemeClr w14:val="tx1"/>
            </w14:solidFill>
          </w14:textFill>
          <w14:ligatures w14:val="none"/>
        </w:rPr>
        <w:t>“四预”能力评价；层次分析法</w:t>
      </w:r>
      <w:r>
        <w:rPr>
          <w:rFonts w:hint="eastAsia" w:ascii="楷体" w:hAnsi="楷体" w:eastAsia="楷体" w:cs="Times New Roman"/>
          <w:color w:val="000000" w:themeColor="text1"/>
          <w:sz w:val="21"/>
          <w:szCs w:val="21"/>
          <w:lang w:eastAsia="zh-CN"/>
          <w14:textFill>
            <w14:solidFill>
              <w14:schemeClr w14:val="tx1"/>
            </w14:solidFill>
          </w14:textFill>
          <w14:ligatures w14:val="none"/>
        </w:rPr>
        <w:t>；数字孪生；水利工程；山地</w:t>
      </w:r>
      <w:r>
        <w:rPr>
          <w:rFonts w:hint="eastAsia" w:ascii="楷体" w:hAnsi="楷体" w:eastAsia="楷体" w:cs="Times New Roman"/>
          <w:color w:val="000000" w:themeColor="text1"/>
          <w:sz w:val="21"/>
          <w:szCs w:val="21"/>
          <w:lang w:val="en-US" w:eastAsia="zh-CN"/>
          <w14:textFill>
            <w14:solidFill>
              <w14:schemeClr w14:val="tx1"/>
            </w14:solidFill>
          </w14:textFill>
          <w14:ligatures w14:val="none"/>
        </w:rPr>
        <w:t>-平原过渡区</w:t>
      </w:r>
    </w:p>
    <w:p w14:paraId="053D939B">
      <w:pPr>
        <w:spacing w:after="0" w:line="240" w:lineRule="auto"/>
        <w:ind w:right="408"/>
        <w:rPr>
          <w:rFonts w:hint="eastAsia" w:ascii="楷体" w:hAnsi="楷体" w:eastAsia="楷体" w:cs="Times New Roman"/>
          <w:b/>
          <w:bCs/>
          <w:color w:val="000000" w:themeColor="text1"/>
          <w:szCs w:val="21"/>
          <w14:textFill>
            <w14:solidFill>
              <w14:schemeClr w14:val="tx1"/>
            </w14:solidFill>
          </w14:textFill>
          <w14:ligatures w14:val="none"/>
        </w:rPr>
      </w:pPr>
      <w:r>
        <w:rPr>
          <w:rStyle w:val="23"/>
          <w:rFonts w:hint="eastAsia"/>
          <w:sz w:val="21"/>
          <w:szCs w:val="22"/>
        </w:rPr>
        <w:t>中图分类号：</w:t>
      </w:r>
      <w:r>
        <w:rPr>
          <w:rFonts w:hint="eastAsia" w:ascii="楷体" w:hAnsi="楷体" w:eastAsia="楷体" w:cs="Times New Roman"/>
          <w:color w:val="000000" w:themeColor="text1"/>
          <w:szCs w:val="21"/>
          <w14:textFill>
            <w14:solidFill>
              <w14:schemeClr w14:val="tx1"/>
            </w14:solidFill>
          </w14:textFill>
          <w14:ligatures w14:val="none"/>
        </w:rPr>
        <w:t>TV21-39</w:t>
      </w:r>
      <w:r>
        <w:rPr>
          <w:rFonts w:ascii="楷体" w:hAnsi="楷体" w:eastAsia="楷体" w:cs="Times New Roman"/>
          <w:color w:val="000000" w:themeColor="text1"/>
          <w:szCs w:val="21"/>
          <w14:textFill>
            <w14:solidFill>
              <w14:schemeClr w14:val="tx1"/>
            </w14:solidFill>
          </w14:textFill>
          <w14:ligatures w14:val="none"/>
        </w:rPr>
        <w:t xml:space="preserve"> </w:t>
      </w:r>
      <w:r>
        <w:rPr>
          <w:rStyle w:val="23"/>
          <w:sz w:val="21"/>
          <w:szCs w:val="22"/>
        </w:rPr>
        <w:t xml:space="preserve">           </w:t>
      </w:r>
      <w:r>
        <w:rPr>
          <w:rStyle w:val="23"/>
          <w:rFonts w:hint="eastAsia"/>
          <w:sz w:val="21"/>
          <w:szCs w:val="22"/>
        </w:rPr>
        <w:t>文献标志码：</w:t>
      </w:r>
      <w:r>
        <w:rPr>
          <w:rFonts w:ascii="楷体" w:hAnsi="楷体" w:eastAsia="楷体" w:cs="Times New Roman"/>
          <w:color w:val="000000" w:themeColor="text1"/>
          <w:szCs w:val="21"/>
          <w14:textFill>
            <w14:solidFill>
              <w14:schemeClr w14:val="tx1"/>
            </w14:solidFill>
          </w14:textFill>
          <w14:ligatures w14:val="none"/>
        </w:rPr>
        <w:t xml:space="preserve">A </w:t>
      </w:r>
      <w:r>
        <w:rPr>
          <w:rFonts w:ascii="楷体" w:hAnsi="楷体" w:eastAsia="楷体" w:cs="Times New Roman"/>
          <w:b/>
          <w:bCs/>
          <w:color w:val="000000" w:themeColor="text1"/>
          <w:szCs w:val="21"/>
          <w14:textFill>
            <w14:solidFill>
              <w14:schemeClr w14:val="tx1"/>
            </w14:solidFill>
          </w14:textFill>
          <w14:ligatures w14:val="none"/>
        </w:rPr>
        <w:t xml:space="preserve"> </w:t>
      </w:r>
    </w:p>
    <w:p w14:paraId="37996BC6">
      <w:pPr>
        <w:tabs>
          <w:tab w:val="left" w:pos="6666"/>
        </w:tabs>
        <w:ind w:firstLine="482"/>
        <w:jc w:val="left"/>
        <w:rPr>
          <w:rFonts w:hint="default" w:eastAsia="宋体"/>
          <w:b/>
          <w:color w:val="000000"/>
          <w:lang w:val="en-US" w:eastAsia="zh-CN"/>
        </w:rPr>
      </w:pPr>
      <w:r>
        <w:rPr>
          <w:rFonts w:hint="eastAsia"/>
          <w:b/>
          <w:color w:val="000000"/>
        </w:rPr>
        <w:t>开放科学（资源服务）标志码（</w:t>
      </w:r>
      <w:r>
        <w:rPr>
          <w:b/>
          <w:color w:val="000000"/>
        </w:rPr>
        <w:t>OSID</w:t>
      </w:r>
      <w:r>
        <w:rPr>
          <w:rFonts w:hint="eastAsia"/>
          <w:b/>
          <w:color w:val="000000"/>
        </w:rPr>
        <w:t>）：</w:t>
      </w:r>
      <w:r>
        <w:rPr>
          <w:rFonts w:hint="default" w:eastAsia="宋体"/>
          <w:b/>
          <w:color w:val="000000"/>
          <w:lang w:val="en-US" w:eastAsia="zh-CN"/>
        </w:rPr>
        <w:drawing>
          <wp:inline distT="0" distB="0" distL="114300" distR="114300">
            <wp:extent cx="1422400" cy="1422400"/>
            <wp:effectExtent l="0" t="0" r="6350" b="6350"/>
            <wp:docPr id="1" name="图片 1" descr="面向区县级山地-平原过渡区的数字孪生水利“四预”体系构建与评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面向区县级山地-平原过渡区的数字孪生水利“四预”体系构建与评价"/>
                    <pic:cNvPicPr>
                      <a:picLocks noChangeAspect="1"/>
                    </pic:cNvPicPr>
                  </pic:nvPicPr>
                  <pic:blipFill>
                    <a:blip r:embed="rId6"/>
                    <a:stretch>
                      <a:fillRect/>
                    </a:stretch>
                  </pic:blipFill>
                  <pic:spPr>
                    <a:xfrm>
                      <a:off x="0" y="0"/>
                      <a:ext cx="1422400" cy="1422400"/>
                    </a:xfrm>
                    <a:prstGeom prst="rect">
                      <a:avLst/>
                    </a:prstGeom>
                  </pic:spPr>
                </pic:pic>
              </a:graphicData>
            </a:graphic>
          </wp:inline>
        </w:drawing>
      </w:r>
    </w:p>
    <w:p w14:paraId="3D653828">
      <w:pPr>
        <w:pStyle w:val="2"/>
        <w:spacing w:line="240" w:lineRule="auto"/>
        <w:rPr>
          <w:rFonts w:hint="eastAsia"/>
        </w:rPr>
      </w:pPr>
    </w:p>
    <w:p w14:paraId="09711549">
      <w:pPr>
        <w:spacing w:after="0" w:line="240" w:lineRule="auto"/>
        <w:ind w:right="408"/>
        <w:jc w:val="center"/>
        <w:rPr>
          <w:rFonts w:ascii="Times New Roman" w:hAnsi="Times New Roman" w:eastAsia="楷体" w:cs="Times New Roman"/>
          <w:b/>
          <w:bCs/>
          <w:color w:val="000000" w:themeColor="text1"/>
          <w:sz w:val="28"/>
          <w:szCs w:val="28"/>
          <w14:textFill>
            <w14:solidFill>
              <w14:schemeClr w14:val="tx1"/>
            </w14:solidFill>
          </w14:textFill>
          <w14:ligatures w14:val="none"/>
        </w:rPr>
      </w:pPr>
      <w:r>
        <w:rPr>
          <w:rFonts w:ascii="Times New Roman" w:hAnsi="Times New Roman" w:eastAsia="楷体" w:cs="Times New Roman"/>
          <w:b/>
          <w:bCs/>
          <w:color w:val="000000" w:themeColor="text1"/>
          <w:sz w:val="28"/>
          <w:szCs w:val="28"/>
          <w14:textFill>
            <w14:solidFill>
              <w14:schemeClr w14:val="tx1"/>
            </w14:solidFill>
          </w14:textFill>
          <w14:ligatures w14:val="none"/>
        </w:rPr>
        <w:t>Construction and evaluation of a digital twin water management “</w:t>
      </w:r>
      <w:r>
        <w:rPr>
          <w:rFonts w:hint="eastAsia" w:ascii="Times New Roman" w:hAnsi="Times New Roman" w:eastAsia="楷体" w:cs="Times New Roman"/>
          <w:b/>
          <w:bCs/>
          <w:color w:val="000000" w:themeColor="text1"/>
          <w:sz w:val="28"/>
          <w:szCs w:val="28"/>
          <w14:textFill>
            <w14:solidFill>
              <w14:schemeClr w14:val="tx1"/>
            </w14:solidFill>
          </w14:textFill>
          <w14:ligatures w14:val="none"/>
        </w:rPr>
        <w:t>f</w:t>
      </w:r>
      <w:r>
        <w:rPr>
          <w:rFonts w:ascii="Times New Roman" w:hAnsi="Times New Roman" w:eastAsia="楷体" w:cs="Times New Roman"/>
          <w:b/>
          <w:bCs/>
          <w:color w:val="000000" w:themeColor="text1"/>
          <w:sz w:val="28"/>
          <w:szCs w:val="28"/>
          <w14:textFill>
            <w14:solidFill>
              <w14:schemeClr w14:val="tx1"/>
            </w14:solidFill>
          </w14:textFill>
          <w14:ligatures w14:val="none"/>
        </w:rPr>
        <w:t>our-</w:t>
      </w:r>
      <w:r>
        <w:rPr>
          <w:rFonts w:hint="eastAsia" w:ascii="Times New Roman" w:hAnsi="Times New Roman" w:eastAsia="楷体" w:cs="Times New Roman"/>
          <w:b/>
          <w:bCs/>
          <w:color w:val="000000" w:themeColor="text1"/>
          <w:sz w:val="28"/>
          <w:szCs w:val="28"/>
          <w14:textFill>
            <w14:solidFill>
              <w14:schemeClr w14:val="tx1"/>
            </w14:solidFill>
          </w14:textFill>
          <w14:ligatures w14:val="none"/>
        </w:rPr>
        <w:t>p</w:t>
      </w:r>
      <w:r>
        <w:rPr>
          <w:rFonts w:ascii="Times New Roman" w:hAnsi="Times New Roman" w:eastAsia="楷体" w:cs="Times New Roman"/>
          <w:b/>
          <w:bCs/>
          <w:color w:val="000000" w:themeColor="text1"/>
          <w:sz w:val="28"/>
          <w:szCs w:val="28"/>
          <w14:textFill>
            <w14:solidFill>
              <w14:schemeClr w14:val="tx1"/>
            </w14:solidFill>
          </w14:textFill>
          <w14:ligatures w14:val="none"/>
        </w:rPr>
        <w:t>re” system for mountain-plain transition zones</w:t>
      </w:r>
      <w:r>
        <w:rPr>
          <w:rFonts w:hint="eastAsia" w:ascii="Times New Roman" w:hAnsi="Times New Roman" w:eastAsia="楷体" w:cs="Times New Roman"/>
          <w:b/>
          <w:bCs/>
          <w:color w:val="000000" w:themeColor="text1"/>
          <w:sz w:val="28"/>
          <w:szCs w:val="28"/>
          <w14:textFill>
            <w14:solidFill>
              <w14:schemeClr w14:val="tx1"/>
            </w14:solidFill>
          </w14:textFill>
          <w14:ligatures w14:val="none"/>
        </w:rPr>
        <w:t xml:space="preserve"> at district and county levels</w:t>
      </w:r>
    </w:p>
    <w:p w14:paraId="524A473E">
      <w:pPr>
        <w:spacing w:line="240" w:lineRule="auto"/>
        <w:ind w:right="408"/>
        <w:jc w:val="center"/>
        <w:rPr>
          <w:rFonts w:ascii="Times New Roman" w:hAnsi="Times New Roman" w:eastAsia="楷体" w:cs="Times New Roman"/>
          <w:color w:val="000000" w:themeColor="text1"/>
          <w:szCs w:val="21"/>
          <w14:textFill>
            <w14:solidFill>
              <w14:schemeClr w14:val="tx1"/>
            </w14:solidFill>
          </w14:textFill>
          <w14:ligatures w14:val="none"/>
        </w:rPr>
      </w:pPr>
      <w:r>
        <w:rPr>
          <w:rFonts w:ascii="Times New Roman" w:hAnsi="Times New Roman" w:eastAsia="楷体" w:cs="Times New Roman"/>
          <w:color w:val="000000" w:themeColor="text1"/>
          <w:szCs w:val="21"/>
          <w14:textFill>
            <w14:solidFill>
              <w14:schemeClr w14:val="tx1"/>
            </w14:solidFill>
          </w14:textFill>
          <w14:ligatures w14:val="none"/>
        </w:rPr>
        <w:t xml:space="preserve">DAI Jinxiong, </w:t>
      </w:r>
      <w:r>
        <w:rPr>
          <w:rFonts w:hint="eastAsia" w:ascii="Times New Roman" w:hAnsi="Times New Roman" w:eastAsia="楷体" w:cs="Times New Roman"/>
          <w:color w:val="000000" w:themeColor="text1"/>
          <w:szCs w:val="21"/>
          <w14:textFill>
            <w14:solidFill>
              <w14:schemeClr w14:val="tx1"/>
            </w14:solidFill>
          </w14:textFill>
          <w14:ligatures w14:val="none"/>
        </w:rPr>
        <w:t>FENG Yan</w:t>
      </w:r>
      <w:r>
        <w:rPr>
          <w:rFonts w:ascii="Times New Roman" w:hAnsi="Times New Roman" w:eastAsia="楷体" w:cs="Times New Roman"/>
          <w:color w:val="000000" w:themeColor="text1"/>
          <w:szCs w:val="21"/>
          <w14:textFill>
            <w14:solidFill>
              <w14:schemeClr w14:val="tx1"/>
            </w14:solidFill>
          </w14:textFill>
          <w14:ligatures w14:val="none"/>
        </w:rPr>
        <w:t>, YANG</w:t>
      </w:r>
      <w:r>
        <w:rPr>
          <w:rFonts w:hint="eastAsia" w:ascii="Times New Roman" w:hAnsi="Times New Roman" w:eastAsia="楷体" w:cs="Times New Roman"/>
          <w:color w:val="000000" w:themeColor="text1"/>
          <w:szCs w:val="21"/>
          <w14:textFill>
            <w14:solidFill>
              <w14:schemeClr w14:val="tx1"/>
            </w14:solidFill>
          </w14:textFill>
          <w14:ligatures w14:val="none"/>
        </w:rPr>
        <w:t xml:space="preserve"> </w:t>
      </w:r>
      <w:r>
        <w:rPr>
          <w:rFonts w:ascii="Times New Roman" w:hAnsi="Times New Roman" w:eastAsia="楷体" w:cs="Times New Roman"/>
          <w:color w:val="000000" w:themeColor="text1"/>
          <w:szCs w:val="21"/>
          <w14:textFill>
            <w14:solidFill>
              <w14:schemeClr w14:val="tx1"/>
            </w14:solidFill>
          </w14:textFill>
          <w14:ligatures w14:val="none"/>
        </w:rPr>
        <w:t>Xiaolei, JIA Yifu, GAO Xiaowei, ZHANG Chao, WANG Chunyan</w:t>
      </w:r>
    </w:p>
    <w:p w14:paraId="069BF86F">
      <w:pPr>
        <w:spacing w:line="240" w:lineRule="auto"/>
        <w:ind w:right="408"/>
        <w:jc w:val="center"/>
        <w:rPr>
          <w:rFonts w:ascii="Times New Roman" w:hAnsi="Times New Roman" w:eastAsia="楷体" w:cs="Times New Roman"/>
          <w:color w:val="000000" w:themeColor="text1"/>
          <w:szCs w:val="21"/>
          <w14:textFill>
            <w14:solidFill>
              <w14:schemeClr w14:val="tx1"/>
            </w14:solidFill>
          </w14:textFill>
          <w14:ligatures w14:val="none"/>
        </w:rPr>
      </w:pPr>
      <w:r>
        <w:rPr>
          <w:rFonts w:ascii="Times New Roman" w:hAnsi="Times New Roman" w:eastAsia="楷体" w:cs="Times New Roman"/>
          <w:color w:val="000000" w:themeColor="text1"/>
          <w:szCs w:val="21"/>
          <w14:textFill>
            <w14:solidFill>
              <w14:schemeClr w14:val="tx1"/>
            </w14:solidFill>
          </w14:textFill>
          <w14:ligatures w14:val="none"/>
        </w:rPr>
        <w:t>(Beijing Institute of Water, Beijing</w:t>
      </w:r>
      <w:r>
        <w:rPr>
          <w:rFonts w:hint="eastAsia" w:ascii="Times New Roman" w:hAnsi="Times New Roman" w:eastAsia="楷体" w:cs="Times New Roman"/>
          <w:color w:val="000000" w:themeColor="text1"/>
          <w:szCs w:val="21"/>
          <w14:textFill>
            <w14:solidFill>
              <w14:schemeClr w14:val="tx1"/>
            </w14:solidFill>
          </w14:textFill>
          <w14:ligatures w14:val="none"/>
        </w:rPr>
        <w:t xml:space="preserve">  </w:t>
      </w:r>
      <w:r>
        <w:rPr>
          <w:rFonts w:ascii="Times New Roman" w:hAnsi="Times New Roman" w:eastAsia="楷体" w:cs="Times New Roman"/>
          <w:color w:val="000000" w:themeColor="text1"/>
          <w:szCs w:val="21"/>
          <w14:textFill>
            <w14:solidFill>
              <w14:schemeClr w14:val="tx1"/>
            </w14:solidFill>
          </w14:textFill>
          <w14:ligatures w14:val="none"/>
        </w:rPr>
        <w:t>100048, China)</w:t>
      </w:r>
    </w:p>
    <w:p w14:paraId="289664CF">
      <w:pPr>
        <w:spacing w:after="0" w:line="240" w:lineRule="auto"/>
        <w:ind w:right="408"/>
        <w:jc w:val="both"/>
        <w:rPr>
          <w:rStyle w:val="23"/>
          <w:rFonts w:ascii="Times New Roman" w:hAnsi="Times New Roman" w:cs="Times New Roman"/>
          <w:b w:val="0"/>
          <w:bCs w:val="0"/>
          <w:sz w:val="21"/>
          <w:szCs w:val="22"/>
        </w:rPr>
      </w:pPr>
    </w:p>
    <w:p w14:paraId="2CA632AA">
      <w:pPr>
        <w:spacing w:after="0" w:line="240" w:lineRule="auto"/>
        <w:ind w:right="408"/>
        <w:jc w:val="both"/>
        <w:rPr>
          <w:rStyle w:val="23"/>
          <w:rFonts w:ascii="Times New Roman" w:hAnsi="Times New Roman" w:cs="Times New Roman"/>
          <w:b w:val="0"/>
          <w:bCs w:val="0"/>
          <w:sz w:val="21"/>
          <w:szCs w:val="22"/>
          <w:highlight w:val="none"/>
        </w:rPr>
      </w:pPr>
      <w:bookmarkStart w:id="6" w:name="OLE_LINK41"/>
      <w:r>
        <w:rPr>
          <w:rStyle w:val="23"/>
          <w:rFonts w:ascii="Times New Roman" w:hAnsi="Times New Roman" w:cs="Times New Roman"/>
          <w:sz w:val="21"/>
          <w:szCs w:val="22"/>
        </w:rPr>
        <w:t>Abstract:</w:t>
      </w:r>
      <w:r>
        <w:rPr>
          <w:rStyle w:val="23"/>
          <w:rFonts w:hint="eastAsia" w:ascii="Times New Roman" w:hAnsi="Times New Roman" w:cs="Times New Roman"/>
          <w:sz w:val="21"/>
          <w:szCs w:val="22"/>
        </w:rPr>
        <w:t xml:space="preserve"> </w:t>
      </w:r>
      <w:r>
        <w:rPr>
          <w:rStyle w:val="23"/>
          <w:rFonts w:hint="eastAsia" w:ascii="Times New Roman" w:hAnsi="Times New Roman" w:cs="Times New Roman"/>
          <w:b w:val="0"/>
          <w:bCs w:val="0"/>
          <w:sz w:val="21"/>
          <w:szCs w:val="22"/>
        </w:rPr>
        <w:t xml:space="preserve">[Objective] Digital twin technology has demonstrated significant application and practical value in large river basins and specific point-based projects. However, numerous challenges remain in </w:t>
      </w:r>
      <w:r>
        <w:rPr>
          <w:rStyle w:val="23"/>
          <w:rFonts w:hint="eastAsia" w:ascii="Times New Roman" w:hAnsi="Times New Roman"/>
          <w:b w:val="0"/>
          <w:bCs w:val="0"/>
          <w:sz w:val="21"/>
          <w:szCs w:val="22"/>
        </w:rPr>
        <w:t>implementing</w:t>
      </w:r>
      <w:r>
        <w:rPr>
          <w:rStyle w:val="23"/>
          <w:rFonts w:hint="eastAsia" w:ascii="Times New Roman" w:hAnsi="Times New Roman" w:cs="Times New Roman"/>
          <w:b w:val="0"/>
          <w:bCs w:val="0"/>
          <w:sz w:val="21"/>
          <w:szCs w:val="22"/>
        </w:rPr>
        <w:t xml:space="preserve"> the </w:t>
      </w:r>
      <w:r>
        <w:rPr>
          <w:rStyle w:val="23"/>
          <w:rFonts w:ascii="Times New Roman" w:hAnsi="Times New Roman" w:cs="Times New Roman"/>
          <w:b w:val="0"/>
          <w:bCs w:val="0"/>
          <w:sz w:val="21"/>
          <w:szCs w:val="22"/>
        </w:rPr>
        <w:t>“</w:t>
      </w:r>
      <w:r>
        <w:rPr>
          <w:rStyle w:val="23"/>
          <w:rFonts w:hint="eastAsia" w:ascii="Times New Roman" w:hAnsi="Times New Roman" w:cs="Times New Roman"/>
          <w:b w:val="0"/>
          <w:bCs w:val="0"/>
          <w:sz w:val="21"/>
          <w:szCs w:val="22"/>
        </w:rPr>
        <w:t>four-pre</w:t>
      </w:r>
      <w:r>
        <w:rPr>
          <w:rStyle w:val="23"/>
          <w:rFonts w:ascii="Times New Roman" w:hAnsi="Times New Roman" w:cs="Times New Roman"/>
          <w:b w:val="0"/>
          <w:bCs w:val="0"/>
          <w:sz w:val="21"/>
          <w:szCs w:val="22"/>
        </w:rPr>
        <w:t>”</w:t>
      </w:r>
      <w:r>
        <w:rPr>
          <w:rStyle w:val="23"/>
          <w:rFonts w:hint="eastAsia" w:ascii="Times New Roman" w:hAnsi="Times New Roman" w:cs="Times New Roman"/>
          <w:b w:val="0"/>
          <w:bCs w:val="0"/>
          <w:sz w:val="21"/>
          <w:szCs w:val="22"/>
        </w:rPr>
        <w:t xml:space="preserve"> (forecasting, early warning, rehearsal, and </w:t>
      </w:r>
      <w:r>
        <w:rPr>
          <w:rStyle w:val="23"/>
          <w:rFonts w:ascii="Times New Roman" w:hAnsi="Times New Roman" w:cs="Times New Roman"/>
          <w:b w:val="0"/>
          <w:bCs w:val="0"/>
          <w:sz w:val="21"/>
          <w:szCs w:val="22"/>
        </w:rPr>
        <w:t>contingency</w:t>
      </w:r>
      <w:r>
        <w:rPr>
          <w:rStyle w:val="23"/>
          <w:rFonts w:hint="eastAsia" w:ascii="Times New Roman" w:hAnsi="Times New Roman" w:cs="Times New Roman"/>
          <w:b w:val="0"/>
          <w:bCs w:val="0"/>
          <w:sz w:val="21"/>
          <w:szCs w:val="22"/>
        </w:rPr>
        <w:t xml:space="preserve"> plan) system for water conservancy facilities at the district and county levels. </w:t>
      </w:r>
      <w:r>
        <w:rPr>
          <w:rStyle w:val="23"/>
          <w:rFonts w:hint="eastAsia" w:ascii="Times New Roman" w:hAnsi="Times New Roman" w:cs="Times New Roman"/>
          <w:b w:val="0"/>
          <w:bCs w:val="0"/>
          <w:sz w:val="21"/>
          <w:szCs w:val="22"/>
          <w:lang w:val="en-US" w:eastAsia="zh-CN"/>
        </w:rPr>
        <w:t>I</w:t>
      </w:r>
      <w:r>
        <w:rPr>
          <w:rStyle w:val="23"/>
          <w:rFonts w:hint="eastAsia" w:ascii="Times New Roman" w:hAnsi="Times New Roman" w:cs="Times New Roman"/>
          <w:b w:val="0"/>
          <w:bCs w:val="0"/>
          <w:sz w:val="21"/>
          <w:szCs w:val="22"/>
        </w:rPr>
        <w:t xml:space="preserve">t </w:t>
      </w:r>
      <w:r>
        <w:rPr>
          <w:rStyle w:val="23"/>
          <w:rFonts w:hint="eastAsia" w:ascii="Times New Roman" w:hAnsi="Times New Roman" w:cs="Times New Roman"/>
          <w:b w:val="0"/>
          <w:bCs w:val="0"/>
          <w:sz w:val="21"/>
          <w:szCs w:val="22"/>
          <w:highlight w:val="none"/>
        </w:rPr>
        <w:t xml:space="preserve">is of great significance to address key challenges such as complex geospatial data, fragmented mathematical models, and slow cross-level scheduling in the digital twin </w:t>
      </w:r>
      <w:r>
        <w:rPr>
          <w:rStyle w:val="23"/>
          <w:rFonts w:ascii="Times New Roman" w:hAnsi="Times New Roman" w:cs="Times New Roman"/>
          <w:b w:val="0"/>
          <w:bCs w:val="0"/>
          <w:sz w:val="21"/>
          <w:szCs w:val="22"/>
          <w:highlight w:val="none"/>
        </w:rPr>
        <w:t>“four</w:t>
      </w:r>
      <w:r>
        <w:rPr>
          <w:rStyle w:val="23"/>
          <w:rFonts w:hint="eastAsia" w:ascii="Times New Roman" w:hAnsi="Times New Roman" w:cs="Times New Roman"/>
          <w:b w:val="0"/>
          <w:bCs w:val="0"/>
          <w:sz w:val="21"/>
          <w:szCs w:val="22"/>
          <w:highlight w:val="none"/>
        </w:rPr>
        <w:t>-pre</w:t>
      </w:r>
      <w:r>
        <w:rPr>
          <w:rStyle w:val="23"/>
          <w:rFonts w:ascii="Times New Roman" w:hAnsi="Times New Roman" w:cs="Times New Roman"/>
          <w:b w:val="0"/>
          <w:bCs w:val="0"/>
          <w:sz w:val="21"/>
          <w:szCs w:val="22"/>
          <w:highlight w:val="none"/>
        </w:rPr>
        <w:t>”</w:t>
      </w:r>
      <w:r>
        <w:rPr>
          <w:rStyle w:val="23"/>
          <w:rFonts w:hint="eastAsia" w:ascii="Times New Roman" w:hAnsi="Times New Roman" w:cs="Times New Roman"/>
          <w:b w:val="0"/>
          <w:bCs w:val="0"/>
          <w:sz w:val="21"/>
          <w:szCs w:val="22"/>
          <w:highlight w:val="none"/>
        </w:rPr>
        <w:t xml:space="preserve"> system at</w:t>
      </w:r>
      <w:r>
        <w:rPr>
          <w:rStyle w:val="23"/>
          <w:rFonts w:hint="eastAsia" w:ascii="Times New Roman" w:hAnsi="Times New Roman" w:cs="Times New Roman"/>
          <w:b w:val="0"/>
          <w:bCs w:val="0"/>
          <w:sz w:val="21"/>
          <w:szCs w:val="22"/>
        </w:rPr>
        <w:t xml:space="preserve"> the district and county levels. [Methods] Huairou District, Beijing, was selected as the study area. </w:t>
      </w:r>
      <w:r>
        <w:rPr>
          <w:rStyle w:val="23"/>
          <w:rFonts w:hint="eastAsia" w:ascii="Times New Roman" w:hAnsi="Times New Roman" w:cs="Times New Roman"/>
          <w:b w:val="0"/>
          <w:bCs w:val="0"/>
          <w:sz w:val="21"/>
          <w:szCs w:val="22"/>
          <w:lang w:val="en-US" w:eastAsia="zh-CN"/>
        </w:rPr>
        <w:t>A</w:t>
      </w:r>
      <w:r>
        <w:rPr>
          <w:rStyle w:val="23"/>
          <w:rFonts w:hint="eastAsia" w:ascii="Times New Roman" w:hAnsi="Times New Roman" w:cs="Times New Roman"/>
          <w:b w:val="0"/>
          <w:bCs w:val="0"/>
          <w:sz w:val="21"/>
          <w:szCs w:val="22"/>
        </w:rPr>
        <w:t xml:space="preserve"> differentiated monitoring and perception system was established across the entire district, built upon a three-tier </w:t>
      </w:r>
      <w:r>
        <w:rPr>
          <w:rStyle w:val="23"/>
          <w:rFonts w:hint="eastAsia" w:ascii="Times New Roman" w:hAnsi="Times New Roman"/>
          <w:b w:val="0"/>
          <w:bCs w:val="0"/>
          <w:sz w:val="21"/>
          <w:szCs w:val="22"/>
        </w:rPr>
        <w:t>architecture</w:t>
      </w:r>
      <w:r>
        <w:rPr>
          <w:rStyle w:val="23"/>
          <w:rFonts w:hint="eastAsia" w:ascii="Times New Roman" w:hAnsi="Times New Roman" w:cs="Times New Roman"/>
          <w:b w:val="0"/>
          <w:bCs w:val="0"/>
          <w:sz w:val="21"/>
          <w:szCs w:val="22"/>
        </w:rPr>
        <w:t xml:space="preserve"> comprising an infrastructure layer, a digital twin platform layer, and a smart application layer. The system was designed by integrating the characteristics of district-level water management, the current status of informatization, and the geospatial </w:t>
      </w:r>
      <w:r>
        <w:rPr>
          <w:rStyle w:val="23"/>
          <w:rFonts w:hint="eastAsia" w:ascii="Times New Roman" w:hAnsi="Times New Roman"/>
          <w:b w:val="0"/>
          <w:bCs w:val="0"/>
          <w:sz w:val="21"/>
          <w:szCs w:val="22"/>
        </w:rPr>
        <w:t>characteristics</w:t>
      </w:r>
      <w:r>
        <w:rPr>
          <w:rStyle w:val="23"/>
          <w:rFonts w:hint="eastAsia" w:ascii="Times New Roman" w:hAnsi="Times New Roman" w:cs="Times New Roman"/>
          <w:b w:val="0"/>
          <w:bCs w:val="0"/>
          <w:sz w:val="21"/>
          <w:szCs w:val="22"/>
        </w:rPr>
        <w:t xml:space="preserve"> of mountain-plain transition zones. </w:t>
      </w:r>
      <w:r>
        <w:rPr>
          <w:rStyle w:val="23"/>
          <w:rFonts w:hint="eastAsia" w:ascii="Times New Roman" w:hAnsi="Times New Roman" w:cs="Times New Roman"/>
          <w:b w:val="0"/>
          <w:bCs w:val="0"/>
          <w:sz w:val="21"/>
          <w:szCs w:val="22"/>
          <w:lang w:val="en-US" w:eastAsia="zh-CN"/>
        </w:rPr>
        <w:t>A</w:t>
      </w:r>
      <w:r>
        <w:rPr>
          <w:rStyle w:val="23"/>
          <w:rFonts w:hint="eastAsia" w:ascii="Times New Roman" w:hAnsi="Times New Roman" w:cs="Times New Roman"/>
          <w:b w:val="0"/>
          <w:bCs w:val="0"/>
          <w:sz w:val="21"/>
          <w:szCs w:val="22"/>
        </w:rPr>
        <w:t xml:space="preserve"> lightweight algorithm for large-scale multi-source data fusion was proposed. In view of the collaborative needs of multiple departments and levels within the district water authority, an application framewo</w:t>
      </w:r>
      <w:r>
        <w:rPr>
          <w:rStyle w:val="23"/>
          <w:rFonts w:hint="eastAsia" w:ascii="Times New Roman" w:hAnsi="Times New Roman" w:cs="Times New Roman"/>
          <w:b w:val="0"/>
          <w:bCs w:val="0"/>
          <w:sz w:val="21"/>
          <w:szCs w:val="22"/>
          <w:highlight w:val="none"/>
        </w:rPr>
        <w:t xml:space="preserve">rk was established for cross-level joint scheduling and consultation. </w:t>
      </w:r>
      <w:r>
        <w:rPr>
          <w:rStyle w:val="23"/>
          <w:rFonts w:hint="eastAsia" w:ascii="Times New Roman" w:hAnsi="Times New Roman" w:cs="Times New Roman"/>
          <w:b w:val="0"/>
          <w:bCs w:val="0"/>
          <w:sz w:val="21"/>
          <w:szCs w:val="22"/>
          <w:highlight w:val="none"/>
          <w:lang w:val="en-US" w:eastAsia="zh-CN"/>
        </w:rPr>
        <w:t>T</w:t>
      </w:r>
      <w:r>
        <w:rPr>
          <w:rStyle w:val="23"/>
          <w:rFonts w:hint="eastAsia" w:ascii="Times New Roman" w:hAnsi="Times New Roman" w:cs="Times New Roman"/>
          <w:b w:val="0"/>
          <w:bCs w:val="0"/>
          <w:sz w:val="21"/>
          <w:szCs w:val="22"/>
          <w:highlight w:val="none"/>
        </w:rPr>
        <w:t>o evaluate the practical effectiveness of the research framework</w:t>
      </w:r>
      <w:r>
        <w:rPr>
          <w:rStyle w:val="23"/>
          <w:rFonts w:hint="eastAsia" w:ascii="Times New Roman" w:hAnsi="Times New Roman" w:cs="Times New Roman"/>
          <w:b w:val="0"/>
          <w:bCs w:val="0"/>
          <w:sz w:val="21"/>
          <w:szCs w:val="22"/>
          <w:highlight w:val="none"/>
          <w:lang w:val="en-US" w:eastAsia="zh-CN"/>
        </w:rPr>
        <w:t xml:space="preserve">, </w:t>
      </w:r>
      <w:r>
        <w:rPr>
          <w:rStyle w:val="23"/>
          <w:rFonts w:hint="eastAsia" w:ascii="Times New Roman" w:hAnsi="Times New Roman" w:cs="Times New Roman"/>
          <w:b w:val="0"/>
          <w:bCs w:val="0"/>
          <w:sz w:val="21"/>
          <w:szCs w:val="22"/>
          <w:highlight w:val="none"/>
        </w:rPr>
        <w:t>model loading tests, analytic hierarchy process (AHP), and scenario analysis</w:t>
      </w:r>
      <w:r>
        <w:rPr>
          <w:rStyle w:val="23"/>
          <w:rFonts w:hint="eastAsia" w:ascii="Times New Roman" w:hAnsi="Times New Roman" w:cs="Times New Roman"/>
          <w:b w:val="0"/>
          <w:bCs w:val="0"/>
          <w:sz w:val="21"/>
          <w:szCs w:val="22"/>
          <w:highlight w:val="none"/>
          <w:lang w:val="en-US" w:eastAsia="zh-CN"/>
        </w:rPr>
        <w:t xml:space="preserve"> were used for </w:t>
      </w:r>
      <w:r>
        <w:rPr>
          <w:rStyle w:val="23"/>
          <w:rFonts w:hint="eastAsia" w:ascii="Times New Roman" w:hAnsi="Times New Roman"/>
          <w:b w:val="0"/>
          <w:bCs w:val="0"/>
          <w:sz w:val="21"/>
          <w:szCs w:val="22"/>
          <w:highlight w:val="none"/>
          <w:lang w:val="en-US" w:eastAsia="zh-CN"/>
        </w:rPr>
        <w:t>quantitative evaluation of framework effectiveness</w:t>
      </w:r>
      <w:r>
        <w:rPr>
          <w:rStyle w:val="23"/>
          <w:rFonts w:hint="eastAsia" w:ascii="Times New Roman" w:hAnsi="Times New Roman" w:cs="Times New Roman"/>
          <w:b w:val="0"/>
          <w:bCs w:val="0"/>
          <w:sz w:val="21"/>
          <w:szCs w:val="22"/>
          <w:highlight w:val="none"/>
        </w:rPr>
        <w:t xml:space="preserve">. [Results] The results showed that the lightweight algorithm significantly optimized model size, reducing the rendering load by approximately 83%. Through </w:t>
      </w:r>
      <w:r>
        <w:rPr>
          <w:rStyle w:val="23"/>
          <w:rFonts w:hint="eastAsia" w:ascii="Times New Roman" w:hAnsi="Times New Roman" w:cs="Times New Roman"/>
          <w:b w:val="0"/>
          <w:bCs w:val="0"/>
          <w:sz w:val="21"/>
          <w:szCs w:val="22"/>
          <w:highlight w:val="none"/>
          <w:lang w:val="en-US" w:eastAsia="zh-CN"/>
        </w:rPr>
        <w:t xml:space="preserve">the use of </w:t>
      </w:r>
      <w:r>
        <w:rPr>
          <w:rStyle w:val="23"/>
          <w:rFonts w:hint="eastAsia" w:ascii="Times New Roman" w:hAnsi="Times New Roman" w:cs="Times New Roman"/>
          <w:b w:val="0"/>
          <w:bCs w:val="0"/>
          <w:sz w:val="21"/>
          <w:szCs w:val="22"/>
          <w:highlight w:val="none"/>
        </w:rPr>
        <w:t>encapsulated hydrological model</w:t>
      </w:r>
      <w:r>
        <w:rPr>
          <w:rStyle w:val="23"/>
          <w:rFonts w:hint="eastAsia" w:ascii="Times New Roman" w:hAnsi="Times New Roman" w:cs="Times New Roman"/>
          <w:b w:val="0"/>
          <w:bCs w:val="0"/>
          <w:sz w:val="21"/>
          <w:szCs w:val="22"/>
          <w:highlight w:val="none"/>
          <w:lang w:val="en-US" w:eastAsia="zh-CN"/>
        </w:rPr>
        <w:t xml:space="preserve"> libraries</w:t>
      </w:r>
      <w:r>
        <w:rPr>
          <w:rStyle w:val="23"/>
          <w:rFonts w:hint="eastAsia" w:ascii="Times New Roman" w:hAnsi="Times New Roman" w:cs="Times New Roman"/>
          <w:b w:val="0"/>
          <w:bCs w:val="0"/>
          <w:sz w:val="21"/>
          <w:szCs w:val="22"/>
          <w:highlight w:val="none"/>
        </w:rPr>
        <w:t xml:space="preserve"> and collaborative applications, the comprehensive </w:t>
      </w:r>
      <w:r>
        <w:rPr>
          <w:rStyle w:val="23"/>
          <w:rFonts w:ascii="Times New Roman" w:hAnsi="Times New Roman" w:cs="Times New Roman"/>
          <w:b w:val="0"/>
          <w:bCs w:val="0"/>
          <w:sz w:val="21"/>
          <w:szCs w:val="22"/>
          <w:highlight w:val="none"/>
        </w:rPr>
        <w:t>“</w:t>
      </w:r>
      <w:r>
        <w:rPr>
          <w:rStyle w:val="23"/>
          <w:rFonts w:hint="eastAsia" w:ascii="Times New Roman" w:hAnsi="Times New Roman" w:cs="Times New Roman"/>
          <w:b w:val="0"/>
          <w:bCs w:val="0"/>
          <w:sz w:val="21"/>
          <w:szCs w:val="22"/>
          <w:highlight w:val="none"/>
        </w:rPr>
        <w:t>four-pre</w:t>
      </w:r>
      <w:r>
        <w:rPr>
          <w:rStyle w:val="23"/>
          <w:rFonts w:ascii="Times New Roman" w:hAnsi="Times New Roman" w:cs="Times New Roman"/>
          <w:b w:val="0"/>
          <w:bCs w:val="0"/>
          <w:sz w:val="21"/>
          <w:szCs w:val="22"/>
          <w:highlight w:val="none"/>
        </w:rPr>
        <w:t>”</w:t>
      </w:r>
      <w:r>
        <w:rPr>
          <w:rStyle w:val="23"/>
          <w:rFonts w:hint="eastAsia" w:ascii="Times New Roman" w:hAnsi="Times New Roman" w:cs="Times New Roman"/>
          <w:b w:val="0"/>
          <w:bCs w:val="0"/>
          <w:sz w:val="21"/>
          <w:szCs w:val="22"/>
          <w:highlight w:val="none"/>
        </w:rPr>
        <w:t xml:space="preserve"> capabilities of flood disaster prevention and mitigation in Huairou District were theoretically improved by about 70%. [Conclusion] The findings indicate that the platform can improve precise perception, intelligent simulation accuracy, and collaborative scheduling </w:t>
      </w:r>
      <w:r>
        <w:rPr>
          <w:rStyle w:val="23"/>
          <w:rFonts w:hint="eastAsia" w:ascii="Times New Roman" w:hAnsi="Times New Roman"/>
          <w:b w:val="0"/>
          <w:bCs w:val="0"/>
          <w:sz w:val="21"/>
          <w:szCs w:val="22"/>
          <w:highlight w:val="none"/>
        </w:rPr>
        <w:t>effectiveness</w:t>
      </w:r>
      <w:r>
        <w:rPr>
          <w:rStyle w:val="23"/>
          <w:rFonts w:hint="eastAsia" w:ascii="Times New Roman" w:hAnsi="Times New Roman" w:cs="Times New Roman"/>
          <w:b w:val="0"/>
          <w:bCs w:val="0"/>
          <w:sz w:val="21"/>
          <w:szCs w:val="22"/>
          <w:highlight w:val="none"/>
        </w:rPr>
        <w:t xml:space="preserve"> of water conservancy facilities in Huairou District. This approach is applicable for administrative units </w:t>
      </w:r>
      <w:r>
        <w:rPr>
          <w:rStyle w:val="23"/>
          <w:rFonts w:hint="eastAsia" w:ascii="Times New Roman" w:hAnsi="Times New Roman" w:cs="Times New Roman"/>
          <w:b w:val="0"/>
          <w:bCs w:val="0"/>
          <w:sz w:val="21"/>
          <w:szCs w:val="22"/>
          <w:highlight w:val="none"/>
          <w:lang w:val="en-US" w:eastAsia="zh-CN"/>
        </w:rPr>
        <w:t xml:space="preserve">at the </w:t>
      </w:r>
      <w:r>
        <w:rPr>
          <w:rStyle w:val="23"/>
          <w:rFonts w:hint="eastAsia" w:ascii="Times New Roman" w:hAnsi="Times New Roman" w:cs="Times New Roman"/>
          <w:b w:val="0"/>
          <w:bCs w:val="0"/>
          <w:sz w:val="21"/>
          <w:szCs w:val="22"/>
          <w:highlight w:val="none"/>
        </w:rPr>
        <w:t>district and county</w:t>
      </w:r>
      <w:r>
        <w:rPr>
          <w:rStyle w:val="23"/>
          <w:rFonts w:hint="eastAsia" w:ascii="Times New Roman" w:hAnsi="Times New Roman" w:cs="Times New Roman"/>
          <w:b w:val="0"/>
          <w:bCs w:val="0"/>
          <w:sz w:val="21"/>
          <w:szCs w:val="22"/>
          <w:highlight w:val="none"/>
          <w:lang w:val="en-US" w:eastAsia="zh-CN"/>
        </w:rPr>
        <w:t xml:space="preserve"> </w:t>
      </w:r>
      <w:r>
        <w:rPr>
          <w:rStyle w:val="23"/>
          <w:rFonts w:hint="eastAsia" w:ascii="Times New Roman" w:hAnsi="Times New Roman" w:cs="Times New Roman"/>
          <w:b w:val="0"/>
          <w:bCs w:val="0"/>
          <w:sz w:val="21"/>
          <w:szCs w:val="22"/>
          <w:highlight w:val="none"/>
        </w:rPr>
        <w:t>level</w:t>
      </w:r>
      <w:r>
        <w:rPr>
          <w:rStyle w:val="23"/>
          <w:rFonts w:hint="eastAsia" w:ascii="Times New Roman" w:hAnsi="Times New Roman" w:cs="Times New Roman"/>
          <w:b w:val="0"/>
          <w:bCs w:val="0"/>
          <w:sz w:val="21"/>
          <w:szCs w:val="22"/>
          <w:highlight w:val="none"/>
          <w:lang w:val="en-US" w:eastAsia="zh-CN"/>
        </w:rPr>
        <w:t>s</w:t>
      </w:r>
      <w:r>
        <w:rPr>
          <w:rStyle w:val="23"/>
          <w:rFonts w:hint="eastAsia" w:ascii="Times New Roman" w:hAnsi="Times New Roman" w:cs="Times New Roman"/>
          <w:b w:val="0"/>
          <w:bCs w:val="0"/>
          <w:sz w:val="21"/>
          <w:szCs w:val="22"/>
          <w:highlight w:val="none"/>
        </w:rPr>
        <w:t xml:space="preserve"> </w:t>
      </w:r>
      <w:r>
        <w:rPr>
          <w:rStyle w:val="23"/>
          <w:rFonts w:hint="eastAsia" w:ascii="Times New Roman" w:hAnsi="Times New Roman" w:cs="Times New Roman"/>
          <w:b w:val="0"/>
          <w:bCs w:val="0"/>
          <w:sz w:val="21"/>
          <w:szCs w:val="22"/>
          <w:highlight w:val="none"/>
          <w:lang w:val="en-US" w:eastAsia="zh-CN"/>
        </w:rPr>
        <w:t>with</w:t>
      </w:r>
      <w:r>
        <w:rPr>
          <w:rStyle w:val="23"/>
          <w:rFonts w:hint="eastAsia" w:ascii="Times New Roman" w:hAnsi="Times New Roman" w:cs="Times New Roman"/>
          <w:b w:val="0"/>
          <w:bCs w:val="0"/>
          <w:sz w:val="21"/>
          <w:szCs w:val="22"/>
          <w:highlight w:val="none"/>
        </w:rPr>
        <w:t xml:space="preserve"> complex geographical environments, numerous water conservancy facilities </w:t>
      </w:r>
      <w:r>
        <w:rPr>
          <w:rStyle w:val="23"/>
          <w:rFonts w:hint="eastAsia" w:ascii="Times New Roman" w:hAnsi="Times New Roman" w:cs="Times New Roman"/>
          <w:b w:val="0"/>
          <w:bCs w:val="0"/>
          <w:sz w:val="21"/>
          <w:szCs w:val="22"/>
          <w:highlight w:val="none"/>
          <w:lang w:val="en-US" w:eastAsia="zh-CN"/>
        </w:rPr>
        <w:t>and</w:t>
      </w:r>
      <w:r>
        <w:rPr>
          <w:rStyle w:val="23"/>
          <w:rFonts w:hint="eastAsia" w:ascii="Times New Roman" w:hAnsi="Times New Roman" w:cs="Times New Roman"/>
          <w:b w:val="0"/>
          <w:bCs w:val="0"/>
          <w:sz w:val="21"/>
          <w:szCs w:val="22"/>
          <w:highlight w:val="none"/>
        </w:rPr>
        <w:t xml:space="preserve"> multi-level cross-departmental management collaboration, thereby providing a reference for similar cases nationwide.</w:t>
      </w:r>
    </w:p>
    <w:p w14:paraId="7EF278F3">
      <w:pPr>
        <w:spacing w:after="0" w:line="240" w:lineRule="auto"/>
        <w:ind w:right="408"/>
        <w:jc w:val="both"/>
        <w:rPr>
          <w:rStyle w:val="23"/>
          <w:rFonts w:hint="default" w:ascii="Times New Roman" w:hAnsi="Times New Roman" w:cs="Times New Roman"/>
          <w:b w:val="0"/>
          <w:bCs w:val="0"/>
          <w:sz w:val="21"/>
          <w:szCs w:val="22"/>
          <w:highlight w:val="none"/>
          <w:lang w:val="en-US"/>
        </w:rPr>
      </w:pPr>
      <w:r>
        <w:rPr>
          <w:rStyle w:val="23"/>
          <w:rFonts w:ascii="Times New Roman" w:hAnsi="Times New Roman" w:cs="Times New Roman"/>
          <w:sz w:val="21"/>
          <w:szCs w:val="22"/>
          <w:highlight w:val="none"/>
        </w:rPr>
        <w:t xml:space="preserve">Keywords: </w:t>
      </w:r>
      <w:r>
        <w:rPr>
          <w:rStyle w:val="23"/>
          <w:rFonts w:ascii="Times New Roman" w:hAnsi="Times New Roman" w:cs="Times New Roman"/>
          <w:b w:val="0"/>
          <w:bCs w:val="0"/>
          <w:sz w:val="21"/>
          <w:szCs w:val="22"/>
          <w:highlight w:val="none"/>
        </w:rPr>
        <w:t>flood disasters; geospatial data; cross-level joint scheduling; “four-pre” capabilit</w:t>
      </w:r>
      <w:r>
        <w:rPr>
          <w:rStyle w:val="23"/>
          <w:rFonts w:hint="eastAsia" w:ascii="Times New Roman" w:hAnsi="Times New Roman" w:cs="Times New Roman"/>
          <w:b w:val="0"/>
          <w:bCs w:val="0"/>
          <w:sz w:val="21"/>
          <w:szCs w:val="22"/>
          <w:highlight w:val="none"/>
          <w:lang w:val="en-US" w:eastAsia="zh-CN"/>
        </w:rPr>
        <w:t>y evaluation</w:t>
      </w:r>
      <w:r>
        <w:rPr>
          <w:rStyle w:val="23"/>
          <w:rFonts w:ascii="Times New Roman" w:hAnsi="Times New Roman" w:cs="Times New Roman"/>
          <w:b w:val="0"/>
          <w:bCs w:val="0"/>
          <w:sz w:val="21"/>
          <w:szCs w:val="22"/>
          <w:highlight w:val="none"/>
        </w:rPr>
        <w:t>; analytic hierarchy process</w:t>
      </w:r>
      <w:r>
        <w:rPr>
          <w:rStyle w:val="23"/>
          <w:rFonts w:hint="default" w:ascii="Times New Roman" w:hAnsi="Times New Roman" w:cs="Times New Roman"/>
          <w:b w:val="0"/>
          <w:bCs w:val="0"/>
          <w:sz w:val="21"/>
          <w:szCs w:val="22"/>
          <w:highlight w:val="none"/>
          <w:lang w:val="en-US"/>
        </w:rPr>
        <w:t>; digital twin; hydraulic engineering; mountain-plain transition zone</w:t>
      </w:r>
    </w:p>
    <w:bookmarkEnd w:id="6"/>
    <w:p w14:paraId="3716F046">
      <w:pPr>
        <w:pStyle w:val="17"/>
        <w:snapToGrid/>
        <w:jc w:val="both"/>
        <w:rPr>
          <w:rFonts w:ascii="Times New Roman" w:hAnsi="Times New Roman" w:eastAsia="黑体" w:cs="Times New Roman"/>
          <w:b/>
          <w:bCs/>
          <w:szCs w:val="18"/>
        </w:rPr>
      </w:pPr>
    </w:p>
    <w:p w14:paraId="060C79C9">
      <w:pPr>
        <w:pStyle w:val="17"/>
        <w:snapToGrid/>
        <w:jc w:val="both"/>
        <w:rPr>
          <w:rFonts w:hint="default" w:ascii="Times New Roman" w:hAnsi="Times New Roman" w:eastAsia="宋体" w:cs="Times New Roman"/>
          <w:b/>
          <w:color w:val="FF0000"/>
          <w:szCs w:val="18"/>
          <w:lang w:val="en-US" w:eastAsia="zh-CN"/>
        </w:rPr>
      </w:pPr>
      <w:r>
        <w:rPr>
          <w:rFonts w:ascii="Times New Roman" w:hAnsi="Times New Roman" w:eastAsia="黑体" w:cs="Times New Roman"/>
          <w:b/>
          <w:bCs/>
          <w:szCs w:val="18"/>
        </w:rPr>
        <w:t>收稿日期：</w:t>
      </w:r>
      <w:r>
        <w:rPr>
          <w:rFonts w:ascii="Times New Roman" w:hAnsi="Times New Roman" w:cs="Times New Roman"/>
          <w:szCs w:val="18"/>
        </w:rPr>
        <w:t>202</w:t>
      </w:r>
      <w:r>
        <w:rPr>
          <w:rFonts w:hint="eastAsia" w:ascii="Times New Roman" w:hAnsi="Times New Roman" w:cs="Times New Roman"/>
          <w:szCs w:val="18"/>
        </w:rPr>
        <w:t>6</w:t>
      </w:r>
      <w:r>
        <w:rPr>
          <w:rFonts w:ascii="Times New Roman" w:hAnsi="Times New Roman" w:cs="Times New Roman"/>
          <w:szCs w:val="18"/>
        </w:rPr>
        <w:t>-0</w:t>
      </w:r>
      <w:r>
        <w:rPr>
          <w:rFonts w:hint="eastAsia" w:ascii="Times New Roman" w:hAnsi="Times New Roman" w:cs="Times New Roman"/>
          <w:szCs w:val="18"/>
        </w:rPr>
        <w:t>1</w:t>
      </w:r>
      <w:r>
        <w:rPr>
          <w:rFonts w:ascii="Times New Roman" w:hAnsi="Times New Roman" w:cs="Times New Roman"/>
          <w:szCs w:val="18"/>
        </w:rPr>
        <w:t>-</w:t>
      </w:r>
      <w:r>
        <w:rPr>
          <w:rFonts w:hint="eastAsia" w:ascii="Times New Roman" w:hAnsi="Times New Roman" w:cs="Times New Roman"/>
          <w:szCs w:val="18"/>
        </w:rPr>
        <w:t>23</w:t>
      </w:r>
      <w:r>
        <w:rPr>
          <w:rFonts w:ascii="Times New Roman" w:hAnsi="Times New Roman" w:cs="Times New Roman"/>
          <w:szCs w:val="18"/>
        </w:rPr>
        <w:t>；</w:t>
      </w:r>
      <w:r>
        <w:rPr>
          <w:rFonts w:ascii="Times New Roman" w:hAnsi="Times New Roman" w:eastAsia="黑体" w:cs="Times New Roman"/>
          <w:b/>
          <w:bCs/>
          <w:szCs w:val="18"/>
        </w:rPr>
        <w:t>修回日期：</w:t>
      </w:r>
      <w:r>
        <w:rPr>
          <w:rFonts w:ascii="Times New Roman" w:hAnsi="Times New Roman" w:cs="Times New Roman"/>
          <w:szCs w:val="18"/>
        </w:rPr>
        <w:t>202</w:t>
      </w:r>
      <w:r>
        <w:rPr>
          <w:rFonts w:hint="eastAsia" w:ascii="Times New Roman" w:hAnsi="Times New Roman" w:cs="Times New Roman"/>
          <w:szCs w:val="18"/>
        </w:rPr>
        <w:t>6</w:t>
      </w:r>
      <w:r>
        <w:rPr>
          <w:rFonts w:ascii="Times New Roman" w:hAnsi="Times New Roman" w:cs="Times New Roman"/>
          <w:szCs w:val="18"/>
        </w:rPr>
        <w:t>-03-15；</w:t>
      </w:r>
      <w:r>
        <w:rPr>
          <w:rFonts w:ascii="Times New Roman" w:hAnsi="Times New Roman" w:eastAsia="黑体" w:cs="Times New Roman"/>
          <w:b/>
          <w:bCs/>
          <w:szCs w:val="18"/>
        </w:rPr>
        <w:t>录用日期：</w:t>
      </w:r>
      <w:r>
        <w:rPr>
          <w:rFonts w:ascii="Times New Roman" w:hAnsi="Times New Roman" w:cs="Times New Roman"/>
          <w:szCs w:val="18"/>
        </w:rPr>
        <w:t>202</w:t>
      </w:r>
      <w:r>
        <w:rPr>
          <w:rFonts w:hint="eastAsia" w:ascii="Times New Roman" w:hAnsi="Times New Roman" w:cs="Times New Roman"/>
          <w:szCs w:val="18"/>
        </w:rPr>
        <w:t>6</w:t>
      </w:r>
      <w:r>
        <w:rPr>
          <w:rFonts w:ascii="Times New Roman" w:hAnsi="Times New Roman" w:cs="Times New Roman"/>
          <w:szCs w:val="18"/>
        </w:rPr>
        <w:t>-03-30；</w:t>
      </w:r>
      <w:r>
        <w:rPr>
          <w:rFonts w:ascii="Times New Roman" w:hAnsi="Times New Roman" w:eastAsia="黑体" w:cs="Times New Roman"/>
          <w:b/>
          <w:bCs/>
          <w:szCs w:val="18"/>
        </w:rPr>
        <w:t>网络出版日期：</w:t>
      </w:r>
      <w:r>
        <w:rPr>
          <w:rFonts w:ascii="Times New Roman" w:hAnsi="Times New Roman" w:cs="Times New Roman"/>
          <w:szCs w:val="18"/>
        </w:rPr>
        <w:t>202</w:t>
      </w:r>
      <w:r>
        <w:rPr>
          <w:rFonts w:hint="eastAsia" w:ascii="Times New Roman" w:hAnsi="Times New Roman" w:cs="Times New Roman"/>
          <w:szCs w:val="18"/>
        </w:rPr>
        <w:t>6</w:t>
      </w:r>
      <w:r>
        <w:rPr>
          <w:rFonts w:ascii="Times New Roman" w:hAnsi="Times New Roman" w:cs="Times New Roman"/>
          <w:szCs w:val="18"/>
        </w:rPr>
        <w:t>-</w:t>
      </w:r>
      <w:r>
        <w:rPr>
          <w:rFonts w:hint="eastAsia" w:ascii="Times New Roman" w:hAnsi="Times New Roman" w:cs="Times New Roman"/>
          <w:szCs w:val="18"/>
          <w:lang w:val="en-US" w:eastAsia="zh-CN"/>
        </w:rPr>
        <w:t>0</w:t>
      </w:r>
      <w:r>
        <w:rPr>
          <w:rFonts w:hint="default" w:ascii="Times New Roman" w:hAnsi="Times New Roman" w:cs="Times New Roman"/>
          <w:szCs w:val="18"/>
          <w:lang w:val="en-US" w:eastAsia="zh-CN"/>
        </w:rPr>
        <w:t>5</w:t>
      </w:r>
      <w:bookmarkStart w:id="47" w:name="_GoBack"/>
      <w:bookmarkEnd w:id="47"/>
    </w:p>
    <w:p w14:paraId="27A8CB05">
      <w:pPr>
        <w:pStyle w:val="17"/>
        <w:jc w:val="both"/>
        <w:rPr>
          <w:rFonts w:ascii="Times New Roman" w:hAnsi="Times New Roman" w:cs="Times New Roman"/>
          <w:szCs w:val="18"/>
        </w:rPr>
      </w:pPr>
      <w:r>
        <w:rPr>
          <w:rFonts w:ascii="Times New Roman" w:hAnsi="Times New Roman" w:eastAsia="黑体" w:cs="Times New Roman"/>
          <w:b/>
          <w:bCs/>
          <w:spacing w:val="-2"/>
          <w:szCs w:val="18"/>
        </w:rPr>
        <w:t>基金项目：</w:t>
      </w:r>
      <w:r>
        <w:rPr>
          <w:rFonts w:hint="eastAsia" w:ascii="Times New Roman" w:hAnsi="Times New Roman" w:cs="Times New Roman"/>
          <w:szCs w:val="18"/>
        </w:rPr>
        <w:t>京津冀环境综合治理国家科技重大专项</w:t>
      </w:r>
      <w:r>
        <w:rPr>
          <w:rFonts w:ascii="Times New Roman" w:hAnsi="Times New Roman" w:cs="Times New Roman"/>
          <w:szCs w:val="18"/>
        </w:rPr>
        <w:t>(</w:t>
      </w:r>
      <w:r>
        <w:rPr>
          <w:rFonts w:hint="eastAsia" w:ascii="Times New Roman" w:hAnsi="Times New Roman" w:cs="Times New Roman"/>
          <w:szCs w:val="18"/>
        </w:rPr>
        <w:t>2025ZD1202105</w:t>
      </w:r>
      <w:r>
        <w:rPr>
          <w:rFonts w:ascii="Times New Roman" w:hAnsi="Times New Roman" w:cs="Times New Roman"/>
          <w:szCs w:val="18"/>
        </w:rPr>
        <w:t>)</w:t>
      </w:r>
      <w:r>
        <w:rPr>
          <w:rFonts w:hint="eastAsia" w:ascii="Times New Roman" w:hAnsi="Times New Roman" w:cs="Times New Roman"/>
          <w:szCs w:val="18"/>
        </w:rPr>
        <w:t xml:space="preserve"> </w:t>
      </w:r>
    </w:p>
    <w:p w14:paraId="11813EBC">
      <w:pPr>
        <w:spacing w:line="240" w:lineRule="auto"/>
        <w:rPr>
          <w:rFonts w:ascii="Times New Roman" w:hAnsi="Times New Roman" w:cs="Times New Roman"/>
          <w:spacing w:val="4"/>
          <w:sz w:val="18"/>
          <w:szCs w:val="18"/>
        </w:rPr>
      </w:pPr>
      <w:r>
        <w:rPr>
          <w:rFonts w:ascii="Times New Roman" w:hAnsi="Times New Roman" w:eastAsia="黑体" w:cs="Times New Roman"/>
          <w:b/>
          <w:bCs/>
          <w:spacing w:val="-2"/>
          <w:sz w:val="18"/>
          <w:szCs w:val="18"/>
        </w:rPr>
        <w:t>作者简介：</w:t>
      </w:r>
      <w:r>
        <w:rPr>
          <w:rFonts w:hint="eastAsia" w:ascii="Times New Roman" w:hAnsi="Times New Roman" w:cs="Times New Roman"/>
          <w:sz w:val="18"/>
          <w:szCs w:val="18"/>
        </w:rPr>
        <w:t>代进雄</w:t>
      </w:r>
      <w:r>
        <w:rPr>
          <w:rFonts w:ascii="Times New Roman" w:hAnsi="Times New Roman" w:cs="Times New Roman"/>
          <w:sz w:val="18"/>
          <w:szCs w:val="18"/>
        </w:rPr>
        <w:t>（</w:t>
      </w:r>
      <w:r>
        <w:rPr>
          <w:rFonts w:hint="eastAsia" w:ascii="Times New Roman" w:hAnsi="Times New Roman" w:cs="Times New Roman"/>
          <w:spacing w:val="4"/>
          <w:sz w:val="18"/>
          <w:szCs w:val="18"/>
        </w:rPr>
        <w:t>1991—</w:t>
      </w:r>
      <w:r>
        <w:rPr>
          <w:rFonts w:ascii="Times New Roman" w:hAnsi="Times New Roman" w:cs="Times New Roman"/>
          <w:sz w:val="18"/>
          <w:szCs w:val="18"/>
        </w:rPr>
        <w:t>），</w:t>
      </w:r>
      <w:r>
        <w:rPr>
          <w:rFonts w:hint="eastAsia" w:ascii="Times New Roman" w:hAnsi="Times New Roman" w:cs="Times New Roman"/>
          <w:spacing w:val="4"/>
          <w:sz w:val="18"/>
          <w:szCs w:val="18"/>
        </w:rPr>
        <w:t>男</w:t>
      </w:r>
      <w:r>
        <w:rPr>
          <w:rFonts w:ascii="Times New Roman" w:hAnsi="Times New Roman" w:cs="Times New Roman"/>
          <w:spacing w:val="4"/>
          <w:sz w:val="18"/>
          <w:szCs w:val="18"/>
        </w:rPr>
        <w:t>，</w:t>
      </w:r>
      <w:r>
        <w:rPr>
          <w:rFonts w:hint="eastAsia" w:ascii="Times New Roman" w:hAnsi="Times New Roman" w:cs="Times New Roman"/>
          <w:spacing w:val="4"/>
          <w:sz w:val="18"/>
          <w:szCs w:val="18"/>
        </w:rPr>
        <w:t>高级工程师</w:t>
      </w:r>
      <w:r>
        <w:rPr>
          <w:rFonts w:ascii="Times New Roman" w:hAnsi="Times New Roman" w:cs="Times New Roman"/>
          <w:spacing w:val="4"/>
          <w:sz w:val="18"/>
          <w:szCs w:val="18"/>
        </w:rPr>
        <w:t>，</w:t>
      </w:r>
      <w:r>
        <w:rPr>
          <w:rFonts w:hint="eastAsia" w:ascii="Times New Roman" w:hAnsi="Times New Roman" w:cs="Times New Roman"/>
          <w:spacing w:val="4"/>
          <w:sz w:val="18"/>
          <w:szCs w:val="18"/>
        </w:rPr>
        <w:t>硕士</w:t>
      </w:r>
      <w:r>
        <w:rPr>
          <w:rFonts w:ascii="Times New Roman" w:hAnsi="Times New Roman" w:cs="Times New Roman"/>
          <w:spacing w:val="4"/>
          <w:sz w:val="18"/>
          <w:szCs w:val="18"/>
        </w:rPr>
        <w:t>，主要从事</w:t>
      </w:r>
      <w:r>
        <w:rPr>
          <w:rFonts w:hint="eastAsia" w:ascii="Times New Roman" w:hAnsi="Times New Roman" w:cs="Times New Roman"/>
          <w:spacing w:val="4"/>
          <w:sz w:val="18"/>
          <w:szCs w:val="18"/>
        </w:rPr>
        <w:t>智慧水利、岩土工程设计</w:t>
      </w:r>
      <w:r>
        <w:rPr>
          <w:rFonts w:ascii="Times New Roman" w:hAnsi="Times New Roman" w:cs="Times New Roman"/>
          <w:spacing w:val="4"/>
          <w:sz w:val="18"/>
          <w:szCs w:val="18"/>
        </w:rPr>
        <w:t>研究。E-mail：</w:t>
      </w:r>
      <w:r>
        <w:rPr>
          <w:rFonts w:hint="eastAsia" w:ascii="Times New Roman" w:hAnsi="Times New Roman" w:cs="Times New Roman"/>
          <w:spacing w:val="4"/>
          <w:sz w:val="18"/>
          <w:szCs w:val="18"/>
        </w:rPr>
        <w:t>vincentismax@126.com</w:t>
      </w:r>
    </w:p>
    <w:p w14:paraId="26506374">
      <w:pPr>
        <w:spacing w:after="0" w:line="240" w:lineRule="auto"/>
        <w:ind w:right="408"/>
        <w:jc w:val="both"/>
        <w:rPr>
          <w:rStyle w:val="23"/>
          <w:rFonts w:ascii="Times New Roman" w:hAnsi="Times New Roman" w:cs="Times New Roman"/>
          <w:b w:val="0"/>
          <w:bCs w:val="0"/>
          <w:sz w:val="21"/>
          <w:szCs w:val="22"/>
        </w:rPr>
      </w:pPr>
    </w:p>
    <w:p w14:paraId="7504129C">
      <w:pPr>
        <w:spacing w:after="0" w:line="240" w:lineRule="auto"/>
        <w:ind w:right="408"/>
        <w:jc w:val="both"/>
        <w:rPr>
          <w:rStyle w:val="23"/>
          <w:rFonts w:ascii="Times New Roman" w:hAnsi="Times New Roman" w:cs="Times New Roman"/>
          <w:b w:val="0"/>
          <w:bCs w:val="0"/>
          <w:sz w:val="21"/>
          <w:szCs w:val="22"/>
        </w:rPr>
      </w:pPr>
    </w:p>
    <w:bookmarkEnd w:id="4"/>
    <w:p w14:paraId="384AD0BA">
      <w:pPr>
        <w:pStyle w:val="3"/>
        <w:spacing w:before="0" w:after="0" w:line="240" w:lineRule="auto"/>
        <w:jc w:val="both"/>
        <w:rPr>
          <w:rFonts w:hint="eastAsia" w:ascii="黑体" w:hAnsi="黑体" w:eastAsia="黑体" w:cs="Times New Roman"/>
          <w:color w:val="000000" w:themeColor="text1"/>
          <w:kern w:val="44"/>
          <w:sz w:val="24"/>
          <w:szCs w:val="24"/>
          <w14:textFill>
            <w14:solidFill>
              <w14:schemeClr w14:val="tx1"/>
            </w14:solidFill>
          </w14:textFill>
          <w14:ligatures w14:val="none"/>
        </w:rPr>
      </w:pPr>
      <w:r>
        <w:rPr>
          <w:rFonts w:hint="eastAsia" w:ascii="黑体" w:hAnsi="黑体" w:eastAsia="黑体" w:cs="Times New Roman"/>
          <w:color w:val="000000" w:themeColor="text1"/>
          <w:kern w:val="44"/>
          <w:sz w:val="24"/>
          <w:szCs w:val="24"/>
          <w14:textFill>
            <w14:solidFill>
              <w14:schemeClr w14:val="tx1"/>
            </w14:solidFill>
          </w14:textFill>
          <w14:ligatures w14:val="none"/>
        </w:rPr>
        <w:t>0 引  言</w:t>
      </w:r>
    </w:p>
    <w:p w14:paraId="29363255">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bookmarkStart w:id="7" w:name="OLE_LINK13"/>
      <w:bookmarkStart w:id="8" w:name="OLE_LINK15"/>
      <w:bookmarkStart w:id="9" w:name="OLE_LINK8"/>
      <w:r>
        <w:rPr>
          <w:rFonts w:hint="eastAsia" w:ascii="宋体" w:hAnsi="宋体" w:eastAsia="宋体" w:cs="Times New Roman"/>
          <w:color w:val="000000" w:themeColor="text1"/>
          <w:sz w:val="21"/>
          <w:szCs w:val="21"/>
          <w14:textFill>
            <w14:solidFill>
              <w14:schemeClr w14:val="tx1"/>
            </w14:solidFill>
          </w14:textFill>
          <w14:ligatures w14:val="none"/>
        </w:rPr>
        <w:t>近年来，由于全球气候变化加剧和我国城镇化进程加快，极端暴雨下造成的洪涝灾害越发频繁且强度逐渐变大，受灾范围也随之扩大，严重威胁了区域水安全及经济社会的高质量发展</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[1]</w:t>
      </w:r>
      <w:r>
        <w:rPr>
          <w:rFonts w:hint="eastAsia" w:ascii="宋体" w:hAnsi="宋体" w:eastAsia="宋体" w:cs="Times New Roman"/>
          <w:color w:val="000000" w:themeColor="text1"/>
          <w:sz w:val="21"/>
          <w:szCs w:val="21"/>
          <w14:textFill>
            <w14:solidFill>
              <w14:schemeClr w14:val="tx1"/>
            </w14:solidFill>
          </w14:textFill>
          <w14:ligatures w14:val="none"/>
        </w:rPr>
        <w:t>，促使传统的依靠人工经验和分散系统的水利防灾减灾模式向数字化、智能化转型</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[2]</w:t>
      </w:r>
      <w:r>
        <w:rPr>
          <w:rFonts w:hint="eastAsia" w:ascii="宋体" w:hAnsi="宋体" w:eastAsia="宋体" w:cs="Times New Roman"/>
          <w:color w:val="000000" w:themeColor="text1"/>
          <w:sz w:val="21"/>
          <w:szCs w:val="21"/>
          <w14:textFill>
            <w14:solidFill>
              <w14:schemeClr w14:val="tx1"/>
            </w14:solidFill>
          </w14:textFill>
          <w14:ligatures w14:val="none"/>
        </w:rPr>
        <w:t>。数字孪生通过在数字环境中创建物理实体的高保真动态虚拟镜像，从而实现真实物理场景在数据驱动下的精准模拟，分析以及决策</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 xml:space="preserve"> [3-4]</w:t>
      </w:r>
      <w:r>
        <w:rPr>
          <w:rFonts w:hint="eastAsia" w:ascii="宋体" w:hAnsi="宋体" w:eastAsia="宋体" w:cs="Times New Roman"/>
          <w:color w:val="000000" w:themeColor="text1"/>
          <w:sz w:val="21"/>
          <w:szCs w:val="21"/>
          <w14:textFill>
            <w14:solidFill>
              <w14:schemeClr w14:val="tx1"/>
            </w14:solidFill>
          </w14:textFill>
          <w14:ligatures w14:val="none"/>
        </w:rPr>
        <w:t>，正被广大专家、学者视为提升灾害风险管理水平的一种革命性工具</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[5]</w:t>
      </w:r>
      <w:r>
        <w:rPr>
          <w:rFonts w:hint="eastAsia" w:ascii="宋体" w:hAnsi="宋体" w:eastAsia="宋体" w:cs="Times New Roman"/>
          <w:color w:val="000000" w:themeColor="text1"/>
          <w:sz w:val="21"/>
          <w:szCs w:val="21"/>
          <w14:textFill>
            <w14:solidFill>
              <w14:schemeClr w14:val="tx1"/>
            </w14:solidFill>
          </w14:textFill>
          <w14:ligatures w14:val="none"/>
        </w:rPr>
        <w:t>。</w:t>
      </w:r>
      <w:bookmarkStart w:id="10" w:name="OLE_LINK16"/>
      <w:r>
        <w:rPr>
          <w:rFonts w:hint="eastAsia" w:ascii="宋体" w:hAnsi="宋体" w:eastAsia="宋体" w:cs="Times New Roman"/>
          <w:color w:val="000000" w:themeColor="text1"/>
          <w:sz w:val="21"/>
          <w:szCs w:val="21"/>
          <w14:textFill>
            <w14:solidFill>
              <w14:schemeClr w14:val="tx1"/>
            </w14:solidFill>
          </w14:textFill>
          <w14:ligatures w14:val="none"/>
        </w:rPr>
        <w:t>数字孪生</w:t>
      </w:r>
      <w:bookmarkEnd w:id="10"/>
      <w:r>
        <w:rPr>
          <w:rFonts w:hint="eastAsia" w:ascii="宋体" w:hAnsi="宋体" w:eastAsia="宋体" w:cs="Times New Roman"/>
          <w:color w:val="000000" w:themeColor="text1"/>
          <w:sz w:val="21"/>
          <w:szCs w:val="21"/>
          <w14:textFill>
            <w14:solidFill>
              <w14:schemeClr w14:val="tx1"/>
            </w14:solidFill>
          </w14:textFill>
          <w14:ligatures w14:val="none"/>
        </w:rPr>
        <w:t>技术的出现及应用，为日益复杂化的水灾系统由被动应付转为主动防控的范式转变创造了前所未有的机会</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[6]</w:t>
      </w:r>
      <w:r>
        <w:rPr>
          <w:rFonts w:hint="eastAsia" w:ascii="宋体" w:hAnsi="宋体" w:eastAsia="宋体" w:cs="Times New Roman"/>
          <w:color w:val="000000" w:themeColor="text1"/>
          <w:sz w:val="21"/>
          <w:szCs w:val="21"/>
          <w14:textFill>
            <w14:solidFill>
              <w14:schemeClr w14:val="tx1"/>
            </w14:solidFill>
          </w14:textFill>
          <w14:ligatures w14:val="none"/>
        </w:rPr>
        <w:t>。</w:t>
      </w:r>
    </w:p>
    <w:p w14:paraId="1F35BAA7">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在此背景下，水利部从2021年开始，逐步将数字孪生水利的发展与建设作为推进水利高质量发展的核心执行途径，以实现“预报、预警、预演、预案”（以下简称“四预”）功能作为核心建设目标。经过数年来的顶层规划和分批次先行先试，目前已形成了涵盖数字孪生流域、数字孪生水网以及数字孪生水利工程的框架体系</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[7-10]</w:t>
      </w:r>
      <w:r>
        <w:rPr>
          <w:rFonts w:hint="eastAsia" w:ascii="宋体" w:hAnsi="宋体" w:eastAsia="宋体" w:cs="Times New Roman"/>
          <w:color w:val="000000" w:themeColor="text1"/>
          <w:sz w:val="21"/>
          <w:szCs w:val="21"/>
          <w14:textFill>
            <w14:solidFill>
              <w14:schemeClr w14:val="tx1"/>
            </w14:solidFill>
          </w14:textFill>
          <w14:ligatures w14:val="none"/>
        </w:rPr>
        <w:t>，并且在近些年应对流域防洪</w:t>
      </w:r>
      <w:r>
        <w:rPr>
          <w:rFonts w:hint="eastAsia" w:ascii="宋体" w:hAnsi="宋体" w:eastAsia="宋体" w:cs="Times New Roman"/>
          <w:color w:val="000000" w:themeColor="text1"/>
          <w:sz w:val="21"/>
          <w:szCs w:val="21"/>
          <w:lang w:eastAsia="zh-CN"/>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水资源调度等实际工况中取得了一定成效及应用价值</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[11-14]</w:t>
      </w:r>
      <w:r>
        <w:rPr>
          <w:rFonts w:hint="eastAsia" w:ascii="宋体" w:hAnsi="宋体" w:eastAsia="宋体" w:cs="Times New Roman"/>
          <w:color w:val="000000" w:themeColor="text1"/>
          <w:sz w:val="21"/>
          <w:szCs w:val="21"/>
          <w14:textFill>
            <w14:solidFill>
              <w14:schemeClr w14:val="tx1"/>
            </w14:solidFill>
          </w14:textFill>
          <w14:ligatures w14:val="none"/>
        </w:rPr>
        <w:t>。在国家级流域治理层面，黄委积极推动“数字黄河”向“数字孪生黄河”的迭代升级，全面构建了“天空地水工”一体化监测感知及智能推演，在2025年秋汛防御中精准预报了伊洛河流域多场降雨和洪水过程</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[15-16]</w:t>
      </w:r>
      <w:r>
        <w:rPr>
          <w:rFonts w:hint="eastAsia" w:ascii="宋体" w:hAnsi="宋体" w:eastAsia="宋体" w:cs="Times New Roman"/>
          <w:color w:val="000000" w:themeColor="text1"/>
          <w:sz w:val="21"/>
          <w:szCs w:val="21"/>
          <w14:textFill>
            <w14:solidFill>
              <w14:schemeClr w14:val="tx1"/>
            </w14:solidFill>
          </w14:textFill>
          <w14:ligatures w14:val="none"/>
        </w:rPr>
        <w:t>。在具体工程上，小浪底数字孪生系统让大坝结构安全从局部监测变为全域感知，实现了大坝结构安全的实时仿真及事前预演</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[17]</w:t>
      </w:r>
      <w:r>
        <w:rPr>
          <w:rFonts w:hint="eastAsia" w:ascii="宋体" w:hAnsi="宋体" w:eastAsia="宋体" w:cs="Times New Roman"/>
          <w:color w:val="000000" w:themeColor="text1"/>
          <w:sz w:val="21"/>
          <w:szCs w:val="21"/>
          <w14:textFill>
            <w14:solidFill>
              <w14:schemeClr w14:val="tx1"/>
            </w14:solidFill>
          </w14:textFill>
          <w14:ligatures w14:val="none"/>
        </w:rPr>
        <w:t xml:space="preserve">。从国家级流域到点状工程，数字孪生的建设及发展正在由区域宏观调度向具体工程运行管理方向扩展，呈现出蓬勃发展的态势 </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[18]</w:t>
      </w:r>
      <w:r>
        <w:rPr>
          <w:rFonts w:hint="eastAsia" w:ascii="宋体" w:hAnsi="宋体" w:eastAsia="宋体" w:cs="Times New Roman"/>
          <w:color w:val="000000" w:themeColor="text1"/>
          <w:sz w:val="21"/>
          <w:szCs w:val="21"/>
          <w14:textFill>
            <w14:solidFill>
              <w14:schemeClr w14:val="tx1"/>
            </w14:solidFill>
          </w14:textFill>
          <w14:ligatures w14:val="none"/>
        </w:rPr>
        <w:t>。</w:t>
      </w:r>
    </w:p>
    <w:bookmarkEnd w:id="7"/>
    <w:p w14:paraId="6B464EFD">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尽管数字孪生水利技术发展迅速、前景广阔，但相关理论研究与实际应用仍旧处在初步应用和探索阶段，存在着一些亟待强化的瓶颈及问题：</w:t>
      </w:r>
    </w:p>
    <w:p w14:paraId="03513434">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（1）已有研究及实践过程中，绝大多数都是集中在两大端点：一端是长江、黄河层面的大流域层面的战略和框架</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[19-24]</w:t>
      </w:r>
      <w:r>
        <w:rPr>
          <w:rFonts w:hint="eastAsia" w:ascii="宋体" w:hAnsi="宋体" w:eastAsia="宋体" w:cs="Times New Roman"/>
          <w:color w:val="000000" w:themeColor="text1"/>
          <w:sz w:val="21"/>
          <w:szCs w:val="21"/>
          <w14:textFill>
            <w14:solidFill>
              <w14:schemeClr w14:val="tx1"/>
            </w14:solidFill>
          </w14:textFill>
          <w14:ligatures w14:val="none"/>
        </w:rPr>
        <w:t>；另一端则专注于具体的水利工程如水库大坝、泵站或者某项具体业务如农村供水的技术应用</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[25-29]</w:t>
      </w:r>
      <w:r>
        <w:rPr>
          <w:rFonts w:hint="eastAsia" w:ascii="宋体" w:hAnsi="宋体" w:eastAsia="宋体" w:cs="Times New Roman"/>
          <w:color w:val="000000" w:themeColor="text1"/>
          <w:sz w:val="21"/>
          <w:szCs w:val="21"/>
          <w14:textFill>
            <w14:solidFill>
              <w14:schemeClr w14:val="tx1"/>
            </w14:solidFill>
          </w14:textFill>
          <w14:ligatures w14:val="none"/>
        </w:rPr>
        <w:t>。区县级的水利工程运行管理处于承上启下的位置，直接关系着防灾减灾措施落地的“最后一公里”，但有关该级别的数字孪生体系的研究明显偏少，区级水利管理部门往往管理着大量不同类别、分布零散的小型水利设施，面临着</w:t>
      </w:r>
      <w:bookmarkStart w:id="11" w:name="OLE_LINK40"/>
      <w:r>
        <w:rPr>
          <w:rFonts w:hint="eastAsia" w:ascii="宋体" w:hAnsi="宋体" w:eastAsia="宋体" w:cs="Times New Roman"/>
          <w:color w:val="000000" w:themeColor="text1"/>
          <w:sz w:val="21"/>
          <w:szCs w:val="21"/>
          <w14:textFill>
            <w14:solidFill>
              <w14:schemeClr w14:val="tx1"/>
            </w14:solidFill>
          </w14:textFill>
          <w14:ligatures w14:val="none"/>
        </w:rPr>
        <w:t>数据聚合困难、模型整合能力差以及跨部门协作迟缓</w:t>
      </w:r>
      <w:bookmarkEnd w:id="11"/>
      <w:r>
        <w:rPr>
          <w:rFonts w:hint="eastAsia" w:ascii="宋体" w:hAnsi="宋体" w:eastAsia="宋体" w:cs="Times New Roman"/>
          <w:color w:val="000000" w:themeColor="text1"/>
          <w:sz w:val="21"/>
          <w:szCs w:val="21"/>
          <w14:textFill>
            <w14:solidFill>
              <w14:schemeClr w14:val="tx1"/>
            </w14:solidFill>
          </w14:textFill>
          <w14:ligatures w14:val="none"/>
        </w:rPr>
        <w:t>等迫切问题</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[30]</w:t>
      </w:r>
      <w:r>
        <w:rPr>
          <w:rFonts w:hint="eastAsia" w:ascii="宋体" w:hAnsi="宋体" w:eastAsia="宋体" w:cs="Times New Roman"/>
          <w:color w:val="000000" w:themeColor="text1"/>
          <w:sz w:val="21"/>
          <w:szCs w:val="21"/>
          <w14:textFill>
            <w14:solidFill>
              <w14:schemeClr w14:val="tx1"/>
            </w14:solidFill>
          </w14:textFill>
          <w14:ligatures w14:val="none"/>
        </w:rPr>
        <w:t>。</w:t>
      </w:r>
    </w:p>
    <w:p w14:paraId="5D4C5EC5">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2）面对复杂地理环境的适配性相对薄弱。目前的成功案例大多处在地理条件比较均一的平原或者重点工程区，针对我国大量存在的“山地-平原”过渡带这类地理环境异质性明显的区域，如何设计符合地区特点的差异化感知网络以及多尺度融合的数据底板、仿真模型，缺少系统的方法论指导。同时，这种地方常常灾害链复杂，比如山洪和城市内涝交织在一起，给数字孪生系统的“四预”能力提出了更高的要求</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[31-33]</w:t>
      </w:r>
      <w:r>
        <w:rPr>
          <w:rFonts w:hint="eastAsia" w:ascii="宋体" w:hAnsi="宋体" w:eastAsia="宋体" w:cs="Times New Roman"/>
          <w:color w:val="000000" w:themeColor="text1"/>
          <w:sz w:val="21"/>
          <w:szCs w:val="21"/>
          <w14:textFill>
            <w14:solidFill>
              <w14:schemeClr w14:val="tx1"/>
            </w14:solidFill>
          </w14:textFill>
          <w14:ligatures w14:val="none"/>
        </w:rPr>
        <w:t>。</w:t>
      </w:r>
    </w:p>
    <w:p w14:paraId="55DC8807">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3）目前数字孪生的应用效能与评价方法存在局限，多数研究都是在系统建成后通过历史事件回溯展示效果，但是对于尚未建成的前瞻性体系，如何科学预评估、量化论证其潜在效能，为项目立项与方案优化提供决策依据，仍存在方法论上的空白，国际研究也提到数字孪生在灾害风险管理中的应用潜力未被充分发挥，往往缺乏对社会经济因素、系统动态互联性及长期效益的考量</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[34-36]</w:t>
      </w:r>
      <w:r>
        <w:rPr>
          <w:rFonts w:hint="eastAsia" w:ascii="宋体" w:hAnsi="宋体" w:eastAsia="宋体" w:cs="Times New Roman"/>
          <w:color w:val="000000" w:themeColor="text1"/>
          <w:sz w:val="21"/>
          <w:szCs w:val="21"/>
          <w14:textFill>
            <w14:solidFill>
              <w14:schemeClr w14:val="tx1"/>
            </w14:solidFill>
          </w14:textFill>
          <w14:ligatures w14:val="none"/>
        </w:rPr>
        <w:t>。</w:t>
      </w:r>
    </w:p>
    <w:bookmarkEnd w:id="8"/>
    <w:p w14:paraId="085B6AEF">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为应对上述挑战，本文聚焦于区级行政单元，并以“山地-平原”过渡带特征的北京市怀柔区为具体研究对象，开展针对性、探索性研究。针对传统区级水利防灾体系存在的感知粗放、模型割裂、决策滞后等系统性短板，构建并论证一套贴合区级管理实际、适配复杂地形、能够有效提升“四预”能力的数字孪生技术体系框架。同时，本研究的开展是响应和落实李国英部长在“水旱灾害防御工作会议”上传达的“扎实推进小流域山洪灾害‘四预’能力建设，加快完善山洪灾害防御体系”精神，是强化区县级山洪“四预”能力建设这一战略部署的具体实践</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[37]</w:t>
      </w:r>
      <w:r>
        <w:rPr>
          <w:rFonts w:hint="eastAsia" w:ascii="宋体" w:hAnsi="宋体" w:eastAsia="宋体" w:cs="Times New Roman"/>
          <w:color w:val="000000" w:themeColor="text1"/>
          <w:sz w:val="21"/>
          <w:szCs w:val="21"/>
          <w14:textFill>
            <w14:solidFill>
              <w14:schemeClr w14:val="tx1"/>
            </w14:solidFill>
          </w14:textFill>
          <w14:ligatures w14:val="none"/>
        </w:rPr>
        <w:t>。</w:t>
      </w:r>
    </w:p>
    <w:bookmarkEnd w:id="9"/>
    <w:p w14:paraId="36220600">
      <w:pPr>
        <w:pStyle w:val="3"/>
        <w:spacing w:before="0" w:after="0" w:line="240" w:lineRule="auto"/>
        <w:jc w:val="both"/>
        <w:rPr>
          <w:rFonts w:hint="eastAsia" w:ascii="黑体" w:hAnsi="黑体" w:eastAsia="黑体" w:cs="Times New Roman"/>
          <w:color w:val="000000" w:themeColor="text1"/>
          <w:kern w:val="44"/>
          <w:sz w:val="24"/>
          <w:szCs w:val="24"/>
          <w14:textFill>
            <w14:solidFill>
              <w14:schemeClr w14:val="tx1"/>
            </w14:solidFill>
          </w14:textFill>
          <w14:ligatures w14:val="none"/>
        </w:rPr>
      </w:pPr>
      <w:r>
        <w:rPr>
          <w:rFonts w:hint="eastAsia" w:ascii="黑体" w:hAnsi="黑体" w:eastAsia="黑体" w:cs="Times New Roman"/>
          <w:color w:val="000000" w:themeColor="text1"/>
          <w:kern w:val="44"/>
          <w:sz w:val="24"/>
          <w:szCs w:val="24"/>
          <w14:textFill>
            <w14:solidFill>
              <w14:schemeClr w14:val="tx1"/>
            </w14:solidFill>
          </w14:textFill>
          <w14:ligatures w14:val="none"/>
        </w:rPr>
        <w:t>1 工程概况</w:t>
      </w:r>
    </w:p>
    <w:p w14:paraId="524D0A29">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hint="eastAsia" w:ascii="黑体" w:hAnsi="黑体" w:eastAsia="黑体" w:cs="Times New Roman"/>
          <w:color w:val="000000" w:themeColor="text1"/>
          <w:sz w:val="21"/>
          <w:szCs w:val="21"/>
          <w14:textFill>
            <w14:solidFill>
              <w14:schemeClr w14:val="tx1"/>
            </w14:solidFill>
          </w14:textFill>
          <w14:ligatures w14:val="none"/>
        </w:rPr>
        <w:t>1.1 研究区概况</w:t>
      </w:r>
    </w:p>
    <w:p w14:paraId="708BB0C4">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怀柔区位于北京市东北部，属华北经燕山山脉向内蒙古高原过渡的阶梯地带，全区山区面积占总面积的89%，层次鲜明地由北向南分为深山、浅山、平原。境内河流大部分隶属海河流域的潮白河。全区流域面积 10km²以上河流 63 条，境内河流总长 911km，分为岭南水系和岭北水系。怀柔区现有水库16座，总库容2.15亿m³，其中怀柔水库为大（2）型水库，总库容1.44亿m³；中型水库2座，北台上水库总库容 0.38 亿m³；大水峪水库总库容 0.15 亿m³。小（1）型水库有沙峪口、红螺镇、西水峪 3 座。小（2）型水库有北宅、甘涧峪、大栅子、黑山、卜营、二道石门、苏峪口、头道关、西沟、银河沟 10 座。怀柔区主要河流及水库分布见图1。</w:t>
      </w:r>
    </w:p>
    <w:p w14:paraId="3A09424B">
      <w:pPr>
        <w:pStyle w:val="47"/>
        <w:spacing w:before="0" w:after="0"/>
        <w:rPr>
          <w:rFonts w:hint="eastAsia" w:ascii="宋体" w:hAnsi="宋体" w:eastAsia="宋体"/>
        </w:rPr>
      </w:pPr>
    </w:p>
    <w:p w14:paraId="10411117">
      <w:pPr>
        <w:pStyle w:val="47"/>
        <w:spacing w:before="0" w:after="0"/>
        <w:rPr>
          <w:rFonts w:hint="eastAsia" w:ascii="宋体" w:hAnsi="宋体" w:eastAsia="宋体"/>
        </w:rPr>
      </w:pPr>
      <w:r>
        <w:rPr>
          <w:rFonts w:hint="eastAsia" w:ascii="宋体" w:hAnsi="宋体" w:eastAsia="宋体"/>
        </w:rPr>
        <w:drawing>
          <wp:inline distT="0" distB="0" distL="0" distR="0">
            <wp:extent cx="3538220" cy="4542155"/>
            <wp:effectExtent l="0" t="0" r="0" b="0"/>
            <wp:docPr id="20934007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400742" name="图片 4"/>
                    <pic:cNvPicPr>
                      <a:picLocks noChangeAspect="1" noChangeArrowheads="1"/>
                    </pic:cNvPicPr>
                  </pic:nvPicPr>
                  <pic:blipFill>
                    <a:blip r:embed="rId7" cstate="print">
                      <a:extLst>
                        <a:ext uri="{28A0092B-C50C-407E-A947-70E740481C1C}">
                          <a14:useLocalDpi xmlns:a14="http://schemas.microsoft.com/office/drawing/2010/main" val="0"/>
                        </a:ext>
                      </a:extLst>
                    </a:blip>
                    <a:srcRect l="4269" t="4836" r="2597" b="6304"/>
                    <a:stretch>
                      <a:fillRect/>
                    </a:stretch>
                  </pic:blipFill>
                  <pic:spPr>
                    <a:xfrm>
                      <a:off x="0" y="0"/>
                      <a:ext cx="3551554" cy="4558985"/>
                    </a:xfrm>
                    <a:prstGeom prst="rect">
                      <a:avLst/>
                    </a:prstGeom>
                    <a:noFill/>
                    <a:ln>
                      <a:noFill/>
                    </a:ln>
                  </pic:spPr>
                </pic:pic>
              </a:graphicData>
            </a:graphic>
          </wp:inline>
        </w:drawing>
      </w:r>
    </w:p>
    <w:p w14:paraId="2B394AAA">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bookmarkStart w:id="12" w:name="OLE_LINK22"/>
      <w:r>
        <w:rPr>
          <w:rFonts w:hint="eastAsia" w:ascii="黑体" w:hAnsi="黑体" w:eastAsia="黑体"/>
          <w:b/>
          <w:color w:val="000000" w:themeColor="text1"/>
          <w:sz w:val="18"/>
          <w:szCs w:val="18"/>
          <w14:textFill>
            <w14:solidFill>
              <w14:schemeClr w14:val="tx1"/>
            </w14:solidFill>
          </w14:textFill>
        </w:rPr>
        <w:t>图1</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怀柔区主要河流及水库分布</w:t>
      </w:r>
    </w:p>
    <w:p w14:paraId="4FF23526">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Fig.1  Distribution map of major rivers and reservoirs in Huairou D</w:t>
      </w:r>
      <w:r>
        <w:rPr>
          <w:rFonts w:ascii="Times New Roman" w:hAnsi="Times New Roman" w:cs="Times New Roman"/>
          <w:color w:val="000000" w:themeColor="text1"/>
          <w14:textFill>
            <w14:solidFill>
              <w14:schemeClr w14:val="tx1"/>
            </w14:solidFill>
          </w14:textFill>
        </w:rPr>
        <w:t>istrict</w:t>
      </w:r>
    </w:p>
    <w:bookmarkEnd w:id="12"/>
    <w:p w14:paraId="19EDC108">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hint="eastAsia" w:ascii="黑体" w:hAnsi="黑体" w:eastAsia="黑体" w:cs="Times New Roman"/>
          <w:color w:val="000000" w:themeColor="text1"/>
          <w:sz w:val="21"/>
          <w:szCs w:val="21"/>
          <w14:textFill>
            <w14:solidFill>
              <w14:schemeClr w14:val="tx1"/>
            </w14:solidFill>
          </w14:textFill>
          <w14:ligatures w14:val="none"/>
        </w:rPr>
        <w:t>1.2 水利信息管理现状及问题</w:t>
      </w:r>
    </w:p>
    <w:p w14:paraId="51131BA8">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怀柔区全区已建有26处水文监测站点（其中潮白河水系24处，北运河水系2处），河道水位、流量等水文计量监测设施严重缺乏；全区建有49处雨量及气象（监测雨量）监测站点，局部地方雨量监测点位缺失；全区仅有5处视频监控水位站点，针对河道沿岸的村庄的水情视频监控缺乏。</w:t>
      </w:r>
    </w:p>
    <w:p w14:paraId="6518EE5F">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在信息化系统方面，京密引水管理处有一套“雨水情监测一体化平台”，可以对怀柔水库上下游的雨水情况进行监测预警，北京市政务APP有“水旱灾害防御”应用，可以对相关的水、雨情况进行监测、预报、预警，但相关系统独立，缺乏数据的互通和共享。</w:t>
      </w:r>
    </w:p>
    <w:p w14:paraId="087D9366">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目前怀柔区水利设施信息化存在以下问题：（1）水情、雨情、工情等方面的信息收集不全，感知监测业务各自独立，没有形成较为完整统一的核心业务决策支持整合平台。（2）缺少针对河道各个断面的精细化洪水水位，流量过程的预报以及动态显示洪水淹没范围的测报指挥系统，管理人员无法快速而准确地作出科学决策给予支撑。（3）防洪应用系统彼此独立，没有一个完整统一的核心业务决策支撑整合系统。</w:t>
      </w:r>
    </w:p>
    <w:p w14:paraId="548C5E36">
      <w:pPr>
        <w:pStyle w:val="3"/>
        <w:spacing w:before="0" w:after="0" w:line="240" w:lineRule="auto"/>
        <w:jc w:val="both"/>
        <w:rPr>
          <w:rFonts w:hint="eastAsia" w:ascii="黑体" w:hAnsi="黑体" w:eastAsia="黑体" w:cs="Times New Roman"/>
          <w:color w:val="000000" w:themeColor="text1"/>
          <w:kern w:val="44"/>
          <w:sz w:val="24"/>
          <w:szCs w:val="24"/>
          <w14:textFill>
            <w14:solidFill>
              <w14:schemeClr w14:val="tx1"/>
            </w14:solidFill>
          </w14:textFill>
          <w14:ligatures w14:val="none"/>
        </w:rPr>
      </w:pPr>
      <w:r>
        <w:rPr>
          <w:rFonts w:hint="eastAsia" w:ascii="黑体" w:hAnsi="黑体" w:eastAsia="黑体" w:cs="Times New Roman"/>
          <w:color w:val="000000" w:themeColor="text1"/>
          <w:kern w:val="44"/>
          <w:sz w:val="24"/>
          <w:szCs w:val="24"/>
          <w14:textFill>
            <w14:solidFill>
              <w14:schemeClr w14:val="tx1"/>
            </w14:solidFill>
          </w14:textFill>
          <w14:ligatures w14:val="none"/>
        </w:rPr>
        <w:t>2 系统总体设计</w:t>
      </w:r>
    </w:p>
    <w:p w14:paraId="28071343">
      <w:pPr>
        <w:pStyle w:val="46"/>
        <w:ind w:firstLine="420" w:firstLineChars="200"/>
        <w:jc w:val="both"/>
        <w:rPr>
          <w:rFonts w:hint="eastAsia" w:ascii="宋体" w:hAnsi="宋体" w:eastAsia="宋体" w:cs="Times New Roman"/>
          <w:bCs w:val="0"/>
          <w:color w:val="000000" w:themeColor="text1"/>
          <w:sz w:val="21"/>
          <w:szCs w:val="21"/>
          <w14:textFill>
            <w14:solidFill>
              <w14:schemeClr w14:val="tx1"/>
            </w14:solidFill>
          </w14:textFill>
        </w:rPr>
      </w:pPr>
      <w:r>
        <w:rPr>
          <w:rFonts w:hint="eastAsia" w:ascii="宋体" w:hAnsi="宋体" w:eastAsia="宋体" w:cs="Times New Roman"/>
          <w:bCs w:val="0"/>
          <w:color w:val="000000" w:themeColor="text1"/>
          <w:sz w:val="21"/>
          <w:szCs w:val="21"/>
          <w14:textFill>
            <w14:solidFill>
              <w14:schemeClr w14:val="tx1"/>
            </w14:solidFill>
          </w14:textFill>
        </w:rPr>
        <w:t>山地-平原过渡区坡度陡变，山区坡降大，汇流快，平原坡降缓、排水慢，山区暴雨形成的山洪可能转化为平原内涝、河道漫溢甚至溃堤等次生灾害；区县辖区管理的水利设施众多（中小河流、水库、排水管网等）且分布广泛，涉及的DEM、DOM、倾斜影像等地理空间数据，数据格式多样、时间分辨率不一，对多源异构数据的轻量化融合提出了较高要求。此外，区县级水利行政管理界面复杂，涉及山区乡镇与平原城区的跨区域协调，这些特征导致了怀柔区成为洪涝灾害的高风险耦合带。上述特征对该区域数字孪生水利“四预”体系构建提出了特殊要求，相关系统设计侧重点分析见表1。</w:t>
      </w:r>
    </w:p>
    <w:p w14:paraId="327ABC6B">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14:textFill>
            <w14:solidFill>
              <w14:schemeClr w14:val="tx1"/>
            </w14:solidFill>
          </w14:textFill>
        </w:rPr>
        <w:t>1</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研究区系统设计侧重点分析表</w:t>
      </w:r>
    </w:p>
    <w:p w14:paraId="299B2EDD">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Table 1  A</w:t>
      </w:r>
      <w:r>
        <w:rPr>
          <w:rFonts w:ascii="Times New Roman" w:hAnsi="Times New Roman" w:cs="Times New Roman"/>
          <w:color w:val="000000" w:themeColor="text1"/>
          <w14:textFill>
            <w14:solidFill>
              <w14:schemeClr w14:val="tx1"/>
            </w14:solidFill>
          </w14:textFill>
        </w:rPr>
        <w:t>nalysis</w:t>
      </w:r>
      <w:r>
        <w:rPr>
          <w:rFonts w:hint="eastAsia" w:ascii="Times New Roman" w:hAnsi="Times New Roman" w:cs="Times New Roman"/>
          <w:color w:val="000000" w:themeColor="text1"/>
          <w14:textFill>
            <w14:solidFill>
              <w14:schemeClr w14:val="tx1"/>
            </w14:solidFill>
          </w14:textFill>
        </w:rPr>
        <w:t xml:space="preserve"> of system design</w:t>
      </w:r>
      <w:r>
        <w:rPr>
          <w:rFonts w:hint="eastAsia" w:ascii="Times New Roman" w:hAnsi="Times New Roman" w:cs="Times New Roman"/>
          <w:color w:val="000000" w:themeColor="text1"/>
          <w:lang w:val="en-US" w:eastAsia="zh-CN"/>
          <w14:textFill>
            <w14:solidFill>
              <w14:schemeClr w14:val="tx1"/>
            </w14:solidFill>
          </w14:textFill>
        </w:rPr>
        <w:t xml:space="preserve"> focuses</w:t>
      </w: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lang w:val="en-US" w:eastAsia="zh-CN"/>
          <w14:textFill>
            <w14:solidFill>
              <w14:schemeClr w14:val="tx1"/>
            </w14:solidFill>
          </w14:textFill>
        </w:rPr>
        <w:t>in</w:t>
      </w:r>
      <w:r>
        <w:rPr>
          <w:rFonts w:hint="eastAsia" w:ascii="Times New Roman" w:hAnsi="Times New Roman" w:cs="Times New Roman"/>
          <w:color w:val="000000" w:themeColor="text1"/>
          <w14:textFill>
            <w14:solidFill>
              <w14:schemeClr w14:val="tx1"/>
            </w14:solidFill>
          </w14:textFill>
        </w:rPr>
        <w:t xml:space="preserve"> study area</w:t>
      </w:r>
    </w:p>
    <w:tbl>
      <w:tblPr>
        <w:tblStyle w:val="21"/>
        <w:tblW w:w="494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00"/>
        <w:gridCol w:w="2473"/>
        <w:gridCol w:w="2762"/>
      </w:tblGrid>
      <w:tr w14:paraId="56D25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7" w:type="pct"/>
            <w:tcBorders>
              <w:top w:val="single" w:color="auto" w:sz="12" w:space="0"/>
              <w:bottom w:val="single" w:color="auto" w:sz="4" w:space="0"/>
            </w:tcBorders>
            <w:vAlign w:val="center"/>
          </w:tcPr>
          <w:p w14:paraId="41618D88">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过渡区特征</w:t>
            </w:r>
          </w:p>
        </w:tc>
        <w:tc>
          <w:tcPr>
            <w:tcW w:w="1466" w:type="pct"/>
            <w:tcBorders>
              <w:top w:val="single" w:color="auto" w:sz="12" w:space="0"/>
              <w:bottom w:val="single" w:color="auto" w:sz="4" w:space="0"/>
            </w:tcBorders>
            <w:vAlign w:val="center"/>
          </w:tcPr>
          <w:p w14:paraId="567F6B8D">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对数字孪生的要求</w:t>
            </w:r>
          </w:p>
        </w:tc>
        <w:tc>
          <w:tcPr>
            <w:tcW w:w="1637" w:type="pct"/>
            <w:tcBorders>
              <w:top w:val="single" w:color="auto" w:sz="12" w:space="0"/>
              <w:bottom w:val="single" w:color="auto" w:sz="4" w:space="0"/>
            </w:tcBorders>
            <w:vAlign w:val="center"/>
          </w:tcPr>
          <w:p w14:paraId="714DF58F">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系统设计侧重点</w:t>
            </w:r>
          </w:p>
        </w:tc>
      </w:tr>
      <w:tr w14:paraId="277D2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7" w:type="pct"/>
            <w:tcBorders>
              <w:top w:val="single" w:color="auto" w:sz="4" w:space="0"/>
            </w:tcBorders>
            <w:vAlign w:val="center"/>
          </w:tcPr>
          <w:p w14:paraId="5ED46162">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特征1：山区坡降大、汇流快，平原坡降缓、排水慢，山区暴雨形成的山洪可能转化为平原内涝</w:t>
            </w:r>
          </w:p>
        </w:tc>
        <w:tc>
          <w:tcPr>
            <w:tcW w:w="1466" w:type="pct"/>
            <w:tcBorders>
              <w:top w:val="single" w:color="auto" w:sz="4" w:space="0"/>
            </w:tcBorders>
            <w:vAlign w:val="center"/>
          </w:tcPr>
          <w:p w14:paraId="14A8D834">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需打通“山区产流</w:t>
            </w:r>
            <w:r>
              <w:rPr>
                <w:rFonts w:hint="eastAsia" w:ascii="宋体" w:cs="Segoe UI"/>
                <w:kern w:val="0"/>
                <w:sz w:val="15"/>
                <w:szCs w:val="15"/>
              </w:rPr>
              <w:t>—</w:t>
            </w:r>
            <w:r>
              <w:rPr>
                <w:rFonts w:hint="eastAsia" w:ascii="宋体" w:hAnsi="宋体" w:cs="Segoe UI"/>
                <w:kern w:val="0"/>
                <w:sz w:val="15"/>
                <w:szCs w:val="15"/>
              </w:rPr>
              <w:t>河道演进</w:t>
            </w:r>
            <w:r>
              <w:rPr>
                <w:rFonts w:hint="eastAsia" w:ascii="宋体" w:cs="Segoe UI"/>
                <w:kern w:val="0"/>
                <w:sz w:val="15"/>
                <w:szCs w:val="15"/>
              </w:rPr>
              <w:t>—</w:t>
            </w:r>
            <w:r>
              <w:rPr>
                <w:rFonts w:hint="eastAsia" w:ascii="宋体" w:hAnsi="宋体" w:cs="Segoe UI"/>
                <w:kern w:val="0"/>
                <w:sz w:val="15"/>
                <w:szCs w:val="15"/>
              </w:rPr>
              <w:t>平原淹没”的灾害链</w:t>
            </w:r>
          </w:p>
        </w:tc>
        <w:tc>
          <w:tcPr>
            <w:tcW w:w="1637" w:type="pct"/>
            <w:tcBorders>
              <w:top w:val="single" w:color="auto" w:sz="4" w:space="0"/>
            </w:tcBorders>
            <w:vAlign w:val="center"/>
          </w:tcPr>
          <w:p w14:paraId="2C7AF013">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针对山区与平原分别设计感知策略；</w:t>
            </w:r>
          </w:p>
          <w:p w14:paraId="0358D0B0">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通过容器化微服务实现模型的即插即用；</w:t>
            </w:r>
          </w:p>
          <w:p w14:paraId="014AA3DE">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建立标准化模型接口与调度引擎</w:t>
            </w:r>
          </w:p>
        </w:tc>
      </w:tr>
      <w:tr w14:paraId="2D212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97" w:type="pct"/>
            <w:vAlign w:val="center"/>
          </w:tcPr>
          <w:p w14:paraId="07D09873">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特征2：多源异构数据复杂且设施分布广泛</w:t>
            </w:r>
          </w:p>
        </w:tc>
        <w:tc>
          <w:tcPr>
            <w:tcW w:w="1466" w:type="pct"/>
            <w:vAlign w:val="center"/>
          </w:tcPr>
          <w:p w14:paraId="68752963">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高效数据融合与轻量化处理</w:t>
            </w:r>
          </w:p>
        </w:tc>
        <w:tc>
          <w:tcPr>
            <w:tcW w:w="1637" w:type="pct"/>
            <w:vAlign w:val="center"/>
          </w:tcPr>
          <w:p w14:paraId="71C1A699">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构建轻量化数据底板、云边端协同计算</w:t>
            </w:r>
          </w:p>
        </w:tc>
      </w:tr>
      <w:tr w14:paraId="7DABD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897" w:type="pct"/>
            <w:tcBorders>
              <w:bottom w:val="single" w:color="auto" w:sz="12" w:space="0"/>
            </w:tcBorders>
            <w:vAlign w:val="center"/>
          </w:tcPr>
          <w:p w14:paraId="6BB525BB">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特征3：跨区域跨层级管理界面复杂</w:t>
            </w:r>
          </w:p>
        </w:tc>
        <w:tc>
          <w:tcPr>
            <w:tcW w:w="1466" w:type="pct"/>
            <w:tcBorders>
              <w:bottom w:val="single" w:color="auto" w:sz="12" w:space="0"/>
            </w:tcBorders>
            <w:vAlign w:val="center"/>
          </w:tcPr>
          <w:p w14:paraId="1F757078">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多层级业务协同与信息共享</w:t>
            </w:r>
          </w:p>
        </w:tc>
        <w:tc>
          <w:tcPr>
            <w:tcW w:w="1637" w:type="pct"/>
            <w:tcBorders>
              <w:bottom w:val="single" w:color="auto" w:sz="12" w:space="0"/>
            </w:tcBorders>
            <w:vAlign w:val="center"/>
          </w:tcPr>
          <w:p w14:paraId="7768770B">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跨层级业务协同共享</w:t>
            </w:r>
          </w:p>
        </w:tc>
      </w:tr>
    </w:tbl>
    <w:p w14:paraId="4569D92B">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基于以上分析，本研究采取水利部智慧水利总体方案框架下的“基础设施层-数字孪生平台层-智慧应用层”三层架构</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[38]</w:t>
      </w:r>
      <w:r>
        <w:rPr>
          <w:rFonts w:hint="eastAsia" w:ascii="宋体" w:hAnsi="宋体" w:eastAsia="宋体" w:cs="Times New Roman"/>
          <w:color w:val="000000" w:themeColor="text1"/>
          <w:sz w:val="21"/>
          <w:szCs w:val="21"/>
          <w14:textFill>
            <w14:solidFill>
              <w14:schemeClr w14:val="tx1"/>
            </w14:solidFill>
          </w14:textFill>
          <w14:ligatures w14:val="none"/>
        </w:rPr>
        <w:t>，系统构建面向怀柔区“北山南平”过渡地带特征的防灾减灾数字孪生体系，旨在实现从全域差异化感知、数据轻量化融合、精准智能化防洪调度的全流程闭环，本研究的理论框架与实现架构如图2所示。</w:t>
      </w:r>
    </w:p>
    <w:p w14:paraId="08BD27A8">
      <w:pPr>
        <w:pStyle w:val="50"/>
        <w:spacing w:line="240" w:lineRule="auto"/>
        <w:ind w:firstLine="0"/>
        <w:jc w:val="center"/>
        <w:rPr>
          <w:rFonts w:hint="eastAsia" w:ascii="宋体" w:hAnsi="宋体"/>
        </w:rPr>
      </w:pPr>
      <w:r>
        <w:drawing>
          <wp:inline distT="0" distB="0" distL="0" distR="0">
            <wp:extent cx="5274310" cy="4279900"/>
            <wp:effectExtent l="0" t="0" r="2540" b="6350"/>
            <wp:docPr id="917737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737111" name="图片 1"/>
                    <pic:cNvPicPr>
                      <a:picLocks noChangeAspect="1"/>
                    </pic:cNvPicPr>
                  </pic:nvPicPr>
                  <pic:blipFill>
                    <a:blip r:embed="rId8"/>
                    <a:stretch>
                      <a:fillRect/>
                    </a:stretch>
                  </pic:blipFill>
                  <pic:spPr>
                    <a:xfrm>
                      <a:off x="0" y="0"/>
                      <a:ext cx="5274310" cy="4279900"/>
                    </a:xfrm>
                    <a:prstGeom prst="rect">
                      <a:avLst/>
                    </a:prstGeom>
                  </pic:spPr>
                </pic:pic>
              </a:graphicData>
            </a:graphic>
          </wp:inline>
        </w:drawing>
      </w:r>
    </w:p>
    <w:p w14:paraId="5BA7141F">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hint="eastAsia" w:ascii="黑体" w:hAnsi="黑体" w:eastAsia="黑体"/>
          <w:b/>
          <w:color w:val="000000" w:themeColor="text1"/>
          <w:sz w:val="18"/>
          <w:szCs w:val="18"/>
          <w14:textFill>
            <w14:solidFill>
              <w14:schemeClr w14:val="tx1"/>
            </w14:solidFill>
          </w14:textFill>
        </w:rPr>
        <w:t>图2 总体系统框架</w:t>
      </w:r>
    </w:p>
    <w:p w14:paraId="33BBDD07">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Fig.2  </w:t>
      </w:r>
      <w:r>
        <w:rPr>
          <w:rFonts w:ascii="Times New Roman" w:hAnsi="Times New Roman" w:cs="Times New Roman"/>
          <w:color w:val="000000" w:themeColor="text1"/>
          <w14:textFill>
            <w14:solidFill>
              <w14:schemeClr w14:val="tx1"/>
            </w14:solidFill>
          </w14:textFill>
        </w:rPr>
        <w:t xml:space="preserve">Overall system </w:t>
      </w:r>
      <w:r>
        <w:rPr>
          <w:rFonts w:hint="eastAsia" w:ascii="Times New Roman" w:hAnsi="Times New Roman" w:cs="Times New Roman"/>
          <w:color w:val="000000" w:themeColor="text1"/>
          <w14:textFill>
            <w14:solidFill>
              <w14:schemeClr w14:val="tx1"/>
            </w14:solidFill>
          </w14:textFill>
        </w:rPr>
        <w:t>framework</w:t>
      </w:r>
    </w:p>
    <w:p w14:paraId="491B215F">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ascii="黑体" w:hAnsi="黑体" w:eastAsia="黑体" w:cs="Times New Roman"/>
          <w:color w:val="000000" w:themeColor="text1"/>
          <w:sz w:val="21"/>
          <w:szCs w:val="21"/>
          <w:lang w:val="en"/>
          <w14:textFill>
            <w14:solidFill>
              <w14:schemeClr w14:val="tx1"/>
            </w14:solidFill>
          </w14:textFill>
          <w14:ligatures w14:val="none"/>
        </w:rPr>
        <w:t>2.</w:t>
      </w:r>
      <w:r>
        <w:rPr>
          <w:rFonts w:hint="eastAsia" w:ascii="黑体" w:hAnsi="黑体" w:eastAsia="黑体" w:cs="Times New Roman"/>
          <w:color w:val="000000" w:themeColor="text1"/>
          <w:sz w:val="21"/>
          <w:szCs w:val="21"/>
          <w14:textFill>
            <w14:solidFill>
              <w14:schemeClr w14:val="tx1"/>
            </w14:solidFill>
          </w14:textFill>
          <w14:ligatures w14:val="none"/>
        </w:rPr>
        <w:t>1 基础设施层</w:t>
      </w:r>
    </w:p>
    <w:bookmarkEnd w:id="3"/>
    <w:p w14:paraId="30DC0C75">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针对怀柔区地形地貌、灾害特征异质性问题，结合怀柔区水利设施及信息化感知现状，本文构建了分区分类、平急结合、空天地协同的感知网络部署原则与体系。</w:t>
      </w:r>
    </w:p>
    <w:p w14:paraId="04D6C145">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北部山区监测点部署原则采用提前研判捕捉突发性灾害、保障监测设备数据传输连通性的模式，利用低轨卫星、天气雷达做远距离宏观探测，监测气象变化及地表动态，在流域出口和险工险段部署耐灾能力强、自带供电的多波束雷达水位计、一体化雨量站，配置便携式监测设备作抢险，用于灾害发生时对断联区域进行快速补位侦察与数据中继。</w:t>
      </w:r>
    </w:p>
    <w:p w14:paraId="3DC12299">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针对南部怀柔城区平原，监测点按照精细化监测感知及高密度数据采集的原则来布置，在易涝点、交通枢纽、重要基础设施周围，按照网格化设置地埋式积水监测仪，利用已有城市视频资源，加载轻量化AI算法，做到淹没范围、水深、流速的非接触式识别，在排水管网关键节点布设液位、流量、水质传感器，形成城市积水监测网。</w:t>
      </w:r>
    </w:p>
    <w:p w14:paraId="355919B4">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bookmarkStart w:id="13" w:name="OLE_LINK12"/>
      <w:r>
        <w:rPr>
          <w:rFonts w:hint="eastAsia" w:ascii="宋体" w:hAnsi="宋体"/>
          <w:color w:val="000000" w:themeColor="text1"/>
          <w:sz w:val="21"/>
          <w:szCs w:val="21"/>
          <w14:textFill>
            <w14:solidFill>
              <w14:schemeClr w14:val="tx1"/>
            </w14:solidFill>
          </w14:textFill>
        </w:rPr>
        <w:t>为支撑数字孪生平台层中的模型调度及多场景并行预演等复杂计算任务，本研究采用了“云边端”协同计算架构。在“端”侧部署的传感器及智能网关，能快速进行数据的实时采集及数据的预处理；在“边”侧设置区域汇聚节点边缘服务器，实现局部区域的水文模拟、图像快速识别等中度计算任务；在“云”侧，依托北京市水务云，实现云端高性能计算、大规模数字孪生场景渲染、分布式存储的弹性调用。为确保洪灾发生时关键数据链路的畅通，应构建有线（光纤）+无线（5G/4G、卫星通讯、自组网）异构融合网络。基于“云边端”协同架构，能有效降低网络及中心平台压力，确保关键时刻对算力的高效需求。以怀柔区北台上水库流域为例，其“天空地”一体化监测体系及系统计算架构如图3所示。</w:t>
      </w:r>
    </w:p>
    <w:p w14:paraId="363BEB3A">
      <w:pPr>
        <w:pStyle w:val="50"/>
        <w:spacing w:line="240" w:lineRule="auto"/>
        <w:ind w:firstLine="0"/>
        <w:jc w:val="center"/>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drawing>
          <wp:inline distT="0" distB="0" distL="0" distR="0">
            <wp:extent cx="5410200" cy="2507615"/>
            <wp:effectExtent l="0" t="0" r="0" b="6985"/>
            <wp:docPr id="5926870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8701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463561" cy="2532246"/>
                    </a:xfrm>
                    <a:prstGeom prst="rect">
                      <a:avLst/>
                    </a:prstGeom>
                    <a:noFill/>
                  </pic:spPr>
                </pic:pic>
              </a:graphicData>
            </a:graphic>
          </wp:inline>
        </w:drawing>
      </w:r>
    </w:p>
    <w:bookmarkEnd w:id="13"/>
    <w:p w14:paraId="33BBEBEF">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ascii="黑体" w:hAnsi="黑体" w:eastAsia="黑体"/>
          <w:b/>
          <w:color w:val="000000" w:themeColor="text1"/>
          <w:sz w:val="18"/>
          <w:szCs w:val="18"/>
          <w14:textFill>
            <w14:solidFill>
              <w14:schemeClr w14:val="tx1"/>
            </w14:solidFill>
          </w14:textFill>
        </w:rPr>
        <w:t>图</w:t>
      </w:r>
      <w:r>
        <w:rPr>
          <w:rFonts w:hint="eastAsia" w:ascii="黑体" w:hAnsi="黑体" w:eastAsia="黑体"/>
          <w:b/>
          <w:color w:val="000000" w:themeColor="text1"/>
          <w:sz w:val="18"/>
          <w:szCs w:val="18"/>
          <w14:textFill>
            <w14:solidFill>
              <w14:schemeClr w14:val="tx1"/>
            </w14:solidFill>
          </w14:textFill>
        </w:rPr>
        <w:t>3 “天空地”一体化监测体系及计算架构（北台上水库流域）</w:t>
      </w:r>
    </w:p>
    <w:p w14:paraId="4B56FDD3">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Fig.3  </w:t>
      </w:r>
      <w:r>
        <w:rPr>
          <w:rFonts w:hint="eastAsia" w:ascii="Times New Roman" w:hAnsi="Times New Roman" w:cs="Times New Roman"/>
          <w:color w:val="000000" w:themeColor="text1"/>
          <w:lang w:val="en-US" w:eastAsia="zh-CN"/>
          <w14:textFill>
            <w14:solidFill>
              <w14:schemeClr w14:val="tx1"/>
            </w14:solidFill>
          </w14:textFill>
        </w:rPr>
        <w:t>Space-air-ground i</w:t>
      </w:r>
      <w:r>
        <w:rPr>
          <w:rFonts w:hint="eastAsia" w:ascii="Times New Roman" w:hAnsi="Times New Roman" w:cs="Times New Roman"/>
          <w:color w:val="000000" w:themeColor="text1"/>
          <w14:textFill>
            <w14:solidFill>
              <w14:schemeClr w14:val="tx1"/>
            </w14:solidFill>
          </w14:textFill>
        </w:rPr>
        <w:t xml:space="preserve">ntegrated monitoring system and </w:t>
      </w:r>
      <w:r>
        <w:rPr>
          <w:rFonts w:hint="eastAsia" w:ascii="Times New Roman" w:hAnsi="Times New Roman"/>
          <w:color w:val="000000" w:themeColor="text1"/>
          <w14:textFill>
            <w14:solidFill>
              <w14:schemeClr w14:val="tx1"/>
            </w14:solidFill>
          </w14:textFill>
        </w:rPr>
        <w:t>computational architecture</w:t>
      </w:r>
      <w:r>
        <w:rPr>
          <w:rFonts w:hint="eastAsia" w:ascii="Times New Roman" w:hAnsi="Times New Roman" w:cs="Times New Roman"/>
          <w:color w:val="000000" w:themeColor="text1"/>
          <w14:textFill>
            <w14:solidFill>
              <w14:schemeClr w14:val="tx1"/>
            </w14:solidFill>
          </w14:textFill>
        </w:rPr>
        <w:t xml:space="preserve"> (Beitaishang reservoir basin)</w:t>
      </w:r>
    </w:p>
    <w:p w14:paraId="635464DC">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bookmarkStart w:id="14" w:name="bm_3_2_数字孪生平台层_多源数据融合与模型知识集成"/>
      <w:r>
        <w:rPr>
          <w:rFonts w:ascii="黑体" w:hAnsi="黑体" w:eastAsia="黑体" w:cs="Times New Roman"/>
          <w:color w:val="000000" w:themeColor="text1"/>
          <w:sz w:val="21"/>
          <w:szCs w:val="21"/>
          <w:lang w:val="en"/>
          <w14:textFill>
            <w14:solidFill>
              <w14:schemeClr w14:val="tx1"/>
            </w14:solidFill>
          </w14:textFill>
          <w14:ligatures w14:val="none"/>
        </w:rPr>
        <w:t>2.</w:t>
      </w:r>
      <w:r>
        <w:rPr>
          <w:rFonts w:hint="eastAsia" w:ascii="黑体" w:hAnsi="黑体" w:eastAsia="黑体" w:cs="Times New Roman"/>
          <w:color w:val="000000" w:themeColor="text1"/>
          <w:sz w:val="21"/>
          <w:szCs w:val="21"/>
          <w14:textFill>
            <w14:solidFill>
              <w14:schemeClr w14:val="tx1"/>
            </w14:solidFill>
          </w14:textFill>
          <w14:ligatures w14:val="none"/>
        </w:rPr>
        <w:t xml:space="preserve">2 </w:t>
      </w:r>
      <w:bookmarkEnd w:id="14"/>
      <w:r>
        <w:rPr>
          <w:rFonts w:hint="eastAsia" w:ascii="黑体" w:hAnsi="黑体" w:eastAsia="黑体" w:cs="Times New Roman"/>
          <w:color w:val="000000" w:themeColor="text1"/>
          <w:sz w:val="21"/>
          <w:szCs w:val="21"/>
          <w14:textFill>
            <w14:solidFill>
              <w14:schemeClr w14:val="tx1"/>
            </w14:solidFill>
          </w14:textFill>
          <w14:ligatures w14:val="none"/>
        </w:rPr>
        <w:t>数字孪生平台层</w:t>
      </w:r>
    </w:p>
    <w:p w14:paraId="37AE4AA0">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bookmarkStart w:id="15" w:name="OLE_LINK14"/>
      <w:r>
        <w:rPr>
          <w:rFonts w:hint="eastAsia" w:ascii="宋体" w:hAnsi="宋体"/>
          <w:color w:val="000000" w:themeColor="text1"/>
          <w:sz w:val="21"/>
          <w:szCs w:val="21"/>
          <w14:textFill>
            <w14:solidFill>
              <w14:schemeClr w14:val="tx1"/>
            </w14:solidFill>
          </w14:textFill>
        </w:rPr>
        <w:t>数字孪生平台层主要包括多源数据的轻量化融合、各类数理模型的集成与耦合，以支撑水利全要素数字化驱动与业务联动。</w:t>
      </w:r>
    </w:p>
    <w:bookmarkEnd w:id="15"/>
    <w:p w14:paraId="3471BBE2">
      <w:pPr>
        <w:pStyle w:val="50"/>
        <w:spacing w:line="240" w:lineRule="auto"/>
        <w:ind w:firstLine="0"/>
        <w:outlineLvl w:val="2"/>
        <w:rPr>
          <w:rStyle w:val="54"/>
        </w:rPr>
      </w:pPr>
      <w:r>
        <w:rPr>
          <w:rFonts w:ascii="楷体" w:hAnsi="楷体" w:eastAsia="楷体"/>
          <w:color w:val="000000" w:themeColor="text1"/>
          <w:sz w:val="21"/>
          <w:szCs w:val="21"/>
          <w:lang w:val="en"/>
          <w14:textFill>
            <w14:solidFill>
              <w14:schemeClr w14:val="tx1"/>
            </w14:solidFill>
          </w14:textFill>
        </w:rPr>
        <w:t>2.</w:t>
      </w:r>
      <w:r>
        <w:rPr>
          <w:rFonts w:hint="eastAsia" w:ascii="楷体" w:hAnsi="楷体" w:eastAsia="楷体"/>
          <w:color w:val="000000" w:themeColor="text1"/>
          <w:sz w:val="21"/>
          <w:szCs w:val="21"/>
          <w14:textFill>
            <w14:solidFill>
              <w14:schemeClr w14:val="tx1"/>
            </w14:solidFill>
          </w14:textFill>
        </w:rPr>
        <w:t xml:space="preserve">2.1 </w:t>
      </w:r>
      <w:bookmarkStart w:id="16" w:name="OLE_LINK1"/>
      <w:r>
        <w:rPr>
          <w:rFonts w:hint="eastAsia" w:ascii="楷体" w:hAnsi="楷体" w:eastAsia="楷体"/>
          <w:color w:val="000000" w:themeColor="text1"/>
          <w:sz w:val="21"/>
          <w:szCs w:val="21"/>
          <w14:textFill>
            <w14:solidFill>
              <w14:schemeClr w14:val="tx1"/>
            </w14:solidFill>
          </w14:textFill>
        </w:rPr>
        <w:t>多源数据轻量化融合与统一底板构建</w:t>
      </w:r>
      <w:bookmarkEnd w:id="16"/>
    </w:p>
    <w:p w14:paraId="0A41AC30">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数据底板是数字孪生系统的基石，其中地理空间数据承载着水利工程运行环境以及微观结构的精细化表达与属性，为区域洪水演进/淹没分析、工程安全结构分析、可视化巡检、调度方案模拟提供了计算依据。怀柔区</w:t>
      </w:r>
      <w:r>
        <w:rPr>
          <w:rFonts w:ascii="宋体" w:hAnsi="宋体"/>
          <w:color w:val="000000" w:themeColor="text1"/>
          <w:sz w:val="21"/>
          <w:szCs w:val="21"/>
          <w14:textFill>
            <w14:solidFill>
              <w14:schemeClr w14:val="tx1"/>
            </w14:solidFill>
          </w14:textFill>
        </w:rPr>
        <w:t>水利设施类型复杂</w:t>
      </w:r>
      <w:r>
        <w:rPr>
          <w:rFonts w:hint="eastAsia" w:ascii="宋体" w:hAnsi="宋体"/>
          <w:color w:val="000000" w:themeColor="text1"/>
          <w:sz w:val="21"/>
          <w:szCs w:val="21"/>
          <w14:textFill>
            <w14:solidFill>
              <w14:schemeClr w14:val="tx1"/>
            </w14:solidFill>
          </w14:textFill>
        </w:rPr>
        <w:t>，包括</w:t>
      </w:r>
      <w:r>
        <w:rPr>
          <w:rFonts w:ascii="宋体" w:hAnsi="宋体"/>
          <w:color w:val="000000" w:themeColor="text1"/>
          <w:sz w:val="21"/>
          <w:szCs w:val="21"/>
          <w14:textFill>
            <w14:solidFill>
              <w14:schemeClr w14:val="tx1"/>
            </w14:solidFill>
          </w14:textFill>
        </w:rPr>
        <w:t>水库、闸坝、隧洞等</w:t>
      </w:r>
      <w:r>
        <w:rPr>
          <w:rFonts w:hint="eastAsia" w:ascii="宋体" w:hAnsi="宋体"/>
          <w:color w:val="000000" w:themeColor="text1"/>
          <w:sz w:val="21"/>
          <w:szCs w:val="21"/>
          <w14:textFill>
            <w14:solidFill>
              <w14:schemeClr w14:val="tx1"/>
            </w14:solidFill>
          </w14:textFill>
        </w:rPr>
        <w:t>，系统数据类型包括</w:t>
      </w:r>
      <w:r>
        <w:rPr>
          <w:rFonts w:ascii="宋体" w:hAnsi="宋体"/>
          <w:color w:val="000000" w:themeColor="text1"/>
          <w:sz w:val="21"/>
          <w:szCs w:val="21"/>
          <w14:textFill>
            <w14:solidFill>
              <w14:schemeClr w14:val="tx1"/>
            </w14:solidFill>
          </w14:textFill>
        </w:rPr>
        <w:t>BIM</w:t>
      </w:r>
      <w:r>
        <w:rPr>
          <w:rFonts w:hint="eastAsia" w:ascii="宋体" w:hAnsi="宋体"/>
          <w:color w:val="000000" w:themeColor="text1"/>
          <w:sz w:val="21"/>
          <w:szCs w:val="21"/>
          <w14:textFill>
            <w14:solidFill>
              <w14:schemeClr w14:val="tx1"/>
            </w14:solidFill>
          </w14:textFill>
        </w:rPr>
        <w:t>模型</w:t>
      </w:r>
      <w:r>
        <w:rPr>
          <w:rFonts w:ascii="宋体" w:hAnsi="宋体"/>
          <w:color w:val="000000" w:themeColor="text1"/>
          <w:sz w:val="21"/>
          <w:szCs w:val="21"/>
          <w14:textFill>
            <w14:solidFill>
              <w14:schemeClr w14:val="tx1"/>
            </w14:solidFill>
          </w14:textFill>
        </w:rPr>
        <w:t>、倾斜摄影（OSGB）、遥感影像（DOM）、数字高程模型（DEM）、物联网监测</w:t>
      </w:r>
      <w:r>
        <w:rPr>
          <w:rFonts w:hint="eastAsia" w:ascii="宋体" w:hAnsi="宋体"/>
          <w:color w:val="000000" w:themeColor="text1"/>
          <w:sz w:val="21"/>
          <w:szCs w:val="21"/>
          <w14:textFill>
            <w14:solidFill>
              <w14:schemeClr w14:val="tx1"/>
            </w14:solidFill>
          </w14:textFill>
        </w:rPr>
        <w:t>等，造成了地理空间数据</w:t>
      </w:r>
      <w:r>
        <w:rPr>
          <w:rFonts w:ascii="宋体" w:hAnsi="宋体"/>
          <w:color w:val="000000" w:themeColor="text1"/>
          <w:sz w:val="21"/>
          <w:szCs w:val="21"/>
          <w14:textFill>
            <w14:solidFill>
              <w14:schemeClr w14:val="tx1"/>
            </w14:solidFill>
          </w14:textFill>
        </w:rPr>
        <w:t>多源</w:t>
      </w:r>
      <w:r>
        <w:rPr>
          <w:rFonts w:hint="eastAsia" w:ascii="宋体" w:hAnsi="宋体"/>
          <w:color w:val="000000" w:themeColor="text1"/>
          <w:sz w:val="21"/>
          <w:szCs w:val="21"/>
          <w14:textFill>
            <w14:solidFill>
              <w14:schemeClr w14:val="tx1"/>
            </w14:solidFill>
          </w14:textFill>
        </w:rPr>
        <w:t>且</w:t>
      </w:r>
      <w:r>
        <w:rPr>
          <w:rFonts w:ascii="宋体" w:hAnsi="宋体"/>
          <w:color w:val="000000" w:themeColor="text1"/>
          <w:sz w:val="21"/>
          <w:szCs w:val="21"/>
          <w14:textFill>
            <w14:solidFill>
              <w14:schemeClr w14:val="tx1"/>
            </w14:solidFill>
          </w14:textFill>
        </w:rPr>
        <w:t>异构</w:t>
      </w:r>
      <w:r>
        <w:rPr>
          <w:rFonts w:hint="eastAsia" w:ascii="宋体" w:hAnsi="宋体"/>
          <w:color w:val="000000" w:themeColor="text1"/>
          <w:sz w:val="21"/>
          <w:szCs w:val="21"/>
          <w14:textFill>
            <w14:solidFill>
              <w14:schemeClr w14:val="tx1"/>
            </w14:solidFill>
          </w14:textFill>
        </w:rPr>
        <w:t>。为了实现数据的高性能轻量化融合，本研究</w:t>
      </w:r>
      <w:r>
        <w:rPr>
          <w:rFonts w:ascii="宋体" w:hAnsi="宋体"/>
          <w:color w:val="000000" w:themeColor="text1"/>
          <w:sz w:val="21"/>
          <w:szCs w:val="21"/>
          <w14:textFill>
            <w14:solidFill>
              <w14:schemeClr w14:val="tx1"/>
            </w14:solidFill>
          </w14:textFill>
        </w:rPr>
        <w:t>构建了以</w:t>
      </w:r>
      <w:r>
        <w:rPr>
          <w:rFonts w:hint="eastAsia" w:ascii="宋体" w:hAnsi="宋体"/>
          <w:color w:val="000000" w:themeColor="text1"/>
          <w:sz w:val="21"/>
          <w:szCs w:val="21"/>
          <w14:textFill>
            <w14:solidFill>
              <w14:schemeClr w14:val="tx1"/>
            </w14:solidFill>
          </w14:textFill>
        </w:rPr>
        <w:t>空间基准统一、语义驱动的关联融合、模型轻量化处理、渐进式传输与可视化</w:t>
      </w:r>
      <w:r>
        <w:rPr>
          <w:rFonts w:ascii="宋体" w:hAnsi="宋体"/>
          <w:color w:val="000000" w:themeColor="text1"/>
          <w:sz w:val="21"/>
          <w:szCs w:val="21"/>
          <w14:textFill>
            <w14:solidFill>
              <w14:schemeClr w14:val="tx1"/>
            </w14:solidFill>
          </w14:textFill>
        </w:rPr>
        <w:t>为核心流程的</w:t>
      </w:r>
      <w:r>
        <w:rPr>
          <w:rFonts w:hint="eastAsia" w:ascii="宋体" w:hAnsi="宋体"/>
          <w:color w:val="000000" w:themeColor="text1"/>
          <w:sz w:val="21"/>
          <w:szCs w:val="21"/>
          <w14:textFill>
            <w14:solidFill>
              <w14:schemeClr w14:val="tx1"/>
            </w14:solidFill>
          </w14:textFill>
        </w:rPr>
        <w:t>4级</w:t>
      </w:r>
      <w:r>
        <w:rPr>
          <w:rFonts w:ascii="宋体" w:hAnsi="宋体"/>
          <w:color w:val="000000" w:themeColor="text1"/>
          <w:sz w:val="21"/>
          <w:szCs w:val="21"/>
          <w14:textFill>
            <w14:solidFill>
              <w14:schemeClr w14:val="tx1"/>
            </w14:solidFill>
          </w14:textFill>
        </w:rPr>
        <w:t>融合方法。</w:t>
      </w:r>
    </w:p>
    <w:p w14:paraId="1477742C">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（1）高精度时空基准统一。针对不同尺度的数据模型，采取分层的坐标转换策略。大范围地形数据使用布尔沙七参数模型，对于局部小尺度的精细模型（如单个水闸BIM），采用赫尔默特四参数模型进行精配准</w:t>
      </w:r>
      <w:r>
        <w:rPr>
          <w:rFonts w:hint="eastAsia" w:ascii="宋体" w:hAnsi="宋体"/>
          <w:color w:val="000000" w:themeColor="text1"/>
          <w:sz w:val="21"/>
          <w:szCs w:val="21"/>
          <w:vertAlign w:val="superscript"/>
          <w14:textFill>
            <w14:solidFill>
              <w14:schemeClr w14:val="tx1"/>
            </w14:solidFill>
          </w14:textFill>
        </w:rPr>
        <w:t>[39-40]</w:t>
      </w:r>
      <w:r>
        <w:rPr>
          <w:rFonts w:hint="eastAsia" w:ascii="宋体" w:hAnsi="宋体"/>
          <w:color w:val="000000" w:themeColor="text1"/>
          <w:sz w:val="21"/>
          <w:szCs w:val="21"/>
          <w14:textFill>
            <w14:solidFill>
              <w14:schemeClr w14:val="tx1"/>
            </w14:solidFill>
          </w14:textFill>
        </w:rPr>
        <w:t>，其二维简化形式如下</w:t>
      </w:r>
    </w:p>
    <w:p w14:paraId="45B08171">
      <w:pPr>
        <w:pStyle w:val="50"/>
        <w:spacing w:line="240" w:lineRule="auto"/>
        <w:ind w:firstLine="422" w:firstLineChars="200"/>
        <w:jc w:val="right"/>
        <w:rPr>
          <w:sz w:val="21"/>
          <w:szCs w:val="21"/>
        </w:rPr>
      </w:pPr>
      <m:oMath>
        <m:d>
          <m:dPr>
            <m:begChr m:val="["/>
            <m:endChr m:val="]"/>
            <m:ctrlPr>
              <w:rPr>
                <w:rFonts w:ascii="Cambria Math" w:hAnsi="Cambria Math"/>
                <w:b/>
                <w:bCs/>
                <w:i/>
                <w:sz w:val="21"/>
                <w:szCs w:val="21"/>
              </w:rPr>
            </m:ctrlPr>
          </m:dPr>
          <m:e>
            <m:m>
              <m:mPr>
                <m:mcs>
                  <m:mc>
                    <m:mcPr>
                      <m:count m:val="1"/>
                      <m:mcJc m:val="center"/>
                    </m:mcPr>
                  </m:mc>
                </m:mcs>
                <m:plcHide m:val="1"/>
                <m:ctrlPr>
                  <w:rPr>
                    <w:rFonts w:ascii="Cambria Math" w:hAnsi="Cambria Math"/>
                    <w:b/>
                    <w:bCs/>
                    <w:i/>
                    <w:sz w:val="21"/>
                    <w:szCs w:val="21"/>
                  </w:rPr>
                </m:ctrlPr>
              </m:mPr>
              <m:mr>
                <m:e>
                  <m:sSup>
                    <m:sSupPr>
                      <m:ctrlPr>
                        <w:rPr>
                          <w:rFonts w:ascii="Cambria Math" w:hAnsi="Cambria Math"/>
                          <w:b/>
                          <w:bCs/>
                          <w:i/>
                          <w:sz w:val="21"/>
                          <w:szCs w:val="21"/>
                        </w:rPr>
                      </m:ctrlPr>
                    </m:sSupPr>
                    <m:e>
                      <m:r>
                        <m:rPr>
                          <m:sty m:val="bi"/>
                        </m:rPr>
                        <w:rPr>
                          <w:rFonts w:ascii="Cambria Math" w:hAnsi="Cambria Math"/>
                          <w:sz w:val="21"/>
                          <w:szCs w:val="21"/>
                        </w:rPr>
                        <m:t>X</m:t>
                      </m:r>
                      <m:ctrlPr>
                        <w:rPr>
                          <w:rFonts w:ascii="Cambria Math" w:hAnsi="Cambria Math"/>
                          <w:b/>
                          <w:bCs/>
                          <w:i/>
                          <w:sz w:val="21"/>
                          <w:szCs w:val="21"/>
                        </w:rPr>
                      </m:ctrlPr>
                    </m:e>
                    <m:sup>
                      <m:r>
                        <m:rPr>
                          <m:sty m:val="bi"/>
                        </m:rPr>
                        <w:rPr>
                          <w:rFonts w:ascii="Cambria Math" w:hAnsi="Cambria Math"/>
                          <w:sz w:val="21"/>
                          <w:szCs w:val="21"/>
                        </w:rPr>
                        <m:t>'</m:t>
                      </m:r>
                      <m:ctrlPr>
                        <w:rPr>
                          <w:rFonts w:ascii="Cambria Math" w:hAnsi="Cambria Math"/>
                          <w:b/>
                          <w:bCs/>
                          <w:i/>
                          <w:sz w:val="21"/>
                          <w:szCs w:val="21"/>
                        </w:rPr>
                      </m:ctrlPr>
                    </m:sup>
                  </m:sSup>
                  <m:ctrlPr>
                    <w:rPr>
                      <w:rFonts w:ascii="Cambria Math" w:hAnsi="Cambria Math"/>
                      <w:b/>
                      <w:bCs/>
                      <w:i/>
                      <w:sz w:val="21"/>
                      <w:szCs w:val="21"/>
                    </w:rPr>
                  </m:ctrlPr>
                </m:e>
              </m:mr>
              <m:mr>
                <m:e>
                  <m:sSup>
                    <m:sSupPr>
                      <m:ctrlPr>
                        <w:rPr>
                          <w:rFonts w:ascii="Cambria Math" w:hAnsi="Cambria Math"/>
                          <w:b/>
                          <w:bCs/>
                          <w:i/>
                          <w:sz w:val="21"/>
                          <w:szCs w:val="21"/>
                        </w:rPr>
                      </m:ctrlPr>
                    </m:sSupPr>
                    <m:e>
                      <m:r>
                        <m:rPr>
                          <m:sty m:val="bi"/>
                        </m:rPr>
                        <w:rPr>
                          <w:rFonts w:ascii="Cambria Math" w:hAnsi="Cambria Math"/>
                          <w:sz w:val="21"/>
                          <w:szCs w:val="21"/>
                        </w:rPr>
                        <m:t>Y</m:t>
                      </m:r>
                      <m:ctrlPr>
                        <w:rPr>
                          <w:rFonts w:ascii="Cambria Math" w:hAnsi="Cambria Math"/>
                          <w:b/>
                          <w:bCs/>
                          <w:i/>
                          <w:sz w:val="21"/>
                          <w:szCs w:val="21"/>
                        </w:rPr>
                      </m:ctrlPr>
                    </m:e>
                    <m:sup>
                      <m:r>
                        <m:rPr>
                          <m:sty m:val="bi"/>
                        </m:rPr>
                        <w:rPr>
                          <w:rFonts w:ascii="Cambria Math" w:hAnsi="Cambria Math"/>
                          <w:sz w:val="21"/>
                          <w:szCs w:val="21"/>
                        </w:rPr>
                        <m:t>'</m:t>
                      </m:r>
                      <m:ctrlPr>
                        <w:rPr>
                          <w:rFonts w:ascii="Cambria Math" w:hAnsi="Cambria Math"/>
                          <w:b/>
                          <w:bCs/>
                          <w:i/>
                          <w:sz w:val="21"/>
                          <w:szCs w:val="21"/>
                        </w:rPr>
                      </m:ctrlPr>
                    </m:sup>
                  </m:sSup>
                  <m:ctrlPr>
                    <w:rPr>
                      <w:rFonts w:ascii="Cambria Math" w:hAnsi="Cambria Math"/>
                      <w:b/>
                      <w:bCs/>
                      <w:i/>
                      <w:sz w:val="21"/>
                      <w:szCs w:val="21"/>
                    </w:rPr>
                  </m:ctrlPr>
                </m:e>
              </m:mr>
            </m:m>
            <m:ctrlPr>
              <w:rPr>
                <w:rFonts w:ascii="Cambria Math" w:hAnsi="Cambria Math"/>
                <w:b/>
                <w:bCs/>
                <w:i/>
                <w:sz w:val="21"/>
                <w:szCs w:val="21"/>
              </w:rPr>
            </m:ctrlPr>
          </m:e>
        </m:d>
        <m:r>
          <m:rPr>
            <m:sty m:val="p"/>
          </m:rPr>
          <w:rPr>
            <w:rFonts w:ascii="Cambria Math" w:hAnsi="Cambria Math"/>
            <w:sz w:val="21"/>
            <w:szCs w:val="21"/>
          </w:rPr>
          <m:t>=</m:t>
        </m:r>
        <m:d>
          <m:dPr>
            <m:begChr m:val="["/>
            <m:endChr m:val="]"/>
            <m:ctrlPr>
              <w:rPr>
                <w:rFonts w:ascii="Cambria Math" w:hAnsi="Cambria Math"/>
                <w:b/>
                <w:bCs/>
                <w:i/>
                <w:sz w:val="21"/>
                <w:szCs w:val="21"/>
              </w:rPr>
            </m:ctrlPr>
          </m:dPr>
          <m:e>
            <m:m>
              <m:mPr>
                <m:mcs>
                  <m:mc>
                    <m:mcPr>
                      <m:count m:val="1"/>
                      <m:mcJc m:val="center"/>
                    </m:mcPr>
                  </m:mc>
                </m:mcs>
                <m:plcHide m:val="1"/>
                <m:ctrlPr>
                  <w:rPr>
                    <w:rFonts w:ascii="Cambria Math" w:hAnsi="Cambria Math"/>
                    <w:b/>
                    <w:bCs/>
                    <w:i/>
                    <w:sz w:val="21"/>
                    <w:szCs w:val="21"/>
                  </w:rPr>
                </m:ctrlPr>
              </m:mPr>
              <m:mr>
                <m:e>
                  <m:r>
                    <m:rPr>
                      <m:sty m:val="bi"/>
                    </m:rPr>
                    <w:rPr>
                      <w:rFonts w:ascii="Cambria Math" w:hAnsi="Cambria Math"/>
                      <w:sz w:val="21"/>
                      <w:szCs w:val="21"/>
                    </w:rPr>
                    <m:t>Δ</m:t>
                  </m:r>
                  <m:r>
                    <m:rPr>
                      <m:sty m:val="bi"/>
                    </m:rPr>
                    <w:rPr>
                      <w:rFonts w:ascii="Cambria Math" w:hAnsi="Cambria Math" w:cs="Cambria Math"/>
                      <w:sz w:val="21"/>
                      <w:szCs w:val="21"/>
                    </w:rPr>
                    <m:t>X</m:t>
                  </m:r>
                  <m:ctrlPr>
                    <w:rPr>
                      <w:rFonts w:ascii="Cambria Math" w:hAnsi="Cambria Math"/>
                      <w:b/>
                      <w:bCs/>
                      <w:i/>
                      <w:sz w:val="21"/>
                      <w:szCs w:val="21"/>
                    </w:rPr>
                  </m:ctrlPr>
                </m:e>
              </m:mr>
              <m:mr>
                <m:e>
                  <m:r>
                    <m:rPr>
                      <m:sty m:val="bi"/>
                    </m:rPr>
                    <w:rPr>
                      <w:rFonts w:ascii="Cambria Math" w:hAnsi="Cambria Math"/>
                      <w:sz w:val="21"/>
                      <w:szCs w:val="21"/>
                    </w:rPr>
                    <m:t>Δ</m:t>
                  </m:r>
                  <m:r>
                    <m:rPr>
                      <m:sty m:val="bi"/>
                    </m:rPr>
                    <w:rPr>
                      <w:rFonts w:ascii="Cambria Math" w:hAnsi="Cambria Math" w:cs="Cambria Math"/>
                      <w:sz w:val="21"/>
                      <w:szCs w:val="21"/>
                    </w:rPr>
                    <m:t>Y</m:t>
                  </m:r>
                  <m:ctrlPr>
                    <w:rPr>
                      <w:rFonts w:ascii="Cambria Math" w:hAnsi="Cambria Math"/>
                      <w:b/>
                      <w:bCs/>
                      <w:i/>
                      <w:sz w:val="21"/>
                      <w:szCs w:val="21"/>
                    </w:rPr>
                  </m:ctrlPr>
                </m:e>
              </m:mr>
            </m:m>
            <m:ctrlPr>
              <w:rPr>
                <w:rFonts w:ascii="Cambria Math" w:hAnsi="Cambria Math"/>
                <w:b/>
                <w:bCs/>
                <w:i/>
                <w:sz w:val="21"/>
                <w:szCs w:val="21"/>
              </w:rPr>
            </m:ctrlPr>
          </m:e>
        </m:d>
        <m:r>
          <m:rPr>
            <m:sty m:val="p"/>
          </m:rPr>
          <w:rPr>
            <w:rFonts w:ascii="Cambria Math" w:hAnsi="Cambria Math"/>
            <w:sz w:val="21"/>
            <w:szCs w:val="21"/>
          </w:rPr>
          <m:t>+</m:t>
        </m:r>
      </m:oMath>
      <w:r>
        <w:rPr>
          <w:iCs/>
          <w:sz w:val="21"/>
          <w:szCs w:val="21"/>
        </w:rPr>
        <w:t xml:space="preserve">(1 + </w:t>
      </w:r>
      <w:r>
        <w:rPr>
          <w:i/>
          <w:sz w:val="21"/>
          <w:szCs w:val="21"/>
        </w:rPr>
        <w:t>k</w:t>
      </w:r>
      <w:r>
        <w:rPr>
          <w:iCs/>
          <w:sz w:val="21"/>
          <w:szCs w:val="21"/>
        </w:rPr>
        <w:t>)</w:t>
      </w:r>
      <w:r>
        <w:rPr>
          <w:b/>
          <w:bCs/>
          <w:i/>
          <w:sz w:val="21"/>
          <w:szCs w:val="21"/>
        </w:rPr>
        <w:t xml:space="preserve"> </w:t>
      </w:r>
      <m:oMath>
        <m:d>
          <m:dPr>
            <m:begChr m:val="["/>
            <m:endChr m:val="]"/>
            <m:ctrlPr>
              <w:rPr>
                <w:rFonts w:ascii="Cambria Math" w:hAnsi="Cambria Math"/>
                <w:b/>
                <w:bCs/>
                <w:i/>
                <w:sz w:val="21"/>
                <w:szCs w:val="21"/>
              </w:rPr>
            </m:ctrlPr>
          </m:dPr>
          <m:e>
            <m:m>
              <m:mPr>
                <m:mcs>
                  <m:mc>
                    <m:mcPr>
                      <m:count m:val="2"/>
                      <m:mcJc m:val="center"/>
                    </m:mcPr>
                  </m:mc>
                </m:mcs>
                <m:plcHide m:val="1"/>
                <m:ctrlPr>
                  <w:rPr>
                    <w:rFonts w:ascii="Cambria Math" w:hAnsi="Cambria Math"/>
                    <w:b/>
                    <w:bCs/>
                    <w:iCs/>
                    <w:sz w:val="21"/>
                    <w:szCs w:val="21"/>
                  </w:rPr>
                </m:ctrlPr>
              </m:mPr>
              <m:mr>
                <m:e>
                  <m:r>
                    <m:rPr>
                      <m:sty m:val="b"/>
                    </m:rPr>
                    <w:rPr>
                      <w:rFonts w:ascii="Cambria Math" w:hAnsi="Cambria Math"/>
                      <w:sz w:val="21"/>
                      <w:szCs w:val="21"/>
                    </w:rPr>
                    <m:t>cos</m:t>
                  </m:r>
                  <m:r>
                    <m:rPr>
                      <m:sty m:val="b"/>
                    </m:rPr>
                    <w:rPr>
                      <w:rFonts w:ascii="Cambria Math" w:hAnsi="Cambria Math" w:cs="Cambria Math"/>
                      <w:sz w:val="21"/>
                      <w:szCs w:val="21"/>
                    </w:rPr>
                    <m:t>⁡</m:t>
                  </m:r>
                  <m:r>
                    <m:rPr>
                      <m:sty m:val="bi"/>
                    </m:rPr>
                    <w:rPr>
                      <w:rFonts w:ascii="Cambria Math" w:hAnsi="Cambria Math" w:cs="Cambria Math"/>
                      <w:sz w:val="21"/>
                      <w:szCs w:val="21"/>
                    </w:rPr>
                    <m:t>θ</m:t>
                  </m:r>
                  <m:ctrlPr>
                    <w:rPr>
                      <w:rFonts w:ascii="Cambria Math" w:hAnsi="Cambria Math"/>
                      <w:b/>
                      <w:bCs/>
                      <w:iCs/>
                      <w:sz w:val="21"/>
                      <w:szCs w:val="21"/>
                    </w:rPr>
                  </m:ctrlPr>
                </m:e>
                <m:e>
                  <m:r>
                    <m:rPr>
                      <m:sty m:val="b"/>
                    </m:rPr>
                    <w:rPr>
                      <w:rFonts w:ascii="Cambria Math" w:hAnsi="Cambria Math"/>
                      <w:sz w:val="21"/>
                      <w:szCs w:val="21"/>
                    </w:rPr>
                    <m:t>−sin</m:t>
                  </m:r>
                  <m:r>
                    <m:rPr>
                      <m:sty m:val="b"/>
                    </m:rPr>
                    <w:rPr>
                      <w:rFonts w:ascii="Cambria Math" w:hAnsi="Cambria Math" w:cs="Cambria Math"/>
                      <w:sz w:val="21"/>
                      <w:szCs w:val="21"/>
                    </w:rPr>
                    <m:t>⁡</m:t>
                  </m:r>
                  <m:r>
                    <m:rPr>
                      <m:sty m:val="bi"/>
                    </m:rPr>
                    <w:rPr>
                      <w:rFonts w:ascii="Cambria Math" w:hAnsi="Cambria Math" w:cs="Cambria Math"/>
                      <w:sz w:val="21"/>
                      <w:szCs w:val="21"/>
                    </w:rPr>
                    <m:t>θ</m:t>
                  </m:r>
                  <m:ctrlPr>
                    <w:rPr>
                      <w:rFonts w:ascii="Cambria Math" w:hAnsi="Cambria Math"/>
                      <w:b/>
                      <w:bCs/>
                      <w:iCs/>
                      <w:sz w:val="21"/>
                      <w:szCs w:val="21"/>
                    </w:rPr>
                  </m:ctrlPr>
                </m:e>
              </m:mr>
              <m:mr>
                <m:e>
                  <m:r>
                    <m:rPr>
                      <m:sty m:val="b"/>
                    </m:rPr>
                    <w:rPr>
                      <w:rFonts w:ascii="Cambria Math" w:hAnsi="Cambria Math"/>
                      <w:sz w:val="21"/>
                      <w:szCs w:val="21"/>
                    </w:rPr>
                    <m:t>sin</m:t>
                  </m:r>
                  <m:r>
                    <m:rPr>
                      <m:sty m:val="b"/>
                    </m:rPr>
                    <w:rPr>
                      <w:rFonts w:ascii="Cambria Math" w:hAnsi="Cambria Math" w:cs="Cambria Math"/>
                      <w:sz w:val="21"/>
                      <w:szCs w:val="21"/>
                    </w:rPr>
                    <m:t>⁡</m:t>
                  </m:r>
                  <m:r>
                    <m:rPr>
                      <m:sty m:val="bi"/>
                    </m:rPr>
                    <w:rPr>
                      <w:rFonts w:ascii="Cambria Math" w:hAnsi="Cambria Math" w:cs="Cambria Math"/>
                      <w:sz w:val="21"/>
                      <w:szCs w:val="21"/>
                    </w:rPr>
                    <m:t>θ</m:t>
                  </m:r>
                  <m:ctrlPr>
                    <w:rPr>
                      <w:rFonts w:ascii="Cambria Math" w:hAnsi="Cambria Math"/>
                      <w:b/>
                      <w:bCs/>
                      <w:iCs/>
                      <w:sz w:val="21"/>
                      <w:szCs w:val="21"/>
                    </w:rPr>
                  </m:ctrlPr>
                </m:e>
                <m:e>
                  <m:r>
                    <m:rPr>
                      <m:sty m:val="b"/>
                    </m:rPr>
                    <w:rPr>
                      <w:rFonts w:ascii="Cambria Math" w:hAnsi="Cambria Math"/>
                      <w:sz w:val="21"/>
                      <w:szCs w:val="21"/>
                    </w:rPr>
                    <m:t>cos⁡</m:t>
                  </m:r>
                  <m:r>
                    <m:rPr>
                      <m:sty m:val="bi"/>
                    </m:rPr>
                    <w:rPr>
                      <w:rFonts w:ascii="Cambria Math" w:hAnsi="Cambria Math" w:cs="Cambria Math"/>
                      <w:sz w:val="21"/>
                      <w:szCs w:val="21"/>
                    </w:rPr>
                    <m:t>θ</m:t>
                  </m:r>
                  <m:ctrlPr>
                    <w:rPr>
                      <w:rFonts w:ascii="Cambria Math" w:hAnsi="Cambria Math"/>
                      <w:b/>
                      <w:bCs/>
                      <w:iCs/>
                      <w:sz w:val="21"/>
                      <w:szCs w:val="21"/>
                    </w:rPr>
                  </m:ctrlPr>
                </m:e>
              </m:mr>
            </m:m>
            <m:ctrlPr>
              <w:rPr>
                <w:rFonts w:ascii="Cambria Math" w:hAnsi="Cambria Math"/>
                <w:b/>
                <w:bCs/>
                <w:i/>
                <w:sz w:val="21"/>
                <w:szCs w:val="21"/>
              </w:rPr>
            </m:ctrlPr>
          </m:e>
        </m:d>
        <m:d>
          <m:dPr>
            <m:begChr m:val="["/>
            <m:endChr m:val="]"/>
            <m:ctrlPr>
              <w:rPr>
                <w:rFonts w:ascii="Cambria Math" w:hAnsi="Cambria Math"/>
                <w:b/>
                <w:bCs/>
                <w:i/>
                <w:sz w:val="21"/>
                <w:szCs w:val="21"/>
              </w:rPr>
            </m:ctrlPr>
          </m:dPr>
          <m:e>
            <m:m>
              <m:mPr>
                <m:mcs>
                  <m:mc>
                    <m:mcPr>
                      <m:count m:val="1"/>
                      <m:mcJc m:val="center"/>
                    </m:mcPr>
                  </m:mc>
                </m:mcs>
                <m:plcHide m:val="1"/>
                <m:ctrlPr>
                  <w:rPr>
                    <w:rFonts w:ascii="Cambria Math" w:hAnsi="Cambria Math"/>
                    <w:b/>
                    <w:bCs/>
                    <w:i/>
                    <w:sz w:val="21"/>
                    <w:szCs w:val="21"/>
                  </w:rPr>
                </m:ctrlPr>
              </m:mPr>
              <m:mr>
                <m:e>
                  <m:r>
                    <m:rPr>
                      <m:sty m:val="bi"/>
                    </m:rPr>
                    <w:rPr>
                      <w:rFonts w:ascii="Cambria Math" w:hAnsi="Cambria Math"/>
                      <w:sz w:val="21"/>
                      <w:szCs w:val="21"/>
                    </w:rPr>
                    <m:t>Δ</m:t>
                  </m:r>
                  <m:r>
                    <m:rPr>
                      <m:sty m:val="bi"/>
                    </m:rPr>
                    <w:rPr>
                      <w:rFonts w:ascii="Cambria Math" w:hAnsi="Cambria Math" w:cs="Cambria Math"/>
                      <w:sz w:val="21"/>
                      <w:szCs w:val="21"/>
                    </w:rPr>
                    <m:t>X</m:t>
                  </m:r>
                  <m:ctrlPr>
                    <w:rPr>
                      <w:rFonts w:ascii="Cambria Math" w:hAnsi="Cambria Math"/>
                      <w:b/>
                      <w:bCs/>
                      <w:i/>
                      <w:sz w:val="21"/>
                      <w:szCs w:val="21"/>
                    </w:rPr>
                  </m:ctrlPr>
                </m:e>
              </m:mr>
              <m:mr>
                <m:e>
                  <m:r>
                    <m:rPr>
                      <m:sty m:val="bi"/>
                    </m:rPr>
                    <w:rPr>
                      <w:rFonts w:ascii="Cambria Math" w:hAnsi="Cambria Math"/>
                      <w:sz w:val="21"/>
                      <w:szCs w:val="21"/>
                    </w:rPr>
                    <m:t>Δ</m:t>
                  </m:r>
                  <m:r>
                    <m:rPr>
                      <m:sty m:val="bi"/>
                    </m:rPr>
                    <w:rPr>
                      <w:rFonts w:ascii="Cambria Math" w:hAnsi="Cambria Math" w:cs="Cambria Math"/>
                      <w:sz w:val="21"/>
                      <w:szCs w:val="21"/>
                    </w:rPr>
                    <m:t>Y</m:t>
                  </m:r>
                  <m:ctrlPr>
                    <w:rPr>
                      <w:rFonts w:ascii="Cambria Math" w:hAnsi="Cambria Math"/>
                      <w:b/>
                      <w:bCs/>
                      <w:i/>
                      <w:sz w:val="21"/>
                      <w:szCs w:val="21"/>
                    </w:rPr>
                  </m:ctrlPr>
                </m:e>
              </m:mr>
            </m:m>
            <m:ctrlPr>
              <w:rPr>
                <w:rFonts w:ascii="Cambria Math" w:hAnsi="Cambria Math"/>
                <w:b/>
                <w:bCs/>
                <w:i/>
                <w:sz w:val="21"/>
                <w:szCs w:val="21"/>
              </w:rPr>
            </m:ctrlPr>
          </m:e>
        </m:d>
      </m:oMath>
      <w:r>
        <w:rPr>
          <w:rFonts w:hint="eastAsia" w:hAnsi="Cambria Math"/>
          <w:b/>
          <w:bCs/>
          <w:i/>
          <w:sz w:val="21"/>
          <w:szCs w:val="21"/>
        </w:rPr>
        <w:t xml:space="preserve">     </w:t>
      </w:r>
      <w:r>
        <w:rPr>
          <w:rFonts w:hint="eastAsia" w:hAnsi="Cambria Math"/>
          <w:sz w:val="21"/>
          <w:szCs w:val="21"/>
        </w:rPr>
        <w:t xml:space="preserve">        （1）</w:t>
      </w:r>
    </w:p>
    <w:p w14:paraId="1F62B481">
      <w:pPr>
        <w:pStyle w:val="50"/>
        <w:spacing w:line="240" w:lineRule="auto"/>
        <w:ind w:firstLine="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式中，θ为旋转角。</w:t>
      </w:r>
    </w:p>
    <w:p w14:paraId="28B37448">
      <w:pPr>
        <w:pStyle w:val="50"/>
        <w:spacing w:line="240" w:lineRule="auto"/>
        <w:ind w:firstLine="420" w:firstLineChars="20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通过控制点约束平差，确保融合后空间一致性误差小于0.1</w:t>
      </w:r>
      <w:r>
        <w:rPr>
          <w:rFonts w:ascii="宋体" w:hAnsi="宋体"/>
          <w:color w:val="000000" w:themeColor="text1"/>
          <w:sz w:val="21"/>
          <w:szCs w:val="21"/>
          <w:lang w:val="en"/>
          <w14:textFill>
            <w14:solidFill>
              <w14:schemeClr w14:val="tx1"/>
            </w14:solidFill>
          </w14:textFill>
        </w:rPr>
        <w:t>m</w:t>
      </w:r>
      <w:r>
        <w:rPr>
          <w:rFonts w:hint="eastAsia" w:ascii="宋体" w:hAnsi="宋体"/>
          <w:color w:val="000000" w:themeColor="text1"/>
          <w:sz w:val="21"/>
          <w:szCs w:val="21"/>
          <w14:textFill>
            <w14:solidFill>
              <w14:schemeClr w14:val="tx1"/>
            </w14:solidFill>
          </w14:textFill>
        </w:rPr>
        <w:t>。</w:t>
      </w:r>
    </w:p>
    <w:p w14:paraId="0780C993">
      <w:pPr>
        <w:spacing w:after="0" w:line="240" w:lineRule="auto"/>
        <w:ind w:firstLine="420" w:firstLineChars="200"/>
        <w:jc w:val="both"/>
        <w:rPr>
          <w:rFonts w:hint="eastAsia"/>
        </w:rPr>
      </w:pPr>
      <w:r>
        <w:rPr>
          <w:rFonts w:hint="eastAsia" w:ascii="宋体" w:hAnsi="宋体" w:eastAsia="宋体" w:cs="Times New Roman"/>
          <w:color w:val="000000" w:themeColor="text1"/>
          <w:sz w:val="21"/>
          <w:szCs w:val="21"/>
          <w14:textFill>
            <w14:solidFill>
              <w14:schemeClr w14:val="tx1"/>
            </w14:solidFill>
          </w14:textFill>
          <w14:ligatures w14:val="none"/>
        </w:rPr>
        <w:t>（2）</w:t>
      </w:r>
      <w:r>
        <w:rPr>
          <w:rFonts w:ascii="宋体" w:hAnsi="宋体" w:eastAsia="宋体" w:cs="Times New Roman"/>
          <w:color w:val="000000" w:themeColor="text1"/>
          <w:sz w:val="21"/>
          <w:szCs w:val="21"/>
          <w14:textFill>
            <w14:solidFill>
              <w14:schemeClr w14:val="tx1"/>
            </w14:solidFill>
          </w14:textFill>
          <w14:ligatures w14:val="none"/>
        </w:rPr>
        <w:t>语义驱动的关联融合</w:t>
      </w:r>
      <w:r>
        <w:rPr>
          <w:rFonts w:hint="eastAsia" w:ascii="宋体" w:hAnsi="宋体" w:eastAsia="宋体" w:cs="Times New Roman"/>
          <w:color w:val="000000" w:themeColor="text1"/>
          <w:sz w:val="21"/>
          <w:szCs w:val="21"/>
          <w14:textFill>
            <w14:solidFill>
              <w14:schemeClr w14:val="tx1"/>
            </w14:solidFill>
          </w14:textFill>
          <w14:ligatures w14:val="none"/>
        </w:rPr>
        <w:t>。</w:t>
      </w:r>
      <w:bookmarkStart w:id="17" w:name="OLE_LINK17"/>
      <w:r>
        <w:rPr>
          <w:rFonts w:hint="eastAsia" w:ascii="宋体" w:hAnsi="宋体" w:eastAsia="宋体" w:cs="Times New Roman"/>
          <w:color w:val="000000" w:themeColor="text1"/>
          <w:sz w:val="21"/>
          <w:szCs w:val="21"/>
          <w14:textFill>
            <w14:solidFill>
              <w14:schemeClr w14:val="tx1"/>
            </w14:solidFill>
          </w14:textFill>
          <w14:ligatures w14:val="none"/>
        </w:rPr>
        <w:t>创建基于</w:t>
      </w:r>
      <w:r>
        <w:rPr>
          <w:rFonts w:ascii="宋体" w:hAnsi="宋体" w:eastAsia="宋体" w:cs="Times New Roman"/>
          <w:color w:val="000000" w:themeColor="text1"/>
          <w:sz w:val="21"/>
          <w:szCs w:val="21"/>
          <w14:textFill>
            <w14:solidFill>
              <w14:schemeClr w14:val="tx1"/>
            </w14:solidFill>
          </w14:textFill>
          <w14:ligatures w14:val="none"/>
        </w:rPr>
        <w:t>OWL</w:t>
      </w:r>
      <w:r>
        <w:rPr>
          <w:rFonts w:hint="eastAsia" w:ascii="宋体" w:hAnsi="宋体" w:eastAsia="宋体" w:cs="Times New Roman"/>
          <w:color w:val="000000" w:themeColor="text1"/>
          <w:sz w:val="21"/>
          <w:szCs w:val="21"/>
          <w14:textFill>
            <w14:solidFill>
              <w14:schemeClr w14:val="tx1"/>
            </w14:solidFill>
          </w14:textFill>
          <w14:ligatures w14:val="none"/>
        </w:rPr>
        <w:t>的水利设施本体</w:t>
      </w:r>
      <w:bookmarkEnd w:id="17"/>
      <w:r>
        <w:rPr>
          <w:rFonts w:hint="eastAsia" w:ascii="宋体" w:hAnsi="宋体" w:eastAsia="宋体" w:cs="Times New Roman"/>
          <w:color w:val="000000" w:themeColor="text1"/>
          <w:sz w:val="21"/>
          <w:szCs w:val="21"/>
          <w14:textFill>
            <w14:solidFill>
              <w14:schemeClr w14:val="tx1"/>
            </w14:solidFill>
          </w14:textFill>
          <w14:ligatures w14:val="none"/>
        </w:rPr>
        <w:t>，对</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水库</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大坝</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闸门</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传感器</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等实体间关系进行形式化定义，将水利领域知识与语义化建模关联。利用图数据库（如</w:t>
      </w:r>
      <w:r>
        <w:rPr>
          <w:rFonts w:ascii="宋体" w:hAnsi="宋体" w:eastAsia="宋体" w:cs="Times New Roman"/>
          <w:color w:val="000000" w:themeColor="text1"/>
          <w:sz w:val="21"/>
          <w:szCs w:val="21"/>
          <w14:textFill>
            <w14:solidFill>
              <w14:schemeClr w14:val="tx1"/>
            </w14:solidFill>
          </w14:textFill>
          <w14:ligatures w14:val="none"/>
        </w:rPr>
        <w:t>Neo4j</w:t>
      </w:r>
      <w:r>
        <w:rPr>
          <w:rFonts w:hint="eastAsia" w:ascii="宋体" w:hAnsi="宋体" w:eastAsia="宋体" w:cs="Times New Roman"/>
          <w:color w:val="000000" w:themeColor="text1"/>
          <w:sz w:val="21"/>
          <w:szCs w:val="21"/>
          <w14:textFill>
            <w14:solidFill>
              <w14:schemeClr w14:val="tx1"/>
            </w14:solidFill>
          </w14:textFill>
          <w14:ligatures w14:val="none"/>
        </w:rPr>
        <w:t>）存储和查询语义关联，将关联规则表示成</w:t>
      </w:r>
      <w:r>
        <w:rPr>
          <w:rFonts w:ascii="宋体" w:hAnsi="宋体" w:eastAsia="宋体" w:cs="Times New Roman"/>
          <w:color w:val="000000" w:themeColor="text1"/>
          <w:sz w:val="21"/>
          <w:szCs w:val="21"/>
          <w14:textFill>
            <w14:solidFill>
              <w14:schemeClr w14:val="tx1"/>
            </w14:solidFill>
          </w14:textFill>
          <w14:ligatures w14:val="none"/>
        </w:rPr>
        <w:t>RDF</w:t>
      </w:r>
      <w:r>
        <w:rPr>
          <w:rFonts w:hint="eastAsia" w:ascii="宋体" w:hAnsi="宋体" w:eastAsia="宋体" w:cs="Times New Roman"/>
          <w:color w:val="000000" w:themeColor="text1"/>
          <w:sz w:val="21"/>
          <w:szCs w:val="21"/>
          <w14:textFill>
            <w14:solidFill>
              <w14:schemeClr w14:val="tx1"/>
            </w14:solidFill>
          </w14:textFill>
          <w14:ligatures w14:val="none"/>
        </w:rPr>
        <w:t>三元组</w:t>
      </w:r>
      <w:r>
        <w:rPr>
          <w:rFonts w:ascii="宋体" w:hAnsi="宋体" w:eastAsia="宋体" w:cs="Times New Roman"/>
          <w:color w:val="000000" w:themeColor="text1"/>
          <w:sz w:val="21"/>
          <w:szCs w:val="21"/>
          <w14:textFill>
            <w14:solidFill>
              <w14:schemeClr w14:val="tx1"/>
            </w14:solidFill>
          </w14:textFill>
          <w14:ligatures w14:val="none"/>
        </w:rPr>
        <w:t>(BIM构件:hasID, 语义ID)</w:t>
      </w:r>
      <w:r>
        <w:rPr>
          <w:rFonts w:hint="eastAsia" w:ascii="宋体" w:hAnsi="宋体" w:eastAsia="宋体" w:cs="Times New Roman"/>
          <w:color w:val="000000" w:themeColor="text1"/>
          <w:sz w:val="21"/>
          <w:szCs w:val="21"/>
          <w14:textFill>
            <w14:solidFill>
              <w14:schemeClr w14:val="tx1"/>
            </w14:solidFill>
          </w14:textFill>
          <w14:ligatures w14:val="none"/>
        </w:rPr>
        <w:t>-</w:t>
      </w:r>
      <w:r>
        <w:rPr>
          <w:rFonts w:ascii="宋体" w:hAnsi="宋体" w:eastAsia="宋体" w:cs="Times New Roman"/>
          <w:color w:val="000000" w:themeColor="text1"/>
          <w:sz w:val="21"/>
          <w:szCs w:val="21"/>
          <w14:textFill>
            <w14:solidFill>
              <w14:schemeClr w14:val="tx1"/>
            </w14:solidFill>
          </w14:textFill>
          <w14:ligatures w14:val="none"/>
        </w:rPr>
        <w:t>(等价关系, GIS实体:FeatureID)</w:t>
      </w:r>
      <w:r>
        <w:rPr>
          <w:rFonts w:hint="eastAsia" w:ascii="宋体" w:hAnsi="宋体" w:eastAsia="宋体" w:cs="Times New Roman"/>
          <w:color w:val="000000" w:themeColor="text1"/>
          <w:sz w:val="21"/>
          <w:szCs w:val="21"/>
          <w14:textFill>
            <w14:solidFill>
              <w14:schemeClr w14:val="tx1"/>
            </w14:solidFill>
          </w14:textFill>
          <w14:ligatures w14:val="none"/>
        </w:rPr>
        <w:t>-</w:t>
      </w:r>
      <w:r>
        <w:rPr>
          <w:rFonts w:ascii="宋体" w:hAnsi="宋体" w:eastAsia="宋体" w:cs="Times New Roman"/>
          <w:color w:val="000000" w:themeColor="text1"/>
          <w:sz w:val="21"/>
          <w:szCs w:val="21"/>
          <w14:textFill>
            <w14:solidFill>
              <w14:schemeClr w14:val="tx1"/>
            </w14:solidFill>
          </w14:textFill>
          <w14:ligatures w14:val="none"/>
        </w:rPr>
        <w:t>(连接关系, IoT设备:DeviceID)</w:t>
      </w:r>
      <w:r>
        <w:rPr>
          <w:rFonts w:hint="eastAsia" w:ascii="宋体" w:hAnsi="宋体" w:eastAsia="宋体" w:cs="Times New Roman"/>
          <w:color w:val="000000" w:themeColor="text1"/>
          <w:sz w:val="21"/>
          <w:szCs w:val="21"/>
          <w14:textFill>
            <w14:solidFill>
              <w14:schemeClr w14:val="tx1"/>
            </w14:solidFill>
          </w14:textFill>
          <w14:ligatures w14:val="none"/>
        </w:rPr>
        <w:t>，实现BIM构件、GIS实体与IoT设备的数据融合查询、模型驱动匹配。</w:t>
      </w:r>
    </w:p>
    <w:p w14:paraId="72C1B097">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ascii="宋体" w:hAnsi="宋体" w:eastAsia="宋体" w:cs="Times New Roman"/>
          <w:color w:val="000000" w:themeColor="text1"/>
          <w:sz w:val="21"/>
          <w:szCs w:val="21"/>
          <w14:textFill>
            <w14:solidFill>
              <w14:schemeClr w14:val="tx1"/>
            </w14:solidFill>
          </w14:textFill>
          <w14:ligatures w14:val="none"/>
        </w:rPr>
        <w:t>（3）模型轻量化处理</w:t>
      </w:r>
      <w:r>
        <w:rPr>
          <w:rFonts w:hint="eastAsia" w:ascii="宋体" w:hAnsi="宋体" w:eastAsia="宋体" w:cs="Times New Roman"/>
          <w:color w:val="000000" w:themeColor="text1"/>
          <w:sz w:val="21"/>
          <w:szCs w:val="21"/>
          <w14:textFill>
            <w14:solidFill>
              <w14:schemeClr w14:val="tx1"/>
            </w14:solidFill>
          </w14:textFill>
          <w14:ligatures w14:val="none"/>
        </w:rPr>
        <w:t>。针对</w:t>
      </w:r>
      <w:r>
        <w:rPr>
          <w:rFonts w:ascii="宋体" w:hAnsi="宋体" w:eastAsia="宋体" w:cs="Times New Roman"/>
          <w:color w:val="000000" w:themeColor="text1"/>
          <w:sz w:val="21"/>
          <w:szCs w:val="21"/>
          <w14:textFill>
            <w14:solidFill>
              <w14:schemeClr w14:val="tx1"/>
            </w14:solidFill>
          </w14:textFill>
          <w14:ligatures w14:val="none"/>
        </w:rPr>
        <w:t>BIM</w:t>
      </w:r>
      <w:r>
        <w:rPr>
          <w:rFonts w:hint="eastAsia" w:ascii="宋体" w:hAnsi="宋体" w:eastAsia="宋体" w:cs="Times New Roman"/>
          <w:color w:val="000000" w:themeColor="text1"/>
          <w:sz w:val="21"/>
          <w:szCs w:val="21"/>
          <w14:textFill>
            <w14:solidFill>
              <w14:schemeClr w14:val="tx1"/>
            </w14:solidFill>
          </w14:textFill>
          <w14:ligatures w14:val="none"/>
        </w:rPr>
        <w:t>与实景三维等海量模型数据，采用</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QEM</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VCG+混合优化</w:t>
      </w:r>
      <w:r>
        <w:rPr>
          <w:rFonts w:ascii="宋体" w:hAnsi="宋体" w:eastAsia="宋体" w:cs="Times New Roman"/>
          <w:color w:val="000000" w:themeColor="text1"/>
          <w:sz w:val="21"/>
          <w:szCs w:val="21"/>
          <w14:textFill>
            <w14:solidFill>
              <w14:schemeClr w14:val="tx1"/>
            </w14:solidFill>
          </w14:textFill>
          <w14:ligatures w14:val="none"/>
        </w:rPr>
        <w:t>”</w:t>
      </w:r>
      <w:r>
        <w:rPr>
          <w:rFonts w:hint="eastAsia" w:ascii="宋体" w:hAnsi="宋体" w:eastAsia="宋体" w:cs="Times New Roman"/>
          <w:color w:val="000000" w:themeColor="text1"/>
          <w:sz w:val="21"/>
          <w:szCs w:val="21"/>
          <w14:textFill>
            <w14:solidFill>
              <w14:schemeClr w14:val="tx1"/>
            </w14:solidFill>
          </w14:textFill>
          <w14:ligatures w14:val="none"/>
        </w:rPr>
        <w:t>的轻量化策略。</w:t>
      </w:r>
    </w:p>
    <w:p w14:paraId="0BA086CC">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二次误差度量算法（QEM）能在保留模型语义构件树和逻辑结构的前提大幅减少三角面片数量。顶点聚类算法（VCG）将空间体素化并批量合并顶点，能保证极高简化效率和可控压缩率</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 xml:space="preserve"> [30]</w:t>
      </w:r>
      <w:r>
        <w:rPr>
          <w:rFonts w:hint="eastAsia" w:ascii="宋体" w:hAnsi="宋体" w:eastAsia="宋体" w:cs="Times New Roman"/>
          <w:color w:val="000000" w:themeColor="text1"/>
          <w:sz w:val="21"/>
          <w:szCs w:val="21"/>
          <w14:textFill>
            <w14:solidFill>
              <w14:schemeClr w14:val="tx1"/>
            </w14:solidFill>
          </w14:textFill>
          <w14:ligatures w14:val="none"/>
        </w:rPr>
        <w:t>。基于QEM与VCG算法的互补性，本文提出一种两级混合简化策略：先利用VCG算法对原始模型进行快速粗简化处理，大幅降低数据量后，再对大坝泄洪口、闸门启闭机关键区域执行QEM算法做局部精细化处理，既保证整体处理效率又兼顾了关键特征的几何精度，实现模型的非均匀轻量化。</w:t>
      </w:r>
    </w:p>
    <w:p w14:paraId="285FEFFE">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ascii="宋体" w:hAnsi="宋体" w:eastAsia="宋体" w:cs="Times New Roman"/>
          <w:color w:val="000000" w:themeColor="text1"/>
          <w:sz w:val="21"/>
          <w:szCs w:val="21"/>
          <w14:textFill>
            <w14:solidFill>
              <w14:schemeClr w14:val="tx1"/>
            </w14:solidFill>
          </w14:textFill>
          <w14:ligatures w14:val="none"/>
        </w:rPr>
        <w:t>（4）渐进式传输与可视化</w:t>
      </w:r>
      <w:r>
        <w:rPr>
          <w:rFonts w:hint="eastAsia" w:ascii="宋体" w:hAnsi="宋体" w:eastAsia="宋体" w:cs="Times New Roman"/>
          <w:color w:val="000000" w:themeColor="text1"/>
          <w:sz w:val="21"/>
          <w:szCs w:val="21"/>
          <w14:textFill>
            <w14:solidFill>
              <w14:schemeClr w14:val="tx1"/>
            </w14:solidFill>
          </w14:textFill>
          <w14:ligatures w14:val="none"/>
        </w:rPr>
        <w:t>。基于轻量化后的模型瓦片，采用</w:t>
      </w:r>
      <w:r>
        <w:rPr>
          <w:rFonts w:ascii="宋体" w:hAnsi="宋体" w:eastAsia="宋体" w:cs="Times New Roman"/>
          <w:color w:val="000000" w:themeColor="text1"/>
          <w:sz w:val="21"/>
          <w:szCs w:val="21"/>
          <w14:textFill>
            <w14:solidFill>
              <w14:schemeClr w14:val="tx1"/>
            </w14:solidFill>
          </w14:textFill>
          <w14:ligatures w14:val="none"/>
        </w:rPr>
        <w:t>3D Tiles</w:t>
      </w:r>
      <w:r>
        <w:rPr>
          <w:rFonts w:hint="eastAsia" w:ascii="宋体" w:hAnsi="宋体" w:eastAsia="宋体" w:cs="Times New Roman"/>
          <w:color w:val="000000" w:themeColor="text1"/>
          <w:sz w:val="21"/>
          <w:szCs w:val="21"/>
          <w14:textFill>
            <w14:solidFill>
              <w14:schemeClr w14:val="tx1"/>
            </w14:solidFill>
          </w14:textFill>
          <w14:ligatures w14:val="none"/>
        </w:rPr>
        <w:t>的多细节层次（</w:t>
      </w:r>
      <w:r>
        <w:rPr>
          <w:rFonts w:ascii="宋体" w:hAnsi="宋体" w:eastAsia="宋体" w:cs="Times New Roman"/>
          <w:color w:val="000000" w:themeColor="text1"/>
          <w:sz w:val="21"/>
          <w:szCs w:val="21"/>
          <w14:textFill>
            <w14:solidFill>
              <w14:schemeClr w14:val="tx1"/>
            </w14:solidFill>
          </w14:textFill>
          <w14:ligatures w14:val="none"/>
        </w:rPr>
        <w:t>LOD</w:t>
      </w:r>
      <w:r>
        <w:rPr>
          <w:rFonts w:hint="eastAsia" w:ascii="宋体" w:hAnsi="宋体" w:eastAsia="宋体" w:cs="Times New Roman"/>
          <w:color w:val="000000" w:themeColor="text1"/>
          <w:sz w:val="21"/>
          <w:szCs w:val="21"/>
          <w14:textFill>
            <w14:solidFill>
              <w14:schemeClr w14:val="tx1"/>
            </w14:solidFill>
          </w14:textFill>
          <w14:ligatures w14:val="none"/>
        </w:rPr>
        <w:t>）技术，根据视点距离动态调度不同精度的模型瓦片</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[41-42]</w:t>
      </w:r>
      <w:r>
        <w:rPr>
          <w:rFonts w:hint="eastAsia" w:ascii="宋体" w:hAnsi="宋体" w:eastAsia="宋体" w:cs="Times New Roman"/>
          <w:color w:val="000000" w:themeColor="text1"/>
          <w:sz w:val="21"/>
          <w:szCs w:val="21"/>
          <w14:textFill>
            <w14:solidFill>
              <w14:schemeClr w14:val="tx1"/>
            </w14:solidFill>
          </w14:textFill>
          <w14:ligatures w14:val="none"/>
        </w:rPr>
        <w:t>。其调度决策函数为</w:t>
      </w:r>
    </w:p>
    <w:p w14:paraId="03869960">
      <w:pPr>
        <w:spacing w:after="0" w:line="240" w:lineRule="auto"/>
        <w:ind w:firstLine="630" w:firstLineChars="300"/>
        <w:jc w:val="both"/>
        <w:rPr>
          <w:rFonts w:ascii="Cambria Math" w:hAnsi="Cambria Math"/>
          <w:sz w:val="21"/>
          <w:szCs w:val="21"/>
        </w:rPr>
      </w:pPr>
      <m:oMath>
        <m:r>
          <m:rPr/>
          <w:rPr>
            <w:rFonts w:ascii="Cambria Math" w:hAnsi="Cambria Math"/>
            <w:sz w:val="21"/>
            <w:szCs w:val="21"/>
          </w:rPr>
          <m:t>LO</m:t>
        </m:r>
        <m:sSub>
          <m:sSubPr>
            <m:ctrlPr>
              <w:rPr>
                <w:rFonts w:ascii="Cambria Math" w:hAnsi="Cambria Math"/>
                <w:sz w:val="21"/>
                <w:szCs w:val="21"/>
              </w:rPr>
            </m:ctrlPr>
          </m:sSubPr>
          <m:e>
            <m:r>
              <m:rPr/>
              <w:rPr>
                <w:rFonts w:ascii="Cambria Math" w:hAnsi="Cambria Math"/>
                <w:sz w:val="21"/>
                <w:szCs w:val="21"/>
              </w:rPr>
              <m:t>D</m:t>
            </m:r>
            <m:ctrlPr>
              <w:rPr>
                <w:rFonts w:ascii="Cambria Math" w:hAnsi="Cambria Math"/>
                <w:sz w:val="21"/>
                <w:szCs w:val="21"/>
              </w:rPr>
            </m:ctrlPr>
          </m:e>
          <m:sub>
            <m:r>
              <m:rPr>
                <m:nor/>
                <m:sty m:val="p"/>
              </m:rPr>
              <w:rPr>
                <w:rFonts w:ascii="Cambria Math" w:hAnsi="Cambria Math"/>
                <w:b w:val="0"/>
                <w:i w:val="0"/>
                <w:sz w:val="21"/>
                <w:szCs w:val="21"/>
              </w:rPr>
              <m:t>selected</m:t>
            </m:r>
            <m:ctrlPr>
              <w:rPr>
                <w:rFonts w:ascii="Cambria Math" w:hAnsi="Cambria Math"/>
                <w:sz w:val="21"/>
                <w:szCs w:val="21"/>
              </w:rPr>
            </m:ctrlPr>
          </m:sub>
        </m:sSub>
        <m:r>
          <m:rPr>
            <m:sty m:val="p"/>
          </m:rPr>
          <w:rPr>
            <w:rFonts w:ascii="Cambria Math" w:hAnsi="Cambria Math"/>
            <w:sz w:val="21"/>
            <w:szCs w:val="21"/>
          </w:rPr>
          <m:t>=arg⁡</m:t>
        </m:r>
        <m:limLow>
          <m:limLowPr>
            <m:ctrlPr>
              <w:rPr>
                <w:rFonts w:ascii="Cambria Math" w:hAnsi="Cambria Math"/>
                <w:sz w:val="21"/>
                <w:szCs w:val="21"/>
              </w:rPr>
            </m:ctrlPr>
          </m:limLowPr>
          <m:e>
            <m:r>
              <m:rPr>
                <m:sty m:val="p"/>
              </m:rPr>
              <w:rPr>
                <w:rFonts w:ascii="Cambria Math" w:hAnsi="Cambria Math"/>
                <w:sz w:val="21"/>
                <w:szCs w:val="21"/>
              </w:rPr>
              <m:t>min</m:t>
            </m:r>
            <m:ctrlPr>
              <w:rPr>
                <w:rFonts w:ascii="Cambria Math" w:hAnsi="Cambria Math"/>
                <w:sz w:val="21"/>
                <w:szCs w:val="21"/>
              </w:rPr>
            </m:ctrlPr>
          </m:e>
          <m:lim>
            <m:r>
              <m:rPr/>
              <w:rPr>
                <w:rFonts w:ascii="Cambria Math" w:hAnsi="Cambria Math"/>
                <w:sz w:val="21"/>
                <w:szCs w:val="21"/>
              </w:rPr>
              <m:t>l</m:t>
            </m:r>
            <m:r>
              <m:rPr>
                <m:sty m:val="p"/>
              </m:rPr>
              <w:rPr>
                <w:rFonts w:ascii="Cambria Math" w:hAnsi="Cambria Math"/>
                <w:sz w:val="21"/>
                <w:szCs w:val="21"/>
              </w:rPr>
              <m:t>∈</m:t>
            </m:r>
            <m:r>
              <m:rPr/>
              <w:rPr>
                <w:rFonts w:ascii="Cambria Math" w:hAnsi="Cambria Math"/>
                <w:sz w:val="21"/>
                <w:szCs w:val="21"/>
              </w:rPr>
              <m:t>L</m:t>
            </m:r>
            <m:ctrlPr>
              <w:rPr>
                <w:rFonts w:ascii="Cambria Math" w:hAnsi="Cambria Math"/>
                <w:sz w:val="21"/>
                <w:szCs w:val="21"/>
              </w:rPr>
            </m:ctrlPr>
          </m:lim>
        </m:limLow>
        <m:r>
          <m:rPr>
            <m:sty m:val="p"/>
          </m:rPr>
          <w:rPr>
            <w:rFonts w:ascii="Cambria Math" w:hAnsi="Cambria Math"/>
            <w:sz w:val="21"/>
            <w:szCs w:val="21"/>
          </w:rPr>
          <m:t> </m:t>
        </m:r>
        <m:d>
          <m:dPr>
            <m:ctrlPr>
              <w:rPr>
                <w:rFonts w:ascii="Cambria Math" w:hAnsi="Cambria Math"/>
                <w:sz w:val="21"/>
                <w:szCs w:val="21"/>
              </w:rPr>
            </m:ctrlPr>
          </m:dPr>
          <m:e>
            <m:r>
              <m:rPr>
                <m:nor/>
                <m:sty m:val="p"/>
              </m:rPr>
              <w:rPr>
                <w:rFonts w:ascii="Cambria Math" w:hAnsi="Cambria Math"/>
                <w:b w:val="0"/>
                <w:i w:val="0"/>
                <w:sz w:val="21"/>
                <w:szCs w:val="21"/>
              </w:rPr>
              <m:t>Error(</m:t>
            </m:r>
            <m:r>
              <m:rPr/>
              <w:rPr>
                <w:rFonts w:ascii="Cambria Math" w:hAnsi="Cambria Math"/>
                <w:sz w:val="21"/>
                <w:szCs w:val="21"/>
              </w:rPr>
              <m:t>l</m:t>
            </m:r>
            <m:r>
              <m:rPr>
                <m:sty m:val="p"/>
              </m:rPr>
              <w:rPr>
                <w:rFonts w:ascii="Cambria Math" w:hAnsi="Cambria Math"/>
                <w:sz w:val="21"/>
                <w:szCs w:val="21"/>
              </w:rPr>
              <m:t>)</m:t>
            </m:r>
            <m:ctrlPr>
              <w:rPr>
                <w:rFonts w:ascii="Cambria Math" w:hAnsi="Cambria Math"/>
                <w:sz w:val="21"/>
                <w:szCs w:val="21"/>
              </w:rPr>
            </m:ctrlPr>
          </m:e>
        </m:d>
        <m:r>
          <m:rPr>
            <m:sty m:val="p"/>
          </m:rPr>
          <w:rPr>
            <w:rFonts w:ascii="Cambria Math" w:hAnsi="Cambria Math"/>
            <w:sz w:val="21"/>
            <w:szCs w:val="21"/>
          </w:rPr>
          <m:t xml:space="preserve"> s.t. Bandwidth≥</m:t>
        </m:r>
        <m:f>
          <m:fPr>
            <m:ctrlPr>
              <w:rPr>
                <w:rFonts w:ascii="Cambria Math" w:hAnsi="Cambria Math"/>
                <w:sz w:val="21"/>
                <w:szCs w:val="21"/>
              </w:rPr>
            </m:ctrlPr>
          </m:fPr>
          <m:num>
            <m:r>
              <m:rPr>
                <m:nor/>
                <m:sty m:val="p"/>
              </m:rPr>
              <w:rPr>
                <w:rFonts w:ascii="Cambria Math" w:hAnsi="Cambria Math"/>
                <w:b w:val="0"/>
                <w:i w:val="0"/>
                <w:sz w:val="21"/>
                <w:szCs w:val="21"/>
              </w:rPr>
              <m:t>Size(</m:t>
            </m:r>
            <m:r>
              <m:rPr/>
              <w:rPr>
                <w:rFonts w:ascii="Cambria Math" w:hAnsi="Cambria Math"/>
                <w:sz w:val="21"/>
                <w:szCs w:val="21"/>
              </w:rPr>
              <m:t>l</m:t>
            </m:r>
            <m:r>
              <m:rPr>
                <m:sty m:val="p"/>
              </m:rPr>
              <w:rPr>
                <w:rFonts w:ascii="Cambria Math" w:hAnsi="Cambria Math"/>
                <w:sz w:val="21"/>
                <w:szCs w:val="21"/>
              </w:rPr>
              <m:t>)</m:t>
            </m:r>
            <m:ctrlPr>
              <w:rPr>
                <w:rFonts w:ascii="Cambria Math" w:hAnsi="Cambria Math"/>
                <w:sz w:val="21"/>
                <w:szCs w:val="21"/>
              </w:rPr>
            </m:ctrlPr>
          </m:num>
          <m:den>
            <m:r>
              <m:rPr>
                <m:nor/>
                <m:sty m:val="p"/>
              </m:rPr>
              <w:rPr>
                <w:rFonts w:ascii="Cambria Math" w:hAnsi="Cambria Math"/>
                <w:b w:val="0"/>
                <w:i w:val="0"/>
                <w:sz w:val="21"/>
                <w:szCs w:val="21"/>
              </w:rPr>
              <m:t>FrameTime</m:t>
            </m:r>
            <m:ctrlPr>
              <w:rPr>
                <w:rFonts w:ascii="Cambria Math" w:hAnsi="Cambria Math"/>
                <w:sz w:val="21"/>
                <w:szCs w:val="21"/>
              </w:rPr>
            </m:ctrlPr>
          </m:den>
        </m:f>
      </m:oMath>
      <w:r>
        <w:rPr>
          <w:rFonts w:hint="eastAsia" w:ascii="Times New Roman" w:hAnsi="Cambria Math" w:eastAsia="宋体" w:cs="Times New Roman"/>
          <w:sz w:val="21"/>
          <w:szCs w:val="21"/>
        </w:rPr>
        <w:t xml:space="preserve">        </w:t>
      </w:r>
      <w:r>
        <w:rPr>
          <w:rFonts w:hint="eastAsia" w:ascii="Times New Roman" w:hAnsi="Cambria Math" w:eastAsia="宋体" w:cs="Times New Roman"/>
          <w:sz w:val="21"/>
          <w:szCs w:val="21"/>
          <w14:ligatures w14:val="none"/>
        </w:rPr>
        <w:t>（2）</w:t>
      </w:r>
    </w:p>
    <w:p w14:paraId="5DB6B0E5">
      <w:pPr>
        <w:spacing w:after="0" w:line="240" w:lineRule="auto"/>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式中，</w:t>
      </w:r>
      <m:oMath>
        <m:r>
          <m:rPr/>
          <w:rPr>
            <w:rFonts w:ascii="Cambria Math" w:hAnsi="Cambria Math" w:eastAsia="宋体" w:cs="Times New Roman"/>
            <w:color w:val="000000" w:themeColor="text1"/>
            <w:sz w:val="21"/>
            <w:szCs w:val="21"/>
            <w14:textFill>
              <w14:solidFill>
                <w14:schemeClr w14:val="tx1"/>
              </w14:solidFill>
            </w14:textFill>
            <w14:ligatures w14:val="none"/>
          </w:rPr>
          <m:t>L</m:t>
        </m:r>
      </m:oMath>
      <w:r>
        <w:rPr>
          <w:rFonts w:ascii="宋体" w:hAnsi="宋体" w:eastAsia="宋体" w:cs="Times New Roman"/>
          <w:color w:val="000000" w:themeColor="text1"/>
          <w:sz w:val="21"/>
          <w:szCs w:val="21"/>
          <w14:textFill>
            <w14:solidFill>
              <w14:schemeClr w14:val="tx1"/>
            </w14:solidFill>
          </w14:textFill>
          <w14:ligatures w14:val="none"/>
        </w:rPr>
        <w:t xml:space="preserve"> </w:t>
      </w:r>
      <w:r>
        <w:rPr>
          <w:rFonts w:hint="eastAsia" w:ascii="宋体" w:hAnsi="宋体" w:eastAsia="宋体" w:cs="Times New Roman"/>
          <w:color w:val="000000" w:themeColor="text1"/>
          <w:sz w:val="21"/>
          <w:szCs w:val="21"/>
          <w14:textFill>
            <w14:solidFill>
              <w14:schemeClr w14:val="tx1"/>
            </w14:solidFill>
          </w14:textFill>
          <w14:ligatures w14:val="none"/>
        </w:rPr>
        <w:t>为可用</w:t>
      </w:r>
      <w:r>
        <w:rPr>
          <w:rFonts w:ascii="宋体" w:hAnsi="宋体" w:eastAsia="宋体" w:cs="Times New Roman"/>
          <w:color w:val="000000" w:themeColor="text1"/>
          <w:sz w:val="21"/>
          <w:szCs w:val="21"/>
          <w14:textFill>
            <w14:solidFill>
              <w14:schemeClr w14:val="tx1"/>
            </w14:solidFill>
          </w14:textFill>
          <w14:ligatures w14:val="none"/>
        </w:rPr>
        <w:t>LOD</w:t>
      </w:r>
      <w:r>
        <w:rPr>
          <w:rFonts w:hint="eastAsia" w:ascii="宋体" w:hAnsi="宋体" w:eastAsia="宋体" w:cs="Times New Roman"/>
          <w:color w:val="000000" w:themeColor="text1"/>
          <w:sz w:val="21"/>
          <w:szCs w:val="21"/>
          <w14:textFill>
            <w14:solidFill>
              <w14:schemeClr w14:val="tx1"/>
            </w14:solidFill>
          </w14:textFill>
          <w14:ligatures w14:val="none"/>
        </w:rPr>
        <w:t>集合；</w:t>
      </w:r>
      <m:oMath>
        <m:r>
          <m:rPr>
            <m:nor/>
            <m:sty m:val="p"/>
          </m:rPr>
          <w:rPr>
            <w:rFonts w:ascii="宋体" w:hAnsi="宋体" w:eastAsia="宋体" w:cs="Times New Roman"/>
            <w:b w:val="0"/>
            <w:i w:val="0"/>
            <w:color w:val="000000" w:themeColor="text1"/>
            <w:sz w:val="21"/>
            <w:szCs w:val="21"/>
            <w14:textFill>
              <w14:solidFill>
                <w14:schemeClr w14:val="tx1"/>
              </w14:solidFill>
            </w14:textFill>
            <w14:ligatures w14:val="none"/>
          </w:rPr>
          <m:t>Error</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r>
          <m:rPr/>
          <w:rPr>
            <w:rFonts w:ascii="Cambria Math" w:hAnsi="Cambria Math" w:eastAsia="宋体" w:cs="Times New Roman"/>
            <w:color w:val="000000" w:themeColor="text1"/>
            <w:sz w:val="21"/>
            <w:szCs w:val="21"/>
            <w14:textFill>
              <w14:solidFill>
                <w14:schemeClr w14:val="tx1"/>
              </w14:solidFill>
            </w14:textFill>
            <w14:ligatures w14:val="none"/>
          </w:rPr>
          <m:t>l</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oMath>
      <w:r>
        <w:rPr>
          <w:rFonts w:ascii="宋体" w:hAnsi="宋体" w:eastAsia="宋体" w:cs="Times New Roman"/>
          <w:color w:val="000000" w:themeColor="text1"/>
          <w:sz w:val="21"/>
          <w:szCs w:val="21"/>
          <w14:textFill>
            <w14:solidFill>
              <w14:schemeClr w14:val="tx1"/>
            </w14:solidFill>
          </w14:textFill>
          <w14:ligatures w14:val="none"/>
        </w:rPr>
        <w:t xml:space="preserve"> </w:t>
      </w:r>
      <w:r>
        <w:rPr>
          <w:rFonts w:hint="eastAsia" w:ascii="宋体" w:hAnsi="宋体" w:eastAsia="宋体" w:cs="Times New Roman"/>
          <w:color w:val="000000" w:themeColor="text1"/>
          <w:sz w:val="21"/>
          <w:szCs w:val="21"/>
          <w14:textFill>
            <w14:solidFill>
              <w14:schemeClr w14:val="tx1"/>
            </w14:solidFill>
          </w14:textFill>
          <w14:ligatures w14:val="none"/>
        </w:rPr>
        <w:t>为屏幕空间误差。</w:t>
      </w:r>
    </w:p>
    <w:p w14:paraId="44AD23CC">
      <w:pPr>
        <w:spacing w:after="0" w:line="240" w:lineRule="auto"/>
        <w:ind w:firstLine="420" w:firstLineChars="200"/>
        <w:jc w:val="both"/>
        <w:rPr>
          <w:rFonts w:ascii="Cambria Math" w:hAnsi="Cambria Math"/>
          <w:sz w:val="21"/>
          <w:szCs w:val="21"/>
        </w:rPr>
      </w:pPr>
      <w:r>
        <w:rPr>
          <w:rFonts w:hint="eastAsia" w:ascii="宋体" w:hAnsi="宋体" w:eastAsia="宋体" w:cs="Times New Roman"/>
          <w:color w:val="000000" w:themeColor="text1"/>
          <w:sz w:val="21"/>
          <w:szCs w:val="21"/>
          <w14:textFill>
            <w14:solidFill>
              <w14:schemeClr w14:val="tx1"/>
            </w14:solidFill>
          </w14:textFill>
          <w14:ligatures w14:val="none"/>
        </w:rPr>
        <w:t>这种机制可以保证优先加载和渲染对当前视图贡献最大的数据，从而实现超大规模场景的流畅体验。</w:t>
      </w:r>
    </w:p>
    <w:p w14:paraId="41432472">
      <w:pPr>
        <w:spacing w:after="0" w:line="240" w:lineRule="auto"/>
        <w:ind w:firstLine="420" w:firstLineChars="200"/>
        <w:jc w:val="both"/>
        <w:rPr>
          <w:rFonts w:hint="eastAsia" w:ascii="宋体" w:hAnsi="宋体" w:eastAsia="宋体" w:cs="Times New Roman"/>
          <w:color w:val="000000" w:themeColor="text1"/>
          <w:sz w:val="21"/>
          <w:szCs w:val="21"/>
          <w14:textFill>
            <w14:solidFill>
              <w14:schemeClr w14:val="tx1"/>
            </w14:solidFill>
          </w14:textFill>
          <w14:ligatures w14:val="none"/>
        </w:rPr>
      </w:pPr>
      <w:r>
        <w:rPr>
          <w:rFonts w:hint="eastAsia" w:ascii="宋体" w:hAnsi="宋体" w:eastAsia="宋体" w:cs="Times New Roman"/>
          <w:color w:val="000000" w:themeColor="text1"/>
          <w:sz w:val="21"/>
          <w:szCs w:val="21"/>
          <w14:textFill>
            <w14:solidFill>
              <w14:schemeClr w14:val="tx1"/>
            </w14:solidFill>
          </w14:textFill>
          <w14:ligatures w14:val="none"/>
        </w:rPr>
        <w:t>为对本文提出的融合方法理论效能进行定量评价，研究选取北台上水库数字孪生体作为论证场景进行系统性评价。该孪生体场景以水库大坝BIM模型为核心，融合了上下游河道倾斜摄影模型（OSGB）以及库区周边高精度DEM。相关测试结果如图4所示。本项目测试硬件环境为Intel Core i7-10700K处理器（64GB DDR4内存），NVIDIA GeForce RTX 4090（24 GB 显存）。</w:t>
      </w:r>
    </w:p>
    <w:p w14:paraId="47DA135D">
      <w:pPr>
        <w:pStyle w:val="2"/>
        <w:spacing w:line="240" w:lineRule="auto"/>
        <w:rPr>
          <w:rFonts w:hint="eastAsia"/>
        </w:rPr>
      </w:pPr>
      <w:r>
        <w:rPr>
          <w:rFonts w:hint="eastAsia"/>
          <w14:ligatures w14:val="none"/>
        </w:rPr>
        <w:drawing>
          <wp:inline distT="0" distB="0" distL="0" distR="0">
            <wp:extent cx="5274310" cy="2912110"/>
            <wp:effectExtent l="0" t="0" r="2540" b="2540"/>
            <wp:docPr id="10650388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038817" name="图片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12110"/>
                    </a:xfrm>
                    <a:prstGeom prst="rect">
                      <a:avLst/>
                    </a:prstGeom>
                  </pic:spPr>
                </pic:pic>
              </a:graphicData>
            </a:graphic>
          </wp:inline>
        </w:drawing>
      </w:r>
    </w:p>
    <w:p w14:paraId="1425AA7C">
      <w:pPr>
        <w:pStyle w:val="50"/>
        <w:spacing w:line="240" w:lineRule="auto"/>
        <w:ind w:firstLine="0"/>
        <w:jc w:val="center"/>
        <w:rPr>
          <w:rFonts w:hint="eastAsia" w:ascii="宋体" w:hAnsi="宋体"/>
          <w:sz w:val="15"/>
          <w:szCs w:val="15"/>
        </w:rPr>
      </w:pPr>
      <w:bookmarkStart w:id="18" w:name="OLE_LINK3"/>
      <w:r>
        <w:rPr>
          <w:rFonts w:hint="eastAsia" w:ascii="宋体" w:hAnsi="宋体"/>
          <w:sz w:val="15"/>
          <w:szCs w:val="15"/>
        </w:rPr>
        <w:t>(a)不同简化率下的几何精度与算法效率对比</w:t>
      </w:r>
    </w:p>
    <w:p w14:paraId="040A0668">
      <w:pPr>
        <w:pStyle w:val="50"/>
        <w:spacing w:line="240" w:lineRule="auto"/>
        <w:ind w:firstLine="0"/>
        <w:jc w:val="center"/>
        <w:rPr>
          <w:rFonts w:hint="eastAsia" w:ascii="宋体" w:hAnsi="宋体"/>
          <w:sz w:val="15"/>
          <w:szCs w:val="15"/>
        </w:rPr>
      </w:pPr>
      <w:r>
        <w:rPr>
          <w:rFonts w:hint="eastAsia" w:ascii="宋体" w:hAnsi="宋体"/>
          <w:sz w:val="15"/>
          <w:szCs w:val="15"/>
        </w:rPr>
        <w:drawing>
          <wp:inline distT="0" distB="0" distL="0" distR="0">
            <wp:extent cx="5273675" cy="2690495"/>
            <wp:effectExtent l="0" t="0" r="0" b="0"/>
            <wp:docPr id="54869020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690207" name="图片 5"/>
                    <pic:cNvPicPr>
                      <a:picLocks noChangeAspect="1"/>
                    </pic:cNvPicPr>
                  </pic:nvPicPr>
                  <pic:blipFill>
                    <a:blip r:embed="rId11" cstate="print">
                      <a:extLst>
                        <a:ext uri="{28A0092B-C50C-407E-A947-70E740481C1C}">
                          <a14:useLocalDpi xmlns:a14="http://schemas.microsoft.com/office/drawing/2010/main" val="0"/>
                        </a:ext>
                      </a:extLst>
                    </a:blip>
                    <a:srcRect t="5071" b="4370"/>
                    <a:stretch>
                      <a:fillRect/>
                    </a:stretch>
                  </pic:blipFill>
                  <pic:spPr>
                    <a:xfrm>
                      <a:off x="0" y="0"/>
                      <a:ext cx="5274310" cy="2691230"/>
                    </a:xfrm>
                    <a:prstGeom prst="rect">
                      <a:avLst/>
                    </a:prstGeom>
                    <a:ln>
                      <a:noFill/>
                    </a:ln>
                  </pic:spPr>
                </pic:pic>
              </a:graphicData>
            </a:graphic>
          </wp:inline>
        </w:drawing>
      </w:r>
    </w:p>
    <w:bookmarkEnd w:id="18"/>
    <w:p w14:paraId="0FA46F78">
      <w:pPr>
        <w:pStyle w:val="50"/>
        <w:spacing w:line="240" w:lineRule="auto"/>
        <w:ind w:firstLine="0"/>
        <w:jc w:val="center"/>
        <w:rPr>
          <w:rFonts w:hint="eastAsia" w:ascii="宋体" w:hAnsi="宋体"/>
          <w:sz w:val="15"/>
          <w:szCs w:val="15"/>
        </w:rPr>
      </w:pPr>
      <w:r>
        <w:rPr>
          <w:rFonts w:hint="eastAsia" w:ascii="宋体" w:hAnsi="宋体"/>
          <w:sz w:val="15"/>
          <w:szCs w:val="15"/>
        </w:rPr>
        <w:t>(b)场景实时渲染性能测试</w:t>
      </w:r>
    </w:p>
    <w:p w14:paraId="3254FE19">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hint="eastAsia" w:ascii="黑体" w:hAnsi="黑体" w:eastAsia="黑体"/>
          <w:b/>
          <w:color w:val="000000" w:themeColor="text1"/>
          <w:sz w:val="18"/>
          <w:szCs w:val="18"/>
          <w14:textFill>
            <w14:solidFill>
              <w14:schemeClr w14:val="tx1"/>
            </w14:solidFill>
          </w14:textFill>
        </w:rPr>
        <w:t>图4 北台上水库多源模型轻量化性能评估</w:t>
      </w:r>
    </w:p>
    <w:p w14:paraId="01A4E512">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Fig.4  Performance evaluation of lightweight multi-source models for Beitaishang reservoir</w:t>
      </w:r>
    </w:p>
    <w:p w14:paraId="2DF48ACE">
      <w:pPr>
        <w:pStyle w:val="50"/>
        <w:spacing w:line="240" w:lineRule="auto"/>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图4（a）对比了三种算法在不同压缩程度下的性能，从图中可以看出，当网格简化率增加时，三种算法的几何误差均有所增大。其中VCG算法的误差在简化率超过50%后增长迅速，最高达0.45%；QEM算法保持了最高的保真度，但计算耗时较长；本文混合策略（红色菱形实线）在保证了几何误差与QEM相当的同时，计算效率较QEM提升了近一个数量级。图4（b）展示了在北台上水库数字孪生场景中60秒连续漫游的性能表现，结果显示在未开启LOD的情况下，受限于原始BIM及倾斜摄影数据的巨大面片数，平均帧率仅为15FPS；而应用本文提出的LOD调度决策函数后，系统能根据视点距离动态剔除细节，使帧率稳定提升至40～60 FPS，实现了超大规模数字孪生场景的流畅交互体验，同时，开启LOD后GPU的渲染负载降低了约83%。</w:t>
      </w:r>
    </w:p>
    <w:p w14:paraId="197DBB35">
      <w:pPr>
        <w:pStyle w:val="50"/>
        <w:spacing w:line="240" w:lineRule="auto"/>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w:t>
      </w:r>
      <w:bookmarkStart w:id="19" w:name="OLE_LINK31"/>
      <w:r>
        <w:rPr>
          <w:rFonts w:hint="eastAsia" w:ascii="宋体" w:hAnsi="宋体"/>
          <w:color w:val="000000" w:themeColor="text1"/>
          <w:sz w:val="21"/>
          <w:szCs w:val="21"/>
          <w14:textFill>
            <w14:solidFill>
              <w14:schemeClr w14:val="tx1"/>
            </w14:solidFill>
          </w14:textFill>
        </w:rPr>
        <w:t>数字孪生流域建设技术导则</w:t>
      </w:r>
      <w:bookmarkEnd w:id="19"/>
      <w:r>
        <w:rPr>
          <w:rFonts w:hint="eastAsia" w:ascii="宋体" w:hAnsi="宋体"/>
          <w:color w:val="000000" w:themeColor="text1"/>
          <w:sz w:val="21"/>
          <w:szCs w:val="21"/>
          <w14:textFill>
            <w14:solidFill>
              <w14:schemeClr w14:val="tx1"/>
            </w14:solidFill>
          </w14:textFill>
        </w:rPr>
        <w:t xml:space="preserve">》中明确指出：“算据”是驱动“算法”与“算力”发挥效能的物质基础。基于以上数据融合与统一数据底板建设，为怀柔区防洪“四预”构建了一个高精度、标准化、可拓展的算据资源池，构建了覆盖“天空地水工”的全要素数据资产，有效解决了传统模式中数据碎片化、割裂化的信息孤岛问题，为实现精准“四预”奠定了重要基础。 </w:t>
      </w:r>
    </w:p>
    <w:p w14:paraId="0783B257">
      <w:pPr>
        <w:pStyle w:val="50"/>
        <w:spacing w:line="240" w:lineRule="auto"/>
        <w:ind w:firstLine="0"/>
        <w:outlineLvl w:val="2"/>
        <w:rPr>
          <w:rFonts w:hint="eastAsia" w:ascii="楷体" w:hAnsi="楷体" w:eastAsia="楷体"/>
          <w:color w:val="000000" w:themeColor="text1"/>
          <w:sz w:val="21"/>
          <w:szCs w:val="21"/>
          <w14:textFill>
            <w14:solidFill>
              <w14:schemeClr w14:val="tx1"/>
            </w14:solidFill>
          </w14:textFill>
        </w:rPr>
      </w:pPr>
      <w:r>
        <w:rPr>
          <w:rFonts w:ascii="楷体" w:hAnsi="楷体" w:eastAsia="楷体"/>
          <w:color w:val="000000" w:themeColor="text1"/>
          <w:sz w:val="21"/>
          <w:szCs w:val="21"/>
          <w:lang w:val="en"/>
          <w14:textFill>
            <w14:solidFill>
              <w14:schemeClr w14:val="tx1"/>
            </w14:solidFill>
          </w14:textFill>
        </w:rPr>
        <w:t>2.</w:t>
      </w:r>
      <w:r>
        <w:rPr>
          <w:rFonts w:hint="eastAsia" w:ascii="楷体" w:hAnsi="楷体" w:eastAsia="楷体"/>
          <w:color w:val="000000" w:themeColor="text1"/>
          <w:sz w:val="21"/>
          <w:szCs w:val="21"/>
          <w14:textFill>
            <w14:solidFill>
              <w14:schemeClr w14:val="tx1"/>
            </w14:solidFill>
          </w14:textFill>
        </w:rPr>
        <w:t>2.2 模型库微服务化封装</w:t>
      </w:r>
    </w:p>
    <w:p w14:paraId="625D79C6">
      <w:pPr>
        <w:widowControl/>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为了实现模型的即插即用及便于管理，本体系使用“容器化微服务”对各种专业模型进行封装，相关封装框架如表2所列。</w:t>
      </w:r>
    </w:p>
    <w:p w14:paraId="37159209">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14:textFill>
            <w14:solidFill>
              <w14:schemeClr w14:val="tx1"/>
            </w14:solidFill>
          </w14:textFill>
        </w:rPr>
        <w:t>2</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数理模型服务化封装一览表</w:t>
      </w:r>
    </w:p>
    <w:p w14:paraId="5190310B">
      <w:pPr>
        <w:pStyle w:val="46"/>
        <w:rPr>
          <w:rFonts w:hint="eastAsia" w:ascii="宋体" w:hAnsi="宋体"/>
          <w:b/>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Table 2  Overview of service-oriented encapsulation of mathematical models</w:t>
      </w:r>
    </w:p>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73"/>
        <w:gridCol w:w="1891"/>
        <w:gridCol w:w="2181"/>
        <w:gridCol w:w="1977"/>
      </w:tblGrid>
      <w:tr w14:paraId="697D0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10" w:type="dxa"/>
            <w:tcBorders>
              <w:top w:val="single" w:color="auto" w:sz="12" w:space="0"/>
              <w:bottom w:val="single" w:color="auto" w:sz="4" w:space="0"/>
            </w:tcBorders>
          </w:tcPr>
          <w:p w14:paraId="23B661AB">
            <w:pPr>
              <w:widowControl/>
              <w:spacing w:after="0" w:line="240" w:lineRule="auto"/>
              <w:jc w:val="center"/>
              <w:rPr>
                <w:rFonts w:hint="eastAsia" w:ascii="宋体" w:hAnsi="宋体" w:eastAsia="宋体" w:cs="Times New Roman"/>
                <w:b/>
                <w:color w:val="000000" w:themeColor="text1"/>
                <w:sz w:val="15"/>
                <w:szCs w:val="15"/>
                <w14:textFill>
                  <w14:solidFill>
                    <w14:schemeClr w14:val="tx1"/>
                  </w14:solidFill>
                </w14:textFill>
                <w14:ligatures w14:val="none"/>
              </w:rPr>
            </w:pPr>
            <w:r>
              <w:rPr>
                <w:rFonts w:hint="eastAsia" w:ascii="宋体" w:hAnsi="宋体" w:eastAsia="宋体" w:cs="Times New Roman"/>
                <w:b/>
                <w:color w:val="000000" w:themeColor="text1"/>
                <w:sz w:val="15"/>
                <w:szCs w:val="15"/>
                <w14:textFill>
                  <w14:solidFill>
                    <w14:schemeClr w14:val="tx1"/>
                  </w14:solidFill>
                </w14:textFill>
                <w14:ligatures w14:val="none"/>
              </w:rPr>
              <w:t>模型</w:t>
            </w:r>
          </w:p>
        </w:tc>
        <w:tc>
          <w:tcPr>
            <w:tcW w:w="1843" w:type="dxa"/>
            <w:tcBorders>
              <w:top w:val="single" w:color="auto" w:sz="12" w:space="0"/>
              <w:bottom w:val="single" w:color="auto" w:sz="4" w:space="0"/>
            </w:tcBorders>
          </w:tcPr>
          <w:p w14:paraId="26CD9B77">
            <w:pPr>
              <w:widowControl/>
              <w:spacing w:after="0" w:line="240" w:lineRule="auto"/>
              <w:jc w:val="center"/>
              <w:rPr>
                <w:rFonts w:hint="eastAsia" w:ascii="宋体" w:hAnsi="宋体" w:eastAsia="宋体" w:cs="Times New Roman"/>
                <w:b/>
                <w:color w:val="000000" w:themeColor="text1"/>
                <w:sz w:val="15"/>
                <w:szCs w:val="15"/>
                <w14:textFill>
                  <w14:solidFill>
                    <w14:schemeClr w14:val="tx1"/>
                  </w14:solidFill>
                </w14:textFill>
                <w14:ligatures w14:val="none"/>
              </w:rPr>
            </w:pPr>
            <w:r>
              <w:rPr>
                <w:rFonts w:hint="eastAsia" w:ascii="宋体" w:hAnsi="宋体" w:eastAsia="宋体" w:cs="Times New Roman"/>
                <w:b/>
                <w:color w:val="000000" w:themeColor="text1"/>
                <w:sz w:val="15"/>
                <w:szCs w:val="15"/>
                <w14:textFill>
                  <w14:solidFill>
                    <w14:schemeClr w14:val="tx1"/>
                  </w14:solidFill>
                </w14:textFill>
                <w14:ligatures w14:val="none"/>
              </w:rPr>
              <w:t>封装服务</w:t>
            </w:r>
          </w:p>
        </w:tc>
        <w:tc>
          <w:tcPr>
            <w:tcW w:w="2126" w:type="dxa"/>
            <w:tcBorders>
              <w:top w:val="single" w:color="auto" w:sz="12" w:space="0"/>
              <w:bottom w:val="single" w:color="auto" w:sz="4" w:space="0"/>
            </w:tcBorders>
          </w:tcPr>
          <w:p w14:paraId="38D1DC81">
            <w:pPr>
              <w:widowControl/>
              <w:spacing w:after="0" w:line="240" w:lineRule="auto"/>
              <w:jc w:val="center"/>
              <w:rPr>
                <w:rFonts w:hint="eastAsia" w:ascii="宋体" w:hAnsi="宋体" w:eastAsia="宋体" w:cs="Times New Roman"/>
                <w:b/>
                <w:color w:val="000000" w:themeColor="text1"/>
                <w:sz w:val="15"/>
                <w:szCs w:val="15"/>
                <w14:textFill>
                  <w14:solidFill>
                    <w14:schemeClr w14:val="tx1"/>
                  </w14:solidFill>
                </w14:textFill>
                <w14:ligatures w14:val="none"/>
              </w:rPr>
            </w:pPr>
            <w:r>
              <w:rPr>
                <w:rFonts w:hint="eastAsia" w:ascii="宋体" w:hAnsi="宋体" w:eastAsia="宋体" w:cs="Times New Roman"/>
                <w:b/>
                <w:color w:val="000000" w:themeColor="text1"/>
                <w:sz w:val="15"/>
                <w:szCs w:val="15"/>
                <w14:textFill>
                  <w14:solidFill>
                    <w14:schemeClr w14:val="tx1"/>
                  </w14:solidFill>
                </w14:textFill>
                <w14:ligatures w14:val="none"/>
              </w:rPr>
              <w:t>输入</w:t>
            </w:r>
          </w:p>
        </w:tc>
        <w:tc>
          <w:tcPr>
            <w:tcW w:w="1927" w:type="dxa"/>
            <w:tcBorders>
              <w:top w:val="single" w:color="auto" w:sz="12" w:space="0"/>
              <w:bottom w:val="single" w:color="auto" w:sz="4" w:space="0"/>
            </w:tcBorders>
          </w:tcPr>
          <w:p w14:paraId="66050426">
            <w:pPr>
              <w:widowControl/>
              <w:spacing w:after="0" w:line="240" w:lineRule="auto"/>
              <w:jc w:val="center"/>
              <w:rPr>
                <w:rFonts w:hint="eastAsia" w:ascii="宋体" w:hAnsi="宋体" w:eastAsia="宋体" w:cs="Times New Roman"/>
                <w:b/>
                <w:color w:val="000000" w:themeColor="text1"/>
                <w:sz w:val="15"/>
                <w:szCs w:val="15"/>
                <w14:textFill>
                  <w14:solidFill>
                    <w14:schemeClr w14:val="tx1"/>
                  </w14:solidFill>
                </w14:textFill>
                <w14:ligatures w14:val="none"/>
              </w:rPr>
            </w:pPr>
            <w:r>
              <w:rPr>
                <w:rFonts w:hint="eastAsia" w:ascii="宋体" w:hAnsi="宋体" w:eastAsia="宋体" w:cs="Times New Roman"/>
                <w:b/>
                <w:color w:val="000000" w:themeColor="text1"/>
                <w:sz w:val="15"/>
                <w:szCs w:val="15"/>
                <w14:textFill>
                  <w14:solidFill>
                    <w14:schemeClr w14:val="tx1"/>
                  </w14:solidFill>
                </w14:textFill>
                <w14:ligatures w14:val="none"/>
              </w:rPr>
              <w:t>输出</w:t>
            </w:r>
          </w:p>
        </w:tc>
      </w:tr>
      <w:tr w14:paraId="4E695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10" w:type="dxa"/>
            <w:tcBorders>
              <w:top w:val="single" w:color="auto" w:sz="4" w:space="0"/>
            </w:tcBorders>
          </w:tcPr>
          <w:p w14:paraId="7C0EE71C">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水文模型(HEC-HMS,SWAT等)</w:t>
            </w:r>
          </w:p>
        </w:tc>
        <w:tc>
          <w:tcPr>
            <w:tcW w:w="1843" w:type="dxa"/>
            <w:tcBorders>
              <w:top w:val="single" w:color="auto" w:sz="4" w:space="0"/>
            </w:tcBorders>
          </w:tcPr>
          <w:p w14:paraId="62C51415">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降雨-径流模拟</w:t>
            </w:r>
          </w:p>
        </w:tc>
        <w:tc>
          <w:tcPr>
            <w:tcW w:w="2126" w:type="dxa"/>
            <w:tcBorders>
              <w:top w:val="single" w:color="auto" w:sz="4" w:space="0"/>
            </w:tcBorders>
          </w:tcPr>
          <w:p w14:paraId="3DA04DA9">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预报降雨、下垫面参数</w:t>
            </w:r>
          </w:p>
        </w:tc>
        <w:tc>
          <w:tcPr>
            <w:tcW w:w="1927" w:type="dxa"/>
            <w:tcBorders>
              <w:top w:val="single" w:color="auto" w:sz="4" w:space="0"/>
            </w:tcBorders>
          </w:tcPr>
          <w:p w14:paraId="49D012AD">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流域出口断面流量过程线</w:t>
            </w:r>
          </w:p>
        </w:tc>
      </w:tr>
      <w:tr w14:paraId="313B9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10" w:type="dxa"/>
          </w:tcPr>
          <w:p w14:paraId="3B76E885">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水动力模型(MIKE21,EFDC等)</w:t>
            </w:r>
          </w:p>
        </w:tc>
        <w:tc>
          <w:tcPr>
            <w:tcW w:w="1843" w:type="dxa"/>
          </w:tcPr>
          <w:p w14:paraId="5BC315D9">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洪水演进与调度模拟</w:t>
            </w:r>
          </w:p>
        </w:tc>
        <w:tc>
          <w:tcPr>
            <w:tcW w:w="2126" w:type="dxa"/>
          </w:tcPr>
          <w:p w14:paraId="662A165F">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边界流量、地形、工程调度规则</w:t>
            </w:r>
          </w:p>
        </w:tc>
        <w:tc>
          <w:tcPr>
            <w:tcW w:w="1927" w:type="dxa"/>
          </w:tcPr>
          <w:p w14:paraId="77A933F8">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hint="eastAsia" w:ascii="宋体" w:hAnsi="宋体" w:eastAsia="宋体" w:cs="Times New Roman"/>
                <w:bCs/>
                <w:color w:val="000000" w:themeColor="text1"/>
                <w:sz w:val="15"/>
                <w:szCs w:val="15"/>
                <w14:textFill>
                  <w14:solidFill>
                    <w14:schemeClr w14:val="tx1"/>
                  </w14:solidFill>
                </w14:textFill>
                <w14:ligatures w14:val="none"/>
              </w:rPr>
              <w:t>流场、水位、淹没范围时空分布</w:t>
            </w:r>
          </w:p>
        </w:tc>
      </w:tr>
      <w:tr w14:paraId="6AD5E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10" w:type="dxa"/>
            <w:vAlign w:val="center"/>
          </w:tcPr>
          <w:p w14:paraId="56D48766">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水质模型（WASP, QUAL2K等）</w:t>
            </w:r>
          </w:p>
        </w:tc>
        <w:tc>
          <w:tcPr>
            <w:tcW w:w="1843" w:type="dxa"/>
            <w:vAlign w:val="center"/>
          </w:tcPr>
          <w:p w14:paraId="325B26ED">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水质模拟与预测服务</w:t>
            </w:r>
          </w:p>
        </w:tc>
        <w:tc>
          <w:tcPr>
            <w:tcW w:w="2126" w:type="dxa"/>
            <w:vAlign w:val="center"/>
          </w:tcPr>
          <w:p w14:paraId="6DF127E3">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污染源负荷、水文条件、水质参数</w:t>
            </w:r>
          </w:p>
        </w:tc>
        <w:tc>
          <w:tcPr>
            <w:tcW w:w="1927" w:type="dxa"/>
            <w:vAlign w:val="center"/>
          </w:tcPr>
          <w:p w14:paraId="57942ED8">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水质指标（如溶解氧、污染物浓度）时空分布、污染扩散范围</w:t>
            </w:r>
          </w:p>
        </w:tc>
      </w:tr>
      <w:tr w14:paraId="6497B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10" w:type="dxa"/>
            <w:tcBorders>
              <w:bottom w:val="single" w:color="auto" w:sz="12" w:space="0"/>
            </w:tcBorders>
            <w:vAlign w:val="center"/>
          </w:tcPr>
          <w:p w14:paraId="2AEDAC57">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水工程安全评估模型（如大坝、堤防安全评估模型）</w:t>
            </w:r>
          </w:p>
        </w:tc>
        <w:tc>
          <w:tcPr>
            <w:tcW w:w="1843" w:type="dxa"/>
            <w:tcBorders>
              <w:bottom w:val="single" w:color="auto" w:sz="12" w:space="0"/>
            </w:tcBorders>
            <w:vAlign w:val="center"/>
          </w:tcPr>
          <w:p w14:paraId="7AF94FDB">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水工程安全评估服务</w:t>
            </w:r>
          </w:p>
        </w:tc>
        <w:tc>
          <w:tcPr>
            <w:tcW w:w="2126" w:type="dxa"/>
            <w:tcBorders>
              <w:bottom w:val="single" w:color="auto" w:sz="12" w:space="0"/>
            </w:tcBorders>
            <w:vAlign w:val="center"/>
          </w:tcPr>
          <w:p w14:paraId="497984FC">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工程结构参数、荷载条件、材料属性</w:t>
            </w:r>
          </w:p>
        </w:tc>
        <w:tc>
          <w:tcPr>
            <w:tcW w:w="1927" w:type="dxa"/>
            <w:tcBorders>
              <w:bottom w:val="single" w:color="auto" w:sz="12" w:space="0"/>
            </w:tcBorders>
            <w:vAlign w:val="center"/>
          </w:tcPr>
          <w:p w14:paraId="55EF9E46">
            <w:pPr>
              <w:widowControl/>
              <w:spacing w:after="0" w:line="240" w:lineRule="auto"/>
              <w:jc w:val="center"/>
              <w:rPr>
                <w:rFonts w:hint="eastAsia" w:ascii="宋体" w:hAnsi="宋体" w:eastAsia="宋体" w:cs="Times New Roman"/>
                <w:bCs/>
                <w:color w:val="000000" w:themeColor="text1"/>
                <w:sz w:val="15"/>
                <w:szCs w:val="15"/>
                <w14:textFill>
                  <w14:solidFill>
                    <w14:schemeClr w14:val="tx1"/>
                  </w14:solidFill>
                </w14:textFill>
                <w14:ligatures w14:val="none"/>
              </w:rPr>
            </w:pPr>
            <w:r>
              <w:rPr>
                <w:rFonts w:ascii="宋体" w:hAnsi="宋体" w:eastAsia="宋体" w:cs="Times New Roman"/>
                <w:bCs/>
                <w:color w:val="000000" w:themeColor="text1"/>
                <w:sz w:val="15"/>
                <w:szCs w:val="15"/>
                <w14:textFill>
                  <w14:solidFill>
                    <w14:schemeClr w14:val="tx1"/>
                  </w14:solidFill>
                </w14:textFill>
                <w14:ligatures w14:val="none"/>
              </w:rPr>
              <w:t>应力应变分布、安全系数、风险等级评估</w:t>
            </w:r>
          </w:p>
        </w:tc>
      </w:tr>
    </w:tbl>
    <w:p w14:paraId="2C6FEFCD">
      <w:pPr>
        <w:widowControl/>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每类模型服务都给用户提供统一的RESTful API接口，输入和输出均为标准化格式，从而保证不同模型之间的互操作性</w:t>
      </w:r>
      <w:r>
        <w:rPr>
          <w:rFonts w:hint="eastAsia" w:ascii="宋体" w:hAnsi="宋体" w:eastAsia="宋体" w:cs="Times New Roman"/>
          <w:color w:val="000000" w:themeColor="text1"/>
          <w:sz w:val="21"/>
          <w:szCs w:val="21"/>
          <w:vertAlign w:val="superscript"/>
          <w14:textFill>
            <w14:solidFill>
              <w14:schemeClr w14:val="tx1"/>
            </w14:solidFill>
          </w14:textFill>
          <w14:ligatures w14:val="none"/>
        </w:rPr>
        <w:t>[43]</w:t>
      </w:r>
      <w:r>
        <w:rPr>
          <w:rFonts w:hint="eastAsia" w:ascii="宋体" w:hAnsi="宋体" w:eastAsia="宋体" w:cs="Times New Roman"/>
          <w:bCs/>
          <w:color w:val="000000" w:themeColor="text1"/>
          <w:sz w:val="21"/>
          <w:szCs w:val="21"/>
          <w14:textFill>
            <w14:solidFill>
              <w14:schemeClr w14:val="tx1"/>
            </w14:solidFill>
          </w14:textFill>
          <w14:ligatures w14:val="none"/>
        </w:rPr>
        <w:t>。</w:t>
      </w:r>
    </w:p>
    <w:p w14:paraId="5D4F4D68">
      <w:pPr>
        <w:widowControl/>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以“北台上水库遭遇超标准洪水时的下游淹没预演”为例，模型链调度流程为：（1）触发。当监测数据/预报数据≥阈值时或者专家库推荐启动“超标准洪水预演”场景。（2）链式调用。调度引擎自动拼装运行</w:t>
      </w:r>
      <w:r>
        <w:rPr>
          <w:rFonts w:hint="eastAsia" w:ascii="宋体" w:hAnsi="宋体" w:eastAsia="宋体" w:cs="Times New Roman"/>
          <w:bCs/>
          <w:color w:val="000000" w:themeColor="text1"/>
          <w:sz w:val="21"/>
          <w:szCs w:val="21"/>
          <w:shd w:val="clear" w:color="auto" w:fill="FFCF8F"/>
          <w14:textFill>
            <w14:solidFill>
              <w14:schemeClr w14:val="tx1"/>
            </w14:solidFill>
          </w14:textFill>
          <w14:ligatures w14:val="none"/>
        </w:rPr>
        <w:t>如下</w:t>
      </w:r>
      <w:r>
        <w:rPr>
          <w:rFonts w:hint="eastAsia" w:ascii="宋体" w:hAnsi="宋体" w:eastAsia="宋体" w:cs="Times New Roman"/>
          <w:bCs/>
          <w:color w:val="000000" w:themeColor="text1"/>
          <w:sz w:val="21"/>
          <w:szCs w:val="21"/>
          <w14:textFill>
            <w14:solidFill>
              <w14:schemeClr w14:val="tx1"/>
            </w14:solidFill>
          </w14:textFill>
          <w14:ligatures w14:val="none"/>
        </w:rPr>
        <w:t>模型链：山区水文模型服务，输入定量降雨预报及山区下垫面参数，模拟北部山区各小流域的产汇流过程，得到入库洪水过程线</w:t>
      </w:r>
      <m:oMath>
        <m:sSub>
          <m:sSubPr>
            <m:ctrlPr>
              <w:rPr>
                <w:rFonts w:ascii="Cambria Math" w:hAnsi="Cambria Math" w:eastAsia="宋体" w:cs="Times New Roman"/>
                <w:bCs/>
                <w:i/>
                <w:i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Q</m:t>
            </m:r>
            <m:ctrlPr>
              <w:rPr>
                <w:rFonts w:ascii="Cambria Math" w:hAnsi="Cambria Math" w:eastAsia="宋体" w:cs="Times New Roman"/>
                <w:bCs/>
                <w:i/>
                <w:i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in</m:t>
            </m:r>
            <m:ctrlPr>
              <w:rPr>
                <w:rFonts w:ascii="Cambria Math" w:hAnsi="Cambria Math" w:eastAsia="宋体" w:cs="Times New Roman"/>
                <w:bCs/>
                <w:i/>
                <w:i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r>
          <m:rPr/>
          <w:rPr>
            <w:rFonts w:ascii="Cambria Math" w:hAnsi="Cambria Math" w:eastAsia="宋体" w:cs="Times New Roman"/>
            <w:color w:val="000000" w:themeColor="text1"/>
            <w:sz w:val="21"/>
            <w:szCs w:val="21"/>
            <w14:textFill>
              <w14:solidFill>
                <w14:schemeClr w14:val="tx1"/>
              </w14:solidFill>
            </w14:textFill>
            <w14:ligatures w14:val="none"/>
          </w:rPr>
          <m:t>t</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oMath>
      <w:r>
        <w:rPr>
          <w:rFonts w:hint="eastAsia" w:ascii="宋体" w:hAnsi="宋体" w:eastAsia="宋体" w:cs="Times New Roman"/>
          <w:bCs/>
          <w:color w:val="000000" w:themeColor="text1"/>
          <w:sz w:val="21"/>
          <w:szCs w:val="21"/>
          <w14:textFill>
            <w14:solidFill>
              <w14:schemeClr w14:val="tx1"/>
            </w14:solidFill>
          </w14:textFill>
          <w14:ligatures w14:val="none"/>
        </w:rPr>
        <w:t>→水库调度模型服务，根据规则模拟水库调洪得到出库流量</w:t>
      </w:r>
      <m:oMath>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Q</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out</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r>
          <m:rPr/>
          <w:rPr>
            <w:rFonts w:ascii="Cambria Math" w:hAnsi="Cambria Math" w:eastAsia="宋体" w:cs="Times New Roman"/>
            <w:color w:val="000000" w:themeColor="text1"/>
            <w:sz w:val="21"/>
            <w:szCs w:val="21"/>
            <w14:textFill>
              <w14:solidFill>
                <w14:schemeClr w14:val="tx1"/>
              </w14:solidFill>
            </w14:textFill>
            <w14:ligatures w14:val="none"/>
          </w:rPr>
          <m:t>t</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oMath>
      <w:r>
        <w:rPr>
          <w:rFonts w:hint="eastAsia" w:ascii="宋体" w:hAnsi="宋体" w:eastAsia="宋体" w:cs="Times New Roman"/>
          <w:bCs/>
          <w:color w:val="000000" w:themeColor="text1"/>
          <w:sz w:val="21"/>
          <w:szCs w:val="21"/>
          <w14:textFill>
            <w14:solidFill>
              <w14:schemeClr w14:val="tx1"/>
            </w14:solidFill>
          </w14:textFill>
          <w14:ligatures w14:val="none"/>
        </w:rPr>
        <w:t>→平原河网水动力模型服务，采用</w:t>
      </w:r>
      <m:oMath>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Q</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m:nor/>
                <m:sty m:val="p"/>
              </m:rPr>
              <w:rPr>
                <w:rFonts w:ascii="宋体" w:hAnsi="宋体" w:eastAsia="宋体" w:cs="Times New Roman"/>
                <w:b w:val="0"/>
                <w:bCs/>
                <w:i w:val="0"/>
                <w:color w:val="000000" w:themeColor="text1"/>
                <w:sz w:val="21"/>
                <w:szCs w:val="21"/>
                <w14:textFill>
                  <w14:solidFill>
                    <w14:schemeClr w14:val="tx1"/>
                  </w14:solidFill>
                </w14:textFill>
                <w14:ligatures w14:val="none"/>
              </w:rPr>
              <m:t>out</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r>
          <m:rPr/>
          <w:rPr>
            <w:rFonts w:ascii="Cambria Math" w:hAnsi="Cambria Math" w:eastAsia="宋体" w:cs="Times New Roman"/>
            <w:color w:val="000000" w:themeColor="text1"/>
            <w:sz w:val="21"/>
            <w:szCs w:val="21"/>
            <w14:textFill>
              <w14:solidFill>
                <w14:schemeClr w14:val="tx1"/>
              </w14:solidFill>
            </w14:textFill>
            <w14:ligatures w14:val="none"/>
          </w:rPr>
          <m:t>t</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oMath>
      <w:r>
        <w:rPr>
          <w:rFonts w:hint="eastAsia" w:ascii="宋体" w:hAnsi="宋体" w:eastAsia="宋体" w:cs="Times New Roman"/>
          <w:bCs/>
          <w:color w:val="000000" w:themeColor="text1"/>
          <w:sz w:val="21"/>
          <w:szCs w:val="21"/>
          <w14:textFill>
            <w14:solidFill>
              <w14:schemeClr w14:val="tx1"/>
            </w14:solidFill>
          </w14:textFill>
          <w14:ligatures w14:val="none"/>
        </w:rPr>
        <w:t>为上游边界条件模拟洪水在下游河网及城区平原地区的演变过程，计算出淹没范围、水深、流速的时空场→灾害损失评估模型服务，依据淹没情况以及区域的GIS数据来预估经济损失和影响的人口数量。</w:t>
      </w:r>
    </w:p>
    <w:p w14:paraId="465988FD">
      <w:pPr>
        <w:widowControl/>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所有模型的输出统一汇集至时空数据底板，在三维场景中直观展示洪水如何推进、淹没</w:t>
      </w:r>
      <w:r>
        <w:rPr>
          <w:rFonts w:hint="eastAsia" w:ascii="宋体" w:hAnsi="宋体" w:eastAsia="宋体" w:cs="Times New Roman"/>
          <w:bCs/>
          <w:color w:val="000000" w:themeColor="text1"/>
          <w:sz w:val="21"/>
          <w:szCs w:val="21"/>
          <w:shd w:val="clear" w:color="auto" w:fill="FFCF8F"/>
          <w14:textFill>
            <w14:solidFill>
              <w14:schemeClr w14:val="tx1"/>
            </w14:solidFill>
          </w14:textFill>
          <w14:ligatures w14:val="none"/>
        </w:rPr>
        <w:t>区域</w:t>
      </w:r>
      <w:r>
        <w:rPr>
          <w:rFonts w:hint="eastAsia" w:ascii="宋体" w:hAnsi="宋体" w:eastAsia="宋体" w:cs="Times New Roman"/>
          <w:bCs/>
          <w:color w:val="000000" w:themeColor="text1"/>
          <w:sz w:val="21"/>
          <w:szCs w:val="21"/>
          <w14:textFill>
            <w14:solidFill>
              <w14:schemeClr w14:val="tx1"/>
            </w14:solidFill>
          </w14:textFill>
          <w14:ligatures w14:val="none"/>
        </w:rPr>
        <w:t>怎样扩展，关键设施的风险全景，为方案对比，决策会商提供依据。</w:t>
      </w:r>
    </w:p>
    <w:p w14:paraId="73E93590">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bookmarkStart w:id="20" w:name="bm_3_3_智慧应用层_多级协同的_四预_业务应用"/>
      <w:r>
        <w:rPr>
          <w:rFonts w:ascii="黑体" w:hAnsi="黑体" w:eastAsia="黑体" w:cs="Times New Roman"/>
          <w:color w:val="000000" w:themeColor="text1"/>
          <w:sz w:val="21"/>
          <w:szCs w:val="21"/>
          <w:lang w:val="en"/>
          <w14:textFill>
            <w14:solidFill>
              <w14:schemeClr w14:val="tx1"/>
            </w14:solidFill>
          </w14:textFill>
          <w14:ligatures w14:val="none"/>
        </w:rPr>
        <w:t>2.</w:t>
      </w:r>
      <w:r>
        <w:rPr>
          <w:rFonts w:hint="eastAsia" w:ascii="黑体" w:hAnsi="黑体" w:eastAsia="黑体" w:cs="Times New Roman"/>
          <w:color w:val="000000" w:themeColor="text1"/>
          <w:sz w:val="21"/>
          <w:szCs w:val="21"/>
          <w14:textFill>
            <w14:solidFill>
              <w14:schemeClr w14:val="tx1"/>
            </w14:solidFill>
          </w14:textFill>
          <w14:ligatures w14:val="none"/>
        </w:rPr>
        <w:t>3 业务应用</w:t>
      </w:r>
      <w:bookmarkEnd w:id="20"/>
      <w:r>
        <w:rPr>
          <w:rFonts w:hint="eastAsia" w:ascii="黑体" w:hAnsi="黑体" w:eastAsia="黑体" w:cs="Times New Roman"/>
          <w:color w:val="000000" w:themeColor="text1"/>
          <w:sz w:val="21"/>
          <w:szCs w:val="21"/>
          <w14:textFill>
            <w14:solidFill>
              <w14:schemeClr w14:val="tx1"/>
            </w14:solidFill>
          </w14:textFill>
          <w14:ligatures w14:val="none"/>
        </w:rPr>
        <w:t>层</w:t>
      </w:r>
    </w:p>
    <w:p w14:paraId="54B8C57B">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针对区级防灾减灾涉及多部门、多层级的协同需求，平台设计了</w:t>
      </w:r>
      <w:r>
        <w:rPr>
          <w:rFonts w:hint="eastAsia" w:ascii="宋体" w:hAnsi="宋体"/>
          <w:bCs/>
          <w:color w:val="000000" w:themeColor="text1"/>
          <w:sz w:val="21"/>
          <w:szCs w:val="21"/>
          <w14:textFill>
            <w14:solidFill>
              <w14:schemeClr w14:val="tx1"/>
            </w14:solidFill>
          </w14:textFill>
        </w:rPr>
        <w:t>角色化、流程化、协同化</w:t>
      </w:r>
      <w:r>
        <w:rPr>
          <w:rFonts w:ascii="宋体" w:hAnsi="宋体"/>
          <w:bCs/>
          <w:color w:val="000000" w:themeColor="text1"/>
          <w:sz w:val="21"/>
          <w:szCs w:val="21"/>
          <w14:textFill>
            <w14:solidFill>
              <w14:schemeClr w14:val="tx1"/>
            </w14:solidFill>
          </w14:textFill>
        </w:rPr>
        <w:t>的应用功能。</w:t>
      </w:r>
    </w:p>
    <w:p w14:paraId="4F7CD660">
      <w:pPr>
        <w:pStyle w:val="50"/>
        <w:spacing w:line="240" w:lineRule="auto"/>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（1）多级用户角色与协同规则。根据怀柔区水利设施管理要求，系统用户分为市级水务/应急部门、区级水务局以及其他行政机构。</w:t>
      </w:r>
    </w:p>
    <w:p w14:paraId="033900CA">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市级水务/应急部门处于监督与协调层，用户</w:t>
      </w:r>
      <w:r>
        <w:rPr>
          <w:rFonts w:ascii="宋体" w:hAnsi="宋体"/>
          <w:bCs/>
          <w:color w:val="000000" w:themeColor="text1"/>
          <w:sz w:val="21"/>
          <w:szCs w:val="21"/>
          <w14:textFill>
            <w14:solidFill>
              <w14:schemeClr w14:val="tx1"/>
            </w14:solidFill>
          </w14:textFill>
        </w:rPr>
        <w:t>可宏观查看各区态势，下</w:t>
      </w:r>
      <w:r>
        <w:rPr>
          <w:rFonts w:hint="eastAsia" w:ascii="宋体" w:hAnsi="宋体"/>
          <w:bCs/>
          <w:color w:val="000000" w:themeColor="text1"/>
          <w:sz w:val="21"/>
          <w:szCs w:val="21"/>
          <w14:textFill>
            <w14:solidFill>
              <w14:schemeClr w14:val="tx1"/>
            </w14:solidFill>
          </w14:textFill>
        </w:rPr>
        <w:t>发</w:t>
      </w:r>
      <w:r>
        <w:rPr>
          <w:rFonts w:ascii="宋体" w:hAnsi="宋体"/>
          <w:bCs/>
          <w:color w:val="000000" w:themeColor="text1"/>
          <w:sz w:val="21"/>
          <w:szCs w:val="21"/>
          <w14:textFill>
            <w14:solidFill>
              <w14:schemeClr w14:val="tx1"/>
            </w14:solidFill>
          </w14:textFill>
        </w:rPr>
        <w:t>联合调度指令，调用区级模型数据进行流域级模拟推演，并为区级提供更精准的预报产品</w:t>
      </w:r>
      <w:r>
        <w:rPr>
          <w:rFonts w:hint="eastAsia" w:ascii="宋体" w:hAnsi="宋体"/>
          <w:bCs/>
          <w:color w:val="000000" w:themeColor="text1"/>
          <w:sz w:val="21"/>
          <w:szCs w:val="21"/>
          <w14:textFill>
            <w14:solidFill>
              <w14:schemeClr w14:val="tx1"/>
            </w14:solidFill>
          </w14:textFill>
        </w:rPr>
        <w:t>和</w:t>
      </w:r>
      <w:r>
        <w:rPr>
          <w:rFonts w:ascii="宋体" w:hAnsi="宋体"/>
          <w:bCs/>
          <w:color w:val="000000" w:themeColor="text1"/>
          <w:sz w:val="21"/>
          <w:szCs w:val="21"/>
          <w14:textFill>
            <w14:solidFill>
              <w14:schemeClr w14:val="tx1"/>
            </w14:solidFill>
          </w14:textFill>
        </w:rPr>
        <w:t>专家支持</w:t>
      </w:r>
      <w:r>
        <w:rPr>
          <w:rFonts w:hint="eastAsia" w:ascii="宋体" w:hAnsi="宋体"/>
          <w:bCs/>
          <w:color w:val="000000" w:themeColor="text1"/>
          <w:sz w:val="21"/>
          <w:szCs w:val="21"/>
          <w14:textFill>
            <w14:solidFill>
              <w14:schemeClr w14:val="tx1"/>
            </w14:solidFill>
          </w14:textFill>
        </w:rPr>
        <w:t>；区级水务局处于核心操作与指挥层</w:t>
      </w:r>
      <w:r>
        <w:rPr>
          <w:rFonts w:ascii="宋体" w:hAnsi="宋体"/>
          <w:bCs/>
          <w:color w:val="000000" w:themeColor="text1"/>
          <w:sz w:val="21"/>
          <w:szCs w:val="21"/>
          <w14:textFill>
            <w14:solidFill>
              <w14:schemeClr w14:val="tx1"/>
            </w14:solidFill>
          </w14:textFill>
        </w:rPr>
        <w:t>，拥有全功能权限</w:t>
      </w:r>
      <w:r>
        <w:rPr>
          <w:rFonts w:hint="eastAsia" w:ascii="宋体" w:hAnsi="宋体"/>
          <w:bCs/>
          <w:color w:val="000000" w:themeColor="text1"/>
          <w:sz w:val="21"/>
          <w:szCs w:val="21"/>
          <w14:textFill>
            <w14:solidFill>
              <w14:schemeClr w14:val="tx1"/>
            </w14:solidFill>
          </w14:textFill>
        </w:rPr>
        <w:t>，主要</w:t>
      </w:r>
      <w:r>
        <w:rPr>
          <w:rFonts w:ascii="宋体" w:hAnsi="宋体"/>
          <w:bCs/>
          <w:color w:val="000000" w:themeColor="text1"/>
          <w:sz w:val="21"/>
          <w:szCs w:val="21"/>
          <w14:textFill>
            <w14:solidFill>
              <w14:schemeClr w14:val="tx1"/>
            </w14:solidFill>
          </w14:textFill>
        </w:rPr>
        <w:t>负责日常</w:t>
      </w:r>
      <w:r>
        <w:rPr>
          <w:rFonts w:hint="eastAsia" w:ascii="宋体" w:hAnsi="宋体"/>
          <w:bCs/>
          <w:color w:val="000000" w:themeColor="text1"/>
          <w:sz w:val="21"/>
          <w:szCs w:val="21"/>
          <w14:textFill>
            <w14:solidFill>
              <w14:schemeClr w14:val="tx1"/>
            </w14:solidFill>
          </w14:textFill>
        </w:rPr>
        <w:t>的</w:t>
      </w:r>
      <w:r>
        <w:rPr>
          <w:rFonts w:ascii="宋体" w:hAnsi="宋体"/>
          <w:bCs/>
          <w:color w:val="000000" w:themeColor="text1"/>
          <w:sz w:val="21"/>
          <w:szCs w:val="21"/>
          <w14:textFill>
            <w14:solidFill>
              <w14:schemeClr w14:val="tx1"/>
            </w14:solidFill>
          </w14:textFill>
        </w:rPr>
        <w:t>监测、预报预警发布、组织预演、制定</w:t>
      </w:r>
      <w:r>
        <w:rPr>
          <w:rFonts w:hint="eastAsia" w:ascii="宋体" w:hAnsi="宋体"/>
          <w:bCs/>
          <w:color w:val="000000" w:themeColor="text1"/>
          <w:sz w:val="21"/>
          <w:szCs w:val="21"/>
          <w14:textFill>
            <w14:solidFill>
              <w14:schemeClr w14:val="tx1"/>
            </w14:solidFill>
          </w14:textFill>
        </w:rPr>
        <w:t>和</w:t>
      </w:r>
      <w:r>
        <w:rPr>
          <w:rFonts w:ascii="宋体" w:hAnsi="宋体"/>
          <w:bCs/>
          <w:color w:val="000000" w:themeColor="text1"/>
          <w:sz w:val="21"/>
          <w:szCs w:val="21"/>
          <w14:textFill>
            <w14:solidFill>
              <w14:schemeClr w14:val="tx1"/>
            </w14:solidFill>
          </w14:textFill>
        </w:rPr>
        <w:t>执行本级预案，同时接收市级指令并反馈现场情况</w:t>
      </w:r>
      <w:r>
        <w:rPr>
          <w:rFonts w:hint="eastAsia" w:ascii="宋体" w:hAnsi="宋体"/>
          <w:bCs/>
          <w:color w:val="000000" w:themeColor="text1"/>
          <w:sz w:val="21"/>
          <w:szCs w:val="21"/>
          <w14:textFill>
            <w14:solidFill>
              <w14:schemeClr w14:val="tx1"/>
            </w14:solidFill>
          </w14:textFill>
        </w:rPr>
        <w:t>；其他行政机构（村镇、街道等）是系统的执行与反馈层，在预警信息和调度指令下达时，</w:t>
      </w:r>
      <w:r>
        <w:rPr>
          <w:rFonts w:ascii="宋体" w:hAnsi="宋体"/>
          <w:bCs/>
          <w:color w:val="000000" w:themeColor="text1"/>
          <w:sz w:val="21"/>
          <w:szCs w:val="21"/>
          <w14:textFill>
            <w14:solidFill>
              <w14:schemeClr w14:val="tx1"/>
            </w14:solidFill>
          </w14:textFill>
        </w:rPr>
        <w:t>通过终端接收预警信息与调度指令，</w:t>
      </w:r>
      <w:r>
        <w:rPr>
          <w:rFonts w:hint="eastAsia" w:ascii="宋体" w:hAnsi="宋体"/>
          <w:bCs/>
          <w:color w:val="000000" w:themeColor="text1"/>
          <w:sz w:val="21"/>
          <w:szCs w:val="21"/>
          <w14:textFill>
            <w14:solidFill>
              <w14:schemeClr w14:val="tx1"/>
            </w14:solidFill>
          </w14:textFill>
        </w:rPr>
        <w:t>并</w:t>
      </w:r>
      <w:r>
        <w:rPr>
          <w:rFonts w:ascii="宋体" w:hAnsi="宋体"/>
          <w:bCs/>
          <w:color w:val="000000" w:themeColor="text1"/>
          <w:sz w:val="21"/>
          <w:szCs w:val="21"/>
          <w14:textFill>
            <w14:solidFill>
              <w14:schemeClr w14:val="tx1"/>
            </w14:solidFill>
          </w14:textFill>
        </w:rPr>
        <w:t>上报辖区灾情与处置</w:t>
      </w:r>
      <w:r>
        <w:rPr>
          <w:rFonts w:hint="eastAsia" w:ascii="宋体" w:hAnsi="宋体"/>
          <w:bCs/>
          <w:color w:val="000000" w:themeColor="text1"/>
          <w:sz w:val="21"/>
          <w:szCs w:val="21"/>
          <w14:textFill>
            <w14:solidFill>
              <w14:schemeClr w14:val="tx1"/>
            </w14:solidFill>
          </w14:textFill>
        </w:rPr>
        <w:t>进度</w:t>
      </w:r>
      <w:r>
        <w:rPr>
          <w:rFonts w:ascii="宋体" w:hAnsi="宋体"/>
          <w:bCs/>
          <w:color w:val="000000" w:themeColor="text1"/>
          <w:sz w:val="21"/>
          <w:szCs w:val="21"/>
          <w14:textFill>
            <w14:solidFill>
              <w14:schemeClr w14:val="tx1"/>
            </w14:solidFill>
          </w14:textFill>
        </w:rPr>
        <w:t>，实现跨部门信息互通与行动协同。</w:t>
      </w:r>
    </w:p>
    <w:p w14:paraId="3CDFE5AD">
      <w:pPr>
        <w:pStyle w:val="50"/>
        <w:spacing w:line="240" w:lineRule="auto"/>
        <w:ind w:left="420" w:firstLine="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（2）平台针对性功能设计。针对“</w:t>
      </w:r>
      <w:bookmarkStart w:id="21" w:name="OLE_LINK30"/>
      <w:r>
        <w:rPr>
          <w:rFonts w:hint="eastAsia" w:ascii="宋体" w:hAnsi="宋体"/>
          <w:bCs/>
          <w:color w:val="000000" w:themeColor="text1"/>
          <w:sz w:val="21"/>
          <w:szCs w:val="21"/>
          <w14:textFill>
            <w14:solidFill>
              <w14:schemeClr w14:val="tx1"/>
            </w14:solidFill>
          </w14:textFill>
        </w:rPr>
        <w:t>跨层级联合调度会商</w:t>
      </w:r>
      <w:bookmarkEnd w:id="21"/>
      <w:r>
        <w:rPr>
          <w:rFonts w:hint="eastAsia" w:ascii="宋体" w:hAnsi="宋体"/>
          <w:bCs/>
          <w:color w:val="000000" w:themeColor="text1"/>
          <w:sz w:val="21"/>
          <w:szCs w:val="21"/>
          <w14:textFill>
            <w14:solidFill>
              <w14:schemeClr w14:val="tx1"/>
            </w14:solidFill>
          </w14:textFill>
        </w:rPr>
        <w:t>”</w:t>
      </w:r>
      <w:r>
        <w:rPr>
          <w:rFonts w:ascii="宋体" w:hAnsi="宋体"/>
          <w:bCs/>
          <w:color w:val="000000" w:themeColor="text1"/>
          <w:sz w:val="21"/>
          <w:szCs w:val="21"/>
          <w14:textFill>
            <w14:solidFill>
              <w14:schemeClr w14:val="tx1"/>
            </w14:solidFill>
          </w14:textFill>
        </w:rPr>
        <w:t>模块，</w:t>
      </w:r>
      <w:r>
        <w:rPr>
          <w:rFonts w:hint="eastAsia" w:ascii="宋体" w:hAnsi="宋体"/>
          <w:bCs/>
          <w:color w:val="000000" w:themeColor="text1"/>
          <w:sz w:val="21"/>
          <w:szCs w:val="21"/>
          <w14:textFill>
            <w14:solidFill>
              <w14:schemeClr w14:val="tx1"/>
            </w14:solidFill>
          </w14:textFill>
        </w:rPr>
        <w:t>设计</w:t>
      </w:r>
      <w:r>
        <w:rPr>
          <w:rFonts w:ascii="宋体" w:hAnsi="宋体"/>
          <w:bCs/>
          <w:color w:val="000000" w:themeColor="text1"/>
          <w:sz w:val="21"/>
          <w:szCs w:val="21"/>
          <w14:textFill>
            <w14:solidFill>
              <w14:schemeClr w14:val="tx1"/>
            </w14:solidFill>
          </w14:textFill>
        </w:rPr>
        <w:t>流程如下</w:t>
      </w:r>
      <w:r>
        <w:rPr>
          <w:rFonts w:hint="eastAsia" w:ascii="宋体" w:hAnsi="宋体"/>
          <w:bCs/>
          <w:color w:val="000000" w:themeColor="text1"/>
          <w:sz w:val="21"/>
          <w:szCs w:val="21"/>
          <w14:textFill>
            <w14:solidFill>
              <w14:schemeClr w14:val="tx1"/>
            </w14:solidFill>
          </w14:textFill>
        </w:rPr>
        <w:t>。</w:t>
      </w:r>
    </w:p>
    <w:p w14:paraId="747B02B3">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情景触发</w:t>
      </w:r>
      <w:r>
        <w:rPr>
          <w:rFonts w:ascii="宋体" w:hAnsi="宋体"/>
          <w:bCs/>
          <w:color w:val="000000" w:themeColor="text1"/>
          <w:sz w:val="21"/>
          <w:szCs w:val="21"/>
          <w14:textFill>
            <w14:solidFill>
              <w14:schemeClr w14:val="tx1"/>
            </w14:solidFill>
          </w14:textFill>
        </w:rPr>
        <w:t>：当预报</w:t>
      </w:r>
      <w:r>
        <w:rPr>
          <w:rFonts w:hint="eastAsia" w:ascii="宋体" w:hAnsi="宋体"/>
          <w:bCs/>
          <w:color w:val="000000" w:themeColor="text1"/>
          <w:sz w:val="21"/>
          <w:szCs w:val="21"/>
          <w14:textFill>
            <w14:solidFill>
              <w14:schemeClr w14:val="tx1"/>
            </w14:solidFill>
          </w14:textFill>
        </w:rPr>
        <w:t>/实测</w:t>
      </w:r>
      <w:r>
        <w:rPr>
          <w:rFonts w:ascii="宋体" w:hAnsi="宋体"/>
          <w:bCs/>
          <w:color w:val="000000" w:themeColor="text1"/>
          <w:sz w:val="21"/>
          <w:szCs w:val="21"/>
          <w14:textFill>
            <w14:solidFill>
              <w14:schemeClr w14:val="tx1"/>
            </w14:solidFill>
          </w14:textFill>
        </w:rPr>
        <w:t>雨情达到设定阈值</w:t>
      </w:r>
      <w:r>
        <w:rPr>
          <w:rFonts w:hint="eastAsia" w:ascii="宋体" w:hAnsi="宋体"/>
          <w:bCs/>
          <w:color w:val="000000" w:themeColor="text1"/>
          <w:sz w:val="21"/>
          <w:szCs w:val="21"/>
          <w14:textFill>
            <w14:solidFill>
              <w14:schemeClr w14:val="tx1"/>
            </w14:solidFill>
          </w14:textFill>
        </w:rPr>
        <w:t>触发预警</w:t>
      </w:r>
      <w:r>
        <w:rPr>
          <w:rFonts w:ascii="宋体" w:hAnsi="宋体"/>
          <w:bCs/>
          <w:color w:val="000000" w:themeColor="text1"/>
          <w:sz w:val="21"/>
          <w:szCs w:val="21"/>
          <w14:textFill>
            <w14:solidFill>
              <w14:schemeClr w14:val="tx1"/>
            </w14:solidFill>
          </w14:textFill>
        </w:rPr>
        <w:t>，</w:t>
      </w:r>
      <w:r>
        <w:rPr>
          <w:rFonts w:hint="eastAsia" w:ascii="宋体" w:hAnsi="宋体"/>
          <w:bCs/>
          <w:color w:val="000000" w:themeColor="text1"/>
          <w:sz w:val="21"/>
          <w:szCs w:val="21"/>
          <w14:textFill>
            <w14:solidFill>
              <w14:schemeClr w14:val="tx1"/>
            </w14:solidFill>
          </w14:textFill>
        </w:rPr>
        <w:t>系统自动产生预警消息及会商启动意见。</w:t>
      </w:r>
    </w:p>
    <w:p w14:paraId="2E23909A">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方案预演</w:t>
      </w:r>
      <w:r>
        <w:rPr>
          <w:rFonts w:ascii="宋体" w:hAnsi="宋体"/>
          <w:bCs/>
          <w:color w:val="000000" w:themeColor="text1"/>
          <w:sz w:val="21"/>
          <w:szCs w:val="21"/>
          <w14:textFill>
            <w14:solidFill>
              <w14:schemeClr w14:val="tx1"/>
            </w14:solidFill>
          </w14:textFill>
        </w:rPr>
        <w:t>：区级平台基于最新数据，快速模拟</w:t>
      </w:r>
      <w:r>
        <w:rPr>
          <w:rFonts w:hint="eastAsia" w:ascii="宋体" w:hAnsi="宋体"/>
          <w:bCs/>
          <w:color w:val="000000" w:themeColor="text1"/>
          <w:sz w:val="21"/>
          <w:szCs w:val="21"/>
          <w14:textFill>
            <w14:solidFill>
              <w14:schemeClr w14:val="tx1"/>
            </w14:solidFill>
          </w14:textFill>
        </w:rPr>
        <w:t>多种</w:t>
      </w:r>
      <w:r>
        <w:rPr>
          <w:rFonts w:ascii="宋体" w:hAnsi="宋体"/>
          <w:bCs/>
          <w:color w:val="000000" w:themeColor="text1"/>
          <w:sz w:val="21"/>
          <w:szCs w:val="21"/>
          <w14:textFill>
            <w14:solidFill>
              <w14:schemeClr w14:val="tx1"/>
            </w14:solidFill>
          </w14:textFill>
        </w:rPr>
        <w:t>调度方案（如水库预泄、闸门联调），并将方案效果（如下游水位、淹没范围）</w:t>
      </w:r>
      <w:r>
        <w:rPr>
          <w:rFonts w:hint="eastAsia" w:ascii="宋体" w:hAnsi="宋体"/>
          <w:bCs/>
          <w:color w:val="000000" w:themeColor="text1"/>
          <w:sz w:val="21"/>
          <w:szCs w:val="21"/>
          <w14:textFill>
            <w14:solidFill>
              <w14:schemeClr w14:val="tx1"/>
            </w14:solidFill>
          </w14:textFill>
        </w:rPr>
        <w:t>进行</w:t>
      </w:r>
      <w:r>
        <w:rPr>
          <w:rFonts w:ascii="宋体" w:hAnsi="宋体"/>
          <w:bCs/>
          <w:color w:val="000000" w:themeColor="text1"/>
          <w:sz w:val="21"/>
          <w:szCs w:val="21"/>
          <w14:textFill>
            <w14:solidFill>
              <w14:schemeClr w14:val="tx1"/>
            </w14:solidFill>
          </w14:textFill>
        </w:rPr>
        <w:t>可视化对比</w:t>
      </w:r>
      <w:r>
        <w:rPr>
          <w:rFonts w:hint="eastAsia" w:ascii="宋体" w:hAnsi="宋体"/>
          <w:bCs/>
          <w:color w:val="000000" w:themeColor="text1"/>
          <w:sz w:val="21"/>
          <w:szCs w:val="21"/>
          <w14:textFill>
            <w14:solidFill>
              <w14:schemeClr w14:val="tx1"/>
            </w14:solidFill>
          </w14:textFill>
        </w:rPr>
        <w:t>。</w:t>
      </w:r>
    </w:p>
    <w:p w14:paraId="256F3C4A">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云端会商</w:t>
      </w:r>
      <w:r>
        <w:rPr>
          <w:rFonts w:ascii="宋体" w:hAnsi="宋体"/>
          <w:bCs/>
          <w:color w:val="000000" w:themeColor="text1"/>
          <w:sz w:val="21"/>
          <w:szCs w:val="21"/>
          <w14:textFill>
            <w14:solidFill>
              <w14:schemeClr w14:val="tx1"/>
            </w14:solidFill>
          </w14:textFill>
        </w:rPr>
        <w:t>：区、市及相关单位通过视频</w:t>
      </w:r>
      <w:r>
        <w:rPr>
          <w:rFonts w:hint="eastAsia" w:ascii="宋体" w:hAnsi="宋体"/>
          <w:bCs/>
          <w:color w:val="000000" w:themeColor="text1"/>
          <w:sz w:val="21"/>
          <w:szCs w:val="21"/>
          <w14:textFill>
            <w14:solidFill>
              <w14:schemeClr w14:val="tx1"/>
            </w14:solidFill>
          </w14:textFill>
        </w:rPr>
        <w:t>会议</w:t>
      </w:r>
      <w:r>
        <w:rPr>
          <w:rFonts w:ascii="宋体" w:hAnsi="宋体"/>
          <w:bCs/>
          <w:color w:val="000000" w:themeColor="text1"/>
          <w:sz w:val="21"/>
          <w:szCs w:val="21"/>
          <w14:textFill>
            <w14:solidFill>
              <w14:schemeClr w14:val="tx1"/>
            </w14:solidFill>
          </w14:textFill>
        </w:rPr>
        <w:t>，在</w:t>
      </w:r>
      <w:r>
        <w:rPr>
          <w:rFonts w:hint="eastAsia" w:ascii="宋体" w:hAnsi="宋体"/>
          <w:bCs/>
          <w:color w:val="000000" w:themeColor="text1"/>
          <w:sz w:val="21"/>
          <w:szCs w:val="21"/>
          <w14:textFill>
            <w14:solidFill>
              <w14:schemeClr w14:val="tx1"/>
            </w14:solidFill>
          </w14:textFill>
        </w:rPr>
        <w:t>同一张孪生底图</w:t>
      </w:r>
      <w:r>
        <w:rPr>
          <w:rFonts w:ascii="宋体" w:hAnsi="宋体"/>
          <w:bCs/>
          <w:color w:val="000000" w:themeColor="text1"/>
          <w:sz w:val="21"/>
          <w:szCs w:val="21"/>
          <w14:textFill>
            <w14:solidFill>
              <w14:schemeClr w14:val="tx1"/>
            </w14:solidFill>
          </w14:textFill>
        </w:rPr>
        <w:t>上讨论方案。市级专家可远程标注、调取模型进行验证</w:t>
      </w:r>
      <w:r>
        <w:rPr>
          <w:rFonts w:hint="eastAsia" w:ascii="宋体" w:hAnsi="宋体"/>
          <w:bCs/>
          <w:color w:val="000000" w:themeColor="text1"/>
          <w:sz w:val="21"/>
          <w:szCs w:val="21"/>
          <w14:textFill>
            <w14:solidFill>
              <w14:schemeClr w14:val="tx1"/>
            </w14:solidFill>
          </w14:textFill>
        </w:rPr>
        <w:t>。</w:t>
      </w:r>
    </w:p>
    <w:p w14:paraId="37689C47">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指令生成与下发</w:t>
      </w:r>
      <w:r>
        <w:rPr>
          <w:rFonts w:ascii="宋体" w:hAnsi="宋体"/>
          <w:bCs/>
          <w:color w:val="000000" w:themeColor="text1"/>
          <w:sz w:val="21"/>
          <w:szCs w:val="21"/>
          <w14:textFill>
            <w14:solidFill>
              <w14:schemeClr w14:val="tx1"/>
            </w14:solidFill>
          </w14:textFill>
        </w:rPr>
        <w:t>：会商</w:t>
      </w:r>
      <w:r>
        <w:rPr>
          <w:rFonts w:hint="eastAsia" w:ascii="宋体" w:hAnsi="宋体"/>
          <w:bCs/>
          <w:color w:val="000000" w:themeColor="text1"/>
          <w:sz w:val="21"/>
          <w:szCs w:val="21"/>
          <w14:textFill>
            <w14:solidFill>
              <w14:schemeClr w14:val="tx1"/>
            </w14:solidFill>
          </w14:textFill>
        </w:rPr>
        <w:t>确定</w:t>
      </w:r>
      <w:r>
        <w:rPr>
          <w:rFonts w:ascii="宋体" w:hAnsi="宋体"/>
          <w:bCs/>
          <w:color w:val="000000" w:themeColor="text1"/>
          <w:sz w:val="21"/>
          <w:szCs w:val="21"/>
          <w14:textFill>
            <w14:solidFill>
              <w14:schemeClr w14:val="tx1"/>
            </w14:solidFill>
          </w14:textFill>
        </w:rPr>
        <w:t>最终方案后，平台</w:t>
      </w:r>
      <w:r>
        <w:rPr>
          <w:rFonts w:hint="eastAsia" w:ascii="宋体" w:hAnsi="宋体"/>
          <w:bCs/>
          <w:color w:val="000000" w:themeColor="text1"/>
          <w:sz w:val="21"/>
          <w:szCs w:val="21"/>
          <w14:textFill>
            <w14:solidFill>
              <w14:schemeClr w14:val="tx1"/>
            </w14:solidFill>
          </w14:textFill>
        </w:rPr>
        <w:t>会</w:t>
      </w:r>
      <w:r>
        <w:rPr>
          <w:rFonts w:ascii="宋体" w:hAnsi="宋体"/>
          <w:bCs/>
          <w:color w:val="000000" w:themeColor="text1"/>
          <w:sz w:val="21"/>
          <w:szCs w:val="21"/>
          <w14:textFill>
            <w14:solidFill>
              <w14:schemeClr w14:val="tx1"/>
            </w14:solidFill>
          </w14:textFill>
        </w:rPr>
        <w:t>自动生成结构化</w:t>
      </w:r>
      <w:r>
        <w:rPr>
          <w:rFonts w:hint="eastAsia" w:ascii="宋体" w:hAnsi="宋体"/>
          <w:bCs/>
          <w:color w:val="000000" w:themeColor="text1"/>
          <w:sz w:val="21"/>
          <w:szCs w:val="21"/>
          <w14:textFill>
            <w14:solidFill>
              <w14:schemeClr w14:val="tx1"/>
            </w14:solidFill>
          </w14:textFill>
        </w:rPr>
        <w:t>的</w:t>
      </w:r>
      <w:r>
        <w:rPr>
          <w:rFonts w:ascii="宋体" w:hAnsi="宋体"/>
          <w:bCs/>
          <w:color w:val="000000" w:themeColor="text1"/>
          <w:sz w:val="21"/>
          <w:szCs w:val="21"/>
          <w14:textFill>
            <w14:solidFill>
              <w14:schemeClr w14:val="tx1"/>
            </w14:solidFill>
          </w14:textFill>
        </w:rPr>
        <w:t>调度指令，经审批后一键下发至相关区级单位</w:t>
      </w:r>
      <w:r>
        <w:rPr>
          <w:rFonts w:hint="eastAsia" w:ascii="宋体" w:hAnsi="宋体"/>
          <w:bCs/>
          <w:color w:val="000000" w:themeColor="text1"/>
          <w:sz w:val="21"/>
          <w:szCs w:val="21"/>
          <w14:textFill>
            <w14:solidFill>
              <w14:schemeClr w14:val="tx1"/>
            </w14:solidFill>
          </w14:textFill>
        </w:rPr>
        <w:t>以</w:t>
      </w:r>
      <w:r>
        <w:rPr>
          <w:rFonts w:ascii="宋体" w:hAnsi="宋体"/>
          <w:bCs/>
          <w:color w:val="000000" w:themeColor="text1"/>
          <w:sz w:val="21"/>
          <w:szCs w:val="21"/>
          <w14:textFill>
            <w14:solidFill>
              <w14:schemeClr w14:val="tx1"/>
            </w14:solidFill>
          </w14:textFill>
        </w:rPr>
        <w:t>及工程现场自动控制系统</w:t>
      </w:r>
      <w:r>
        <w:rPr>
          <w:rFonts w:hint="eastAsia" w:ascii="宋体" w:hAnsi="宋体"/>
          <w:bCs/>
          <w:color w:val="000000" w:themeColor="text1"/>
          <w:sz w:val="21"/>
          <w:szCs w:val="21"/>
          <w14:textFill>
            <w14:solidFill>
              <w14:schemeClr w14:val="tx1"/>
            </w14:solidFill>
          </w14:textFill>
        </w:rPr>
        <w:t>。</w:t>
      </w:r>
    </w:p>
    <w:p w14:paraId="43402EE1">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执行跟踪与反馈</w:t>
      </w:r>
      <w:r>
        <w:rPr>
          <w:rFonts w:ascii="宋体" w:hAnsi="宋体"/>
          <w:bCs/>
          <w:color w:val="000000" w:themeColor="text1"/>
          <w:sz w:val="21"/>
          <w:szCs w:val="21"/>
          <w14:textFill>
            <w14:solidFill>
              <w14:schemeClr w14:val="tx1"/>
            </w14:solidFill>
          </w14:textFill>
        </w:rPr>
        <w:t>：指令执行</w:t>
      </w:r>
      <w:r>
        <w:rPr>
          <w:rFonts w:hint="eastAsia" w:ascii="宋体" w:hAnsi="宋体"/>
          <w:bCs/>
          <w:color w:val="000000" w:themeColor="text1"/>
          <w:sz w:val="21"/>
          <w:szCs w:val="21"/>
          <w14:textFill>
            <w14:solidFill>
              <w14:schemeClr w14:val="tx1"/>
            </w14:solidFill>
          </w14:textFill>
        </w:rPr>
        <w:t>情况</w:t>
      </w:r>
      <w:r>
        <w:rPr>
          <w:rFonts w:ascii="宋体" w:hAnsi="宋体"/>
          <w:bCs/>
          <w:color w:val="000000" w:themeColor="text1"/>
          <w:sz w:val="21"/>
          <w:szCs w:val="21"/>
          <w14:textFill>
            <w14:solidFill>
              <w14:schemeClr w14:val="tx1"/>
            </w14:solidFill>
          </w14:textFill>
        </w:rPr>
        <w:t>、现场视频、监测数据实时回传，形成“指令-执行-反馈”闭环。</w:t>
      </w:r>
    </w:p>
    <w:p w14:paraId="10533479">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具体逻辑关系如图5所示。</w:t>
      </w:r>
    </w:p>
    <w:p w14:paraId="6310CB6A">
      <w:pPr>
        <w:pStyle w:val="50"/>
        <w:spacing w:line="240" w:lineRule="auto"/>
        <w:ind w:firstLine="0"/>
        <w:jc w:val="center"/>
        <w:rPr>
          <w:rFonts w:hint="eastAsia" w:ascii="宋体" w:hAnsi="宋体"/>
          <w:bCs/>
          <w:color w:val="000000" w:themeColor="text1"/>
          <w:sz w:val="21"/>
          <w:szCs w:val="21"/>
          <w14:textFill>
            <w14:solidFill>
              <w14:schemeClr w14:val="tx1"/>
            </w14:solidFill>
          </w14:textFill>
        </w:rPr>
      </w:pPr>
    </w:p>
    <w:p w14:paraId="165889F6">
      <w:pPr>
        <w:pStyle w:val="50"/>
        <w:spacing w:line="240" w:lineRule="auto"/>
        <w:ind w:firstLine="0"/>
        <w:jc w:val="center"/>
        <w:rPr>
          <w:rFonts w:hint="eastAsia" w:ascii="宋体" w:hAnsi="宋体"/>
          <w:bCs/>
          <w:color w:val="000000" w:themeColor="text1"/>
          <w:sz w:val="21"/>
          <w:szCs w:val="21"/>
          <w14:textFill>
            <w14:solidFill>
              <w14:schemeClr w14:val="tx1"/>
            </w14:solidFill>
          </w14:textFill>
        </w:rPr>
      </w:pPr>
      <w:r>
        <w:drawing>
          <wp:inline distT="0" distB="0" distL="0" distR="0">
            <wp:extent cx="5274310" cy="5033645"/>
            <wp:effectExtent l="0" t="0" r="2540" b="0"/>
            <wp:docPr id="12971497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149764" name="图片 1"/>
                    <pic:cNvPicPr>
                      <a:picLocks noChangeAspect="1"/>
                    </pic:cNvPicPr>
                  </pic:nvPicPr>
                  <pic:blipFill>
                    <a:blip r:embed="rId12"/>
                    <a:stretch>
                      <a:fillRect/>
                    </a:stretch>
                  </pic:blipFill>
                  <pic:spPr>
                    <a:xfrm>
                      <a:off x="0" y="0"/>
                      <a:ext cx="5274310" cy="5033645"/>
                    </a:xfrm>
                    <a:prstGeom prst="rect">
                      <a:avLst/>
                    </a:prstGeom>
                  </pic:spPr>
                </pic:pic>
              </a:graphicData>
            </a:graphic>
          </wp:inline>
        </w:drawing>
      </w:r>
    </w:p>
    <w:p w14:paraId="5DB15DC9">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hint="eastAsia" w:ascii="黑体" w:hAnsi="黑体" w:eastAsia="黑体"/>
          <w:b/>
          <w:color w:val="000000" w:themeColor="text1"/>
          <w:sz w:val="18"/>
          <w:szCs w:val="18"/>
          <w14:textFill>
            <w14:solidFill>
              <w14:schemeClr w14:val="tx1"/>
            </w14:solidFill>
          </w14:textFill>
        </w:rPr>
        <w:t>图5 跨层级联合调度会商业务流程</w:t>
      </w:r>
    </w:p>
    <w:p w14:paraId="7867C36E">
      <w:pPr>
        <w:pStyle w:val="46"/>
        <w:rPr>
          <w:rFonts w:hint="eastAsia" w:ascii="宋体" w:hAnsi="宋体"/>
          <w:b/>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Fig.5  Business process of cross-level joint scheduling and consultation</w:t>
      </w:r>
    </w:p>
    <w:p w14:paraId="3FC143E1">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感知网络体系、统一数据底板、模型库、多级协同应用共同构成了数字孪生全链条数据传导路径，每一模块都精准对应了“四预”业务需求，具体对应关系如表3所列。</w:t>
      </w:r>
    </w:p>
    <w:p w14:paraId="7455DE62">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14:textFill>
            <w14:solidFill>
              <w14:schemeClr w14:val="tx1"/>
            </w14:solidFill>
          </w14:textFill>
        </w:rPr>
        <w:t>3</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各模块与“四预”业务目标映射</w:t>
      </w:r>
    </w:p>
    <w:p w14:paraId="1D415907">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Table 3  Mapping between modules and </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four-pre</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 xml:space="preserve"> business objectives</w:t>
      </w:r>
    </w:p>
    <w:tbl>
      <w:tblPr>
        <w:tblStyle w:val="20"/>
        <w:tblW w:w="5000" w:type="pct"/>
        <w:tblInd w:w="0" w:type="dxa"/>
        <w:tblBorders>
          <w:top w:val="single" w:color="auto" w:sz="12"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59"/>
        <w:gridCol w:w="2039"/>
        <w:gridCol w:w="2184"/>
        <w:gridCol w:w="3140"/>
      </w:tblGrid>
      <w:tr w14:paraId="20DB6C37">
        <w:tblPrEx>
          <w:tblBorders>
            <w:top w:val="single" w:color="auto"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0" w:type="dxa"/>
            <w:tcBorders>
              <w:top w:val="single" w:color="auto" w:sz="12" w:space="0"/>
              <w:bottom w:val="single" w:color="auto" w:sz="4" w:space="0"/>
            </w:tcBorders>
            <w:shd w:val="clear" w:color="000000" w:fill="FFFFFF"/>
            <w:vAlign w:val="center"/>
          </w:tcPr>
          <w:p w14:paraId="6F012C18">
            <w:pPr>
              <w:widowControl/>
              <w:spacing w:after="0" w:line="240" w:lineRule="auto"/>
              <w:jc w:val="center"/>
              <w:rPr>
                <w:rFonts w:hint="eastAsia" w:ascii="宋体" w:hAnsi="宋体" w:eastAsia="宋体" w:cs="Segoe UI"/>
                <w:b/>
                <w:bCs/>
                <w:color w:val="000000" w:themeColor="text1"/>
                <w:kern w:val="0"/>
                <w:sz w:val="15"/>
                <w:szCs w:val="15"/>
                <w14:textFill>
                  <w14:solidFill>
                    <w14:schemeClr w14:val="tx1"/>
                  </w14:solidFill>
                </w14:textFill>
                <w14:ligatures w14:val="none"/>
              </w:rPr>
            </w:pPr>
            <w:r>
              <w:rPr>
                <w:rFonts w:ascii="宋体" w:hAnsi="宋体" w:eastAsia="宋体" w:cs="Segoe UI"/>
                <w:b/>
                <w:bCs/>
                <w:color w:val="000000" w:themeColor="text1"/>
                <w:kern w:val="0"/>
                <w:sz w:val="15"/>
                <w:szCs w:val="15"/>
                <w14:textFill>
                  <w14:solidFill>
                    <w14:schemeClr w14:val="tx1"/>
                  </w14:solidFill>
                </w14:textFill>
                <w14:ligatures w14:val="none"/>
              </w:rPr>
              <w:t>模块</w:t>
            </w:r>
          </w:p>
        </w:tc>
        <w:tc>
          <w:tcPr>
            <w:tcW w:w="1987" w:type="dxa"/>
            <w:tcBorders>
              <w:top w:val="single" w:color="auto" w:sz="12" w:space="0"/>
              <w:bottom w:val="single" w:color="auto" w:sz="4" w:space="0"/>
            </w:tcBorders>
            <w:shd w:val="clear" w:color="000000" w:fill="FFFFFF"/>
            <w:vAlign w:val="center"/>
          </w:tcPr>
          <w:p w14:paraId="1B058AA9">
            <w:pPr>
              <w:widowControl/>
              <w:spacing w:after="0" w:line="240" w:lineRule="auto"/>
              <w:jc w:val="center"/>
              <w:rPr>
                <w:rFonts w:hint="eastAsia" w:ascii="宋体" w:hAnsi="宋体" w:eastAsia="宋体" w:cs="Segoe UI"/>
                <w:b/>
                <w:bCs/>
                <w:color w:val="000000" w:themeColor="text1"/>
                <w:kern w:val="0"/>
                <w:sz w:val="15"/>
                <w:szCs w:val="15"/>
                <w14:textFill>
                  <w14:solidFill>
                    <w14:schemeClr w14:val="tx1"/>
                  </w14:solidFill>
                </w14:textFill>
                <w14:ligatures w14:val="none"/>
              </w:rPr>
            </w:pPr>
            <w:r>
              <w:rPr>
                <w:rFonts w:ascii="宋体" w:hAnsi="宋体" w:eastAsia="宋体" w:cs="Segoe UI"/>
                <w:b/>
                <w:bCs/>
                <w:color w:val="000000" w:themeColor="text1"/>
                <w:kern w:val="0"/>
                <w:sz w:val="15"/>
                <w:szCs w:val="15"/>
                <w14:textFill>
                  <w14:solidFill>
                    <w14:schemeClr w14:val="tx1"/>
                  </w14:solidFill>
                </w14:textFill>
                <w14:ligatures w14:val="none"/>
              </w:rPr>
              <w:t>核心功能</w:t>
            </w:r>
          </w:p>
        </w:tc>
        <w:tc>
          <w:tcPr>
            <w:tcW w:w="2129" w:type="dxa"/>
            <w:tcBorders>
              <w:top w:val="single" w:color="auto" w:sz="12" w:space="0"/>
              <w:bottom w:val="single" w:color="auto" w:sz="4" w:space="0"/>
            </w:tcBorders>
            <w:shd w:val="clear" w:color="000000" w:fill="FFFFFF"/>
            <w:vAlign w:val="center"/>
          </w:tcPr>
          <w:p w14:paraId="3EA52546">
            <w:pPr>
              <w:widowControl/>
              <w:spacing w:after="0" w:line="240" w:lineRule="auto"/>
              <w:jc w:val="center"/>
              <w:rPr>
                <w:rFonts w:hint="eastAsia" w:ascii="宋体" w:hAnsi="宋体" w:eastAsia="宋体" w:cs="Segoe UI"/>
                <w:b/>
                <w:bCs/>
                <w:color w:val="000000" w:themeColor="text1"/>
                <w:kern w:val="0"/>
                <w:sz w:val="15"/>
                <w:szCs w:val="15"/>
                <w14:textFill>
                  <w14:solidFill>
                    <w14:schemeClr w14:val="tx1"/>
                  </w14:solidFill>
                </w14:textFill>
                <w14:ligatures w14:val="none"/>
              </w:rPr>
            </w:pPr>
            <w:r>
              <w:rPr>
                <w:rFonts w:ascii="宋体" w:hAnsi="宋体" w:eastAsia="宋体" w:cs="Segoe UI"/>
                <w:b/>
                <w:bCs/>
                <w:color w:val="000000" w:themeColor="text1"/>
                <w:kern w:val="0"/>
                <w:sz w:val="15"/>
                <w:szCs w:val="15"/>
                <w14:textFill>
                  <w14:solidFill>
                    <w14:schemeClr w14:val="tx1"/>
                  </w14:solidFill>
                </w14:textFill>
                <w14:ligatures w14:val="none"/>
              </w:rPr>
              <w:t>支撑的“四预”业务</w:t>
            </w:r>
          </w:p>
        </w:tc>
        <w:tc>
          <w:tcPr>
            <w:tcW w:w="3060" w:type="dxa"/>
            <w:tcBorders>
              <w:top w:val="single" w:color="auto" w:sz="12" w:space="0"/>
              <w:bottom w:val="single" w:color="auto" w:sz="4" w:space="0"/>
            </w:tcBorders>
            <w:shd w:val="clear" w:color="000000" w:fill="FFFFFF"/>
            <w:vAlign w:val="center"/>
          </w:tcPr>
          <w:p w14:paraId="6093CAE4">
            <w:pPr>
              <w:widowControl/>
              <w:spacing w:after="0" w:line="240" w:lineRule="auto"/>
              <w:jc w:val="center"/>
              <w:rPr>
                <w:rFonts w:hint="eastAsia" w:ascii="宋体" w:hAnsi="宋体" w:eastAsia="宋体" w:cs="Segoe UI"/>
                <w:b/>
                <w:bCs/>
                <w:color w:val="000000" w:themeColor="text1"/>
                <w:kern w:val="0"/>
                <w:sz w:val="15"/>
                <w:szCs w:val="15"/>
                <w14:textFill>
                  <w14:solidFill>
                    <w14:schemeClr w14:val="tx1"/>
                  </w14:solidFill>
                </w14:textFill>
                <w14:ligatures w14:val="none"/>
              </w:rPr>
            </w:pPr>
            <w:r>
              <w:rPr>
                <w:rFonts w:ascii="宋体" w:hAnsi="宋体" w:eastAsia="宋体" w:cs="Segoe UI"/>
                <w:b/>
                <w:bCs/>
                <w:color w:val="000000" w:themeColor="text1"/>
                <w:kern w:val="0"/>
                <w:sz w:val="15"/>
                <w:szCs w:val="15"/>
                <w14:textFill>
                  <w14:solidFill>
                    <w14:schemeClr w14:val="tx1"/>
                  </w14:solidFill>
                </w14:textFill>
                <w14:ligatures w14:val="none"/>
              </w:rPr>
              <w:t>必要性</w:t>
            </w:r>
          </w:p>
        </w:tc>
      </w:tr>
      <w:tr w14:paraId="08AEAC36">
        <w:tblPrEx>
          <w:tblBorders>
            <w:top w:val="single" w:color="auto"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1130" w:type="dxa"/>
            <w:tcBorders>
              <w:top w:val="single" w:color="auto" w:sz="4" w:space="0"/>
            </w:tcBorders>
            <w:shd w:val="clear" w:color="000000" w:fill="FFFFFF"/>
            <w:vAlign w:val="center"/>
          </w:tcPr>
          <w:p w14:paraId="1CD3363A">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感知网络模块</w:t>
            </w:r>
          </w:p>
        </w:tc>
        <w:tc>
          <w:tcPr>
            <w:tcW w:w="1987" w:type="dxa"/>
            <w:tcBorders>
              <w:top w:val="single" w:color="auto" w:sz="4" w:space="0"/>
            </w:tcBorders>
            <w:shd w:val="clear" w:color="000000" w:fill="FFFFFF"/>
            <w:vAlign w:val="center"/>
          </w:tcPr>
          <w:p w14:paraId="6DD4040B">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多源数据实时采集（水位、雨量、视频）</w:t>
            </w:r>
          </w:p>
        </w:tc>
        <w:tc>
          <w:tcPr>
            <w:tcW w:w="2129" w:type="dxa"/>
            <w:tcBorders>
              <w:top w:val="single" w:color="auto" w:sz="4" w:space="0"/>
            </w:tcBorders>
            <w:shd w:val="clear" w:color="000000" w:fill="FFFFFF"/>
            <w:vAlign w:val="center"/>
          </w:tcPr>
          <w:p w14:paraId="79AC03F1">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预报、预警</w:t>
            </w:r>
          </w:p>
        </w:tc>
        <w:tc>
          <w:tcPr>
            <w:tcW w:w="3060" w:type="dxa"/>
            <w:tcBorders>
              <w:top w:val="single" w:color="auto" w:sz="4" w:space="0"/>
            </w:tcBorders>
            <w:shd w:val="clear" w:color="000000" w:fill="FFFFFF"/>
            <w:vAlign w:val="center"/>
          </w:tcPr>
          <w:p w14:paraId="57202EC2">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解决区级感知</w:t>
            </w:r>
            <w:r>
              <w:rPr>
                <w:rFonts w:hint="eastAsia" w:ascii="宋体" w:hAnsi="宋体" w:eastAsia="宋体" w:cs="Segoe UI"/>
                <w:color w:val="000000" w:themeColor="text1"/>
                <w:kern w:val="0"/>
                <w:sz w:val="15"/>
                <w:szCs w:val="15"/>
                <w14:textFill>
                  <w14:solidFill>
                    <w14:schemeClr w14:val="tx1"/>
                  </w14:solidFill>
                </w14:textFill>
                <w14:ligatures w14:val="none"/>
              </w:rPr>
              <w:t>分散及缺失</w:t>
            </w:r>
            <w:r>
              <w:rPr>
                <w:rFonts w:ascii="宋体" w:hAnsi="宋体" w:eastAsia="宋体" w:cs="Segoe UI"/>
                <w:color w:val="000000" w:themeColor="text1"/>
                <w:kern w:val="0"/>
                <w:sz w:val="15"/>
                <w:szCs w:val="15"/>
                <w14:textFill>
                  <w14:solidFill>
                    <w14:schemeClr w14:val="tx1"/>
                  </w14:solidFill>
                </w14:textFill>
                <w14:ligatures w14:val="none"/>
              </w:rPr>
              <w:t>问题，为模型提供实时</w:t>
            </w:r>
            <w:r>
              <w:rPr>
                <w:rFonts w:hint="eastAsia" w:ascii="宋体" w:hAnsi="宋体" w:eastAsia="宋体" w:cs="Segoe UI"/>
                <w:color w:val="000000" w:themeColor="text1"/>
                <w:kern w:val="0"/>
                <w:sz w:val="15"/>
                <w:szCs w:val="15"/>
                <w14:textFill>
                  <w14:solidFill>
                    <w14:schemeClr w14:val="tx1"/>
                  </w14:solidFill>
                </w14:textFill>
                <w14:ligatures w14:val="none"/>
              </w:rPr>
              <w:t>算据</w:t>
            </w:r>
          </w:p>
        </w:tc>
      </w:tr>
      <w:tr w14:paraId="5F0435A4">
        <w:tblPrEx>
          <w:tblBorders>
            <w:top w:val="single" w:color="auto"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30" w:type="dxa"/>
            <w:tcBorders>
              <w:bottom w:val="nil"/>
            </w:tcBorders>
            <w:shd w:val="clear" w:color="000000" w:fill="FFFFFF"/>
            <w:vAlign w:val="center"/>
          </w:tcPr>
          <w:p w14:paraId="30113E07">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hint="eastAsia" w:ascii="宋体" w:hAnsi="宋体" w:eastAsia="宋体" w:cs="Segoe UI"/>
                <w:color w:val="000000" w:themeColor="text1"/>
                <w:kern w:val="0"/>
                <w:sz w:val="15"/>
                <w:szCs w:val="15"/>
                <w14:textFill>
                  <w14:solidFill>
                    <w14:schemeClr w14:val="tx1"/>
                  </w14:solidFill>
                </w14:textFill>
                <w14:ligatures w14:val="none"/>
              </w:rPr>
              <w:t>统一</w:t>
            </w:r>
            <w:r>
              <w:rPr>
                <w:rFonts w:ascii="宋体" w:hAnsi="宋体" w:eastAsia="宋体" w:cs="Segoe UI"/>
                <w:color w:val="000000" w:themeColor="text1"/>
                <w:kern w:val="0"/>
                <w:sz w:val="15"/>
                <w:szCs w:val="15"/>
                <w14:textFill>
                  <w14:solidFill>
                    <w14:schemeClr w14:val="tx1"/>
                  </w14:solidFill>
                </w14:textFill>
                <w14:ligatures w14:val="none"/>
              </w:rPr>
              <w:t>数据底板模块</w:t>
            </w:r>
          </w:p>
        </w:tc>
        <w:tc>
          <w:tcPr>
            <w:tcW w:w="1987" w:type="dxa"/>
            <w:tcBorders>
              <w:bottom w:val="nil"/>
            </w:tcBorders>
            <w:shd w:val="clear" w:color="000000" w:fill="FFFFFF"/>
            <w:vAlign w:val="center"/>
          </w:tcPr>
          <w:p w14:paraId="2085650B">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BIM/GIS语义融合、时空索引、动态更新</w:t>
            </w:r>
          </w:p>
        </w:tc>
        <w:tc>
          <w:tcPr>
            <w:tcW w:w="2129" w:type="dxa"/>
            <w:tcBorders>
              <w:bottom w:val="nil"/>
            </w:tcBorders>
            <w:shd w:val="clear" w:color="000000" w:fill="FFFFFF"/>
            <w:vAlign w:val="center"/>
          </w:tcPr>
          <w:p w14:paraId="388209F3">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预报、预演</w:t>
            </w:r>
          </w:p>
        </w:tc>
        <w:tc>
          <w:tcPr>
            <w:tcW w:w="3060" w:type="dxa"/>
            <w:tcBorders>
              <w:bottom w:val="nil"/>
            </w:tcBorders>
            <w:shd w:val="clear" w:color="000000" w:fill="FFFFFF"/>
            <w:vAlign w:val="center"/>
          </w:tcPr>
          <w:p w14:paraId="6FC47688">
            <w:pPr>
              <w:widowControl/>
              <w:spacing w:after="0" w:line="240" w:lineRule="auto"/>
              <w:jc w:val="center"/>
              <w:rPr>
                <w:rFonts w:hint="eastAsia" w:ascii="宋体" w:hAnsi="宋体" w:eastAsia="宋体" w:cs="宋体"/>
                <w:color w:val="000000" w:themeColor="text1"/>
                <w:kern w:val="0"/>
                <w:sz w:val="15"/>
                <w:szCs w:val="15"/>
                <w14:textFill>
                  <w14:solidFill>
                    <w14:schemeClr w14:val="tx1"/>
                  </w14:solidFill>
                </w14:textFill>
                <w14:ligatures w14:val="none"/>
              </w:rPr>
            </w:pPr>
            <w:r>
              <w:fldChar w:fldCharType="begin"/>
            </w:r>
            <w:r>
              <w:instrText xml:space="preserve"> HYPERLINK "http://www.jxdy.gov.cn/dyxxxgk/c124889/202211/51a3fdf00f9f43c28ff2867e7c3228d5.shtml" \t "_blank" </w:instrText>
            </w:r>
            <w:r>
              <w:fldChar w:fldCharType="separate"/>
            </w:r>
            <w:r>
              <w:rPr>
                <w:rFonts w:hint="eastAsia" w:ascii="宋体" w:hAnsi="宋体" w:eastAsia="宋体" w:cs="宋体"/>
                <w:color w:val="000000" w:themeColor="text1"/>
                <w:kern w:val="0"/>
                <w:sz w:val="15"/>
                <w:szCs w:val="15"/>
                <w14:textFill>
                  <w14:solidFill>
                    <w14:schemeClr w14:val="tx1"/>
                  </w14:solidFill>
                </w14:textFill>
                <w14:ligatures w14:val="none"/>
              </w:rPr>
              <w:t>构建统一、权威的算据基础，支撑多尺度模型耦合与跨部门数据共享</w:t>
            </w:r>
            <w:r>
              <w:rPr>
                <w:rFonts w:hint="eastAsia" w:ascii="宋体" w:hAnsi="宋体" w:eastAsia="宋体" w:cs="宋体"/>
                <w:color w:val="000000" w:themeColor="text1"/>
                <w:kern w:val="0"/>
                <w:sz w:val="15"/>
                <w:szCs w:val="15"/>
                <w14:textFill>
                  <w14:solidFill>
                    <w14:schemeClr w14:val="tx1"/>
                  </w14:solidFill>
                </w14:textFill>
                <w14:ligatures w14:val="none"/>
              </w:rPr>
              <w:fldChar w:fldCharType="end"/>
            </w:r>
          </w:p>
        </w:tc>
      </w:tr>
      <w:tr w14:paraId="3B2A549C">
        <w:tblPrEx>
          <w:tblBorders>
            <w:top w:val="single" w:color="auto"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130" w:type="dxa"/>
            <w:tcBorders>
              <w:top w:val="nil"/>
              <w:bottom w:val="nil"/>
            </w:tcBorders>
            <w:shd w:val="clear" w:color="000000" w:fill="FFFFFF"/>
            <w:vAlign w:val="center"/>
          </w:tcPr>
          <w:p w14:paraId="3F8AC6B2">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模型库模块</w:t>
            </w:r>
          </w:p>
        </w:tc>
        <w:tc>
          <w:tcPr>
            <w:tcW w:w="1987" w:type="dxa"/>
            <w:tcBorders>
              <w:top w:val="nil"/>
              <w:bottom w:val="nil"/>
            </w:tcBorders>
            <w:shd w:val="clear" w:color="000000" w:fill="FFFFFF"/>
            <w:vAlign w:val="center"/>
          </w:tcPr>
          <w:p w14:paraId="49F566A4">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水文模型、水动力模型、调度模型、安全评价模型</w:t>
            </w:r>
          </w:p>
        </w:tc>
        <w:tc>
          <w:tcPr>
            <w:tcW w:w="2129" w:type="dxa"/>
            <w:tcBorders>
              <w:top w:val="nil"/>
              <w:bottom w:val="nil"/>
            </w:tcBorders>
            <w:shd w:val="clear" w:color="000000" w:fill="FFFFFF"/>
            <w:vAlign w:val="center"/>
          </w:tcPr>
          <w:p w14:paraId="666F8275">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预演、预案</w:t>
            </w:r>
          </w:p>
        </w:tc>
        <w:tc>
          <w:tcPr>
            <w:tcW w:w="3060" w:type="dxa"/>
            <w:tcBorders>
              <w:top w:val="nil"/>
              <w:bottom w:val="nil"/>
            </w:tcBorders>
            <w:shd w:val="clear" w:color="000000" w:fill="FFFFFF"/>
            <w:vAlign w:val="center"/>
          </w:tcPr>
          <w:p w14:paraId="5EECBD62">
            <w:pPr>
              <w:widowControl/>
              <w:spacing w:after="0" w:line="240" w:lineRule="auto"/>
              <w:jc w:val="center"/>
              <w:rPr>
                <w:rFonts w:hint="eastAsia" w:ascii="宋体" w:hAnsi="宋体" w:eastAsia="宋体" w:cs="宋体"/>
                <w:color w:val="000000" w:themeColor="text1"/>
                <w:kern w:val="0"/>
                <w:sz w:val="15"/>
                <w:szCs w:val="15"/>
                <w14:textFill>
                  <w14:solidFill>
                    <w14:schemeClr w14:val="tx1"/>
                  </w14:solidFill>
                </w14:textFill>
                <w14:ligatures w14:val="none"/>
              </w:rPr>
            </w:pPr>
            <w:r>
              <w:fldChar w:fldCharType="begin"/>
            </w:r>
            <w:r>
              <w:instrText xml:space="preserve"> HYPERLINK "https://wzsl.wenzhou.gov.cn/art/2023/11/22/art_1324819_59027342.html" \t "_blank" </w:instrText>
            </w:r>
            <w:r>
              <w:fldChar w:fldCharType="separate"/>
            </w:r>
            <w:r>
              <w:rPr>
                <w:rFonts w:hint="eastAsia" w:ascii="宋体" w:hAnsi="宋体" w:eastAsia="宋体" w:cs="宋体"/>
                <w:color w:val="000000" w:themeColor="text1"/>
                <w:kern w:val="0"/>
                <w:sz w:val="15"/>
                <w:szCs w:val="15"/>
                <w14:textFill>
                  <w14:solidFill>
                    <w14:schemeClr w14:val="tx1"/>
                  </w14:solidFill>
                </w14:textFill>
                <w14:ligatures w14:val="none"/>
              </w:rPr>
              <w:t>将区级防汛经验转化为可计算、可推演的算法，支持多情景模拟与方案比选</w:t>
            </w:r>
            <w:r>
              <w:rPr>
                <w:rFonts w:hint="eastAsia" w:ascii="宋体" w:hAnsi="宋体" w:eastAsia="宋体" w:cs="宋体"/>
                <w:color w:val="000000" w:themeColor="text1"/>
                <w:kern w:val="0"/>
                <w:sz w:val="15"/>
                <w:szCs w:val="15"/>
                <w14:textFill>
                  <w14:solidFill>
                    <w14:schemeClr w14:val="tx1"/>
                  </w14:solidFill>
                </w14:textFill>
                <w14:ligatures w14:val="none"/>
              </w:rPr>
              <w:fldChar w:fldCharType="end"/>
            </w:r>
          </w:p>
        </w:tc>
      </w:tr>
      <w:tr w14:paraId="106CD0F5">
        <w:tblPrEx>
          <w:tblBorders>
            <w:top w:val="single" w:color="auto"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1130" w:type="dxa"/>
            <w:tcBorders>
              <w:top w:val="nil"/>
              <w:bottom w:val="single" w:color="auto" w:sz="12" w:space="0"/>
            </w:tcBorders>
            <w:shd w:val="clear" w:color="000000" w:fill="FFFFFF"/>
            <w:vAlign w:val="center"/>
          </w:tcPr>
          <w:p w14:paraId="61FCAFC0">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hint="eastAsia" w:ascii="宋体" w:hAnsi="宋体" w:eastAsia="宋体" w:cs="Segoe UI"/>
                <w:color w:val="000000" w:themeColor="text1"/>
                <w:kern w:val="0"/>
                <w:sz w:val="15"/>
                <w:szCs w:val="15"/>
                <w14:textFill>
                  <w14:solidFill>
                    <w14:schemeClr w14:val="tx1"/>
                  </w14:solidFill>
                </w14:textFill>
                <w14:ligatures w14:val="none"/>
              </w:rPr>
              <w:t>多级协同</w:t>
            </w:r>
            <w:r>
              <w:rPr>
                <w:rFonts w:ascii="宋体" w:hAnsi="宋体" w:eastAsia="宋体" w:cs="Segoe UI"/>
                <w:color w:val="000000" w:themeColor="text1"/>
                <w:kern w:val="0"/>
                <w:sz w:val="15"/>
                <w:szCs w:val="15"/>
                <w14:textFill>
                  <w14:solidFill>
                    <w14:schemeClr w14:val="tx1"/>
                  </w14:solidFill>
                </w14:textFill>
                <w14:ligatures w14:val="none"/>
              </w:rPr>
              <w:t>应用模块</w:t>
            </w:r>
          </w:p>
        </w:tc>
        <w:tc>
          <w:tcPr>
            <w:tcW w:w="1987" w:type="dxa"/>
            <w:tcBorders>
              <w:top w:val="nil"/>
              <w:bottom w:val="single" w:color="auto" w:sz="12" w:space="0"/>
            </w:tcBorders>
            <w:shd w:val="clear" w:color="000000" w:fill="FFFFFF"/>
            <w:vAlign w:val="center"/>
          </w:tcPr>
          <w:p w14:paraId="35EF32BD">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区-市数据交互、模型链调度、防洪管理、水资源调度、工程安全预警</w:t>
            </w:r>
            <w:r>
              <w:rPr>
                <w:rFonts w:hint="eastAsia" w:ascii="宋体" w:hAnsi="宋体" w:eastAsia="宋体" w:cs="Segoe UI"/>
                <w:color w:val="000000" w:themeColor="text1"/>
                <w:kern w:val="0"/>
                <w:sz w:val="15"/>
                <w:szCs w:val="15"/>
                <w14:textFill>
                  <w14:solidFill>
                    <w14:schemeClr w14:val="tx1"/>
                  </w14:solidFill>
                </w14:textFill>
                <w14:ligatures w14:val="none"/>
              </w:rPr>
              <w:t>等</w:t>
            </w:r>
            <w:r>
              <w:rPr>
                <w:rFonts w:ascii="宋体" w:hAnsi="宋体" w:eastAsia="宋体" w:cs="Segoe UI"/>
                <w:color w:val="000000" w:themeColor="text1"/>
                <w:kern w:val="0"/>
                <w:sz w:val="15"/>
                <w:szCs w:val="15"/>
                <w14:textFill>
                  <w14:solidFill>
                    <w14:schemeClr w14:val="tx1"/>
                  </w14:solidFill>
                </w14:textFill>
                <w14:ligatures w14:val="none"/>
              </w:rPr>
              <w:t>业务流程自动化</w:t>
            </w:r>
          </w:p>
        </w:tc>
        <w:tc>
          <w:tcPr>
            <w:tcW w:w="2129" w:type="dxa"/>
            <w:tcBorders>
              <w:top w:val="nil"/>
              <w:bottom w:val="single" w:color="auto" w:sz="12" w:space="0"/>
            </w:tcBorders>
            <w:shd w:val="clear" w:color="000000" w:fill="FFFFFF"/>
            <w:vAlign w:val="center"/>
          </w:tcPr>
          <w:p w14:paraId="347A5C45">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四预全流程</w:t>
            </w:r>
          </w:p>
        </w:tc>
        <w:tc>
          <w:tcPr>
            <w:tcW w:w="3060" w:type="dxa"/>
            <w:tcBorders>
              <w:top w:val="nil"/>
              <w:bottom w:val="single" w:color="auto" w:sz="12" w:space="0"/>
            </w:tcBorders>
            <w:shd w:val="clear" w:color="000000" w:fill="FFFFFF"/>
            <w:vAlign w:val="center"/>
          </w:tcPr>
          <w:p w14:paraId="55329436">
            <w:pPr>
              <w:widowControl/>
              <w:spacing w:after="0" w:line="240" w:lineRule="auto"/>
              <w:jc w:val="center"/>
              <w:rPr>
                <w:rFonts w:hint="eastAsia" w:ascii="宋体" w:hAnsi="宋体" w:eastAsia="宋体" w:cs="Segoe UI"/>
                <w:color w:val="000000" w:themeColor="text1"/>
                <w:kern w:val="0"/>
                <w:sz w:val="15"/>
                <w:szCs w:val="15"/>
                <w14:textFill>
                  <w14:solidFill>
                    <w14:schemeClr w14:val="tx1"/>
                  </w14:solidFill>
                </w14:textFill>
                <w14:ligatures w14:val="none"/>
              </w:rPr>
            </w:pPr>
            <w:r>
              <w:rPr>
                <w:rFonts w:ascii="宋体" w:hAnsi="宋体" w:eastAsia="宋体" w:cs="Segoe UI"/>
                <w:color w:val="000000" w:themeColor="text1"/>
                <w:kern w:val="0"/>
                <w:sz w:val="15"/>
                <w:szCs w:val="15"/>
                <w14:textFill>
                  <w14:solidFill>
                    <w14:schemeClr w14:val="tx1"/>
                  </w14:solidFill>
                </w14:textFill>
                <w14:ligatures w14:val="none"/>
              </w:rPr>
              <w:t>将底层能力封装为可视化、可操作的业务界面，直接服务于区级防汛指挥、工程管理等一线场景</w:t>
            </w:r>
            <w:r>
              <w:rPr>
                <w:rFonts w:hint="eastAsia" w:ascii="宋体" w:hAnsi="宋体" w:eastAsia="宋体" w:cs="Segoe UI"/>
                <w:color w:val="000000" w:themeColor="text1"/>
                <w:kern w:val="0"/>
                <w:sz w:val="15"/>
                <w:szCs w:val="15"/>
                <w14:textFill>
                  <w14:solidFill>
                    <w14:schemeClr w14:val="tx1"/>
                  </w14:solidFill>
                </w14:textFill>
                <w14:ligatures w14:val="none"/>
              </w:rPr>
              <w:t>，</w:t>
            </w:r>
            <w:r>
              <w:fldChar w:fldCharType="begin"/>
            </w:r>
            <w:r>
              <w:instrText xml:space="preserve"> HYPERLINK "https://slt.zj.gov.cn/col/col1567479/art/2025/art_88b76fba8e64439c94608ef2e62bb477.html" \t "_blank" </w:instrText>
            </w:r>
            <w:r>
              <w:fldChar w:fldCharType="separate"/>
            </w:r>
            <w:r>
              <w:rPr>
                <w:rFonts w:hint="eastAsia" w:ascii="宋体" w:hAnsi="宋体" w:eastAsia="宋体" w:cs="宋体"/>
                <w:color w:val="000000" w:themeColor="text1"/>
                <w:kern w:val="0"/>
                <w:sz w:val="15"/>
                <w:szCs w:val="15"/>
                <w14:textFill>
                  <w14:solidFill>
                    <w14:schemeClr w14:val="tx1"/>
                  </w14:solidFill>
                </w14:textFill>
                <w14:ligatures w14:val="none"/>
              </w:rPr>
              <w:t>打通行政层级壁垒，实现市级预报驱动区级预演、区级结果反馈市级决策的闭环</w:t>
            </w:r>
            <w:r>
              <w:rPr>
                <w:rFonts w:hint="eastAsia" w:ascii="宋体" w:hAnsi="宋体" w:eastAsia="宋体" w:cs="宋体"/>
                <w:color w:val="000000" w:themeColor="text1"/>
                <w:kern w:val="0"/>
                <w:sz w:val="15"/>
                <w:szCs w:val="15"/>
                <w14:textFill>
                  <w14:solidFill>
                    <w14:schemeClr w14:val="tx1"/>
                  </w14:solidFill>
                </w14:textFill>
                <w14:ligatures w14:val="none"/>
              </w:rPr>
              <w:fldChar w:fldCharType="end"/>
            </w:r>
          </w:p>
        </w:tc>
      </w:tr>
    </w:tbl>
    <w:p w14:paraId="39990BB7">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ascii="黑体" w:hAnsi="黑体" w:eastAsia="黑体" w:cs="Times New Roman"/>
          <w:color w:val="000000" w:themeColor="text1"/>
          <w:sz w:val="21"/>
          <w:szCs w:val="21"/>
          <w:lang w:val="en"/>
          <w14:textFill>
            <w14:solidFill>
              <w14:schemeClr w14:val="tx1"/>
            </w14:solidFill>
          </w14:textFill>
          <w14:ligatures w14:val="none"/>
        </w:rPr>
        <w:t>2.</w:t>
      </w:r>
      <w:r>
        <w:rPr>
          <w:rFonts w:hint="eastAsia" w:ascii="黑体" w:hAnsi="黑体" w:eastAsia="黑体" w:cs="Times New Roman"/>
          <w:color w:val="000000" w:themeColor="text1"/>
          <w:sz w:val="21"/>
          <w:szCs w:val="21"/>
          <w14:textFill>
            <w14:solidFill>
              <w14:schemeClr w14:val="tx1"/>
            </w14:solidFill>
          </w14:textFill>
          <w14:ligatures w14:val="none"/>
        </w:rPr>
        <w:t>4 协同共享设计</w:t>
      </w:r>
    </w:p>
    <w:p w14:paraId="3F63349C">
      <w:pPr>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区县级数字孪生作为水利部数字孪生体系中的重要节点，应与上级平台实现有效衔接与双向共享。</w:t>
      </w:r>
    </w:p>
    <w:p w14:paraId="5BE6294D">
      <w:pPr>
        <w:pStyle w:val="2"/>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在基础数据底板上，预留标准数据接口，实现对水利部L1级北京市域2m分辨率卫星遥感影像/30m分辨率DEM数据、北京市规自委</w:t>
      </w:r>
      <w:r>
        <w:rPr>
          <w:rFonts w:ascii="宋体" w:hAnsi="宋体" w:eastAsia="宋体" w:cs="Times New Roman"/>
          <w:bCs/>
          <w:color w:val="000000" w:themeColor="text1"/>
          <w:sz w:val="21"/>
          <w:szCs w:val="21"/>
          <w14:textFill>
            <w14:solidFill>
              <w14:schemeClr w14:val="tx1"/>
            </w14:solidFill>
          </w14:textFill>
          <w14:ligatures w14:val="none"/>
        </w:rPr>
        <w:t>0.</w:t>
      </w:r>
      <w:r>
        <w:rPr>
          <w:rFonts w:hint="eastAsia" w:ascii="宋体" w:hAnsi="宋体" w:eastAsia="宋体" w:cs="Times New Roman"/>
          <w:bCs/>
          <w:color w:val="000000" w:themeColor="text1"/>
          <w:sz w:val="21"/>
          <w:szCs w:val="21"/>
          <w14:textFill>
            <w14:solidFill>
              <w14:schemeClr w14:val="tx1"/>
            </w14:solidFill>
          </w14:textFill>
          <w14:ligatures w14:val="none"/>
        </w:rPr>
        <w:t>2</w:t>
      </w:r>
      <w:r>
        <w:rPr>
          <w:rFonts w:ascii="宋体" w:hAnsi="宋体" w:eastAsia="宋体" w:cs="Times New Roman"/>
          <w:bCs/>
          <w:color w:val="000000" w:themeColor="text1"/>
          <w:sz w:val="21"/>
          <w:szCs w:val="21"/>
          <w14:textFill>
            <w14:solidFill>
              <w14:schemeClr w14:val="tx1"/>
            </w14:solidFill>
          </w14:textFill>
          <w14:ligatures w14:val="none"/>
        </w:rPr>
        <w:t>m分辨率遥感影像</w:t>
      </w:r>
      <w:r>
        <w:rPr>
          <w:rFonts w:hint="eastAsia" w:ascii="宋体" w:hAnsi="宋体" w:eastAsia="宋体" w:cs="Times New Roman"/>
          <w:bCs/>
          <w:color w:val="000000" w:themeColor="text1"/>
          <w:sz w:val="21"/>
          <w:szCs w:val="21"/>
          <w14:textFill>
            <w14:solidFill>
              <w14:schemeClr w14:val="tx1"/>
            </w14:solidFill>
          </w14:textFill>
          <w14:ligatures w14:val="none"/>
        </w:rPr>
        <w:t>/12.5m格网DEM 数据等数据的接入与本地化适配。同时，将区级感知网采集的数据反向汇入北京市物联网感知平台，支撑上级系统的联合调度。</w:t>
      </w:r>
    </w:p>
    <w:p w14:paraId="27CB46A4">
      <w:pPr>
        <w:pStyle w:val="2"/>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在模型服务层面上，共享上级平台发布的标准化模型服务，同时将怀柔区高精度局地模型如城市内涝淹没模型封装为服务，供上级平台在特定场景下进行远程调用，实现模型的双向共享。</w:t>
      </w:r>
    </w:p>
    <w:p w14:paraId="3C61C8FC">
      <w:pPr>
        <w:pStyle w:val="3"/>
        <w:spacing w:before="0" w:after="0" w:line="240" w:lineRule="auto"/>
        <w:jc w:val="both"/>
        <w:rPr>
          <w:rFonts w:hint="eastAsia" w:ascii="黑体" w:hAnsi="黑体" w:eastAsia="黑体" w:cs="Times New Roman"/>
          <w:color w:val="000000" w:themeColor="text1"/>
          <w:kern w:val="44"/>
          <w:sz w:val="24"/>
          <w:szCs w:val="24"/>
          <w14:textFill>
            <w14:solidFill>
              <w14:schemeClr w14:val="tx1"/>
            </w14:solidFill>
          </w14:textFill>
          <w14:ligatures w14:val="none"/>
        </w:rPr>
      </w:pPr>
      <w:r>
        <w:rPr>
          <w:rFonts w:hint="eastAsia" w:ascii="黑体" w:hAnsi="黑体" w:eastAsia="黑体" w:cs="Times New Roman"/>
          <w:color w:val="000000" w:themeColor="text1"/>
          <w:kern w:val="44"/>
          <w:sz w:val="24"/>
          <w:szCs w:val="24"/>
          <w14:textFill>
            <w14:solidFill>
              <w14:schemeClr w14:val="tx1"/>
            </w14:solidFill>
          </w14:textFill>
          <w14:ligatures w14:val="none"/>
        </w:rPr>
        <w:t>3</w:t>
      </w:r>
      <w:r>
        <w:rPr>
          <w:rFonts w:ascii="黑体" w:hAnsi="黑体" w:eastAsia="黑体" w:cs="Times New Roman"/>
          <w:color w:val="000000" w:themeColor="text1"/>
          <w:kern w:val="44"/>
          <w:sz w:val="24"/>
          <w:szCs w:val="24"/>
          <w14:textFill>
            <w14:solidFill>
              <w14:schemeClr w14:val="tx1"/>
            </w14:solidFill>
          </w14:textFill>
          <w14:ligatures w14:val="none"/>
        </w:rPr>
        <w:t xml:space="preserve"> 基于数字孪生的“四预”能力评价与仿真推演分析</w:t>
      </w:r>
    </w:p>
    <w:p w14:paraId="0E68495C">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bookmarkStart w:id="22" w:name="OLE_LINK2"/>
      <w:r>
        <w:rPr>
          <w:rFonts w:ascii="黑体" w:hAnsi="黑体" w:eastAsia="黑体" w:cs="Times New Roman"/>
          <w:color w:val="000000" w:themeColor="text1"/>
          <w:sz w:val="21"/>
          <w:szCs w:val="21"/>
          <w:lang w:val="en"/>
          <w14:textFill>
            <w14:solidFill>
              <w14:schemeClr w14:val="tx1"/>
            </w14:solidFill>
          </w14:textFill>
          <w14:ligatures w14:val="none"/>
        </w:rPr>
        <w:t>3.</w:t>
      </w:r>
      <w:r>
        <w:rPr>
          <w:rFonts w:ascii="黑体" w:hAnsi="黑体" w:eastAsia="黑体" w:cs="Times New Roman"/>
          <w:color w:val="000000" w:themeColor="text1"/>
          <w:sz w:val="21"/>
          <w:szCs w:val="21"/>
          <w14:textFill>
            <w14:solidFill>
              <w14:schemeClr w14:val="tx1"/>
            </w14:solidFill>
          </w14:textFill>
          <w14:ligatures w14:val="none"/>
        </w:rPr>
        <w:t>1 面向“四预”的能力评价指标体系构建</w:t>
      </w:r>
    </w:p>
    <w:p w14:paraId="51D311C8">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bookmarkStart w:id="23" w:name="OLE_LINK29"/>
      <w:r>
        <w:rPr>
          <w:rFonts w:ascii="宋体" w:hAnsi="宋体"/>
          <w:bCs/>
          <w:color w:val="000000" w:themeColor="text1"/>
          <w:sz w:val="21"/>
          <w:szCs w:val="21"/>
          <w14:textFill>
            <w14:solidFill>
              <w14:schemeClr w14:val="tx1"/>
            </w14:solidFill>
          </w14:textFill>
        </w:rPr>
        <w:t>为建立科学、定量的评价基准，本研究构建了一个多层次、可量化的“四预”能力评价指标体系，</w:t>
      </w:r>
      <w:bookmarkEnd w:id="23"/>
      <w:r>
        <w:rPr>
          <w:rFonts w:ascii="宋体" w:hAnsi="宋体"/>
          <w:bCs/>
          <w:color w:val="000000" w:themeColor="text1"/>
          <w:sz w:val="21"/>
          <w:szCs w:val="21"/>
          <w14:textFill>
            <w14:solidFill>
              <w14:schemeClr w14:val="tx1"/>
            </w14:solidFill>
          </w14:textFill>
        </w:rPr>
        <w:t>并采用层次分析法</w:t>
      </w:r>
      <w:r>
        <w:rPr>
          <w:rFonts w:hint="eastAsia" w:ascii="宋体" w:hAnsi="宋体"/>
          <w:bCs/>
          <w:color w:val="000000" w:themeColor="text1"/>
          <w:sz w:val="21"/>
          <w:szCs w:val="21"/>
          <w14:textFill>
            <w14:solidFill>
              <w14:schemeClr w14:val="tx1"/>
            </w14:solidFill>
          </w14:textFill>
        </w:rPr>
        <w:t>（AHP）</w:t>
      </w:r>
      <w:r>
        <w:rPr>
          <w:rFonts w:ascii="宋体" w:hAnsi="宋体"/>
          <w:bCs/>
          <w:color w:val="000000" w:themeColor="text1"/>
          <w:sz w:val="21"/>
          <w:szCs w:val="21"/>
          <w14:textFill>
            <w14:solidFill>
              <w14:schemeClr w14:val="tx1"/>
            </w14:solidFill>
          </w14:textFill>
        </w:rPr>
        <w:t>确定指标权重，为后续的预期评分提供结构化框架。</w:t>
      </w:r>
    </w:p>
    <w:p w14:paraId="295E0AD0">
      <w:pPr>
        <w:pStyle w:val="50"/>
        <w:spacing w:line="240" w:lineRule="auto"/>
        <w:ind w:firstLine="0"/>
        <w:outlineLvl w:val="2"/>
        <w:rPr>
          <w:rFonts w:hint="eastAsia" w:ascii="楷体" w:hAnsi="楷体" w:eastAsia="楷体"/>
          <w:color w:val="000000" w:themeColor="text1"/>
          <w:sz w:val="21"/>
          <w:szCs w:val="21"/>
          <w14:textFill>
            <w14:solidFill>
              <w14:schemeClr w14:val="tx1"/>
            </w14:solidFill>
          </w14:textFill>
        </w:rPr>
      </w:pPr>
      <w:bookmarkStart w:id="24" w:name="OLE_LINK4"/>
      <w:r>
        <w:rPr>
          <w:rFonts w:ascii="楷体" w:hAnsi="楷体" w:eastAsia="楷体"/>
          <w:color w:val="000000" w:themeColor="text1"/>
          <w:sz w:val="21"/>
          <w:szCs w:val="21"/>
          <w:lang w:val="en"/>
          <w14:textFill>
            <w14:solidFill>
              <w14:schemeClr w14:val="tx1"/>
            </w14:solidFill>
          </w14:textFill>
        </w:rPr>
        <w:t>3.</w:t>
      </w:r>
      <w:r>
        <w:rPr>
          <w:rFonts w:ascii="楷体" w:hAnsi="楷体" w:eastAsia="楷体"/>
          <w:color w:val="000000" w:themeColor="text1"/>
          <w:sz w:val="21"/>
          <w:szCs w:val="21"/>
          <w14:textFill>
            <w14:solidFill>
              <w14:schemeClr w14:val="tx1"/>
            </w14:solidFill>
          </w14:textFill>
        </w:rPr>
        <w:t>1.1 指标体系的层次结构</w:t>
      </w:r>
    </w:p>
    <w:p w14:paraId="17D18948">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指标体系紧密围绕“四预”业务内核</w:t>
      </w:r>
      <w:r>
        <w:rPr>
          <w:rFonts w:hint="eastAsia" w:ascii="宋体" w:hAnsi="宋体"/>
          <w:bCs/>
          <w:color w:val="000000" w:themeColor="text1"/>
          <w:sz w:val="21"/>
          <w:szCs w:val="21"/>
          <w14:textFill>
            <w14:solidFill>
              <w14:schemeClr w14:val="tx1"/>
            </w14:solidFill>
          </w14:textFill>
        </w:rPr>
        <w:t>与系统</w:t>
      </w:r>
      <w:r>
        <w:rPr>
          <w:rFonts w:ascii="宋体" w:hAnsi="宋体"/>
          <w:bCs/>
          <w:color w:val="000000" w:themeColor="text1"/>
          <w:sz w:val="21"/>
          <w:szCs w:val="21"/>
          <w14:textFill>
            <w14:solidFill>
              <w14:schemeClr w14:val="tx1"/>
            </w14:solidFill>
          </w14:textFill>
        </w:rPr>
        <w:t>体系架构</w:t>
      </w:r>
      <w:r>
        <w:rPr>
          <w:rFonts w:hint="eastAsia" w:ascii="宋体" w:hAnsi="宋体"/>
          <w:bCs/>
          <w:color w:val="000000" w:themeColor="text1"/>
          <w:sz w:val="21"/>
          <w:szCs w:val="21"/>
          <w14:textFill>
            <w14:solidFill>
              <w14:schemeClr w14:val="tx1"/>
            </w14:solidFill>
          </w14:textFill>
        </w:rPr>
        <w:t>设计</w:t>
      </w:r>
      <w:r>
        <w:rPr>
          <w:rFonts w:ascii="宋体" w:hAnsi="宋体"/>
          <w:bCs/>
          <w:color w:val="000000" w:themeColor="text1"/>
          <w:sz w:val="21"/>
          <w:szCs w:val="21"/>
          <w14:textFill>
            <w14:solidFill>
              <w14:schemeClr w14:val="tx1"/>
            </w14:solidFill>
          </w14:textFill>
        </w:rPr>
        <w:t>，</w:t>
      </w:r>
      <w:r>
        <w:rPr>
          <w:rFonts w:hint="eastAsia" w:ascii="宋体" w:hAnsi="宋体"/>
          <w:bCs/>
          <w:color w:val="000000" w:themeColor="text1"/>
          <w:sz w:val="21"/>
          <w:szCs w:val="21"/>
          <w14:textFill>
            <w14:solidFill>
              <w14:schemeClr w14:val="tx1"/>
            </w14:solidFill>
          </w14:textFill>
        </w:rPr>
        <w:t>共</w:t>
      </w:r>
      <w:r>
        <w:rPr>
          <w:rFonts w:ascii="宋体" w:hAnsi="宋体"/>
          <w:bCs/>
          <w:color w:val="000000" w:themeColor="text1"/>
          <w:sz w:val="21"/>
          <w:szCs w:val="21"/>
          <w14:textFill>
            <w14:solidFill>
              <w14:schemeClr w14:val="tx1"/>
            </w14:solidFill>
          </w14:textFill>
        </w:rPr>
        <w:t>分为</w:t>
      </w:r>
      <w:r>
        <w:rPr>
          <w:rFonts w:hint="eastAsia" w:ascii="宋体" w:hAnsi="宋体"/>
          <w:bCs/>
          <w:color w:val="000000" w:themeColor="text1"/>
          <w:sz w:val="21"/>
          <w:szCs w:val="21"/>
          <w14:textFill>
            <w14:solidFill>
              <w14:schemeClr w14:val="tx1"/>
            </w14:solidFill>
          </w14:textFill>
        </w:rPr>
        <w:t>目标层、准则层、指标层</w:t>
      </w:r>
      <w:r>
        <w:rPr>
          <w:rFonts w:ascii="宋体" w:hAnsi="宋体"/>
          <w:bCs/>
          <w:color w:val="000000" w:themeColor="text1"/>
          <w:sz w:val="21"/>
          <w:szCs w:val="21"/>
          <w14:textFill>
            <w14:solidFill>
              <w14:schemeClr w14:val="tx1"/>
            </w14:solidFill>
          </w14:textFill>
        </w:rPr>
        <w:t>三层</w:t>
      </w:r>
      <w:r>
        <w:rPr>
          <w:rFonts w:hint="eastAsia" w:ascii="宋体" w:hAnsi="宋体"/>
          <w:bCs/>
          <w:color w:val="000000" w:themeColor="text1"/>
          <w:sz w:val="21"/>
          <w:szCs w:val="21"/>
          <w14:textFill>
            <w14:solidFill>
              <w14:schemeClr w14:val="tx1"/>
            </w14:solidFill>
          </w14:textFill>
        </w:rPr>
        <w:t>。</w:t>
      </w:r>
      <w:r>
        <w:rPr>
          <w:rFonts w:ascii="宋体" w:hAnsi="宋体"/>
          <w:bCs/>
          <w:color w:val="000000" w:themeColor="text1"/>
          <w:sz w:val="21"/>
          <w:szCs w:val="21"/>
          <w14:textFill>
            <w14:solidFill>
              <w14:schemeClr w14:val="tx1"/>
            </w14:solidFill>
          </w14:textFill>
        </w:rPr>
        <w:t>目标层（A）</w:t>
      </w:r>
      <w:r>
        <w:rPr>
          <w:rFonts w:hint="eastAsia" w:ascii="宋体" w:hAnsi="宋体"/>
          <w:bCs/>
          <w:color w:val="000000" w:themeColor="text1"/>
          <w:sz w:val="21"/>
          <w:szCs w:val="21"/>
          <w14:textFill>
            <w14:solidFill>
              <w14:schemeClr w14:val="tx1"/>
            </w14:solidFill>
          </w14:textFill>
        </w:rPr>
        <w:t>为</w:t>
      </w:r>
      <w:r>
        <w:rPr>
          <w:rFonts w:ascii="宋体" w:hAnsi="宋体"/>
          <w:bCs/>
          <w:color w:val="000000" w:themeColor="text1"/>
          <w:sz w:val="21"/>
          <w:szCs w:val="21"/>
          <w14:textFill>
            <w14:solidFill>
              <w14:schemeClr w14:val="tx1"/>
            </w14:solidFill>
          </w14:textFill>
        </w:rPr>
        <w:t>区级水利设施防灾减灾“四预”综合能力指数。准则层（B）</w:t>
      </w:r>
      <w:r>
        <w:rPr>
          <w:rFonts w:hint="eastAsia" w:ascii="宋体" w:hAnsi="宋体"/>
          <w:bCs/>
          <w:color w:val="000000" w:themeColor="text1"/>
          <w:sz w:val="21"/>
          <w:szCs w:val="21"/>
          <w14:textFill>
            <w14:solidFill>
              <w14:schemeClr w14:val="tx1"/>
            </w14:solidFill>
          </w14:textFill>
        </w:rPr>
        <w:t>包括</w:t>
      </w:r>
      <w:r>
        <w:rPr>
          <w:rFonts w:ascii="宋体" w:hAnsi="宋体"/>
          <w:bCs/>
          <w:color w:val="000000" w:themeColor="text1"/>
          <w:sz w:val="21"/>
          <w:szCs w:val="21"/>
          <w14:textFill>
            <w14:solidFill>
              <w14:schemeClr w14:val="tx1"/>
            </w14:solidFill>
          </w14:textFill>
        </w:rPr>
        <w:t>“预报（B1）”“预警（B2）”“预演（B3）”“预案（B4）”四个核心业务环节。指标层（C）</w:t>
      </w:r>
      <w:r>
        <w:rPr>
          <w:rFonts w:hint="eastAsia" w:ascii="宋体" w:hAnsi="宋体"/>
          <w:bCs/>
          <w:color w:val="000000" w:themeColor="text1"/>
          <w:sz w:val="21"/>
          <w:szCs w:val="21"/>
          <w14:textFill>
            <w14:solidFill>
              <w14:schemeClr w14:val="tx1"/>
            </w14:solidFill>
          </w14:textFill>
        </w:rPr>
        <w:t>包括12个具体可感知的指标，对各个准则维度的表现进行全方位评价，指标设计覆盖从数据感知到决策执行的全链条能力要求。</w:t>
      </w:r>
    </w:p>
    <w:p w14:paraId="5C8C6014">
      <w:pPr>
        <w:pStyle w:val="50"/>
        <w:spacing w:line="240" w:lineRule="auto"/>
        <w:ind w:firstLine="0"/>
        <w:outlineLvl w:val="2"/>
        <w:rPr>
          <w:rFonts w:hint="eastAsia" w:ascii="楷体" w:hAnsi="楷体" w:eastAsia="楷体"/>
          <w:color w:val="000000" w:themeColor="text1"/>
          <w:sz w:val="21"/>
          <w:szCs w:val="21"/>
          <w14:textFill>
            <w14:solidFill>
              <w14:schemeClr w14:val="tx1"/>
            </w14:solidFill>
          </w14:textFill>
        </w:rPr>
      </w:pPr>
      <w:r>
        <w:rPr>
          <w:rFonts w:ascii="楷体" w:hAnsi="楷体" w:eastAsia="楷体"/>
          <w:color w:val="000000" w:themeColor="text1"/>
          <w:sz w:val="21"/>
          <w:szCs w:val="21"/>
          <w:lang w:val="en"/>
          <w14:textFill>
            <w14:solidFill>
              <w14:schemeClr w14:val="tx1"/>
            </w14:solidFill>
          </w14:textFill>
        </w:rPr>
        <w:t>3.</w:t>
      </w:r>
      <w:r>
        <w:rPr>
          <w:rFonts w:ascii="楷体" w:hAnsi="楷体" w:eastAsia="楷体"/>
          <w:color w:val="000000" w:themeColor="text1"/>
          <w:sz w:val="21"/>
          <w:szCs w:val="21"/>
          <w14:textFill>
            <w14:solidFill>
              <w14:schemeClr w14:val="tx1"/>
            </w14:solidFill>
          </w14:textFill>
        </w:rPr>
        <w:t>1.2 基于</w:t>
      </w:r>
      <w:bookmarkStart w:id="25" w:name="OLE_LINK36"/>
      <w:r>
        <w:rPr>
          <w:rFonts w:ascii="楷体" w:hAnsi="楷体" w:eastAsia="楷体"/>
          <w:color w:val="000000" w:themeColor="text1"/>
          <w:sz w:val="21"/>
          <w:szCs w:val="21"/>
          <w14:textFill>
            <w14:solidFill>
              <w14:schemeClr w14:val="tx1"/>
            </w14:solidFill>
          </w14:textFill>
        </w:rPr>
        <w:t>AHP</w:t>
      </w:r>
      <w:bookmarkEnd w:id="25"/>
      <w:r>
        <w:rPr>
          <w:rFonts w:ascii="楷体" w:hAnsi="楷体" w:eastAsia="楷体"/>
          <w:color w:val="000000" w:themeColor="text1"/>
          <w:sz w:val="21"/>
          <w:szCs w:val="21"/>
          <w14:textFill>
            <w14:solidFill>
              <w14:schemeClr w14:val="tx1"/>
            </w14:solidFill>
          </w14:textFill>
        </w:rPr>
        <w:t>的指标权重确定与基准设定</w:t>
      </w:r>
    </w:p>
    <w:p w14:paraId="104EBFB4">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邀请</w:t>
      </w:r>
      <w:r>
        <w:rPr>
          <w:rFonts w:hint="eastAsia" w:ascii="宋体" w:hAnsi="宋体"/>
          <w:bCs/>
          <w:color w:val="000000" w:themeColor="text1"/>
          <w:sz w:val="21"/>
          <w:szCs w:val="21"/>
          <w14:textFill>
            <w14:solidFill>
              <w14:schemeClr w14:val="tx1"/>
            </w14:solidFill>
          </w14:textFill>
        </w:rPr>
        <w:t>了</w:t>
      </w:r>
      <w:r>
        <w:rPr>
          <w:rFonts w:ascii="宋体" w:hAnsi="宋体"/>
          <w:bCs/>
          <w:color w:val="000000" w:themeColor="text1"/>
          <w:sz w:val="21"/>
          <w:szCs w:val="21"/>
          <w14:textFill>
            <w14:solidFill>
              <w14:schemeClr w14:val="tx1"/>
            </w14:solidFill>
          </w14:textFill>
        </w:rPr>
        <w:t>水务领域专家（</w:t>
      </w:r>
      <w:r>
        <w:rPr>
          <w:rFonts w:hint="eastAsia" w:ascii="宋体" w:hAnsi="宋体"/>
          <w:bCs/>
          <w:color w:val="000000" w:themeColor="text1"/>
          <w:sz w:val="21"/>
          <w:szCs w:val="21"/>
          <w14:textFill>
            <w14:solidFill>
              <w14:schemeClr w14:val="tx1"/>
            </w14:solidFill>
          </w14:textFill>
        </w:rPr>
        <w:t>含</w:t>
      </w:r>
      <w:r>
        <w:rPr>
          <w:rFonts w:ascii="宋体" w:hAnsi="宋体"/>
          <w:bCs/>
          <w:color w:val="000000" w:themeColor="text1"/>
          <w:sz w:val="21"/>
          <w:szCs w:val="21"/>
          <w14:textFill>
            <w14:solidFill>
              <w14:schemeClr w14:val="tx1"/>
            </w14:solidFill>
          </w14:textFill>
        </w:rPr>
        <w:t>管理、水文、信息技术专业）对各层级指标进行两两</w:t>
      </w:r>
      <w:r>
        <w:rPr>
          <w:rFonts w:hint="eastAsia" w:ascii="宋体" w:hAnsi="宋体"/>
          <w:bCs/>
          <w:color w:val="000000" w:themeColor="text1"/>
          <w:sz w:val="21"/>
          <w:szCs w:val="21"/>
          <w14:textFill>
            <w14:solidFill>
              <w14:schemeClr w14:val="tx1"/>
            </w14:solidFill>
          </w14:textFill>
        </w:rPr>
        <w:t>对比</w:t>
      </w:r>
      <w:r>
        <w:rPr>
          <w:rFonts w:ascii="宋体" w:hAnsi="宋体"/>
          <w:bCs/>
          <w:color w:val="000000" w:themeColor="text1"/>
          <w:sz w:val="21"/>
          <w:szCs w:val="21"/>
          <w14:textFill>
            <w14:solidFill>
              <w14:schemeClr w14:val="tx1"/>
            </w14:solidFill>
          </w14:textFill>
        </w:rPr>
        <w:t>，</w:t>
      </w:r>
      <w:r>
        <w:rPr>
          <w:rFonts w:hint="eastAsia" w:ascii="宋体" w:hAnsi="宋体"/>
          <w:bCs/>
          <w:color w:val="000000" w:themeColor="text1"/>
          <w:sz w:val="21"/>
          <w:szCs w:val="21"/>
          <w14:textFill>
            <w14:solidFill>
              <w14:schemeClr w14:val="tx1"/>
            </w14:solidFill>
          </w14:textFill>
        </w:rPr>
        <w:t>建立</w:t>
      </w:r>
      <w:r>
        <w:rPr>
          <w:rFonts w:ascii="宋体" w:hAnsi="宋体"/>
          <w:bCs/>
          <w:color w:val="000000" w:themeColor="text1"/>
          <w:sz w:val="21"/>
          <w:szCs w:val="21"/>
          <w14:textFill>
            <w14:solidFill>
              <w14:schemeClr w14:val="tx1"/>
            </w14:solidFill>
          </w14:textFill>
        </w:rPr>
        <w:t>判断矩阵。以准则层对目标层的权重计算为例</w:t>
      </w:r>
      <w:r>
        <w:rPr>
          <w:rFonts w:hint="eastAsia" w:ascii="宋体" w:hAnsi="宋体"/>
          <w:bCs/>
          <w:color w:val="000000" w:themeColor="text1"/>
          <w:sz w:val="21"/>
          <w:szCs w:val="21"/>
          <w14:textFill>
            <w14:solidFill>
              <w14:schemeClr w14:val="tx1"/>
            </w14:solidFill>
          </w14:textFill>
        </w:rPr>
        <w:t>，具体计算过程如下。</w:t>
      </w:r>
    </w:p>
    <w:p w14:paraId="381D071A">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（1）</w:t>
      </w:r>
      <w:r>
        <w:rPr>
          <w:rFonts w:ascii="宋体" w:hAnsi="宋体"/>
          <w:bCs/>
          <w:color w:val="000000" w:themeColor="text1"/>
          <w:sz w:val="21"/>
          <w:szCs w:val="21"/>
          <w14:textFill>
            <w14:solidFill>
              <w14:schemeClr w14:val="tx1"/>
            </w14:solidFill>
          </w14:textFill>
        </w:rPr>
        <w:t>构造判断矩阵</w:t>
      </w:r>
      <w:r>
        <w:rPr>
          <w:rFonts w:hint="eastAsia" w:ascii="宋体" w:hAnsi="宋体"/>
          <w:bCs/>
          <w:color w:val="000000" w:themeColor="text1"/>
          <w:sz w:val="21"/>
          <w:szCs w:val="21"/>
          <w14:textFill>
            <w14:solidFill>
              <w14:schemeClr w14:val="tx1"/>
            </w14:solidFill>
          </w14:textFill>
        </w:rPr>
        <w:t>。</w:t>
      </w:r>
      <w:r>
        <w:rPr>
          <w:rFonts w:ascii="宋体" w:hAnsi="宋体"/>
          <w:bCs/>
          <w:color w:val="000000" w:themeColor="text1"/>
          <w:sz w:val="21"/>
          <w:szCs w:val="21"/>
          <w14:textFill>
            <w14:solidFill>
              <w14:schemeClr w14:val="tx1"/>
            </w14:solidFill>
          </w14:textFill>
        </w:rPr>
        <w:t>根据专家</w:t>
      </w:r>
      <w:r>
        <w:rPr>
          <w:rFonts w:hint="eastAsia" w:ascii="宋体" w:hAnsi="宋体"/>
          <w:bCs/>
          <w:color w:val="000000" w:themeColor="text1"/>
          <w:sz w:val="21"/>
          <w:szCs w:val="21"/>
          <w14:textFill>
            <w14:solidFill>
              <w14:schemeClr w14:val="tx1"/>
            </w14:solidFill>
          </w14:textFill>
        </w:rPr>
        <w:t>对各准则进行</w:t>
      </w:r>
      <w:r>
        <w:rPr>
          <w:rFonts w:ascii="宋体" w:hAnsi="宋体"/>
          <w:bCs/>
          <w:color w:val="000000" w:themeColor="text1"/>
          <w:sz w:val="21"/>
          <w:szCs w:val="21"/>
          <w14:textFill>
            <w14:solidFill>
              <w14:schemeClr w14:val="tx1"/>
            </w14:solidFill>
          </w14:textFill>
        </w:rPr>
        <w:t xml:space="preserve">打分（采用1-9标度法），得到矩阵 </w:t>
      </w:r>
      <m:oMath>
        <m:r>
          <m:rPr/>
          <w:rPr>
            <w:rFonts w:ascii="Cambria Math" w:hAnsi="Cambria Math"/>
            <w:color w:val="000000" w:themeColor="text1"/>
            <w:sz w:val="21"/>
            <w:szCs w:val="21"/>
            <w14:textFill>
              <w14:solidFill>
                <w14:schemeClr w14:val="tx1"/>
              </w14:solidFill>
            </w14:textFill>
          </w:rPr>
          <m:t>A</m:t>
        </m:r>
      </m:oMath>
      <w:r>
        <w:rPr>
          <w:rFonts w:hint="eastAsia" w:ascii="宋体" w:hAnsi="宋体"/>
          <w:bCs/>
          <w:color w:val="000000" w:themeColor="text1"/>
          <w:sz w:val="21"/>
          <w:szCs w:val="21"/>
          <w14:textFill>
            <w14:solidFill>
              <w14:schemeClr w14:val="tx1"/>
            </w14:solidFill>
          </w14:textFill>
        </w:rPr>
        <w:t>。</w:t>
      </w:r>
    </w:p>
    <w:p w14:paraId="4CA63873">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（2）</w:t>
      </w:r>
      <w:r>
        <w:rPr>
          <w:rFonts w:ascii="宋体" w:hAnsi="宋体"/>
          <w:bCs/>
          <w:color w:val="000000" w:themeColor="text1"/>
          <w:sz w:val="21"/>
          <w:szCs w:val="21"/>
          <w14:textFill>
            <w14:solidFill>
              <w14:schemeClr w14:val="tx1"/>
            </w14:solidFill>
          </w14:textFill>
        </w:rPr>
        <w:t>计算权重向量</w:t>
      </w:r>
      <w:r>
        <w:rPr>
          <w:rFonts w:hint="eastAsia" w:ascii="宋体" w:hAnsi="宋体"/>
          <w:bCs/>
          <w:color w:val="000000" w:themeColor="text1"/>
          <w:sz w:val="21"/>
          <w:szCs w:val="21"/>
          <w14:textFill>
            <w14:solidFill>
              <w14:schemeClr w14:val="tx1"/>
            </w14:solidFill>
          </w14:textFill>
        </w:rPr>
        <w:t>。通过</w:t>
      </w:r>
      <w:r>
        <w:rPr>
          <w:rFonts w:ascii="宋体" w:hAnsi="宋体"/>
          <w:bCs/>
          <w:color w:val="000000" w:themeColor="text1"/>
          <w:sz w:val="21"/>
          <w:szCs w:val="21"/>
          <w14:textFill>
            <w14:solidFill>
              <w14:schemeClr w14:val="tx1"/>
            </w14:solidFill>
          </w14:textFill>
        </w:rPr>
        <w:t>和积法或特征根法，</w:t>
      </w:r>
      <w:r>
        <w:rPr>
          <w:rFonts w:hint="eastAsia" w:ascii="宋体" w:hAnsi="宋体"/>
          <w:bCs/>
          <w:color w:val="000000" w:themeColor="text1"/>
          <w:sz w:val="21"/>
          <w:szCs w:val="21"/>
          <w14:textFill>
            <w14:solidFill>
              <w14:schemeClr w14:val="tx1"/>
            </w14:solidFill>
          </w14:textFill>
        </w:rPr>
        <w:t>得到</w:t>
      </w:r>
      <w:r>
        <w:rPr>
          <w:rFonts w:ascii="宋体" w:hAnsi="宋体"/>
          <w:bCs/>
          <w:color w:val="000000" w:themeColor="text1"/>
          <w:sz w:val="21"/>
          <w:szCs w:val="21"/>
          <w14:textFill>
            <w14:solidFill>
              <w14:schemeClr w14:val="tx1"/>
            </w14:solidFill>
          </w14:textFill>
        </w:rPr>
        <w:t xml:space="preserve">矩阵 </w:t>
      </w:r>
      <m:oMath>
        <m:r>
          <m:rPr/>
          <w:rPr>
            <w:rFonts w:ascii="Cambria Math" w:hAnsi="Cambria Math"/>
            <w:color w:val="000000" w:themeColor="text1"/>
            <w:sz w:val="21"/>
            <w:szCs w:val="21"/>
            <w14:textFill>
              <w14:solidFill>
                <w14:schemeClr w14:val="tx1"/>
              </w14:solidFill>
            </w14:textFill>
          </w:rPr>
          <m:t>A</m:t>
        </m:r>
      </m:oMath>
      <w:r>
        <w:rPr>
          <w:rFonts w:ascii="宋体" w:hAnsi="宋体"/>
          <w:bCs/>
          <w:color w:val="000000" w:themeColor="text1"/>
          <w:sz w:val="21"/>
          <w:szCs w:val="21"/>
          <w14:textFill>
            <w14:solidFill>
              <w14:schemeClr w14:val="tx1"/>
            </w14:solidFill>
          </w14:textFill>
        </w:rPr>
        <w:t xml:space="preserve"> 的最大特征根 </w:t>
      </w:r>
      <m:oMath>
        <m:sSub>
          <m:sSubPr>
            <m:ctrlPr>
              <w:rPr>
                <w:rFonts w:ascii="Cambria Math" w:hAnsi="Cambria Math"/>
                <w:bCs/>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λ</m:t>
            </m:r>
            <m:ctrlPr>
              <w:rPr>
                <w:rFonts w:ascii="Cambria Math" w:hAnsi="Cambria Math"/>
                <w:bCs/>
                <w:color w:val="000000" w:themeColor="text1"/>
                <w:sz w:val="21"/>
                <w:szCs w:val="21"/>
                <w14:textFill>
                  <w14:solidFill>
                    <w14:schemeClr w14:val="tx1"/>
                  </w14:solidFill>
                </w14:textFill>
              </w:rPr>
            </m:ctrlPr>
          </m:e>
          <m:sub>
            <m:r>
              <m:rPr>
                <m:sty m:val="p"/>
              </m:rPr>
              <w:rPr>
                <w:rFonts w:ascii="Cambria Math" w:hAnsi="Cambria Math"/>
                <w:color w:val="000000" w:themeColor="text1"/>
                <w:sz w:val="21"/>
                <w:szCs w:val="21"/>
                <w14:textFill>
                  <w14:solidFill>
                    <w14:schemeClr w14:val="tx1"/>
                  </w14:solidFill>
                </w14:textFill>
              </w:rPr>
              <m:t>max</m:t>
            </m:r>
            <m:ctrlPr>
              <w:rPr>
                <w:rFonts w:ascii="Cambria Math" w:hAnsi="Cambria Math"/>
                <w:bCs/>
                <w:color w:val="000000" w:themeColor="text1"/>
                <w:sz w:val="21"/>
                <w:szCs w:val="21"/>
                <w14:textFill>
                  <w14:solidFill>
                    <w14:schemeClr w14:val="tx1"/>
                  </w14:solidFill>
                </w14:textFill>
              </w:rPr>
            </m:ctrlPr>
          </m:sub>
        </m:sSub>
      </m:oMath>
      <w:r>
        <w:rPr>
          <w:rFonts w:ascii="宋体" w:hAnsi="宋体"/>
          <w:bCs/>
          <w:color w:val="000000" w:themeColor="text1"/>
          <w:sz w:val="21"/>
          <w:szCs w:val="21"/>
          <w14:textFill>
            <w14:solidFill>
              <w14:schemeClr w14:val="tx1"/>
            </w14:solidFill>
          </w14:textFill>
        </w:rPr>
        <w:t xml:space="preserve"> 及其</w:t>
      </w:r>
      <w:r>
        <w:rPr>
          <w:rFonts w:hint="eastAsia" w:ascii="宋体" w:hAnsi="宋体"/>
          <w:bCs/>
          <w:color w:val="000000" w:themeColor="text1"/>
          <w:sz w:val="21"/>
          <w:szCs w:val="21"/>
          <w14:textFill>
            <w14:solidFill>
              <w14:schemeClr w14:val="tx1"/>
            </w14:solidFill>
          </w14:textFill>
        </w:rPr>
        <w:t>相</w:t>
      </w:r>
      <w:r>
        <w:rPr>
          <w:rFonts w:ascii="宋体" w:hAnsi="宋体"/>
          <w:bCs/>
          <w:color w:val="000000" w:themeColor="text1"/>
          <w:sz w:val="21"/>
          <w:szCs w:val="21"/>
          <w14:textFill>
            <w14:solidFill>
              <w14:schemeClr w14:val="tx1"/>
            </w14:solidFill>
          </w14:textFill>
        </w:rPr>
        <w:t xml:space="preserve">应的归一化特征向量 </w:t>
      </w:r>
      <m:oMath>
        <m:r>
          <m:rPr/>
          <w:rPr>
            <w:rFonts w:ascii="Cambria Math" w:hAnsi="Cambria Math"/>
            <w:color w:val="000000" w:themeColor="text1"/>
            <w:sz w:val="21"/>
            <w:szCs w:val="21"/>
            <w14:textFill>
              <w14:solidFill>
                <w14:schemeClr w14:val="tx1"/>
              </w14:solidFill>
            </w14:textFill>
          </w:rPr>
          <m:t>W</m:t>
        </m:r>
      </m:oMath>
      <w:r>
        <w:rPr>
          <w:rFonts w:ascii="宋体" w:hAnsi="宋体"/>
          <w:bCs/>
          <w:color w:val="000000" w:themeColor="text1"/>
          <w:sz w:val="21"/>
          <w:szCs w:val="21"/>
          <w14:textFill>
            <w14:solidFill>
              <w14:schemeClr w14:val="tx1"/>
            </w14:solidFill>
          </w14:textFill>
        </w:rPr>
        <w:t>，该向量即为各准则权重。</w:t>
      </w:r>
      <w:r>
        <w:rPr>
          <w:rFonts w:hint="eastAsia" w:ascii="宋体" w:hAnsi="宋体"/>
          <w:bCs/>
          <w:color w:val="000000" w:themeColor="text1"/>
          <w:sz w:val="21"/>
          <w:szCs w:val="21"/>
          <w14:textFill>
            <w14:solidFill>
              <w14:schemeClr w14:val="tx1"/>
            </w14:solidFill>
          </w14:textFill>
        </w:rPr>
        <w:t>其中</w:t>
      </w:r>
      <w:r>
        <w:rPr>
          <w:rFonts w:ascii="宋体" w:hAnsi="宋体"/>
          <w:bCs/>
          <w:color w:val="000000" w:themeColor="text1"/>
          <w:sz w:val="21"/>
          <w:szCs w:val="21"/>
          <w14:textFill>
            <w14:solidFill>
              <w14:schemeClr w14:val="tx1"/>
            </w14:solidFill>
          </w14:textFill>
        </w:rPr>
        <w:t>和积法</w:t>
      </w:r>
      <w:r>
        <w:rPr>
          <w:rFonts w:hint="eastAsia" w:ascii="宋体" w:hAnsi="宋体"/>
          <w:bCs/>
          <w:color w:val="000000" w:themeColor="text1"/>
          <w:sz w:val="21"/>
          <w:szCs w:val="21"/>
          <w14:textFill>
            <w14:solidFill>
              <w14:schemeClr w14:val="tx1"/>
            </w14:solidFill>
          </w14:textFill>
        </w:rPr>
        <w:t>的</w:t>
      </w:r>
      <w:r>
        <w:rPr>
          <w:rFonts w:ascii="宋体" w:hAnsi="宋体"/>
          <w:bCs/>
          <w:color w:val="000000" w:themeColor="text1"/>
          <w:sz w:val="21"/>
          <w:szCs w:val="21"/>
          <w14:textFill>
            <w14:solidFill>
              <w14:schemeClr w14:val="tx1"/>
            </w14:solidFill>
          </w14:textFill>
        </w:rPr>
        <w:t>计算公式如下</w:t>
      </w:r>
      <w:r>
        <w:rPr>
          <w:rFonts w:hint="eastAsia" w:ascii="宋体" w:hAnsi="宋体"/>
          <w:bCs/>
          <w:color w:val="000000" w:themeColor="text1"/>
          <w:sz w:val="21"/>
          <w:szCs w:val="21"/>
          <w14:textFill>
            <w14:solidFill>
              <w14:schemeClr w14:val="tx1"/>
            </w14:solidFill>
          </w14:textFill>
        </w:rPr>
        <w:t>。</w:t>
      </w:r>
    </w:p>
    <w:p w14:paraId="1FD082F9">
      <w:pPr>
        <w:pStyle w:val="50"/>
        <w:spacing w:line="240" w:lineRule="auto"/>
        <w:ind w:left="420" w:firstLine="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将判断矩阵按列归一化</w:t>
      </w:r>
    </w:p>
    <w:p w14:paraId="1D3D5337">
      <w:pPr>
        <w:pStyle w:val="50"/>
        <w:spacing w:line="240" w:lineRule="auto"/>
        <w:ind w:firstLineChars="267"/>
        <w:rPr>
          <w:rFonts w:hint="eastAsia" w:ascii="宋体" w:hAnsi="宋体"/>
          <w:bCs/>
          <w:color w:val="000000" w:themeColor="text1"/>
          <w:sz w:val="21"/>
          <w:szCs w:val="21"/>
          <w14:textFill>
            <w14:solidFill>
              <w14:schemeClr w14:val="tx1"/>
            </w14:solidFill>
          </w14:textFill>
        </w:rPr>
      </w:pPr>
      <m:oMath>
        <m:r>
          <m:rPr/>
          <w:rPr>
            <w:rFonts w:ascii="Cambria Math" w:hAnsi="Cambria Math"/>
            <w:color w:val="000000" w:themeColor="text1"/>
            <w:sz w:val="21"/>
            <w:szCs w:val="21"/>
            <w14:textFill>
              <w14:solidFill>
                <w14:schemeClr w14:val="tx1"/>
              </w14:solidFill>
            </w14:textFill>
          </w:rPr>
          <m:t xml:space="preserve">                                       </m:t>
        </m:r>
        <m:sSub>
          <m:sSubPr>
            <m:ctrlPr>
              <w:rPr>
                <w:rFonts w:ascii="Cambria Math" w:hAnsi="Cambria Math"/>
                <w:bCs/>
                <w:color w:val="000000" w:themeColor="text1"/>
                <w:sz w:val="21"/>
                <w:szCs w:val="21"/>
                <w14:textFill>
                  <w14:solidFill>
                    <w14:schemeClr w14:val="tx1"/>
                  </w14:solidFill>
                </w14:textFill>
              </w:rPr>
            </m:ctrlPr>
          </m:sSubPr>
          <m:e>
            <m:acc>
              <m:accPr>
                <m:chr m:val="‾"/>
                <m:ctrlPr>
                  <w:rPr>
                    <w:rFonts w:ascii="Cambria Math" w:hAnsi="Cambria Math"/>
                    <w:bCs/>
                    <w:color w:val="000000" w:themeColor="text1"/>
                    <w:sz w:val="21"/>
                    <w:szCs w:val="21"/>
                    <w14:textFill>
                      <w14:solidFill>
                        <w14:schemeClr w14:val="tx1"/>
                      </w14:solidFill>
                    </w14:textFill>
                  </w:rPr>
                </m:ctrlPr>
              </m:accPr>
              <m:e>
                <m:r>
                  <m:rPr/>
                  <w:rPr>
                    <w:rFonts w:ascii="Cambria Math" w:hAnsi="Cambria Math"/>
                    <w:color w:val="000000" w:themeColor="text1"/>
                    <w:sz w:val="21"/>
                    <w:szCs w:val="21"/>
                    <w14:textFill>
                      <w14:solidFill>
                        <w14:schemeClr w14:val="tx1"/>
                      </w14:solidFill>
                    </w14:textFill>
                  </w:rPr>
                  <m:t>a</m:t>
                </m:r>
                <m:ctrlPr>
                  <w:rPr>
                    <w:rFonts w:ascii="Cambria Math" w:hAnsi="Cambria Math"/>
                    <w:bCs/>
                    <w:color w:val="000000" w:themeColor="text1"/>
                    <w:sz w:val="21"/>
                    <w:szCs w:val="21"/>
                    <w14:textFill>
                      <w14:solidFill>
                        <w14:schemeClr w14:val="tx1"/>
                      </w14:solidFill>
                    </w14:textFill>
                  </w:rPr>
                </m:ctrlPr>
              </m:e>
            </m:acc>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ij</m:t>
            </m:r>
            <m:ctrlPr>
              <w:rPr>
                <w:rFonts w:ascii="Cambria Math" w:hAnsi="Cambria Math"/>
                <w:bCs/>
                <w:color w:val="000000" w:themeColor="text1"/>
                <w:sz w:val="21"/>
                <w:szCs w:val="21"/>
                <w14:textFill>
                  <w14:solidFill>
                    <w14:schemeClr w14:val="tx1"/>
                  </w14:solidFill>
                </w14:textFill>
              </w:rPr>
            </m:ctrlPr>
          </m:sub>
        </m:sSub>
        <m:r>
          <m:rPr>
            <m:sty m:val="p"/>
          </m:rPr>
          <w:rPr>
            <w:rFonts w:ascii="Cambria Math" w:hAnsi="Cambria Math"/>
            <w:color w:val="000000" w:themeColor="text1"/>
            <w:sz w:val="21"/>
            <w:szCs w:val="21"/>
            <w14:textFill>
              <w14:solidFill>
                <w14:schemeClr w14:val="tx1"/>
              </w14:solidFill>
            </w14:textFill>
          </w:rPr>
          <m:t>=</m:t>
        </m:r>
        <m:sSub>
          <m:sSubPr>
            <m:ctrlPr>
              <w:rPr>
                <w:rFonts w:ascii="Cambria Math" w:hAnsi="Cambria Math"/>
                <w:bCs/>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a</m:t>
            </m:r>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ij</m:t>
            </m:r>
            <m:ctrlPr>
              <w:rPr>
                <w:rFonts w:ascii="Cambria Math" w:hAnsi="Cambria Math"/>
                <w:bCs/>
                <w:color w:val="000000" w:themeColor="text1"/>
                <w:sz w:val="21"/>
                <w:szCs w:val="21"/>
                <w14:textFill>
                  <w14:solidFill>
                    <w14:schemeClr w14:val="tx1"/>
                  </w14:solidFill>
                </w14:textFill>
              </w:rPr>
            </m:ctrlPr>
          </m:sub>
        </m:sSub>
        <m:r>
          <m:rPr>
            <m:sty m:val="p"/>
          </m:rPr>
          <w:rPr>
            <w:rFonts w:ascii="Cambria Math" w:hAnsi="Cambria Math"/>
            <w:color w:val="000000" w:themeColor="text1"/>
            <w:sz w:val="21"/>
            <w:szCs w:val="21"/>
            <w14:textFill>
              <w14:solidFill>
                <w14:schemeClr w14:val="tx1"/>
              </w14:solidFill>
            </w14:textFill>
          </w:rPr>
          <m:t>/</m:t>
        </m:r>
        <m:nary>
          <m:naryPr>
            <m:chr m:val="∑"/>
            <m:grow m:val="1"/>
            <m:limLoc m:val="undOvr"/>
            <m:ctrlPr>
              <w:rPr>
                <w:rFonts w:ascii="Cambria Math" w:hAnsi="Cambria Math"/>
                <w:bCs/>
                <w:color w:val="000000" w:themeColor="text1"/>
                <w:sz w:val="21"/>
                <w:szCs w:val="21"/>
                <w14:textFill>
                  <w14:solidFill>
                    <w14:schemeClr w14:val="tx1"/>
                  </w14:solidFill>
                </w14:textFill>
              </w:rPr>
            </m:ctrlPr>
          </m:naryPr>
          <m:sub>
            <m:r>
              <m:rPr/>
              <w:rPr>
                <w:rFonts w:ascii="Cambria Math" w:hAnsi="Cambria Math"/>
                <w:color w:val="000000" w:themeColor="text1"/>
                <w:sz w:val="21"/>
                <w:szCs w:val="21"/>
                <w14:textFill>
                  <w14:solidFill>
                    <w14:schemeClr w14:val="tx1"/>
                  </w14:solidFill>
                </w14:textFill>
              </w:rPr>
              <m:t>k</m:t>
            </m:r>
            <m:r>
              <m:rPr>
                <m:sty m:val="p"/>
              </m:rPr>
              <w:rPr>
                <w:rFonts w:ascii="Cambria Math" w:hAnsi="Cambria Math"/>
                <w:color w:val="000000" w:themeColor="text1"/>
                <w:sz w:val="21"/>
                <w:szCs w:val="21"/>
                <w14:textFill>
                  <w14:solidFill>
                    <w14:schemeClr w14:val="tx1"/>
                  </w14:solidFill>
                </w14:textFill>
              </w:rPr>
              <m:t>=1</m:t>
            </m:r>
            <m:ctrlPr>
              <w:rPr>
                <w:rFonts w:ascii="Cambria Math" w:hAnsi="Cambria Math"/>
                <w:bCs/>
                <w:color w:val="000000" w:themeColor="text1"/>
                <w:sz w:val="21"/>
                <w:szCs w:val="21"/>
                <w14:textFill>
                  <w14:solidFill>
                    <w14:schemeClr w14:val="tx1"/>
                  </w14:solidFill>
                </w14:textFill>
              </w:rPr>
            </m:ctrlPr>
          </m:sub>
          <m:sup>
            <m:r>
              <m:rPr/>
              <w:rPr>
                <w:rFonts w:ascii="Cambria Math" w:hAnsi="Cambria Math"/>
                <w:color w:val="000000" w:themeColor="text1"/>
                <w:sz w:val="21"/>
                <w:szCs w:val="21"/>
                <w14:textFill>
                  <w14:solidFill>
                    <w14:schemeClr w14:val="tx1"/>
                  </w14:solidFill>
                </w14:textFill>
              </w:rPr>
              <m:t>n</m:t>
            </m:r>
            <m:ctrlPr>
              <w:rPr>
                <w:rFonts w:ascii="Cambria Math" w:hAnsi="Cambria Math"/>
                <w:bCs/>
                <w:color w:val="000000" w:themeColor="text1"/>
                <w:sz w:val="21"/>
                <w:szCs w:val="21"/>
                <w14:textFill>
                  <w14:solidFill>
                    <w14:schemeClr w14:val="tx1"/>
                  </w14:solidFill>
                </w14:textFill>
              </w:rPr>
            </m:ctrlPr>
          </m:sup>
          <m:e>
            <m:r>
              <m:rPr>
                <m:sty m:val="p"/>
              </m:rPr>
              <w:rPr>
                <w:rFonts w:ascii="Cambria Math" w:hAnsi="Cambria Math"/>
                <w:color w:val="000000" w:themeColor="text1"/>
                <w:sz w:val="21"/>
                <w:szCs w:val="21"/>
                <w14:textFill>
                  <w14:solidFill>
                    <w14:schemeClr w14:val="tx1"/>
                  </w14:solidFill>
                </w14:textFill>
              </w:rPr>
              <m:t> </m:t>
            </m:r>
            <m:ctrlPr>
              <w:rPr>
                <w:rFonts w:ascii="Cambria Math" w:hAnsi="Cambria Math"/>
                <w:bCs/>
                <w:color w:val="000000" w:themeColor="text1"/>
                <w:sz w:val="21"/>
                <w:szCs w:val="21"/>
                <w14:textFill>
                  <w14:solidFill>
                    <w14:schemeClr w14:val="tx1"/>
                  </w14:solidFill>
                </w14:textFill>
              </w:rPr>
            </m:ctrlPr>
          </m:e>
        </m:nary>
        <m:sSub>
          <m:sSubPr>
            <m:ctrlPr>
              <w:rPr>
                <w:rFonts w:ascii="Cambria Math" w:hAnsi="Cambria Math"/>
                <w:bCs/>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a</m:t>
            </m:r>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kj</m:t>
            </m:r>
            <m:ctrlPr>
              <w:rPr>
                <w:rFonts w:ascii="Cambria Math" w:hAnsi="Cambria Math"/>
                <w:bCs/>
                <w:color w:val="000000" w:themeColor="text1"/>
                <w:sz w:val="21"/>
                <w:szCs w:val="21"/>
                <w14:textFill>
                  <w14:solidFill>
                    <w14:schemeClr w14:val="tx1"/>
                  </w14:solidFill>
                </w14:textFill>
              </w:rPr>
            </m:ctrlPr>
          </m:sub>
        </m:sSub>
        <m:r>
          <m:rPr/>
          <w:rPr>
            <w:rFonts w:ascii="Cambria Math" w:hAnsi="Cambria Math"/>
            <w:color w:val="000000" w:themeColor="text1"/>
            <w:sz w:val="21"/>
            <w:szCs w:val="21"/>
            <w14:textFill>
              <w14:solidFill>
                <w14:schemeClr w14:val="tx1"/>
              </w14:solidFill>
            </w14:textFill>
          </w:rPr>
          <m:t xml:space="preserve"> </m:t>
        </m:r>
      </m:oMath>
      <w:r>
        <w:rPr>
          <w:rFonts w:hint="eastAsia" w:ascii="宋体" w:hAnsi="宋体"/>
          <w:bCs/>
          <w:color w:val="000000" w:themeColor="text1"/>
          <w:sz w:val="21"/>
          <w:szCs w:val="21"/>
          <w14:textFill>
            <w14:solidFill>
              <w14:schemeClr w14:val="tx1"/>
            </w14:solidFill>
          </w14:textFill>
        </w:rPr>
        <w:t xml:space="preserve">                          </w:t>
      </w:r>
      <w:r>
        <w:rPr>
          <w:rFonts w:hint="eastAsia" w:hAnsi="Cambria Math"/>
          <w:sz w:val="21"/>
          <w:szCs w:val="21"/>
        </w:rPr>
        <w:t>（3）</w:t>
      </w:r>
    </w:p>
    <w:p w14:paraId="54AE26C4">
      <w:pPr>
        <w:pStyle w:val="50"/>
        <w:spacing w:line="240" w:lineRule="auto"/>
        <w:ind w:left="420" w:firstLine="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将归一化后的矩阵按行求和</w:t>
      </w:r>
    </w:p>
    <w:p w14:paraId="3812197A">
      <w:pPr>
        <w:pStyle w:val="50"/>
        <w:spacing w:line="240" w:lineRule="auto"/>
        <w:ind w:left="420" w:firstLine="3150" w:firstLineChars="1500"/>
        <w:rPr>
          <w:rFonts w:hint="eastAsia" w:ascii="宋体" w:hAnsi="宋体"/>
          <w:bCs/>
          <w:color w:val="000000" w:themeColor="text1"/>
          <w:sz w:val="21"/>
          <w:szCs w:val="21"/>
          <w14:textFill>
            <w14:solidFill>
              <w14:schemeClr w14:val="tx1"/>
            </w14:solidFill>
          </w14:textFill>
        </w:rPr>
      </w:pPr>
      <m:oMath>
        <m:sSub>
          <m:sSubPr>
            <m:ctrlPr>
              <w:rPr>
                <w:rFonts w:ascii="Cambria Math" w:hAnsi="Cambria Math"/>
                <w:bCs/>
                <w:color w:val="000000" w:themeColor="text1"/>
                <w:sz w:val="21"/>
                <w:szCs w:val="21"/>
                <w14:textFill>
                  <w14:solidFill>
                    <w14:schemeClr w14:val="tx1"/>
                  </w14:solidFill>
                </w14:textFill>
              </w:rPr>
            </m:ctrlPr>
          </m:sSubPr>
          <m:e>
            <m:acc>
              <m:accPr>
                <m:chr m:val="‾"/>
                <m:ctrlPr>
                  <w:rPr>
                    <w:rFonts w:ascii="Cambria Math" w:hAnsi="Cambria Math"/>
                    <w:bCs/>
                    <w:color w:val="000000" w:themeColor="text1"/>
                    <w:sz w:val="21"/>
                    <w:szCs w:val="21"/>
                    <w14:textFill>
                      <w14:solidFill>
                        <w14:schemeClr w14:val="tx1"/>
                      </w14:solidFill>
                    </w14:textFill>
                  </w:rPr>
                </m:ctrlPr>
              </m:accPr>
              <m:e>
                <m:r>
                  <m:rPr/>
                  <w:rPr>
                    <w:rFonts w:ascii="Cambria Math" w:hAnsi="Cambria Math"/>
                    <w:color w:val="000000" w:themeColor="text1"/>
                    <w:sz w:val="21"/>
                    <w:szCs w:val="21"/>
                    <w14:textFill>
                      <w14:solidFill>
                        <w14:schemeClr w14:val="tx1"/>
                      </w14:solidFill>
                    </w14:textFill>
                  </w:rPr>
                  <m:t>w</m:t>
                </m:r>
                <m:ctrlPr>
                  <w:rPr>
                    <w:rFonts w:ascii="Cambria Math" w:hAnsi="Cambria Math"/>
                    <w:bCs/>
                    <w:color w:val="000000" w:themeColor="text1"/>
                    <w:sz w:val="21"/>
                    <w:szCs w:val="21"/>
                    <w14:textFill>
                      <w14:solidFill>
                        <w14:schemeClr w14:val="tx1"/>
                      </w14:solidFill>
                    </w14:textFill>
                  </w:rPr>
                </m:ctrlPr>
              </m:e>
            </m:acc>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i</m:t>
            </m:r>
            <m:ctrlPr>
              <w:rPr>
                <w:rFonts w:ascii="Cambria Math" w:hAnsi="Cambria Math"/>
                <w:bCs/>
                <w:color w:val="000000" w:themeColor="text1"/>
                <w:sz w:val="21"/>
                <w:szCs w:val="21"/>
                <w14:textFill>
                  <w14:solidFill>
                    <w14:schemeClr w14:val="tx1"/>
                  </w14:solidFill>
                </w14:textFill>
              </w:rPr>
            </m:ctrlPr>
          </m:sub>
        </m:sSub>
        <m:r>
          <m:rPr>
            <m:sty m:val="p"/>
          </m:rPr>
          <w:rPr>
            <w:rFonts w:ascii="Cambria Math" w:hAnsi="Cambria Math"/>
            <w:color w:val="000000" w:themeColor="text1"/>
            <w:sz w:val="21"/>
            <w:szCs w:val="21"/>
            <w14:textFill>
              <w14:solidFill>
                <w14:schemeClr w14:val="tx1"/>
              </w14:solidFill>
            </w14:textFill>
          </w:rPr>
          <m:t>=</m:t>
        </m:r>
        <m:nary>
          <m:naryPr>
            <m:chr m:val="∑"/>
            <m:grow m:val="1"/>
            <m:limLoc m:val="undOvr"/>
            <m:ctrlPr>
              <w:rPr>
                <w:rFonts w:ascii="Cambria Math" w:hAnsi="Cambria Math"/>
                <w:bCs/>
                <w:color w:val="000000" w:themeColor="text1"/>
                <w:sz w:val="21"/>
                <w:szCs w:val="21"/>
                <w14:textFill>
                  <w14:solidFill>
                    <w14:schemeClr w14:val="tx1"/>
                  </w14:solidFill>
                </w14:textFill>
              </w:rPr>
            </m:ctrlPr>
          </m:naryPr>
          <m:sub>
            <m:r>
              <m:rPr/>
              <w:rPr>
                <w:rFonts w:ascii="Cambria Math" w:hAnsi="Cambria Math"/>
                <w:color w:val="000000" w:themeColor="text1"/>
                <w:sz w:val="21"/>
                <w:szCs w:val="21"/>
                <w14:textFill>
                  <w14:solidFill>
                    <w14:schemeClr w14:val="tx1"/>
                  </w14:solidFill>
                </w14:textFill>
              </w:rPr>
              <m:t>j</m:t>
            </m:r>
            <m:r>
              <m:rPr>
                <m:sty m:val="p"/>
              </m:rPr>
              <w:rPr>
                <w:rFonts w:ascii="Cambria Math" w:hAnsi="Cambria Math"/>
                <w:color w:val="000000" w:themeColor="text1"/>
                <w:sz w:val="21"/>
                <w:szCs w:val="21"/>
                <w14:textFill>
                  <w14:solidFill>
                    <w14:schemeClr w14:val="tx1"/>
                  </w14:solidFill>
                </w14:textFill>
              </w:rPr>
              <m:t>=1</m:t>
            </m:r>
            <m:ctrlPr>
              <w:rPr>
                <w:rFonts w:ascii="Cambria Math" w:hAnsi="Cambria Math"/>
                <w:bCs/>
                <w:color w:val="000000" w:themeColor="text1"/>
                <w:sz w:val="21"/>
                <w:szCs w:val="21"/>
                <w14:textFill>
                  <w14:solidFill>
                    <w14:schemeClr w14:val="tx1"/>
                  </w14:solidFill>
                </w14:textFill>
              </w:rPr>
            </m:ctrlPr>
          </m:sub>
          <m:sup>
            <m:r>
              <m:rPr/>
              <w:rPr>
                <w:rFonts w:ascii="Cambria Math" w:hAnsi="Cambria Math"/>
                <w:color w:val="000000" w:themeColor="text1"/>
                <w:sz w:val="21"/>
                <w:szCs w:val="21"/>
                <w14:textFill>
                  <w14:solidFill>
                    <w14:schemeClr w14:val="tx1"/>
                  </w14:solidFill>
                </w14:textFill>
              </w:rPr>
              <m:t>n</m:t>
            </m:r>
            <m:ctrlPr>
              <w:rPr>
                <w:rFonts w:ascii="Cambria Math" w:hAnsi="Cambria Math"/>
                <w:bCs/>
                <w:color w:val="000000" w:themeColor="text1"/>
                <w:sz w:val="21"/>
                <w:szCs w:val="21"/>
                <w14:textFill>
                  <w14:solidFill>
                    <w14:schemeClr w14:val="tx1"/>
                  </w14:solidFill>
                </w14:textFill>
              </w:rPr>
            </m:ctrlPr>
          </m:sup>
          <m:e>
            <m:r>
              <m:rPr>
                <m:sty m:val="p"/>
              </m:rPr>
              <w:rPr>
                <w:rFonts w:ascii="Cambria Math" w:hAnsi="Cambria Math"/>
                <w:color w:val="000000" w:themeColor="text1"/>
                <w:sz w:val="21"/>
                <w:szCs w:val="21"/>
                <w14:textFill>
                  <w14:solidFill>
                    <w14:schemeClr w14:val="tx1"/>
                  </w14:solidFill>
                </w14:textFill>
              </w:rPr>
              <m:t> </m:t>
            </m:r>
            <m:ctrlPr>
              <w:rPr>
                <w:rFonts w:ascii="Cambria Math" w:hAnsi="Cambria Math"/>
                <w:bCs/>
                <w:color w:val="000000" w:themeColor="text1"/>
                <w:sz w:val="21"/>
                <w:szCs w:val="21"/>
                <w14:textFill>
                  <w14:solidFill>
                    <w14:schemeClr w14:val="tx1"/>
                  </w14:solidFill>
                </w14:textFill>
              </w:rPr>
            </m:ctrlPr>
          </m:e>
        </m:nary>
        <m:sSub>
          <m:sSubPr>
            <m:ctrlPr>
              <w:rPr>
                <w:rFonts w:ascii="Cambria Math" w:hAnsi="Cambria Math"/>
                <w:bCs/>
                <w:color w:val="000000" w:themeColor="text1"/>
                <w:sz w:val="21"/>
                <w:szCs w:val="21"/>
                <w14:textFill>
                  <w14:solidFill>
                    <w14:schemeClr w14:val="tx1"/>
                  </w14:solidFill>
                </w14:textFill>
              </w:rPr>
            </m:ctrlPr>
          </m:sSubPr>
          <m:e>
            <m:acc>
              <m:accPr>
                <m:chr m:val="‾"/>
                <m:ctrlPr>
                  <w:rPr>
                    <w:rFonts w:ascii="Cambria Math" w:hAnsi="Cambria Math"/>
                    <w:bCs/>
                    <w:color w:val="000000" w:themeColor="text1"/>
                    <w:sz w:val="21"/>
                    <w:szCs w:val="21"/>
                    <w14:textFill>
                      <w14:solidFill>
                        <w14:schemeClr w14:val="tx1"/>
                      </w14:solidFill>
                    </w14:textFill>
                  </w:rPr>
                </m:ctrlPr>
              </m:accPr>
              <m:e>
                <m:r>
                  <m:rPr/>
                  <w:rPr>
                    <w:rFonts w:ascii="Cambria Math" w:hAnsi="Cambria Math"/>
                    <w:color w:val="000000" w:themeColor="text1"/>
                    <w:sz w:val="21"/>
                    <w:szCs w:val="21"/>
                    <w14:textFill>
                      <w14:solidFill>
                        <w14:schemeClr w14:val="tx1"/>
                      </w14:solidFill>
                    </w14:textFill>
                  </w:rPr>
                  <m:t>a</m:t>
                </m:r>
                <m:ctrlPr>
                  <w:rPr>
                    <w:rFonts w:ascii="Cambria Math" w:hAnsi="Cambria Math"/>
                    <w:bCs/>
                    <w:color w:val="000000" w:themeColor="text1"/>
                    <w:sz w:val="21"/>
                    <w:szCs w:val="21"/>
                    <w14:textFill>
                      <w14:solidFill>
                        <w14:schemeClr w14:val="tx1"/>
                      </w14:solidFill>
                    </w14:textFill>
                  </w:rPr>
                </m:ctrlPr>
              </m:e>
            </m:acc>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ij</m:t>
            </m:r>
            <m:ctrlPr>
              <w:rPr>
                <w:rFonts w:ascii="Cambria Math" w:hAnsi="Cambria Math"/>
                <w:bCs/>
                <w:color w:val="000000" w:themeColor="text1"/>
                <w:sz w:val="21"/>
                <w:szCs w:val="21"/>
                <w14:textFill>
                  <w14:solidFill>
                    <w14:schemeClr w14:val="tx1"/>
                  </w14:solidFill>
                </w14:textFill>
              </w:rPr>
            </m:ctrlPr>
          </m:sub>
        </m:sSub>
      </m:oMath>
      <w:r>
        <w:rPr>
          <w:rFonts w:hint="eastAsia" w:ascii="宋体" w:hAnsi="宋体"/>
          <w:bCs/>
          <w:color w:val="000000" w:themeColor="text1"/>
          <w:sz w:val="21"/>
          <w:szCs w:val="21"/>
          <w14:textFill>
            <w14:solidFill>
              <w14:schemeClr w14:val="tx1"/>
            </w14:solidFill>
          </w14:textFill>
        </w:rPr>
        <w:t xml:space="preserve">                             （4）</w:t>
      </w:r>
    </w:p>
    <w:p w14:paraId="296822DB">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将向量</w:t>
      </w:r>
      <w:r>
        <w:rPr>
          <w:rFonts w:ascii="宋体" w:hAnsi="宋体"/>
          <w:b/>
          <w:i/>
          <w:iCs/>
          <w:color w:val="000000" w:themeColor="text1"/>
          <w:sz w:val="21"/>
          <w:szCs w:val="21"/>
          <w14:textFill>
            <w14:solidFill>
              <w14:schemeClr w14:val="tx1"/>
            </w14:solidFill>
          </w14:textFill>
        </w:rPr>
        <w:t xml:space="preserve"> </w:t>
      </w:r>
      <m:oMath>
        <m:acc>
          <m:accPr>
            <m:chr m:val="‾"/>
            <m:ctrlPr>
              <w:rPr>
                <w:rFonts w:ascii="Cambria Math" w:hAnsi="Cambria Math"/>
                <w:b/>
                <w:i/>
                <w:iCs/>
                <w:color w:val="000000" w:themeColor="text1"/>
                <w:sz w:val="21"/>
                <w:szCs w:val="21"/>
                <w14:textFill>
                  <w14:solidFill>
                    <w14:schemeClr w14:val="tx1"/>
                  </w14:solidFill>
                </w14:textFill>
              </w:rPr>
            </m:ctrlPr>
          </m:acc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i/>
                <w:iCs/>
                <w:color w:val="000000" w:themeColor="text1"/>
                <w:sz w:val="21"/>
                <w:szCs w:val="21"/>
                <w14:textFill>
                  <w14:solidFill>
                    <w14:schemeClr w14:val="tx1"/>
                  </w14:solidFill>
                </w14:textFill>
              </w:rPr>
            </m:ctrlPr>
          </m:e>
        </m:acc>
        <m:r>
          <m:rPr>
            <m:sty m:val="bi"/>
          </m:rPr>
          <w:rPr>
            <w:rFonts w:ascii="Cambria Math" w:hAnsi="Cambria Math"/>
            <w:color w:val="000000" w:themeColor="text1"/>
            <w:sz w:val="21"/>
            <w:szCs w:val="21"/>
            <w14:textFill>
              <w14:solidFill>
                <w14:schemeClr w14:val="tx1"/>
              </w14:solidFill>
            </w14:textFill>
          </w:rPr>
          <m:t>=(</m:t>
        </m:r>
        <m:sSub>
          <m:sSubPr>
            <m:ctrlPr>
              <w:rPr>
                <w:rFonts w:ascii="Cambria Math" w:hAnsi="Cambria Math"/>
                <w:b/>
                <w:i/>
                <w:iCs/>
                <w:color w:val="000000" w:themeColor="text1"/>
                <w:sz w:val="21"/>
                <w:szCs w:val="21"/>
                <w14:textFill>
                  <w14:solidFill>
                    <w14:schemeClr w14:val="tx1"/>
                  </w14:solidFill>
                </w14:textFill>
              </w:rPr>
            </m:ctrlPr>
          </m:sSubPr>
          <m:e>
            <m:acc>
              <m:accPr>
                <m:chr m:val="‾"/>
                <m:ctrlPr>
                  <w:rPr>
                    <w:rFonts w:ascii="Cambria Math" w:hAnsi="Cambria Math"/>
                    <w:b/>
                    <w:i/>
                    <w:iCs/>
                    <w:color w:val="000000" w:themeColor="text1"/>
                    <w:sz w:val="21"/>
                    <w:szCs w:val="21"/>
                    <w14:textFill>
                      <w14:solidFill>
                        <w14:schemeClr w14:val="tx1"/>
                      </w14:solidFill>
                    </w14:textFill>
                  </w:rPr>
                </m:ctrlPr>
              </m:acc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i/>
                    <w:iCs/>
                    <w:color w:val="000000" w:themeColor="text1"/>
                    <w:sz w:val="21"/>
                    <w:szCs w:val="21"/>
                    <w14:textFill>
                      <w14:solidFill>
                        <w14:schemeClr w14:val="tx1"/>
                      </w14:solidFill>
                    </w14:textFill>
                  </w:rPr>
                </m:ctrlPr>
              </m:e>
            </m:acc>
            <m:ctrlPr>
              <w:rPr>
                <w:rFonts w:ascii="Cambria Math" w:hAnsi="Cambria Math"/>
                <w:b/>
                <w:i/>
                <w:iCs/>
                <w:color w:val="000000" w:themeColor="text1"/>
                <w:sz w:val="21"/>
                <w:szCs w:val="21"/>
                <w14:textFill>
                  <w14:solidFill>
                    <w14:schemeClr w14:val="tx1"/>
                  </w14:solidFill>
                </w14:textFill>
              </w:rPr>
            </m:ctrlPr>
          </m:e>
          <m:sub>
            <m:r>
              <m:rPr>
                <m:sty m:val="bi"/>
              </m:rPr>
              <w:rPr>
                <w:rFonts w:ascii="Cambria Math" w:hAnsi="Cambria Math"/>
                <w:color w:val="000000" w:themeColor="text1"/>
                <w:sz w:val="21"/>
                <w:szCs w:val="21"/>
                <w14:textFill>
                  <w14:solidFill>
                    <w14:schemeClr w14:val="tx1"/>
                  </w14:solidFill>
                </w14:textFill>
              </w:rPr>
              <m:t>1</m:t>
            </m:r>
            <m:ctrlPr>
              <w:rPr>
                <w:rFonts w:ascii="Cambria Math" w:hAnsi="Cambria Math"/>
                <w:b/>
                <w:i/>
                <w:iCs/>
                <w:color w:val="000000" w:themeColor="text1"/>
                <w:sz w:val="21"/>
                <w:szCs w:val="21"/>
                <w14:textFill>
                  <w14:solidFill>
                    <w14:schemeClr w14:val="tx1"/>
                  </w14:solidFill>
                </w14:textFill>
              </w:rPr>
            </m:ctrlPr>
          </m:sub>
        </m:sSub>
        <m:r>
          <m:rPr>
            <m:sty m:val="bi"/>
          </m:rPr>
          <w:rPr>
            <w:rFonts w:ascii="Cambria Math" w:hAnsi="Cambria Math"/>
            <w:color w:val="000000" w:themeColor="text1"/>
            <w:sz w:val="21"/>
            <w:szCs w:val="21"/>
            <w14:textFill>
              <w14:solidFill>
                <w14:schemeClr w14:val="tx1"/>
              </w14:solidFill>
            </w14:textFill>
          </w:rPr>
          <m:t>,</m:t>
        </m:r>
        <m:sSub>
          <m:sSubPr>
            <m:ctrlPr>
              <w:rPr>
                <w:rFonts w:ascii="Cambria Math" w:hAnsi="Cambria Math"/>
                <w:b/>
                <w:i/>
                <w:iCs/>
                <w:color w:val="000000" w:themeColor="text1"/>
                <w:sz w:val="21"/>
                <w:szCs w:val="21"/>
                <w14:textFill>
                  <w14:solidFill>
                    <w14:schemeClr w14:val="tx1"/>
                  </w14:solidFill>
                </w14:textFill>
              </w:rPr>
            </m:ctrlPr>
          </m:sSubPr>
          <m:e>
            <m:acc>
              <m:accPr>
                <m:chr m:val="‾"/>
                <m:ctrlPr>
                  <w:rPr>
                    <w:rFonts w:ascii="Cambria Math" w:hAnsi="Cambria Math"/>
                    <w:b/>
                    <w:i/>
                    <w:iCs/>
                    <w:color w:val="000000" w:themeColor="text1"/>
                    <w:sz w:val="21"/>
                    <w:szCs w:val="21"/>
                    <w14:textFill>
                      <w14:solidFill>
                        <w14:schemeClr w14:val="tx1"/>
                      </w14:solidFill>
                    </w14:textFill>
                  </w:rPr>
                </m:ctrlPr>
              </m:acc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i/>
                    <w:iCs/>
                    <w:color w:val="000000" w:themeColor="text1"/>
                    <w:sz w:val="21"/>
                    <w:szCs w:val="21"/>
                    <w14:textFill>
                      <w14:solidFill>
                        <w14:schemeClr w14:val="tx1"/>
                      </w14:solidFill>
                    </w14:textFill>
                  </w:rPr>
                </m:ctrlPr>
              </m:e>
            </m:acc>
            <m:ctrlPr>
              <w:rPr>
                <w:rFonts w:ascii="Cambria Math" w:hAnsi="Cambria Math"/>
                <w:b/>
                <w:i/>
                <w:iCs/>
                <w:color w:val="000000" w:themeColor="text1"/>
                <w:sz w:val="21"/>
                <w:szCs w:val="21"/>
                <w14:textFill>
                  <w14:solidFill>
                    <w14:schemeClr w14:val="tx1"/>
                  </w14:solidFill>
                </w14:textFill>
              </w:rPr>
            </m:ctrlPr>
          </m:e>
          <m:sub>
            <m:r>
              <m:rPr>
                <m:sty m:val="bi"/>
              </m:rPr>
              <w:rPr>
                <w:rFonts w:ascii="Cambria Math" w:hAnsi="Cambria Math"/>
                <w:color w:val="000000" w:themeColor="text1"/>
                <w:sz w:val="21"/>
                <w:szCs w:val="21"/>
                <w14:textFill>
                  <w14:solidFill>
                    <w14:schemeClr w14:val="tx1"/>
                  </w14:solidFill>
                </w14:textFill>
              </w:rPr>
              <m:t>2</m:t>
            </m:r>
            <m:ctrlPr>
              <w:rPr>
                <w:rFonts w:ascii="Cambria Math" w:hAnsi="Cambria Math"/>
                <w:b/>
                <w:i/>
                <w:iCs/>
                <w:color w:val="000000" w:themeColor="text1"/>
                <w:sz w:val="21"/>
                <w:szCs w:val="21"/>
                <w14:textFill>
                  <w14:solidFill>
                    <w14:schemeClr w14:val="tx1"/>
                  </w14:solidFill>
                </w14:textFill>
              </w:rPr>
            </m:ctrlPr>
          </m:sub>
        </m:sSub>
        <m:r>
          <m:rPr>
            <m:sty m:val="bi"/>
          </m:rPr>
          <w:rPr>
            <w:rFonts w:ascii="Cambria Math" w:hAnsi="Cambria Math"/>
            <w:color w:val="000000" w:themeColor="text1"/>
            <w:sz w:val="21"/>
            <w:szCs w:val="21"/>
            <w14:textFill>
              <w14:solidFill>
                <w14:schemeClr w14:val="tx1"/>
              </w14:solidFill>
            </w14:textFill>
          </w:rPr>
          <m:t>,...,</m:t>
        </m:r>
        <m:sSub>
          <m:sSubPr>
            <m:ctrlPr>
              <w:rPr>
                <w:rFonts w:ascii="Cambria Math" w:hAnsi="Cambria Math"/>
                <w:b/>
                <w:i/>
                <w:iCs/>
                <w:color w:val="000000" w:themeColor="text1"/>
                <w:sz w:val="21"/>
                <w:szCs w:val="21"/>
                <w14:textFill>
                  <w14:solidFill>
                    <w14:schemeClr w14:val="tx1"/>
                  </w14:solidFill>
                </w14:textFill>
              </w:rPr>
            </m:ctrlPr>
          </m:sSubPr>
          <m:e>
            <m:acc>
              <m:accPr>
                <m:chr m:val="‾"/>
                <m:ctrlPr>
                  <w:rPr>
                    <w:rFonts w:ascii="Cambria Math" w:hAnsi="Cambria Math"/>
                    <w:b/>
                    <w:i/>
                    <w:iCs/>
                    <w:color w:val="000000" w:themeColor="text1"/>
                    <w:sz w:val="21"/>
                    <w:szCs w:val="21"/>
                    <w14:textFill>
                      <w14:solidFill>
                        <w14:schemeClr w14:val="tx1"/>
                      </w14:solidFill>
                    </w14:textFill>
                  </w:rPr>
                </m:ctrlPr>
              </m:acc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i/>
                    <w:iCs/>
                    <w:color w:val="000000" w:themeColor="text1"/>
                    <w:sz w:val="21"/>
                    <w:szCs w:val="21"/>
                    <w14:textFill>
                      <w14:solidFill>
                        <w14:schemeClr w14:val="tx1"/>
                      </w14:solidFill>
                    </w14:textFill>
                  </w:rPr>
                </m:ctrlPr>
              </m:e>
            </m:acc>
            <m:ctrlPr>
              <w:rPr>
                <w:rFonts w:ascii="Cambria Math" w:hAnsi="Cambria Math"/>
                <w:b/>
                <w:i/>
                <w:iCs/>
                <w:color w:val="000000" w:themeColor="text1"/>
                <w:sz w:val="21"/>
                <w:szCs w:val="21"/>
                <w14:textFill>
                  <w14:solidFill>
                    <w14:schemeClr w14:val="tx1"/>
                  </w14:solidFill>
                </w14:textFill>
              </w:rPr>
            </m:ctrlPr>
          </m:e>
          <m:sub>
            <m:r>
              <m:rPr>
                <m:sty m:val="bi"/>
              </m:rPr>
              <w:rPr>
                <w:rFonts w:ascii="Cambria Math" w:hAnsi="Cambria Math"/>
                <w:color w:val="000000" w:themeColor="text1"/>
                <w:sz w:val="21"/>
                <w:szCs w:val="21"/>
                <w14:textFill>
                  <w14:solidFill>
                    <w14:schemeClr w14:val="tx1"/>
                  </w14:solidFill>
                </w14:textFill>
              </w:rPr>
              <m:t>n</m:t>
            </m:r>
            <m:ctrlPr>
              <w:rPr>
                <w:rFonts w:ascii="Cambria Math" w:hAnsi="Cambria Math"/>
                <w:b/>
                <w:i/>
                <w:iCs/>
                <w:color w:val="000000" w:themeColor="text1"/>
                <w:sz w:val="21"/>
                <w:szCs w:val="21"/>
                <w14:textFill>
                  <w14:solidFill>
                    <w14:schemeClr w14:val="tx1"/>
                  </w14:solidFill>
                </w14:textFill>
              </w:rPr>
            </m:ctrlPr>
          </m:sub>
        </m:sSub>
        <m:sSup>
          <m:sSupPr>
            <m:ctrlPr>
              <w:rPr>
                <w:rFonts w:ascii="Cambria Math" w:hAnsi="Cambria Math"/>
                <w:b/>
                <w:i/>
                <w:iCs/>
                <w:color w:val="000000" w:themeColor="text1"/>
                <w:sz w:val="21"/>
                <w:szCs w:val="21"/>
                <w14:textFill>
                  <w14:solidFill>
                    <w14:schemeClr w14:val="tx1"/>
                  </w14:solidFill>
                </w14:textFill>
              </w:rPr>
            </m:ctrlPr>
          </m:sSupPr>
          <m:e>
            <m:r>
              <m:rPr>
                <m:sty m:val="bi"/>
              </m:rPr>
              <w:rPr>
                <w:rFonts w:ascii="Cambria Math" w:hAnsi="Cambria Math"/>
                <w:color w:val="000000" w:themeColor="text1"/>
                <w:sz w:val="21"/>
                <w:szCs w:val="21"/>
                <w14:textFill>
                  <w14:solidFill>
                    <w14:schemeClr w14:val="tx1"/>
                  </w14:solidFill>
                </w14:textFill>
              </w:rPr>
              <m:t>)</m:t>
            </m:r>
            <m:ctrlPr>
              <w:rPr>
                <w:rFonts w:ascii="Cambria Math" w:hAnsi="Cambria Math"/>
                <w:b/>
                <w:i/>
                <w:iCs/>
                <w:color w:val="000000" w:themeColor="text1"/>
                <w:sz w:val="21"/>
                <w:szCs w:val="21"/>
                <w14:textFill>
                  <w14:solidFill>
                    <w14:schemeClr w14:val="tx1"/>
                  </w14:solidFill>
                </w14:textFill>
              </w:rPr>
            </m:ctrlPr>
          </m:e>
          <m:sup>
            <m:r>
              <m:rPr>
                <m:sty m:val="b"/>
              </m:rPr>
              <w:rPr>
                <w:rFonts w:ascii="Cambria Math" w:hAnsi="Cambria Math"/>
                <w:color w:val="000000" w:themeColor="text1"/>
                <w:sz w:val="21"/>
                <w:szCs w:val="21"/>
                <w14:textFill>
                  <w14:solidFill>
                    <w14:schemeClr w14:val="tx1"/>
                  </w14:solidFill>
                </w14:textFill>
              </w:rPr>
              <m:t>T</m:t>
            </m:r>
            <m:ctrlPr>
              <w:rPr>
                <w:rFonts w:ascii="Cambria Math" w:hAnsi="Cambria Math"/>
                <w:b/>
                <w:i/>
                <w:iCs/>
                <w:color w:val="000000" w:themeColor="text1"/>
                <w:sz w:val="21"/>
                <w:szCs w:val="21"/>
                <w14:textFill>
                  <w14:solidFill>
                    <w14:schemeClr w14:val="tx1"/>
                  </w14:solidFill>
                </w14:textFill>
              </w:rPr>
            </m:ctrlPr>
          </m:sup>
        </m:sSup>
      </m:oMath>
      <w:r>
        <w:rPr>
          <w:rFonts w:ascii="宋体" w:hAnsi="宋体"/>
          <w:bCs/>
          <w:color w:val="000000" w:themeColor="text1"/>
          <w:sz w:val="21"/>
          <w:szCs w:val="21"/>
          <w14:textFill>
            <w14:solidFill>
              <w14:schemeClr w14:val="tx1"/>
            </w14:solidFill>
          </w14:textFill>
        </w:rPr>
        <w:t xml:space="preserve"> 归一化，即</w:t>
      </w:r>
      <w:r>
        <w:rPr>
          <w:rFonts w:hint="eastAsia" w:ascii="宋体" w:hAnsi="宋体"/>
          <w:bCs/>
          <w:color w:val="000000" w:themeColor="text1"/>
          <w:sz w:val="21"/>
          <w:szCs w:val="21"/>
          <w14:textFill>
            <w14:solidFill>
              <w14:schemeClr w14:val="tx1"/>
            </w14:solidFill>
          </w14:textFill>
        </w:rPr>
        <w:t>得到</w:t>
      </w:r>
      <w:r>
        <w:rPr>
          <w:rFonts w:ascii="宋体" w:hAnsi="宋体"/>
          <w:bCs/>
          <w:color w:val="000000" w:themeColor="text1"/>
          <w:sz w:val="21"/>
          <w:szCs w:val="21"/>
          <w14:textFill>
            <w14:solidFill>
              <w14:schemeClr w14:val="tx1"/>
            </w14:solidFill>
          </w14:textFill>
        </w:rPr>
        <w:t xml:space="preserve">权重向量 </w:t>
      </w:r>
      <m:oMath>
        <m:r>
          <m:rPr>
            <m:sty m:val="bi"/>
          </m:rPr>
          <w:rPr>
            <w:rFonts w:ascii="Cambria Math" w:hAnsi="Cambria Math"/>
            <w:color w:val="000000" w:themeColor="text1"/>
            <w:sz w:val="21"/>
            <w:szCs w:val="21"/>
            <w14:textFill>
              <w14:solidFill>
                <w14:schemeClr w14:val="tx1"/>
              </w14:solidFill>
            </w14:textFill>
          </w:rPr>
          <m:t>W=(</m:t>
        </m:r>
        <m:sSub>
          <m:sSubPr>
            <m:ctrlPr>
              <w:rPr>
                <w:rFonts w:ascii="Cambria Math" w:hAnsi="Cambria Math"/>
                <w:b/>
                <w:bCs/>
                <w:i/>
                <w:color w:val="000000" w:themeColor="text1"/>
                <w:sz w:val="21"/>
                <w:szCs w:val="21"/>
                <w14:textFill>
                  <w14:solidFill>
                    <w14:schemeClr w14:val="tx1"/>
                  </w14:solidFill>
                </w14:textFill>
              </w:rPr>
            </m:ctrlPr>
          </m:sSub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bCs/>
                <w:i/>
                <w:color w:val="000000" w:themeColor="text1"/>
                <w:sz w:val="21"/>
                <w:szCs w:val="21"/>
                <w14:textFill>
                  <w14:solidFill>
                    <w14:schemeClr w14:val="tx1"/>
                  </w14:solidFill>
                </w14:textFill>
              </w:rPr>
            </m:ctrlPr>
          </m:e>
          <m:sub>
            <m:r>
              <m:rPr>
                <m:sty m:val="bi"/>
              </m:rPr>
              <w:rPr>
                <w:rFonts w:ascii="Cambria Math" w:hAnsi="Cambria Math"/>
                <w:color w:val="000000" w:themeColor="text1"/>
                <w:sz w:val="21"/>
                <w:szCs w:val="21"/>
                <w14:textFill>
                  <w14:solidFill>
                    <w14:schemeClr w14:val="tx1"/>
                  </w14:solidFill>
                </w14:textFill>
              </w:rPr>
              <m:t>1</m:t>
            </m:r>
            <m:ctrlPr>
              <w:rPr>
                <w:rFonts w:ascii="Cambria Math" w:hAnsi="Cambria Math"/>
                <w:b/>
                <w:bCs/>
                <w:i/>
                <w:color w:val="000000" w:themeColor="text1"/>
                <w:sz w:val="21"/>
                <w:szCs w:val="21"/>
                <w14:textFill>
                  <w14:solidFill>
                    <w14:schemeClr w14:val="tx1"/>
                  </w14:solidFill>
                </w14:textFill>
              </w:rPr>
            </m:ctrlPr>
          </m:sub>
        </m:sSub>
        <m:r>
          <m:rPr>
            <m:sty m:val="bi"/>
          </m:rPr>
          <w:rPr>
            <w:rFonts w:ascii="Cambria Math" w:hAnsi="Cambria Math"/>
            <w:color w:val="000000" w:themeColor="text1"/>
            <w:sz w:val="21"/>
            <w:szCs w:val="21"/>
            <w14:textFill>
              <w14:solidFill>
                <w14:schemeClr w14:val="tx1"/>
              </w14:solidFill>
            </w14:textFill>
          </w:rPr>
          <m:t>,</m:t>
        </m:r>
        <m:sSub>
          <m:sSubPr>
            <m:ctrlPr>
              <w:rPr>
                <w:rFonts w:ascii="Cambria Math" w:hAnsi="Cambria Math"/>
                <w:b/>
                <w:bCs/>
                <w:i/>
                <w:color w:val="000000" w:themeColor="text1"/>
                <w:sz w:val="21"/>
                <w:szCs w:val="21"/>
                <w14:textFill>
                  <w14:solidFill>
                    <w14:schemeClr w14:val="tx1"/>
                  </w14:solidFill>
                </w14:textFill>
              </w:rPr>
            </m:ctrlPr>
          </m:sSub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bCs/>
                <w:i/>
                <w:color w:val="000000" w:themeColor="text1"/>
                <w:sz w:val="21"/>
                <w:szCs w:val="21"/>
                <w14:textFill>
                  <w14:solidFill>
                    <w14:schemeClr w14:val="tx1"/>
                  </w14:solidFill>
                </w14:textFill>
              </w:rPr>
            </m:ctrlPr>
          </m:e>
          <m:sub>
            <m:r>
              <m:rPr>
                <m:sty m:val="bi"/>
              </m:rPr>
              <w:rPr>
                <w:rFonts w:ascii="Cambria Math" w:hAnsi="Cambria Math"/>
                <w:color w:val="000000" w:themeColor="text1"/>
                <w:sz w:val="21"/>
                <w:szCs w:val="21"/>
                <w14:textFill>
                  <w14:solidFill>
                    <w14:schemeClr w14:val="tx1"/>
                  </w14:solidFill>
                </w14:textFill>
              </w:rPr>
              <m:t>2</m:t>
            </m:r>
            <m:ctrlPr>
              <w:rPr>
                <w:rFonts w:ascii="Cambria Math" w:hAnsi="Cambria Math"/>
                <w:b/>
                <w:bCs/>
                <w:i/>
                <w:color w:val="000000" w:themeColor="text1"/>
                <w:sz w:val="21"/>
                <w:szCs w:val="21"/>
                <w14:textFill>
                  <w14:solidFill>
                    <w14:schemeClr w14:val="tx1"/>
                  </w14:solidFill>
                </w14:textFill>
              </w:rPr>
            </m:ctrlPr>
          </m:sub>
        </m:sSub>
        <m:r>
          <m:rPr>
            <m:sty m:val="bi"/>
          </m:rPr>
          <w:rPr>
            <w:rFonts w:ascii="Cambria Math" w:hAnsi="Cambria Math"/>
            <w:color w:val="000000" w:themeColor="text1"/>
            <w:sz w:val="21"/>
            <w:szCs w:val="21"/>
            <w14:textFill>
              <w14:solidFill>
                <w14:schemeClr w14:val="tx1"/>
              </w14:solidFill>
            </w14:textFill>
          </w:rPr>
          <m:t>,...,</m:t>
        </m:r>
        <m:sSub>
          <m:sSubPr>
            <m:ctrlPr>
              <w:rPr>
                <w:rFonts w:ascii="Cambria Math" w:hAnsi="Cambria Math"/>
                <w:b/>
                <w:bCs/>
                <w:i/>
                <w:color w:val="000000" w:themeColor="text1"/>
                <w:sz w:val="21"/>
                <w:szCs w:val="21"/>
                <w14:textFill>
                  <w14:solidFill>
                    <w14:schemeClr w14:val="tx1"/>
                  </w14:solidFill>
                </w14:textFill>
              </w:rPr>
            </m:ctrlPr>
          </m:sSubPr>
          <m:e>
            <m:r>
              <m:rPr>
                <m:sty m:val="bi"/>
              </m:rPr>
              <w:rPr>
                <w:rFonts w:ascii="Cambria Math" w:hAnsi="Cambria Math"/>
                <w:color w:val="000000" w:themeColor="text1"/>
                <w:sz w:val="21"/>
                <w:szCs w:val="21"/>
                <w14:textFill>
                  <w14:solidFill>
                    <w14:schemeClr w14:val="tx1"/>
                  </w14:solidFill>
                </w14:textFill>
              </w:rPr>
              <m:t>w</m:t>
            </m:r>
            <m:ctrlPr>
              <w:rPr>
                <w:rFonts w:ascii="Cambria Math" w:hAnsi="Cambria Math"/>
                <w:b/>
                <w:bCs/>
                <w:i/>
                <w:color w:val="000000" w:themeColor="text1"/>
                <w:sz w:val="21"/>
                <w:szCs w:val="21"/>
                <w14:textFill>
                  <w14:solidFill>
                    <w14:schemeClr w14:val="tx1"/>
                  </w14:solidFill>
                </w14:textFill>
              </w:rPr>
            </m:ctrlPr>
          </m:e>
          <m:sub>
            <m:r>
              <m:rPr>
                <m:sty m:val="bi"/>
              </m:rPr>
              <w:rPr>
                <w:rFonts w:ascii="Cambria Math" w:hAnsi="Cambria Math"/>
                <w:color w:val="000000" w:themeColor="text1"/>
                <w:sz w:val="21"/>
                <w:szCs w:val="21"/>
                <w14:textFill>
                  <w14:solidFill>
                    <w14:schemeClr w14:val="tx1"/>
                  </w14:solidFill>
                </w14:textFill>
              </w:rPr>
              <m:t>n</m:t>
            </m:r>
            <m:ctrlPr>
              <w:rPr>
                <w:rFonts w:ascii="Cambria Math" w:hAnsi="Cambria Math"/>
                <w:b/>
                <w:bCs/>
                <w:i/>
                <w:color w:val="000000" w:themeColor="text1"/>
                <w:sz w:val="21"/>
                <w:szCs w:val="21"/>
                <w14:textFill>
                  <w14:solidFill>
                    <w14:schemeClr w14:val="tx1"/>
                  </w14:solidFill>
                </w14:textFill>
              </w:rPr>
            </m:ctrlPr>
          </m:sub>
        </m:sSub>
        <m:sSup>
          <m:sSupPr>
            <m:ctrlPr>
              <w:rPr>
                <w:rFonts w:ascii="Cambria Math" w:hAnsi="Cambria Math"/>
                <w:b/>
                <w:bCs/>
                <w:i/>
                <w:color w:val="000000" w:themeColor="text1"/>
                <w:sz w:val="21"/>
                <w:szCs w:val="21"/>
                <w14:textFill>
                  <w14:solidFill>
                    <w14:schemeClr w14:val="tx1"/>
                  </w14:solidFill>
                </w14:textFill>
              </w:rPr>
            </m:ctrlPr>
          </m:sSupPr>
          <m:e>
            <m:r>
              <m:rPr>
                <m:sty m:val="bi"/>
              </m:rPr>
              <w:rPr>
                <w:rFonts w:ascii="Cambria Math" w:hAnsi="Cambria Math"/>
                <w:color w:val="000000" w:themeColor="text1"/>
                <w:sz w:val="21"/>
                <w:szCs w:val="21"/>
                <w14:textFill>
                  <w14:solidFill>
                    <w14:schemeClr w14:val="tx1"/>
                  </w14:solidFill>
                </w14:textFill>
              </w:rPr>
              <m:t>)</m:t>
            </m:r>
            <m:ctrlPr>
              <w:rPr>
                <w:rFonts w:ascii="Cambria Math" w:hAnsi="Cambria Math"/>
                <w:b/>
                <w:bCs/>
                <w:i/>
                <w:color w:val="000000" w:themeColor="text1"/>
                <w:sz w:val="21"/>
                <w:szCs w:val="21"/>
                <w14:textFill>
                  <w14:solidFill>
                    <w14:schemeClr w14:val="tx1"/>
                  </w14:solidFill>
                </w14:textFill>
              </w:rPr>
            </m:ctrlPr>
          </m:e>
          <m:sup>
            <m:r>
              <m:rPr>
                <m:sty m:val="b"/>
              </m:rPr>
              <w:rPr>
                <w:rFonts w:ascii="Cambria Math" w:hAnsi="Cambria Math"/>
                <w:color w:val="000000" w:themeColor="text1"/>
                <w:sz w:val="21"/>
                <w:szCs w:val="21"/>
                <w14:textFill>
                  <w14:solidFill>
                    <w14:schemeClr w14:val="tx1"/>
                  </w14:solidFill>
                </w14:textFill>
              </w:rPr>
              <m:t>T</m:t>
            </m:r>
            <m:ctrlPr>
              <w:rPr>
                <w:rFonts w:ascii="Cambria Math" w:hAnsi="Cambria Math"/>
                <w:b/>
                <w:bCs/>
                <w:i/>
                <w:color w:val="000000" w:themeColor="text1"/>
                <w:sz w:val="21"/>
                <w:szCs w:val="21"/>
                <w14:textFill>
                  <w14:solidFill>
                    <w14:schemeClr w14:val="tx1"/>
                  </w14:solidFill>
                </w14:textFill>
              </w:rPr>
            </m:ctrlPr>
          </m:sup>
        </m:sSup>
      </m:oMath>
      <w:r>
        <w:rPr>
          <w:rFonts w:ascii="宋体" w:hAnsi="宋体"/>
          <w:b/>
          <w:bCs/>
          <w:i/>
          <w:color w:val="000000" w:themeColor="text1"/>
          <w:sz w:val="21"/>
          <w:szCs w:val="21"/>
          <w14:textFill>
            <w14:solidFill>
              <w14:schemeClr w14:val="tx1"/>
            </w14:solidFill>
          </w14:textFill>
        </w:rPr>
        <w:t>，</w:t>
      </w:r>
      <w:r>
        <w:rPr>
          <w:rFonts w:ascii="宋体" w:hAnsi="宋体"/>
          <w:bCs/>
          <w:color w:val="000000" w:themeColor="text1"/>
          <w:sz w:val="21"/>
          <w:szCs w:val="21"/>
          <w14:textFill>
            <w14:solidFill>
              <w14:schemeClr w14:val="tx1"/>
            </w14:solidFill>
          </w14:textFill>
        </w:rPr>
        <w:t xml:space="preserve">其中 </w:t>
      </w:r>
      <m:oMath>
        <m:sSub>
          <m:sSubPr>
            <m:ctrlPr>
              <w:rPr>
                <w:rFonts w:ascii="Cambria Math" w:hAnsi="Cambria Math"/>
                <w:bCs/>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w</m:t>
            </m:r>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i</m:t>
            </m:r>
            <m:ctrlPr>
              <w:rPr>
                <w:rFonts w:ascii="Cambria Math" w:hAnsi="Cambria Math"/>
                <w:bCs/>
                <w:color w:val="000000" w:themeColor="text1"/>
                <w:sz w:val="21"/>
                <w:szCs w:val="21"/>
                <w14:textFill>
                  <w14:solidFill>
                    <w14:schemeClr w14:val="tx1"/>
                  </w14:solidFill>
                </w14:textFill>
              </w:rPr>
            </m:ctrlPr>
          </m:sub>
        </m:sSub>
        <m:r>
          <m:rPr>
            <m:sty m:val="p"/>
          </m:rPr>
          <w:rPr>
            <w:rFonts w:ascii="Cambria Math" w:hAnsi="Cambria Math"/>
            <w:color w:val="000000" w:themeColor="text1"/>
            <w:sz w:val="21"/>
            <w:szCs w:val="21"/>
            <w14:textFill>
              <w14:solidFill>
                <w14:schemeClr w14:val="tx1"/>
              </w14:solidFill>
            </w14:textFill>
          </w:rPr>
          <m:t>=</m:t>
        </m:r>
        <m:sSub>
          <m:sSubPr>
            <m:ctrlPr>
              <w:rPr>
                <w:rFonts w:ascii="Cambria Math" w:hAnsi="Cambria Math"/>
                <w:bCs/>
                <w:color w:val="000000" w:themeColor="text1"/>
                <w:sz w:val="21"/>
                <w:szCs w:val="21"/>
                <w14:textFill>
                  <w14:solidFill>
                    <w14:schemeClr w14:val="tx1"/>
                  </w14:solidFill>
                </w14:textFill>
              </w:rPr>
            </m:ctrlPr>
          </m:sSubPr>
          <m:e>
            <m:acc>
              <m:accPr>
                <m:chr m:val="‾"/>
                <m:ctrlPr>
                  <w:rPr>
                    <w:rFonts w:ascii="Cambria Math" w:hAnsi="Cambria Math"/>
                    <w:bCs/>
                    <w:color w:val="000000" w:themeColor="text1"/>
                    <w:sz w:val="21"/>
                    <w:szCs w:val="21"/>
                    <w14:textFill>
                      <w14:solidFill>
                        <w14:schemeClr w14:val="tx1"/>
                      </w14:solidFill>
                    </w14:textFill>
                  </w:rPr>
                </m:ctrlPr>
              </m:accPr>
              <m:e>
                <m:r>
                  <m:rPr/>
                  <w:rPr>
                    <w:rFonts w:ascii="Cambria Math" w:hAnsi="Cambria Math"/>
                    <w:color w:val="000000" w:themeColor="text1"/>
                    <w:sz w:val="21"/>
                    <w:szCs w:val="21"/>
                    <w14:textFill>
                      <w14:solidFill>
                        <w14:schemeClr w14:val="tx1"/>
                      </w14:solidFill>
                    </w14:textFill>
                  </w:rPr>
                  <m:t>w</m:t>
                </m:r>
                <m:ctrlPr>
                  <w:rPr>
                    <w:rFonts w:ascii="Cambria Math" w:hAnsi="Cambria Math"/>
                    <w:bCs/>
                    <w:color w:val="000000" w:themeColor="text1"/>
                    <w:sz w:val="21"/>
                    <w:szCs w:val="21"/>
                    <w14:textFill>
                      <w14:solidFill>
                        <w14:schemeClr w14:val="tx1"/>
                      </w14:solidFill>
                    </w14:textFill>
                  </w:rPr>
                </m:ctrlPr>
              </m:e>
            </m:acc>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i</m:t>
            </m:r>
            <m:ctrlPr>
              <w:rPr>
                <w:rFonts w:ascii="Cambria Math" w:hAnsi="Cambria Math"/>
                <w:bCs/>
                <w:color w:val="000000" w:themeColor="text1"/>
                <w:sz w:val="21"/>
                <w:szCs w:val="21"/>
                <w14:textFill>
                  <w14:solidFill>
                    <w14:schemeClr w14:val="tx1"/>
                  </w14:solidFill>
                </w14:textFill>
              </w:rPr>
            </m:ctrlPr>
          </m:sub>
        </m:sSub>
        <m:r>
          <m:rPr>
            <m:sty m:val="p"/>
          </m:rPr>
          <w:rPr>
            <w:rFonts w:ascii="Cambria Math" w:hAnsi="Cambria Math"/>
            <w:color w:val="000000" w:themeColor="text1"/>
            <w:sz w:val="21"/>
            <w:szCs w:val="21"/>
            <w14:textFill>
              <w14:solidFill>
                <w14:schemeClr w14:val="tx1"/>
              </w14:solidFill>
            </w14:textFill>
          </w:rPr>
          <m:t>/</m:t>
        </m:r>
        <m:nary>
          <m:naryPr>
            <m:chr m:val="∑"/>
            <m:grow m:val="1"/>
            <m:limLoc m:val="undOvr"/>
            <m:ctrlPr>
              <w:rPr>
                <w:rFonts w:ascii="Cambria Math" w:hAnsi="Cambria Math"/>
                <w:bCs/>
                <w:color w:val="000000" w:themeColor="text1"/>
                <w:sz w:val="21"/>
                <w:szCs w:val="21"/>
                <w14:textFill>
                  <w14:solidFill>
                    <w14:schemeClr w14:val="tx1"/>
                  </w14:solidFill>
                </w14:textFill>
              </w:rPr>
            </m:ctrlPr>
          </m:naryPr>
          <m:sub>
            <m:r>
              <m:rPr/>
              <w:rPr>
                <w:rFonts w:ascii="Cambria Math" w:hAnsi="Cambria Math"/>
                <w:color w:val="000000" w:themeColor="text1"/>
                <w:sz w:val="21"/>
                <w:szCs w:val="21"/>
                <w14:textFill>
                  <w14:solidFill>
                    <w14:schemeClr w14:val="tx1"/>
                  </w14:solidFill>
                </w14:textFill>
              </w:rPr>
              <m:t>j</m:t>
            </m:r>
            <m:r>
              <m:rPr>
                <m:sty m:val="p"/>
              </m:rPr>
              <w:rPr>
                <w:rFonts w:ascii="Cambria Math" w:hAnsi="Cambria Math"/>
                <w:color w:val="000000" w:themeColor="text1"/>
                <w:sz w:val="21"/>
                <w:szCs w:val="21"/>
                <w14:textFill>
                  <w14:solidFill>
                    <w14:schemeClr w14:val="tx1"/>
                  </w14:solidFill>
                </w14:textFill>
              </w:rPr>
              <m:t>=1</m:t>
            </m:r>
            <m:ctrlPr>
              <w:rPr>
                <w:rFonts w:ascii="Cambria Math" w:hAnsi="Cambria Math"/>
                <w:bCs/>
                <w:color w:val="000000" w:themeColor="text1"/>
                <w:sz w:val="21"/>
                <w:szCs w:val="21"/>
                <w14:textFill>
                  <w14:solidFill>
                    <w14:schemeClr w14:val="tx1"/>
                  </w14:solidFill>
                </w14:textFill>
              </w:rPr>
            </m:ctrlPr>
          </m:sub>
          <m:sup>
            <m:r>
              <m:rPr/>
              <w:rPr>
                <w:rFonts w:ascii="Cambria Math" w:hAnsi="Cambria Math"/>
                <w:color w:val="000000" w:themeColor="text1"/>
                <w:sz w:val="21"/>
                <w:szCs w:val="21"/>
                <w14:textFill>
                  <w14:solidFill>
                    <w14:schemeClr w14:val="tx1"/>
                  </w14:solidFill>
                </w14:textFill>
              </w:rPr>
              <m:t>n</m:t>
            </m:r>
            <m:ctrlPr>
              <w:rPr>
                <w:rFonts w:ascii="Cambria Math" w:hAnsi="Cambria Math"/>
                <w:bCs/>
                <w:color w:val="000000" w:themeColor="text1"/>
                <w:sz w:val="21"/>
                <w:szCs w:val="21"/>
                <w14:textFill>
                  <w14:solidFill>
                    <w14:schemeClr w14:val="tx1"/>
                  </w14:solidFill>
                </w14:textFill>
              </w:rPr>
            </m:ctrlPr>
          </m:sup>
          <m:e>
            <m:r>
              <m:rPr>
                <m:sty m:val="p"/>
              </m:rPr>
              <w:rPr>
                <w:rFonts w:ascii="Cambria Math" w:hAnsi="Cambria Math"/>
                <w:color w:val="000000" w:themeColor="text1"/>
                <w:sz w:val="21"/>
                <w:szCs w:val="21"/>
                <w14:textFill>
                  <w14:solidFill>
                    <w14:schemeClr w14:val="tx1"/>
                  </w14:solidFill>
                </w14:textFill>
              </w:rPr>
              <m:t> </m:t>
            </m:r>
            <m:ctrlPr>
              <w:rPr>
                <w:rFonts w:ascii="Cambria Math" w:hAnsi="Cambria Math"/>
                <w:bCs/>
                <w:color w:val="000000" w:themeColor="text1"/>
                <w:sz w:val="21"/>
                <w:szCs w:val="21"/>
                <w14:textFill>
                  <w14:solidFill>
                    <w14:schemeClr w14:val="tx1"/>
                  </w14:solidFill>
                </w14:textFill>
              </w:rPr>
            </m:ctrlPr>
          </m:e>
        </m:nary>
        <m:sSub>
          <m:sSubPr>
            <m:ctrlPr>
              <w:rPr>
                <w:rFonts w:ascii="Cambria Math" w:hAnsi="Cambria Math"/>
                <w:bCs/>
                <w:color w:val="000000" w:themeColor="text1"/>
                <w:sz w:val="21"/>
                <w:szCs w:val="21"/>
                <w14:textFill>
                  <w14:solidFill>
                    <w14:schemeClr w14:val="tx1"/>
                  </w14:solidFill>
                </w14:textFill>
              </w:rPr>
            </m:ctrlPr>
          </m:sSubPr>
          <m:e>
            <m:acc>
              <m:accPr>
                <m:chr m:val="‾"/>
                <m:ctrlPr>
                  <w:rPr>
                    <w:rFonts w:ascii="Cambria Math" w:hAnsi="Cambria Math"/>
                    <w:bCs/>
                    <w:color w:val="000000" w:themeColor="text1"/>
                    <w:sz w:val="21"/>
                    <w:szCs w:val="21"/>
                    <w14:textFill>
                      <w14:solidFill>
                        <w14:schemeClr w14:val="tx1"/>
                      </w14:solidFill>
                    </w14:textFill>
                  </w:rPr>
                </m:ctrlPr>
              </m:accPr>
              <m:e>
                <m:r>
                  <m:rPr/>
                  <w:rPr>
                    <w:rFonts w:ascii="Cambria Math" w:hAnsi="Cambria Math"/>
                    <w:color w:val="000000" w:themeColor="text1"/>
                    <w:sz w:val="21"/>
                    <w:szCs w:val="21"/>
                    <w14:textFill>
                      <w14:solidFill>
                        <w14:schemeClr w14:val="tx1"/>
                      </w14:solidFill>
                    </w14:textFill>
                  </w:rPr>
                  <m:t>w</m:t>
                </m:r>
                <m:ctrlPr>
                  <w:rPr>
                    <w:rFonts w:ascii="Cambria Math" w:hAnsi="Cambria Math"/>
                    <w:bCs/>
                    <w:color w:val="000000" w:themeColor="text1"/>
                    <w:sz w:val="21"/>
                    <w:szCs w:val="21"/>
                    <w14:textFill>
                      <w14:solidFill>
                        <w14:schemeClr w14:val="tx1"/>
                      </w14:solidFill>
                    </w14:textFill>
                  </w:rPr>
                </m:ctrlPr>
              </m:e>
            </m:acc>
            <m:ctrlPr>
              <w:rPr>
                <w:rFonts w:ascii="Cambria Math" w:hAnsi="Cambria Math"/>
                <w:bCs/>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j</m:t>
            </m:r>
            <m:ctrlPr>
              <w:rPr>
                <w:rFonts w:ascii="Cambria Math" w:hAnsi="Cambria Math"/>
                <w:bCs/>
                <w:color w:val="000000" w:themeColor="text1"/>
                <w:sz w:val="21"/>
                <w:szCs w:val="21"/>
                <w14:textFill>
                  <w14:solidFill>
                    <w14:schemeClr w14:val="tx1"/>
                  </w14:solidFill>
                </w14:textFill>
              </w:rPr>
            </m:ctrlPr>
          </m:sub>
        </m:sSub>
      </m:oMath>
      <w:r>
        <w:rPr>
          <w:rFonts w:hint="eastAsia" w:hAnsi="Cambria Math"/>
          <w:bCs/>
          <w:color w:val="000000" w:themeColor="text1"/>
          <w:sz w:val="21"/>
          <w:szCs w:val="21"/>
          <w14:textFill>
            <w14:solidFill>
              <w14:schemeClr w14:val="tx1"/>
            </w14:solidFill>
          </w14:textFill>
        </w:rPr>
        <w:t>。</w:t>
      </w:r>
    </w:p>
    <w:p w14:paraId="1B0DF49E">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（3）</w:t>
      </w:r>
      <w:r>
        <w:rPr>
          <w:rFonts w:ascii="宋体" w:hAnsi="宋体"/>
          <w:bCs/>
          <w:color w:val="000000" w:themeColor="text1"/>
          <w:sz w:val="21"/>
          <w:szCs w:val="21"/>
          <w14:textFill>
            <w14:solidFill>
              <w14:schemeClr w14:val="tx1"/>
            </w14:solidFill>
          </w14:textFill>
        </w:rPr>
        <w:t>一致性检验</w:t>
      </w:r>
      <w:r>
        <w:rPr>
          <w:rFonts w:hint="eastAsia" w:ascii="宋体" w:hAnsi="宋体"/>
          <w:bCs/>
          <w:color w:val="000000" w:themeColor="text1"/>
          <w:sz w:val="21"/>
          <w:szCs w:val="21"/>
          <w14:textFill>
            <w14:solidFill>
              <w14:schemeClr w14:val="tx1"/>
            </w14:solidFill>
          </w14:textFill>
        </w:rPr>
        <w:t>。</w:t>
      </w:r>
      <w:r>
        <w:rPr>
          <w:rFonts w:ascii="宋体" w:hAnsi="宋体"/>
          <w:bCs/>
          <w:color w:val="000000" w:themeColor="text1"/>
          <w:sz w:val="21"/>
          <w:szCs w:val="21"/>
          <w14:textFill>
            <w14:solidFill>
              <w14:schemeClr w14:val="tx1"/>
            </w14:solidFill>
          </w14:textFill>
        </w:rPr>
        <w:t xml:space="preserve">计算一致性指标 </w:t>
      </w:r>
      <m:oMath>
        <m:r>
          <m:rPr/>
          <w:rPr>
            <w:rFonts w:ascii="Cambria Math" w:hAnsi="Cambria Math"/>
            <w:color w:val="000000" w:themeColor="text1"/>
            <w:sz w:val="21"/>
            <w:szCs w:val="21"/>
            <w14:textFill>
              <w14:solidFill>
                <w14:schemeClr w14:val="tx1"/>
              </w14:solidFill>
            </w14:textFill>
          </w:rPr>
          <m:t>CI</m:t>
        </m:r>
        <m:r>
          <m:rPr>
            <m:sty m:val="p"/>
          </m:rPr>
          <w:rPr>
            <w:rFonts w:ascii="Cambria Math" w:hAnsi="Cambria Math"/>
            <w:color w:val="000000" w:themeColor="text1"/>
            <w:sz w:val="21"/>
            <w:szCs w:val="21"/>
            <w14:textFill>
              <w14:solidFill>
                <w14:schemeClr w14:val="tx1"/>
              </w14:solidFill>
            </w14:textFill>
          </w:rPr>
          <m:t>=(</m:t>
        </m:r>
        <m:sSub>
          <m:sSubPr>
            <m:ctrlPr>
              <w:rPr>
                <w:rFonts w:ascii="Cambria Math" w:hAnsi="Cambria Math"/>
                <w:bCs/>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λ</m:t>
            </m:r>
            <m:ctrlPr>
              <w:rPr>
                <w:rFonts w:ascii="Cambria Math" w:hAnsi="Cambria Math"/>
                <w:bCs/>
                <w:color w:val="000000" w:themeColor="text1"/>
                <w:sz w:val="21"/>
                <w:szCs w:val="21"/>
                <w14:textFill>
                  <w14:solidFill>
                    <w14:schemeClr w14:val="tx1"/>
                  </w14:solidFill>
                </w14:textFill>
              </w:rPr>
            </m:ctrlPr>
          </m:e>
          <m:sub>
            <m:r>
              <m:rPr>
                <m:sty m:val="p"/>
              </m:rPr>
              <w:rPr>
                <w:rFonts w:ascii="Cambria Math" w:hAnsi="Cambria Math"/>
                <w:color w:val="000000" w:themeColor="text1"/>
                <w:sz w:val="21"/>
                <w:szCs w:val="21"/>
                <w14:textFill>
                  <w14:solidFill>
                    <w14:schemeClr w14:val="tx1"/>
                  </w14:solidFill>
                </w14:textFill>
              </w:rPr>
              <m:t>max</m:t>
            </m:r>
            <m:ctrlPr>
              <w:rPr>
                <w:rFonts w:ascii="Cambria Math" w:hAnsi="Cambria Math"/>
                <w:bCs/>
                <w:color w:val="000000" w:themeColor="text1"/>
                <w:sz w:val="21"/>
                <w:szCs w:val="21"/>
                <w14:textFill>
                  <w14:solidFill>
                    <w14:schemeClr w14:val="tx1"/>
                  </w14:solidFill>
                </w14:textFill>
              </w:rPr>
            </m:ctrlPr>
          </m:sub>
        </m:sSub>
        <m:r>
          <m:rPr>
            <m:sty m:val="p"/>
          </m:rPr>
          <w:rPr>
            <w:rFonts w:ascii="Cambria Math" w:hAnsi="Cambria Math"/>
            <w:color w:val="000000" w:themeColor="text1"/>
            <w:sz w:val="21"/>
            <w:szCs w:val="21"/>
            <w14:textFill>
              <w14:solidFill>
                <w14:schemeClr w14:val="tx1"/>
              </w14:solidFill>
            </w14:textFill>
          </w:rPr>
          <m:t>−</m:t>
        </m:r>
        <m:r>
          <m:rPr/>
          <w:rPr>
            <w:rFonts w:ascii="Cambria Math" w:hAnsi="Cambria Math"/>
            <w:color w:val="000000" w:themeColor="text1"/>
            <w:sz w:val="21"/>
            <w:szCs w:val="21"/>
            <w14:textFill>
              <w14:solidFill>
                <w14:schemeClr w14:val="tx1"/>
              </w14:solidFill>
            </w14:textFill>
          </w:rPr>
          <m:t>n</m:t>
        </m:r>
        <m:r>
          <m:rPr>
            <m:sty m:val="p"/>
          </m:rPr>
          <w:rPr>
            <w:rFonts w:ascii="Cambria Math" w:hAnsi="Cambria Math"/>
            <w:color w:val="000000" w:themeColor="text1"/>
            <w:sz w:val="21"/>
            <w:szCs w:val="21"/>
            <w14:textFill>
              <w14:solidFill>
                <w14:schemeClr w14:val="tx1"/>
              </w14:solidFill>
            </w14:textFill>
          </w:rPr>
          <m:t>)/(</m:t>
        </m:r>
        <m:r>
          <m:rPr/>
          <w:rPr>
            <w:rFonts w:ascii="Cambria Math" w:hAnsi="Cambria Math"/>
            <w:color w:val="000000" w:themeColor="text1"/>
            <w:sz w:val="21"/>
            <w:szCs w:val="21"/>
            <w14:textFill>
              <w14:solidFill>
                <w14:schemeClr w14:val="tx1"/>
              </w14:solidFill>
            </w14:textFill>
          </w:rPr>
          <m:t>n</m:t>
        </m:r>
        <m:r>
          <m:rPr>
            <m:sty m:val="p"/>
          </m:rPr>
          <w:rPr>
            <w:rFonts w:ascii="Cambria Math" w:hAnsi="Cambria Math"/>
            <w:color w:val="000000" w:themeColor="text1"/>
            <w:sz w:val="21"/>
            <w:szCs w:val="21"/>
            <w14:textFill>
              <w14:solidFill>
                <w14:schemeClr w14:val="tx1"/>
              </w14:solidFill>
            </w14:textFill>
          </w:rPr>
          <m:t>−1)</m:t>
        </m:r>
      </m:oMath>
      <w:r>
        <w:rPr>
          <w:rFonts w:ascii="宋体" w:hAnsi="宋体"/>
          <w:bCs/>
          <w:color w:val="000000" w:themeColor="text1"/>
          <w:sz w:val="21"/>
          <w:szCs w:val="21"/>
          <w14:textFill>
            <w14:solidFill>
              <w14:schemeClr w14:val="tx1"/>
            </w14:solidFill>
          </w14:textFill>
        </w:rPr>
        <w:t xml:space="preserve"> 和一致性比率 </w:t>
      </w:r>
      <m:oMath>
        <m:r>
          <m:rPr/>
          <w:rPr>
            <w:rFonts w:ascii="Cambria Math" w:hAnsi="Cambria Math"/>
            <w:color w:val="000000" w:themeColor="text1"/>
            <w:sz w:val="21"/>
            <w:szCs w:val="21"/>
            <w14:textFill>
              <w14:solidFill>
                <w14:schemeClr w14:val="tx1"/>
              </w14:solidFill>
            </w14:textFill>
          </w:rPr>
          <m:t>CR</m:t>
        </m:r>
        <m:r>
          <m:rPr>
            <m:sty m:val="p"/>
          </m:rPr>
          <w:rPr>
            <w:rFonts w:ascii="Cambria Math" w:hAnsi="Cambria Math"/>
            <w:color w:val="000000" w:themeColor="text1"/>
            <w:sz w:val="21"/>
            <w:szCs w:val="21"/>
            <w14:textFill>
              <w14:solidFill>
                <w14:schemeClr w14:val="tx1"/>
              </w14:solidFill>
            </w14:textFill>
          </w:rPr>
          <m:t>=</m:t>
        </m:r>
        <m:r>
          <m:rPr/>
          <w:rPr>
            <w:rFonts w:ascii="Cambria Math" w:hAnsi="Cambria Math"/>
            <w:color w:val="000000" w:themeColor="text1"/>
            <w:sz w:val="21"/>
            <w:szCs w:val="21"/>
            <w14:textFill>
              <w14:solidFill>
                <w14:schemeClr w14:val="tx1"/>
              </w14:solidFill>
            </w14:textFill>
          </w:rPr>
          <m:t>CI</m:t>
        </m:r>
        <m:r>
          <m:rPr>
            <m:sty m:val="p"/>
          </m:rPr>
          <w:rPr>
            <w:rFonts w:ascii="Cambria Math" w:hAnsi="Cambria Math"/>
            <w:color w:val="000000" w:themeColor="text1"/>
            <w:sz w:val="21"/>
            <w:szCs w:val="21"/>
            <w14:textFill>
              <w14:solidFill>
                <w14:schemeClr w14:val="tx1"/>
              </w14:solidFill>
            </w14:textFill>
          </w:rPr>
          <m:t>/</m:t>
        </m:r>
        <m:r>
          <m:rPr/>
          <w:rPr>
            <w:rFonts w:ascii="Cambria Math" w:hAnsi="Cambria Math"/>
            <w:color w:val="000000" w:themeColor="text1"/>
            <w:sz w:val="21"/>
            <w:szCs w:val="21"/>
            <w14:textFill>
              <w14:solidFill>
                <w14:schemeClr w14:val="tx1"/>
              </w14:solidFill>
            </w14:textFill>
          </w:rPr>
          <m:t>RI</m:t>
        </m:r>
      </m:oMath>
      <w:r>
        <w:rPr>
          <w:rFonts w:ascii="宋体" w:hAnsi="宋体"/>
          <w:bCs/>
          <w:color w:val="000000" w:themeColor="text1"/>
          <w:sz w:val="21"/>
          <w:szCs w:val="21"/>
          <w14:textFill>
            <w14:solidFill>
              <w14:schemeClr w14:val="tx1"/>
            </w14:solidFill>
          </w14:textFill>
        </w:rPr>
        <w:t>（</w:t>
      </w:r>
      <m:oMath>
        <m:r>
          <m:rPr/>
          <w:rPr>
            <w:rFonts w:ascii="Cambria Math" w:hAnsi="Cambria Math"/>
            <w:color w:val="000000" w:themeColor="text1"/>
            <w:sz w:val="21"/>
            <w:szCs w:val="21"/>
            <w14:textFill>
              <w14:solidFill>
                <w14:schemeClr w14:val="tx1"/>
              </w14:solidFill>
            </w14:textFill>
          </w:rPr>
          <m:t>RI</m:t>
        </m:r>
      </m:oMath>
      <w:r>
        <w:rPr>
          <w:rFonts w:ascii="宋体" w:hAnsi="宋体"/>
          <w:bCs/>
          <w:color w:val="000000" w:themeColor="text1"/>
          <w:sz w:val="21"/>
          <w:szCs w:val="21"/>
          <w14:textFill>
            <w14:solidFill>
              <w14:schemeClr w14:val="tx1"/>
            </w14:solidFill>
          </w14:textFill>
        </w:rPr>
        <w:t xml:space="preserve"> 为平均随机一致性指标）</w:t>
      </w:r>
      <w:r>
        <w:rPr>
          <w:rFonts w:hint="eastAsia" w:ascii="宋体" w:hAnsi="宋体"/>
          <w:bCs/>
          <w:color w:val="000000" w:themeColor="text1"/>
          <w:sz w:val="21"/>
          <w:szCs w:val="21"/>
          <w:vertAlign w:val="superscript"/>
          <w14:textFill>
            <w14:solidFill>
              <w14:schemeClr w14:val="tx1"/>
            </w14:solidFill>
          </w14:textFill>
        </w:rPr>
        <w:t>[44]</w:t>
      </w:r>
      <w:r>
        <w:rPr>
          <w:rFonts w:ascii="宋体" w:hAnsi="宋体"/>
          <w:bCs/>
          <w:color w:val="000000" w:themeColor="text1"/>
          <w:sz w:val="21"/>
          <w:szCs w:val="21"/>
          <w14:textFill>
            <w14:solidFill>
              <w14:schemeClr w14:val="tx1"/>
            </w14:solidFill>
          </w14:textFill>
        </w:rPr>
        <w:t xml:space="preserve">。当 </w:t>
      </w:r>
      <m:oMath>
        <m:r>
          <m:rPr/>
          <w:rPr>
            <w:rFonts w:ascii="Cambria Math" w:hAnsi="Cambria Math"/>
            <w:color w:val="000000" w:themeColor="text1"/>
            <w:sz w:val="21"/>
            <w:szCs w:val="21"/>
            <w14:textFill>
              <w14:solidFill>
                <w14:schemeClr w14:val="tx1"/>
              </w14:solidFill>
            </w14:textFill>
          </w:rPr>
          <m:t>CR</m:t>
        </m:r>
        <m:r>
          <m:rPr>
            <m:sty m:val="p"/>
          </m:rPr>
          <w:rPr>
            <w:rFonts w:ascii="Cambria Math" w:hAnsi="Cambria Math"/>
            <w:color w:val="000000" w:themeColor="text1"/>
            <w:sz w:val="21"/>
            <w:szCs w:val="21"/>
            <w14:textFill>
              <w14:solidFill>
                <w14:schemeClr w14:val="tx1"/>
              </w14:solidFill>
            </w14:textFill>
          </w:rPr>
          <m:t>&lt;0.1</m:t>
        </m:r>
      </m:oMath>
      <w:r>
        <w:rPr>
          <w:rFonts w:ascii="宋体" w:hAnsi="宋体"/>
          <w:bCs/>
          <w:color w:val="000000" w:themeColor="text1"/>
          <w:sz w:val="21"/>
          <w:szCs w:val="21"/>
          <w14:textFill>
            <w14:solidFill>
              <w14:schemeClr w14:val="tx1"/>
            </w14:solidFill>
          </w14:textFill>
        </w:rPr>
        <w:t xml:space="preserve"> 时，认为判断矩阵的一致性可接受。</w:t>
      </w:r>
    </w:p>
    <w:p w14:paraId="016E08B3">
      <w:pPr>
        <w:widowControl/>
        <w:spacing w:after="0" w:line="240" w:lineRule="auto"/>
        <w:ind w:firstLine="420" w:firstLineChars="200"/>
        <w:jc w:val="both"/>
        <w:rPr>
          <w:rFonts w:hint="eastAsia" w:ascii="宋体" w:hAnsi="宋体" w:eastAsia="宋体" w:cs="Times New Roman"/>
          <w:bCs/>
          <w:color w:val="000000" w:themeColor="text1"/>
          <w:sz w:val="21"/>
          <w:szCs w:val="21"/>
          <w14:textFill>
            <w14:solidFill>
              <w14:schemeClr w14:val="tx1"/>
            </w14:solidFill>
          </w14:textFill>
        </w:rPr>
      </w:pPr>
      <w:r>
        <w:rPr>
          <w:rFonts w:ascii="宋体" w:hAnsi="宋体" w:eastAsia="宋体" w:cs="Times New Roman"/>
          <w:bCs/>
          <w:color w:val="000000" w:themeColor="text1"/>
          <w:sz w:val="21"/>
          <w:szCs w:val="21"/>
          <w14:textFill>
            <w14:solidFill>
              <w14:schemeClr w14:val="tx1"/>
            </w14:solidFill>
          </w14:textFill>
        </w:rPr>
        <w:t>经计算，最终确定的</w:t>
      </w:r>
      <w:r>
        <w:rPr>
          <w:rFonts w:hint="eastAsia" w:ascii="宋体" w:hAnsi="宋体" w:eastAsia="宋体" w:cs="Times New Roman"/>
          <w:bCs/>
          <w:color w:val="000000" w:themeColor="text1"/>
          <w:sz w:val="21"/>
          <w:szCs w:val="21"/>
          <w14:textFill>
            <w14:solidFill>
              <w14:schemeClr w14:val="tx1"/>
            </w14:solidFill>
          </w14:textFill>
        </w:rPr>
        <w:t>指标体系分析结果如图6所示。图6(</w:t>
      </w:r>
      <w:r>
        <w:rPr>
          <w:rFonts w:hint="eastAsia" w:ascii="宋体" w:hAnsi="宋体" w:eastAsia="宋体" w:cs="Times New Roman"/>
          <w:bCs/>
          <w:color w:val="000000" w:themeColor="text1"/>
          <w:sz w:val="21"/>
          <w:szCs w:val="21"/>
          <w14:textFill>
            <w14:solidFill>
              <w14:schemeClr w14:val="tx1"/>
            </w14:solidFill>
          </w14:textFill>
          <w14:ligatures w14:val="none"/>
        </w:rPr>
        <w:t>a)展示了从总指数到 12 项具体指标的权重传递逻辑。准则层中，预报能力权重最高</w:t>
      </w:r>
      <w:r>
        <w:rPr>
          <w:rFonts w:ascii="宋体" w:hAnsi="宋体" w:eastAsia="宋体" w:cs="Times New Roman"/>
          <w:bCs/>
          <w:color w:val="000000" w:themeColor="text1"/>
          <w:sz w:val="21"/>
          <w:szCs w:val="21"/>
          <w:lang w:val="en"/>
          <w14:textFill>
            <w14:solidFill>
              <w14:schemeClr w14:val="tx1"/>
            </w14:solidFill>
          </w14:textFill>
          <w14:ligatures w14:val="none"/>
        </w:rPr>
        <w:t>（</w:t>
      </w:r>
      <w:r>
        <w:rPr>
          <w:rFonts w:hint="eastAsia" w:ascii="宋体" w:hAnsi="宋体" w:eastAsia="宋体" w:cs="Times New Roman"/>
          <w:bCs/>
          <w:color w:val="000000" w:themeColor="text1"/>
          <w:sz w:val="21"/>
          <w:szCs w:val="21"/>
          <w14:textFill>
            <w14:solidFill>
              <w14:schemeClr w14:val="tx1"/>
            </w14:solidFill>
          </w14:textFill>
          <w14:ligatures w14:val="none"/>
        </w:rPr>
        <w:t>0.32），强调了精准感知与时空对齐是数字孪生底座的核心价值。</w:t>
      </w:r>
      <w:r>
        <w:rPr>
          <w:rFonts w:hint="eastAsia" w:ascii="宋体" w:hAnsi="宋体" w:eastAsia="宋体" w:cs="Times New Roman"/>
          <w:bCs/>
          <w:color w:val="000000" w:themeColor="text1"/>
          <w:sz w:val="21"/>
          <w:szCs w:val="21"/>
          <w14:textFill>
            <w14:solidFill>
              <w14:schemeClr w14:val="tx1"/>
            </w14:solidFill>
          </w14:textFill>
        </w:rPr>
        <w:t>图6</w:t>
      </w:r>
      <w:r>
        <w:rPr>
          <w:rFonts w:hint="eastAsia" w:ascii="宋体" w:hAnsi="宋体" w:eastAsia="宋体" w:cs="Times New Roman"/>
          <w:bCs/>
          <w:color w:val="000000" w:themeColor="text1"/>
          <w:sz w:val="21"/>
          <w:szCs w:val="21"/>
          <w14:textFill>
            <w14:solidFill>
              <w14:schemeClr w14:val="tx1"/>
            </w14:solidFill>
          </w14:textFill>
          <w14:ligatures w14:val="none"/>
        </w:rPr>
        <w:t>(b)中对指标全局权重进行了排序，利用帕累托原则识别关键驱动因素。结果显示，洪水预见期（C2）、预警发布时效（C4）等前5项关键指标的累积贡献率接近60%，是提升体系综合能力的突破口。计算参数与一致性检验</w:t>
      </w:r>
      <w:r>
        <w:rPr>
          <w:rFonts w:hint="eastAsia" w:ascii="宋体" w:hAnsi="宋体" w:eastAsia="宋体" w:cs="Times New Roman"/>
          <w:bCs/>
          <w:color w:val="000000" w:themeColor="text1"/>
          <w:sz w:val="21"/>
          <w:szCs w:val="21"/>
          <w:lang w:eastAsia="zh-CN"/>
          <w14:textFill>
            <w14:solidFill>
              <w14:schemeClr w14:val="tx1"/>
            </w14:solidFill>
          </w14:textFill>
          <w14:ligatures w14:val="none"/>
        </w:rPr>
        <w:t>如表</w:t>
      </w:r>
      <w:r>
        <w:rPr>
          <w:rFonts w:hint="eastAsia" w:ascii="宋体" w:hAnsi="宋体" w:eastAsia="宋体" w:cs="Times New Roman"/>
          <w:bCs/>
          <w:color w:val="000000" w:themeColor="text1"/>
          <w:sz w:val="21"/>
          <w:szCs w:val="21"/>
          <w:lang w:val="en-US" w:eastAsia="zh-CN"/>
          <w14:textFill>
            <w14:solidFill>
              <w14:schemeClr w14:val="tx1"/>
            </w14:solidFill>
          </w14:textFill>
          <w14:ligatures w14:val="none"/>
        </w:rPr>
        <w:t>4所列</w:t>
      </w:r>
      <w:r>
        <w:rPr>
          <w:rFonts w:hint="eastAsia" w:ascii="宋体" w:hAnsi="宋体" w:eastAsia="宋体" w:cs="Times New Roman"/>
          <w:bCs/>
          <w:color w:val="000000" w:themeColor="text1"/>
          <w:sz w:val="21"/>
          <w:szCs w:val="21"/>
          <w14:textFill>
            <w14:solidFill>
              <w14:schemeClr w14:val="tx1"/>
            </w14:solidFill>
          </w14:textFill>
          <w14:ligatures w14:val="none"/>
        </w:rPr>
        <w:t>。所有判断矩阵的最大特征根λ</w:t>
      </w:r>
      <w:r>
        <w:rPr>
          <w:rFonts w:hint="eastAsia" w:ascii="宋体" w:hAnsi="宋体" w:eastAsia="宋体" w:cs="Times New Roman"/>
          <w:bCs/>
          <w:color w:val="000000" w:themeColor="text1"/>
          <w:sz w:val="21"/>
          <w:szCs w:val="21"/>
          <w:vertAlign w:val="subscript"/>
          <w14:textFill>
            <w14:solidFill>
              <w14:schemeClr w14:val="tx1"/>
            </w14:solidFill>
          </w14:textFill>
          <w14:ligatures w14:val="none"/>
        </w:rPr>
        <w:t>max</w:t>
      </w:r>
      <w:r>
        <w:rPr>
          <w:rFonts w:hint="eastAsia" w:ascii="宋体" w:hAnsi="宋体" w:eastAsia="宋体" w:cs="Times New Roman"/>
          <w:bCs/>
          <w:color w:val="000000" w:themeColor="text1"/>
          <w:sz w:val="21"/>
          <w:szCs w:val="21"/>
          <w14:textFill>
            <w14:solidFill>
              <w14:schemeClr w14:val="tx1"/>
            </w14:solidFill>
          </w14:textFill>
          <w14:ligatures w14:val="none"/>
        </w:rPr>
        <w:t>均通过计算，且一致性比率CR均远小于0.1 的阈值，证明赋分逻辑严谨一致，评价结果具备极高的科学性与说服力。</w:t>
      </w:r>
    </w:p>
    <w:p w14:paraId="75507073">
      <w:pPr>
        <w:pStyle w:val="50"/>
        <w:spacing w:line="240" w:lineRule="auto"/>
        <w:ind w:firstLine="0"/>
        <w:jc w:val="center"/>
        <w:rPr>
          <w:rFonts w:hint="eastAsia" w:ascii="宋体" w:hAnsi="宋体"/>
          <w:bCs/>
          <w:color w:val="000000" w:themeColor="text1"/>
          <w:sz w:val="21"/>
          <w:szCs w:val="21"/>
          <w14:textFill>
            <w14:solidFill>
              <w14:schemeClr w14:val="tx1"/>
            </w14:solidFill>
          </w14:textFill>
        </w:rPr>
      </w:pPr>
      <w:r>
        <w:drawing>
          <wp:inline distT="0" distB="0" distL="0" distR="0">
            <wp:extent cx="5274310" cy="2566035"/>
            <wp:effectExtent l="0" t="0" r="2540" b="5715"/>
            <wp:docPr id="14388385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838591" name="图片 1"/>
                    <pic:cNvPicPr>
                      <a:picLocks noChangeAspect="1"/>
                    </pic:cNvPicPr>
                  </pic:nvPicPr>
                  <pic:blipFill>
                    <a:blip r:embed="rId13"/>
                    <a:stretch>
                      <a:fillRect/>
                    </a:stretch>
                  </pic:blipFill>
                  <pic:spPr>
                    <a:xfrm>
                      <a:off x="0" y="0"/>
                      <a:ext cx="5274310" cy="2566035"/>
                    </a:xfrm>
                    <a:prstGeom prst="rect">
                      <a:avLst/>
                    </a:prstGeom>
                  </pic:spPr>
                </pic:pic>
              </a:graphicData>
            </a:graphic>
          </wp:inline>
        </w:drawing>
      </w:r>
    </w:p>
    <w:p w14:paraId="29F6D92D">
      <w:pPr>
        <w:pStyle w:val="50"/>
        <w:spacing w:line="240" w:lineRule="auto"/>
        <w:ind w:firstLine="0"/>
        <w:jc w:val="center"/>
        <w:rPr>
          <w:rFonts w:hint="eastAsia" w:ascii="宋体" w:hAnsi="宋体"/>
          <w:sz w:val="15"/>
          <w:szCs w:val="15"/>
        </w:rPr>
      </w:pPr>
      <w:r>
        <w:rPr>
          <w:rFonts w:hint="eastAsia" w:ascii="宋体" w:hAnsi="宋体"/>
          <w:sz w:val="15"/>
          <w:szCs w:val="15"/>
        </w:rPr>
        <w:t>(a)指标体系层次结构与权重传递</w:t>
      </w:r>
    </w:p>
    <w:p w14:paraId="7DF659DA">
      <w:pPr>
        <w:pStyle w:val="50"/>
        <w:spacing w:line="240" w:lineRule="auto"/>
        <w:ind w:firstLine="0"/>
        <w:jc w:val="center"/>
        <w:rPr>
          <w:rFonts w:hint="eastAsia" w:ascii="宋体" w:hAnsi="宋体"/>
          <w:bCs/>
          <w:color w:val="000000" w:themeColor="text1"/>
          <w:sz w:val="21"/>
          <w:szCs w:val="21"/>
          <w14:textFill>
            <w14:solidFill>
              <w14:schemeClr w14:val="tx1"/>
            </w14:solidFill>
          </w14:textFill>
        </w:rPr>
      </w:pPr>
      <w:r>
        <w:drawing>
          <wp:inline distT="0" distB="0" distL="0" distR="0">
            <wp:extent cx="5274310" cy="2578100"/>
            <wp:effectExtent l="0" t="0" r="2540" b="0"/>
            <wp:docPr id="90299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99888" name="图片 1"/>
                    <pic:cNvPicPr>
                      <a:picLocks noChangeAspect="1"/>
                    </pic:cNvPicPr>
                  </pic:nvPicPr>
                  <pic:blipFill>
                    <a:blip r:embed="rId14"/>
                    <a:stretch>
                      <a:fillRect/>
                    </a:stretch>
                  </pic:blipFill>
                  <pic:spPr>
                    <a:xfrm>
                      <a:off x="0" y="0"/>
                      <a:ext cx="5274310" cy="2578100"/>
                    </a:xfrm>
                    <a:prstGeom prst="rect">
                      <a:avLst/>
                    </a:prstGeom>
                  </pic:spPr>
                </pic:pic>
              </a:graphicData>
            </a:graphic>
          </wp:inline>
        </w:drawing>
      </w:r>
    </w:p>
    <w:p w14:paraId="6EE1FD79">
      <w:pPr>
        <w:pStyle w:val="50"/>
        <w:spacing w:line="240" w:lineRule="auto"/>
        <w:ind w:firstLine="0"/>
        <w:jc w:val="center"/>
        <w:rPr>
          <w:rFonts w:hint="eastAsia" w:ascii="宋体" w:hAnsi="宋体"/>
          <w:sz w:val="15"/>
          <w:szCs w:val="15"/>
        </w:rPr>
      </w:pPr>
      <w:r>
        <w:rPr>
          <w:rFonts w:hint="eastAsia" w:ascii="宋体" w:hAnsi="宋体"/>
          <w:sz w:val="15"/>
          <w:szCs w:val="15"/>
        </w:rPr>
        <w:t>(b)关键指标识别</w:t>
      </w:r>
    </w:p>
    <w:p w14:paraId="5814AA6B">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hint="eastAsia" w:ascii="黑体" w:hAnsi="黑体" w:eastAsia="黑体"/>
          <w:b/>
          <w:color w:val="000000" w:themeColor="text1"/>
          <w:sz w:val="18"/>
          <w:szCs w:val="18"/>
          <w14:textFill>
            <w14:solidFill>
              <w14:schemeClr w14:val="tx1"/>
            </w14:solidFill>
          </w14:textFill>
        </w:rPr>
        <w:t>图6 指标体系分析结果</w:t>
      </w:r>
    </w:p>
    <w:p w14:paraId="2BDAAA55">
      <w:pPr>
        <w:pStyle w:val="46"/>
        <w:rPr>
          <w:rFonts w:hint="eastAsia"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Fig.6  Analysis results of indicator system</w:t>
      </w:r>
    </w:p>
    <w:p w14:paraId="61434609">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hint="eastAsia" w:ascii="黑体" w:hAnsi="黑体" w:eastAsia="黑体"/>
          <w:b/>
          <w:color w:val="000000" w:themeColor="text1"/>
          <w:sz w:val="18"/>
          <w:szCs w:val="18"/>
          <w:lang w:eastAsia="zh-CN"/>
          <w14:textFill>
            <w14:solidFill>
              <w14:schemeClr w14:val="tx1"/>
            </w14:solidFill>
          </w14:textFill>
        </w:rPr>
        <w:t>表</w:t>
      </w:r>
      <w:r>
        <w:rPr>
          <w:rFonts w:hint="eastAsia" w:ascii="黑体" w:hAnsi="黑体" w:eastAsia="黑体"/>
          <w:b/>
          <w:color w:val="000000" w:themeColor="text1"/>
          <w:sz w:val="18"/>
          <w:szCs w:val="18"/>
          <w:lang w:val="en-US" w:eastAsia="zh-CN"/>
          <w14:textFill>
            <w14:solidFill>
              <w14:schemeClr w14:val="tx1"/>
            </w14:solidFill>
          </w14:textFill>
        </w:rPr>
        <w:t xml:space="preserve">4  </w:t>
      </w:r>
      <w:r>
        <w:rPr>
          <w:rFonts w:hint="eastAsia" w:ascii="黑体" w:hAnsi="黑体" w:eastAsia="黑体"/>
          <w:b/>
          <w:color w:val="000000" w:themeColor="text1"/>
          <w:sz w:val="18"/>
          <w:szCs w:val="18"/>
          <w14:textFill>
            <w14:solidFill>
              <w14:schemeClr w14:val="tx1"/>
            </w14:solidFill>
          </w14:textFill>
        </w:rPr>
        <w:t>计算参数与一致性检验</w:t>
      </w:r>
    </w:p>
    <w:p w14:paraId="39C2A389">
      <w:pPr>
        <w:pStyle w:val="46"/>
        <w:rPr>
          <w:rFonts w:hint="eastAsia"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Table 4  Calculation parameters and consistency test</w:t>
      </w:r>
    </w:p>
    <w:bookmarkEnd w:id="22"/>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51"/>
        <w:gridCol w:w="983"/>
        <w:gridCol w:w="1055"/>
        <w:gridCol w:w="1380"/>
        <w:gridCol w:w="1217"/>
        <w:gridCol w:w="1217"/>
        <w:gridCol w:w="1219"/>
      </w:tblGrid>
      <w:tr w14:paraId="53274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13" w:type="dxa"/>
            <w:tcBorders>
              <w:top w:val="single" w:color="auto" w:sz="12" w:space="0"/>
              <w:bottom w:val="single" w:color="auto" w:sz="4" w:space="0"/>
            </w:tcBorders>
            <w:vAlign w:val="center"/>
          </w:tcPr>
          <w:p w14:paraId="0B39C029">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层次关系</w:t>
            </w:r>
          </w:p>
        </w:tc>
        <w:tc>
          <w:tcPr>
            <w:tcW w:w="957" w:type="dxa"/>
            <w:tcBorders>
              <w:top w:val="single" w:color="auto" w:sz="12" w:space="0"/>
              <w:bottom w:val="single" w:color="auto" w:sz="4" w:space="0"/>
            </w:tcBorders>
            <w:vAlign w:val="center"/>
          </w:tcPr>
          <w:p w14:paraId="486FEFE1">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矩阵阶数</w:t>
            </w:r>
            <w:r>
              <w:rPr>
                <w:rStyle w:val="23"/>
                <w:rFonts w:ascii="宋体" w:hAnsi="宋体" w:eastAsia="宋体" w:cs="Times New Roman"/>
                <w:i/>
                <w:iCs/>
                <w:sz w:val="15"/>
                <w:szCs w:val="16"/>
              </w:rPr>
              <w:t>n</w:t>
            </w:r>
          </w:p>
        </w:tc>
        <w:tc>
          <w:tcPr>
            <w:tcW w:w="1027" w:type="dxa"/>
            <w:tcBorders>
              <w:top w:val="single" w:color="auto" w:sz="12" w:space="0"/>
              <w:bottom w:val="single" w:color="auto" w:sz="4" w:space="0"/>
            </w:tcBorders>
            <w:vAlign w:val="center"/>
          </w:tcPr>
          <w:p w14:paraId="122211BF">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最大特征根</w:t>
            </w:r>
            <w:r>
              <w:rPr>
                <w:rStyle w:val="23"/>
                <w:rFonts w:ascii="宋体" w:hAnsi="宋体" w:eastAsia="宋体" w:cs="Times New Roman"/>
                <w:i/>
                <w:iCs/>
                <w:sz w:val="15"/>
                <w:szCs w:val="16"/>
              </w:rPr>
              <w:t>λ</w:t>
            </w:r>
            <w:r>
              <w:rPr>
                <w:rStyle w:val="23"/>
                <w:rFonts w:ascii="宋体" w:hAnsi="宋体" w:eastAsia="宋体" w:cs="Times New Roman"/>
                <w:sz w:val="15"/>
                <w:szCs w:val="16"/>
                <w:vertAlign w:val="subscript"/>
              </w:rPr>
              <w:t>max</w:t>
            </w:r>
            <w:r>
              <w:rPr>
                <w:rStyle w:val="23"/>
                <w:rFonts w:ascii="Times New Roman" w:hAnsi="Times New Roman" w:eastAsia="宋体" w:cs="Times New Roman"/>
                <w:sz w:val="15"/>
                <w:szCs w:val="16"/>
                <w:vertAlign w:val="subscript"/>
              </w:rPr>
              <w:t>​</w:t>
            </w:r>
          </w:p>
        </w:tc>
        <w:tc>
          <w:tcPr>
            <w:tcW w:w="1343" w:type="dxa"/>
            <w:tcBorders>
              <w:top w:val="single" w:color="auto" w:sz="12" w:space="0"/>
              <w:bottom w:val="single" w:color="auto" w:sz="4" w:space="0"/>
            </w:tcBorders>
            <w:vAlign w:val="center"/>
          </w:tcPr>
          <w:p w14:paraId="38444D9B">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一致性指标</w:t>
            </w:r>
            <w:r>
              <w:rPr>
                <w:rStyle w:val="23"/>
                <w:rFonts w:ascii="宋体" w:hAnsi="宋体" w:eastAsia="宋体" w:cs="Times New Roman"/>
                <w:i/>
                <w:iCs/>
                <w:sz w:val="15"/>
                <w:szCs w:val="16"/>
              </w:rPr>
              <w:t>CI</w:t>
            </w:r>
          </w:p>
        </w:tc>
        <w:tc>
          <w:tcPr>
            <w:tcW w:w="1185" w:type="dxa"/>
            <w:tcBorders>
              <w:top w:val="single" w:color="auto" w:sz="12" w:space="0"/>
              <w:bottom w:val="single" w:color="auto" w:sz="4" w:space="0"/>
            </w:tcBorders>
            <w:vAlign w:val="center"/>
          </w:tcPr>
          <w:p w14:paraId="784B0520">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随机指标</w:t>
            </w:r>
            <w:r>
              <w:rPr>
                <w:rStyle w:val="23"/>
                <w:rFonts w:ascii="宋体" w:hAnsi="宋体" w:eastAsia="宋体" w:cs="Times New Roman"/>
                <w:i/>
                <w:iCs/>
                <w:sz w:val="15"/>
                <w:szCs w:val="16"/>
              </w:rPr>
              <w:t>RI</w:t>
            </w:r>
          </w:p>
        </w:tc>
        <w:tc>
          <w:tcPr>
            <w:tcW w:w="1185" w:type="dxa"/>
            <w:tcBorders>
              <w:top w:val="single" w:color="auto" w:sz="12" w:space="0"/>
              <w:bottom w:val="single" w:color="auto" w:sz="4" w:space="0"/>
            </w:tcBorders>
            <w:vAlign w:val="center"/>
          </w:tcPr>
          <w:p w14:paraId="4881D087">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一致性比率</w:t>
            </w:r>
            <w:r>
              <w:rPr>
                <w:rStyle w:val="23"/>
                <w:rFonts w:ascii="宋体" w:hAnsi="宋体" w:eastAsia="宋体" w:cs="Times New Roman"/>
                <w:i/>
                <w:iCs/>
                <w:sz w:val="15"/>
                <w:szCs w:val="16"/>
              </w:rPr>
              <w:t>CR</w:t>
            </w:r>
          </w:p>
        </w:tc>
        <w:tc>
          <w:tcPr>
            <w:tcW w:w="1186" w:type="dxa"/>
            <w:tcBorders>
              <w:top w:val="single" w:color="auto" w:sz="12" w:space="0"/>
              <w:bottom w:val="single" w:color="auto" w:sz="4" w:space="0"/>
            </w:tcBorders>
            <w:vAlign w:val="center"/>
          </w:tcPr>
          <w:p w14:paraId="69E37540">
            <w:pPr>
              <w:widowControl/>
              <w:spacing w:after="0" w:line="240" w:lineRule="auto"/>
              <w:jc w:val="center"/>
              <w:rPr>
                <w:rFonts w:hint="eastAsia" w:ascii="宋体" w:hAnsi="宋体" w:eastAsia="宋体" w:cs="Times New Roman"/>
                <w:sz w:val="15"/>
                <w:szCs w:val="16"/>
              </w:rPr>
            </w:pPr>
            <w:r>
              <w:rPr>
                <w:rStyle w:val="23"/>
                <w:rFonts w:ascii="宋体" w:hAnsi="宋体" w:eastAsia="宋体" w:cs="Times New Roman"/>
                <w:sz w:val="15"/>
                <w:szCs w:val="16"/>
              </w:rPr>
              <w:t>结果判定</w:t>
            </w:r>
          </w:p>
        </w:tc>
      </w:tr>
      <w:tr w14:paraId="3AA72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13" w:type="dxa"/>
            <w:tcBorders>
              <w:top w:val="single" w:color="auto" w:sz="4" w:space="0"/>
            </w:tcBorders>
            <w:vAlign w:val="center"/>
          </w:tcPr>
          <w:p w14:paraId="0E5449AD">
            <w:pPr>
              <w:widowControl/>
              <w:spacing w:after="0" w:line="240" w:lineRule="auto"/>
              <w:jc w:val="center"/>
              <w:rPr>
                <w:rFonts w:hint="eastAsia" w:ascii="宋体" w:hAnsi="宋体" w:eastAsia="宋体" w:cs="Times New Roman"/>
                <w:sz w:val="15"/>
                <w:szCs w:val="16"/>
              </w:rPr>
            </w:pPr>
            <w:r>
              <w:rPr>
                <w:rFonts w:ascii="宋体" w:hAnsi="宋体" w:eastAsia="宋体" w:cs="Times New Roman"/>
                <w:b/>
                <w:bCs/>
                <w:sz w:val="15"/>
                <w:szCs w:val="16"/>
              </w:rPr>
              <w:t>A - B (准则层)</w:t>
            </w:r>
          </w:p>
        </w:tc>
        <w:tc>
          <w:tcPr>
            <w:tcW w:w="957" w:type="dxa"/>
            <w:tcBorders>
              <w:top w:val="single" w:color="auto" w:sz="4" w:space="0"/>
            </w:tcBorders>
            <w:vAlign w:val="center"/>
          </w:tcPr>
          <w:p w14:paraId="76DE6648">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4</w:t>
            </w:r>
          </w:p>
        </w:tc>
        <w:tc>
          <w:tcPr>
            <w:tcW w:w="1027" w:type="dxa"/>
            <w:tcBorders>
              <w:top w:val="single" w:color="auto" w:sz="4" w:space="0"/>
            </w:tcBorders>
            <w:vAlign w:val="center"/>
          </w:tcPr>
          <w:p w14:paraId="2AC455D7">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4.085</w:t>
            </w:r>
          </w:p>
        </w:tc>
        <w:tc>
          <w:tcPr>
            <w:tcW w:w="1343" w:type="dxa"/>
            <w:tcBorders>
              <w:top w:val="single" w:color="auto" w:sz="4" w:space="0"/>
            </w:tcBorders>
            <w:vAlign w:val="center"/>
          </w:tcPr>
          <w:p w14:paraId="2BF0CF87">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0.028</w:t>
            </w:r>
          </w:p>
        </w:tc>
        <w:tc>
          <w:tcPr>
            <w:tcW w:w="1185" w:type="dxa"/>
            <w:tcBorders>
              <w:top w:val="single" w:color="auto" w:sz="4" w:space="0"/>
            </w:tcBorders>
            <w:vAlign w:val="center"/>
          </w:tcPr>
          <w:p w14:paraId="5C4C9CEC">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0.89</w:t>
            </w:r>
          </w:p>
        </w:tc>
        <w:tc>
          <w:tcPr>
            <w:tcW w:w="1185" w:type="dxa"/>
            <w:tcBorders>
              <w:top w:val="single" w:color="auto" w:sz="4" w:space="0"/>
            </w:tcBorders>
            <w:vAlign w:val="center"/>
          </w:tcPr>
          <w:p w14:paraId="17BD7B74">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0.032</w:t>
            </w:r>
            <w:r>
              <w:rPr>
                <w:rFonts w:hint="eastAsia" w:ascii="宋体" w:hAnsi="宋体" w:eastAsia="宋体" w:cs="Times New Roman"/>
                <w:sz w:val="15"/>
                <w:szCs w:val="16"/>
              </w:rPr>
              <w:t>＜0.1</w:t>
            </w:r>
          </w:p>
        </w:tc>
        <w:tc>
          <w:tcPr>
            <w:tcW w:w="1186" w:type="dxa"/>
            <w:tcBorders>
              <w:top w:val="single" w:color="auto" w:sz="4" w:space="0"/>
            </w:tcBorders>
            <w:vAlign w:val="center"/>
          </w:tcPr>
          <w:p w14:paraId="373FBC13">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通过</w:t>
            </w:r>
          </w:p>
        </w:tc>
      </w:tr>
      <w:tr w14:paraId="6B7C8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13" w:type="dxa"/>
            <w:vAlign w:val="center"/>
          </w:tcPr>
          <w:p w14:paraId="4E438EE3">
            <w:pPr>
              <w:widowControl/>
              <w:spacing w:after="0" w:line="240" w:lineRule="auto"/>
              <w:jc w:val="center"/>
              <w:rPr>
                <w:rFonts w:hint="eastAsia" w:ascii="宋体" w:hAnsi="宋体" w:eastAsia="宋体" w:cs="Times New Roman"/>
                <w:sz w:val="15"/>
                <w:szCs w:val="16"/>
              </w:rPr>
            </w:pPr>
            <w:r>
              <w:rPr>
                <w:rFonts w:ascii="宋体" w:hAnsi="宋体" w:eastAsia="宋体" w:cs="Times New Roman"/>
                <w:b/>
                <w:bCs/>
                <w:sz w:val="15"/>
                <w:szCs w:val="16"/>
              </w:rPr>
              <w:t>B1 - C (预报)</w:t>
            </w:r>
          </w:p>
        </w:tc>
        <w:tc>
          <w:tcPr>
            <w:tcW w:w="957" w:type="dxa"/>
            <w:vAlign w:val="center"/>
          </w:tcPr>
          <w:p w14:paraId="4F5A85D0">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w:t>
            </w:r>
          </w:p>
        </w:tc>
        <w:tc>
          <w:tcPr>
            <w:tcW w:w="1027" w:type="dxa"/>
            <w:vAlign w:val="center"/>
          </w:tcPr>
          <w:p w14:paraId="044ACEE4">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3.018</w:t>
            </w:r>
          </w:p>
        </w:tc>
        <w:tc>
          <w:tcPr>
            <w:tcW w:w="1343" w:type="dxa"/>
            <w:vAlign w:val="center"/>
          </w:tcPr>
          <w:p w14:paraId="2C50DF06">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0.009</w:t>
            </w:r>
          </w:p>
        </w:tc>
        <w:tc>
          <w:tcPr>
            <w:tcW w:w="1185" w:type="dxa"/>
            <w:vAlign w:val="center"/>
          </w:tcPr>
          <w:p w14:paraId="3E409BEF">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0.52</w:t>
            </w:r>
          </w:p>
        </w:tc>
        <w:tc>
          <w:tcPr>
            <w:tcW w:w="1185" w:type="dxa"/>
            <w:vAlign w:val="center"/>
          </w:tcPr>
          <w:p w14:paraId="6E5102FD">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0.017</w:t>
            </w:r>
            <w:r>
              <w:rPr>
                <w:rFonts w:hint="eastAsia" w:ascii="宋体" w:hAnsi="宋体" w:eastAsia="宋体" w:cs="Times New Roman"/>
                <w:sz w:val="15"/>
                <w:szCs w:val="16"/>
              </w:rPr>
              <w:t>＜0.1</w:t>
            </w:r>
          </w:p>
        </w:tc>
        <w:tc>
          <w:tcPr>
            <w:tcW w:w="1186" w:type="dxa"/>
            <w:vAlign w:val="center"/>
          </w:tcPr>
          <w:p w14:paraId="7A44055C">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通过</w:t>
            </w:r>
          </w:p>
        </w:tc>
      </w:tr>
      <w:tr w14:paraId="29F91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13" w:type="dxa"/>
            <w:vAlign w:val="center"/>
          </w:tcPr>
          <w:p w14:paraId="7AF1C8BA">
            <w:pPr>
              <w:widowControl/>
              <w:spacing w:after="0" w:line="240" w:lineRule="auto"/>
              <w:jc w:val="center"/>
              <w:rPr>
                <w:rFonts w:hint="eastAsia" w:ascii="宋体" w:hAnsi="宋体" w:eastAsia="宋体" w:cs="Times New Roman"/>
                <w:sz w:val="15"/>
                <w:szCs w:val="16"/>
              </w:rPr>
            </w:pPr>
            <w:r>
              <w:rPr>
                <w:rFonts w:ascii="宋体" w:hAnsi="宋体" w:eastAsia="宋体" w:cs="Times New Roman"/>
                <w:b/>
                <w:bCs/>
                <w:sz w:val="15"/>
                <w:szCs w:val="16"/>
              </w:rPr>
              <w:t>B2 - C (预警)</w:t>
            </w:r>
          </w:p>
        </w:tc>
        <w:tc>
          <w:tcPr>
            <w:tcW w:w="957" w:type="dxa"/>
            <w:vAlign w:val="center"/>
          </w:tcPr>
          <w:p w14:paraId="3752B532">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w:t>
            </w:r>
          </w:p>
        </w:tc>
        <w:tc>
          <w:tcPr>
            <w:tcW w:w="1027" w:type="dxa"/>
            <w:vAlign w:val="center"/>
          </w:tcPr>
          <w:p w14:paraId="61703E4F">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3.032</w:t>
            </w:r>
          </w:p>
        </w:tc>
        <w:tc>
          <w:tcPr>
            <w:tcW w:w="1343" w:type="dxa"/>
            <w:vAlign w:val="center"/>
          </w:tcPr>
          <w:p w14:paraId="6645FD29">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0.016</w:t>
            </w:r>
          </w:p>
        </w:tc>
        <w:tc>
          <w:tcPr>
            <w:tcW w:w="1185" w:type="dxa"/>
            <w:vAlign w:val="center"/>
          </w:tcPr>
          <w:p w14:paraId="33B6BEC4">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0.52</w:t>
            </w:r>
          </w:p>
        </w:tc>
        <w:tc>
          <w:tcPr>
            <w:tcW w:w="1185" w:type="dxa"/>
            <w:vAlign w:val="center"/>
          </w:tcPr>
          <w:p w14:paraId="5796BE19">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0.031</w:t>
            </w:r>
            <w:r>
              <w:rPr>
                <w:rFonts w:hint="eastAsia" w:ascii="宋体" w:hAnsi="宋体" w:eastAsia="宋体" w:cs="Times New Roman"/>
                <w:sz w:val="15"/>
                <w:szCs w:val="16"/>
              </w:rPr>
              <w:t>＜0.1</w:t>
            </w:r>
          </w:p>
        </w:tc>
        <w:tc>
          <w:tcPr>
            <w:tcW w:w="1186" w:type="dxa"/>
            <w:vAlign w:val="center"/>
          </w:tcPr>
          <w:p w14:paraId="6132FA36">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通过</w:t>
            </w:r>
          </w:p>
        </w:tc>
      </w:tr>
      <w:tr w14:paraId="0F5FA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13" w:type="dxa"/>
            <w:vAlign w:val="center"/>
          </w:tcPr>
          <w:p w14:paraId="4004F73C">
            <w:pPr>
              <w:widowControl/>
              <w:spacing w:after="0" w:line="240" w:lineRule="auto"/>
              <w:jc w:val="center"/>
              <w:rPr>
                <w:rFonts w:hint="eastAsia" w:ascii="宋体" w:hAnsi="宋体" w:eastAsia="宋体" w:cs="Times New Roman"/>
                <w:sz w:val="15"/>
                <w:szCs w:val="16"/>
              </w:rPr>
            </w:pPr>
            <w:r>
              <w:rPr>
                <w:rFonts w:ascii="宋体" w:hAnsi="宋体" w:eastAsia="宋体" w:cs="Times New Roman"/>
                <w:b/>
                <w:bCs/>
                <w:sz w:val="15"/>
                <w:szCs w:val="16"/>
              </w:rPr>
              <w:t>B3 - C (预演)</w:t>
            </w:r>
          </w:p>
        </w:tc>
        <w:tc>
          <w:tcPr>
            <w:tcW w:w="957" w:type="dxa"/>
            <w:vAlign w:val="center"/>
          </w:tcPr>
          <w:p w14:paraId="2D3B4A7D">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w:t>
            </w:r>
          </w:p>
        </w:tc>
        <w:tc>
          <w:tcPr>
            <w:tcW w:w="1027" w:type="dxa"/>
            <w:vAlign w:val="center"/>
          </w:tcPr>
          <w:p w14:paraId="7A7925FE">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3.009</w:t>
            </w:r>
          </w:p>
        </w:tc>
        <w:tc>
          <w:tcPr>
            <w:tcW w:w="1343" w:type="dxa"/>
            <w:vAlign w:val="center"/>
          </w:tcPr>
          <w:p w14:paraId="04E20ED9">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0.005</w:t>
            </w:r>
          </w:p>
        </w:tc>
        <w:tc>
          <w:tcPr>
            <w:tcW w:w="1185" w:type="dxa"/>
            <w:vAlign w:val="center"/>
          </w:tcPr>
          <w:p w14:paraId="38992637">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0.52</w:t>
            </w:r>
          </w:p>
        </w:tc>
        <w:tc>
          <w:tcPr>
            <w:tcW w:w="1185" w:type="dxa"/>
            <w:vAlign w:val="center"/>
          </w:tcPr>
          <w:p w14:paraId="6A8E79CD">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0.009</w:t>
            </w:r>
            <w:r>
              <w:rPr>
                <w:rFonts w:hint="eastAsia" w:ascii="宋体" w:hAnsi="宋体" w:eastAsia="宋体" w:cs="Times New Roman"/>
                <w:sz w:val="15"/>
                <w:szCs w:val="16"/>
              </w:rPr>
              <w:t>＜0.1</w:t>
            </w:r>
          </w:p>
        </w:tc>
        <w:tc>
          <w:tcPr>
            <w:tcW w:w="1186" w:type="dxa"/>
            <w:vAlign w:val="center"/>
          </w:tcPr>
          <w:p w14:paraId="0F35C036">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通过</w:t>
            </w:r>
          </w:p>
        </w:tc>
      </w:tr>
      <w:tr w14:paraId="7565D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13" w:type="dxa"/>
            <w:tcBorders>
              <w:bottom w:val="single" w:color="auto" w:sz="12" w:space="0"/>
            </w:tcBorders>
            <w:vAlign w:val="center"/>
          </w:tcPr>
          <w:p w14:paraId="3D7E8E36">
            <w:pPr>
              <w:widowControl/>
              <w:spacing w:after="0" w:line="240" w:lineRule="auto"/>
              <w:jc w:val="center"/>
              <w:rPr>
                <w:rFonts w:hint="eastAsia" w:ascii="宋体" w:hAnsi="宋体" w:eastAsia="宋体" w:cs="Times New Roman"/>
                <w:sz w:val="15"/>
                <w:szCs w:val="16"/>
              </w:rPr>
            </w:pPr>
            <w:r>
              <w:rPr>
                <w:rFonts w:ascii="宋体" w:hAnsi="宋体" w:eastAsia="宋体" w:cs="Times New Roman"/>
                <w:b/>
                <w:bCs/>
                <w:sz w:val="15"/>
                <w:szCs w:val="16"/>
              </w:rPr>
              <w:t>B4 - C (预案)</w:t>
            </w:r>
          </w:p>
        </w:tc>
        <w:tc>
          <w:tcPr>
            <w:tcW w:w="957" w:type="dxa"/>
            <w:tcBorders>
              <w:bottom w:val="single" w:color="auto" w:sz="12" w:space="0"/>
            </w:tcBorders>
            <w:vAlign w:val="center"/>
          </w:tcPr>
          <w:p w14:paraId="1B5EC3D0">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w:t>
            </w:r>
          </w:p>
        </w:tc>
        <w:tc>
          <w:tcPr>
            <w:tcW w:w="1027" w:type="dxa"/>
            <w:tcBorders>
              <w:bottom w:val="single" w:color="auto" w:sz="12" w:space="0"/>
            </w:tcBorders>
            <w:vAlign w:val="center"/>
          </w:tcPr>
          <w:p w14:paraId="0BA1BC13">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3.024</w:t>
            </w:r>
          </w:p>
        </w:tc>
        <w:tc>
          <w:tcPr>
            <w:tcW w:w="1343" w:type="dxa"/>
            <w:tcBorders>
              <w:bottom w:val="single" w:color="auto" w:sz="12" w:space="0"/>
            </w:tcBorders>
            <w:vAlign w:val="center"/>
          </w:tcPr>
          <w:p w14:paraId="7960E21F">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0.012</w:t>
            </w:r>
          </w:p>
        </w:tc>
        <w:tc>
          <w:tcPr>
            <w:tcW w:w="1185" w:type="dxa"/>
            <w:tcBorders>
              <w:bottom w:val="single" w:color="auto" w:sz="12" w:space="0"/>
            </w:tcBorders>
            <w:vAlign w:val="center"/>
          </w:tcPr>
          <w:p w14:paraId="58577E85">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0.52</w:t>
            </w:r>
          </w:p>
        </w:tc>
        <w:tc>
          <w:tcPr>
            <w:tcW w:w="1185" w:type="dxa"/>
            <w:tcBorders>
              <w:bottom w:val="single" w:color="auto" w:sz="12" w:space="0"/>
            </w:tcBorders>
            <w:vAlign w:val="center"/>
          </w:tcPr>
          <w:p w14:paraId="2429F16F">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0.023</w:t>
            </w:r>
            <w:r>
              <w:rPr>
                <w:rFonts w:hint="eastAsia" w:ascii="宋体" w:hAnsi="宋体" w:eastAsia="宋体" w:cs="Times New Roman"/>
                <w:sz w:val="15"/>
                <w:szCs w:val="16"/>
              </w:rPr>
              <w:t>＜0.1</w:t>
            </w:r>
          </w:p>
        </w:tc>
        <w:tc>
          <w:tcPr>
            <w:tcW w:w="1186" w:type="dxa"/>
            <w:tcBorders>
              <w:bottom w:val="single" w:color="auto" w:sz="12" w:space="0"/>
            </w:tcBorders>
            <w:vAlign w:val="center"/>
          </w:tcPr>
          <w:p w14:paraId="2B2516BD">
            <w:pPr>
              <w:widowControl/>
              <w:spacing w:after="0" w:line="240" w:lineRule="auto"/>
              <w:jc w:val="center"/>
              <w:rPr>
                <w:rFonts w:hint="eastAsia" w:ascii="宋体" w:hAnsi="宋体" w:eastAsia="宋体" w:cs="Times New Roman"/>
                <w:sz w:val="15"/>
                <w:szCs w:val="16"/>
              </w:rPr>
            </w:pPr>
            <w:r>
              <w:rPr>
                <w:rFonts w:ascii="宋体" w:hAnsi="宋体" w:eastAsia="宋体" w:cs="Times New Roman"/>
                <w:sz w:val="15"/>
                <w:szCs w:val="16"/>
              </w:rPr>
              <w:t>通过</w:t>
            </w:r>
          </w:p>
        </w:tc>
      </w:tr>
    </w:tbl>
    <w:p w14:paraId="7EC54216">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hint="eastAsia" w:ascii="黑体" w:hAnsi="黑体" w:eastAsia="黑体" w:cs="Times New Roman"/>
          <w:color w:val="000000" w:themeColor="text1"/>
          <w:sz w:val="21"/>
          <w:szCs w:val="21"/>
          <w14:textFill>
            <w14:solidFill>
              <w14:schemeClr w14:val="tx1"/>
            </w14:solidFill>
          </w14:textFill>
          <w14:ligatures w14:val="none"/>
        </w:rPr>
        <w:t>3.</w:t>
      </w:r>
      <w:r>
        <w:rPr>
          <w:rFonts w:ascii="黑体" w:hAnsi="黑体" w:eastAsia="黑体" w:cs="Times New Roman"/>
          <w:color w:val="000000" w:themeColor="text1"/>
          <w:sz w:val="21"/>
          <w:szCs w:val="21"/>
          <w14:textFill>
            <w14:solidFill>
              <w14:schemeClr w14:val="tx1"/>
            </w14:solidFill>
          </w14:textFill>
          <w14:ligatures w14:val="none"/>
        </w:rPr>
        <w:t>2 历史暴雨情景下的逻辑仿真复盘与效能推演</w:t>
      </w:r>
    </w:p>
    <w:p w14:paraId="70854392">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为论证本研究数字孪生框架的预期效能，本文</w:t>
      </w:r>
      <w:r>
        <w:rPr>
          <w:rFonts w:ascii="宋体" w:hAnsi="宋体"/>
          <w:bCs/>
          <w:color w:val="000000" w:themeColor="text1"/>
          <w:sz w:val="21"/>
          <w:szCs w:val="21"/>
          <w14:textFill>
            <w14:solidFill>
              <w14:schemeClr w14:val="tx1"/>
            </w14:solidFill>
          </w14:textFill>
        </w:rPr>
        <w:t>选取</w:t>
      </w:r>
      <w:r>
        <w:rPr>
          <w:rFonts w:hint="eastAsia" w:ascii="宋体" w:hAnsi="宋体"/>
          <w:bCs/>
          <w:color w:val="000000" w:themeColor="text1"/>
          <w:sz w:val="21"/>
          <w:szCs w:val="21"/>
          <w14:textFill>
            <w14:solidFill>
              <w14:schemeClr w14:val="tx1"/>
            </w14:solidFill>
          </w14:textFill>
        </w:rPr>
        <w:t>历史</w:t>
      </w:r>
      <w:r>
        <w:rPr>
          <w:rFonts w:ascii="宋体" w:hAnsi="宋体"/>
          <w:bCs/>
          <w:color w:val="000000" w:themeColor="text1"/>
          <w:sz w:val="21"/>
          <w:szCs w:val="21"/>
          <w14:textFill>
            <w14:solidFill>
              <w14:schemeClr w14:val="tx1"/>
            </w14:solidFill>
          </w14:textFill>
        </w:rPr>
        <w:t>特大暴雨洪涝事件作为推演背景。</w:t>
      </w:r>
      <w:r>
        <w:rPr>
          <w:rFonts w:hint="eastAsia" w:ascii="宋体" w:hAnsi="宋体"/>
          <w:bCs/>
          <w:color w:val="000000" w:themeColor="text1"/>
          <w:sz w:val="21"/>
          <w:szCs w:val="21"/>
          <w14:textFill>
            <w14:solidFill>
              <w14:schemeClr w14:val="tx1"/>
            </w14:solidFill>
          </w14:textFill>
        </w:rPr>
        <w:t>采用逻辑分析的方法，将传统的人工防汛调度工作模式和利用数字孪生技术赋能的防汛调度模式在同一灾害场景中展开对比推演。</w:t>
      </w:r>
    </w:p>
    <w:p w14:paraId="437E225D">
      <w:pPr>
        <w:pStyle w:val="50"/>
        <w:spacing w:line="240" w:lineRule="auto"/>
        <w:ind w:firstLine="0"/>
        <w:outlineLvl w:val="2"/>
        <w:rPr>
          <w:rFonts w:hint="eastAsia" w:ascii="楷体" w:hAnsi="楷体" w:eastAsia="楷体"/>
          <w:color w:val="000000" w:themeColor="text1"/>
          <w:sz w:val="21"/>
          <w:szCs w:val="21"/>
          <w14:textFill>
            <w14:solidFill>
              <w14:schemeClr w14:val="tx1"/>
            </w14:solidFill>
          </w14:textFill>
        </w:rPr>
      </w:pPr>
      <w:r>
        <w:rPr>
          <w:rFonts w:hint="eastAsia" w:ascii="楷体" w:hAnsi="楷体" w:eastAsia="楷体"/>
          <w:color w:val="000000" w:themeColor="text1"/>
          <w:sz w:val="21"/>
          <w:szCs w:val="21"/>
          <w14:textFill>
            <w14:solidFill>
              <w14:schemeClr w14:val="tx1"/>
            </w14:solidFill>
          </w14:textFill>
        </w:rPr>
        <w:t>3.</w:t>
      </w:r>
      <w:r>
        <w:rPr>
          <w:rFonts w:ascii="楷体" w:hAnsi="楷体" w:eastAsia="楷体"/>
          <w:color w:val="000000" w:themeColor="text1"/>
          <w:sz w:val="21"/>
          <w:szCs w:val="21"/>
          <w14:textFill>
            <w14:solidFill>
              <w14:schemeClr w14:val="tx1"/>
            </w14:solidFill>
          </w14:textFill>
        </w:rPr>
        <w:t>2.1 推演环境与情景逻辑设定</w:t>
      </w:r>
    </w:p>
    <w:p w14:paraId="58F91A08">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将</w:t>
      </w:r>
      <w:r>
        <w:rPr>
          <w:rFonts w:ascii="宋体" w:hAnsi="宋体"/>
          <w:bCs/>
          <w:color w:val="000000" w:themeColor="text1"/>
          <w:sz w:val="21"/>
          <w:szCs w:val="21"/>
          <w14:textFill>
            <w14:solidFill>
              <w14:schemeClr w14:val="tx1"/>
            </w14:solidFill>
          </w14:textFill>
        </w:rPr>
        <w:t>历史事件的降雨过程作为客观依据。同时，输入水文学基本定律、信息论原理</w:t>
      </w:r>
      <w:r>
        <w:rPr>
          <w:rFonts w:hint="eastAsia" w:ascii="宋体" w:hAnsi="宋体"/>
          <w:bCs/>
          <w:color w:val="000000" w:themeColor="text1"/>
          <w:sz w:val="21"/>
          <w:szCs w:val="21"/>
          <w14:textFill>
            <w14:solidFill>
              <w14:schemeClr w14:val="tx1"/>
            </w14:solidFill>
          </w14:textFill>
        </w:rPr>
        <w:t>以</w:t>
      </w:r>
      <w:r>
        <w:rPr>
          <w:rFonts w:ascii="宋体" w:hAnsi="宋体"/>
          <w:bCs/>
          <w:color w:val="000000" w:themeColor="text1"/>
          <w:sz w:val="21"/>
          <w:szCs w:val="21"/>
          <w14:textFill>
            <w14:solidFill>
              <w14:schemeClr w14:val="tx1"/>
            </w14:solidFill>
          </w14:textFill>
        </w:rPr>
        <w:t>及对传统行政</w:t>
      </w:r>
      <w:r>
        <w:rPr>
          <w:rFonts w:hint="eastAsia" w:ascii="宋体" w:hAnsi="宋体"/>
          <w:bCs/>
          <w:color w:val="000000" w:themeColor="text1"/>
          <w:sz w:val="21"/>
          <w:szCs w:val="21"/>
          <w14:textFill>
            <w14:solidFill>
              <w14:schemeClr w14:val="tx1"/>
            </w14:solidFill>
          </w14:textFill>
        </w:rPr>
        <w:t>审批</w:t>
      </w:r>
      <w:r>
        <w:rPr>
          <w:rFonts w:ascii="宋体" w:hAnsi="宋体"/>
          <w:bCs/>
          <w:color w:val="000000" w:themeColor="text1"/>
          <w:sz w:val="21"/>
          <w:szCs w:val="21"/>
          <w14:textFill>
            <w14:solidFill>
              <w14:schemeClr w14:val="tx1"/>
            </w14:solidFill>
          </w14:textFill>
        </w:rPr>
        <w:t>流程的耗时研究作为逻辑推演的理论基础。</w:t>
      </w:r>
    </w:p>
    <w:p w14:paraId="67689359">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情景逻辑对比设定</w:t>
      </w:r>
      <w:r>
        <w:rPr>
          <w:rFonts w:hint="eastAsia" w:ascii="宋体" w:hAnsi="宋体"/>
          <w:bCs/>
          <w:color w:val="000000" w:themeColor="text1"/>
          <w:sz w:val="21"/>
          <w:szCs w:val="21"/>
          <w14:textFill>
            <w14:solidFill>
              <w14:schemeClr w14:val="tx1"/>
            </w14:solidFill>
          </w14:textFill>
        </w:rPr>
        <w:t>如下。</w:t>
      </w:r>
    </w:p>
    <w:p w14:paraId="31E9B37F">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情景S1（传统模式）：模拟当前基于经验、分散系统、人工传递的应对逻辑。</w:t>
      </w:r>
    </w:p>
    <w:p w14:paraId="6D97D3C5">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情景S2（数字孪生赋能模式）：模拟理想状态下</w:t>
      </w:r>
      <w:r>
        <w:rPr>
          <w:rFonts w:hint="eastAsia" w:ascii="宋体" w:hAnsi="宋体"/>
          <w:bCs/>
          <w:color w:val="000000" w:themeColor="text1"/>
          <w:sz w:val="21"/>
          <w:szCs w:val="21"/>
          <w14:textFill>
            <w14:solidFill>
              <w14:schemeClr w14:val="tx1"/>
            </w14:solidFill>
          </w14:textFill>
        </w:rPr>
        <w:t>数字孪生系统</w:t>
      </w:r>
      <w:r>
        <w:rPr>
          <w:rFonts w:ascii="宋体" w:hAnsi="宋体"/>
          <w:bCs/>
          <w:color w:val="000000" w:themeColor="text1"/>
          <w:sz w:val="21"/>
          <w:szCs w:val="21"/>
          <w14:textFill>
            <w14:solidFill>
              <w14:schemeClr w14:val="tx1"/>
            </w14:solidFill>
          </w14:textFill>
        </w:rPr>
        <w:t>实时、</w:t>
      </w:r>
      <w:r>
        <w:rPr>
          <w:rFonts w:hint="eastAsia" w:ascii="宋体" w:hAnsi="宋体"/>
          <w:bCs/>
          <w:color w:val="000000" w:themeColor="text1"/>
          <w:sz w:val="21"/>
          <w:szCs w:val="21"/>
          <w14:textFill>
            <w14:solidFill>
              <w14:schemeClr w14:val="tx1"/>
            </w14:solidFill>
          </w14:textFill>
        </w:rPr>
        <w:t>智能</w:t>
      </w:r>
      <w:r>
        <w:rPr>
          <w:rFonts w:ascii="宋体" w:hAnsi="宋体"/>
          <w:bCs/>
          <w:color w:val="000000" w:themeColor="text1"/>
          <w:sz w:val="21"/>
          <w:szCs w:val="21"/>
          <w14:textFill>
            <w14:solidFill>
              <w14:schemeClr w14:val="tx1"/>
            </w14:solidFill>
          </w14:textFill>
        </w:rPr>
        <w:t>、</w:t>
      </w:r>
      <w:r>
        <w:rPr>
          <w:rFonts w:hint="eastAsia" w:ascii="宋体" w:hAnsi="宋体"/>
          <w:bCs/>
          <w:color w:val="000000" w:themeColor="text1"/>
          <w:sz w:val="21"/>
          <w:szCs w:val="21"/>
          <w14:textFill>
            <w14:solidFill>
              <w14:schemeClr w14:val="tx1"/>
            </w14:solidFill>
          </w14:textFill>
        </w:rPr>
        <w:t>协同</w:t>
      </w:r>
      <w:r>
        <w:rPr>
          <w:rFonts w:ascii="宋体" w:hAnsi="宋体"/>
          <w:bCs/>
          <w:color w:val="000000" w:themeColor="text1"/>
          <w:sz w:val="21"/>
          <w:szCs w:val="21"/>
          <w14:textFill>
            <w14:solidFill>
              <w14:schemeClr w14:val="tx1"/>
            </w14:solidFill>
          </w14:textFill>
        </w:rPr>
        <w:t>的应对逻辑。</w:t>
      </w:r>
    </w:p>
    <w:p w14:paraId="74A41517">
      <w:pPr>
        <w:pStyle w:val="50"/>
        <w:spacing w:line="240" w:lineRule="auto"/>
        <w:ind w:firstLine="0"/>
        <w:outlineLvl w:val="2"/>
        <w:rPr>
          <w:rFonts w:hint="eastAsia" w:ascii="楷体" w:hAnsi="楷体" w:eastAsia="楷体"/>
          <w:color w:val="000000" w:themeColor="text1"/>
          <w:sz w:val="21"/>
          <w:szCs w:val="21"/>
          <w14:textFill>
            <w14:solidFill>
              <w14:schemeClr w14:val="tx1"/>
            </w14:solidFill>
          </w14:textFill>
        </w:rPr>
      </w:pPr>
      <w:r>
        <w:rPr>
          <w:rFonts w:hint="eastAsia" w:ascii="楷体" w:hAnsi="楷体" w:eastAsia="楷体"/>
          <w:color w:val="000000" w:themeColor="text1"/>
          <w:sz w:val="21"/>
          <w:szCs w:val="21"/>
          <w14:textFill>
            <w14:solidFill>
              <w14:schemeClr w14:val="tx1"/>
            </w14:solidFill>
          </w14:textFill>
        </w:rPr>
        <w:t>3.</w:t>
      </w:r>
      <w:r>
        <w:rPr>
          <w:rFonts w:ascii="楷体" w:hAnsi="楷体" w:eastAsia="楷体"/>
          <w:color w:val="000000" w:themeColor="text1"/>
          <w:sz w:val="21"/>
          <w:szCs w:val="21"/>
          <w14:textFill>
            <w14:solidFill>
              <w14:schemeClr w14:val="tx1"/>
            </w14:solidFill>
          </w14:textFill>
        </w:rPr>
        <w:t>2.2 关键效能指标的推演逻辑与对比分析</w:t>
      </w:r>
    </w:p>
    <w:p w14:paraId="55C9FC2E">
      <w:pPr>
        <w:pStyle w:val="53"/>
        <w:spacing w:line="240" w:lineRule="auto"/>
        <w:ind w:firstLine="420"/>
        <w:rPr>
          <w:rFonts w:hint="eastAsia" w:ascii="宋体" w:hAnsi="宋体" w:eastAsia="宋体"/>
          <w:bCs/>
          <w:color w:val="000000" w:themeColor="text1"/>
          <w:sz w:val="21"/>
          <w14:textFill>
            <w14:solidFill>
              <w14:schemeClr w14:val="tx1"/>
            </w14:solidFill>
          </w14:textFill>
        </w:rPr>
      </w:pPr>
      <w:r>
        <w:rPr>
          <w:rFonts w:hint="eastAsia" w:ascii="宋体" w:hAnsi="宋体" w:eastAsia="宋体"/>
          <w:bCs/>
          <w:color w:val="000000" w:themeColor="text1"/>
          <w:sz w:val="21"/>
          <w14:textFill>
            <w14:solidFill>
              <w14:schemeClr w14:val="tx1"/>
            </w14:solidFill>
          </w14:textFill>
        </w:rPr>
        <w:t>基于S1与S2的推演对比分析如表</w:t>
      </w:r>
      <w:r>
        <w:rPr>
          <w:rFonts w:hint="eastAsia" w:ascii="宋体" w:hAnsi="宋体" w:eastAsia="宋体"/>
          <w:bCs/>
          <w:color w:val="000000" w:themeColor="text1"/>
          <w:sz w:val="21"/>
          <w:lang w:val="en-US" w:eastAsia="zh-CN"/>
          <w14:textFill>
            <w14:solidFill>
              <w14:schemeClr w14:val="tx1"/>
            </w14:solidFill>
          </w14:textFill>
        </w:rPr>
        <w:t>5</w:t>
      </w:r>
      <w:r>
        <w:rPr>
          <w:rFonts w:hint="eastAsia" w:ascii="宋体" w:hAnsi="宋体" w:eastAsia="宋体"/>
          <w:bCs/>
          <w:color w:val="000000" w:themeColor="text1"/>
          <w:sz w:val="21"/>
          <w14:textFill>
            <w14:solidFill>
              <w14:schemeClr w14:val="tx1"/>
            </w14:solidFill>
          </w14:textFill>
        </w:rPr>
        <w:t>所列，通过分析可以得出：情景S2具备更早预报、更准预警、更多预演、更快预案的能力，理论上可支持水库群实施更前瞻、更协同的预泄调度。</w:t>
      </w:r>
    </w:p>
    <w:p w14:paraId="40DC4F0C">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lang w:val="en-US" w:eastAsia="zh-CN"/>
          <w14:textFill>
            <w14:solidFill>
              <w14:schemeClr w14:val="tx1"/>
            </w14:solidFill>
          </w14:textFill>
        </w:rPr>
        <w:t>5</w:t>
      </w:r>
      <w:r>
        <w:rPr>
          <w:rFonts w:ascii="黑体" w:hAnsi="黑体" w:eastAsia="黑体"/>
          <w:b/>
          <w:color w:val="000000" w:themeColor="text1"/>
          <w:sz w:val="18"/>
          <w:szCs w:val="18"/>
          <w14:textFill>
            <w14:solidFill>
              <w14:schemeClr w14:val="tx1"/>
            </w14:solidFill>
          </w14:textFill>
        </w:rPr>
        <w:t xml:space="preserve"> 基于设计逻辑的“四预”能力预期效能推演对比分析</w:t>
      </w:r>
    </w:p>
    <w:p w14:paraId="5ED14D22">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Table </w:t>
      </w:r>
      <w:r>
        <w:rPr>
          <w:rFonts w:hint="eastAsia" w:ascii="Times New Roman" w:hAnsi="Times New Roman"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14:textFill>
            <w14:solidFill>
              <w14:schemeClr w14:val="tx1"/>
            </w14:solidFill>
          </w14:textFill>
        </w:rPr>
        <w:t xml:space="preserve">  Comparative analysis of expected effectiveness of </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four-pre</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 xml:space="preserve"> capabilities based on design logic</w:t>
      </w:r>
    </w:p>
    <w:tbl>
      <w:tblPr>
        <w:tblStyle w:val="20"/>
        <w:tblW w:w="5000" w:type="pct"/>
        <w:jc w:val="center"/>
        <w:tblLayout w:type="autofit"/>
        <w:tblCellMar>
          <w:top w:w="15" w:type="dxa"/>
          <w:left w:w="15" w:type="dxa"/>
          <w:bottom w:w="15" w:type="dxa"/>
          <w:right w:w="15" w:type="dxa"/>
        </w:tblCellMar>
      </w:tblPr>
      <w:tblGrid>
        <w:gridCol w:w="682"/>
        <w:gridCol w:w="1360"/>
        <w:gridCol w:w="1896"/>
        <w:gridCol w:w="1458"/>
        <w:gridCol w:w="3150"/>
      </w:tblGrid>
      <w:tr w14:paraId="1A30555C">
        <w:tblPrEx>
          <w:tblCellMar>
            <w:top w:w="15" w:type="dxa"/>
            <w:left w:w="15" w:type="dxa"/>
            <w:bottom w:w="15" w:type="dxa"/>
            <w:right w:w="15" w:type="dxa"/>
          </w:tblCellMar>
        </w:tblPrEx>
        <w:trPr>
          <w:trHeight w:val="103" w:hRule="atLeast"/>
          <w:tblHeader/>
          <w:jc w:val="center"/>
        </w:trPr>
        <w:tc>
          <w:tcPr>
            <w:tcW w:w="663" w:type="dxa"/>
            <w:tcBorders>
              <w:top w:val="single" w:color="auto" w:sz="12" w:space="0"/>
              <w:bottom w:val="single" w:color="auto" w:sz="4" w:space="0"/>
            </w:tcBorders>
            <w:tcMar>
              <w:top w:w="150" w:type="dxa"/>
              <w:left w:w="0" w:type="dxa"/>
              <w:bottom w:w="150" w:type="dxa"/>
              <w:right w:w="240" w:type="dxa"/>
            </w:tcMar>
            <w:vAlign w:val="center"/>
          </w:tcPr>
          <w:p w14:paraId="1E890006">
            <w:pPr>
              <w:widowControl/>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评价维度</w:t>
            </w:r>
          </w:p>
        </w:tc>
        <w:tc>
          <w:tcPr>
            <w:tcW w:w="1322" w:type="dxa"/>
            <w:tcBorders>
              <w:top w:val="single" w:color="auto" w:sz="12" w:space="0"/>
              <w:bottom w:val="single" w:color="auto" w:sz="4" w:space="0"/>
            </w:tcBorders>
            <w:tcMar>
              <w:top w:w="150" w:type="dxa"/>
              <w:left w:w="240" w:type="dxa"/>
              <w:bottom w:w="150" w:type="dxa"/>
              <w:right w:w="240" w:type="dxa"/>
            </w:tcMar>
            <w:vAlign w:val="center"/>
          </w:tcPr>
          <w:p w14:paraId="08D2A486">
            <w:pPr>
              <w:widowControl/>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关键指标</w:t>
            </w:r>
          </w:p>
        </w:tc>
        <w:tc>
          <w:tcPr>
            <w:tcW w:w="1843" w:type="dxa"/>
            <w:tcBorders>
              <w:top w:val="single" w:color="auto" w:sz="12" w:space="0"/>
              <w:bottom w:val="single" w:color="auto" w:sz="4" w:space="0"/>
            </w:tcBorders>
            <w:tcMar>
              <w:top w:w="150" w:type="dxa"/>
              <w:left w:w="240" w:type="dxa"/>
              <w:bottom w:w="150" w:type="dxa"/>
              <w:right w:w="240" w:type="dxa"/>
            </w:tcMar>
            <w:vAlign w:val="center"/>
          </w:tcPr>
          <w:p w14:paraId="13FE60F4">
            <w:pPr>
              <w:widowControl/>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传统模式基准/逻辑值</w:t>
            </w:r>
            <w:r>
              <w:rPr>
                <w:rFonts w:hint="eastAsia" w:ascii="宋体" w:hAnsi="宋体" w:eastAsia="宋体" w:cs="Segoe UI"/>
                <w:b/>
                <w:bCs/>
                <w:kern w:val="0"/>
                <w:sz w:val="15"/>
                <w:szCs w:val="15"/>
                <w14:ligatures w14:val="none"/>
              </w:rPr>
              <w:t>（S1）</w:t>
            </w:r>
          </w:p>
        </w:tc>
        <w:tc>
          <w:tcPr>
            <w:tcW w:w="1417" w:type="dxa"/>
            <w:tcBorders>
              <w:top w:val="single" w:color="auto" w:sz="12" w:space="0"/>
              <w:bottom w:val="single" w:color="auto" w:sz="4" w:space="0"/>
            </w:tcBorders>
            <w:tcMar>
              <w:top w:w="150" w:type="dxa"/>
              <w:left w:w="240" w:type="dxa"/>
              <w:bottom w:w="150" w:type="dxa"/>
              <w:right w:w="240" w:type="dxa"/>
            </w:tcMar>
            <w:vAlign w:val="center"/>
          </w:tcPr>
          <w:p w14:paraId="20DA33EE">
            <w:pPr>
              <w:widowControl/>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数字孪生模式推演值</w:t>
            </w:r>
            <w:r>
              <w:rPr>
                <w:rFonts w:hint="eastAsia" w:ascii="宋体" w:hAnsi="宋体" w:eastAsia="宋体" w:cs="Segoe UI"/>
                <w:b/>
                <w:bCs/>
                <w:kern w:val="0"/>
                <w:sz w:val="15"/>
                <w:szCs w:val="15"/>
                <w14:ligatures w14:val="none"/>
              </w:rPr>
              <w:t>（S2）</w:t>
            </w:r>
          </w:p>
        </w:tc>
        <w:tc>
          <w:tcPr>
            <w:tcW w:w="3061" w:type="dxa"/>
            <w:tcBorders>
              <w:top w:val="single" w:color="auto" w:sz="12" w:space="0"/>
              <w:bottom w:val="single" w:color="auto" w:sz="4" w:space="0"/>
            </w:tcBorders>
            <w:tcMar>
              <w:top w:w="150" w:type="dxa"/>
              <w:left w:w="240" w:type="dxa"/>
              <w:bottom w:w="150" w:type="dxa"/>
              <w:right w:w="240" w:type="dxa"/>
            </w:tcMar>
            <w:vAlign w:val="center"/>
          </w:tcPr>
          <w:p w14:paraId="6E06E948">
            <w:pPr>
              <w:widowControl/>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效能提升逻辑与依据</w:t>
            </w:r>
          </w:p>
        </w:tc>
      </w:tr>
      <w:tr w14:paraId="6AB432A2">
        <w:tblPrEx>
          <w:tblCellMar>
            <w:top w:w="15" w:type="dxa"/>
            <w:left w:w="15" w:type="dxa"/>
            <w:bottom w:w="15" w:type="dxa"/>
            <w:right w:w="15" w:type="dxa"/>
          </w:tblCellMar>
        </w:tblPrEx>
        <w:trPr>
          <w:trHeight w:val="632" w:hRule="atLeast"/>
          <w:jc w:val="center"/>
        </w:trPr>
        <w:tc>
          <w:tcPr>
            <w:tcW w:w="663" w:type="dxa"/>
            <w:tcBorders>
              <w:top w:val="single" w:color="auto" w:sz="4" w:space="0"/>
              <w:bottom w:val="single" w:color="auto" w:sz="4" w:space="0"/>
            </w:tcBorders>
            <w:tcMar>
              <w:top w:w="150" w:type="dxa"/>
              <w:left w:w="0" w:type="dxa"/>
              <w:bottom w:w="150" w:type="dxa"/>
              <w:right w:w="240" w:type="dxa"/>
            </w:tcMar>
            <w:vAlign w:val="center"/>
          </w:tcPr>
          <w:p w14:paraId="4B477AF8">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预报</w:t>
            </w:r>
          </w:p>
        </w:tc>
        <w:tc>
          <w:tcPr>
            <w:tcW w:w="1322" w:type="dxa"/>
            <w:tcBorders>
              <w:top w:val="single" w:color="auto" w:sz="4" w:space="0"/>
              <w:bottom w:val="single" w:color="auto" w:sz="4" w:space="0"/>
            </w:tcBorders>
            <w:tcMar>
              <w:top w:w="150" w:type="dxa"/>
              <w:left w:w="240" w:type="dxa"/>
              <w:bottom w:w="150" w:type="dxa"/>
              <w:right w:w="240" w:type="dxa"/>
            </w:tcMar>
            <w:vAlign w:val="center"/>
          </w:tcPr>
          <w:p w14:paraId="1045600D">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洪水峰值预见期</w:t>
            </w:r>
          </w:p>
        </w:tc>
        <w:tc>
          <w:tcPr>
            <w:tcW w:w="1843" w:type="dxa"/>
            <w:tcBorders>
              <w:top w:val="single" w:color="auto" w:sz="4" w:space="0"/>
              <w:bottom w:val="single" w:color="auto" w:sz="4" w:space="0"/>
            </w:tcBorders>
            <w:tcMar>
              <w:top w:w="150" w:type="dxa"/>
              <w:left w:w="240" w:type="dxa"/>
              <w:bottom w:w="150" w:type="dxa"/>
              <w:right w:w="240" w:type="dxa"/>
            </w:tcMar>
            <w:vAlign w:val="center"/>
          </w:tcPr>
          <w:p w14:paraId="50829209">
            <w:pPr>
              <w:widowControl/>
              <w:spacing w:after="0" w:line="240" w:lineRule="auto"/>
              <w:jc w:val="center"/>
              <w:rPr>
                <w:rFonts w:hint="eastAsia" w:ascii="宋体" w:hAnsi="宋体" w:eastAsia="宋体" w:cs="Segoe UI"/>
                <w:kern w:val="0"/>
                <w:sz w:val="15"/>
                <w:szCs w:val="15"/>
                <w14:ligatures w14:val="none"/>
              </w:rPr>
            </w:pPr>
            <w:r>
              <w:rPr>
                <w:rFonts w:hint="eastAsia" w:ascii="宋体" w:hAnsi="宋体" w:eastAsia="宋体" w:cs="Segoe UI"/>
                <w:kern w:val="0"/>
                <w:sz w:val="15"/>
                <w:szCs w:val="15"/>
                <w14:ligatures w14:val="none"/>
              </w:rPr>
              <w:t>大</w:t>
            </w:r>
            <w:r>
              <w:rPr>
                <w:rFonts w:ascii="宋体" w:hAnsi="宋体" w:eastAsia="宋体" w:cs="Segoe UI"/>
                <w:kern w:val="0"/>
                <w:sz w:val="15"/>
                <w:szCs w:val="15"/>
                <w14:ligatures w14:val="none"/>
              </w:rPr>
              <w:t>约3小时</w:t>
            </w:r>
            <w:r>
              <w:rPr>
                <w:rFonts w:hint="eastAsia" w:ascii="宋体" w:hAnsi="宋体" w:eastAsia="宋体" w:cs="Segoe UI"/>
                <w:kern w:val="0"/>
                <w:sz w:val="15"/>
                <w:szCs w:val="15"/>
                <w14:ligatures w14:val="none"/>
              </w:rPr>
              <w:t>左右</w:t>
            </w:r>
            <w:r>
              <w:rPr>
                <w:rFonts w:ascii="宋体" w:hAnsi="宋体" w:eastAsia="宋体" w:cs="Segoe UI"/>
                <w:kern w:val="0"/>
                <w:sz w:val="15"/>
                <w:szCs w:val="15"/>
                <w14:ligatures w14:val="none"/>
              </w:rPr>
              <w:t>（依赖上级通报）</w:t>
            </w:r>
          </w:p>
        </w:tc>
        <w:tc>
          <w:tcPr>
            <w:tcW w:w="1417" w:type="dxa"/>
            <w:tcBorders>
              <w:top w:val="single" w:color="auto" w:sz="4" w:space="0"/>
              <w:bottom w:val="single" w:color="auto" w:sz="4" w:space="0"/>
            </w:tcBorders>
            <w:tcMar>
              <w:top w:w="150" w:type="dxa"/>
              <w:left w:w="240" w:type="dxa"/>
              <w:bottom w:w="150" w:type="dxa"/>
              <w:right w:w="240" w:type="dxa"/>
            </w:tcMar>
            <w:vAlign w:val="center"/>
          </w:tcPr>
          <w:p w14:paraId="3C294FC4">
            <w:pPr>
              <w:widowControl/>
              <w:spacing w:after="0" w:line="240" w:lineRule="auto"/>
              <w:jc w:val="center"/>
              <w:rPr>
                <w:rFonts w:hint="eastAsia" w:ascii="宋体" w:hAnsi="宋体" w:eastAsia="宋体" w:cs="Segoe UI"/>
                <w:kern w:val="0"/>
                <w:sz w:val="15"/>
                <w:szCs w:val="15"/>
                <w14:ligatures w14:val="none"/>
              </w:rPr>
            </w:pPr>
            <w:r>
              <w:rPr>
                <w:rFonts w:hint="eastAsia" w:ascii="宋体" w:hAnsi="宋体" w:eastAsia="宋体" w:cs="Segoe UI"/>
                <w:kern w:val="0"/>
                <w:sz w:val="15"/>
                <w:szCs w:val="15"/>
                <w14:ligatures w14:val="none"/>
              </w:rPr>
              <w:t>大</w:t>
            </w:r>
            <w:r>
              <w:rPr>
                <w:rFonts w:ascii="宋体" w:hAnsi="宋体" w:eastAsia="宋体" w:cs="Segoe UI"/>
                <w:kern w:val="0"/>
                <w:sz w:val="15"/>
                <w:szCs w:val="15"/>
                <w14:ligatures w14:val="none"/>
              </w:rPr>
              <w:t>约6</w:t>
            </w:r>
            <w:r>
              <w:rPr>
                <w:rFonts w:hint="eastAsia" w:ascii="宋体" w:hAnsi="宋体" w:eastAsia="宋体" w:cs="Segoe UI"/>
                <w:kern w:val="0"/>
                <w:sz w:val="15"/>
                <w:szCs w:val="15"/>
                <w14:ligatures w14:val="none"/>
              </w:rPr>
              <w:t>～</w:t>
            </w:r>
            <w:r>
              <w:rPr>
                <w:rFonts w:ascii="宋体" w:hAnsi="宋体" w:eastAsia="宋体" w:cs="Segoe UI"/>
                <w:kern w:val="0"/>
                <w:sz w:val="15"/>
                <w:szCs w:val="15"/>
                <w14:ligatures w14:val="none"/>
              </w:rPr>
              <w:t>8</w:t>
            </w:r>
            <w:r>
              <w:rPr>
                <w:rFonts w:hint="eastAsia" w:ascii="宋体" w:hAnsi="宋体" w:eastAsia="宋体" w:cs="Segoe UI"/>
                <w:kern w:val="0"/>
                <w:sz w:val="15"/>
                <w:szCs w:val="15"/>
                <w14:ligatures w14:val="none"/>
              </w:rPr>
              <w:t>h</w:t>
            </w:r>
          </w:p>
        </w:tc>
        <w:tc>
          <w:tcPr>
            <w:tcW w:w="3061" w:type="dxa"/>
            <w:tcBorders>
              <w:top w:val="single" w:color="auto" w:sz="4" w:space="0"/>
              <w:bottom w:val="single" w:color="auto" w:sz="4" w:space="0"/>
            </w:tcBorders>
            <w:tcMar>
              <w:top w:w="150" w:type="dxa"/>
              <w:left w:w="240" w:type="dxa"/>
              <w:bottom w:w="150" w:type="dxa"/>
              <w:right w:w="0" w:type="dxa"/>
            </w:tcMar>
            <w:vAlign w:val="center"/>
          </w:tcPr>
          <w:p w14:paraId="17E5ECA5">
            <w:pPr>
              <w:widowControl/>
              <w:spacing w:after="0" w:line="240" w:lineRule="auto"/>
              <w:jc w:val="center"/>
              <w:rPr>
                <w:rFonts w:hint="eastAsia" w:ascii="宋体" w:hAnsi="宋体" w:eastAsia="宋体" w:cs="Segoe UI"/>
                <w:kern w:val="0"/>
                <w:sz w:val="15"/>
                <w:szCs w:val="15"/>
                <w14:ligatures w14:val="none"/>
              </w:rPr>
            </w:pPr>
            <w:r>
              <w:rPr>
                <w:rFonts w:hint="eastAsia" w:ascii="宋体" w:hAnsi="宋体" w:eastAsia="宋体" w:cs="Segoe UI"/>
                <w:kern w:val="0"/>
                <w:sz w:val="15"/>
                <w:szCs w:val="15"/>
                <w14:ligatures w14:val="none"/>
              </w:rPr>
              <w:t>共享</w:t>
            </w:r>
            <w:r>
              <w:rPr>
                <w:rFonts w:ascii="宋体" w:hAnsi="宋体" w:eastAsia="宋体" w:cs="Segoe UI"/>
                <w:kern w:val="0"/>
                <w:sz w:val="15"/>
                <w:szCs w:val="15"/>
                <w14:ligatures w14:val="none"/>
              </w:rPr>
              <w:t>市级“睿思”等预报产品，</w:t>
            </w:r>
            <w:r>
              <w:rPr>
                <w:rFonts w:hint="eastAsia" w:ascii="宋体" w:hAnsi="宋体" w:eastAsia="宋体" w:cs="Segoe UI"/>
                <w:kern w:val="0"/>
                <w:sz w:val="15"/>
                <w:szCs w:val="15"/>
                <w14:ligatures w14:val="none"/>
              </w:rPr>
              <w:t>同时</w:t>
            </w:r>
            <w:r>
              <w:rPr>
                <w:rFonts w:ascii="宋体" w:hAnsi="宋体" w:eastAsia="宋体" w:cs="Segoe UI"/>
                <w:kern w:val="0"/>
                <w:sz w:val="15"/>
                <w:szCs w:val="15"/>
                <w14:ligatures w14:val="none"/>
              </w:rPr>
              <w:t>耦合本地精细化水动力模型，实现预报“降尺度”，</w:t>
            </w:r>
            <w:r>
              <w:rPr>
                <w:rFonts w:hint="eastAsia" w:ascii="宋体" w:hAnsi="宋体" w:eastAsia="宋体" w:cs="Segoe UI"/>
                <w:kern w:val="0"/>
                <w:sz w:val="15"/>
                <w:szCs w:val="15"/>
                <w14:ligatures w14:val="none"/>
              </w:rPr>
              <w:t>从而扩大</w:t>
            </w:r>
            <w:r>
              <w:rPr>
                <w:rFonts w:ascii="宋体" w:hAnsi="宋体" w:eastAsia="宋体" w:cs="Segoe UI"/>
                <w:kern w:val="0"/>
                <w:sz w:val="15"/>
                <w:szCs w:val="15"/>
                <w14:ligatures w14:val="none"/>
              </w:rPr>
              <w:t>可准备</w:t>
            </w:r>
            <w:r>
              <w:rPr>
                <w:rFonts w:hint="eastAsia" w:ascii="宋体" w:hAnsi="宋体" w:eastAsia="宋体" w:cs="Segoe UI"/>
                <w:kern w:val="0"/>
                <w:sz w:val="15"/>
                <w:szCs w:val="15"/>
                <w14:ligatures w14:val="none"/>
              </w:rPr>
              <w:t>行动</w:t>
            </w:r>
            <w:r>
              <w:rPr>
                <w:rFonts w:ascii="宋体" w:hAnsi="宋体" w:eastAsia="宋体" w:cs="Segoe UI"/>
                <w:kern w:val="0"/>
                <w:sz w:val="15"/>
                <w:szCs w:val="15"/>
                <w14:ligatures w14:val="none"/>
              </w:rPr>
              <w:t>时间</w:t>
            </w:r>
          </w:p>
        </w:tc>
      </w:tr>
      <w:tr w14:paraId="64A156B1">
        <w:tblPrEx>
          <w:tblCellMar>
            <w:top w:w="15" w:type="dxa"/>
            <w:left w:w="15" w:type="dxa"/>
            <w:bottom w:w="15" w:type="dxa"/>
            <w:right w:w="15" w:type="dxa"/>
          </w:tblCellMar>
        </w:tblPrEx>
        <w:trPr>
          <w:trHeight w:val="783" w:hRule="atLeast"/>
          <w:jc w:val="center"/>
        </w:trPr>
        <w:tc>
          <w:tcPr>
            <w:tcW w:w="663" w:type="dxa"/>
            <w:vMerge w:val="restart"/>
            <w:tcBorders>
              <w:top w:val="single" w:color="auto" w:sz="4" w:space="0"/>
            </w:tcBorders>
            <w:tcMar>
              <w:top w:w="150" w:type="dxa"/>
              <w:left w:w="0" w:type="dxa"/>
              <w:bottom w:w="150" w:type="dxa"/>
              <w:right w:w="240" w:type="dxa"/>
            </w:tcMar>
            <w:vAlign w:val="center"/>
          </w:tcPr>
          <w:p w14:paraId="1E074FA3">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预警</w:t>
            </w:r>
          </w:p>
        </w:tc>
        <w:tc>
          <w:tcPr>
            <w:tcW w:w="1322" w:type="dxa"/>
            <w:tcBorders>
              <w:top w:val="single" w:color="auto" w:sz="4" w:space="0"/>
            </w:tcBorders>
            <w:tcMar>
              <w:top w:w="150" w:type="dxa"/>
              <w:left w:w="240" w:type="dxa"/>
              <w:bottom w:w="150" w:type="dxa"/>
              <w:right w:w="240" w:type="dxa"/>
            </w:tcMar>
            <w:vAlign w:val="center"/>
          </w:tcPr>
          <w:p w14:paraId="1986F171">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预警发布</w:t>
            </w:r>
            <w:r>
              <w:rPr>
                <w:rFonts w:hint="eastAsia" w:ascii="宋体" w:hAnsi="宋体" w:eastAsia="宋体" w:cs="Segoe UI"/>
                <w:kern w:val="0"/>
                <w:sz w:val="15"/>
                <w:szCs w:val="15"/>
                <w14:ligatures w14:val="none"/>
              </w:rPr>
              <w:t>时效</w:t>
            </w:r>
          </w:p>
        </w:tc>
        <w:tc>
          <w:tcPr>
            <w:tcW w:w="1843" w:type="dxa"/>
            <w:tcBorders>
              <w:top w:val="single" w:color="auto" w:sz="4" w:space="0"/>
            </w:tcBorders>
            <w:tcMar>
              <w:top w:w="150" w:type="dxa"/>
              <w:left w:w="240" w:type="dxa"/>
              <w:bottom w:w="150" w:type="dxa"/>
              <w:right w:w="240" w:type="dxa"/>
            </w:tcMar>
            <w:vAlign w:val="center"/>
          </w:tcPr>
          <w:p w14:paraId="68E92BA1">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洪峰后 约1.5小时（分析：现场报讯0.5h+汇总研判0.5h+会签0.5h）</w:t>
            </w:r>
          </w:p>
        </w:tc>
        <w:tc>
          <w:tcPr>
            <w:tcW w:w="1417" w:type="dxa"/>
            <w:tcBorders>
              <w:top w:val="single" w:color="auto" w:sz="4" w:space="0"/>
            </w:tcBorders>
            <w:tcMar>
              <w:top w:w="150" w:type="dxa"/>
              <w:left w:w="240" w:type="dxa"/>
              <w:bottom w:w="150" w:type="dxa"/>
              <w:right w:w="240" w:type="dxa"/>
            </w:tcMar>
            <w:vAlign w:val="center"/>
          </w:tcPr>
          <w:p w14:paraId="543BA670">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洪峰前2.0</w:t>
            </w:r>
            <w:r>
              <w:rPr>
                <w:rFonts w:hint="eastAsia" w:ascii="宋体" w:hAnsi="宋体" w:eastAsia="宋体" w:cs="Segoe UI"/>
                <w:kern w:val="0"/>
                <w:sz w:val="15"/>
                <w:szCs w:val="15"/>
                <w14:ligatures w14:val="none"/>
              </w:rPr>
              <w:t>h</w:t>
            </w:r>
          </w:p>
        </w:tc>
        <w:tc>
          <w:tcPr>
            <w:tcW w:w="3061" w:type="dxa"/>
            <w:tcBorders>
              <w:top w:val="single" w:color="auto" w:sz="4" w:space="0"/>
            </w:tcBorders>
            <w:tcMar>
              <w:top w:w="150" w:type="dxa"/>
              <w:left w:w="240" w:type="dxa"/>
              <w:bottom w:w="150" w:type="dxa"/>
              <w:right w:w="0" w:type="dxa"/>
            </w:tcMar>
            <w:vAlign w:val="center"/>
          </w:tcPr>
          <w:p w14:paraId="0F6D068F">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①实时感知网络实现数据零延时采集；②模型平台自动触发阈值预警；③协同引擎支持快速在线会商。理论节省总时间3.5小时</w:t>
            </w:r>
          </w:p>
        </w:tc>
      </w:tr>
      <w:tr w14:paraId="529A28DF">
        <w:tblPrEx>
          <w:tblCellMar>
            <w:top w:w="15" w:type="dxa"/>
            <w:left w:w="15" w:type="dxa"/>
            <w:bottom w:w="15" w:type="dxa"/>
            <w:right w:w="15" w:type="dxa"/>
          </w:tblCellMar>
        </w:tblPrEx>
        <w:trPr>
          <w:trHeight w:val="373" w:hRule="atLeast"/>
          <w:jc w:val="center"/>
        </w:trPr>
        <w:tc>
          <w:tcPr>
            <w:tcW w:w="663" w:type="dxa"/>
            <w:vMerge w:val="continue"/>
            <w:tcBorders>
              <w:bottom w:val="single" w:color="auto" w:sz="4" w:space="0"/>
            </w:tcBorders>
            <w:tcMar>
              <w:top w:w="150" w:type="dxa"/>
              <w:left w:w="0" w:type="dxa"/>
              <w:bottom w:w="150" w:type="dxa"/>
              <w:right w:w="240" w:type="dxa"/>
            </w:tcMar>
            <w:vAlign w:val="center"/>
          </w:tcPr>
          <w:p w14:paraId="1C87ADBA">
            <w:pPr>
              <w:widowControl/>
              <w:spacing w:after="0" w:line="240" w:lineRule="auto"/>
              <w:jc w:val="center"/>
              <w:rPr>
                <w:rFonts w:hint="eastAsia" w:ascii="宋体" w:hAnsi="宋体" w:eastAsia="宋体" w:cs="Segoe UI"/>
                <w:kern w:val="0"/>
                <w:sz w:val="15"/>
                <w:szCs w:val="15"/>
                <w14:ligatures w14:val="none"/>
              </w:rPr>
            </w:pPr>
          </w:p>
        </w:tc>
        <w:tc>
          <w:tcPr>
            <w:tcW w:w="1322" w:type="dxa"/>
            <w:tcBorders>
              <w:bottom w:val="single" w:color="auto" w:sz="4" w:space="0"/>
            </w:tcBorders>
            <w:tcMar>
              <w:top w:w="150" w:type="dxa"/>
              <w:left w:w="240" w:type="dxa"/>
              <w:bottom w:w="150" w:type="dxa"/>
              <w:right w:w="240" w:type="dxa"/>
            </w:tcMar>
            <w:vAlign w:val="center"/>
          </w:tcPr>
          <w:p w14:paraId="1C2081DA">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重点目标预警覆盖率</w:t>
            </w:r>
          </w:p>
        </w:tc>
        <w:tc>
          <w:tcPr>
            <w:tcW w:w="1843" w:type="dxa"/>
            <w:tcBorders>
              <w:bottom w:val="single" w:color="auto" w:sz="4" w:space="0"/>
            </w:tcBorders>
            <w:tcMar>
              <w:top w:w="150" w:type="dxa"/>
              <w:left w:w="240" w:type="dxa"/>
              <w:bottom w:w="150" w:type="dxa"/>
              <w:right w:w="240" w:type="dxa"/>
            </w:tcMar>
            <w:vAlign w:val="center"/>
          </w:tcPr>
          <w:p w14:paraId="26225466">
            <w:pPr>
              <w:widowControl/>
              <w:spacing w:after="0" w:line="240" w:lineRule="auto"/>
              <w:jc w:val="center"/>
              <w:rPr>
                <w:rFonts w:hint="eastAsia" w:ascii="宋体" w:hAnsi="宋体" w:eastAsia="宋体" w:cs="Segoe UI"/>
                <w:kern w:val="0"/>
                <w:sz w:val="15"/>
                <w:szCs w:val="15"/>
                <w14:ligatures w14:val="none"/>
              </w:rPr>
            </w:pPr>
            <w:r>
              <w:rPr>
                <w:rFonts w:hint="eastAsia" w:ascii="宋体" w:hAnsi="宋体" w:eastAsia="宋体" w:cs="Segoe UI"/>
                <w:kern w:val="0"/>
                <w:sz w:val="15"/>
                <w:szCs w:val="15"/>
                <w14:ligatures w14:val="none"/>
              </w:rPr>
              <w:t>≈</w:t>
            </w:r>
            <w:r>
              <w:rPr>
                <w:rFonts w:ascii="宋体" w:hAnsi="宋体" w:eastAsia="宋体" w:cs="Segoe UI"/>
                <w:kern w:val="0"/>
                <w:sz w:val="15"/>
                <w:szCs w:val="15"/>
                <w14:ligatures w14:val="none"/>
              </w:rPr>
              <w:t>60%（依赖有限站点与人工排查）</w:t>
            </w:r>
          </w:p>
        </w:tc>
        <w:tc>
          <w:tcPr>
            <w:tcW w:w="1417" w:type="dxa"/>
            <w:tcBorders>
              <w:bottom w:val="single" w:color="auto" w:sz="4" w:space="0"/>
            </w:tcBorders>
            <w:tcMar>
              <w:top w:w="150" w:type="dxa"/>
              <w:left w:w="240" w:type="dxa"/>
              <w:bottom w:w="150" w:type="dxa"/>
              <w:right w:w="240" w:type="dxa"/>
            </w:tcMar>
            <w:vAlign w:val="center"/>
          </w:tcPr>
          <w:p w14:paraId="0E0C9C7B">
            <w:pPr>
              <w:widowControl/>
              <w:spacing w:after="0" w:line="240" w:lineRule="auto"/>
              <w:jc w:val="center"/>
              <w:rPr>
                <w:rFonts w:hint="eastAsia" w:ascii="宋体" w:hAnsi="宋体" w:eastAsia="宋体" w:cs="Segoe UI"/>
                <w:kern w:val="0"/>
                <w:sz w:val="15"/>
                <w:szCs w:val="15"/>
                <w14:ligatures w14:val="none"/>
              </w:rPr>
            </w:pPr>
            <w:r>
              <w:rPr>
                <w:rFonts w:hint="eastAsia" w:ascii="宋体" w:hAnsi="宋体" w:eastAsia="宋体" w:cs="Segoe UI"/>
                <w:kern w:val="0"/>
                <w:sz w:val="15"/>
                <w:szCs w:val="15"/>
                <w14:ligatures w14:val="none"/>
              </w:rPr>
              <w:t>≈</w:t>
            </w:r>
            <w:r>
              <w:rPr>
                <w:rFonts w:ascii="宋体" w:hAnsi="宋体" w:eastAsia="宋体" w:cs="Segoe UI"/>
                <w:kern w:val="0"/>
                <w:sz w:val="15"/>
                <w:szCs w:val="15"/>
                <w14:ligatures w14:val="none"/>
              </w:rPr>
              <w:t>98%</w:t>
            </w:r>
          </w:p>
        </w:tc>
        <w:tc>
          <w:tcPr>
            <w:tcW w:w="3061" w:type="dxa"/>
            <w:tcBorders>
              <w:bottom w:val="single" w:color="auto" w:sz="4" w:space="0"/>
            </w:tcBorders>
            <w:tcMar>
              <w:top w:w="150" w:type="dxa"/>
              <w:left w:w="240" w:type="dxa"/>
              <w:bottom w:w="150" w:type="dxa"/>
              <w:right w:w="0" w:type="dxa"/>
            </w:tcMar>
            <w:vAlign w:val="center"/>
          </w:tcPr>
          <w:p w14:paraId="14DBE2D8">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“空天地”一体化非均质感知网络实现对风险区域的全</w:t>
            </w:r>
            <w:r>
              <w:rPr>
                <w:rFonts w:hint="eastAsia" w:ascii="宋体" w:hAnsi="宋体" w:eastAsia="宋体" w:cs="Segoe UI"/>
                <w:kern w:val="0"/>
                <w:sz w:val="15"/>
                <w:szCs w:val="15"/>
                <w14:ligatures w14:val="none"/>
              </w:rPr>
              <w:t>域</w:t>
            </w:r>
            <w:r>
              <w:rPr>
                <w:rFonts w:ascii="宋体" w:hAnsi="宋体" w:eastAsia="宋体" w:cs="Segoe UI"/>
                <w:kern w:val="0"/>
                <w:sz w:val="15"/>
                <w:szCs w:val="15"/>
                <w14:ligatures w14:val="none"/>
              </w:rPr>
              <w:t>覆盖，平台一键定向发布</w:t>
            </w:r>
          </w:p>
        </w:tc>
      </w:tr>
      <w:tr w14:paraId="7702EC49">
        <w:tblPrEx>
          <w:tblCellMar>
            <w:top w:w="15" w:type="dxa"/>
            <w:left w:w="15" w:type="dxa"/>
            <w:bottom w:w="15" w:type="dxa"/>
            <w:right w:w="15" w:type="dxa"/>
          </w:tblCellMar>
        </w:tblPrEx>
        <w:trPr>
          <w:trHeight w:val="452" w:hRule="atLeast"/>
          <w:jc w:val="center"/>
        </w:trPr>
        <w:tc>
          <w:tcPr>
            <w:tcW w:w="663" w:type="dxa"/>
            <w:vMerge w:val="restart"/>
            <w:tcBorders>
              <w:top w:val="single" w:color="auto" w:sz="4" w:space="0"/>
            </w:tcBorders>
            <w:tcMar>
              <w:top w:w="150" w:type="dxa"/>
              <w:left w:w="0" w:type="dxa"/>
              <w:bottom w:w="150" w:type="dxa"/>
              <w:right w:w="240" w:type="dxa"/>
            </w:tcMar>
            <w:vAlign w:val="center"/>
          </w:tcPr>
          <w:p w14:paraId="7F1ED9E2">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预演</w:t>
            </w:r>
          </w:p>
        </w:tc>
        <w:tc>
          <w:tcPr>
            <w:tcW w:w="1322" w:type="dxa"/>
            <w:tcBorders>
              <w:top w:val="single" w:color="auto" w:sz="4" w:space="0"/>
            </w:tcBorders>
            <w:tcMar>
              <w:top w:w="150" w:type="dxa"/>
              <w:left w:w="240" w:type="dxa"/>
              <w:bottom w:w="150" w:type="dxa"/>
              <w:right w:w="240" w:type="dxa"/>
            </w:tcMar>
            <w:vAlign w:val="center"/>
          </w:tcPr>
          <w:p w14:paraId="5D99C25D">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方案比选数量</w:t>
            </w:r>
          </w:p>
        </w:tc>
        <w:tc>
          <w:tcPr>
            <w:tcW w:w="1843" w:type="dxa"/>
            <w:tcBorders>
              <w:top w:val="single" w:color="auto" w:sz="4" w:space="0"/>
            </w:tcBorders>
            <w:tcMar>
              <w:top w:w="150" w:type="dxa"/>
              <w:left w:w="240" w:type="dxa"/>
              <w:bottom w:w="150" w:type="dxa"/>
              <w:right w:w="240" w:type="dxa"/>
            </w:tcMar>
            <w:vAlign w:val="center"/>
          </w:tcPr>
          <w:p w14:paraId="6EC24F03">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1</w:t>
            </w:r>
            <w:r>
              <w:rPr>
                <w:rFonts w:hint="eastAsia" w:ascii="宋体" w:hAnsi="宋体" w:eastAsia="宋体" w:cs="Segoe UI"/>
                <w:kern w:val="0"/>
                <w:sz w:val="15"/>
                <w:szCs w:val="15"/>
                <w14:ligatures w14:val="none"/>
              </w:rPr>
              <w:t>～</w:t>
            </w:r>
            <w:r>
              <w:rPr>
                <w:rFonts w:ascii="宋体" w:hAnsi="宋体" w:eastAsia="宋体" w:cs="Segoe UI"/>
                <w:kern w:val="0"/>
                <w:sz w:val="15"/>
                <w:szCs w:val="15"/>
                <w14:ligatures w14:val="none"/>
              </w:rPr>
              <w:t>2个（基于静态经验和简单计算）</w:t>
            </w:r>
          </w:p>
        </w:tc>
        <w:tc>
          <w:tcPr>
            <w:tcW w:w="1417" w:type="dxa"/>
            <w:tcBorders>
              <w:top w:val="single" w:color="auto" w:sz="4" w:space="0"/>
            </w:tcBorders>
            <w:tcMar>
              <w:top w:w="150" w:type="dxa"/>
              <w:left w:w="240" w:type="dxa"/>
              <w:bottom w:w="150" w:type="dxa"/>
              <w:right w:w="240" w:type="dxa"/>
            </w:tcMar>
            <w:vAlign w:val="center"/>
          </w:tcPr>
          <w:p w14:paraId="2F5E0F24">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5</w:t>
            </w:r>
            <w:r>
              <w:rPr>
                <w:rFonts w:hint="eastAsia" w:ascii="宋体" w:hAnsi="宋体" w:eastAsia="宋体" w:cs="Segoe UI"/>
                <w:kern w:val="0"/>
                <w:sz w:val="15"/>
                <w:szCs w:val="15"/>
                <w14:ligatures w14:val="none"/>
              </w:rPr>
              <w:t>～</w:t>
            </w:r>
            <w:r>
              <w:rPr>
                <w:rFonts w:ascii="宋体" w:hAnsi="宋体" w:eastAsia="宋体" w:cs="Segoe UI"/>
                <w:kern w:val="0"/>
                <w:sz w:val="15"/>
                <w:szCs w:val="15"/>
                <w14:ligatures w14:val="none"/>
              </w:rPr>
              <w:t>10个（精细化模拟）</w:t>
            </w:r>
          </w:p>
        </w:tc>
        <w:tc>
          <w:tcPr>
            <w:tcW w:w="3061" w:type="dxa"/>
            <w:tcBorders>
              <w:top w:val="single" w:color="auto" w:sz="4" w:space="0"/>
            </w:tcBorders>
            <w:tcMar>
              <w:top w:w="150" w:type="dxa"/>
              <w:left w:w="240" w:type="dxa"/>
              <w:bottom w:w="150" w:type="dxa"/>
              <w:right w:w="0" w:type="dxa"/>
            </w:tcMar>
            <w:vAlign w:val="center"/>
          </w:tcPr>
          <w:p w14:paraId="4677A508">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模型服务化封装与链式调度引擎，支持快速构建并计算多</w:t>
            </w:r>
            <w:r>
              <w:rPr>
                <w:rFonts w:hint="eastAsia" w:ascii="宋体" w:hAnsi="宋体" w:eastAsia="宋体" w:cs="Segoe UI"/>
                <w:kern w:val="0"/>
                <w:sz w:val="15"/>
                <w:szCs w:val="15"/>
                <w14:ligatures w14:val="none"/>
              </w:rPr>
              <w:t>组</w:t>
            </w:r>
            <w:r>
              <w:rPr>
                <w:rFonts w:ascii="宋体" w:hAnsi="宋体" w:eastAsia="宋体" w:cs="Segoe UI"/>
                <w:kern w:val="0"/>
                <w:sz w:val="15"/>
                <w:szCs w:val="15"/>
                <w14:ligatures w14:val="none"/>
              </w:rPr>
              <w:t>调度-演进耦合情景。</w:t>
            </w:r>
          </w:p>
        </w:tc>
      </w:tr>
      <w:tr w14:paraId="4241F347">
        <w:tblPrEx>
          <w:tblCellMar>
            <w:top w:w="15" w:type="dxa"/>
            <w:left w:w="15" w:type="dxa"/>
            <w:bottom w:w="15" w:type="dxa"/>
            <w:right w:w="15" w:type="dxa"/>
          </w:tblCellMar>
        </w:tblPrEx>
        <w:trPr>
          <w:jc w:val="center"/>
        </w:trPr>
        <w:tc>
          <w:tcPr>
            <w:tcW w:w="663" w:type="dxa"/>
            <w:vMerge w:val="continue"/>
            <w:tcBorders>
              <w:bottom w:val="single" w:color="auto" w:sz="4" w:space="0"/>
            </w:tcBorders>
            <w:tcMar>
              <w:top w:w="150" w:type="dxa"/>
              <w:left w:w="0" w:type="dxa"/>
              <w:bottom w:w="150" w:type="dxa"/>
              <w:right w:w="240" w:type="dxa"/>
            </w:tcMar>
            <w:vAlign w:val="center"/>
          </w:tcPr>
          <w:p w14:paraId="462F9831">
            <w:pPr>
              <w:widowControl/>
              <w:spacing w:after="0" w:line="240" w:lineRule="auto"/>
              <w:jc w:val="center"/>
              <w:rPr>
                <w:rFonts w:hint="eastAsia" w:ascii="宋体" w:hAnsi="宋体" w:eastAsia="宋体" w:cs="Segoe UI"/>
                <w:kern w:val="0"/>
                <w:sz w:val="15"/>
                <w:szCs w:val="15"/>
                <w14:ligatures w14:val="none"/>
              </w:rPr>
            </w:pPr>
          </w:p>
        </w:tc>
        <w:tc>
          <w:tcPr>
            <w:tcW w:w="1322" w:type="dxa"/>
            <w:tcBorders>
              <w:bottom w:val="single" w:color="auto" w:sz="4" w:space="0"/>
            </w:tcBorders>
            <w:tcMar>
              <w:top w:w="150" w:type="dxa"/>
              <w:left w:w="240" w:type="dxa"/>
              <w:bottom w:w="150" w:type="dxa"/>
              <w:right w:w="240" w:type="dxa"/>
            </w:tcMar>
            <w:vAlign w:val="center"/>
          </w:tcPr>
          <w:p w14:paraId="2AEE6A64">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模拟</w:t>
            </w:r>
            <w:r>
              <w:rPr>
                <w:rFonts w:hint="eastAsia" w:ascii="宋体" w:hAnsi="宋体" w:eastAsia="宋体" w:cs="Segoe UI"/>
                <w:kern w:val="0"/>
                <w:sz w:val="15"/>
                <w:szCs w:val="15"/>
                <w14:ligatures w14:val="none"/>
              </w:rPr>
              <w:t>计算</w:t>
            </w:r>
            <w:r>
              <w:rPr>
                <w:rFonts w:ascii="宋体" w:hAnsi="宋体" w:eastAsia="宋体" w:cs="Segoe UI"/>
                <w:kern w:val="0"/>
                <w:sz w:val="15"/>
                <w:szCs w:val="15"/>
                <w14:ligatures w14:val="none"/>
              </w:rPr>
              <w:t>耗时</w:t>
            </w:r>
          </w:p>
        </w:tc>
        <w:tc>
          <w:tcPr>
            <w:tcW w:w="1843" w:type="dxa"/>
            <w:tcBorders>
              <w:bottom w:val="single" w:color="auto" w:sz="4" w:space="0"/>
            </w:tcBorders>
            <w:tcMar>
              <w:top w:w="150" w:type="dxa"/>
              <w:left w:w="240" w:type="dxa"/>
              <w:bottom w:w="150" w:type="dxa"/>
              <w:right w:w="240" w:type="dxa"/>
            </w:tcMar>
            <w:vAlign w:val="center"/>
          </w:tcPr>
          <w:p w14:paraId="177448F6">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数小时</w:t>
            </w:r>
            <w:r>
              <w:rPr>
                <w:rFonts w:hint="eastAsia" w:ascii="宋体" w:hAnsi="宋体" w:eastAsia="宋体" w:cs="Segoe UI"/>
                <w:kern w:val="0"/>
                <w:sz w:val="15"/>
                <w:szCs w:val="15"/>
                <w14:ligatures w14:val="none"/>
              </w:rPr>
              <w:t>-</w:t>
            </w:r>
            <w:r>
              <w:rPr>
                <w:rFonts w:ascii="宋体" w:hAnsi="宋体" w:eastAsia="宋体" w:cs="Segoe UI"/>
                <w:kern w:val="0"/>
                <w:sz w:val="15"/>
                <w:szCs w:val="15"/>
                <w14:ligatures w14:val="none"/>
              </w:rPr>
              <w:t>无法完成</w:t>
            </w:r>
          </w:p>
        </w:tc>
        <w:tc>
          <w:tcPr>
            <w:tcW w:w="1417" w:type="dxa"/>
            <w:tcBorders>
              <w:bottom w:val="single" w:color="auto" w:sz="4" w:space="0"/>
            </w:tcBorders>
            <w:tcMar>
              <w:top w:w="150" w:type="dxa"/>
              <w:left w:w="240" w:type="dxa"/>
              <w:bottom w:w="150" w:type="dxa"/>
              <w:right w:w="240" w:type="dxa"/>
            </w:tcMar>
            <w:vAlign w:val="center"/>
          </w:tcPr>
          <w:p w14:paraId="631FB58B">
            <w:pPr>
              <w:widowControl/>
              <w:spacing w:after="0" w:line="240" w:lineRule="auto"/>
              <w:jc w:val="center"/>
              <w:rPr>
                <w:rFonts w:hint="eastAsia" w:ascii="宋体" w:hAnsi="宋体" w:eastAsia="宋体" w:cs="Segoe UI"/>
                <w:kern w:val="0"/>
                <w:sz w:val="15"/>
                <w:szCs w:val="15"/>
                <w:lang w:val="en"/>
                <w14:ligatures w14:val="none"/>
              </w:rPr>
            </w:pPr>
            <w:r>
              <w:rPr>
                <w:rFonts w:ascii="宋体" w:hAnsi="宋体" w:eastAsia="宋体" w:cs="Segoe UI"/>
                <w:kern w:val="0"/>
                <w:sz w:val="15"/>
                <w:szCs w:val="15"/>
                <w14:ligatures w14:val="none"/>
              </w:rPr>
              <w:t>&lt; 30</w:t>
            </w:r>
            <w:r>
              <w:rPr>
                <w:rFonts w:ascii="宋体" w:hAnsi="宋体" w:eastAsia="宋体" w:cs="Segoe UI"/>
                <w:kern w:val="0"/>
                <w:sz w:val="15"/>
                <w:szCs w:val="15"/>
                <w:lang w:val="en"/>
                <w14:ligatures w14:val="none"/>
              </w:rPr>
              <w:t>min</w:t>
            </w:r>
          </w:p>
        </w:tc>
        <w:tc>
          <w:tcPr>
            <w:tcW w:w="3061" w:type="dxa"/>
            <w:tcBorders>
              <w:bottom w:val="single" w:color="auto" w:sz="4" w:space="0"/>
            </w:tcBorders>
            <w:tcMar>
              <w:top w:w="150" w:type="dxa"/>
              <w:left w:w="240" w:type="dxa"/>
              <w:bottom w:w="150" w:type="dxa"/>
              <w:right w:w="0" w:type="dxa"/>
            </w:tcMar>
            <w:vAlign w:val="center"/>
          </w:tcPr>
          <w:p w14:paraId="52848DD5">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云端高性能算力与模型微服务化，实现并行计算与快速渲染</w:t>
            </w:r>
          </w:p>
        </w:tc>
      </w:tr>
      <w:tr w14:paraId="35AA5F21">
        <w:tblPrEx>
          <w:tblCellMar>
            <w:top w:w="15" w:type="dxa"/>
            <w:left w:w="15" w:type="dxa"/>
            <w:bottom w:w="15" w:type="dxa"/>
            <w:right w:w="15" w:type="dxa"/>
          </w:tblCellMar>
        </w:tblPrEx>
        <w:trPr>
          <w:jc w:val="center"/>
        </w:trPr>
        <w:tc>
          <w:tcPr>
            <w:tcW w:w="663" w:type="dxa"/>
            <w:tcBorders>
              <w:top w:val="single" w:color="auto" w:sz="4" w:space="0"/>
              <w:bottom w:val="single" w:color="auto" w:sz="12" w:space="0"/>
            </w:tcBorders>
            <w:tcMar>
              <w:top w:w="150" w:type="dxa"/>
              <w:left w:w="0" w:type="dxa"/>
              <w:bottom w:w="150" w:type="dxa"/>
              <w:right w:w="240" w:type="dxa"/>
            </w:tcMar>
            <w:vAlign w:val="center"/>
          </w:tcPr>
          <w:p w14:paraId="771ECEE5">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预案</w:t>
            </w:r>
          </w:p>
        </w:tc>
        <w:tc>
          <w:tcPr>
            <w:tcW w:w="1322" w:type="dxa"/>
            <w:tcBorders>
              <w:top w:val="single" w:color="auto" w:sz="4" w:space="0"/>
              <w:bottom w:val="single" w:color="auto" w:sz="12" w:space="0"/>
            </w:tcBorders>
            <w:tcMar>
              <w:top w:w="150" w:type="dxa"/>
              <w:left w:w="240" w:type="dxa"/>
              <w:bottom w:w="150" w:type="dxa"/>
              <w:right w:w="240" w:type="dxa"/>
            </w:tcMar>
            <w:vAlign w:val="center"/>
          </w:tcPr>
          <w:p w14:paraId="73F41ACE">
            <w:pPr>
              <w:widowControl/>
              <w:spacing w:after="0" w:line="240" w:lineRule="auto"/>
              <w:jc w:val="center"/>
              <w:rPr>
                <w:rFonts w:hint="eastAsia" w:ascii="宋体" w:hAnsi="宋体" w:eastAsia="宋体" w:cs="Segoe UI"/>
                <w:kern w:val="0"/>
                <w:sz w:val="15"/>
                <w:szCs w:val="15"/>
                <w14:ligatures w14:val="none"/>
              </w:rPr>
            </w:pPr>
            <w:r>
              <w:rPr>
                <w:rFonts w:hint="eastAsia" w:ascii="宋体" w:hAnsi="宋体" w:eastAsia="宋体" w:cs="Segoe UI"/>
                <w:kern w:val="0"/>
                <w:sz w:val="15"/>
                <w:szCs w:val="15"/>
                <w14:ligatures w14:val="none"/>
              </w:rPr>
              <w:t>在线会商效率（时间）</w:t>
            </w:r>
          </w:p>
        </w:tc>
        <w:tc>
          <w:tcPr>
            <w:tcW w:w="1843" w:type="dxa"/>
            <w:tcBorders>
              <w:top w:val="single" w:color="auto" w:sz="4" w:space="0"/>
              <w:bottom w:val="single" w:color="auto" w:sz="12" w:space="0"/>
            </w:tcBorders>
            <w:tcMar>
              <w:top w:w="150" w:type="dxa"/>
              <w:left w:w="240" w:type="dxa"/>
              <w:bottom w:w="150" w:type="dxa"/>
              <w:right w:w="240" w:type="dxa"/>
            </w:tcMar>
            <w:vAlign w:val="center"/>
          </w:tcPr>
          <w:p w14:paraId="76B53529">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&gt; 4</w:t>
            </w:r>
            <w:r>
              <w:rPr>
                <w:rFonts w:ascii="宋体" w:hAnsi="宋体" w:eastAsia="宋体" w:cs="Segoe UI"/>
                <w:kern w:val="0"/>
                <w:sz w:val="15"/>
                <w:szCs w:val="15"/>
                <w:lang w:val="en"/>
                <w14:ligatures w14:val="none"/>
              </w:rPr>
              <w:t>h</w:t>
            </w:r>
            <w:r>
              <w:rPr>
                <w:rFonts w:ascii="宋体" w:hAnsi="宋体" w:eastAsia="宋体" w:cs="Segoe UI"/>
                <w:kern w:val="0"/>
                <w:sz w:val="15"/>
                <w:szCs w:val="15"/>
                <w14:ligatures w14:val="none"/>
              </w:rPr>
              <w:t>（多轮线下会商）</w:t>
            </w:r>
          </w:p>
        </w:tc>
        <w:tc>
          <w:tcPr>
            <w:tcW w:w="1417" w:type="dxa"/>
            <w:tcBorders>
              <w:top w:val="single" w:color="auto" w:sz="4" w:space="0"/>
              <w:bottom w:val="single" w:color="auto" w:sz="12" w:space="0"/>
            </w:tcBorders>
            <w:tcMar>
              <w:top w:w="150" w:type="dxa"/>
              <w:left w:w="240" w:type="dxa"/>
              <w:bottom w:w="150" w:type="dxa"/>
              <w:right w:w="240" w:type="dxa"/>
            </w:tcMar>
            <w:vAlign w:val="center"/>
          </w:tcPr>
          <w:p w14:paraId="20C56E7E">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&lt; 1</w:t>
            </w:r>
            <w:r>
              <w:rPr>
                <w:rFonts w:ascii="宋体" w:hAnsi="宋体" w:eastAsia="宋体" w:cs="Segoe UI"/>
                <w:kern w:val="0"/>
                <w:sz w:val="15"/>
                <w:szCs w:val="15"/>
                <w:lang w:val="en"/>
                <w14:ligatures w14:val="none"/>
              </w:rPr>
              <w:t>h</w:t>
            </w:r>
            <w:r>
              <w:rPr>
                <w:rFonts w:ascii="宋体" w:hAnsi="宋体" w:eastAsia="宋体" w:cs="Segoe UI"/>
                <w:kern w:val="0"/>
                <w:sz w:val="15"/>
                <w:szCs w:val="15"/>
                <w14:ligatures w14:val="none"/>
              </w:rPr>
              <w:t>（一次数字化会商）</w:t>
            </w:r>
          </w:p>
        </w:tc>
        <w:tc>
          <w:tcPr>
            <w:tcW w:w="3061" w:type="dxa"/>
            <w:tcBorders>
              <w:top w:val="single" w:color="auto" w:sz="4" w:space="0"/>
              <w:bottom w:val="single" w:color="auto" w:sz="12" w:space="0"/>
            </w:tcBorders>
            <w:tcMar>
              <w:top w:w="150" w:type="dxa"/>
              <w:left w:w="240" w:type="dxa"/>
              <w:bottom w:w="150" w:type="dxa"/>
              <w:right w:w="0" w:type="dxa"/>
            </w:tcMar>
            <w:vAlign w:val="center"/>
          </w:tcPr>
          <w:p w14:paraId="512C9058">
            <w:pPr>
              <w:widowControl/>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基于预演可视化结果的协同会商模块</w:t>
            </w:r>
            <w:r>
              <w:rPr>
                <w:rFonts w:hint="eastAsia" w:ascii="宋体" w:hAnsi="宋体" w:eastAsia="宋体" w:cs="Segoe UI"/>
                <w:kern w:val="0"/>
                <w:sz w:val="15"/>
                <w:szCs w:val="15"/>
                <w14:ligatures w14:val="none"/>
              </w:rPr>
              <w:t>设计</w:t>
            </w:r>
            <w:r>
              <w:rPr>
                <w:rFonts w:ascii="宋体" w:hAnsi="宋体" w:eastAsia="宋体" w:cs="Segoe UI"/>
                <w:kern w:val="0"/>
                <w:sz w:val="15"/>
                <w:szCs w:val="15"/>
                <w14:ligatures w14:val="none"/>
              </w:rPr>
              <w:t>，极大</w:t>
            </w:r>
            <w:r>
              <w:rPr>
                <w:rFonts w:hint="eastAsia" w:ascii="宋体" w:hAnsi="宋体" w:eastAsia="宋体" w:cs="Segoe UI"/>
                <w:kern w:val="0"/>
                <w:sz w:val="15"/>
                <w:szCs w:val="15"/>
                <w14:ligatures w14:val="none"/>
              </w:rPr>
              <w:t>缩短了</w:t>
            </w:r>
            <w:r>
              <w:rPr>
                <w:rFonts w:ascii="宋体" w:hAnsi="宋体" w:eastAsia="宋体" w:cs="Segoe UI"/>
                <w:kern w:val="0"/>
                <w:sz w:val="15"/>
                <w:szCs w:val="15"/>
                <w14:ligatures w14:val="none"/>
              </w:rPr>
              <w:t>方案讨论、共识形成与指令</w:t>
            </w:r>
            <w:r>
              <w:rPr>
                <w:rFonts w:hint="eastAsia" w:ascii="宋体" w:hAnsi="宋体" w:eastAsia="宋体" w:cs="Segoe UI"/>
                <w:kern w:val="0"/>
                <w:sz w:val="15"/>
                <w:szCs w:val="15"/>
                <w14:ligatures w14:val="none"/>
              </w:rPr>
              <w:t>下达</w:t>
            </w:r>
            <w:r>
              <w:rPr>
                <w:rFonts w:ascii="宋体" w:hAnsi="宋体" w:eastAsia="宋体" w:cs="Segoe UI"/>
                <w:kern w:val="0"/>
                <w:sz w:val="15"/>
                <w:szCs w:val="15"/>
                <w14:ligatures w14:val="none"/>
              </w:rPr>
              <w:t>时间</w:t>
            </w:r>
          </w:p>
        </w:tc>
      </w:tr>
    </w:tbl>
    <w:p w14:paraId="641042B0">
      <w:pPr>
        <w:widowControl/>
        <w:shd w:val="clear" w:color="auto" w:fill="FFFFFF"/>
        <w:spacing w:after="0" w:line="240" w:lineRule="auto"/>
        <w:rPr>
          <w:rFonts w:hint="eastAsia" w:ascii="楷体" w:hAnsi="楷体" w:eastAsia="楷体" w:cs="Times New Roman"/>
          <w:color w:val="000000" w:themeColor="text1"/>
          <w:sz w:val="21"/>
          <w:szCs w:val="21"/>
          <w14:textFill>
            <w14:solidFill>
              <w14:schemeClr w14:val="tx1"/>
            </w14:solidFill>
          </w14:textFill>
          <w14:ligatures w14:val="none"/>
        </w:rPr>
      </w:pPr>
      <w:bookmarkStart w:id="26" w:name="OLE_LINK5"/>
    </w:p>
    <w:p w14:paraId="5EDB41A3">
      <w:pPr>
        <w:pStyle w:val="50"/>
        <w:spacing w:line="240" w:lineRule="auto"/>
        <w:ind w:firstLine="0"/>
        <w:outlineLvl w:val="2"/>
        <w:rPr>
          <w:rFonts w:hint="eastAsia" w:ascii="宋体" w:hAnsi="宋体"/>
          <w:bCs/>
          <w:color w:val="000000" w:themeColor="text1"/>
          <w:sz w:val="21"/>
          <w:szCs w:val="21"/>
          <w14:textFill>
            <w14:solidFill>
              <w14:schemeClr w14:val="tx1"/>
            </w14:solidFill>
          </w14:textFill>
        </w:rPr>
      </w:pPr>
      <w:r>
        <w:rPr>
          <w:rFonts w:hint="eastAsia" w:ascii="楷体" w:hAnsi="楷体" w:eastAsia="楷体"/>
          <w:color w:val="000000" w:themeColor="text1"/>
          <w:sz w:val="21"/>
          <w:szCs w:val="21"/>
          <w14:textFill>
            <w14:solidFill>
              <w14:schemeClr w14:val="tx1"/>
            </w14:solidFill>
          </w14:textFill>
        </w:rPr>
        <w:t>3.</w:t>
      </w:r>
      <w:r>
        <w:rPr>
          <w:rFonts w:ascii="楷体" w:hAnsi="楷体" w:eastAsia="楷体"/>
          <w:color w:val="000000" w:themeColor="text1"/>
          <w:sz w:val="21"/>
          <w:szCs w:val="21"/>
          <w14:textFill>
            <w14:solidFill>
              <w14:schemeClr w14:val="tx1"/>
            </w14:solidFill>
          </w14:textFill>
        </w:rPr>
        <w:t>2.3 综合能力指数计算与预期潜力评估</w:t>
      </w:r>
    </w:p>
    <w:p w14:paraId="1C71F30B">
      <w:pPr>
        <w:widowControl/>
        <w:shd w:val="clear" w:color="auto" w:fill="FFFFFF"/>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结合表3中经逻辑推演得出的S2预期值，和S1的基准值一并代入指标体系中进行标准化与加权运算。</w:t>
      </w:r>
    </w:p>
    <w:p w14:paraId="5A85A4E4">
      <w:pPr>
        <w:widowControl/>
        <w:shd w:val="clear" w:color="auto" w:fill="FFFFFF"/>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（1）</w:t>
      </w:r>
      <w:r>
        <w:rPr>
          <w:rFonts w:ascii="宋体" w:hAnsi="宋体" w:eastAsia="宋体" w:cs="Times New Roman"/>
          <w:bCs/>
          <w:color w:val="000000" w:themeColor="text1"/>
          <w:sz w:val="21"/>
          <w:szCs w:val="21"/>
          <w14:textFill>
            <w14:solidFill>
              <w14:schemeClr w14:val="tx1"/>
            </w14:solidFill>
          </w14:textFill>
          <w14:ligatures w14:val="none"/>
        </w:rPr>
        <w:t>计算综合能力指数</w:t>
      </w:r>
    </w:p>
    <w:p w14:paraId="5413ABFF">
      <w:pPr>
        <w:widowControl/>
        <w:shd w:val="clear" w:color="auto" w:fill="FFFFFF"/>
        <w:spacing w:after="0" w:line="240" w:lineRule="auto"/>
        <w:ind w:firstLine="2940" w:firstLineChars="1400"/>
        <w:rPr>
          <w:rFonts w:hint="eastAsia" w:ascii="宋体" w:hAnsi="宋体" w:eastAsia="宋体" w:cs="Times New Roman"/>
          <w:bCs/>
          <w:color w:val="000000" w:themeColor="text1"/>
          <w:sz w:val="21"/>
          <w:szCs w:val="21"/>
          <w14:textFill>
            <w14:solidFill>
              <w14:schemeClr w14:val="tx1"/>
            </w14:solidFill>
          </w14:textFill>
          <w14:ligatures w14:val="none"/>
        </w:rPr>
      </w:pPr>
      <m:oMath>
        <m:r>
          <m:rPr/>
          <w:rPr>
            <w:rFonts w:ascii="Cambria Math" w:hAnsi="Cambria Math" w:eastAsia="宋体" w:cs="Times New Roman"/>
            <w:color w:val="000000" w:themeColor="text1"/>
            <w:sz w:val="21"/>
            <w:szCs w:val="21"/>
            <w14:textFill>
              <w14:solidFill>
                <w14:schemeClr w14:val="tx1"/>
              </w14:solidFill>
            </w14:textFill>
            <w14:ligatures w14:val="none"/>
          </w:rPr>
          <m:t>I</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nary>
          <m:naryPr>
            <m:chr m:val="∑"/>
            <m:grow m:val="1"/>
            <m:limLoc m:val="undOvr"/>
            <m:ctrlPr>
              <w:rPr>
                <w:rFonts w:ascii="Cambria Math" w:hAnsi="Cambria Math" w:eastAsia="宋体" w:cs="Times New Roman"/>
                <w:bCs/>
                <w:color w:val="000000" w:themeColor="text1"/>
                <w:sz w:val="21"/>
                <w:szCs w:val="21"/>
                <w14:textFill>
                  <w14:solidFill>
                    <w14:schemeClr w14:val="tx1"/>
                  </w14:solidFill>
                </w14:textFill>
                <w14:ligatures w14:val="none"/>
              </w:rPr>
            </m:ctrlPr>
          </m:naryPr>
          <m:sub>
            <m:r>
              <m:rPr/>
              <w:rPr>
                <w:rFonts w:ascii="Cambria Math" w:hAnsi="Cambria Math" w:eastAsia="宋体" w:cs="Times New Roman"/>
                <w:color w:val="000000" w:themeColor="text1"/>
                <w:sz w:val="21"/>
                <w:szCs w:val="21"/>
                <w14:textFill>
                  <w14:solidFill>
                    <w14:schemeClr w14:val="tx1"/>
                  </w14:solidFill>
                </w14:textFill>
                <w14:ligatures w14:val="none"/>
              </w:rPr>
              <m:t>i</m:t>
            </m:r>
            <m:r>
              <m:rPr>
                <m:sty m:val="p"/>
              </m:rPr>
              <w:rPr>
                <w:rFonts w:ascii="Cambria Math" w:hAnsi="Cambria Math" w:eastAsia="宋体" w:cs="Times New Roman"/>
                <w:color w:val="000000" w:themeColor="text1"/>
                <w:sz w:val="21"/>
                <w:szCs w:val="21"/>
                <w14:textFill>
                  <w14:solidFill>
                    <w14:schemeClr w14:val="tx1"/>
                  </w14:solidFill>
                </w14:textFill>
                <w14:ligatures w14:val="none"/>
              </w:rPr>
              <m:t>=1</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up>
            <m:r>
              <m:rPr>
                <m:sty m:val="p"/>
              </m:rPr>
              <w:rPr>
                <w:rFonts w:ascii="Cambria Math" w:hAnsi="Cambria Math" w:eastAsia="宋体" w:cs="Times New Roman"/>
                <w:color w:val="000000" w:themeColor="text1"/>
                <w:sz w:val="21"/>
                <w:szCs w:val="21"/>
                <w14:textFill>
                  <w14:solidFill>
                    <w14:schemeClr w14:val="tx1"/>
                  </w14:solidFill>
                </w14:textFill>
                <w14:ligatures w14:val="none"/>
              </w:rPr>
              <m:t>4</m:t>
            </m:r>
            <m:ctrlPr>
              <w:rPr>
                <w:rFonts w:ascii="Cambria Math" w:hAnsi="Cambria Math" w:eastAsia="宋体" w:cs="Times New Roman"/>
                <w:bCs/>
                <w:color w:val="000000" w:themeColor="text1"/>
                <w:sz w:val="21"/>
                <w:szCs w:val="21"/>
                <w14:textFill>
                  <w14:solidFill>
                    <w14:schemeClr w14:val="tx1"/>
                  </w14:solidFill>
                </w14:textFill>
                <w14:ligatures w14:val="none"/>
              </w:rPr>
            </m:ctrlPr>
          </m:sup>
          <m:e>
            <m:d>
              <m:dPr>
                <m:ctrlPr>
                  <w:rPr>
                    <w:rFonts w:ascii="Cambria Math" w:hAnsi="Cambria Math" w:eastAsia="宋体" w:cs="Times New Roman"/>
                    <w:bCs/>
                    <w:color w:val="000000" w:themeColor="text1"/>
                    <w:sz w:val="21"/>
                    <w:szCs w:val="21"/>
                    <w14:textFill>
                      <w14:solidFill>
                        <w14:schemeClr w14:val="tx1"/>
                      </w14:solidFill>
                    </w14:textFill>
                    <w14:ligatures w14:val="none"/>
                  </w:rPr>
                </m:ctrlPr>
              </m:dPr>
              <m:e>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w</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B</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i</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nary>
                  <m:naryPr>
                    <m:chr m:val="∑"/>
                    <m:grow m:val="1"/>
                    <m:limLoc m:val="undOvr"/>
                    <m:ctrlPr>
                      <w:rPr>
                        <w:rFonts w:ascii="Cambria Math" w:hAnsi="Cambria Math" w:eastAsia="宋体" w:cs="Times New Roman"/>
                        <w:bCs/>
                        <w:color w:val="000000" w:themeColor="text1"/>
                        <w:sz w:val="21"/>
                        <w:szCs w:val="21"/>
                        <w14:textFill>
                          <w14:solidFill>
                            <w14:schemeClr w14:val="tx1"/>
                          </w14:solidFill>
                        </w14:textFill>
                        <w14:ligatures w14:val="none"/>
                      </w:rPr>
                    </m:ctrlPr>
                  </m:naryPr>
                  <m:sub>
                    <m:r>
                      <m:rPr/>
                      <w:rPr>
                        <w:rFonts w:ascii="Cambria Math" w:hAnsi="Cambria Math" w:eastAsia="宋体" w:cs="Times New Roman"/>
                        <w:color w:val="000000" w:themeColor="text1"/>
                        <w:sz w:val="21"/>
                        <w:szCs w:val="21"/>
                        <w14:textFill>
                          <w14:solidFill>
                            <w14:schemeClr w14:val="tx1"/>
                          </w14:solidFill>
                        </w14:textFill>
                        <w14:ligatures w14:val="none"/>
                      </w:rPr>
                      <m:t>j</m:t>
                    </m:r>
                    <m:r>
                      <m:rPr>
                        <m:sty m:val="p"/>
                      </m:rPr>
                      <w:rPr>
                        <w:rFonts w:ascii="Cambria Math" w:hAnsi="Cambria Math" w:eastAsia="宋体" w:cs="Times New Roman"/>
                        <w:color w:val="000000" w:themeColor="text1"/>
                        <w:sz w:val="21"/>
                        <w:szCs w:val="21"/>
                        <w14:textFill>
                          <w14:solidFill>
                            <w14:schemeClr w14:val="tx1"/>
                          </w14:solidFill>
                        </w14:textFill>
                        <w14:ligatures w14:val="none"/>
                      </w:rPr>
                      <m:t>=1</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up>
                    <m:r>
                      <m:rPr/>
                      <w:rPr>
                        <w:rFonts w:ascii="Cambria Math" w:hAnsi="Cambria Math" w:eastAsia="宋体" w:cs="Times New Roman"/>
                        <w:color w:val="000000" w:themeColor="text1"/>
                        <w:sz w:val="21"/>
                        <w:szCs w:val="21"/>
                        <w14:textFill>
                          <w14:solidFill>
                            <w14:schemeClr w14:val="tx1"/>
                          </w14:solidFill>
                        </w14:textFill>
                        <w14:ligatures w14:val="none"/>
                      </w:rPr>
                      <m:t>m</m:t>
                    </m:r>
                    <m:ctrlPr>
                      <w:rPr>
                        <w:rFonts w:ascii="Cambria Math" w:hAnsi="Cambria Math" w:eastAsia="宋体" w:cs="Times New Roman"/>
                        <w:bCs/>
                        <w:color w:val="000000" w:themeColor="text1"/>
                        <w:sz w:val="21"/>
                        <w:szCs w:val="21"/>
                        <w14:textFill>
                          <w14:solidFill>
                            <w14:schemeClr w14:val="tx1"/>
                          </w14:solidFill>
                        </w14:textFill>
                        <w14:ligatures w14:val="none"/>
                      </w:rPr>
                    </m:ctrlPr>
                  </m:sup>
                  <m:e>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ctrlPr>
                      <w:rPr>
                        <w:rFonts w:ascii="Cambria Math" w:hAnsi="Cambria Math" w:eastAsia="宋体" w:cs="Times New Roman"/>
                        <w:bCs/>
                        <w:color w:val="000000" w:themeColor="text1"/>
                        <w:sz w:val="21"/>
                        <w:szCs w:val="21"/>
                        <w14:textFill>
                          <w14:solidFill>
                            <w14:schemeClr w14:val="tx1"/>
                          </w14:solidFill>
                        </w14:textFill>
                        <w14:ligatures w14:val="none"/>
                      </w:rPr>
                    </m:ctrlPr>
                  </m:e>
                </m:nary>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w</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C</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ij</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S</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C</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ij</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ctrlPr>
                  <w:rPr>
                    <w:rFonts w:ascii="Cambria Math" w:hAnsi="Cambria Math" w:eastAsia="宋体" w:cs="Times New Roman"/>
                    <w:bCs/>
                    <w:color w:val="000000" w:themeColor="text1"/>
                    <w:sz w:val="21"/>
                    <w:szCs w:val="21"/>
                    <w14:textFill>
                      <w14:solidFill>
                        <w14:schemeClr w14:val="tx1"/>
                      </w14:solidFill>
                    </w14:textFill>
                    <w14:ligatures w14:val="none"/>
                  </w:rPr>
                </m:ctrlPr>
              </m:e>
            </m:d>
            <m:ctrlPr>
              <w:rPr>
                <w:rFonts w:ascii="Cambria Math" w:hAnsi="Cambria Math" w:eastAsia="宋体" w:cs="Times New Roman"/>
                <w:bCs/>
                <w:color w:val="000000" w:themeColor="text1"/>
                <w:sz w:val="21"/>
                <w:szCs w:val="21"/>
                <w14:textFill>
                  <w14:solidFill>
                    <w14:schemeClr w14:val="tx1"/>
                  </w14:solidFill>
                </w14:textFill>
                <w14:ligatures w14:val="none"/>
              </w:rPr>
            </m:ctrlPr>
          </m:e>
        </m:nary>
      </m:oMath>
      <w:r>
        <w:rPr>
          <w:rFonts w:hint="eastAsia" w:ascii="宋体" w:hAnsi="宋体" w:eastAsia="宋体" w:cs="Times New Roman"/>
          <w:bCs/>
          <w:color w:val="000000" w:themeColor="text1"/>
          <w:sz w:val="21"/>
          <w:szCs w:val="21"/>
          <w14:textFill>
            <w14:solidFill>
              <w14:schemeClr w14:val="tx1"/>
            </w14:solidFill>
          </w14:textFill>
          <w14:ligatures w14:val="none"/>
        </w:rPr>
        <w:t xml:space="preserve">           （5）</w:t>
      </w:r>
    </w:p>
    <w:p w14:paraId="11BA486E">
      <w:pPr>
        <w:widowControl/>
        <w:shd w:val="clear" w:color="auto" w:fill="FFFFFF"/>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通过</w:t>
      </w:r>
      <w:r>
        <w:rPr>
          <w:rFonts w:ascii="宋体" w:hAnsi="宋体" w:eastAsia="宋体" w:cs="Times New Roman"/>
          <w:bCs/>
          <w:color w:val="000000" w:themeColor="text1"/>
          <w:sz w:val="21"/>
          <w:szCs w:val="21"/>
          <w14:textFill>
            <w14:solidFill>
              <w14:schemeClr w14:val="tx1"/>
            </w14:solidFill>
          </w14:textFill>
          <w14:ligatures w14:val="none"/>
        </w:rPr>
        <w:t>计算</w:t>
      </w:r>
      <w:r>
        <w:rPr>
          <w:rFonts w:hint="eastAsia" w:ascii="宋体" w:hAnsi="宋体" w:eastAsia="宋体" w:cs="Times New Roman"/>
          <w:bCs/>
          <w:color w:val="000000" w:themeColor="text1"/>
          <w:sz w:val="21"/>
          <w:szCs w:val="21"/>
          <w14:textFill>
            <w14:solidFill>
              <w14:schemeClr w14:val="tx1"/>
            </w14:solidFill>
          </w14:textFill>
          <w14:ligatures w14:val="none"/>
        </w:rPr>
        <w:t>得出</w:t>
      </w:r>
      <w:r>
        <w:rPr>
          <w:rFonts w:ascii="宋体" w:hAnsi="宋体" w:eastAsia="宋体" w:cs="Times New Roman"/>
          <w:bCs/>
          <w:color w:val="000000" w:themeColor="text1"/>
          <w:sz w:val="21"/>
          <w:szCs w:val="21"/>
          <w14:textFill>
            <w14:solidFill>
              <w14:schemeClr w14:val="tx1"/>
            </w14:solidFill>
          </w14:textFill>
          <w14:ligatures w14:val="none"/>
        </w:rPr>
        <w:t>，传统模式（S1）综合能力指数 </w:t>
      </w:r>
      <m:oMath>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I</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S</m:t>
            </m:r>
            <m:r>
              <m:rPr>
                <m:sty m:val="p"/>
              </m:rPr>
              <w:rPr>
                <w:rFonts w:ascii="Cambria Math" w:hAnsi="Cambria Math" w:eastAsia="宋体" w:cs="Times New Roman"/>
                <w:color w:val="000000" w:themeColor="text1"/>
                <w:sz w:val="21"/>
                <w:szCs w:val="21"/>
                <w14:textFill>
                  <w14:solidFill>
                    <w14:schemeClr w14:val="tx1"/>
                  </w14:solidFill>
                </w14:textFill>
                <w14:ligatures w14:val="none"/>
              </w:rPr>
              <m:t>1</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=0.48</m:t>
        </m:r>
      </m:oMath>
      <w:r>
        <w:rPr>
          <w:rFonts w:ascii="宋体" w:hAnsi="宋体" w:eastAsia="宋体" w:cs="Times New Roman"/>
          <w:bCs/>
          <w:color w:val="000000" w:themeColor="text1"/>
          <w:sz w:val="21"/>
          <w:szCs w:val="21"/>
          <w14:textFill>
            <w14:solidFill>
              <w14:schemeClr w14:val="tx1"/>
            </w14:solidFill>
          </w14:textFill>
          <w14:ligatures w14:val="none"/>
        </w:rPr>
        <w:t>；数字孪生模式（S2）预期综合能力指数 </w:t>
      </w:r>
      <m:oMath>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I</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S</m:t>
            </m:r>
            <m:r>
              <m:rPr>
                <m:sty m:val="p"/>
              </m:rPr>
              <w:rPr>
                <w:rFonts w:ascii="Cambria Math" w:hAnsi="Cambria Math" w:eastAsia="宋体" w:cs="Times New Roman"/>
                <w:color w:val="000000" w:themeColor="text1"/>
                <w:sz w:val="21"/>
                <w:szCs w:val="21"/>
                <w14:textFill>
                  <w14:solidFill>
                    <w14:schemeClr w14:val="tx1"/>
                  </w14:solidFill>
                </w14:textFill>
                <w14:ligatures w14:val="none"/>
              </w:rPr>
              <m:t>2</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=0.82</m:t>
        </m:r>
      </m:oMath>
      <w:r>
        <w:rPr>
          <w:rFonts w:ascii="宋体" w:hAnsi="宋体" w:eastAsia="宋体" w:cs="Times New Roman"/>
          <w:bCs/>
          <w:color w:val="000000" w:themeColor="text1"/>
          <w:sz w:val="21"/>
          <w:szCs w:val="21"/>
          <w14:textFill>
            <w14:solidFill>
              <w14:schemeClr w14:val="tx1"/>
            </w14:solidFill>
          </w14:textFill>
          <w14:ligatures w14:val="none"/>
        </w:rPr>
        <w:t>。</w:t>
      </w:r>
    </w:p>
    <w:p w14:paraId="327961EE">
      <w:pPr>
        <w:widowControl/>
        <w:shd w:val="clear" w:color="auto" w:fill="FFFFFF"/>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hint="eastAsia" w:ascii="宋体" w:hAnsi="宋体" w:eastAsia="宋体" w:cs="Times New Roman"/>
          <w:bCs/>
          <w:color w:val="000000" w:themeColor="text1"/>
          <w:sz w:val="21"/>
          <w:szCs w:val="21"/>
          <w14:textFill>
            <w14:solidFill>
              <w14:schemeClr w14:val="tx1"/>
            </w14:solidFill>
          </w14:textFill>
          <w14:ligatures w14:val="none"/>
        </w:rPr>
        <w:t>（2）</w:t>
      </w:r>
      <w:r>
        <w:rPr>
          <w:rFonts w:ascii="宋体" w:hAnsi="宋体" w:eastAsia="宋体" w:cs="Times New Roman"/>
          <w:bCs/>
          <w:color w:val="000000" w:themeColor="text1"/>
          <w:sz w:val="21"/>
          <w:szCs w:val="21"/>
          <w14:textFill>
            <w14:solidFill>
              <w14:schemeClr w14:val="tx1"/>
            </w14:solidFill>
          </w14:textFill>
          <w14:ligatures w14:val="none"/>
        </w:rPr>
        <w:t>评估预期提升潜力</w:t>
      </w:r>
      <w:r>
        <w:rPr>
          <w:rFonts w:hint="eastAsia" w:ascii="宋体" w:hAnsi="宋体" w:eastAsia="宋体" w:cs="Times New Roman"/>
          <w:bCs/>
          <w:color w:val="000000" w:themeColor="text1"/>
          <w:sz w:val="21"/>
          <w:szCs w:val="21"/>
          <w14:textFill>
            <w14:solidFill>
              <w14:schemeClr w14:val="tx1"/>
            </w14:solidFill>
          </w14:textFill>
          <w14:ligatures w14:val="none"/>
        </w:rPr>
        <w:t>。本研究</w:t>
      </w:r>
      <w:r>
        <w:rPr>
          <w:rFonts w:ascii="宋体" w:hAnsi="宋体" w:eastAsia="宋体" w:cs="Times New Roman"/>
          <w:bCs/>
          <w:color w:val="000000" w:themeColor="text1"/>
          <w:sz w:val="21"/>
          <w:szCs w:val="21"/>
          <w14:textFill>
            <w14:solidFill>
              <w14:schemeClr w14:val="tx1"/>
            </w14:solidFill>
          </w14:textFill>
          <w14:ligatures w14:val="none"/>
        </w:rPr>
        <w:t>体系带来的理论综合能力提升度</w:t>
      </w:r>
      <m:oMath>
        <m:r>
          <m:rPr>
            <m:sty m:val="p"/>
          </m:rPr>
          <w:rPr>
            <w:rFonts w:ascii="Cambria Math" w:hAnsi="Cambria Math" w:eastAsia="宋体" w:cs="Times New Roman"/>
            <w:color w:val="000000" w:themeColor="text1"/>
            <w:sz w:val="21"/>
            <w:szCs w:val="21"/>
            <w14:textFill>
              <w14:solidFill>
                <w14:schemeClr w14:val="tx1"/>
              </w14:solidFill>
            </w14:textFill>
            <w14:ligatures w14:val="none"/>
          </w:rPr>
          <m:t>Δ</m:t>
        </m:r>
        <m:r>
          <m:rPr/>
          <w:rPr>
            <w:rFonts w:ascii="Cambria Math" w:hAnsi="Cambria Math" w:eastAsia="宋体" w:cs="Times New Roman"/>
            <w:color w:val="000000" w:themeColor="text1"/>
            <w:sz w:val="21"/>
            <w:szCs w:val="21"/>
            <w14:textFill>
              <w14:solidFill>
                <w14:schemeClr w14:val="tx1"/>
              </w14:solidFill>
            </w14:textFill>
            <w14:ligatures w14:val="none"/>
          </w:rPr>
          <m:t>I</m:t>
        </m:r>
      </m:oMath>
      <w:r>
        <w:rPr>
          <w:rFonts w:ascii="宋体" w:hAnsi="宋体" w:eastAsia="宋体" w:cs="Times New Roman"/>
          <w:bCs/>
          <w:color w:val="000000" w:themeColor="text1"/>
          <w:sz w:val="21"/>
          <w:szCs w:val="21"/>
          <w14:textFill>
            <w14:solidFill>
              <w14:schemeClr w14:val="tx1"/>
            </w14:solidFill>
          </w14:textFill>
          <w14:ligatures w14:val="none"/>
        </w:rPr>
        <w:t>为</w:t>
      </w:r>
    </w:p>
    <w:p w14:paraId="75AEA340">
      <w:pPr>
        <w:widowControl/>
        <w:shd w:val="clear" w:color="auto" w:fill="FFFFFF"/>
        <w:spacing w:after="0" w:line="240" w:lineRule="auto"/>
        <w:ind w:left="220" w:leftChars="100" w:firstLine="210" w:firstLineChars="100"/>
        <w:rPr>
          <w:rFonts w:hint="eastAsia" w:ascii="宋体" w:hAnsi="宋体" w:eastAsia="宋体" w:cs="Times New Roman"/>
          <w:bCs/>
          <w:color w:val="000000" w:themeColor="text1"/>
          <w:sz w:val="21"/>
          <w:szCs w:val="21"/>
          <w14:textFill>
            <w14:solidFill>
              <w14:schemeClr w14:val="tx1"/>
            </w14:solidFill>
          </w14:textFill>
          <w14:ligatures w14:val="none"/>
        </w:rPr>
      </w:pPr>
      <m:oMath>
        <m:r>
          <m:rPr>
            <m:sty m:val="p"/>
          </m:rPr>
          <w:rPr>
            <w:rFonts w:ascii="Cambria Math" w:hAnsi="Cambria Math" w:eastAsia="宋体" w:cs="Times New Roman"/>
            <w:color w:val="000000" w:themeColor="text1"/>
            <w:sz w:val="21"/>
            <w:szCs w:val="21"/>
            <w14:textFill>
              <w14:solidFill>
                <w14:schemeClr w14:val="tx1"/>
              </w14:solidFill>
            </w14:textFill>
            <w14:ligatures w14:val="none"/>
          </w:rPr>
          <m:t xml:space="preserve">                 Δ</m:t>
        </m:r>
        <m:r>
          <m:rPr/>
          <w:rPr>
            <w:rFonts w:ascii="Cambria Math" w:hAnsi="Cambria Math" w:eastAsia="宋体" w:cs="Times New Roman"/>
            <w:color w:val="000000" w:themeColor="text1"/>
            <w:sz w:val="21"/>
            <w:szCs w:val="21"/>
            <w14:textFill>
              <w14:solidFill>
                <w14:schemeClr w14:val="tx1"/>
              </w14:solidFill>
            </w14:textFill>
            <w14:ligatures w14:val="none"/>
          </w:rPr>
          <m:t>I</m:t>
        </m:r>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f>
          <m:fPr>
            <m:ctrlPr>
              <w:rPr>
                <w:rFonts w:ascii="Cambria Math" w:hAnsi="Cambria Math" w:eastAsia="宋体" w:cs="Times New Roman"/>
                <w:bCs/>
                <w:color w:val="000000" w:themeColor="text1"/>
                <w:sz w:val="21"/>
                <w:szCs w:val="21"/>
                <w14:textFill>
                  <w14:solidFill>
                    <w14:schemeClr w14:val="tx1"/>
                  </w14:solidFill>
                </w14:textFill>
                <w14:ligatures w14:val="none"/>
              </w:rPr>
            </m:ctrlPr>
          </m:fPr>
          <m:num>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I</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S</m:t>
                </m:r>
                <m:r>
                  <m:rPr>
                    <m:sty m:val="p"/>
                  </m:rPr>
                  <w:rPr>
                    <w:rFonts w:ascii="Cambria Math" w:hAnsi="Cambria Math" w:eastAsia="宋体" w:cs="Times New Roman"/>
                    <w:color w:val="000000" w:themeColor="text1"/>
                    <w:sz w:val="21"/>
                    <w:szCs w:val="21"/>
                    <w14:textFill>
                      <w14:solidFill>
                        <w14:schemeClr w14:val="tx1"/>
                      </w14:solidFill>
                    </w14:textFill>
                    <w14:ligatures w14:val="none"/>
                  </w:rPr>
                  <m:t>2</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r>
              <m:rPr>
                <m:sty m:val="p"/>
              </m:rPr>
              <w:rPr>
                <w:rFonts w:ascii="Cambria Math" w:hAnsi="Cambria Math" w:eastAsia="宋体" w:cs="Times New Roman"/>
                <w:color w:val="000000" w:themeColor="text1"/>
                <w:sz w:val="21"/>
                <w:szCs w:val="21"/>
                <w14:textFill>
                  <w14:solidFill>
                    <w14:schemeClr w14:val="tx1"/>
                  </w14:solidFill>
                </w14:textFill>
                <w14:ligatures w14:val="none"/>
              </w:rPr>
              <m:t>−</m:t>
            </m:r>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I</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S</m:t>
                </m:r>
                <m:r>
                  <m:rPr>
                    <m:sty m:val="p"/>
                  </m:rPr>
                  <w:rPr>
                    <w:rFonts w:ascii="Cambria Math" w:hAnsi="Cambria Math" w:eastAsia="宋体" w:cs="Times New Roman"/>
                    <w:color w:val="000000" w:themeColor="text1"/>
                    <w:sz w:val="21"/>
                    <w:szCs w:val="21"/>
                    <w14:textFill>
                      <w14:solidFill>
                        <w14:schemeClr w14:val="tx1"/>
                      </w14:solidFill>
                    </w14:textFill>
                    <w14:ligatures w14:val="none"/>
                  </w:rPr>
                  <m:t>1</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ctrlPr>
              <w:rPr>
                <w:rFonts w:ascii="Cambria Math" w:hAnsi="Cambria Math" w:eastAsia="宋体" w:cs="Times New Roman"/>
                <w:bCs/>
                <w:color w:val="000000" w:themeColor="text1"/>
                <w:sz w:val="21"/>
                <w:szCs w:val="21"/>
                <w14:textFill>
                  <w14:solidFill>
                    <w14:schemeClr w14:val="tx1"/>
                  </w14:solidFill>
                </w14:textFill>
                <w14:ligatures w14:val="none"/>
              </w:rPr>
            </m:ctrlPr>
          </m:num>
          <m:den>
            <m:sSub>
              <m:sSubPr>
                <m:ctrlPr>
                  <w:rPr>
                    <w:rFonts w:ascii="Cambria Math" w:hAnsi="Cambria Math" w:eastAsia="宋体" w:cs="Times New Roman"/>
                    <w:bCs/>
                    <w:color w:val="000000" w:themeColor="text1"/>
                    <w:sz w:val="21"/>
                    <w:szCs w:val="21"/>
                    <w14:textFill>
                      <w14:solidFill>
                        <w14:schemeClr w14:val="tx1"/>
                      </w14:solidFill>
                    </w14:textFill>
                    <w14:ligatures w14:val="none"/>
                  </w:rPr>
                </m:ctrlPr>
              </m:sSubPr>
              <m:e>
                <m:r>
                  <m:rPr/>
                  <w:rPr>
                    <w:rFonts w:ascii="Cambria Math" w:hAnsi="Cambria Math" w:eastAsia="宋体" w:cs="Times New Roman"/>
                    <w:color w:val="000000" w:themeColor="text1"/>
                    <w:sz w:val="21"/>
                    <w:szCs w:val="21"/>
                    <w14:textFill>
                      <w14:solidFill>
                        <w14:schemeClr w14:val="tx1"/>
                      </w14:solidFill>
                    </w14:textFill>
                    <w14:ligatures w14:val="none"/>
                  </w:rPr>
                  <m:t>I</m:t>
                </m:r>
                <m:ctrlPr>
                  <w:rPr>
                    <w:rFonts w:ascii="Cambria Math" w:hAnsi="Cambria Math" w:eastAsia="宋体" w:cs="Times New Roman"/>
                    <w:bCs/>
                    <w:color w:val="000000" w:themeColor="text1"/>
                    <w:sz w:val="21"/>
                    <w:szCs w:val="21"/>
                    <w14:textFill>
                      <w14:solidFill>
                        <w14:schemeClr w14:val="tx1"/>
                      </w14:solidFill>
                    </w14:textFill>
                    <w14:ligatures w14:val="none"/>
                  </w:rPr>
                </m:ctrlPr>
              </m:e>
              <m:sub>
                <m:r>
                  <m:rPr/>
                  <w:rPr>
                    <w:rFonts w:ascii="Cambria Math" w:hAnsi="Cambria Math" w:eastAsia="宋体" w:cs="Times New Roman"/>
                    <w:color w:val="000000" w:themeColor="text1"/>
                    <w:sz w:val="21"/>
                    <w:szCs w:val="21"/>
                    <w14:textFill>
                      <w14:solidFill>
                        <w14:schemeClr w14:val="tx1"/>
                      </w14:solidFill>
                    </w14:textFill>
                    <w14:ligatures w14:val="none"/>
                  </w:rPr>
                  <m:t>S</m:t>
                </m:r>
                <m:r>
                  <m:rPr>
                    <m:sty m:val="p"/>
                  </m:rPr>
                  <w:rPr>
                    <w:rFonts w:ascii="Cambria Math" w:hAnsi="Cambria Math" w:eastAsia="宋体" w:cs="Times New Roman"/>
                    <w:color w:val="000000" w:themeColor="text1"/>
                    <w:sz w:val="21"/>
                    <w:szCs w:val="21"/>
                    <w14:textFill>
                      <w14:solidFill>
                        <w14:schemeClr w14:val="tx1"/>
                      </w14:solidFill>
                    </w14:textFill>
                    <w14:ligatures w14:val="none"/>
                  </w:rPr>
                  <m:t>1</m:t>
                </m:r>
                <m:ctrlPr>
                  <w:rPr>
                    <w:rFonts w:ascii="Cambria Math" w:hAnsi="Cambria Math" w:eastAsia="宋体" w:cs="Times New Roman"/>
                    <w:bCs/>
                    <w:color w:val="000000" w:themeColor="text1"/>
                    <w:sz w:val="21"/>
                    <w:szCs w:val="21"/>
                    <w14:textFill>
                      <w14:solidFill>
                        <w14:schemeClr w14:val="tx1"/>
                      </w14:solidFill>
                    </w14:textFill>
                    <w14:ligatures w14:val="none"/>
                  </w:rPr>
                </m:ctrlPr>
              </m:sub>
            </m:sSub>
            <m:ctrlPr>
              <w:rPr>
                <w:rFonts w:ascii="Cambria Math" w:hAnsi="Cambria Math" w:eastAsia="宋体" w:cs="Times New Roman"/>
                <w:bCs/>
                <w:color w:val="000000" w:themeColor="text1"/>
                <w:sz w:val="21"/>
                <w:szCs w:val="21"/>
                <w14:textFill>
                  <w14:solidFill>
                    <w14:schemeClr w14:val="tx1"/>
                  </w14:solidFill>
                </w14:textFill>
                <w14:ligatures w14:val="none"/>
              </w:rPr>
            </m:ctrlPr>
          </m:den>
        </m:f>
        <m:r>
          <m:rPr>
            <m:sty m:val="p"/>
          </m:rPr>
          <w:rPr>
            <w:rFonts w:ascii="Cambria Math" w:hAnsi="Cambria Math" w:eastAsia="宋体" w:cs="Times New Roman"/>
            <w:color w:val="000000" w:themeColor="text1"/>
            <w:sz w:val="21"/>
            <w:szCs w:val="21"/>
            <w14:textFill>
              <w14:solidFill>
                <w14:schemeClr w14:val="tx1"/>
              </w14:solidFill>
            </w14:textFill>
            <w14:ligatures w14:val="none"/>
          </w:rPr>
          <m:t>×100%≈70.8%</m:t>
        </m:r>
      </m:oMath>
      <w:r>
        <w:rPr>
          <w:rFonts w:hint="eastAsia" w:ascii="宋体" w:hAnsi="宋体" w:eastAsia="宋体" w:cs="Times New Roman"/>
          <w:color w:val="000000" w:themeColor="text1"/>
          <w:sz w:val="21"/>
          <w:szCs w:val="21"/>
          <w14:textFill>
            <w14:solidFill>
              <w14:schemeClr w14:val="tx1"/>
            </w14:solidFill>
          </w14:textFill>
          <w14:ligatures w14:val="none"/>
        </w:rPr>
        <w:t xml:space="preserve">                   </w:t>
      </w:r>
      <w:r>
        <w:rPr>
          <w:rFonts w:hint="eastAsia" w:ascii="宋体" w:hAnsi="宋体" w:eastAsia="宋体" w:cs="Times New Roman"/>
          <w:bCs/>
          <w:color w:val="000000" w:themeColor="text1"/>
          <w:sz w:val="21"/>
          <w:szCs w:val="21"/>
          <w14:textFill>
            <w14:solidFill>
              <w14:schemeClr w14:val="tx1"/>
            </w14:solidFill>
          </w14:textFill>
          <w14:ligatures w14:val="none"/>
        </w:rPr>
        <w:t>（6）</w:t>
      </w:r>
    </w:p>
    <w:p w14:paraId="47B9CC81">
      <w:pPr>
        <w:widowControl/>
        <w:shd w:val="clear" w:color="auto" w:fill="FFFFFF"/>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ascii="宋体" w:hAnsi="宋体" w:eastAsia="宋体" w:cs="Times New Roman"/>
          <w:bCs/>
          <w:color w:val="000000" w:themeColor="text1"/>
          <w:sz w:val="21"/>
          <w:szCs w:val="21"/>
          <w14:textFill>
            <w14:solidFill>
              <w14:schemeClr w14:val="tx1"/>
            </w14:solidFill>
          </w14:textFill>
          <w14:ligatures w14:val="none"/>
        </w:rPr>
        <w:t>这一结果</w:t>
      </w:r>
      <w:r>
        <w:rPr>
          <w:rFonts w:hint="eastAsia" w:ascii="宋体" w:hAnsi="宋体" w:eastAsia="宋体" w:cs="Times New Roman"/>
          <w:bCs/>
          <w:color w:val="000000" w:themeColor="text1"/>
          <w:sz w:val="21"/>
          <w:szCs w:val="21"/>
          <w14:textFill>
            <w14:solidFill>
              <w14:schemeClr w14:val="tx1"/>
            </w14:solidFill>
          </w14:textFill>
          <w14:ligatures w14:val="none"/>
        </w:rPr>
        <w:t>显示</w:t>
      </w:r>
      <w:r>
        <w:rPr>
          <w:rFonts w:ascii="宋体" w:hAnsi="宋体" w:eastAsia="宋体" w:cs="Times New Roman"/>
          <w:bCs/>
          <w:color w:val="000000" w:themeColor="text1"/>
          <w:sz w:val="21"/>
          <w:szCs w:val="21"/>
          <w14:textFill>
            <w14:solidFill>
              <w14:schemeClr w14:val="tx1"/>
            </w14:solidFill>
          </w14:textFill>
          <w14:ligatures w14:val="none"/>
        </w:rPr>
        <w:t>，</w:t>
      </w:r>
      <w:r>
        <w:rPr>
          <w:rFonts w:hint="eastAsia" w:ascii="宋体" w:hAnsi="宋体" w:eastAsia="宋体" w:cs="Times New Roman"/>
          <w:bCs/>
          <w:color w:val="000000" w:themeColor="text1"/>
          <w:sz w:val="21"/>
          <w:szCs w:val="21"/>
          <w14:textFill>
            <w14:solidFill>
              <w14:schemeClr w14:val="tx1"/>
            </w14:solidFill>
          </w14:textFill>
          <w14:ligatures w14:val="none"/>
        </w:rPr>
        <w:t>当本研究</w:t>
      </w:r>
      <w:r>
        <w:rPr>
          <w:rFonts w:ascii="宋体" w:hAnsi="宋体" w:eastAsia="宋体" w:cs="Times New Roman"/>
          <w:bCs/>
          <w:color w:val="000000" w:themeColor="text1"/>
          <w:sz w:val="21"/>
          <w:szCs w:val="21"/>
          <w14:textFill>
            <w14:solidFill>
              <w14:schemeClr w14:val="tx1"/>
            </w14:solidFill>
          </w14:textFill>
          <w14:ligatures w14:val="none"/>
        </w:rPr>
        <w:t>数字孪生体系得以完整实现并有效运行，</w:t>
      </w:r>
      <w:r>
        <w:rPr>
          <w:rFonts w:hint="eastAsia" w:ascii="宋体" w:hAnsi="宋体" w:eastAsia="宋体" w:cs="Times New Roman"/>
          <w:bCs/>
          <w:color w:val="000000" w:themeColor="text1"/>
          <w:sz w:val="21"/>
          <w:szCs w:val="21"/>
          <w14:textFill>
            <w14:solidFill>
              <w14:schemeClr w14:val="tx1"/>
            </w14:solidFill>
          </w14:textFill>
          <w14:ligatures w14:val="none"/>
        </w:rPr>
        <w:t>理论评估或预期</w:t>
      </w:r>
      <w:r>
        <w:rPr>
          <w:rFonts w:ascii="宋体" w:hAnsi="宋体" w:eastAsia="宋体" w:cs="Times New Roman"/>
          <w:bCs/>
          <w:color w:val="000000" w:themeColor="text1"/>
          <w:sz w:val="21"/>
          <w:szCs w:val="21"/>
          <w14:textFill>
            <w14:solidFill>
              <w14:schemeClr w14:val="tx1"/>
            </w14:solidFill>
          </w14:textFill>
          <w14:ligatures w14:val="none"/>
        </w:rPr>
        <w:t>上可</w:t>
      </w:r>
      <w:r>
        <w:rPr>
          <w:rFonts w:hint="eastAsia" w:ascii="宋体" w:hAnsi="宋体" w:eastAsia="宋体" w:cs="Times New Roman"/>
          <w:bCs/>
          <w:color w:val="000000" w:themeColor="text1"/>
          <w:sz w:val="21"/>
          <w:szCs w:val="21"/>
          <w14:textFill>
            <w14:solidFill>
              <w14:schemeClr w14:val="tx1"/>
            </w14:solidFill>
          </w14:textFill>
          <w14:ligatures w14:val="none"/>
        </w:rPr>
        <w:t>实现</w:t>
      </w:r>
      <w:r>
        <w:rPr>
          <w:rFonts w:ascii="宋体" w:hAnsi="宋体" w:eastAsia="宋体" w:cs="Times New Roman"/>
          <w:bCs/>
          <w:color w:val="000000" w:themeColor="text1"/>
          <w:sz w:val="21"/>
          <w:szCs w:val="21"/>
          <w14:textFill>
            <w14:solidFill>
              <w14:schemeClr w14:val="tx1"/>
            </w14:solidFill>
          </w14:textFill>
          <w14:ligatures w14:val="none"/>
        </w:rPr>
        <w:t>怀柔区水利防灾的“四预”综合能力约70%</w:t>
      </w:r>
      <w:r>
        <w:rPr>
          <w:rFonts w:hint="eastAsia" w:ascii="宋体" w:hAnsi="宋体" w:eastAsia="宋体" w:cs="Times New Roman"/>
          <w:bCs/>
          <w:color w:val="000000" w:themeColor="text1"/>
          <w:sz w:val="21"/>
          <w:szCs w:val="21"/>
          <w14:textFill>
            <w14:solidFill>
              <w14:schemeClr w14:val="tx1"/>
            </w14:solidFill>
          </w14:textFill>
          <w14:ligatures w14:val="none"/>
        </w:rPr>
        <w:t>的</w:t>
      </w:r>
      <w:r>
        <w:rPr>
          <w:rFonts w:ascii="宋体" w:hAnsi="宋体" w:eastAsia="宋体" w:cs="Times New Roman"/>
          <w:bCs/>
          <w:color w:val="000000" w:themeColor="text1"/>
          <w:sz w:val="21"/>
          <w:szCs w:val="21"/>
          <w14:textFill>
            <w14:solidFill>
              <w14:schemeClr w14:val="tx1"/>
            </w14:solidFill>
          </w14:textFill>
          <w14:ligatures w14:val="none"/>
        </w:rPr>
        <w:t>提升。</w:t>
      </w:r>
    </w:p>
    <w:bookmarkEnd w:id="24"/>
    <w:bookmarkEnd w:id="26"/>
    <w:p w14:paraId="3DE74D40">
      <w:pPr>
        <w:pStyle w:val="3"/>
        <w:spacing w:before="0" w:after="0" w:line="240" w:lineRule="auto"/>
        <w:jc w:val="both"/>
        <w:rPr>
          <w:rFonts w:hint="eastAsia" w:ascii="宋体" w:hAnsi="宋体"/>
          <w:color w:val="000000" w:themeColor="text1"/>
          <w:sz w:val="21"/>
          <w:szCs w:val="21"/>
          <w14:textFill>
            <w14:solidFill>
              <w14:schemeClr w14:val="tx1"/>
            </w14:solidFill>
          </w14:textFill>
        </w:rPr>
      </w:pPr>
      <w:r>
        <w:rPr>
          <w:rFonts w:hint="eastAsia" w:ascii="黑体" w:hAnsi="黑体" w:eastAsia="黑体" w:cs="Times New Roman"/>
          <w:color w:val="000000" w:themeColor="text1"/>
          <w:kern w:val="44"/>
          <w:sz w:val="24"/>
          <w:szCs w:val="24"/>
          <w14:textFill>
            <w14:solidFill>
              <w14:schemeClr w14:val="tx1"/>
            </w14:solidFill>
          </w14:textFill>
          <w14:ligatures w14:val="none"/>
        </w:rPr>
        <w:t>4 讨  论</w:t>
      </w:r>
    </w:p>
    <w:p w14:paraId="6D8B68AA">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hint="eastAsia" w:ascii="黑体" w:hAnsi="黑体" w:eastAsia="黑体" w:cs="Times New Roman"/>
          <w:color w:val="000000" w:themeColor="text1"/>
          <w:sz w:val="21"/>
          <w:szCs w:val="21"/>
          <w:lang w:val="en"/>
          <w14:textFill>
            <w14:solidFill>
              <w14:schemeClr w14:val="tx1"/>
            </w14:solidFill>
          </w14:textFill>
          <w14:ligatures w14:val="none"/>
        </w:rPr>
        <w:t>4</w:t>
      </w:r>
      <w:r>
        <w:rPr>
          <w:rFonts w:ascii="黑体" w:hAnsi="黑体" w:eastAsia="黑体" w:cs="Times New Roman"/>
          <w:color w:val="000000" w:themeColor="text1"/>
          <w:sz w:val="21"/>
          <w:szCs w:val="21"/>
          <w:lang w:val="en"/>
          <w14:textFill>
            <w14:solidFill>
              <w14:schemeClr w14:val="tx1"/>
            </w14:solidFill>
          </w14:textFill>
          <w14:ligatures w14:val="none"/>
        </w:rPr>
        <w:t>.</w:t>
      </w:r>
      <w:r>
        <w:rPr>
          <w:rFonts w:ascii="黑体" w:hAnsi="黑体" w:eastAsia="黑体" w:cs="Times New Roman"/>
          <w:color w:val="000000" w:themeColor="text1"/>
          <w:sz w:val="21"/>
          <w:szCs w:val="21"/>
          <w14:textFill>
            <w14:solidFill>
              <w14:schemeClr w14:val="tx1"/>
            </w14:solidFill>
          </w14:textFill>
          <w14:ligatures w14:val="none"/>
        </w:rPr>
        <w:t xml:space="preserve">1 </w:t>
      </w:r>
      <w:r>
        <w:rPr>
          <w:rFonts w:hint="eastAsia" w:ascii="黑体" w:hAnsi="黑体" w:eastAsia="黑体" w:cs="Times New Roman"/>
          <w:color w:val="000000" w:themeColor="text1"/>
          <w:sz w:val="21"/>
          <w:szCs w:val="21"/>
          <w14:textFill>
            <w14:solidFill>
              <w14:schemeClr w14:val="tx1"/>
            </w14:solidFill>
          </w14:textFill>
          <w14:ligatures w14:val="none"/>
        </w:rPr>
        <w:t>研究区数字孪生体系构建结果分析</w:t>
      </w:r>
    </w:p>
    <w:p w14:paraId="183B287D">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怀柔区山地-平原过渡区面临的三类问题（见表1），本研究构建的数字孪生“四预”体系通过针对性设计实现了有效应对：</w:t>
      </w:r>
    </w:p>
    <w:p w14:paraId="308CF816">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（1）针对过渡区山洪内涝关联交织的问题，本系统通过构建链式耦合模型架构，能实现将山区水文模型产出的出山流量作为平原水动力模型的动态边界条件，打通“山区产流</w:t>
      </w:r>
      <w:r>
        <w:rPr>
          <w:rFonts w:hint="eastAsia" w:ascii="宋体"/>
          <w:bCs/>
          <w:color w:val="000000" w:themeColor="text1"/>
          <w:sz w:val="21"/>
          <w:szCs w:val="21"/>
          <w14:textFill>
            <w14:solidFill>
              <w14:schemeClr w14:val="tx1"/>
            </w14:solidFill>
          </w14:textFill>
        </w:rPr>
        <w:t>—</w:t>
      </w:r>
      <w:r>
        <w:rPr>
          <w:rFonts w:hint="eastAsia" w:ascii="宋体" w:hAnsi="宋体"/>
          <w:bCs/>
          <w:color w:val="000000" w:themeColor="text1"/>
          <w:sz w:val="21"/>
          <w:szCs w:val="21"/>
          <w14:textFill>
            <w14:solidFill>
              <w14:schemeClr w14:val="tx1"/>
            </w14:solidFill>
          </w14:textFill>
        </w:rPr>
        <w:t>平原淹没”的推演。同时，采用容器化微服务封装各专业模型的策略，能实现模型的即插即用。在预期效能推演复盘中，系统将快速构建并计算5～10组调度-演进耦合情景；通过“空天地”快速感知网，将预警时间从洪峰后1.5小时反转为洪峰前2小时，并通过跨层级业务协同共享模块将预警直达村级责任人，响应链条从“小时级”压缩至“分钟级”。</w:t>
      </w:r>
    </w:p>
    <w:p w14:paraId="2B163212">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2）针对区县级水利设施涉及的地理空间数据格式多样、时相不一带来的数据处理效率低、难以支撑实时计算的问题，本系统构建了轻量化数据底板搭建方法，通过高精度时空基准统一、语义驱动的关联融合、模型轻量化处理、渐进式传输与可视化以及云边端协同计算，实现多源数据的快速加载与融合，降低了约83%的渲染负载，为模型链实时驱动提供了坚实的计算基础。</w:t>
      </w:r>
    </w:p>
    <w:p w14:paraId="0D8B9A5C">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3）针对过渡区涉及山区乡镇与平原城区的跨区域协调信息传递滞后、协同困难的问题，本系统设计跨层级业务协同驱动流程引擎，建立区-市协同接口，实现市级预报驱动区级预演、区级方案反馈市级决策的双向闭环。案例推演中，跨部门协同响应时间从&gt;4小时压缩至&lt;1小时，应急资源调配精准度有效提升。</w:t>
      </w:r>
    </w:p>
    <w:p w14:paraId="3FAD6947">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hint="eastAsia" w:ascii="黑体" w:hAnsi="黑体" w:eastAsia="黑体" w:cs="Times New Roman"/>
          <w:color w:val="000000" w:themeColor="text1"/>
          <w:sz w:val="21"/>
          <w:szCs w:val="21"/>
          <w:lang w:val="en"/>
          <w14:textFill>
            <w14:solidFill>
              <w14:schemeClr w14:val="tx1"/>
            </w14:solidFill>
          </w14:textFill>
          <w14:ligatures w14:val="none"/>
        </w:rPr>
        <w:t>4</w:t>
      </w:r>
      <w:r>
        <w:rPr>
          <w:rFonts w:ascii="黑体" w:hAnsi="黑体" w:eastAsia="黑体" w:cs="Times New Roman"/>
          <w:color w:val="000000" w:themeColor="text1"/>
          <w:sz w:val="21"/>
          <w:szCs w:val="21"/>
          <w:lang w:val="en"/>
          <w14:textFill>
            <w14:solidFill>
              <w14:schemeClr w14:val="tx1"/>
            </w14:solidFill>
          </w14:textFill>
          <w14:ligatures w14:val="none"/>
        </w:rPr>
        <w:t>.</w:t>
      </w:r>
      <w:r>
        <w:rPr>
          <w:rFonts w:hint="eastAsia" w:ascii="黑体" w:hAnsi="黑体" w:eastAsia="黑体" w:cs="Times New Roman"/>
          <w:color w:val="000000" w:themeColor="text1"/>
          <w:sz w:val="21"/>
          <w:szCs w:val="21"/>
          <w14:textFill>
            <w14:solidFill>
              <w14:schemeClr w14:val="tx1"/>
            </w14:solidFill>
          </w14:textFill>
          <w14:ligatures w14:val="none"/>
        </w:rPr>
        <w:t>2</w:t>
      </w:r>
      <w:r>
        <w:rPr>
          <w:rFonts w:ascii="黑体" w:hAnsi="黑体" w:eastAsia="黑体" w:cs="Times New Roman"/>
          <w:color w:val="000000" w:themeColor="text1"/>
          <w:sz w:val="21"/>
          <w:szCs w:val="21"/>
          <w14:textFill>
            <w14:solidFill>
              <w14:schemeClr w14:val="tx1"/>
            </w14:solidFill>
          </w14:textFill>
          <w14:ligatures w14:val="none"/>
        </w:rPr>
        <w:t xml:space="preserve"> </w:t>
      </w:r>
      <w:r>
        <w:rPr>
          <w:rFonts w:hint="eastAsia" w:ascii="黑体" w:hAnsi="黑体" w:eastAsia="黑体" w:cs="Times New Roman"/>
          <w:color w:val="000000" w:themeColor="text1"/>
          <w:sz w:val="21"/>
          <w:szCs w:val="21"/>
          <w14:textFill>
            <w14:solidFill>
              <w14:schemeClr w14:val="tx1"/>
            </w14:solidFill>
          </w14:textFill>
          <w14:ligatures w14:val="none"/>
        </w:rPr>
        <w:t>与不同层级数字孪生建设模式对比</w:t>
      </w:r>
    </w:p>
    <w:p w14:paraId="7AACA8EC">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本文提出的“面向区县级山地-平原过渡区的数字孪生水利‘四预’体系”，和当下区县级智慧水利建设普遍存在的“监测系统升级”或者“业务系统集成”模式存在模式上的不同，传统方法大多关注于单一环节的自动化（自动监测报警）或者信息的平面汇聚（一张图展示），本质上属于数据堆积。同时，本研究与当前国内典型的数字孪生流域及重点工程的建设模型及内容又有着诸多差异，现有数字孪生方案多针对单一地貌单元设计：流域级系统侧重山区河道演进，但缺乏对平原城市内涝的精细刻画；重点工程系统聚焦工程范围内的防洪与安全“四预”，但难以获得上游山洪的准确输入，二者在过渡区形成了断层，缺乏端到端的整体认知。本研究能有效解决流域级-重点工程之间的数据及功能衔接问题，有着独特的研究价值，不同层级数字孪生建设模式对比分析如表</w:t>
      </w:r>
      <w:r>
        <w:rPr>
          <w:rFonts w:hint="eastAsia" w:ascii="宋体" w:hAnsi="宋体"/>
          <w:bCs/>
          <w:color w:val="000000" w:themeColor="text1"/>
          <w:sz w:val="21"/>
          <w:szCs w:val="21"/>
          <w:lang w:val="en-US" w:eastAsia="zh-CN"/>
          <w14:textFill>
            <w14:solidFill>
              <w14:schemeClr w14:val="tx1"/>
            </w14:solidFill>
          </w14:textFill>
        </w:rPr>
        <w:t>6</w:t>
      </w:r>
      <w:r>
        <w:rPr>
          <w:rFonts w:hint="eastAsia" w:ascii="宋体" w:hAnsi="宋体"/>
          <w:bCs/>
          <w:color w:val="000000" w:themeColor="text1"/>
          <w:sz w:val="21"/>
          <w:szCs w:val="21"/>
          <w14:textFill>
            <w14:solidFill>
              <w14:schemeClr w14:val="tx1"/>
            </w14:solidFill>
          </w14:textFill>
        </w:rPr>
        <w:t>所列。</w:t>
      </w:r>
    </w:p>
    <w:p w14:paraId="4CD967A9">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lang w:val="en-US" w:eastAsia="zh-CN"/>
          <w14:textFill>
            <w14:solidFill>
              <w14:schemeClr w14:val="tx1"/>
            </w14:solidFill>
          </w14:textFill>
        </w:rPr>
        <w:t>6</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不同层级数字孪生建设模式对比</w:t>
      </w:r>
    </w:p>
    <w:p w14:paraId="4B6A9709">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Table </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 xml:space="preserve">  Comparison of digital twin construction models at different levels</w:t>
      </w:r>
    </w:p>
    <w:tbl>
      <w:tblPr>
        <w:tblStyle w:val="2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46"/>
        <w:gridCol w:w="3107"/>
        <w:gridCol w:w="3869"/>
      </w:tblGrid>
      <w:tr w14:paraId="710D4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 w:type="pct"/>
            <w:tcBorders>
              <w:top w:val="single" w:color="auto" w:sz="12" w:space="0"/>
              <w:bottom w:val="single" w:color="auto" w:sz="4" w:space="0"/>
            </w:tcBorders>
            <w:vAlign w:val="center"/>
          </w:tcPr>
          <w:p w14:paraId="53310989">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对比维度</w:t>
            </w:r>
          </w:p>
        </w:tc>
        <w:tc>
          <w:tcPr>
            <w:tcW w:w="1823" w:type="pct"/>
            <w:tcBorders>
              <w:top w:val="single" w:color="auto" w:sz="12" w:space="0"/>
              <w:bottom w:val="single" w:color="auto" w:sz="4" w:space="0"/>
            </w:tcBorders>
            <w:vAlign w:val="center"/>
          </w:tcPr>
          <w:p w14:paraId="1B47C1BC">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大型流域/重点工程数字孪生</w:t>
            </w:r>
          </w:p>
        </w:tc>
        <w:tc>
          <w:tcPr>
            <w:tcW w:w="2270" w:type="pct"/>
            <w:tcBorders>
              <w:top w:val="single" w:color="auto" w:sz="12" w:space="0"/>
              <w:bottom w:val="single" w:color="auto" w:sz="4" w:space="0"/>
            </w:tcBorders>
            <w:vAlign w:val="center"/>
          </w:tcPr>
          <w:p w14:paraId="2AE01188">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区县山地-平原过渡区数字孪生</w:t>
            </w:r>
          </w:p>
        </w:tc>
      </w:tr>
      <w:tr w14:paraId="54219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 w:type="pct"/>
            <w:tcBorders>
              <w:top w:val="single" w:color="auto" w:sz="4" w:space="0"/>
            </w:tcBorders>
            <w:vAlign w:val="center"/>
          </w:tcPr>
          <w:p w14:paraId="253AC60D">
            <w:pPr>
              <w:pStyle w:val="50"/>
              <w:spacing w:line="240" w:lineRule="auto"/>
              <w:ind w:firstLine="0"/>
              <w:jc w:val="center"/>
              <w:rPr>
                <w:rFonts w:hint="eastAsia" w:ascii="宋体" w:hAnsi="宋体" w:cs="Segoe UI"/>
                <w:kern w:val="0"/>
                <w:sz w:val="15"/>
                <w:szCs w:val="15"/>
              </w:rPr>
            </w:pPr>
            <w:r>
              <w:rPr>
                <w:rFonts w:ascii="宋体" w:hAnsi="宋体" w:cs="Segoe UI"/>
                <w:kern w:val="0"/>
                <w:sz w:val="15"/>
                <w:szCs w:val="15"/>
              </w:rPr>
              <w:t>感知布设</w:t>
            </w:r>
          </w:p>
        </w:tc>
        <w:tc>
          <w:tcPr>
            <w:tcW w:w="1823" w:type="pct"/>
            <w:tcBorders>
              <w:top w:val="single" w:color="auto" w:sz="4" w:space="0"/>
            </w:tcBorders>
            <w:vAlign w:val="center"/>
          </w:tcPr>
          <w:p w14:paraId="5ACCA3C8">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高标准全覆盖，追求监测精度与密度</w:t>
            </w:r>
          </w:p>
        </w:tc>
        <w:tc>
          <w:tcPr>
            <w:tcW w:w="2270" w:type="pct"/>
            <w:tcBorders>
              <w:top w:val="single" w:color="auto" w:sz="4" w:space="0"/>
            </w:tcBorders>
            <w:vAlign w:val="center"/>
          </w:tcPr>
          <w:p w14:paraId="77B41F4C">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非均质差异化布设，山区：宏观遥感+关键锚点；平原密集物联+视频AI识别</w:t>
            </w:r>
          </w:p>
        </w:tc>
      </w:tr>
      <w:tr w14:paraId="68DE6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 w:type="pct"/>
            <w:vAlign w:val="center"/>
          </w:tcPr>
          <w:p w14:paraId="27FE22D9">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数据粒度</w:t>
            </w:r>
          </w:p>
        </w:tc>
        <w:tc>
          <w:tcPr>
            <w:tcW w:w="1823" w:type="pct"/>
            <w:vAlign w:val="center"/>
          </w:tcPr>
          <w:p w14:paraId="5B8BADF4">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高精度BIM，侧重单体工程精细化建模</w:t>
            </w:r>
          </w:p>
        </w:tc>
        <w:tc>
          <w:tcPr>
            <w:tcW w:w="2270" w:type="pct"/>
            <w:vAlign w:val="center"/>
          </w:tcPr>
          <w:p w14:paraId="189D62A7">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兼顾宏观地理场景与微观工程属性，强调多源数据融合效率</w:t>
            </w:r>
          </w:p>
        </w:tc>
      </w:tr>
      <w:tr w14:paraId="63487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907" w:type="pct"/>
            <w:vAlign w:val="center"/>
          </w:tcPr>
          <w:p w14:paraId="365169F7">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模型耦合</w:t>
            </w:r>
          </w:p>
        </w:tc>
        <w:tc>
          <w:tcPr>
            <w:tcW w:w="1823" w:type="pct"/>
            <w:vAlign w:val="center"/>
          </w:tcPr>
          <w:p w14:paraId="6C5AF95A">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流域级洪水演进模型群，侧重长距离河道演算</w:t>
            </w:r>
          </w:p>
        </w:tc>
        <w:tc>
          <w:tcPr>
            <w:tcW w:w="2270" w:type="pct"/>
            <w:vAlign w:val="center"/>
          </w:tcPr>
          <w:p w14:paraId="791CDC9D">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多尺度耦合模型链：强调山区-平原水文过程的连续性模拟，关注山洪出山后的内涝转化</w:t>
            </w:r>
          </w:p>
        </w:tc>
      </w:tr>
      <w:tr w14:paraId="47A17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 w:type="pct"/>
            <w:vAlign w:val="center"/>
          </w:tcPr>
          <w:p w14:paraId="6EA4AF74">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应用场景</w:t>
            </w:r>
          </w:p>
        </w:tc>
        <w:tc>
          <w:tcPr>
            <w:tcW w:w="1823" w:type="pct"/>
            <w:vAlign w:val="center"/>
          </w:tcPr>
          <w:p w14:paraId="3EEBF545">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流域防洪联合调度、大型水库群协同</w:t>
            </w:r>
          </w:p>
        </w:tc>
        <w:tc>
          <w:tcPr>
            <w:tcW w:w="2270" w:type="pct"/>
            <w:vAlign w:val="center"/>
          </w:tcPr>
          <w:p w14:paraId="7D2D22EB">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聚焦多级联动决策场景，支撑乡镇级预警直达、区地预演与精准预案</w:t>
            </w:r>
          </w:p>
        </w:tc>
      </w:tr>
      <w:tr w14:paraId="3B3DE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 w:type="pct"/>
            <w:tcBorders>
              <w:bottom w:val="single" w:color="auto" w:sz="12" w:space="0"/>
            </w:tcBorders>
            <w:vAlign w:val="center"/>
          </w:tcPr>
          <w:p w14:paraId="193E4A0D">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实施路径</w:t>
            </w:r>
          </w:p>
        </w:tc>
        <w:tc>
          <w:tcPr>
            <w:tcW w:w="1823" w:type="pct"/>
            <w:tcBorders>
              <w:bottom w:val="single" w:color="auto" w:sz="12" w:space="0"/>
            </w:tcBorders>
            <w:vAlign w:val="center"/>
          </w:tcPr>
          <w:p w14:paraId="05AB8C53">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高投入、短周期</w:t>
            </w:r>
          </w:p>
        </w:tc>
        <w:tc>
          <w:tcPr>
            <w:tcW w:w="2270" w:type="pct"/>
            <w:tcBorders>
              <w:bottom w:val="single" w:color="auto" w:sz="12" w:space="0"/>
            </w:tcBorders>
            <w:vAlign w:val="center"/>
          </w:tcPr>
          <w:p w14:paraId="2132F717">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分步实施、急用先行</w:t>
            </w:r>
          </w:p>
        </w:tc>
      </w:tr>
    </w:tbl>
    <w:p w14:paraId="505CF7BF">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对比分析可知，本文研究的面向区县级山地-平原过渡区的数字孪生水利“四预”体系构建了“非均质基础设施布设-多源数据轻量化融合-模型库微服务化封装-跨层级联合调度应用”体系，创新点在于：在水文感知布设维度，构建了非均质差异化监测感知网络，在确保精确捕捉洪灾险情时确保关键数据链路的畅通；在数据粒度与模型耦合维度，用统一的数据底板+微服务模型库把分散的“信息孤岛”重新组织成可计算、可模拟的整体，提升了实现各类场景的轻量化加载效率，降低了资源占用率达83%；在应用场景维度，将“预演”这个离线且专家特有的能力变成在线、可重复、标准化的业务流程，协同性上，借助内置的跨层级业务逻辑给“上下联动”赋予了自定义的协同配合程序。</w:t>
      </w:r>
    </w:p>
    <w:p w14:paraId="19994AA2">
      <w:pPr>
        <w:pStyle w:val="4"/>
        <w:spacing w:before="0" w:after="0" w:line="240" w:lineRule="auto"/>
        <w:jc w:val="both"/>
        <w:rPr>
          <w:rFonts w:hint="eastAsia" w:ascii="黑体" w:hAnsi="黑体" w:eastAsia="黑体" w:cs="Times New Roman"/>
          <w:color w:val="000000" w:themeColor="text1"/>
          <w:sz w:val="21"/>
          <w:szCs w:val="21"/>
          <w14:textFill>
            <w14:solidFill>
              <w14:schemeClr w14:val="tx1"/>
            </w14:solidFill>
          </w14:textFill>
          <w14:ligatures w14:val="none"/>
        </w:rPr>
      </w:pPr>
      <w:r>
        <w:rPr>
          <w:rFonts w:hint="eastAsia" w:ascii="黑体" w:hAnsi="黑体" w:eastAsia="黑体" w:cs="Times New Roman"/>
          <w:color w:val="000000" w:themeColor="text1"/>
          <w:sz w:val="21"/>
          <w:szCs w:val="21"/>
          <w:lang w:val="en"/>
          <w14:textFill>
            <w14:solidFill>
              <w14:schemeClr w14:val="tx1"/>
            </w14:solidFill>
          </w14:textFill>
          <w14:ligatures w14:val="none"/>
        </w:rPr>
        <w:t>4</w:t>
      </w:r>
      <w:r>
        <w:rPr>
          <w:rFonts w:ascii="黑体" w:hAnsi="黑体" w:eastAsia="黑体" w:cs="Times New Roman"/>
          <w:color w:val="000000" w:themeColor="text1"/>
          <w:sz w:val="21"/>
          <w:szCs w:val="21"/>
          <w:lang w:val="en"/>
          <w14:textFill>
            <w14:solidFill>
              <w14:schemeClr w14:val="tx1"/>
            </w14:solidFill>
          </w14:textFill>
          <w14:ligatures w14:val="none"/>
        </w:rPr>
        <w:t>.</w:t>
      </w:r>
      <w:r>
        <w:rPr>
          <w:rFonts w:hint="eastAsia" w:ascii="黑体" w:hAnsi="黑体" w:eastAsia="黑体" w:cs="Times New Roman"/>
          <w:color w:val="000000" w:themeColor="text1"/>
          <w:sz w:val="21"/>
          <w:szCs w:val="21"/>
          <w14:textFill>
            <w14:solidFill>
              <w14:schemeClr w14:val="tx1"/>
            </w14:solidFill>
          </w14:textFill>
          <w14:ligatures w14:val="none"/>
        </w:rPr>
        <w:t>3</w:t>
      </w:r>
      <w:r>
        <w:rPr>
          <w:rFonts w:ascii="黑体" w:hAnsi="黑体" w:eastAsia="黑体" w:cs="Times New Roman"/>
          <w:color w:val="000000" w:themeColor="text1"/>
          <w:sz w:val="21"/>
          <w:szCs w:val="21"/>
          <w14:textFill>
            <w14:solidFill>
              <w14:schemeClr w14:val="tx1"/>
            </w14:solidFill>
          </w14:textFill>
          <w14:ligatures w14:val="none"/>
        </w:rPr>
        <w:t xml:space="preserve"> </w:t>
      </w:r>
      <w:r>
        <w:rPr>
          <w:rFonts w:hint="eastAsia" w:ascii="黑体" w:hAnsi="黑体" w:eastAsia="黑体" w:cs="Times New Roman"/>
          <w:color w:val="000000" w:themeColor="text1"/>
          <w:sz w:val="21"/>
          <w:szCs w:val="21"/>
          <w14:textFill>
            <w14:solidFill>
              <w14:schemeClr w14:val="tx1"/>
            </w14:solidFill>
          </w14:textFill>
          <w14:ligatures w14:val="none"/>
        </w:rPr>
        <w:t>典型案例推演</w:t>
      </w:r>
    </w:p>
    <w:p w14:paraId="28D0E013">
      <w:pPr>
        <w:spacing w:after="0" w:line="240" w:lineRule="auto"/>
        <w:ind w:firstLine="420" w:firstLineChars="200"/>
        <w:rPr>
          <w:rFonts w:hint="eastAsia" w:ascii="宋体" w:hAnsi="宋体" w:eastAsia="宋体" w:cs="Times New Roman"/>
          <w:bCs/>
          <w:color w:val="000000" w:themeColor="text1"/>
          <w:sz w:val="21"/>
          <w:szCs w:val="21"/>
          <w14:textFill>
            <w14:solidFill>
              <w14:schemeClr w14:val="tx1"/>
            </w14:solidFill>
          </w14:textFill>
          <w14:ligatures w14:val="none"/>
        </w:rPr>
      </w:pPr>
      <w:r>
        <w:rPr>
          <w:rFonts w:ascii="宋体" w:hAnsi="宋体" w:eastAsia="宋体" w:cs="Times New Roman"/>
          <w:bCs/>
          <w:color w:val="000000" w:themeColor="text1"/>
          <w:sz w:val="21"/>
          <w:szCs w:val="21"/>
          <w14:textFill>
            <w14:solidFill>
              <w14:schemeClr w14:val="tx1"/>
            </w14:solidFill>
          </w14:textFill>
          <w14:ligatures w14:val="none"/>
        </w:rPr>
        <w:t>以</w:t>
      </w:r>
      <w:r>
        <w:rPr>
          <w:rFonts w:hint="eastAsia" w:ascii="宋体" w:hAnsi="宋体" w:eastAsia="宋体" w:cs="Times New Roman"/>
          <w:bCs/>
          <w:color w:val="000000" w:themeColor="text1"/>
          <w:sz w:val="21"/>
          <w:szCs w:val="21"/>
          <w14:textFill>
            <w14:solidFill>
              <w14:schemeClr w14:val="tx1"/>
            </w14:solidFill>
          </w14:textFill>
          <w14:ligatures w14:val="none"/>
        </w:rPr>
        <w:t>海河流域某区域性大洪水</w:t>
      </w:r>
      <w:r>
        <w:rPr>
          <w:rFonts w:ascii="宋体" w:hAnsi="宋体" w:eastAsia="宋体" w:cs="Times New Roman"/>
          <w:bCs/>
          <w:color w:val="000000" w:themeColor="text1"/>
          <w:sz w:val="21"/>
          <w:szCs w:val="21"/>
          <w14:textFill>
            <w14:solidFill>
              <w14:schemeClr w14:val="tx1"/>
            </w14:solidFill>
          </w14:textFill>
          <w14:ligatures w14:val="none"/>
        </w:rPr>
        <w:t>为背景，模拟系统应对</w:t>
      </w:r>
      <w:r>
        <w:rPr>
          <w:rFonts w:hint="eastAsia" w:ascii="宋体" w:hAnsi="宋体" w:eastAsia="宋体" w:cs="Times New Roman"/>
          <w:bCs/>
          <w:color w:val="000000" w:themeColor="text1"/>
          <w:sz w:val="21"/>
          <w:szCs w:val="21"/>
          <w14:textFill>
            <w14:solidFill>
              <w14:schemeClr w14:val="tx1"/>
            </w14:solidFill>
          </w14:textFill>
          <w14:ligatures w14:val="none"/>
        </w:rPr>
        <w:t>分析过程</w:t>
      </w:r>
      <w:r>
        <w:rPr>
          <w:rFonts w:hint="eastAsia" w:ascii="宋体" w:hAnsi="宋体" w:eastAsia="宋体" w:cs="Times New Roman"/>
          <w:bCs/>
          <w:color w:val="000000" w:themeColor="text1"/>
          <w:sz w:val="21"/>
          <w:szCs w:val="21"/>
          <w:lang w:eastAsia="zh-CN"/>
          <w14:textFill>
            <w14:solidFill>
              <w14:schemeClr w14:val="tx1"/>
            </w14:solidFill>
          </w14:textFill>
          <w14:ligatures w14:val="none"/>
        </w:rPr>
        <w:t>如</w:t>
      </w:r>
      <w:r>
        <w:rPr>
          <w:rFonts w:hint="eastAsia" w:ascii="宋体" w:hAnsi="宋体" w:eastAsia="宋体" w:cs="Times New Roman"/>
          <w:bCs/>
          <w:color w:val="000000" w:themeColor="text1"/>
          <w:sz w:val="21"/>
          <w:szCs w:val="21"/>
          <w14:textFill>
            <w14:solidFill>
              <w14:schemeClr w14:val="tx1"/>
            </w14:solidFill>
          </w14:textFill>
          <w14:ligatures w14:val="none"/>
        </w:rPr>
        <w:t>表</w:t>
      </w:r>
      <w:r>
        <w:rPr>
          <w:rFonts w:hint="eastAsia" w:ascii="宋体" w:hAnsi="宋体" w:eastAsia="宋体" w:cs="Times New Roman"/>
          <w:bCs/>
          <w:color w:val="000000" w:themeColor="text1"/>
          <w:sz w:val="21"/>
          <w:szCs w:val="21"/>
          <w:lang w:val="en-US" w:eastAsia="zh-CN"/>
          <w14:textFill>
            <w14:solidFill>
              <w14:schemeClr w14:val="tx1"/>
            </w14:solidFill>
          </w14:textFill>
          <w14:ligatures w14:val="none"/>
        </w:rPr>
        <w:t>7所列</w:t>
      </w:r>
      <w:r>
        <w:rPr>
          <w:rFonts w:hint="eastAsia" w:ascii="宋体" w:hAnsi="宋体" w:eastAsia="宋体" w:cs="Times New Roman"/>
          <w:bCs/>
          <w:color w:val="000000" w:themeColor="text1"/>
          <w:sz w:val="21"/>
          <w:szCs w:val="21"/>
          <w14:textFill>
            <w14:solidFill>
              <w14:schemeClr w14:val="tx1"/>
            </w14:solidFill>
          </w14:textFill>
          <w14:ligatures w14:val="none"/>
        </w:rPr>
        <w:t>。</w:t>
      </w:r>
    </w:p>
    <w:p w14:paraId="70310DB8">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bookmarkStart w:id="27" w:name="OLE_LINK37"/>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lang w:val="en-US" w:eastAsia="zh-CN"/>
          <w14:textFill>
            <w14:solidFill>
              <w14:schemeClr w14:val="tx1"/>
            </w14:solidFill>
          </w14:textFill>
        </w:rPr>
        <w:t>7</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本研究框架下模拟系统应对分析</w:t>
      </w:r>
    </w:p>
    <w:bookmarkEnd w:id="27"/>
    <w:p w14:paraId="24E83D5D">
      <w:pPr>
        <w:pStyle w:val="46"/>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Table</w:t>
      </w:r>
      <w:r>
        <w:rPr>
          <w:rFonts w:hint="eastAsia" w:ascii="Times New Roman" w:hAnsi="Times New Roman" w:cs="Times New Roman"/>
          <w:color w:val="000000" w:themeColor="text1"/>
          <w:lang w:val="en-US" w:eastAsia="zh-CN"/>
          <w14:textFill>
            <w14:solidFill>
              <w14:schemeClr w14:val="tx1"/>
            </w14:solidFill>
          </w14:textFill>
        </w:rPr>
        <w:t xml:space="preserve"> 7</w:t>
      </w:r>
      <w:r>
        <w:rPr>
          <w:rFonts w:hint="eastAsia" w:ascii="Times New Roman" w:hAnsi="Times New Roman" w:cs="Times New Roman"/>
          <w:color w:val="000000" w:themeColor="text1"/>
          <w14:textFill>
            <w14:solidFill>
              <w14:schemeClr w14:val="tx1"/>
            </w14:solidFill>
          </w14:textFill>
        </w:rPr>
        <w:t xml:space="preserve">  Analysis of simulation system response under framework of this study</w:t>
      </w:r>
    </w:p>
    <w:tbl>
      <w:tblPr>
        <w:tblStyle w:val="20"/>
        <w:tblW w:w="5058" w:type="pct"/>
        <w:tblInd w:w="0" w:type="dxa"/>
        <w:tblLayout w:type="autofit"/>
        <w:tblCellMar>
          <w:top w:w="15" w:type="dxa"/>
          <w:left w:w="15" w:type="dxa"/>
          <w:bottom w:w="15" w:type="dxa"/>
          <w:right w:w="15" w:type="dxa"/>
        </w:tblCellMar>
      </w:tblPr>
      <w:tblGrid>
        <w:gridCol w:w="788"/>
        <w:gridCol w:w="3319"/>
        <w:gridCol w:w="4538"/>
      </w:tblGrid>
      <w:tr w14:paraId="29A3FA75">
        <w:tblPrEx>
          <w:tblCellMar>
            <w:top w:w="15" w:type="dxa"/>
            <w:left w:w="15" w:type="dxa"/>
            <w:bottom w:w="15" w:type="dxa"/>
            <w:right w:w="15" w:type="dxa"/>
          </w:tblCellMar>
        </w:tblPrEx>
        <w:trPr>
          <w:trHeight w:val="225" w:hRule="atLeast"/>
          <w:tblHeader/>
        </w:trPr>
        <w:tc>
          <w:tcPr>
            <w:tcW w:w="0" w:type="auto"/>
            <w:tcBorders>
              <w:top w:val="single" w:color="auto" w:sz="12" w:space="0"/>
              <w:bottom w:val="single" w:color="auto" w:sz="4" w:space="0"/>
            </w:tcBorders>
            <w:tcMar>
              <w:top w:w="150" w:type="dxa"/>
              <w:left w:w="0" w:type="dxa"/>
              <w:bottom w:w="150" w:type="dxa"/>
              <w:right w:w="240" w:type="dxa"/>
            </w:tcMar>
            <w:vAlign w:val="center"/>
          </w:tcPr>
          <w:p w14:paraId="7C86D373">
            <w:pPr>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时间</w:t>
            </w:r>
          </w:p>
        </w:tc>
        <w:tc>
          <w:tcPr>
            <w:tcW w:w="0" w:type="auto"/>
            <w:tcBorders>
              <w:top w:val="single" w:color="auto" w:sz="12" w:space="0"/>
              <w:bottom w:val="single" w:color="auto" w:sz="4" w:space="0"/>
            </w:tcBorders>
            <w:tcMar>
              <w:top w:w="150" w:type="dxa"/>
              <w:left w:w="240" w:type="dxa"/>
              <w:bottom w:w="150" w:type="dxa"/>
              <w:right w:w="240" w:type="dxa"/>
            </w:tcMar>
            <w:vAlign w:val="center"/>
          </w:tcPr>
          <w:p w14:paraId="5B6AEB98">
            <w:pPr>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系统响应</w:t>
            </w:r>
          </w:p>
          <w:p w14:paraId="2FDD1A22">
            <w:pPr>
              <w:spacing w:after="0" w:line="240" w:lineRule="auto"/>
              <w:jc w:val="center"/>
              <w:rPr>
                <w:rFonts w:hint="eastAsia" w:ascii="宋体" w:hAnsi="宋体" w:eastAsia="宋体" w:cs="Segoe UI"/>
                <w:b/>
                <w:bCs/>
                <w:kern w:val="0"/>
                <w:sz w:val="15"/>
                <w:szCs w:val="15"/>
                <w14:ligatures w14:val="none"/>
              </w:rPr>
            </w:pPr>
            <w:r>
              <w:rPr>
                <w:rFonts w:hint="eastAsia" w:ascii="宋体" w:hAnsi="宋体" w:eastAsia="宋体" w:cs="Segoe UI"/>
                <w:b/>
                <w:bCs/>
                <w:kern w:val="0"/>
                <w:sz w:val="15"/>
                <w:szCs w:val="15"/>
                <w14:ligatures w14:val="none"/>
              </w:rPr>
              <w:t>（表中相关数据为预期模拟值）</w:t>
            </w:r>
          </w:p>
        </w:tc>
        <w:tc>
          <w:tcPr>
            <w:tcW w:w="0" w:type="auto"/>
            <w:tcBorders>
              <w:top w:val="single" w:color="auto" w:sz="12" w:space="0"/>
              <w:bottom w:val="single" w:color="auto" w:sz="4" w:space="0"/>
            </w:tcBorders>
            <w:tcMar>
              <w:top w:w="150" w:type="dxa"/>
              <w:left w:w="240" w:type="dxa"/>
              <w:bottom w:w="150" w:type="dxa"/>
              <w:right w:w="240" w:type="dxa"/>
            </w:tcMar>
            <w:vAlign w:val="center"/>
          </w:tcPr>
          <w:p w14:paraId="5040641D">
            <w:pPr>
              <w:spacing w:after="0" w:line="240" w:lineRule="auto"/>
              <w:jc w:val="center"/>
              <w:rPr>
                <w:rFonts w:hint="eastAsia" w:ascii="宋体" w:hAnsi="宋体" w:eastAsia="宋体" w:cs="Segoe UI"/>
                <w:b/>
                <w:bCs/>
                <w:kern w:val="0"/>
                <w:sz w:val="15"/>
                <w:szCs w:val="15"/>
                <w14:ligatures w14:val="none"/>
              </w:rPr>
            </w:pPr>
            <w:r>
              <w:rPr>
                <w:rFonts w:ascii="宋体" w:hAnsi="宋体" w:eastAsia="宋体" w:cs="Segoe UI"/>
                <w:b/>
                <w:bCs/>
                <w:kern w:val="0"/>
                <w:sz w:val="15"/>
                <w:szCs w:val="15"/>
                <w14:ligatures w14:val="none"/>
              </w:rPr>
              <w:t>措施与成效</w:t>
            </w:r>
          </w:p>
          <w:p w14:paraId="514D9D9A">
            <w:pPr>
              <w:spacing w:after="0" w:line="240" w:lineRule="auto"/>
              <w:jc w:val="center"/>
              <w:rPr>
                <w:rFonts w:hint="eastAsia" w:ascii="宋体" w:hAnsi="宋体" w:eastAsia="宋体" w:cs="Segoe UI"/>
                <w:b/>
                <w:bCs/>
                <w:kern w:val="0"/>
                <w:sz w:val="15"/>
                <w:szCs w:val="15"/>
                <w14:ligatures w14:val="none"/>
              </w:rPr>
            </w:pPr>
            <w:r>
              <w:rPr>
                <w:rFonts w:hint="eastAsia" w:ascii="宋体" w:hAnsi="宋体" w:eastAsia="宋体" w:cs="Segoe UI"/>
                <w:b/>
                <w:bCs/>
                <w:kern w:val="0"/>
                <w:sz w:val="15"/>
                <w:szCs w:val="15"/>
                <w14:ligatures w14:val="none"/>
              </w:rPr>
              <w:t>（表中</w:t>
            </w:r>
            <w:bookmarkStart w:id="28" w:name="OLE_LINK38"/>
            <w:r>
              <w:rPr>
                <w:rFonts w:hint="eastAsia" w:ascii="宋体" w:hAnsi="宋体" w:eastAsia="宋体" w:cs="Segoe UI"/>
                <w:b/>
                <w:bCs/>
                <w:kern w:val="0"/>
                <w:sz w:val="15"/>
                <w:szCs w:val="15"/>
                <w14:ligatures w14:val="none"/>
              </w:rPr>
              <w:t>相关</w:t>
            </w:r>
            <w:bookmarkEnd w:id="28"/>
            <w:r>
              <w:rPr>
                <w:rFonts w:hint="eastAsia" w:ascii="宋体" w:hAnsi="宋体" w:eastAsia="宋体" w:cs="Segoe UI"/>
                <w:b/>
                <w:bCs/>
                <w:kern w:val="0"/>
                <w:sz w:val="15"/>
                <w:szCs w:val="15"/>
                <w14:ligatures w14:val="none"/>
              </w:rPr>
              <w:t>数据为预期模拟值）</w:t>
            </w:r>
          </w:p>
        </w:tc>
      </w:tr>
      <w:tr w14:paraId="71E4E0E0">
        <w:tblPrEx>
          <w:tblCellMar>
            <w:top w:w="15" w:type="dxa"/>
            <w:left w:w="15" w:type="dxa"/>
            <w:bottom w:w="15" w:type="dxa"/>
            <w:right w:w="15" w:type="dxa"/>
          </w:tblCellMar>
        </w:tblPrEx>
        <w:trPr>
          <w:trHeight w:val="145" w:hRule="atLeast"/>
        </w:trPr>
        <w:tc>
          <w:tcPr>
            <w:tcW w:w="0" w:type="auto"/>
            <w:tcBorders>
              <w:top w:val="single" w:color="auto" w:sz="4" w:space="0"/>
            </w:tcBorders>
            <w:tcMar>
              <w:top w:w="150" w:type="dxa"/>
              <w:left w:w="0" w:type="dxa"/>
              <w:bottom w:w="150" w:type="dxa"/>
              <w:right w:w="240" w:type="dxa"/>
            </w:tcMar>
            <w:vAlign w:val="center"/>
          </w:tcPr>
          <w:p w14:paraId="12CC285C">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08:00</w:t>
            </w:r>
          </w:p>
        </w:tc>
        <w:tc>
          <w:tcPr>
            <w:tcW w:w="0" w:type="auto"/>
            <w:tcBorders>
              <w:top w:val="single" w:color="auto" w:sz="4" w:space="0"/>
            </w:tcBorders>
            <w:tcMar>
              <w:top w:w="150" w:type="dxa"/>
              <w:left w:w="240" w:type="dxa"/>
              <w:bottom w:w="150" w:type="dxa"/>
              <w:right w:w="240" w:type="dxa"/>
            </w:tcMar>
            <w:vAlign w:val="center"/>
          </w:tcPr>
          <w:p w14:paraId="3D34FA55">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接入市级雷达预报，识别强降雨</w:t>
            </w:r>
          </w:p>
        </w:tc>
        <w:tc>
          <w:tcPr>
            <w:tcW w:w="0" w:type="auto"/>
            <w:tcBorders>
              <w:top w:val="single" w:color="auto" w:sz="4" w:space="0"/>
            </w:tcBorders>
            <w:tcMar>
              <w:top w:w="150" w:type="dxa"/>
              <w:left w:w="240" w:type="dxa"/>
              <w:bottom w:w="150" w:type="dxa"/>
              <w:right w:w="0" w:type="dxa"/>
            </w:tcMar>
            <w:vAlign w:val="center"/>
          </w:tcPr>
          <w:p w14:paraId="34746F76">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提前6小时启动应急</w:t>
            </w:r>
          </w:p>
        </w:tc>
      </w:tr>
      <w:tr w14:paraId="3154D6B1">
        <w:tblPrEx>
          <w:tblCellMar>
            <w:top w:w="15" w:type="dxa"/>
            <w:left w:w="15" w:type="dxa"/>
            <w:bottom w:w="15" w:type="dxa"/>
            <w:right w:w="15" w:type="dxa"/>
          </w:tblCellMar>
        </w:tblPrEx>
        <w:trPr>
          <w:trHeight w:val="20" w:hRule="atLeast"/>
        </w:trPr>
        <w:tc>
          <w:tcPr>
            <w:tcW w:w="0" w:type="auto"/>
            <w:tcMar>
              <w:top w:w="150" w:type="dxa"/>
              <w:left w:w="0" w:type="dxa"/>
              <w:bottom w:w="150" w:type="dxa"/>
              <w:right w:w="240" w:type="dxa"/>
            </w:tcMar>
            <w:vAlign w:val="center"/>
          </w:tcPr>
          <w:p w14:paraId="7493D780">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10:00</w:t>
            </w:r>
          </w:p>
        </w:tc>
        <w:tc>
          <w:tcPr>
            <w:tcW w:w="0" w:type="auto"/>
            <w:tcMar>
              <w:top w:w="150" w:type="dxa"/>
              <w:left w:w="240" w:type="dxa"/>
              <w:bottom w:w="150" w:type="dxa"/>
              <w:right w:w="240" w:type="dxa"/>
            </w:tcMar>
            <w:vAlign w:val="center"/>
          </w:tcPr>
          <w:p w14:paraId="66BF3984">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山区水文模型预测断面洪峰</w:t>
            </w:r>
            <w:r>
              <w:rPr>
                <w:rFonts w:hint="eastAsia" w:ascii="宋体" w:hAnsi="宋体" w:eastAsia="宋体" w:cs="Segoe UI"/>
                <w:kern w:val="0"/>
                <w:sz w:val="15"/>
                <w:szCs w:val="15"/>
                <w14:ligatures w14:val="none"/>
              </w:rPr>
              <w:t>流量</w:t>
            </w:r>
          </w:p>
        </w:tc>
        <w:tc>
          <w:tcPr>
            <w:tcW w:w="0" w:type="auto"/>
            <w:tcMar>
              <w:top w:w="150" w:type="dxa"/>
              <w:left w:w="240" w:type="dxa"/>
              <w:bottom w:w="150" w:type="dxa"/>
              <w:right w:w="0" w:type="dxa"/>
            </w:tcMar>
            <w:vAlign w:val="center"/>
          </w:tcPr>
          <w:p w14:paraId="510E6C12">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向3个村发布橙色预警，提前2小时完成转移准备</w:t>
            </w:r>
          </w:p>
        </w:tc>
      </w:tr>
      <w:tr w14:paraId="49CB9C5E">
        <w:tblPrEx>
          <w:tblCellMar>
            <w:top w:w="15" w:type="dxa"/>
            <w:left w:w="15" w:type="dxa"/>
            <w:bottom w:w="15" w:type="dxa"/>
            <w:right w:w="15" w:type="dxa"/>
          </w:tblCellMar>
        </w:tblPrEx>
        <w:trPr>
          <w:trHeight w:val="20" w:hRule="atLeast"/>
        </w:trPr>
        <w:tc>
          <w:tcPr>
            <w:tcW w:w="0" w:type="auto"/>
            <w:tcMar>
              <w:top w:w="150" w:type="dxa"/>
              <w:left w:w="0" w:type="dxa"/>
              <w:bottom w:w="150" w:type="dxa"/>
              <w:right w:w="240" w:type="dxa"/>
            </w:tcMar>
            <w:vAlign w:val="center"/>
          </w:tcPr>
          <w:p w14:paraId="1EBD0A36">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12:00</w:t>
            </w:r>
          </w:p>
        </w:tc>
        <w:tc>
          <w:tcPr>
            <w:tcW w:w="0" w:type="auto"/>
            <w:tcMar>
              <w:top w:w="150" w:type="dxa"/>
              <w:left w:w="240" w:type="dxa"/>
              <w:bottom w:w="150" w:type="dxa"/>
              <w:right w:w="240" w:type="dxa"/>
            </w:tcMar>
            <w:vAlign w:val="center"/>
          </w:tcPr>
          <w:p w14:paraId="553D7F26">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接入</w:t>
            </w:r>
            <w:r>
              <w:rPr>
                <w:rFonts w:hint="eastAsia" w:ascii="宋体" w:hAnsi="宋体" w:eastAsia="宋体" w:cs="Segoe UI"/>
                <w:kern w:val="0"/>
                <w:sz w:val="15"/>
                <w:szCs w:val="15"/>
                <w14:ligatures w14:val="none"/>
              </w:rPr>
              <w:t>怀柔</w:t>
            </w:r>
            <w:r>
              <w:rPr>
                <w:rFonts w:ascii="宋体" w:hAnsi="宋体" w:eastAsia="宋体" w:cs="Segoe UI"/>
                <w:kern w:val="0"/>
                <w:sz w:val="15"/>
                <w:szCs w:val="15"/>
                <w14:ligatures w14:val="none"/>
              </w:rPr>
              <w:t>水库共享泄洪方案</w:t>
            </w:r>
          </w:p>
        </w:tc>
        <w:tc>
          <w:tcPr>
            <w:tcW w:w="0" w:type="auto"/>
            <w:tcMar>
              <w:top w:w="150" w:type="dxa"/>
              <w:left w:w="240" w:type="dxa"/>
              <w:bottom w:w="150" w:type="dxa"/>
              <w:right w:w="0" w:type="dxa"/>
            </w:tcMar>
            <w:vAlign w:val="center"/>
          </w:tcPr>
          <w:p w14:paraId="3343C439">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平原模型预演出5处漫溢风险点</w:t>
            </w:r>
          </w:p>
        </w:tc>
      </w:tr>
      <w:tr w14:paraId="137714D1">
        <w:tblPrEx>
          <w:tblCellMar>
            <w:top w:w="15" w:type="dxa"/>
            <w:left w:w="15" w:type="dxa"/>
            <w:bottom w:w="15" w:type="dxa"/>
            <w:right w:w="15" w:type="dxa"/>
          </w:tblCellMar>
        </w:tblPrEx>
        <w:trPr>
          <w:trHeight w:val="153" w:hRule="atLeast"/>
        </w:trPr>
        <w:tc>
          <w:tcPr>
            <w:tcW w:w="0" w:type="auto"/>
            <w:tcMar>
              <w:top w:w="150" w:type="dxa"/>
              <w:left w:w="0" w:type="dxa"/>
              <w:bottom w:w="150" w:type="dxa"/>
              <w:right w:w="240" w:type="dxa"/>
            </w:tcMar>
            <w:vAlign w:val="center"/>
          </w:tcPr>
          <w:p w14:paraId="233A9DF0">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14:00</w:t>
            </w:r>
          </w:p>
        </w:tc>
        <w:tc>
          <w:tcPr>
            <w:tcW w:w="0" w:type="auto"/>
            <w:tcMar>
              <w:top w:w="150" w:type="dxa"/>
              <w:left w:w="240" w:type="dxa"/>
              <w:bottom w:w="150" w:type="dxa"/>
              <w:right w:w="240" w:type="dxa"/>
            </w:tcMar>
            <w:vAlign w:val="center"/>
          </w:tcPr>
          <w:p w14:paraId="1AC9C739">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比选5种调度方案</w:t>
            </w:r>
          </w:p>
        </w:tc>
        <w:tc>
          <w:tcPr>
            <w:tcW w:w="0" w:type="auto"/>
            <w:tcMar>
              <w:top w:w="150" w:type="dxa"/>
              <w:left w:w="240" w:type="dxa"/>
              <w:bottom w:w="150" w:type="dxa"/>
              <w:right w:w="0" w:type="dxa"/>
            </w:tcMar>
            <w:vAlign w:val="center"/>
          </w:tcPr>
          <w:p w14:paraId="49EC90AD">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选定“预泄”最优方案，预计减少淹没28%</w:t>
            </w:r>
          </w:p>
        </w:tc>
      </w:tr>
      <w:tr w14:paraId="76F99C28">
        <w:tblPrEx>
          <w:tblCellMar>
            <w:top w:w="15" w:type="dxa"/>
            <w:left w:w="15" w:type="dxa"/>
            <w:bottom w:w="15" w:type="dxa"/>
            <w:right w:w="15" w:type="dxa"/>
          </w:tblCellMar>
        </w:tblPrEx>
        <w:trPr>
          <w:trHeight w:val="239" w:hRule="atLeast"/>
        </w:trPr>
        <w:tc>
          <w:tcPr>
            <w:tcW w:w="0" w:type="auto"/>
            <w:tcMar>
              <w:top w:w="150" w:type="dxa"/>
              <w:left w:w="0" w:type="dxa"/>
              <w:bottom w:w="150" w:type="dxa"/>
              <w:right w:w="240" w:type="dxa"/>
            </w:tcMar>
            <w:vAlign w:val="center"/>
          </w:tcPr>
          <w:p w14:paraId="5A6652D7">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16:00</w:t>
            </w:r>
          </w:p>
        </w:tc>
        <w:tc>
          <w:tcPr>
            <w:tcW w:w="0" w:type="auto"/>
            <w:tcMar>
              <w:top w:w="150" w:type="dxa"/>
              <w:left w:w="240" w:type="dxa"/>
              <w:bottom w:w="150" w:type="dxa"/>
              <w:right w:w="240" w:type="dxa"/>
            </w:tcMar>
            <w:vAlign w:val="center"/>
          </w:tcPr>
          <w:p w14:paraId="2284F5CC">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预警精准推送至村、社区</w:t>
            </w:r>
          </w:p>
        </w:tc>
        <w:tc>
          <w:tcPr>
            <w:tcW w:w="0" w:type="auto"/>
            <w:tcMar>
              <w:top w:w="150" w:type="dxa"/>
              <w:left w:w="240" w:type="dxa"/>
              <w:bottom w:w="150" w:type="dxa"/>
              <w:right w:w="0" w:type="dxa"/>
            </w:tcMar>
            <w:vAlign w:val="center"/>
          </w:tcPr>
          <w:p w14:paraId="61D657F7">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组织转移</w:t>
            </w:r>
            <w:r>
              <w:rPr>
                <w:rFonts w:hint="eastAsia" w:ascii="宋体" w:hAnsi="宋体" w:eastAsia="宋体" w:cs="Segoe UI"/>
                <w:kern w:val="0"/>
                <w:sz w:val="15"/>
                <w:szCs w:val="15"/>
                <w14:ligatures w14:val="none"/>
              </w:rPr>
              <w:t>0.8</w:t>
            </w:r>
            <w:r>
              <w:rPr>
                <w:rFonts w:ascii="宋体" w:hAnsi="宋体" w:eastAsia="宋体" w:cs="Segoe UI"/>
                <w:kern w:val="0"/>
                <w:sz w:val="15"/>
                <w:szCs w:val="15"/>
                <w14:ligatures w14:val="none"/>
              </w:rPr>
              <w:t>万人，转移时间从4小时缩至</w:t>
            </w:r>
            <w:r>
              <w:rPr>
                <w:rFonts w:hint="eastAsia" w:ascii="宋体" w:hAnsi="宋体" w:eastAsia="宋体" w:cs="Segoe UI"/>
                <w:kern w:val="0"/>
                <w:sz w:val="15"/>
                <w:szCs w:val="15"/>
                <w14:ligatures w14:val="none"/>
              </w:rPr>
              <w:t>1</w:t>
            </w:r>
            <w:r>
              <w:rPr>
                <w:rFonts w:ascii="宋体" w:hAnsi="宋体" w:eastAsia="宋体" w:cs="Segoe UI"/>
                <w:kern w:val="0"/>
                <w:sz w:val="15"/>
                <w:szCs w:val="15"/>
                <w14:ligatures w14:val="none"/>
              </w:rPr>
              <w:t>小时</w:t>
            </w:r>
          </w:p>
        </w:tc>
      </w:tr>
      <w:tr w14:paraId="6778820E">
        <w:tblPrEx>
          <w:tblCellMar>
            <w:top w:w="15" w:type="dxa"/>
            <w:left w:w="15" w:type="dxa"/>
            <w:bottom w:w="15" w:type="dxa"/>
            <w:right w:w="15" w:type="dxa"/>
          </w:tblCellMar>
        </w:tblPrEx>
        <w:trPr>
          <w:trHeight w:val="246" w:hRule="atLeast"/>
        </w:trPr>
        <w:tc>
          <w:tcPr>
            <w:tcW w:w="0" w:type="auto"/>
            <w:tcBorders>
              <w:bottom w:val="single" w:color="auto" w:sz="12" w:space="0"/>
            </w:tcBorders>
            <w:tcMar>
              <w:top w:w="150" w:type="dxa"/>
              <w:left w:w="0" w:type="dxa"/>
              <w:bottom w:w="150" w:type="dxa"/>
              <w:right w:w="240" w:type="dxa"/>
            </w:tcMar>
            <w:vAlign w:val="center"/>
          </w:tcPr>
          <w:p w14:paraId="60E8AD48">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18:00</w:t>
            </w:r>
          </w:p>
        </w:tc>
        <w:tc>
          <w:tcPr>
            <w:tcW w:w="0" w:type="auto"/>
            <w:tcBorders>
              <w:bottom w:val="single" w:color="auto" w:sz="12" w:space="0"/>
            </w:tcBorders>
            <w:tcMar>
              <w:top w:w="150" w:type="dxa"/>
              <w:left w:w="240" w:type="dxa"/>
              <w:bottom w:w="150" w:type="dxa"/>
              <w:right w:w="240" w:type="dxa"/>
            </w:tcMar>
            <w:vAlign w:val="center"/>
          </w:tcPr>
          <w:p w14:paraId="594C7BA5">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实时跟踪水位，动态调整闸门</w:t>
            </w:r>
          </w:p>
        </w:tc>
        <w:tc>
          <w:tcPr>
            <w:tcW w:w="0" w:type="auto"/>
            <w:tcBorders>
              <w:bottom w:val="single" w:color="auto" w:sz="12" w:space="0"/>
            </w:tcBorders>
            <w:tcMar>
              <w:top w:w="150" w:type="dxa"/>
              <w:left w:w="240" w:type="dxa"/>
              <w:bottom w:w="150" w:type="dxa"/>
              <w:right w:w="0" w:type="dxa"/>
            </w:tcMar>
            <w:vAlign w:val="center"/>
          </w:tcPr>
          <w:p w14:paraId="663056A2">
            <w:pPr>
              <w:spacing w:after="0" w:line="240" w:lineRule="auto"/>
              <w:jc w:val="center"/>
              <w:rPr>
                <w:rFonts w:hint="eastAsia" w:ascii="宋体" w:hAnsi="宋体" w:eastAsia="宋体" w:cs="Segoe UI"/>
                <w:kern w:val="0"/>
                <w:sz w:val="15"/>
                <w:szCs w:val="15"/>
                <w14:ligatures w14:val="none"/>
              </w:rPr>
            </w:pPr>
            <w:r>
              <w:rPr>
                <w:rFonts w:ascii="宋体" w:hAnsi="宋体" w:eastAsia="宋体" w:cs="Segoe UI"/>
                <w:kern w:val="0"/>
                <w:sz w:val="15"/>
                <w:szCs w:val="15"/>
                <w14:ligatures w14:val="none"/>
              </w:rPr>
              <w:t>洪峰低于保证水位0.8米，无漫溢</w:t>
            </w:r>
          </w:p>
        </w:tc>
      </w:tr>
    </w:tbl>
    <w:p w14:paraId="152240EF">
      <w:pPr>
        <w:pStyle w:val="4"/>
        <w:spacing w:before="0" w:after="0" w:line="240" w:lineRule="auto"/>
        <w:jc w:val="both"/>
        <w:rPr>
          <w:rFonts w:hint="eastAsia"/>
        </w:rPr>
      </w:pPr>
      <w:r>
        <w:rPr>
          <w:rFonts w:hint="eastAsia" w:ascii="黑体" w:hAnsi="黑体" w:eastAsia="黑体" w:cs="Times New Roman"/>
          <w:color w:val="000000" w:themeColor="text1"/>
          <w:sz w:val="21"/>
          <w:szCs w:val="21"/>
          <w:lang w:val="en"/>
          <w14:textFill>
            <w14:solidFill>
              <w14:schemeClr w14:val="tx1"/>
            </w14:solidFill>
          </w14:textFill>
          <w14:ligatures w14:val="none"/>
        </w:rPr>
        <w:t>4</w:t>
      </w:r>
      <w:r>
        <w:rPr>
          <w:rFonts w:ascii="黑体" w:hAnsi="黑体" w:eastAsia="黑体" w:cs="Times New Roman"/>
          <w:color w:val="000000" w:themeColor="text1"/>
          <w:sz w:val="21"/>
          <w:szCs w:val="21"/>
          <w:lang w:val="en"/>
          <w14:textFill>
            <w14:solidFill>
              <w14:schemeClr w14:val="tx1"/>
            </w14:solidFill>
          </w14:textFill>
          <w14:ligatures w14:val="none"/>
        </w:rPr>
        <w:t>.</w:t>
      </w:r>
      <w:r>
        <w:rPr>
          <w:rFonts w:hint="eastAsia" w:ascii="黑体" w:hAnsi="黑体" w:eastAsia="黑体" w:cs="Times New Roman"/>
          <w:color w:val="000000" w:themeColor="text1"/>
          <w:sz w:val="21"/>
          <w:szCs w:val="21"/>
          <w14:textFill>
            <w14:solidFill>
              <w14:schemeClr w14:val="tx1"/>
            </w14:solidFill>
          </w14:textFill>
          <w14:ligatures w14:val="none"/>
        </w:rPr>
        <w:t>4</w:t>
      </w:r>
      <w:r>
        <w:rPr>
          <w:rFonts w:ascii="黑体" w:hAnsi="黑体" w:eastAsia="黑体" w:cs="Times New Roman"/>
          <w:color w:val="000000" w:themeColor="text1"/>
          <w:sz w:val="21"/>
          <w:szCs w:val="21"/>
          <w14:textFill>
            <w14:solidFill>
              <w14:schemeClr w14:val="tx1"/>
            </w14:solidFill>
          </w14:textFill>
          <w14:ligatures w14:val="none"/>
        </w:rPr>
        <w:t xml:space="preserve"> </w:t>
      </w:r>
      <w:r>
        <w:rPr>
          <w:rFonts w:hint="eastAsia" w:ascii="黑体" w:hAnsi="黑体" w:eastAsia="黑体" w:cs="Times New Roman"/>
          <w:color w:val="000000" w:themeColor="text1"/>
          <w:sz w:val="21"/>
          <w:szCs w:val="21"/>
          <w14:textFill>
            <w14:solidFill>
              <w14:schemeClr w14:val="tx1"/>
            </w14:solidFill>
          </w14:textFill>
          <w14:ligatures w14:val="none"/>
        </w:rPr>
        <w:t>技术实施路径总结</w:t>
      </w:r>
    </w:p>
    <w:p w14:paraId="5E21CF3D">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基于北京市怀柔区研究实践，本文的技术实施路径可总结为三部分，包括系统层次/核心建设内容、资源配置以及成效</w:t>
      </w:r>
      <w:r>
        <w:rPr>
          <w:rFonts w:hint="eastAsia" w:ascii="宋体" w:hAnsi="宋体"/>
          <w:bCs/>
          <w:color w:val="000000" w:themeColor="text1"/>
          <w:sz w:val="21"/>
          <w:szCs w:val="21"/>
          <w:shd w:val="clear" w:color="auto" w:fill="FFCF8F"/>
          <w14:textFill>
            <w14:solidFill>
              <w14:schemeClr w14:val="tx1"/>
            </w14:solidFill>
          </w14:textFill>
        </w:rPr>
        <w:t>评估</w:t>
      </w:r>
      <w:r>
        <w:rPr>
          <w:rFonts w:hint="eastAsia" w:ascii="宋体" w:hAnsi="宋体"/>
          <w:bCs/>
          <w:color w:val="000000" w:themeColor="text1"/>
          <w:sz w:val="21"/>
          <w:szCs w:val="21"/>
          <w14:textFill>
            <w14:solidFill>
              <w14:schemeClr w14:val="tx1"/>
            </w14:solidFill>
          </w14:textFill>
        </w:rPr>
        <w:t>方法，具体内容如表</w:t>
      </w:r>
      <w:r>
        <w:rPr>
          <w:rFonts w:hint="eastAsia" w:ascii="宋体" w:hAnsi="宋体"/>
          <w:bCs/>
          <w:color w:val="000000" w:themeColor="text1"/>
          <w:sz w:val="21"/>
          <w:szCs w:val="21"/>
          <w:lang w:val="en-US" w:eastAsia="zh-CN"/>
          <w14:textFill>
            <w14:solidFill>
              <w14:schemeClr w14:val="tx1"/>
            </w14:solidFill>
          </w14:textFill>
        </w:rPr>
        <w:t>8</w:t>
      </w:r>
      <w:r>
        <w:rPr>
          <w:rFonts w:hint="eastAsia" w:ascii="宋体" w:hAnsi="宋体"/>
          <w:bCs/>
          <w:color w:val="000000" w:themeColor="text1"/>
          <w:sz w:val="21"/>
          <w:szCs w:val="21"/>
          <w14:textFill>
            <w14:solidFill>
              <w14:schemeClr w14:val="tx1"/>
            </w14:solidFill>
          </w14:textFill>
        </w:rPr>
        <w:t>所列。</w:t>
      </w:r>
    </w:p>
    <w:p w14:paraId="52183CC3">
      <w:pPr>
        <w:pStyle w:val="50"/>
        <w:spacing w:line="240" w:lineRule="auto"/>
        <w:ind w:firstLine="0"/>
        <w:jc w:val="center"/>
        <w:rPr>
          <w:rFonts w:hint="eastAsia" w:ascii="黑体" w:hAnsi="黑体" w:eastAsia="黑体"/>
          <w:b/>
          <w:color w:val="000000" w:themeColor="text1"/>
          <w:sz w:val="18"/>
          <w:szCs w:val="18"/>
          <w14:textFill>
            <w14:solidFill>
              <w14:schemeClr w14:val="tx1"/>
            </w14:solidFill>
          </w14:textFill>
        </w:rPr>
      </w:pPr>
      <w:bookmarkStart w:id="29" w:name="OLE_LINK43"/>
      <w:r>
        <w:rPr>
          <w:rFonts w:ascii="黑体" w:hAnsi="黑体" w:eastAsia="黑体"/>
          <w:b/>
          <w:color w:val="000000" w:themeColor="text1"/>
          <w:sz w:val="18"/>
          <w:szCs w:val="18"/>
          <w14:textFill>
            <w14:solidFill>
              <w14:schemeClr w14:val="tx1"/>
            </w14:solidFill>
          </w14:textFill>
        </w:rPr>
        <w:t>表</w:t>
      </w:r>
      <w:r>
        <w:rPr>
          <w:rFonts w:hint="eastAsia" w:ascii="黑体" w:hAnsi="黑体" w:eastAsia="黑体"/>
          <w:b/>
          <w:color w:val="000000" w:themeColor="text1"/>
          <w:sz w:val="18"/>
          <w:szCs w:val="18"/>
          <w:lang w:val="en-US" w:eastAsia="zh-CN"/>
          <w14:textFill>
            <w14:solidFill>
              <w14:schemeClr w14:val="tx1"/>
            </w14:solidFill>
          </w14:textFill>
        </w:rPr>
        <w:t>8</w:t>
      </w:r>
      <w:r>
        <w:rPr>
          <w:rFonts w:ascii="黑体" w:hAnsi="黑体" w:eastAsia="黑体"/>
          <w:b/>
          <w:color w:val="000000" w:themeColor="text1"/>
          <w:sz w:val="18"/>
          <w:szCs w:val="18"/>
          <w14:textFill>
            <w14:solidFill>
              <w14:schemeClr w14:val="tx1"/>
            </w14:solidFill>
          </w14:textFill>
        </w:rPr>
        <w:t xml:space="preserve"> </w:t>
      </w:r>
      <w:r>
        <w:rPr>
          <w:rFonts w:hint="eastAsia" w:ascii="黑体" w:hAnsi="黑体" w:eastAsia="黑体"/>
          <w:b/>
          <w:color w:val="000000" w:themeColor="text1"/>
          <w:sz w:val="18"/>
          <w:szCs w:val="18"/>
          <w14:textFill>
            <w14:solidFill>
              <w14:schemeClr w14:val="tx1"/>
            </w14:solidFill>
          </w14:textFill>
        </w:rPr>
        <w:t>技术实施路径</w:t>
      </w:r>
    </w:p>
    <w:p w14:paraId="06DFEA5F">
      <w:pPr>
        <w:pStyle w:val="46"/>
        <w:rPr>
          <w:rFonts w:hint="eastAsia" w:ascii="Times New Roman" w:hAnsi="Times New Roman" w:eastAsia="黑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Table </w:t>
      </w:r>
      <w:r>
        <w:rPr>
          <w:rFonts w:hint="eastAsia" w:ascii="Times New Roman" w:hAnsi="Times New Roman" w:cs="Times New Roman"/>
          <w:color w:val="000000" w:themeColor="text1"/>
          <w:lang w:val="en-US" w:eastAsia="zh-CN"/>
          <w14:textFill>
            <w14:solidFill>
              <w14:schemeClr w14:val="tx1"/>
            </w14:solidFill>
          </w14:textFill>
        </w:rPr>
        <w:t>8</w:t>
      </w:r>
      <w:r>
        <w:rPr>
          <w:rFonts w:hint="eastAsia" w:ascii="Times New Roman" w:hAnsi="Times New Roman" w:cs="Times New Roman"/>
          <w:color w:val="000000" w:themeColor="text1"/>
          <w14:textFill>
            <w14:solidFill>
              <w14:schemeClr w14:val="tx1"/>
            </w14:solidFill>
          </w14:textFill>
        </w:rPr>
        <w:t xml:space="preserve">  Technical implementation pathway</w:t>
      </w:r>
      <w:r>
        <w:rPr>
          <w:rFonts w:hint="eastAsia" w:ascii="Times New Roman" w:hAnsi="Times New Roman" w:cs="Times New Roman"/>
          <w:color w:val="000000" w:themeColor="text1"/>
          <w:lang w:val="en-US" w:eastAsia="zh-CN"/>
          <w14:textFill>
            <w14:solidFill>
              <w14:schemeClr w14:val="tx1"/>
            </w14:solidFill>
          </w14:textFill>
        </w:rPr>
        <w:t>s</w:t>
      </w:r>
    </w:p>
    <w:bookmarkEnd w:id="29"/>
    <w:tbl>
      <w:tblPr>
        <w:tblStyle w:val="2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3"/>
        <w:gridCol w:w="5689"/>
      </w:tblGrid>
      <w:tr w14:paraId="3FBB6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Borders>
              <w:top w:val="single" w:color="auto" w:sz="12" w:space="0"/>
              <w:bottom w:val="single" w:color="auto" w:sz="4" w:space="0"/>
            </w:tcBorders>
            <w:vAlign w:val="center"/>
          </w:tcPr>
          <w:p w14:paraId="572EF6B5">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一、系统分层建设与核心任务</w:t>
            </w:r>
          </w:p>
        </w:tc>
      </w:tr>
      <w:tr w14:paraId="48B9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tcBorders>
              <w:top w:val="single" w:color="auto" w:sz="4" w:space="0"/>
            </w:tcBorders>
            <w:vAlign w:val="center"/>
          </w:tcPr>
          <w:p w14:paraId="126F64A2">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系统层次</w:t>
            </w:r>
          </w:p>
        </w:tc>
        <w:tc>
          <w:tcPr>
            <w:tcW w:w="3338" w:type="pct"/>
            <w:tcBorders>
              <w:top w:val="single" w:color="auto" w:sz="4" w:space="0"/>
            </w:tcBorders>
            <w:vAlign w:val="center"/>
          </w:tcPr>
          <w:p w14:paraId="56745A51">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核心建设内容</w:t>
            </w:r>
          </w:p>
        </w:tc>
      </w:tr>
      <w:tr w14:paraId="2B71E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vAlign w:val="center"/>
          </w:tcPr>
          <w:p w14:paraId="15A83F56">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感知体系建设</w:t>
            </w:r>
          </w:p>
        </w:tc>
        <w:tc>
          <w:tcPr>
            <w:tcW w:w="3338" w:type="pct"/>
            <w:vAlign w:val="center"/>
          </w:tcPr>
          <w:p w14:paraId="729283AE">
            <w:pPr>
              <w:pStyle w:val="50"/>
              <w:spacing w:line="240" w:lineRule="auto"/>
              <w:ind w:firstLine="0"/>
              <w:jc w:val="left"/>
              <w:rPr>
                <w:rFonts w:hint="eastAsia" w:ascii="宋体" w:hAnsi="宋体" w:cs="Segoe UI"/>
                <w:kern w:val="0"/>
                <w:sz w:val="15"/>
                <w:szCs w:val="15"/>
              </w:rPr>
            </w:pPr>
            <w:r>
              <w:rPr>
                <w:rFonts w:hint="eastAsia" w:ascii="宋体" w:hAnsi="宋体" w:cs="Segoe UI"/>
                <w:kern w:val="0"/>
                <w:sz w:val="15"/>
                <w:szCs w:val="15"/>
              </w:rPr>
              <w:t>山区：“空天地”快速捕捉网（低轨卫星+天气雷达宏观监测、关键断面雷达水位计/雨量站锚定、无人机应急补盲）</w:t>
            </w:r>
          </w:p>
          <w:p w14:paraId="79D2A850">
            <w:pPr>
              <w:pStyle w:val="50"/>
              <w:spacing w:line="240" w:lineRule="auto"/>
              <w:ind w:firstLine="0"/>
              <w:jc w:val="left"/>
              <w:rPr>
                <w:rFonts w:hint="eastAsia" w:ascii="宋体" w:hAnsi="宋体" w:cs="Segoe UI"/>
                <w:kern w:val="0"/>
                <w:sz w:val="15"/>
                <w:szCs w:val="15"/>
              </w:rPr>
            </w:pPr>
            <w:r>
              <w:rPr>
                <w:rFonts w:hint="eastAsia" w:ascii="宋体" w:hAnsi="宋体" w:cs="Segoe UI"/>
                <w:kern w:val="0"/>
                <w:sz w:val="15"/>
                <w:szCs w:val="15"/>
              </w:rPr>
              <w:t>平原：“地下一体”精细化监测网（网格化地埋式积水仪、存量摄像头AI赋能、管网液位/流量传感器）</w:t>
            </w:r>
          </w:p>
          <w:p w14:paraId="218FF9E1">
            <w:pPr>
              <w:pStyle w:val="50"/>
              <w:spacing w:line="240" w:lineRule="auto"/>
              <w:ind w:firstLine="0"/>
              <w:jc w:val="left"/>
              <w:rPr>
                <w:rFonts w:hint="eastAsia" w:ascii="宋体" w:hAnsi="宋体" w:cs="Segoe UI"/>
                <w:kern w:val="0"/>
                <w:sz w:val="15"/>
                <w:szCs w:val="15"/>
              </w:rPr>
            </w:pPr>
            <w:r>
              <w:rPr>
                <w:rFonts w:hint="eastAsia" w:ascii="宋体" w:hAnsi="宋体" w:cs="Segoe UI"/>
                <w:kern w:val="0"/>
                <w:sz w:val="15"/>
                <w:szCs w:val="15"/>
              </w:rPr>
              <w:t>边缘计算节点部署（区域汇聚+本地预处理）</w:t>
            </w:r>
          </w:p>
        </w:tc>
      </w:tr>
      <w:tr w14:paraId="17930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662" w:type="pct"/>
            <w:vAlign w:val="center"/>
          </w:tcPr>
          <w:p w14:paraId="4BBBE3C1">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数字孪生平台构建</w:t>
            </w:r>
          </w:p>
        </w:tc>
        <w:tc>
          <w:tcPr>
            <w:tcW w:w="3338" w:type="pct"/>
            <w:vAlign w:val="center"/>
          </w:tcPr>
          <w:p w14:paraId="021D4101">
            <w:pPr>
              <w:pStyle w:val="50"/>
              <w:spacing w:line="240" w:lineRule="auto"/>
              <w:ind w:firstLine="0"/>
              <w:jc w:val="left"/>
              <w:rPr>
                <w:rFonts w:hint="eastAsia" w:ascii="宋体" w:hAnsi="宋体" w:cs="Segoe UI"/>
                <w:kern w:val="0"/>
                <w:sz w:val="15"/>
                <w:szCs w:val="15"/>
              </w:rPr>
            </w:pPr>
            <w:r>
              <w:rPr>
                <w:rFonts w:hint="eastAsia" w:ascii="宋体" w:hAnsi="宋体" w:cs="Segoe UI"/>
                <w:kern w:val="0"/>
                <w:sz w:val="15"/>
                <w:szCs w:val="15"/>
              </w:rPr>
              <w:t>多源数据融合：BIM/GIS语义融合与轻量化、多源数据标准化与时空索引</w:t>
            </w:r>
          </w:p>
          <w:p w14:paraId="37536754">
            <w:pPr>
              <w:pStyle w:val="50"/>
              <w:spacing w:line="240" w:lineRule="auto"/>
              <w:ind w:firstLine="0"/>
              <w:jc w:val="left"/>
              <w:rPr>
                <w:rFonts w:hint="eastAsia" w:ascii="宋体" w:hAnsi="宋体" w:cs="Segoe UI"/>
                <w:kern w:val="0"/>
                <w:sz w:val="15"/>
                <w:szCs w:val="15"/>
              </w:rPr>
            </w:pPr>
            <w:r>
              <w:rPr>
                <w:rFonts w:hint="eastAsia" w:ascii="宋体" w:hAnsi="宋体" w:cs="Segoe UI"/>
                <w:kern w:val="0"/>
                <w:sz w:val="15"/>
                <w:szCs w:val="15"/>
              </w:rPr>
              <w:t>模型库建设：水文模型、水动力模型、调度模型、安全评估模型的服务化封装（RESTful API）</w:t>
            </w:r>
          </w:p>
          <w:p w14:paraId="15AFE28E">
            <w:pPr>
              <w:pStyle w:val="50"/>
              <w:spacing w:line="240" w:lineRule="auto"/>
              <w:ind w:firstLine="0"/>
              <w:jc w:val="left"/>
              <w:rPr>
                <w:rFonts w:hint="eastAsia" w:ascii="宋体" w:hAnsi="宋体" w:cs="Segoe UI"/>
                <w:kern w:val="0"/>
                <w:sz w:val="15"/>
                <w:szCs w:val="15"/>
              </w:rPr>
            </w:pPr>
            <w:r>
              <w:rPr>
                <w:rFonts w:hint="eastAsia" w:ascii="宋体" w:hAnsi="宋体" w:cs="Segoe UI"/>
                <w:kern w:val="0"/>
                <w:sz w:val="15"/>
                <w:szCs w:val="15"/>
              </w:rPr>
              <w:t>链式耦合机制：模型链调度引擎，支持山区-平原灾害传导的连续模拟</w:t>
            </w:r>
          </w:p>
        </w:tc>
      </w:tr>
      <w:tr w14:paraId="62591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tcBorders>
              <w:bottom w:val="single" w:color="auto" w:sz="4" w:space="0"/>
            </w:tcBorders>
            <w:vAlign w:val="center"/>
          </w:tcPr>
          <w:p w14:paraId="7F99241F">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应用与协同</w:t>
            </w:r>
          </w:p>
        </w:tc>
        <w:tc>
          <w:tcPr>
            <w:tcW w:w="3338" w:type="pct"/>
            <w:tcBorders>
              <w:bottom w:val="single" w:color="auto" w:sz="4" w:space="0"/>
            </w:tcBorders>
            <w:vAlign w:val="center"/>
          </w:tcPr>
          <w:p w14:paraId="310BAC47">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“四预”业务功能开发（预报预警自动化、预演可视化、预案动态生成）</w:t>
            </w:r>
          </w:p>
          <w:p w14:paraId="27DCF2BE">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区-市协同接口（数据双向传递、模型服务共享）</w:t>
            </w:r>
          </w:p>
        </w:tc>
      </w:tr>
      <w:tr w14:paraId="699DD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Borders>
              <w:top w:val="single" w:color="auto" w:sz="4" w:space="0"/>
              <w:bottom w:val="single" w:color="auto" w:sz="4" w:space="0"/>
            </w:tcBorders>
            <w:vAlign w:val="center"/>
          </w:tcPr>
          <w:p w14:paraId="0F311922">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二、资源配置</w:t>
            </w:r>
          </w:p>
        </w:tc>
      </w:tr>
      <w:tr w14:paraId="28EFF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tcBorders>
              <w:top w:val="single" w:color="auto" w:sz="4" w:space="0"/>
            </w:tcBorders>
            <w:vAlign w:val="center"/>
          </w:tcPr>
          <w:p w14:paraId="679EE402">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核心节点</w:t>
            </w:r>
          </w:p>
        </w:tc>
        <w:tc>
          <w:tcPr>
            <w:tcW w:w="3338" w:type="pct"/>
            <w:tcBorders>
              <w:top w:val="single" w:color="auto" w:sz="4" w:space="0"/>
            </w:tcBorders>
            <w:vAlign w:val="center"/>
          </w:tcPr>
          <w:p w14:paraId="559DFC96">
            <w:pPr>
              <w:pStyle w:val="50"/>
              <w:spacing w:line="240" w:lineRule="auto"/>
              <w:ind w:firstLine="0"/>
              <w:jc w:val="center"/>
              <w:rPr>
                <w:rFonts w:hint="eastAsia" w:ascii="宋体" w:hAnsi="宋体" w:cs="Segoe UI"/>
                <w:b/>
                <w:bCs/>
                <w:kern w:val="0"/>
                <w:sz w:val="15"/>
                <w:szCs w:val="15"/>
              </w:rPr>
            </w:pPr>
            <w:r>
              <w:rPr>
                <w:rFonts w:hint="eastAsia" w:ascii="宋体" w:hAnsi="宋体" w:cs="Segoe UI"/>
                <w:b/>
                <w:bCs/>
                <w:kern w:val="0"/>
                <w:sz w:val="15"/>
                <w:szCs w:val="15"/>
              </w:rPr>
              <w:t>配置内容</w:t>
            </w:r>
          </w:p>
        </w:tc>
      </w:tr>
      <w:tr w14:paraId="7BB4E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662" w:type="pct"/>
            <w:vAlign w:val="center"/>
          </w:tcPr>
          <w:p w14:paraId="197780C6">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云侧</w:t>
            </w:r>
          </w:p>
        </w:tc>
        <w:tc>
          <w:tcPr>
            <w:tcW w:w="3338" w:type="pct"/>
            <w:vAlign w:val="center"/>
          </w:tcPr>
          <w:p w14:paraId="1893DDE9">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依托上级（北京市）政务云算力资源，配置GPU服务器（支持并行计算）、模型计算服务器、分布式存储，预留弹性扩容能力</w:t>
            </w:r>
          </w:p>
        </w:tc>
      </w:tr>
      <w:tr w14:paraId="0C629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vAlign w:val="center"/>
          </w:tcPr>
          <w:p w14:paraId="66F677B7">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边缘侧</w:t>
            </w:r>
          </w:p>
        </w:tc>
        <w:tc>
          <w:tcPr>
            <w:tcW w:w="3338" w:type="pct"/>
            <w:vAlign w:val="center"/>
          </w:tcPr>
          <w:p w14:paraId="185B94A7">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边缘服务器（具备AI推理能力、数据预处理功能），支持5G/4G/光纤/自组网多模接入，部署区域汇聚节点</w:t>
            </w:r>
          </w:p>
        </w:tc>
      </w:tr>
      <w:tr w14:paraId="7858F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tcBorders>
              <w:bottom w:val="single" w:color="auto" w:sz="4" w:space="0"/>
            </w:tcBorders>
            <w:vAlign w:val="center"/>
          </w:tcPr>
          <w:p w14:paraId="3D4B580C">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端侧</w:t>
            </w:r>
          </w:p>
        </w:tc>
        <w:tc>
          <w:tcPr>
            <w:tcW w:w="3338" w:type="pct"/>
            <w:tcBorders>
              <w:bottom w:val="single" w:color="auto" w:sz="4" w:space="0"/>
            </w:tcBorders>
            <w:vAlign w:val="center"/>
          </w:tcPr>
          <w:p w14:paraId="0E7DA685">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山区：自供电、高可靠性设备（雷达水位计、一体化雨量站）</w:t>
            </w:r>
          </w:p>
          <w:p w14:paraId="0569EDD9">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平原：高密度、多要素传感器（电子水尺、AI摄像头、管网监测仪）</w:t>
            </w:r>
          </w:p>
          <w:p w14:paraId="4BD653C8">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智能网关：实现数据本地预处理与断网续传</w:t>
            </w:r>
          </w:p>
        </w:tc>
      </w:tr>
      <w:tr w14:paraId="65D5E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Borders>
              <w:top w:val="single" w:color="auto" w:sz="4" w:space="0"/>
              <w:bottom w:val="single" w:color="auto" w:sz="4" w:space="0"/>
            </w:tcBorders>
            <w:vAlign w:val="center"/>
          </w:tcPr>
          <w:p w14:paraId="07265D4C">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三、评估成效方法</w:t>
            </w:r>
          </w:p>
        </w:tc>
      </w:tr>
      <w:tr w14:paraId="4C218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662" w:type="pct"/>
            <w:tcBorders>
              <w:top w:val="single" w:color="auto" w:sz="4" w:space="0"/>
            </w:tcBorders>
            <w:vAlign w:val="center"/>
          </w:tcPr>
          <w:p w14:paraId="5924FC1C">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评估内容</w:t>
            </w:r>
          </w:p>
        </w:tc>
        <w:tc>
          <w:tcPr>
            <w:tcW w:w="3338" w:type="pct"/>
            <w:tcBorders>
              <w:top w:val="single" w:color="auto" w:sz="4" w:space="0"/>
            </w:tcBorders>
            <w:vAlign w:val="center"/>
          </w:tcPr>
          <w:p w14:paraId="7AE8B2D5">
            <w:pPr>
              <w:pStyle w:val="50"/>
              <w:spacing w:line="240" w:lineRule="auto"/>
              <w:ind w:firstLine="0"/>
              <w:jc w:val="center"/>
              <w:rPr>
                <w:rFonts w:hint="eastAsia" w:ascii="宋体" w:hAnsi="宋体" w:cs="Segoe UI"/>
                <w:kern w:val="0"/>
                <w:sz w:val="15"/>
                <w:szCs w:val="15"/>
              </w:rPr>
            </w:pPr>
            <w:r>
              <w:rPr>
                <w:rFonts w:hint="eastAsia" w:ascii="宋体" w:hAnsi="宋体" w:cs="Segoe UI"/>
                <w:b/>
                <w:bCs/>
                <w:kern w:val="0"/>
                <w:sz w:val="15"/>
                <w:szCs w:val="15"/>
              </w:rPr>
              <w:t>评估方法</w:t>
            </w:r>
          </w:p>
        </w:tc>
      </w:tr>
      <w:tr w14:paraId="1C2EC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vAlign w:val="center"/>
          </w:tcPr>
          <w:p w14:paraId="3E633316">
            <w:pPr>
              <w:pStyle w:val="50"/>
              <w:spacing w:line="240" w:lineRule="auto"/>
              <w:ind w:firstLine="0"/>
              <w:jc w:val="center"/>
              <w:rPr>
                <w:rFonts w:hint="eastAsia" w:ascii="宋体" w:hAnsi="宋体" w:cs="Segoe UI"/>
                <w:kern w:val="0"/>
                <w:sz w:val="15"/>
                <w:szCs w:val="15"/>
              </w:rPr>
            </w:pPr>
            <w:r>
              <w:rPr>
                <w:rFonts w:ascii="宋体" w:hAnsi="宋体" w:cs="Segoe UI"/>
                <w:kern w:val="0"/>
                <w:sz w:val="15"/>
                <w:szCs w:val="15"/>
              </w:rPr>
              <w:t>评估指标体系</w:t>
            </w:r>
          </w:p>
        </w:tc>
        <w:tc>
          <w:tcPr>
            <w:tcW w:w="3338" w:type="pct"/>
            <w:vAlign w:val="center"/>
          </w:tcPr>
          <w:p w14:paraId="7EABB43F">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层次分析法：构建“四预”能力评价指标体系（预报精度、预警时效、预演效率、预案科学性），确定权重</w:t>
            </w:r>
          </w:p>
        </w:tc>
      </w:tr>
      <w:tr w14:paraId="189FC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2" w:type="pct"/>
            <w:tcBorders>
              <w:bottom w:val="single" w:color="auto" w:sz="12" w:space="0"/>
            </w:tcBorders>
            <w:vAlign w:val="center"/>
          </w:tcPr>
          <w:p w14:paraId="4A5E745D">
            <w:pPr>
              <w:pStyle w:val="50"/>
              <w:spacing w:line="240" w:lineRule="auto"/>
              <w:ind w:firstLine="0"/>
              <w:jc w:val="center"/>
              <w:rPr>
                <w:rFonts w:hint="eastAsia" w:ascii="宋体" w:hAnsi="宋体" w:cs="Segoe UI"/>
                <w:kern w:val="0"/>
                <w:sz w:val="15"/>
                <w:szCs w:val="15"/>
              </w:rPr>
            </w:pPr>
            <w:r>
              <w:rPr>
                <w:rFonts w:hint="eastAsia" w:ascii="宋体" w:hAnsi="宋体" w:cs="Segoe UI"/>
                <w:kern w:val="0"/>
                <w:sz w:val="15"/>
                <w:szCs w:val="15"/>
              </w:rPr>
              <w:t>应用效能</w:t>
            </w:r>
          </w:p>
        </w:tc>
        <w:tc>
          <w:tcPr>
            <w:tcW w:w="3338" w:type="pct"/>
            <w:tcBorders>
              <w:bottom w:val="single" w:color="auto" w:sz="12" w:space="0"/>
            </w:tcBorders>
            <w:vAlign w:val="center"/>
          </w:tcPr>
          <w:p w14:paraId="24A2E7B5">
            <w:pPr>
              <w:pStyle w:val="50"/>
              <w:spacing w:line="240" w:lineRule="auto"/>
              <w:ind w:firstLine="0"/>
              <w:rPr>
                <w:rFonts w:hint="eastAsia" w:ascii="宋体" w:hAnsi="宋体" w:cs="Segoe UI"/>
                <w:kern w:val="0"/>
                <w:sz w:val="15"/>
                <w:szCs w:val="15"/>
              </w:rPr>
            </w:pPr>
            <w:r>
              <w:rPr>
                <w:rFonts w:hint="eastAsia" w:ascii="宋体" w:hAnsi="宋体" w:cs="Segoe UI"/>
                <w:kern w:val="0"/>
                <w:sz w:val="15"/>
                <w:szCs w:val="15"/>
              </w:rPr>
              <w:t>情景分析法：以历史典型暴雨事件为基准，通过“有无对比”推演，计算预警提前时间、淹没减少面积、决策效率提升等核心指标的变化率</w:t>
            </w:r>
          </w:p>
        </w:tc>
      </w:tr>
    </w:tbl>
    <w:p w14:paraId="45D59223">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本研究有效性高度依赖特定条件，适合怀柔区这种有明显地形过渡性，工程体系复杂且管理协同需求很高的区县级水利管理单元，在这些地方传统方法的边际效益慢慢变少，而本体系凭借全局优化可以发挥出更多的潜在效益。同时，局限性也十分明确：这是一项复杂的系统工程，对前期的数据治理（BIM建模，地形测绘），模型本地化率定以及跨部门流程重构的要求都很高，其效能的发挥限制于底层专业模型（水动力模型）的精度和计算效率，最后的效果还受使用者业务水平和组织协同等非技术因素的影响。怀柔区数字孪生水利“四预”体系构建的覆盖面广，信息采集体系、业务应用系统和管理机构复杂，未来应采取分步实施、急用先行、资源共享（水利部、北京市水务局）的原则推进。</w:t>
      </w:r>
    </w:p>
    <w:p w14:paraId="2D541FB5">
      <w:pPr>
        <w:pStyle w:val="3"/>
        <w:spacing w:before="0" w:after="0" w:line="240" w:lineRule="auto"/>
        <w:jc w:val="both"/>
        <w:rPr>
          <w:rFonts w:hint="eastAsia" w:ascii="宋体" w:hAnsi="宋体"/>
          <w:color w:val="000000" w:themeColor="text1"/>
          <w:sz w:val="21"/>
          <w:szCs w:val="21"/>
          <w14:textFill>
            <w14:solidFill>
              <w14:schemeClr w14:val="tx1"/>
            </w14:solidFill>
          </w14:textFill>
        </w:rPr>
      </w:pPr>
      <w:r>
        <w:rPr>
          <w:rFonts w:hint="eastAsia" w:ascii="黑体" w:hAnsi="黑体" w:eastAsia="黑体" w:cs="Times New Roman"/>
          <w:color w:val="000000" w:themeColor="text1"/>
          <w:kern w:val="44"/>
          <w:sz w:val="24"/>
          <w:szCs w:val="24"/>
          <w14:textFill>
            <w14:solidFill>
              <w14:schemeClr w14:val="tx1"/>
            </w14:solidFill>
          </w14:textFill>
          <w14:ligatures w14:val="none"/>
        </w:rPr>
        <w:t>5 结  论</w:t>
      </w:r>
    </w:p>
    <w:p w14:paraId="0F51382D">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本研究聚焦于提升山地-平原过渡区县级单元的智慧水利防灾减灾能力，以北京市怀柔区为典型对象，创新性地构建并论证了一套完整的数字孪生水利“四预”（预报、预警、预演、预案）体系，主要研究结论如下：</w:t>
      </w:r>
    </w:p>
    <w:p w14:paraId="39E4CC86">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1）构建了一套理论坚实、层次清晰的数字孪生水利体系架构。本研究设计并阐述了由“基础设施层（感知与通信）-数字孪生平台层（数据、模型、知识）-智慧应用层（协同业务）”构成的三层实现架构。核心创新在于提出了面向地理过渡区的非均质感知网络优化策略、融合BIM/GIS/IoT的多源数据语义化统一底板、基于微服务与链式调度的模型集成引擎，以及跨层级业务协同驱动机制，为“四预”功能的工程化落地提供了系统化的技术路径。</w:t>
      </w:r>
    </w:p>
    <w:p w14:paraId="1986F0AC">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2）提出并验证了一种适用于数字孪生系统的预期效能定量推演方法。针对数字孪生系统建设周期长、初期难以实证评估的难点，本研究构建了“四预”能力评价指标体系，并结合历史灾害情景的数字化仿真复盘，实现了建设成效的前瞻性量化评估。推演分析表明，所设计的体系理论上可实现洪水预警时间平均提前3.5h以上，支撑多预案预演比选使决策效率提升超过75%，带动区级综合防灾减灾能力实现约70%的理论或预期提升。</w:t>
      </w:r>
    </w:p>
    <w:p w14:paraId="68CBAE9A">
      <w:pPr>
        <w:pStyle w:val="50"/>
        <w:spacing w:line="240" w:lineRule="auto"/>
        <w:ind w:firstLine="420" w:firstLineChars="200"/>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（3）系统剖析了本方法的相对优势、适用场景以及现存局限。相较于传统的数据堆积或单点业务系统模式，</w:t>
      </w:r>
      <w:bookmarkStart w:id="30" w:name="OLE_LINK28"/>
      <w:r>
        <w:rPr>
          <w:rFonts w:hint="eastAsia" w:ascii="宋体" w:hAnsi="宋体"/>
          <w:bCs/>
          <w:color w:val="000000" w:themeColor="text1"/>
          <w:sz w:val="21"/>
          <w:szCs w:val="21"/>
          <w14:textFill>
            <w14:solidFill>
              <w14:schemeClr w14:val="tx1"/>
            </w14:solidFill>
          </w14:textFill>
        </w:rPr>
        <w:t>本研究体系架构在系统性上更贴合区级水利设施管理思维，在预见性和协同性方面更具高效性，适用于地理环境较复杂，水利设施众多且管理协同需求很高的区县级行政单元。</w:t>
      </w:r>
      <w:bookmarkEnd w:id="30"/>
      <w:r>
        <w:rPr>
          <w:rFonts w:hint="eastAsia" w:ascii="宋体" w:hAnsi="宋体"/>
          <w:bCs/>
          <w:color w:val="000000" w:themeColor="text1"/>
          <w:sz w:val="21"/>
          <w:szCs w:val="21"/>
          <w14:textFill>
            <w14:solidFill>
              <w14:schemeClr w14:val="tx1"/>
            </w14:solidFill>
          </w14:textFill>
        </w:rPr>
        <w:t>此外，本研究体系的有效运作在很大程度上依赖基础数据积累、本土化模型的率定程度以及跨部门管理协同水平，这是一项复杂的系统工程，需要克服成本与系统整合的挑战。</w:t>
      </w:r>
    </w:p>
    <w:p w14:paraId="68F64C05">
      <w:pPr>
        <w:pStyle w:val="3"/>
        <w:spacing w:before="0" w:after="0" w:line="240" w:lineRule="auto"/>
        <w:jc w:val="both"/>
        <w:rPr>
          <w:rFonts w:hint="eastAsia" w:ascii="宋体" w:hAnsi="宋体"/>
          <w:color w:val="000000" w:themeColor="text1"/>
          <w:sz w:val="21"/>
          <w:szCs w:val="21"/>
          <w14:textFill>
            <w14:solidFill>
              <w14:schemeClr w14:val="tx1"/>
            </w14:solidFill>
          </w14:textFill>
        </w:rPr>
      </w:pPr>
      <w:r>
        <w:rPr>
          <w:rFonts w:hint="eastAsia" w:ascii="黑体" w:hAnsi="黑体" w:eastAsia="黑体" w:cs="Times New Roman"/>
          <w:color w:val="000000" w:themeColor="text1"/>
          <w:kern w:val="44"/>
          <w:sz w:val="24"/>
          <w:szCs w:val="24"/>
          <w14:textFill>
            <w14:solidFill>
              <w14:schemeClr w14:val="tx1"/>
            </w14:solidFill>
          </w14:textFill>
          <w14:ligatures w14:val="none"/>
        </w:rPr>
        <w:t>参考文献</w:t>
      </w:r>
    </w:p>
    <w:p w14:paraId="4BCF423E">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侯精明,王添,李东来,等.超大特大城市极端暴雨致涝过程高效模拟预测方法研究[J].中国水利,2025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18):19-28.</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HOU </w:t>
      </w:r>
      <w:r>
        <w:rPr>
          <w:rFonts w:hint="eastAsia" w:ascii="宋体" w:hAnsi="宋体" w:eastAsia="宋体"/>
          <w:color w:val="auto"/>
          <w:sz w:val="15"/>
          <w:szCs w:val="15"/>
          <w:shd w:val="clear" w:color="auto" w:fill="FFCCFF"/>
        </w:rPr>
        <w:t>Jingming</w:t>
      </w:r>
      <w:r>
        <w:rPr>
          <w:rFonts w:hint="eastAsia" w:ascii="宋体" w:hAnsi="宋体" w:eastAsia="宋体"/>
          <w:color w:val="auto"/>
          <w:sz w:val="15"/>
          <w:szCs w:val="15"/>
          <w:shd w:val="clear" w:color="auto" w:fill="FFFFFF"/>
        </w:rPr>
        <w:t xml:space="preserve">, WANG </w:t>
      </w:r>
      <w:r>
        <w:rPr>
          <w:rFonts w:hint="eastAsia" w:ascii="宋体" w:hAnsi="宋体" w:eastAsia="宋体"/>
          <w:color w:val="auto"/>
          <w:sz w:val="15"/>
          <w:szCs w:val="15"/>
          <w:shd w:val="clear" w:color="auto" w:fill="FFCCFF"/>
        </w:rPr>
        <w:t>Tian</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Donglai</w:t>
      </w:r>
      <w:bookmarkStart w:id="31" w:name="OLE_LINK9"/>
      <w:r>
        <w:rPr>
          <w:rFonts w:hint="eastAsia" w:ascii="宋体" w:hAnsi="宋体" w:eastAsia="宋体"/>
          <w:color w:val="auto"/>
          <w:sz w:val="15"/>
          <w:szCs w:val="15"/>
          <w:shd w:val="clear" w:color="auto" w:fill="FFFFFF"/>
        </w:rPr>
        <w:t xml:space="preserve">, et al. </w:t>
      </w:r>
      <w:bookmarkEnd w:id="31"/>
      <w:r>
        <w:rPr>
          <w:rFonts w:hint="eastAsia" w:ascii="宋体" w:hAnsi="宋体" w:eastAsia="宋体"/>
          <w:color w:val="auto"/>
          <w:sz w:val="15"/>
          <w:szCs w:val="15"/>
          <w:shd w:val="clear" w:color="auto" w:fill="FFFFFF"/>
        </w:rPr>
        <w:t>Efficient simulation and prediction method for extreme rainfall-induced flooding processes in ultra-large cities[J]. China Water Resources,2025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18):19-28.</w:t>
      </w:r>
    </w:p>
    <w:p w14:paraId="692D29F9">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宋健蛟,李传旗,梁吉欣,等.防汛抗旱决策支持系统框架设计及应用[J].四川水利,2022,43</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1):162-165.</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SONG </w:t>
      </w:r>
      <w:r>
        <w:rPr>
          <w:rFonts w:hint="eastAsia" w:ascii="宋体" w:hAnsi="宋体" w:eastAsia="宋体"/>
          <w:color w:val="auto"/>
          <w:sz w:val="15"/>
          <w:szCs w:val="15"/>
          <w:shd w:val="clear" w:color="auto" w:fill="FFCCFF"/>
        </w:rPr>
        <w:t>Jianjiao</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Chuanqi</w:t>
      </w:r>
      <w:r>
        <w:rPr>
          <w:rFonts w:hint="eastAsia" w:ascii="宋体" w:hAnsi="宋体" w:eastAsia="宋体"/>
          <w:color w:val="auto"/>
          <w:sz w:val="15"/>
          <w:szCs w:val="15"/>
          <w:shd w:val="clear" w:color="auto" w:fill="FFFFFF"/>
        </w:rPr>
        <w:t xml:space="preserve">, LIANG </w:t>
      </w:r>
      <w:r>
        <w:rPr>
          <w:rFonts w:hint="eastAsia" w:ascii="宋体" w:hAnsi="宋体" w:eastAsia="宋体"/>
          <w:color w:val="auto"/>
          <w:sz w:val="15"/>
          <w:szCs w:val="15"/>
          <w:shd w:val="clear" w:color="auto" w:fill="FFCCFF"/>
        </w:rPr>
        <w:t>Jixin</w:t>
      </w:r>
      <w:r>
        <w:rPr>
          <w:rFonts w:hint="eastAsia" w:ascii="宋体" w:hAnsi="宋体" w:eastAsia="宋体"/>
          <w:color w:val="auto"/>
          <w:sz w:val="15"/>
          <w:szCs w:val="15"/>
          <w:shd w:val="clear" w:color="auto" w:fill="FFFFFF"/>
        </w:rPr>
        <w:t>,et al. Framework design and application of flood control and drought relief decision support system[J].</w:t>
      </w:r>
      <w:r>
        <w:rPr>
          <w:rFonts w:hint="eastAsia"/>
          <w:color w:val="auto"/>
          <w:shd w:val="clear" w:color="auto" w:fill="FFFFFF"/>
        </w:rPr>
        <w:t xml:space="preserve"> </w:t>
      </w:r>
      <w:r>
        <w:rPr>
          <w:rFonts w:hint="eastAsia" w:ascii="宋体" w:hAnsi="宋体" w:eastAsia="宋体"/>
          <w:color w:val="auto"/>
          <w:sz w:val="15"/>
          <w:szCs w:val="15"/>
          <w:shd w:val="clear" w:color="auto" w:fill="FFFFFF"/>
        </w:rPr>
        <w:t>Sichuan Water Resources,2022,43</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1):162-165.</w:t>
      </w:r>
    </w:p>
    <w:p w14:paraId="04B0336A">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冶运涛,蒋云钟,梁犁丽,等.数字孪生流域：未来流域治理管理的新基建新范式[J].水科学进展,2022,33</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5):683-704.</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YE </w:t>
      </w:r>
      <w:r>
        <w:rPr>
          <w:rFonts w:hint="eastAsia" w:ascii="宋体" w:hAnsi="宋体" w:eastAsia="宋体"/>
          <w:color w:val="auto"/>
          <w:sz w:val="15"/>
          <w:szCs w:val="15"/>
          <w:shd w:val="clear" w:color="auto" w:fill="FFCCFF"/>
        </w:rPr>
        <w:t>Yuntao</w:t>
      </w:r>
      <w:r>
        <w:rPr>
          <w:rFonts w:hint="eastAsia" w:ascii="宋体" w:hAnsi="宋体" w:eastAsia="宋体"/>
          <w:color w:val="auto"/>
          <w:sz w:val="15"/>
          <w:szCs w:val="15"/>
          <w:shd w:val="clear" w:color="auto" w:fill="FFFFFF"/>
        </w:rPr>
        <w:t xml:space="preserve">，JIANG </w:t>
      </w:r>
      <w:r>
        <w:rPr>
          <w:rFonts w:hint="eastAsia" w:ascii="宋体" w:hAnsi="宋体" w:eastAsia="宋体"/>
          <w:color w:val="auto"/>
          <w:sz w:val="15"/>
          <w:szCs w:val="15"/>
          <w:shd w:val="clear" w:color="auto" w:fill="FFCCFF"/>
        </w:rPr>
        <w:t>Yunzhong</w:t>
      </w:r>
      <w:r>
        <w:rPr>
          <w:rFonts w:hint="eastAsia" w:ascii="宋体" w:hAnsi="宋体" w:eastAsia="宋体"/>
          <w:color w:val="auto"/>
          <w:sz w:val="15"/>
          <w:szCs w:val="15"/>
          <w:shd w:val="clear" w:color="auto" w:fill="FFFFFF"/>
        </w:rPr>
        <w:t xml:space="preserve">，LIANG </w:t>
      </w:r>
      <w:r>
        <w:rPr>
          <w:rFonts w:hint="eastAsia" w:ascii="宋体" w:hAnsi="宋体" w:eastAsia="宋体"/>
          <w:color w:val="auto"/>
          <w:sz w:val="15"/>
          <w:szCs w:val="15"/>
          <w:shd w:val="clear" w:color="auto" w:fill="FFCCFF"/>
        </w:rPr>
        <w:t>Lili</w:t>
      </w:r>
      <w:r>
        <w:rPr>
          <w:rFonts w:hint="eastAsia" w:ascii="宋体" w:hAnsi="宋体" w:eastAsia="宋体"/>
          <w:color w:val="auto"/>
          <w:sz w:val="15"/>
          <w:szCs w:val="15"/>
          <w:shd w:val="clear" w:color="auto" w:fill="FFFFFF"/>
        </w:rPr>
        <w:t>，et al. Digital twin watershed：New infrastructure and new paradigm of future watershed governance and management[J]. Advances in Water Science，2022，33（5）：683-704.</w:t>
      </w:r>
    </w:p>
    <w:p w14:paraId="76B129F1">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[4]</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何小强,唐伦,陈前斌.面向6G的数字孪生网络综述：架构、应用和挑战[J].重庆邮电大学学报(自然科学版),2024,36</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 633-646.</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HE </w:t>
      </w:r>
      <w:r>
        <w:rPr>
          <w:rFonts w:hint="eastAsia" w:ascii="宋体" w:hAnsi="宋体" w:eastAsia="宋体"/>
          <w:color w:val="auto"/>
          <w:sz w:val="15"/>
          <w:szCs w:val="15"/>
          <w:shd w:val="clear" w:color="auto" w:fill="FFCCFF"/>
        </w:rPr>
        <w:t>Xiaoqiang</w:t>
      </w:r>
      <w:r>
        <w:rPr>
          <w:rFonts w:hint="eastAsia" w:ascii="宋体" w:hAnsi="宋体" w:eastAsia="宋体"/>
          <w:color w:val="auto"/>
          <w:sz w:val="15"/>
          <w:szCs w:val="15"/>
          <w:shd w:val="clear" w:color="auto" w:fill="FFFFFF"/>
        </w:rPr>
        <w:t xml:space="preserve">, TANG </w:t>
      </w:r>
      <w:r>
        <w:rPr>
          <w:rFonts w:hint="eastAsia" w:ascii="宋体" w:hAnsi="宋体" w:eastAsia="宋体"/>
          <w:color w:val="auto"/>
          <w:sz w:val="15"/>
          <w:szCs w:val="15"/>
          <w:shd w:val="clear" w:color="auto" w:fill="FFCCFF"/>
        </w:rPr>
        <w:t>Lun</w:t>
      </w:r>
      <w:r>
        <w:rPr>
          <w:rFonts w:hint="eastAsia" w:ascii="宋体" w:hAnsi="宋体" w:eastAsia="宋体"/>
          <w:color w:val="auto"/>
          <w:sz w:val="15"/>
          <w:szCs w:val="15"/>
          <w:shd w:val="clear" w:color="auto" w:fill="FFFFFF"/>
        </w:rPr>
        <w:t xml:space="preserve">, CHEN </w:t>
      </w:r>
      <w:r>
        <w:rPr>
          <w:rFonts w:hint="eastAsia" w:ascii="宋体" w:hAnsi="宋体" w:eastAsia="宋体"/>
          <w:color w:val="auto"/>
          <w:sz w:val="15"/>
          <w:szCs w:val="15"/>
          <w:shd w:val="clear" w:color="auto" w:fill="FFCCFF"/>
        </w:rPr>
        <w:t>Qianbin</w:t>
      </w:r>
      <w:r>
        <w:rPr>
          <w:rFonts w:hint="eastAsia" w:ascii="宋体" w:hAnsi="宋体" w:eastAsia="宋体"/>
          <w:color w:val="auto"/>
          <w:sz w:val="15"/>
          <w:szCs w:val="15"/>
          <w:shd w:val="clear" w:color="auto" w:fill="FFFFFF"/>
        </w:rPr>
        <w:t>. Survey on digital twin network towards 6G: Architectures, applications and challenges[J]. Journal of Chongqing University of Posts and Telecommunications (Natural Science Edition),2024,36(4):633-646.</w:t>
      </w:r>
    </w:p>
    <w:p w14:paraId="05A30AD9">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[5]</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盛金保,陈斯煜,李宏恩,等.面向数字孪生的智能大坝建设研究进展与展望[J].水科学进展,2025,36</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6):1004-1015.</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SHENG </w:t>
      </w:r>
      <w:r>
        <w:rPr>
          <w:rFonts w:hint="eastAsia" w:ascii="宋体" w:hAnsi="宋体" w:eastAsia="宋体"/>
          <w:color w:val="auto"/>
          <w:sz w:val="15"/>
          <w:szCs w:val="15"/>
          <w:shd w:val="clear" w:color="auto" w:fill="FFCCFF"/>
        </w:rPr>
        <w:t>Jinbao</w:t>
      </w:r>
      <w:r>
        <w:rPr>
          <w:rFonts w:hint="eastAsia" w:ascii="宋体" w:hAnsi="宋体" w:eastAsia="宋体"/>
          <w:color w:val="auto"/>
          <w:sz w:val="15"/>
          <w:szCs w:val="15"/>
          <w:shd w:val="clear" w:color="auto" w:fill="FFFFFF"/>
        </w:rPr>
        <w:t xml:space="preserve">, CHEN </w:t>
      </w:r>
      <w:r>
        <w:rPr>
          <w:rFonts w:hint="eastAsia" w:ascii="宋体" w:hAnsi="宋体" w:eastAsia="宋体"/>
          <w:color w:val="auto"/>
          <w:sz w:val="15"/>
          <w:szCs w:val="15"/>
          <w:shd w:val="clear" w:color="auto" w:fill="FFCCFF"/>
        </w:rPr>
        <w:t>Siyu</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Hongen</w:t>
      </w:r>
      <w:r>
        <w:rPr>
          <w:rFonts w:hint="eastAsia" w:ascii="宋体" w:hAnsi="宋体" w:eastAsia="宋体"/>
          <w:color w:val="auto"/>
          <w:sz w:val="15"/>
          <w:szCs w:val="15"/>
          <w:shd w:val="clear" w:color="auto" w:fill="FFFFFF"/>
        </w:rPr>
        <w:t xml:space="preserve"> ，et al. Research progress and prospect of intelligent dam construction oriented to digital twin[J]. Advances in Water Science，2025，36</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6）：1004-1015.</w:t>
      </w:r>
    </w:p>
    <w:p w14:paraId="5AE3E9E4">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[6]</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黄艳,喻杉,罗斌,等.面向流域水工程防灾联合智能调度的数字孪生长江探索[J].水利学报,2022,53</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3):253-269.</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HUANG </w:t>
      </w:r>
      <w:r>
        <w:rPr>
          <w:rFonts w:hint="eastAsia" w:ascii="宋体" w:hAnsi="宋体" w:eastAsia="宋体"/>
          <w:color w:val="auto"/>
          <w:sz w:val="15"/>
          <w:szCs w:val="15"/>
          <w:shd w:val="clear" w:color="auto" w:fill="FFCCFF"/>
        </w:rPr>
        <w:t>Yan</w:t>
      </w:r>
      <w:r>
        <w:rPr>
          <w:rFonts w:hint="eastAsia" w:ascii="宋体" w:hAnsi="宋体" w:eastAsia="宋体"/>
          <w:color w:val="auto"/>
          <w:sz w:val="15"/>
          <w:szCs w:val="15"/>
          <w:shd w:val="clear" w:color="auto" w:fill="FFFFFF"/>
        </w:rPr>
        <w:t xml:space="preserve">, YU </w:t>
      </w:r>
      <w:r>
        <w:rPr>
          <w:rFonts w:hint="eastAsia" w:ascii="宋体" w:hAnsi="宋体" w:eastAsia="宋体"/>
          <w:color w:val="auto"/>
          <w:sz w:val="15"/>
          <w:szCs w:val="15"/>
          <w:shd w:val="clear" w:color="auto" w:fill="FFCCFF"/>
        </w:rPr>
        <w:t>Shan</w:t>
      </w:r>
      <w:r>
        <w:rPr>
          <w:rFonts w:hint="eastAsia" w:ascii="宋体" w:hAnsi="宋体" w:eastAsia="宋体"/>
          <w:color w:val="auto"/>
          <w:sz w:val="15"/>
          <w:szCs w:val="15"/>
          <w:shd w:val="clear" w:color="auto" w:fill="FFFFFF"/>
        </w:rPr>
        <w:t xml:space="preserve">, LUO </w:t>
      </w:r>
      <w:r>
        <w:rPr>
          <w:rFonts w:hint="eastAsia" w:ascii="宋体" w:hAnsi="宋体" w:eastAsia="宋体"/>
          <w:color w:val="auto"/>
          <w:sz w:val="15"/>
          <w:szCs w:val="15"/>
          <w:shd w:val="clear" w:color="auto" w:fill="FFCCFF"/>
        </w:rPr>
        <w:t>Bin</w:t>
      </w:r>
      <w:bookmarkStart w:id="32" w:name="OLE_LINK11"/>
      <w:r>
        <w:rPr>
          <w:rFonts w:hint="eastAsia" w:ascii="宋体" w:hAnsi="宋体" w:eastAsia="宋体"/>
          <w:color w:val="auto"/>
          <w:sz w:val="15"/>
          <w:szCs w:val="15"/>
          <w:shd w:val="clear" w:color="auto" w:fill="FFFFFF"/>
        </w:rPr>
        <w:t>, et al.</w:t>
      </w:r>
      <w:bookmarkEnd w:id="32"/>
      <w:r>
        <w:rPr>
          <w:rFonts w:hint="eastAsia" w:ascii="宋体" w:hAnsi="宋体" w:eastAsia="宋体"/>
          <w:color w:val="auto"/>
          <w:sz w:val="15"/>
          <w:szCs w:val="15"/>
          <w:shd w:val="clear" w:color="auto" w:fill="FFFFFF"/>
        </w:rPr>
        <w:t xml:space="preserve"> Development of the digital twin Changjiang River with the pilot system of joint and intelligent regulation of water projects for flood management[J]. Journal of Hydraulic Engineering,2022,53(3):253-269.</w:t>
      </w:r>
    </w:p>
    <w:p w14:paraId="7490BF78">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[7]</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李国英.建设数字孪生流域推动新阶段水利高质量发展[N].中国水利报</w:t>
      </w:r>
      <w:r>
        <w:rPr>
          <w:rFonts w:hint="eastAsia" w:ascii="宋体" w:hAnsi="宋体" w:eastAsia="宋体"/>
          <w:color w:val="auto"/>
          <w:sz w:val="15"/>
          <w:szCs w:val="15"/>
          <w:shd w:val="clear" w:color="auto" w:fill="FFCCFF"/>
        </w:rPr>
        <w:t>, 2022-06-30</w:t>
      </w:r>
      <w:r>
        <w:rPr>
          <w:rFonts w:ascii="宋体" w:hAnsi="宋体" w:eastAsia="宋体"/>
          <w:color w:val="auto"/>
          <w:sz w:val="15"/>
          <w:szCs w:val="15"/>
          <w:shd w:val="clear" w:color="auto" w:fill="FFCCFF"/>
          <w:lang w:val="en"/>
        </w:rPr>
        <w:t>(</w:t>
      </w:r>
      <w:r>
        <w:rPr>
          <w:rFonts w:hint="eastAsia" w:ascii="宋体" w:hAnsi="宋体" w:eastAsia="宋体"/>
          <w:color w:val="auto"/>
          <w:sz w:val="15"/>
          <w:szCs w:val="15"/>
          <w:shd w:val="clear" w:color="auto" w:fill="FFCCFF"/>
          <w:lang w:val="en-US" w:eastAsia="zh-CN"/>
        </w:rPr>
        <w:t>0</w:t>
      </w:r>
      <w:r>
        <w:rPr>
          <w:rFonts w:hint="eastAsia" w:ascii="宋体" w:hAnsi="宋体" w:eastAsia="宋体"/>
          <w:color w:val="auto"/>
          <w:sz w:val="15"/>
          <w:szCs w:val="15"/>
          <w:shd w:val="clear" w:color="auto" w:fill="FFCCFF"/>
        </w:rPr>
        <w:t>1).</w:t>
      </w:r>
      <w:r>
        <w:rPr>
          <w:rFonts w:ascii="宋体" w:hAnsi="宋体" w:eastAsia="宋体"/>
          <w:color w:val="auto"/>
          <w:sz w:val="15"/>
          <w:szCs w:val="15"/>
          <w:shd w:val="clear" w:color="auto" w:fill="FFCCFF"/>
        </w:rPr>
        <w:br w:type="textWrapping"/>
      </w:r>
      <w:r>
        <w:rPr>
          <w:rFonts w:hint="eastAsia" w:ascii="宋体" w:hAnsi="宋体" w:eastAsia="宋体"/>
          <w:color w:val="auto"/>
          <w:sz w:val="15"/>
          <w:szCs w:val="15"/>
          <w:shd w:val="clear" w:color="auto" w:fill="FFCCFF"/>
        </w:rPr>
        <w:t>LI Guoying. Building digital twin basins to promote new stage of high-quality water resources development[N]. China Water Resources News</w:t>
      </w:r>
      <w:r>
        <w:rPr>
          <w:rFonts w:hint="eastAsia" w:ascii="宋体" w:hAnsi="宋体" w:eastAsia="宋体"/>
          <w:color w:val="auto"/>
          <w:sz w:val="15"/>
          <w:szCs w:val="15"/>
          <w:shd w:val="clear" w:color="auto" w:fill="FFFFFF"/>
        </w:rPr>
        <w:t>, 2022-06-30</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w:t>
      </w:r>
    </w:p>
    <w:p w14:paraId="700E5128">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[8]</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李国英 .进一步全面深化水利改革为推动水利高质量发展、 保障我国水安全作出新的贡献</w:t>
      </w:r>
      <w:r>
        <w:rPr>
          <w:rFonts w:hint="eastAsia" w:ascii="宋体" w:hAnsi="宋体" w:eastAsia="宋体"/>
          <w:color w:val="auto"/>
          <w:sz w:val="15"/>
          <w:szCs w:val="15"/>
          <w:shd w:val="clear" w:color="auto" w:fill="FFFFFF"/>
          <w:lang w:eastAsia="zh-CN"/>
        </w:rPr>
        <w:t>：</w:t>
      </w:r>
      <w:r>
        <w:rPr>
          <w:rFonts w:hint="eastAsia" w:ascii="宋体" w:hAnsi="宋体" w:eastAsia="宋体"/>
          <w:color w:val="auto"/>
          <w:sz w:val="15"/>
          <w:szCs w:val="15"/>
          <w:shd w:val="clear" w:color="auto" w:fill="FFFFFF"/>
        </w:rPr>
        <w:t>在 2025 年全国水利工作会议上的讲话[J].水利发展研究, 2025, 25(l) : l-l2.</w:t>
      </w:r>
      <w:r>
        <w:rPr>
          <w:rFonts w:hint="eastAsia"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lang w:val="en-US" w:eastAsia="zh-CN"/>
        </w:rPr>
        <w:t xml:space="preserve">LI G Y. </w:t>
      </w:r>
      <w:r>
        <w:rPr>
          <w:rFonts w:hint="eastAsia" w:ascii="宋体" w:hAnsi="宋体" w:eastAsia="宋体"/>
          <w:color w:val="auto"/>
          <w:sz w:val="15"/>
          <w:szCs w:val="15"/>
          <w:shd w:val="clear" w:color="auto" w:fill="FFFFFF"/>
        </w:rPr>
        <w:t>Further</w:t>
      </w:r>
      <w:r>
        <w:rPr>
          <w:rFonts w:hint="eastAsia" w:ascii="宋体" w:hAnsi="宋体" w:eastAsia="宋体"/>
          <w:color w:val="auto"/>
          <w:sz w:val="15"/>
          <w:szCs w:val="15"/>
          <w:shd w:val="clear" w:color="auto" w:fill="FFFFFF"/>
          <w:lang w:val="en-US" w:eastAsia="zh-CN"/>
        </w:rPr>
        <w:t xml:space="preserve"> </w:t>
      </w:r>
      <w:r>
        <w:rPr>
          <w:rFonts w:hint="eastAsia" w:ascii="宋体" w:hAnsi="宋体" w:eastAsia="宋体"/>
          <w:color w:val="auto"/>
          <w:sz w:val="15"/>
          <w:szCs w:val="15"/>
          <w:shd w:val="clear" w:color="auto" w:fill="FFFFFF"/>
        </w:rPr>
        <w:t>com</w:t>
      </w:r>
      <w:r>
        <w:rPr>
          <w:rFonts w:hint="eastAsia" w:ascii="宋体" w:hAnsi="宋体" w:eastAsia="宋体"/>
          <w:color w:val="auto"/>
          <w:sz w:val="15"/>
          <w:szCs w:val="15"/>
          <w:shd w:val="clear" w:color="auto" w:fill="FFFFFF"/>
          <w:lang w:val="en-US" w:eastAsia="zh-CN"/>
        </w:rPr>
        <w:t>p</w:t>
      </w:r>
      <w:r>
        <w:rPr>
          <w:rFonts w:hint="eastAsia" w:ascii="宋体" w:hAnsi="宋体" w:eastAsia="宋体"/>
          <w:color w:val="auto"/>
          <w:sz w:val="15"/>
          <w:szCs w:val="15"/>
          <w:shd w:val="clear" w:color="auto" w:fill="FFFFFF"/>
        </w:rPr>
        <w:t>rehensive</w:t>
      </w:r>
      <w:r>
        <w:rPr>
          <w:rFonts w:hint="default" w:ascii="宋体" w:hAnsi="宋体" w:eastAsia="宋体"/>
          <w:color w:val="auto"/>
          <w:sz w:val="15"/>
          <w:szCs w:val="15"/>
          <w:shd w:val="clear" w:color="auto" w:fill="FFFFFF"/>
          <w:lang w:val="en-US"/>
        </w:rPr>
        <w:t>l</w:t>
      </w:r>
      <w:r>
        <w:rPr>
          <w:rFonts w:hint="eastAsia" w:ascii="宋体" w:hAnsi="宋体" w:eastAsia="宋体"/>
          <w:color w:val="auto"/>
          <w:sz w:val="15"/>
          <w:szCs w:val="15"/>
          <w:shd w:val="clear" w:color="auto" w:fill="FFFFFF"/>
        </w:rPr>
        <w:t>y</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deepen waterconservancy</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reform</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to</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promote</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high-qua</w:t>
      </w:r>
      <w:r>
        <w:rPr>
          <w:rFonts w:hint="default" w:ascii="宋体" w:hAnsi="宋体" w:eastAsia="宋体"/>
          <w:color w:val="auto"/>
          <w:sz w:val="15"/>
          <w:szCs w:val="15"/>
          <w:shd w:val="clear" w:color="auto" w:fill="FFFFFF"/>
          <w:lang w:val="en-US"/>
        </w:rPr>
        <w:t>l</w:t>
      </w:r>
      <w:r>
        <w:rPr>
          <w:rFonts w:hint="eastAsia" w:ascii="宋体" w:hAnsi="宋体" w:eastAsia="宋体"/>
          <w:color w:val="auto"/>
          <w:sz w:val="15"/>
          <w:szCs w:val="15"/>
          <w:shd w:val="clear" w:color="auto" w:fill="FFFFFF"/>
        </w:rPr>
        <w:t>ity</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deve</w:t>
      </w:r>
      <w:r>
        <w:rPr>
          <w:rFonts w:hint="default" w:ascii="宋体" w:hAnsi="宋体" w:eastAsia="宋体"/>
          <w:color w:val="auto"/>
          <w:sz w:val="15"/>
          <w:szCs w:val="15"/>
          <w:shd w:val="clear" w:color="auto" w:fill="FFFFFF"/>
          <w:lang w:val="en-US"/>
        </w:rPr>
        <w:t>l</w:t>
      </w:r>
      <w:r>
        <w:rPr>
          <w:rFonts w:hint="eastAsia" w:ascii="宋体" w:hAnsi="宋体" w:eastAsia="宋体"/>
          <w:color w:val="auto"/>
          <w:sz w:val="15"/>
          <w:szCs w:val="15"/>
          <w:shd w:val="clear" w:color="auto" w:fill="FFFFFF"/>
        </w:rPr>
        <w:t>opment</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of</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waterconservancy</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and</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safeguard nationa</w:t>
      </w:r>
      <w:r>
        <w:rPr>
          <w:rFonts w:hint="default" w:ascii="宋体" w:hAnsi="宋体" w:eastAsia="宋体"/>
          <w:color w:val="auto"/>
          <w:sz w:val="15"/>
          <w:szCs w:val="15"/>
          <w:shd w:val="clear" w:color="auto" w:fill="FFFFFF"/>
          <w:lang w:val="en-US"/>
        </w:rPr>
        <w:t xml:space="preserve">l </w:t>
      </w:r>
      <w:r>
        <w:rPr>
          <w:rFonts w:hint="eastAsia" w:ascii="宋体" w:hAnsi="宋体" w:eastAsia="宋体"/>
          <w:color w:val="auto"/>
          <w:sz w:val="15"/>
          <w:szCs w:val="15"/>
          <w:shd w:val="clear" w:color="auto" w:fill="FFFFFF"/>
        </w:rPr>
        <w:t>water</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security: A</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speech</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at</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the</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2025 nationa</w:t>
      </w:r>
      <w:r>
        <w:rPr>
          <w:rFonts w:hint="default" w:ascii="宋体" w:hAnsi="宋体" w:eastAsia="宋体"/>
          <w:color w:val="auto"/>
          <w:sz w:val="15"/>
          <w:szCs w:val="15"/>
          <w:shd w:val="clear" w:color="auto" w:fill="FFFFFF"/>
          <w:lang w:val="en-US"/>
        </w:rPr>
        <w:t xml:space="preserve">l </w:t>
      </w:r>
      <w:r>
        <w:rPr>
          <w:rFonts w:hint="eastAsia" w:ascii="宋体" w:hAnsi="宋体" w:eastAsia="宋体"/>
          <w:color w:val="auto"/>
          <w:sz w:val="15"/>
          <w:szCs w:val="15"/>
          <w:shd w:val="clear" w:color="auto" w:fill="FFFFFF"/>
        </w:rPr>
        <w:t>water</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conservancy</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work</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conference[J].Water</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Resources</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Deve</w:t>
      </w:r>
      <w:r>
        <w:rPr>
          <w:rFonts w:hint="default" w:ascii="宋体" w:hAnsi="宋体" w:eastAsia="宋体"/>
          <w:color w:val="auto"/>
          <w:sz w:val="15"/>
          <w:szCs w:val="15"/>
          <w:shd w:val="clear" w:color="auto" w:fill="FFFFFF"/>
          <w:lang w:val="en-US"/>
        </w:rPr>
        <w:t>l</w:t>
      </w:r>
      <w:r>
        <w:rPr>
          <w:rFonts w:hint="eastAsia" w:ascii="宋体" w:hAnsi="宋体" w:eastAsia="宋体"/>
          <w:color w:val="auto"/>
          <w:sz w:val="15"/>
          <w:szCs w:val="15"/>
          <w:shd w:val="clear" w:color="auto" w:fill="FFFFFF"/>
        </w:rPr>
        <w:t>oPment</w:t>
      </w:r>
      <w:r>
        <w:rPr>
          <w:rFonts w:hint="default" w:ascii="宋体" w:hAnsi="宋体" w:eastAsia="宋体"/>
          <w:color w:val="auto"/>
          <w:sz w:val="15"/>
          <w:szCs w:val="15"/>
          <w:shd w:val="clear" w:color="auto" w:fill="FFFFFF"/>
          <w:lang w:val="en-US"/>
        </w:rPr>
        <w:t xml:space="preserve"> </w:t>
      </w:r>
      <w:r>
        <w:rPr>
          <w:rFonts w:hint="eastAsia" w:ascii="宋体" w:hAnsi="宋体" w:eastAsia="宋体"/>
          <w:color w:val="auto"/>
          <w:sz w:val="15"/>
          <w:szCs w:val="15"/>
          <w:shd w:val="clear" w:color="auto" w:fill="FFFFFF"/>
        </w:rPr>
        <w:t>Research, 2025, 25(l) : l-l2.</w:t>
      </w:r>
    </w:p>
    <w:p w14:paraId="704C6164">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[9]</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蔡阳.数字孪生水利建设进展与发展思考[J].水利信息化,2025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1):1-7.</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CAI </w:t>
      </w:r>
      <w:r>
        <w:rPr>
          <w:rFonts w:hint="eastAsia" w:ascii="宋体" w:hAnsi="宋体" w:eastAsia="宋体"/>
          <w:color w:val="auto"/>
          <w:sz w:val="15"/>
          <w:szCs w:val="15"/>
          <w:shd w:val="clear" w:color="auto" w:fill="FFCCFF"/>
        </w:rPr>
        <w:t>Yang</w:t>
      </w:r>
      <w:r>
        <w:rPr>
          <w:rFonts w:hint="eastAsia" w:ascii="宋体" w:hAnsi="宋体" w:eastAsia="宋体"/>
          <w:color w:val="auto"/>
          <w:sz w:val="15"/>
          <w:szCs w:val="15"/>
          <w:shd w:val="clear" w:color="auto" w:fill="FFFFFF"/>
        </w:rPr>
        <w:t>. Progress and development considerations of digital twin water conservancy construction[J].</w:t>
      </w:r>
      <w:r>
        <w:rPr>
          <w:rFonts w:hint="eastAsia"/>
          <w:color w:val="auto"/>
          <w:shd w:val="clear" w:color="auto" w:fill="FFFFFF"/>
        </w:rPr>
        <w:t xml:space="preserve"> </w:t>
      </w:r>
      <w:r>
        <w:rPr>
          <w:rFonts w:hint="eastAsia" w:ascii="宋体" w:hAnsi="宋体" w:eastAsia="宋体"/>
          <w:color w:val="auto"/>
          <w:sz w:val="15"/>
          <w:szCs w:val="15"/>
          <w:shd w:val="clear" w:color="auto" w:fill="FFFFFF"/>
        </w:rPr>
        <w:t>Water Resources Informatization,</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2025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1-7.</w:t>
      </w:r>
    </w:p>
    <w:p w14:paraId="3D412EE4">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[10]</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蔡阳.以数字孪生流域建设为核心构建具有“四预”功能智慧水利体系[J].中国水利，2022</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20):2-6.</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CAI </w:t>
      </w:r>
      <w:r>
        <w:rPr>
          <w:rFonts w:hint="eastAsia" w:ascii="宋体" w:hAnsi="宋体" w:eastAsia="宋体"/>
          <w:color w:val="auto"/>
          <w:sz w:val="15"/>
          <w:szCs w:val="15"/>
          <w:shd w:val="clear" w:color="auto" w:fill="FFCCFF"/>
        </w:rPr>
        <w:t>Yang</w:t>
      </w:r>
      <w:r>
        <w:rPr>
          <w:rFonts w:hint="eastAsia" w:ascii="宋体" w:hAnsi="宋体" w:eastAsia="宋体"/>
          <w:color w:val="auto"/>
          <w:sz w:val="15"/>
          <w:szCs w:val="15"/>
          <w:shd w:val="clear" w:color="auto" w:fill="FFFFFF"/>
        </w:rPr>
        <w:t xml:space="preserve">. Establishing a smart water system with </w:t>
      </w:r>
      <w:r>
        <w:rPr>
          <w:rFonts w:ascii="宋体" w:hAnsi="宋体" w:eastAsia="宋体"/>
          <w:color w:val="auto"/>
          <w:sz w:val="15"/>
          <w:szCs w:val="15"/>
          <w:shd w:val="clear" w:color="auto" w:fill="FFFFFF"/>
        </w:rPr>
        <w:t>“</w:t>
      </w:r>
      <w:r>
        <w:rPr>
          <w:rFonts w:hint="eastAsia" w:ascii="宋体" w:hAnsi="宋体" w:eastAsia="宋体"/>
          <w:color w:val="auto"/>
          <w:sz w:val="15"/>
          <w:szCs w:val="15"/>
          <w:shd w:val="clear" w:color="auto" w:fill="D9D9D9"/>
        </w:rPr>
        <w:t>F</w:t>
      </w:r>
      <w:r>
        <w:rPr>
          <w:rFonts w:hint="eastAsia" w:ascii="宋体" w:hAnsi="宋体" w:eastAsia="宋体"/>
          <w:color w:val="auto"/>
          <w:sz w:val="15"/>
          <w:szCs w:val="15"/>
          <w:shd w:val="clear" w:color="auto" w:fill="FFFFFF"/>
        </w:rPr>
        <w:t xml:space="preserve">orecast, </w:t>
      </w:r>
      <w:r>
        <w:rPr>
          <w:rFonts w:hint="eastAsia" w:ascii="宋体" w:hAnsi="宋体" w:eastAsia="宋体"/>
          <w:color w:val="auto"/>
          <w:sz w:val="15"/>
          <w:szCs w:val="15"/>
          <w:shd w:val="clear" w:color="auto" w:fill="D9D9D9"/>
        </w:rPr>
        <w:t>E</w:t>
      </w:r>
      <w:r>
        <w:rPr>
          <w:rFonts w:hint="eastAsia" w:ascii="宋体" w:hAnsi="宋体" w:eastAsia="宋体"/>
          <w:color w:val="auto"/>
          <w:sz w:val="15"/>
          <w:szCs w:val="15"/>
          <w:shd w:val="clear" w:color="auto" w:fill="FFFFFF"/>
        </w:rPr>
        <w:t>arly-</w:t>
      </w:r>
      <w:r>
        <w:rPr>
          <w:rFonts w:hint="eastAsia" w:ascii="宋体" w:hAnsi="宋体" w:eastAsia="宋体"/>
          <w:color w:val="auto"/>
          <w:sz w:val="15"/>
          <w:szCs w:val="15"/>
          <w:shd w:val="clear" w:color="auto" w:fill="D9D9D9"/>
        </w:rPr>
        <w:t>W</w:t>
      </w:r>
      <w:r>
        <w:rPr>
          <w:rFonts w:hint="eastAsia" w:ascii="宋体" w:hAnsi="宋体" w:eastAsia="宋体"/>
          <w:color w:val="auto"/>
          <w:sz w:val="15"/>
          <w:szCs w:val="15"/>
          <w:shd w:val="clear" w:color="auto" w:fill="FFFFFF"/>
        </w:rPr>
        <w:t xml:space="preserve">arning, </w:t>
      </w:r>
      <w:r>
        <w:rPr>
          <w:rFonts w:hint="eastAsia" w:ascii="宋体" w:hAnsi="宋体" w:eastAsia="宋体"/>
          <w:color w:val="auto"/>
          <w:sz w:val="15"/>
          <w:szCs w:val="15"/>
          <w:shd w:val="clear" w:color="auto" w:fill="D9D9D9"/>
        </w:rPr>
        <w:t>R</w:t>
      </w:r>
      <w:r>
        <w:rPr>
          <w:rFonts w:hint="eastAsia" w:ascii="宋体" w:hAnsi="宋体" w:eastAsia="宋体"/>
          <w:color w:val="auto"/>
          <w:sz w:val="15"/>
          <w:szCs w:val="15"/>
          <w:shd w:val="clear" w:color="auto" w:fill="FFFFFF"/>
        </w:rPr>
        <w:t xml:space="preserve">ehearsal </w:t>
      </w:r>
      <w:r>
        <w:rPr>
          <w:rFonts w:ascii="宋体" w:hAnsi="宋体" w:eastAsia="宋体"/>
          <w:color w:val="auto"/>
          <w:sz w:val="15"/>
          <w:szCs w:val="15"/>
          <w:shd w:val="clear" w:color="auto" w:fill="FFFFFF"/>
          <w:lang w:val="en"/>
        </w:rPr>
        <w:t>a</w:t>
      </w:r>
      <w:r>
        <w:rPr>
          <w:rFonts w:hint="eastAsia" w:ascii="宋体" w:hAnsi="宋体" w:eastAsia="宋体"/>
          <w:color w:val="auto"/>
          <w:sz w:val="15"/>
          <w:szCs w:val="15"/>
          <w:shd w:val="clear" w:color="auto" w:fill="FFFFFF"/>
        </w:rPr>
        <w:t xml:space="preserve">nd </w:t>
      </w:r>
      <w:r>
        <w:rPr>
          <w:rFonts w:hint="eastAsia" w:ascii="宋体" w:hAnsi="宋体" w:eastAsia="宋体"/>
          <w:color w:val="auto"/>
          <w:sz w:val="15"/>
          <w:szCs w:val="15"/>
          <w:shd w:val="clear" w:color="auto" w:fill="D9D9D9"/>
        </w:rPr>
        <w:t>P</w:t>
      </w:r>
      <w:r>
        <w:rPr>
          <w:rFonts w:hint="eastAsia" w:ascii="宋体" w:hAnsi="宋体" w:eastAsia="宋体"/>
          <w:color w:val="auto"/>
          <w:sz w:val="15"/>
          <w:szCs w:val="15"/>
          <w:shd w:val="clear" w:color="auto" w:fill="FFFFFF"/>
        </w:rPr>
        <w:t>lan” functions by focusing on the construction of digital twin basin[J].China Water Resources,2022</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20):2-6.</w:t>
      </w:r>
    </w:p>
    <w:p w14:paraId="08B0BA85">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[11]</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丁继勇,周奥溪,李娜,等.重大水利基础设施项目顶层治理效能量表开发与验证[J].水力发电学报,2025,44(10):109-120.</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DING </w:t>
      </w:r>
      <w:r>
        <w:rPr>
          <w:rFonts w:hint="eastAsia" w:ascii="宋体" w:hAnsi="宋体" w:eastAsia="宋体"/>
          <w:color w:val="auto"/>
          <w:sz w:val="15"/>
          <w:szCs w:val="15"/>
          <w:shd w:val="clear" w:color="auto" w:fill="FFCCFF"/>
        </w:rPr>
        <w:t>Jiyong</w:t>
      </w:r>
      <w:r>
        <w:rPr>
          <w:rFonts w:hint="eastAsia" w:ascii="宋体" w:hAnsi="宋体" w:eastAsia="宋体"/>
          <w:color w:val="auto"/>
          <w:sz w:val="15"/>
          <w:szCs w:val="15"/>
          <w:shd w:val="clear" w:color="auto" w:fill="FFFFFF"/>
        </w:rPr>
        <w:t xml:space="preserve">, ZHOU </w:t>
      </w:r>
      <w:r>
        <w:rPr>
          <w:rFonts w:hint="eastAsia" w:ascii="宋体" w:hAnsi="宋体" w:eastAsia="宋体"/>
          <w:color w:val="auto"/>
          <w:sz w:val="15"/>
          <w:szCs w:val="15"/>
          <w:shd w:val="clear" w:color="auto" w:fill="FFCCFF"/>
        </w:rPr>
        <w:t>Aoxi</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Na</w:t>
      </w:r>
      <w:r>
        <w:rPr>
          <w:rFonts w:hint="eastAsia" w:ascii="宋体" w:hAnsi="宋体" w:eastAsia="宋体"/>
          <w:color w:val="auto"/>
          <w:sz w:val="15"/>
          <w:szCs w:val="15"/>
          <w:shd w:val="clear" w:color="auto" w:fill="FFFFFF"/>
        </w:rPr>
        <w:t>, et al. Development and validation of scales for top-level governance effectiveness in mega-scale water infrastructure projects[J].</w:t>
      </w:r>
      <w:r>
        <w:rPr>
          <w:rFonts w:hint="eastAsia"/>
          <w:color w:val="auto"/>
          <w:shd w:val="clear" w:color="auto" w:fill="FFFFFF"/>
        </w:rPr>
        <w:t xml:space="preserve"> </w:t>
      </w:r>
      <w:r>
        <w:rPr>
          <w:rFonts w:hint="eastAsia" w:ascii="宋体" w:hAnsi="宋体" w:eastAsia="宋体"/>
          <w:color w:val="auto"/>
          <w:sz w:val="15"/>
          <w:szCs w:val="15"/>
          <w:shd w:val="clear" w:color="auto" w:fill="FFFFFF"/>
        </w:rPr>
        <w:t xml:space="preserve">Journal </w:t>
      </w:r>
      <w:r>
        <w:rPr>
          <w:rFonts w:hint="eastAsia" w:ascii="宋体" w:hAnsi="宋体" w:eastAsia="宋体"/>
          <w:color w:val="auto"/>
          <w:sz w:val="15"/>
          <w:szCs w:val="15"/>
          <w:shd w:val="clear" w:color="auto" w:fill="D9D9D9"/>
        </w:rPr>
        <w:t>O</w:t>
      </w:r>
      <w:r>
        <w:rPr>
          <w:rFonts w:hint="eastAsia" w:ascii="宋体" w:hAnsi="宋体" w:eastAsia="宋体"/>
          <w:color w:val="auto"/>
          <w:sz w:val="15"/>
          <w:szCs w:val="15"/>
          <w:shd w:val="clear" w:color="auto" w:fill="FFFFFF"/>
        </w:rPr>
        <w:t>f Hydroelectric Engineering,2025,44(10):109-120.</w:t>
      </w:r>
    </w:p>
    <w:p w14:paraId="0AA2FCD4">
      <w:pPr>
        <w:spacing w:after="0" w:line="240" w:lineRule="auto"/>
        <w:ind w:left="440" w:hanging="440"/>
        <w:jc w:val="both"/>
        <w:rPr>
          <w:rFonts w:hint="default" w:ascii="宋体" w:hAnsi="宋体" w:eastAsia="宋体"/>
          <w:color w:val="auto"/>
          <w:sz w:val="15"/>
          <w:szCs w:val="15"/>
          <w:shd w:val="clear" w:color="auto" w:fill="FFFFFF"/>
          <w:lang w:val="en-US"/>
        </w:rPr>
      </w:pPr>
      <w:r>
        <w:rPr>
          <w:rFonts w:hint="eastAsia" w:ascii="宋体" w:hAnsi="宋体" w:eastAsia="宋体"/>
          <w:color w:val="auto"/>
          <w:sz w:val="15"/>
          <w:szCs w:val="15"/>
          <w:shd w:val="clear" w:color="auto" w:fill="FFFFFF"/>
        </w:rPr>
        <w:t>[12]</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肖建峰，章武伟，任德常，等．淮河干流蚌埠</w:t>
      </w:r>
      <w:r>
        <w:rPr>
          <w:rFonts w:hint="eastAsia" w:ascii="宋体" w:hAnsi="宋体" w:eastAsia="宋体"/>
          <w:color w:val="auto"/>
          <w:sz w:val="15"/>
          <w:szCs w:val="15"/>
          <w:shd w:val="clear" w:color="auto" w:fill="FFFFFF"/>
          <w:lang w:val="en-US" w:eastAsia="zh-CN"/>
        </w:rPr>
        <w:t>-</w:t>
      </w:r>
      <w:r>
        <w:rPr>
          <w:rFonts w:hint="eastAsia" w:ascii="宋体" w:hAnsi="宋体" w:eastAsia="宋体"/>
          <w:color w:val="auto"/>
          <w:sz w:val="15"/>
          <w:szCs w:val="15"/>
          <w:shd w:val="clear" w:color="auto" w:fill="FFFFFF"/>
        </w:rPr>
        <w:t>浮山段水资源“四预”及动态监管应用系统设计与开发</w:t>
      </w:r>
      <w:r>
        <w:rPr>
          <w:rFonts w:hint="default" w:ascii="宋体" w:hAnsi="宋体" w:eastAsia="宋体"/>
          <w:color w:val="auto"/>
          <w:sz w:val="15"/>
          <w:szCs w:val="15"/>
          <w:shd w:val="clear" w:color="auto" w:fill="FFFFFF"/>
          <w:lang w:val="en-US"/>
        </w:rPr>
        <w:t>[J]</w:t>
      </w:r>
      <w:r>
        <w:rPr>
          <w:rFonts w:hint="eastAsia" w:ascii="宋体" w:hAnsi="宋体" w:eastAsia="宋体"/>
          <w:color w:val="auto"/>
          <w:sz w:val="15"/>
          <w:szCs w:val="15"/>
          <w:shd w:val="clear" w:color="auto" w:fill="FFFFFF"/>
        </w:rPr>
        <w:t>．南水北调与水利科技（中英文），</w:t>
      </w:r>
      <w:r>
        <w:rPr>
          <w:rFonts w:hint="default" w:ascii="宋体" w:hAnsi="宋体" w:eastAsia="宋体"/>
          <w:color w:val="auto"/>
          <w:sz w:val="15"/>
          <w:szCs w:val="15"/>
          <w:shd w:val="clear" w:color="auto" w:fill="FFFFFF"/>
          <w:lang w:val="en-US"/>
        </w:rPr>
        <w:t>2025</w:t>
      </w:r>
      <w:r>
        <w:rPr>
          <w:rFonts w:hint="eastAsia" w:ascii="宋体" w:hAnsi="宋体" w:eastAsia="宋体"/>
          <w:color w:val="auto"/>
          <w:sz w:val="15"/>
          <w:szCs w:val="15"/>
          <w:shd w:val="clear" w:color="auto" w:fill="FFFFFF"/>
        </w:rPr>
        <w:t>，</w:t>
      </w:r>
      <w:r>
        <w:rPr>
          <w:rFonts w:hint="default" w:ascii="宋体" w:hAnsi="宋体" w:eastAsia="宋体"/>
          <w:color w:val="auto"/>
          <w:sz w:val="15"/>
          <w:szCs w:val="15"/>
          <w:shd w:val="clear" w:color="auto" w:fill="FFFFFF"/>
          <w:lang w:val="en-US"/>
        </w:rPr>
        <w:t>23</w:t>
      </w:r>
      <w:r>
        <w:rPr>
          <w:rFonts w:hint="eastAsia" w:ascii="宋体" w:hAnsi="宋体" w:eastAsia="宋体"/>
          <w:color w:val="auto"/>
          <w:sz w:val="15"/>
          <w:szCs w:val="15"/>
          <w:shd w:val="clear" w:color="auto" w:fill="FFFFFF"/>
        </w:rPr>
        <w:t>（</w:t>
      </w:r>
      <w:r>
        <w:rPr>
          <w:rFonts w:hint="default" w:ascii="宋体" w:hAnsi="宋体" w:eastAsia="宋体"/>
          <w:color w:val="auto"/>
          <w:sz w:val="15"/>
          <w:szCs w:val="15"/>
          <w:shd w:val="clear" w:color="auto" w:fill="FFFFFF"/>
          <w:lang w:val="en-US"/>
        </w:rPr>
        <w:t>1</w:t>
      </w:r>
      <w:r>
        <w:rPr>
          <w:rFonts w:hint="eastAsia" w:ascii="宋体" w:hAnsi="宋体" w:eastAsia="宋体"/>
          <w:color w:val="auto"/>
          <w:sz w:val="15"/>
          <w:szCs w:val="15"/>
          <w:shd w:val="clear" w:color="auto" w:fill="FFFFFF"/>
        </w:rPr>
        <w:t>）：</w:t>
      </w:r>
      <w:r>
        <w:rPr>
          <w:rFonts w:hint="default" w:ascii="宋体" w:hAnsi="宋体" w:eastAsia="宋体"/>
          <w:color w:val="auto"/>
          <w:sz w:val="15"/>
          <w:szCs w:val="15"/>
          <w:shd w:val="clear" w:color="auto" w:fill="FFFFFF"/>
          <w:lang w:val="en-US"/>
        </w:rPr>
        <w:t>112-118</w:t>
      </w:r>
      <w:r>
        <w:rPr>
          <w:rFonts w:hint="eastAsia" w:ascii="宋体" w:hAnsi="宋体" w:eastAsia="宋体"/>
          <w:color w:val="auto"/>
          <w:sz w:val="15"/>
          <w:szCs w:val="15"/>
          <w:shd w:val="clear" w:color="auto" w:fill="FFFFFF"/>
        </w:rPr>
        <w:t>．</w:t>
      </w:r>
      <w:r>
        <w:rPr>
          <w:rFonts w:hint="eastAsia" w:ascii="宋体" w:hAnsi="宋体" w:eastAsia="宋体"/>
          <w:color w:val="auto"/>
          <w:sz w:val="15"/>
          <w:szCs w:val="15"/>
          <w:shd w:val="clear" w:color="auto" w:fill="FFFFFF"/>
        </w:rPr>
        <w:br w:type="textWrapping"/>
      </w:r>
      <w:r>
        <w:rPr>
          <w:rFonts w:hint="default" w:ascii="宋体" w:hAnsi="宋体" w:eastAsia="宋体"/>
          <w:color w:val="auto"/>
          <w:sz w:val="15"/>
          <w:szCs w:val="15"/>
          <w:shd w:val="clear" w:color="auto" w:fill="FFFFFF"/>
          <w:lang w:val="en-US"/>
        </w:rPr>
        <w:t>XIAO J F, ZHANG W W, REN D C, et al. Design and development of the application system for the ‘four predictions’ and dynamic monitoring of water resources in the Bengbu-Fushan section of the mainstream of the Huaihe River[J]</w:t>
      </w:r>
      <w:r>
        <w:rPr>
          <w:rFonts w:hint="eastAsia" w:ascii="宋体" w:hAnsi="宋体" w:eastAsia="宋体"/>
          <w:color w:val="auto"/>
          <w:sz w:val="15"/>
          <w:szCs w:val="15"/>
          <w:shd w:val="clear" w:color="auto" w:fill="FFFFFF"/>
        </w:rPr>
        <w:t>．South-to-North Water Transfers and Water Science &amp; Technology</w:t>
      </w:r>
      <w:r>
        <w:rPr>
          <w:rFonts w:hint="default" w:ascii="宋体" w:hAnsi="宋体" w:eastAsia="宋体"/>
          <w:color w:val="auto"/>
          <w:sz w:val="15"/>
          <w:szCs w:val="15"/>
          <w:shd w:val="clear" w:color="auto" w:fill="FFFFFF"/>
          <w:lang w:val="en-US"/>
        </w:rPr>
        <w:t>, 2025, 23(1): 112-118.</w:t>
      </w:r>
    </w:p>
    <w:p w14:paraId="626F885A">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[13]</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陈仁著. 高标准建设数字孪生北江支撑流域防洪联合优化调度[J]. 水利发展研究, 2025, 25(6): 6⁃12.</w:t>
      </w:r>
      <w:r>
        <w:rPr>
          <w:rFonts w:hint="eastAsia"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CHEN Renzhu. Building a high⁃quality digital twin of the Beijiang River to support coordinated flood control regulation in the river basin [J]. Water Resources Development Research, 2025, 25(6) : 6⁃12.</w:t>
      </w:r>
    </w:p>
    <w:p w14:paraId="6BCED89B">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[14]</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刘昌军,吕娟,任明磊,等.</w:t>
      </w:r>
      <w:bookmarkStart w:id="33" w:name="OLE_LINK19"/>
      <w:r>
        <w:rPr>
          <w:rFonts w:hint="eastAsia" w:ascii="宋体" w:hAnsi="宋体" w:eastAsia="宋体"/>
          <w:color w:val="auto"/>
          <w:sz w:val="15"/>
          <w:szCs w:val="15"/>
          <w:shd w:val="clear" w:color="auto" w:fill="FFFFFF"/>
        </w:rPr>
        <w:t>数字孪生淮河流域智慧防洪体系研究与实践</w:t>
      </w:r>
      <w:bookmarkEnd w:id="33"/>
      <w:r>
        <w:rPr>
          <w:rFonts w:hint="eastAsia" w:ascii="宋体" w:hAnsi="宋体" w:eastAsia="宋体"/>
          <w:color w:val="auto"/>
          <w:sz w:val="15"/>
          <w:szCs w:val="15"/>
          <w:shd w:val="clear" w:color="auto" w:fill="FFFFFF"/>
        </w:rPr>
        <w:t>[J].中国防汛抗旱,2022,32</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1):47-53.</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LIU </w:t>
      </w:r>
      <w:r>
        <w:rPr>
          <w:rFonts w:hint="eastAsia" w:ascii="宋体" w:hAnsi="宋体" w:eastAsia="宋体"/>
          <w:color w:val="auto"/>
          <w:sz w:val="15"/>
          <w:szCs w:val="15"/>
          <w:shd w:val="clear" w:color="auto" w:fill="FFCCFF"/>
        </w:rPr>
        <w:t>Changjun</w:t>
      </w:r>
      <w:r>
        <w:rPr>
          <w:rFonts w:hint="eastAsia" w:ascii="宋体" w:hAnsi="宋体" w:eastAsia="宋体"/>
          <w:color w:val="auto"/>
          <w:sz w:val="15"/>
          <w:szCs w:val="15"/>
          <w:shd w:val="clear" w:color="auto" w:fill="FFFFFF"/>
        </w:rPr>
        <w:t xml:space="preserve"> ,</w:t>
      </w:r>
      <w:r>
        <w:rPr>
          <w:rFonts w:hint="eastAsia" w:ascii="宋体" w:hAnsi="宋体" w:eastAsia="宋体"/>
          <w:color w:val="auto"/>
          <w:sz w:val="15"/>
          <w:szCs w:val="15"/>
          <w:shd w:val="clear" w:color="auto" w:fill="FFCCFF"/>
        </w:rPr>
        <w:t>LV Juan</w:t>
      </w:r>
      <w:r>
        <w:rPr>
          <w:rFonts w:hint="eastAsia" w:ascii="宋体" w:hAnsi="宋体" w:eastAsia="宋体"/>
          <w:color w:val="auto"/>
          <w:sz w:val="15"/>
          <w:szCs w:val="15"/>
          <w:shd w:val="clear" w:color="auto" w:fill="FFFFFF"/>
        </w:rPr>
        <w:t xml:space="preserve"> ,REN </w:t>
      </w:r>
      <w:r>
        <w:rPr>
          <w:rFonts w:hint="eastAsia" w:ascii="宋体" w:hAnsi="宋体" w:eastAsia="宋体"/>
          <w:color w:val="auto"/>
          <w:sz w:val="15"/>
          <w:szCs w:val="15"/>
          <w:shd w:val="clear" w:color="auto" w:fill="FFCCFF"/>
        </w:rPr>
        <w:t>Minglei</w:t>
      </w:r>
      <w:r>
        <w:rPr>
          <w:rFonts w:hint="eastAsia" w:ascii="宋体" w:hAnsi="宋体" w:eastAsia="宋体"/>
          <w:color w:val="auto"/>
          <w:sz w:val="15"/>
          <w:szCs w:val="15"/>
          <w:shd w:val="clear" w:color="auto" w:fill="FFFFFF"/>
        </w:rPr>
        <w:t xml:space="preserve">, et al. Research and application of digital twin intelligent flood prevention system in Huaihe River Basin. China Flood </w:t>
      </w:r>
      <w:r>
        <w:rPr>
          <w:rFonts w:hint="eastAsia" w:ascii="宋体" w:hAnsi="宋体" w:eastAsia="宋体"/>
          <w:color w:val="auto"/>
          <w:sz w:val="15"/>
          <w:szCs w:val="15"/>
          <w:shd w:val="clear" w:color="auto" w:fill="FFCCFF"/>
        </w:rPr>
        <w:t>and</w:t>
      </w:r>
      <w:r>
        <w:rPr>
          <w:rFonts w:hint="eastAsia" w:ascii="宋体" w:hAnsi="宋体" w:eastAsia="宋体"/>
          <w:color w:val="auto"/>
          <w:sz w:val="15"/>
          <w:szCs w:val="15"/>
          <w:shd w:val="clear" w:color="auto" w:fill="FFFFFF"/>
        </w:rPr>
        <w:t xml:space="preserve"> Drought Management,2022,32</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1):47-53.</w:t>
      </w:r>
    </w:p>
    <w:p w14:paraId="7958B26F">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[15]</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王丹,胡德祥.</w:t>
      </w:r>
      <w:bookmarkStart w:id="34" w:name="OLE_LINK32"/>
      <w:r>
        <w:rPr>
          <w:rFonts w:hint="eastAsia" w:ascii="宋体" w:hAnsi="宋体" w:eastAsia="宋体"/>
          <w:color w:val="auto"/>
          <w:sz w:val="15"/>
          <w:szCs w:val="15"/>
          <w:shd w:val="clear" w:color="auto" w:fill="FFFFFF"/>
        </w:rPr>
        <w:t>黄河防洪“四预”应用的探索与思考</w:t>
      </w:r>
      <w:bookmarkEnd w:id="34"/>
      <w:r>
        <w:rPr>
          <w:rFonts w:hint="eastAsia" w:ascii="宋体" w:hAnsi="宋体" w:eastAsia="宋体"/>
          <w:color w:val="auto"/>
          <w:sz w:val="15"/>
          <w:szCs w:val="15"/>
          <w:shd w:val="clear" w:color="auto" w:fill="FFFFFF"/>
        </w:rPr>
        <w:t>[J].中国防汛抗旱,2025,35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7):79-84.</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WANG </w:t>
      </w:r>
      <w:r>
        <w:rPr>
          <w:rFonts w:hint="eastAsia" w:ascii="宋体" w:hAnsi="宋体" w:eastAsia="宋体"/>
          <w:color w:val="auto"/>
          <w:sz w:val="15"/>
          <w:szCs w:val="15"/>
          <w:shd w:val="clear" w:color="auto" w:fill="FFCCFF"/>
        </w:rPr>
        <w:t>dan</w:t>
      </w:r>
      <w:r>
        <w:rPr>
          <w:rFonts w:hint="eastAsia" w:ascii="宋体" w:hAnsi="宋体" w:eastAsia="宋体"/>
          <w:color w:val="auto"/>
          <w:sz w:val="15"/>
          <w:szCs w:val="15"/>
          <w:shd w:val="clear" w:color="auto" w:fill="FFFFFF"/>
        </w:rPr>
        <w:t xml:space="preserve">, HU </w:t>
      </w:r>
      <w:r>
        <w:rPr>
          <w:rFonts w:hint="eastAsia" w:ascii="宋体" w:hAnsi="宋体" w:eastAsia="宋体"/>
          <w:color w:val="auto"/>
          <w:sz w:val="15"/>
          <w:szCs w:val="15"/>
          <w:shd w:val="clear" w:color="auto" w:fill="FFCCFF"/>
        </w:rPr>
        <w:t>dexiang</w:t>
      </w:r>
      <w:r>
        <w:rPr>
          <w:rFonts w:hint="eastAsia" w:ascii="宋体" w:hAnsi="宋体" w:eastAsia="宋体"/>
          <w:color w:val="auto"/>
          <w:sz w:val="15"/>
          <w:szCs w:val="15"/>
          <w:shd w:val="clear" w:color="auto" w:fill="FFFFFF"/>
        </w:rPr>
        <w:t>. Exploration and reflection on the application of the “Four Preliminaries</w:t>
      </w:r>
      <w:r>
        <w:rPr>
          <w:rFonts w:ascii="宋体" w:hAnsi="宋体" w:eastAsia="宋体"/>
          <w:color w:val="auto"/>
          <w:sz w:val="15"/>
          <w:szCs w:val="15"/>
          <w:shd w:val="clear" w:color="auto" w:fill="FFFFFF"/>
        </w:rPr>
        <w:t>”</w:t>
      </w:r>
      <w:r>
        <w:rPr>
          <w:rFonts w:hint="eastAsia" w:ascii="宋体" w:hAnsi="宋体" w:eastAsia="宋体"/>
          <w:color w:val="auto"/>
          <w:sz w:val="15"/>
          <w:szCs w:val="15"/>
          <w:shd w:val="clear" w:color="auto" w:fill="FFFFFF"/>
        </w:rPr>
        <w:t xml:space="preserve"> for the Yellow River flood control. China Flood </w:t>
      </w:r>
      <w:r>
        <w:rPr>
          <w:rFonts w:hint="eastAsia" w:ascii="宋体" w:hAnsi="宋体" w:eastAsia="宋体"/>
          <w:color w:val="auto"/>
          <w:sz w:val="15"/>
          <w:szCs w:val="15"/>
          <w:shd w:val="clear" w:color="auto" w:fill="FFCCFF"/>
        </w:rPr>
        <w:t>and</w:t>
      </w:r>
      <w:r>
        <w:rPr>
          <w:rFonts w:hint="eastAsia" w:ascii="宋体" w:hAnsi="宋体" w:eastAsia="宋体"/>
          <w:color w:val="auto"/>
          <w:sz w:val="15"/>
          <w:szCs w:val="15"/>
          <w:shd w:val="clear" w:color="auto" w:fill="FFFFFF"/>
        </w:rPr>
        <w:t xml:space="preserve"> Drought Management,</w:t>
      </w:r>
      <w:r>
        <w:rPr>
          <w:rFonts w:hint="eastAsia"/>
          <w:color w:val="auto"/>
          <w:shd w:val="clear" w:color="auto" w:fill="FFFFFF"/>
        </w:rPr>
        <w:t xml:space="preserve"> </w:t>
      </w:r>
      <w:r>
        <w:rPr>
          <w:rFonts w:hint="eastAsia" w:ascii="宋体" w:hAnsi="宋体" w:eastAsia="宋体"/>
          <w:color w:val="auto"/>
          <w:sz w:val="15"/>
          <w:szCs w:val="15"/>
          <w:shd w:val="clear" w:color="auto" w:fill="FFFFFF"/>
        </w:rPr>
        <w:t>2025,35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7):79-84.</w:t>
      </w:r>
    </w:p>
    <w:p w14:paraId="5AC23D8A">
      <w:pPr>
        <w:pStyle w:val="2"/>
        <w:spacing w:line="240" w:lineRule="auto"/>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[16]</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彭直.</w:t>
      </w:r>
      <w:bookmarkStart w:id="35" w:name="OLE_LINK33"/>
      <w:r>
        <w:rPr>
          <w:rFonts w:hint="eastAsia" w:ascii="宋体" w:hAnsi="宋体" w:eastAsia="宋体"/>
          <w:color w:val="auto"/>
          <w:sz w:val="15"/>
          <w:szCs w:val="15"/>
          <w:shd w:val="clear" w:color="auto" w:fill="FFFFFF"/>
        </w:rPr>
        <w:t>基于信息化的黄河下游防洪工程管理效能提升研究</w:t>
      </w:r>
      <w:bookmarkEnd w:id="35"/>
      <w:r>
        <w:rPr>
          <w:rFonts w:hint="eastAsia" w:ascii="宋体" w:hAnsi="宋体" w:eastAsia="宋体"/>
          <w:color w:val="auto"/>
          <w:sz w:val="15"/>
          <w:szCs w:val="15"/>
          <w:shd w:val="clear" w:color="auto" w:fill="FFFFFF"/>
        </w:rPr>
        <w:t>[D].开封：</w:t>
      </w:r>
      <w:bookmarkStart w:id="36" w:name="OLE_LINK25"/>
      <w:r>
        <w:rPr>
          <w:rFonts w:hint="eastAsia" w:ascii="宋体" w:hAnsi="宋体" w:eastAsia="宋体"/>
          <w:color w:val="auto"/>
          <w:sz w:val="15"/>
          <w:szCs w:val="15"/>
          <w:shd w:val="clear" w:color="auto" w:fill="FFFFFF"/>
        </w:rPr>
        <w:t>河南大学</w:t>
      </w:r>
      <w:bookmarkEnd w:id="36"/>
      <w:bookmarkStart w:id="37" w:name="OLE_LINK26"/>
      <w:r>
        <w:rPr>
          <w:rFonts w:hint="eastAsia" w:ascii="宋体" w:hAnsi="宋体" w:eastAsia="宋体"/>
          <w:color w:val="auto"/>
          <w:sz w:val="15"/>
          <w:szCs w:val="15"/>
          <w:shd w:val="clear" w:color="auto" w:fill="FFFFFF"/>
        </w:rPr>
        <w:t>,2024.</w:t>
      </w:r>
      <w:bookmarkEnd w:id="37"/>
      <w:r>
        <w:rPr>
          <w:rFonts w:hint="eastAsia"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PENG Zhi. Research on the Improvement of Management Efficiency of Flood Control Projects in the Lower Yellow River Based on Information Technology[D]. Kaifeng: Henan University, 2024.</w:t>
      </w:r>
    </w:p>
    <w:p w14:paraId="68BFC2A7">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[17]</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张建伟,李毅男,张龑,等.基于数字孪生的水库大坝安全监测：关键技术与应用[J].华北水利水电大学学报(自然科学版),</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2025,</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46</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1-9.</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ZHANG </w:t>
      </w:r>
      <w:r>
        <w:rPr>
          <w:rFonts w:hint="eastAsia" w:ascii="宋体" w:hAnsi="宋体" w:eastAsia="宋体"/>
          <w:color w:val="auto"/>
          <w:sz w:val="15"/>
          <w:szCs w:val="15"/>
          <w:shd w:val="clear" w:color="auto" w:fill="FFCCFF"/>
        </w:rPr>
        <w:t>Jianwei</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Yinan</w:t>
      </w:r>
      <w:r>
        <w:rPr>
          <w:rFonts w:hint="eastAsia" w:ascii="宋体" w:hAnsi="宋体" w:eastAsia="宋体"/>
          <w:color w:val="auto"/>
          <w:sz w:val="15"/>
          <w:szCs w:val="15"/>
          <w:shd w:val="clear" w:color="auto" w:fill="FFFFFF"/>
        </w:rPr>
        <w:t xml:space="preserve">, ZHANG </w:t>
      </w:r>
      <w:r>
        <w:rPr>
          <w:rFonts w:hint="eastAsia" w:ascii="宋体" w:hAnsi="宋体" w:eastAsia="宋体"/>
          <w:color w:val="auto"/>
          <w:sz w:val="15"/>
          <w:szCs w:val="15"/>
          <w:shd w:val="clear" w:color="auto" w:fill="FFCCFF"/>
        </w:rPr>
        <w:t>Yan</w:t>
      </w:r>
      <w:r>
        <w:rPr>
          <w:rFonts w:hint="eastAsia" w:ascii="宋体" w:hAnsi="宋体" w:eastAsia="宋体"/>
          <w:color w:val="auto"/>
          <w:sz w:val="15"/>
          <w:szCs w:val="15"/>
          <w:shd w:val="clear" w:color="auto" w:fill="FFFFFF"/>
        </w:rPr>
        <w:t xml:space="preserve">, et al. Reservoir dam safety monitoring based on digital twin: </w:t>
      </w:r>
      <w:r>
        <w:rPr>
          <w:rFonts w:hint="eastAsia" w:ascii="宋体" w:hAnsi="宋体" w:eastAsia="宋体"/>
          <w:color w:val="auto"/>
          <w:sz w:val="15"/>
          <w:szCs w:val="15"/>
          <w:shd w:val="clear" w:color="auto" w:fill="D9D9D9"/>
        </w:rPr>
        <w:t>K</w:t>
      </w:r>
      <w:r>
        <w:rPr>
          <w:rFonts w:hint="eastAsia" w:ascii="宋体" w:hAnsi="宋体" w:eastAsia="宋体"/>
          <w:color w:val="auto"/>
          <w:sz w:val="15"/>
          <w:szCs w:val="15"/>
          <w:shd w:val="clear" w:color="auto" w:fill="FFFFFF"/>
        </w:rPr>
        <w:t>ey technologies and applications[J]. Journal of North China University of Water Resources and Electric Power(Natural Science Edition), 2025, 46(3):1-9.</w:t>
      </w:r>
    </w:p>
    <w:p w14:paraId="1F9B739C">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[18]</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耿振云.数字孪生水利发展历程、关键技术与设计要点[J].</w:t>
      </w:r>
      <w:bookmarkStart w:id="38" w:name="OLE_LINK20"/>
      <w:r>
        <w:rPr>
          <w:rFonts w:hint="eastAsia" w:ascii="宋体" w:hAnsi="宋体" w:eastAsia="宋体"/>
          <w:color w:val="auto"/>
          <w:sz w:val="15"/>
          <w:szCs w:val="15"/>
          <w:shd w:val="clear" w:color="auto" w:fill="FFFFFF"/>
        </w:rPr>
        <w:t>水利水电工程设计</w:t>
      </w:r>
      <w:bookmarkEnd w:id="38"/>
      <w:r>
        <w:rPr>
          <w:rFonts w:hint="eastAsia" w:ascii="宋体" w:hAnsi="宋体" w:eastAsia="宋体"/>
          <w:color w:val="auto"/>
          <w:sz w:val="15"/>
          <w:szCs w:val="15"/>
          <w:shd w:val="clear" w:color="auto" w:fill="FFFFFF"/>
        </w:rPr>
        <w:t>,2025,44</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3):1-9.</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GENG </w:t>
      </w:r>
      <w:r>
        <w:rPr>
          <w:rFonts w:hint="eastAsia" w:ascii="宋体" w:hAnsi="宋体" w:eastAsia="宋体"/>
          <w:color w:val="auto"/>
          <w:sz w:val="15"/>
          <w:szCs w:val="15"/>
          <w:shd w:val="clear" w:color="auto" w:fill="FFCCFF"/>
        </w:rPr>
        <w:t>Zhenyun</w:t>
      </w:r>
      <w:r>
        <w:rPr>
          <w:rFonts w:hint="eastAsia" w:ascii="宋体" w:hAnsi="宋体" w:eastAsia="宋体"/>
          <w:color w:val="auto"/>
          <w:sz w:val="15"/>
          <w:szCs w:val="15"/>
          <w:shd w:val="clear" w:color="auto" w:fill="FFFFFF"/>
        </w:rPr>
        <w:t>. Development history, key technologies, and design principles of digital twin water conservancy[J].</w:t>
      </w:r>
      <w:r>
        <w:rPr>
          <w:rFonts w:hint="eastAsia"/>
          <w:color w:val="auto"/>
          <w:shd w:val="clear" w:color="auto" w:fill="FFFFFF"/>
        </w:rPr>
        <w:t xml:space="preserve"> </w:t>
      </w:r>
      <w:r>
        <w:rPr>
          <w:rFonts w:hint="eastAsia" w:ascii="宋体" w:hAnsi="宋体" w:eastAsia="宋体"/>
          <w:color w:val="auto"/>
          <w:sz w:val="15"/>
          <w:szCs w:val="15"/>
          <w:shd w:val="clear" w:color="auto" w:fill="FFFFFF"/>
        </w:rPr>
        <w:t xml:space="preserve">Design </w:t>
      </w:r>
      <w:r>
        <w:rPr>
          <w:rFonts w:hint="eastAsia" w:ascii="宋体" w:hAnsi="宋体" w:eastAsia="宋体"/>
          <w:color w:val="auto"/>
          <w:sz w:val="15"/>
          <w:szCs w:val="15"/>
          <w:shd w:val="clear" w:color="auto" w:fill="D9D9D9"/>
        </w:rPr>
        <w:t>o</w:t>
      </w:r>
      <w:r>
        <w:rPr>
          <w:rFonts w:hint="eastAsia" w:ascii="宋体" w:hAnsi="宋体" w:eastAsia="宋体"/>
          <w:color w:val="auto"/>
          <w:sz w:val="15"/>
          <w:szCs w:val="15"/>
          <w:shd w:val="clear" w:color="auto" w:fill="FFFFFF"/>
        </w:rPr>
        <w:t>f Water Resources &amp; Hydroelectric Engineering,2025,44</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3):1-9.</w:t>
      </w:r>
    </w:p>
    <w:p w14:paraId="29AEF393">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[19]</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王晓莹,孔千慧,戴梦圆,等.数字孪生水利技术赋能河长制的实现路径与对策[J].水利经济,2023,41</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4):75-81.</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WANG </w:t>
      </w:r>
      <w:r>
        <w:rPr>
          <w:rFonts w:hint="eastAsia" w:ascii="宋体" w:hAnsi="宋体" w:eastAsia="宋体"/>
          <w:color w:val="auto"/>
          <w:sz w:val="15"/>
          <w:szCs w:val="15"/>
          <w:shd w:val="clear" w:color="auto" w:fill="FFCCFF"/>
        </w:rPr>
        <w:t>Xiaoying</w:t>
      </w:r>
      <w:r>
        <w:rPr>
          <w:rFonts w:hint="eastAsia" w:ascii="宋体" w:hAnsi="宋体" w:eastAsia="宋体"/>
          <w:color w:val="auto"/>
          <w:sz w:val="15"/>
          <w:szCs w:val="15"/>
          <w:shd w:val="clear" w:color="auto" w:fill="FFFFFF"/>
        </w:rPr>
        <w:t xml:space="preserve">, KONG </w:t>
      </w:r>
      <w:r>
        <w:rPr>
          <w:rFonts w:hint="eastAsia" w:ascii="宋体" w:hAnsi="宋体" w:eastAsia="宋体"/>
          <w:color w:val="auto"/>
          <w:sz w:val="15"/>
          <w:szCs w:val="15"/>
          <w:shd w:val="clear" w:color="auto" w:fill="FFCCFF"/>
        </w:rPr>
        <w:t>Qianhui</w:t>
      </w:r>
      <w:r>
        <w:rPr>
          <w:rFonts w:hint="eastAsia" w:ascii="宋体" w:hAnsi="宋体" w:eastAsia="宋体"/>
          <w:color w:val="auto"/>
          <w:sz w:val="15"/>
          <w:szCs w:val="15"/>
          <w:shd w:val="clear" w:color="auto" w:fill="FFFFFF"/>
        </w:rPr>
        <w:t xml:space="preserve">, DAI </w:t>
      </w:r>
      <w:r>
        <w:rPr>
          <w:rFonts w:hint="eastAsia" w:ascii="宋体" w:hAnsi="宋体" w:eastAsia="宋体"/>
          <w:color w:val="auto"/>
          <w:sz w:val="15"/>
          <w:szCs w:val="15"/>
          <w:shd w:val="clear" w:color="auto" w:fill="FFCCFF"/>
        </w:rPr>
        <w:t>Mengyuan</w:t>
      </w:r>
      <w:r>
        <w:rPr>
          <w:rFonts w:hint="eastAsia" w:ascii="宋体" w:hAnsi="宋体" w:eastAsia="宋体"/>
          <w:color w:val="auto"/>
          <w:sz w:val="15"/>
          <w:szCs w:val="15"/>
          <w:shd w:val="clear" w:color="auto" w:fill="FFFFFF"/>
        </w:rPr>
        <w:t>, et al. The realization path and countermeasures for the implementation of the twin water technology-enabled river chief system[J]. Journal of Economics of Water Resources, 2023, 41(4):75-81.</w:t>
      </w:r>
    </w:p>
    <w:p w14:paraId="37C32851">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[20]</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纪国良,李经天,杨琨,等.长江流域重点防洪对象可视化模拟仿真关键技术研究[J].水电能源科学,2025,43(11):216-220.</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JI </w:t>
      </w:r>
      <w:r>
        <w:rPr>
          <w:rFonts w:hint="eastAsia" w:ascii="宋体" w:hAnsi="宋体" w:eastAsia="宋体"/>
          <w:color w:val="auto"/>
          <w:sz w:val="15"/>
          <w:szCs w:val="15"/>
          <w:shd w:val="clear" w:color="auto" w:fill="FFCCFF"/>
        </w:rPr>
        <w:t>guoliang</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Jingtian</w:t>
      </w:r>
      <w:r>
        <w:rPr>
          <w:rFonts w:hint="eastAsia" w:ascii="宋体" w:hAnsi="宋体" w:eastAsia="宋体"/>
          <w:color w:val="auto"/>
          <w:sz w:val="15"/>
          <w:szCs w:val="15"/>
          <w:shd w:val="clear" w:color="auto" w:fill="FFFFFF"/>
        </w:rPr>
        <w:t xml:space="preserve">, YANG </w:t>
      </w:r>
      <w:r>
        <w:rPr>
          <w:rFonts w:hint="eastAsia" w:ascii="宋体" w:hAnsi="宋体" w:eastAsia="宋体"/>
          <w:color w:val="auto"/>
          <w:sz w:val="15"/>
          <w:szCs w:val="15"/>
          <w:shd w:val="clear" w:color="auto" w:fill="FFCCFF"/>
        </w:rPr>
        <w:t>Kun</w:t>
      </w:r>
      <w:r>
        <w:rPr>
          <w:rFonts w:hint="eastAsia" w:ascii="宋体" w:hAnsi="宋体" w:eastAsia="宋体"/>
          <w:color w:val="auto"/>
          <w:sz w:val="15"/>
          <w:szCs w:val="15"/>
          <w:shd w:val="clear" w:color="auto" w:fill="FFFFFF"/>
        </w:rPr>
        <w:t xml:space="preserve">, et al. Research on key technologies for visual simulation of priority flood control targets in the Yangtze River </w:t>
      </w:r>
      <w:r>
        <w:rPr>
          <w:rFonts w:hint="eastAsia" w:ascii="宋体" w:hAnsi="宋体" w:eastAsia="宋体"/>
          <w:color w:val="auto"/>
          <w:sz w:val="15"/>
          <w:szCs w:val="15"/>
          <w:shd w:val="clear" w:color="auto" w:fill="D9D9D9"/>
        </w:rPr>
        <w:t>B</w:t>
      </w:r>
      <w:r>
        <w:rPr>
          <w:rFonts w:hint="eastAsia" w:ascii="宋体" w:hAnsi="宋体" w:eastAsia="宋体"/>
          <w:color w:val="auto"/>
          <w:sz w:val="15"/>
          <w:szCs w:val="15"/>
          <w:shd w:val="clear" w:color="auto" w:fill="FFFFFF"/>
        </w:rPr>
        <w:t>asins[J]. Water Resources and Power, 2025,43(11):216-220.</w:t>
      </w:r>
    </w:p>
    <w:p w14:paraId="54EE8411">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[21]</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李喆,向大享,陈喆,等.数字孪生驱动的长江流域干旱防御平台设计与开发[J].长江科学院院报,2024,41</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8):180-188.</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LI </w:t>
      </w:r>
      <w:r>
        <w:rPr>
          <w:rFonts w:hint="eastAsia" w:ascii="宋体" w:hAnsi="宋体" w:eastAsia="宋体"/>
          <w:color w:val="auto"/>
          <w:sz w:val="15"/>
          <w:szCs w:val="15"/>
          <w:shd w:val="clear" w:color="auto" w:fill="FFCCFF"/>
        </w:rPr>
        <w:t>Zhe</w:t>
      </w:r>
      <w:r>
        <w:rPr>
          <w:rFonts w:hint="eastAsia" w:ascii="宋体" w:hAnsi="宋体" w:eastAsia="宋体"/>
          <w:color w:val="auto"/>
          <w:sz w:val="15"/>
          <w:szCs w:val="15"/>
          <w:shd w:val="clear" w:color="auto" w:fill="FFFFFF"/>
        </w:rPr>
        <w:t xml:space="preserve">, XIANG </w:t>
      </w:r>
      <w:r>
        <w:rPr>
          <w:rFonts w:hint="eastAsia" w:ascii="宋体" w:hAnsi="宋体" w:eastAsia="宋体"/>
          <w:color w:val="auto"/>
          <w:sz w:val="15"/>
          <w:szCs w:val="15"/>
          <w:shd w:val="clear" w:color="auto" w:fill="FFCCFF"/>
        </w:rPr>
        <w:t>Daxiang</w:t>
      </w:r>
      <w:r>
        <w:rPr>
          <w:rFonts w:hint="eastAsia" w:ascii="宋体" w:hAnsi="宋体" w:eastAsia="宋体"/>
          <w:color w:val="auto"/>
          <w:sz w:val="15"/>
          <w:szCs w:val="15"/>
          <w:shd w:val="clear" w:color="auto" w:fill="FFFFFF"/>
        </w:rPr>
        <w:t xml:space="preserve">, CHEN </w:t>
      </w:r>
      <w:r>
        <w:rPr>
          <w:rFonts w:hint="eastAsia" w:ascii="宋体" w:hAnsi="宋体" w:eastAsia="宋体"/>
          <w:color w:val="auto"/>
          <w:sz w:val="15"/>
          <w:szCs w:val="15"/>
          <w:shd w:val="clear" w:color="auto" w:fill="FFCCFF"/>
        </w:rPr>
        <w:t>Zhe</w:t>
      </w:r>
      <w:r>
        <w:rPr>
          <w:rFonts w:hint="eastAsia" w:ascii="宋体" w:hAnsi="宋体" w:eastAsia="宋体"/>
          <w:color w:val="auto"/>
          <w:sz w:val="15"/>
          <w:szCs w:val="15"/>
          <w:shd w:val="clear" w:color="auto" w:fill="FFFFFF"/>
        </w:rPr>
        <w:t xml:space="preserve">, et al. Drought resistance information platform driven by digital twins for the Changjiang </w:t>
      </w:r>
      <w:r>
        <w:rPr>
          <w:rFonts w:hint="eastAsia" w:ascii="宋体" w:hAnsi="宋体" w:eastAsia="宋体"/>
          <w:color w:val="auto"/>
          <w:sz w:val="15"/>
          <w:szCs w:val="15"/>
          <w:shd w:val="clear" w:color="auto" w:fill="D9D9D9"/>
        </w:rPr>
        <w:t>R</w:t>
      </w:r>
      <w:r>
        <w:rPr>
          <w:rFonts w:hint="eastAsia" w:ascii="宋体" w:hAnsi="宋体" w:eastAsia="宋体"/>
          <w:color w:val="auto"/>
          <w:sz w:val="15"/>
          <w:szCs w:val="15"/>
          <w:shd w:val="clear" w:color="auto" w:fill="FFFFFF"/>
        </w:rPr>
        <w:t xml:space="preserve">iver </w:t>
      </w:r>
      <w:r>
        <w:rPr>
          <w:rFonts w:hint="eastAsia" w:ascii="宋体" w:hAnsi="宋体" w:eastAsia="宋体"/>
          <w:color w:val="auto"/>
          <w:sz w:val="15"/>
          <w:szCs w:val="15"/>
          <w:shd w:val="clear" w:color="auto" w:fill="D9D9D9"/>
        </w:rPr>
        <w:t>B</w:t>
      </w:r>
      <w:r>
        <w:rPr>
          <w:rFonts w:hint="eastAsia" w:ascii="宋体" w:hAnsi="宋体" w:eastAsia="宋体"/>
          <w:color w:val="auto"/>
          <w:sz w:val="15"/>
          <w:szCs w:val="15"/>
          <w:shd w:val="clear" w:color="auto" w:fill="FFFFFF"/>
        </w:rPr>
        <w:t xml:space="preserve">asin: </w:t>
      </w:r>
      <w:r>
        <w:rPr>
          <w:rFonts w:hint="eastAsia" w:ascii="宋体" w:hAnsi="宋体" w:eastAsia="宋体"/>
          <w:color w:val="auto"/>
          <w:sz w:val="15"/>
          <w:szCs w:val="15"/>
          <w:shd w:val="clear" w:color="auto" w:fill="D9D9D9"/>
        </w:rPr>
        <w:t>D</w:t>
      </w:r>
      <w:r>
        <w:rPr>
          <w:rFonts w:hint="eastAsia" w:ascii="宋体" w:hAnsi="宋体" w:eastAsia="宋体"/>
          <w:color w:val="auto"/>
          <w:sz w:val="15"/>
          <w:szCs w:val="15"/>
          <w:shd w:val="clear" w:color="auto" w:fill="FFFFFF"/>
        </w:rPr>
        <w:t>esign and development[J]. Journal of Changjiang River Scientific Research Institute, 2024,41</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8):180-188.</w:t>
      </w:r>
    </w:p>
    <w:p w14:paraId="5D4D5571">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[22]</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黄艳,张振东,李琪,等.智慧长江建设关键技术难点与解决方案的思考与探索[J].水利学报,2023,54(10):1141-1150.</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HUANG </w:t>
      </w:r>
      <w:r>
        <w:rPr>
          <w:rFonts w:hint="eastAsia" w:ascii="宋体" w:hAnsi="宋体" w:eastAsia="宋体"/>
          <w:color w:val="auto"/>
          <w:sz w:val="15"/>
          <w:szCs w:val="15"/>
          <w:shd w:val="clear" w:color="auto" w:fill="FFCCFF"/>
        </w:rPr>
        <w:t>Yan</w:t>
      </w:r>
      <w:r>
        <w:rPr>
          <w:rFonts w:hint="eastAsia" w:ascii="宋体" w:hAnsi="宋体" w:eastAsia="宋体"/>
          <w:color w:val="auto"/>
          <w:sz w:val="15"/>
          <w:szCs w:val="15"/>
          <w:shd w:val="clear" w:color="auto" w:fill="FFFFFF"/>
        </w:rPr>
        <w:t xml:space="preserve">, ZHANG </w:t>
      </w:r>
      <w:r>
        <w:rPr>
          <w:rFonts w:hint="eastAsia" w:ascii="宋体" w:hAnsi="宋体" w:eastAsia="宋体"/>
          <w:color w:val="auto"/>
          <w:sz w:val="15"/>
          <w:szCs w:val="15"/>
          <w:shd w:val="clear" w:color="auto" w:fill="FFCCFF"/>
        </w:rPr>
        <w:t>Zhendong</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Qi</w:t>
      </w:r>
      <w:r>
        <w:rPr>
          <w:rFonts w:hint="eastAsia" w:ascii="宋体" w:hAnsi="宋体" w:eastAsia="宋体"/>
          <w:color w:val="auto"/>
          <w:sz w:val="15"/>
          <w:szCs w:val="15"/>
          <w:shd w:val="clear" w:color="auto" w:fill="FFFFFF"/>
        </w:rPr>
        <w:t>, et al. Thinking and exploration of key technical difficulties and solutions in the construction of the Smart Yangtze River[J]. Journal of Hydraulic Engineering, 2023,54(10):1141-1150.</w:t>
      </w:r>
    </w:p>
    <w:p w14:paraId="7AD3C503">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[23]</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孙茜,贾颖颖,孙高祚,等.数字技术赋能黄河流域创新发展治理研究[J].中国科学院院刊,2024,39</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6):1000-1011.</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SUN </w:t>
      </w:r>
      <w:r>
        <w:rPr>
          <w:rFonts w:hint="eastAsia" w:ascii="宋体" w:hAnsi="宋体" w:eastAsia="宋体"/>
          <w:color w:val="auto"/>
          <w:sz w:val="15"/>
          <w:szCs w:val="15"/>
          <w:shd w:val="clear" w:color="auto" w:fill="FFCCFF"/>
        </w:rPr>
        <w:t>Qian</w:t>
      </w:r>
      <w:r>
        <w:rPr>
          <w:rFonts w:hint="eastAsia" w:ascii="宋体" w:hAnsi="宋体" w:eastAsia="宋体"/>
          <w:color w:val="auto"/>
          <w:sz w:val="15"/>
          <w:szCs w:val="15"/>
          <w:shd w:val="clear" w:color="auto" w:fill="FFFFFF"/>
        </w:rPr>
        <w:t xml:space="preserve">, JIA </w:t>
      </w:r>
      <w:r>
        <w:rPr>
          <w:rFonts w:hint="eastAsia" w:ascii="宋体" w:hAnsi="宋体" w:eastAsia="宋体"/>
          <w:color w:val="auto"/>
          <w:sz w:val="15"/>
          <w:szCs w:val="15"/>
          <w:shd w:val="clear" w:color="auto" w:fill="FFCCFF"/>
        </w:rPr>
        <w:t>Yingying</w:t>
      </w:r>
      <w:r>
        <w:rPr>
          <w:rFonts w:hint="eastAsia" w:ascii="宋体" w:hAnsi="宋体" w:eastAsia="宋体"/>
          <w:color w:val="auto"/>
          <w:sz w:val="15"/>
          <w:szCs w:val="15"/>
          <w:shd w:val="clear" w:color="auto" w:fill="FFFFFF"/>
        </w:rPr>
        <w:t xml:space="preserve">, SUN </w:t>
      </w:r>
      <w:r>
        <w:rPr>
          <w:rFonts w:hint="eastAsia" w:ascii="宋体" w:hAnsi="宋体" w:eastAsia="宋体"/>
          <w:color w:val="auto"/>
          <w:sz w:val="15"/>
          <w:szCs w:val="15"/>
          <w:shd w:val="clear" w:color="auto" w:fill="FFCCFF"/>
        </w:rPr>
        <w:t>Gaozuo</w:t>
      </w:r>
      <w:r>
        <w:rPr>
          <w:rFonts w:hint="eastAsia" w:ascii="宋体" w:hAnsi="宋体" w:eastAsia="宋体"/>
          <w:color w:val="auto"/>
          <w:sz w:val="15"/>
          <w:szCs w:val="15"/>
          <w:shd w:val="clear" w:color="auto" w:fill="FFFFFF"/>
        </w:rPr>
        <w:t>, et al. Digital technologies empower innovative development governance of the Yellow River Basin[J]. Bulletin of Chinese Academy of Sciences,2024,39</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6):1000-1011.</w:t>
      </w:r>
    </w:p>
    <w:p w14:paraId="2939F2B0">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[24]</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祝宾皓,夏润亮,李涛,等.数字孪生黄河知识平台建设初探[J].人民黄河,2025,47</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8):32-38.</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ZHU </w:t>
      </w:r>
      <w:r>
        <w:rPr>
          <w:rFonts w:hint="eastAsia" w:ascii="宋体" w:hAnsi="宋体" w:eastAsia="宋体"/>
          <w:color w:val="auto"/>
          <w:sz w:val="15"/>
          <w:szCs w:val="15"/>
          <w:shd w:val="clear" w:color="auto" w:fill="FFCCFF"/>
        </w:rPr>
        <w:t>Binhao</w:t>
      </w:r>
      <w:r>
        <w:rPr>
          <w:rFonts w:hint="eastAsia" w:ascii="宋体" w:hAnsi="宋体" w:eastAsia="宋体"/>
          <w:color w:val="auto"/>
          <w:sz w:val="15"/>
          <w:szCs w:val="15"/>
          <w:shd w:val="clear" w:color="auto" w:fill="FFFFFF"/>
        </w:rPr>
        <w:t xml:space="preserve">, XIA </w:t>
      </w:r>
      <w:r>
        <w:rPr>
          <w:rFonts w:hint="eastAsia" w:ascii="宋体" w:hAnsi="宋体" w:eastAsia="宋体"/>
          <w:color w:val="auto"/>
          <w:sz w:val="15"/>
          <w:szCs w:val="15"/>
          <w:shd w:val="clear" w:color="auto" w:fill="FFCCFF"/>
        </w:rPr>
        <w:t>Runliang</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Tao</w:t>
      </w:r>
      <w:r>
        <w:rPr>
          <w:rFonts w:hint="eastAsia" w:ascii="宋体" w:hAnsi="宋体" w:eastAsia="宋体"/>
          <w:color w:val="auto"/>
          <w:sz w:val="15"/>
          <w:szCs w:val="15"/>
          <w:shd w:val="clear" w:color="auto" w:fill="FFFFFF"/>
        </w:rPr>
        <w:t>, et al. Preliminary study on the construction of the digital twin Yellow River knowledge platform[J]. Yellow River, 2025,47</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8):32-38.</w:t>
      </w:r>
    </w:p>
    <w:p w14:paraId="2F200150">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[25]</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戴济群.关于因地制宜发展水利新质生产力的思考[J].中国水利,2024</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6):6-11.</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DAI </w:t>
      </w:r>
      <w:r>
        <w:rPr>
          <w:rFonts w:hint="eastAsia" w:ascii="宋体" w:hAnsi="宋体" w:eastAsia="宋体"/>
          <w:color w:val="auto"/>
          <w:sz w:val="15"/>
          <w:szCs w:val="15"/>
          <w:shd w:val="clear" w:color="auto" w:fill="FFCCFF"/>
        </w:rPr>
        <w:t>Jiqun</w:t>
      </w:r>
      <w:r>
        <w:rPr>
          <w:rFonts w:hint="eastAsia" w:ascii="宋体" w:hAnsi="宋体" w:eastAsia="宋体"/>
          <w:color w:val="auto"/>
          <w:sz w:val="15"/>
          <w:szCs w:val="15"/>
          <w:shd w:val="clear" w:color="auto" w:fill="FFFFFF"/>
        </w:rPr>
        <w:t>. Thinking on developing new quality productive forces of water conservancy according to local conditions[J]. China Water Resources,</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2024(6):6-11.</w:t>
      </w:r>
    </w:p>
    <w:p w14:paraId="79DF1674">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[26]</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刘君武,陈岳飞,陈川.数字孪生技术在智慧能源行业的应用[J].中国检验检测,2022,30</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2):</w:t>
      </w:r>
      <w:r>
        <w:rPr>
          <w:rFonts w:hint="eastAsia" w:ascii="宋体" w:hAnsi="宋体" w:eastAsia="宋体"/>
          <w:color w:val="auto"/>
          <w:sz w:val="15"/>
          <w:szCs w:val="15"/>
          <w:shd w:val="clear" w:color="auto" w:fill="FFCCFF"/>
        </w:rPr>
        <w:t>27</w:t>
      </w:r>
      <w:r>
        <w:rPr>
          <w:rFonts w:hint="eastAsia" w:ascii="宋体" w:hAnsi="宋体" w:eastAsia="宋体"/>
          <w:color w:val="auto"/>
          <w:sz w:val="15"/>
          <w:szCs w:val="15"/>
          <w:shd w:val="clear" w:color="auto" w:fill="FFFFFF"/>
        </w:rPr>
        <w:t>-</w:t>
      </w:r>
      <w:r>
        <w:rPr>
          <w:rFonts w:hint="eastAsia" w:ascii="宋体" w:hAnsi="宋体" w:eastAsia="宋体"/>
          <w:color w:val="auto"/>
          <w:sz w:val="15"/>
          <w:szCs w:val="15"/>
          <w:shd w:val="clear" w:color="auto" w:fill="FFCCFF"/>
        </w:rPr>
        <w:t>31</w:t>
      </w:r>
      <w:r>
        <w:rPr>
          <w:rFonts w:hint="eastAsia" w:ascii="宋体" w:hAnsi="宋体" w:eastAsia="宋体"/>
          <w:color w:val="auto"/>
          <w:sz w:val="15"/>
          <w:szCs w:val="15"/>
          <w:shd w:val="clear" w:color="auto" w:fill="FFFFFF"/>
        </w:rPr>
        <w:t>.</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LIU </w:t>
      </w:r>
      <w:r>
        <w:rPr>
          <w:rFonts w:hint="eastAsia" w:ascii="宋体" w:hAnsi="宋体" w:eastAsia="宋体"/>
          <w:color w:val="auto"/>
          <w:sz w:val="15"/>
          <w:szCs w:val="15"/>
          <w:shd w:val="clear" w:color="auto" w:fill="FFCCFF"/>
        </w:rPr>
        <w:t>Junwu</w:t>
      </w:r>
      <w:r>
        <w:rPr>
          <w:rFonts w:hint="eastAsia" w:ascii="宋体" w:hAnsi="宋体" w:eastAsia="宋体"/>
          <w:color w:val="auto"/>
          <w:sz w:val="15"/>
          <w:szCs w:val="15"/>
          <w:shd w:val="clear" w:color="auto" w:fill="FFFFFF"/>
        </w:rPr>
        <w:t xml:space="preserve">, CHEN </w:t>
      </w:r>
      <w:r>
        <w:rPr>
          <w:rFonts w:hint="eastAsia" w:ascii="宋体" w:hAnsi="宋体" w:eastAsia="宋体"/>
          <w:color w:val="auto"/>
          <w:sz w:val="15"/>
          <w:szCs w:val="15"/>
          <w:shd w:val="clear" w:color="auto" w:fill="FFCCFF"/>
        </w:rPr>
        <w:t>Yuefei</w:t>
      </w:r>
      <w:r>
        <w:rPr>
          <w:rFonts w:hint="eastAsia" w:ascii="宋体" w:hAnsi="宋体" w:eastAsia="宋体"/>
          <w:color w:val="auto"/>
          <w:sz w:val="15"/>
          <w:szCs w:val="15"/>
          <w:shd w:val="clear" w:color="auto" w:fill="FFFFFF"/>
        </w:rPr>
        <w:t xml:space="preserve">, CHEN </w:t>
      </w:r>
      <w:r>
        <w:rPr>
          <w:rFonts w:hint="eastAsia" w:ascii="宋体" w:hAnsi="宋体" w:eastAsia="宋体"/>
          <w:color w:val="auto"/>
          <w:sz w:val="15"/>
          <w:szCs w:val="15"/>
          <w:shd w:val="clear" w:color="auto" w:fill="FFCCFF"/>
        </w:rPr>
        <w:t xml:space="preserve">Chuan </w:t>
      </w:r>
      <w:r>
        <w:rPr>
          <w:rFonts w:hint="eastAsia" w:ascii="宋体" w:hAnsi="宋体" w:eastAsia="宋体"/>
          <w:color w:val="auto"/>
          <w:sz w:val="15"/>
          <w:szCs w:val="15"/>
          <w:shd w:val="clear" w:color="auto" w:fill="FFFFFF"/>
        </w:rPr>
        <w:t>. Application of digital twin technology in smart energy industry[J].</w:t>
      </w:r>
      <w:r>
        <w:rPr>
          <w:rFonts w:hint="eastAsia"/>
          <w:color w:val="auto"/>
          <w:shd w:val="clear" w:color="auto" w:fill="FFFFFF"/>
        </w:rPr>
        <w:t xml:space="preserve"> </w:t>
      </w:r>
      <w:r>
        <w:rPr>
          <w:rFonts w:hint="eastAsia" w:ascii="宋体" w:hAnsi="宋体" w:eastAsia="宋体"/>
          <w:color w:val="auto"/>
          <w:sz w:val="15"/>
          <w:szCs w:val="15"/>
          <w:shd w:val="clear" w:color="auto" w:fill="FFFFFF"/>
        </w:rPr>
        <w:t>China Inspection Body</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&amp;</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Laboratory,</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2022,30</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2):</w:t>
      </w:r>
      <w:r>
        <w:rPr>
          <w:rFonts w:hint="eastAsia" w:ascii="宋体" w:hAnsi="宋体" w:eastAsia="宋体"/>
          <w:color w:val="auto"/>
          <w:sz w:val="15"/>
          <w:szCs w:val="15"/>
          <w:shd w:val="clear" w:color="auto" w:fill="FFCCFF"/>
        </w:rPr>
        <w:t>27</w:t>
      </w:r>
      <w:r>
        <w:rPr>
          <w:rFonts w:hint="eastAsia" w:ascii="宋体" w:hAnsi="宋体" w:eastAsia="宋体"/>
          <w:color w:val="auto"/>
          <w:sz w:val="15"/>
          <w:szCs w:val="15"/>
          <w:shd w:val="clear" w:color="auto" w:fill="FFFFFF"/>
        </w:rPr>
        <w:t>-</w:t>
      </w:r>
      <w:r>
        <w:rPr>
          <w:rFonts w:hint="eastAsia" w:ascii="宋体" w:hAnsi="宋体" w:eastAsia="宋体"/>
          <w:color w:val="auto"/>
          <w:sz w:val="15"/>
          <w:szCs w:val="15"/>
          <w:shd w:val="clear" w:color="auto" w:fill="FFCCFF"/>
        </w:rPr>
        <w:t>31</w:t>
      </w:r>
      <w:r>
        <w:rPr>
          <w:rFonts w:hint="eastAsia" w:ascii="宋体" w:hAnsi="宋体" w:eastAsia="宋体"/>
          <w:color w:val="auto"/>
          <w:sz w:val="15"/>
          <w:szCs w:val="15"/>
          <w:shd w:val="clear" w:color="auto" w:fill="FFFFFF"/>
        </w:rPr>
        <w:t>.</w:t>
      </w:r>
    </w:p>
    <w:p w14:paraId="7E6D4969">
      <w:pPr>
        <w:spacing w:after="0" w:line="240" w:lineRule="auto"/>
        <w:ind w:left="440" w:hanging="440"/>
        <w:jc w:val="both"/>
        <w:rPr>
          <w:rFonts w:hint="eastAsia" w:ascii="宋体" w:hAnsi="宋体" w:eastAsia="宋体"/>
          <w:color w:val="auto"/>
          <w:sz w:val="15"/>
          <w:szCs w:val="15"/>
          <w:shd w:val="clear" w:color="auto" w:fill="FFFFFF"/>
        </w:rPr>
      </w:pPr>
      <w:bookmarkStart w:id="39" w:name="OLE_LINK21"/>
      <w:r>
        <w:rPr>
          <w:rFonts w:hint="eastAsia" w:ascii="宋体" w:hAnsi="宋体" w:eastAsia="宋体"/>
          <w:color w:val="auto"/>
          <w:sz w:val="15"/>
          <w:szCs w:val="15"/>
          <w:shd w:val="clear" w:color="auto" w:fill="FFFFFF"/>
        </w:rPr>
        <w:t>[27]</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赵翠,孙付增,刘少博,</w:t>
      </w:r>
      <w:bookmarkEnd w:id="39"/>
      <w:r>
        <w:rPr>
          <w:rFonts w:hint="eastAsia" w:ascii="宋体" w:hAnsi="宋体" w:eastAsia="宋体"/>
          <w:color w:val="auto"/>
          <w:sz w:val="15"/>
          <w:szCs w:val="15"/>
          <w:shd w:val="clear" w:color="auto" w:fill="FFFFFF"/>
        </w:rPr>
        <w:t>等.基于数字孪生技术的农村供水管理系统框架设计[J].人民长江,2022,53</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4):226-230.</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ZHAO </w:t>
      </w:r>
      <w:r>
        <w:rPr>
          <w:rFonts w:hint="eastAsia" w:ascii="宋体" w:hAnsi="宋体" w:eastAsia="宋体"/>
          <w:color w:val="auto"/>
          <w:sz w:val="15"/>
          <w:szCs w:val="15"/>
          <w:shd w:val="clear" w:color="auto" w:fill="FFCCFF"/>
        </w:rPr>
        <w:t>Cui</w:t>
      </w:r>
      <w:r>
        <w:rPr>
          <w:rFonts w:hint="eastAsia" w:ascii="宋体" w:hAnsi="宋体" w:eastAsia="宋体"/>
          <w:color w:val="auto"/>
          <w:sz w:val="15"/>
          <w:szCs w:val="15"/>
          <w:shd w:val="clear" w:color="auto" w:fill="FFFFFF"/>
        </w:rPr>
        <w:t xml:space="preserve">, SUN </w:t>
      </w:r>
      <w:r>
        <w:rPr>
          <w:rFonts w:hint="eastAsia" w:ascii="宋体" w:hAnsi="宋体" w:eastAsia="宋体"/>
          <w:color w:val="auto"/>
          <w:sz w:val="15"/>
          <w:szCs w:val="15"/>
          <w:shd w:val="clear" w:color="auto" w:fill="FFCCFF"/>
        </w:rPr>
        <w:t>Fuzeng</w:t>
      </w:r>
      <w:r>
        <w:rPr>
          <w:rFonts w:hint="eastAsia" w:ascii="宋体" w:hAnsi="宋体" w:eastAsia="宋体"/>
          <w:color w:val="auto"/>
          <w:sz w:val="15"/>
          <w:szCs w:val="15"/>
          <w:shd w:val="clear" w:color="auto" w:fill="FFFFFF"/>
        </w:rPr>
        <w:t xml:space="preserve">, LIU </w:t>
      </w:r>
      <w:r>
        <w:rPr>
          <w:rFonts w:hint="eastAsia" w:ascii="宋体" w:hAnsi="宋体" w:eastAsia="宋体"/>
          <w:color w:val="auto"/>
          <w:sz w:val="15"/>
          <w:szCs w:val="15"/>
          <w:shd w:val="clear" w:color="auto" w:fill="FFCCFF"/>
        </w:rPr>
        <w:t>Shaobo</w:t>
      </w:r>
      <w:r>
        <w:rPr>
          <w:rFonts w:hint="eastAsia" w:ascii="宋体" w:hAnsi="宋体" w:eastAsia="宋体"/>
          <w:color w:val="auto"/>
          <w:sz w:val="15"/>
          <w:szCs w:val="15"/>
          <w:shd w:val="clear" w:color="auto" w:fill="FFFFFF"/>
        </w:rPr>
        <w:t>, et al. Framework design of rural water supply management system based on digital twin technology[J].Yangtze River,2022,53(4):226-230.</w:t>
      </w:r>
    </w:p>
    <w:p w14:paraId="41A6494A">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[28]</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牛广利,胡雨新,胡蕾,等.工程安全综合评价模型研究及数字孪生应用[J].人民长江,2024,55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4):239-243.</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NIU </w:t>
      </w:r>
      <w:r>
        <w:rPr>
          <w:rFonts w:hint="eastAsia" w:ascii="宋体" w:hAnsi="宋体" w:eastAsia="宋体"/>
          <w:color w:val="auto"/>
          <w:sz w:val="15"/>
          <w:szCs w:val="15"/>
          <w:shd w:val="clear" w:color="auto" w:fill="FFCCFF"/>
        </w:rPr>
        <w:t>Guangli</w:t>
      </w:r>
      <w:r>
        <w:rPr>
          <w:rFonts w:hint="eastAsia" w:ascii="宋体" w:hAnsi="宋体" w:eastAsia="宋体"/>
          <w:color w:val="auto"/>
          <w:sz w:val="15"/>
          <w:szCs w:val="15"/>
          <w:shd w:val="clear" w:color="auto" w:fill="FFFFFF"/>
        </w:rPr>
        <w:t xml:space="preserve">, HU </w:t>
      </w:r>
      <w:r>
        <w:rPr>
          <w:rFonts w:hint="eastAsia" w:ascii="宋体" w:hAnsi="宋体" w:eastAsia="宋体"/>
          <w:color w:val="auto"/>
          <w:sz w:val="15"/>
          <w:szCs w:val="15"/>
          <w:shd w:val="clear" w:color="auto" w:fill="FFCCFF"/>
        </w:rPr>
        <w:t>Yuxin</w:t>
      </w:r>
      <w:r>
        <w:rPr>
          <w:rFonts w:hint="eastAsia" w:ascii="宋体" w:hAnsi="宋体" w:eastAsia="宋体"/>
          <w:color w:val="auto"/>
          <w:sz w:val="15"/>
          <w:szCs w:val="15"/>
          <w:shd w:val="clear" w:color="auto" w:fill="FFFFFF"/>
        </w:rPr>
        <w:t xml:space="preserve">, HU </w:t>
      </w:r>
      <w:r>
        <w:rPr>
          <w:rFonts w:hint="eastAsia" w:ascii="宋体" w:hAnsi="宋体" w:eastAsia="宋体"/>
          <w:color w:val="auto"/>
          <w:sz w:val="15"/>
          <w:szCs w:val="15"/>
          <w:shd w:val="clear" w:color="auto" w:fill="FFCCFF"/>
        </w:rPr>
        <w:t>Lei</w:t>
      </w:r>
      <w:r>
        <w:rPr>
          <w:rFonts w:hint="eastAsia" w:ascii="宋体" w:hAnsi="宋体" w:eastAsia="宋体"/>
          <w:color w:val="auto"/>
          <w:sz w:val="15"/>
          <w:szCs w:val="15"/>
          <w:shd w:val="clear" w:color="auto" w:fill="FFFFFF"/>
        </w:rPr>
        <w:t>, et al. Comprehensive evaluation model of engineering safety and application in digital twin</w:t>
      </w:r>
      <w:r>
        <w:rPr>
          <w:rFonts w:hint="eastAsia" w:ascii="宋体" w:hAnsi="宋体" w:eastAsia="宋体"/>
          <w:color w:val="auto"/>
          <w:sz w:val="15"/>
          <w:szCs w:val="15"/>
          <w:shd w:val="clear" w:color="auto" w:fill="FFCCFF"/>
        </w:rPr>
        <w:t xml:space="preserve"> </w:t>
      </w:r>
      <w:r>
        <w:rPr>
          <w:rFonts w:hint="eastAsia" w:ascii="宋体" w:hAnsi="宋体" w:eastAsia="宋体"/>
          <w:color w:val="auto"/>
          <w:sz w:val="15"/>
          <w:szCs w:val="15"/>
          <w:shd w:val="clear" w:color="auto" w:fill="FFFFFF"/>
        </w:rPr>
        <w:t>[J]. Yangtze River, 2024,55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4):239-243.</w:t>
      </w:r>
    </w:p>
    <w:p w14:paraId="2356775F">
      <w:pPr>
        <w:spacing w:after="0" w:line="240" w:lineRule="auto"/>
        <w:ind w:left="440" w:hanging="440"/>
        <w:jc w:val="both"/>
        <w:rPr>
          <w:rFonts w:hint="eastAsia" w:ascii="宋体" w:hAnsi="宋体" w:eastAsia="宋体"/>
          <w:color w:val="auto"/>
          <w:sz w:val="15"/>
          <w:szCs w:val="15"/>
          <w:shd w:val="clear" w:color="auto" w:fill="FFFFFF"/>
        </w:rPr>
      </w:pPr>
      <w:bookmarkStart w:id="40" w:name="OLE_LINK42"/>
      <w:r>
        <w:rPr>
          <w:rFonts w:hint="eastAsia" w:ascii="宋体" w:hAnsi="宋体" w:eastAsia="宋体"/>
          <w:color w:val="auto"/>
          <w:sz w:val="15"/>
          <w:szCs w:val="15"/>
          <w:shd w:val="clear" w:color="auto" w:fill="FFFFFF"/>
        </w:rPr>
        <w:t>[29]</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刘思微,田莹,徐永兵,等.数字孪生泵站三维智能巡检的研究与应用[J].南水北调与水利科技(中英文),2024,22</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4):788-797.</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LIU </w:t>
      </w:r>
      <w:r>
        <w:rPr>
          <w:rFonts w:hint="eastAsia" w:ascii="宋体" w:hAnsi="宋体" w:eastAsia="宋体"/>
          <w:color w:val="auto"/>
          <w:sz w:val="15"/>
          <w:szCs w:val="15"/>
          <w:shd w:val="clear" w:color="auto" w:fill="FFCCFF"/>
        </w:rPr>
        <w:t>Siwei</w:t>
      </w:r>
      <w:r>
        <w:rPr>
          <w:rFonts w:hint="eastAsia" w:ascii="宋体" w:hAnsi="宋体" w:eastAsia="宋体"/>
          <w:color w:val="auto"/>
          <w:sz w:val="15"/>
          <w:szCs w:val="15"/>
          <w:shd w:val="clear" w:color="auto" w:fill="FFFFFF"/>
        </w:rPr>
        <w:t xml:space="preserve">, TIAN </w:t>
      </w:r>
      <w:r>
        <w:rPr>
          <w:rFonts w:hint="eastAsia" w:ascii="宋体" w:hAnsi="宋体" w:eastAsia="宋体"/>
          <w:color w:val="auto"/>
          <w:sz w:val="15"/>
          <w:szCs w:val="15"/>
          <w:shd w:val="clear" w:color="auto" w:fill="FFCCFF"/>
        </w:rPr>
        <w:t>Ying</w:t>
      </w:r>
      <w:r>
        <w:rPr>
          <w:rFonts w:hint="eastAsia" w:ascii="宋体" w:hAnsi="宋体" w:eastAsia="宋体"/>
          <w:color w:val="auto"/>
          <w:sz w:val="15"/>
          <w:szCs w:val="15"/>
          <w:shd w:val="clear" w:color="auto" w:fill="FFFFFF"/>
        </w:rPr>
        <w:t xml:space="preserve">, XU </w:t>
      </w:r>
      <w:r>
        <w:rPr>
          <w:rFonts w:hint="eastAsia" w:ascii="宋体" w:hAnsi="宋体" w:eastAsia="宋体"/>
          <w:color w:val="auto"/>
          <w:sz w:val="15"/>
          <w:szCs w:val="15"/>
          <w:shd w:val="clear" w:color="auto" w:fill="FFCCFF"/>
        </w:rPr>
        <w:t>Yongbing</w:t>
      </w:r>
      <w:r>
        <w:rPr>
          <w:rFonts w:hint="eastAsia" w:ascii="宋体" w:hAnsi="宋体" w:eastAsia="宋体"/>
          <w:color w:val="auto"/>
          <w:sz w:val="15"/>
          <w:szCs w:val="15"/>
          <w:shd w:val="clear" w:color="auto" w:fill="FFFFFF"/>
        </w:rPr>
        <w:t>, et al. Research and application of digital twin-based 3D intelligent inspection for pump stations[J]. South-to-North Water Transfers and Water Science &amp; Technology, 2024,22</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4):788-797.</w:t>
      </w:r>
    </w:p>
    <w:bookmarkEnd w:id="40"/>
    <w:p w14:paraId="472E4909">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[30]</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徐一.</w:t>
      </w:r>
      <w:bookmarkStart w:id="41" w:name="OLE_LINK34"/>
      <w:r>
        <w:rPr>
          <w:rFonts w:hint="eastAsia" w:ascii="宋体" w:hAnsi="宋体" w:eastAsia="宋体"/>
          <w:color w:val="auto"/>
          <w:sz w:val="15"/>
          <w:szCs w:val="15"/>
          <w:shd w:val="clear" w:color="auto" w:fill="FFFFFF"/>
        </w:rPr>
        <w:t>重庆市水利局政务数据资源共享问题及对策研究</w:t>
      </w:r>
      <w:bookmarkEnd w:id="41"/>
      <w:r>
        <w:rPr>
          <w:rFonts w:hint="eastAsia" w:ascii="宋体" w:hAnsi="宋体" w:eastAsia="宋体"/>
          <w:color w:val="auto"/>
          <w:sz w:val="15"/>
          <w:szCs w:val="15"/>
          <w:shd w:val="clear" w:color="auto" w:fill="FFFFFF"/>
        </w:rPr>
        <w:t>[D].</w:t>
      </w:r>
      <w:bookmarkStart w:id="42" w:name="OLE_LINK27"/>
      <w:r>
        <w:rPr>
          <w:rFonts w:hint="eastAsia" w:ascii="宋体" w:hAnsi="宋体" w:eastAsia="宋体"/>
          <w:color w:val="auto"/>
          <w:sz w:val="15"/>
          <w:szCs w:val="15"/>
          <w:shd w:val="clear" w:color="auto" w:fill="FFFFFF"/>
        </w:rPr>
        <w:t>重庆：重庆科技学院</w:t>
      </w:r>
      <w:bookmarkEnd w:id="42"/>
      <w:r>
        <w:rPr>
          <w:rFonts w:hint="eastAsia" w:ascii="宋体" w:hAnsi="宋体" w:eastAsia="宋体"/>
          <w:color w:val="auto"/>
          <w:sz w:val="15"/>
          <w:szCs w:val="15"/>
          <w:shd w:val="clear" w:color="auto" w:fill="FFFFFF"/>
        </w:rPr>
        <w:t>,2023.</w:t>
      </w:r>
      <w:r>
        <w:rPr>
          <w:rFonts w:hint="eastAsia"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XU Yi. ‌Study on the Issues and Countermeasures of Government Data Resource Sharing in Chongqing Municipal Water Conservancy Bureau‌[D]. Chongqing: Chongqing University of Science &amp; Technology, 2023.</w:t>
      </w:r>
    </w:p>
    <w:p w14:paraId="55B4A9B9">
      <w:pPr>
        <w:pStyle w:val="2"/>
        <w:spacing w:line="240" w:lineRule="auto"/>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[31]</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钟开斌.从分立到集成：全域性灾害应对体系建设转型</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基于河南郑州“7·20”特大暴雨灾害的案例研究[J].行政论坛,2024,</w:t>
      </w:r>
      <w:r>
        <w:rPr>
          <w:rFonts w:hint="eastAsia" w:ascii="宋体" w:hAnsi="宋体" w:eastAsia="宋体"/>
          <w:color w:val="auto"/>
          <w:sz w:val="15"/>
          <w:szCs w:val="15"/>
          <w:shd w:val="clear" w:color="auto" w:fill="FFCCFF"/>
        </w:rPr>
        <w:t>30</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5):101-110.</w:t>
      </w:r>
      <w:r>
        <w:rPr>
          <w:rFonts w:hint="eastAsia"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ZHONG Kaibin. From fragmentation to integration: The system transition of full-scale disasters governance: A case study of the “7·20” extraordinarily heavy rainstorm disaster in Zhengzhou City, Henan Province[J]. Administrative Tribune, 2024, 30(5): 101-110.</w:t>
      </w:r>
    </w:p>
    <w:p w14:paraId="0EDFF4AD">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[32]</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徐千惠,熊林,朱天琳,等.适应我国不同自然条件类型城市的内涝治理模式研究[J].水利水电技术(中英文),2024,55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1):11-27.</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XU </w:t>
      </w:r>
      <w:r>
        <w:rPr>
          <w:rFonts w:hint="eastAsia" w:ascii="宋体" w:hAnsi="宋体" w:eastAsia="宋体"/>
          <w:color w:val="auto"/>
          <w:sz w:val="15"/>
          <w:szCs w:val="15"/>
          <w:shd w:val="clear" w:color="auto" w:fill="FFCCFF"/>
        </w:rPr>
        <w:t>Qianhui</w:t>
      </w:r>
      <w:r>
        <w:rPr>
          <w:rFonts w:hint="eastAsia" w:ascii="宋体" w:hAnsi="宋体" w:eastAsia="宋体"/>
          <w:color w:val="auto"/>
          <w:sz w:val="15"/>
          <w:szCs w:val="15"/>
          <w:shd w:val="clear" w:color="auto" w:fill="FFFFFF"/>
        </w:rPr>
        <w:t xml:space="preserve">, XIONG </w:t>
      </w:r>
      <w:r>
        <w:rPr>
          <w:rFonts w:hint="eastAsia" w:ascii="宋体" w:hAnsi="宋体" w:eastAsia="宋体"/>
          <w:color w:val="auto"/>
          <w:sz w:val="15"/>
          <w:szCs w:val="15"/>
          <w:shd w:val="clear" w:color="auto" w:fill="FFCCFF"/>
        </w:rPr>
        <w:t>Lin</w:t>
      </w:r>
      <w:r>
        <w:rPr>
          <w:rFonts w:hint="eastAsia" w:ascii="宋体" w:hAnsi="宋体" w:eastAsia="宋体"/>
          <w:color w:val="auto"/>
          <w:sz w:val="15"/>
          <w:szCs w:val="15"/>
          <w:shd w:val="clear" w:color="auto" w:fill="FFFFFF"/>
        </w:rPr>
        <w:t xml:space="preserve">, ZHU </w:t>
      </w:r>
      <w:r>
        <w:rPr>
          <w:rFonts w:hint="eastAsia" w:ascii="宋体" w:hAnsi="宋体" w:eastAsia="宋体"/>
          <w:color w:val="auto"/>
          <w:sz w:val="15"/>
          <w:szCs w:val="15"/>
          <w:shd w:val="clear" w:color="auto" w:fill="FFCCFF"/>
        </w:rPr>
        <w:t>Tianlin</w:t>
      </w:r>
      <w:r>
        <w:rPr>
          <w:rFonts w:hint="eastAsia" w:ascii="宋体" w:hAnsi="宋体" w:eastAsia="宋体"/>
          <w:color w:val="auto"/>
          <w:sz w:val="15"/>
          <w:szCs w:val="15"/>
          <w:shd w:val="clear" w:color="auto" w:fill="FFFFFF"/>
        </w:rPr>
        <w:t>, et al. Study on urban waterlogging control modes adapted to cities of different nature condition types in China[J]. Water Resources and Hydropower Engineering, 2024,55</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1):11-27.</w:t>
      </w:r>
    </w:p>
    <w:p w14:paraId="40BA5BDA">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[33]</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徐尧,李栋,唐梦琦.四川省“20·8”特大洪水防御工作实践与思考[J].人民长江,2020,51(12):60-63.</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XU </w:t>
      </w:r>
      <w:r>
        <w:rPr>
          <w:rFonts w:hint="eastAsia" w:ascii="宋体" w:hAnsi="宋体" w:eastAsia="宋体"/>
          <w:color w:val="auto"/>
          <w:sz w:val="15"/>
          <w:szCs w:val="15"/>
          <w:shd w:val="clear" w:color="auto" w:fill="FFCCFF"/>
        </w:rPr>
        <w:t>Yao</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Dong</w:t>
      </w:r>
      <w:r>
        <w:rPr>
          <w:rFonts w:hint="eastAsia" w:ascii="宋体" w:hAnsi="宋体" w:eastAsia="宋体"/>
          <w:color w:val="auto"/>
          <w:sz w:val="15"/>
          <w:szCs w:val="15"/>
          <w:shd w:val="clear" w:color="auto" w:fill="FFFFFF"/>
        </w:rPr>
        <w:t xml:space="preserve">, TANG </w:t>
      </w:r>
      <w:r>
        <w:rPr>
          <w:rFonts w:hint="eastAsia" w:ascii="宋体" w:hAnsi="宋体" w:eastAsia="宋体"/>
          <w:color w:val="auto"/>
          <w:sz w:val="15"/>
          <w:szCs w:val="15"/>
          <w:shd w:val="clear" w:color="auto" w:fill="FFCCFF"/>
        </w:rPr>
        <w:t>Mengqi, et al</w:t>
      </w:r>
      <w:r>
        <w:rPr>
          <w:rFonts w:hint="eastAsia" w:ascii="宋体" w:hAnsi="宋体" w:eastAsia="宋体"/>
          <w:color w:val="auto"/>
          <w:sz w:val="15"/>
          <w:szCs w:val="15"/>
          <w:shd w:val="clear" w:color="auto" w:fill="FFFFFF"/>
        </w:rPr>
        <w:t>. Practice and reflections on catastrophic flood prevention in Sichuan Province in August 2020[J]. Yangtze River, 2020,51(12):60-63.</w:t>
      </w:r>
    </w:p>
    <w:p w14:paraId="48628D37">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[34]</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ZEYDALINEJAD N , JAVADI A A , WEBBER J L . Global perspectives on groundwater infiltration to sewer networks: A threat to urban sustainability[J].Water Research, 2024, 262:</w:t>
      </w:r>
      <w:r>
        <w:rPr>
          <w:rFonts w:hint="eastAsia"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122098.</w:t>
      </w:r>
    </w:p>
    <w:p w14:paraId="07D05AB7">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[35]</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BERG T A</w:t>
      </w:r>
      <w:r>
        <w:rPr>
          <w:rFonts w:hint="eastAsia" w:ascii="宋体" w:hAnsi="宋体" w:eastAsia="宋体"/>
          <w:color w:val="auto"/>
          <w:sz w:val="15"/>
          <w:szCs w:val="15"/>
          <w:shd w:val="clear" w:color="auto" w:fill="FFCCFF"/>
        </w:rPr>
        <w:t xml:space="preserve"> </w:t>
      </w:r>
      <w:r>
        <w:rPr>
          <w:rFonts w:hint="eastAsia" w:ascii="宋体" w:hAnsi="宋体" w:eastAsia="宋体"/>
          <w:color w:val="auto"/>
          <w:sz w:val="15"/>
          <w:szCs w:val="15"/>
          <w:shd w:val="clear" w:color="auto" w:fill="FFFFFF"/>
        </w:rPr>
        <w:t>, MARINO K N</w:t>
      </w:r>
      <w:r>
        <w:rPr>
          <w:rFonts w:hint="eastAsia" w:ascii="宋体" w:hAnsi="宋体" w:eastAsia="宋体"/>
          <w:color w:val="auto"/>
          <w:sz w:val="15"/>
          <w:szCs w:val="15"/>
          <w:shd w:val="clear" w:color="auto" w:fill="FFCCFF"/>
        </w:rPr>
        <w:t xml:space="preserve"> </w:t>
      </w:r>
      <w:r>
        <w:rPr>
          <w:rFonts w:hint="eastAsia" w:ascii="宋体" w:hAnsi="宋体" w:eastAsia="宋体"/>
          <w:color w:val="auto"/>
          <w:sz w:val="15"/>
          <w:szCs w:val="15"/>
          <w:shd w:val="clear" w:color="auto" w:fill="FFFFFF"/>
        </w:rPr>
        <w:t xml:space="preserve">, KINTZIGER K W </w:t>
      </w:r>
      <w:r>
        <w:rPr>
          <w:rFonts w:hint="eastAsia" w:ascii="宋体" w:hAnsi="宋体" w:eastAsia="宋体"/>
          <w:color w:val="auto"/>
          <w:sz w:val="15"/>
          <w:szCs w:val="15"/>
          <w:shd w:val="clear" w:color="auto" w:fill="FFCCFF"/>
        </w:rPr>
        <w:t>.</w:t>
      </w:r>
      <w:r>
        <w:rPr>
          <w:rFonts w:hint="eastAsia" w:ascii="宋体" w:hAnsi="宋体" w:eastAsia="宋体"/>
          <w:color w:val="auto"/>
          <w:sz w:val="15"/>
          <w:szCs w:val="15"/>
          <w:shd w:val="clear" w:color="auto" w:fill="FFFFFF"/>
        </w:rPr>
        <w:t>The application of model-based systems engineering to rural healthcare system disaster planning: A scoping review[J].International Journal of Disaster Risk Science, 2023, 14(3):</w:t>
      </w:r>
      <w:r>
        <w:rPr>
          <w:rFonts w:ascii="宋体" w:hAnsi="宋体" w:eastAsia="宋体"/>
          <w:color w:val="auto"/>
          <w:sz w:val="15"/>
          <w:szCs w:val="15"/>
          <w:shd w:val="clear" w:color="auto" w:fill="FFFFFF"/>
          <w:lang w:val="en"/>
        </w:rPr>
        <w:t xml:space="preserve"> </w:t>
      </w:r>
      <w:r>
        <w:rPr>
          <w:rFonts w:hint="eastAsia" w:ascii="宋体" w:hAnsi="宋体" w:eastAsia="宋体"/>
          <w:color w:val="auto"/>
          <w:sz w:val="15"/>
          <w:szCs w:val="15"/>
          <w:shd w:val="clear" w:color="auto" w:fill="FFFFFF"/>
        </w:rPr>
        <w:t>357-368</w:t>
      </w:r>
      <w:r>
        <w:rPr>
          <w:rFonts w:hint="eastAsia" w:ascii="宋体" w:hAnsi="宋体" w:eastAsia="宋体"/>
          <w:color w:val="auto"/>
          <w:sz w:val="15"/>
          <w:szCs w:val="15"/>
          <w:shd w:val="clear" w:color="auto" w:fill="FFCCFF"/>
        </w:rPr>
        <w:t xml:space="preserve">. </w:t>
      </w:r>
    </w:p>
    <w:p w14:paraId="5F34C8E3">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[36]</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 xml:space="preserve">UGLIOTTI F M, OSELLO A, DAUD M, et al. Enhancing risk analysis toward a landscape digital twin framework: A multi-hazard approach in the context of a socio-economic perspective[J]. Sustainability, 2023, 15(16): </w:t>
      </w:r>
      <w:r>
        <w:rPr>
          <w:rFonts w:hint="eastAsia" w:ascii="宋体" w:hAnsi="宋体" w:eastAsia="宋体"/>
          <w:color w:val="auto"/>
          <w:sz w:val="15"/>
          <w:szCs w:val="15"/>
          <w:shd w:val="clear" w:color="auto" w:fill="FFCCFF"/>
        </w:rPr>
        <w:t>12429.</w:t>
      </w:r>
      <w:r>
        <w:rPr>
          <w:rFonts w:hint="eastAsia"/>
          <w:color w:val="auto"/>
          <w:shd w:val="clear" w:color="auto" w:fill="FFCCFF"/>
        </w:rPr>
        <w:t xml:space="preserve"> </w:t>
      </w:r>
    </w:p>
    <w:p w14:paraId="070BA554">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[37]</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李国英.在水旱灾害防御工作会议上的讲话[J].中国防汛抗旱,2024,34</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w:t>
      </w:r>
      <w:r>
        <w:rPr>
          <w:rFonts w:hint="eastAsia" w:ascii="宋体" w:hAnsi="宋体" w:eastAsia="宋体"/>
          <w:color w:val="auto"/>
          <w:sz w:val="15"/>
          <w:szCs w:val="15"/>
          <w:shd w:val="clear" w:color="auto" w:fill="FFCCFF"/>
        </w:rPr>
        <w:t>4-5.</w:t>
      </w:r>
      <w:r>
        <w:rPr>
          <w:rFonts w:ascii="宋体" w:hAnsi="宋体" w:eastAsia="宋体"/>
          <w:color w:val="auto"/>
          <w:sz w:val="15"/>
          <w:szCs w:val="15"/>
          <w:shd w:val="clear" w:color="auto" w:fill="FFCCFF"/>
        </w:rPr>
        <w:br w:type="textWrapping"/>
      </w:r>
      <w:r>
        <w:rPr>
          <w:rFonts w:hint="eastAsia" w:ascii="宋体" w:hAnsi="宋体" w:eastAsia="宋体"/>
          <w:color w:val="auto"/>
          <w:sz w:val="15"/>
          <w:szCs w:val="15"/>
          <w:shd w:val="clear" w:color="auto" w:fill="FFCCFF"/>
        </w:rPr>
        <w:t>LI Guoying. Speech at the conference on flood and drought disaster prevention[J].China Flood and Drought Management, 2024,34</w:t>
      </w:r>
      <w:r>
        <w:rPr>
          <w:rFonts w:ascii="宋体" w:hAnsi="宋体" w:eastAsia="宋体"/>
          <w:color w:val="auto"/>
          <w:sz w:val="15"/>
          <w:szCs w:val="15"/>
          <w:shd w:val="clear" w:color="auto" w:fill="FFCCFF"/>
          <w:lang w:val="en"/>
        </w:rPr>
        <w:t>(</w:t>
      </w:r>
      <w:r>
        <w:rPr>
          <w:rFonts w:hint="eastAsia" w:ascii="宋体" w:hAnsi="宋体" w:eastAsia="宋体"/>
          <w:color w:val="auto"/>
          <w:sz w:val="15"/>
          <w:szCs w:val="15"/>
          <w:shd w:val="clear" w:color="auto" w:fill="FFCCFF"/>
        </w:rPr>
        <w:t>3):4</w:t>
      </w:r>
      <w:r>
        <w:rPr>
          <w:rFonts w:hint="eastAsia" w:ascii="宋体" w:hAnsi="宋体" w:eastAsia="宋体"/>
          <w:color w:val="auto"/>
          <w:sz w:val="15"/>
          <w:szCs w:val="15"/>
          <w:shd w:val="clear" w:color="auto" w:fill="FFFFFF"/>
        </w:rPr>
        <w:t>-</w:t>
      </w:r>
      <w:r>
        <w:rPr>
          <w:rFonts w:hint="eastAsia" w:ascii="宋体" w:hAnsi="宋体" w:eastAsia="宋体"/>
          <w:color w:val="auto"/>
          <w:sz w:val="15"/>
          <w:szCs w:val="15"/>
          <w:shd w:val="clear" w:color="auto" w:fill="FFCCFF"/>
        </w:rPr>
        <w:t>5</w:t>
      </w:r>
      <w:r>
        <w:rPr>
          <w:rFonts w:hint="eastAsia" w:ascii="宋体" w:hAnsi="宋体" w:eastAsia="宋体"/>
          <w:color w:val="auto"/>
          <w:sz w:val="15"/>
          <w:szCs w:val="15"/>
          <w:shd w:val="clear" w:color="auto" w:fill="FFFFFF"/>
        </w:rPr>
        <w:t>.</w:t>
      </w:r>
    </w:p>
    <w:p w14:paraId="64D23A77">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[38]</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冶运涛,蒋云钟,曹引,等.以数字孪生水利为核心的智慧水利标准体系研究[J].华北水利水电大学学报(自然科学版),2023,44</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4):1-16.</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YE </w:t>
      </w:r>
      <w:r>
        <w:rPr>
          <w:rFonts w:hint="eastAsia" w:ascii="宋体" w:hAnsi="宋体" w:eastAsia="宋体"/>
          <w:color w:val="auto"/>
          <w:sz w:val="15"/>
          <w:szCs w:val="15"/>
          <w:shd w:val="clear" w:color="auto" w:fill="FFCCFF"/>
        </w:rPr>
        <w:t>Yuntao</w:t>
      </w:r>
      <w:r>
        <w:rPr>
          <w:rFonts w:hint="eastAsia" w:ascii="宋体" w:hAnsi="宋体" w:eastAsia="宋体"/>
          <w:color w:val="auto"/>
          <w:sz w:val="15"/>
          <w:szCs w:val="15"/>
          <w:shd w:val="clear" w:color="auto" w:fill="FFFFFF"/>
        </w:rPr>
        <w:t xml:space="preserve">, JIANG </w:t>
      </w:r>
      <w:r>
        <w:rPr>
          <w:rFonts w:hint="eastAsia" w:ascii="宋体" w:hAnsi="宋体" w:eastAsia="宋体"/>
          <w:color w:val="auto"/>
          <w:sz w:val="15"/>
          <w:szCs w:val="15"/>
          <w:shd w:val="clear" w:color="auto" w:fill="FFCCFF"/>
        </w:rPr>
        <w:t>Yunzhong</w:t>
      </w:r>
      <w:r>
        <w:rPr>
          <w:rFonts w:hint="eastAsia" w:ascii="宋体" w:hAnsi="宋体" w:eastAsia="宋体"/>
          <w:color w:val="auto"/>
          <w:sz w:val="15"/>
          <w:szCs w:val="15"/>
          <w:shd w:val="clear" w:color="auto" w:fill="FFFFFF"/>
        </w:rPr>
        <w:t xml:space="preserve">, CAO </w:t>
      </w:r>
      <w:r>
        <w:rPr>
          <w:rFonts w:hint="eastAsia" w:ascii="宋体" w:hAnsi="宋体" w:eastAsia="宋体"/>
          <w:color w:val="auto"/>
          <w:sz w:val="15"/>
          <w:szCs w:val="15"/>
          <w:shd w:val="clear" w:color="auto" w:fill="FFCCFF"/>
        </w:rPr>
        <w:t>Yin</w:t>
      </w:r>
      <w:r>
        <w:rPr>
          <w:rFonts w:hint="eastAsia" w:ascii="宋体" w:hAnsi="宋体" w:eastAsia="宋体"/>
          <w:color w:val="auto"/>
          <w:sz w:val="15"/>
          <w:szCs w:val="15"/>
          <w:shd w:val="clear" w:color="auto" w:fill="FFFFFF"/>
        </w:rPr>
        <w:t>, et al. Research on standard system of smart water conservancy with digital twin water conservancy as the core[J].Journal of North China University of Water Resources and Electric Power</w:t>
      </w:r>
      <w:r>
        <w:rPr>
          <w:rFonts w:hint="eastAsia" w:ascii="宋体" w:hAnsi="宋体" w:eastAsia="宋体"/>
          <w:color w:val="auto"/>
          <w:sz w:val="15"/>
          <w:szCs w:val="15"/>
          <w:shd w:val="clear" w:color="auto" w:fill="FFCCFF"/>
        </w:rPr>
        <w:t xml:space="preserve"> (Natural Science Edition),</w:t>
      </w:r>
      <w:r>
        <w:rPr>
          <w:rFonts w:hint="eastAsia" w:ascii="宋体" w:hAnsi="宋体" w:eastAsia="宋体"/>
          <w:color w:val="auto"/>
          <w:sz w:val="15"/>
          <w:szCs w:val="15"/>
          <w:shd w:val="clear" w:color="auto" w:fill="FFFFFF"/>
        </w:rPr>
        <w:t>2023,44(4):1-16.</w:t>
      </w:r>
    </w:p>
    <w:p w14:paraId="7019D4D9">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[39]</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LIU H L</w:t>
      </w:r>
      <w:r>
        <w:rPr>
          <w:rFonts w:hint="eastAsia" w:ascii="宋体" w:hAnsi="宋体" w:eastAsia="宋体"/>
          <w:color w:val="auto"/>
          <w:sz w:val="15"/>
          <w:szCs w:val="15"/>
          <w:shd w:val="clear" w:color="auto" w:fill="FFCCFF"/>
        </w:rPr>
        <w:t xml:space="preserve"> </w:t>
      </w:r>
      <w:r>
        <w:rPr>
          <w:rFonts w:hint="eastAsia" w:ascii="宋体" w:hAnsi="宋体" w:eastAsia="宋体"/>
          <w:color w:val="auto"/>
          <w:sz w:val="15"/>
          <w:szCs w:val="15"/>
          <w:shd w:val="clear" w:color="auto" w:fill="FFFFFF"/>
        </w:rPr>
        <w:t>, Y</w:t>
      </w:r>
      <w:r>
        <w:rPr>
          <w:rFonts w:hint="eastAsia" w:ascii="宋体" w:hAnsi="宋体" w:eastAsia="宋体"/>
          <w:color w:val="auto"/>
          <w:sz w:val="15"/>
          <w:szCs w:val="15"/>
          <w:shd w:val="clear" w:color="auto" w:fill="D9D9D9"/>
        </w:rPr>
        <w:t>ANG</w:t>
      </w:r>
      <w:r>
        <w:rPr>
          <w:rFonts w:hint="eastAsia" w:ascii="宋体" w:hAnsi="宋体" w:eastAsia="宋体"/>
          <w:color w:val="auto"/>
          <w:sz w:val="15"/>
          <w:szCs w:val="15"/>
          <w:shd w:val="clear" w:color="auto" w:fill="FFFFFF"/>
        </w:rPr>
        <w:t xml:space="preserve"> L Q</w:t>
      </w:r>
      <w:r>
        <w:rPr>
          <w:rFonts w:hint="eastAsia" w:ascii="宋体" w:hAnsi="宋体" w:eastAsia="宋体"/>
          <w:color w:val="auto"/>
          <w:sz w:val="15"/>
          <w:szCs w:val="15"/>
          <w:shd w:val="clear" w:color="auto" w:fill="FFCCFF"/>
        </w:rPr>
        <w:t xml:space="preserve"> </w:t>
      </w:r>
      <w:r>
        <w:rPr>
          <w:rFonts w:hint="eastAsia" w:ascii="宋体" w:hAnsi="宋体" w:eastAsia="宋体"/>
          <w:color w:val="auto"/>
          <w:sz w:val="15"/>
          <w:szCs w:val="15"/>
          <w:shd w:val="clear" w:color="auto" w:fill="FFFFFF"/>
        </w:rPr>
        <w:t>, L</w:t>
      </w:r>
      <w:r>
        <w:rPr>
          <w:rFonts w:hint="eastAsia" w:ascii="宋体" w:hAnsi="宋体" w:eastAsia="宋体"/>
          <w:color w:val="auto"/>
          <w:sz w:val="15"/>
          <w:szCs w:val="15"/>
          <w:shd w:val="clear" w:color="auto" w:fill="D9D9D9"/>
        </w:rPr>
        <w:t>I</w:t>
      </w:r>
      <w:r>
        <w:rPr>
          <w:rFonts w:hint="eastAsia" w:ascii="宋体" w:hAnsi="宋体" w:eastAsia="宋体"/>
          <w:color w:val="auto"/>
          <w:sz w:val="15"/>
          <w:szCs w:val="15"/>
          <w:shd w:val="clear" w:color="auto" w:fill="FFFFFF"/>
        </w:rPr>
        <w:t xml:space="preserve"> L C </w:t>
      </w:r>
      <w:r>
        <w:rPr>
          <w:rFonts w:hint="eastAsia" w:ascii="宋体" w:hAnsi="宋体" w:eastAsia="宋体"/>
          <w:color w:val="auto"/>
          <w:sz w:val="15"/>
          <w:szCs w:val="15"/>
          <w:shd w:val="clear" w:color="auto" w:fill="FFCCFF"/>
        </w:rPr>
        <w:t>.</w:t>
      </w:r>
      <w:r>
        <w:rPr>
          <w:rFonts w:hint="eastAsia" w:ascii="宋体" w:hAnsi="宋体" w:eastAsia="宋体"/>
          <w:color w:val="auto"/>
          <w:sz w:val="15"/>
          <w:szCs w:val="15"/>
          <w:shd w:val="clear" w:color="auto" w:fill="FFFFFF"/>
        </w:rPr>
        <w:t xml:space="preserve">Analyzing the impact of climate factors on GNSS-derived displacements by combining the extended helmert transformation and </w:t>
      </w:r>
      <w:r>
        <w:rPr>
          <w:rFonts w:hint="eastAsia" w:ascii="宋体" w:hAnsi="宋体" w:eastAsia="宋体"/>
          <w:color w:val="auto"/>
          <w:sz w:val="15"/>
          <w:szCs w:val="15"/>
          <w:shd w:val="clear" w:color="auto" w:fill="D9D9D9"/>
        </w:rPr>
        <w:t>XG</w:t>
      </w:r>
      <w:r>
        <w:rPr>
          <w:rFonts w:hint="eastAsia" w:ascii="宋体" w:hAnsi="宋体" w:eastAsia="宋体"/>
          <w:color w:val="auto"/>
          <w:sz w:val="15"/>
          <w:szCs w:val="15"/>
          <w:shd w:val="clear" w:color="auto" w:fill="FFFFFF"/>
        </w:rPr>
        <w:t xml:space="preserve">boost machine learning algorithm[J].Journal of Sensors, </w:t>
      </w:r>
      <w:r>
        <w:rPr>
          <w:rFonts w:hint="eastAsia" w:ascii="宋体" w:hAnsi="宋体" w:eastAsia="宋体"/>
          <w:color w:val="auto"/>
          <w:sz w:val="15"/>
          <w:szCs w:val="15"/>
          <w:shd w:val="clear" w:color="auto" w:fill="FFCCFF"/>
        </w:rPr>
        <w:t>202</w:t>
      </w:r>
      <w:r>
        <w:rPr>
          <w:rFonts w:ascii="宋体" w:hAnsi="宋体" w:eastAsia="宋体"/>
          <w:color w:val="auto"/>
          <w:sz w:val="15"/>
          <w:szCs w:val="15"/>
          <w:shd w:val="clear" w:color="auto" w:fill="FFCCFF"/>
        </w:rPr>
        <w:t>1</w:t>
      </w:r>
      <w:r>
        <w:rPr>
          <w:rFonts w:hint="eastAsia" w:ascii="宋体" w:hAnsi="宋体" w:eastAsia="宋体"/>
          <w:color w:val="auto"/>
          <w:sz w:val="15"/>
          <w:szCs w:val="15"/>
          <w:shd w:val="clear" w:color="auto" w:fill="FFFFFF"/>
        </w:rPr>
        <w:t>, 2021</w:t>
      </w:r>
      <w:r>
        <w:rPr>
          <w:rFonts w:hint="eastAsia" w:ascii="宋体" w:hAnsi="宋体" w:eastAsia="宋体"/>
          <w:color w:val="auto"/>
          <w:sz w:val="15"/>
          <w:szCs w:val="15"/>
          <w:shd w:val="clear" w:color="auto" w:fill="FFCCFF"/>
        </w:rPr>
        <w:t>(</w:t>
      </w:r>
      <w:r>
        <w:rPr>
          <w:rFonts w:ascii="宋体" w:hAnsi="宋体" w:eastAsia="宋体"/>
          <w:color w:val="auto"/>
          <w:sz w:val="15"/>
          <w:szCs w:val="15"/>
          <w:shd w:val="clear" w:color="auto" w:fill="FFCCFF"/>
        </w:rPr>
        <w:t>3</w:t>
      </w:r>
      <w:r>
        <w:rPr>
          <w:rFonts w:hint="eastAsia" w:ascii="宋体" w:hAnsi="宋体" w:eastAsia="宋体"/>
          <w:color w:val="auto"/>
          <w:sz w:val="15"/>
          <w:szCs w:val="15"/>
          <w:shd w:val="clear" w:color="auto" w:fill="FFCCFF"/>
        </w:rPr>
        <w:t>)</w:t>
      </w:r>
      <w:r>
        <w:rPr>
          <w:rFonts w:ascii="宋体" w:hAnsi="宋体" w:eastAsia="宋体"/>
          <w:color w:val="auto"/>
          <w:sz w:val="15"/>
          <w:szCs w:val="15"/>
          <w:shd w:val="clear" w:color="auto" w:fill="FFCCFF"/>
        </w:rPr>
        <w:t xml:space="preserve">: </w:t>
      </w:r>
      <w:r>
        <w:rPr>
          <w:rFonts w:hint="eastAsia" w:ascii="宋体" w:hAnsi="宋体" w:eastAsia="宋体"/>
          <w:color w:val="auto"/>
          <w:sz w:val="15"/>
          <w:szCs w:val="15"/>
          <w:shd w:val="clear" w:color="auto" w:fill="FFFFFF"/>
        </w:rPr>
        <w:t>9926442.</w:t>
      </w:r>
    </w:p>
    <w:p w14:paraId="2A077F12">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[40]</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MEDJAHED S A.</w:t>
      </w:r>
      <w:bookmarkStart w:id="43" w:name="OLE_LINK44"/>
      <w:r>
        <w:rPr>
          <w:rFonts w:hint="eastAsia" w:ascii="宋体" w:hAnsi="宋体" w:eastAsia="宋体"/>
          <w:color w:val="auto"/>
          <w:sz w:val="15"/>
          <w:szCs w:val="15"/>
          <w:shd w:val="clear" w:color="auto" w:fill="FFFFFF"/>
        </w:rPr>
        <w:t xml:space="preserve">Study of the geometry influence of the support points in coordonates transformation: </w:t>
      </w:r>
      <w:r>
        <w:rPr>
          <w:rFonts w:hint="eastAsia" w:ascii="宋体" w:hAnsi="宋体" w:eastAsia="宋体"/>
          <w:color w:val="auto"/>
          <w:sz w:val="15"/>
          <w:szCs w:val="15"/>
          <w:shd w:val="clear" w:color="auto" w:fill="FFFFFF"/>
          <w:lang w:val="en"/>
        </w:rPr>
        <w:t>A</w:t>
      </w:r>
      <w:r>
        <w:rPr>
          <w:rFonts w:hint="eastAsia" w:ascii="宋体" w:hAnsi="宋体" w:eastAsia="宋体"/>
          <w:color w:val="auto"/>
          <w:sz w:val="15"/>
          <w:szCs w:val="15"/>
          <w:shd w:val="clear" w:color="auto" w:fill="FFFFFF"/>
        </w:rPr>
        <w:t>pplication from WGS84 to NS59 datum</w:t>
      </w:r>
      <w:bookmarkEnd w:id="43"/>
      <w:r>
        <w:rPr>
          <w:rFonts w:hint="eastAsia" w:ascii="宋体" w:hAnsi="宋体" w:eastAsia="宋体"/>
          <w:color w:val="auto"/>
          <w:sz w:val="15"/>
          <w:szCs w:val="15"/>
          <w:shd w:val="clear" w:color="auto" w:fill="FFFFFF"/>
        </w:rPr>
        <w:t>[J].Boletim de Ciências Geodésicas, 2023, 29: e2023001.</w:t>
      </w:r>
    </w:p>
    <w:p w14:paraId="7CA2A14A">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[41]</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CHANG H, DONG Y N, ZHANG D,et al.</w:t>
      </w:r>
      <w:bookmarkStart w:id="44" w:name="OLE_LINK45"/>
      <w:r>
        <w:rPr>
          <w:rFonts w:hint="eastAsia" w:ascii="宋体" w:hAnsi="宋体" w:eastAsia="宋体"/>
          <w:color w:val="auto"/>
          <w:sz w:val="15"/>
          <w:szCs w:val="15"/>
          <w:shd w:val="clear" w:color="auto" w:fill="FFFFFF"/>
        </w:rPr>
        <w:t xml:space="preserve"> Review of three-dimensional model simplification algorithms based on quadric error metrics and bibliometric analysis by knowledge map</w:t>
      </w:r>
      <w:bookmarkEnd w:id="44"/>
      <w:r>
        <w:rPr>
          <w:rFonts w:hint="eastAsia" w:ascii="宋体" w:hAnsi="宋体" w:eastAsia="宋体"/>
          <w:color w:val="auto"/>
          <w:sz w:val="15"/>
          <w:szCs w:val="15"/>
          <w:shd w:val="clear" w:color="auto" w:fill="FFFFFF"/>
        </w:rPr>
        <w:t>[J].Mathematics, 2023, 11(23): 4815.</w:t>
      </w:r>
    </w:p>
    <w:p w14:paraId="0612863A">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[42]</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代进雄,杨晓蕾,李大可,等.BIM轻量化技术在水利工程中的应用[J].人民黄河,2024,46</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3):121-125.</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DAI </w:t>
      </w:r>
      <w:r>
        <w:rPr>
          <w:rFonts w:hint="eastAsia" w:ascii="宋体" w:hAnsi="宋体" w:eastAsia="宋体"/>
          <w:color w:val="auto"/>
          <w:sz w:val="15"/>
          <w:szCs w:val="15"/>
          <w:shd w:val="clear" w:color="auto" w:fill="FFCCFF"/>
        </w:rPr>
        <w:t>Jinxiong</w:t>
      </w:r>
      <w:r>
        <w:rPr>
          <w:rFonts w:hint="eastAsia" w:ascii="宋体" w:hAnsi="宋体" w:eastAsia="宋体"/>
          <w:color w:val="auto"/>
          <w:sz w:val="15"/>
          <w:szCs w:val="15"/>
          <w:shd w:val="clear" w:color="auto" w:fill="FFFFFF"/>
        </w:rPr>
        <w:t xml:space="preserve">, YANG </w:t>
      </w:r>
      <w:r>
        <w:rPr>
          <w:rFonts w:hint="eastAsia" w:ascii="宋体" w:hAnsi="宋体" w:eastAsia="宋体"/>
          <w:color w:val="auto"/>
          <w:sz w:val="15"/>
          <w:szCs w:val="15"/>
          <w:shd w:val="clear" w:color="auto" w:fill="FFCCFF"/>
        </w:rPr>
        <w:t>Xiaolei</w:t>
      </w:r>
      <w:r>
        <w:rPr>
          <w:rFonts w:hint="eastAsia" w:ascii="宋体" w:hAnsi="宋体" w:eastAsia="宋体"/>
          <w:color w:val="auto"/>
          <w:sz w:val="15"/>
          <w:szCs w:val="15"/>
          <w:shd w:val="clear" w:color="auto" w:fill="FFFFFF"/>
        </w:rPr>
        <w:t xml:space="preserve">, LI </w:t>
      </w:r>
      <w:r>
        <w:rPr>
          <w:rFonts w:hint="eastAsia" w:ascii="宋体" w:hAnsi="宋体" w:eastAsia="宋体"/>
          <w:color w:val="auto"/>
          <w:sz w:val="15"/>
          <w:szCs w:val="15"/>
          <w:shd w:val="clear" w:color="auto" w:fill="FFCCFF"/>
        </w:rPr>
        <w:t>Dake</w:t>
      </w:r>
      <w:r>
        <w:rPr>
          <w:rFonts w:hint="eastAsia" w:ascii="宋体" w:hAnsi="宋体" w:eastAsia="宋体"/>
          <w:color w:val="auto"/>
          <w:sz w:val="15"/>
          <w:szCs w:val="15"/>
          <w:shd w:val="clear" w:color="auto" w:fill="FFFFFF"/>
        </w:rPr>
        <w:t>, et al. Application of BIM lightweight technology in water conservancy engineering[J].</w:t>
      </w:r>
      <w:r>
        <w:rPr>
          <w:rFonts w:hint="eastAsia"/>
          <w:color w:val="auto"/>
          <w:shd w:val="clear" w:color="auto" w:fill="FFFFFF"/>
        </w:rPr>
        <w:t xml:space="preserve"> </w:t>
      </w:r>
      <w:r>
        <w:rPr>
          <w:rFonts w:hint="eastAsia" w:ascii="宋体" w:hAnsi="宋体" w:eastAsia="宋体"/>
          <w:color w:val="auto"/>
          <w:sz w:val="15"/>
          <w:szCs w:val="15"/>
          <w:shd w:val="clear" w:color="auto" w:fill="FFFFFF"/>
        </w:rPr>
        <w:t>Yellow River,2024,46</w:t>
      </w:r>
      <w:r>
        <w:rPr>
          <w:rFonts w:ascii="宋体" w:hAnsi="宋体" w:eastAsia="宋体"/>
          <w:color w:val="auto"/>
          <w:sz w:val="15"/>
          <w:szCs w:val="15"/>
          <w:shd w:val="clear" w:color="auto" w:fill="FFFFFF"/>
          <w:lang w:val="en"/>
        </w:rPr>
        <w:t>(</w:t>
      </w:r>
      <w:r>
        <w:rPr>
          <w:rFonts w:hint="eastAsia" w:ascii="宋体" w:hAnsi="宋体" w:eastAsia="宋体"/>
          <w:color w:val="auto"/>
          <w:sz w:val="15"/>
          <w:szCs w:val="15"/>
          <w:shd w:val="clear" w:color="auto" w:fill="FFFFFF"/>
        </w:rPr>
        <w:t>3):121-125.</w:t>
      </w:r>
    </w:p>
    <w:p w14:paraId="0FB419BE">
      <w:pPr>
        <w:spacing w:after="0" w:line="240" w:lineRule="auto"/>
        <w:ind w:left="440" w:hanging="440"/>
        <w:jc w:val="both"/>
        <w:rPr>
          <w:rFonts w:hint="eastAsia" w:ascii="宋体" w:hAnsi="宋体" w:eastAsia="宋体"/>
          <w:color w:val="auto"/>
          <w:sz w:val="15"/>
          <w:szCs w:val="15"/>
          <w:shd w:val="clear" w:color="auto" w:fill="FFFFFF"/>
        </w:rPr>
      </w:pPr>
      <w:bookmarkStart w:id="45" w:name="OLE_LINK24"/>
      <w:r>
        <w:rPr>
          <w:rFonts w:hint="eastAsia" w:ascii="宋体" w:hAnsi="宋体" w:eastAsia="宋体"/>
          <w:color w:val="auto"/>
          <w:sz w:val="15"/>
          <w:szCs w:val="15"/>
          <w:shd w:val="clear" w:color="auto" w:fill="FFFFFF"/>
        </w:rPr>
        <w:t>[43]</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林子源,赵强,张驰</w:t>
      </w:r>
      <w:bookmarkEnd w:id="45"/>
      <w:r>
        <w:rPr>
          <w:rFonts w:hint="eastAsia" w:ascii="宋体" w:hAnsi="宋体" w:eastAsia="宋体"/>
          <w:color w:val="auto"/>
          <w:sz w:val="15"/>
          <w:szCs w:val="15"/>
          <w:shd w:val="clear" w:color="auto" w:fill="FFFFFF"/>
        </w:rPr>
        <w:t>,等.大模型与水文模型协同应用关键技术研究及展望[J].</w:t>
      </w:r>
      <w:bookmarkStart w:id="46" w:name="OLE_LINK23"/>
      <w:r>
        <w:rPr>
          <w:rFonts w:hint="eastAsia" w:ascii="宋体" w:hAnsi="宋体" w:eastAsia="宋体"/>
          <w:color w:val="auto"/>
          <w:sz w:val="15"/>
          <w:szCs w:val="15"/>
          <w:shd w:val="clear" w:color="auto" w:fill="FFFFFF"/>
        </w:rPr>
        <w:t>长江科学院院报</w:t>
      </w:r>
      <w:bookmarkEnd w:id="46"/>
      <w:r>
        <w:rPr>
          <w:rFonts w:hint="eastAsia" w:ascii="宋体" w:hAnsi="宋体" w:eastAsia="宋体"/>
          <w:color w:val="auto"/>
          <w:sz w:val="15"/>
          <w:szCs w:val="15"/>
          <w:shd w:val="clear" w:color="auto" w:fill="FFFFFF"/>
        </w:rPr>
        <w:t>,2025,42(12):216-226.</w:t>
      </w:r>
      <w:r>
        <w:rPr>
          <w:rFonts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LIN </w:t>
      </w:r>
      <w:r>
        <w:rPr>
          <w:rFonts w:hint="eastAsia" w:ascii="宋体" w:hAnsi="宋体" w:eastAsia="宋体"/>
          <w:color w:val="auto"/>
          <w:sz w:val="15"/>
          <w:szCs w:val="15"/>
          <w:shd w:val="clear" w:color="auto" w:fill="FFCCFF"/>
        </w:rPr>
        <w:t>Ziyuan</w:t>
      </w:r>
      <w:r>
        <w:rPr>
          <w:rFonts w:hint="eastAsia" w:ascii="宋体" w:hAnsi="宋体" w:eastAsia="宋体"/>
          <w:color w:val="auto"/>
          <w:sz w:val="15"/>
          <w:szCs w:val="15"/>
          <w:shd w:val="clear" w:color="auto" w:fill="FFFFFF"/>
        </w:rPr>
        <w:t xml:space="preserve">, ZHAO </w:t>
      </w:r>
      <w:r>
        <w:rPr>
          <w:rFonts w:hint="eastAsia" w:ascii="宋体" w:hAnsi="宋体" w:eastAsia="宋体"/>
          <w:color w:val="auto"/>
          <w:sz w:val="15"/>
          <w:szCs w:val="15"/>
          <w:shd w:val="clear" w:color="auto" w:fill="FFCCFF"/>
        </w:rPr>
        <w:t>Qiang</w:t>
      </w:r>
      <w:r>
        <w:rPr>
          <w:rFonts w:hint="eastAsia" w:ascii="宋体" w:hAnsi="宋体" w:eastAsia="宋体"/>
          <w:color w:val="auto"/>
          <w:sz w:val="15"/>
          <w:szCs w:val="15"/>
          <w:shd w:val="clear" w:color="auto" w:fill="FFFFFF"/>
        </w:rPr>
        <w:t xml:space="preserve">, ZHANG </w:t>
      </w:r>
      <w:r>
        <w:rPr>
          <w:rFonts w:hint="eastAsia" w:ascii="宋体" w:hAnsi="宋体" w:eastAsia="宋体"/>
          <w:color w:val="auto"/>
          <w:sz w:val="15"/>
          <w:szCs w:val="15"/>
          <w:shd w:val="clear" w:color="auto" w:fill="FFCCFF"/>
        </w:rPr>
        <w:t xml:space="preserve">Chi </w:t>
      </w:r>
      <w:r>
        <w:rPr>
          <w:rFonts w:hint="eastAsia" w:ascii="宋体" w:hAnsi="宋体" w:eastAsia="宋体"/>
          <w:color w:val="auto"/>
          <w:sz w:val="15"/>
          <w:szCs w:val="15"/>
          <w:shd w:val="clear" w:color="auto" w:fill="FFFFFF"/>
        </w:rPr>
        <w:t>, et al. Key technologies and prospects for synergistic application of large language models and hydrological models[J].</w:t>
      </w:r>
      <w:r>
        <w:rPr>
          <w:rFonts w:hint="eastAsia"/>
          <w:color w:val="auto"/>
          <w:shd w:val="clear" w:color="auto" w:fill="FFFFFF"/>
        </w:rPr>
        <w:t xml:space="preserve"> </w:t>
      </w:r>
      <w:r>
        <w:rPr>
          <w:rFonts w:hint="eastAsia" w:ascii="宋体" w:hAnsi="宋体" w:eastAsia="宋体"/>
          <w:color w:val="auto"/>
          <w:sz w:val="15"/>
          <w:szCs w:val="15"/>
          <w:shd w:val="clear" w:color="auto" w:fill="FFFFFF"/>
        </w:rPr>
        <w:t xml:space="preserve">Journal </w:t>
      </w:r>
      <w:r>
        <w:rPr>
          <w:rFonts w:hint="eastAsia" w:ascii="宋体" w:hAnsi="宋体" w:eastAsia="宋体"/>
          <w:color w:val="auto"/>
          <w:sz w:val="15"/>
          <w:szCs w:val="15"/>
          <w:shd w:val="clear" w:color="auto" w:fill="D9D9D9"/>
        </w:rPr>
        <w:t>O</w:t>
      </w:r>
      <w:r>
        <w:rPr>
          <w:rFonts w:hint="eastAsia" w:ascii="宋体" w:hAnsi="宋体" w:eastAsia="宋体"/>
          <w:color w:val="auto"/>
          <w:sz w:val="15"/>
          <w:szCs w:val="15"/>
          <w:shd w:val="clear" w:color="auto" w:fill="FFFFFF"/>
        </w:rPr>
        <w:t>f Changjiang River Scientific Research Institute,2025,42(12):216-226.</w:t>
      </w:r>
    </w:p>
    <w:p w14:paraId="0B4C4A1F">
      <w:pPr>
        <w:spacing w:after="0" w:line="240" w:lineRule="auto"/>
        <w:ind w:left="440" w:hanging="440"/>
        <w:jc w:val="both"/>
        <w:rPr>
          <w:rFonts w:hint="eastAsia" w:ascii="宋体" w:hAnsi="宋体" w:eastAsia="宋体"/>
          <w:color w:val="auto"/>
          <w:sz w:val="15"/>
          <w:szCs w:val="15"/>
          <w:shd w:val="clear" w:color="auto" w:fill="FFFFFF"/>
        </w:rPr>
      </w:pPr>
      <w:r>
        <w:rPr>
          <w:rFonts w:hint="eastAsia" w:ascii="宋体" w:hAnsi="宋体" w:eastAsia="宋体"/>
          <w:color w:val="auto"/>
          <w:sz w:val="15"/>
          <w:szCs w:val="15"/>
          <w:shd w:val="clear" w:color="auto" w:fill="FFFFFF"/>
        </w:rPr>
        <w:t>[44]</w:t>
      </w:r>
      <w:r>
        <w:rPr>
          <w:rFonts w:hint="eastAsia" w:ascii="宋体" w:hAnsi="宋体" w:eastAsia="宋体"/>
          <w:color w:val="auto"/>
          <w:sz w:val="15"/>
          <w:szCs w:val="15"/>
          <w:shd w:val="clear" w:color="auto" w:fill="FFFFFF"/>
        </w:rPr>
        <w:tab/>
      </w:r>
      <w:r>
        <w:rPr>
          <w:rFonts w:hint="eastAsia" w:ascii="宋体" w:hAnsi="宋体" w:eastAsia="宋体"/>
          <w:color w:val="auto"/>
          <w:sz w:val="15"/>
          <w:szCs w:val="15"/>
          <w:shd w:val="clear" w:color="auto" w:fill="FFFFFF"/>
        </w:rPr>
        <w:t>郭子昂.新质生产力测度的内涵界定、基本方法与改进思路[J].统计与决策,2025,41(19):5-10.</w:t>
      </w:r>
      <w:r>
        <w:rPr>
          <w:rFonts w:hint="eastAsia" w:ascii="宋体" w:hAnsi="宋体" w:eastAsia="宋体"/>
          <w:color w:val="auto"/>
          <w:sz w:val="15"/>
          <w:szCs w:val="15"/>
          <w:shd w:val="clear" w:color="auto" w:fill="FFFFFF"/>
        </w:rPr>
        <w:br w:type="textWrapping"/>
      </w:r>
      <w:r>
        <w:rPr>
          <w:rFonts w:hint="eastAsia" w:ascii="宋体" w:hAnsi="宋体" w:eastAsia="宋体"/>
          <w:color w:val="auto"/>
          <w:sz w:val="15"/>
          <w:szCs w:val="15"/>
          <w:shd w:val="clear" w:color="auto" w:fill="FFFFFF"/>
        </w:rPr>
        <w:t xml:space="preserve">GUO </w:t>
      </w:r>
      <w:r>
        <w:rPr>
          <w:rFonts w:hint="eastAsia" w:ascii="宋体" w:hAnsi="宋体" w:eastAsia="宋体"/>
          <w:color w:val="auto"/>
          <w:sz w:val="15"/>
          <w:szCs w:val="15"/>
          <w:shd w:val="clear" w:color="auto" w:fill="FFCCFF"/>
        </w:rPr>
        <w:t>Ziang</w:t>
      </w:r>
      <w:r>
        <w:rPr>
          <w:rFonts w:hint="eastAsia" w:ascii="宋体" w:hAnsi="宋体" w:eastAsia="宋体"/>
          <w:color w:val="auto"/>
          <w:sz w:val="15"/>
          <w:szCs w:val="15"/>
          <w:shd w:val="clear" w:color="auto" w:fill="FFFFFF"/>
        </w:rPr>
        <w:t>. Connotation definition, basic methods and improvement ideas of new quality productivity measurement[J].</w:t>
      </w:r>
      <w:r>
        <w:rPr>
          <w:rFonts w:hint="eastAsia"/>
          <w:color w:val="auto"/>
          <w:shd w:val="clear" w:color="auto" w:fill="FFFFFF"/>
        </w:rPr>
        <w:t xml:space="preserve"> </w:t>
      </w:r>
      <w:r>
        <w:rPr>
          <w:rFonts w:hint="eastAsia" w:ascii="宋体" w:hAnsi="宋体" w:eastAsia="宋体"/>
          <w:color w:val="auto"/>
          <w:sz w:val="15"/>
          <w:szCs w:val="15"/>
          <w:shd w:val="clear" w:color="auto" w:fill="FFFFFF"/>
        </w:rPr>
        <w:t xml:space="preserve">Statistics </w:t>
      </w:r>
      <w:r>
        <w:rPr>
          <w:rFonts w:hint="eastAsia" w:ascii="宋体" w:hAnsi="宋体" w:eastAsia="宋体"/>
          <w:color w:val="auto"/>
          <w:sz w:val="15"/>
          <w:szCs w:val="15"/>
          <w:shd w:val="clear" w:color="auto" w:fill="FFCCFF"/>
        </w:rPr>
        <w:t>and</w:t>
      </w:r>
      <w:r>
        <w:rPr>
          <w:rFonts w:hint="eastAsia" w:ascii="宋体" w:hAnsi="宋体" w:eastAsia="宋体"/>
          <w:color w:val="auto"/>
          <w:sz w:val="15"/>
          <w:szCs w:val="15"/>
          <w:shd w:val="clear" w:color="auto" w:fill="FFFFFF"/>
        </w:rPr>
        <w:t xml:space="preserve"> Decision,2025,41(19):5-10.</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Consolas">
    <w:altName w:val="Liberation Sans Narrow"/>
    <w:panose1 w:val="020B0609020204030204"/>
    <w:charset w:val="00"/>
    <w:family w:val="modern"/>
    <w:pitch w:val="default"/>
    <w:sig w:usb0="00000000" w:usb1="00000000" w:usb2="00000001" w:usb3="00000000" w:csb0="6000019F" w:csb1="DFD70000"/>
  </w:font>
  <w:font w:name="Liberation Sans Narrow">
    <w:panose1 w:val="020B0606020202030204"/>
    <w:charset w:val="00"/>
    <w:family w:val="auto"/>
    <w:pitch w:val="default"/>
    <w:sig w:usb0="A00002AF" w:usb1="500078FB" w:usb2="00000000" w:usb3="00000000" w:csb0="6000009F" w:csb1="DFD70000"/>
  </w:font>
  <w:font w:name="楷体">
    <w:panose1 w:val="02010609060101010101"/>
    <w:charset w:val="86"/>
    <w:family w:val="modern"/>
    <w:pitch w:val="default"/>
    <w:sig w:usb0="800002BF" w:usb1="38CF7CFA" w:usb2="00000016" w:usb3="00000000" w:csb0="00040001" w:csb1="00000000"/>
  </w:font>
  <w:font w:name="Segoe UI">
    <w:altName w:val="微软雅黑 Light"/>
    <w:panose1 w:val="020B0502040204020203"/>
    <w:charset w:val="00"/>
    <w:family w:val="swiss"/>
    <w:pitch w:val="default"/>
    <w:sig w:usb0="00000000" w:usb1="00000000" w:usb2="00000009" w:usb3="00000000" w:csb0="200001FF" w:csb1="00000000"/>
  </w:font>
  <w:font w:name="微软雅黑 Light">
    <w:panose1 w:val="020B0502040204020203"/>
    <w:charset w:val="86"/>
    <w:family w:val="auto"/>
    <w:pitch w:val="default"/>
    <w:sig w:usb0="80000287" w:usb1="2ACF0010" w:usb2="00000016" w:usb3="00000000" w:csb0="0004001F" w:csb1="0000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等线">
    <w:altName w:val="微软雅黑"/>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Tahoma">
    <w:altName w:val="noto sans thai"/>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等线 Light">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26F"/>
    <w:rsid w:val="000030B9"/>
    <w:rsid w:val="00007880"/>
    <w:rsid w:val="00025683"/>
    <w:rsid w:val="000315FF"/>
    <w:rsid w:val="00040D2E"/>
    <w:rsid w:val="00041212"/>
    <w:rsid w:val="000414F2"/>
    <w:rsid w:val="00044FF4"/>
    <w:rsid w:val="00046374"/>
    <w:rsid w:val="00051289"/>
    <w:rsid w:val="0006594D"/>
    <w:rsid w:val="00065A50"/>
    <w:rsid w:val="00066039"/>
    <w:rsid w:val="00072ED3"/>
    <w:rsid w:val="000755DB"/>
    <w:rsid w:val="000A1100"/>
    <w:rsid w:val="000A6B80"/>
    <w:rsid w:val="000C07E5"/>
    <w:rsid w:val="000C3616"/>
    <w:rsid w:val="000E085D"/>
    <w:rsid w:val="000F0AFC"/>
    <w:rsid w:val="000F3ED0"/>
    <w:rsid w:val="000F3F99"/>
    <w:rsid w:val="000F5772"/>
    <w:rsid w:val="000F5D17"/>
    <w:rsid w:val="001026E2"/>
    <w:rsid w:val="00102802"/>
    <w:rsid w:val="00116864"/>
    <w:rsid w:val="00123414"/>
    <w:rsid w:val="00123A0A"/>
    <w:rsid w:val="00123E20"/>
    <w:rsid w:val="0014756D"/>
    <w:rsid w:val="00162039"/>
    <w:rsid w:val="00166E14"/>
    <w:rsid w:val="00167168"/>
    <w:rsid w:val="00171073"/>
    <w:rsid w:val="001739A0"/>
    <w:rsid w:val="00176542"/>
    <w:rsid w:val="001779E9"/>
    <w:rsid w:val="00180EE9"/>
    <w:rsid w:val="001836AF"/>
    <w:rsid w:val="001842FB"/>
    <w:rsid w:val="00191FD4"/>
    <w:rsid w:val="001A7320"/>
    <w:rsid w:val="001B3A3F"/>
    <w:rsid w:val="001D2EBA"/>
    <w:rsid w:val="001D684F"/>
    <w:rsid w:val="001E50BA"/>
    <w:rsid w:val="00200346"/>
    <w:rsid w:val="002015DB"/>
    <w:rsid w:val="00203A58"/>
    <w:rsid w:val="0020496D"/>
    <w:rsid w:val="002071DE"/>
    <w:rsid w:val="00207359"/>
    <w:rsid w:val="00212ECE"/>
    <w:rsid w:val="00214083"/>
    <w:rsid w:val="00217571"/>
    <w:rsid w:val="002229BC"/>
    <w:rsid w:val="002261F2"/>
    <w:rsid w:val="00233AD8"/>
    <w:rsid w:val="00236F8B"/>
    <w:rsid w:val="00240E81"/>
    <w:rsid w:val="002437D7"/>
    <w:rsid w:val="00244383"/>
    <w:rsid w:val="002476AE"/>
    <w:rsid w:val="002517C9"/>
    <w:rsid w:val="002525E2"/>
    <w:rsid w:val="00252D7F"/>
    <w:rsid w:val="0025754D"/>
    <w:rsid w:val="0026401E"/>
    <w:rsid w:val="00270078"/>
    <w:rsid w:val="002950E9"/>
    <w:rsid w:val="002B6AAC"/>
    <w:rsid w:val="002C1235"/>
    <w:rsid w:val="002D0A95"/>
    <w:rsid w:val="002D76FB"/>
    <w:rsid w:val="002F557F"/>
    <w:rsid w:val="002F5D9F"/>
    <w:rsid w:val="0030399B"/>
    <w:rsid w:val="00306A31"/>
    <w:rsid w:val="003112E7"/>
    <w:rsid w:val="00317FC1"/>
    <w:rsid w:val="0032304C"/>
    <w:rsid w:val="00330B24"/>
    <w:rsid w:val="00331B57"/>
    <w:rsid w:val="0033610E"/>
    <w:rsid w:val="00340765"/>
    <w:rsid w:val="00342F4C"/>
    <w:rsid w:val="00344997"/>
    <w:rsid w:val="003451B7"/>
    <w:rsid w:val="0034681C"/>
    <w:rsid w:val="00362CDF"/>
    <w:rsid w:val="00374D5F"/>
    <w:rsid w:val="00375D09"/>
    <w:rsid w:val="00375DEB"/>
    <w:rsid w:val="003770A0"/>
    <w:rsid w:val="00381267"/>
    <w:rsid w:val="003831DA"/>
    <w:rsid w:val="0038485C"/>
    <w:rsid w:val="00385827"/>
    <w:rsid w:val="00391A66"/>
    <w:rsid w:val="00395DF7"/>
    <w:rsid w:val="003A3712"/>
    <w:rsid w:val="003B0381"/>
    <w:rsid w:val="003B2279"/>
    <w:rsid w:val="003B753B"/>
    <w:rsid w:val="003C38EE"/>
    <w:rsid w:val="003C64FB"/>
    <w:rsid w:val="003F04A0"/>
    <w:rsid w:val="003F34EF"/>
    <w:rsid w:val="003F7223"/>
    <w:rsid w:val="00407BCD"/>
    <w:rsid w:val="00416034"/>
    <w:rsid w:val="0042526F"/>
    <w:rsid w:val="004309DD"/>
    <w:rsid w:val="00432071"/>
    <w:rsid w:val="0043789D"/>
    <w:rsid w:val="00446613"/>
    <w:rsid w:val="00453911"/>
    <w:rsid w:val="00462FEC"/>
    <w:rsid w:val="004630B7"/>
    <w:rsid w:val="004748EF"/>
    <w:rsid w:val="00474E2D"/>
    <w:rsid w:val="00482567"/>
    <w:rsid w:val="00487347"/>
    <w:rsid w:val="004C31C2"/>
    <w:rsid w:val="004C660D"/>
    <w:rsid w:val="004D1884"/>
    <w:rsid w:val="004D217B"/>
    <w:rsid w:val="004D305B"/>
    <w:rsid w:val="004D37B3"/>
    <w:rsid w:val="004D51AA"/>
    <w:rsid w:val="004E552D"/>
    <w:rsid w:val="004E63B5"/>
    <w:rsid w:val="004F73CF"/>
    <w:rsid w:val="00502350"/>
    <w:rsid w:val="005155C9"/>
    <w:rsid w:val="00523E26"/>
    <w:rsid w:val="00526880"/>
    <w:rsid w:val="005320EA"/>
    <w:rsid w:val="00534937"/>
    <w:rsid w:val="00553247"/>
    <w:rsid w:val="00557D21"/>
    <w:rsid w:val="00563060"/>
    <w:rsid w:val="005715DD"/>
    <w:rsid w:val="00571BCE"/>
    <w:rsid w:val="00576480"/>
    <w:rsid w:val="005833D3"/>
    <w:rsid w:val="00583EBA"/>
    <w:rsid w:val="00584D84"/>
    <w:rsid w:val="00587023"/>
    <w:rsid w:val="005931D3"/>
    <w:rsid w:val="00593534"/>
    <w:rsid w:val="005B1EAF"/>
    <w:rsid w:val="005D1A21"/>
    <w:rsid w:val="005D39C1"/>
    <w:rsid w:val="005D42D1"/>
    <w:rsid w:val="005D7CBD"/>
    <w:rsid w:val="005F3492"/>
    <w:rsid w:val="00612CDE"/>
    <w:rsid w:val="00632854"/>
    <w:rsid w:val="006373DB"/>
    <w:rsid w:val="006530B8"/>
    <w:rsid w:val="0065343B"/>
    <w:rsid w:val="00666E31"/>
    <w:rsid w:val="00673547"/>
    <w:rsid w:val="00673825"/>
    <w:rsid w:val="00674331"/>
    <w:rsid w:val="00682CC1"/>
    <w:rsid w:val="006849CF"/>
    <w:rsid w:val="006868F9"/>
    <w:rsid w:val="00693854"/>
    <w:rsid w:val="006967E9"/>
    <w:rsid w:val="006A58C1"/>
    <w:rsid w:val="006B49FF"/>
    <w:rsid w:val="006C2DA6"/>
    <w:rsid w:val="006D3DF2"/>
    <w:rsid w:val="006D48AF"/>
    <w:rsid w:val="006E26C8"/>
    <w:rsid w:val="0070010C"/>
    <w:rsid w:val="007054CB"/>
    <w:rsid w:val="00711597"/>
    <w:rsid w:val="00712D26"/>
    <w:rsid w:val="00713A5F"/>
    <w:rsid w:val="007143AC"/>
    <w:rsid w:val="00721205"/>
    <w:rsid w:val="00725EA6"/>
    <w:rsid w:val="00730C31"/>
    <w:rsid w:val="00731B0E"/>
    <w:rsid w:val="00736565"/>
    <w:rsid w:val="007373FE"/>
    <w:rsid w:val="00760310"/>
    <w:rsid w:val="00783203"/>
    <w:rsid w:val="0078444C"/>
    <w:rsid w:val="0078515C"/>
    <w:rsid w:val="007902E0"/>
    <w:rsid w:val="007B1E7E"/>
    <w:rsid w:val="007C7412"/>
    <w:rsid w:val="007D7846"/>
    <w:rsid w:val="007E1265"/>
    <w:rsid w:val="007E4B9B"/>
    <w:rsid w:val="007E78B1"/>
    <w:rsid w:val="007F1B7B"/>
    <w:rsid w:val="008025C2"/>
    <w:rsid w:val="00805795"/>
    <w:rsid w:val="00827253"/>
    <w:rsid w:val="0083277B"/>
    <w:rsid w:val="00832D26"/>
    <w:rsid w:val="008352BB"/>
    <w:rsid w:val="008550A7"/>
    <w:rsid w:val="00855D15"/>
    <w:rsid w:val="0086701B"/>
    <w:rsid w:val="0086750A"/>
    <w:rsid w:val="0086754B"/>
    <w:rsid w:val="008747DE"/>
    <w:rsid w:val="00875E33"/>
    <w:rsid w:val="00893F47"/>
    <w:rsid w:val="008A1F94"/>
    <w:rsid w:val="008A3F83"/>
    <w:rsid w:val="008A4E43"/>
    <w:rsid w:val="008A7F04"/>
    <w:rsid w:val="008B30FD"/>
    <w:rsid w:val="008B4E63"/>
    <w:rsid w:val="008B53DD"/>
    <w:rsid w:val="008B64BB"/>
    <w:rsid w:val="008C2338"/>
    <w:rsid w:val="008C2C9B"/>
    <w:rsid w:val="008C48BE"/>
    <w:rsid w:val="008C73ED"/>
    <w:rsid w:val="008D2114"/>
    <w:rsid w:val="008D499B"/>
    <w:rsid w:val="008E0DBA"/>
    <w:rsid w:val="008E4BBF"/>
    <w:rsid w:val="008F53AF"/>
    <w:rsid w:val="00905129"/>
    <w:rsid w:val="009061E5"/>
    <w:rsid w:val="00914A27"/>
    <w:rsid w:val="009171D5"/>
    <w:rsid w:val="0092258F"/>
    <w:rsid w:val="009428D8"/>
    <w:rsid w:val="00944F8A"/>
    <w:rsid w:val="009510AF"/>
    <w:rsid w:val="00955BA7"/>
    <w:rsid w:val="009631D3"/>
    <w:rsid w:val="00967318"/>
    <w:rsid w:val="009764A4"/>
    <w:rsid w:val="00980EF7"/>
    <w:rsid w:val="00982058"/>
    <w:rsid w:val="00984026"/>
    <w:rsid w:val="00984D76"/>
    <w:rsid w:val="0099071C"/>
    <w:rsid w:val="009A2AE6"/>
    <w:rsid w:val="009A2EA7"/>
    <w:rsid w:val="009A5B27"/>
    <w:rsid w:val="009A5E84"/>
    <w:rsid w:val="009B1E9E"/>
    <w:rsid w:val="009B5BFB"/>
    <w:rsid w:val="009C2AF5"/>
    <w:rsid w:val="009C46C0"/>
    <w:rsid w:val="009C555B"/>
    <w:rsid w:val="009D04E2"/>
    <w:rsid w:val="009D6AFF"/>
    <w:rsid w:val="009E4703"/>
    <w:rsid w:val="009F1651"/>
    <w:rsid w:val="009F3954"/>
    <w:rsid w:val="00A0750B"/>
    <w:rsid w:val="00A1258D"/>
    <w:rsid w:val="00A1649F"/>
    <w:rsid w:val="00A26EE7"/>
    <w:rsid w:val="00A321B6"/>
    <w:rsid w:val="00A3260E"/>
    <w:rsid w:val="00A33B2A"/>
    <w:rsid w:val="00A50491"/>
    <w:rsid w:val="00A542AD"/>
    <w:rsid w:val="00A54A3A"/>
    <w:rsid w:val="00A6690E"/>
    <w:rsid w:val="00A67F23"/>
    <w:rsid w:val="00A71448"/>
    <w:rsid w:val="00A7367C"/>
    <w:rsid w:val="00A80231"/>
    <w:rsid w:val="00A85812"/>
    <w:rsid w:val="00A95AAD"/>
    <w:rsid w:val="00A97E45"/>
    <w:rsid w:val="00AB293D"/>
    <w:rsid w:val="00AB3339"/>
    <w:rsid w:val="00AC1F8E"/>
    <w:rsid w:val="00AC4352"/>
    <w:rsid w:val="00AD081E"/>
    <w:rsid w:val="00AE05B5"/>
    <w:rsid w:val="00AF1C3A"/>
    <w:rsid w:val="00AF6D9E"/>
    <w:rsid w:val="00B05EE6"/>
    <w:rsid w:val="00B14719"/>
    <w:rsid w:val="00B309E7"/>
    <w:rsid w:val="00B46749"/>
    <w:rsid w:val="00B46B74"/>
    <w:rsid w:val="00B50166"/>
    <w:rsid w:val="00B532A7"/>
    <w:rsid w:val="00B5533B"/>
    <w:rsid w:val="00B553CC"/>
    <w:rsid w:val="00B609F8"/>
    <w:rsid w:val="00B6183C"/>
    <w:rsid w:val="00B61EA9"/>
    <w:rsid w:val="00B63B0E"/>
    <w:rsid w:val="00B7118D"/>
    <w:rsid w:val="00B74297"/>
    <w:rsid w:val="00B77C98"/>
    <w:rsid w:val="00B9522C"/>
    <w:rsid w:val="00B95A63"/>
    <w:rsid w:val="00BB09B7"/>
    <w:rsid w:val="00BB2B58"/>
    <w:rsid w:val="00BB4D16"/>
    <w:rsid w:val="00BD5FEE"/>
    <w:rsid w:val="00BE179B"/>
    <w:rsid w:val="00BE3CF0"/>
    <w:rsid w:val="00BE4C2D"/>
    <w:rsid w:val="00BF15FD"/>
    <w:rsid w:val="00BF2ECA"/>
    <w:rsid w:val="00BF6C70"/>
    <w:rsid w:val="00BF7FD7"/>
    <w:rsid w:val="00C00327"/>
    <w:rsid w:val="00C03810"/>
    <w:rsid w:val="00C1228E"/>
    <w:rsid w:val="00C14105"/>
    <w:rsid w:val="00C244E9"/>
    <w:rsid w:val="00C30D99"/>
    <w:rsid w:val="00C34710"/>
    <w:rsid w:val="00C34A99"/>
    <w:rsid w:val="00C41427"/>
    <w:rsid w:val="00C41AB9"/>
    <w:rsid w:val="00C55CB9"/>
    <w:rsid w:val="00C7125F"/>
    <w:rsid w:val="00C75CFF"/>
    <w:rsid w:val="00C82A70"/>
    <w:rsid w:val="00C93FD5"/>
    <w:rsid w:val="00C95251"/>
    <w:rsid w:val="00C9530A"/>
    <w:rsid w:val="00C96E2D"/>
    <w:rsid w:val="00CA13A9"/>
    <w:rsid w:val="00CA2A7F"/>
    <w:rsid w:val="00CA2F6F"/>
    <w:rsid w:val="00CA6766"/>
    <w:rsid w:val="00CA6C8B"/>
    <w:rsid w:val="00CA6D3F"/>
    <w:rsid w:val="00CB44EC"/>
    <w:rsid w:val="00CB637E"/>
    <w:rsid w:val="00CB731D"/>
    <w:rsid w:val="00CC1640"/>
    <w:rsid w:val="00CE0B4E"/>
    <w:rsid w:val="00CF0A56"/>
    <w:rsid w:val="00CF5AA1"/>
    <w:rsid w:val="00CF7B7F"/>
    <w:rsid w:val="00D015D6"/>
    <w:rsid w:val="00D05407"/>
    <w:rsid w:val="00D07C95"/>
    <w:rsid w:val="00D210EC"/>
    <w:rsid w:val="00D216B4"/>
    <w:rsid w:val="00D31418"/>
    <w:rsid w:val="00D601FF"/>
    <w:rsid w:val="00D6175D"/>
    <w:rsid w:val="00D66B5F"/>
    <w:rsid w:val="00D74BF6"/>
    <w:rsid w:val="00D810A2"/>
    <w:rsid w:val="00D81944"/>
    <w:rsid w:val="00D8610D"/>
    <w:rsid w:val="00D905E6"/>
    <w:rsid w:val="00DA63B6"/>
    <w:rsid w:val="00DB1976"/>
    <w:rsid w:val="00DB6DF2"/>
    <w:rsid w:val="00DE0FD2"/>
    <w:rsid w:val="00DE278F"/>
    <w:rsid w:val="00DE38ED"/>
    <w:rsid w:val="00DE52DD"/>
    <w:rsid w:val="00DE6879"/>
    <w:rsid w:val="00DF32F5"/>
    <w:rsid w:val="00DF414D"/>
    <w:rsid w:val="00DF797B"/>
    <w:rsid w:val="00DF79D8"/>
    <w:rsid w:val="00E13C64"/>
    <w:rsid w:val="00E15C68"/>
    <w:rsid w:val="00E25785"/>
    <w:rsid w:val="00E27559"/>
    <w:rsid w:val="00E366A9"/>
    <w:rsid w:val="00E456CA"/>
    <w:rsid w:val="00E46061"/>
    <w:rsid w:val="00E539D7"/>
    <w:rsid w:val="00E567F7"/>
    <w:rsid w:val="00E67F9B"/>
    <w:rsid w:val="00E70508"/>
    <w:rsid w:val="00E800F8"/>
    <w:rsid w:val="00E84F0B"/>
    <w:rsid w:val="00E932CE"/>
    <w:rsid w:val="00EA064F"/>
    <w:rsid w:val="00EA16A3"/>
    <w:rsid w:val="00EC067D"/>
    <w:rsid w:val="00EC1CA5"/>
    <w:rsid w:val="00EC2678"/>
    <w:rsid w:val="00ED5BC2"/>
    <w:rsid w:val="00EE2DF4"/>
    <w:rsid w:val="00EE49A4"/>
    <w:rsid w:val="00EF6EB8"/>
    <w:rsid w:val="00EF72A3"/>
    <w:rsid w:val="00F051A7"/>
    <w:rsid w:val="00F11A1D"/>
    <w:rsid w:val="00F13E0F"/>
    <w:rsid w:val="00F23D53"/>
    <w:rsid w:val="00F25ABE"/>
    <w:rsid w:val="00F25C95"/>
    <w:rsid w:val="00F260D7"/>
    <w:rsid w:val="00F26F49"/>
    <w:rsid w:val="00F31F87"/>
    <w:rsid w:val="00F31FE4"/>
    <w:rsid w:val="00F32933"/>
    <w:rsid w:val="00F354DC"/>
    <w:rsid w:val="00F374AC"/>
    <w:rsid w:val="00F42AFE"/>
    <w:rsid w:val="00F47B8A"/>
    <w:rsid w:val="00F55BB8"/>
    <w:rsid w:val="00F63315"/>
    <w:rsid w:val="00F75745"/>
    <w:rsid w:val="00F7606C"/>
    <w:rsid w:val="00FA1AC5"/>
    <w:rsid w:val="00FA1B23"/>
    <w:rsid w:val="00FA1BA5"/>
    <w:rsid w:val="00FA716B"/>
    <w:rsid w:val="00FB54A3"/>
    <w:rsid w:val="00FB7867"/>
    <w:rsid w:val="00FD5997"/>
    <w:rsid w:val="00FE7162"/>
    <w:rsid w:val="00FF0514"/>
    <w:rsid w:val="00FF317A"/>
    <w:rsid w:val="00FF3CC6"/>
    <w:rsid w:val="0C117AAF"/>
    <w:rsid w:val="358A6933"/>
    <w:rsid w:val="3FBF7FAB"/>
    <w:rsid w:val="4490586E"/>
    <w:rsid w:val="48FF0D4D"/>
    <w:rsid w:val="5CB70CD6"/>
    <w:rsid w:val="6DDA4757"/>
    <w:rsid w:val="6DE5D71C"/>
    <w:rsid w:val="6F1F2595"/>
    <w:rsid w:val="75FF1D6B"/>
    <w:rsid w:val="7AA972C1"/>
    <w:rsid w:val="7B753209"/>
    <w:rsid w:val="7BF8B6BB"/>
    <w:rsid w:val="7E2E3B9F"/>
    <w:rsid w:val="7EBFCE58"/>
    <w:rsid w:val="7F7EBBBD"/>
    <w:rsid w:val="7FBF6822"/>
    <w:rsid w:val="7FEF2205"/>
    <w:rsid w:val="AFFD9750"/>
    <w:rsid w:val="BABF1D64"/>
    <w:rsid w:val="EDFF5535"/>
    <w:rsid w:val="EF374353"/>
    <w:rsid w:val="EF6F36C0"/>
    <w:rsid w:val="EFFE7457"/>
    <w:rsid w:val="FB5FDD94"/>
    <w:rsid w:val="FCBE2C8E"/>
    <w:rsid w:val="FD7657D3"/>
    <w:rsid w:val="FEBE8CA2"/>
    <w:rsid w:val="FF8BAB68"/>
    <w:rsid w:val="FF971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3">
    <w:name w:val="heading 1"/>
    <w:basedOn w:val="1"/>
    <w:next w:val="1"/>
    <w:link w:val="2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27"/>
    <w:unhideWhenUsed/>
    <w:qFormat/>
    <w:uiPriority w:val="0"/>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2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2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30"/>
    <w:semiHidden/>
    <w:unhideWhenUsed/>
    <w:qFormat/>
    <w:uiPriority w:val="9"/>
    <w:pPr>
      <w:keepNext/>
      <w:keepLines/>
      <w:spacing w:before="80" w:after="40"/>
      <w:outlineLvl w:val="4"/>
    </w:pPr>
    <w:rPr>
      <w:rFonts w:cstheme="majorBidi"/>
      <w:color w:val="104862" w:themeColor="accent1" w:themeShade="BF"/>
      <w:sz w:val="24"/>
    </w:rPr>
  </w:style>
  <w:style w:type="paragraph" w:styleId="8">
    <w:name w:val="heading 6"/>
    <w:basedOn w:val="1"/>
    <w:next w:val="1"/>
    <w:link w:val="31"/>
    <w:semiHidden/>
    <w:unhideWhenUsed/>
    <w:qFormat/>
    <w:uiPriority w:val="9"/>
    <w:pPr>
      <w:keepNext/>
      <w:keepLines/>
      <w:spacing w:before="40" w:after="0"/>
      <w:outlineLvl w:val="5"/>
    </w:pPr>
    <w:rPr>
      <w:rFonts w:cstheme="majorBidi"/>
      <w:b/>
      <w:bCs/>
      <w:color w:val="104862" w:themeColor="accent1" w:themeShade="BF"/>
    </w:rPr>
  </w:style>
  <w:style w:type="paragraph" w:styleId="9">
    <w:name w:val="heading 7"/>
    <w:basedOn w:val="1"/>
    <w:next w:val="1"/>
    <w:link w:val="3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3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3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12">
    <w:name w:val="caption"/>
    <w:basedOn w:val="1"/>
    <w:next w:val="1"/>
    <w:link w:val="55"/>
    <w:unhideWhenUsed/>
    <w:qFormat/>
    <w:uiPriority w:val="35"/>
    <w:pPr>
      <w:spacing w:before="120" w:beforeLines="50" w:after="0" w:line="360" w:lineRule="auto"/>
      <w:jc w:val="center"/>
    </w:pPr>
    <w:rPr>
      <w:rFonts w:eastAsia="黑体" w:asciiTheme="majorHAnsi" w:hAnsiTheme="majorHAnsi" w:cstheme="majorBidi"/>
      <w:sz w:val="24"/>
      <w14:ligatures w14:val="none"/>
    </w:rPr>
  </w:style>
  <w:style w:type="paragraph" w:styleId="13">
    <w:name w:val="annotation text"/>
    <w:basedOn w:val="1"/>
    <w:link w:val="60"/>
    <w:semiHidden/>
    <w:unhideWhenUsed/>
    <w:qFormat/>
    <w:uiPriority w:val="99"/>
  </w:style>
  <w:style w:type="paragraph" w:styleId="14">
    <w:name w:val="footer"/>
    <w:basedOn w:val="1"/>
    <w:link w:val="45"/>
    <w:unhideWhenUsed/>
    <w:qFormat/>
    <w:uiPriority w:val="99"/>
    <w:pPr>
      <w:tabs>
        <w:tab w:val="center" w:pos="4153"/>
        <w:tab w:val="right" w:pos="8306"/>
      </w:tabs>
      <w:snapToGrid w:val="0"/>
      <w:spacing w:line="240" w:lineRule="auto"/>
    </w:pPr>
    <w:rPr>
      <w:sz w:val="18"/>
      <w:szCs w:val="18"/>
    </w:rPr>
  </w:style>
  <w:style w:type="paragraph" w:styleId="15">
    <w:name w:val="header"/>
    <w:basedOn w:val="1"/>
    <w:link w:val="44"/>
    <w:unhideWhenUsed/>
    <w:qFormat/>
    <w:uiPriority w:val="99"/>
    <w:pPr>
      <w:tabs>
        <w:tab w:val="center" w:pos="4153"/>
        <w:tab w:val="right" w:pos="8306"/>
      </w:tabs>
      <w:snapToGrid w:val="0"/>
      <w:spacing w:line="240" w:lineRule="auto"/>
      <w:jc w:val="center"/>
    </w:pPr>
    <w:rPr>
      <w:sz w:val="18"/>
      <w:szCs w:val="18"/>
    </w:rPr>
  </w:style>
  <w:style w:type="paragraph" w:styleId="16">
    <w:name w:val="Subtitle"/>
    <w:basedOn w:val="1"/>
    <w:next w:val="1"/>
    <w:link w:val="3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footnote text"/>
    <w:basedOn w:val="1"/>
    <w:link w:val="57"/>
    <w:unhideWhenUsed/>
    <w:qFormat/>
    <w:uiPriority w:val="0"/>
    <w:pPr>
      <w:snapToGrid w:val="0"/>
      <w:spacing w:after="0" w:line="240" w:lineRule="auto"/>
    </w:pPr>
    <w:rPr>
      <w:rFonts w:ascii="Calibri" w:hAnsi="Calibri" w:eastAsia="宋体" w:cs="黑体"/>
      <w:sz w:val="18"/>
      <w:szCs w:val="20"/>
      <w14:ligatures w14:val="none"/>
    </w:rPr>
  </w:style>
  <w:style w:type="paragraph" w:styleId="18">
    <w:name w:val="Title"/>
    <w:basedOn w:val="1"/>
    <w:next w:val="1"/>
    <w:link w:val="3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styleId="19">
    <w:name w:val="annotation subject"/>
    <w:basedOn w:val="13"/>
    <w:next w:val="13"/>
    <w:link w:val="61"/>
    <w:semiHidden/>
    <w:unhideWhenUsed/>
    <w:qFormat/>
    <w:uiPriority w:val="99"/>
    <w:rPr>
      <w:b/>
      <w:bCs/>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uiPriority w:val="22"/>
    <w:rPr>
      <w:b/>
      <w:bCs/>
    </w:rPr>
  </w:style>
  <w:style w:type="character" w:styleId="24">
    <w:name w:val="Hyperlink"/>
    <w:basedOn w:val="22"/>
    <w:unhideWhenUsed/>
    <w:qFormat/>
    <w:uiPriority w:val="99"/>
    <w:rPr>
      <w:color w:val="467886" w:themeColor="hyperlink"/>
      <w:u w:val="single"/>
      <w14:textFill>
        <w14:solidFill>
          <w14:schemeClr w14:val="hlink"/>
        </w14:solidFill>
      </w14:textFill>
    </w:rPr>
  </w:style>
  <w:style w:type="character" w:styleId="25">
    <w:name w:val="annotation reference"/>
    <w:basedOn w:val="22"/>
    <w:semiHidden/>
    <w:unhideWhenUsed/>
    <w:qFormat/>
    <w:uiPriority w:val="99"/>
    <w:rPr>
      <w:sz w:val="21"/>
      <w:szCs w:val="21"/>
    </w:rPr>
  </w:style>
  <w:style w:type="character" w:customStyle="1" w:styleId="26">
    <w:name w:val="标题 1 字符"/>
    <w:basedOn w:val="22"/>
    <w:link w:val="3"/>
    <w:qFormat/>
    <w:uiPriority w:val="9"/>
    <w:rPr>
      <w:rFonts w:asciiTheme="majorHAnsi" w:hAnsiTheme="majorHAnsi" w:eastAsiaTheme="majorEastAsia" w:cstheme="majorBidi"/>
      <w:color w:val="104862" w:themeColor="accent1" w:themeShade="BF"/>
      <w:sz w:val="48"/>
      <w:szCs w:val="48"/>
    </w:rPr>
  </w:style>
  <w:style w:type="character" w:customStyle="1" w:styleId="27">
    <w:name w:val="标题 2 字符"/>
    <w:basedOn w:val="22"/>
    <w:link w:val="4"/>
    <w:qFormat/>
    <w:uiPriority w:val="9"/>
    <w:rPr>
      <w:rFonts w:asciiTheme="majorHAnsi" w:hAnsiTheme="majorHAnsi" w:eastAsiaTheme="majorEastAsia" w:cstheme="majorBidi"/>
      <w:color w:val="104862" w:themeColor="accent1" w:themeShade="BF"/>
      <w:sz w:val="40"/>
      <w:szCs w:val="40"/>
    </w:rPr>
  </w:style>
  <w:style w:type="character" w:customStyle="1" w:styleId="28">
    <w:name w:val="标题 3 字符"/>
    <w:basedOn w:val="22"/>
    <w:link w:val="5"/>
    <w:semiHidden/>
    <w:qFormat/>
    <w:uiPriority w:val="9"/>
    <w:rPr>
      <w:rFonts w:asciiTheme="majorHAnsi" w:hAnsiTheme="majorHAnsi" w:eastAsiaTheme="majorEastAsia" w:cstheme="majorBidi"/>
      <w:color w:val="104862" w:themeColor="accent1" w:themeShade="BF"/>
      <w:sz w:val="32"/>
      <w:szCs w:val="32"/>
    </w:rPr>
  </w:style>
  <w:style w:type="character" w:customStyle="1" w:styleId="29">
    <w:name w:val="标题 4 字符"/>
    <w:basedOn w:val="22"/>
    <w:link w:val="6"/>
    <w:semiHidden/>
    <w:qFormat/>
    <w:uiPriority w:val="9"/>
    <w:rPr>
      <w:rFonts w:cstheme="majorBidi"/>
      <w:color w:val="104862" w:themeColor="accent1" w:themeShade="BF"/>
      <w:sz w:val="28"/>
      <w:szCs w:val="28"/>
    </w:rPr>
  </w:style>
  <w:style w:type="character" w:customStyle="1" w:styleId="30">
    <w:name w:val="标题 5 字符"/>
    <w:basedOn w:val="22"/>
    <w:link w:val="7"/>
    <w:semiHidden/>
    <w:qFormat/>
    <w:uiPriority w:val="9"/>
    <w:rPr>
      <w:rFonts w:cstheme="majorBidi"/>
      <w:color w:val="104862" w:themeColor="accent1" w:themeShade="BF"/>
      <w:sz w:val="24"/>
    </w:rPr>
  </w:style>
  <w:style w:type="character" w:customStyle="1" w:styleId="31">
    <w:name w:val="标题 6 字符"/>
    <w:basedOn w:val="22"/>
    <w:link w:val="8"/>
    <w:semiHidden/>
    <w:qFormat/>
    <w:uiPriority w:val="9"/>
    <w:rPr>
      <w:rFonts w:cstheme="majorBidi"/>
      <w:b/>
      <w:bCs/>
      <w:color w:val="104862" w:themeColor="accent1" w:themeShade="BF"/>
    </w:rPr>
  </w:style>
  <w:style w:type="character" w:customStyle="1" w:styleId="32">
    <w:name w:val="标题 7 字符"/>
    <w:basedOn w:val="22"/>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3">
    <w:name w:val="标题 8 字符"/>
    <w:basedOn w:val="22"/>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4">
    <w:name w:val="标题 9 字符"/>
    <w:basedOn w:val="22"/>
    <w:link w:val="11"/>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5">
    <w:name w:val="标题 字符"/>
    <w:basedOn w:val="22"/>
    <w:link w:val="18"/>
    <w:qFormat/>
    <w:uiPriority w:val="10"/>
    <w:rPr>
      <w:rFonts w:asciiTheme="majorHAnsi" w:hAnsiTheme="majorHAnsi" w:eastAsiaTheme="majorEastAsia" w:cstheme="majorBidi"/>
      <w:spacing w:val="-10"/>
      <w:kern w:val="28"/>
      <w:sz w:val="56"/>
      <w:szCs w:val="56"/>
    </w:rPr>
  </w:style>
  <w:style w:type="character" w:customStyle="1" w:styleId="36">
    <w:name w:val="副标题 字符"/>
    <w:basedOn w:val="22"/>
    <w:link w:val="16"/>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7">
    <w:name w:val="Quote"/>
    <w:basedOn w:val="1"/>
    <w:next w:val="1"/>
    <w:link w:val="3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8">
    <w:name w:val="引用 字符"/>
    <w:basedOn w:val="22"/>
    <w:link w:val="37"/>
    <w:qFormat/>
    <w:uiPriority w:val="29"/>
    <w:rPr>
      <w:i/>
      <w:iCs/>
      <w:color w:val="404040" w:themeColor="text1" w:themeTint="BF"/>
      <w14:textFill>
        <w14:solidFill>
          <w14:schemeClr w14:val="tx1">
            <w14:lumMod w14:val="75000"/>
            <w14:lumOff w14:val="25000"/>
          </w14:schemeClr>
        </w14:solidFill>
      </w14:textFill>
    </w:rPr>
  </w:style>
  <w:style w:type="paragraph" w:styleId="39">
    <w:name w:val="List Paragraph"/>
    <w:basedOn w:val="1"/>
    <w:qFormat/>
    <w:uiPriority w:val="34"/>
    <w:pPr>
      <w:ind w:left="720"/>
      <w:contextualSpacing/>
    </w:pPr>
  </w:style>
  <w:style w:type="character" w:customStyle="1" w:styleId="40">
    <w:name w:val="明显强调1"/>
    <w:basedOn w:val="22"/>
    <w:qFormat/>
    <w:uiPriority w:val="21"/>
    <w:rPr>
      <w:i/>
      <w:iCs/>
      <w:color w:val="104862" w:themeColor="accent1" w:themeShade="BF"/>
    </w:rPr>
  </w:style>
  <w:style w:type="paragraph" w:styleId="41">
    <w:name w:val="Intense Quote"/>
    <w:basedOn w:val="1"/>
    <w:next w:val="1"/>
    <w:link w:val="4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2">
    <w:name w:val="明显引用 字符"/>
    <w:basedOn w:val="22"/>
    <w:link w:val="41"/>
    <w:qFormat/>
    <w:uiPriority w:val="30"/>
    <w:rPr>
      <w:i/>
      <w:iCs/>
      <w:color w:val="104862" w:themeColor="accent1" w:themeShade="BF"/>
    </w:rPr>
  </w:style>
  <w:style w:type="character" w:customStyle="1" w:styleId="43">
    <w:name w:val="明显参考1"/>
    <w:basedOn w:val="22"/>
    <w:qFormat/>
    <w:uiPriority w:val="32"/>
    <w:rPr>
      <w:b/>
      <w:bCs/>
      <w:smallCaps/>
      <w:color w:val="104862" w:themeColor="accent1" w:themeShade="BF"/>
      <w:spacing w:val="5"/>
    </w:rPr>
  </w:style>
  <w:style w:type="character" w:customStyle="1" w:styleId="44">
    <w:name w:val="页眉 字符"/>
    <w:basedOn w:val="22"/>
    <w:link w:val="15"/>
    <w:qFormat/>
    <w:uiPriority w:val="99"/>
    <w:rPr>
      <w:sz w:val="18"/>
      <w:szCs w:val="18"/>
    </w:rPr>
  </w:style>
  <w:style w:type="character" w:customStyle="1" w:styleId="45">
    <w:name w:val="页脚 字符"/>
    <w:basedOn w:val="22"/>
    <w:link w:val="14"/>
    <w:qFormat/>
    <w:uiPriority w:val="99"/>
    <w:rPr>
      <w:sz w:val="18"/>
      <w:szCs w:val="18"/>
    </w:rPr>
  </w:style>
  <w:style w:type="paragraph" w:customStyle="1" w:styleId="46">
    <w:name w:val="样式2"/>
    <w:basedOn w:val="1"/>
    <w:qFormat/>
    <w:uiPriority w:val="0"/>
    <w:pPr>
      <w:spacing w:after="0" w:line="240" w:lineRule="auto"/>
      <w:jc w:val="center"/>
    </w:pPr>
    <w:rPr>
      <w:rFonts w:ascii="黑体" w:hAnsi="黑体" w:eastAsia="黑体"/>
      <w:bCs/>
      <w:sz w:val="18"/>
      <w:szCs w:val="18"/>
      <w14:ligatures w14:val="none"/>
    </w:rPr>
  </w:style>
  <w:style w:type="paragraph" w:customStyle="1" w:styleId="47">
    <w:name w:val="样式4"/>
    <w:basedOn w:val="1"/>
    <w:qFormat/>
    <w:uiPriority w:val="0"/>
    <w:pPr>
      <w:spacing w:before="120" w:after="120" w:line="240" w:lineRule="auto"/>
      <w:jc w:val="center"/>
    </w:pPr>
    <w:rPr>
      <w:rFonts w:ascii="Times New Roman" w:hAnsi="黑体" w:eastAsia="黑体" w:cs="Times New Roman"/>
      <w:sz w:val="28"/>
      <w:szCs w:val="20"/>
      <w14:ligatures w14:val="none"/>
    </w:rPr>
  </w:style>
  <w:style w:type="paragraph" w:customStyle="1" w:styleId="48">
    <w:name w:val="样式 样式 样式 样式 四号 行距: 1.5 倍行距 + 首行缩进:  2 字符 + (西文) 宋体 (中文) 仿宋_GB231...3"/>
    <w:basedOn w:val="1"/>
    <w:link w:val="49"/>
    <w:qFormat/>
    <w:uiPriority w:val="0"/>
    <w:pPr>
      <w:spacing w:after="0" w:line="500" w:lineRule="atLeast"/>
      <w:ind w:firstLine="200" w:firstLineChars="200"/>
      <w:jc w:val="both"/>
    </w:pPr>
    <w:rPr>
      <w:rFonts w:ascii="Times New Roman" w:hAnsi="Times New Roman" w:eastAsia="宋体" w:cs="宋体"/>
      <w:sz w:val="28"/>
      <w:szCs w:val="20"/>
      <w:lang w:val="zh-CN"/>
      <w14:ligatures w14:val="none"/>
    </w:rPr>
  </w:style>
  <w:style w:type="character" w:customStyle="1" w:styleId="49">
    <w:name w:val="样式 样式 样式 样式 四号 行距: 1.5 倍行距 + 首行缩进:  2 字符 + (西文) 宋体 (中文) 仿宋_GB231...3 Char"/>
    <w:link w:val="48"/>
    <w:qFormat/>
    <w:uiPriority w:val="0"/>
    <w:rPr>
      <w:rFonts w:ascii="Times New Roman" w:hAnsi="Times New Roman" w:eastAsia="宋体" w:cs="宋体"/>
      <w:sz w:val="28"/>
      <w:szCs w:val="20"/>
      <w:lang w:val="zh-CN"/>
      <w14:ligatures w14:val="none"/>
    </w:rPr>
  </w:style>
  <w:style w:type="paragraph" w:customStyle="1" w:styleId="50">
    <w:name w:val="样式1"/>
    <w:basedOn w:val="1"/>
    <w:qFormat/>
    <w:uiPriority w:val="0"/>
    <w:pPr>
      <w:spacing w:after="0" w:line="500" w:lineRule="atLeast"/>
      <w:ind w:firstLine="561"/>
      <w:jc w:val="both"/>
    </w:pPr>
    <w:rPr>
      <w:rFonts w:ascii="Times New Roman" w:hAnsi="Times New Roman" w:eastAsia="宋体" w:cs="Times New Roman"/>
      <w:sz w:val="28"/>
      <w14:ligatures w14:val="none"/>
    </w:rPr>
  </w:style>
  <w:style w:type="paragraph" w:customStyle="1" w:styleId="51">
    <w:name w:val="样式5"/>
    <w:basedOn w:val="1"/>
    <w:qFormat/>
    <w:uiPriority w:val="0"/>
    <w:pPr>
      <w:spacing w:after="0" w:line="240" w:lineRule="auto"/>
      <w:jc w:val="center"/>
    </w:pPr>
    <w:rPr>
      <w:rFonts w:ascii="Times New Roman" w:hAnsi="Times New Roman" w:eastAsia="宋体" w:cs="宋体"/>
      <w:sz w:val="21"/>
      <w:szCs w:val="21"/>
      <w14:ligatures w14:val="none"/>
    </w:rPr>
  </w:style>
  <w:style w:type="paragraph" w:customStyle="1" w:styleId="52">
    <w:name w:val="样式 标题 3头小节标题标题 3 Char Char Char标题 3 Char Charh33rd levelH..."/>
    <w:basedOn w:val="5"/>
    <w:qFormat/>
    <w:uiPriority w:val="0"/>
    <w:pPr>
      <w:spacing w:before="60" w:after="60" w:line="500" w:lineRule="atLeast"/>
      <w:jc w:val="both"/>
    </w:pPr>
    <w:rPr>
      <w:rFonts w:ascii="Times New Roman" w:hAnsi="Times New Roman" w:eastAsia="黑体" w:cs="宋体"/>
      <w:color w:val="000000"/>
      <w:sz w:val="28"/>
      <w:szCs w:val="20"/>
      <w14:ligatures w14:val="none"/>
    </w:rPr>
  </w:style>
  <w:style w:type="paragraph" w:customStyle="1" w:styleId="53">
    <w:name w:val="Ciecc-正文"/>
    <w:basedOn w:val="1"/>
    <w:link w:val="54"/>
    <w:qFormat/>
    <w:uiPriority w:val="0"/>
    <w:pPr>
      <w:spacing w:after="0" w:line="360" w:lineRule="auto"/>
      <w:ind w:firstLine="200" w:firstLineChars="200"/>
      <w:jc w:val="both"/>
    </w:pPr>
    <w:rPr>
      <w:rFonts w:ascii="仿宋_GB2312" w:hAnsi="Calibri" w:eastAsia="仿宋_GB2312" w:cs="Times New Roman"/>
      <w:sz w:val="32"/>
      <w:szCs w:val="21"/>
      <w14:ligatures w14:val="none"/>
    </w:rPr>
  </w:style>
  <w:style w:type="character" w:customStyle="1" w:styleId="54">
    <w:name w:val="Ciecc-正文 Char"/>
    <w:link w:val="53"/>
    <w:qFormat/>
    <w:locked/>
    <w:uiPriority w:val="0"/>
    <w:rPr>
      <w:rFonts w:ascii="仿宋_GB2312" w:hAnsi="Calibri" w:eastAsia="仿宋_GB2312" w:cs="Times New Roman"/>
      <w:sz w:val="32"/>
      <w:szCs w:val="21"/>
      <w14:ligatures w14:val="none"/>
    </w:rPr>
  </w:style>
  <w:style w:type="character" w:customStyle="1" w:styleId="55">
    <w:name w:val="题注 字符"/>
    <w:link w:val="12"/>
    <w:qFormat/>
    <w:uiPriority w:val="35"/>
    <w:rPr>
      <w:rFonts w:eastAsia="黑体" w:asciiTheme="majorHAnsi" w:hAnsiTheme="majorHAnsi" w:cstheme="majorBidi"/>
      <w:sz w:val="24"/>
      <w14:ligatures w14:val="none"/>
    </w:rPr>
  </w:style>
  <w:style w:type="character" w:customStyle="1" w:styleId="56">
    <w:name w:val="Verbatim Char"/>
    <w:qFormat/>
    <w:uiPriority w:val="0"/>
    <w:rPr>
      <w:rFonts w:ascii="Consolas" w:hAnsi="Consolas"/>
      <w:sz w:val="22"/>
    </w:rPr>
  </w:style>
  <w:style w:type="character" w:customStyle="1" w:styleId="57">
    <w:name w:val="脚注文本 字符"/>
    <w:basedOn w:val="22"/>
    <w:link w:val="17"/>
    <w:qFormat/>
    <w:uiPriority w:val="0"/>
    <w:rPr>
      <w:rFonts w:ascii="Calibri" w:hAnsi="Calibri" w:eastAsia="宋体" w:cs="黑体"/>
      <w:sz w:val="18"/>
      <w:szCs w:val="20"/>
      <w14:ligatures w14:val="none"/>
    </w:rPr>
  </w:style>
  <w:style w:type="character" w:customStyle="1" w:styleId="58">
    <w:name w:val="未处理的提及1"/>
    <w:basedOn w:val="22"/>
    <w:semiHidden/>
    <w:unhideWhenUsed/>
    <w:qFormat/>
    <w:uiPriority w:val="99"/>
    <w:rPr>
      <w:color w:val="605E5C"/>
      <w:shd w:val="clear" w:color="auto" w:fill="E1DFDD"/>
    </w:rPr>
  </w:style>
  <w:style w:type="paragraph" w:customStyle="1" w:styleId="59">
    <w:name w:val="Revision"/>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character" w:customStyle="1" w:styleId="60">
    <w:name w:val="批注文字 字符"/>
    <w:basedOn w:val="22"/>
    <w:link w:val="13"/>
    <w:semiHidden/>
    <w:qFormat/>
    <w:uiPriority w:val="99"/>
    <w:rPr>
      <w:kern w:val="2"/>
      <w:sz w:val="22"/>
      <w:szCs w:val="24"/>
      <w14:ligatures w14:val="standardContextual"/>
    </w:rPr>
  </w:style>
  <w:style w:type="character" w:customStyle="1" w:styleId="61">
    <w:name w:val="批注主题 字符"/>
    <w:basedOn w:val="60"/>
    <w:link w:val="19"/>
    <w:semiHidden/>
    <w:qFormat/>
    <w:uiPriority w:val="99"/>
    <w:rPr>
      <w:b/>
      <w:bCs/>
      <w:kern w:val="2"/>
      <w:sz w:val="22"/>
      <w:szCs w:val="24"/>
      <w14:ligatures w14:val="standardContextual"/>
    </w:rPr>
  </w:style>
  <w:style w:type="character" w:customStyle="1" w:styleId="62">
    <w:name w:val="Unresolved Mention"/>
    <w:basedOn w:val="2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21</Pages>
  <Words>11938</Words>
  <Characters>20176</Characters>
  <Lines>747</Lines>
  <Paragraphs>683</Paragraphs>
  <TotalTime>21</TotalTime>
  <ScaleCrop>false</ScaleCrop>
  <LinksUpToDate>false</LinksUpToDate>
  <CharactersWithSpaces>31431</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2026-04-05T00:35:00Z</dcterms:created>
  <dc:creator>tai vincent</dc:creator>
  <cp:lastModifiedBy>kylin</cp:lastModifiedBy>
  <dcterms:modified xsi:type="dcterms:W3CDTF">2026-05-10T18:20:38Z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A5B40D9EC8060E4B1F2BCB691B46932D_43</vt:lpwstr>
  </property>
</Properties>
</file>